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112DC" w14:textId="7116A097" w:rsidR="00624C43" w:rsidRPr="00791EFA" w:rsidRDefault="008D6D8B" w:rsidP="00C86BD1">
      <w:pPr>
        <w:spacing w:line="480" w:lineRule="auto"/>
        <w:contextualSpacing/>
        <w:jc w:val="center"/>
        <w:rPr>
          <w:rFonts w:ascii="Garamond" w:eastAsia="Garamond" w:hAnsi="Garamond" w:cs="Times New Roman"/>
          <w:sz w:val="24"/>
          <w:szCs w:val="24"/>
        </w:rPr>
      </w:pPr>
      <w:r w:rsidRPr="00791EFA">
        <w:rPr>
          <w:rFonts w:ascii="Garamond" w:eastAsia="Garamond" w:hAnsi="Garamond" w:cs="Times New Roman"/>
          <w:sz w:val="24"/>
          <w:szCs w:val="24"/>
        </w:rPr>
        <w:t>Non-Inferential Transitions</w:t>
      </w:r>
      <w:r w:rsidR="00A27B11" w:rsidRPr="00791EFA">
        <w:rPr>
          <w:rFonts w:ascii="Garamond" w:eastAsia="Garamond" w:hAnsi="Garamond" w:cs="Times New Roman"/>
          <w:sz w:val="24"/>
          <w:szCs w:val="24"/>
        </w:rPr>
        <w:t>: Imagery and Association</w:t>
      </w:r>
    </w:p>
    <w:p w14:paraId="3D001D0F" w14:textId="4638F4CA" w:rsidR="001E236C" w:rsidRPr="00791EFA" w:rsidRDefault="001E236C" w:rsidP="00C86BD1">
      <w:pPr>
        <w:spacing w:line="480" w:lineRule="auto"/>
        <w:contextualSpacing/>
        <w:jc w:val="center"/>
        <w:rPr>
          <w:rFonts w:ascii="Garamond" w:eastAsia="Garamond" w:hAnsi="Garamond" w:cs="Times New Roman"/>
          <w:sz w:val="24"/>
          <w:szCs w:val="24"/>
        </w:rPr>
      </w:pPr>
      <w:r w:rsidRPr="00791EFA">
        <w:rPr>
          <w:rFonts w:ascii="Garamond" w:eastAsia="Garamond" w:hAnsi="Garamond" w:cs="Times New Roman"/>
          <w:sz w:val="24"/>
          <w:szCs w:val="24"/>
        </w:rPr>
        <w:t>Jake Quilty-Dunn</w:t>
      </w:r>
      <w:r w:rsidR="00863FF9">
        <w:rPr>
          <w:rStyle w:val="FootnoteReference"/>
          <w:rFonts w:ascii="Garamond" w:eastAsia="Garamond" w:hAnsi="Garamond" w:cs="Times New Roman"/>
          <w:sz w:val="24"/>
          <w:szCs w:val="24"/>
        </w:rPr>
        <w:footnoteReference w:id="1"/>
      </w:r>
      <w:r w:rsidRPr="00791EFA">
        <w:rPr>
          <w:rFonts w:ascii="Garamond" w:eastAsia="Garamond" w:hAnsi="Garamond" w:cs="Times New Roman"/>
          <w:sz w:val="24"/>
          <w:szCs w:val="24"/>
        </w:rPr>
        <w:t xml:space="preserve"> and Eric Mandelbaum</w:t>
      </w:r>
    </w:p>
    <w:p w14:paraId="2C36F970" w14:textId="2354E3A1" w:rsidR="00595C1E" w:rsidRPr="00791EFA" w:rsidRDefault="00791EFA" w:rsidP="00C86BD1">
      <w:pPr>
        <w:spacing w:line="480" w:lineRule="auto"/>
        <w:contextualSpacing/>
        <w:jc w:val="center"/>
        <w:rPr>
          <w:rFonts w:ascii="Garamond" w:eastAsia="Garamond" w:hAnsi="Garamond" w:cs="Times New Roman"/>
          <w:sz w:val="24"/>
          <w:szCs w:val="24"/>
        </w:rPr>
      </w:pPr>
      <w:r w:rsidRPr="00791EFA">
        <w:rPr>
          <w:rFonts w:ascii="Garamond" w:eastAsia="Garamond" w:hAnsi="Garamond" w:cs="Times New Roman"/>
          <w:sz w:val="24"/>
          <w:szCs w:val="24"/>
        </w:rPr>
        <w:t>ABSTRACT</w:t>
      </w:r>
    </w:p>
    <w:p w14:paraId="230F1BD1" w14:textId="77777777" w:rsidR="00791EFA" w:rsidRPr="00791EFA" w:rsidRDefault="00791EFA" w:rsidP="00791EFA">
      <w:pPr>
        <w:pBdr>
          <w:top w:val="none" w:sz="0" w:space="0" w:color="auto"/>
          <w:left w:val="none" w:sz="0" w:space="0" w:color="auto"/>
          <w:bottom w:val="none" w:sz="0" w:space="0" w:color="auto"/>
          <w:right w:val="none" w:sz="0" w:space="0" w:color="auto"/>
          <w:between w:val="none" w:sz="0" w:space="0" w:color="auto"/>
        </w:pBdr>
        <w:spacing w:line="240" w:lineRule="auto"/>
        <w:rPr>
          <w:rFonts w:ascii="Garamond" w:eastAsia="Times New Roman" w:hAnsi="Garamond" w:cs="Times New Roman"/>
          <w:color w:val="auto"/>
          <w:sz w:val="24"/>
          <w:szCs w:val="24"/>
          <w:lang w:val="en-US"/>
        </w:rPr>
      </w:pPr>
      <w:r w:rsidRPr="00791EFA">
        <w:rPr>
          <w:rFonts w:ascii="Garamond" w:eastAsia="Times New Roman" w:hAnsi="Garamond"/>
          <w:color w:val="222222"/>
          <w:sz w:val="24"/>
          <w:szCs w:val="24"/>
          <w:shd w:val="clear" w:color="auto" w:fill="FFFFFF"/>
          <w:lang w:val="en-US"/>
        </w:rPr>
        <w:t xml:space="preserve">Abstract: Unconscious logical inference seems to rely on the syntactic structures of mental representations (Quilty-Dunn &amp; Mandelbaum 2018). Other transitions, such as transitions using iconic representations and associative transitions, are harder to assimilate to syntax-based theories. Here we tackle these difficulties head on in the interest of a fuller taxonomy of mental transitions. Along the way we discuss how icons can be compositional without having constituent </w:t>
      </w:r>
      <w:proofErr w:type="gramStart"/>
      <w:r w:rsidRPr="00791EFA">
        <w:rPr>
          <w:rFonts w:ascii="Garamond" w:eastAsia="Times New Roman" w:hAnsi="Garamond"/>
          <w:color w:val="222222"/>
          <w:sz w:val="24"/>
          <w:szCs w:val="24"/>
          <w:shd w:val="clear" w:color="auto" w:fill="FFFFFF"/>
          <w:lang w:val="en-US"/>
        </w:rPr>
        <w:t>structure, and</w:t>
      </w:r>
      <w:proofErr w:type="gramEnd"/>
      <w:r w:rsidRPr="00791EFA">
        <w:rPr>
          <w:rFonts w:ascii="Garamond" w:eastAsia="Times New Roman" w:hAnsi="Garamond"/>
          <w:color w:val="222222"/>
          <w:sz w:val="24"/>
          <w:szCs w:val="24"/>
          <w:shd w:val="clear" w:color="auto" w:fill="FFFFFF"/>
          <w:lang w:val="en-US"/>
        </w:rPr>
        <w:t xml:space="preserve"> expand and defend the “symmetry condition” on Associationism (the idea that associative links and transitions are perfectly symmetric). In the end, we show how a BIT (“bare inferential transition”) theory can cohabitate with these other non-inferential mental transitions. </w:t>
      </w:r>
    </w:p>
    <w:p w14:paraId="0AAD535C" w14:textId="77777777" w:rsidR="00791EFA" w:rsidRPr="00791EFA" w:rsidRDefault="00791EFA" w:rsidP="00C86BD1">
      <w:pPr>
        <w:spacing w:line="480" w:lineRule="auto"/>
        <w:contextualSpacing/>
        <w:jc w:val="center"/>
        <w:rPr>
          <w:rFonts w:ascii="Garamond" w:eastAsia="Garamond" w:hAnsi="Garamond" w:cs="Times New Roman"/>
          <w:sz w:val="24"/>
          <w:szCs w:val="24"/>
        </w:rPr>
      </w:pPr>
    </w:p>
    <w:p w14:paraId="4DDBDB05" w14:textId="0F2072D2" w:rsidR="003D133A" w:rsidRPr="00791EFA" w:rsidRDefault="009166B2" w:rsidP="00C86BD1">
      <w:pPr>
        <w:spacing w:line="480" w:lineRule="auto"/>
        <w:contextualSpacing/>
        <w:rPr>
          <w:rFonts w:ascii="Garamond" w:eastAsia="Garamond" w:hAnsi="Garamond" w:cs="Times New Roman"/>
          <w:b/>
          <w:sz w:val="24"/>
          <w:szCs w:val="24"/>
        </w:rPr>
      </w:pPr>
      <w:r w:rsidRPr="00791EFA">
        <w:rPr>
          <w:rFonts w:ascii="Garamond" w:eastAsia="Garamond" w:hAnsi="Garamond" w:cs="Times New Roman"/>
          <w:b/>
          <w:bCs/>
          <w:sz w:val="24"/>
          <w:szCs w:val="24"/>
        </w:rPr>
        <w:t>§</w:t>
      </w:r>
      <w:r w:rsidR="003D133A" w:rsidRPr="00791EFA">
        <w:rPr>
          <w:rFonts w:ascii="Garamond" w:eastAsia="Garamond" w:hAnsi="Garamond" w:cs="Times New Roman"/>
          <w:b/>
          <w:sz w:val="24"/>
          <w:szCs w:val="24"/>
        </w:rPr>
        <w:t xml:space="preserve">1: </w:t>
      </w:r>
      <w:r w:rsidR="00DD30A3" w:rsidRPr="00791EFA">
        <w:rPr>
          <w:rFonts w:ascii="Garamond" w:eastAsia="Garamond" w:hAnsi="Garamond" w:cs="Times New Roman"/>
          <w:b/>
          <w:sz w:val="24"/>
          <w:szCs w:val="24"/>
        </w:rPr>
        <w:t xml:space="preserve">Kinds of </w:t>
      </w:r>
      <w:r w:rsidR="003D133A" w:rsidRPr="00791EFA">
        <w:rPr>
          <w:rFonts w:ascii="Garamond" w:eastAsia="Garamond" w:hAnsi="Garamond" w:cs="Times New Roman"/>
          <w:b/>
          <w:sz w:val="24"/>
          <w:szCs w:val="24"/>
        </w:rPr>
        <w:t>Thinking</w:t>
      </w:r>
    </w:p>
    <w:p w14:paraId="6A6EBB92" w14:textId="338A175E" w:rsidR="00595C1E" w:rsidRPr="00791EFA" w:rsidRDefault="00635B95" w:rsidP="00C86BD1">
      <w:pPr>
        <w:spacing w:line="480" w:lineRule="auto"/>
        <w:contextualSpacing/>
        <w:rPr>
          <w:rFonts w:ascii="Garamond" w:eastAsia="Garamond" w:hAnsi="Garamond" w:cs="Times New Roman"/>
          <w:sz w:val="24"/>
          <w:szCs w:val="24"/>
        </w:rPr>
      </w:pPr>
      <w:r w:rsidRPr="00791EFA">
        <w:rPr>
          <w:rFonts w:ascii="Garamond" w:eastAsia="Garamond" w:hAnsi="Garamond" w:cs="Times New Roman"/>
          <w:sz w:val="24"/>
          <w:szCs w:val="24"/>
        </w:rPr>
        <w:t>Thinking is not one kind of thing.</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 xml:space="preserve">The various forms of thinking studied in psychology include </w:t>
      </w:r>
      <w:r w:rsidR="008D6D8B" w:rsidRPr="00791EFA">
        <w:rPr>
          <w:rFonts w:ascii="Garamond" w:eastAsia="Garamond" w:hAnsi="Garamond" w:cs="Times New Roman"/>
          <w:sz w:val="24"/>
          <w:szCs w:val="24"/>
        </w:rPr>
        <w:t>navigat</w:t>
      </w:r>
      <w:r w:rsidRPr="00791EFA">
        <w:rPr>
          <w:rFonts w:ascii="Garamond" w:eastAsia="Garamond" w:hAnsi="Garamond" w:cs="Times New Roman"/>
          <w:sz w:val="24"/>
          <w:szCs w:val="24"/>
        </w:rPr>
        <w:t>ing</w:t>
      </w:r>
      <w:r w:rsidR="008D6D8B" w:rsidRPr="00791EFA">
        <w:rPr>
          <w:rFonts w:ascii="Garamond" w:eastAsia="Garamond" w:hAnsi="Garamond" w:cs="Times New Roman"/>
          <w:sz w:val="24"/>
          <w:szCs w:val="24"/>
        </w:rPr>
        <w:t xml:space="preserve"> with </w:t>
      </w:r>
      <w:r w:rsidRPr="00791EFA">
        <w:rPr>
          <w:rFonts w:ascii="Garamond" w:eastAsia="Garamond" w:hAnsi="Garamond" w:cs="Times New Roman"/>
          <w:sz w:val="24"/>
          <w:szCs w:val="24"/>
        </w:rPr>
        <w:t xml:space="preserve">mental </w:t>
      </w:r>
      <w:r w:rsidR="008D6D8B" w:rsidRPr="00791EFA">
        <w:rPr>
          <w:rFonts w:ascii="Garamond" w:eastAsia="Garamond" w:hAnsi="Garamond" w:cs="Times New Roman"/>
          <w:sz w:val="24"/>
          <w:szCs w:val="24"/>
        </w:rPr>
        <w:t>maps (</w:t>
      </w:r>
      <w:r w:rsidRPr="00791EFA">
        <w:rPr>
          <w:rFonts w:ascii="Garamond" w:eastAsia="Garamond" w:hAnsi="Garamond" w:cs="Times New Roman"/>
          <w:sz w:val="24"/>
          <w:szCs w:val="24"/>
        </w:rPr>
        <w:t>Tolman</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1948; </w:t>
      </w:r>
      <w:r w:rsidR="008D6D8B" w:rsidRPr="00791EFA">
        <w:rPr>
          <w:rFonts w:ascii="Garamond" w:eastAsia="Garamond" w:hAnsi="Garamond" w:cs="Times New Roman"/>
          <w:sz w:val="24"/>
          <w:szCs w:val="24"/>
        </w:rPr>
        <w:t>Camp</w:t>
      </w:r>
      <w:r w:rsidR="00B82EE0" w:rsidRPr="00791EFA">
        <w:rPr>
          <w:rFonts w:ascii="Garamond" w:eastAsia="Garamond" w:hAnsi="Garamond" w:cs="Times New Roman"/>
          <w:sz w:val="24"/>
          <w:szCs w:val="24"/>
        </w:rPr>
        <w:t>,</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2007; Rescorla</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2009</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scanning and rotating</w:t>
      </w:r>
      <w:r w:rsidR="00DA59BB" w:rsidRPr="00791EFA">
        <w:rPr>
          <w:rFonts w:ascii="Garamond" w:eastAsia="Garamond" w:hAnsi="Garamond" w:cs="Times New Roman"/>
          <w:sz w:val="24"/>
          <w:szCs w:val="24"/>
        </w:rPr>
        <w:t xml:space="preserve"> iconic</w:t>
      </w:r>
      <w:r w:rsidRPr="00791EFA">
        <w:rPr>
          <w:rFonts w:ascii="Garamond" w:eastAsia="Garamond" w:hAnsi="Garamond" w:cs="Times New Roman"/>
          <w:sz w:val="24"/>
          <w:szCs w:val="24"/>
        </w:rPr>
        <w:t xml:space="preserve"> mental images </w:t>
      </w:r>
      <w:r w:rsidR="008D6D8B" w:rsidRPr="00791EFA">
        <w:rPr>
          <w:rFonts w:ascii="Garamond" w:eastAsia="Garamond" w:hAnsi="Garamond" w:cs="Times New Roman"/>
          <w:sz w:val="24"/>
          <w:szCs w:val="24"/>
        </w:rPr>
        <w:t>(Shepard</w:t>
      </w:r>
      <w:r w:rsidRPr="00791EFA">
        <w:rPr>
          <w:rFonts w:ascii="Garamond" w:eastAsia="Garamond" w:hAnsi="Garamond" w:cs="Times New Roman"/>
          <w:sz w:val="24"/>
          <w:szCs w:val="24"/>
        </w:rPr>
        <w:t xml:space="preserve"> &amp; Metzler</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1971</w:t>
      </w:r>
      <w:r w:rsidR="00DA59BB" w:rsidRPr="00791EFA">
        <w:rPr>
          <w:rFonts w:ascii="Garamond" w:eastAsia="Garamond" w:hAnsi="Garamond" w:cs="Times New Roman"/>
          <w:sz w:val="24"/>
          <w:szCs w:val="24"/>
        </w:rPr>
        <w:t xml:space="preserve">; Kosslyn </w:t>
      </w:r>
      <w:r w:rsidR="009A2BAB" w:rsidRPr="00791EFA">
        <w:rPr>
          <w:rFonts w:ascii="Garamond" w:eastAsia="Garamond" w:hAnsi="Garamond" w:cs="Times New Roman"/>
          <w:sz w:val="24"/>
          <w:szCs w:val="24"/>
        </w:rPr>
        <w:t>et al.</w:t>
      </w:r>
      <w:r w:rsidR="00B82EE0" w:rsidRPr="00791EFA">
        <w:rPr>
          <w:rFonts w:ascii="Garamond" w:eastAsia="Garamond" w:hAnsi="Garamond" w:cs="Times New Roman"/>
          <w:sz w:val="24"/>
          <w:szCs w:val="24"/>
        </w:rPr>
        <w:t>,</w:t>
      </w:r>
      <w:r w:rsidR="009A2BAB" w:rsidRPr="00791EFA">
        <w:rPr>
          <w:rFonts w:ascii="Garamond" w:eastAsia="Garamond" w:hAnsi="Garamond" w:cs="Times New Roman"/>
          <w:sz w:val="24"/>
          <w:szCs w:val="24"/>
        </w:rPr>
        <w:t xml:space="preserve"> </w:t>
      </w:r>
      <w:r w:rsidR="00DA59BB" w:rsidRPr="00791EFA">
        <w:rPr>
          <w:rFonts w:ascii="Garamond" w:eastAsia="Garamond" w:hAnsi="Garamond" w:cs="Times New Roman"/>
          <w:sz w:val="24"/>
          <w:szCs w:val="24"/>
        </w:rPr>
        <w:t>197</w:t>
      </w:r>
      <w:r w:rsidR="009A2BAB" w:rsidRPr="00791EFA">
        <w:rPr>
          <w:rFonts w:ascii="Garamond" w:eastAsia="Garamond" w:hAnsi="Garamond" w:cs="Times New Roman"/>
          <w:sz w:val="24"/>
          <w:szCs w:val="24"/>
        </w:rPr>
        <w:t>8</w:t>
      </w:r>
      <w:r w:rsidR="008D6D8B" w:rsidRPr="00791EFA">
        <w:rPr>
          <w:rFonts w:ascii="Garamond" w:eastAsia="Garamond" w:hAnsi="Garamond" w:cs="Times New Roman"/>
          <w:sz w:val="24"/>
          <w:szCs w:val="24"/>
        </w:rPr>
        <w:t>), sampl</w:t>
      </w:r>
      <w:r w:rsidRPr="00791EFA">
        <w:rPr>
          <w:rFonts w:ascii="Garamond" w:eastAsia="Garamond" w:hAnsi="Garamond" w:cs="Times New Roman"/>
          <w:sz w:val="24"/>
          <w:szCs w:val="24"/>
        </w:rPr>
        <w:t>ing</w:t>
      </w:r>
      <w:r w:rsidR="008D6D8B" w:rsidRPr="00791EFA">
        <w:rPr>
          <w:rFonts w:ascii="Garamond" w:eastAsia="Garamond" w:hAnsi="Garamond" w:cs="Times New Roman"/>
          <w:sz w:val="24"/>
          <w:szCs w:val="24"/>
        </w:rPr>
        <w:t xml:space="preserve"> from a probability distribution (any Bayesian), detect</w:t>
      </w:r>
      <w:r w:rsidRPr="00791EFA">
        <w:rPr>
          <w:rFonts w:ascii="Garamond" w:eastAsia="Garamond" w:hAnsi="Garamond" w:cs="Times New Roman"/>
          <w:sz w:val="24"/>
          <w:szCs w:val="24"/>
        </w:rPr>
        <w:t>ing</w:t>
      </w:r>
      <w:r w:rsidR="008D6D8B" w:rsidRPr="00791EFA">
        <w:rPr>
          <w:rFonts w:ascii="Garamond" w:eastAsia="Garamond" w:hAnsi="Garamond" w:cs="Times New Roman"/>
          <w:sz w:val="24"/>
          <w:szCs w:val="24"/>
        </w:rPr>
        <w:t xml:space="preserve"> probable kin (Lieberman et al.</w:t>
      </w:r>
      <w:r w:rsidR="00B82EE0" w:rsidRPr="00791EFA">
        <w:rPr>
          <w:rFonts w:ascii="Garamond" w:eastAsia="Garamond" w:hAnsi="Garamond" w:cs="Times New Roman"/>
          <w:sz w:val="24"/>
          <w:szCs w:val="24"/>
        </w:rPr>
        <w:t>,</w:t>
      </w:r>
      <w:r w:rsidR="008D6D8B" w:rsidRPr="00791EFA">
        <w:rPr>
          <w:rFonts w:ascii="Garamond" w:eastAsia="Garamond" w:hAnsi="Garamond" w:cs="Times New Roman"/>
          <w:sz w:val="24"/>
          <w:szCs w:val="24"/>
        </w:rPr>
        <w:t xml:space="preserve"> 200</w:t>
      </w:r>
      <w:r w:rsidR="002564DF" w:rsidRPr="00791EFA">
        <w:rPr>
          <w:rFonts w:ascii="Garamond" w:eastAsia="Garamond" w:hAnsi="Garamond" w:cs="Times New Roman"/>
          <w:sz w:val="24"/>
          <w:szCs w:val="24"/>
        </w:rPr>
        <w:t>7</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making moral judgments (Mikhail</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2011), and</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doing simple arithmetic (Dehaene</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w:t>
      </w:r>
      <w:r w:rsidR="008611C4" w:rsidRPr="00791EFA">
        <w:rPr>
          <w:rFonts w:ascii="Garamond" w:eastAsia="Garamond" w:hAnsi="Garamond" w:cs="Times New Roman"/>
          <w:sz w:val="24"/>
          <w:szCs w:val="24"/>
        </w:rPr>
        <w:t>2011</w:t>
      </w:r>
      <w:r w:rsidRPr="00791EFA">
        <w:rPr>
          <w:rFonts w:ascii="Garamond" w:eastAsia="Garamond" w:hAnsi="Garamond" w:cs="Times New Roman"/>
          <w:sz w:val="24"/>
          <w:szCs w:val="24"/>
        </w:rPr>
        <w:t>)</w:t>
      </w:r>
      <w:r w:rsidR="008D6D8B" w:rsidRPr="00791EFA">
        <w:rPr>
          <w:rFonts w:ascii="Garamond" w:eastAsia="Garamond" w:hAnsi="Garamond" w:cs="Times New Roman"/>
          <w:sz w:val="24"/>
          <w:szCs w:val="24"/>
        </w:rPr>
        <w:t>. Getting from thought A to thought B sometimes takes the form of a deductive, logical argument (</w:t>
      </w:r>
      <w:r w:rsidR="00C900C8" w:rsidRPr="00791EFA">
        <w:rPr>
          <w:rFonts w:ascii="Garamond" w:eastAsia="Garamond" w:hAnsi="Garamond" w:cs="Times New Roman"/>
          <w:sz w:val="24"/>
          <w:szCs w:val="24"/>
        </w:rPr>
        <w:t>Braine &amp; O’Brien</w:t>
      </w:r>
      <w:r w:rsidR="00B82EE0" w:rsidRPr="00791EFA">
        <w:rPr>
          <w:rFonts w:ascii="Garamond" w:eastAsia="Garamond" w:hAnsi="Garamond" w:cs="Times New Roman"/>
          <w:sz w:val="24"/>
          <w:szCs w:val="24"/>
        </w:rPr>
        <w:t>,</w:t>
      </w:r>
      <w:r w:rsidR="00C900C8" w:rsidRPr="00791EFA">
        <w:rPr>
          <w:rFonts w:ascii="Garamond" w:eastAsia="Garamond" w:hAnsi="Garamond" w:cs="Times New Roman"/>
          <w:sz w:val="24"/>
          <w:szCs w:val="24"/>
        </w:rPr>
        <w:t xml:space="preserve"> 1998</w:t>
      </w:r>
      <w:r w:rsidR="008D6D8B" w:rsidRPr="00791EFA">
        <w:rPr>
          <w:rFonts w:ascii="Garamond" w:eastAsia="Garamond" w:hAnsi="Garamond" w:cs="Times New Roman"/>
          <w:sz w:val="24"/>
          <w:szCs w:val="24"/>
        </w:rPr>
        <w:t>), but sometimes does not. One can think without utilizing full thoughts</w:t>
      </w:r>
      <w:r w:rsidRPr="00791EFA">
        <w:rPr>
          <w:rFonts w:ascii="Garamond" w:eastAsia="Garamond" w:hAnsi="Garamond" w:cs="Times New Roman"/>
          <w:sz w:val="24"/>
          <w:szCs w:val="24"/>
        </w:rPr>
        <w:t>, for example.</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A t</w:t>
      </w:r>
      <w:r w:rsidR="008D6D8B" w:rsidRPr="00791EFA">
        <w:rPr>
          <w:rFonts w:ascii="Garamond" w:eastAsia="Garamond" w:hAnsi="Garamond" w:cs="Times New Roman"/>
          <w:sz w:val="24"/>
          <w:szCs w:val="24"/>
        </w:rPr>
        <w:t xml:space="preserve">hought </w:t>
      </w:r>
      <w:r w:rsidRPr="00791EFA">
        <w:rPr>
          <w:rFonts w:ascii="Garamond" w:eastAsia="Garamond" w:hAnsi="Garamond" w:cs="Times New Roman"/>
          <w:sz w:val="24"/>
          <w:szCs w:val="24"/>
        </w:rPr>
        <w:t xml:space="preserve">like </w:t>
      </w:r>
      <w:r w:rsidR="008D6D8B" w:rsidRPr="00791EFA">
        <w:rPr>
          <w:rFonts w:ascii="Garamond" w:eastAsia="Garamond" w:hAnsi="Garamond" w:cs="Times New Roman"/>
          <w:sz w:val="24"/>
          <w:szCs w:val="24"/>
        </w:rPr>
        <w:t xml:space="preserve">DONALD TRUMP IS THE PRESIDENT may lead </w:t>
      </w:r>
      <w:r w:rsidR="00F23473" w:rsidRPr="00791EFA">
        <w:rPr>
          <w:rFonts w:ascii="Garamond" w:eastAsia="Garamond" w:hAnsi="Garamond" w:cs="Times New Roman"/>
          <w:sz w:val="24"/>
          <w:szCs w:val="24"/>
        </w:rPr>
        <w:t xml:space="preserve">you </w:t>
      </w:r>
      <w:r w:rsidR="008D6D8B" w:rsidRPr="00791EFA">
        <w:rPr>
          <w:rFonts w:ascii="Garamond" w:eastAsia="Garamond" w:hAnsi="Garamond" w:cs="Times New Roman"/>
          <w:sz w:val="24"/>
          <w:szCs w:val="24"/>
        </w:rPr>
        <w:t>to think SOMEONE IS THE PRESIDENT</w:t>
      </w:r>
      <w:r w:rsidR="00F23473" w:rsidRPr="00791EFA">
        <w:rPr>
          <w:rFonts w:ascii="Garamond" w:eastAsia="Garamond" w:hAnsi="Garamond" w:cs="Times New Roman"/>
          <w:sz w:val="24"/>
          <w:szCs w:val="24"/>
        </w:rPr>
        <w:t xml:space="preserve">; but, depending on your temperament, it </w:t>
      </w:r>
      <w:r w:rsidR="00C900C8" w:rsidRPr="00791EFA">
        <w:rPr>
          <w:rFonts w:ascii="Garamond" w:eastAsia="Garamond" w:hAnsi="Garamond" w:cs="Times New Roman"/>
          <w:sz w:val="24"/>
          <w:szCs w:val="24"/>
        </w:rPr>
        <w:t>might</w:t>
      </w:r>
      <w:r w:rsidR="00F23473" w:rsidRPr="00791EFA">
        <w:rPr>
          <w:rFonts w:ascii="Garamond" w:eastAsia="Garamond" w:hAnsi="Garamond" w:cs="Times New Roman"/>
          <w:sz w:val="24"/>
          <w:szCs w:val="24"/>
        </w:rPr>
        <w:t xml:space="preserve"> lead you simply to </w:t>
      </w:r>
      <w:r w:rsidR="008D6D8B" w:rsidRPr="00791EFA">
        <w:rPr>
          <w:rFonts w:ascii="Garamond" w:eastAsia="Garamond" w:hAnsi="Garamond" w:cs="Times New Roman"/>
          <w:sz w:val="24"/>
          <w:szCs w:val="24"/>
        </w:rPr>
        <w:t xml:space="preserve">contemplate the abyss, which may just amount to thinking about the abyss as such and nothing more (that is, merely tokening </w:t>
      </w:r>
      <w:r w:rsidR="00F23473" w:rsidRPr="00791EFA">
        <w:rPr>
          <w:rFonts w:ascii="Garamond" w:eastAsia="Garamond" w:hAnsi="Garamond" w:cs="Times New Roman"/>
          <w:sz w:val="24"/>
          <w:szCs w:val="24"/>
        </w:rPr>
        <w:t xml:space="preserve">the concept </w:t>
      </w:r>
      <w:r w:rsidR="008D6D8B" w:rsidRPr="00791EFA">
        <w:rPr>
          <w:rFonts w:ascii="Garamond" w:eastAsia="Garamond" w:hAnsi="Garamond" w:cs="Times New Roman"/>
          <w:sz w:val="24"/>
          <w:szCs w:val="24"/>
        </w:rPr>
        <w:t>THE ABYSS).</w:t>
      </w:r>
    </w:p>
    <w:p w14:paraId="161979F3" w14:textId="53AF5314" w:rsidR="00595C1E" w:rsidRPr="00791EFA" w:rsidRDefault="00F23473" w:rsidP="00AD4BEF">
      <w:pPr>
        <w:spacing w:line="480" w:lineRule="auto"/>
        <w:ind w:firstLine="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A completed theory of thinking should exhibit full generality, capturing thought in all its various forms. One part of this theory concerns </w:t>
      </w:r>
      <w:r w:rsidR="00C900C8" w:rsidRPr="00791EFA">
        <w:rPr>
          <w:rFonts w:ascii="Garamond" w:eastAsia="Garamond" w:hAnsi="Garamond" w:cs="Times New Roman"/>
          <w:sz w:val="24"/>
          <w:szCs w:val="24"/>
        </w:rPr>
        <w:t xml:space="preserve">logical </w:t>
      </w:r>
      <w:r w:rsidRPr="00791EFA">
        <w:rPr>
          <w:rFonts w:ascii="Garamond" w:eastAsia="Garamond" w:hAnsi="Garamond" w:cs="Times New Roman"/>
          <w:sz w:val="24"/>
          <w:szCs w:val="24"/>
        </w:rPr>
        <w:t xml:space="preserve">inferential transitions like the move from </w:t>
      </w:r>
      <w:r w:rsidRPr="00791EFA">
        <w:rPr>
          <w:rFonts w:ascii="Garamond" w:eastAsia="Garamond" w:hAnsi="Garamond" w:cs="Times New Roman"/>
          <w:smallCaps/>
          <w:sz w:val="24"/>
          <w:szCs w:val="24"/>
        </w:rPr>
        <w:t>it</w:t>
      </w:r>
      <w:r w:rsidR="004418F8" w:rsidRPr="00791EFA">
        <w:rPr>
          <w:rFonts w:ascii="Garamond" w:eastAsia="Garamond" w:hAnsi="Garamond" w:cs="Times New Roman"/>
          <w:smallCaps/>
          <w:sz w:val="24"/>
          <w:szCs w:val="24"/>
        </w:rPr>
        <w:t xml:space="preserve"> </w:t>
      </w:r>
      <w:r w:rsidR="004418F8" w:rsidRPr="00791EFA">
        <w:rPr>
          <w:rFonts w:ascii="Garamond" w:eastAsia="Garamond" w:hAnsi="Garamond" w:cs="Times New Roman"/>
          <w:smallCaps/>
          <w:sz w:val="24"/>
          <w:szCs w:val="24"/>
        </w:rPr>
        <w:lastRenderedPageBreak/>
        <w:t>i</w:t>
      </w:r>
      <w:r w:rsidRPr="00791EFA">
        <w:rPr>
          <w:rFonts w:ascii="Garamond" w:eastAsia="Garamond" w:hAnsi="Garamond" w:cs="Times New Roman"/>
          <w:smallCaps/>
          <w:sz w:val="24"/>
          <w:szCs w:val="24"/>
        </w:rPr>
        <w:t>s raining</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if it</w:t>
      </w:r>
      <w:r w:rsidR="004418F8" w:rsidRPr="00791EFA">
        <w:rPr>
          <w:rFonts w:ascii="Garamond" w:eastAsia="Garamond" w:hAnsi="Garamond" w:cs="Times New Roman"/>
          <w:smallCaps/>
          <w:sz w:val="24"/>
          <w:szCs w:val="24"/>
        </w:rPr>
        <w:t xml:space="preserve"> i</w:t>
      </w:r>
      <w:r w:rsidRPr="00791EFA">
        <w:rPr>
          <w:rFonts w:ascii="Garamond" w:eastAsia="Garamond" w:hAnsi="Garamond" w:cs="Times New Roman"/>
          <w:smallCaps/>
          <w:sz w:val="24"/>
          <w:szCs w:val="24"/>
        </w:rPr>
        <w:t xml:space="preserve">s raining then the game is cancelled </w:t>
      </w:r>
      <w:r w:rsidRPr="00791EFA">
        <w:rPr>
          <w:rFonts w:ascii="Garamond" w:eastAsia="Garamond" w:hAnsi="Garamond" w:cs="Times New Roman"/>
          <w:sz w:val="24"/>
          <w:szCs w:val="24"/>
        </w:rPr>
        <w:t xml:space="preserve">to </w:t>
      </w:r>
      <w:r w:rsidRPr="00791EFA">
        <w:rPr>
          <w:rFonts w:ascii="Garamond" w:eastAsia="Garamond" w:hAnsi="Garamond" w:cs="Times New Roman"/>
          <w:smallCaps/>
          <w:sz w:val="24"/>
          <w:szCs w:val="24"/>
        </w:rPr>
        <w:t>the game is cancelled</w:t>
      </w:r>
      <w:r w:rsidRPr="00791EFA">
        <w:rPr>
          <w:rFonts w:ascii="Garamond" w:eastAsia="Garamond" w:hAnsi="Garamond" w:cs="Times New Roman"/>
          <w:sz w:val="24"/>
          <w:szCs w:val="24"/>
        </w:rPr>
        <w:t>.</w:t>
      </w:r>
      <w:r w:rsidRPr="00791EFA">
        <w:rPr>
          <w:rFonts w:ascii="Garamond" w:eastAsia="Garamond" w:hAnsi="Garamond" w:cs="Times New Roman"/>
          <w:smallCaps/>
          <w:sz w:val="24"/>
          <w:szCs w:val="24"/>
        </w:rPr>
        <w:t xml:space="preserve"> </w:t>
      </w:r>
      <w:r w:rsidR="008D6D8B" w:rsidRPr="00791EFA">
        <w:rPr>
          <w:rFonts w:ascii="Garamond" w:eastAsia="Garamond" w:hAnsi="Garamond" w:cs="Times New Roman"/>
          <w:sz w:val="24"/>
          <w:szCs w:val="24"/>
        </w:rPr>
        <w:t>W</w:t>
      </w:r>
      <w:r w:rsidRPr="00791EFA">
        <w:rPr>
          <w:rFonts w:ascii="Garamond" w:eastAsia="Garamond" w:hAnsi="Garamond" w:cs="Times New Roman"/>
          <w:sz w:val="24"/>
          <w:szCs w:val="24"/>
        </w:rPr>
        <w:t>ith respect to inference proper, w</w:t>
      </w:r>
      <w:r w:rsidR="008D6D8B" w:rsidRPr="00791EFA">
        <w:rPr>
          <w:rFonts w:ascii="Garamond" w:eastAsia="Garamond" w:hAnsi="Garamond" w:cs="Times New Roman"/>
          <w:sz w:val="24"/>
          <w:szCs w:val="24"/>
        </w:rPr>
        <w:t xml:space="preserve">e think there is something special about constituent structure. </w:t>
      </w:r>
      <w:r w:rsidRPr="00791EFA">
        <w:rPr>
          <w:rFonts w:ascii="Garamond" w:eastAsia="Garamond" w:hAnsi="Garamond" w:cs="Times New Roman"/>
          <w:sz w:val="24"/>
          <w:szCs w:val="24"/>
        </w:rPr>
        <w:t>I</w:t>
      </w:r>
      <w:r w:rsidR="008D6D8B" w:rsidRPr="00791EFA">
        <w:rPr>
          <w:rFonts w:ascii="Garamond" w:eastAsia="Garamond" w:hAnsi="Garamond" w:cs="Times New Roman"/>
          <w:sz w:val="24"/>
          <w:szCs w:val="24"/>
        </w:rPr>
        <w:t>nferential transitions</w:t>
      </w:r>
      <w:r w:rsidRPr="00791EFA">
        <w:rPr>
          <w:rFonts w:ascii="Garamond" w:eastAsia="Garamond" w:hAnsi="Garamond" w:cs="Times New Roman"/>
          <w:sz w:val="24"/>
          <w:szCs w:val="24"/>
        </w:rPr>
        <w:t xml:space="preserve"> occur</w:t>
      </w:r>
      <w:r w:rsidR="008D6D8B" w:rsidRPr="00791EFA">
        <w:rPr>
          <w:rFonts w:ascii="Garamond" w:eastAsia="Garamond" w:hAnsi="Garamond" w:cs="Times New Roman"/>
          <w:sz w:val="24"/>
          <w:szCs w:val="24"/>
        </w:rPr>
        <w:t xml:space="preserve"> between thoughts based on rules that are built into the architecture of</w:t>
      </w:r>
      <w:r w:rsidRPr="00791EFA">
        <w:rPr>
          <w:rFonts w:ascii="Garamond" w:eastAsia="Garamond" w:hAnsi="Garamond" w:cs="Times New Roman"/>
          <w:sz w:val="24"/>
          <w:szCs w:val="24"/>
        </w:rPr>
        <w:t xml:space="preserve"> the mind and specify types of constituent structure (such as </w:t>
      </w:r>
      <w:r w:rsidR="007953A6" w:rsidRPr="00791EFA">
        <w:rPr>
          <w:rFonts w:ascii="Garamond" w:eastAsia="Garamond" w:hAnsi="Garamond" w:cs="Times New Roman"/>
          <w:i/>
          <w:sz w:val="24"/>
          <w:szCs w:val="24"/>
        </w:rPr>
        <w:t>If [</w:t>
      </w:r>
      <w:r w:rsidR="007953A6" w:rsidRPr="00791EFA">
        <w:rPr>
          <w:rFonts w:ascii="Garamond" w:eastAsia="Garamond" w:hAnsi="Garamond" w:cs="Times New Roman"/>
          <w:i/>
          <w:smallCaps/>
          <w:sz w:val="24"/>
          <w:szCs w:val="24"/>
        </w:rPr>
        <w:t>p</w:t>
      </w:r>
      <w:r w:rsidR="007953A6" w:rsidRPr="00791EFA">
        <w:rPr>
          <w:rFonts w:ascii="Garamond" w:eastAsia="Garamond" w:hAnsi="Garamond" w:cs="Times New Roman"/>
          <w:i/>
          <w:sz w:val="24"/>
          <w:szCs w:val="24"/>
        </w:rPr>
        <w:t>] and</w:t>
      </w:r>
      <w:r w:rsidRPr="00791EFA">
        <w:rPr>
          <w:rFonts w:ascii="Garamond" w:eastAsia="Garamond" w:hAnsi="Garamond" w:cs="Times New Roman"/>
          <w:i/>
          <w:sz w:val="24"/>
          <w:szCs w:val="24"/>
        </w:rPr>
        <w:t xml:space="preserve"> </w:t>
      </w:r>
      <w:r w:rsidR="007953A6" w:rsidRPr="00791EFA">
        <w:rPr>
          <w:rFonts w:ascii="Garamond" w:eastAsia="Garamond" w:hAnsi="Garamond" w:cs="Times New Roman"/>
          <w:i/>
          <w:sz w:val="24"/>
          <w:szCs w:val="24"/>
        </w:rPr>
        <w:t>[</w:t>
      </w:r>
      <w:r w:rsidR="007953A6" w:rsidRPr="00791EFA">
        <w:rPr>
          <w:rFonts w:ascii="Garamond" w:eastAsia="Garamond" w:hAnsi="Garamond" w:cs="Times New Roman"/>
          <w:i/>
          <w:smallCaps/>
          <w:sz w:val="24"/>
          <w:szCs w:val="24"/>
        </w:rPr>
        <w:t>if p then q</w:t>
      </w:r>
      <w:r w:rsidR="007953A6" w:rsidRPr="00791EFA">
        <w:rPr>
          <w:rFonts w:ascii="Garamond" w:eastAsia="Garamond" w:hAnsi="Garamond" w:cs="Times New Roman"/>
          <w:i/>
          <w:sz w:val="24"/>
          <w:szCs w:val="24"/>
        </w:rPr>
        <w:t>]</w:t>
      </w:r>
      <w:r w:rsidRPr="00791EFA">
        <w:rPr>
          <w:rFonts w:ascii="Garamond" w:eastAsia="Garamond" w:hAnsi="Garamond" w:cs="Times New Roman"/>
          <w:i/>
          <w:sz w:val="24"/>
          <w:szCs w:val="24"/>
        </w:rPr>
        <w:t xml:space="preserve"> then </w:t>
      </w:r>
      <w:r w:rsidR="007953A6" w:rsidRPr="00791EFA">
        <w:rPr>
          <w:rFonts w:ascii="Garamond" w:eastAsia="Garamond" w:hAnsi="Garamond" w:cs="Times New Roman"/>
          <w:i/>
          <w:smallCaps/>
          <w:sz w:val="24"/>
          <w:szCs w:val="24"/>
        </w:rPr>
        <w:t>[q]</w:t>
      </w:r>
      <w:r w:rsidRPr="00791EFA">
        <w:rPr>
          <w:rFonts w:ascii="Garamond" w:eastAsia="Garamond" w:hAnsi="Garamond" w:cs="Times New Roman"/>
          <w:sz w:val="24"/>
          <w:szCs w:val="24"/>
        </w:rPr>
        <w:t>)</w:t>
      </w:r>
      <w:r w:rsidR="008D6D8B"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We’ve argued elsewhere for this view of inference (Quilty-Dunn &amp; Mandelbaum</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2017).</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I</w:t>
      </w:r>
      <w:r w:rsidR="008D6D8B" w:rsidRPr="00791EFA">
        <w:rPr>
          <w:rFonts w:ascii="Garamond" w:eastAsia="Garamond" w:hAnsi="Garamond" w:cs="Times New Roman"/>
          <w:sz w:val="24"/>
          <w:szCs w:val="24"/>
        </w:rPr>
        <w:t xml:space="preserve">nference isn’t everything, </w:t>
      </w:r>
      <w:r w:rsidRPr="00791EFA">
        <w:rPr>
          <w:rFonts w:ascii="Garamond" w:eastAsia="Garamond" w:hAnsi="Garamond" w:cs="Times New Roman"/>
          <w:sz w:val="24"/>
          <w:szCs w:val="24"/>
        </w:rPr>
        <w:t xml:space="preserve">however, </w:t>
      </w:r>
      <w:r w:rsidR="008D6D8B" w:rsidRPr="00791EFA">
        <w:rPr>
          <w:rFonts w:ascii="Garamond" w:eastAsia="Garamond" w:hAnsi="Garamond" w:cs="Times New Roman"/>
          <w:sz w:val="24"/>
          <w:szCs w:val="24"/>
        </w:rPr>
        <w:t>and may</w:t>
      </w:r>
      <w:r w:rsidRPr="00791EFA">
        <w:rPr>
          <w:rFonts w:ascii="Garamond" w:eastAsia="Garamond" w:hAnsi="Garamond" w:cs="Times New Roman"/>
          <w:sz w:val="24"/>
          <w:szCs w:val="24"/>
        </w:rPr>
        <w:t xml:space="preserve"> indeed</w:t>
      </w:r>
      <w:r w:rsidR="008D6D8B"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ac</w:t>
      </w:r>
      <w:r w:rsidR="008D6D8B" w:rsidRPr="00791EFA">
        <w:rPr>
          <w:rFonts w:ascii="Garamond" w:eastAsia="Garamond" w:hAnsi="Garamond" w:cs="Times New Roman"/>
          <w:sz w:val="24"/>
          <w:szCs w:val="24"/>
        </w:rPr>
        <w:t xml:space="preserve">count for a small part of </w:t>
      </w:r>
      <w:r w:rsidRPr="00791EFA">
        <w:rPr>
          <w:rFonts w:ascii="Garamond" w:eastAsia="Garamond" w:hAnsi="Garamond" w:cs="Times New Roman"/>
          <w:sz w:val="24"/>
          <w:szCs w:val="24"/>
        </w:rPr>
        <w:t xml:space="preserve">our </w:t>
      </w:r>
      <w:r w:rsidR="008D6D8B" w:rsidRPr="00791EFA">
        <w:rPr>
          <w:rFonts w:ascii="Garamond" w:eastAsia="Garamond" w:hAnsi="Garamond" w:cs="Times New Roman"/>
          <w:sz w:val="24"/>
          <w:szCs w:val="24"/>
        </w:rPr>
        <w:t>mental li</w:t>
      </w:r>
      <w:r w:rsidRPr="00791EFA">
        <w:rPr>
          <w:rFonts w:ascii="Garamond" w:eastAsia="Garamond" w:hAnsi="Garamond" w:cs="Times New Roman"/>
          <w:sz w:val="24"/>
          <w:szCs w:val="24"/>
        </w:rPr>
        <w:t>v</w:t>
      </w:r>
      <w:r w:rsidR="008D6D8B" w:rsidRPr="00791EFA">
        <w:rPr>
          <w:rFonts w:ascii="Garamond" w:eastAsia="Garamond" w:hAnsi="Garamond" w:cs="Times New Roman"/>
          <w:sz w:val="24"/>
          <w:szCs w:val="24"/>
        </w:rPr>
        <w:t>e</w:t>
      </w:r>
      <w:r w:rsidRPr="00791EFA">
        <w:rPr>
          <w:rFonts w:ascii="Garamond" w:eastAsia="Garamond" w:hAnsi="Garamond" w:cs="Times New Roman"/>
          <w:sz w:val="24"/>
          <w:szCs w:val="24"/>
        </w:rPr>
        <w:t>s</w:t>
      </w:r>
      <w:r w:rsidR="008D6D8B" w:rsidRPr="00791EFA">
        <w:rPr>
          <w:rFonts w:ascii="Garamond" w:eastAsia="Garamond" w:hAnsi="Garamond" w:cs="Times New Roman"/>
          <w:sz w:val="24"/>
          <w:szCs w:val="24"/>
        </w:rPr>
        <w:t xml:space="preserve">. In this article we intend to account for types of transitions that look to be inference-like but, according to our account, aren’t </w:t>
      </w:r>
      <w:r w:rsidRPr="00791EFA">
        <w:rPr>
          <w:rFonts w:ascii="Garamond" w:eastAsia="Garamond" w:hAnsi="Garamond" w:cs="Times New Roman"/>
          <w:sz w:val="24"/>
          <w:szCs w:val="24"/>
        </w:rPr>
        <w:t xml:space="preserve">genuine </w:t>
      </w:r>
      <w:r w:rsidR="008D6D8B" w:rsidRPr="00791EFA">
        <w:rPr>
          <w:rFonts w:ascii="Garamond" w:eastAsia="Garamond" w:hAnsi="Garamond" w:cs="Times New Roman"/>
          <w:sz w:val="24"/>
          <w:szCs w:val="24"/>
        </w:rPr>
        <w:t>inference</w:t>
      </w:r>
      <w:r w:rsidRPr="00791EFA">
        <w:rPr>
          <w:rFonts w:ascii="Garamond" w:eastAsia="Garamond" w:hAnsi="Garamond" w:cs="Times New Roman"/>
          <w:sz w:val="24"/>
          <w:szCs w:val="24"/>
        </w:rPr>
        <w:t>s</w:t>
      </w:r>
      <w:r w:rsidR="008D6D8B" w:rsidRPr="00791EFA">
        <w:rPr>
          <w:rFonts w:ascii="Garamond" w:eastAsia="Garamond" w:hAnsi="Garamond" w:cs="Times New Roman"/>
          <w:sz w:val="24"/>
          <w:szCs w:val="24"/>
        </w:rPr>
        <w:t>.</w:t>
      </w:r>
      <w:r w:rsidR="007953A6" w:rsidRPr="00791EFA">
        <w:rPr>
          <w:rFonts w:ascii="Garamond" w:eastAsia="Garamond" w:hAnsi="Garamond" w:cs="Times New Roman"/>
          <w:sz w:val="24"/>
          <w:szCs w:val="24"/>
        </w:rPr>
        <w:t xml:space="preserve"> We’ll also consider the structure of association in more detail, which sheds light not only on associative transitions but on their rule-governed foils, both inferential and non-inferential.</w:t>
      </w:r>
      <w:r w:rsidR="008D6D8B" w:rsidRPr="00791EFA">
        <w:rPr>
          <w:rFonts w:ascii="Garamond" w:eastAsia="Garamond" w:hAnsi="Garamond" w:cs="Times New Roman"/>
          <w:sz w:val="24"/>
          <w:szCs w:val="24"/>
        </w:rPr>
        <w:t xml:space="preserve"> </w:t>
      </w:r>
      <w:r w:rsidR="00082320" w:rsidRPr="00791EFA">
        <w:rPr>
          <w:rFonts w:ascii="Garamond" w:eastAsia="Garamond" w:hAnsi="Garamond" w:cs="Times New Roman"/>
          <w:sz w:val="24"/>
          <w:szCs w:val="24"/>
        </w:rPr>
        <w:t xml:space="preserve">Providing an adequate, coherent theory of thinking requires that we </w:t>
      </w:r>
      <w:r w:rsidRPr="00791EFA">
        <w:rPr>
          <w:rFonts w:ascii="Garamond" w:eastAsia="Garamond" w:hAnsi="Garamond" w:cs="Times New Roman"/>
          <w:sz w:val="24"/>
          <w:szCs w:val="24"/>
        </w:rPr>
        <w:t xml:space="preserve">give an account of </w:t>
      </w:r>
      <w:r w:rsidR="007953A6" w:rsidRPr="00791EFA">
        <w:rPr>
          <w:rFonts w:ascii="Garamond" w:eastAsia="Garamond" w:hAnsi="Garamond" w:cs="Times New Roman"/>
          <w:sz w:val="24"/>
          <w:szCs w:val="24"/>
        </w:rPr>
        <w:t xml:space="preserve">all </w:t>
      </w:r>
      <w:r w:rsidRPr="00791EFA">
        <w:rPr>
          <w:rFonts w:ascii="Garamond" w:eastAsia="Garamond" w:hAnsi="Garamond" w:cs="Times New Roman"/>
          <w:sz w:val="24"/>
          <w:szCs w:val="24"/>
        </w:rPr>
        <w:t>these transitions</w:t>
      </w:r>
      <w:r w:rsidR="008D6D8B" w:rsidRPr="00791EFA">
        <w:rPr>
          <w:rFonts w:ascii="Garamond" w:eastAsia="Garamond" w:hAnsi="Garamond" w:cs="Times New Roman"/>
          <w:sz w:val="24"/>
          <w:szCs w:val="24"/>
        </w:rPr>
        <w:t>. We aim to undertake this project, thereby providing a short (</w:t>
      </w:r>
      <w:r w:rsidR="007953A6" w:rsidRPr="00791EFA">
        <w:rPr>
          <w:rFonts w:ascii="Garamond" w:eastAsia="Garamond" w:hAnsi="Garamond" w:cs="Times New Roman"/>
          <w:sz w:val="24"/>
          <w:szCs w:val="24"/>
        </w:rPr>
        <w:t xml:space="preserve">and </w:t>
      </w:r>
      <w:r w:rsidR="008D6D8B" w:rsidRPr="00791EFA">
        <w:rPr>
          <w:rFonts w:ascii="Garamond" w:eastAsia="Garamond" w:hAnsi="Garamond" w:cs="Times New Roman"/>
          <w:sz w:val="24"/>
          <w:szCs w:val="24"/>
        </w:rPr>
        <w:t>surely incomplete) taxonomy of types of mental transitions here.</w:t>
      </w:r>
    </w:p>
    <w:p w14:paraId="44B12679" w14:textId="2DADFCD1" w:rsidR="007953A6" w:rsidRPr="00791EFA" w:rsidRDefault="009166B2" w:rsidP="00C86BD1">
      <w:pPr>
        <w:spacing w:after="120" w:line="480" w:lineRule="auto"/>
        <w:contextualSpacing/>
        <w:jc w:val="both"/>
        <w:rPr>
          <w:rFonts w:ascii="Garamond" w:eastAsia="Garamond" w:hAnsi="Garamond" w:cs="Times New Roman"/>
          <w:b/>
          <w:sz w:val="24"/>
          <w:szCs w:val="24"/>
        </w:rPr>
      </w:pPr>
      <w:r w:rsidRPr="00791EFA">
        <w:rPr>
          <w:rFonts w:ascii="Garamond" w:eastAsia="Garamond" w:hAnsi="Garamond" w:cs="Times New Roman"/>
          <w:b/>
          <w:bCs/>
          <w:sz w:val="24"/>
          <w:szCs w:val="24"/>
        </w:rPr>
        <w:t>§</w:t>
      </w:r>
      <w:r w:rsidR="003D133A" w:rsidRPr="00791EFA">
        <w:rPr>
          <w:rFonts w:ascii="Garamond" w:eastAsia="Garamond" w:hAnsi="Garamond" w:cs="Times New Roman"/>
          <w:b/>
          <w:sz w:val="24"/>
          <w:szCs w:val="24"/>
        </w:rPr>
        <w:t>2</w:t>
      </w:r>
      <w:r w:rsidR="007953A6" w:rsidRPr="00791EFA">
        <w:rPr>
          <w:rFonts w:ascii="Garamond" w:eastAsia="Garamond" w:hAnsi="Garamond" w:cs="Times New Roman"/>
          <w:b/>
          <w:sz w:val="24"/>
          <w:szCs w:val="24"/>
        </w:rPr>
        <w:t>: Content-Specificity and Inference</w:t>
      </w:r>
    </w:p>
    <w:p w14:paraId="6A6813A6" w14:textId="712E6034" w:rsidR="00595C1E" w:rsidRPr="00791EFA" w:rsidRDefault="008D6D8B" w:rsidP="00C86BD1">
      <w:pPr>
        <w:spacing w:after="120" w:line="480" w:lineRule="auto"/>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Let’s start with a quick overview of our </w:t>
      </w:r>
      <w:r w:rsidR="007953A6" w:rsidRPr="00791EFA">
        <w:rPr>
          <w:rFonts w:ascii="Garamond" w:eastAsia="Garamond" w:hAnsi="Garamond" w:cs="Times New Roman"/>
          <w:sz w:val="24"/>
          <w:szCs w:val="24"/>
        </w:rPr>
        <w:t>theory</w:t>
      </w:r>
      <w:r w:rsidRPr="00791EFA">
        <w:rPr>
          <w:rFonts w:ascii="Garamond" w:eastAsia="Garamond" w:hAnsi="Garamond" w:cs="Times New Roman"/>
          <w:sz w:val="24"/>
          <w:szCs w:val="24"/>
        </w:rPr>
        <w:t>. The fundamental case of inference, what we termed BITs (for Bare Inferential Transitions) was characterized as follows:</w:t>
      </w:r>
    </w:p>
    <w:p w14:paraId="25AFBA19" w14:textId="28CA9D89" w:rsidR="00595C1E" w:rsidRPr="00791EFA" w:rsidRDefault="004710CA" w:rsidP="00C86BD1">
      <w:pPr>
        <w:spacing w:after="120" w:line="480" w:lineRule="auto"/>
        <w:ind w:left="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The</w:t>
      </w:r>
      <w:r w:rsidR="008D6D8B" w:rsidRPr="00791EFA">
        <w:rPr>
          <w:rFonts w:ascii="Garamond" w:eastAsia="Garamond" w:hAnsi="Garamond" w:cs="Times New Roman"/>
          <w:sz w:val="24"/>
          <w:szCs w:val="24"/>
        </w:rPr>
        <w:t xml:space="preserve"> transition from state A to state B is inferential iff (i) A and B are discursive, (ii) some rule is built into the architecture such that A satisfies its antecedent in virtue of A’s constituent structure and B satisfies its consequent in virtue of B’s constituent structure (</w:t>
      </w:r>
      <w:r w:rsidR="008D6D8B" w:rsidRPr="00791EFA">
        <w:rPr>
          <w:rFonts w:ascii="Garamond" w:eastAsia="Garamond" w:hAnsi="Garamond" w:cs="Times New Roman"/>
          <w:i/>
          <w:sz w:val="24"/>
          <w:szCs w:val="24"/>
        </w:rPr>
        <w:t>modulo</w:t>
      </w:r>
      <w:r w:rsidR="008D6D8B" w:rsidRPr="00791EFA">
        <w:rPr>
          <w:rFonts w:ascii="Garamond" w:eastAsia="Garamond" w:hAnsi="Garamond" w:cs="Times New Roman"/>
          <w:sz w:val="24"/>
          <w:szCs w:val="24"/>
        </w:rPr>
        <w:t xml:space="preserve"> logical constants), and (iii) there is no intervening factor responsible for the transition from A to B. (</w:t>
      </w:r>
      <w:r w:rsidR="00C900C8" w:rsidRPr="00791EFA">
        <w:rPr>
          <w:rFonts w:ascii="Garamond" w:eastAsia="Garamond" w:hAnsi="Garamond" w:cs="Times New Roman"/>
          <w:sz w:val="24"/>
          <w:szCs w:val="24"/>
        </w:rPr>
        <w:t>Quilty-Dunn &amp; Mandelbaum</w:t>
      </w:r>
      <w:r w:rsidR="00B82EE0" w:rsidRPr="00791EFA">
        <w:rPr>
          <w:rFonts w:ascii="Garamond" w:eastAsia="Garamond" w:hAnsi="Garamond" w:cs="Times New Roman"/>
          <w:sz w:val="24"/>
          <w:szCs w:val="24"/>
        </w:rPr>
        <w:t>,</w:t>
      </w:r>
      <w:r w:rsidR="00C900C8" w:rsidRPr="00791EFA">
        <w:rPr>
          <w:rFonts w:ascii="Garamond" w:eastAsia="Garamond" w:hAnsi="Garamond" w:cs="Times New Roman"/>
          <w:sz w:val="24"/>
          <w:szCs w:val="24"/>
        </w:rPr>
        <w:t xml:space="preserve"> </w:t>
      </w:r>
      <w:r w:rsidR="008D6D8B" w:rsidRPr="00791EFA">
        <w:rPr>
          <w:rFonts w:ascii="Garamond" w:eastAsia="Garamond" w:hAnsi="Garamond" w:cs="Times New Roman"/>
          <w:sz w:val="24"/>
          <w:szCs w:val="24"/>
        </w:rPr>
        <w:t>2017</w:t>
      </w:r>
      <w:r w:rsidR="00C900C8"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8</w:t>
      </w:r>
      <w:r w:rsidR="008D6D8B" w:rsidRPr="00791EFA">
        <w:rPr>
          <w:rFonts w:ascii="Garamond" w:eastAsia="Garamond" w:hAnsi="Garamond" w:cs="Times New Roman"/>
          <w:sz w:val="24"/>
          <w:szCs w:val="24"/>
        </w:rPr>
        <w:t>).</w:t>
      </w:r>
      <w:r w:rsidR="004653D9" w:rsidRPr="00791EFA">
        <w:rPr>
          <w:rFonts w:ascii="Garamond" w:eastAsia="Garamond" w:hAnsi="Garamond" w:cs="Times New Roman"/>
          <w:sz w:val="24"/>
          <w:szCs w:val="24"/>
          <w:vertAlign w:val="superscript"/>
        </w:rPr>
        <w:footnoteReference w:id="2"/>
      </w:r>
    </w:p>
    <w:p w14:paraId="618323CD" w14:textId="4D4A60B1" w:rsidR="00595C1E" w:rsidRPr="00791EFA" w:rsidRDefault="008D6D8B"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lastRenderedPageBreak/>
        <w:t>Discursiv</w:t>
      </w:r>
      <w:r w:rsidR="00FF29BA" w:rsidRPr="00791EFA">
        <w:rPr>
          <w:rFonts w:ascii="Garamond" w:eastAsia="Garamond" w:hAnsi="Garamond" w:cs="Times New Roman"/>
          <w:sz w:val="24"/>
          <w:szCs w:val="24"/>
        </w:rPr>
        <w:t>ity</w:t>
      </w:r>
      <w:r w:rsidRPr="00791EFA">
        <w:rPr>
          <w:rFonts w:ascii="Garamond" w:eastAsia="Garamond" w:hAnsi="Garamond" w:cs="Times New Roman"/>
          <w:sz w:val="24"/>
          <w:szCs w:val="24"/>
        </w:rPr>
        <w:t xml:space="preserve"> is central to this definition. This was, in part, to separate out two very different kinds of mental transition: association</w:t>
      </w:r>
      <w:r w:rsidR="00FF29BA" w:rsidRPr="00791EFA">
        <w:rPr>
          <w:rFonts w:ascii="Garamond" w:eastAsia="Garamond" w:hAnsi="Garamond" w:cs="Times New Roman"/>
          <w:sz w:val="24"/>
          <w:szCs w:val="24"/>
        </w:rPr>
        <w:t>s</w:t>
      </w:r>
      <w:r w:rsidRPr="00791EFA">
        <w:rPr>
          <w:rFonts w:ascii="Garamond" w:eastAsia="Garamond" w:hAnsi="Garamond" w:cs="Times New Roman"/>
          <w:sz w:val="24"/>
          <w:szCs w:val="24"/>
        </w:rPr>
        <w:t xml:space="preserve"> and inference</w:t>
      </w:r>
      <w:r w:rsidR="00FF29BA" w:rsidRPr="00791EFA">
        <w:rPr>
          <w:rFonts w:ascii="Garamond" w:eastAsia="Garamond" w:hAnsi="Garamond" w:cs="Times New Roman"/>
          <w:sz w:val="24"/>
          <w:szCs w:val="24"/>
        </w:rPr>
        <w:t>s</w:t>
      </w:r>
      <w:r w:rsidRPr="00791EFA">
        <w:rPr>
          <w:rFonts w:ascii="Garamond" w:eastAsia="Garamond" w:hAnsi="Garamond" w:cs="Times New Roman"/>
          <w:sz w:val="24"/>
          <w:szCs w:val="24"/>
        </w:rPr>
        <w:t>.</w:t>
      </w:r>
      <w:r w:rsidR="00FF29BA" w:rsidRPr="00791EFA">
        <w:rPr>
          <w:rFonts w:ascii="Garamond" w:eastAsia="Garamond" w:hAnsi="Garamond" w:cs="Times New Roman"/>
          <w:sz w:val="24"/>
          <w:szCs w:val="24"/>
        </w:rPr>
        <w:t xml:space="preserve"> We’ll say more about the difference between association and inference below.</w:t>
      </w:r>
      <w:r w:rsidRPr="00791EFA">
        <w:rPr>
          <w:rFonts w:ascii="Garamond" w:eastAsia="Garamond" w:hAnsi="Garamond" w:cs="Times New Roman"/>
          <w:sz w:val="24"/>
          <w:szCs w:val="24"/>
        </w:rPr>
        <w:t xml:space="preserve"> But one might wonder, aren’t there mental representations </w:t>
      </w:r>
      <w:r w:rsidR="00ED3761" w:rsidRPr="00791EFA">
        <w:rPr>
          <w:rFonts w:ascii="Garamond" w:eastAsia="Garamond" w:hAnsi="Garamond" w:cs="Times New Roman"/>
          <w:sz w:val="24"/>
          <w:szCs w:val="24"/>
        </w:rPr>
        <w:t xml:space="preserve">that </w:t>
      </w:r>
      <w:r w:rsidR="009A01AB" w:rsidRPr="00791EFA">
        <w:rPr>
          <w:rFonts w:ascii="Garamond" w:eastAsia="Garamond" w:hAnsi="Garamond" w:cs="Times New Roman"/>
          <w:sz w:val="24"/>
          <w:szCs w:val="24"/>
        </w:rPr>
        <w:t>are not discursive?</w:t>
      </w:r>
      <w:r w:rsidR="00C04320"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For instance, perhaps representations in perception (Carey</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2009</w:t>
      </w:r>
      <w:r w:rsidR="009C4DA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Burge</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2010</w:t>
      </w:r>
      <w:r w:rsidR="009C4DA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Block</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2014</w:t>
      </w:r>
      <w:r w:rsidR="009C4DA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Fodor</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w:t>
      </w:r>
      <w:r w:rsidR="00B71A55" w:rsidRPr="00791EFA">
        <w:rPr>
          <w:rFonts w:ascii="Garamond" w:eastAsia="Garamond" w:hAnsi="Garamond" w:cs="Times New Roman"/>
          <w:sz w:val="24"/>
          <w:szCs w:val="24"/>
        </w:rPr>
        <w:t>8</w:t>
      </w:r>
      <w:r w:rsidR="00623E1A"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or mental imagery (Kosslyn</w:t>
      </w:r>
      <w:r w:rsidR="00B82EE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1994) are iconic. Is it merely definitional that movements among them couldn’t be inferential? We’ll now look at how these kinds of transitions relate to inference.</w:t>
      </w:r>
    </w:p>
    <w:p w14:paraId="7CF8B791" w14:textId="147FC73F" w:rsidR="00E46E9E" w:rsidRPr="00791EFA" w:rsidRDefault="002D27BA" w:rsidP="00C86BD1">
      <w:pPr>
        <w:spacing w:after="120" w:line="480" w:lineRule="auto"/>
        <w:ind w:firstLine="720"/>
        <w:contextualSpacing/>
        <w:rPr>
          <w:rFonts w:ascii="Garamond" w:eastAsia="Calibri" w:hAnsi="Garamond" w:cs="Times New Roman"/>
          <w:color w:val="auto"/>
          <w:kern w:val="20"/>
          <w:sz w:val="24"/>
          <w:szCs w:val="24"/>
        </w:rPr>
      </w:pPr>
      <w:r w:rsidRPr="00791EFA">
        <w:rPr>
          <w:rFonts w:ascii="Garamond" w:eastAsia="Calibri" w:hAnsi="Garamond" w:cs="Times New Roman"/>
          <w:color w:val="auto"/>
          <w:kern w:val="20"/>
          <w:sz w:val="24"/>
          <w:szCs w:val="24"/>
        </w:rPr>
        <w:t xml:space="preserve">Sentences and pictures have different sorts of structures. A sentence like “This is a blue square” involves discrete constituents that pick out an individual object (“This”), a color (“blue”) and a shape (“square”). A picture of a blue square doesn’t have this sort of structure—parts of the picture correspond to parts of the square (i.e., icons are </w:t>
      </w:r>
      <w:r w:rsidRPr="00791EFA">
        <w:rPr>
          <w:rFonts w:ascii="Garamond" w:eastAsia="Calibri" w:hAnsi="Garamond" w:cs="Times New Roman"/>
          <w:i/>
          <w:color w:val="auto"/>
          <w:kern w:val="20"/>
          <w:sz w:val="24"/>
          <w:szCs w:val="24"/>
        </w:rPr>
        <w:t>structure-preserving</w:t>
      </w:r>
      <w:r w:rsidRPr="00791EFA">
        <w:rPr>
          <w:rFonts w:ascii="Garamond" w:eastAsia="Calibri" w:hAnsi="Garamond" w:cs="Times New Roman"/>
          <w:color w:val="auto"/>
          <w:kern w:val="20"/>
          <w:sz w:val="24"/>
          <w:szCs w:val="24"/>
        </w:rPr>
        <w:t xml:space="preserve">), and the same part of the representation that picks out the object simultaneously represents its color and shape (i.e., icons are </w:t>
      </w:r>
      <w:r w:rsidRPr="00791EFA">
        <w:rPr>
          <w:rFonts w:ascii="Garamond" w:eastAsia="Calibri" w:hAnsi="Garamond" w:cs="Times New Roman"/>
          <w:i/>
          <w:color w:val="auto"/>
          <w:kern w:val="20"/>
          <w:sz w:val="24"/>
          <w:szCs w:val="24"/>
        </w:rPr>
        <w:t>holistic</w:t>
      </w:r>
      <w:r w:rsidRPr="00791EFA">
        <w:rPr>
          <w:rFonts w:ascii="Garamond" w:eastAsia="Calibri" w:hAnsi="Garamond" w:cs="Times New Roman"/>
          <w:color w:val="auto"/>
          <w:kern w:val="20"/>
          <w:sz w:val="24"/>
          <w:szCs w:val="24"/>
        </w:rPr>
        <w:t>). Icons thus lack the constituent structure distinctive of discursive representations, which tend to be neither structure-preserving nor holistic (Kosslyn</w:t>
      </w:r>
      <w:r w:rsidR="00B82EE0" w:rsidRPr="00791EFA">
        <w:rPr>
          <w:rFonts w:ascii="Garamond" w:eastAsia="Calibri" w:hAnsi="Garamond" w:cs="Times New Roman"/>
          <w:color w:val="auto"/>
          <w:kern w:val="20"/>
          <w:sz w:val="24"/>
          <w:szCs w:val="24"/>
        </w:rPr>
        <w:t>,</w:t>
      </w:r>
      <w:r w:rsidRPr="00791EFA">
        <w:rPr>
          <w:rFonts w:ascii="Garamond" w:eastAsia="Calibri" w:hAnsi="Garamond" w:cs="Times New Roman"/>
          <w:color w:val="auto"/>
          <w:kern w:val="20"/>
          <w:sz w:val="24"/>
          <w:szCs w:val="24"/>
        </w:rPr>
        <w:t xml:space="preserve"> 1980; Fodor</w:t>
      </w:r>
      <w:r w:rsidR="00B82EE0" w:rsidRPr="00791EFA">
        <w:rPr>
          <w:rFonts w:ascii="Garamond" w:eastAsia="Calibri" w:hAnsi="Garamond" w:cs="Times New Roman"/>
          <w:color w:val="auto"/>
          <w:kern w:val="20"/>
          <w:sz w:val="24"/>
          <w:szCs w:val="24"/>
        </w:rPr>
        <w:t>,</w:t>
      </w:r>
      <w:r w:rsidRPr="00791EFA">
        <w:rPr>
          <w:rFonts w:ascii="Garamond" w:eastAsia="Calibri" w:hAnsi="Garamond" w:cs="Times New Roman"/>
          <w:color w:val="auto"/>
          <w:kern w:val="20"/>
          <w:sz w:val="24"/>
          <w:szCs w:val="24"/>
        </w:rPr>
        <w:t xml:space="preserve"> 2007). We’ll assume for the sake of argument that there are mental representations that are iconic in this sense, and that they’re used online in perception as well as offline in mental imagery (Quilty-Dunn</w:t>
      </w:r>
      <w:r w:rsidR="00B82EE0" w:rsidRPr="00791EFA">
        <w:rPr>
          <w:rFonts w:ascii="Garamond" w:eastAsia="Calibri" w:hAnsi="Garamond" w:cs="Times New Roman"/>
          <w:color w:val="auto"/>
          <w:kern w:val="20"/>
          <w:sz w:val="24"/>
          <w:szCs w:val="24"/>
        </w:rPr>
        <w:t>,</w:t>
      </w:r>
      <w:r w:rsidRPr="00791EFA">
        <w:rPr>
          <w:rFonts w:ascii="Garamond" w:eastAsia="Calibri" w:hAnsi="Garamond" w:cs="Times New Roman"/>
          <w:color w:val="auto"/>
          <w:kern w:val="20"/>
          <w:sz w:val="24"/>
          <w:szCs w:val="24"/>
        </w:rPr>
        <w:t xml:space="preserve"> </w:t>
      </w:r>
      <w:r w:rsidR="00CA205C" w:rsidRPr="00791EFA">
        <w:rPr>
          <w:rFonts w:ascii="Garamond" w:eastAsia="Calibri" w:hAnsi="Garamond" w:cs="Times New Roman"/>
          <w:color w:val="auto"/>
          <w:kern w:val="20"/>
          <w:sz w:val="24"/>
          <w:szCs w:val="24"/>
        </w:rPr>
        <w:t>forthcoming</w:t>
      </w:r>
      <w:r w:rsidRPr="00791EFA">
        <w:rPr>
          <w:rFonts w:ascii="Garamond" w:eastAsia="Calibri" w:hAnsi="Garamond" w:cs="Times New Roman"/>
          <w:color w:val="auto"/>
          <w:kern w:val="20"/>
          <w:sz w:val="24"/>
          <w:szCs w:val="24"/>
        </w:rPr>
        <w:t>).</w:t>
      </w:r>
    </w:p>
    <w:p w14:paraId="30220CB0" w14:textId="45E39BF6" w:rsidR="002D27BA" w:rsidRPr="00791EFA" w:rsidRDefault="002D27BA" w:rsidP="00C86BD1">
      <w:pPr>
        <w:spacing w:after="120" w:line="480" w:lineRule="auto"/>
        <w:ind w:firstLine="720"/>
        <w:contextualSpacing/>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Icons figure in computations. They can be mentally rotated, such that</w:t>
      </w:r>
      <w:r w:rsidR="002823C2" w:rsidRPr="00791EFA">
        <w:rPr>
          <w:rFonts w:ascii="Garamond" w:eastAsia="Calibri" w:hAnsi="Garamond" w:cs="Times New Roman"/>
          <w:color w:val="auto"/>
          <w:kern w:val="20"/>
          <w:sz w:val="24"/>
          <w:szCs w:val="24"/>
          <w:lang w:val="en-US"/>
        </w:rPr>
        <w:t xml:space="preserve"> the time needed to</w:t>
      </w:r>
      <w:r w:rsidRPr="00791EFA">
        <w:rPr>
          <w:rFonts w:ascii="Garamond" w:eastAsia="Calibri" w:hAnsi="Garamond" w:cs="Times New Roman"/>
          <w:color w:val="auto"/>
          <w:kern w:val="20"/>
          <w:sz w:val="24"/>
          <w:szCs w:val="24"/>
          <w:lang w:val="en-US"/>
        </w:rPr>
        <w:t xml:space="preserve"> identify a match between two objects at different orientations </w:t>
      </w:r>
      <w:r w:rsidR="002823C2" w:rsidRPr="00791EFA">
        <w:rPr>
          <w:rFonts w:ascii="Garamond" w:eastAsia="Calibri" w:hAnsi="Garamond" w:cs="Times New Roman"/>
          <w:color w:val="auto"/>
          <w:kern w:val="20"/>
          <w:sz w:val="24"/>
          <w:szCs w:val="24"/>
          <w:lang w:val="en-US"/>
        </w:rPr>
        <w:t>increase</w:t>
      </w:r>
      <w:r w:rsidR="00A927D2" w:rsidRPr="00791EFA">
        <w:rPr>
          <w:rFonts w:ascii="Garamond" w:eastAsia="Calibri" w:hAnsi="Garamond" w:cs="Times New Roman"/>
          <w:color w:val="auto"/>
          <w:kern w:val="20"/>
          <w:sz w:val="24"/>
          <w:szCs w:val="24"/>
          <w:lang w:val="en-US"/>
        </w:rPr>
        <w:t xml:space="preserve">s </w:t>
      </w:r>
      <w:r w:rsidRPr="00791EFA">
        <w:rPr>
          <w:rFonts w:ascii="Garamond" w:eastAsia="Calibri" w:hAnsi="Garamond" w:cs="Times New Roman"/>
          <w:color w:val="auto"/>
          <w:kern w:val="20"/>
          <w:sz w:val="24"/>
          <w:szCs w:val="24"/>
          <w:lang w:val="en-US"/>
        </w:rPr>
        <w:t>as a function of</w:t>
      </w:r>
      <w:r w:rsidR="006A06A6" w:rsidRPr="00791EFA">
        <w:rPr>
          <w:rFonts w:ascii="Garamond" w:eastAsia="Calibri" w:hAnsi="Garamond" w:cs="Times New Roman"/>
          <w:color w:val="auto"/>
          <w:kern w:val="20"/>
          <w:sz w:val="24"/>
          <w:szCs w:val="24"/>
          <w:lang w:val="en-US"/>
        </w:rPr>
        <w:t xml:space="preserve"> </w:t>
      </w:r>
      <w:r w:rsidR="00BD15C7" w:rsidRPr="00791EFA">
        <w:rPr>
          <w:rFonts w:ascii="Garamond" w:eastAsia="Calibri" w:hAnsi="Garamond" w:cs="Times New Roman"/>
          <w:color w:val="auto"/>
          <w:kern w:val="20"/>
          <w:sz w:val="24"/>
          <w:szCs w:val="24"/>
          <w:lang w:val="en-US"/>
        </w:rPr>
        <w:t xml:space="preserve">increases in </w:t>
      </w:r>
      <w:r w:rsidR="006A06A6" w:rsidRPr="00791EFA">
        <w:rPr>
          <w:rFonts w:ascii="Garamond" w:eastAsia="Calibri" w:hAnsi="Garamond" w:cs="Times New Roman"/>
          <w:color w:val="auto"/>
          <w:kern w:val="20"/>
          <w:sz w:val="24"/>
          <w:szCs w:val="24"/>
          <w:lang w:val="en-US"/>
        </w:rPr>
        <w:t xml:space="preserve">the </w:t>
      </w:r>
      <w:r w:rsidRPr="00791EFA">
        <w:rPr>
          <w:rFonts w:ascii="Garamond" w:eastAsia="Calibri" w:hAnsi="Garamond" w:cs="Times New Roman"/>
          <w:color w:val="auto"/>
          <w:kern w:val="20"/>
          <w:sz w:val="24"/>
          <w:szCs w:val="24"/>
          <w:lang w:val="en-US"/>
        </w:rPr>
        <w:t>difference in orientation (Shepard &amp; Metzler</w:t>
      </w:r>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1971). </w:t>
      </w:r>
      <w:r w:rsidR="00BD15C7" w:rsidRPr="00791EFA">
        <w:rPr>
          <w:rFonts w:ascii="Garamond" w:eastAsia="Calibri" w:hAnsi="Garamond" w:cs="Times New Roman"/>
          <w:color w:val="auto"/>
          <w:kern w:val="20"/>
          <w:sz w:val="24"/>
          <w:szCs w:val="24"/>
          <w:lang w:val="en-US"/>
        </w:rPr>
        <w:t xml:space="preserve">Icons </w:t>
      </w:r>
      <w:r w:rsidRPr="00791EFA">
        <w:rPr>
          <w:rFonts w:ascii="Garamond" w:eastAsia="Calibri" w:hAnsi="Garamond" w:cs="Times New Roman"/>
          <w:color w:val="auto"/>
          <w:kern w:val="20"/>
          <w:sz w:val="24"/>
          <w:szCs w:val="24"/>
          <w:lang w:val="en-US"/>
        </w:rPr>
        <w:t>can serve as inputs to categorization,</w:t>
      </w:r>
      <w:r w:rsidRPr="00791EFA">
        <w:rPr>
          <w:rFonts w:ascii="Garamond" w:eastAsia="Calibri" w:hAnsi="Garamond" w:cs="Times New Roman"/>
          <w:color w:val="auto"/>
          <w:kern w:val="20"/>
          <w:sz w:val="24"/>
          <w:szCs w:val="24"/>
          <w:vertAlign w:val="superscript"/>
          <w:lang w:val="en-US"/>
        </w:rPr>
        <w:footnoteReference w:id="3"/>
      </w:r>
      <w:r w:rsidRPr="00791EFA">
        <w:rPr>
          <w:rFonts w:ascii="Garamond" w:eastAsia="Calibri" w:hAnsi="Garamond" w:cs="Times New Roman"/>
          <w:color w:val="auto"/>
          <w:kern w:val="20"/>
          <w:sz w:val="24"/>
          <w:szCs w:val="24"/>
          <w:lang w:val="en-US"/>
        </w:rPr>
        <w:t xml:space="preserve"> particularly via attentional selection of a subset of their contents (Sperling</w:t>
      </w:r>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1960; </w:t>
      </w:r>
      <w:proofErr w:type="spellStart"/>
      <w:r w:rsidRPr="00791EFA">
        <w:rPr>
          <w:rFonts w:ascii="Garamond" w:eastAsia="Calibri" w:hAnsi="Garamond" w:cs="Times New Roman"/>
          <w:color w:val="auto"/>
          <w:kern w:val="20"/>
          <w:sz w:val="24"/>
          <w:szCs w:val="24"/>
          <w:lang w:val="en-US"/>
        </w:rPr>
        <w:t>Lamme</w:t>
      </w:r>
      <w:proofErr w:type="spellEnd"/>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2003). They can be scanned, such that sequentially retrieving information from spatially disparate parts of </w:t>
      </w:r>
      <w:r w:rsidRPr="00791EFA">
        <w:rPr>
          <w:rFonts w:ascii="Garamond" w:eastAsia="Calibri" w:hAnsi="Garamond" w:cs="Times New Roman"/>
          <w:color w:val="auto"/>
          <w:kern w:val="20"/>
          <w:sz w:val="24"/>
          <w:szCs w:val="24"/>
          <w:lang w:val="en-US"/>
        </w:rPr>
        <w:lastRenderedPageBreak/>
        <w:t>icons takes more time (due to more intermediating steps) as a function of the represented distance (</w:t>
      </w:r>
      <w:proofErr w:type="spellStart"/>
      <w:r w:rsidRPr="00791EFA">
        <w:rPr>
          <w:rFonts w:ascii="Garamond" w:eastAsia="Calibri" w:hAnsi="Garamond" w:cs="Times New Roman"/>
          <w:color w:val="auto"/>
          <w:kern w:val="20"/>
          <w:sz w:val="24"/>
          <w:szCs w:val="24"/>
          <w:lang w:val="en-US"/>
        </w:rPr>
        <w:t>Kosslyn</w:t>
      </w:r>
      <w:proofErr w:type="spellEnd"/>
      <w:r w:rsidR="009A2BAB" w:rsidRPr="00791EFA">
        <w:rPr>
          <w:rFonts w:ascii="Garamond" w:eastAsia="Calibri" w:hAnsi="Garamond" w:cs="Times New Roman"/>
          <w:color w:val="auto"/>
          <w:kern w:val="20"/>
          <w:sz w:val="24"/>
          <w:szCs w:val="24"/>
          <w:lang w:val="en-US"/>
        </w:rPr>
        <w:t xml:space="preserve"> et al.</w:t>
      </w:r>
      <w:r w:rsidR="00B82EE0" w:rsidRPr="00791EFA">
        <w:rPr>
          <w:rFonts w:ascii="Garamond" w:eastAsia="Calibri" w:hAnsi="Garamond" w:cs="Times New Roman"/>
          <w:color w:val="auto"/>
          <w:kern w:val="20"/>
          <w:sz w:val="24"/>
          <w:szCs w:val="24"/>
          <w:lang w:val="en-US"/>
        </w:rPr>
        <w:t>,</w:t>
      </w:r>
      <w:r w:rsidR="009A2BAB" w:rsidRPr="00791EFA">
        <w:rPr>
          <w:rFonts w:ascii="Garamond" w:eastAsia="Calibri" w:hAnsi="Garamond" w:cs="Times New Roman"/>
          <w:color w:val="auto"/>
          <w:kern w:val="20"/>
          <w:sz w:val="24"/>
          <w:szCs w:val="24"/>
          <w:lang w:val="en-US"/>
        </w:rPr>
        <w:t xml:space="preserve"> 1978</w:t>
      </w:r>
      <w:r w:rsidRPr="00791EFA">
        <w:rPr>
          <w:rFonts w:ascii="Garamond" w:eastAsia="Calibri" w:hAnsi="Garamond" w:cs="Times New Roman"/>
          <w:color w:val="auto"/>
          <w:kern w:val="20"/>
          <w:sz w:val="24"/>
          <w:szCs w:val="24"/>
          <w:lang w:val="en-US"/>
        </w:rPr>
        <w:t>). They also doubtless serve diverse functions only dimly glimpsed by cognitive science at present, such as their role in structuring long-term memory (</w:t>
      </w:r>
      <w:proofErr w:type="spellStart"/>
      <w:r w:rsidRPr="00791EFA">
        <w:rPr>
          <w:rFonts w:ascii="Garamond" w:eastAsia="Calibri" w:hAnsi="Garamond" w:cs="Times New Roman"/>
          <w:color w:val="auto"/>
          <w:kern w:val="20"/>
          <w:sz w:val="24"/>
          <w:szCs w:val="24"/>
          <w:lang w:val="en-US"/>
        </w:rPr>
        <w:t>Paivio</w:t>
      </w:r>
      <w:proofErr w:type="spellEnd"/>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1969).</w:t>
      </w:r>
    </w:p>
    <w:p w14:paraId="254D9062" w14:textId="7C08F463"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Our present question is this: Do any of the computations that range over mental icons constitute inferences? And if not, what are they like? Certainly in the Helmholtzian sense</w:t>
      </w:r>
      <w:r w:rsidR="006C5403" w:rsidRPr="00791EFA">
        <w:rPr>
          <w:rFonts w:ascii="Garamond" w:eastAsia="Calibri" w:hAnsi="Garamond" w:cs="Times New Roman"/>
          <w:color w:val="auto"/>
          <w:kern w:val="20"/>
          <w:sz w:val="24"/>
          <w:szCs w:val="24"/>
          <w:lang w:val="en-US"/>
        </w:rPr>
        <w:t xml:space="preserve"> in which </w:t>
      </w:r>
      <w:r w:rsidR="003B6C98" w:rsidRPr="00791EFA">
        <w:rPr>
          <w:rFonts w:ascii="Garamond" w:eastAsia="Calibri" w:hAnsi="Garamond" w:cs="Times New Roman"/>
          <w:color w:val="auto"/>
          <w:kern w:val="20"/>
          <w:sz w:val="24"/>
          <w:szCs w:val="24"/>
          <w:lang w:val="en-US"/>
        </w:rPr>
        <w:t>low-level perceptual computations constitute inferences</w:t>
      </w:r>
      <w:r w:rsidRPr="00791EFA">
        <w:rPr>
          <w:rFonts w:ascii="Garamond" w:eastAsia="Calibri" w:hAnsi="Garamond" w:cs="Times New Roman"/>
          <w:color w:val="auto"/>
          <w:kern w:val="20"/>
          <w:sz w:val="24"/>
          <w:szCs w:val="24"/>
          <w:lang w:val="en-US"/>
        </w:rPr>
        <w:t>, icons can be inputs to, outputs of, and brought to bear on inferences in perception. But if inference proper is limited to BITs, then icons may not be able to function in inferences.</w:t>
      </w:r>
      <w:r w:rsidR="00720593" w:rsidRPr="00791EFA">
        <w:rPr>
          <w:rFonts w:ascii="Garamond" w:eastAsia="Calibri" w:hAnsi="Garamond" w:cs="Times New Roman"/>
          <w:color w:val="auto"/>
          <w:kern w:val="20"/>
          <w:sz w:val="24"/>
          <w:szCs w:val="24"/>
          <w:lang w:val="en-US"/>
        </w:rPr>
        <w:t xml:space="preserve"> There is a very loose sense of ‘inference’ that ranges over any transition between states that solves an underdetermination problem (i.e., where the content of the output goes beyond the content of the input in some way). It is doubtful that much of interest can be said about the broad category that will also shed light on the particular type of transition involved in moving from the beliefs that p and if p then q to the belief that q. We don’t deny that inference can occur unconsciously</w:t>
      </w:r>
      <w:r w:rsidR="00F1397A" w:rsidRPr="00791EFA">
        <w:rPr>
          <w:rFonts w:ascii="Garamond" w:eastAsia="Calibri" w:hAnsi="Garamond" w:cs="Times New Roman"/>
          <w:color w:val="auto"/>
          <w:kern w:val="20"/>
          <w:sz w:val="24"/>
          <w:szCs w:val="24"/>
          <w:lang w:val="en-US"/>
        </w:rPr>
        <w:t xml:space="preserve"> (on the contrary, it usually does)</w:t>
      </w:r>
      <w:r w:rsidR="00720593" w:rsidRPr="00791EFA">
        <w:rPr>
          <w:rFonts w:ascii="Garamond" w:eastAsia="Calibri" w:hAnsi="Garamond" w:cs="Times New Roman"/>
          <w:color w:val="auto"/>
          <w:kern w:val="20"/>
          <w:sz w:val="24"/>
          <w:szCs w:val="24"/>
          <w:lang w:val="en-US"/>
        </w:rPr>
        <w:t xml:space="preserve"> or that inferential transitions can range over “</w:t>
      </w:r>
      <w:proofErr w:type="spellStart"/>
      <w:r w:rsidR="00720593" w:rsidRPr="00791EFA">
        <w:rPr>
          <w:rFonts w:ascii="Garamond" w:eastAsia="Calibri" w:hAnsi="Garamond" w:cs="Times New Roman"/>
          <w:color w:val="auto"/>
          <w:kern w:val="20"/>
          <w:sz w:val="24"/>
          <w:szCs w:val="24"/>
          <w:lang w:val="en-US"/>
        </w:rPr>
        <w:t>subpersonal</w:t>
      </w:r>
      <w:proofErr w:type="spellEnd"/>
      <w:r w:rsidR="00720593" w:rsidRPr="00791EFA">
        <w:rPr>
          <w:rFonts w:ascii="Garamond" w:eastAsia="Calibri" w:hAnsi="Garamond" w:cs="Times New Roman"/>
          <w:color w:val="auto"/>
          <w:kern w:val="20"/>
          <w:sz w:val="24"/>
          <w:szCs w:val="24"/>
          <w:lang w:val="en-US"/>
        </w:rPr>
        <w:t>” representations.</w:t>
      </w:r>
      <w:r w:rsidR="00F1397A" w:rsidRPr="00791EFA">
        <w:rPr>
          <w:rFonts w:ascii="Garamond" w:eastAsia="Calibri" w:hAnsi="Garamond" w:cs="Times New Roman"/>
          <w:color w:val="auto"/>
          <w:kern w:val="20"/>
          <w:sz w:val="24"/>
          <w:szCs w:val="24"/>
          <w:lang w:val="en-US"/>
        </w:rPr>
        <w:t xml:space="preserve"> </w:t>
      </w:r>
      <w:r w:rsidR="00720593" w:rsidRPr="00791EFA">
        <w:rPr>
          <w:rFonts w:ascii="Garamond" w:eastAsia="Calibri" w:hAnsi="Garamond" w:cs="Times New Roman"/>
          <w:color w:val="auto"/>
          <w:kern w:val="20"/>
          <w:sz w:val="24"/>
          <w:szCs w:val="24"/>
          <w:lang w:val="en-US"/>
        </w:rPr>
        <w:t xml:space="preserve">We also don’t deny that </w:t>
      </w:r>
      <w:r w:rsidR="00F1397A" w:rsidRPr="00791EFA">
        <w:rPr>
          <w:rFonts w:ascii="Garamond" w:eastAsia="Calibri" w:hAnsi="Garamond" w:cs="Times New Roman"/>
          <w:color w:val="auto"/>
          <w:kern w:val="20"/>
          <w:sz w:val="24"/>
          <w:szCs w:val="24"/>
          <w:lang w:val="en-US"/>
        </w:rPr>
        <w:t>genuinely inferential transitions may occur in perceptual systems; we simply regard this as an empirical question, whereas the broad Helmholtzian notion of inference would make it trivially true that they do. Our approach is to take it that inference is a natural psychological kind of mental transition with paradigm cases (e.g., modus ponens) and explore whether instances of that kind occur in non-paradigm cases. One relevant difference between transitions in early vision and modus ponens inferences over beliefs is a difference in representational format. We turn now to transitions between icons that appear at first glance to be inference-like.</w:t>
      </w:r>
    </w:p>
    <w:p w14:paraId="2BA8CE47" w14:textId="401D146E"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r>
      <w:r w:rsidR="00F1397A" w:rsidRPr="00791EFA">
        <w:rPr>
          <w:rFonts w:ascii="Garamond" w:eastAsia="Calibri" w:hAnsi="Garamond" w:cs="Times New Roman"/>
          <w:color w:val="auto"/>
          <w:kern w:val="20"/>
          <w:sz w:val="24"/>
          <w:szCs w:val="24"/>
          <w:lang w:val="en-US"/>
        </w:rPr>
        <w:t>W</w:t>
      </w:r>
      <w:r w:rsidRPr="00791EFA">
        <w:rPr>
          <w:rFonts w:ascii="Garamond" w:eastAsia="Calibri" w:hAnsi="Garamond" w:cs="Times New Roman"/>
          <w:color w:val="auto"/>
          <w:kern w:val="20"/>
          <w:sz w:val="24"/>
          <w:szCs w:val="24"/>
          <w:lang w:val="en-US"/>
        </w:rPr>
        <w:t xml:space="preserve">hile some transitions involving icons don’t </w:t>
      </w:r>
      <w:r w:rsidR="007E0B27" w:rsidRPr="00791EFA">
        <w:rPr>
          <w:rFonts w:ascii="Garamond" w:eastAsia="Calibri" w:hAnsi="Garamond" w:cs="Times New Roman"/>
          <w:color w:val="auto"/>
          <w:kern w:val="20"/>
          <w:sz w:val="24"/>
          <w:szCs w:val="24"/>
          <w:lang w:val="en-US"/>
        </w:rPr>
        <w:t xml:space="preserve">seem at all </w:t>
      </w:r>
      <w:r w:rsidRPr="00791EFA">
        <w:rPr>
          <w:rFonts w:ascii="Garamond" w:eastAsia="Calibri" w:hAnsi="Garamond" w:cs="Times New Roman"/>
          <w:color w:val="auto"/>
          <w:kern w:val="20"/>
          <w:sz w:val="24"/>
          <w:szCs w:val="24"/>
          <w:lang w:val="en-US"/>
        </w:rPr>
        <w:t xml:space="preserve">like inferences—mental rotation, for example, might be useful in reasoning but seems qualitatively different than, say, </w:t>
      </w:r>
      <w:r w:rsidRPr="00791EFA">
        <w:rPr>
          <w:rFonts w:ascii="Garamond" w:eastAsia="Calibri" w:hAnsi="Garamond" w:cs="Times New Roman"/>
          <w:i/>
          <w:color w:val="auto"/>
          <w:kern w:val="20"/>
          <w:sz w:val="24"/>
          <w:szCs w:val="24"/>
          <w:lang w:val="en-US"/>
        </w:rPr>
        <w:t>modus ponens</w:t>
      </w:r>
      <w:r w:rsidRPr="00791EFA">
        <w:rPr>
          <w:rFonts w:ascii="Garamond" w:eastAsia="Calibri" w:hAnsi="Garamond" w:cs="Times New Roman"/>
          <w:color w:val="auto"/>
          <w:kern w:val="20"/>
          <w:sz w:val="24"/>
          <w:szCs w:val="24"/>
          <w:lang w:val="en-US"/>
        </w:rPr>
        <w:t xml:space="preserve">—others might. For example, some perceptual process might transition from an icon that encodes the </w:t>
      </w:r>
      <w:r w:rsidRPr="00791EFA">
        <w:rPr>
          <w:rFonts w:ascii="Garamond" w:eastAsia="Calibri" w:hAnsi="Garamond" w:cs="Times New Roman"/>
          <w:color w:val="auto"/>
          <w:kern w:val="20"/>
          <w:sz w:val="24"/>
          <w:szCs w:val="24"/>
          <w:lang w:val="en-US"/>
        </w:rPr>
        <w:lastRenderedPageBreak/>
        <w:t xml:space="preserve">color of an object and an icon that encodes the shape of an object to an icon that encodes the color and shape of the object. This kind of transition might be an instance of what Anne </w:t>
      </w:r>
      <w:proofErr w:type="spellStart"/>
      <w:r w:rsidRPr="00791EFA">
        <w:rPr>
          <w:rFonts w:ascii="Garamond" w:eastAsia="Calibri" w:hAnsi="Garamond" w:cs="Times New Roman"/>
          <w:color w:val="auto"/>
          <w:kern w:val="20"/>
          <w:sz w:val="24"/>
          <w:szCs w:val="24"/>
          <w:lang w:val="en-US"/>
        </w:rPr>
        <w:t>Treisman</w:t>
      </w:r>
      <w:proofErr w:type="spellEnd"/>
      <w:r w:rsidRPr="00791EFA">
        <w:rPr>
          <w:rFonts w:ascii="Garamond" w:eastAsia="Calibri" w:hAnsi="Garamond" w:cs="Times New Roman"/>
          <w:color w:val="auto"/>
          <w:kern w:val="20"/>
          <w:sz w:val="24"/>
          <w:szCs w:val="24"/>
          <w:lang w:val="en-US"/>
        </w:rPr>
        <w:t xml:space="preserve"> calls “feature integration” (</w:t>
      </w:r>
      <w:proofErr w:type="spellStart"/>
      <w:r w:rsidRPr="00791EFA">
        <w:rPr>
          <w:rFonts w:ascii="Garamond" w:eastAsia="Calibri" w:hAnsi="Garamond" w:cs="Times New Roman"/>
          <w:color w:val="auto"/>
          <w:kern w:val="20"/>
          <w:sz w:val="24"/>
          <w:szCs w:val="24"/>
          <w:lang w:val="en-US"/>
        </w:rPr>
        <w:t>Treisman</w:t>
      </w:r>
      <w:proofErr w:type="spellEnd"/>
      <w:r w:rsidRPr="00791EFA">
        <w:rPr>
          <w:rFonts w:ascii="Garamond" w:eastAsia="Calibri" w:hAnsi="Garamond" w:cs="Times New Roman"/>
          <w:color w:val="auto"/>
          <w:kern w:val="20"/>
          <w:sz w:val="24"/>
          <w:szCs w:val="24"/>
          <w:lang w:val="en-US"/>
        </w:rPr>
        <w:t xml:space="preserve"> &amp; </w:t>
      </w:r>
      <w:proofErr w:type="spellStart"/>
      <w:r w:rsidRPr="00791EFA">
        <w:rPr>
          <w:rFonts w:ascii="Garamond" w:eastAsia="Calibri" w:hAnsi="Garamond" w:cs="Times New Roman"/>
          <w:color w:val="auto"/>
          <w:kern w:val="20"/>
          <w:sz w:val="24"/>
          <w:szCs w:val="24"/>
          <w:lang w:val="en-US"/>
        </w:rPr>
        <w:t>Gelade</w:t>
      </w:r>
      <w:proofErr w:type="spellEnd"/>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1980—though see Clark</w:t>
      </w:r>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2004 for a non-iconic model). It also resembles conjunction introduction, i.e., the transition from </w:t>
      </w:r>
      <w:r w:rsidRPr="00791EFA">
        <w:rPr>
          <w:rFonts w:ascii="Garamond" w:eastAsia="Calibri" w:hAnsi="Garamond" w:cs="Times New Roman"/>
          <w:smallCaps/>
          <w:color w:val="auto"/>
          <w:kern w:val="20"/>
          <w:sz w:val="24"/>
          <w:szCs w:val="24"/>
          <w:lang w:val="en-US"/>
        </w:rPr>
        <w:t xml:space="preserve">p </w:t>
      </w:r>
      <w:r w:rsidRPr="00791EFA">
        <w:rPr>
          <w:rFonts w:ascii="Garamond" w:eastAsia="Calibri" w:hAnsi="Garamond" w:cs="Times New Roman"/>
          <w:color w:val="auto"/>
          <w:kern w:val="20"/>
          <w:sz w:val="24"/>
          <w:szCs w:val="24"/>
          <w:lang w:val="en-US"/>
        </w:rPr>
        <w:t xml:space="preserve">and </w:t>
      </w:r>
      <w:r w:rsidRPr="00791EFA">
        <w:rPr>
          <w:rFonts w:ascii="Garamond" w:eastAsia="Calibri" w:hAnsi="Garamond" w:cs="Times New Roman"/>
          <w:smallCaps/>
          <w:color w:val="auto"/>
          <w:kern w:val="20"/>
          <w:sz w:val="24"/>
          <w:szCs w:val="24"/>
          <w:lang w:val="en-US"/>
        </w:rPr>
        <w:t>q</w:t>
      </w:r>
      <w:r w:rsidRPr="00791EFA">
        <w:rPr>
          <w:rFonts w:ascii="Garamond" w:eastAsia="Calibri" w:hAnsi="Garamond" w:cs="Times New Roman"/>
          <w:color w:val="auto"/>
          <w:kern w:val="20"/>
          <w:sz w:val="24"/>
          <w:szCs w:val="24"/>
          <w:lang w:val="en-US"/>
        </w:rPr>
        <w:t xml:space="preserve"> to </w:t>
      </w:r>
      <w:r w:rsidRPr="00791EFA">
        <w:rPr>
          <w:rFonts w:ascii="Garamond" w:eastAsia="Calibri" w:hAnsi="Garamond" w:cs="Times New Roman"/>
          <w:smallCaps/>
          <w:color w:val="auto"/>
          <w:kern w:val="20"/>
          <w:sz w:val="24"/>
          <w:szCs w:val="24"/>
          <w:lang w:val="en-US"/>
        </w:rPr>
        <w:t>p and q</w:t>
      </w:r>
      <w:r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vertAlign w:val="superscript"/>
          <w:lang w:val="en-US"/>
        </w:rPr>
        <w:footnoteReference w:id="4"/>
      </w:r>
      <w:r w:rsidRPr="00791EFA">
        <w:rPr>
          <w:rFonts w:ascii="Garamond" w:eastAsia="Calibri" w:hAnsi="Garamond" w:cs="Times New Roman"/>
          <w:color w:val="auto"/>
          <w:kern w:val="20"/>
          <w:sz w:val="24"/>
          <w:szCs w:val="24"/>
          <w:lang w:val="en-US"/>
        </w:rPr>
        <w:t xml:space="preserve"> For present purposes, we’re agnostic about whether this kind of process occurs (see Green &amp; Quilty-Dunn</w:t>
      </w:r>
      <w:r w:rsidR="00B82EE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forthcoming for reasons to doubt the hypothesis that object-based feature integration is iconic). Supposing it does, however, should it count as an inference? </w:t>
      </w:r>
    </w:p>
    <w:p w14:paraId="05FE48FF"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There is a quick argument which, presupposing the BIT view of inference, establishes a firm negative answer. BITs require rules to be built into the architecture that specify types of constituent structure. Icons lack constituent structure; therefore they fall outside of the scope of rules that specify types of constituent structure; therefore they cannot figure in BITs. Presupposing that something is an inference </w:t>
      </w:r>
      <w:proofErr w:type="spellStart"/>
      <w:r w:rsidRPr="00791EFA">
        <w:rPr>
          <w:rFonts w:ascii="Garamond" w:eastAsia="Calibri" w:hAnsi="Garamond" w:cs="Times New Roman"/>
          <w:color w:val="auto"/>
          <w:kern w:val="20"/>
          <w:sz w:val="24"/>
          <w:szCs w:val="24"/>
          <w:lang w:val="en-US"/>
        </w:rPr>
        <w:t>iff</w:t>
      </w:r>
      <w:proofErr w:type="spellEnd"/>
      <w:r w:rsidRPr="00791EFA">
        <w:rPr>
          <w:rFonts w:ascii="Garamond" w:eastAsia="Calibri" w:hAnsi="Garamond" w:cs="Times New Roman"/>
          <w:color w:val="auto"/>
          <w:kern w:val="20"/>
          <w:sz w:val="24"/>
          <w:szCs w:val="24"/>
          <w:lang w:val="en-US"/>
        </w:rPr>
        <w:t xml:space="preserve"> it is a BIT, icons therefore cannot figure in inferences.</w:t>
      </w:r>
    </w:p>
    <w:p w14:paraId="074311E4" w14:textId="2F5BC6E0"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Though this argument is, by our lights, sound, it fails to engage with the intuition that iconic transformations can implement paradigmatically inferential rules like conjunction introduction. If transitions between icons can in fact implement conjunction introduction, then any view that entails that iconic transformations are invariably non</w:t>
      </w:r>
      <w:r w:rsidR="0032108B"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inferential would seem at best to lack full generality and at worst to be arbitrary and false. We’ll now consider some more principled reasons (i.e., ones that don’t presuppose that something is an inference </w:t>
      </w:r>
      <w:proofErr w:type="spellStart"/>
      <w:r w:rsidRPr="00791EFA">
        <w:rPr>
          <w:rFonts w:ascii="Garamond" w:eastAsia="Calibri" w:hAnsi="Garamond" w:cs="Times New Roman"/>
          <w:color w:val="auto"/>
          <w:kern w:val="20"/>
          <w:sz w:val="24"/>
          <w:szCs w:val="24"/>
          <w:lang w:val="en-US"/>
        </w:rPr>
        <w:t>iff</w:t>
      </w:r>
      <w:proofErr w:type="spellEnd"/>
      <w:r w:rsidRPr="00791EFA">
        <w:rPr>
          <w:rFonts w:ascii="Garamond" w:eastAsia="Calibri" w:hAnsi="Garamond" w:cs="Times New Roman"/>
          <w:color w:val="auto"/>
          <w:kern w:val="20"/>
          <w:sz w:val="24"/>
          <w:szCs w:val="24"/>
          <w:lang w:val="en-US"/>
        </w:rPr>
        <w:t xml:space="preserve"> it’s a BIT) to think that icons cannot implement conjunction introduction. </w:t>
      </w:r>
    </w:p>
    <w:p w14:paraId="33121499" w14:textId="18770F75"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lastRenderedPageBreak/>
        <w:tab/>
        <w:t xml:space="preserve">We understand the term “inference” to refer to a subset of the truth-preserving computations in the mind; that wider class excludes some processes, like associative transitions, but includes virtually all properly rule-governed ones. What marks out inference as we understand it from other sorts of rule-governed, truth-preserving computations is that inferences obey some </w:t>
      </w:r>
      <w:r w:rsidRPr="00791EFA">
        <w:rPr>
          <w:rFonts w:ascii="Garamond" w:eastAsia="Calibri" w:hAnsi="Garamond" w:cs="Times New Roman"/>
          <w:i/>
          <w:color w:val="auto"/>
          <w:kern w:val="20"/>
          <w:sz w:val="24"/>
          <w:szCs w:val="24"/>
          <w:lang w:val="en-US"/>
        </w:rPr>
        <w:t>logic</w:t>
      </w:r>
      <w:r w:rsidRPr="00791EFA">
        <w:rPr>
          <w:rFonts w:ascii="Garamond" w:eastAsia="Calibri" w:hAnsi="Garamond" w:cs="Times New Roman"/>
          <w:color w:val="auto"/>
          <w:kern w:val="20"/>
          <w:sz w:val="24"/>
          <w:szCs w:val="24"/>
          <w:lang w:val="en-US"/>
        </w:rPr>
        <w:t>. That is, the rules that govern them are logical rules, and they preserve truth in virtue of their form. That’s not to say that the rules of human inference are identical to any logic taught in philosophy courses. We suppose mental logic is idiosyncratic to humans</w:t>
      </w:r>
      <w:r w:rsidR="006B1F48" w:rsidRPr="00791EFA">
        <w:rPr>
          <w:rFonts w:ascii="Garamond" w:eastAsia="Calibri" w:hAnsi="Garamond" w:cs="Times New Roman"/>
          <w:color w:val="auto"/>
          <w:kern w:val="20"/>
          <w:sz w:val="24"/>
          <w:szCs w:val="24"/>
          <w:lang w:val="en-US"/>
        </w:rPr>
        <w:t xml:space="preserve"> (and possibly phylogenetically related ancestor species)</w:t>
      </w:r>
      <w:r w:rsidRPr="00791EFA">
        <w:rPr>
          <w:rFonts w:ascii="Garamond" w:eastAsia="Calibri" w:hAnsi="Garamond" w:cs="Times New Roman"/>
          <w:color w:val="auto"/>
          <w:kern w:val="20"/>
          <w:sz w:val="24"/>
          <w:szCs w:val="24"/>
          <w:lang w:val="en-US"/>
        </w:rPr>
        <w:t>, partly for empirical reasons (Braine &amp; O’Brien</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1998) and partly for </w:t>
      </w:r>
      <w:r w:rsidRPr="00791EFA">
        <w:rPr>
          <w:rFonts w:ascii="Garamond" w:eastAsia="Calibri" w:hAnsi="Garamond" w:cs="Times New Roman"/>
          <w:i/>
          <w:color w:val="auto"/>
          <w:kern w:val="20"/>
          <w:sz w:val="24"/>
          <w:szCs w:val="24"/>
          <w:lang w:val="en-US"/>
        </w:rPr>
        <w:t>a priori</w:t>
      </w:r>
      <w:r w:rsidRPr="00791EFA">
        <w:rPr>
          <w:rFonts w:ascii="Garamond" w:eastAsia="Calibri" w:hAnsi="Garamond" w:cs="Times New Roman"/>
          <w:color w:val="auto"/>
          <w:kern w:val="20"/>
          <w:sz w:val="24"/>
          <w:szCs w:val="24"/>
          <w:lang w:val="en-US"/>
        </w:rPr>
        <w:t xml:space="preserve"> ones (</w:t>
      </w:r>
      <w:proofErr w:type="spellStart"/>
      <w:r w:rsidRPr="00791EFA">
        <w:rPr>
          <w:rFonts w:ascii="Garamond" w:eastAsia="Calibri" w:hAnsi="Garamond" w:cs="Times New Roman"/>
          <w:color w:val="auto"/>
          <w:kern w:val="20"/>
          <w:sz w:val="24"/>
          <w:szCs w:val="24"/>
          <w:lang w:val="en-US"/>
        </w:rPr>
        <w:t>Kripke</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1982).</w:t>
      </w:r>
      <w:r w:rsidRPr="00791EFA">
        <w:rPr>
          <w:rFonts w:ascii="Garamond" w:eastAsia="Calibri" w:hAnsi="Garamond" w:cs="Times New Roman"/>
          <w:color w:val="auto"/>
          <w:kern w:val="20"/>
          <w:sz w:val="24"/>
          <w:szCs w:val="24"/>
          <w:vertAlign w:val="superscript"/>
          <w:lang w:val="en-US"/>
        </w:rPr>
        <w:footnoteReference w:id="5"/>
      </w:r>
      <w:r w:rsidRPr="00791EFA">
        <w:rPr>
          <w:rFonts w:ascii="Garamond" w:eastAsia="Calibri" w:hAnsi="Garamond" w:cs="Times New Roman"/>
          <w:color w:val="auto"/>
          <w:kern w:val="20"/>
          <w:sz w:val="24"/>
          <w:szCs w:val="24"/>
          <w:lang w:val="en-US"/>
        </w:rPr>
        <w:t xml:space="preserve"> What makes a rule logical is its formal character, i.e., that it abstracts away from all </w:t>
      </w:r>
      <w:r w:rsidRPr="00791EFA">
        <w:rPr>
          <w:rFonts w:ascii="Garamond" w:eastAsia="Calibri" w:hAnsi="Garamond" w:cs="Times New Roman"/>
          <w:color w:val="auto"/>
          <w:kern w:val="20"/>
          <w:sz w:val="24"/>
          <w:szCs w:val="24"/>
          <w:lang w:val="en-US"/>
        </w:rPr>
        <w:lastRenderedPageBreak/>
        <w:t xml:space="preserve">content except for the contents of logical operators like conjunction, disjunction, negation, and conditionals. </w:t>
      </w:r>
    </w:p>
    <w:p w14:paraId="57ACF0F8" w14:textId="42BC33F8"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Their formal character allows logical rules to be relatively sparse in number and general in application. You don’t need one inference rule to conclude from </w:t>
      </w:r>
      <w:r w:rsidRPr="00791EFA">
        <w:rPr>
          <w:rFonts w:ascii="Garamond" w:eastAsia="Calibri" w:hAnsi="Garamond" w:cs="Times New Roman"/>
          <w:smallCaps/>
          <w:color w:val="auto"/>
          <w:kern w:val="20"/>
          <w:sz w:val="24"/>
          <w:szCs w:val="24"/>
          <w:lang w:val="en-US"/>
        </w:rPr>
        <w:t>the weather is bad</w:t>
      </w:r>
      <w:r w:rsidRPr="00791EFA">
        <w:rPr>
          <w:rFonts w:ascii="Garamond" w:eastAsia="Calibri" w:hAnsi="Garamond" w:cs="Times New Roman"/>
          <w:color w:val="auto"/>
          <w:kern w:val="20"/>
          <w:sz w:val="24"/>
          <w:szCs w:val="24"/>
          <w:lang w:val="en-US"/>
        </w:rPr>
        <w:t xml:space="preserve"> and </w:t>
      </w:r>
      <w:r w:rsidRPr="00791EFA">
        <w:rPr>
          <w:rFonts w:ascii="Garamond" w:eastAsia="Calibri" w:hAnsi="Garamond" w:cs="Times New Roman"/>
          <w:smallCaps/>
          <w:color w:val="auto"/>
          <w:kern w:val="20"/>
          <w:sz w:val="24"/>
          <w:szCs w:val="24"/>
          <w:lang w:val="en-US"/>
        </w:rPr>
        <w:t>if the weather is bad then the game is cancelled</w:t>
      </w:r>
      <w:r w:rsidRPr="00791EFA">
        <w:rPr>
          <w:rFonts w:ascii="Garamond" w:eastAsia="Calibri" w:hAnsi="Garamond" w:cs="Times New Roman"/>
          <w:color w:val="auto"/>
          <w:kern w:val="20"/>
          <w:sz w:val="24"/>
          <w:szCs w:val="24"/>
          <w:lang w:val="en-US"/>
        </w:rPr>
        <w:t xml:space="preserve"> that </w:t>
      </w:r>
      <w:r w:rsidRPr="00791EFA">
        <w:rPr>
          <w:rFonts w:ascii="Garamond" w:eastAsia="Calibri" w:hAnsi="Garamond" w:cs="Times New Roman"/>
          <w:smallCaps/>
          <w:color w:val="auto"/>
          <w:kern w:val="20"/>
          <w:sz w:val="24"/>
          <w:szCs w:val="24"/>
          <w:lang w:val="en-US"/>
        </w:rPr>
        <w:t>the game is cancelled</w:t>
      </w:r>
      <w:r w:rsidRPr="00791EFA">
        <w:rPr>
          <w:rFonts w:ascii="Garamond" w:eastAsia="Calibri" w:hAnsi="Garamond" w:cs="Times New Roman"/>
          <w:color w:val="auto"/>
          <w:kern w:val="20"/>
          <w:sz w:val="24"/>
          <w:szCs w:val="24"/>
          <w:lang w:val="en-US"/>
        </w:rPr>
        <w:t xml:space="preserve"> and another to conclude from </w:t>
      </w:r>
      <w:r w:rsidRPr="00791EFA">
        <w:rPr>
          <w:rFonts w:ascii="Garamond" w:eastAsia="Calibri" w:hAnsi="Garamond" w:cs="Times New Roman"/>
          <w:smallCaps/>
          <w:color w:val="auto"/>
          <w:kern w:val="20"/>
          <w:sz w:val="24"/>
          <w:szCs w:val="24"/>
          <w:lang w:val="en-US"/>
        </w:rPr>
        <w:t>the apple is wax</w:t>
      </w:r>
      <w:r w:rsidRPr="00791EFA">
        <w:rPr>
          <w:rFonts w:ascii="Garamond" w:eastAsia="Calibri" w:hAnsi="Garamond" w:cs="Times New Roman"/>
          <w:color w:val="auto"/>
          <w:kern w:val="20"/>
          <w:sz w:val="24"/>
          <w:szCs w:val="24"/>
          <w:lang w:val="en-US"/>
        </w:rPr>
        <w:t xml:space="preserve"> and </w:t>
      </w:r>
      <w:r w:rsidRPr="00791EFA">
        <w:rPr>
          <w:rFonts w:ascii="Garamond" w:eastAsia="Calibri" w:hAnsi="Garamond" w:cs="Times New Roman"/>
          <w:smallCaps/>
          <w:color w:val="auto"/>
          <w:kern w:val="20"/>
          <w:sz w:val="24"/>
          <w:szCs w:val="24"/>
          <w:lang w:val="en-US"/>
        </w:rPr>
        <w:t>if the apple is wax then the apple is inedible</w:t>
      </w:r>
      <w:r w:rsidRPr="00791EFA">
        <w:rPr>
          <w:rFonts w:ascii="Garamond" w:eastAsia="Calibri" w:hAnsi="Garamond" w:cs="Times New Roman"/>
          <w:color w:val="auto"/>
          <w:kern w:val="20"/>
          <w:sz w:val="24"/>
          <w:szCs w:val="24"/>
          <w:lang w:val="en-US"/>
        </w:rPr>
        <w:t xml:space="preserve"> that </w:t>
      </w:r>
      <w:r w:rsidRPr="00791EFA">
        <w:rPr>
          <w:rFonts w:ascii="Garamond" w:eastAsia="Calibri" w:hAnsi="Garamond" w:cs="Times New Roman"/>
          <w:smallCaps/>
          <w:color w:val="auto"/>
          <w:kern w:val="20"/>
          <w:sz w:val="24"/>
          <w:szCs w:val="24"/>
          <w:lang w:val="en-US"/>
        </w:rPr>
        <w:t>the apple is inedible</w:t>
      </w:r>
      <w:r w:rsidRPr="00791EFA">
        <w:rPr>
          <w:rFonts w:ascii="Garamond" w:eastAsia="Calibri" w:hAnsi="Garamond" w:cs="Times New Roman"/>
          <w:color w:val="auto"/>
          <w:kern w:val="20"/>
          <w:sz w:val="24"/>
          <w:szCs w:val="24"/>
          <w:lang w:val="en-US"/>
        </w:rPr>
        <w:t xml:space="preserve">. </w:t>
      </w:r>
      <w:r w:rsidRPr="00791EFA">
        <w:rPr>
          <w:rFonts w:ascii="Garamond" w:eastAsia="Calibri" w:hAnsi="Garamond" w:cs="Times New Roman"/>
          <w:i/>
          <w:color w:val="auto"/>
          <w:kern w:val="20"/>
          <w:sz w:val="24"/>
          <w:szCs w:val="24"/>
          <w:lang w:val="en-US"/>
        </w:rPr>
        <w:t>Modus ponens</w:t>
      </w:r>
      <w:r w:rsidRPr="00791EFA">
        <w:rPr>
          <w:rFonts w:ascii="Garamond" w:eastAsia="Calibri" w:hAnsi="Garamond" w:cs="Times New Roman"/>
          <w:color w:val="auto"/>
          <w:kern w:val="20"/>
          <w:sz w:val="24"/>
          <w:szCs w:val="24"/>
          <w:lang w:val="en-US"/>
        </w:rPr>
        <w:t xml:space="preserve"> (and its </w:t>
      </w:r>
      <w:proofErr w:type="spellStart"/>
      <w:r w:rsidRPr="00791EFA">
        <w:rPr>
          <w:rFonts w:ascii="Garamond" w:eastAsia="Calibri" w:hAnsi="Garamond" w:cs="Times New Roman"/>
          <w:color w:val="auto"/>
          <w:kern w:val="20"/>
          <w:sz w:val="24"/>
          <w:szCs w:val="24"/>
          <w:lang w:val="en-US"/>
        </w:rPr>
        <w:t>psychofunctional</w:t>
      </w:r>
      <w:proofErr w:type="spellEnd"/>
      <w:r w:rsidRPr="00791EFA">
        <w:rPr>
          <w:rFonts w:ascii="Garamond" w:eastAsia="Calibri" w:hAnsi="Garamond" w:cs="Times New Roman"/>
          <w:color w:val="auto"/>
          <w:kern w:val="20"/>
          <w:sz w:val="24"/>
          <w:szCs w:val="24"/>
          <w:lang w:val="en-US"/>
        </w:rPr>
        <w:t xml:space="preserve"> equivalents—see n</w:t>
      </w:r>
      <w:r w:rsidR="00080204" w:rsidRPr="00791EFA">
        <w:rPr>
          <w:rFonts w:ascii="Garamond" w:eastAsia="Calibri" w:hAnsi="Garamond" w:cs="Times New Roman"/>
          <w:color w:val="auto"/>
          <w:kern w:val="20"/>
          <w:sz w:val="24"/>
          <w:szCs w:val="24"/>
          <w:lang w:val="en-US"/>
        </w:rPr>
        <w:t xml:space="preserve">ote </w:t>
      </w:r>
      <w:r w:rsidR="00C819D5" w:rsidRPr="00791EFA">
        <w:rPr>
          <w:rFonts w:ascii="Garamond" w:eastAsia="Calibri" w:hAnsi="Garamond" w:cs="Times New Roman"/>
          <w:color w:val="auto"/>
          <w:kern w:val="20"/>
          <w:sz w:val="24"/>
          <w:szCs w:val="24"/>
          <w:lang w:val="en-US"/>
        </w:rPr>
        <w:t>4</w:t>
      </w:r>
      <w:r w:rsidRPr="00791EFA">
        <w:rPr>
          <w:rFonts w:ascii="Garamond" w:eastAsia="Calibri" w:hAnsi="Garamond" w:cs="Times New Roman"/>
          <w:color w:val="auto"/>
          <w:kern w:val="20"/>
          <w:sz w:val="24"/>
          <w:szCs w:val="24"/>
          <w:lang w:val="en-US"/>
        </w:rPr>
        <w:t>) is sufficient to generate the conclusion in both cases. The fact that rules of mental logic apply also to</w:t>
      </w:r>
      <w:r w:rsidR="00080204" w:rsidRPr="00791EFA">
        <w:rPr>
          <w:rFonts w:ascii="Garamond" w:eastAsia="Calibri" w:hAnsi="Garamond" w:cs="Times New Roman"/>
          <w:color w:val="auto"/>
          <w:kern w:val="20"/>
          <w:sz w:val="24"/>
          <w:szCs w:val="24"/>
          <w:lang w:val="en-US"/>
        </w:rPr>
        <w:t xml:space="preserve"> syntactically well-formed</w:t>
      </w:r>
      <w:r w:rsidRPr="00791EFA">
        <w:rPr>
          <w:rFonts w:ascii="Garamond" w:eastAsia="Calibri" w:hAnsi="Garamond" w:cs="Times New Roman"/>
          <w:color w:val="auto"/>
          <w:kern w:val="20"/>
          <w:sz w:val="24"/>
          <w:szCs w:val="24"/>
          <w:lang w:val="en-US"/>
        </w:rPr>
        <w:t xml:space="preserve"> thoughts that are semantically </w:t>
      </w:r>
      <w:r w:rsidR="005A3390" w:rsidRPr="00791EFA">
        <w:rPr>
          <w:rFonts w:ascii="Garamond" w:eastAsia="Calibri" w:hAnsi="Garamond" w:cs="Times New Roman"/>
          <w:color w:val="auto"/>
          <w:kern w:val="20"/>
          <w:sz w:val="24"/>
          <w:szCs w:val="24"/>
          <w:lang w:val="en-US"/>
        </w:rPr>
        <w:t xml:space="preserve">inane </w:t>
      </w:r>
      <w:r w:rsidRPr="00791EFA">
        <w:rPr>
          <w:rFonts w:ascii="Garamond" w:eastAsia="Calibri" w:hAnsi="Garamond" w:cs="Times New Roman"/>
          <w:color w:val="auto"/>
          <w:kern w:val="20"/>
          <w:sz w:val="24"/>
          <w:szCs w:val="24"/>
          <w:lang w:val="en-US"/>
        </w:rPr>
        <w:t>such as “If there’s a 3 then there’s an 8” (</w:t>
      </w:r>
      <w:proofErr w:type="spellStart"/>
      <w:r w:rsidRPr="00791EFA">
        <w:rPr>
          <w:rFonts w:ascii="Garamond" w:eastAsia="Calibri" w:hAnsi="Garamond" w:cs="Times New Roman"/>
          <w:color w:val="auto"/>
          <w:kern w:val="20"/>
          <w:sz w:val="24"/>
          <w:szCs w:val="24"/>
          <w:lang w:val="en-US"/>
        </w:rPr>
        <w:t>Reverberi</w:t>
      </w:r>
      <w:proofErr w:type="spellEnd"/>
      <w:r w:rsidRPr="00791EFA">
        <w:rPr>
          <w:rFonts w:ascii="Garamond" w:eastAsia="Calibri" w:hAnsi="Garamond" w:cs="Times New Roman"/>
          <w:color w:val="auto"/>
          <w:kern w:val="20"/>
          <w:sz w:val="24"/>
          <w:szCs w:val="24"/>
          <w:lang w:val="en-US"/>
        </w:rPr>
        <w:t xml:space="preserve"> et al.</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2012) and valid inferences that have unbelievable conclusions like “The feather is heavy” (Handley et al.</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2011) provides reason to think that those rules are formal and therefore sparse and general.</w:t>
      </w:r>
    </w:p>
    <w:p w14:paraId="20A54D8F" w14:textId="5CC894D9"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What allows logical rules to be formal is that they specify types of structures that can be satisfied by representations. Suppose </w:t>
      </w:r>
      <w:r w:rsidRPr="00791EFA">
        <w:rPr>
          <w:rFonts w:ascii="Garamond" w:eastAsia="Calibri" w:hAnsi="Garamond" w:cs="Times New Roman"/>
          <w:i/>
          <w:color w:val="auto"/>
          <w:kern w:val="20"/>
          <w:sz w:val="24"/>
          <w:szCs w:val="24"/>
          <w:lang w:val="en-US"/>
        </w:rPr>
        <w:t>If [</w:t>
      </w:r>
      <w:r w:rsidRPr="00791EFA">
        <w:rPr>
          <w:rFonts w:ascii="Garamond" w:eastAsia="Calibri" w:hAnsi="Garamond" w:cs="Times New Roman"/>
          <w:i/>
          <w:smallCaps/>
          <w:color w:val="auto"/>
          <w:kern w:val="20"/>
          <w:sz w:val="24"/>
          <w:szCs w:val="24"/>
          <w:lang w:val="en-US"/>
        </w:rPr>
        <w:t>f(x)</w:t>
      </w:r>
      <w:r w:rsidRPr="00791EFA">
        <w:rPr>
          <w:rFonts w:ascii="Garamond" w:eastAsia="Calibri" w:hAnsi="Garamond" w:cs="Times New Roman"/>
          <w:i/>
          <w:color w:val="auto"/>
          <w:kern w:val="20"/>
          <w:sz w:val="24"/>
          <w:szCs w:val="24"/>
          <w:lang w:val="en-US"/>
        </w:rPr>
        <w:t>] and [</w:t>
      </w:r>
      <w:r w:rsidRPr="00791EFA">
        <w:rPr>
          <w:rFonts w:ascii="Garamond" w:eastAsia="Calibri" w:hAnsi="Garamond" w:cs="Times New Roman"/>
          <w:i/>
          <w:smallCaps/>
          <w:color w:val="auto"/>
          <w:kern w:val="20"/>
          <w:sz w:val="24"/>
          <w:szCs w:val="24"/>
          <w:lang w:val="en-US"/>
        </w:rPr>
        <w:t>if f(x) then g(x)</w:t>
      </w:r>
      <w:r w:rsidRPr="00791EFA">
        <w:rPr>
          <w:rFonts w:ascii="Garamond" w:eastAsia="Calibri" w:hAnsi="Garamond" w:cs="Times New Roman"/>
          <w:i/>
          <w:color w:val="auto"/>
          <w:kern w:val="20"/>
          <w:sz w:val="24"/>
          <w:szCs w:val="24"/>
          <w:lang w:val="en-US"/>
        </w:rPr>
        <w:t>] then [</w:t>
      </w:r>
      <w:r w:rsidRPr="00791EFA">
        <w:rPr>
          <w:rFonts w:ascii="Garamond" w:eastAsia="Calibri" w:hAnsi="Garamond" w:cs="Times New Roman"/>
          <w:i/>
          <w:smallCaps/>
          <w:color w:val="auto"/>
          <w:kern w:val="20"/>
          <w:sz w:val="24"/>
          <w:szCs w:val="24"/>
          <w:lang w:val="en-US"/>
        </w:rPr>
        <w:t>g(x)</w:t>
      </w:r>
      <w:r w:rsidRPr="00791EFA">
        <w:rPr>
          <w:rFonts w:ascii="Garamond" w:eastAsia="Calibri" w:hAnsi="Garamond" w:cs="Times New Roman"/>
          <w:i/>
          <w:color w:val="auto"/>
          <w:kern w:val="20"/>
          <w:sz w:val="24"/>
          <w:szCs w:val="24"/>
          <w:lang w:val="en-US"/>
        </w:rPr>
        <w:t>]</w:t>
      </w:r>
      <w:r w:rsidRPr="00791EFA">
        <w:rPr>
          <w:rFonts w:ascii="Garamond" w:eastAsia="Calibri" w:hAnsi="Garamond" w:cs="Times New Roman"/>
          <w:color w:val="auto"/>
          <w:kern w:val="20"/>
          <w:sz w:val="24"/>
          <w:szCs w:val="24"/>
          <w:lang w:val="en-US"/>
        </w:rPr>
        <w:t xml:space="preserve"> is an inferential rule. Since </w:t>
      </w:r>
      <w:r w:rsidRPr="00791EFA">
        <w:rPr>
          <w:rFonts w:ascii="Garamond" w:eastAsia="Calibri" w:hAnsi="Garamond" w:cs="Times New Roman"/>
          <w:smallCaps/>
          <w:color w:val="auto"/>
          <w:kern w:val="20"/>
          <w:sz w:val="24"/>
          <w:szCs w:val="24"/>
          <w:lang w:val="en-US"/>
        </w:rPr>
        <w:t>the weather is bad</w:t>
      </w:r>
      <w:r w:rsidRPr="00791EFA">
        <w:rPr>
          <w:rFonts w:ascii="Garamond" w:eastAsia="Calibri" w:hAnsi="Garamond" w:cs="Times New Roman"/>
          <w:color w:val="auto"/>
          <w:kern w:val="20"/>
          <w:sz w:val="24"/>
          <w:szCs w:val="24"/>
          <w:lang w:val="en-US"/>
        </w:rPr>
        <w:t xml:space="preserve"> and </w:t>
      </w:r>
      <w:r w:rsidRPr="00791EFA">
        <w:rPr>
          <w:rFonts w:ascii="Garamond" w:eastAsia="Calibri" w:hAnsi="Garamond" w:cs="Times New Roman"/>
          <w:smallCaps/>
          <w:color w:val="auto"/>
          <w:kern w:val="20"/>
          <w:sz w:val="24"/>
          <w:szCs w:val="24"/>
          <w:lang w:val="en-US"/>
        </w:rPr>
        <w:t>the apple is wax</w:t>
      </w:r>
      <w:r w:rsidRPr="00791EFA">
        <w:rPr>
          <w:rFonts w:ascii="Garamond" w:eastAsia="Calibri" w:hAnsi="Garamond" w:cs="Times New Roman"/>
          <w:color w:val="auto"/>
          <w:kern w:val="20"/>
          <w:sz w:val="24"/>
          <w:szCs w:val="24"/>
          <w:lang w:val="en-US"/>
        </w:rPr>
        <w:t xml:space="preserve"> both instantiate the structure </w:t>
      </w:r>
      <w:r w:rsidRPr="00791EFA">
        <w:rPr>
          <w:rFonts w:ascii="Garamond" w:eastAsia="Calibri" w:hAnsi="Garamond" w:cs="Times New Roman"/>
          <w:smallCaps/>
          <w:color w:val="auto"/>
          <w:kern w:val="20"/>
          <w:sz w:val="24"/>
          <w:szCs w:val="24"/>
          <w:lang w:val="en-US"/>
        </w:rPr>
        <w:t>f(x)</w:t>
      </w:r>
      <w:r w:rsidRPr="00791EFA">
        <w:rPr>
          <w:rFonts w:ascii="Garamond" w:eastAsia="Calibri" w:hAnsi="Garamond" w:cs="Times New Roman"/>
          <w:color w:val="auto"/>
          <w:kern w:val="20"/>
          <w:sz w:val="24"/>
          <w:szCs w:val="24"/>
          <w:lang w:val="en-US"/>
        </w:rPr>
        <w:t xml:space="preserve">, they can both function as premises in an inference governed by that rule. Satisfying the structural specifications of a rule is independent of the particular semantic values of (non-logical) constituents of the representation, so rules that only specify structural properties of representations are </w:t>
      </w:r>
      <w:r w:rsidRPr="00791EFA">
        <w:rPr>
          <w:rFonts w:ascii="Garamond" w:eastAsia="Calibri" w:hAnsi="Garamond" w:cs="Times New Roman"/>
          <w:i/>
          <w:color w:val="auto"/>
          <w:kern w:val="20"/>
          <w:sz w:val="24"/>
          <w:szCs w:val="24"/>
          <w:lang w:val="en-US"/>
        </w:rPr>
        <w:t>ipso facto</w:t>
      </w:r>
      <w:r w:rsidRPr="00791EFA">
        <w:rPr>
          <w:rFonts w:ascii="Garamond" w:eastAsia="Calibri" w:hAnsi="Garamond" w:cs="Times New Roman"/>
          <w:color w:val="auto"/>
          <w:kern w:val="20"/>
          <w:sz w:val="24"/>
          <w:szCs w:val="24"/>
          <w:lang w:val="en-US"/>
        </w:rPr>
        <w:t xml:space="preserve"> formal rules.</w:t>
      </w:r>
    </w:p>
    <w:p w14:paraId="009D3D45"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Now we can go back to the case of an iconic transition that resembles conjunction introduction. We should note that since icons don’t have constituent structures, they don’t have constituents that function as logical operators (e.g., that express conjunction). But instead of harping on that point, we want to argue for the more interesting thesis that icons can’t be governed by formal rules even independently of their inability to incorporate explicit logical operators. </w:t>
      </w:r>
    </w:p>
    <w:p w14:paraId="2B443D22"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lastRenderedPageBreak/>
        <w:t xml:space="preserve">The fact that icons lack constituent structures precludes them from satisfying structural specifications of logical rules. An iconic representation of a red square doesn’t have separate constituents corresponding to redness and squareness, which means it doesn’t share a constituent with an iconic representation of a red triangle. In that case, a red icon and a square icon cannot be combined into a complex red square icon; rather some rule has to map from the color and shape properties encoded in separate icons to a holistic icon that encodes both color and shape. A rule that says </w:t>
      </w:r>
      <w:r w:rsidRPr="00791EFA">
        <w:rPr>
          <w:rFonts w:ascii="Garamond" w:eastAsia="Calibri" w:hAnsi="Garamond" w:cs="Times New Roman"/>
          <w:i/>
          <w:color w:val="auto"/>
          <w:kern w:val="20"/>
          <w:sz w:val="24"/>
          <w:szCs w:val="24"/>
          <w:lang w:val="en-US"/>
        </w:rPr>
        <w:t>If [F(x)] and [G(x)] then [F(x) &amp; G(x)]</w:t>
      </w:r>
      <w:r w:rsidRPr="00791EFA">
        <w:rPr>
          <w:rFonts w:ascii="Garamond" w:eastAsia="Calibri" w:hAnsi="Garamond" w:cs="Times New Roman"/>
          <w:color w:val="auto"/>
          <w:kern w:val="20"/>
          <w:sz w:val="24"/>
          <w:szCs w:val="24"/>
          <w:lang w:val="en-US"/>
        </w:rPr>
        <w:t xml:space="preserve"> can’t accomplish this task, since there is no constituent of the form F(x) in common between either of the input icons and the output icon.</w:t>
      </w:r>
    </w:p>
    <w:p w14:paraId="73EA1C9D"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This is not to deny that there can be rules that specify aspects of icons that allow for combination of contents. For example, a rule of the form </w:t>
      </w:r>
      <w:r w:rsidRPr="00791EFA">
        <w:rPr>
          <w:rFonts w:ascii="Garamond" w:eastAsia="Calibri" w:hAnsi="Garamond" w:cs="Times New Roman"/>
          <w:i/>
          <w:color w:val="auto"/>
          <w:kern w:val="20"/>
          <w:sz w:val="24"/>
          <w:szCs w:val="24"/>
          <w:lang w:val="en-US"/>
        </w:rPr>
        <w:t>If [red*] and [square*] then [red square*]</w:t>
      </w:r>
      <w:r w:rsidRPr="00791EFA">
        <w:rPr>
          <w:rFonts w:ascii="Garamond" w:eastAsia="Calibri" w:hAnsi="Garamond" w:cs="Times New Roman"/>
          <w:color w:val="auto"/>
          <w:kern w:val="20"/>
          <w:sz w:val="24"/>
          <w:szCs w:val="24"/>
          <w:lang w:val="en-US"/>
        </w:rPr>
        <w:t xml:space="preserve"> can accomplish combination.</w:t>
      </w:r>
      <w:r w:rsidRPr="00791EFA">
        <w:rPr>
          <w:rFonts w:ascii="Garamond" w:eastAsia="Calibri" w:hAnsi="Garamond" w:cs="Times New Roman"/>
          <w:color w:val="auto"/>
          <w:kern w:val="20"/>
          <w:sz w:val="24"/>
          <w:szCs w:val="24"/>
          <w:vertAlign w:val="superscript"/>
          <w:lang w:val="en-US"/>
        </w:rPr>
        <w:footnoteReference w:id="6"/>
      </w:r>
      <w:r w:rsidRPr="00791EFA">
        <w:rPr>
          <w:rFonts w:ascii="Garamond" w:eastAsia="Calibri" w:hAnsi="Garamond" w:cs="Times New Roman"/>
          <w:color w:val="auto"/>
          <w:kern w:val="20"/>
          <w:sz w:val="24"/>
          <w:szCs w:val="24"/>
          <w:lang w:val="en-US"/>
        </w:rPr>
        <w:t xml:space="preserve"> We also don’t intend to deny that there can be rules that specify more abstract aspects of icons, such as </w:t>
      </w:r>
      <w:r w:rsidRPr="00791EFA">
        <w:rPr>
          <w:rFonts w:ascii="Garamond" w:eastAsia="Calibri" w:hAnsi="Garamond" w:cs="Times New Roman"/>
          <w:i/>
          <w:color w:val="auto"/>
          <w:kern w:val="20"/>
          <w:sz w:val="24"/>
          <w:szCs w:val="24"/>
          <w:lang w:val="en-US"/>
        </w:rPr>
        <w:t>If [color*] and [shape*] then [color shape*]</w:t>
      </w:r>
      <w:r w:rsidRPr="00791EFA">
        <w:rPr>
          <w:rFonts w:ascii="Garamond" w:eastAsia="Calibri" w:hAnsi="Garamond" w:cs="Times New Roman"/>
          <w:color w:val="auto"/>
          <w:kern w:val="20"/>
          <w:sz w:val="24"/>
          <w:szCs w:val="24"/>
          <w:lang w:val="en-US"/>
        </w:rPr>
        <w:t>, which ranges over all colors and shapes.</w:t>
      </w:r>
      <w:r w:rsidRPr="00791EFA">
        <w:rPr>
          <w:rFonts w:ascii="Garamond" w:eastAsia="Calibri" w:hAnsi="Garamond" w:cs="Times New Roman"/>
          <w:color w:val="auto"/>
          <w:kern w:val="20"/>
          <w:sz w:val="24"/>
          <w:szCs w:val="24"/>
          <w:vertAlign w:val="superscript"/>
          <w:lang w:val="en-US"/>
        </w:rPr>
        <w:footnoteReference w:id="7"/>
      </w:r>
      <w:r w:rsidRPr="00791EFA">
        <w:rPr>
          <w:rFonts w:ascii="Garamond" w:eastAsia="Calibri" w:hAnsi="Garamond" w:cs="Times New Roman"/>
          <w:color w:val="auto"/>
          <w:kern w:val="20"/>
          <w:sz w:val="24"/>
          <w:szCs w:val="24"/>
          <w:lang w:val="en-US"/>
        </w:rPr>
        <w:t xml:space="preserve"> But neither of these rules is identical to a formal rule such as conjunction introduction; they concern the combinations of features at different levels of abstraction. </w:t>
      </w:r>
    </w:p>
    <w:p w14:paraId="7758A184" w14:textId="5C430A92"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The basic problem is that representations that don’t have constituent structures will be governed by rules that are </w:t>
      </w:r>
      <w:r w:rsidRPr="00791EFA">
        <w:rPr>
          <w:rFonts w:ascii="Garamond" w:eastAsia="Calibri" w:hAnsi="Garamond" w:cs="Times New Roman"/>
          <w:i/>
          <w:color w:val="auto"/>
          <w:kern w:val="20"/>
          <w:sz w:val="24"/>
          <w:szCs w:val="24"/>
          <w:lang w:val="en-US"/>
        </w:rPr>
        <w:t>content-specific</w:t>
      </w:r>
      <w:r w:rsidRPr="00791EFA">
        <w:rPr>
          <w:rFonts w:ascii="Garamond" w:eastAsia="Calibri" w:hAnsi="Garamond" w:cs="Times New Roman"/>
          <w:color w:val="auto"/>
          <w:kern w:val="20"/>
          <w:sz w:val="24"/>
          <w:szCs w:val="24"/>
          <w:lang w:val="en-US"/>
        </w:rPr>
        <w:t>, in that they specify the identities of particular representations.</w:t>
      </w:r>
      <w:r w:rsidRPr="00791EFA">
        <w:rPr>
          <w:rFonts w:ascii="Garamond" w:eastAsia="Calibri" w:hAnsi="Garamond" w:cs="Times New Roman"/>
          <w:color w:val="auto"/>
          <w:kern w:val="20"/>
          <w:sz w:val="24"/>
          <w:szCs w:val="24"/>
          <w:vertAlign w:val="superscript"/>
          <w:lang w:val="en-US"/>
        </w:rPr>
        <w:footnoteReference w:id="8"/>
      </w:r>
      <w:r w:rsidRPr="00791EFA">
        <w:rPr>
          <w:rFonts w:ascii="Garamond" w:eastAsia="Calibri" w:hAnsi="Garamond" w:cs="Times New Roman"/>
          <w:color w:val="auto"/>
          <w:kern w:val="20"/>
          <w:sz w:val="24"/>
          <w:szCs w:val="24"/>
          <w:lang w:val="en-US"/>
        </w:rPr>
        <w:t xml:space="preserve"> Consider rules that only range over syntactically atomic representations, e.g., </w:t>
      </w:r>
      <w:r w:rsidRPr="00791EFA">
        <w:rPr>
          <w:rFonts w:ascii="Garamond" w:eastAsia="Calibri" w:hAnsi="Garamond" w:cs="Times New Roman"/>
          <w:i/>
          <w:color w:val="auto"/>
          <w:kern w:val="20"/>
          <w:sz w:val="24"/>
          <w:szCs w:val="24"/>
          <w:lang w:val="en-US"/>
        </w:rPr>
        <w:t xml:space="preserve">If A </w:t>
      </w:r>
      <w:r w:rsidRPr="00791EFA">
        <w:rPr>
          <w:rFonts w:ascii="Garamond" w:eastAsia="Calibri" w:hAnsi="Garamond" w:cs="Times New Roman"/>
          <w:i/>
          <w:color w:val="auto"/>
          <w:kern w:val="20"/>
          <w:sz w:val="24"/>
          <w:szCs w:val="24"/>
          <w:lang w:val="en-US"/>
        </w:rPr>
        <w:lastRenderedPageBreak/>
        <w:t>and B then C</w:t>
      </w:r>
      <w:r w:rsidRPr="00791EFA">
        <w:rPr>
          <w:rFonts w:ascii="Garamond" w:eastAsia="Calibri" w:hAnsi="Garamond" w:cs="Times New Roman"/>
          <w:color w:val="auto"/>
          <w:kern w:val="20"/>
          <w:sz w:val="24"/>
          <w:szCs w:val="24"/>
          <w:lang w:val="en-US"/>
        </w:rPr>
        <w:t xml:space="preserve">. If this rule were not content-specific, then tokening any two representations would cause the tokening of any third representation with no limitations—i.e., thinking </w:t>
      </w:r>
      <w:r w:rsidRPr="00791EFA">
        <w:rPr>
          <w:rFonts w:ascii="Garamond" w:eastAsia="Calibri" w:hAnsi="Garamond" w:cs="Times New Roman"/>
          <w:smallCaps/>
          <w:color w:val="auto"/>
          <w:kern w:val="20"/>
          <w:sz w:val="24"/>
          <w:szCs w:val="24"/>
          <w:lang w:val="en-US"/>
        </w:rPr>
        <w:t>cat</w:t>
      </w:r>
      <w:r w:rsidRPr="00791EFA">
        <w:rPr>
          <w:rFonts w:ascii="Garamond" w:eastAsia="Calibri" w:hAnsi="Garamond" w:cs="Times New Roman"/>
          <w:color w:val="auto"/>
          <w:kern w:val="20"/>
          <w:sz w:val="24"/>
          <w:szCs w:val="24"/>
          <w:lang w:val="en-US"/>
        </w:rPr>
        <w:t xml:space="preserve"> and </w:t>
      </w:r>
      <w:r w:rsidRPr="00791EFA">
        <w:rPr>
          <w:rFonts w:ascii="Garamond" w:eastAsia="Calibri" w:hAnsi="Garamond" w:cs="Times New Roman"/>
          <w:smallCaps/>
          <w:color w:val="auto"/>
          <w:kern w:val="20"/>
          <w:sz w:val="24"/>
          <w:szCs w:val="24"/>
          <w:lang w:val="en-US"/>
        </w:rPr>
        <w:t>dog</w:t>
      </w:r>
      <w:r w:rsidRPr="00791EFA">
        <w:rPr>
          <w:rFonts w:ascii="Garamond" w:eastAsia="Calibri" w:hAnsi="Garamond" w:cs="Times New Roman"/>
          <w:color w:val="auto"/>
          <w:kern w:val="20"/>
          <w:sz w:val="24"/>
          <w:szCs w:val="24"/>
          <w:lang w:val="en-US"/>
        </w:rPr>
        <w:t xml:space="preserve"> would cause you to token </w:t>
      </w:r>
      <w:r w:rsidR="00735EAD" w:rsidRPr="00791EFA">
        <w:rPr>
          <w:rFonts w:ascii="Garamond" w:eastAsia="Calibri" w:hAnsi="Garamond" w:cs="Times New Roman"/>
          <w:color w:val="auto"/>
          <w:kern w:val="20"/>
          <w:sz w:val="24"/>
          <w:szCs w:val="24"/>
          <w:lang w:val="en-US"/>
        </w:rPr>
        <w:t xml:space="preserve">any </w:t>
      </w:r>
      <w:r w:rsidRPr="00791EFA">
        <w:rPr>
          <w:rFonts w:ascii="Garamond" w:eastAsia="Calibri" w:hAnsi="Garamond" w:cs="Times New Roman"/>
          <w:color w:val="auto"/>
          <w:kern w:val="20"/>
          <w:sz w:val="24"/>
          <w:szCs w:val="24"/>
          <w:lang w:val="en-US"/>
        </w:rPr>
        <w:t>other atomic representation you can. For rules that govern atomic representations to be psychologically plausible, they have to specify particular representations. And in that case, they can’t be formal rules and therefore can’t govern inferences.</w:t>
      </w:r>
    </w:p>
    <w:p w14:paraId="1E392B88"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ab/>
        <w:t xml:space="preserve">The case of icons is more complicated, however, since icons are not atomic. Icons break down into parts that correspond to parts of what they represent, and moreover each part encodes multiple features separately. A red icon with no shape information and a red square icon don’t have a </w:t>
      </w:r>
      <w:r w:rsidRPr="00791EFA">
        <w:rPr>
          <w:rFonts w:ascii="Garamond" w:eastAsia="Calibri" w:hAnsi="Garamond" w:cs="Times New Roman"/>
          <w:i/>
          <w:color w:val="auto"/>
          <w:kern w:val="20"/>
          <w:sz w:val="24"/>
          <w:szCs w:val="24"/>
          <w:lang w:val="en-US"/>
        </w:rPr>
        <w:t>constituent</w:t>
      </w:r>
      <w:r w:rsidRPr="00791EFA">
        <w:rPr>
          <w:rFonts w:ascii="Garamond" w:eastAsia="Calibri" w:hAnsi="Garamond" w:cs="Times New Roman"/>
          <w:color w:val="auto"/>
          <w:kern w:val="20"/>
          <w:sz w:val="24"/>
          <w:szCs w:val="24"/>
          <w:lang w:val="en-US"/>
        </w:rPr>
        <w:t xml:space="preserve"> in common, but they do have something in common—if we denied this fact, then there would be an explosion of primitives whereby every possible arrangement of features is a primitive icon that has nothing in common with any other icon. </w:t>
      </w:r>
    </w:p>
    <w:p w14:paraId="1247CD83" w14:textId="4922999E"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What allows parts of icons to express multiple features at once is that they </w:t>
      </w:r>
      <w:r w:rsidR="00735EAD" w:rsidRPr="00791EFA">
        <w:rPr>
          <w:rFonts w:ascii="Garamond" w:eastAsia="Calibri" w:hAnsi="Garamond" w:cs="Times New Roman"/>
          <w:color w:val="auto"/>
          <w:kern w:val="20"/>
          <w:sz w:val="24"/>
          <w:szCs w:val="24"/>
          <w:lang w:val="en-US"/>
        </w:rPr>
        <w:t xml:space="preserve">instantiate </w:t>
      </w:r>
      <w:r w:rsidRPr="00791EFA">
        <w:rPr>
          <w:rFonts w:ascii="Garamond" w:eastAsia="Calibri" w:hAnsi="Garamond" w:cs="Times New Roman"/>
          <w:color w:val="auto"/>
          <w:kern w:val="20"/>
          <w:sz w:val="24"/>
          <w:szCs w:val="24"/>
          <w:lang w:val="en-US"/>
        </w:rPr>
        <w:t xml:space="preserve">multiple properties at once, each of which corresponds to a property </w:t>
      </w:r>
      <w:r w:rsidR="00C5410A" w:rsidRPr="00791EFA">
        <w:rPr>
          <w:rFonts w:ascii="Garamond" w:eastAsia="Calibri" w:hAnsi="Garamond" w:cs="Times New Roman"/>
          <w:color w:val="auto"/>
          <w:kern w:val="20"/>
          <w:sz w:val="24"/>
          <w:szCs w:val="24"/>
          <w:lang w:val="en-US"/>
        </w:rPr>
        <w:t>of</w:t>
      </w:r>
      <w:r w:rsidRPr="00791EFA">
        <w:rPr>
          <w:rFonts w:ascii="Garamond" w:eastAsia="Calibri" w:hAnsi="Garamond" w:cs="Times New Roman"/>
          <w:color w:val="auto"/>
          <w:kern w:val="20"/>
          <w:sz w:val="24"/>
          <w:szCs w:val="24"/>
          <w:lang w:val="en-US"/>
        </w:rPr>
        <w:t xml:space="preserve"> what’s represented. A part of a photograph might be red and square, and these properties of the part might correspond to </w:t>
      </w:r>
      <w:r w:rsidR="00C5410A" w:rsidRPr="00791EFA">
        <w:rPr>
          <w:rFonts w:ascii="Garamond" w:eastAsia="Calibri" w:hAnsi="Garamond" w:cs="Times New Roman"/>
          <w:color w:val="auto"/>
          <w:kern w:val="20"/>
          <w:sz w:val="24"/>
          <w:szCs w:val="24"/>
          <w:lang w:val="en-US"/>
        </w:rPr>
        <w:t xml:space="preserve">the </w:t>
      </w:r>
      <w:r w:rsidRPr="00791EFA">
        <w:rPr>
          <w:rFonts w:ascii="Garamond" w:eastAsia="Calibri" w:hAnsi="Garamond" w:cs="Times New Roman"/>
          <w:color w:val="auto"/>
          <w:kern w:val="20"/>
          <w:sz w:val="24"/>
          <w:szCs w:val="24"/>
          <w:lang w:val="en-US"/>
        </w:rPr>
        <w:t xml:space="preserve">redness and squareness </w:t>
      </w:r>
      <w:r w:rsidR="00C5410A" w:rsidRPr="00791EFA">
        <w:rPr>
          <w:rFonts w:ascii="Garamond" w:eastAsia="Calibri" w:hAnsi="Garamond" w:cs="Times New Roman"/>
          <w:color w:val="auto"/>
          <w:kern w:val="20"/>
          <w:sz w:val="24"/>
          <w:szCs w:val="24"/>
          <w:lang w:val="en-US"/>
        </w:rPr>
        <w:t>of</w:t>
      </w:r>
      <w:r w:rsidRPr="00791EFA">
        <w:rPr>
          <w:rFonts w:ascii="Garamond" w:eastAsia="Calibri" w:hAnsi="Garamond" w:cs="Times New Roman"/>
          <w:color w:val="auto"/>
          <w:kern w:val="20"/>
          <w:sz w:val="24"/>
          <w:szCs w:val="24"/>
          <w:lang w:val="en-US"/>
        </w:rPr>
        <w:t xml:space="preserve"> what’s represented. Another part might be red and triangular, corresponding to </w:t>
      </w:r>
      <w:r w:rsidR="00C5410A" w:rsidRPr="00791EFA">
        <w:rPr>
          <w:rFonts w:ascii="Garamond" w:eastAsia="Calibri" w:hAnsi="Garamond" w:cs="Times New Roman"/>
          <w:color w:val="auto"/>
          <w:kern w:val="20"/>
          <w:sz w:val="24"/>
          <w:szCs w:val="24"/>
          <w:lang w:val="en-US"/>
        </w:rPr>
        <w:t xml:space="preserve">the </w:t>
      </w:r>
      <w:r w:rsidRPr="00791EFA">
        <w:rPr>
          <w:rFonts w:ascii="Garamond" w:eastAsia="Calibri" w:hAnsi="Garamond" w:cs="Times New Roman"/>
          <w:color w:val="auto"/>
          <w:kern w:val="20"/>
          <w:sz w:val="24"/>
          <w:szCs w:val="24"/>
          <w:lang w:val="en-US"/>
        </w:rPr>
        <w:t xml:space="preserve">redness and triangularity </w:t>
      </w:r>
      <w:r w:rsidR="00C5410A" w:rsidRPr="00791EFA">
        <w:rPr>
          <w:rFonts w:ascii="Garamond" w:eastAsia="Calibri" w:hAnsi="Garamond" w:cs="Times New Roman"/>
          <w:color w:val="auto"/>
          <w:kern w:val="20"/>
          <w:sz w:val="24"/>
          <w:szCs w:val="24"/>
          <w:lang w:val="en-US"/>
        </w:rPr>
        <w:t>of</w:t>
      </w:r>
      <w:r w:rsidRPr="00791EFA">
        <w:rPr>
          <w:rFonts w:ascii="Garamond" w:eastAsia="Calibri" w:hAnsi="Garamond" w:cs="Times New Roman"/>
          <w:color w:val="auto"/>
          <w:kern w:val="20"/>
          <w:sz w:val="24"/>
          <w:szCs w:val="24"/>
          <w:lang w:val="en-US"/>
        </w:rPr>
        <w:t xml:space="preserve"> what’s represented. Since these parts are both red, they have a property (and content) in common. In this case the properties of parts are the properties of what’s represented, which is surely not the case for mental icons. But what matters is that parts of mental icons have vehicular properties (i.e., properties of the representation itself, the “vehicle” of what content it carries) like red* and square* that enable them to express redness and </w:t>
      </w:r>
      <w:r w:rsidRPr="00791EFA">
        <w:rPr>
          <w:rFonts w:ascii="Garamond" w:eastAsia="Calibri" w:hAnsi="Garamond" w:cs="Times New Roman"/>
          <w:color w:val="auto"/>
          <w:kern w:val="20"/>
          <w:sz w:val="24"/>
          <w:szCs w:val="24"/>
          <w:lang w:val="en-US"/>
        </w:rPr>
        <w:lastRenderedPageBreak/>
        <w:t>squareness. How these vehicular properties should be individuated and how the compositionality of parts of icons should be modeled is an extraordinarily thorny issue we won’t tackle here (</w:t>
      </w:r>
      <w:r w:rsidR="005F62B3" w:rsidRPr="00791EFA">
        <w:rPr>
          <w:rFonts w:ascii="Garamond" w:eastAsia="Calibri" w:hAnsi="Garamond" w:cs="Times New Roman"/>
          <w:color w:val="auto"/>
          <w:kern w:val="20"/>
          <w:sz w:val="24"/>
          <w:szCs w:val="24"/>
          <w:lang w:val="en-US"/>
        </w:rPr>
        <w:t xml:space="preserve">for discussion see </w:t>
      </w:r>
      <w:r w:rsidRPr="00791EFA">
        <w:rPr>
          <w:rFonts w:ascii="Garamond" w:eastAsia="Calibri" w:hAnsi="Garamond" w:cs="Times New Roman"/>
          <w:color w:val="auto"/>
          <w:kern w:val="20"/>
          <w:sz w:val="24"/>
          <w:szCs w:val="24"/>
          <w:lang w:val="en-US"/>
        </w:rPr>
        <w:t>Quilty-Dunn</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2017). What’s important for present purposes is that nothing about lacking constituent structure </w:t>
      </w:r>
      <w:r w:rsidRPr="00791EFA">
        <w:rPr>
          <w:rFonts w:ascii="Garamond" w:eastAsia="Calibri" w:hAnsi="Garamond" w:cs="Times New Roman"/>
          <w:i/>
          <w:color w:val="auto"/>
          <w:kern w:val="20"/>
          <w:sz w:val="24"/>
          <w:szCs w:val="24"/>
          <w:lang w:val="en-US"/>
        </w:rPr>
        <w:t>per se</w:t>
      </w:r>
      <w:r w:rsidRPr="00791EFA">
        <w:rPr>
          <w:rFonts w:ascii="Garamond" w:eastAsia="Calibri" w:hAnsi="Garamond" w:cs="Times New Roman"/>
          <w:color w:val="auto"/>
          <w:kern w:val="20"/>
          <w:sz w:val="24"/>
          <w:szCs w:val="24"/>
          <w:lang w:val="en-US"/>
        </w:rPr>
        <w:t xml:space="preserve"> precludes a representation from combining features systematically, as long as it doesn’t do so by means of composing discrete constituents (which the properties of redness, squareness, redness*, and squareness* are plainly not).</w:t>
      </w:r>
    </w:p>
    <w:p w14:paraId="67A3CA8B"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All this entails that icons can be compositional without having constituent structure, so there’s no explosion of representational primitives. But the fact that icons compose features holistically (i.e., by means of properties of a single part rather than combining parts) means that their limited form of compositionality cannot be computationally exploited the same way the compositionality of discursive representations can. If a shape* value, an orientation* value and a location* value all hold of a given part of an icon, then accessing the shape* value requires accessing the orientation* and location* values as well. This means that a computational extraction of shape from an icon requires non-trivial work to differentiate the shape feature from its specific orientation, location, and any other holistically bound properties. </w:t>
      </w:r>
    </w:p>
    <w:p w14:paraId="119E19EE" w14:textId="7DCF1202"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This </w:t>
      </w:r>
      <w:r w:rsidRPr="00791EFA">
        <w:rPr>
          <w:rFonts w:ascii="Garamond" w:eastAsia="Calibri" w:hAnsi="Garamond" w:cs="Times New Roman"/>
          <w:i/>
          <w:color w:val="auto"/>
          <w:kern w:val="20"/>
          <w:sz w:val="24"/>
          <w:szCs w:val="24"/>
          <w:lang w:val="en-US"/>
        </w:rPr>
        <w:t xml:space="preserve">a priori </w:t>
      </w:r>
      <w:r w:rsidRPr="00791EFA">
        <w:rPr>
          <w:rFonts w:ascii="Garamond" w:eastAsia="Calibri" w:hAnsi="Garamond" w:cs="Times New Roman"/>
          <w:color w:val="auto"/>
          <w:kern w:val="20"/>
          <w:sz w:val="24"/>
          <w:szCs w:val="24"/>
          <w:lang w:val="en-US"/>
        </w:rPr>
        <w:t>computational difficulty in extracting a single property from an icon has been noted by philosophers (</w:t>
      </w:r>
      <w:proofErr w:type="spellStart"/>
      <w:r w:rsidRPr="00791EFA">
        <w:rPr>
          <w:rFonts w:ascii="Garamond" w:eastAsia="Calibri" w:hAnsi="Garamond" w:cs="Times New Roman"/>
          <w:color w:val="auto"/>
          <w:kern w:val="20"/>
          <w:sz w:val="24"/>
          <w:szCs w:val="24"/>
          <w:lang w:val="en-US"/>
        </w:rPr>
        <w:t>Dretske</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1981; </w:t>
      </w:r>
      <w:proofErr w:type="spellStart"/>
      <w:r w:rsidRPr="00791EFA">
        <w:rPr>
          <w:rFonts w:ascii="Garamond" w:eastAsia="Calibri" w:hAnsi="Garamond" w:cs="Times New Roman"/>
          <w:color w:val="auto"/>
          <w:kern w:val="20"/>
          <w:sz w:val="24"/>
          <w:szCs w:val="24"/>
          <w:lang w:val="en-US"/>
        </w:rPr>
        <w:t>Haugeland</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199</w:t>
      </w:r>
      <w:r w:rsidR="007A36FA" w:rsidRPr="00791EFA">
        <w:rPr>
          <w:rFonts w:ascii="Garamond" w:eastAsia="Calibri" w:hAnsi="Garamond" w:cs="Times New Roman"/>
          <w:color w:val="auto"/>
          <w:kern w:val="20"/>
          <w:sz w:val="24"/>
          <w:szCs w:val="24"/>
          <w:lang w:val="en-US"/>
        </w:rPr>
        <w:t>8</w:t>
      </w:r>
      <w:r w:rsidRPr="00791EFA">
        <w:rPr>
          <w:rFonts w:ascii="Garamond" w:eastAsia="Calibri" w:hAnsi="Garamond" w:cs="Times New Roman"/>
          <w:color w:val="auto"/>
          <w:kern w:val="20"/>
          <w:sz w:val="24"/>
          <w:szCs w:val="24"/>
          <w:lang w:val="en-US"/>
        </w:rPr>
        <w:t>; Fodor</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2003). It also makes sense of some of the most famous psychological effects involving icons. Take mental rotation. It’s because the shape and orientation of the object are represented by the same parts of the mental image that you can’t immediately compare the shape of two objects at different orientations to see if they’re identical. Instead, the orientation needs to match as well—that is, you have to mentally rotate the image of object B until its orientation* matches the orientation* of object A, and then see whether the simultaneously accessed shape* values concur as well.</w:t>
      </w:r>
    </w:p>
    <w:p w14:paraId="7955745B" w14:textId="018EAD8D"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lastRenderedPageBreak/>
        <w:t xml:space="preserve">The upshot of </w:t>
      </w:r>
      <w:r w:rsidR="00332231" w:rsidRPr="00791EFA">
        <w:rPr>
          <w:rFonts w:ascii="Garamond" w:eastAsia="Calibri" w:hAnsi="Garamond" w:cs="Times New Roman"/>
          <w:color w:val="auto"/>
          <w:kern w:val="20"/>
          <w:sz w:val="24"/>
          <w:szCs w:val="24"/>
          <w:lang w:val="en-US"/>
        </w:rPr>
        <w:t>this discussion</w:t>
      </w:r>
      <w:r w:rsidR="00FE402C" w:rsidRPr="00791EFA">
        <w:rPr>
          <w:rFonts w:ascii="Garamond" w:eastAsia="Calibri" w:hAnsi="Garamond" w:cs="Times New Roman"/>
          <w:color w:val="auto"/>
          <w:kern w:val="20"/>
          <w:sz w:val="24"/>
          <w:szCs w:val="24"/>
          <w:lang w:val="en-US"/>
        </w:rPr>
        <w:t xml:space="preserve"> is that</w:t>
      </w:r>
      <w:r w:rsidRPr="00791EFA">
        <w:rPr>
          <w:rFonts w:ascii="Garamond" w:eastAsia="Calibri" w:hAnsi="Garamond" w:cs="Times New Roman"/>
          <w:color w:val="auto"/>
          <w:kern w:val="20"/>
          <w:sz w:val="24"/>
          <w:szCs w:val="24"/>
          <w:lang w:val="en-US"/>
        </w:rPr>
        <w:t xml:space="preserve"> while icons can compose features without an explosion of representational primitives, the holistic manner in which they do so entails that computational processes have to access features in combination rather than individually. A consequence of this is that the rules governing those processes have to specify particular combinations without breaking them down into their primitive elements. Thus the rule that moves from a red* square* icon to a square* icon cannot simply be of the form </w:t>
      </w:r>
      <w:r w:rsidRPr="00791EFA">
        <w:rPr>
          <w:rFonts w:ascii="Garamond" w:eastAsia="Calibri" w:hAnsi="Garamond" w:cs="Times New Roman"/>
          <w:i/>
          <w:color w:val="auto"/>
          <w:kern w:val="20"/>
          <w:sz w:val="24"/>
          <w:szCs w:val="24"/>
          <w:lang w:val="en-US"/>
        </w:rPr>
        <w:t>If AB then B</w:t>
      </w:r>
      <w:r w:rsidRPr="00791EFA">
        <w:rPr>
          <w:rFonts w:ascii="Garamond" w:eastAsia="Calibri" w:hAnsi="Garamond" w:cs="Times New Roman"/>
          <w:color w:val="auto"/>
          <w:kern w:val="20"/>
          <w:sz w:val="24"/>
          <w:szCs w:val="24"/>
          <w:lang w:val="en-US"/>
        </w:rPr>
        <w:t xml:space="preserve">. A rule of that sort requires that B can be directly extracted from the complex AB, and the </w:t>
      </w:r>
      <w:proofErr w:type="spellStart"/>
      <w:r w:rsidRPr="00791EFA">
        <w:rPr>
          <w:rFonts w:ascii="Garamond" w:eastAsia="Calibri" w:hAnsi="Garamond" w:cs="Times New Roman"/>
          <w:color w:val="auto"/>
          <w:kern w:val="20"/>
          <w:sz w:val="24"/>
          <w:szCs w:val="24"/>
          <w:lang w:val="en-US"/>
        </w:rPr>
        <w:t>holisticity</w:t>
      </w:r>
      <w:proofErr w:type="spellEnd"/>
      <w:r w:rsidRPr="00791EFA">
        <w:rPr>
          <w:rFonts w:ascii="Garamond" w:eastAsia="Calibri" w:hAnsi="Garamond" w:cs="Times New Roman"/>
          <w:color w:val="auto"/>
          <w:kern w:val="20"/>
          <w:sz w:val="24"/>
          <w:szCs w:val="24"/>
          <w:lang w:val="en-US"/>
        </w:rPr>
        <w:t xml:space="preserve"> of icons simply precludes that sort of operation. An individual property can be extracted from an icon only by virtue of some (presumably highly complicated) intermediating process; the extraction cannot be a primitive computational operation. Not so for discursive representations: </w:t>
      </w:r>
      <w:r w:rsidRPr="00791EFA">
        <w:rPr>
          <w:rFonts w:ascii="Garamond" w:eastAsia="Calibri" w:hAnsi="Garamond" w:cs="Times New Roman"/>
          <w:smallCaps/>
          <w:color w:val="auto"/>
          <w:kern w:val="20"/>
          <w:sz w:val="24"/>
          <w:szCs w:val="24"/>
          <w:lang w:val="en-US"/>
        </w:rPr>
        <w:t>cow</w:t>
      </w:r>
      <w:r w:rsidRPr="00791EFA">
        <w:rPr>
          <w:rFonts w:ascii="Garamond" w:eastAsia="Calibri" w:hAnsi="Garamond" w:cs="Times New Roman"/>
          <w:color w:val="auto"/>
          <w:kern w:val="20"/>
          <w:sz w:val="24"/>
          <w:szCs w:val="24"/>
          <w:lang w:val="en-US"/>
        </w:rPr>
        <w:t xml:space="preserve"> can be extracted directly from </w:t>
      </w:r>
      <w:r w:rsidRPr="00791EFA">
        <w:rPr>
          <w:rFonts w:ascii="Garamond" w:eastAsia="Calibri" w:hAnsi="Garamond" w:cs="Times New Roman"/>
          <w:smallCaps/>
          <w:color w:val="auto"/>
          <w:kern w:val="20"/>
          <w:sz w:val="24"/>
          <w:szCs w:val="24"/>
          <w:lang w:val="en-US"/>
        </w:rPr>
        <w:t>brown cow</w:t>
      </w:r>
      <w:r w:rsidRPr="00791EFA">
        <w:rPr>
          <w:rFonts w:ascii="Garamond" w:eastAsia="Calibri" w:hAnsi="Garamond" w:cs="Times New Roman"/>
          <w:color w:val="auto"/>
          <w:kern w:val="20"/>
          <w:sz w:val="24"/>
          <w:szCs w:val="24"/>
          <w:lang w:val="en-US"/>
        </w:rPr>
        <w:t xml:space="preserve"> because it is a discrete constituent in its own right. </w:t>
      </w:r>
    </w:p>
    <w:p w14:paraId="5E5DD067" w14:textId="4D5C120E"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This moral applies in the other direction as well. There can be rules for composing discursive representations of the form </w:t>
      </w:r>
      <w:r w:rsidRPr="00791EFA">
        <w:rPr>
          <w:rFonts w:ascii="Garamond" w:eastAsia="Calibri" w:hAnsi="Garamond" w:cs="Times New Roman"/>
          <w:i/>
          <w:color w:val="auto"/>
          <w:kern w:val="20"/>
          <w:sz w:val="24"/>
          <w:szCs w:val="24"/>
          <w:lang w:val="en-US"/>
        </w:rPr>
        <w:t>If [</w:t>
      </w:r>
      <w:r w:rsidRPr="00791EFA">
        <w:rPr>
          <w:rFonts w:ascii="Garamond" w:eastAsia="Calibri" w:hAnsi="Garamond" w:cs="Times New Roman"/>
          <w:i/>
          <w:smallCaps/>
          <w:color w:val="auto"/>
          <w:kern w:val="20"/>
          <w:sz w:val="24"/>
          <w:szCs w:val="24"/>
          <w:lang w:val="en-US"/>
        </w:rPr>
        <w:t>p</w:t>
      </w:r>
      <w:r w:rsidRPr="00791EFA">
        <w:rPr>
          <w:rFonts w:ascii="Garamond" w:eastAsia="Calibri" w:hAnsi="Garamond" w:cs="Times New Roman"/>
          <w:i/>
          <w:color w:val="auto"/>
          <w:kern w:val="20"/>
          <w:sz w:val="24"/>
          <w:szCs w:val="24"/>
          <w:lang w:val="en-US"/>
        </w:rPr>
        <w:t>] and [</w:t>
      </w:r>
      <w:r w:rsidRPr="00791EFA">
        <w:rPr>
          <w:rFonts w:ascii="Garamond" w:eastAsia="Calibri" w:hAnsi="Garamond" w:cs="Times New Roman"/>
          <w:i/>
          <w:smallCaps/>
          <w:color w:val="auto"/>
          <w:kern w:val="20"/>
          <w:sz w:val="24"/>
          <w:szCs w:val="24"/>
          <w:lang w:val="en-US"/>
        </w:rPr>
        <w:t>q</w:t>
      </w:r>
      <w:r w:rsidRPr="00791EFA">
        <w:rPr>
          <w:rFonts w:ascii="Garamond" w:eastAsia="Calibri" w:hAnsi="Garamond" w:cs="Times New Roman"/>
          <w:i/>
          <w:color w:val="auto"/>
          <w:kern w:val="20"/>
          <w:sz w:val="24"/>
          <w:szCs w:val="24"/>
          <w:lang w:val="en-US"/>
        </w:rPr>
        <w:t>] then [</w:t>
      </w:r>
      <w:r w:rsidRPr="00791EFA">
        <w:rPr>
          <w:rFonts w:ascii="Garamond" w:eastAsia="Calibri" w:hAnsi="Garamond" w:cs="Times New Roman"/>
          <w:i/>
          <w:smallCaps/>
          <w:color w:val="auto"/>
          <w:kern w:val="20"/>
          <w:sz w:val="24"/>
          <w:szCs w:val="24"/>
          <w:lang w:val="en-US"/>
        </w:rPr>
        <w:t xml:space="preserve">p </w:t>
      </w:r>
      <w:r w:rsidR="000D518B" w:rsidRPr="00791EFA">
        <w:rPr>
          <w:rFonts w:ascii="Garamond" w:eastAsia="Calibri" w:hAnsi="Garamond" w:cs="Times New Roman"/>
          <w:i/>
          <w:smallCaps/>
          <w:color w:val="auto"/>
          <w:kern w:val="20"/>
          <w:sz w:val="24"/>
          <w:szCs w:val="24"/>
          <w:lang w:val="en-US"/>
        </w:rPr>
        <w:t>and</w:t>
      </w:r>
      <w:r w:rsidRPr="00791EFA">
        <w:rPr>
          <w:rFonts w:ascii="Garamond" w:eastAsia="Calibri" w:hAnsi="Garamond" w:cs="Times New Roman"/>
          <w:i/>
          <w:smallCaps/>
          <w:color w:val="auto"/>
          <w:kern w:val="20"/>
          <w:sz w:val="24"/>
          <w:szCs w:val="24"/>
          <w:lang w:val="en-US"/>
        </w:rPr>
        <w:t xml:space="preserve"> q</w:t>
      </w:r>
      <w:r w:rsidRPr="00791EFA">
        <w:rPr>
          <w:rFonts w:ascii="Garamond" w:eastAsia="Calibri" w:hAnsi="Garamond" w:cs="Times New Roman"/>
          <w:i/>
          <w:color w:val="auto"/>
          <w:kern w:val="20"/>
          <w:sz w:val="24"/>
          <w:szCs w:val="24"/>
          <w:lang w:val="en-US"/>
        </w:rPr>
        <w:t xml:space="preserve">] </w:t>
      </w:r>
      <w:r w:rsidRPr="00791EFA">
        <w:rPr>
          <w:rFonts w:ascii="Garamond" w:eastAsia="Calibri" w:hAnsi="Garamond" w:cs="Times New Roman"/>
          <w:color w:val="auto"/>
          <w:kern w:val="20"/>
          <w:sz w:val="24"/>
          <w:szCs w:val="24"/>
          <w:lang w:val="en-US"/>
        </w:rPr>
        <w:t xml:space="preserve">because </w:t>
      </w:r>
      <w:r w:rsidRPr="00791EFA">
        <w:rPr>
          <w:rFonts w:ascii="Garamond" w:eastAsia="Calibri" w:hAnsi="Garamond" w:cs="Times New Roman"/>
          <w:smallCaps/>
          <w:color w:val="auto"/>
          <w:kern w:val="20"/>
          <w:sz w:val="24"/>
          <w:szCs w:val="24"/>
          <w:lang w:val="en-US"/>
        </w:rPr>
        <w:t>p and q</w:t>
      </w:r>
      <w:r w:rsidRPr="00791EFA">
        <w:rPr>
          <w:rFonts w:ascii="Garamond" w:eastAsia="Calibri" w:hAnsi="Garamond" w:cs="Times New Roman"/>
          <w:color w:val="auto"/>
          <w:kern w:val="20"/>
          <w:sz w:val="24"/>
          <w:szCs w:val="24"/>
          <w:lang w:val="en-US"/>
        </w:rPr>
        <w:t xml:space="preserve"> has </w:t>
      </w:r>
      <w:r w:rsidRPr="00791EFA">
        <w:rPr>
          <w:rFonts w:ascii="Garamond" w:eastAsia="Calibri" w:hAnsi="Garamond" w:cs="Times New Roman"/>
          <w:smallCaps/>
          <w:color w:val="auto"/>
          <w:kern w:val="20"/>
          <w:sz w:val="24"/>
          <w:szCs w:val="24"/>
          <w:lang w:val="en-US"/>
        </w:rPr>
        <w:t xml:space="preserve">p </w:t>
      </w:r>
      <w:r w:rsidRPr="00791EFA">
        <w:rPr>
          <w:rFonts w:ascii="Garamond" w:eastAsia="Calibri" w:hAnsi="Garamond" w:cs="Times New Roman"/>
          <w:color w:val="auto"/>
          <w:kern w:val="20"/>
          <w:sz w:val="24"/>
          <w:szCs w:val="24"/>
          <w:lang w:val="en-US"/>
        </w:rPr>
        <w:t xml:space="preserve">and </w:t>
      </w:r>
      <w:r w:rsidRPr="00791EFA">
        <w:rPr>
          <w:rFonts w:ascii="Garamond" w:eastAsia="Calibri" w:hAnsi="Garamond" w:cs="Times New Roman"/>
          <w:smallCaps/>
          <w:color w:val="auto"/>
          <w:kern w:val="20"/>
          <w:sz w:val="24"/>
          <w:szCs w:val="24"/>
          <w:lang w:val="en-US"/>
        </w:rPr>
        <w:t>q</w:t>
      </w:r>
      <w:r w:rsidRPr="00791EFA">
        <w:rPr>
          <w:rFonts w:ascii="Garamond" w:eastAsia="Calibri" w:hAnsi="Garamond" w:cs="Times New Roman"/>
          <w:color w:val="auto"/>
          <w:kern w:val="20"/>
          <w:sz w:val="24"/>
          <w:szCs w:val="24"/>
          <w:lang w:val="en-US"/>
        </w:rPr>
        <w:t xml:space="preserve"> as discrete constituents and ties them together via a conjunction operator. But this rule cannot hold over icons, since the computational process can’t differentially specify the elements of the iconic counterpart of </w:t>
      </w:r>
      <w:r w:rsidRPr="00791EFA">
        <w:rPr>
          <w:rFonts w:ascii="Garamond" w:eastAsia="Calibri" w:hAnsi="Garamond" w:cs="Times New Roman"/>
          <w:smallCaps/>
          <w:color w:val="auto"/>
          <w:kern w:val="20"/>
          <w:sz w:val="24"/>
          <w:szCs w:val="24"/>
          <w:lang w:val="en-US"/>
        </w:rPr>
        <w:t>p and q</w:t>
      </w:r>
      <w:r w:rsidRPr="00791EFA">
        <w:rPr>
          <w:rFonts w:ascii="Garamond" w:eastAsia="Calibri" w:hAnsi="Garamond" w:cs="Times New Roman"/>
          <w:color w:val="auto"/>
          <w:kern w:val="20"/>
          <w:sz w:val="24"/>
          <w:szCs w:val="24"/>
          <w:lang w:val="en-US"/>
        </w:rPr>
        <w:t xml:space="preserve"> (e.g., red* square*). Thus the feature integration process of taking a red* icon and a square* icon and delivering a red* square* icon cannot be a genuine instance of conjunction </w:t>
      </w:r>
      <w:r w:rsidR="00CA205C" w:rsidRPr="00791EFA">
        <w:rPr>
          <w:rFonts w:ascii="Garamond" w:eastAsia="Calibri" w:hAnsi="Garamond" w:cs="Times New Roman"/>
          <w:color w:val="auto"/>
          <w:kern w:val="20"/>
          <w:sz w:val="24"/>
          <w:szCs w:val="24"/>
          <w:lang w:val="en-US"/>
        </w:rPr>
        <w:t>introduction but</w:t>
      </w:r>
      <w:r w:rsidRPr="00791EFA">
        <w:rPr>
          <w:rFonts w:ascii="Garamond" w:eastAsia="Calibri" w:hAnsi="Garamond" w:cs="Times New Roman"/>
          <w:color w:val="auto"/>
          <w:kern w:val="20"/>
          <w:sz w:val="24"/>
          <w:szCs w:val="24"/>
          <w:lang w:val="en-US"/>
        </w:rPr>
        <w:t xml:space="preserve"> must instead implement some content-specific rule that maps red* and square* to red* square* under that specific description.</w:t>
      </w:r>
    </w:p>
    <w:p w14:paraId="5010D74F" w14:textId="77777777"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Note that while we’ve managed to avoid an explosion of primitive representational contents, we have run headlong into a mess of primitive computational rules. This would worry us if it weren’t antecedently plausible. But as far as we can tell, perceptual psychology is up to its ears in massively complicated and proprietary algorithms—e.g., there’s little reason to think that the </w:t>
      </w:r>
      <w:r w:rsidRPr="00791EFA">
        <w:rPr>
          <w:rFonts w:ascii="Garamond" w:eastAsia="Calibri" w:hAnsi="Garamond" w:cs="Times New Roman"/>
          <w:color w:val="auto"/>
          <w:kern w:val="20"/>
          <w:sz w:val="24"/>
          <w:szCs w:val="24"/>
          <w:lang w:val="en-US"/>
        </w:rPr>
        <w:lastRenderedPageBreak/>
        <w:t xml:space="preserve">computational rules implemented in deriving 3D shape on the basis of texture gradients are used for chromatic color constancy, or for anything else in the mind for that matter. </w:t>
      </w:r>
    </w:p>
    <w:p w14:paraId="3120CE03" w14:textId="7DCD1804"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The content-specificity of rules for transforming icons also makes sense of an otherwise puzzling aspect of the mental imagery literature. Recall that the fact that orientation* and shape* have to be accessed together explains why you can’t immediately compare the shapes of two objects represented at two different orientations. This means there needs to be some process that matches orientation* in order to match (or discriminate) shape*. But why does this process need to take longer the more intermediating orientation values there are—i.e., why does it have to be mental </w:t>
      </w:r>
      <w:r w:rsidRPr="00791EFA">
        <w:rPr>
          <w:rFonts w:ascii="Garamond" w:eastAsia="Calibri" w:hAnsi="Garamond" w:cs="Times New Roman"/>
          <w:i/>
          <w:color w:val="auto"/>
          <w:kern w:val="20"/>
          <w:sz w:val="24"/>
          <w:szCs w:val="24"/>
          <w:lang w:val="en-US"/>
        </w:rPr>
        <w:t>rotation</w:t>
      </w:r>
      <w:r w:rsidRPr="00791EFA">
        <w:rPr>
          <w:rFonts w:ascii="Garamond" w:eastAsia="Calibri" w:hAnsi="Garamond" w:cs="Times New Roman"/>
          <w:color w:val="auto"/>
          <w:kern w:val="20"/>
          <w:sz w:val="24"/>
          <w:szCs w:val="24"/>
          <w:lang w:val="en-US"/>
        </w:rPr>
        <w:t>? If the image of object A is at orientation-0*</w:t>
      </w:r>
      <w:r w:rsidR="00C5410A" w:rsidRPr="00791EFA">
        <w:rPr>
          <w:rFonts w:ascii="Garamond" w:eastAsia="Calibri" w:hAnsi="Garamond" w:cs="Times New Roman"/>
          <w:color w:val="auto"/>
          <w:kern w:val="20"/>
          <w:sz w:val="24"/>
          <w:szCs w:val="24"/>
          <w:lang w:val="en-US"/>
        </w:rPr>
        <w:t xml:space="preserve"> (i.e., perfectly upright)</w:t>
      </w:r>
      <w:r w:rsidRPr="00791EFA">
        <w:rPr>
          <w:rFonts w:ascii="Garamond" w:eastAsia="Calibri" w:hAnsi="Garamond" w:cs="Times New Roman"/>
          <w:color w:val="auto"/>
          <w:kern w:val="20"/>
          <w:sz w:val="24"/>
          <w:szCs w:val="24"/>
          <w:lang w:val="en-US"/>
        </w:rPr>
        <w:t xml:space="preserve"> and the image of object B is at orientation-</w:t>
      </w:r>
      <w:r w:rsidR="00C5410A" w:rsidRPr="00791EFA">
        <w:rPr>
          <w:rFonts w:ascii="Garamond" w:eastAsia="Calibri" w:hAnsi="Garamond" w:cs="Times New Roman"/>
          <w:color w:val="auto"/>
          <w:kern w:val="20"/>
          <w:sz w:val="24"/>
          <w:szCs w:val="24"/>
          <w:lang w:val="en-US"/>
        </w:rPr>
        <w:t>6</w:t>
      </w:r>
      <w:r w:rsidRPr="00791EFA">
        <w:rPr>
          <w:rFonts w:ascii="Garamond" w:eastAsia="Calibri" w:hAnsi="Garamond" w:cs="Times New Roman"/>
          <w:color w:val="auto"/>
          <w:kern w:val="20"/>
          <w:sz w:val="24"/>
          <w:szCs w:val="24"/>
          <w:lang w:val="en-US"/>
        </w:rPr>
        <w:t>0*</w:t>
      </w:r>
      <w:r w:rsidR="00C5410A" w:rsidRPr="00791EFA">
        <w:rPr>
          <w:rFonts w:ascii="Garamond" w:eastAsia="Calibri" w:hAnsi="Garamond" w:cs="Times New Roman"/>
          <w:color w:val="auto"/>
          <w:kern w:val="20"/>
          <w:sz w:val="24"/>
          <w:szCs w:val="24"/>
          <w:lang w:val="en-US"/>
        </w:rPr>
        <w:t xml:space="preserve"> (i.e., at about two o’clock)</w:t>
      </w:r>
      <w:r w:rsidRPr="00791EFA">
        <w:rPr>
          <w:rFonts w:ascii="Garamond" w:eastAsia="Calibri" w:hAnsi="Garamond" w:cs="Times New Roman"/>
          <w:color w:val="auto"/>
          <w:kern w:val="20"/>
          <w:sz w:val="24"/>
          <w:szCs w:val="24"/>
          <w:lang w:val="en-US"/>
        </w:rPr>
        <w:t xml:space="preserve">, why does the process that delivers an image of B at orientation-0* have to access the orientations* between 0* and </w:t>
      </w:r>
      <w:r w:rsidR="00C5410A" w:rsidRPr="00791EFA">
        <w:rPr>
          <w:rFonts w:ascii="Garamond" w:eastAsia="Calibri" w:hAnsi="Garamond" w:cs="Times New Roman"/>
          <w:color w:val="auto"/>
          <w:kern w:val="20"/>
          <w:sz w:val="24"/>
          <w:szCs w:val="24"/>
          <w:lang w:val="en-US"/>
        </w:rPr>
        <w:t>6</w:t>
      </w:r>
      <w:r w:rsidRPr="00791EFA">
        <w:rPr>
          <w:rFonts w:ascii="Garamond" w:eastAsia="Calibri" w:hAnsi="Garamond" w:cs="Times New Roman"/>
          <w:color w:val="auto"/>
          <w:kern w:val="20"/>
          <w:sz w:val="24"/>
          <w:szCs w:val="24"/>
          <w:lang w:val="en-US"/>
        </w:rPr>
        <w:t>0*? The fact that shape* is bound up with orientation* doesn’t by itself predict this result, since there could be a process that allows you to transform the orientation to whatever value you want. But this process doesn’t underwrite the actual effect, since the effect is that reaction time increases as a linear function of the difference in orientation, and this strongly implies that the process represents the intermediating orientation values</w:t>
      </w:r>
      <w:r w:rsidR="00DA77E2" w:rsidRPr="00791EFA">
        <w:rPr>
          <w:rFonts w:ascii="Garamond" w:eastAsia="Calibri" w:hAnsi="Garamond" w:cs="Times New Roman"/>
          <w:color w:val="auto"/>
          <w:kern w:val="20"/>
          <w:sz w:val="24"/>
          <w:szCs w:val="24"/>
          <w:lang w:val="en-US"/>
        </w:rPr>
        <w:t xml:space="preserve"> (otherwise what else would explain the linear increase?)</w:t>
      </w:r>
      <w:r w:rsidRPr="00791EFA">
        <w:rPr>
          <w:rFonts w:ascii="Garamond" w:eastAsia="Calibri" w:hAnsi="Garamond" w:cs="Times New Roman"/>
          <w:color w:val="auto"/>
          <w:kern w:val="20"/>
          <w:sz w:val="24"/>
          <w:szCs w:val="24"/>
          <w:lang w:val="en-US"/>
        </w:rPr>
        <w:t>. If we suppose that rules for transforming icons are not content-specific, there’s no principled explanation on offer for why the process can’t immediately bridge any two orientation* values via some rule that abstracts away from specific values.</w:t>
      </w:r>
    </w:p>
    <w:p w14:paraId="528C1A89" w14:textId="541D3013"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 xml:space="preserve">Now suppose that the rules for transforming icons </w:t>
      </w:r>
      <w:r w:rsidRPr="00791EFA">
        <w:rPr>
          <w:rFonts w:ascii="Garamond" w:eastAsia="Calibri" w:hAnsi="Garamond" w:cs="Times New Roman"/>
          <w:i/>
          <w:color w:val="auto"/>
          <w:kern w:val="20"/>
          <w:sz w:val="24"/>
          <w:szCs w:val="24"/>
          <w:lang w:val="en-US"/>
        </w:rPr>
        <w:t>are</w:t>
      </w:r>
      <w:r w:rsidRPr="00791EFA">
        <w:rPr>
          <w:rFonts w:ascii="Garamond" w:eastAsia="Calibri" w:hAnsi="Garamond" w:cs="Times New Roman"/>
          <w:color w:val="auto"/>
          <w:kern w:val="20"/>
          <w:sz w:val="24"/>
          <w:szCs w:val="24"/>
          <w:lang w:val="en-US"/>
        </w:rPr>
        <w:t xml:space="preserve"> invariably content-specific. In that case, to go directly from orientation-</w:t>
      </w:r>
      <w:r w:rsidR="00C5410A" w:rsidRPr="00791EFA">
        <w:rPr>
          <w:rFonts w:ascii="Garamond" w:eastAsia="Calibri" w:hAnsi="Garamond" w:cs="Times New Roman"/>
          <w:color w:val="auto"/>
          <w:kern w:val="20"/>
          <w:sz w:val="24"/>
          <w:szCs w:val="24"/>
          <w:lang w:val="en-US"/>
        </w:rPr>
        <w:t>6</w:t>
      </w:r>
      <w:r w:rsidRPr="00791EFA">
        <w:rPr>
          <w:rFonts w:ascii="Garamond" w:eastAsia="Calibri" w:hAnsi="Garamond" w:cs="Times New Roman"/>
          <w:color w:val="auto"/>
          <w:kern w:val="20"/>
          <w:sz w:val="24"/>
          <w:szCs w:val="24"/>
          <w:lang w:val="en-US"/>
        </w:rPr>
        <w:t xml:space="preserve">0* to orientation-0* would require a specific rule for those specific orientations. Likewise for every combination of orientation* values, presenting an unwieldy computational burden. It would be relatively tractable, however, for there to be a content-specific rule for every specific orientation that simply delivers the adjacent orientation values. Thus the </w:t>
      </w:r>
      <w:r w:rsidRPr="00791EFA">
        <w:rPr>
          <w:rFonts w:ascii="Garamond" w:eastAsia="Calibri" w:hAnsi="Garamond" w:cs="Times New Roman"/>
          <w:color w:val="auto"/>
          <w:kern w:val="20"/>
          <w:sz w:val="24"/>
          <w:szCs w:val="24"/>
          <w:lang w:val="en-US"/>
        </w:rPr>
        <w:lastRenderedPageBreak/>
        <w:t>process could move from orientation-</w:t>
      </w:r>
      <w:r w:rsidR="00C5410A" w:rsidRPr="00791EFA">
        <w:rPr>
          <w:rFonts w:ascii="Garamond" w:eastAsia="Calibri" w:hAnsi="Garamond" w:cs="Times New Roman"/>
          <w:color w:val="auto"/>
          <w:kern w:val="20"/>
          <w:sz w:val="24"/>
          <w:szCs w:val="24"/>
          <w:lang w:val="en-US"/>
        </w:rPr>
        <w:t>6</w:t>
      </w:r>
      <w:r w:rsidRPr="00791EFA">
        <w:rPr>
          <w:rFonts w:ascii="Garamond" w:eastAsia="Calibri" w:hAnsi="Garamond" w:cs="Times New Roman"/>
          <w:color w:val="auto"/>
          <w:kern w:val="20"/>
          <w:sz w:val="24"/>
          <w:szCs w:val="24"/>
          <w:lang w:val="en-US"/>
        </w:rPr>
        <w:t>0* to orientation-</w:t>
      </w:r>
      <w:r w:rsidR="00C5410A" w:rsidRPr="00791EFA">
        <w:rPr>
          <w:rFonts w:ascii="Garamond" w:eastAsia="Calibri" w:hAnsi="Garamond" w:cs="Times New Roman"/>
          <w:color w:val="auto"/>
          <w:kern w:val="20"/>
          <w:sz w:val="24"/>
          <w:szCs w:val="24"/>
          <w:lang w:val="en-US"/>
        </w:rPr>
        <w:t>59</w:t>
      </w:r>
      <w:r w:rsidRPr="00791EFA">
        <w:rPr>
          <w:rFonts w:ascii="Garamond" w:eastAsia="Calibri" w:hAnsi="Garamond" w:cs="Times New Roman"/>
          <w:color w:val="auto"/>
          <w:kern w:val="20"/>
          <w:sz w:val="24"/>
          <w:szCs w:val="24"/>
          <w:lang w:val="en-US"/>
        </w:rPr>
        <w:t xml:space="preserve">* via a content-specific rule and likewise for each pair between </w:t>
      </w:r>
      <w:r w:rsidR="00C5410A" w:rsidRPr="00791EFA">
        <w:rPr>
          <w:rFonts w:ascii="Garamond" w:eastAsia="Calibri" w:hAnsi="Garamond" w:cs="Times New Roman"/>
          <w:color w:val="auto"/>
          <w:kern w:val="20"/>
          <w:sz w:val="24"/>
          <w:szCs w:val="24"/>
          <w:lang w:val="en-US"/>
        </w:rPr>
        <w:t>6</w:t>
      </w:r>
      <w:r w:rsidRPr="00791EFA">
        <w:rPr>
          <w:rFonts w:ascii="Garamond" w:eastAsia="Calibri" w:hAnsi="Garamond" w:cs="Times New Roman"/>
          <w:color w:val="auto"/>
          <w:kern w:val="20"/>
          <w:sz w:val="24"/>
          <w:szCs w:val="24"/>
          <w:lang w:val="en-US"/>
        </w:rPr>
        <w:t>0* and 0*. The content-specificity of rules governing iconic transformations thus explains the mental rotation results.</w:t>
      </w:r>
    </w:p>
    <w:p w14:paraId="50773F11" w14:textId="77777777" w:rsidR="00C82354"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To sum up this section: inferences are governed by logical rules; logical rules are formal; formal rules specify structures independently of content; transitions between icons are governed by content-specific rules; so transitions between icons cannot be inferences.</w:t>
      </w:r>
      <w:r w:rsidR="00941626" w:rsidRPr="00791EFA">
        <w:rPr>
          <w:rStyle w:val="FootnoteReference"/>
          <w:rFonts w:ascii="Garamond" w:eastAsia="Calibri" w:hAnsi="Garamond" w:cs="Times New Roman"/>
          <w:color w:val="auto"/>
          <w:kern w:val="20"/>
          <w:sz w:val="24"/>
          <w:szCs w:val="24"/>
          <w:lang w:val="en-US"/>
        </w:rPr>
        <w:footnoteReference w:id="9"/>
      </w:r>
      <w:r w:rsidR="00C82354" w:rsidRPr="00791EFA">
        <w:rPr>
          <w:rFonts w:ascii="Garamond" w:eastAsia="Calibri" w:hAnsi="Garamond" w:cs="Times New Roman"/>
          <w:color w:val="auto"/>
          <w:kern w:val="20"/>
          <w:sz w:val="24"/>
          <w:szCs w:val="24"/>
          <w:lang w:val="en-US"/>
        </w:rPr>
        <w:t xml:space="preserve"> We thus reject the claim that inferences occur in early vision not because we deny that early perceptual processes involve literal transformations over explicitly represented content in line with explicitly stored information but rather because the most plausible format for (many) such early representations precludes them from entering into inferential transitions.</w:t>
      </w:r>
      <w:r w:rsidRPr="00791EFA">
        <w:rPr>
          <w:rFonts w:ascii="Garamond" w:eastAsia="Calibri" w:hAnsi="Garamond" w:cs="Times New Roman"/>
          <w:color w:val="auto"/>
          <w:kern w:val="20"/>
          <w:sz w:val="24"/>
          <w:szCs w:val="24"/>
          <w:lang w:val="en-US"/>
        </w:rPr>
        <w:t xml:space="preserve"> This applies to any transition featuring an icon as an input or output, even if the other representation being transitioned to (or from) is discursive. </w:t>
      </w:r>
    </w:p>
    <w:p w14:paraId="63E2E49E" w14:textId="78F3F8B4"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So</w:t>
      </w:r>
      <w:r w:rsidR="00C82354"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for example, categorization on the basis of iconic inputs can’t be a species of inference. There must be some content-specific rules that map types of icons to types of discursive representations. </w:t>
      </w:r>
      <w:r w:rsidR="00D335FF" w:rsidRPr="00791EFA">
        <w:rPr>
          <w:rFonts w:ascii="Garamond" w:eastAsia="Calibri" w:hAnsi="Garamond" w:cs="Times New Roman"/>
          <w:color w:val="auto"/>
          <w:kern w:val="20"/>
          <w:sz w:val="24"/>
          <w:szCs w:val="24"/>
          <w:lang w:val="en-US"/>
        </w:rPr>
        <w:t>This point fits naturally</w:t>
      </w:r>
      <w:r w:rsidRPr="00791EFA">
        <w:rPr>
          <w:rFonts w:ascii="Garamond" w:eastAsia="Calibri" w:hAnsi="Garamond" w:cs="Times New Roman"/>
          <w:color w:val="auto"/>
          <w:kern w:val="20"/>
          <w:sz w:val="24"/>
          <w:szCs w:val="24"/>
          <w:lang w:val="en-US"/>
        </w:rPr>
        <w:t xml:space="preserve"> with so-called “template-based” or </w:t>
      </w:r>
      <w:r w:rsidR="00EE62F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view-based</w:t>
      </w:r>
      <w:r w:rsidR="00EE62F0"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theories </w:t>
      </w:r>
      <w:r w:rsidRPr="00791EFA">
        <w:rPr>
          <w:rFonts w:ascii="Garamond" w:eastAsia="Calibri" w:hAnsi="Garamond" w:cs="Times New Roman"/>
          <w:color w:val="auto"/>
          <w:kern w:val="20"/>
          <w:sz w:val="24"/>
          <w:szCs w:val="24"/>
          <w:lang w:val="en-US"/>
        </w:rPr>
        <w:lastRenderedPageBreak/>
        <w:t>of categorization, on which categorization processes match stored unstructured viewpoint-dependent representations (which look to us to be icons) to inputs to see whether to apply a category (Ullman</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1996; Edelman &amp; </w:t>
      </w:r>
      <w:proofErr w:type="spellStart"/>
      <w:r w:rsidRPr="00791EFA">
        <w:rPr>
          <w:rFonts w:ascii="Garamond" w:eastAsia="Calibri" w:hAnsi="Garamond" w:cs="Times New Roman"/>
          <w:color w:val="auto"/>
          <w:kern w:val="20"/>
          <w:sz w:val="24"/>
          <w:szCs w:val="24"/>
          <w:lang w:val="en-US"/>
        </w:rPr>
        <w:t>Intrator</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2001). On alternative “structural description” models (Biederman</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1987; Green</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w:t>
      </w:r>
      <w:r w:rsidR="00CF07FB" w:rsidRPr="00791EFA">
        <w:rPr>
          <w:rFonts w:ascii="Garamond" w:eastAsia="Calibri" w:hAnsi="Garamond" w:cs="Times New Roman"/>
          <w:color w:val="auto"/>
          <w:kern w:val="20"/>
          <w:sz w:val="24"/>
          <w:szCs w:val="24"/>
          <w:lang w:val="en-US"/>
        </w:rPr>
        <w:t>2017</w:t>
      </w:r>
      <w:r w:rsidR="001B551C"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categorization processes instead convert iconic inputs into discursive representations that specify abstract structural features; if the incoming structural description accords with the stored description for some category, then the category is applied.</w:t>
      </w:r>
      <w:r w:rsidRPr="00791EFA">
        <w:rPr>
          <w:rFonts w:ascii="Garamond" w:eastAsia="Calibri" w:hAnsi="Garamond" w:cs="Times New Roman"/>
          <w:color w:val="auto"/>
          <w:kern w:val="20"/>
          <w:sz w:val="24"/>
          <w:szCs w:val="24"/>
          <w:vertAlign w:val="superscript"/>
          <w:lang w:val="en-US"/>
        </w:rPr>
        <w:footnoteReference w:id="10"/>
      </w:r>
      <w:r w:rsidRPr="00791EFA">
        <w:rPr>
          <w:rFonts w:ascii="Garamond" w:eastAsia="Calibri" w:hAnsi="Garamond" w:cs="Times New Roman"/>
          <w:color w:val="auto"/>
          <w:kern w:val="20"/>
          <w:sz w:val="24"/>
          <w:szCs w:val="24"/>
          <w:lang w:val="en-US"/>
        </w:rPr>
        <w:t xml:space="preserve"> While the process of deploying a category on the basis of a structural description may be inferential—since both the category and the description are discursive, the transition may be governed by a formal rule—the part of the process that transforms an iconic input into a structural description must be content-specific. While on some theories icons play no role at any stage of perception (</w:t>
      </w:r>
      <w:proofErr w:type="spellStart"/>
      <w:r w:rsidRPr="00791EFA">
        <w:rPr>
          <w:rFonts w:ascii="Garamond" w:eastAsia="Calibri" w:hAnsi="Garamond" w:cs="Times New Roman"/>
          <w:color w:val="auto"/>
          <w:kern w:val="20"/>
          <w:sz w:val="24"/>
          <w:szCs w:val="24"/>
          <w:lang w:val="en-US"/>
        </w:rPr>
        <w:t>Pylyshyn</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2003), we assume that icons can at least occasionally function as inputs to categorization, which entails that categorization is not (</w:t>
      </w:r>
      <w:r w:rsidR="002E6797" w:rsidRPr="00791EFA">
        <w:rPr>
          <w:rFonts w:ascii="Garamond" w:eastAsia="Calibri" w:hAnsi="Garamond" w:cs="Times New Roman"/>
          <w:color w:val="auto"/>
          <w:kern w:val="20"/>
          <w:sz w:val="24"/>
          <w:szCs w:val="24"/>
          <w:lang w:val="en-US"/>
        </w:rPr>
        <w:t xml:space="preserve">or at least not </w:t>
      </w:r>
      <w:r w:rsidRPr="00791EFA">
        <w:rPr>
          <w:rFonts w:ascii="Garamond" w:eastAsia="Calibri" w:hAnsi="Garamond" w:cs="Times New Roman"/>
          <w:color w:val="auto"/>
          <w:kern w:val="20"/>
          <w:sz w:val="24"/>
          <w:szCs w:val="24"/>
          <w:lang w:val="en-US"/>
        </w:rPr>
        <w:t>always) a form of inference.</w:t>
      </w:r>
    </w:p>
    <w:p w14:paraId="12695BFD" w14:textId="6BE055CB" w:rsidR="002D27BA" w:rsidRPr="00791EFA" w:rsidRDefault="002D27BA"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firstLine="720"/>
        <w:contextualSpacing/>
        <w:jc w:val="both"/>
        <w:rPr>
          <w:rFonts w:ascii="Garamond" w:eastAsia="Calibri" w:hAnsi="Garamond" w:cs="Times New Roman"/>
          <w:color w:val="auto"/>
          <w:kern w:val="20"/>
          <w:sz w:val="24"/>
          <w:szCs w:val="24"/>
          <w:lang w:val="en-US"/>
        </w:rPr>
      </w:pPr>
      <w:r w:rsidRPr="00791EFA">
        <w:rPr>
          <w:rFonts w:ascii="Garamond" w:eastAsia="Calibri" w:hAnsi="Garamond" w:cs="Times New Roman"/>
          <w:color w:val="auto"/>
          <w:kern w:val="20"/>
          <w:sz w:val="24"/>
          <w:szCs w:val="24"/>
          <w:lang w:val="en-US"/>
        </w:rPr>
        <w:t>We’re using ‘icon’ to refer to the pure icons that arguably figure in perception and mental imagery. There may be other sorts of icon-</w:t>
      </w:r>
      <w:proofErr w:type="spellStart"/>
      <w:r w:rsidRPr="00791EFA">
        <w:rPr>
          <w:rFonts w:ascii="Garamond" w:eastAsia="Calibri" w:hAnsi="Garamond" w:cs="Times New Roman"/>
          <w:color w:val="auto"/>
          <w:kern w:val="20"/>
          <w:sz w:val="24"/>
          <w:szCs w:val="24"/>
          <w:lang w:val="en-US"/>
        </w:rPr>
        <w:t>ish</w:t>
      </w:r>
      <w:proofErr w:type="spellEnd"/>
      <w:r w:rsidRPr="00791EFA">
        <w:rPr>
          <w:rFonts w:ascii="Garamond" w:eastAsia="Calibri" w:hAnsi="Garamond" w:cs="Times New Roman"/>
          <w:color w:val="auto"/>
          <w:kern w:val="20"/>
          <w:sz w:val="24"/>
          <w:szCs w:val="24"/>
          <w:lang w:val="en-US"/>
        </w:rPr>
        <w:t xml:space="preserve"> formats in the mind such as cognitive maps used for navigation. Rescorla (2009) argues that transitions involving maps only resemble logical inferences, and should instead be modeled differently due to their lack of explicit logical operators. We’re happy to grant this distinction. However, we also think maps have constituent structures (Camp</w:t>
      </w:r>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2007; </w:t>
      </w:r>
      <w:proofErr w:type="spellStart"/>
      <w:r w:rsidRPr="00791EFA">
        <w:rPr>
          <w:rFonts w:ascii="Garamond" w:eastAsia="Calibri" w:hAnsi="Garamond" w:cs="Times New Roman"/>
          <w:color w:val="auto"/>
          <w:kern w:val="20"/>
          <w:sz w:val="24"/>
          <w:szCs w:val="24"/>
          <w:lang w:val="en-US"/>
        </w:rPr>
        <w:t>Blumson</w:t>
      </w:r>
      <w:proofErr w:type="spellEnd"/>
      <w:r w:rsidR="00A50B51" w:rsidRPr="00791EFA">
        <w:rPr>
          <w:rFonts w:ascii="Garamond" w:eastAsia="Calibri" w:hAnsi="Garamond" w:cs="Times New Roman"/>
          <w:color w:val="auto"/>
          <w:kern w:val="20"/>
          <w:sz w:val="24"/>
          <w:szCs w:val="24"/>
          <w:lang w:val="en-US"/>
        </w:rPr>
        <w:t>,</w:t>
      </w:r>
      <w:r w:rsidRPr="00791EFA">
        <w:rPr>
          <w:rFonts w:ascii="Garamond" w:eastAsia="Calibri" w:hAnsi="Garamond" w:cs="Times New Roman"/>
          <w:color w:val="auto"/>
          <w:kern w:val="20"/>
          <w:sz w:val="24"/>
          <w:szCs w:val="24"/>
          <w:lang w:val="en-US"/>
        </w:rPr>
        <w:t xml:space="preserve"> 201</w:t>
      </w:r>
      <w:r w:rsidR="00302A9B" w:rsidRPr="00791EFA">
        <w:rPr>
          <w:rFonts w:ascii="Garamond" w:eastAsia="Calibri" w:hAnsi="Garamond" w:cs="Times New Roman"/>
          <w:color w:val="auto"/>
          <w:kern w:val="20"/>
          <w:sz w:val="24"/>
          <w:szCs w:val="24"/>
          <w:lang w:val="en-US"/>
        </w:rPr>
        <w:t>2</w:t>
      </w:r>
      <w:r w:rsidRPr="00791EFA">
        <w:rPr>
          <w:rFonts w:ascii="Garamond" w:eastAsia="Calibri" w:hAnsi="Garamond" w:cs="Times New Roman"/>
          <w:color w:val="auto"/>
          <w:kern w:val="20"/>
          <w:sz w:val="24"/>
          <w:szCs w:val="24"/>
          <w:lang w:val="en-US"/>
        </w:rPr>
        <w:t xml:space="preserve">), and that they are thus discursive representations that consist of an iconic representation of a spatial terrain organized discursively with other constituents of various possible formats (including markers that may themselves be discursive or iconic). It’s thus possible on our </w:t>
      </w:r>
      <w:r w:rsidRPr="00791EFA">
        <w:rPr>
          <w:rFonts w:ascii="Garamond" w:eastAsia="Calibri" w:hAnsi="Garamond" w:cs="Times New Roman"/>
          <w:color w:val="auto"/>
          <w:kern w:val="20"/>
          <w:sz w:val="24"/>
          <w:szCs w:val="24"/>
          <w:lang w:val="en-US"/>
        </w:rPr>
        <w:lastRenderedPageBreak/>
        <w:t>account that iconic-discursive hybrids like maps could figure in transitions in virtue of rules that specify their constituent structures, and thus count as genuine inferences despite lacking logical operators.</w:t>
      </w:r>
    </w:p>
    <w:p w14:paraId="5A587AD4" w14:textId="52B02286" w:rsidR="007953A6" w:rsidRPr="00791EFA" w:rsidRDefault="007953A6" w:rsidP="00C86BD1">
      <w:pPr>
        <w:spacing w:after="120" w:line="480" w:lineRule="auto"/>
        <w:ind w:firstLine="720"/>
        <w:contextualSpacing/>
        <w:jc w:val="both"/>
        <w:rPr>
          <w:rFonts w:ascii="Garamond" w:eastAsia="Garamond" w:hAnsi="Garamond" w:cs="Times New Roman"/>
          <w:sz w:val="24"/>
          <w:szCs w:val="24"/>
        </w:rPr>
      </w:pPr>
    </w:p>
    <w:p w14:paraId="23B628C1" w14:textId="7EA7BF3E" w:rsidR="00D67E97" w:rsidRPr="00791EFA" w:rsidRDefault="009166B2" w:rsidP="00C86BD1">
      <w:pPr>
        <w:keepNext/>
        <w:spacing w:after="120" w:line="480" w:lineRule="auto"/>
        <w:contextualSpacing/>
        <w:jc w:val="both"/>
        <w:rPr>
          <w:rFonts w:ascii="Garamond" w:eastAsia="Garamond" w:hAnsi="Garamond" w:cs="Times New Roman"/>
          <w:sz w:val="24"/>
          <w:szCs w:val="24"/>
        </w:rPr>
      </w:pPr>
      <w:r w:rsidRPr="00791EFA">
        <w:rPr>
          <w:rFonts w:ascii="Garamond" w:eastAsia="Garamond" w:hAnsi="Garamond" w:cs="Times New Roman"/>
          <w:b/>
          <w:bCs/>
          <w:sz w:val="24"/>
          <w:szCs w:val="24"/>
        </w:rPr>
        <w:t>§</w:t>
      </w:r>
      <w:r w:rsidR="007953A6" w:rsidRPr="00791EFA">
        <w:rPr>
          <w:rFonts w:ascii="Garamond" w:eastAsia="Garamond" w:hAnsi="Garamond" w:cs="Times New Roman"/>
          <w:b/>
          <w:sz w:val="24"/>
          <w:szCs w:val="24"/>
        </w:rPr>
        <w:t>3: The Structure of Association</w:t>
      </w:r>
    </w:p>
    <w:p w14:paraId="262CFD03" w14:textId="573DAD2B" w:rsidR="00E65CF0" w:rsidRPr="00791EFA" w:rsidRDefault="00E65CF0" w:rsidP="00C86BD1">
      <w:pPr>
        <w:spacing w:after="120" w:line="480" w:lineRule="auto"/>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Transitions </w:t>
      </w:r>
      <w:r w:rsidR="00651594" w:rsidRPr="00791EFA">
        <w:rPr>
          <w:rFonts w:ascii="Garamond" w:eastAsia="Garamond" w:hAnsi="Garamond" w:cs="Times New Roman"/>
          <w:sz w:val="24"/>
          <w:szCs w:val="24"/>
        </w:rPr>
        <w:t xml:space="preserve">involving </w:t>
      </w:r>
      <w:r w:rsidRPr="00791EFA">
        <w:rPr>
          <w:rFonts w:ascii="Garamond" w:eastAsia="Garamond" w:hAnsi="Garamond" w:cs="Times New Roman"/>
          <w:sz w:val="24"/>
          <w:szCs w:val="24"/>
        </w:rPr>
        <w:t xml:space="preserve">icons are interesting because they appear to be not quite inferential while also being clearly distinct from association. Association is a useful contrast with </w:t>
      </w:r>
      <w:r w:rsidR="007A36FA" w:rsidRPr="00791EFA">
        <w:rPr>
          <w:rFonts w:ascii="Garamond" w:eastAsia="Garamond" w:hAnsi="Garamond" w:cs="Times New Roman"/>
          <w:sz w:val="24"/>
          <w:szCs w:val="24"/>
        </w:rPr>
        <w:t>both inferential and</w:t>
      </w:r>
      <w:r w:rsidR="001B551C" w:rsidRPr="00791EFA">
        <w:rPr>
          <w:rFonts w:ascii="Garamond" w:eastAsia="Garamond" w:hAnsi="Garamond" w:cs="Times New Roman"/>
          <w:sz w:val="24"/>
          <w:szCs w:val="24"/>
        </w:rPr>
        <w:t xml:space="preserve"> many non-inferential processes</w:t>
      </w:r>
      <w:r w:rsidRPr="00791EFA">
        <w:rPr>
          <w:rFonts w:ascii="Garamond" w:eastAsia="Garamond" w:hAnsi="Garamond" w:cs="Times New Roman"/>
          <w:sz w:val="24"/>
          <w:szCs w:val="24"/>
        </w:rPr>
        <w:t xml:space="preserve"> because association is, in some deep way, </w:t>
      </w:r>
      <w:r w:rsidRPr="00791EFA">
        <w:rPr>
          <w:rFonts w:ascii="Garamond" w:eastAsia="Garamond" w:hAnsi="Garamond" w:cs="Times New Roman"/>
          <w:i/>
          <w:sz w:val="24"/>
          <w:szCs w:val="24"/>
        </w:rPr>
        <w:t>dumb</w:t>
      </w:r>
      <w:r w:rsidRPr="00791EFA">
        <w:rPr>
          <w:rFonts w:ascii="Garamond" w:eastAsia="Garamond" w:hAnsi="Garamond" w:cs="Times New Roman"/>
          <w:sz w:val="24"/>
          <w:szCs w:val="24"/>
        </w:rPr>
        <w:t xml:space="preserve">. Though we think </w:t>
      </w:r>
      <w:r w:rsidR="001B466B" w:rsidRPr="00791EFA">
        <w:rPr>
          <w:rFonts w:ascii="Garamond" w:eastAsia="Garamond" w:hAnsi="Garamond" w:cs="Times New Roman"/>
          <w:sz w:val="24"/>
          <w:szCs w:val="24"/>
        </w:rPr>
        <w:t xml:space="preserve">a process such as </w:t>
      </w:r>
      <w:r w:rsidRPr="00791EFA">
        <w:rPr>
          <w:rFonts w:ascii="Garamond" w:eastAsia="Garamond" w:hAnsi="Garamond" w:cs="Times New Roman"/>
          <w:sz w:val="24"/>
          <w:szCs w:val="24"/>
        </w:rPr>
        <w:t xml:space="preserve">mental rotation </w:t>
      </w:r>
      <w:r w:rsidR="001B466B" w:rsidRPr="00791EFA">
        <w:rPr>
          <w:rFonts w:ascii="Garamond" w:eastAsia="Garamond" w:hAnsi="Garamond" w:cs="Times New Roman"/>
          <w:sz w:val="24"/>
          <w:szCs w:val="24"/>
        </w:rPr>
        <w:t>isn’t</w:t>
      </w:r>
      <w:r w:rsidRPr="00791EFA">
        <w:rPr>
          <w:rFonts w:ascii="Garamond" w:eastAsia="Garamond" w:hAnsi="Garamond" w:cs="Times New Roman"/>
          <w:sz w:val="24"/>
          <w:szCs w:val="24"/>
        </w:rPr>
        <w:t xml:space="preserve"> strictly speaking </w:t>
      </w:r>
      <w:r w:rsidR="001B466B" w:rsidRPr="00791EFA">
        <w:rPr>
          <w:rFonts w:ascii="Garamond" w:eastAsia="Garamond" w:hAnsi="Garamond" w:cs="Times New Roman"/>
          <w:sz w:val="24"/>
          <w:szCs w:val="24"/>
        </w:rPr>
        <w:t xml:space="preserve">an </w:t>
      </w:r>
      <w:r w:rsidRPr="00791EFA">
        <w:rPr>
          <w:rFonts w:ascii="Garamond" w:eastAsia="Garamond" w:hAnsi="Garamond" w:cs="Times New Roman"/>
          <w:sz w:val="24"/>
          <w:szCs w:val="24"/>
        </w:rPr>
        <w:t xml:space="preserve">inferential </w:t>
      </w:r>
      <w:r w:rsidR="001B466B" w:rsidRPr="00791EFA">
        <w:rPr>
          <w:rFonts w:ascii="Garamond" w:eastAsia="Garamond" w:hAnsi="Garamond" w:cs="Times New Roman"/>
          <w:sz w:val="24"/>
          <w:szCs w:val="24"/>
        </w:rPr>
        <w:t>one</w:t>
      </w:r>
      <w:r w:rsidRPr="00791EFA">
        <w:rPr>
          <w:rFonts w:ascii="Garamond" w:eastAsia="Garamond" w:hAnsi="Garamond" w:cs="Times New Roman"/>
          <w:sz w:val="24"/>
          <w:szCs w:val="24"/>
        </w:rPr>
        <w:t xml:space="preserve">, </w:t>
      </w:r>
      <w:r w:rsidR="007A36FA" w:rsidRPr="00791EFA">
        <w:rPr>
          <w:rFonts w:ascii="Garamond" w:eastAsia="Garamond" w:hAnsi="Garamond" w:cs="Times New Roman"/>
          <w:sz w:val="24"/>
          <w:szCs w:val="24"/>
        </w:rPr>
        <w:t xml:space="preserve">for example, it nonetheless </w:t>
      </w:r>
      <w:r w:rsidRPr="00791EFA">
        <w:rPr>
          <w:rFonts w:ascii="Garamond" w:eastAsia="Garamond" w:hAnsi="Garamond" w:cs="Times New Roman"/>
          <w:sz w:val="24"/>
          <w:szCs w:val="24"/>
        </w:rPr>
        <w:t>manifest</w:t>
      </w:r>
      <w:r w:rsidR="007A36FA" w:rsidRPr="00791EFA">
        <w:rPr>
          <w:rFonts w:ascii="Garamond" w:eastAsia="Garamond" w:hAnsi="Garamond" w:cs="Times New Roman"/>
          <w:sz w:val="24"/>
          <w:szCs w:val="24"/>
        </w:rPr>
        <w:t>s</w:t>
      </w:r>
      <w:r w:rsidRPr="00791EFA">
        <w:rPr>
          <w:rFonts w:ascii="Garamond" w:eastAsia="Garamond" w:hAnsi="Garamond" w:cs="Times New Roman"/>
          <w:sz w:val="24"/>
          <w:szCs w:val="24"/>
        </w:rPr>
        <w:t xml:space="preserve"> complex computational intelligence.</w:t>
      </w:r>
    </w:p>
    <w:p w14:paraId="251E552F" w14:textId="1066A8ED" w:rsidR="00EB6EB2" w:rsidRPr="00791EFA" w:rsidRDefault="008B2520"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We think it instructive</w:t>
      </w:r>
      <w:r w:rsidR="00765FAF" w:rsidRPr="00791EFA">
        <w:rPr>
          <w:rFonts w:ascii="Garamond" w:eastAsia="Garamond" w:hAnsi="Garamond" w:cs="Times New Roman"/>
          <w:sz w:val="24"/>
          <w:szCs w:val="24"/>
        </w:rPr>
        <w:t xml:space="preserve"> to dwell on the nature of association, perhaps the most basic type of mental transition.</w:t>
      </w:r>
      <w:r w:rsidR="00EB6EB2" w:rsidRPr="00791EFA">
        <w:rPr>
          <w:rFonts w:ascii="Garamond" w:eastAsia="Garamond" w:hAnsi="Garamond" w:cs="Times New Roman"/>
          <w:sz w:val="24"/>
          <w:szCs w:val="24"/>
        </w:rPr>
        <w:t xml:space="preserve"> Th</w:t>
      </w:r>
      <w:r w:rsidR="00765FAF" w:rsidRPr="00791EFA">
        <w:rPr>
          <w:rFonts w:ascii="Garamond" w:eastAsia="Garamond" w:hAnsi="Garamond" w:cs="Times New Roman"/>
          <w:sz w:val="24"/>
          <w:szCs w:val="24"/>
        </w:rPr>
        <w:t xml:space="preserve">ough the notion </w:t>
      </w:r>
      <w:r w:rsidRPr="00791EFA">
        <w:rPr>
          <w:rFonts w:ascii="Garamond" w:eastAsia="Garamond" w:hAnsi="Garamond" w:cs="Times New Roman"/>
          <w:sz w:val="24"/>
          <w:szCs w:val="24"/>
        </w:rPr>
        <w:t xml:space="preserve">of </w:t>
      </w:r>
      <w:r w:rsidR="00765FAF" w:rsidRPr="00791EFA">
        <w:rPr>
          <w:rFonts w:ascii="Garamond" w:eastAsia="Garamond" w:hAnsi="Garamond" w:cs="Times New Roman"/>
          <w:sz w:val="24"/>
          <w:szCs w:val="24"/>
        </w:rPr>
        <w:t>association</w:t>
      </w:r>
      <w:r w:rsidR="00EB6EB2" w:rsidRPr="00791EFA">
        <w:rPr>
          <w:rFonts w:ascii="Garamond" w:eastAsia="Garamond" w:hAnsi="Garamond" w:cs="Times New Roman"/>
          <w:sz w:val="24"/>
          <w:szCs w:val="24"/>
        </w:rPr>
        <w:t xml:space="preserve"> </w:t>
      </w:r>
      <w:r w:rsidR="00765FAF" w:rsidRPr="00791EFA">
        <w:rPr>
          <w:rFonts w:ascii="Garamond" w:eastAsia="Garamond" w:hAnsi="Garamond" w:cs="Times New Roman"/>
          <w:sz w:val="24"/>
          <w:szCs w:val="24"/>
        </w:rPr>
        <w:t xml:space="preserve">has a long and storied history </w:t>
      </w:r>
      <w:r w:rsidR="00EB6EB2" w:rsidRPr="00791EFA">
        <w:rPr>
          <w:rFonts w:ascii="Garamond" w:eastAsia="Garamond" w:hAnsi="Garamond" w:cs="Times New Roman"/>
          <w:sz w:val="24"/>
          <w:szCs w:val="24"/>
        </w:rPr>
        <w:t>(see, e.g., Mandelbaum</w:t>
      </w:r>
      <w:r w:rsidR="00A50B51" w:rsidRPr="00791EFA">
        <w:rPr>
          <w:rFonts w:ascii="Garamond" w:eastAsia="Garamond" w:hAnsi="Garamond" w:cs="Times New Roman"/>
          <w:sz w:val="24"/>
          <w:szCs w:val="24"/>
        </w:rPr>
        <w:t>, 2015;</w:t>
      </w:r>
      <w:r w:rsidR="00EB6EB2" w:rsidRPr="00791EFA">
        <w:rPr>
          <w:rFonts w:ascii="Garamond" w:eastAsia="Garamond" w:hAnsi="Garamond" w:cs="Times New Roman"/>
          <w:sz w:val="24"/>
          <w:szCs w:val="24"/>
        </w:rPr>
        <w:t xml:space="preserve"> 2016)</w:t>
      </w:r>
      <w:r w:rsidR="00765FAF" w:rsidRPr="00791EFA">
        <w:rPr>
          <w:rFonts w:ascii="Garamond" w:eastAsia="Garamond" w:hAnsi="Garamond" w:cs="Times New Roman"/>
          <w:sz w:val="24"/>
          <w:szCs w:val="24"/>
        </w:rPr>
        <w:t>,</w:t>
      </w:r>
      <w:r w:rsidR="00EB6EB2" w:rsidRPr="00791EFA">
        <w:rPr>
          <w:rFonts w:ascii="Garamond" w:eastAsia="Garamond" w:hAnsi="Garamond" w:cs="Times New Roman"/>
          <w:sz w:val="24"/>
          <w:szCs w:val="24"/>
        </w:rPr>
        <w:t xml:space="preserve"> we think that previous analyses may have moved too quickly, and that the basics of the theory </w:t>
      </w:r>
      <w:r w:rsidR="00765FAF" w:rsidRPr="00791EFA">
        <w:rPr>
          <w:rFonts w:ascii="Garamond" w:eastAsia="Garamond" w:hAnsi="Garamond" w:cs="Times New Roman"/>
          <w:sz w:val="24"/>
          <w:szCs w:val="24"/>
        </w:rPr>
        <w:t xml:space="preserve">of association </w:t>
      </w:r>
      <w:r w:rsidR="00EB6EB2" w:rsidRPr="00791EFA">
        <w:rPr>
          <w:rFonts w:ascii="Garamond" w:eastAsia="Garamond" w:hAnsi="Garamond" w:cs="Times New Roman"/>
          <w:sz w:val="24"/>
          <w:szCs w:val="24"/>
        </w:rPr>
        <w:t xml:space="preserve">could use a reappraisal.  </w:t>
      </w:r>
    </w:p>
    <w:p w14:paraId="1F155832" w14:textId="42CA5025" w:rsidR="00B93F71" w:rsidRPr="00791EFA" w:rsidRDefault="00765FAF"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The term ‘a</w:t>
      </w:r>
      <w:r w:rsidR="00EB6EB2" w:rsidRPr="00791EFA">
        <w:rPr>
          <w:rFonts w:ascii="Garamond" w:eastAsia="Garamond" w:hAnsi="Garamond" w:cs="Times New Roman"/>
          <w:sz w:val="24"/>
          <w:szCs w:val="24"/>
        </w:rPr>
        <w:t>ssociation</w:t>
      </w:r>
      <w:r w:rsidRPr="00791EFA">
        <w:rPr>
          <w:rFonts w:ascii="Garamond" w:eastAsia="Garamond" w:hAnsi="Garamond" w:cs="Times New Roman"/>
          <w:sz w:val="24"/>
          <w:szCs w:val="24"/>
        </w:rPr>
        <w:t>’</w:t>
      </w:r>
      <w:r w:rsidR="00EB6EB2" w:rsidRPr="00791EFA">
        <w:rPr>
          <w:rFonts w:ascii="Garamond" w:eastAsia="Garamond" w:hAnsi="Garamond" w:cs="Times New Roman"/>
          <w:sz w:val="24"/>
          <w:szCs w:val="24"/>
        </w:rPr>
        <w:t xml:space="preserve"> covers at least three different processes:</w:t>
      </w:r>
      <w:r w:rsidR="002E1221" w:rsidRPr="00791EFA">
        <w:rPr>
          <w:rFonts w:ascii="Garamond" w:eastAsia="Garamond" w:hAnsi="Garamond" w:cs="Times New Roman"/>
          <w:sz w:val="24"/>
          <w:szCs w:val="24"/>
        </w:rPr>
        <w:t xml:space="preserve"> associative learning, associative structures, and associative transitions. Associative learning refers to</w:t>
      </w:r>
      <w:r w:rsidR="00EB6EB2" w:rsidRPr="00791EFA">
        <w:rPr>
          <w:rFonts w:ascii="Garamond" w:eastAsia="Garamond" w:hAnsi="Garamond" w:cs="Times New Roman"/>
          <w:sz w:val="24"/>
          <w:szCs w:val="24"/>
        </w:rPr>
        <w:t xml:space="preserve"> a paradigm in which one learns…something. What exactly is learned is part of the debate. One can put it neutrally by saying that one learns contigencies about the world, but a further question </w:t>
      </w:r>
      <w:r w:rsidR="008B2520" w:rsidRPr="00791EFA">
        <w:rPr>
          <w:rFonts w:ascii="Garamond" w:eastAsia="Garamond" w:hAnsi="Garamond" w:cs="Times New Roman"/>
          <w:sz w:val="24"/>
          <w:szCs w:val="24"/>
        </w:rPr>
        <w:t xml:space="preserve">pertains to </w:t>
      </w:r>
      <w:r w:rsidRPr="00791EFA">
        <w:rPr>
          <w:rFonts w:ascii="Garamond" w:eastAsia="Garamond" w:hAnsi="Garamond" w:cs="Times New Roman"/>
          <w:sz w:val="24"/>
          <w:szCs w:val="24"/>
        </w:rPr>
        <w:t>the structure of these acquired contingencies</w:t>
      </w:r>
      <w:r w:rsidR="00EB6EB2" w:rsidRPr="00791EFA">
        <w:rPr>
          <w:rFonts w:ascii="Garamond" w:eastAsia="Garamond" w:hAnsi="Garamond" w:cs="Times New Roman"/>
          <w:sz w:val="24"/>
          <w:szCs w:val="24"/>
        </w:rPr>
        <w:t xml:space="preserve">. Pure associationists (e.g., </w:t>
      </w:r>
      <w:r w:rsidR="000862AE" w:rsidRPr="00791EFA">
        <w:rPr>
          <w:rFonts w:ascii="Garamond" w:eastAsia="Garamond" w:hAnsi="Garamond" w:cs="Times New Roman"/>
          <w:sz w:val="24"/>
          <w:szCs w:val="24"/>
        </w:rPr>
        <w:t xml:space="preserve">John </w:t>
      </w:r>
      <w:r w:rsidR="00EB6EB2" w:rsidRPr="00791EFA">
        <w:rPr>
          <w:rFonts w:ascii="Garamond" w:eastAsia="Garamond" w:hAnsi="Garamond" w:cs="Times New Roman"/>
          <w:sz w:val="24"/>
          <w:szCs w:val="24"/>
        </w:rPr>
        <w:t xml:space="preserve">Locke, </w:t>
      </w:r>
      <w:r w:rsidR="000862AE" w:rsidRPr="00791EFA">
        <w:rPr>
          <w:rFonts w:ascii="Garamond" w:eastAsia="Garamond" w:hAnsi="Garamond" w:cs="Times New Roman"/>
          <w:sz w:val="24"/>
          <w:szCs w:val="24"/>
        </w:rPr>
        <w:t xml:space="preserve">David </w:t>
      </w:r>
      <w:r w:rsidR="00EB6EB2" w:rsidRPr="00791EFA">
        <w:rPr>
          <w:rFonts w:ascii="Garamond" w:eastAsia="Garamond" w:hAnsi="Garamond" w:cs="Times New Roman"/>
          <w:sz w:val="24"/>
          <w:szCs w:val="24"/>
        </w:rPr>
        <w:t xml:space="preserve">Hume, </w:t>
      </w:r>
      <w:r w:rsidR="000862AE" w:rsidRPr="00791EFA">
        <w:rPr>
          <w:rFonts w:ascii="Garamond" w:eastAsia="Garamond" w:hAnsi="Garamond" w:cs="Times New Roman"/>
          <w:sz w:val="24"/>
          <w:szCs w:val="24"/>
        </w:rPr>
        <w:t xml:space="preserve">Ivan </w:t>
      </w:r>
      <w:r w:rsidR="00EB6EB2" w:rsidRPr="00791EFA">
        <w:rPr>
          <w:rFonts w:ascii="Garamond" w:eastAsia="Garamond" w:hAnsi="Garamond" w:cs="Times New Roman"/>
          <w:sz w:val="24"/>
          <w:szCs w:val="24"/>
        </w:rPr>
        <w:t xml:space="preserve">Pavlov, </w:t>
      </w:r>
      <w:r w:rsidR="000862AE" w:rsidRPr="00791EFA">
        <w:rPr>
          <w:rFonts w:ascii="Garamond" w:eastAsia="Garamond" w:hAnsi="Garamond" w:cs="Times New Roman"/>
          <w:sz w:val="24"/>
          <w:szCs w:val="24"/>
        </w:rPr>
        <w:t>Anthony Dickinson,</w:t>
      </w:r>
      <w:r w:rsidR="00EB6EB2" w:rsidRPr="00791EFA">
        <w:rPr>
          <w:rFonts w:ascii="Garamond" w:eastAsia="Garamond" w:hAnsi="Garamond" w:cs="Times New Roman"/>
          <w:sz w:val="24"/>
          <w:szCs w:val="24"/>
        </w:rPr>
        <w:t xml:space="preserve"> </w:t>
      </w:r>
      <w:r w:rsidR="000862AE" w:rsidRPr="00791EFA">
        <w:rPr>
          <w:rFonts w:ascii="Garamond" w:eastAsia="Garamond" w:hAnsi="Garamond" w:cs="Times New Roman"/>
          <w:sz w:val="24"/>
          <w:szCs w:val="24"/>
        </w:rPr>
        <w:t xml:space="preserve">Celia </w:t>
      </w:r>
      <w:r w:rsidR="00EB6EB2" w:rsidRPr="00791EFA">
        <w:rPr>
          <w:rFonts w:ascii="Garamond" w:eastAsia="Garamond" w:hAnsi="Garamond" w:cs="Times New Roman"/>
          <w:sz w:val="24"/>
          <w:szCs w:val="24"/>
        </w:rPr>
        <w:t>Heyes</w:t>
      </w:r>
      <w:r w:rsidR="000862AE" w:rsidRPr="00791EFA">
        <w:rPr>
          <w:rFonts w:ascii="Garamond" w:eastAsia="Garamond" w:hAnsi="Garamond" w:cs="Times New Roman"/>
          <w:sz w:val="24"/>
          <w:szCs w:val="24"/>
        </w:rPr>
        <w:t xml:space="preserve">) </w:t>
      </w:r>
      <w:r w:rsidR="00EB6EB2" w:rsidRPr="00791EFA">
        <w:rPr>
          <w:rFonts w:ascii="Garamond" w:eastAsia="Garamond" w:hAnsi="Garamond" w:cs="Times New Roman"/>
          <w:sz w:val="24"/>
          <w:szCs w:val="24"/>
        </w:rPr>
        <w:t xml:space="preserve">think what is acquired in an associative learning paradigm is an associative structure—a </w:t>
      </w:r>
      <w:r w:rsidR="00D335FF" w:rsidRPr="00791EFA">
        <w:rPr>
          <w:rFonts w:ascii="Garamond" w:eastAsia="Garamond" w:hAnsi="Garamond" w:cs="Times New Roman"/>
          <w:sz w:val="24"/>
          <w:szCs w:val="24"/>
        </w:rPr>
        <w:t xml:space="preserve">pair of </w:t>
      </w:r>
      <w:r w:rsidR="00EB6EB2" w:rsidRPr="00791EFA">
        <w:rPr>
          <w:rFonts w:ascii="Garamond" w:eastAsia="Garamond" w:hAnsi="Garamond" w:cs="Times New Roman"/>
          <w:sz w:val="24"/>
          <w:szCs w:val="24"/>
        </w:rPr>
        <w:t>mental representation</w:t>
      </w:r>
      <w:r w:rsidR="00D335FF" w:rsidRPr="00791EFA">
        <w:rPr>
          <w:rFonts w:ascii="Garamond" w:eastAsia="Garamond" w:hAnsi="Garamond" w:cs="Times New Roman"/>
          <w:sz w:val="24"/>
          <w:szCs w:val="24"/>
        </w:rPr>
        <w:t>s</w:t>
      </w:r>
      <w:r w:rsidR="00EB6EB2" w:rsidRPr="00791EFA">
        <w:rPr>
          <w:rFonts w:ascii="Garamond" w:eastAsia="Garamond" w:hAnsi="Garamond" w:cs="Times New Roman"/>
          <w:sz w:val="24"/>
          <w:szCs w:val="24"/>
        </w:rPr>
        <w:t xml:space="preserve"> that </w:t>
      </w:r>
      <w:r w:rsidR="00D335FF" w:rsidRPr="00791EFA">
        <w:rPr>
          <w:rFonts w:ascii="Garamond" w:eastAsia="Garamond" w:hAnsi="Garamond" w:cs="Times New Roman"/>
          <w:sz w:val="24"/>
          <w:szCs w:val="24"/>
        </w:rPr>
        <w:t xml:space="preserve">are </w:t>
      </w:r>
      <w:r w:rsidR="00EB6EB2" w:rsidRPr="00791EFA">
        <w:rPr>
          <w:rFonts w:ascii="Garamond" w:eastAsia="Garamond" w:hAnsi="Garamond" w:cs="Times New Roman"/>
          <w:sz w:val="24"/>
          <w:szCs w:val="24"/>
        </w:rPr>
        <w:t>structured associatively.</w:t>
      </w:r>
      <w:r w:rsidR="006D72A6" w:rsidRPr="00791EFA">
        <w:rPr>
          <w:rStyle w:val="FootnoteReference"/>
          <w:rFonts w:ascii="Garamond" w:eastAsia="Garamond" w:hAnsi="Garamond" w:cs="Times New Roman"/>
          <w:sz w:val="24"/>
          <w:szCs w:val="24"/>
        </w:rPr>
        <w:footnoteReference w:id="11"/>
      </w:r>
      <w:r w:rsidR="000862AE" w:rsidRPr="00791EFA">
        <w:rPr>
          <w:rFonts w:ascii="Garamond" w:eastAsia="Garamond" w:hAnsi="Garamond" w:cs="Times New Roman"/>
          <w:sz w:val="24"/>
          <w:szCs w:val="24"/>
        </w:rPr>
        <w:t xml:space="preserve"> But what </w:t>
      </w:r>
      <w:r w:rsidR="000862AE" w:rsidRPr="00791EFA">
        <w:rPr>
          <w:rFonts w:ascii="Garamond" w:eastAsia="Garamond" w:hAnsi="Garamond" w:cs="Times New Roman"/>
          <w:sz w:val="24"/>
          <w:szCs w:val="24"/>
        </w:rPr>
        <w:lastRenderedPageBreak/>
        <w:t xml:space="preserve">does “structured associatively” </w:t>
      </w:r>
      <w:r w:rsidR="00A73C0A" w:rsidRPr="00791EFA">
        <w:rPr>
          <w:rFonts w:ascii="Garamond" w:eastAsia="Garamond" w:hAnsi="Garamond" w:cs="Times New Roman"/>
          <w:sz w:val="24"/>
          <w:szCs w:val="24"/>
        </w:rPr>
        <w:t xml:space="preserve">and its cognates (“instantiating an associative relation”) </w:t>
      </w:r>
      <w:r w:rsidR="000862AE" w:rsidRPr="00791EFA">
        <w:rPr>
          <w:rFonts w:ascii="Garamond" w:eastAsia="Garamond" w:hAnsi="Garamond" w:cs="Times New Roman"/>
          <w:sz w:val="24"/>
          <w:szCs w:val="24"/>
        </w:rPr>
        <w:t>amount to</w:t>
      </w:r>
      <w:r w:rsidR="00A73C0A" w:rsidRPr="00791EFA">
        <w:rPr>
          <w:rFonts w:ascii="Garamond" w:eastAsia="Garamond" w:hAnsi="Garamond" w:cs="Times New Roman"/>
          <w:sz w:val="24"/>
          <w:szCs w:val="24"/>
        </w:rPr>
        <w:t>? Association is supposed to be the most basic relation that two mental representations can bear to one another.</w:t>
      </w:r>
      <w:r w:rsidR="008C3663" w:rsidRPr="00791EFA">
        <w:rPr>
          <w:rFonts w:ascii="Garamond" w:eastAsia="Garamond" w:hAnsi="Garamond" w:cs="Times New Roman"/>
          <w:sz w:val="24"/>
          <w:szCs w:val="24"/>
        </w:rPr>
        <w:t xml:space="preserve"> For example, Dickinson (1980, 85) </w:t>
      </w:r>
      <w:r w:rsidR="00B93F71" w:rsidRPr="00791EFA">
        <w:rPr>
          <w:rFonts w:ascii="Garamond" w:eastAsia="Garamond" w:hAnsi="Garamond" w:cs="Times New Roman"/>
          <w:sz w:val="24"/>
          <w:szCs w:val="24"/>
        </w:rPr>
        <w:t xml:space="preserve">describes </w:t>
      </w:r>
      <w:r w:rsidR="008C3663" w:rsidRPr="00791EFA">
        <w:rPr>
          <w:rFonts w:ascii="Garamond" w:eastAsia="Garamond" w:hAnsi="Garamond" w:cs="Times New Roman"/>
          <w:sz w:val="24"/>
          <w:szCs w:val="24"/>
        </w:rPr>
        <w:t xml:space="preserve">association as </w:t>
      </w:r>
      <w:r w:rsidR="00B93F71" w:rsidRPr="00791EFA">
        <w:rPr>
          <w:rFonts w:ascii="Garamond" w:eastAsia="Garamond" w:hAnsi="Garamond" w:cs="Times New Roman"/>
          <w:sz w:val="24"/>
          <w:szCs w:val="24"/>
        </w:rPr>
        <w:t>“an excitatory link which has no other property than that of transmitting excitation from one event representation to another.”</w:t>
      </w:r>
      <w:r w:rsidR="00A73C0A" w:rsidRPr="00791EFA">
        <w:rPr>
          <w:rFonts w:ascii="Garamond" w:eastAsia="Garamond" w:hAnsi="Garamond" w:cs="Times New Roman"/>
          <w:sz w:val="24"/>
          <w:szCs w:val="24"/>
        </w:rPr>
        <w:t xml:space="preserve"> </w:t>
      </w:r>
      <w:r w:rsidR="008C3663" w:rsidRPr="00791EFA">
        <w:rPr>
          <w:rFonts w:ascii="Garamond" w:eastAsia="Garamond" w:hAnsi="Garamond" w:cs="Times New Roman"/>
          <w:sz w:val="24"/>
          <w:szCs w:val="24"/>
        </w:rPr>
        <w:t xml:space="preserve">Such a link is supposed to be maximally simple in that it is </w:t>
      </w:r>
      <w:r w:rsidRPr="00791EFA">
        <w:rPr>
          <w:rFonts w:ascii="Garamond" w:eastAsia="Garamond" w:hAnsi="Garamond" w:cs="Times New Roman"/>
          <w:sz w:val="24"/>
          <w:szCs w:val="24"/>
        </w:rPr>
        <w:t xml:space="preserve">a brute connection between representations (one which is </w:t>
      </w:r>
      <w:r w:rsidR="008C3663" w:rsidRPr="00791EFA">
        <w:rPr>
          <w:rFonts w:ascii="Garamond" w:eastAsia="Garamond" w:hAnsi="Garamond" w:cs="Times New Roman"/>
          <w:sz w:val="24"/>
          <w:szCs w:val="24"/>
        </w:rPr>
        <w:t>merely exci</w:t>
      </w:r>
      <w:r w:rsidRPr="00791EFA">
        <w:rPr>
          <w:rFonts w:ascii="Garamond" w:eastAsia="Garamond" w:hAnsi="Garamond" w:cs="Times New Roman"/>
          <w:sz w:val="24"/>
          <w:szCs w:val="24"/>
        </w:rPr>
        <w:t>ta</w:t>
      </w:r>
      <w:r w:rsidR="008C3663" w:rsidRPr="00791EFA">
        <w:rPr>
          <w:rFonts w:ascii="Garamond" w:eastAsia="Garamond" w:hAnsi="Garamond" w:cs="Times New Roman"/>
          <w:sz w:val="24"/>
          <w:szCs w:val="24"/>
        </w:rPr>
        <w:t>tory, not inhibitory</w:t>
      </w:r>
      <w:r w:rsidRPr="00791EFA">
        <w:rPr>
          <w:rFonts w:ascii="Garamond" w:eastAsia="Garamond" w:hAnsi="Garamond" w:cs="Times New Roman"/>
          <w:sz w:val="24"/>
          <w:szCs w:val="24"/>
        </w:rPr>
        <w:t>)</w:t>
      </w:r>
      <w:r w:rsidR="008C3663" w:rsidRPr="00791EFA">
        <w:rPr>
          <w:rFonts w:ascii="Garamond" w:eastAsia="Garamond" w:hAnsi="Garamond" w:cs="Times New Roman"/>
          <w:sz w:val="24"/>
          <w:szCs w:val="24"/>
        </w:rPr>
        <w:t>.</w:t>
      </w:r>
    </w:p>
    <w:p w14:paraId="45528988" w14:textId="7C28233C" w:rsidR="00B93F71" w:rsidRPr="00791EFA" w:rsidRDefault="00765FAF"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T</w:t>
      </w:r>
      <w:r w:rsidR="00E65CF0" w:rsidRPr="00791EFA">
        <w:rPr>
          <w:rFonts w:ascii="Garamond" w:eastAsia="Garamond" w:hAnsi="Garamond" w:cs="Times New Roman"/>
          <w:sz w:val="24"/>
          <w:szCs w:val="24"/>
        </w:rPr>
        <w:t xml:space="preserve">he structures formed </w:t>
      </w:r>
      <w:r w:rsidRPr="00791EFA">
        <w:rPr>
          <w:rFonts w:ascii="Garamond" w:eastAsia="Garamond" w:hAnsi="Garamond" w:cs="Times New Roman"/>
          <w:sz w:val="24"/>
          <w:szCs w:val="24"/>
        </w:rPr>
        <w:t xml:space="preserve">through association </w:t>
      </w:r>
      <w:r w:rsidR="00E65CF0" w:rsidRPr="00791EFA">
        <w:rPr>
          <w:rFonts w:ascii="Garamond" w:eastAsia="Garamond" w:hAnsi="Garamond" w:cs="Times New Roman"/>
          <w:sz w:val="24"/>
          <w:szCs w:val="24"/>
        </w:rPr>
        <w:t>needn’t be</w:t>
      </w:r>
      <w:r w:rsidRPr="00791EFA">
        <w:rPr>
          <w:rFonts w:ascii="Garamond" w:eastAsia="Garamond" w:hAnsi="Garamond" w:cs="Times New Roman"/>
          <w:sz w:val="24"/>
          <w:szCs w:val="24"/>
        </w:rPr>
        <w:t xml:space="preserve"> simple</w:t>
      </w:r>
      <w:r w:rsidR="00E65CF0" w:rsidRPr="00791EFA">
        <w:rPr>
          <w:rFonts w:ascii="Garamond" w:eastAsia="Garamond" w:hAnsi="Garamond" w:cs="Times New Roman"/>
          <w:sz w:val="24"/>
          <w:szCs w:val="24"/>
        </w:rPr>
        <w:t>. It is reasonable to suppose that t</w:t>
      </w:r>
      <w:r w:rsidR="00B93F71" w:rsidRPr="00791EFA">
        <w:rPr>
          <w:rFonts w:ascii="Garamond" w:eastAsia="Garamond" w:hAnsi="Garamond" w:cs="Times New Roman"/>
          <w:sz w:val="24"/>
          <w:szCs w:val="24"/>
        </w:rPr>
        <w:t xml:space="preserve">he semantic network of concepts in each person’s mind is an enormous reticulated structure consisting of thousands of concepts linked together at varying associative strengths. What makes association dumb is </w:t>
      </w:r>
      <w:r w:rsidRPr="00791EFA">
        <w:rPr>
          <w:rFonts w:ascii="Garamond" w:eastAsia="Garamond" w:hAnsi="Garamond" w:cs="Times New Roman"/>
          <w:sz w:val="24"/>
          <w:szCs w:val="24"/>
        </w:rPr>
        <w:t>thus not its simplicity, but rather</w:t>
      </w:r>
      <w:r w:rsidR="00B93F71" w:rsidRPr="00791EFA">
        <w:rPr>
          <w:rFonts w:ascii="Garamond" w:eastAsia="Garamond" w:hAnsi="Garamond" w:cs="Times New Roman"/>
          <w:sz w:val="24"/>
          <w:szCs w:val="24"/>
        </w:rPr>
        <w:t xml:space="preserve"> its insensitivity to rational considerations. If you’re simultaneously presented with a picture of Trump next to a picture of Rosa Luxemburg two hundred times, then you’ll form an association between Trump and Luxemburg. Your knowledge of the fact that Trump and Luxemburg bear no sort of resemblance and have virtually no relation to each other won’t prevent you from thinking </w:t>
      </w:r>
      <w:r w:rsidR="00B93F71" w:rsidRPr="00791EFA">
        <w:rPr>
          <w:rFonts w:ascii="Garamond" w:eastAsia="Garamond" w:hAnsi="Garamond" w:cs="Times New Roman"/>
          <w:smallCaps/>
          <w:sz w:val="24"/>
          <w:szCs w:val="24"/>
        </w:rPr>
        <w:t>luxemburg</w:t>
      </w:r>
      <w:r w:rsidR="00B93F71" w:rsidRPr="00791EFA">
        <w:rPr>
          <w:rFonts w:ascii="Garamond" w:eastAsia="Garamond" w:hAnsi="Garamond" w:cs="Times New Roman"/>
          <w:sz w:val="24"/>
          <w:szCs w:val="24"/>
        </w:rPr>
        <w:t xml:space="preserve"> when you think </w:t>
      </w:r>
      <w:r w:rsidR="00B93F71" w:rsidRPr="00791EFA">
        <w:rPr>
          <w:rFonts w:ascii="Garamond" w:eastAsia="Garamond" w:hAnsi="Garamond" w:cs="Times New Roman"/>
          <w:smallCaps/>
          <w:sz w:val="24"/>
          <w:szCs w:val="24"/>
        </w:rPr>
        <w:t>trump</w:t>
      </w:r>
      <w:r w:rsidR="00B93F71" w:rsidRPr="00791EFA">
        <w:rPr>
          <w:rFonts w:ascii="Garamond" w:eastAsia="Garamond" w:hAnsi="Garamond" w:cs="Times New Roman"/>
          <w:sz w:val="24"/>
          <w:szCs w:val="24"/>
        </w:rPr>
        <w:t>. The only way to weaken the association would be an extinction paradigm, i.e., to see pictures of Trump without pictures of Luxemburg and vice versa.</w:t>
      </w:r>
    </w:p>
    <w:p w14:paraId="77C66F1A" w14:textId="25A3C563" w:rsidR="00B93F71" w:rsidRPr="00791EFA" w:rsidRDefault="00B93F71" w:rsidP="00C86BD1">
      <w:pPr>
        <w:spacing w:after="120" w:line="480" w:lineRule="auto"/>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            One can therefore take an operationalized approach to the distinction between associative and non-associative transitions: the former can only be changed through extinction (and counter-conditioning) paradigms while the latter may be changeable in other ways, or not at all. This approach can be useful (Mandelbaum</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2015; Quilty-Dunn &amp; Mandelbaum</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w:t>
      </w:r>
      <w:r w:rsidR="005810CB" w:rsidRPr="00791EFA">
        <w:rPr>
          <w:rFonts w:ascii="Garamond" w:eastAsia="Garamond" w:hAnsi="Garamond" w:cs="Times New Roman"/>
          <w:sz w:val="24"/>
          <w:szCs w:val="24"/>
        </w:rPr>
        <w:t>2017</w:t>
      </w:r>
      <w:r w:rsidRPr="00791EFA">
        <w:rPr>
          <w:rFonts w:ascii="Garamond" w:eastAsia="Garamond" w:hAnsi="Garamond" w:cs="Times New Roman"/>
          <w:sz w:val="24"/>
          <w:szCs w:val="24"/>
        </w:rPr>
        <w:t xml:space="preserve">), but it isn’t fully </w:t>
      </w:r>
      <w:r w:rsidRPr="00791EFA">
        <w:rPr>
          <w:rFonts w:ascii="Garamond" w:eastAsia="Garamond" w:hAnsi="Garamond" w:cs="Times New Roman"/>
          <w:sz w:val="24"/>
          <w:szCs w:val="24"/>
        </w:rPr>
        <w:lastRenderedPageBreak/>
        <w:t>philosophically satisfying. Operationalism is an unacceptably su</w:t>
      </w:r>
      <w:r w:rsidR="000118A7" w:rsidRPr="00791EFA">
        <w:rPr>
          <w:rFonts w:ascii="Garamond" w:eastAsia="Garamond" w:hAnsi="Garamond" w:cs="Times New Roman"/>
          <w:sz w:val="24"/>
          <w:szCs w:val="24"/>
        </w:rPr>
        <w:t xml:space="preserve">perficial metaphysics of mind. </w:t>
      </w:r>
      <w:r w:rsidR="000118A7" w:rsidRPr="00791EFA">
        <w:rPr>
          <w:rFonts w:ascii="Garamond" w:eastAsia="Garamond" w:hAnsi="Garamond" w:cs="Times New Roman"/>
          <w:i/>
          <w:sz w:val="24"/>
          <w:szCs w:val="24"/>
        </w:rPr>
        <w:t>Pace</w:t>
      </w:r>
      <w:r w:rsidR="003559EF" w:rsidRPr="00791EFA">
        <w:rPr>
          <w:rFonts w:ascii="Garamond" w:eastAsia="Garamond" w:hAnsi="Garamond" w:cs="Times New Roman"/>
          <w:sz w:val="24"/>
          <w:szCs w:val="24"/>
        </w:rPr>
        <w:t xml:space="preserve"> verificationists</w:t>
      </w:r>
      <w:r w:rsidR="000118A7" w:rsidRPr="00791EFA">
        <w:rPr>
          <w:rFonts w:ascii="Garamond" w:eastAsia="Garamond" w:hAnsi="Garamond" w:cs="Times New Roman"/>
          <w:sz w:val="24"/>
          <w:szCs w:val="24"/>
        </w:rPr>
        <w:t>, o</w:t>
      </w:r>
      <w:r w:rsidRPr="00791EFA">
        <w:rPr>
          <w:rFonts w:ascii="Garamond" w:eastAsia="Garamond" w:hAnsi="Garamond" w:cs="Times New Roman"/>
          <w:sz w:val="24"/>
          <w:szCs w:val="24"/>
        </w:rPr>
        <w:t>perationalizations should be used as measures of underlying mental states and processes, not as specifications of their</w:t>
      </w:r>
      <w:r w:rsidR="000118A7" w:rsidRPr="00791EFA">
        <w:rPr>
          <w:rFonts w:ascii="Garamond" w:eastAsia="Garamond" w:hAnsi="Garamond" w:cs="Times New Roman"/>
          <w:sz w:val="24"/>
          <w:szCs w:val="24"/>
        </w:rPr>
        <w:t xml:space="preserve"> </w:t>
      </w:r>
      <w:r w:rsidRPr="00791EFA">
        <w:rPr>
          <w:rFonts w:ascii="Garamond" w:eastAsia="Garamond" w:hAnsi="Garamond" w:cs="Times New Roman"/>
          <w:sz w:val="24"/>
          <w:szCs w:val="24"/>
        </w:rPr>
        <w:t>nature.</w:t>
      </w:r>
    </w:p>
    <w:p w14:paraId="4AA01129" w14:textId="7FA2C2DE" w:rsidR="00B93F71" w:rsidRPr="00791EFA" w:rsidRDefault="00B93F71"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So, what is the nature of association? Associative transitions between mental states are mediated by a stored associative </w:t>
      </w:r>
      <w:r w:rsidR="003559EF" w:rsidRPr="00791EFA">
        <w:rPr>
          <w:rFonts w:ascii="Garamond" w:eastAsia="Garamond" w:hAnsi="Garamond" w:cs="Times New Roman"/>
          <w:sz w:val="24"/>
          <w:szCs w:val="24"/>
        </w:rPr>
        <w:t>structure that links</w:t>
      </w:r>
      <w:r w:rsidRPr="00791EFA">
        <w:rPr>
          <w:rFonts w:ascii="Garamond" w:eastAsia="Garamond" w:hAnsi="Garamond" w:cs="Times New Roman"/>
          <w:sz w:val="24"/>
          <w:szCs w:val="24"/>
        </w:rPr>
        <w:t xml:space="preserve"> those mental states</w:t>
      </w:r>
      <w:r w:rsidR="00B1023F"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A familiar point from centuries of rationalist critique of associationism is that an associative link does not have a propositional structure. Specifically, association is never sufficient for predication. Thinking </w:t>
      </w:r>
      <w:r w:rsidRPr="00791EFA">
        <w:rPr>
          <w:rFonts w:ascii="Garamond" w:eastAsia="Garamond" w:hAnsi="Garamond" w:cs="Times New Roman"/>
          <w:smallCaps/>
          <w:sz w:val="24"/>
          <w:szCs w:val="24"/>
        </w:rPr>
        <w:t>sugar</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sweet</w:t>
      </w:r>
      <w:r w:rsidRPr="00791EFA">
        <w:rPr>
          <w:rFonts w:ascii="Garamond" w:eastAsia="Garamond" w:hAnsi="Garamond" w:cs="Times New Roman"/>
          <w:sz w:val="24"/>
          <w:szCs w:val="24"/>
        </w:rPr>
        <w:t xml:space="preserve"> is not sufficient for thinking </w:t>
      </w:r>
      <w:r w:rsidRPr="00791EFA">
        <w:rPr>
          <w:rFonts w:ascii="Garamond" w:eastAsia="Garamond" w:hAnsi="Garamond" w:cs="Times New Roman"/>
          <w:smallCaps/>
          <w:sz w:val="24"/>
          <w:szCs w:val="24"/>
        </w:rPr>
        <w:t>sugar is sweet</w:t>
      </w:r>
      <w:r w:rsidRPr="00791EFA">
        <w:rPr>
          <w:rFonts w:ascii="Garamond" w:eastAsia="Garamond" w:hAnsi="Garamond" w:cs="Times New Roman"/>
          <w:sz w:val="24"/>
          <w:szCs w:val="24"/>
        </w:rPr>
        <w:t xml:space="preserve">. Thinking the full propositional thought requires some kind of semantically exploitable ordering, such that the meaning of </w:t>
      </w:r>
      <w:r w:rsidRPr="00791EFA">
        <w:rPr>
          <w:rFonts w:ascii="Garamond" w:eastAsia="Garamond" w:hAnsi="Garamond" w:cs="Times New Roman"/>
          <w:smallCaps/>
          <w:sz w:val="24"/>
          <w:szCs w:val="24"/>
        </w:rPr>
        <w:t>sweet</w:t>
      </w:r>
      <w:r w:rsidRPr="00791EFA">
        <w:rPr>
          <w:rFonts w:ascii="Garamond" w:eastAsia="Garamond" w:hAnsi="Garamond" w:cs="Times New Roman"/>
          <w:sz w:val="24"/>
          <w:szCs w:val="24"/>
        </w:rPr>
        <w:t xml:space="preserve"> is predicated of the meaning of </w:t>
      </w:r>
      <w:r w:rsidRPr="00791EFA">
        <w:rPr>
          <w:rFonts w:ascii="Garamond" w:eastAsia="Garamond" w:hAnsi="Garamond" w:cs="Times New Roman"/>
          <w:smallCaps/>
          <w:sz w:val="24"/>
          <w:szCs w:val="24"/>
        </w:rPr>
        <w:t>sugar</w:t>
      </w:r>
      <w:r w:rsidRPr="00791EFA">
        <w:rPr>
          <w:rFonts w:ascii="Garamond" w:eastAsia="Garamond" w:hAnsi="Garamond" w:cs="Times New Roman"/>
          <w:sz w:val="24"/>
          <w:szCs w:val="24"/>
        </w:rPr>
        <w:t xml:space="preserve"> and not (necessarily) vice versa (Kant</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1781; Fodor</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2003). The predicative relation between constituents of propositional structures is thus asymmetric.</w:t>
      </w:r>
    </w:p>
    <w:p w14:paraId="1446F5FA" w14:textId="178700E9" w:rsidR="009E4C1B" w:rsidRPr="00791EFA" w:rsidRDefault="00B93F71"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As noted, the argument that associative links don’t suffice for propositional structure is quite well known. But the deeper point is that</w:t>
      </w:r>
      <w:r w:rsidR="003559EF" w:rsidRPr="00791EFA">
        <w:rPr>
          <w:rFonts w:ascii="Garamond" w:eastAsia="Garamond" w:hAnsi="Garamond" w:cs="Times New Roman"/>
          <w:sz w:val="24"/>
          <w:szCs w:val="24"/>
        </w:rPr>
        <w:t xml:space="preserve"> as classically understood,</w:t>
      </w:r>
      <w:r w:rsidRPr="00791EFA">
        <w:rPr>
          <w:rFonts w:ascii="Garamond" w:eastAsia="Garamond" w:hAnsi="Garamond" w:cs="Times New Roman"/>
          <w:sz w:val="24"/>
          <w:szCs w:val="24"/>
        </w:rPr>
        <w:t xml:space="preserve"> associative links don’t merely have a non-propositional structure—they simply have no internal structure to speak of. An associative link is just the propensity of two representations to be activated together. It follows that, at least ideally, associative links are </w:t>
      </w:r>
      <w:r w:rsidRPr="00791EFA">
        <w:rPr>
          <w:rFonts w:ascii="Garamond" w:eastAsia="Garamond" w:hAnsi="Garamond" w:cs="Times New Roman"/>
          <w:i/>
          <w:sz w:val="24"/>
          <w:szCs w:val="24"/>
        </w:rPr>
        <w:t>symmetric</w:t>
      </w:r>
      <w:r w:rsidRPr="00791EFA">
        <w:rPr>
          <w:rFonts w:ascii="Garamond" w:eastAsia="Garamond" w:hAnsi="Garamond" w:cs="Times New Roman"/>
          <w:sz w:val="24"/>
          <w:szCs w:val="24"/>
        </w:rPr>
        <w:t>.</w:t>
      </w:r>
      <w:r w:rsidR="009E4C1B" w:rsidRPr="00791EFA">
        <w:rPr>
          <w:rFonts w:ascii="Garamond" w:eastAsia="Garamond" w:hAnsi="Garamond" w:cs="Times New Roman"/>
          <w:sz w:val="24"/>
          <w:szCs w:val="24"/>
        </w:rPr>
        <w:t xml:space="preserve"> </w:t>
      </w:r>
      <w:r w:rsidR="008949B0" w:rsidRPr="00791EFA">
        <w:rPr>
          <w:rFonts w:ascii="Garamond" w:eastAsia="Garamond" w:hAnsi="Garamond" w:cs="Times New Roman"/>
          <w:sz w:val="24"/>
          <w:szCs w:val="24"/>
        </w:rPr>
        <w:t xml:space="preserve">That is, if A and B are associated, then </w:t>
      </w:r>
      <w:r w:rsidR="002068DB" w:rsidRPr="00791EFA">
        <w:rPr>
          <w:rFonts w:ascii="Garamond" w:eastAsia="Garamond" w:hAnsi="Garamond" w:cs="Times New Roman"/>
          <w:sz w:val="24"/>
          <w:szCs w:val="24"/>
        </w:rPr>
        <w:t>(</w:t>
      </w:r>
      <w:r w:rsidR="002068DB" w:rsidRPr="00791EFA">
        <w:rPr>
          <w:rFonts w:ascii="Garamond" w:eastAsia="Garamond" w:hAnsi="Garamond" w:cs="Times New Roman"/>
          <w:i/>
          <w:sz w:val="24"/>
          <w:szCs w:val="24"/>
        </w:rPr>
        <w:t>ceteris paribus</w:t>
      </w:r>
      <w:r w:rsidR="002068DB" w:rsidRPr="00791EFA">
        <w:rPr>
          <w:rFonts w:ascii="Garamond" w:eastAsia="Garamond" w:hAnsi="Garamond" w:cs="Times New Roman"/>
          <w:sz w:val="24"/>
          <w:szCs w:val="24"/>
        </w:rPr>
        <w:t xml:space="preserve">!) </w:t>
      </w:r>
      <w:r w:rsidR="008949B0" w:rsidRPr="00791EFA">
        <w:rPr>
          <w:rFonts w:ascii="Garamond" w:eastAsia="Garamond" w:hAnsi="Garamond" w:cs="Times New Roman"/>
          <w:sz w:val="24"/>
          <w:szCs w:val="24"/>
        </w:rPr>
        <w:t>activating either will cause the activation of its associate.</w:t>
      </w:r>
    </w:p>
    <w:p w14:paraId="086A74E1" w14:textId="613EF37F" w:rsidR="003559EF" w:rsidRPr="00791EFA" w:rsidRDefault="009E4C1B"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The symmetry condition on association leads to a problem</w:t>
      </w:r>
      <w:r w:rsidR="003559EF" w:rsidRPr="00791EFA">
        <w:rPr>
          <w:rFonts w:ascii="Garamond" w:eastAsia="Garamond" w:hAnsi="Garamond" w:cs="Times New Roman"/>
          <w:sz w:val="24"/>
          <w:szCs w:val="24"/>
        </w:rPr>
        <w:t>, however</w:t>
      </w:r>
      <w:r w:rsidRPr="00791EFA">
        <w:rPr>
          <w:rFonts w:ascii="Garamond" w:eastAsia="Garamond" w:hAnsi="Garamond" w:cs="Times New Roman"/>
          <w:sz w:val="24"/>
          <w:szCs w:val="24"/>
        </w:rPr>
        <w:t xml:space="preserve">, </w:t>
      </w:r>
      <w:r w:rsidR="003559EF" w:rsidRPr="00791EFA">
        <w:rPr>
          <w:rFonts w:ascii="Garamond" w:eastAsia="Garamond" w:hAnsi="Garamond" w:cs="Times New Roman"/>
          <w:sz w:val="24"/>
          <w:szCs w:val="24"/>
        </w:rPr>
        <w:t xml:space="preserve">since </w:t>
      </w:r>
      <w:r w:rsidRPr="00791EFA">
        <w:rPr>
          <w:rFonts w:ascii="Garamond" w:eastAsia="Garamond" w:hAnsi="Garamond" w:cs="Times New Roman"/>
          <w:sz w:val="24"/>
          <w:szCs w:val="24"/>
        </w:rPr>
        <w:t xml:space="preserve">most </w:t>
      </w:r>
      <w:r w:rsidR="003559EF" w:rsidRPr="00791EFA">
        <w:rPr>
          <w:rFonts w:ascii="Garamond" w:eastAsia="Garamond" w:hAnsi="Garamond" w:cs="Times New Roman"/>
          <w:sz w:val="24"/>
          <w:szCs w:val="24"/>
        </w:rPr>
        <w:t>links</w:t>
      </w:r>
      <w:r w:rsidRPr="00791EFA">
        <w:rPr>
          <w:rFonts w:ascii="Garamond" w:eastAsia="Garamond" w:hAnsi="Garamond" w:cs="Times New Roman"/>
          <w:sz w:val="24"/>
          <w:szCs w:val="24"/>
        </w:rPr>
        <w:t xml:space="preserve"> between mental represen</w:t>
      </w:r>
      <w:r w:rsidR="003559EF" w:rsidRPr="00791EFA">
        <w:rPr>
          <w:rFonts w:ascii="Garamond" w:eastAsia="Garamond" w:hAnsi="Garamond" w:cs="Times New Roman"/>
          <w:sz w:val="24"/>
          <w:szCs w:val="24"/>
        </w:rPr>
        <w:t>t</w:t>
      </w:r>
      <w:r w:rsidRPr="00791EFA">
        <w:rPr>
          <w:rFonts w:ascii="Garamond" w:eastAsia="Garamond" w:hAnsi="Garamond" w:cs="Times New Roman"/>
          <w:sz w:val="24"/>
          <w:szCs w:val="24"/>
        </w:rPr>
        <w:t>ations are not in fact sym</w:t>
      </w:r>
      <w:r w:rsidR="003559EF" w:rsidRPr="00791EFA">
        <w:rPr>
          <w:rFonts w:ascii="Garamond" w:eastAsia="Garamond" w:hAnsi="Garamond" w:cs="Times New Roman"/>
          <w:sz w:val="24"/>
          <w:szCs w:val="24"/>
        </w:rPr>
        <w:t>m</w:t>
      </w:r>
      <w:r w:rsidRPr="00791EFA">
        <w:rPr>
          <w:rFonts w:ascii="Garamond" w:eastAsia="Garamond" w:hAnsi="Garamond" w:cs="Times New Roman"/>
          <w:sz w:val="24"/>
          <w:szCs w:val="24"/>
        </w:rPr>
        <w:t xml:space="preserve">etric. </w:t>
      </w:r>
      <w:r w:rsidR="003559EF" w:rsidRPr="00791EFA">
        <w:rPr>
          <w:rFonts w:ascii="Garamond" w:eastAsia="Garamond" w:hAnsi="Garamond" w:cs="Times New Roman"/>
          <w:sz w:val="24"/>
          <w:szCs w:val="24"/>
        </w:rPr>
        <w:t xml:space="preserve">Thinking </w:t>
      </w:r>
      <w:r w:rsidR="003559EF" w:rsidRPr="00791EFA">
        <w:rPr>
          <w:rFonts w:ascii="Garamond" w:eastAsia="Garamond" w:hAnsi="Garamond" w:cs="Times New Roman"/>
          <w:smallCaps/>
          <w:sz w:val="24"/>
          <w:szCs w:val="24"/>
        </w:rPr>
        <w:t>u</w:t>
      </w:r>
      <w:r w:rsidRPr="00791EFA">
        <w:rPr>
          <w:rFonts w:ascii="Garamond" w:eastAsia="Garamond" w:hAnsi="Garamond" w:cs="Times New Roman"/>
          <w:smallCaps/>
          <w:sz w:val="24"/>
          <w:szCs w:val="24"/>
        </w:rPr>
        <w:t>lterior</w:t>
      </w:r>
      <w:r w:rsidRPr="00791EFA">
        <w:rPr>
          <w:rFonts w:ascii="Garamond" w:eastAsia="Garamond" w:hAnsi="Garamond" w:cs="Times New Roman"/>
          <w:sz w:val="24"/>
          <w:szCs w:val="24"/>
        </w:rPr>
        <w:t xml:space="preserve"> leads to</w:t>
      </w:r>
      <w:r w:rsidR="003559EF" w:rsidRPr="00791EFA">
        <w:rPr>
          <w:rFonts w:ascii="Garamond" w:eastAsia="Garamond" w:hAnsi="Garamond" w:cs="Times New Roman"/>
          <w:sz w:val="24"/>
          <w:szCs w:val="24"/>
        </w:rPr>
        <w:t xml:space="preserve"> thinking</w:t>
      </w:r>
      <w:r w:rsidRPr="00791EFA">
        <w:rPr>
          <w:rFonts w:ascii="Garamond" w:eastAsia="Garamond" w:hAnsi="Garamond" w:cs="Times New Roman"/>
          <w:sz w:val="24"/>
          <w:szCs w:val="24"/>
        </w:rPr>
        <w:t xml:space="preserve">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quicker than</w:t>
      </w:r>
      <w:r w:rsidR="003559EF" w:rsidRPr="00791EFA">
        <w:rPr>
          <w:rFonts w:ascii="Garamond" w:eastAsia="Garamond" w:hAnsi="Garamond" w:cs="Times New Roman"/>
          <w:sz w:val="24"/>
          <w:szCs w:val="24"/>
        </w:rPr>
        <w:t xml:space="preserve"> thinking</w:t>
      </w:r>
      <w:r w:rsidRPr="00791EFA">
        <w:rPr>
          <w:rFonts w:ascii="Garamond" w:eastAsia="Garamond" w:hAnsi="Garamond" w:cs="Times New Roman"/>
          <w:sz w:val="24"/>
          <w:szCs w:val="24"/>
        </w:rPr>
        <w:t xml:space="preserve"> </w:t>
      </w:r>
      <w:r w:rsidRPr="00791EFA">
        <w:rPr>
          <w:rFonts w:ascii="Garamond" w:eastAsia="Garamond" w:hAnsi="Garamond" w:cs="Times New Roman"/>
          <w:smallCaps/>
          <w:sz w:val="24"/>
          <w:szCs w:val="24"/>
        </w:rPr>
        <w:t xml:space="preserve">motive </w:t>
      </w:r>
      <w:r w:rsidRPr="00791EFA">
        <w:rPr>
          <w:rFonts w:ascii="Garamond" w:eastAsia="Garamond" w:hAnsi="Garamond" w:cs="Times New Roman"/>
          <w:sz w:val="24"/>
          <w:szCs w:val="24"/>
        </w:rPr>
        <w:t>leads to</w:t>
      </w:r>
      <w:r w:rsidR="003559EF" w:rsidRPr="00791EFA">
        <w:rPr>
          <w:rFonts w:ascii="Garamond" w:eastAsia="Garamond" w:hAnsi="Garamond" w:cs="Times New Roman"/>
          <w:sz w:val="24"/>
          <w:szCs w:val="24"/>
        </w:rPr>
        <w:t xml:space="preserve"> thinking</w:t>
      </w:r>
      <w:r w:rsidRPr="00791EFA">
        <w:rPr>
          <w:rFonts w:ascii="Garamond" w:eastAsia="Garamond" w:hAnsi="Garamond" w:cs="Times New Roman"/>
          <w:sz w:val="24"/>
          <w:szCs w:val="24"/>
        </w:rPr>
        <w:t xml:space="preserve"> </w:t>
      </w:r>
      <w:r w:rsidR="003559EF" w:rsidRPr="00791EFA">
        <w:rPr>
          <w:rFonts w:ascii="Garamond" w:eastAsia="Garamond" w:hAnsi="Garamond" w:cs="Times New Roman"/>
          <w:smallCaps/>
          <w:sz w:val="24"/>
          <w:szCs w:val="24"/>
        </w:rPr>
        <w:t>u</w:t>
      </w:r>
      <w:r w:rsidRPr="00791EFA">
        <w:rPr>
          <w:rFonts w:ascii="Garamond" w:eastAsia="Garamond" w:hAnsi="Garamond" w:cs="Times New Roman"/>
          <w:smallCaps/>
          <w:sz w:val="24"/>
          <w:szCs w:val="24"/>
        </w:rPr>
        <w:t xml:space="preserve">lterior. </w:t>
      </w:r>
      <w:r w:rsidRPr="00791EFA">
        <w:rPr>
          <w:rFonts w:ascii="Garamond" w:eastAsia="Garamond" w:hAnsi="Garamond" w:cs="Times New Roman"/>
          <w:sz w:val="24"/>
          <w:szCs w:val="24"/>
        </w:rPr>
        <w:t>Some asym</w:t>
      </w:r>
      <w:r w:rsidR="003559EF" w:rsidRPr="00791EFA">
        <w:rPr>
          <w:rFonts w:ascii="Garamond" w:eastAsia="Garamond" w:hAnsi="Garamond" w:cs="Times New Roman"/>
          <w:sz w:val="24"/>
          <w:szCs w:val="24"/>
        </w:rPr>
        <w:t>me</w:t>
      </w:r>
      <w:r w:rsidRPr="00791EFA">
        <w:rPr>
          <w:rFonts w:ascii="Garamond" w:eastAsia="Garamond" w:hAnsi="Garamond" w:cs="Times New Roman"/>
          <w:sz w:val="24"/>
          <w:szCs w:val="24"/>
        </w:rPr>
        <w:t xml:space="preserve">tries can be explained away by differences in the </w:t>
      </w:r>
      <w:r w:rsidR="003559EF" w:rsidRPr="00791EFA">
        <w:rPr>
          <w:rFonts w:ascii="Garamond" w:eastAsia="Garamond" w:hAnsi="Garamond" w:cs="Times New Roman"/>
          <w:sz w:val="24"/>
          <w:szCs w:val="24"/>
        </w:rPr>
        <w:t>other</w:t>
      </w:r>
      <w:r w:rsidRPr="00791EFA">
        <w:rPr>
          <w:rFonts w:ascii="Garamond" w:eastAsia="Garamond" w:hAnsi="Garamond" w:cs="Times New Roman"/>
          <w:sz w:val="24"/>
          <w:szCs w:val="24"/>
        </w:rPr>
        <w:t xml:space="preserve"> links between representations</w:t>
      </w:r>
      <w:r w:rsidR="003559EF" w:rsidRPr="00791EFA">
        <w:rPr>
          <w:rFonts w:ascii="Garamond" w:eastAsia="Garamond" w:hAnsi="Garamond" w:cs="Times New Roman"/>
          <w:sz w:val="24"/>
          <w:szCs w:val="24"/>
        </w:rPr>
        <w:t>. Suppose that</w:t>
      </w:r>
      <w:r w:rsidRPr="00791EFA">
        <w:rPr>
          <w:rFonts w:ascii="Garamond" w:eastAsia="Garamond" w:hAnsi="Garamond" w:cs="Times New Roman"/>
          <w:sz w:val="24"/>
          <w:szCs w:val="24"/>
        </w:rPr>
        <w:t xml:space="preserve"> </w:t>
      </w:r>
      <w:r w:rsidR="002068DB" w:rsidRPr="00791EFA">
        <w:rPr>
          <w:rFonts w:ascii="Garamond" w:eastAsia="Garamond" w:hAnsi="Garamond" w:cs="Times New Roman"/>
          <w:smallCaps/>
          <w:sz w:val="24"/>
          <w:szCs w:val="24"/>
        </w:rPr>
        <w:t>u</w:t>
      </w:r>
      <w:r w:rsidRPr="00791EFA">
        <w:rPr>
          <w:rFonts w:ascii="Garamond" w:eastAsia="Garamond" w:hAnsi="Garamond" w:cs="Times New Roman"/>
          <w:smallCaps/>
          <w:sz w:val="24"/>
          <w:szCs w:val="24"/>
        </w:rPr>
        <w:t xml:space="preserve">lterior </w:t>
      </w:r>
      <w:r w:rsidRPr="00791EFA">
        <w:rPr>
          <w:rFonts w:ascii="Garamond" w:eastAsia="Garamond" w:hAnsi="Garamond" w:cs="Times New Roman"/>
          <w:sz w:val="24"/>
          <w:szCs w:val="24"/>
        </w:rPr>
        <w:t xml:space="preserve">is linked to very few concepts and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is linked to many more,</w:t>
      </w:r>
      <w:r w:rsidR="003559EF" w:rsidRPr="00791EFA">
        <w:rPr>
          <w:rFonts w:ascii="Garamond" w:eastAsia="Garamond" w:hAnsi="Garamond" w:cs="Times New Roman"/>
          <w:sz w:val="24"/>
          <w:szCs w:val="24"/>
        </w:rPr>
        <w:t xml:space="preserve"> and suppose that the strength of associative spreading activation is a function not only of the strength of the link between two </w:t>
      </w:r>
      <w:r w:rsidR="003559EF" w:rsidRPr="00791EFA">
        <w:rPr>
          <w:rFonts w:ascii="Garamond" w:eastAsia="Garamond" w:hAnsi="Garamond" w:cs="Times New Roman"/>
          <w:sz w:val="24"/>
          <w:szCs w:val="24"/>
        </w:rPr>
        <w:lastRenderedPageBreak/>
        <w:t>representations but also of the total number of linked concepts that have to be activated.</w:t>
      </w:r>
      <w:r w:rsidRPr="00791EFA">
        <w:rPr>
          <w:rFonts w:ascii="Garamond" w:eastAsia="Garamond" w:hAnsi="Garamond" w:cs="Times New Roman"/>
          <w:sz w:val="24"/>
          <w:szCs w:val="24"/>
        </w:rPr>
        <w:t xml:space="preserve"> </w:t>
      </w:r>
      <w:r w:rsidR="003559EF" w:rsidRPr="00791EFA">
        <w:rPr>
          <w:rFonts w:ascii="Garamond" w:eastAsia="Garamond" w:hAnsi="Garamond" w:cs="Times New Roman"/>
          <w:sz w:val="24"/>
          <w:szCs w:val="24"/>
        </w:rPr>
        <w:t xml:space="preserve">In that case, </w:t>
      </w:r>
      <w:r w:rsidRPr="00791EFA">
        <w:rPr>
          <w:rFonts w:ascii="Garamond" w:eastAsia="Garamond" w:hAnsi="Garamond" w:cs="Times New Roman"/>
          <w:sz w:val="24"/>
          <w:szCs w:val="24"/>
        </w:rPr>
        <w:t xml:space="preserve">the excitation off </w:t>
      </w:r>
      <w:r w:rsidR="000E14A2" w:rsidRPr="00791EFA">
        <w:rPr>
          <w:rFonts w:ascii="Garamond" w:eastAsia="Garamond" w:hAnsi="Garamond" w:cs="Times New Roman"/>
          <w:smallCaps/>
          <w:sz w:val="24"/>
          <w:szCs w:val="24"/>
        </w:rPr>
        <w:t>motive</w:t>
      </w:r>
      <w:r w:rsidR="000E14A2" w:rsidRPr="00791EFA">
        <w:rPr>
          <w:rFonts w:ascii="Garamond" w:eastAsia="Garamond" w:hAnsi="Garamond" w:cs="Times New Roman"/>
          <w:sz w:val="24"/>
          <w:szCs w:val="24"/>
        </w:rPr>
        <w:t xml:space="preserve"> will be more diffuse than that stemming from </w:t>
      </w:r>
      <w:r w:rsidR="003559EF" w:rsidRPr="00791EFA">
        <w:rPr>
          <w:rFonts w:ascii="Garamond" w:eastAsia="Garamond" w:hAnsi="Garamond" w:cs="Times New Roman"/>
          <w:smallCaps/>
          <w:sz w:val="24"/>
          <w:szCs w:val="24"/>
        </w:rPr>
        <w:t>u</w:t>
      </w:r>
      <w:r w:rsidR="000E14A2" w:rsidRPr="00791EFA">
        <w:rPr>
          <w:rFonts w:ascii="Garamond" w:eastAsia="Garamond" w:hAnsi="Garamond" w:cs="Times New Roman"/>
          <w:smallCaps/>
          <w:sz w:val="24"/>
          <w:szCs w:val="24"/>
        </w:rPr>
        <w:t>lterior</w:t>
      </w:r>
      <w:r w:rsidR="000E14A2" w:rsidRPr="00791EFA">
        <w:rPr>
          <w:rFonts w:ascii="Garamond" w:eastAsia="Garamond" w:hAnsi="Garamond" w:cs="Times New Roman"/>
          <w:sz w:val="24"/>
          <w:szCs w:val="24"/>
        </w:rPr>
        <w:t xml:space="preserve">. </w:t>
      </w:r>
    </w:p>
    <w:p w14:paraId="66162E1A" w14:textId="20ED4EE2" w:rsidR="003559EF" w:rsidRPr="00791EFA" w:rsidRDefault="000E14A2"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Another tool for explaining away associative asym</w:t>
      </w:r>
      <w:r w:rsidR="003559EF" w:rsidRPr="00791EFA">
        <w:rPr>
          <w:rFonts w:ascii="Garamond" w:eastAsia="Garamond" w:hAnsi="Garamond" w:cs="Times New Roman"/>
          <w:sz w:val="24"/>
          <w:szCs w:val="24"/>
        </w:rPr>
        <w:t>m</w:t>
      </w:r>
      <w:r w:rsidRPr="00791EFA">
        <w:rPr>
          <w:rFonts w:ascii="Garamond" w:eastAsia="Garamond" w:hAnsi="Garamond" w:cs="Times New Roman"/>
          <w:sz w:val="24"/>
          <w:szCs w:val="24"/>
        </w:rPr>
        <w:t xml:space="preserve">etry </w:t>
      </w:r>
      <w:r w:rsidR="003559EF" w:rsidRPr="00791EFA">
        <w:rPr>
          <w:rFonts w:ascii="Garamond" w:eastAsia="Garamond" w:hAnsi="Garamond" w:cs="Times New Roman"/>
          <w:sz w:val="24"/>
          <w:szCs w:val="24"/>
        </w:rPr>
        <w:t>would be</w:t>
      </w:r>
      <w:r w:rsidRPr="00791EFA">
        <w:rPr>
          <w:rFonts w:ascii="Garamond" w:eastAsia="Garamond" w:hAnsi="Garamond" w:cs="Times New Roman"/>
          <w:sz w:val="24"/>
          <w:szCs w:val="24"/>
        </w:rPr>
        <w:t xml:space="preserve"> averting to inhibitory links. Such links would be outside the purview of association proper, </w:t>
      </w:r>
      <w:r w:rsidR="003559EF" w:rsidRPr="00791EFA">
        <w:rPr>
          <w:rFonts w:ascii="Garamond" w:eastAsia="Garamond" w:hAnsi="Garamond" w:cs="Times New Roman"/>
          <w:sz w:val="24"/>
          <w:szCs w:val="24"/>
        </w:rPr>
        <w:t xml:space="preserve">however, </w:t>
      </w:r>
      <w:r w:rsidRPr="00791EFA">
        <w:rPr>
          <w:rFonts w:ascii="Garamond" w:eastAsia="Garamond" w:hAnsi="Garamond" w:cs="Times New Roman"/>
          <w:sz w:val="24"/>
          <w:szCs w:val="24"/>
        </w:rPr>
        <w:t>and would thus be seen as extra performance constraints from an outside system affecting the true underlying nature of association.</w:t>
      </w:r>
      <w:r w:rsidR="003559EF" w:rsidRPr="00791EFA">
        <w:rPr>
          <w:rFonts w:ascii="Garamond" w:eastAsia="Garamond" w:hAnsi="Garamond" w:cs="Times New Roman"/>
          <w:sz w:val="24"/>
          <w:szCs w:val="24"/>
        </w:rPr>
        <w:t xml:space="preserve"> </w:t>
      </w:r>
      <w:r w:rsidR="00B7635A" w:rsidRPr="00791EFA">
        <w:rPr>
          <w:rFonts w:ascii="Garamond" w:eastAsia="Garamond" w:hAnsi="Garamond" w:cs="Times New Roman"/>
          <w:sz w:val="24"/>
          <w:szCs w:val="24"/>
        </w:rPr>
        <w:t>Of course, d</w:t>
      </w:r>
      <w:r w:rsidRPr="00791EFA">
        <w:rPr>
          <w:rFonts w:ascii="Garamond" w:eastAsia="Garamond" w:hAnsi="Garamond" w:cs="Times New Roman"/>
          <w:sz w:val="24"/>
          <w:szCs w:val="24"/>
        </w:rPr>
        <w:t>ifferential linkage and inhibitory relations are by no means ad hoc posits—they are independently plausible parameters of theory construction for the mind.</w:t>
      </w:r>
      <w:r w:rsidR="00DB7424" w:rsidRPr="00791EFA">
        <w:rPr>
          <w:rStyle w:val="FootnoteReference"/>
          <w:rFonts w:ascii="Garamond" w:eastAsia="Garamond" w:hAnsi="Garamond" w:cs="Times New Roman"/>
          <w:sz w:val="24"/>
          <w:szCs w:val="24"/>
        </w:rPr>
        <w:footnoteReference w:id="12"/>
      </w:r>
      <w:r w:rsidRPr="00791EFA">
        <w:rPr>
          <w:rFonts w:ascii="Garamond" w:eastAsia="Garamond" w:hAnsi="Garamond" w:cs="Times New Roman"/>
          <w:sz w:val="24"/>
          <w:szCs w:val="24"/>
        </w:rPr>
        <w:t xml:space="preserve"> </w:t>
      </w:r>
    </w:p>
    <w:p w14:paraId="62F25374" w14:textId="105EEE8A" w:rsidR="000E14A2" w:rsidRPr="00791EFA" w:rsidRDefault="000E14A2"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However, </w:t>
      </w:r>
      <w:r w:rsidR="003559EF" w:rsidRPr="00791EFA">
        <w:rPr>
          <w:rFonts w:ascii="Garamond" w:eastAsia="Garamond" w:hAnsi="Garamond" w:cs="Times New Roman"/>
          <w:sz w:val="24"/>
          <w:szCs w:val="24"/>
        </w:rPr>
        <w:t>it seems</w:t>
      </w:r>
      <w:r w:rsidRPr="00791EFA">
        <w:rPr>
          <w:rFonts w:ascii="Garamond" w:eastAsia="Garamond" w:hAnsi="Garamond" w:cs="Times New Roman"/>
          <w:sz w:val="24"/>
          <w:szCs w:val="24"/>
        </w:rPr>
        <w:t xml:space="preserve"> that the asym</w:t>
      </w:r>
      <w:r w:rsidR="003559EF" w:rsidRPr="00791EFA">
        <w:rPr>
          <w:rFonts w:ascii="Garamond" w:eastAsia="Garamond" w:hAnsi="Garamond" w:cs="Times New Roman"/>
          <w:sz w:val="24"/>
          <w:szCs w:val="24"/>
        </w:rPr>
        <w:t>m</w:t>
      </w:r>
      <w:r w:rsidRPr="00791EFA">
        <w:rPr>
          <w:rFonts w:ascii="Garamond" w:eastAsia="Garamond" w:hAnsi="Garamond" w:cs="Times New Roman"/>
          <w:sz w:val="24"/>
          <w:szCs w:val="24"/>
        </w:rPr>
        <w:t xml:space="preserve">etry of association </w:t>
      </w:r>
      <w:r w:rsidR="003559EF" w:rsidRPr="00791EFA">
        <w:rPr>
          <w:rFonts w:ascii="Garamond" w:eastAsia="Garamond" w:hAnsi="Garamond" w:cs="Times New Roman"/>
          <w:sz w:val="24"/>
          <w:szCs w:val="24"/>
        </w:rPr>
        <w:t>cannot fully be explained by appeal to</w:t>
      </w:r>
      <w:r w:rsidRPr="00791EFA">
        <w:rPr>
          <w:rFonts w:ascii="Garamond" w:eastAsia="Garamond" w:hAnsi="Garamond" w:cs="Times New Roman"/>
          <w:sz w:val="24"/>
          <w:szCs w:val="24"/>
        </w:rPr>
        <w:t xml:space="preserve"> linkage and inhibition. </w:t>
      </w:r>
      <w:r w:rsidR="003559EF" w:rsidRPr="00791EFA">
        <w:rPr>
          <w:rFonts w:ascii="Garamond" w:eastAsia="Garamond" w:hAnsi="Garamond" w:cs="Times New Roman"/>
          <w:sz w:val="24"/>
          <w:szCs w:val="24"/>
        </w:rPr>
        <w:t xml:space="preserve">For one thing, </w:t>
      </w:r>
      <w:r w:rsidR="006063DD" w:rsidRPr="00791EFA">
        <w:rPr>
          <w:rFonts w:ascii="Garamond" w:eastAsia="Garamond" w:hAnsi="Garamond" w:cs="Times New Roman"/>
          <w:sz w:val="24"/>
          <w:szCs w:val="24"/>
        </w:rPr>
        <w:t xml:space="preserve">there’s no reason to think that </w:t>
      </w:r>
      <w:r w:rsidR="006063DD" w:rsidRPr="00791EFA">
        <w:rPr>
          <w:rFonts w:ascii="Garamond" w:eastAsia="Garamond" w:hAnsi="Garamond" w:cs="Times New Roman"/>
          <w:smallCaps/>
          <w:sz w:val="24"/>
          <w:szCs w:val="24"/>
        </w:rPr>
        <w:t xml:space="preserve">motive </w:t>
      </w:r>
      <w:r w:rsidR="006063DD" w:rsidRPr="00791EFA">
        <w:rPr>
          <w:rFonts w:ascii="Garamond" w:eastAsia="Garamond" w:hAnsi="Garamond" w:cs="Times New Roman"/>
          <w:sz w:val="24"/>
          <w:szCs w:val="24"/>
        </w:rPr>
        <w:t xml:space="preserve">actually </w:t>
      </w:r>
      <w:r w:rsidR="006063DD" w:rsidRPr="00791EFA">
        <w:rPr>
          <w:rFonts w:ascii="Garamond" w:eastAsia="Garamond" w:hAnsi="Garamond" w:cs="Times New Roman"/>
          <w:i/>
          <w:sz w:val="24"/>
          <w:szCs w:val="24"/>
        </w:rPr>
        <w:t>inhibits</w:t>
      </w:r>
      <w:r w:rsidR="006063DD" w:rsidRPr="00791EFA">
        <w:rPr>
          <w:rFonts w:ascii="Garamond" w:eastAsia="Garamond" w:hAnsi="Garamond" w:cs="Times New Roman"/>
          <w:sz w:val="24"/>
          <w:szCs w:val="24"/>
        </w:rPr>
        <w:t xml:space="preserve"> </w:t>
      </w:r>
      <w:r w:rsidR="006063DD" w:rsidRPr="00791EFA">
        <w:rPr>
          <w:rFonts w:ascii="Garamond" w:eastAsia="Garamond" w:hAnsi="Garamond" w:cs="Times New Roman"/>
          <w:smallCaps/>
          <w:sz w:val="24"/>
          <w:szCs w:val="24"/>
        </w:rPr>
        <w:t>ulterior</w:t>
      </w:r>
      <w:r w:rsidR="006063DD" w:rsidRPr="00791EFA">
        <w:rPr>
          <w:rFonts w:ascii="Garamond" w:eastAsia="Garamond" w:hAnsi="Garamond" w:cs="Times New Roman"/>
          <w:sz w:val="24"/>
          <w:szCs w:val="24"/>
        </w:rPr>
        <w:t xml:space="preserve"> simply because it does not activate it to as high a level as </w:t>
      </w:r>
      <w:r w:rsidR="006063DD" w:rsidRPr="00791EFA">
        <w:rPr>
          <w:rFonts w:ascii="Garamond" w:eastAsia="Garamond" w:hAnsi="Garamond" w:cs="Times New Roman"/>
          <w:smallCaps/>
          <w:sz w:val="24"/>
          <w:szCs w:val="24"/>
        </w:rPr>
        <w:t>ulterior</w:t>
      </w:r>
      <w:r w:rsidR="006063DD" w:rsidRPr="00791EFA">
        <w:rPr>
          <w:rFonts w:ascii="Garamond" w:eastAsia="Garamond" w:hAnsi="Garamond" w:cs="Times New Roman"/>
          <w:sz w:val="24"/>
          <w:szCs w:val="24"/>
        </w:rPr>
        <w:t xml:space="preserve"> activates </w:t>
      </w:r>
      <w:r w:rsidR="006063DD" w:rsidRPr="00791EFA">
        <w:rPr>
          <w:rFonts w:ascii="Garamond" w:eastAsia="Garamond" w:hAnsi="Garamond" w:cs="Times New Roman"/>
          <w:smallCaps/>
          <w:sz w:val="24"/>
          <w:szCs w:val="24"/>
        </w:rPr>
        <w:t>motive</w:t>
      </w:r>
      <w:r w:rsidR="006063DD" w:rsidRPr="00791EFA">
        <w:rPr>
          <w:rFonts w:ascii="Garamond" w:eastAsia="Garamond" w:hAnsi="Garamond" w:cs="Times New Roman"/>
          <w:sz w:val="24"/>
          <w:szCs w:val="24"/>
        </w:rPr>
        <w:t xml:space="preserve">. Moreover, the fact that </w:t>
      </w:r>
      <w:r w:rsidR="006063DD" w:rsidRPr="00791EFA">
        <w:rPr>
          <w:rFonts w:ascii="Garamond" w:eastAsia="Garamond" w:hAnsi="Garamond" w:cs="Times New Roman"/>
          <w:smallCaps/>
          <w:sz w:val="24"/>
          <w:szCs w:val="24"/>
        </w:rPr>
        <w:t>motive</w:t>
      </w:r>
      <w:r w:rsidR="006063DD" w:rsidRPr="00791EFA">
        <w:rPr>
          <w:rFonts w:ascii="Garamond" w:eastAsia="Garamond" w:hAnsi="Garamond" w:cs="Times New Roman"/>
          <w:sz w:val="24"/>
          <w:szCs w:val="24"/>
        </w:rPr>
        <w:t xml:space="preserve"> has more independent links doesn’t seem like the only possible source of the asymmetry. It’s plausible </w:t>
      </w:r>
      <w:r w:rsidRPr="00791EFA">
        <w:rPr>
          <w:rFonts w:ascii="Garamond" w:eastAsia="Garamond" w:hAnsi="Garamond" w:cs="Times New Roman"/>
          <w:sz w:val="24"/>
          <w:szCs w:val="24"/>
        </w:rPr>
        <w:t>that</w:t>
      </w:r>
      <w:r w:rsidR="006063DD" w:rsidRPr="00791EFA">
        <w:rPr>
          <w:rFonts w:ascii="Garamond" w:eastAsia="Garamond" w:hAnsi="Garamond" w:cs="Times New Roman"/>
          <w:sz w:val="24"/>
          <w:szCs w:val="24"/>
        </w:rPr>
        <w:t xml:space="preserve"> the fact that the association is based in repeatedly hearing</w:t>
      </w:r>
      <w:r w:rsidRPr="00791EFA">
        <w:rPr>
          <w:rFonts w:ascii="Garamond" w:eastAsia="Garamond" w:hAnsi="Garamond" w:cs="Times New Roman"/>
          <w:sz w:val="24"/>
          <w:szCs w:val="24"/>
        </w:rPr>
        <w:t xml:space="preserve"> </w:t>
      </w:r>
      <w:r w:rsidR="006063DD" w:rsidRPr="00791EFA">
        <w:rPr>
          <w:rFonts w:ascii="Garamond" w:eastAsia="Garamond" w:hAnsi="Garamond" w:cs="Times New Roman"/>
          <w:sz w:val="24"/>
          <w:szCs w:val="24"/>
        </w:rPr>
        <w:t xml:space="preserve">the phrase </w:t>
      </w:r>
      <w:r w:rsidRPr="00791EFA">
        <w:rPr>
          <w:rFonts w:ascii="Garamond" w:eastAsia="Garamond" w:hAnsi="Garamond" w:cs="Times New Roman"/>
          <w:sz w:val="24"/>
          <w:szCs w:val="24"/>
        </w:rPr>
        <w:t>“</w:t>
      </w:r>
      <w:r w:rsidR="003559EF" w:rsidRPr="00791EFA">
        <w:rPr>
          <w:rFonts w:ascii="Garamond" w:eastAsia="Garamond" w:hAnsi="Garamond" w:cs="Times New Roman"/>
          <w:sz w:val="24"/>
          <w:szCs w:val="24"/>
        </w:rPr>
        <w:t>ulterior motive</w:t>
      </w:r>
      <w:r w:rsidRPr="00791EFA">
        <w:rPr>
          <w:rFonts w:ascii="Garamond" w:eastAsia="Garamond" w:hAnsi="Garamond" w:cs="Times New Roman"/>
          <w:sz w:val="24"/>
          <w:szCs w:val="24"/>
        </w:rPr>
        <w:t>”</w:t>
      </w:r>
      <w:r w:rsidR="003559EF" w:rsidRPr="00791EFA">
        <w:rPr>
          <w:rFonts w:ascii="Garamond" w:eastAsia="Garamond" w:hAnsi="Garamond" w:cs="Times New Roman"/>
          <w:sz w:val="24"/>
          <w:szCs w:val="24"/>
        </w:rPr>
        <w:t xml:space="preserve"> (where “ulterior” always precedes “motive” and rarely or never vice versa) </w:t>
      </w:r>
      <w:r w:rsidR="006063DD" w:rsidRPr="00791EFA">
        <w:rPr>
          <w:rFonts w:ascii="Garamond" w:eastAsia="Garamond" w:hAnsi="Garamond" w:cs="Times New Roman"/>
          <w:sz w:val="24"/>
          <w:szCs w:val="24"/>
        </w:rPr>
        <w:t>is responsible for</w:t>
      </w:r>
      <w:r w:rsidRPr="00791EFA">
        <w:rPr>
          <w:rFonts w:ascii="Garamond" w:eastAsia="Garamond" w:hAnsi="Garamond" w:cs="Times New Roman"/>
          <w:sz w:val="24"/>
          <w:szCs w:val="24"/>
        </w:rPr>
        <w:t xml:space="preserve"> </w:t>
      </w:r>
      <w:r w:rsidR="006063DD" w:rsidRPr="00791EFA">
        <w:rPr>
          <w:rFonts w:ascii="Garamond" w:eastAsia="Garamond" w:hAnsi="Garamond" w:cs="Times New Roman"/>
          <w:smallCaps/>
          <w:sz w:val="24"/>
          <w:szCs w:val="24"/>
        </w:rPr>
        <w:t>ulterior</w:t>
      </w:r>
      <w:r w:rsidRPr="00791EFA">
        <w:rPr>
          <w:rFonts w:ascii="Garamond" w:eastAsia="Garamond" w:hAnsi="Garamond" w:cs="Times New Roman"/>
          <w:smallCaps/>
          <w:sz w:val="24"/>
          <w:szCs w:val="24"/>
        </w:rPr>
        <w:t xml:space="preserve"> </w:t>
      </w:r>
      <w:r w:rsidRPr="00791EFA">
        <w:rPr>
          <w:rFonts w:ascii="Garamond" w:eastAsia="Garamond" w:hAnsi="Garamond" w:cs="Times New Roman"/>
          <w:sz w:val="24"/>
          <w:szCs w:val="24"/>
        </w:rPr>
        <w:t>activat</w:t>
      </w:r>
      <w:r w:rsidR="006063DD" w:rsidRPr="00791EFA">
        <w:rPr>
          <w:rFonts w:ascii="Garamond" w:eastAsia="Garamond" w:hAnsi="Garamond" w:cs="Times New Roman"/>
          <w:sz w:val="24"/>
          <w:szCs w:val="24"/>
        </w:rPr>
        <w:t>ing</w:t>
      </w:r>
      <w:r w:rsidRPr="00791EFA">
        <w:rPr>
          <w:rFonts w:ascii="Garamond" w:eastAsia="Garamond" w:hAnsi="Garamond" w:cs="Times New Roman"/>
          <w:smallCaps/>
          <w:sz w:val="24"/>
          <w:szCs w:val="24"/>
        </w:rPr>
        <w:t xml:space="preserve"> </w:t>
      </w:r>
      <w:r w:rsidR="006063DD" w:rsidRPr="00791EFA">
        <w:rPr>
          <w:rFonts w:ascii="Garamond" w:eastAsia="Garamond" w:hAnsi="Garamond" w:cs="Times New Roman"/>
          <w:smallCaps/>
          <w:sz w:val="24"/>
          <w:szCs w:val="24"/>
        </w:rPr>
        <w:t xml:space="preserve">motive </w:t>
      </w:r>
      <w:r w:rsidRPr="00791EFA">
        <w:rPr>
          <w:rFonts w:ascii="Garamond" w:eastAsia="Garamond" w:hAnsi="Garamond" w:cs="Times New Roman"/>
          <w:sz w:val="24"/>
          <w:szCs w:val="24"/>
        </w:rPr>
        <w:t xml:space="preserve">faster </w:t>
      </w:r>
      <w:r w:rsidR="003559EF" w:rsidRPr="00791EFA">
        <w:rPr>
          <w:rFonts w:ascii="Garamond" w:eastAsia="Garamond" w:hAnsi="Garamond" w:cs="Times New Roman"/>
          <w:sz w:val="24"/>
          <w:szCs w:val="24"/>
        </w:rPr>
        <w:t xml:space="preserve">(or to a higher activation level) </w:t>
      </w:r>
      <w:r w:rsidRPr="00791EFA">
        <w:rPr>
          <w:rFonts w:ascii="Garamond" w:eastAsia="Garamond" w:hAnsi="Garamond" w:cs="Times New Roman"/>
          <w:sz w:val="24"/>
          <w:szCs w:val="24"/>
        </w:rPr>
        <w:t xml:space="preserve">than </w:t>
      </w:r>
      <w:r w:rsidR="006063DD" w:rsidRPr="00791EFA">
        <w:rPr>
          <w:rFonts w:ascii="Garamond" w:eastAsia="Garamond" w:hAnsi="Garamond" w:cs="Times New Roman"/>
          <w:smallCaps/>
          <w:sz w:val="24"/>
          <w:szCs w:val="24"/>
        </w:rPr>
        <w:t>motive</w:t>
      </w:r>
      <w:r w:rsidRPr="00791EFA">
        <w:rPr>
          <w:rFonts w:ascii="Garamond" w:eastAsia="Garamond" w:hAnsi="Garamond" w:cs="Times New Roman"/>
          <w:smallCaps/>
          <w:sz w:val="24"/>
          <w:szCs w:val="24"/>
        </w:rPr>
        <w:t xml:space="preserve"> </w:t>
      </w:r>
      <w:r w:rsidRPr="00791EFA">
        <w:rPr>
          <w:rFonts w:ascii="Garamond" w:eastAsia="Garamond" w:hAnsi="Garamond" w:cs="Times New Roman"/>
          <w:sz w:val="24"/>
          <w:szCs w:val="24"/>
        </w:rPr>
        <w:t>activates</w:t>
      </w:r>
      <w:r w:rsidRPr="00791EFA">
        <w:rPr>
          <w:rFonts w:ascii="Garamond" w:eastAsia="Garamond" w:hAnsi="Garamond" w:cs="Times New Roman"/>
          <w:smallCaps/>
          <w:sz w:val="24"/>
          <w:szCs w:val="24"/>
        </w:rPr>
        <w:t xml:space="preserve"> </w:t>
      </w:r>
      <w:r w:rsidR="006063DD" w:rsidRPr="00791EFA">
        <w:rPr>
          <w:rFonts w:ascii="Garamond" w:eastAsia="Garamond" w:hAnsi="Garamond" w:cs="Times New Roman"/>
          <w:smallCaps/>
          <w:sz w:val="24"/>
          <w:szCs w:val="24"/>
        </w:rPr>
        <w:t>ulterior.</w:t>
      </w:r>
      <w:r w:rsidRPr="00791EFA">
        <w:rPr>
          <w:rFonts w:ascii="Garamond" w:eastAsia="Garamond" w:hAnsi="Garamond" w:cs="Times New Roman"/>
          <w:smallCaps/>
          <w:sz w:val="24"/>
          <w:szCs w:val="24"/>
        </w:rPr>
        <w:t xml:space="preserve"> </w:t>
      </w:r>
      <w:r w:rsidR="006063DD" w:rsidRPr="00791EFA">
        <w:rPr>
          <w:rFonts w:ascii="Garamond" w:eastAsia="Garamond" w:hAnsi="Garamond" w:cs="Times New Roman"/>
          <w:sz w:val="24"/>
          <w:szCs w:val="24"/>
        </w:rPr>
        <w:t xml:space="preserve">It seems plausible, furthermore, </w:t>
      </w:r>
      <w:r w:rsidRPr="00791EFA">
        <w:rPr>
          <w:rFonts w:ascii="Garamond" w:eastAsia="Garamond" w:hAnsi="Garamond" w:cs="Times New Roman"/>
          <w:sz w:val="24"/>
          <w:szCs w:val="24"/>
        </w:rPr>
        <w:t>that this would hold even if</w:t>
      </w:r>
      <w:r w:rsidR="006063DD" w:rsidRPr="00791EFA">
        <w:rPr>
          <w:rFonts w:ascii="Garamond" w:eastAsia="Garamond" w:hAnsi="Garamond" w:cs="Times New Roman"/>
          <w:smallCaps/>
          <w:sz w:val="24"/>
          <w:szCs w:val="24"/>
        </w:rPr>
        <w:t xml:space="preserve"> </w:t>
      </w:r>
      <w:r w:rsidR="006063DD" w:rsidRPr="00791EFA">
        <w:rPr>
          <w:rFonts w:ascii="Garamond" w:eastAsia="Garamond" w:hAnsi="Garamond" w:cs="Times New Roman"/>
          <w:sz w:val="24"/>
          <w:szCs w:val="24"/>
        </w:rPr>
        <w:t xml:space="preserve">they </w:t>
      </w:r>
      <w:r w:rsidRPr="00791EFA">
        <w:rPr>
          <w:rFonts w:ascii="Garamond" w:eastAsia="Garamond" w:hAnsi="Garamond" w:cs="Times New Roman"/>
          <w:sz w:val="24"/>
          <w:szCs w:val="24"/>
        </w:rPr>
        <w:t>had the same number of links to other concepts</w:t>
      </w:r>
      <w:r w:rsidR="006063DD" w:rsidRPr="00791EFA">
        <w:rPr>
          <w:rFonts w:ascii="Garamond" w:eastAsia="Garamond" w:hAnsi="Garamond" w:cs="Times New Roman"/>
          <w:sz w:val="24"/>
          <w:szCs w:val="24"/>
        </w:rPr>
        <w:t xml:space="preserve"> (e.g., </w:t>
      </w:r>
      <w:r w:rsidR="006063DD" w:rsidRPr="00791EFA">
        <w:rPr>
          <w:rFonts w:ascii="Garamond" w:eastAsia="Garamond" w:hAnsi="Garamond" w:cs="Times New Roman"/>
          <w:smallCaps/>
          <w:sz w:val="24"/>
          <w:szCs w:val="24"/>
        </w:rPr>
        <w:t>salt</w:t>
      </w:r>
      <w:r w:rsidR="006063DD" w:rsidRPr="00791EFA">
        <w:rPr>
          <w:rFonts w:ascii="Garamond" w:eastAsia="Garamond" w:hAnsi="Garamond" w:cs="Times New Roman"/>
          <w:sz w:val="24"/>
          <w:szCs w:val="24"/>
        </w:rPr>
        <w:t xml:space="preserve"> and </w:t>
      </w:r>
      <w:r w:rsidR="006063DD" w:rsidRPr="00791EFA">
        <w:rPr>
          <w:rFonts w:ascii="Garamond" w:eastAsia="Garamond" w:hAnsi="Garamond" w:cs="Times New Roman"/>
          <w:smallCaps/>
          <w:sz w:val="24"/>
          <w:szCs w:val="24"/>
        </w:rPr>
        <w:t>pepper</w:t>
      </w:r>
      <w:r w:rsidR="006063DD" w:rsidRPr="00791EFA">
        <w:rPr>
          <w:rFonts w:ascii="Garamond" w:eastAsia="Garamond" w:hAnsi="Garamond" w:cs="Times New Roman"/>
          <w:sz w:val="24"/>
          <w:szCs w:val="24"/>
        </w:rPr>
        <w:t xml:space="preserve"> may have roughly the same number of links to other concepts but there may be an asymmetry due to the fact that people </w:t>
      </w:r>
      <w:r w:rsidR="000E3ACE" w:rsidRPr="00791EFA">
        <w:rPr>
          <w:rFonts w:ascii="Garamond" w:eastAsia="Garamond" w:hAnsi="Garamond" w:cs="Times New Roman"/>
          <w:sz w:val="24"/>
          <w:szCs w:val="24"/>
        </w:rPr>
        <w:t xml:space="preserve">hear </w:t>
      </w:r>
      <w:r w:rsidR="006063DD" w:rsidRPr="00791EFA">
        <w:rPr>
          <w:rFonts w:ascii="Garamond" w:eastAsia="Garamond" w:hAnsi="Garamond" w:cs="Times New Roman"/>
          <w:sz w:val="24"/>
          <w:szCs w:val="24"/>
        </w:rPr>
        <w:t>“salt and pepper” much more often than “pepper and salt”)</w:t>
      </w:r>
      <w:r w:rsidRPr="00791EFA">
        <w:rPr>
          <w:rFonts w:ascii="Garamond" w:eastAsia="Garamond" w:hAnsi="Garamond" w:cs="Times New Roman"/>
          <w:sz w:val="24"/>
          <w:szCs w:val="24"/>
        </w:rPr>
        <w:t>.</w:t>
      </w:r>
    </w:p>
    <w:p w14:paraId="712DA554" w14:textId="2C96DE29" w:rsidR="00EB4A77" w:rsidRPr="00791EFA" w:rsidRDefault="006063DD"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The plausibility of this sort of asymmetry creates a serious problem for the idea that association is a bare propensity for two mental states to be tokened together. </w:t>
      </w:r>
      <w:r w:rsidR="003559EF" w:rsidRPr="00791EFA">
        <w:rPr>
          <w:rFonts w:ascii="Garamond" w:eastAsia="Garamond" w:hAnsi="Garamond" w:cs="Times New Roman"/>
          <w:sz w:val="24"/>
          <w:szCs w:val="24"/>
        </w:rPr>
        <w:t xml:space="preserve">Instead, there needs to be an ordering of the relation between the two representations, such that the link from </w:t>
      </w:r>
      <w:r w:rsidR="003559EF" w:rsidRPr="00791EFA">
        <w:rPr>
          <w:rFonts w:ascii="Garamond" w:eastAsia="Garamond" w:hAnsi="Garamond" w:cs="Times New Roman"/>
          <w:smallCaps/>
          <w:sz w:val="24"/>
          <w:szCs w:val="24"/>
        </w:rPr>
        <w:t>salt</w:t>
      </w:r>
      <w:r w:rsidR="003559EF" w:rsidRPr="00791EFA">
        <w:rPr>
          <w:rFonts w:ascii="Garamond" w:eastAsia="Garamond" w:hAnsi="Garamond" w:cs="Times New Roman"/>
          <w:sz w:val="24"/>
          <w:szCs w:val="24"/>
        </w:rPr>
        <w:t xml:space="preserve"> to </w:t>
      </w:r>
      <w:r w:rsidR="003559EF" w:rsidRPr="00791EFA">
        <w:rPr>
          <w:rFonts w:ascii="Garamond" w:eastAsia="Garamond" w:hAnsi="Garamond" w:cs="Times New Roman"/>
          <w:smallCaps/>
          <w:sz w:val="24"/>
          <w:szCs w:val="24"/>
        </w:rPr>
        <w:t>pepper</w:t>
      </w:r>
      <w:r w:rsidR="003559EF" w:rsidRPr="00791EFA">
        <w:rPr>
          <w:rFonts w:ascii="Garamond" w:eastAsia="Garamond" w:hAnsi="Garamond" w:cs="Times New Roman"/>
          <w:sz w:val="24"/>
          <w:szCs w:val="24"/>
        </w:rPr>
        <w:t xml:space="preserve"> has </w:t>
      </w:r>
      <w:r w:rsidR="00EB4A77" w:rsidRPr="00791EFA">
        <w:rPr>
          <w:rFonts w:ascii="Garamond" w:eastAsia="Garamond" w:hAnsi="Garamond" w:cs="Times New Roman"/>
          <w:sz w:val="24"/>
          <w:szCs w:val="24"/>
        </w:rPr>
        <w:t xml:space="preserve">a different strength than the link between </w:t>
      </w:r>
      <w:r w:rsidR="00EB4A77" w:rsidRPr="00791EFA">
        <w:rPr>
          <w:rFonts w:ascii="Garamond" w:eastAsia="Garamond" w:hAnsi="Garamond" w:cs="Times New Roman"/>
          <w:smallCaps/>
          <w:sz w:val="24"/>
          <w:szCs w:val="24"/>
        </w:rPr>
        <w:t>pepper</w:t>
      </w:r>
      <w:r w:rsidR="00EB4A77" w:rsidRPr="00791EFA">
        <w:rPr>
          <w:rFonts w:ascii="Garamond" w:eastAsia="Garamond" w:hAnsi="Garamond" w:cs="Times New Roman"/>
          <w:sz w:val="24"/>
          <w:szCs w:val="24"/>
        </w:rPr>
        <w:t xml:space="preserve"> and </w:t>
      </w:r>
      <w:r w:rsidR="00EB4A77" w:rsidRPr="00791EFA">
        <w:rPr>
          <w:rFonts w:ascii="Garamond" w:eastAsia="Garamond" w:hAnsi="Garamond" w:cs="Times New Roman"/>
          <w:smallCaps/>
          <w:sz w:val="24"/>
          <w:szCs w:val="24"/>
        </w:rPr>
        <w:t>salt</w:t>
      </w:r>
      <w:r w:rsidR="00EB4A77" w:rsidRPr="00791EFA">
        <w:rPr>
          <w:rFonts w:ascii="Garamond" w:eastAsia="Garamond" w:hAnsi="Garamond" w:cs="Times New Roman"/>
          <w:sz w:val="24"/>
          <w:szCs w:val="24"/>
        </w:rPr>
        <w:t>.</w:t>
      </w:r>
      <w:r w:rsidR="003559EF" w:rsidRPr="00791EFA">
        <w:rPr>
          <w:rFonts w:ascii="Garamond" w:eastAsia="Garamond" w:hAnsi="Garamond" w:cs="Times New Roman"/>
          <w:sz w:val="24"/>
          <w:szCs w:val="24"/>
        </w:rPr>
        <w:t xml:space="preserve"> </w:t>
      </w:r>
      <w:r w:rsidR="000E14A2" w:rsidRPr="00791EFA">
        <w:rPr>
          <w:rFonts w:ascii="Garamond" w:eastAsia="Garamond" w:hAnsi="Garamond" w:cs="Times New Roman"/>
          <w:sz w:val="24"/>
          <w:szCs w:val="24"/>
        </w:rPr>
        <w:t xml:space="preserve">In which case we see </w:t>
      </w:r>
      <w:r w:rsidR="00EB4A77" w:rsidRPr="00791EFA">
        <w:rPr>
          <w:rFonts w:ascii="Garamond" w:eastAsia="Garamond" w:hAnsi="Garamond" w:cs="Times New Roman"/>
          <w:sz w:val="24"/>
          <w:szCs w:val="24"/>
        </w:rPr>
        <w:t xml:space="preserve">two </w:t>
      </w:r>
      <w:r w:rsidR="00EB4A77" w:rsidRPr="00791EFA">
        <w:rPr>
          <w:rFonts w:ascii="Garamond" w:eastAsia="Garamond" w:hAnsi="Garamond" w:cs="Times New Roman"/>
          <w:sz w:val="24"/>
          <w:szCs w:val="24"/>
        </w:rPr>
        <w:lastRenderedPageBreak/>
        <w:t>options: 1) reject the empirical hypothesis that human beings actually harbor associative structures, or 2) augment the notion of association.</w:t>
      </w:r>
    </w:p>
    <w:p w14:paraId="4A3ADF30" w14:textId="53646053" w:rsidR="00EB4A77" w:rsidRPr="00791EFA" w:rsidRDefault="00EB4A77"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According to option 1, it turns out as a matter of fact that nothing, or nearly nothing, in the mind instantiates the bare relation posited by classical associationism. Though we are not associationists, we’ve happily granted that associations exist (Mandelbaum</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2016; Quilty-Dunn &amp; Mandelbaum</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2017). But other critics of associationism such as Jan De Houwer and colleagues (De Houwer</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2009; Mitchell et al.</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2009) and C.R. Gallistel and collegues (Gallistel</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1990; Gallistel &amp; King</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2009) have argued that even</w:t>
      </w:r>
      <w:r w:rsidR="00410901" w:rsidRPr="00791EFA">
        <w:rPr>
          <w:rFonts w:ascii="Garamond" w:eastAsia="Garamond" w:hAnsi="Garamond" w:cs="Times New Roman"/>
          <w:sz w:val="24"/>
          <w:szCs w:val="24"/>
        </w:rPr>
        <w:t xml:space="preserve"> the associationist’s favorite examples of</w:t>
      </w:r>
      <w:r w:rsidRPr="00791EFA">
        <w:rPr>
          <w:rFonts w:ascii="Garamond" w:eastAsia="Garamond" w:hAnsi="Garamond" w:cs="Times New Roman"/>
          <w:sz w:val="24"/>
          <w:szCs w:val="24"/>
        </w:rPr>
        <w:t xml:space="preserve"> learning </w:t>
      </w:r>
      <w:r w:rsidR="00410901" w:rsidRPr="00791EFA">
        <w:rPr>
          <w:rFonts w:ascii="Garamond" w:eastAsia="Garamond" w:hAnsi="Garamond" w:cs="Times New Roman"/>
          <w:sz w:val="24"/>
          <w:szCs w:val="24"/>
        </w:rPr>
        <w:t xml:space="preserve">(e.g., conditioning paradigms, learning in simple animals like insects, etc.) </w:t>
      </w:r>
      <w:r w:rsidRPr="00791EFA">
        <w:rPr>
          <w:rFonts w:ascii="Garamond" w:eastAsia="Garamond" w:hAnsi="Garamond" w:cs="Times New Roman"/>
          <w:sz w:val="24"/>
          <w:szCs w:val="24"/>
        </w:rPr>
        <w:t>involve the acquisition of propositionally structured representations.</w:t>
      </w:r>
      <w:r w:rsidR="00410901" w:rsidRPr="00791EFA">
        <w:rPr>
          <w:rFonts w:ascii="Garamond" w:eastAsia="Garamond" w:hAnsi="Garamond" w:cs="Times New Roman"/>
          <w:sz w:val="24"/>
          <w:szCs w:val="24"/>
        </w:rPr>
        <w:t xml:space="preserve"> De Houwer and colleagues </w:t>
      </w:r>
      <w:r w:rsidR="00F12C8F" w:rsidRPr="00791EFA">
        <w:rPr>
          <w:rFonts w:ascii="Garamond" w:eastAsia="Garamond" w:hAnsi="Garamond" w:cs="Times New Roman"/>
          <w:sz w:val="24"/>
          <w:szCs w:val="24"/>
        </w:rPr>
        <w:t>hold</w:t>
      </w:r>
      <w:r w:rsidR="00410901" w:rsidRPr="00791EFA">
        <w:rPr>
          <w:rFonts w:ascii="Garamond" w:eastAsia="Garamond" w:hAnsi="Garamond" w:cs="Times New Roman"/>
          <w:sz w:val="24"/>
          <w:szCs w:val="24"/>
        </w:rPr>
        <w:t xml:space="preserve"> that controlled reasoning is always needed to learn contingencies and that learning is never the consequence of mere automatic excitatory and inhibitory links. If asymmetry in structures like the one between </w:t>
      </w:r>
      <w:r w:rsidR="00410901" w:rsidRPr="00791EFA">
        <w:rPr>
          <w:rFonts w:ascii="Garamond" w:eastAsia="Garamond" w:hAnsi="Garamond" w:cs="Times New Roman"/>
          <w:smallCaps/>
          <w:sz w:val="24"/>
          <w:szCs w:val="24"/>
        </w:rPr>
        <w:t>ulterior</w:t>
      </w:r>
      <w:r w:rsidR="00410901" w:rsidRPr="00791EFA">
        <w:rPr>
          <w:rFonts w:ascii="Garamond" w:eastAsia="Garamond" w:hAnsi="Garamond" w:cs="Times New Roman"/>
          <w:sz w:val="24"/>
          <w:szCs w:val="24"/>
        </w:rPr>
        <w:t xml:space="preserve"> and </w:t>
      </w:r>
      <w:r w:rsidR="00410901" w:rsidRPr="00791EFA">
        <w:rPr>
          <w:rFonts w:ascii="Garamond" w:eastAsia="Garamond" w:hAnsi="Garamond" w:cs="Times New Roman"/>
          <w:smallCaps/>
          <w:sz w:val="24"/>
          <w:szCs w:val="24"/>
        </w:rPr>
        <w:t>motive</w:t>
      </w:r>
      <w:r w:rsidR="00410901" w:rsidRPr="00791EFA">
        <w:rPr>
          <w:rFonts w:ascii="Garamond" w:eastAsia="Garamond" w:hAnsi="Garamond" w:cs="Times New Roman"/>
          <w:sz w:val="24"/>
          <w:szCs w:val="24"/>
        </w:rPr>
        <w:t xml:space="preserve"> are internal to the structure itself, then there may be reason to follow De Houwer down the path of rejecting associationism </w:t>
      </w:r>
      <w:r w:rsidR="00410901" w:rsidRPr="00791EFA">
        <w:rPr>
          <w:rFonts w:ascii="Garamond" w:eastAsia="Garamond" w:hAnsi="Garamond" w:cs="Times New Roman"/>
          <w:i/>
          <w:sz w:val="24"/>
          <w:szCs w:val="24"/>
        </w:rPr>
        <w:t>in toto</w:t>
      </w:r>
      <w:r w:rsidR="00410901" w:rsidRPr="00791EFA">
        <w:rPr>
          <w:rFonts w:ascii="Garamond" w:eastAsia="Garamond" w:hAnsi="Garamond" w:cs="Times New Roman"/>
          <w:sz w:val="24"/>
          <w:szCs w:val="24"/>
        </w:rPr>
        <w:t>.</w:t>
      </w:r>
    </w:p>
    <w:p w14:paraId="7D1658E4" w14:textId="4DE2CA1E" w:rsidR="000E3ACE" w:rsidRPr="00791EFA" w:rsidRDefault="00410901"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However, denying the existence of associative links is</w:t>
      </w:r>
      <w:r w:rsidR="00AC5150" w:rsidRPr="00791EFA">
        <w:rPr>
          <w:rFonts w:ascii="Garamond" w:eastAsia="Garamond" w:hAnsi="Garamond" w:cs="Times New Roman"/>
          <w:sz w:val="24"/>
          <w:szCs w:val="24"/>
        </w:rPr>
        <w:t xml:space="preserve"> probably</w:t>
      </w:r>
      <w:r w:rsidRPr="00791EFA">
        <w:rPr>
          <w:rFonts w:ascii="Garamond" w:eastAsia="Garamond" w:hAnsi="Garamond" w:cs="Times New Roman"/>
          <w:sz w:val="24"/>
          <w:szCs w:val="24"/>
        </w:rPr>
        <w:t xml:space="preserve"> an overreaction to asymmetry.</w:t>
      </w:r>
      <w:r w:rsidR="00AC5150" w:rsidRPr="00791EFA">
        <w:rPr>
          <w:rFonts w:ascii="Garamond" w:eastAsia="Garamond" w:hAnsi="Garamond" w:cs="Times New Roman"/>
          <w:sz w:val="24"/>
          <w:szCs w:val="24"/>
        </w:rPr>
        <w:t xml:space="preserve"> </w:t>
      </w:r>
      <w:r w:rsidR="000E3ACE" w:rsidRPr="00791EFA">
        <w:rPr>
          <w:rFonts w:ascii="Garamond" w:eastAsia="Garamond" w:hAnsi="Garamond" w:cs="Times New Roman"/>
          <w:sz w:val="24"/>
          <w:szCs w:val="24"/>
        </w:rPr>
        <w:t xml:space="preserve">For one thing, many associationists in the early stages of psychology explicitly thought of associative links as unidirectional (Thorndike [1932] </w:t>
      </w:r>
      <w:r w:rsidR="008E7410" w:rsidRPr="00791EFA">
        <w:rPr>
          <w:rFonts w:ascii="Garamond" w:eastAsia="Garamond" w:hAnsi="Garamond" w:cs="Times New Roman"/>
          <w:sz w:val="24"/>
          <w:szCs w:val="24"/>
        </w:rPr>
        <w:t xml:space="preserve">referred to associative </w:t>
      </w:r>
      <w:r w:rsidR="000E3ACE" w:rsidRPr="00791EFA">
        <w:rPr>
          <w:rFonts w:ascii="Garamond" w:eastAsia="Garamond" w:hAnsi="Garamond" w:cs="Times New Roman"/>
          <w:sz w:val="24"/>
          <w:szCs w:val="24"/>
        </w:rPr>
        <w:t>“polarity”</w:t>
      </w:r>
      <w:r w:rsidR="00B426E1" w:rsidRPr="00791EFA">
        <w:rPr>
          <w:rFonts w:ascii="Garamond" w:eastAsia="Garamond" w:hAnsi="Garamond" w:cs="Times New Roman"/>
          <w:sz w:val="24"/>
          <w:szCs w:val="24"/>
        </w:rPr>
        <w:t>; see also Rescorla</w:t>
      </w:r>
      <w:r w:rsidR="00A50B51" w:rsidRPr="00791EFA">
        <w:rPr>
          <w:rFonts w:ascii="Garamond" w:eastAsia="Garamond" w:hAnsi="Garamond" w:cs="Times New Roman"/>
          <w:sz w:val="24"/>
          <w:szCs w:val="24"/>
        </w:rPr>
        <w:t>,</w:t>
      </w:r>
      <w:r w:rsidR="00B426E1" w:rsidRPr="00791EFA">
        <w:rPr>
          <w:rFonts w:ascii="Garamond" w:eastAsia="Garamond" w:hAnsi="Garamond" w:cs="Times New Roman"/>
          <w:sz w:val="24"/>
          <w:szCs w:val="24"/>
        </w:rPr>
        <w:t xml:space="preserve"> 1967</w:t>
      </w:r>
      <w:r w:rsidR="000E3ACE" w:rsidRPr="00791EFA">
        <w:rPr>
          <w:rFonts w:ascii="Garamond" w:eastAsia="Garamond" w:hAnsi="Garamond" w:cs="Times New Roman"/>
          <w:sz w:val="24"/>
          <w:szCs w:val="24"/>
        </w:rPr>
        <w:t xml:space="preserve">). Indeed, early associationists puzzled over the existence of “backward association,” i.e., the fact that presenting </w:t>
      </w:r>
      <w:r w:rsidR="000E3ACE" w:rsidRPr="00791EFA">
        <w:rPr>
          <w:rFonts w:ascii="Garamond" w:eastAsia="Garamond" w:hAnsi="Garamond" w:cs="Times New Roman"/>
          <w:i/>
          <w:sz w:val="24"/>
          <w:szCs w:val="24"/>
        </w:rPr>
        <w:t>a</w:t>
      </w:r>
      <w:r w:rsidR="000E3ACE" w:rsidRPr="00791EFA">
        <w:rPr>
          <w:rFonts w:ascii="Garamond" w:eastAsia="Garamond" w:hAnsi="Garamond" w:cs="Times New Roman"/>
          <w:sz w:val="24"/>
          <w:szCs w:val="24"/>
        </w:rPr>
        <w:t xml:space="preserve"> before </w:t>
      </w:r>
      <w:r w:rsidR="000E3ACE" w:rsidRPr="00791EFA">
        <w:rPr>
          <w:rFonts w:ascii="Garamond" w:eastAsia="Garamond" w:hAnsi="Garamond" w:cs="Times New Roman"/>
          <w:i/>
          <w:sz w:val="24"/>
          <w:szCs w:val="24"/>
        </w:rPr>
        <w:t>b</w:t>
      </w:r>
      <w:r w:rsidR="000E3ACE" w:rsidRPr="00791EFA">
        <w:rPr>
          <w:rFonts w:ascii="Garamond" w:eastAsia="Garamond" w:hAnsi="Garamond" w:cs="Times New Roman"/>
          <w:sz w:val="24"/>
          <w:szCs w:val="24"/>
        </w:rPr>
        <w:t xml:space="preserve"> led not only to a link from</w:t>
      </w:r>
      <w:r w:rsidR="000E3ACE" w:rsidRPr="00791EFA">
        <w:rPr>
          <w:rFonts w:ascii="Garamond" w:eastAsia="Garamond" w:hAnsi="Garamond" w:cs="Times New Roman"/>
          <w:i/>
          <w:sz w:val="24"/>
          <w:szCs w:val="24"/>
        </w:rPr>
        <w:t xml:space="preserve"> a</w:t>
      </w:r>
      <w:r w:rsidR="000E3ACE" w:rsidRPr="00791EFA">
        <w:rPr>
          <w:rFonts w:ascii="Garamond" w:eastAsia="Garamond" w:hAnsi="Garamond" w:cs="Times New Roman"/>
          <w:sz w:val="24"/>
          <w:szCs w:val="24"/>
        </w:rPr>
        <w:t xml:space="preserve"> to </w:t>
      </w:r>
      <w:r w:rsidR="000E3ACE" w:rsidRPr="00791EFA">
        <w:rPr>
          <w:rFonts w:ascii="Garamond" w:eastAsia="Garamond" w:hAnsi="Garamond" w:cs="Times New Roman"/>
          <w:i/>
          <w:sz w:val="24"/>
          <w:szCs w:val="24"/>
        </w:rPr>
        <w:t>b</w:t>
      </w:r>
      <w:r w:rsidR="000E3ACE" w:rsidRPr="00791EFA">
        <w:rPr>
          <w:rFonts w:ascii="Garamond" w:eastAsia="Garamond" w:hAnsi="Garamond" w:cs="Times New Roman"/>
          <w:sz w:val="24"/>
          <w:szCs w:val="24"/>
        </w:rPr>
        <w:t xml:space="preserve"> but also from </w:t>
      </w:r>
      <w:r w:rsidR="000E3ACE" w:rsidRPr="00791EFA">
        <w:rPr>
          <w:rFonts w:ascii="Garamond" w:eastAsia="Garamond" w:hAnsi="Garamond" w:cs="Times New Roman"/>
          <w:i/>
          <w:sz w:val="24"/>
          <w:szCs w:val="24"/>
        </w:rPr>
        <w:t>b</w:t>
      </w:r>
      <w:r w:rsidR="000E3ACE" w:rsidRPr="00791EFA">
        <w:rPr>
          <w:rFonts w:ascii="Garamond" w:eastAsia="Garamond" w:hAnsi="Garamond" w:cs="Times New Roman"/>
          <w:sz w:val="24"/>
          <w:szCs w:val="24"/>
        </w:rPr>
        <w:t xml:space="preserve"> to </w:t>
      </w:r>
      <w:r w:rsidR="000E3ACE" w:rsidRPr="00791EFA">
        <w:rPr>
          <w:rFonts w:ascii="Garamond" w:eastAsia="Garamond" w:hAnsi="Garamond" w:cs="Times New Roman"/>
          <w:i/>
          <w:sz w:val="24"/>
          <w:szCs w:val="24"/>
        </w:rPr>
        <w:t>a</w:t>
      </w:r>
      <w:r w:rsidR="000E3ACE" w:rsidRPr="00791EFA">
        <w:rPr>
          <w:rFonts w:ascii="Garamond" w:eastAsia="Garamond" w:hAnsi="Garamond" w:cs="Times New Roman"/>
          <w:sz w:val="24"/>
          <w:szCs w:val="24"/>
        </w:rPr>
        <w:t xml:space="preserve"> (Cason</w:t>
      </w:r>
      <w:r w:rsidR="00A50B51" w:rsidRPr="00791EFA">
        <w:rPr>
          <w:rFonts w:ascii="Garamond" w:eastAsia="Garamond" w:hAnsi="Garamond" w:cs="Times New Roman"/>
          <w:sz w:val="24"/>
          <w:szCs w:val="24"/>
        </w:rPr>
        <w:t>,</w:t>
      </w:r>
      <w:r w:rsidR="000E3ACE" w:rsidRPr="00791EFA">
        <w:rPr>
          <w:rFonts w:ascii="Garamond" w:eastAsia="Garamond" w:hAnsi="Garamond" w:cs="Times New Roman"/>
          <w:sz w:val="24"/>
          <w:szCs w:val="24"/>
        </w:rPr>
        <w:t xml:space="preserve"> 1924</w:t>
      </w:r>
      <w:r w:rsidR="008949B0" w:rsidRPr="00791EFA">
        <w:rPr>
          <w:rFonts w:ascii="Garamond" w:eastAsia="Garamond" w:hAnsi="Garamond" w:cs="Times New Roman"/>
          <w:sz w:val="24"/>
          <w:szCs w:val="24"/>
        </w:rPr>
        <w:t>; see also Ebbinghaus</w:t>
      </w:r>
      <w:r w:rsidR="00A50B51" w:rsidRPr="00791EFA">
        <w:rPr>
          <w:rFonts w:ascii="Garamond" w:eastAsia="Garamond" w:hAnsi="Garamond" w:cs="Times New Roman"/>
          <w:sz w:val="24"/>
          <w:szCs w:val="24"/>
        </w:rPr>
        <w:t>,</w:t>
      </w:r>
      <w:r w:rsidR="008949B0" w:rsidRPr="00791EFA">
        <w:rPr>
          <w:rFonts w:ascii="Garamond" w:eastAsia="Garamond" w:hAnsi="Garamond" w:cs="Times New Roman"/>
          <w:sz w:val="24"/>
          <w:szCs w:val="24"/>
        </w:rPr>
        <w:t xml:space="preserve"> 1885</w:t>
      </w:r>
      <w:r w:rsidR="000E3ACE" w:rsidRPr="00791EFA">
        <w:rPr>
          <w:rFonts w:ascii="Garamond" w:eastAsia="Garamond" w:hAnsi="Garamond" w:cs="Times New Roman"/>
          <w:sz w:val="24"/>
          <w:szCs w:val="24"/>
        </w:rPr>
        <w:t>). Thus some associationists see asymmetry as a consequence of rather than a problem for associationism.</w:t>
      </w:r>
    </w:p>
    <w:p w14:paraId="6388EDCA" w14:textId="231B514C" w:rsidR="00410901" w:rsidRPr="00791EFA" w:rsidRDefault="000E3ACE"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Furthermore, we suspect that the strong line taken by De Houwer and others is tied to learning; but learning is not the only form of evidence for the psychological reality of association</w:t>
      </w:r>
      <w:r w:rsidR="00AC5150"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Lexical priming provides an independent source of evidence.</w:t>
      </w:r>
      <w:r w:rsidR="00AC5150" w:rsidRPr="00791EFA">
        <w:rPr>
          <w:rFonts w:ascii="Garamond" w:eastAsia="Garamond" w:hAnsi="Garamond" w:cs="Times New Roman"/>
          <w:sz w:val="24"/>
          <w:szCs w:val="24"/>
        </w:rPr>
        <w:t xml:space="preserve"> Reading the word “doctor” will speed </w:t>
      </w:r>
      <w:r w:rsidR="00AC5150" w:rsidRPr="00791EFA">
        <w:rPr>
          <w:rFonts w:ascii="Garamond" w:eastAsia="Garamond" w:hAnsi="Garamond" w:cs="Times New Roman"/>
          <w:sz w:val="24"/>
          <w:szCs w:val="24"/>
        </w:rPr>
        <w:lastRenderedPageBreak/>
        <w:t>recognition of the word “nurse” (Meyer &amp; Schvaneveldt</w:t>
      </w:r>
      <w:r w:rsidR="00A50B51" w:rsidRPr="00791EFA">
        <w:rPr>
          <w:rFonts w:ascii="Garamond" w:eastAsia="Garamond" w:hAnsi="Garamond" w:cs="Times New Roman"/>
          <w:sz w:val="24"/>
          <w:szCs w:val="24"/>
        </w:rPr>
        <w:t>,</w:t>
      </w:r>
      <w:r w:rsidR="00AC5150" w:rsidRPr="00791EFA">
        <w:rPr>
          <w:rFonts w:ascii="Garamond" w:eastAsia="Garamond" w:hAnsi="Garamond" w:cs="Times New Roman"/>
          <w:sz w:val="24"/>
          <w:szCs w:val="24"/>
        </w:rPr>
        <w:t xml:space="preserve"> 1971) and reading “bug” will speed recognition of both “insect” and “microphone” independently of contextual disambiguation (</w:t>
      </w:r>
      <w:r w:rsidRPr="00791EFA">
        <w:rPr>
          <w:rFonts w:ascii="Garamond" w:eastAsia="Garamond" w:hAnsi="Garamond" w:cs="Times New Roman"/>
          <w:sz w:val="24"/>
          <w:szCs w:val="24"/>
        </w:rPr>
        <w:t xml:space="preserve">i.e., reading “Ants are bugs” still activates </w:t>
      </w:r>
      <w:r w:rsidRPr="00791EFA">
        <w:rPr>
          <w:rFonts w:ascii="Garamond" w:eastAsia="Garamond" w:hAnsi="Garamond" w:cs="Times New Roman"/>
          <w:smallCaps/>
          <w:sz w:val="24"/>
          <w:szCs w:val="24"/>
        </w:rPr>
        <w:t>microphone</w:t>
      </w:r>
      <w:r w:rsidRPr="00791EFA">
        <w:rPr>
          <w:rFonts w:ascii="Garamond" w:eastAsia="Garamond" w:hAnsi="Garamond" w:cs="Times New Roman"/>
          <w:sz w:val="24"/>
          <w:szCs w:val="24"/>
        </w:rPr>
        <w:t>—</w:t>
      </w:r>
      <w:r w:rsidR="00AC5150" w:rsidRPr="00791EFA">
        <w:rPr>
          <w:rFonts w:ascii="Garamond" w:eastAsia="Garamond" w:hAnsi="Garamond" w:cs="Times New Roman"/>
          <w:sz w:val="24"/>
          <w:szCs w:val="24"/>
        </w:rPr>
        <w:t>Swinney</w:t>
      </w:r>
      <w:r w:rsidR="00A50B51" w:rsidRPr="00791EFA">
        <w:rPr>
          <w:rFonts w:ascii="Garamond" w:eastAsia="Garamond" w:hAnsi="Garamond" w:cs="Times New Roman"/>
          <w:sz w:val="24"/>
          <w:szCs w:val="24"/>
        </w:rPr>
        <w:t>,</w:t>
      </w:r>
      <w:r w:rsidR="00AC5150" w:rsidRPr="00791EFA">
        <w:rPr>
          <w:rFonts w:ascii="Garamond" w:eastAsia="Garamond" w:hAnsi="Garamond" w:cs="Times New Roman"/>
          <w:sz w:val="24"/>
          <w:szCs w:val="24"/>
        </w:rPr>
        <w:t xml:space="preserve"> 1979). We have no idea how to propositionally model the link between </w:t>
      </w:r>
      <w:r w:rsidR="00AC5150" w:rsidRPr="00791EFA">
        <w:rPr>
          <w:rFonts w:ascii="Garamond" w:eastAsia="Garamond" w:hAnsi="Garamond" w:cs="Times New Roman"/>
          <w:smallCaps/>
          <w:sz w:val="24"/>
          <w:szCs w:val="24"/>
        </w:rPr>
        <w:t>doctor</w:t>
      </w:r>
      <w:r w:rsidR="00AC5150" w:rsidRPr="00791EFA">
        <w:rPr>
          <w:rFonts w:ascii="Garamond" w:eastAsia="Garamond" w:hAnsi="Garamond" w:cs="Times New Roman"/>
          <w:sz w:val="24"/>
          <w:szCs w:val="24"/>
        </w:rPr>
        <w:t xml:space="preserve"> and </w:t>
      </w:r>
      <w:r w:rsidR="00AC5150" w:rsidRPr="00791EFA">
        <w:rPr>
          <w:rFonts w:ascii="Garamond" w:eastAsia="Garamond" w:hAnsi="Garamond" w:cs="Times New Roman"/>
          <w:smallCaps/>
          <w:sz w:val="24"/>
          <w:szCs w:val="24"/>
        </w:rPr>
        <w:t>nurse</w:t>
      </w:r>
      <w:r w:rsidR="00AC5150" w:rsidRPr="00791EFA">
        <w:rPr>
          <w:rFonts w:ascii="Garamond" w:eastAsia="Garamond" w:hAnsi="Garamond" w:cs="Times New Roman"/>
          <w:sz w:val="24"/>
          <w:szCs w:val="24"/>
        </w:rPr>
        <w:t xml:space="preserve">. Do you have to believe that doctors are nurses? Or that doctors often appear next to nurses? Aside from being blatantly </w:t>
      </w:r>
      <w:r w:rsidR="00AC5150" w:rsidRPr="00791EFA">
        <w:rPr>
          <w:rFonts w:ascii="Garamond" w:eastAsia="Garamond" w:hAnsi="Garamond" w:cs="Times New Roman"/>
          <w:i/>
          <w:sz w:val="24"/>
          <w:szCs w:val="24"/>
        </w:rPr>
        <w:t>ad hoc</w:t>
      </w:r>
      <w:r w:rsidR="00AC5150" w:rsidRPr="00791EFA">
        <w:rPr>
          <w:rFonts w:ascii="Garamond" w:eastAsia="Garamond" w:hAnsi="Garamond" w:cs="Times New Roman"/>
          <w:sz w:val="24"/>
          <w:szCs w:val="24"/>
        </w:rPr>
        <w:t>, these hypotheses commit to empirical predictions about which representations mediate semantic priming that we strongly suspect wouldn’t be borne out by the data.</w:t>
      </w:r>
      <w:r w:rsidR="00964988" w:rsidRPr="00791EFA">
        <w:rPr>
          <w:rFonts w:ascii="Garamond" w:eastAsia="Garamond" w:hAnsi="Garamond" w:cs="Times New Roman"/>
          <w:sz w:val="24"/>
          <w:szCs w:val="24"/>
        </w:rPr>
        <w:t xml:space="preserve"> Instead, by far the most parsimonious explanation of</w:t>
      </w:r>
      <w:r w:rsidR="00A41636" w:rsidRPr="00791EFA">
        <w:rPr>
          <w:rFonts w:ascii="Garamond" w:eastAsia="Garamond" w:hAnsi="Garamond" w:cs="Times New Roman"/>
          <w:sz w:val="24"/>
          <w:szCs w:val="24"/>
        </w:rPr>
        <w:t xml:space="preserve"> (some forms of)</w:t>
      </w:r>
      <w:r w:rsidR="00964988" w:rsidRPr="00791EFA">
        <w:rPr>
          <w:rFonts w:ascii="Garamond" w:eastAsia="Garamond" w:hAnsi="Garamond" w:cs="Times New Roman"/>
          <w:sz w:val="24"/>
          <w:szCs w:val="24"/>
        </w:rPr>
        <w:t xml:space="preserve"> semantic priming simply posits associative links between concepts and spreading activation that decreases in strength as it metastasizes (Anderson</w:t>
      </w:r>
      <w:r w:rsidR="00A50B51" w:rsidRPr="00791EFA">
        <w:rPr>
          <w:rFonts w:ascii="Garamond" w:eastAsia="Garamond" w:hAnsi="Garamond" w:cs="Times New Roman"/>
          <w:sz w:val="24"/>
          <w:szCs w:val="24"/>
        </w:rPr>
        <w:t>,</w:t>
      </w:r>
      <w:r w:rsidR="00964988" w:rsidRPr="00791EFA">
        <w:rPr>
          <w:rFonts w:ascii="Garamond" w:eastAsia="Garamond" w:hAnsi="Garamond" w:cs="Times New Roman"/>
          <w:sz w:val="24"/>
          <w:szCs w:val="24"/>
        </w:rPr>
        <w:t xml:space="preserve"> 1983). These links can be understood as genuinely associative in that they are modulable through conditioning and that they are insensitive to rational evidence</w:t>
      </w:r>
      <w:r w:rsidRPr="00791EFA">
        <w:rPr>
          <w:rFonts w:ascii="Garamond" w:eastAsia="Garamond" w:hAnsi="Garamond" w:cs="Times New Roman"/>
          <w:sz w:val="24"/>
          <w:szCs w:val="24"/>
        </w:rPr>
        <w:t xml:space="preserve"> (as is clear in the </w:t>
      </w:r>
      <w:r w:rsidRPr="00791EFA">
        <w:rPr>
          <w:rFonts w:ascii="Garamond" w:eastAsia="Garamond" w:hAnsi="Garamond" w:cs="Times New Roman"/>
          <w:smallCaps/>
          <w:sz w:val="24"/>
          <w:szCs w:val="24"/>
        </w:rPr>
        <w:t>bug</w:t>
      </w:r>
      <w:r w:rsidRPr="00791EFA">
        <w:rPr>
          <w:rFonts w:ascii="Garamond" w:eastAsia="Garamond" w:hAnsi="Garamond" w:cs="Times New Roman"/>
          <w:smallCaps/>
          <w:sz w:val="24"/>
          <w:szCs w:val="24"/>
        </w:rPr>
        <w:sym w:font="Wingdings" w:char="F0E0"/>
      </w:r>
      <w:r w:rsidRPr="00791EFA">
        <w:rPr>
          <w:rFonts w:ascii="Garamond" w:eastAsia="Garamond" w:hAnsi="Garamond" w:cs="Times New Roman"/>
          <w:smallCaps/>
          <w:sz w:val="24"/>
          <w:szCs w:val="24"/>
        </w:rPr>
        <w:t>microphone</w:t>
      </w:r>
      <w:r w:rsidRPr="00791EFA">
        <w:rPr>
          <w:rFonts w:ascii="Garamond" w:eastAsia="Garamond" w:hAnsi="Garamond" w:cs="Times New Roman"/>
          <w:sz w:val="24"/>
          <w:szCs w:val="24"/>
        </w:rPr>
        <w:t xml:space="preserve"> case)</w:t>
      </w:r>
      <w:r w:rsidR="00964988" w:rsidRPr="00791EFA">
        <w:rPr>
          <w:rFonts w:ascii="Garamond" w:eastAsia="Garamond" w:hAnsi="Garamond" w:cs="Times New Roman"/>
          <w:sz w:val="24"/>
          <w:szCs w:val="24"/>
        </w:rPr>
        <w:t>.</w:t>
      </w:r>
      <w:r w:rsidR="00AA5BEC" w:rsidRPr="00791EFA">
        <w:rPr>
          <w:rFonts w:ascii="Garamond" w:eastAsia="Garamond" w:hAnsi="Garamond" w:cs="Times New Roman"/>
          <w:sz w:val="24"/>
          <w:szCs w:val="24"/>
        </w:rPr>
        <w:t xml:space="preserve"> </w:t>
      </w:r>
    </w:p>
    <w:p w14:paraId="600FA679" w14:textId="27640E72" w:rsidR="00964988" w:rsidRPr="00791EFA" w:rsidRDefault="00964988"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Assuming association is worth saving, then if asymmetry is to be countenanced</w:t>
      </w:r>
      <w:r w:rsidR="00AA5BEC"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w:t>
      </w:r>
      <w:r w:rsidR="000E3ACE" w:rsidRPr="00791EFA">
        <w:rPr>
          <w:rFonts w:ascii="Garamond" w:eastAsia="Garamond" w:hAnsi="Garamond" w:cs="Times New Roman"/>
          <w:sz w:val="24"/>
          <w:szCs w:val="24"/>
        </w:rPr>
        <w:t xml:space="preserve">perhaps </w:t>
      </w:r>
      <w:r w:rsidRPr="00791EFA">
        <w:rPr>
          <w:rFonts w:ascii="Garamond" w:eastAsia="Garamond" w:hAnsi="Garamond" w:cs="Times New Roman"/>
          <w:sz w:val="24"/>
          <w:szCs w:val="24"/>
        </w:rPr>
        <w:t xml:space="preserve">the notion of association </w:t>
      </w:r>
      <w:r w:rsidR="00AA5BEC" w:rsidRPr="00791EFA">
        <w:rPr>
          <w:rFonts w:ascii="Garamond" w:eastAsia="Garamond" w:hAnsi="Garamond" w:cs="Times New Roman"/>
          <w:sz w:val="24"/>
          <w:szCs w:val="24"/>
        </w:rPr>
        <w:t xml:space="preserve">as the bare propensity of two representations to be co-activated </w:t>
      </w:r>
      <w:r w:rsidR="000E3ACE" w:rsidRPr="00791EFA">
        <w:rPr>
          <w:rFonts w:ascii="Garamond" w:eastAsia="Garamond" w:hAnsi="Garamond" w:cs="Times New Roman"/>
          <w:sz w:val="24"/>
          <w:szCs w:val="24"/>
        </w:rPr>
        <w:t>ought to</w:t>
      </w:r>
      <w:r w:rsidRPr="00791EFA">
        <w:rPr>
          <w:rFonts w:ascii="Garamond" w:eastAsia="Garamond" w:hAnsi="Garamond" w:cs="Times New Roman"/>
          <w:sz w:val="24"/>
          <w:szCs w:val="24"/>
        </w:rPr>
        <w:t xml:space="preserve"> be augmented in some way.</w:t>
      </w:r>
      <w:r w:rsidR="007C2B55" w:rsidRPr="00791EFA">
        <w:rPr>
          <w:rFonts w:ascii="Garamond" w:eastAsia="Garamond" w:hAnsi="Garamond" w:cs="Times New Roman"/>
          <w:sz w:val="24"/>
          <w:szCs w:val="24"/>
        </w:rPr>
        <w:t xml:space="preserve"> </w:t>
      </w:r>
      <w:r w:rsidR="00AA5BEC" w:rsidRPr="00791EFA">
        <w:rPr>
          <w:rFonts w:ascii="Garamond" w:eastAsia="Garamond" w:hAnsi="Garamond" w:cs="Times New Roman"/>
          <w:sz w:val="24"/>
          <w:szCs w:val="24"/>
        </w:rPr>
        <w:t xml:space="preserve">The most extreme reaction would be to simply throw out the idea of bare associative links and construe association as fundamentally structured. This reaction would alienate </w:t>
      </w:r>
      <w:r w:rsidR="00143970" w:rsidRPr="00791EFA">
        <w:rPr>
          <w:rFonts w:ascii="Garamond" w:eastAsia="Garamond" w:hAnsi="Garamond" w:cs="Times New Roman"/>
          <w:sz w:val="24"/>
          <w:szCs w:val="24"/>
        </w:rPr>
        <w:t>the spirit</w:t>
      </w:r>
      <w:r w:rsidR="007C2B55" w:rsidRPr="00791EFA">
        <w:rPr>
          <w:rFonts w:ascii="Garamond" w:eastAsia="Garamond" w:hAnsi="Garamond" w:cs="Times New Roman"/>
          <w:sz w:val="24"/>
          <w:szCs w:val="24"/>
        </w:rPr>
        <w:t xml:space="preserve"> if not</w:t>
      </w:r>
      <w:r w:rsidR="00143970" w:rsidRPr="00791EFA">
        <w:rPr>
          <w:rFonts w:ascii="Garamond" w:eastAsia="Garamond" w:hAnsi="Garamond" w:cs="Times New Roman"/>
          <w:sz w:val="24"/>
          <w:szCs w:val="24"/>
        </w:rPr>
        <w:t xml:space="preserve"> the letter of </w:t>
      </w:r>
      <w:r w:rsidR="00AA5BEC" w:rsidRPr="00791EFA">
        <w:rPr>
          <w:rFonts w:ascii="Garamond" w:eastAsia="Garamond" w:hAnsi="Garamond" w:cs="Times New Roman"/>
          <w:sz w:val="24"/>
          <w:szCs w:val="24"/>
        </w:rPr>
        <w:t>classical associationism</w:t>
      </w:r>
      <w:r w:rsidR="000E3ACE" w:rsidRPr="00791EFA">
        <w:rPr>
          <w:rFonts w:ascii="Garamond" w:eastAsia="Garamond" w:hAnsi="Garamond" w:cs="Times New Roman"/>
          <w:sz w:val="24"/>
          <w:szCs w:val="24"/>
        </w:rPr>
        <w:t>—though some early associationists posited asymmetry,</w:t>
      </w:r>
      <w:r w:rsidR="007C2B55" w:rsidRPr="00791EFA">
        <w:rPr>
          <w:rFonts w:ascii="Garamond" w:eastAsia="Garamond" w:hAnsi="Garamond" w:cs="Times New Roman"/>
          <w:sz w:val="24"/>
          <w:szCs w:val="24"/>
        </w:rPr>
        <w:t xml:space="preserve"> they never specified how the supposedly structure-free character of association allows for it</w:t>
      </w:r>
      <w:r w:rsidR="00AA5BEC" w:rsidRPr="00791EFA">
        <w:rPr>
          <w:rFonts w:ascii="Garamond" w:eastAsia="Garamond" w:hAnsi="Garamond" w:cs="Times New Roman"/>
          <w:sz w:val="24"/>
          <w:szCs w:val="24"/>
        </w:rPr>
        <w:t xml:space="preserve">. </w:t>
      </w:r>
      <w:r w:rsidR="00143970" w:rsidRPr="00791EFA">
        <w:rPr>
          <w:rFonts w:ascii="Garamond" w:eastAsia="Garamond" w:hAnsi="Garamond" w:cs="Times New Roman"/>
          <w:sz w:val="24"/>
          <w:szCs w:val="24"/>
        </w:rPr>
        <w:t xml:space="preserve">Not only have associationists described association as an unstructured pairing of representations, but this lack of structure plays a key role in the motivation for associationism. A core part of the appeal of associationism is its ontological simplicity, and its parsimonious ontology derives from the simplicity of the associative relation itself. Building structure into the basic </w:t>
      </w:r>
      <w:r w:rsidR="00143970" w:rsidRPr="00791EFA">
        <w:rPr>
          <w:rFonts w:ascii="Garamond" w:eastAsia="Garamond" w:hAnsi="Garamond" w:cs="Times New Roman"/>
          <w:sz w:val="24"/>
          <w:szCs w:val="24"/>
        </w:rPr>
        <w:lastRenderedPageBreak/>
        <w:t>associative relation thus drives a wedge between the theory of association and its aboriginal motivating idea.</w:t>
      </w:r>
      <w:r w:rsidR="00F04DA3" w:rsidRPr="00791EFA">
        <w:rPr>
          <w:rStyle w:val="FootnoteReference"/>
          <w:rFonts w:ascii="Garamond" w:eastAsia="Garamond" w:hAnsi="Garamond" w:cs="Times New Roman"/>
          <w:sz w:val="24"/>
          <w:szCs w:val="24"/>
        </w:rPr>
        <w:footnoteReference w:id="13"/>
      </w:r>
    </w:p>
    <w:p w14:paraId="5C71C490" w14:textId="673ABDA2" w:rsidR="00B426E1" w:rsidRPr="00791EFA" w:rsidRDefault="00B426E1"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Moreover, supposing associations to be asymmetric creates a corresponding problem, viz., the problem of “backward association.” It is generally true that even presentation orders that clearly favor a particular direction (A</w:t>
      </w:r>
      <w:r w:rsidRPr="00791EFA">
        <w:rPr>
          <w:rFonts w:ascii="Garamond" w:eastAsia="Garamond" w:hAnsi="Garamond" w:cs="Times New Roman"/>
          <w:sz w:val="24"/>
          <w:szCs w:val="24"/>
        </w:rPr>
        <w:sym w:font="Wingdings" w:char="F0E0"/>
      </w:r>
      <w:r w:rsidRPr="00791EFA">
        <w:rPr>
          <w:rFonts w:ascii="Garamond" w:eastAsia="Garamond" w:hAnsi="Garamond" w:cs="Times New Roman"/>
          <w:sz w:val="24"/>
          <w:szCs w:val="24"/>
        </w:rPr>
        <w:t>B) will generate not only the desired “forward” link but also a “backward” link in the other direction, B</w:t>
      </w:r>
      <w:r w:rsidRPr="00791EFA">
        <w:rPr>
          <w:rFonts w:ascii="Garamond" w:eastAsia="Garamond" w:hAnsi="Garamond" w:cs="Times New Roman"/>
          <w:sz w:val="24"/>
          <w:szCs w:val="24"/>
        </w:rPr>
        <w:sym w:font="Wingdings" w:char="F0E0"/>
      </w:r>
      <w:r w:rsidRPr="00791EFA">
        <w:rPr>
          <w:rFonts w:ascii="Garamond" w:eastAsia="Garamond" w:hAnsi="Garamond" w:cs="Times New Roman"/>
          <w:sz w:val="24"/>
          <w:szCs w:val="24"/>
        </w:rPr>
        <w:t xml:space="preserve">A (Asch &amp; </w:t>
      </w:r>
      <w:r w:rsidR="00522A8B" w:rsidRPr="00791EFA">
        <w:rPr>
          <w:rFonts w:ascii="Garamond" w:eastAsia="Garamond" w:hAnsi="Garamond" w:cs="Times New Roman"/>
          <w:sz w:val="24"/>
          <w:szCs w:val="24"/>
        </w:rPr>
        <w:t>Ebenholtz</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1962; Hogan &amp; Zentall</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1977). If association is</w:t>
      </w:r>
      <w:r w:rsidR="00F04DA3" w:rsidRPr="00791EFA">
        <w:rPr>
          <w:rFonts w:ascii="Garamond" w:eastAsia="Garamond" w:hAnsi="Garamond" w:cs="Times New Roman"/>
          <w:sz w:val="24"/>
          <w:szCs w:val="24"/>
        </w:rPr>
        <w:t xml:space="preserve"> asymmetric, then it’s totally unclear why backward association would develop. Thus associationists </w:t>
      </w:r>
      <w:r w:rsidR="00624C43" w:rsidRPr="00791EFA">
        <w:rPr>
          <w:rFonts w:ascii="Garamond" w:eastAsia="Garamond" w:hAnsi="Garamond" w:cs="Times New Roman"/>
          <w:sz w:val="24"/>
          <w:szCs w:val="24"/>
        </w:rPr>
        <w:t xml:space="preserve">who </w:t>
      </w:r>
      <w:r w:rsidR="00F04DA3" w:rsidRPr="00791EFA">
        <w:rPr>
          <w:rFonts w:ascii="Garamond" w:eastAsia="Garamond" w:hAnsi="Garamond" w:cs="Times New Roman"/>
          <w:sz w:val="24"/>
          <w:szCs w:val="24"/>
        </w:rPr>
        <w:t>scrambled to appeal to independent</w:t>
      </w:r>
      <w:r w:rsidRPr="00791EFA">
        <w:rPr>
          <w:rFonts w:ascii="Garamond" w:eastAsia="Garamond" w:hAnsi="Garamond" w:cs="Times New Roman"/>
          <w:sz w:val="24"/>
          <w:szCs w:val="24"/>
        </w:rPr>
        <w:t xml:space="preserve"> </w:t>
      </w:r>
      <w:r w:rsidR="00624C43" w:rsidRPr="00791EFA">
        <w:rPr>
          <w:rFonts w:ascii="Garamond" w:eastAsia="Garamond" w:hAnsi="Garamond" w:cs="Times New Roman"/>
          <w:sz w:val="24"/>
          <w:szCs w:val="24"/>
        </w:rPr>
        <w:t>factors to explain backward association</w:t>
      </w:r>
      <w:r w:rsidR="009A49D2" w:rsidRPr="00791EFA">
        <w:rPr>
          <w:rFonts w:ascii="Garamond" w:eastAsia="Garamond" w:hAnsi="Garamond" w:cs="Times New Roman"/>
          <w:sz w:val="24"/>
          <w:szCs w:val="24"/>
        </w:rPr>
        <w:t xml:space="preserve"> (Cason</w:t>
      </w:r>
      <w:r w:rsidR="00A50B51" w:rsidRPr="00791EFA">
        <w:rPr>
          <w:rFonts w:ascii="Garamond" w:eastAsia="Garamond" w:hAnsi="Garamond" w:cs="Times New Roman"/>
          <w:sz w:val="24"/>
          <w:szCs w:val="24"/>
        </w:rPr>
        <w:t>,</w:t>
      </w:r>
      <w:r w:rsidR="009A49D2" w:rsidRPr="00791EFA">
        <w:rPr>
          <w:rFonts w:ascii="Garamond" w:eastAsia="Garamond" w:hAnsi="Garamond" w:cs="Times New Roman"/>
          <w:sz w:val="24"/>
          <w:szCs w:val="24"/>
        </w:rPr>
        <w:t xml:space="preserve"> 192</w:t>
      </w:r>
      <w:r w:rsidR="008B4656" w:rsidRPr="00791EFA">
        <w:rPr>
          <w:rFonts w:ascii="Garamond" w:eastAsia="Garamond" w:hAnsi="Garamond" w:cs="Times New Roman"/>
          <w:sz w:val="24"/>
          <w:szCs w:val="24"/>
        </w:rPr>
        <w:t>4; Storms</w:t>
      </w:r>
      <w:r w:rsidR="00A50B51" w:rsidRPr="00791EFA">
        <w:rPr>
          <w:rFonts w:ascii="Garamond" w:eastAsia="Garamond" w:hAnsi="Garamond" w:cs="Times New Roman"/>
          <w:sz w:val="24"/>
          <w:szCs w:val="24"/>
        </w:rPr>
        <w:t>,</w:t>
      </w:r>
      <w:r w:rsidR="008B4656" w:rsidRPr="00791EFA">
        <w:rPr>
          <w:rFonts w:ascii="Garamond" w:eastAsia="Garamond" w:hAnsi="Garamond" w:cs="Times New Roman"/>
          <w:sz w:val="24"/>
          <w:szCs w:val="24"/>
        </w:rPr>
        <w:t xml:space="preserve"> 1958).</w:t>
      </w:r>
    </w:p>
    <w:p w14:paraId="3FDAAD78" w14:textId="0C33E105" w:rsidR="00143970" w:rsidRPr="00791EFA" w:rsidRDefault="00143970"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Another reaction is to construe associative links as consisting of two layers. One is an unordered pairing of representations (i.e., the basic associative relation), and another is an ordered pairing with some strength. Thus if </w:t>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are truly associated, then activating either </w:t>
      </w:r>
      <w:r w:rsidRPr="00791EFA">
        <w:rPr>
          <w:rFonts w:ascii="Garamond" w:eastAsia="Garamond" w:hAnsi="Garamond" w:cs="Times New Roman"/>
          <w:sz w:val="24"/>
          <w:szCs w:val="24"/>
        </w:rPr>
        <w:lastRenderedPageBreak/>
        <w:t>will guarantee the activation of the other; this is the bare associative link. However,</w:t>
      </w:r>
      <w:r w:rsidR="00CA61DD" w:rsidRPr="00791EFA">
        <w:rPr>
          <w:rFonts w:ascii="Garamond" w:eastAsia="Garamond" w:hAnsi="Garamond" w:cs="Times New Roman"/>
          <w:sz w:val="24"/>
          <w:szCs w:val="24"/>
        </w:rPr>
        <w:t xml:space="preserve"> while the bare associative link</w:t>
      </w:r>
      <w:r w:rsidRPr="00791EFA">
        <w:rPr>
          <w:rFonts w:ascii="Garamond" w:eastAsia="Garamond" w:hAnsi="Garamond" w:cs="Times New Roman"/>
          <w:sz w:val="24"/>
          <w:szCs w:val="24"/>
        </w:rPr>
        <w:t xml:space="preserve"> </w:t>
      </w:r>
      <w:r w:rsidR="00CA61DD" w:rsidRPr="00791EFA">
        <w:rPr>
          <w:rFonts w:ascii="Garamond" w:eastAsia="Garamond" w:hAnsi="Garamond" w:cs="Times New Roman"/>
          <w:sz w:val="24"/>
          <w:szCs w:val="24"/>
        </w:rPr>
        <w:t xml:space="preserve">might guarantee whether or not a representation is activated (i.e., in a binary fashion), it might be silent on the </w:t>
      </w:r>
      <w:r w:rsidR="00CA61DD" w:rsidRPr="00791EFA">
        <w:rPr>
          <w:rFonts w:ascii="Garamond" w:eastAsia="Garamond" w:hAnsi="Garamond" w:cs="Times New Roman"/>
          <w:i/>
          <w:sz w:val="24"/>
          <w:szCs w:val="24"/>
        </w:rPr>
        <w:t>degree</w:t>
      </w:r>
      <w:r w:rsidR="00CA61DD" w:rsidRPr="00791EFA">
        <w:rPr>
          <w:rFonts w:ascii="Garamond" w:eastAsia="Garamond" w:hAnsi="Garamond" w:cs="Times New Roman"/>
          <w:sz w:val="24"/>
          <w:szCs w:val="24"/>
        </w:rPr>
        <w:t xml:space="preserve"> of activation. The degree of activation might be modulated by a separate structure that specifies both direction and strength </w:t>
      </w:r>
      <w:r w:rsidRPr="00791EFA">
        <w:rPr>
          <w:rFonts w:ascii="Garamond" w:eastAsia="Garamond" w:hAnsi="Garamond" w:cs="Times New Roman"/>
          <w:sz w:val="24"/>
          <w:szCs w:val="24"/>
        </w:rPr>
        <w:t xml:space="preserve">(e.g., </w:t>
      </w:r>
      <w:r w:rsidRPr="00791EFA">
        <w:rPr>
          <w:rFonts w:ascii="Garamond" w:eastAsia="Garamond" w:hAnsi="Garamond" w:cs="Times New Roman"/>
          <w:smallCaps/>
          <w:sz w:val="24"/>
          <w:szCs w:val="24"/>
        </w:rPr>
        <w:t>ulterior</w:t>
      </w:r>
      <w:r w:rsidRPr="00791EFA">
        <w:rPr>
          <w:rFonts w:ascii="Garamond" w:eastAsia="Garamond" w:hAnsi="Garamond" w:cs="Times New Roman"/>
          <w:smallCaps/>
          <w:sz w:val="24"/>
          <w:szCs w:val="24"/>
        </w:rPr>
        <w:sym w:font="Wingdings" w:char="F0E0"/>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0.8;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sym w:font="Wingdings" w:char="F0E0"/>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0.2).</w:t>
      </w:r>
    </w:p>
    <w:p w14:paraId="7663045A" w14:textId="5CD0DB04" w:rsidR="00CA61DD" w:rsidRPr="00791EFA" w:rsidRDefault="00CA61DD"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A significant theoretical cost of complicating associative structures in this way is that the structure of the transition from </w:t>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xml:space="preserve"> to </w:t>
      </w:r>
      <w:r w:rsidRPr="00791EFA">
        <w:rPr>
          <w:rFonts w:ascii="Garamond" w:eastAsia="Garamond" w:hAnsi="Garamond" w:cs="Times New Roman"/>
          <w:smallCaps/>
          <w:sz w:val="24"/>
          <w:szCs w:val="24"/>
        </w:rPr>
        <w:t xml:space="preserve">motive </w:t>
      </w:r>
      <w:r w:rsidRPr="00791EFA">
        <w:rPr>
          <w:rFonts w:ascii="Garamond" w:eastAsia="Garamond" w:hAnsi="Garamond" w:cs="Times New Roman"/>
          <w:sz w:val="24"/>
          <w:szCs w:val="24"/>
        </w:rPr>
        <w:t xml:space="preserve">ends up being partially rule-governed, where the rule is something like </w:t>
      </w:r>
      <w:r w:rsidRPr="00791EFA">
        <w:rPr>
          <w:rFonts w:ascii="Garamond" w:eastAsia="Garamond" w:hAnsi="Garamond" w:cs="Times New Roman"/>
          <w:i/>
          <w:sz w:val="24"/>
          <w:szCs w:val="24"/>
        </w:rPr>
        <w:t xml:space="preserve">If </w:t>
      </w:r>
      <w:r w:rsidRPr="00791EFA">
        <w:rPr>
          <w:rFonts w:ascii="Garamond" w:eastAsia="Garamond" w:hAnsi="Garamond" w:cs="Times New Roman"/>
          <w:i/>
          <w:smallCaps/>
          <w:sz w:val="24"/>
          <w:szCs w:val="24"/>
        </w:rPr>
        <w:t>ulterior</w:t>
      </w:r>
      <w:r w:rsidRPr="00791EFA">
        <w:rPr>
          <w:rFonts w:ascii="Garamond" w:eastAsia="Garamond" w:hAnsi="Garamond" w:cs="Times New Roman"/>
          <w:i/>
          <w:sz w:val="24"/>
          <w:szCs w:val="24"/>
        </w:rPr>
        <w:t xml:space="preserve"> is activated, then activate </w:t>
      </w:r>
      <w:r w:rsidRPr="00791EFA">
        <w:rPr>
          <w:rFonts w:ascii="Garamond" w:eastAsia="Garamond" w:hAnsi="Garamond" w:cs="Times New Roman"/>
          <w:i/>
          <w:smallCaps/>
          <w:sz w:val="24"/>
          <w:szCs w:val="24"/>
        </w:rPr>
        <w:t>motive</w:t>
      </w:r>
      <w:r w:rsidRPr="00791EFA">
        <w:rPr>
          <w:rFonts w:ascii="Garamond" w:eastAsia="Garamond" w:hAnsi="Garamond" w:cs="Times New Roman"/>
          <w:i/>
          <w:sz w:val="24"/>
          <w:szCs w:val="24"/>
        </w:rPr>
        <w:t xml:space="preserve"> to 0.8</w:t>
      </w:r>
      <w:r w:rsidRPr="00791EFA">
        <w:rPr>
          <w:rFonts w:ascii="Garamond" w:eastAsia="Garamond" w:hAnsi="Garamond" w:cs="Times New Roman"/>
          <w:sz w:val="24"/>
          <w:szCs w:val="24"/>
        </w:rPr>
        <w:t xml:space="preserve">. Nonetheless, this sort of transition could still be different from other rule-governed </w:t>
      </w:r>
      <w:r w:rsidR="009D438C" w:rsidRPr="00791EFA">
        <w:rPr>
          <w:rFonts w:ascii="Garamond" w:eastAsia="Garamond" w:hAnsi="Garamond" w:cs="Times New Roman"/>
          <w:sz w:val="24"/>
          <w:szCs w:val="24"/>
        </w:rPr>
        <w:t xml:space="preserve">transitions </w:t>
      </w:r>
      <w:r w:rsidRPr="00791EFA">
        <w:rPr>
          <w:rFonts w:ascii="Garamond" w:eastAsia="Garamond" w:hAnsi="Garamond" w:cs="Times New Roman"/>
          <w:sz w:val="24"/>
          <w:szCs w:val="24"/>
        </w:rPr>
        <w:t xml:space="preserve">in the following ways: (a) it’s modulable through (and only through) conditioning; (b) it is blind to compositional structure and logical form (e.g., activating </w:t>
      </w:r>
      <w:r w:rsidRPr="00791EFA">
        <w:rPr>
          <w:rFonts w:ascii="Garamond" w:eastAsia="Garamond" w:hAnsi="Garamond" w:cs="Times New Roman"/>
          <w:smallCaps/>
          <w:sz w:val="24"/>
          <w:szCs w:val="24"/>
        </w:rPr>
        <w:t>that is not a brown cow</w:t>
      </w:r>
      <w:r w:rsidRPr="00791EFA">
        <w:rPr>
          <w:rFonts w:ascii="Garamond" w:eastAsia="Garamond" w:hAnsi="Garamond" w:cs="Times New Roman"/>
          <w:sz w:val="24"/>
          <w:szCs w:val="24"/>
        </w:rPr>
        <w:t xml:space="preserve"> will initiate all links that hold for both </w:t>
      </w:r>
      <w:r w:rsidRPr="00791EFA">
        <w:rPr>
          <w:rFonts w:ascii="Garamond" w:eastAsia="Garamond" w:hAnsi="Garamond" w:cs="Times New Roman"/>
          <w:smallCaps/>
          <w:sz w:val="24"/>
          <w:szCs w:val="24"/>
        </w:rPr>
        <w:t>brown</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cow</w:t>
      </w:r>
      <w:r w:rsidRPr="00791EFA">
        <w:rPr>
          <w:rFonts w:ascii="Garamond" w:eastAsia="Garamond" w:hAnsi="Garamond" w:cs="Times New Roman"/>
          <w:sz w:val="24"/>
          <w:szCs w:val="24"/>
        </w:rPr>
        <w:t xml:space="preserve">); </w:t>
      </w:r>
      <w:r w:rsidR="00FB2912" w:rsidRPr="00791EFA">
        <w:rPr>
          <w:rFonts w:ascii="Garamond" w:eastAsia="Garamond" w:hAnsi="Garamond" w:cs="Times New Roman"/>
          <w:sz w:val="24"/>
          <w:szCs w:val="24"/>
        </w:rPr>
        <w:t xml:space="preserve">and </w:t>
      </w:r>
      <w:r w:rsidRPr="00791EFA">
        <w:rPr>
          <w:rFonts w:ascii="Garamond" w:eastAsia="Garamond" w:hAnsi="Garamond" w:cs="Times New Roman"/>
          <w:sz w:val="24"/>
          <w:szCs w:val="24"/>
        </w:rPr>
        <w:t>(c) it is not truth preserving</w:t>
      </w:r>
      <w:r w:rsidR="00FB2912" w:rsidRPr="00791EFA">
        <w:rPr>
          <w:rFonts w:ascii="Garamond" w:eastAsia="Garamond" w:hAnsi="Garamond" w:cs="Times New Roman"/>
          <w:sz w:val="24"/>
          <w:szCs w:val="24"/>
        </w:rPr>
        <w:t xml:space="preserve"> (e.g., if it’s true that the table has salt on it, it may be false that it has pepper on it, but the associative transition proceeds anyway even if it has the kind of asymmetric structure on offer).</w:t>
      </w:r>
      <w:r w:rsidR="009D438C" w:rsidRPr="00791EFA">
        <w:rPr>
          <w:rFonts w:ascii="Garamond" w:eastAsia="Garamond" w:hAnsi="Garamond" w:cs="Times New Roman"/>
          <w:sz w:val="24"/>
          <w:szCs w:val="24"/>
        </w:rPr>
        <w:t xml:space="preserve"> </w:t>
      </w:r>
      <w:r w:rsidR="00B426E1" w:rsidRPr="00791EFA">
        <w:rPr>
          <w:rFonts w:ascii="Garamond" w:eastAsia="Garamond" w:hAnsi="Garamond" w:cs="Times New Roman"/>
          <w:sz w:val="24"/>
          <w:szCs w:val="24"/>
        </w:rPr>
        <w:t>This layered view faces a more significant problem in that it’s not clear what explanatory work remains to be done by the bare symmetrical associative link.</w:t>
      </w:r>
    </w:p>
    <w:p w14:paraId="21C43AD0" w14:textId="77777777" w:rsidR="003D7DE8" w:rsidRPr="00791EFA" w:rsidRDefault="00FB2912"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We’ve been exploring these options in the hope of mapping out the logical space. But it is not in fact obvious that asymmetries like those discussed above are to be explained by appeal to association. In cases like the relation between </w:t>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there is a complex concept </w:t>
      </w:r>
      <w:r w:rsidRPr="00791EFA">
        <w:rPr>
          <w:rFonts w:ascii="Garamond" w:eastAsia="Garamond" w:hAnsi="Garamond" w:cs="Times New Roman"/>
          <w:smallCaps/>
          <w:sz w:val="24"/>
          <w:szCs w:val="24"/>
        </w:rPr>
        <w:t>ulterior motive</w:t>
      </w:r>
      <w:r w:rsidRPr="00791EFA">
        <w:rPr>
          <w:rFonts w:ascii="Garamond" w:eastAsia="Garamond" w:hAnsi="Garamond" w:cs="Times New Roman"/>
          <w:sz w:val="24"/>
          <w:szCs w:val="24"/>
        </w:rPr>
        <w:t xml:space="preserve"> with a corresponding complex linguistic representation (viz., ‘ulterior motive’), both of which have an ordering in which </w:t>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xml:space="preserve">/‘ulterior’ comes before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/‘motive’—and similarly for ‘salt and pepper’ and other cases. It may be that</w:t>
      </w:r>
      <w:r w:rsidR="009D438C" w:rsidRPr="00791EFA">
        <w:rPr>
          <w:rFonts w:ascii="Garamond" w:eastAsia="Garamond" w:hAnsi="Garamond" w:cs="Times New Roman"/>
          <w:sz w:val="24"/>
          <w:szCs w:val="24"/>
        </w:rPr>
        <w:t xml:space="preserve"> some non-associative structure or rule facilitates the activation of the complex conceptual/linguistic structure upon the activation of its primary constituent (viz., </w:t>
      </w:r>
      <w:r w:rsidR="009D438C" w:rsidRPr="00791EFA">
        <w:rPr>
          <w:rFonts w:ascii="Garamond" w:eastAsia="Garamond" w:hAnsi="Garamond" w:cs="Times New Roman"/>
          <w:smallCaps/>
          <w:sz w:val="24"/>
          <w:szCs w:val="24"/>
        </w:rPr>
        <w:t>ulterior</w:t>
      </w:r>
      <w:r w:rsidR="009D438C" w:rsidRPr="00791EFA">
        <w:rPr>
          <w:rFonts w:ascii="Garamond" w:eastAsia="Garamond" w:hAnsi="Garamond" w:cs="Times New Roman"/>
          <w:sz w:val="24"/>
          <w:szCs w:val="24"/>
        </w:rPr>
        <w:t>/‘ulterior’)</w:t>
      </w:r>
      <w:r w:rsidR="00BC3917" w:rsidRPr="00791EFA">
        <w:rPr>
          <w:rFonts w:ascii="Garamond" w:eastAsia="Garamond" w:hAnsi="Garamond" w:cs="Times New Roman"/>
          <w:sz w:val="24"/>
          <w:szCs w:val="24"/>
        </w:rPr>
        <w:t xml:space="preserve"> but not its secondary one (viz., </w:t>
      </w:r>
      <w:r w:rsidR="00BC3917" w:rsidRPr="00791EFA">
        <w:rPr>
          <w:rFonts w:ascii="Garamond" w:eastAsia="Garamond" w:hAnsi="Garamond" w:cs="Times New Roman"/>
          <w:smallCaps/>
          <w:sz w:val="24"/>
          <w:szCs w:val="24"/>
        </w:rPr>
        <w:t>motive</w:t>
      </w:r>
      <w:r w:rsidR="00BC3917" w:rsidRPr="00791EFA">
        <w:rPr>
          <w:rFonts w:ascii="Garamond" w:eastAsia="Garamond" w:hAnsi="Garamond" w:cs="Times New Roman"/>
          <w:sz w:val="24"/>
          <w:szCs w:val="24"/>
        </w:rPr>
        <w:t>/‘motive’)</w:t>
      </w:r>
      <w:r w:rsidR="009D438C" w:rsidRPr="00791EFA">
        <w:rPr>
          <w:rFonts w:ascii="Garamond" w:eastAsia="Garamond" w:hAnsi="Garamond" w:cs="Times New Roman"/>
          <w:sz w:val="24"/>
          <w:szCs w:val="24"/>
        </w:rPr>
        <w:t xml:space="preserve">. In that case, </w:t>
      </w:r>
      <w:r w:rsidR="009D438C" w:rsidRPr="00791EFA">
        <w:rPr>
          <w:rFonts w:ascii="Garamond" w:eastAsia="Garamond" w:hAnsi="Garamond" w:cs="Times New Roman"/>
          <w:smallCaps/>
          <w:sz w:val="24"/>
          <w:szCs w:val="24"/>
        </w:rPr>
        <w:t>ulterior</w:t>
      </w:r>
      <w:r w:rsidR="009D438C" w:rsidRPr="00791EFA">
        <w:rPr>
          <w:rFonts w:ascii="Garamond" w:eastAsia="Garamond" w:hAnsi="Garamond" w:cs="Times New Roman"/>
          <w:sz w:val="24"/>
          <w:szCs w:val="24"/>
        </w:rPr>
        <w:t xml:space="preserve"> will cause the activation of </w:t>
      </w:r>
      <w:r w:rsidR="009D438C" w:rsidRPr="00791EFA">
        <w:rPr>
          <w:rFonts w:ascii="Garamond" w:eastAsia="Garamond" w:hAnsi="Garamond" w:cs="Times New Roman"/>
          <w:smallCaps/>
          <w:sz w:val="24"/>
          <w:szCs w:val="24"/>
        </w:rPr>
        <w:t>motive</w:t>
      </w:r>
      <w:r w:rsidR="009D438C" w:rsidRPr="00791EFA">
        <w:rPr>
          <w:rFonts w:ascii="Garamond" w:eastAsia="Garamond" w:hAnsi="Garamond" w:cs="Times New Roman"/>
          <w:sz w:val="24"/>
          <w:szCs w:val="24"/>
        </w:rPr>
        <w:t xml:space="preserve"> both through the bare associative link </w:t>
      </w:r>
      <w:r w:rsidR="009D438C" w:rsidRPr="00791EFA">
        <w:rPr>
          <w:rFonts w:ascii="Garamond" w:eastAsia="Garamond" w:hAnsi="Garamond" w:cs="Times New Roman"/>
          <w:sz w:val="24"/>
          <w:szCs w:val="24"/>
        </w:rPr>
        <w:lastRenderedPageBreak/>
        <w:t xml:space="preserve">between them and through activating </w:t>
      </w:r>
      <w:r w:rsidR="009D438C" w:rsidRPr="00791EFA">
        <w:rPr>
          <w:rFonts w:ascii="Garamond" w:eastAsia="Garamond" w:hAnsi="Garamond" w:cs="Times New Roman"/>
          <w:smallCaps/>
          <w:sz w:val="24"/>
          <w:szCs w:val="24"/>
        </w:rPr>
        <w:t>ulterior motive</w:t>
      </w:r>
      <w:r w:rsidR="00BC3917" w:rsidRPr="00791EFA">
        <w:rPr>
          <w:rFonts w:ascii="Garamond" w:eastAsia="Garamond" w:hAnsi="Garamond" w:cs="Times New Roman"/>
          <w:sz w:val="24"/>
          <w:szCs w:val="24"/>
        </w:rPr>
        <w:t xml:space="preserve"> (and this transition may itself go through </w:t>
      </w:r>
      <w:r w:rsidR="00BC3917" w:rsidRPr="00791EFA">
        <w:rPr>
          <w:rFonts w:ascii="Garamond" w:eastAsia="Garamond" w:hAnsi="Garamond" w:cs="Times New Roman"/>
          <w:smallCaps/>
          <w:sz w:val="24"/>
          <w:szCs w:val="24"/>
        </w:rPr>
        <w:t>ulterior</w:t>
      </w:r>
      <w:r w:rsidR="00BC3917" w:rsidRPr="00791EFA">
        <w:rPr>
          <w:rFonts w:ascii="Garamond" w:eastAsia="Garamond" w:hAnsi="Garamond" w:cs="Times New Roman"/>
          <w:sz w:val="24"/>
          <w:szCs w:val="24"/>
        </w:rPr>
        <w:t xml:space="preserve"> activating ‘ulterior’, which activates ‘ulterior motive’, which activates </w:t>
      </w:r>
      <w:r w:rsidR="00BC3917" w:rsidRPr="00791EFA">
        <w:rPr>
          <w:rFonts w:ascii="Garamond" w:eastAsia="Garamond" w:hAnsi="Garamond" w:cs="Times New Roman"/>
          <w:smallCaps/>
          <w:sz w:val="24"/>
          <w:szCs w:val="24"/>
        </w:rPr>
        <w:t>ulterior motive</w:t>
      </w:r>
      <w:r w:rsidR="00BC3917" w:rsidRPr="00791EFA">
        <w:rPr>
          <w:rFonts w:ascii="Garamond" w:eastAsia="Garamond" w:hAnsi="Garamond" w:cs="Times New Roman"/>
          <w:sz w:val="24"/>
          <w:szCs w:val="24"/>
        </w:rPr>
        <w:t>).</w:t>
      </w:r>
      <w:r w:rsidR="009D438C" w:rsidRPr="00791EFA">
        <w:rPr>
          <w:rFonts w:ascii="Garamond" w:eastAsia="Garamond" w:hAnsi="Garamond" w:cs="Times New Roman"/>
          <w:sz w:val="24"/>
          <w:szCs w:val="24"/>
        </w:rPr>
        <w:t xml:space="preserve"> </w:t>
      </w:r>
      <w:r w:rsidR="00BC3917" w:rsidRPr="00791EFA">
        <w:rPr>
          <w:rFonts w:ascii="Garamond" w:eastAsia="Garamond" w:hAnsi="Garamond" w:cs="Times New Roman"/>
          <w:sz w:val="24"/>
          <w:szCs w:val="24"/>
        </w:rPr>
        <w:t xml:space="preserve">But </w:t>
      </w:r>
      <w:r w:rsidR="009D438C" w:rsidRPr="00791EFA">
        <w:rPr>
          <w:rFonts w:ascii="Garamond" w:eastAsia="Garamond" w:hAnsi="Garamond" w:cs="Times New Roman"/>
          <w:smallCaps/>
          <w:sz w:val="24"/>
          <w:szCs w:val="24"/>
        </w:rPr>
        <w:t>motive</w:t>
      </w:r>
      <w:r w:rsidR="009D438C" w:rsidRPr="00791EFA">
        <w:rPr>
          <w:rFonts w:ascii="Garamond" w:eastAsia="Garamond" w:hAnsi="Garamond" w:cs="Times New Roman"/>
          <w:sz w:val="24"/>
          <w:szCs w:val="24"/>
        </w:rPr>
        <w:t xml:space="preserve"> can only activate </w:t>
      </w:r>
      <w:r w:rsidR="009D438C" w:rsidRPr="00791EFA">
        <w:rPr>
          <w:rFonts w:ascii="Garamond" w:eastAsia="Garamond" w:hAnsi="Garamond" w:cs="Times New Roman"/>
          <w:smallCaps/>
          <w:sz w:val="24"/>
          <w:szCs w:val="24"/>
        </w:rPr>
        <w:t>ulterior</w:t>
      </w:r>
      <w:r w:rsidR="009D438C" w:rsidRPr="00791EFA">
        <w:rPr>
          <w:rFonts w:ascii="Garamond" w:eastAsia="Garamond" w:hAnsi="Garamond" w:cs="Times New Roman"/>
          <w:sz w:val="24"/>
          <w:szCs w:val="24"/>
        </w:rPr>
        <w:t xml:space="preserve"> through the</w:t>
      </w:r>
      <w:r w:rsidR="00BC3917" w:rsidRPr="00791EFA">
        <w:rPr>
          <w:rFonts w:ascii="Garamond" w:eastAsia="Garamond" w:hAnsi="Garamond" w:cs="Times New Roman"/>
          <w:sz w:val="24"/>
          <w:szCs w:val="24"/>
        </w:rPr>
        <w:t xml:space="preserve"> bare associative link (which may have its own modulable strength as long as it’s not unidirectional)</w:t>
      </w:r>
      <w:r w:rsidR="009D438C" w:rsidRPr="00791EFA">
        <w:rPr>
          <w:rFonts w:ascii="Garamond" w:eastAsia="Garamond" w:hAnsi="Garamond" w:cs="Times New Roman"/>
          <w:sz w:val="24"/>
          <w:szCs w:val="24"/>
        </w:rPr>
        <w:t xml:space="preserve">. </w:t>
      </w:r>
    </w:p>
    <w:p w14:paraId="200B38C9" w14:textId="695E8DB6" w:rsidR="00FB2912" w:rsidRPr="00791EFA" w:rsidRDefault="009D438C"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This difference would explain the asymmetry in activation strength and yet be wholly extrinsic to the association between </w:t>
      </w:r>
      <w:r w:rsidRPr="00791EFA">
        <w:rPr>
          <w:rFonts w:ascii="Garamond" w:eastAsia="Garamond" w:hAnsi="Garamond" w:cs="Times New Roman"/>
          <w:smallCaps/>
          <w:sz w:val="24"/>
          <w:szCs w:val="24"/>
        </w:rPr>
        <w:t>ulterior</w:t>
      </w:r>
      <w:r w:rsidRPr="00791EFA">
        <w:rPr>
          <w:rFonts w:ascii="Garamond" w:eastAsia="Garamond" w:hAnsi="Garamond" w:cs="Times New Roman"/>
          <w:sz w:val="24"/>
          <w:szCs w:val="24"/>
        </w:rPr>
        <w:t xml:space="preserve"> and </w:t>
      </w:r>
      <w:r w:rsidRPr="00791EFA">
        <w:rPr>
          <w:rFonts w:ascii="Garamond" w:eastAsia="Garamond" w:hAnsi="Garamond" w:cs="Times New Roman"/>
          <w:smallCaps/>
          <w:sz w:val="24"/>
          <w:szCs w:val="24"/>
        </w:rPr>
        <w:t>motive</w:t>
      </w:r>
      <w:r w:rsidRPr="00791EFA">
        <w:rPr>
          <w:rFonts w:ascii="Garamond" w:eastAsia="Garamond" w:hAnsi="Garamond" w:cs="Times New Roman"/>
          <w:sz w:val="24"/>
          <w:szCs w:val="24"/>
        </w:rPr>
        <w:t xml:space="preserve">, thus allowing us to avoid either discarding or complicating the associative relation itself. It does come at the cost of saying that presentation order facilitates the acquisition of non-associative structures (like </w:t>
      </w:r>
      <w:r w:rsidRPr="00791EFA">
        <w:rPr>
          <w:rFonts w:ascii="Garamond" w:eastAsia="Garamond" w:hAnsi="Garamond" w:cs="Times New Roman"/>
          <w:smallCaps/>
          <w:sz w:val="24"/>
          <w:szCs w:val="24"/>
        </w:rPr>
        <w:t>ulterior motive</w:t>
      </w:r>
      <w:r w:rsidRPr="00791EFA">
        <w:rPr>
          <w:rFonts w:ascii="Garamond" w:eastAsia="Garamond" w:hAnsi="Garamond" w:cs="Times New Roman"/>
          <w:sz w:val="24"/>
          <w:szCs w:val="24"/>
        </w:rPr>
        <w:t xml:space="preserve"> and ‘ulterior motive’) as well as associative links—but there’s a wealth of evidence for that conclusion anyway (Mandelbaum</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2015; 2016), and it’s particularly plausible in the case of complex linguistic constructions (the acquisition of which associationism is notoriously ill-equipped to explain).</w:t>
      </w:r>
      <w:r w:rsidR="003D7DE8" w:rsidRPr="00791EFA">
        <w:rPr>
          <w:rFonts w:ascii="Garamond" w:eastAsia="Garamond" w:hAnsi="Garamond" w:cs="Times New Roman"/>
          <w:sz w:val="24"/>
          <w:szCs w:val="24"/>
        </w:rPr>
        <w:t xml:space="preserve"> Linguistic structure is known to mediate the acquisition of associative links as well</w:t>
      </w:r>
      <w:r w:rsidR="007F4A19" w:rsidRPr="00791EFA">
        <w:rPr>
          <w:rFonts w:ascii="Garamond" w:eastAsia="Garamond" w:hAnsi="Garamond" w:cs="Times New Roman"/>
          <w:sz w:val="24"/>
          <w:szCs w:val="24"/>
        </w:rPr>
        <w:t xml:space="preserve">. For example, </w:t>
      </w:r>
      <w:r w:rsidR="003D7DE8" w:rsidRPr="00791EFA">
        <w:rPr>
          <w:rFonts w:ascii="Garamond" w:eastAsia="Garamond" w:hAnsi="Garamond" w:cs="Times New Roman"/>
          <w:sz w:val="24"/>
          <w:szCs w:val="24"/>
        </w:rPr>
        <w:t>presenting two words</w:t>
      </w:r>
      <w:r w:rsidR="007F4A19" w:rsidRPr="00791EFA">
        <w:rPr>
          <w:rFonts w:ascii="Garamond" w:eastAsia="Garamond" w:hAnsi="Garamond" w:cs="Times New Roman"/>
          <w:sz w:val="24"/>
          <w:szCs w:val="24"/>
        </w:rPr>
        <w:t xml:space="preserve"> together in a syntactically well-formed sentence forms a stronger automatic associative connection than presenting them in an ill-formed sentence; this effect can’t be reduced to mere increased attention and cognitive resources but rather arises from the syntactic structure itself (Prior &amp; Bentin</w:t>
      </w:r>
      <w:r w:rsidR="00A50B51" w:rsidRPr="00791EFA">
        <w:rPr>
          <w:rFonts w:ascii="Garamond" w:eastAsia="Garamond" w:hAnsi="Garamond" w:cs="Times New Roman"/>
          <w:sz w:val="24"/>
          <w:szCs w:val="24"/>
        </w:rPr>
        <w:t>,</w:t>
      </w:r>
      <w:r w:rsidR="007F4A19" w:rsidRPr="00791EFA">
        <w:rPr>
          <w:rFonts w:ascii="Garamond" w:eastAsia="Garamond" w:hAnsi="Garamond" w:cs="Times New Roman"/>
          <w:sz w:val="24"/>
          <w:szCs w:val="24"/>
        </w:rPr>
        <w:t xml:space="preserve"> 2008</w:t>
      </w:r>
      <w:r w:rsidR="009B753C" w:rsidRPr="00791EFA">
        <w:rPr>
          <w:rFonts w:ascii="Garamond" w:eastAsia="Garamond" w:hAnsi="Garamond" w:cs="Times New Roman"/>
          <w:sz w:val="24"/>
          <w:szCs w:val="24"/>
        </w:rPr>
        <w:t>; and of course and instantiations of mere syntactic structures have their own associative effects</w:t>
      </w:r>
      <w:r w:rsidR="007F4A19" w:rsidRPr="00791EFA">
        <w:rPr>
          <w:rFonts w:ascii="Garamond" w:eastAsia="Garamond" w:hAnsi="Garamond" w:cs="Times New Roman"/>
          <w:sz w:val="24"/>
          <w:szCs w:val="24"/>
        </w:rPr>
        <w:t>).</w:t>
      </w:r>
    </w:p>
    <w:p w14:paraId="135DDE84" w14:textId="25C60C1A" w:rsidR="007113E6" w:rsidRPr="00791EFA" w:rsidRDefault="007113E6"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Moreover, Asch and Ebenholtz (1962) </w:t>
      </w:r>
      <w:r w:rsidR="009B753C" w:rsidRPr="00791EFA">
        <w:rPr>
          <w:rFonts w:ascii="Garamond" w:eastAsia="Garamond" w:hAnsi="Garamond" w:cs="Times New Roman"/>
          <w:sz w:val="24"/>
          <w:szCs w:val="24"/>
        </w:rPr>
        <w:t xml:space="preserve">rather plausibly </w:t>
      </w:r>
      <w:r w:rsidRPr="00791EFA">
        <w:rPr>
          <w:rFonts w:ascii="Garamond" w:eastAsia="Garamond" w:hAnsi="Garamond" w:cs="Times New Roman"/>
          <w:sz w:val="24"/>
          <w:szCs w:val="24"/>
        </w:rPr>
        <w:t>argued that asymmetry arising from order of presentation was an effect of availability for recall—i.e., not because of any asymmetry in the associative link itself:</w:t>
      </w:r>
    </w:p>
    <w:p w14:paraId="61DD37F5" w14:textId="77C8AE62" w:rsidR="007113E6" w:rsidRPr="00791EFA" w:rsidRDefault="007113E6" w:rsidP="00C86BD1">
      <w:pPr>
        <w:spacing w:after="120" w:line="480" w:lineRule="auto"/>
        <w:ind w:left="720"/>
        <w:contextualSpacing/>
        <w:jc w:val="both"/>
        <w:rPr>
          <w:rFonts w:ascii="Garamond" w:eastAsia="Garamond" w:hAnsi="Garamond" w:cs="Times New Roman"/>
          <w:sz w:val="24"/>
          <w:szCs w:val="24"/>
        </w:rPr>
      </w:pPr>
      <w:r w:rsidRPr="00791EFA">
        <w:rPr>
          <w:rFonts w:ascii="Garamond" w:eastAsia="Garamond" w:hAnsi="Garamond" w:cs="Times New Roman"/>
          <w:sz w:val="24"/>
          <w:szCs w:val="24"/>
          <w:lang w:val="en-US"/>
        </w:rPr>
        <w:t xml:space="preserve">When the task is that of paired-associate learning (or the learning of a set of </w:t>
      </w:r>
      <w:r w:rsidRPr="00791EFA">
        <w:rPr>
          <w:rFonts w:ascii="Garamond" w:eastAsia="Garamond" w:hAnsi="Garamond" w:cs="Times New Roman"/>
          <w:i/>
          <w:sz w:val="24"/>
          <w:szCs w:val="24"/>
          <w:lang w:val="en-US"/>
        </w:rPr>
        <w:t>a</w:t>
      </w:r>
      <w:r w:rsidRPr="00791EFA">
        <w:rPr>
          <w:rFonts w:ascii="Garamond" w:eastAsia="Garamond" w:hAnsi="Garamond" w:cs="Times New Roman"/>
          <w:sz w:val="24"/>
          <w:szCs w:val="24"/>
          <w:lang w:val="en-US"/>
        </w:rPr>
        <w:t>-</w:t>
      </w:r>
      <w:r w:rsidRPr="00791EFA">
        <w:rPr>
          <w:rFonts w:ascii="Garamond" w:eastAsia="Garamond" w:hAnsi="Garamond" w:cs="Times New Roman"/>
          <w:i/>
          <w:sz w:val="24"/>
          <w:szCs w:val="24"/>
          <w:lang w:val="en-US"/>
        </w:rPr>
        <w:t>b</w:t>
      </w:r>
      <w:r w:rsidRPr="00791EFA">
        <w:rPr>
          <w:rFonts w:ascii="Garamond" w:eastAsia="Garamond" w:hAnsi="Garamond" w:cs="Times New Roman"/>
          <w:sz w:val="24"/>
          <w:szCs w:val="24"/>
          <w:lang w:val="en-US"/>
        </w:rPr>
        <w:t xml:space="preserve"> pairs), it is customary to require of </w:t>
      </w:r>
      <w:r w:rsidRPr="00791EFA">
        <w:rPr>
          <w:rFonts w:ascii="Garamond" w:eastAsia="Garamond" w:hAnsi="Garamond" w:cs="Times New Roman"/>
          <w:i/>
          <w:sz w:val="24"/>
          <w:szCs w:val="24"/>
          <w:lang w:val="en-US"/>
        </w:rPr>
        <w:t>S</w:t>
      </w:r>
      <w:r w:rsidRPr="00791EFA">
        <w:rPr>
          <w:rFonts w:ascii="Garamond" w:eastAsia="Garamond" w:hAnsi="Garamond" w:cs="Times New Roman"/>
          <w:sz w:val="24"/>
          <w:szCs w:val="24"/>
          <w:lang w:val="en-US"/>
        </w:rPr>
        <w:t xml:space="preserve"> that he recall (i.e., anticipate) the </w:t>
      </w:r>
      <w:r w:rsidRPr="00791EFA">
        <w:rPr>
          <w:rFonts w:ascii="Garamond" w:eastAsia="Garamond" w:hAnsi="Garamond" w:cs="Times New Roman"/>
          <w:i/>
          <w:sz w:val="24"/>
          <w:szCs w:val="24"/>
          <w:lang w:val="en-US"/>
        </w:rPr>
        <w:t>b</w:t>
      </w:r>
      <w:r w:rsidRPr="00791EFA">
        <w:rPr>
          <w:rFonts w:ascii="Garamond" w:eastAsia="Garamond" w:hAnsi="Garamond" w:cs="Times New Roman"/>
          <w:sz w:val="24"/>
          <w:szCs w:val="24"/>
          <w:lang w:val="en-US"/>
        </w:rPr>
        <w:t xml:space="preserve"> term (or the </w:t>
      </w:r>
      <w:r w:rsidR="00454C9D" w:rsidRPr="00791EFA">
        <w:rPr>
          <w:rFonts w:ascii="Garamond" w:eastAsia="Garamond" w:hAnsi="Garamond" w:cs="Times New Roman"/>
          <w:sz w:val="24"/>
          <w:szCs w:val="24"/>
          <w:lang w:val="en-US"/>
        </w:rPr>
        <w:t>“</w:t>
      </w:r>
      <w:r w:rsidRPr="00791EFA">
        <w:rPr>
          <w:rFonts w:ascii="Garamond" w:eastAsia="Garamond" w:hAnsi="Garamond" w:cs="Times New Roman"/>
          <w:sz w:val="24"/>
          <w:szCs w:val="24"/>
          <w:lang w:val="en-US"/>
        </w:rPr>
        <w:t>response</w:t>
      </w:r>
      <w:r w:rsidR="00454C9D" w:rsidRPr="00791EFA">
        <w:rPr>
          <w:rFonts w:ascii="Garamond" w:eastAsia="Garamond" w:hAnsi="Garamond" w:cs="Times New Roman"/>
          <w:sz w:val="24"/>
          <w:szCs w:val="24"/>
          <w:lang w:val="en-US"/>
        </w:rPr>
        <w:t>”</w:t>
      </w:r>
      <w:r w:rsidRPr="00791EFA">
        <w:rPr>
          <w:rFonts w:ascii="Garamond" w:eastAsia="Garamond" w:hAnsi="Garamond" w:cs="Times New Roman"/>
          <w:sz w:val="24"/>
          <w:szCs w:val="24"/>
          <w:lang w:val="en-US"/>
        </w:rPr>
        <w:t xml:space="preserve"> member of the pair), whereas the </w:t>
      </w:r>
      <w:r w:rsidRPr="00791EFA">
        <w:rPr>
          <w:rFonts w:ascii="Garamond" w:eastAsia="Garamond" w:hAnsi="Garamond" w:cs="Times New Roman"/>
          <w:i/>
          <w:sz w:val="24"/>
          <w:szCs w:val="24"/>
          <w:lang w:val="en-US"/>
        </w:rPr>
        <w:t>a</w:t>
      </w:r>
      <w:r w:rsidRPr="00791EFA">
        <w:rPr>
          <w:rFonts w:ascii="Garamond" w:eastAsia="Garamond" w:hAnsi="Garamond" w:cs="Times New Roman"/>
          <w:sz w:val="24"/>
          <w:szCs w:val="24"/>
          <w:lang w:val="en-US"/>
        </w:rPr>
        <w:t xml:space="preserve"> term (or the "stimulus") must be recognized and at best recited out loud. The test of backward association requires </w:t>
      </w:r>
      <w:r w:rsidRPr="00791EFA">
        <w:rPr>
          <w:rFonts w:ascii="Garamond" w:eastAsia="Garamond" w:hAnsi="Garamond" w:cs="Times New Roman"/>
          <w:i/>
          <w:sz w:val="24"/>
          <w:szCs w:val="24"/>
          <w:lang w:val="en-US"/>
        </w:rPr>
        <w:t>S</w:t>
      </w:r>
      <w:r w:rsidRPr="00791EFA">
        <w:rPr>
          <w:rFonts w:ascii="Garamond" w:eastAsia="Garamond" w:hAnsi="Garamond" w:cs="Times New Roman"/>
          <w:sz w:val="24"/>
          <w:szCs w:val="24"/>
          <w:lang w:val="en-US"/>
        </w:rPr>
        <w:t xml:space="preserve"> for the first time to anticipate </w:t>
      </w:r>
      <w:proofErr w:type="gramStart"/>
      <w:r w:rsidRPr="00791EFA">
        <w:rPr>
          <w:rFonts w:ascii="Garamond" w:eastAsia="Garamond" w:hAnsi="Garamond" w:cs="Times New Roman"/>
          <w:sz w:val="24"/>
          <w:szCs w:val="24"/>
          <w:lang w:val="en-US"/>
        </w:rPr>
        <w:lastRenderedPageBreak/>
        <w:t xml:space="preserve">the </w:t>
      </w:r>
      <w:r w:rsidRPr="00791EFA">
        <w:rPr>
          <w:rFonts w:ascii="Garamond" w:eastAsia="Garamond" w:hAnsi="Garamond" w:cs="Times New Roman"/>
          <w:i/>
          <w:sz w:val="24"/>
          <w:szCs w:val="24"/>
          <w:lang w:val="en-US"/>
        </w:rPr>
        <w:t>a</w:t>
      </w:r>
      <w:proofErr w:type="gramEnd"/>
      <w:r w:rsidRPr="00791EFA">
        <w:rPr>
          <w:rFonts w:ascii="Garamond" w:eastAsia="Garamond" w:hAnsi="Garamond" w:cs="Times New Roman"/>
          <w:sz w:val="24"/>
          <w:szCs w:val="24"/>
          <w:lang w:val="en-US"/>
        </w:rPr>
        <w:t xml:space="preserve"> terms; since he has not had the opportunity to anticipate them previously, it would seem plausible that these items are less available to recall. Thus the study of backward association has not equated the conditions of availability, and often availability has systematically favored forward over backward recall</w:t>
      </w:r>
      <w:r w:rsidRPr="00791EFA">
        <w:rPr>
          <w:rFonts w:ascii="Garamond" w:eastAsia="Garamond" w:hAnsi="Garamond" w:cs="Times New Roman"/>
          <w:sz w:val="24"/>
          <w:szCs w:val="24"/>
        </w:rPr>
        <w:t>.</w:t>
      </w:r>
    </w:p>
    <w:p w14:paraId="7544D313" w14:textId="737BD03E" w:rsidR="007113E6" w:rsidRPr="00791EFA" w:rsidRDefault="007113E6" w:rsidP="00C86BD1">
      <w:pPr>
        <w:spacing w:after="120" w:line="480" w:lineRule="auto"/>
        <w:ind w:left="720"/>
        <w:contextualSpacing/>
        <w:jc w:val="right"/>
        <w:rPr>
          <w:rFonts w:ascii="Garamond" w:eastAsia="Garamond" w:hAnsi="Garamond" w:cs="Times New Roman"/>
          <w:sz w:val="24"/>
          <w:szCs w:val="24"/>
        </w:rPr>
      </w:pPr>
      <w:r w:rsidRPr="00791EFA">
        <w:rPr>
          <w:rFonts w:ascii="Garamond" w:eastAsia="Garamond" w:hAnsi="Garamond" w:cs="Times New Roman"/>
          <w:sz w:val="24"/>
          <w:szCs w:val="24"/>
        </w:rPr>
        <w:t>(Asch &amp; Ebenholtz 1962, 139)</w:t>
      </w:r>
    </w:p>
    <w:p w14:paraId="6FF0CAEA" w14:textId="2B19E6BC" w:rsidR="007113E6" w:rsidRPr="00791EFA" w:rsidRDefault="007113E6" w:rsidP="00C86BD1">
      <w:pPr>
        <w:spacing w:after="120" w:line="480" w:lineRule="auto"/>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Availability for recall is a performance constraint that is highly context dependent. For example, if you spent yesterday thinking </w:t>
      </w:r>
      <w:r w:rsidRPr="00791EFA">
        <w:rPr>
          <w:rFonts w:ascii="Garamond" w:eastAsia="Garamond" w:hAnsi="Garamond" w:cs="Times New Roman"/>
          <w:smallCaps/>
          <w:sz w:val="24"/>
          <w:szCs w:val="24"/>
        </w:rPr>
        <w:t>dog</w:t>
      </w:r>
      <w:r w:rsidRPr="00791EFA">
        <w:rPr>
          <w:rFonts w:ascii="Garamond" w:eastAsia="Garamond" w:hAnsi="Garamond" w:cs="Times New Roman"/>
          <w:sz w:val="24"/>
          <w:szCs w:val="24"/>
        </w:rPr>
        <w:t xml:space="preserve"> over and over, then today you will tend to be better at recall tasks that involve dogs. This </w:t>
      </w:r>
      <w:r w:rsidR="003D7DE8" w:rsidRPr="00791EFA">
        <w:rPr>
          <w:rFonts w:ascii="Garamond" w:eastAsia="Garamond" w:hAnsi="Garamond" w:cs="Times New Roman"/>
          <w:sz w:val="24"/>
          <w:szCs w:val="24"/>
        </w:rPr>
        <w:t xml:space="preserve">fact about availability for recall is independent of any associations </w:t>
      </w:r>
      <w:r w:rsidR="003D7DE8" w:rsidRPr="00791EFA">
        <w:rPr>
          <w:rFonts w:ascii="Garamond" w:eastAsia="Garamond" w:hAnsi="Garamond" w:cs="Times New Roman"/>
          <w:smallCaps/>
          <w:sz w:val="24"/>
          <w:szCs w:val="24"/>
        </w:rPr>
        <w:t>dog</w:t>
      </w:r>
      <w:r w:rsidR="003D7DE8" w:rsidRPr="00791EFA">
        <w:rPr>
          <w:rFonts w:ascii="Garamond" w:eastAsia="Garamond" w:hAnsi="Garamond" w:cs="Times New Roman"/>
          <w:sz w:val="24"/>
          <w:szCs w:val="24"/>
        </w:rPr>
        <w:t xml:space="preserve"> may have or acquire. Thus if you induce an association by repeatedly presenting the word ‘dog’ with ‘</w:t>
      </w:r>
      <w:r w:rsidR="00454C9D" w:rsidRPr="00791EFA">
        <w:rPr>
          <w:rFonts w:ascii="Garamond" w:eastAsia="Garamond" w:hAnsi="Garamond" w:cs="Times New Roman"/>
          <w:sz w:val="24"/>
          <w:szCs w:val="24"/>
        </w:rPr>
        <w:t>New Jersey’</w:t>
      </w:r>
      <w:r w:rsidR="003D7DE8" w:rsidRPr="00791EFA">
        <w:rPr>
          <w:rFonts w:ascii="Garamond" w:eastAsia="Garamond" w:hAnsi="Garamond" w:cs="Times New Roman"/>
          <w:sz w:val="24"/>
          <w:szCs w:val="24"/>
        </w:rPr>
        <w:t>, then it will be easier to recall ‘dog’ upon reading ‘</w:t>
      </w:r>
      <w:r w:rsidR="00454C9D" w:rsidRPr="00791EFA">
        <w:rPr>
          <w:rFonts w:ascii="Garamond" w:eastAsia="Garamond" w:hAnsi="Garamond" w:cs="Times New Roman"/>
          <w:sz w:val="24"/>
          <w:szCs w:val="24"/>
        </w:rPr>
        <w:t>New Jersey’</w:t>
      </w:r>
      <w:r w:rsidR="003D7DE8" w:rsidRPr="00791EFA">
        <w:rPr>
          <w:rFonts w:ascii="Garamond" w:eastAsia="Garamond" w:hAnsi="Garamond" w:cs="Times New Roman"/>
          <w:sz w:val="24"/>
          <w:szCs w:val="24"/>
        </w:rPr>
        <w:t xml:space="preserve"> than vice versa, but this fact is to be explained by differences in availability that are wholly extrinsic to the associative link itself</w:t>
      </w:r>
      <w:r w:rsidR="0078231E" w:rsidRPr="00791EFA">
        <w:rPr>
          <w:rFonts w:ascii="Garamond" w:eastAsia="Garamond" w:hAnsi="Garamond" w:cs="Times New Roman"/>
          <w:sz w:val="24"/>
          <w:szCs w:val="24"/>
        </w:rPr>
        <w:t xml:space="preserve"> (i.e., the fact that you happened to spend yesterday repeatedly activating </w:t>
      </w:r>
      <w:r w:rsidR="0078231E" w:rsidRPr="00791EFA">
        <w:rPr>
          <w:rFonts w:ascii="Garamond" w:eastAsia="Garamond" w:hAnsi="Garamond" w:cs="Times New Roman"/>
          <w:smallCaps/>
          <w:sz w:val="24"/>
          <w:szCs w:val="24"/>
        </w:rPr>
        <w:t>dog</w:t>
      </w:r>
      <w:r w:rsidR="0078231E" w:rsidRPr="00791EFA">
        <w:rPr>
          <w:rFonts w:ascii="Garamond" w:eastAsia="Garamond" w:hAnsi="Garamond" w:cs="Times New Roman"/>
          <w:sz w:val="24"/>
          <w:szCs w:val="24"/>
        </w:rPr>
        <w:t>)</w:t>
      </w:r>
      <w:r w:rsidR="003D7DE8" w:rsidRPr="00791EFA">
        <w:rPr>
          <w:rFonts w:ascii="Garamond" w:eastAsia="Garamond" w:hAnsi="Garamond" w:cs="Times New Roman"/>
          <w:sz w:val="24"/>
          <w:szCs w:val="24"/>
        </w:rPr>
        <w:t>. Likewise, order of presentation may simply structure the availability of recall, causing a symmetrical associative link to manifest in asymmetric capacities for recall.</w:t>
      </w:r>
    </w:p>
    <w:p w14:paraId="2DA33ED9" w14:textId="78BB74E4" w:rsidR="00BC3917" w:rsidRPr="00791EFA" w:rsidRDefault="00A41636" w:rsidP="00C86BD1">
      <w:pPr>
        <w:spacing w:after="120" w:line="480" w:lineRule="auto"/>
        <w:ind w:firstLine="720"/>
        <w:contextualSpacing/>
        <w:jc w:val="both"/>
        <w:rPr>
          <w:rFonts w:ascii="Garamond" w:eastAsia="Garamond" w:hAnsi="Garamond" w:cs="Times New Roman"/>
          <w:sz w:val="24"/>
          <w:szCs w:val="24"/>
        </w:rPr>
      </w:pPr>
      <w:r w:rsidRPr="00791EFA">
        <w:rPr>
          <w:rFonts w:ascii="Garamond" w:eastAsia="Garamond" w:hAnsi="Garamond" w:cs="Times New Roman"/>
          <w:sz w:val="24"/>
          <w:szCs w:val="24"/>
        </w:rPr>
        <w:t xml:space="preserve">We can thus </w:t>
      </w:r>
      <w:r w:rsidR="00BC3917" w:rsidRPr="00791EFA">
        <w:rPr>
          <w:rFonts w:ascii="Garamond" w:eastAsia="Garamond" w:hAnsi="Garamond" w:cs="Times New Roman"/>
          <w:sz w:val="24"/>
          <w:szCs w:val="24"/>
        </w:rPr>
        <w:t>preserve the psychological reality of association</w:t>
      </w:r>
      <w:r w:rsidRPr="00791EFA">
        <w:rPr>
          <w:rFonts w:ascii="Garamond" w:eastAsia="Garamond" w:hAnsi="Garamond" w:cs="Times New Roman"/>
          <w:sz w:val="24"/>
          <w:szCs w:val="24"/>
        </w:rPr>
        <w:t xml:space="preserve"> as a bare symmetric relation as long as we posit multiple different interacting structures—some associative, some not—to explain the phenomena favored by associationists. Even semantic priming will turn out to be more than the activation of associative links. But viable forms of associationism are always replete with such complications. For example, while some forms of semantic priming seem purely associative (e.g., doctor–nurse), others are structured, such as priming that goes by way of superordinate–subordinate category structure (</w:t>
      </w:r>
      <w:r w:rsidR="0058342E" w:rsidRPr="00791EFA">
        <w:rPr>
          <w:rFonts w:ascii="Garamond" w:eastAsia="Garamond" w:hAnsi="Garamond" w:cs="Times New Roman"/>
          <w:sz w:val="24"/>
          <w:szCs w:val="24"/>
        </w:rPr>
        <w:t>e.g., cousin–nephew) (</w:t>
      </w:r>
      <w:r w:rsidR="003D7DE8" w:rsidRPr="00791EFA">
        <w:rPr>
          <w:rFonts w:ascii="Garamond" w:eastAsia="Garamond" w:hAnsi="Garamond" w:cs="Times New Roman"/>
          <w:sz w:val="24"/>
          <w:szCs w:val="24"/>
        </w:rPr>
        <w:t>Perea &amp; Rosa</w:t>
      </w:r>
      <w:r w:rsidR="00A50B51" w:rsidRPr="00791EFA">
        <w:rPr>
          <w:rFonts w:ascii="Garamond" w:eastAsia="Garamond" w:hAnsi="Garamond" w:cs="Times New Roman"/>
          <w:sz w:val="24"/>
          <w:szCs w:val="24"/>
        </w:rPr>
        <w:t>,</w:t>
      </w:r>
      <w:r w:rsidR="003D7DE8" w:rsidRPr="00791EFA">
        <w:rPr>
          <w:rFonts w:ascii="Garamond" w:eastAsia="Garamond" w:hAnsi="Garamond" w:cs="Times New Roman"/>
          <w:sz w:val="24"/>
          <w:szCs w:val="24"/>
        </w:rPr>
        <w:t xml:space="preserve"> 2002; </w:t>
      </w:r>
      <w:r w:rsidR="0058342E" w:rsidRPr="00791EFA">
        <w:rPr>
          <w:rFonts w:ascii="Garamond" w:eastAsia="Garamond" w:hAnsi="Garamond" w:cs="Times New Roman"/>
          <w:sz w:val="24"/>
          <w:szCs w:val="24"/>
        </w:rPr>
        <w:t xml:space="preserve">see </w:t>
      </w:r>
      <w:r w:rsidRPr="00791EFA">
        <w:rPr>
          <w:rFonts w:ascii="Garamond" w:eastAsia="Garamond" w:hAnsi="Garamond" w:cs="Times New Roman"/>
          <w:sz w:val="24"/>
          <w:szCs w:val="24"/>
        </w:rPr>
        <w:t>McNamara</w:t>
      </w:r>
      <w:r w:rsidR="00A50B51"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2004</w:t>
      </w:r>
      <w:r w:rsidR="0058342E" w:rsidRPr="00791EFA">
        <w:rPr>
          <w:rFonts w:ascii="Garamond" w:eastAsia="Garamond" w:hAnsi="Garamond" w:cs="Times New Roman"/>
          <w:sz w:val="24"/>
          <w:szCs w:val="24"/>
        </w:rPr>
        <w:t xml:space="preserve"> for a useful overview</w:t>
      </w:r>
      <w:r w:rsidRPr="00791EFA">
        <w:rPr>
          <w:rFonts w:ascii="Garamond" w:eastAsia="Garamond" w:hAnsi="Garamond" w:cs="Times New Roman"/>
          <w:sz w:val="24"/>
          <w:szCs w:val="24"/>
        </w:rPr>
        <w:t>). As one would expect if one were positing distinct structures, these are dissociable</w:t>
      </w:r>
      <w:r w:rsidR="0058342E"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 patients who </w:t>
      </w:r>
      <w:r w:rsidR="0058342E" w:rsidRPr="00791EFA">
        <w:rPr>
          <w:rFonts w:ascii="Garamond" w:eastAsia="Garamond" w:hAnsi="Garamond" w:cs="Times New Roman"/>
          <w:sz w:val="24"/>
          <w:szCs w:val="24"/>
        </w:rPr>
        <w:t xml:space="preserve">display </w:t>
      </w:r>
      <w:r w:rsidRPr="00791EFA">
        <w:rPr>
          <w:rFonts w:ascii="Garamond" w:eastAsia="Garamond" w:hAnsi="Garamond" w:cs="Times New Roman"/>
          <w:sz w:val="24"/>
          <w:szCs w:val="24"/>
        </w:rPr>
        <w:t xml:space="preserve">symptoms of Alzheimer’s disease preserve purely associative lexical priming but </w:t>
      </w:r>
      <w:r w:rsidR="0058342E" w:rsidRPr="00791EFA">
        <w:rPr>
          <w:rFonts w:ascii="Garamond" w:eastAsia="Garamond" w:hAnsi="Garamond" w:cs="Times New Roman"/>
          <w:sz w:val="24"/>
          <w:szCs w:val="24"/>
        </w:rPr>
        <w:t>lose priming that goes by way of category structure (Glosser et al.</w:t>
      </w:r>
      <w:r w:rsidR="00A50B51" w:rsidRPr="00791EFA">
        <w:rPr>
          <w:rFonts w:ascii="Garamond" w:eastAsia="Garamond" w:hAnsi="Garamond" w:cs="Times New Roman"/>
          <w:sz w:val="24"/>
          <w:szCs w:val="24"/>
        </w:rPr>
        <w:t>,</w:t>
      </w:r>
      <w:r w:rsidR="0058342E" w:rsidRPr="00791EFA">
        <w:rPr>
          <w:rFonts w:ascii="Garamond" w:eastAsia="Garamond" w:hAnsi="Garamond" w:cs="Times New Roman"/>
          <w:sz w:val="24"/>
          <w:szCs w:val="24"/>
        </w:rPr>
        <w:t xml:space="preserve"> 1998).</w:t>
      </w:r>
      <w:r w:rsidR="003D7DE8" w:rsidRPr="00791EFA">
        <w:rPr>
          <w:rFonts w:ascii="Garamond" w:eastAsia="Garamond" w:hAnsi="Garamond" w:cs="Times New Roman"/>
          <w:sz w:val="24"/>
          <w:szCs w:val="24"/>
        </w:rPr>
        <w:t xml:space="preserve"> </w:t>
      </w:r>
    </w:p>
    <w:p w14:paraId="22D95D31" w14:textId="43C7D0D0" w:rsidR="007B6858" w:rsidRPr="00791EFA" w:rsidRDefault="0058342E" w:rsidP="00C86BD1">
      <w:pPr>
        <w:spacing w:after="120" w:line="480" w:lineRule="auto"/>
        <w:ind w:firstLine="720"/>
        <w:contextualSpacing/>
        <w:jc w:val="both"/>
        <w:rPr>
          <w:rFonts w:ascii="Garamond" w:hAnsi="Garamond" w:cs="Times New Roman"/>
          <w:sz w:val="24"/>
          <w:szCs w:val="24"/>
          <w:lang w:val="en-US"/>
        </w:rPr>
      </w:pPr>
      <w:r w:rsidRPr="00791EFA">
        <w:rPr>
          <w:rFonts w:ascii="Garamond" w:eastAsia="Garamond" w:hAnsi="Garamond" w:cs="Times New Roman"/>
          <w:sz w:val="24"/>
          <w:szCs w:val="24"/>
        </w:rPr>
        <w:lastRenderedPageBreak/>
        <w:t>The history of associationism is an object lesson in appending epicycles to an overly simple theory (as can be seen in, for example, stipulations made by Rescorla and Wagner [1972] in their famous model of associative learning). The continuing legitimacy of the notion of association as articulated in the earliest stages of psychology depends on these epicycles being</w:t>
      </w:r>
      <w:r w:rsidR="007B6858" w:rsidRPr="00791EFA">
        <w:rPr>
          <w:rFonts w:ascii="Garamond" w:eastAsia="Garamond" w:hAnsi="Garamond" w:cs="Times New Roman"/>
          <w:sz w:val="24"/>
          <w:szCs w:val="24"/>
        </w:rPr>
        <w:t xml:space="preserve"> mostly</w:t>
      </w:r>
      <w:r w:rsidRPr="00791EFA">
        <w:rPr>
          <w:rFonts w:ascii="Garamond" w:eastAsia="Garamond" w:hAnsi="Garamond" w:cs="Times New Roman"/>
          <w:sz w:val="24"/>
          <w:szCs w:val="24"/>
        </w:rPr>
        <w:t xml:space="preserve"> extrinsic to the associative relation itself; the associative relation should be complicated as minimally as possible and only as a last resort. </w:t>
      </w:r>
      <w:r w:rsidR="007B6858" w:rsidRPr="00791EFA">
        <w:rPr>
          <w:rFonts w:ascii="Garamond" w:eastAsia="Garamond" w:hAnsi="Garamond" w:cs="Times New Roman"/>
          <w:sz w:val="24"/>
          <w:szCs w:val="24"/>
        </w:rPr>
        <w:t>We’ve noted a fundamental problem in asymmetric activation strengths, and outlined a number of possible explanations. The most likely outcome is that all these explanations are at least partially true and work in tandem: association is a bare propensity of coactivation but is also rarer than it’s often thought to be, many classically associative phenomena are in fact undergirded by some non-associative as well as associative structures</w:t>
      </w:r>
      <w:r w:rsidR="003D7DE8" w:rsidRPr="00791EFA">
        <w:rPr>
          <w:rFonts w:ascii="Garamond" w:eastAsia="Garamond" w:hAnsi="Garamond" w:cs="Times New Roman"/>
          <w:sz w:val="24"/>
          <w:szCs w:val="24"/>
        </w:rPr>
        <w:t>, and performance constraints like recall availability exert a significant impact on behavior</w:t>
      </w:r>
      <w:r w:rsidR="007B6858" w:rsidRPr="00791EFA">
        <w:rPr>
          <w:rFonts w:ascii="Garamond" w:eastAsia="Garamond" w:hAnsi="Garamond" w:cs="Times New Roman"/>
          <w:sz w:val="24"/>
          <w:szCs w:val="24"/>
        </w:rPr>
        <w:t>.</w:t>
      </w:r>
      <w:r w:rsidR="0074196B" w:rsidRPr="00791EFA">
        <w:rPr>
          <w:rStyle w:val="FootnoteReference"/>
          <w:rFonts w:ascii="Garamond" w:eastAsia="Garamond" w:hAnsi="Garamond" w:cs="Times New Roman"/>
          <w:sz w:val="24"/>
          <w:szCs w:val="24"/>
        </w:rPr>
        <w:footnoteReference w:id="14"/>
      </w:r>
      <w:r w:rsidR="007B6858" w:rsidRPr="00791EFA">
        <w:rPr>
          <w:rFonts w:ascii="Garamond" w:eastAsia="Garamond" w:hAnsi="Garamond" w:cs="Times New Roman"/>
          <w:sz w:val="24"/>
          <w:szCs w:val="24"/>
        </w:rPr>
        <w:t xml:space="preserve"> Simplicity in the associative </w:t>
      </w:r>
      <w:r w:rsidR="007B6858" w:rsidRPr="00791EFA">
        <w:rPr>
          <w:rFonts w:ascii="Garamond" w:eastAsia="Garamond" w:hAnsi="Garamond" w:cs="Times New Roman"/>
          <w:sz w:val="24"/>
          <w:szCs w:val="24"/>
        </w:rPr>
        <w:lastRenderedPageBreak/>
        <w:t>relation must be compensated for by complexity in other structures and conditions of acquisition. Human learning and memory are complicated, byzantine even, and that fact</w:t>
      </w:r>
      <w:r w:rsidR="00752400" w:rsidRPr="00791EFA">
        <w:rPr>
          <w:rFonts w:ascii="Garamond" w:eastAsia="Garamond" w:hAnsi="Garamond" w:cs="Times New Roman"/>
          <w:sz w:val="24"/>
          <w:szCs w:val="24"/>
        </w:rPr>
        <w:t xml:space="preserve"> has to surface somewhere eventually</w:t>
      </w:r>
      <w:r w:rsidR="007B6858" w:rsidRPr="00791EFA">
        <w:rPr>
          <w:rFonts w:ascii="Garamond" w:eastAsia="Garamond" w:hAnsi="Garamond" w:cs="Times New Roman"/>
          <w:sz w:val="24"/>
          <w:szCs w:val="24"/>
        </w:rPr>
        <w:t>.</w:t>
      </w:r>
    </w:p>
    <w:p w14:paraId="1879E5E9" w14:textId="1C0BCF30" w:rsidR="00B93F71" w:rsidRPr="00791EFA" w:rsidRDefault="009166B2" w:rsidP="00C86BD1">
      <w:pPr>
        <w:keepNext/>
        <w:spacing w:after="120" w:line="480" w:lineRule="auto"/>
        <w:contextualSpacing/>
        <w:jc w:val="both"/>
        <w:rPr>
          <w:rFonts w:ascii="Garamond" w:hAnsi="Garamond" w:cs="Times New Roman"/>
          <w:b/>
          <w:sz w:val="24"/>
          <w:szCs w:val="24"/>
          <w:lang w:val="en-US"/>
        </w:rPr>
      </w:pPr>
      <w:r w:rsidRPr="00791EFA">
        <w:rPr>
          <w:rFonts w:ascii="Garamond" w:eastAsia="Garamond" w:hAnsi="Garamond" w:cs="Times New Roman"/>
          <w:b/>
          <w:bCs/>
          <w:sz w:val="24"/>
          <w:szCs w:val="24"/>
        </w:rPr>
        <w:t>§</w:t>
      </w:r>
      <w:r w:rsidR="003D133A" w:rsidRPr="00791EFA">
        <w:rPr>
          <w:rFonts w:ascii="Garamond" w:hAnsi="Garamond" w:cs="Times New Roman"/>
          <w:b/>
          <w:sz w:val="24"/>
          <w:szCs w:val="24"/>
          <w:lang w:val="en-US"/>
        </w:rPr>
        <w:t xml:space="preserve">4: </w:t>
      </w:r>
      <w:r w:rsidR="00B26E31" w:rsidRPr="00791EFA">
        <w:rPr>
          <w:rFonts w:ascii="Garamond" w:hAnsi="Garamond" w:cs="Times New Roman"/>
          <w:b/>
          <w:sz w:val="24"/>
          <w:szCs w:val="24"/>
          <w:lang w:val="en-US"/>
        </w:rPr>
        <w:t>Conclusion</w:t>
      </w:r>
    </w:p>
    <w:p w14:paraId="52EBD967" w14:textId="44E13CB0" w:rsidR="001E236C" w:rsidRPr="00791EFA" w:rsidRDefault="007B6858" w:rsidP="00C86BD1">
      <w:pPr>
        <w:spacing w:after="120" w:line="480" w:lineRule="auto"/>
        <w:contextualSpacing/>
        <w:jc w:val="both"/>
        <w:rPr>
          <w:rFonts w:ascii="Garamond" w:eastAsia="Garamond" w:hAnsi="Garamond" w:cs="Times New Roman"/>
          <w:sz w:val="24"/>
          <w:szCs w:val="24"/>
        </w:rPr>
      </w:pPr>
      <w:r w:rsidRPr="00791EFA">
        <w:rPr>
          <w:rFonts w:ascii="Garamond" w:hAnsi="Garamond" w:cs="Times New Roman"/>
          <w:sz w:val="24"/>
          <w:szCs w:val="24"/>
          <w:lang w:val="en-US"/>
        </w:rPr>
        <w:t xml:space="preserve">The mind is not simply a </w:t>
      </w:r>
      <w:r w:rsidR="00752400" w:rsidRPr="00791EFA">
        <w:rPr>
          <w:rFonts w:ascii="Garamond" w:hAnsi="Garamond" w:cs="Times New Roman"/>
          <w:sz w:val="24"/>
          <w:szCs w:val="24"/>
          <w:lang w:val="en-US"/>
        </w:rPr>
        <w:t>logical</w:t>
      </w:r>
      <w:r w:rsidRPr="00791EFA">
        <w:rPr>
          <w:rFonts w:ascii="Garamond" w:hAnsi="Garamond" w:cs="Times New Roman"/>
          <w:sz w:val="24"/>
          <w:szCs w:val="24"/>
          <w:lang w:val="en-US"/>
        </w:rPr>
        <w:t xml:space="preserve"> inference-making machine. We’ve outlined a number of non</w:t>
      </w:r>
      <w:r w:rsidR="0032108B" w:rsidRPr="00791EFA">
        <w:rPr>
          <w:rFonts w:ascii="Garamond" w:hAnsi="Garamond" w:cs="Times New Roman"/>
          <w:sz w:val="24"/>
          <w:szCs w:val="24"/>
          <w:lang w:val="en-US"/>
        </w:rPr>
        <w:t>-</w:t>
      </w:r>
      <w:r w:rsidRPr="00791EFA">
        <w:rPr>
          <w:rFonts w:ascii="Garamond" w:hAnsi="Garamond" w:cs="Times New Roman"/>
          <w:sz w:val="24"/>
          <w:szCs w:val="24"/>
          <w:lang w:val="en-US"/>
        </w:rPr>
        <w:t xml:space="preserve">inferential transitions, including iconic transformations, content-specific rules in central modules, and associations. </w:t>
      </w:r>
      <w:r w:rsidR="00752400" w:rsidRPr="00791EFA">
        <w:rPr>
          <w:rFonts w:ascii="Garamond" w:hAnsi="Garamond" w:cs="Times New Roman"/>
          <w:sz w:val="24"/>
          <w:szCs w:val="24"/>
          <w:lang w:val="en-US"/>
        </w:rPr>
        <w:t>This partial taxonomy leaves out a great deal of important mental processes (Bayesian processing being a glaring example</w:t>
      </w:r>
      <w:r w:rsidR="00F64FBF" w:rsidRPr="00791EFA">
        <w:rPr>
          <w:rFonts w:ascii="Garamond" w:hAnsi="Garamond" w:cs="Times New Roman"/>
          <w:sz w:val="24"/>
          <w:szCs w:val="24"/>
          <w:lang w:val="en-US"/>
        </w:rPr>
        <w:t>, see Mandelbaum 2018</w:t>
      </w:r>
      <w:r w:rsidR="00752400" w:rsidRPr="00791EFA">
        <w:rPr>
          <w:rFonts w:ascii="Garamond" w:hAnsi="Garamond" w:cs="Times New Roman"/>
          <w:sz w:val="24"/>
          <w:szCs w:val="24"/>
          <w:lang w:val="en-US"/>
        </w:rPr>
        <w:t>). But it is intended to add some detail to a fuzzy sketch of how the mind might be structured and thereby provide some systematicity to our understanding of human psychology.</w:t>
      </w:r>
    </w:p>
    <w:p w14:paraId="498B826E" w14:textId="5077FC5B" w:rsidR="00D67E97" w:rsidRPr="00791EFA" w:rsidRDefault="00D67E97" w:rsidP="00C86BD1">
      <w:pPr>
        <w:spacing w:after="120" w:line="480" w:lineRule="auto"/>
        <w:contextualSpacing/>
        <w:jc w:val="both"/>
        <w:rPr>
          <w:rFonts w:ascii="Garamond" w:eastAsia="Garamond" w:hAnsi="Garamond" w:cs="Times New Roman"/>
          <w:b/>
          <w:sz w:val="24"/>
          <w:szCs w:val="24"/>
        </w:rPr>
      </w:pPr>
      <w:r w:rsidRPr="00791EFA">
        <w:rPr>
          <w:rFonts w:ascii="Garamond" w:eastAsia="Garamond" w:hAnsi="Garamond" w:cs="Times New Roman"/>
          <w:b/>
          <w:sz w:val="24"/>
          <w:szCs w:val="24"/>
        </w:rPr>
        <w:t>References</w:t>
      </w:r>
    </w:p>
    <w:p w14:paraId="08DAD75B" w14:textId="25C664B0" w:rsidR="00FE4562" w:rsidRPr="00791EFA" w:rsidRDefault="00FE4562"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t xml:space="preserve">Anderson, J.R. (1983). A </w:t>
      </w:r>
      <w:r w:rsidR="00CF07FB" w:rsidRPr="00791EFA">
        <w:rPr>
          <w:rFonts w:ascii="Garamond" w:eastAsia="Times New Roman" w:hAnsi="Garamond" w:cs="Times New Roman"/>
          <w:color w:val="222222"/>
          <w:sz w:val="24"/>
          <w:szCs w:val="24"/>
          <w:shd w:val="clear" w:color="auto" w:fill="FFFFFF"/>
          <w:lang w:val="en-US"/>
        </w:rPr>
        <w:t>s</w:t>
      </w:r>
      <w:r w:rsidRPr="00791EFA">
        <w:rPr>
          <w:rFonts w:ascii="Garamond" w:eastAsia="Times New Roman" w:hAnsi="Garamond" w:cs="Times New Roman"/>
          <w:color w:val="222222"/>
          <w:sz w:val="24"/>
          <w:szCs w:val="24"/>
          <w:shd w:val="clear" w:color="auto" w:fill="FFFFFF"/>
          <w:lang w:val="en-US"/>
        </w:rPr>
        <w:t xml:space="preserve">preading </w:t>
      </w:r>
      <w:r w:rsidR="00CF07FB" w:rsidRPr="00791EFA">
        <w:rPr>
          <w:rFonts w:ascii="Garamond" w:eastAsia="Times New Roman" w:hAnsi="Garamond" w:cs="Times New Roman"/>
          <w:color w:val="222222"/>
          <w:sz w:val="24"/>
          <w:szCs w:val="24"/>
          <w:shd w:val="clear" w:color="auto" w:fill="FFFFFF"/>
          <w:lang w:val="en-US"/>
        </w:rPr>
        <w:t>a</w:t>
      </w:r>
      <w:r w:rsidRPr="00791EFA">
        <w:rPr>
          <w:rFonts w:ascii="Garamond" w:eastAsia="Times New Roman" w:hAnsi="Garamond" w:cs="Times New Roman"/>
          <w:color w:val="222222"/>
          <w:sz w:val="24"/>
          <w:szCs w:val="24"/>
          <w:shd w:val="clear" w:color="auto" w:fill="FFFFFF"/>
          <w:lang w:val="en-US"/>
        </w:rPr>
        <w:t xml:space="preserve">ctivation </w:t>
      </w:r>
      <w:r w:rsidR="00CF07FB" w:rsidRPr="00791EFA">
        <w:rPr>
          <w:rFonts w:ascii="Garamond" w:eastAsia="Times New Roman" w:hAnsi="Garamond" w:cs="Times New Roman"/>
          <w:color w:val="222222"/>
          <w:sz w:val="24"/>
          <w:szCs w:val="24"/>
          <w:shd w:val="clear" w:color="auto" w:fill="FFFFFF"/>
          <w:lang w:val="en-US"/>
        </w:rPr>
        <w:t>t</w:t>
      </w:r>
      <w:r w:rsidRPr="00791EFA">
        <w:rPr>
          <w:rFonts w:ascii="Garamond" w:eastAsia="Times New Roman" w:hAnsi="Garamond" w:cs="Times New Roman"/>
          <w:color w:val="222222"/>
          <w:sz w:val="24"/>
          <w:szCs w:val="24"/>
          <w:shd w:val="clear" w:color="auto" w:fill="FFFFFF"/>
          <w:lang w:val="en-US"/>
        </w:rPr>
        <w:t xml:space="preserve">heory of </w:t>
      </w:r>
      <w:r w:rsidR="00CF07FB" w:rsidRPr="00791EFA">
        <w:rPr>
          <w:rFonts w:ascii="Garamond" w:eastAsia="Times New Roman" w:hAnsi="Garamond" w:cs="Times New Roman"/>
          <w:color w:val="222222"/>
          <w:sz w:val="24"/>
          <w:szCs w:val="24"/>
          <w:shd w:val="clear" w:color="auto" w:fill="FFFFFF"/>
          <w:lang w:val="en-US"/>
        </w:rPr>
        <w:t>m</w:t>
      </w:r>
      <w:r w:rsidRPr="00791EFA">
        <w:rPr>
          <w:rFonts w:ascii="Garamond" w:eastAsia="Times New Roman" w:hAnsi="Garamond" w:cs="Times New Roman"/>
          <w:color w:val="222222"/>
          <w:sz w:val="24"/>
          <w:szCs w:val="24"/>
          <w:shd w:val="clear" w:color="auto" w:fill="FFFFFF"/>
          <w:lang w:val="en-US"/>
        </w:rPr>
        <w:t>emory. </w:t>
      </w:r>
      <w:r w:rsidRPr="00791EFA">
        <w:rPr>
          <w:rFonts w:ascii="Garamond" w:eastAsia="Times New Roman" w:hAnsi="Garamond" w:cs="Times New Roman"/>
          <w:i/>
          <w:iCs/>
          <w:color w:val="222222"/>
          <w:sz w:val="24"/>
          <w:szCs w:val="24"/>
          <w:shd w:val="clear" w:color="auto" w:fill="FFFFFF"/>
          <w:lang w:val="en-US"/>
        </w:rPr>
        <w:t xml:space="preserve">Journal of </w:t>
      </w:r>
      <w:r w:rsidR="00CF07FB" w:rsidRPr="00791EFA">
        <w:rPr>
          <w:rFonts w:ascii="Garamond" w:eastAsia="Times New Roman" w:hAnsi="Garamond" w:cs="Times New Roman"/>
          <w:i/>
          <w:iCs/>
          <w:color w:val="222222"/>
          <w:sz w:val="24"/>
          <w:szCs w:val="24"/>
          <w:shd w:val="clear" w:color="auto" w:fill="FFFFFF"/>
          <w:lang w:val="en-US"/>
        </w:rPr>
        <w:t>V</w:t>
      </w:r>
      <w:r w:rsidRPr="00791EFA">
        <w:rPr>
          <w:rFonts w:ascii="Garamond" w:eastAsia="Times New Roman" w:hAnsi="Garamond" w:cs="Times New Roman"/>
          <w:i/>
          <w:iCs/>
          <w:color w:val="222222"/>
          <w:sz w:val="24"/>
          <w:szCs w:val="24"/>
          <w:shd w:val="clear" w:color="auto" w:fill="FFFFFF"/>
          <w:lang w:val="en-US"/>
        </w:rPr>
        <w:t xml:space="preserve">erbal </w:t>
      </w:r>
      <w:r w:rsidR="00CF07FB" w:rsidRPr="00791EFA">
        <w:rPr>
          <w:rFonts w:ascii="Garamond" w:eastAsia="Times New Roman" w:hAnsi="Garamond" w:cs="Times New Roman"/>
          <w:i/>
          <w:iCs/>
          <w:color w:val="222222"/>
          <w:sz w:val="24"/>
          <w:szCs w:val="24"/>
          <w:shd w:val="clear" w:color="auto" w:fill="FFFFFF"/>
          <w:lang w:val="en-US"/>
        </w:rPr>
        <w:t>L</w:t>
      </w:r>
      <w:r w:rsidRPr="00791EFA">
        <w:rPr>
          <w:rFonts w:ascii="Garamond" w:eastAsia="Times New Roman" w:hAnsi="Garamond" w:cs="Times New Roman"/>
          <w:i/>
          <w:iCs/>
          <w:color w:val="222222"/>
          <w:sz w:val="24"/>
          <w:szCs w:val="24"/>
          <w:shd w:val="clear" w:color="auto" w:fill="FFFFFF"/>
          <w:lang w:val="en-US"/>
        </w:rPr>
        <w:t xml:space="preserve">earning and </w:t>
      </w:r>
      <w:r w:rsidR="00CF07FB" w:rsidRPr="00791EFA">
        <w:rPr>
          <w:rFonts w:ascii="Garamond" w:eastAsia="Times New Roman" w:hAnsi="Garamond" w:cs="Times New Roman"/>
          <w:i/>
          <w:iCs/>
          <w:color w:val="222222"/>
          <w:sz w:val="24"/>
          <w:szCs w:val="24"/>
          <w:shd w:val="clear" w:color="auto" w:fill="FFFFFF"/>
          <w:lang w:val="en-US"/>
        </w:rPr>
        <w:t>V</w:t>
      </w:r>
      <w:r w:rsidRPr="00791EFA">
        <w:rPr>
          <w:rFonts w:ascii="Garamond" w:eastAsia="Times New Roman" w:hAnsi="Garamond" w:cs="Times New Roman"/>
          <w:i/>
          <w:iCs/>
          <w:color w:val="222222"/>
          <w:sz w:val="24"/>
          <w:szCs w:val="24"/>
          <w:shd w:val="clear" w:color="auto" w:fill="FFFFFF"/>
          <w:lang w:val="en-US"/>
        </w:rPr>
        <w:t xml:space="preserve">erbal </w:t>
      </w:r>
      <w:r w:rsidR="00CF07FB" w:rsidRPr="00791EFA">
        <w:rPr>
          <w:rFonts w:ascii="Garamond" w:eastAsia="Times New Roman" w:hAnsi="Garamond" w:cs="Times New Roman"/>
          <w:i/>
          <w:iCs/>
          <w:color w:val="222222"/>
          <w:sz w:val="24"/>
          <w:szCs w:val="24"/>
          <w:shd w:val="clear" w:color="auto" w:fill="FFFFFF"/>
          <w:lang w:val="en-US"/>
        </w:rPr>
        <w:t>B</w:t>
      </w:r>
      <w:r w:rsidRPr="00791EFA">
        <w:rPr>
          <w:rFonts w:ascii="Garamond" w:eastAsia="Times New Roman" w:hAnsi="Garamond" w:cs="Times New Roman"/>
          <w:i/>
          <w:iCs/>
          <w:color w:val="222222"/>
          <w:sz w:val="24"/>
          <w:szCs w:val="24"/>
          <w:shd w:val="clear" w:color="auto" w:fill="FFFFFF"/>
          <w:lang w:val="en-US"/>
        </w:rPr>
        <w:t>ehavior</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22</w:t>
      </w:r>
      <w:r w:rsidRPr="00791EFA">
        <w:rPr>
          <w:rFonts w:ascii="Garamond" w:eastAsia="Times New Roman" w:hAnsi="Garamond" w:cs="Times New Roman"/>
          <w:color w:val="222222"/>
          <w:sz w:val="24"/>
          <w:szCs w:val="24"/>
          <w:shd w:val="clear" w:color="auto" w:fill="FFFFFF"/>
          <w:lang w:val="en-US"/>
        </w:rPr>
        <w:t>(3), 261</w:t>
      </w:r>
      <w:r w:rsidR="00CF07FB" w:rsidRPr="00791EFA">
        <w:rPr>
          <w:rFonts w:ascii="Garamond" w:eastAsia="Times New Roman" w:hAnsi="Garamond" w:cs="Times New Roman"/>
          <w:color w:val="222222"/>
          <w:sz w:val="24"/>
          <w:szCs w:val="24"/>
          <w:shd w:val="clear" w:color="auto" w:fill="FFFFFF"/>
          <w:lang w:val="en-US"/>
        </w:rPr>
        <w:t>–</w:t>
      </w:r>
      <w:r w:rsidRPr="00791EFA">
        <w:rPr>
          <w:rFonts w:ascii="Garamond" w:eastAsia="Times New Roman" w:hAnsi="Garamond" w:cs="Times New Roman"/>
          <w:color w:val="222222"/>
          <w:sz w:val="24"/>
          <w:szCs w:val="24"/>
          <w:shd w:val="clear" w:color="auto" w:fill="FFFFFF"/>
          <w:lang w:val="en-US"/>
        </w:rPr>
        <w:t>295.</w:t>
      </w:r>
    </w:p>
    <w:p w14:paraId="134E0C1B" w14:textId="59A5BFC4" w:rsidR="00EC2D6A" w:rsidRPr="00791EFA" w:rsidRDefault="00EC2D6A"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Asch, S.E., </w:t>
      </w:r>
      <w:r w:rsidR="00B71A55" w:rsidRPr="00791EFA">
        <w:rPr>
          <w:rFonts w:ascii="Garamond" w:eastAsia="Garamond" w:hAnsi="Garamond" w:cs="Times New Roman"/>
          <w:sz w:val="24"/>
          <w:szCs w:val="24"/>
        </w:rPr>
        <w:t xml:space="preserve">&amp; Ebenholtz, S.M. (1962). The </w:t>
      </w:r>
      <w:r w:rsidR="00CF07FB" w:rsidRPr="00791EFA">
        <w:rPr>
          <w:rFonts w:ascii="Garamond" w:eastAsia="Garamond" w:hAnsi="Garamond" w:cs="Times New Roman"/>
          <w:sz w:val="24"/>
          <w:szCs w:val="24"/>
        </w:rPr>
        <w:t>p</w:t>
      </w:r>
      <w:r w:rsidR="00B71A55" w:rsidRPr="00791EFA">
        <w:rPr>
          <w:rFonts w:ascii="Garamond" w:eastAsia="Garamond" w:hAnsi="Garamond" w:cs="Times New Roman"/>
          <w:sz w:val="24"/>
          <w:szCs w:val="24"/>
        </w:rPr>
        <w:t xml:space="preserve">rinciple of </w:t>
      </w:r>
      <w:r w:rsidR="00CF07FB" w:rsidRPr="00791EFA">
        <w:rPr>
          <w:rFonts w:ascii="Garamond" w:eastAsia="Garamond" w:hAnsi="Garamond" w:cs="Times New Roman"/>
          <w:sz w:val="24"/>
          <w:szCs w:val="24"/>
        </w:rPr>
        <w:t>a</w:t>
      </w:r>
      <w:r w:rsidR="00B71A55" w:rsidRPr="00791EFA">
        <w:rPr>
          <w:rFonts w:ascii="Garamond" w:eastAsia="Garamond" w:hAnsi="Garamond" w:cs="Times New Roman"/>
          <w:sz w:val="24"/>
          <w:szCs w:val="24"/>
        </w:rPr>
        <w:t xml:space="preserve">ssociative </w:t>
      </w:r>
      <w:r w:rsidR="00CF07FB" w:rsidRPr="00791EFA">
        <w:rPr>
          <w:rFonts w:ascii="Garamond" w:eastAsia="Garamond" w:hAnsi="Garamond" w:cs="Times New Roman"/>
          <w:sz w:val="24"/>
          <w:szCs w:val="24"/>
        </w:rPr>
        <w:t>s</w:t>
      </w:r>
      <w:r w:rsidRPr="00791EFA">
        <w:rPr>
          <w:rFonts w:ascii="Garamond" w:eastAsia="Garamond" w:hAnsi="Garamond" w:cs="Times New Roman"/>
          <w:sz w:val="24"/>
          <w:szCs w:val="24"/>
        </w:rPr>
        <w:t xml:space="preserve">ymmetry. </w:t>
      </w:r>
      <w:r w:rsidRPr="00791EFA">
        <w:rPr>
          <w:rFonts w:ascii="Garamond" w:eastAsia="Garamond" w:hAnsi="Garamond" w:cs="Times New Roman"/>
          <w:i/>
          <w:sz w:val="24"/>
          <w:szCs w:val="24"/>
        </w:rPr>
        <w:t>Proceedings of the American Philosophical Society</w:t>
      </w:r>
      <w:r w:rsidRPr="00791EFA">
        <w:rPr>
          <w:rFonts w:ascii="Garamond" w:eastAsia="Garamond" w:hAnsi="Garamond" w:cs="Times New Roman"/>
          <w:sz w:val="24"/>
          <w:szCs w:val="24"/>
        </w:rPr>
        <w:t>, 106(2), 135</w:t>
      </w:r>
      <w:r w:rsidR="00CF07FB" w:rsidRPr="00791EFA">
        <w:rPr>
          <w:rFonts w:ascii="Garamond" w:eastAsia="Garamond" w:hAnsi="Garamond" w:cs="Times New Roman"/>
          <w:sz w:val="24"/>
          <w:szCs w:val="24"/>
        </w:rPr>
        <w:t>–</w:t>
      </w:r>
      <w:r w:rsidRPr="00791EFA">
        <w:rPr>
          <w:rFonts w:ascii="Garamond" w:eastAsia="Garamond" w:hAnsi="Garamond" w:cs="Times New Roman"/>
          <w:sz w:val="24"/>
          <w:szCs w:val="24"/>
        </w:rPr>
        <w:t>163.</w:t>
      </w:r>
    </w:p>
    <w:p w14:paraId="455293EA" w14:textId="016B5361" w:rsidR="00D0325D" w:rsidRPr="00791EFA" w:rsidRDefault="00D0325D"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t xml:space="preserve">Biederman, I. (1987). Recognition-by-components: </w:t>
      </w:r>
      <w:r w:rsidR="00CF07FB" w:rsidRPr="00791EFA">
        <w:rPr>
          <w:rFonts w:ascii="Garamond" w:eastAsia="Times New Roman" w:hAnsi="Garamond" w:cs="Times New Roman"/>
          <w:color w:val="222222"/>
          <w:sz w:val="24"/>
          <w:szCs w:val="24"/>
          <w:shd w:val="clear" w:color="auto" w:fill="FFFFFF"/>
          <w:lang w:val="en-US"/>
        </w:rPr>
        <w:t>A</w:t>
      </w:r>
      <w:r w:rsidRPr="00791EFA">
        <w:rPr>
          <w:rFonts w:ascii="Garamond" w:eastAsia="Times New Roman" w:hAnsi="Garamond" w:cs="Times New Roman"/>
          <w:color w:val="222222"/>
          <w:sz w:val="24"/>
          <w:szCs w:val="24"/>
          <w:shd w:val="clear" w:color="auto" w:fill="FFFFFF"/>
          <w:lang w:val="en-US"/>
        </w:rPr>
        <w:t xml:space="preserve"> theory of human image</w:t>
      </w:r>
      <w:r w:rsidR="009166B2" w:rsidRPr="00791EFA">
        <w:rPr>
          <w:rFonts w:ascii="Garamond" w:eastAsia="Times New Roman" w:hAnsi="Garamond" w:cs="Times New Roman"/>
          <w:color w:val="222222"/>
          <w:sz w:val="24"/>
          <w:szCs w:val="24"/>
          <w:shd w:val="clear" w:color="auto" w:fill="FFFFFF"/>
          <w:lang w:val="en-US"/>
        </w:rPr>
        <w:t xml:space="preserve"> </w:t>
      </w:r>
      <w:r w:rsidRPr="00791EFA">
        <w:rPr>
          <w:rFonts w:ascii="Garamond" w:eastAsia="Times New Roman" w:hAnsi="Garamond" w:cs="Times New Roman"/>
          <w:color w:val="222222"/>
          <w:sz w:val="24"/>
          <w:szCs w:val="24"/>
          <w:shd w:val="clear" w:color="auto" w:fill="FFFFFF"/>
          <w:lang w:val="en-US"/>
        </w:rPr>
        <w:t>understanding. </w:t>
      </w:r>
      <w:r w:rsidRPr="00791EFA">
        <w:rPr>
          <w:rFonts w:ascii="Garamond" w:eastAsia="Times New Roman" w:hAnsi="Garamond" w:cs="Times New Roman"/>
          <w:i/>
          <w:iCs/>
          <w:color w:val="222222"/>
          <w:sz w:val="24"/>
          <w:szCs w:val="24"/>
          <w:shd w:val="clear" w:color="auto" w:fill="FFFFFF"/>
          <w:lang w:val="en-US"/>
        </w:rPr>
        <w:t xml:space="preserve">Psychological </w:t>
      </w:r>
      <w:r w:rsidR="00CF07FB" w:rsidRPr="00791EFA">
        <w:rPr>
          <w:rFonts w:ascii="Garamond" w:eastAsia="Times New Roman" w:hAnsi="Garamond" w:cs="Times New Roman"/>
          <w:i/>
          <w:iCs/>
          <w:color w:val="222222"/>
          <w:sz w:val="24"/>
          <w:szCs w:val="24"/>
          <w:shd w:val="clear" w:color="auto" w:fill="FFFFFF"/>
          <w:lang w:val="en-US"/>
        </w:rPr>
        <w:t>R</w:t>
      </w:r>
      <w:r w:rsidRPr="00791EFA">
        <w:rPr>
          <w:rFonts w:ascii="Garamond" w:eastAsia="Times New Roman" w:hAnsi="Garamond" w:cs="Times New Roman"/>
          <w:i/>
          <w:iCs/>
          <w:color w:val="222222"/>
          <w:sz w:val="24"/>
          <w:szCs w:val="24"/>
          <w:shd w:val="clear" w:color="auto" w:fill="FFFFFF"/>
          <w:lang w:val="en-US"/>
        </w:rPr>
        <w:t>eview</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94</w:t>
      </w:r>
      <w:r w:rsidRPr="00791EFA">
        <w:rPr>
          <w:rFonts w:ascii="Garamond" w:eastAsia="Times New Roman" w:hAnsi="Garamond" w:cs="Times New Roman"/>
          <w:color w:val="222222"/>
          <w:sz w:val="24"/>
          <w:szCs w:val="24"/>
          <w:shd w:val="clear" w:color="auto" w:fill="FFFFFF"/>
          <w:lang w:val="en-US"/>
        </w:rPr>
        <w:t>(2), 115</w:t>
      </w:r>
      <w:r w:rsidR="00CF07FB" w:rsidRPr="00791EFA">
        <w:rPr>
          <w:rFonts w:ascii="Garamond" w:eastAsia="Times New Roman" w:hAnsi="Garamond" w:cs="Times New Roman"/>
          <w:color w:val="222222"/>
          <w:sz w:val="24"/>
          <w:szCs w:val="24"/>
          <w:shd w:val="clear" w:color="auto" w:fill="FFFFFF"/>
          <w:lang w:val="en-US"/>
        </w:rPr>
        <w:t>–147</w:t>
      </w:r>
      <w:r w:rsidRPr="00791EFA">
        <w:rPr>
          <w:rFonts w:ascii="Garamond" w:eastAsia="Times New Roman" w:hAnsi="Garamond" w:cs="Times New Roman"/>
          <w:color w:val="222222"/>
          <w:sz w:val="24"/>
          <w:szCs w:val="24"/>
          <w:shd w:val="clear" w:color="auto" w:fill="FFFFFF"/>
          <w:lang w:val="en-US"/>
        </w:rPr>
        <w:t>.</w:t>
      </w:r>
    </w:p>
    <w:p w14:paraId="7ED6DAFA" w14:textId="5BDF0F60" w:rsidR="00B71A55" w:rsidRPr="00791EFA" w:rsidRDefault="00B71A55"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Block, N. (2014). Seeing</w:t>
      </w:r>
      <w:r w:rsidR="00CF07FB" w:rsidRPr="00791EFA">
        <w:rPr>
          <w:rFonts w:ascii="Garamond" w:eastAsia="Garamond" w:hAnsi="Garamond" w:cs="Times New Roman"/>
          <w:sz w:val="24"/>
          <w:szCs w:val="24"/>
        </w:rPr>
        <w:t>-</w:t>
      </w:r>
      <w:r w:rsidRPr="00791EFA">
        <w:rPr>
          <w:rFonts w:ascii="Garamond" w:eastAsia="Garamond" w:hAnsi="Garamond" w:cs="Times New Roman"/>
          <w:sz w:val="24"/>
          <w:szCs w:val="24"/>
        </w:rPr>
        <w:t xml:space="preserve">as in the light of vision science. </w:t>
      </w:r>
      <w:r w:rsidRPr="00791EFA">
        <w:rPr>
          <w:rFonts w:ascii="Garamond" w:eastAsia="Garamond" w:hAnsi="Garamond" w:cs="Times New Roman"/>
          <w:i/>
          <w:sz w:val="24"/>
          <w:szCs w:val="24"/>
        </w:rPr>
        <w:t>Philosophy and Phenomenological Research</w:t>
      </w:r>
      <w:r w:rsidRPr="00791EFA">
        <w:rPr>
          <w:rFonts w:ascii="Garamond" w:eastAsia="Garamond" w:hAnsi="Garamond" w:cs="Times New Roman"/>
          <w:sz w:val="24"/>
          <w:szCs w:val="24"/>
        </w:rPr>
        <w:t>, 89(3), 560-572.</w:t>
      </w:r>
    </w:p>
    <w:p w14:paraId="175DC4B2" w14:textId="56E4AA77" w:rsidR="00302A9B" w:rsidRPr="00791EFA" w:rsidRDefault="00302A9B" w:rsidP="00C86BD1">
      <w:pPr>
        <w:spacing w:after="120" w:line="480" w:lineRule="auto"/>
        <w:ind w:left="720" w:hanging="720"/>
        <w:contextualSpacing/>
        <w:rPr>
          <w:rFonts w:ascii="Garamond" w:hAnsi="Garamond" w:cs="Times New Roman"/>
          <w:sz w:val="24"/>
          <w:szCs w:val="24"/>
        </w:rPr>
      </w:pPr>
      <w:r w:rsidRPr="00791EFA">
        <w:rPr>
          <w:rFonts w:ascii="Garamond" w:eastAsia="Garamond" w:hAnsi="Garamond" w:cs="Times New Roman"/>
          <w:sz w:val="24"/>
          <w:szCs w:val="24"/>
        </w:rPr>
        <w:t xml:space="preserve">Blumson, B. (2015). Mental maps. </w:t>
      </w:r>
      <w:r w:rsidRPr="00791EFA">
        <w:rPr>
          <w:rFonts w:ascii="Garamond" w:eastAsia="Garamond" w:hAnsi="Garamond" w:cs="Times New Roman"/>
          <w:i/>
          <w:sz w:val="24"/>
          <w:szCs w:val="24"/>
        </w:rPr>
        <w:t>Philosophy and Phenomenological Research</w:t>
      </w:r>
      <w:r w:rsidRPr="00791EFA">
        <w:rPr>
          <w:rFonts w:ascii="Garamond" w:eastAsia="Garamond" w:hAnsi="Garamond" w:cs="Times New Roman"/>
          <w:sz w:val="24"/>
          <w:szCs w:val="24"/>
        </w:rPr>
        <w:t xml:space="preserve"> 85(2), 413–434.</w:t>
      </w:r>
    </w:p>
    <w:p w14:paraId="161325E3" w14:textId="45802CAC" w:rsidR="002564DF" w:rsidRPr="00791EFA" w:rsidRDefault="002564DF"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Braine, M.D., &amp; O'Brien, D.P. (Eds.). (1998). </w:t>
      </w:r>
      <w:r w:rsidRPr="00791EFA">
        <w:rPr>
          <w:rFonts w:ascii="Garamond" w:eastAsia="Garamond" w:hAnsi="Garamond" w:cs="Times New Roman"/>
          <w:i/>
          <w:sz w:val="24"/>
          <w:szCs w:val="24"/>
        </w:rPr>
        <w:t xml:space="preserve">Mental </w:t>
      </w:r>
      <w:r w:rsidR="00CF07FB" w:rsidRPr="00791EFA">
        <w:rPr>
          <w:rFonts w:ascii="Garamond" w:eastAsia="Garamond" w:hAnsi="Garamond" w:cs="Times New Roman"/>
          <w:i/>
          <w:sz w:val="24"/>
          <w:szCs w:val="24"/>
        </w:rPr>
        <w:t>L</w:t>
      </w:r>
      <w:r w:rsidRPr="00791EFA">
        <w:rPr>
          <w:rFonts w:ascii="Garamond" w:eastAsia="Garamond" w:hAnsi="Garamond" w:cs="Times New Roman"/>
          <w:i/>
          <w:sz w:val="24"/>
          <w:szCs w:val="24"/>
        </w:rPr>
        <w:t>ogic</w:t>
      </w:r>
      <w:r w:rsidRPr="00791EFA">
        <w:rPr>
          <w:rFonts w:ascii="Garamond" w:eastAsia="Garamond" w:hAnsi="Garamond" w:cs="Times New Roman"/>
          <w:sz w:val="24"/>
          <w:szCs w:val="24"/>
        </w:rPr>
        <w:t xml:space="preserve">. </w:t>
      </w:r>
      <w:r w:rsidR="008611C4" w:rsidRPr="00791EFA">
        <w:rPr>
          <w:rFonts w:ascii="Garamond" w:eastAsia="Garamond" w:hAnsi="Garamond" w:cs="Times New Roman"/>
          <w:sz w:val="24"/>
          <w:szCs w:val="24"/>
        </w:rPr>
        <w:t xml:space="preserve">Mahwaw, NJ: </w:t>
      </w:r>
      <w:r w:rsidRPr="00791EFA">
        <w:rPr>
          <w:rFonts w:ascii="Garamond" w:eastAsia="Garamond" w:hAnsi="Garamond" w:cs="Times New Roman"/>
          <w:sz w:val="24"/>
          <w:szCs w:val="24"/>
        </w:rPr>
        <w:t>Psychology Press.</w:t>
      </w:r>
    </w:p>
    <w:p w14:paraId="24C43E0F" w14:textId="6F9C193E" w:rsidR="00B71A55" w:rsidRPr="00791EFA" w:rsidRDefault="00B71A55"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lastRenderedPageBreak/>
        <w:t xml:space="preserve">Burge, T. (2010). </w:t>
      </w:r>
      <w:r w:rsidRPr="00791EFA">
        <w:rPr>
          <w:rFonts w:ascii="Garamond" w:eastAsia="Garamond" w:hAnsi="Garamond" w:cs="Times New Roman"/>
          <w:i/>
          <w:sz w:val="24"/>
          <w:szCs w:val="24"/>
        </w:rPr>
        <w:t>Origins of Objectivity</w:t>
      </w:r>
      <w:r w:rsidRPr="00791EFA">
        <w:rPr>
          <w:rFonts w:ascii="Garamond" w:eastAsia="Garamond" w:hAnsi="Garamond" w:cs="Times New Roman"/>
          <w:sz w:val="24"/>
          <w:szCs w:val="24"/>
        </w:rPr>
        <w:t>. Oxford University Press.</w:t>
      </w:r>
    </w:p>
    <w:p w14:paraId="45C1AD94" w14:textId="1125E772" w:rsidR="00B71A55" w:rsidRPr="00791EFA" w:rsidRDefault="00C63513"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Camp, E. (2007). Thinking with maps. </w:t>
      </w:r>
      <w:r w:rsidRPr="00791EFA">
        <w:rPr>
          <w:rFonts w:ascii="Garamond" w:hAnsi="Garamond" w:cs="Times New Roman"/>
          <w:i/>
          <w:sz w:val="24"/>
          <w:szCs w:val="24"/>
        </w:rPr>
        <w:t>Philosophical perspectives</w:t>
      </w:r>
      <w:r w:rsidRPr="00791EFA">
        <w:rPr>
          <w:rFonts w:ascii="Garamond" w:hAnsi="Garamond" w:cs="Times New Roman"/>
          <w:sz w:val="24"/>
          <w:szCs w:val="24"/>
        </w:rPr>
        <w:t>, 21(1), 145-182.</w:t>
      </w:r>
    </w:p>
    <w:p w14:paraId="58BB2F95" w14:textId="509B8ECA" w:rsidR="00C63513" w:rsidRPr="00791EFA" w:rsidRDefault="00B71A5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Carey, S. (2009). </w:t>
      </w:r>
      <w:r w:rsidRPr="00791EFA">
        <w:rPr>
          <w:rFonts w:ascii="Garamond" w:hAnsi="Garamond" w:cs="Times New Roman"/>
          <w:i/>
          <w:sz w:val="24"/>
          <w:szCs w:val="24"/>
        </w:rPr>
        <w:t>The Origin of Concepts</w:t>
      </w:r>
      <w:r w:rsidRPr="00791EFA">
        <w:rPr>
          <w:rFonts w:ascii="Garamond" w:hAnsi="Garamond" w:cs="Times New Roman"/>
          <w:sz w:val="24"/>
          <w:szCs w:val="24"/>
        </w:rPr>
        <w:t>. Oxford University Press.</w:t>
      </w:r>
    </w:p>
    <w:p w14:paraId="4695EB51" w14:textId="6902C7B0" w:rsidR="00E66E0D" w:rsidRPr="00791EFA" w:rsidRDefault="00B71A5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Cason, H. (1924). The </w:t>
      </w:r>
      <w:r w:rsidR="00CF07FB" w:rsidRPr="00791EFA">
        <w:rPr>
          <w:rFonts w:ascii="Garamond" w:hAnsi="Garamond" w:cs="Times New Roman"/>
          <w:sz w:val="24"/>
          <w:szCs w:val="24"/>
        </w:rPr>
        <w:t>c</w:t>
      </w:r>
      <w:r w:rsidRPr="00791EFA">
        <w:rPr>
          <w:rFonts w:ascii="Garamond" w:hAnsi="Garamond" w:cs="Times New Roman"/>
          <w:sz w:val="24"/>
          <w:szCs w:val="24"/>
        </w:rPr>
        <w:t xml:space="preserve">oncept of </w:t>
      </w:r>
      <w:r w:rsidR="00CF07FB" w:rsidRPr="00791EFA">
        <w:rPr>
          <w:rFonts w:ascii="Garamond" w:hAnsi="Garamond" w:cs="Times New Roman"/>
          <w:sz w:val="24"/>
          <w:szCs w:val="24"/>
        </w:rPr>
        <w:t>b</w:t>
      </w:r>
      <w:r w:rsidRPr="00791EFA">
        <w:rPr>
          <w:rFonts w:ascii="Garamond" w:hAnsi="Garamond" w:cs="Times New Roman"/>
          <w:sz w:val="24"/>
          <w:szCs w:val="24"/>
        </w:rPr>
        <w:t xml:space="preserve">ackward </w:t>
      </w:r>
      <w:r w:rsidR="00CF07FB" w:rsidRPr="00791EFA">
        <w:rPr>
          <w:rFonts w:ascii="Garamond" w:hAnsi="Garamond" w:cs="Times New Roman"/>
          <w:sz w:val="24"/>
          <w:szCs w:val="24"/>
        </w:rPr>
        <w:t>a</w:t>
      </w:r>
      <w:r w:rsidR="00E66E0D" w:rsidRPr="00791EFA">
        <w:rPr>
          <w:rFonts w:ascii="Garamond" w:hAnsi="Garamond" w:cs="Times New Roman"/>
          <w:sz w:val="24"/>
          <w:szCs w:val="24"/>
        </w:rPr>
        <w:t xml:space="preserve">ssociation. </w:t>
      </w:r>
      <w:r w:rsidR="00E66E0D" w:rsidRPr="00791EFA">
        <w:rPr>
          <w:rFonts w:ascii="Garamond" w:hAnsi="Garamond" w:cs="Times New Roman"/>
          <w:i/>
          <w:sz w:val="24"/>
          <w:szCs w:val="24"/>
        </w:rPr>
        <w:t>The American Journal of Psychology,</w:t>
      </w:r>
      <w:r w:rsidR="00E66E0D" w:rsidRPr="00791EFA">
        <w:rPr>
          <w:rFonts w:ascii="Garamond" w:hAnsi="Garamond" w:cs="Times New Roman"/>
          <w:sz w:val="24"/>
          <w:szCs w:val="24"/>
        </w:rPr>
        <w:t xml:space="preserve"> 35(2), 217-221.</w:t>
      </w:r>
    </w:p>
    <w:p w14:paraId="58904EBB" w14:textId="2866FEEA" w:rsidR="008611C4" w:rsidRPr="00791EFA" w:rsidRDefault="008611C4"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Dehaene, S. (2011)</w:t>
      </w:r>
      <w:r w:rsidRPr="00791EFA">
        <w:rPr>
          <w:rFonts w:ascii="Garamond" w:hAnsi="Garamond" w:cs="Times New Roman"/>
          <w:i/>
          <w:sz w:val="24"/>
          <w:szCs w:val="24"/>
        </w:rPr>
        <w:t xml:space="preserve">. The </w:t>
      </w:r>
      <w:r w:rsidR="00CF07FB" w:rsidRPr="00791EFA">
        <w:rPr>
          <w:rFonts w:ascii="Garamond" w:hAnsi="Garamond" w:cs="Times New Roman"/>
          <w:i/>
          <w:sz w:val="24"/>
          <w:szCs w:val="24"/>
        </w:rPr>
        <w:t>N</w:t>
      </w:r>
      <w:r w:rsidRPr="00791EFA">
        <w:rPr>
          <w:rFonts w:ascii="Garamond" w:hAnsi="Garamond" w:cs="Times New Roman"/>
          <w:i/>
          <w:sz w:val="24"/>
          <w:szCs w:val="24"/>
        </w:rPr>
        <w:t xml:space="preserve">umber </w:t>
      </w:r>
      <w:r w:rsidR="00CF07FB" w:rsidRPr="00791EFA">
        <w:rPr>
          <w:rFonts w:ascii="Garamond" w:hAnsi="Garamond" w:cs="Times New Roman"/>
          <w:i/>
          <w:sz w:val="24"/>
          <w:szCs w:val="24"/>
        </w:rPr>
        <w:t>S</w:t>
      </w:r>
      <w:r w:rsidRPr="00791EFA">
        <w:rPr>
          <w:rFonts w:ascii="Garamond" w:hAnsi="Garamond" w:cs="Times New Roman"/>
          <w:i/>
          <w:sz w:val="24"/>
          <w:szCs w:val="24"/>
        </w:rPr>
        <w:t xml:space="preserve">ense: How the </w:t>
      </w:r>
      <w:r w:rsidR="00CF07FB" w:rsidRPr="00791EFA">
        <w:rPr>
          <w:rFonts w:ascii="Garamond" w:hAnsi="Garamond" w:cs="Times New Roman"/>
          <w:i/>
          <w:sz w:val="24"/>
          <w:szCs w:val="24"/>
        </w:rPr>
        <w:t>M</w:t>
      </w:r>
      <w:r w:rsidRPr="00791EFA">
        <w:rPr>
          <w:rFonts w:ascii="Garamond" w:hAnsi="Garamond" w:cs="Times New Roman"/>
          <w:i/>
          <w:sz w:val="24"/>
          <w:szCs w:val="24"/>
        </w:rPr>
        <w:t xml:space="preserve">ind </w:t>
      </w:r>
      <w:r w:rsidR="00CF07FB" w:rsidRPr="00791EFA">
        <w:rPr>
          <w:rFonts w:ascii="Garamond" w:hAnsi="Garamond" w:cs="Times New Roman"/>
          <w:i/>
          <w:sz w:val="24"/>
          <w:szCs w:val="24"/>
        </w:rPr>
        <w:t>C</w:t>
      </w:r>
      <w:r w:rsidRPr="00791EFA">
        <w:rPr>
          <w:rFonts w:ascii="Garamond" w:hAnsi="Garamond" w:cs="Times New Roman"/>
          <w:i/>
          <w:sz w:val="24"/>
          <w:szCs w:val="24"/>
        </w:rPr>
        <w:t xml:space="preserve">reates </w:t>
      </w:r>
      <w:r w:rsidR="00CF07FB" w:rsidRPr="00791EFA">
        <w:rPr>
          <w:rFonts w:ascii="Garamond" w:hAnsi="Garamond" w:cs="Times New Roman"/>
          <w:i/>
          <w:sz w:val="24"/>
          <w:szCs w:val="24"/>
        </w:rPr>
        <w:t>M</w:t>
      </w:r>
      <w:r w:rsidRPr="00791EFA">
        <w:rPr>
          <w:rFonts w:ascii="Garamond" w:hAnsi="Garamond" w:cs="Times New Roman"/>
          <w:i/>
          <w:sz w:val="24"/>
          <w:szCs w:val="24"/>
        </w:rPr>
        <w:t>athematics</w:t>
      </w:r>
      <w:r w:rsidRPr="00791EFA">
        <w:rPr>
          <w:rFonts w:ascii="Garamond" w:hAnsi="Garamond" w:cs="Times New Roman"/>
          <w:sz w:val="24"/>
          <w:szCs w:val="24"/>
        </w:rPr>
        <w:t xml:space="preserve">. </w:t>
      </w:r>
      <w:r w:rsidR="00C96275" w:rsidRPr="00791EFA">
        <w:rPr>
          <w:rFonts w:ascii="Garamond" w:hAnsi="Garamond" w:cs="Times New Roman"/>
          <w:sz w:val="24"/>
          <w:szCs w:val="24"/>
        </w:rPr>
        <w:t xml:space="preserve">NY: </w:t>
      </w:r>
      <w:r w:rsidRPr="00791EFA">
        <w:rPr>
          <w:rFonts w:ascii="Garamond" w:hAnsi="Garamond" w:cs="Times New Roman"/>
          <w:sz w:val="24"/>
          <w:szCs w:val="24"/>
        </w:rPr>
        <w:t>O</w:t>
      </w:r>
      <w:r w:rsidR="00C96275" w:rsidRPr="00791EFA">
        <w:rPr>
          <w:rFonts w:ascii="Garamond" w:hAnsi="Garamond" w:cs="Times New Roman"/>
          <w:sz w:val="24"/>
          <w:szCs w:val="24"/>
        </w:rPr>
        <w:t xml:space="preserve">xford </w:t>
      </w:r>
      <w:r w:rsidRPr="00791EFA">
        <w:rPr>
          <w:rFonts w:ascii="Garamond" w:hAnsi="Garamond" w:cs="Times New Roman"/>
          <w:sz w:val="24"/>
          <w:szCs w:val="24"/>
        </w:rPr>
        <w:t>U</w:t>
      </w:r>
      <w:r w:rsidR="00C96275" w:rsidRPr="00791EFA">
        <w:rPr>
          <w:rFonts w:ascii="Garamond" w:hAnsi="Garamond" w:cs="Times New Roman"/>
          <w:sz w:val="24"/>
          <w:szCs w:val="24"/>
        </w:rPr>
        <w:t xml:space="preserve">niversity </w:t>
      </w:r>
      <w:r w:rsidRPr="00791EFA">
        <w:rPr>
          <w:rFonts w:ascii="Garamond" w:hAnsi="Garamond" w:cs="Times New Roman"/>
          <w:sz w:val="24"/>
          <w:szCs w:val="24"/>
        </w:rPr>
        <w:t>P</w:t>
      </w:r>
      <w:r w:rsidR="00C96275" w:rsidRPr="00791EFA">
        <w:rPr>
          <w:rFonts w:ascii="Garamond" w:hAnsi="Garamond" w:cs="Times New Roman"/>
          <w:sz w:val="24"/>
          <w:szCs w:val="24"/>
        </w:rPr>
        <w:t>ress.</w:t>
      </w:r>
    </w:p>
    <w:p w14:paraId="1290625F" w14:textId="710E2050" w:rsidR="00C96275" w:rsidRPr="00791EFA" w:rsidRDefault="00C9627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De Houwer, J. (2009). The propositional approach to associative learning as an alternative for association formation models. </w:t>
      </w:r>
      <w:r w:rsidRPr="00791EFA">
        <w:rPr>
          <w:rFonts w:ascii="Garamond" w:hAnsi="Garamond" w:cs="Times New Roman"/>
          <w:i/>
          <w:sz w:val="24"/>
          <w:szCs w:val="24"/>
        </w:rPr>
        <w:t>Learning &amp; Behavior</w:t>
      </w:r>
      <w:r w:rsidRPr="00791EFA">
        <w:rPr>
          <w:rFonts w:ascii="Garamond" w:hAnsi="Garamond" w:cs="Times New Roman"/>
          <w:sz w:val="24"/>
          <w:szCs w:val="24"/>
        </w:rPr>
        <w:t>, 37(1), 1-20.</w:t>
      </w:r>
    </w:p>
    <w:p w14:paraId="5CBC71FD" w14:textId="0F8DCF73" w:rsidR="0078128B" w:rsidRPr="00791EFA" w:rsidRDefault="0078128B"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Dretske, F. (1981). </w:t>
      </w:r>
      <w:r w:rsidRPr="00791EFA">
        <w:rPr>
          <w:rFonts w:ascii="Garamond" w:hAnsi="Garamond" w:cs="Times New Roman"/>
          <w:i/>
          <w:sz w:val="24"/>
          <w:szCs w:val="24"/>
        </w:rPr>
        <w:t>Knowledge and the Flow of Information</w:t>
      </w:r>
      <w:r w:rsidRPr="00791EFA">
        <w:rPr>
          <w:rFonts w:ascii="Garamond" w:hAnsi="Garamond" w:cs="Times New Roman"/>
          <w:sz w:val="24"/>
          <w:szCs w:val="24"/>
        </w:rPr>
        <w:t>. Cambridge: MIT Press.</w:t>
      </w:r>
    </w:p>
    <w:p w14:paraId="67B82E43" w14:textId="3469C6A1" w:rsidR="00A02775" w:rsidRPr="00791EFA" w:rsidRDefault="00A02775" w:rsidP="00C86BD1">
      <w:pPr>
        <w:spacing w:after="120" w:line="480" w:lineRule="auto"/>
        <w:ind w:left="720" w:hanging="720"/>
        <w:contextualSpacing/>
        <w:rPr>
          <w:rFonts w:ascii="Garamond" w:hAnsi="Garamond" w:cs="Times New Roman"/>
          <w:i/>
          <w:sz w:val="24"/>
          <w:szCs w:val="24"/>
        </w:rPr>
      </w:pPr>
      <w:r w:rsidRPr="00791EFA">
        <w:rPr>
          <w:rFonts w:ascii="Garamond" w:hAnsi="Garamond" w:cs="Times New Roman"/>
          <w:sz w:val="24"/>
          <w:szCs w:val="24"/>
        </w:rPr>
        <w:t xml:space="preserve">Ebbinghaus, H. (1885). </w:t>
      </w:r>
      <w:r w:rsidR="00CF07FB" w:rsidRPr="00791EFA">
        <w:rPr>
          <w:rFonts w:ascii="Garamond" w:hAnsi="Garamond" w:cs="Times New Roman"/>
          <w:i/>
          <w:sz w:val="24"/>
          <w:szCs w:val="24"/>
        </w:rPr>
        <w:t>Memory: A Contribution to Experimental Psychology</w:t>
      </w:r>
      <w:r w:rsidR="00CF07FB" w:rsidRPr="00791EFA">
        <w:rPr>
          <w:rFonts w:ascii="Garamond" w:hAnsi="Garamond" w:cs="Times New Roman"/>
          <w:sz w:val="24"/>
          <w:szCs w:val="24"/>
        </w:rPr>
        <w:t>. H.A. Ruger &amp; C.E. Bussenius (tr.), 1913 (New York: Teacher’s College, Columbia University).</w:t>
      </w:r>
    </w:p>
    <w:p w14:paraId="58605C78" w14:textId="7285CF0D" w:rsidR="00D0325D" w:rsidRPr="00791EFA" w:rsidRDefault="00D0325D"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t xml:space="preserve">Edelman, S., &amp; </w:t>
      </w:r>
      <w:proofErr w:type="spellStart"/>
      <w:r w:rsidRPr="00791EFA">
        <w:rPr>
          <w:rFonts w:ascii="Garamond" w:eastAsia="Times New Roman" w:hAnsi="Garamond" w:cs="Times New Roman"/>
          <w:color w:val="222222"/>
          <w:sz w:val="24"/>
          <w:szCs w:val="24"/>
          <w:shd w:val="clear" w:color="auto" w:fill="FFFFFF"/>
          <w:lang w:val="en-US"/>
        </w:rPr>
        <w:t>Intrator</w:t>
      </w:r>
      <w:proofErr w:type="spellEnd"/>
      <w:r w:rsidRPr="00791EFA">
        <w:rPr>
          <w:rFonts w:ascii="Garamond" w:eastAsia="Times New Roman" w:hAnsi="Garamond" w:cs="Times New Roman"/>
          <w:color w:val="222222"/>
          <w:sz w:val="24"/>
          <w:szCs w:val="24"/>
          <w:shd w:val="clear" w:color="auto" w:fill="FFFFFF"/>
          <w:lang w:val="en-US"/>
        </w:rPr>
        <w:t>, N. (2001). A productive, systematic framework for the representation of visual structure. In</w:t>
      </w:r>
      <w:r w:rsidR="000F55C9" w:rsidRPr="00791EFA">
        <w:rPr>
          <w:rFonts w:ascii="Garamond" w:eastAsia="Times New Roman" w:hAnsi="Garamond" w:cs="Times New Roman"/>
          <w:color w:val="222222"/>
          <w:sz w:val="24"/>
          <w:szCs w:val="24"/>
          <w:shd w:val="clear" w:color="auto" w:fill="FFFFFF"/>
          <w:lang w:val="en-US"/>
        </w:rPr>
        <w:t xml:space="preserve"> T.K. Leen, T.G. </w:t>
      </w:r>
      <w:proofErr w:type="spellStart"/>
      <w:r w:rsidR="000F55C9" w:rsidRPr="00791EFA">
        <w:rPr>
          <w:rFonts w:ascii="Garamond" w:eastAsia="Times New Roman" w:hAnsi="Garamond" w:cs="Times New Roman"/>
          <w:color w:val="222222"/>
          <w:sz w:val="24"/>
          <w:szCs w:val="24"/>
          <w:shd w:val="clear" w:color="auto" w:fill="FFFFFF"/>
          <w:lang w:val="en-US"/>
        </w:rPr>
        <w:t>Dietterich</w:t>
      </w:r>
      <w:proofErr w:type="spellEnd"/>
      <w:r w:rsidR="000F55C9" w:rsidRPr="00791EFA">
        <w:rPr>
          <w:rFonts w:ascii="Garamond" w:eastAsia="Times New Roman" w:hAnsi="Garamond" w:cs="Times New Roman"/>
          <w:color w:val="222222"/>
          <w:sz w:val="24"/>
          <w:szCs w:val="24"/>
          <w:shd w:val="clear" w:color="auto" w:fill="FFFFFF"/>
          <w:lang w:val="en-US"/>
        </w:rPr>
        <w:t xml:space="preserve">, &amp; V. </w:t>
      </w:r>
      <w:proofErr w:type="spellStart"/>
      <w:r w:rsidR="000F55C9" w:rsidRPr="00791EFA">
        <w:rPr>
          <w:rFonts w:ascii="Garamond" w:eastAsia="Times New Roman" w:hAnsi="Garamond" w:cs="Times New Roman"/>
          <w:color w:val="222222"/>
          <w:sz w:val="24"/>
          <w:szCs w:val="24"/>
          <w:shd w:val="clear" w:color="auto" w:fill="FFFFFF"/>
          <w:lang w:val="en-US"/>
        </w:rPr>
        <w:t>Tresp</w:t>
      </w:r>
      <w:proofErr w:type="spellEnd"/>
      <w:r w:rsidR="000F55C9" w:rsidRPr="00791EFA">
        <w:rPr>
          <w:rFonts w:ascii="Garamond" w:eastAsia="Times New Roman" w:hAnsi="Garamond" w:cs="Times New Roman"/>
          <w:color w:val="222222"/>
          <w:sz w:val="24"/>
          <w:szCs w:val="24"/>
          <w:shd w:val="clear" w:color="auto" w:fill="FFFFFF"/>
          <w:lang w:val="en-US"/>
        </w:rPr>
        <w:t xml:space="preserve"> (eds.),</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 xml:space="preserve">Advances in </w:t>
      </w:r>
      <w:r w:rsidR="00CF07FB" w:rsidRPr="00791EFA">
        <w:rPr>
          <w:rFonts w:ascii="Garamond" w:eastAsia="Times New Roman" w:hAnsi="Garamond" w:cs="Times New Roman"/>
          <w:i/>
          <w:iCs/>
          <w:color w:val="222222"/>
          <w:sz w:val="24"/>
          <w:szCs w:val="24"/>
          <w:shd w:val="clear" w:color="auto" w:fill="FFFFFF"/>
          <w:lang w:val="en-US"/>
        </w:rPr>
        <w:t>N</w:t>
      </w:r>
      <w:r w:rsidRPr="00791EFA">
        <w:rPr>
          <w:rFonts w:ascii="Garamond" w:eastAsia="Times New Roman" w:hAnsi="Garamond" w:cs="Times New Roman"/>
          <w:i/>
          <w:iCs/>
          <w:color w:val="222222"/>
          <w:sz w:val="24"/>
          <w:szCs w:val="24"/>
          <w:shd w:val="clear" w:color="auto" w:fill="FFFFFF"/>
          <w:lang w:val="en-US"/>
        </w:rPr>
        <w:t xml:space="preserve">eural </w:t>
      </w:r>
      <w:r w:rsidR="00CF07FB" w:rsidRPr="00791EFA">
        <w:rPr>
          <w:rFonts w:ascii="Garamond" w:eastAsia="Times New Roman" w:hAnsi="Garamond" w:cs="Times New Roman"/>
          <w:i/>
          <w:iCs/>
          <w:color w:val="222222"/>
          <w:sz w:val="24"/>
          <w:szCs w:val="24"/>
          <w:shd w:val="clear" w:color="auto" w:fill="FFFFFF"/>
          <w:lang w:val="en-US"/>
        </w:rPr>
        <w:t>I</w:t>
      </w:r>
      <w:r w:rsidRPr="00791EFA">
        <w:rPr>
          <w:rFonts w:ascii="Garamond" w:eastAsia="Times New Roman" w:hAnsi="Garamond" w:cs="Times New Roman"/>
          <w:i/>
          <w:iCs/>
          <w:color w:val="222222"/>
          <w:sz w:val="24"/>
          <w:szCs w:val="24"/>
          <w:shd w:val="clear" w:color="auto" w:fill="FFFFFF"/>
          <w:lang w:val="en-US"/>
        </w:rPr>
        <w:t xml:space="preserve">nformation </w:t>
      </w:r>
      <w:r w:rsidR="00CF07FB" w:rsidRPr="00791EFA">
        <w:rPr>
          <w:rFonts w:ascii="Garamond" w:eastAsia="Times New Roman" w:hAnsi="Garamond" w:cs="Times New Roman"/>
          <w:i/>
          <w:iCs/>
          <w:color w:val="222222"/>
          <w:sz w:val="24"/>
          <w:szCs w:val="24"/>
          <w:shd w:val="clear" w:color="auto" w:fill="FFFFFF"/>
          <w:lang w:val="en-US"/>
        </w:rPr>
        <w:t>P</w:t>
      </w:r>
      <w:r w:rsidRPr="00791EFA">
        <w:rPr>
          <w:rFonts w:ascii="Garamond" w:eastAsia="Times New Roman" w:hAnsi="Garamond" w:cs="Times New Roman"/>
          <w:i/>
          <w:iCs/>
          <w:color w:val="222222"/>
          <w:sz w:val="24"/>
          <w:szCs w:val="24"/>
          <w:shd w:val="clear" w:color="auto" w:fill="FFFFFF"/>
          <w:lang w:val="en-US"/>
        </w:rPr>
        <w:t xml:space="preserve">rocessing </w:t>
      </w:r>
      <w:r w:rsidR="00CF07FB" w:rsidRPr="00791EFA">
        <w:rPr>
          <w:rFonts w:ascii="Garamond" w:eastAsia="Times New Roman" w:hAnsi="Garamond" w:cs="Times New Roman"/>
          <w:i/>
          <w:iCs/>
          <w:color w:val="222222"/>
          <w:sz w:val="24"/>
          <w:szCs w:val="24"/>
          <w:shd w:val="clear" w:color="auto" w:fill="FFFFFF"/>
          <w:lang w:val="en-US"/>
        </w:rPr>
        <w:t>S</w:t>
      </w:r>
      <w:r w:rsidRPr="00791EFA">
        <w:rPr>
          <w:rFonts w:ascii="Garamond" w:eastAsia="Times New Roman" w:hAnsi="Garamond" w:cs="Times New Roman"/>
          <w:i/>
          <w:iCs/>
          <w:color w:val="222222"/>
          <w:sz w:val="24"/>
          <w:szCs w:val="24"/>
          <w:shd w:val="clear" w:color="auto" w:fill="FFFFFF"/>
          <w:lang w:val="en-US"/>
        </w:rPr>
        <w:t>ystems</w:t>
      </w:r>
      <w:r w:rsidR="00CF07FB" w:rsidRPr="00791EFA">
        <w:rPr>
          <w:rFonts w:ascii="Garamond" w:eastAsia="Times New Roman" w:hAnsi="Garamond" w:cs="Times New Roman"/>
          <w:i/>
          <w:iCs/>
          <w:color w:val="222222"/>
          <w:sz w:val="24"/>
          <w:szCs w:val="24"/>
          <w:shd w:val="clear" w:color="auto" w:fill="FFFFFF"/>
          <w:lang w:val="en-US"/>
        </w:rPr>
        <w:t xml:space="preserve"> 13</w:t>
      </w:r>
      <w:r w:rsidRPr="00791EFA">
        <w:rPr>
          <w:rFonts w:ascii="Garamond" w:eastAsia="Times New Roman" w:hAnsi="Garamond" w:cs="Times New Roman"/>
          <w:color w:val="222222"/>
          <w:sz w:val="24"/>
          <w:szCs w:val="24"/>
          <w:shd w:val="clear" w:color="auto" w:fill="FFFFFF"/>
          <w:lang w:val="en-US"/>
        </w:rPr>
        <w:t> </w:t>
      </w:r>
      <w:r w:rsidR="000F55C9" w:rsidRPr="00791EFA">
        <w:rPr>
          <w:rFonts w:ascii="Garamond" w:eastAsia="Times New Roman" w:hAnsi="Garamond" w:cs="Times New Roman"/>
          <w:color w:val="222222"/>
          <w:sz w:val="24"/>
          <w:szCs w:val="24"/>
          <w:shd w:val="clear" w:color="auto" w:fill="FFFFFF"/>
          <w:lang w:val="en-US"/>
        </w:rPr>
        <w:t xml:space="preserve">(Cambridge, MA: MIT Press), </w:t>
      </w:r>
      <w:r w:rsidRPr="00791EFA">
        <w:rPr>
          <w:rFonts w:ascii="Garamond" w:eastAsia="Times New Roman" w:hAnsi="Garamond" w:cs="Times New Roman"/>
          <w:color w:val="222222"/>
          <w:sz w:val="24"/>
          <w:szCs w:val="24"/>
          <w:shd w:val="clear" w:color="auto" w:fill="FFFFFF"/>
          <w:lang w:val="en-US"/>
        </w:rPr>
        <w:t>10</w:t>
      </w:r>
      <w:r w:rsidR="000F55C9" w:rsidRPr="00791EFA">
        <w:rPr>
          <w:rFonts w:ascii="Garamond" w:eastAsia="Times New Roman" w:hAnsi="Garamond" w:cs="Times New Roman"/>
          <w:color w:val="222222"/>
          <w:sz w:val="24"/>
          <w:szCs w:val="24"/>
          <w:shd w:val="clear" w:color="auto" w:fill="FFFFFF"/>
          <w:lang w:val="en-US"/>
        </w:rPr>
        <w:t>–</w:t>
      </w:r>
      <w:r w:rsidRPr="00791EFA">
        <w:rPr>
          <w:rFonts w:ascii="Garamond" w:eastAsia="Times New Roman" w:hAnsi="Garamond" w:cs="Times New Roman"/>
          <w:color w:val="222222"/>
          <w:sz w:val="24"/>
          <w:szCs w:val="24"/>
          <w:shd w:val="clear" w:color="auto" w:fill="FFFFFF"/>
          <w:lang w:val="en-US"/>
        </w:rPr>
        <w:t>16.</w:t>
      </w:r>
    </w:p>
    <w:p w14:paraId="2C53B539" w14:textId="392623A5" w:rsidR="00367680" w:rsidRPr="00791EFA" w:rsidRDefault="00367680"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Fodor, J.A. (1980). Methodological solipsism considered as a research strategy in cognitive psychology. </w:t>
      </w:r>
      <w:r w:rsidRPr="00791EFA">
        <w:rPr>
          <w:rFonts w:ascii="Garamond" w:hAnsi="Garamond" w:cs="Times New Roman"/>
          <w:i/>
          <w:sz w:val="24"/>
          <w:szCs w:val="24"/>
        </w:rPr>
        <w:t xml:space="preserve">Behavioral and </w:t>
      </w:r>
      <w:r w:rsidR="000F55C9" w:rsidRPr="00791EFA">
        <w:rPr>
          <w:rFonts w:ascii="Garamond" w:hAnsi="Garamond" w:cs="Times New Roman"/>
          <w:i/>
          <w:sz w:val="24"/>
          <w:szCs w:val="24"/>
        </w:rPr>
        <w:t>B</w:t>
      </w:r>
      <w:r w:rsidRPr="00791EFA">
        <w:rPr>
          <w:rFonts w:ascii="Garamond" w:hAnsi="Garamond" w:cs="Times New Roman"/>
          <w:i/>
          <w:sz w:val="24"/>
          <w:szCs w:val="24"/>
        </w:rPr>
        <w:t xml:space="preserve">rain </w:t>
      </w:r>
      <w:r w:rsidR="000F55C9" w:rsidRPr="00791EFA">
        <w:rPr>
          <w:rFonts w:ascii="Garamond" w:hAnsi="Garamond" w:cs="Times New Roman"/>
          <w:i/>
          <w:sz w:val="24"/>
          <w:szCs w:val="24"/>
        </w:rPr>
        <w:t>S</w:t>
      </w:r>
      <w:r w:rsidRPr="00791EFA">
        <w:rPr>
          <w:rFonts w:ascii="Garamond" w:hAnsi="Garamond" w:cs="Times New Roman"/>
          <w:i/>
          <w:sz w:val="24"/>
          <w:szCs w:val="24"/>
        </w:rPr>
        <w:t>ciences</w:t>
      </w:r>
      <w:r w:rsidRPr="00791EFA">
        <w:rPr>
          <w:rFonts w:ascii="Garamond" w:hAnsi="Garamond" w:cs="Times New Roman"/>
          <w:sz w:val="24"/>
          <w:szCs w:val="24"/>
        </w:rPr>
        <w:t>, 3(1), 63</w:t>
      </w:r>
      <w:r w:rsidR="000F55C9" w:rsidRPr="00791EFA">
        <w:rPr>
          <w:rFonts w:ascii="Garamond" w:hAnsi="Garamond" w:cs="Times New Roman"/>
          <w:sz w:val="24"/>
          <w:szCs w:val="24"/>
        </w:rPr>
        <w:t>–</w:t>
      </w:r>
      <w:r w:rsidRPr="00791EFA">
        <w:rPr>
          <w:rFonts w:ascii="Garamond" w:hAnsi="Garamond" w:cs="Times New Roman"/>
          <w:sz w:val="24"/>
          <w:szCs w:val="24"/>
        </w:rPr>
        <w:t>73.</w:t>
      </w:r>
    </w:p>
    <w:p w14:paraId="1824DC9A" w14:textId="5B3A3AB1" w:rsidR="000F55C9" w:rsidRPr="00791EFA" w:rsidRDefault="000F55C9"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Fodor, J.</w:t>
      </w:r>
      <w:r w:rsidR="00F15BD7" w:rsidRPr="00791EFA">
        <w:rPr>
          <w:rFonts w:ascii="Garamond" w:hAnsi="Garamond" w:cs="Times New Roman"/>
          <w:sz w:val="24"/>
          <w:szCs w:val="24"/>
        </w:rPr>
        <w:t>A.</w:t>
      </w:r>
      <w:r w:rsidRPr="00791EFA">
        <w:rPr>
          <w:rFonts w:ascii="Garamond" w:hAnsi="Garamond" w:cs="Times New Roman"/>
          <w:sz w:val="24"/>
          <w:szCs w:val="24"/>
        </w:rPr>
        <w:t xml:space="preserve"> (2003). Hume Variations. Oxford: Oxford University Press.</w:t>
      </w:r>
    </w:p>
    <w:p w14:paraId="0B622E8E" w14:textId="2E2C9AAF" w:rsidR="00B71A55" w:rsidRPr="00791EFA" w:rsidRDefault="00B71A5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Fodor, J.</w:t>
      </w:r>
      <w:r w:rsidR="00F15BD7" w:rsidRPr="00791EFA">
        <w:rPr>
          <w:rFonts w:ascii="Garamond" w:hAnsi="Garamond" w:cs="Times New Roman"/>
          <w:sz w:val="24"/>
          <w:szCs w:val="24"/>
        </w:rPr>
        <w:t>A.</w:t>
      </w:r>
      <w:r w:rsidRPr="00791EFA">
        <w:rPr>
          <w:rFonts w:ascii="Garamond" w:hAnsi="Garamond" w:cs="Times New Roman"/>
          <w:sz w:val="24"/>
          <w:szCs w:val="24"/>
        </w:rPr>
        <w:t xml:space="preserve"> (2008). </w:t>
      </w:r>
      <w:r w:rsidRPr="00791EFA">
        <w:rPr>
          <w:rFonts w:ascii="Garamond" w:hAnsi="Garamond" w:cs="Times New Roman"/>
          <w:i/>
          <w:sz w:val="24"/>
          <w:szCs w:val="24"/>
        </w:rPr>
        <w:t>LOT 2: The Language of Thought Revisited</w:t>
      </w:r>
      <w:r w:rsidRPr="00791EFA">
        <w:rPr>
          <w:rFonts w:ascii="Garamond" w:hAnsi="Garamond" w:cs="Times New Roman"/>
          <w:sz w:val="24"/>
          <w:szCs w:val="24"/>
        </w:rPr>
        <w:t>. Oxford: Oxford University Press.</w:t>
      </w:r>
    </w:p>
    <w:p w14:paraId="39827A91" w14:textId="2D6F1BEF" w:rsidR="00FE4562" w:rsidRPr="00791EFA" w:rsidRDefault="00FE4562"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222222"/>
          <w:sz w:val="24"/>
          <w:szCs w:val="24"/>
          <w:shd w:val="clear" w:color="auto" w:fill="FFFFFF"/>
          <w:lang w:val="en-US"/>
        </w:rPr>
      </w:pPr>
      <w:proofErr w:type="spellStart"/>
      <w:r w:rsidRPr="00791EFA">
        <w:rPr>
          <w:rFonts w:ascii="Garamond" w:eastAsia="Times New Roman" w:hAnsi="Garamond" w:cs="Times New Roman"/>
          <w:color w:val="222222"/>
          <w:sz w:val="24"/>
          <w:szCs w:val="24"/>
          <w:shd w:val="clear" w:color="auto" w:fill="FFFFFF"/>
          <w:lang w:val="en-US"/>
        </w:rPr>
        <w:t>Gallistel</w:t>
      </w:r>
      <w:proofErr w:type="spellEnd"/>
      <w:r w:rsidRPr="00791EFA">
        <w:rPr>
          <w:rFonts w:ascii="Garamond" w:eastAsia="Times New Roman" w:hAnsi="Garamond" w:cs="Times New Roman"/>
          <w:color w:val="222222"/>
          <w:sz w:val="24"/>
          <w:szCs w:val="24"/>
          <w:shd w:val="clear" w:color="auto" w:fill="FFFFFF"/>
          <w:lang w:val="en-US"/>
        </w:rPr>
        <w:t>, C.R. (1990). </w:t>
      </w:r>
      <w:r w:rsidRPr="00791EFA">
        <w:rPr>
          <w:rFonts w:ascii="Garamond" w:eastAsia="Times New Roman" w:hAnsi="Garamond" w:cs="Times New Roman"/>
          <w:i/>
          <w:iCs/>
          <w:color w:val="222222"/>
          <w:sz w:val="24"/>
          <w:szCs w:val="24"/>
          <w:shd w:val="clear" w:color="auto" w:fill="FFFFFF"/>
          <w:lang w:val="en-US"/>
        </w:rPr>
        <w:t xml:space="preserve">The </w:t>
      </w:r>
      <w:r w:rsidR="000F55C9" w:rsidRPr="00791EFA">
        <w:rPr>
          <w:rFonts w:ascii="Garamond" w:eastAsia="Times New Roman" w:hAnsi="Garamond" w:cs="Times New Roman"/>
          <w:i/>
          <w:iCs/>
          <w:color w:val="222222"/>
          <w:sz w:val="24"/>
          <w:szCs w:val="24"/>
          <w:shd w:val="clear" w:color="auto" w:fill="FFFFFF"/>
          <w:lang w:val="en-US"/>
        </w:rPr>
        <w:t>O</w:t>
      </w:r>
      <w:r w:rsidRPr="00791EFA">
        <w:rPr>
          <w:rFonts w:ascii="Garamond" w:eastAsia="Times New Roman" w:hAnsi="Garamond" w:cs="Times New Roman"/>
          <w:i/>
          <w:iCs/>
          <w:color w:val="222222"/>
          <w:sz w:val="24"/>
          <w:szCs w:val="24"/>
          <w:shd w:val="clear" w:color="auto" w:fill="FFFFFF"/>
          <w:lang w:val="en-US"/>
        </w:rPr>
        <w:t xml:space="preserve">rganization of </w:t>
      </w:r>
      <w:r w:rsidR="000F55C9" w:rsidRPr="00791EFA">
        <w:rPr>
          <w:rFonts w:ascii="Garamond" w:eastAsia="Times New Roman" w:hAnsi="Garamond" w:cs="Times New Roman"/>
          <w:i/>
          <w:iCs/>
          <w:color w:val="222222"/>
          <w:sz w:val="24"/>
          <w:szCs w:val="24"/>
          <w:shd w:val="clear" w:color="auto" w:fill="FFFFFF"/>
          <w:lang w:val="en-US"/>
        </w:rPr>
        <w:t>L</w:t>
      </w:r>
      <w:r w:rsidRPr="00791EFA">
        <w:rPr>
          <w:rFonts w:ascii="Garamond" w:eastAsia="Times New Roman" w:hAnsi="Garamond" w:cs="Times New Roman"/>
          <w:i/>
          <w:iCs/>
          <w:color w:val="222222"/>
          <w:sz w:val="24"/>
          <w:szCs w:val="24"/>
          <w:shd w:val="clear" w:color="auto" w:fill="FFFFFF"/>
          <w:lang w:val="en-US"/>
        </w:rPr>
        <w:t>earning</w:t>
      </w:r>
      <w:r w:rsidRPr="00791EFA">
        <w:rPr>
          <w:rFonts w:ascii="Garamond" w:eastAsia="Times New Roman" w:hAnsi="Garamond" w:cs="Times New Roman"/>
          <w:color w:val="222222"/>
          <w:sz w:val="24"/>
          <w:szCs w:val="24"/>
          <w:shd w:val="clear" w:color="auto" w:fill="FFFFFF"/>
          <w:lang w:val="en-US"/>
        </w:rPr>
        <w:t>. Cambridge, MA: MIT press.</w:t>
      </w:r>
    </w:p>
    <w:p w14:paraId="4725B2E6" w14:textId="43C3E9A1" w:rsidR="00FE4562" w:rsidRPr="00791EFA" w:rsidRDefault="00FE4562"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proofErr w:type="spellStart"/>
      <w:r w:rsidRPr="00791EFA">
        <w:rPr>
          <w:rFonts w:ascii="Garamond" w:eastAsia="Times New Roman" w:hAnsi="Garamond" w:cs="Times New Roman"/>
          <w:color w:val="222222"/>
          <w:sz w:val="24"/>
          <w:szCs w:val="24"/>
          <w:shd w:val="clear" w:color="auto" w:fill="FFFFFF"/>
          <w:lang w:val="en-US"/>
        </w:rPr>
        <w:t>Gallistel</w:t>
      </w:r>
      <w:proofErr w:type="spellEnd"/>
      <w:r w:rsidRPr="00791EFA">
        <w:rPr>
          <w:rFonts w:ascii="Garamond" w:eastAsia="Times New Roman" w:hAnsi="Garamond" w:cs="Times New Roman"/>
          <w:color w:val="222222"/>
          <w:sz w:val="24"/>
          <w:szCs w:val="24"/>
          <w:shd w:val="clear" w:color="auto" w:fill="FFFFFF"/>
          <w:lang w:val="en-US"/>
        </w:rPr>
        <w:t>, C.R., &amp; King, A.P. (20</w:t>
      </w:r>
      <w:r w:rsidR="000F55C9" w:rsidRPr="00791EFA">
        <w:rPr>
          <w:rFonts w:ascii="Garamond" w:eastAsia="Times New Roman" w:hAnsi="Garamond" w:cs="Times New Roman"/>
          <w:color w:val="222222"/>
          <w:sz w:val="24"/>
          <w:szCs w:val="24"/>
          <w:shd w:val="clear" w:color="auto" w:fill="FFFFFF"/>
          <w:lang w:val="en-US"/>
        </w:rPr>
        <w:t>09</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 xml:space="preserve">Memory and the </w:t>
      </w:r>
      <w:r w:rsidR="000F55C9" w:rsidRPr="00791EFA">
        <w:rPr>
          <w:rFonts w:ascii="Garamond" w:eastAsia="Times New Roman" w:hAnsi="Garamond" w:cs="Times New Roman"/>
          <w:i/>
          <w:iCs/>
          <w:color w:val="222222"/>
          <w:sz w:val="24"/>
          <w:szCs w:val="24"/>
          <w:shd w:val="clear" w:color="auto" w:fill="FFFFFF"/>
          <w:lang w:val="en-US"/>
        </w:rPr>
        <w:t>C</w:t>
      </w:r>
      <w:r w:rsidRPr="00791EFA">
        <w:rPr>
          <w:rFonts w:ascii="Garamond" w:eastAsia="Times New Roman" w:hAnsi="Garamond" w:cs="Times New Roman"/>
          <w:i/>
          <w:iCs/>
          <w:color w:val="222222"/>
          <w:sz w:val="24"/>
          <w:szCs w:val="24"/>
          <w:shd w:val="clear" w:color="auto" w:fill="FFFFFF"/>
          <w:lang w:val="en-US"/>
        </w:rPr>
        <w:t xml:space="preserve">omputational </w:t>
      </w:r>
      <w:r w:rsidR="000F55C9" w:rsidRPr="00791EFA">
        <w:rPr>
          <w:rFonts w:ascii="Garamond" w:eastAsia="Times New Roman" w:hAnsi="Garamond" w:cs="Times New Roman"/>
          <w:i/>
          <w:iCs/>
          <w:color w:val="222222"/>
          <w:sz w:val="24"/>
          <w:szCs w:val="24"/>
          <w:shd w:val="clear" w:color="auto" w:fill="FFFFFF"/>
          <w:lang w:val="en-US"/>
        </w:rPr>
        <w:t>B</w:t>
      </w:r>
      <w:r w:rsidRPr="00791EFA">
        <w:rPr>
          <w:rFonts w:ascii="Garamond" w:eastAsia="Times New Roman" w:hAnsi="Garamond" w:cs="Times New Roman"/>
          <w:i/>
          <w:iCs/>
          <w:color w:val="222222"/>
          <w:sz w:val="24"/>
          <w:szCs w:val="24"/>
          <w:shd w:val="clear" w:color="auto" w:fill="FFFFFF"/>
          <w:lang w:val="en-US"/>
        </w:rPr>
        <w:t xml:space="preserve">rain: Why </w:t>
      </w:r>
      <w:r w:rsidR="000F55C9" w:rsidRPr="00791EFA">
        <w:rPr>
          <w:rFonts w:ascii="Garamond" w:eastAsia="Times New Roman" w:hAnsi="Garamond" w:cs="Times New Roman"/>
          <w:i/>
          <w:iCs/>
          <w:color w:val="222222"/>
          <w:sz w:val="24"/>
          <w:szCs w:val="24"/>
          <w:shd w:val="clear" w:color="auto" w:fill="FFFFFF"/>
          <w:lang w:val="en-US"/>
        </w:rPr>
        <w:t>C</w:t>
      </w:r>
      <w:r w:rsidRPr="00791EFA">
        <w:rPr>
          <w:rFonts w:ascii="Garamond" w:eastAsia="Times New Roman" w:hAnsi="Garamond" w:cs="Times New Roman"/>
          <w:i/>
          <w:iCs/>
          <w:color w:val="222222"/>
          <w:sz w:val="24"/>
          <w:szCs w:val="24"/>
          <w:shd w:val="clear" w:color="auto" w:fill="FFFFFF"/>
          <w:lang w:val="en-US"/>
        </w:rPr>
        <w:t xml:space="preserve">ognitive </w:t>
      </w:r>
      <w:r w:rsidR="000F55C9" w:rsidRPr="00791EFA">
        <w:rPr>
          <w:rFonts w:ascii="Garamond" w:eastAsia="Times New Roman" w:hAnsi="Garamond" w:cs="Times New Roman"/>
          <w:i/>
          <w:iCs/>
          <w:color w:val="222222"/>
          <w:sz w:val="24"/>
          <w:szCs w:val="24"/>
          <w:shd w:val="clear" w:color="auto" w:fill="FFFFFF"/>
          <w:lang w:val="en-US"/>
        </w:rPr>
        <w:t>S</w:t>
      </w:r>
      <w:r w:rsidRPr="00791EFA">
        <w:rPr>
          <w:rFonts w:ascii="Garamond" w:eastAsia="Times New Roman" w:hAnsi="Garamond" w:cs="Times New Roman"/>
          <w:i/>
          <w:iCs/>
          <w:color w:val="222222"/>
          <w:sz w:val="24"/>
          <w:szCs w:val="24"/>
          <w:shd w:val="clear" w:color="auto" w:fill="FFFFFF"/>
          <w:lang w:val="en-US"/>
        </w:rPr>
        <w:t xml:space="preserve">cience </w:t>
      </w:r>
      <w:r w:rsidR="000F55C9" w:rsidRPr="00791EFA">
        <w:rPr>
          <w:rFonts w:ascii="Garamond" w:eastAsia="Times New Roman" w:hAnsi="Garamond" w:cs="Times New Roman"/>
          <w:i/>
          <w:iCs/>
          <w:color w:val="222222"/>
          <w:sz w:val="24"/>
          <w:szCs w:val="24"/>
          <w:shd w:val="clear" w:color="auto" w:fill="FFFFFF"/>
          <w:lang w:val="en-US"/>
        </w:rPr>
        <w:t>W</w:t>
      </w:r>
      <w:r w:rsidRPr="00791EFA">
        <w:rPr>
          <w:rFonts w:ascii="Garamond" w:eastAsia="Times New Roman" w:hAnsi="Garamond" w:cs="Times New Roman"/>
          <w:i/>
          <w:iCs/>
          <w:color w:val="222222"/>
          <w:sz w:val="24"/>
          <w:szCs w:val="24"/>
          <w:shd w:val="clear" w:color="auto" w:fill="FFFFFF"/>
          <w:lang w:val="en-US"/>
        </w:rPr>
        <w:t xml:space="preserve">ill </w:t>
      </w:r>
      <w:r w:rsidR="000F55C9" w:rsidRPr="00791EFA">
        <w:rPr>
          <w:rFonts w:ascii="Garamond" w:eastAsia="Times New Roman" w:hAnsi="Garamond" w:cs="Times New Roman"/>
          <w:i/>
          <w:iCs/>
          <w:color w:val="222222"/>
          <w:sz w:val="24"/>
          <w:szCs w:val="24"/>
          <w:shd w:val="clear" w:color="auto" w:fill="FFFFFF"/>
          <w:lang w:val="en-US"/>
        </w:rPr>
        <w:t>T</w:t>
      </w:r>
      <w:r w:rsidRPr="00791EFA">
        <w:rPr>
          <w:rFonts w:ascii="Garamond" w:eastAsia="Times New Roman" w:hAnsi="Garamond" w:cs="Times New Roman"/>
          <w:i/>
          <w:iCs/>
          <w:color w:val="222222"/>
          <w:sz w:val="24"/>
          <w:szCs w:val="24"/>
          <w:shd w:val="clear" w:color="auto" w:fill="FFFFFF"/>
          <w:lang w:val="en-US"/>
        </w:rPr>
        <w:t xml:space="preserve">ransform </w:t>
      </w:r>
      <w:r w:rsidR="000F55C9" w:rsidRPr="00791EFA">
        <w:rPr>
          <w:rFonts w:ascii="Garamond" w:eastAsia="Times New Roman" w:hAnsi="Garamond" w:cs="Times New Roman"/>
          <w:i/>
          <w:iCs/>
          <w:color w:val="222222"/>
          <w:sz w:val="24"/>
          <w:szCs w:val="24"/>
          <w:shd w:val="clear" w:color="auto" w:fill="FFFFFF"/>
          <w:lang w:val="en-US"/>
        </w:rPr>
        <w:t>N</w:t>
      </w:r>
      <w:r w:rsidRPr="00791EFA">
        <w:rPr>
          <w:rFonts w:ascii="Garamond" w:eastAsia="Times New Roman" w:hAnsi="Garamond" w:cs="Times New Roman"/>
          <w:i/>
          <w:iCs/>
          <w:color w:val="222222"/>
          <w:sz w:val="24"/>
          <w:szCs w:val="24"/>
          <w:shd w:val="clear" w:color="auto" w:fill="FFFFFF"/>
          <w:lang w:val="en-US"/>
        </w:rPr>
        <w:t>euroscience</w:t>
      </w:r>
      <w:r w:rsidRPr="00791EFA">
        <w:rPr>
          <w:rFonts w:ascii="Garamond" w:eastAsia="Times New Roman" w:hAnsi="Garamond" w:cs="Times New Roman"/>
          <w:color w:val="222222"/>
          <w:sz w:val="24"/>
          <w:szCs w:val="24"/>
          <w:shd w:val="clear" w:color="auto" w:fill="FFFFFF"/>
          <w:lang w:val="en-US"/>
        </w:rPr>
        <w:t xml:space="preserve">. </w:t>
      </w:r>
      <w:r w:rsidR="000F55C9" w:rsidRPr="00791EFA">
        <w:rPr>
          <w:rFonts w:ascii="Garamond" w:eastAsia="Times New Roman" w:hAnsi="Garamond" w:cs="Times New Roman"/>
          <w:color w:val="222222"/>
          <w:sz w:val="24"/>
          <w:szCs w:val="24"/>
          <w:shd w:val="clear" w:color="auto" w:fill="FFFFFF"/>
          <w:lang w:val="en-US"/>
        </w:rPr>
        <w:t xml:space="preserve">West Sussex: </w:t>
      </w:r>
      <w:r w:rsidRPr="00791EFA">
        <w:rPr>
          <w:rFonts w:ascii="Garamond" w:eastAsia="Times New Roman" w:hAnsi="Garamond" w:cs="Times New Roman"/>
          <w:color w:val="222222"/>
          <w:sz w:val="24"/>
          <w:szCs w:val="24"/>
          <w:shd w:val="clear" w:color="auto" w:fill="FFFFFF"/>
          <w:lang w:val="en-US"/>
        </w:rPr>
        <w:t>Wiley</w:t>
      </w:r>
      <w:r w:rsidR="000F55C9" w:rsidRPr="00791EFA">
        <w:rPr>
          <w:rFonts w:ascii="Garamond" w:eastAsia="Times New Roman" w:hAnsi="Garamond" w:cs="Times New Roman"/>
          <w:color w:val="222222"/>
          <w:sz w:val="24"/>
          <w:szCs w:val="24"/>
          <w:shd w:val="clear" w:color="auto" w:fill="FFFFFF"/>
          <w:lang w:val="en-US"/>
        </w:rPr>
        <w:t>-Blackwell</w:t>
      </w:r>
      <w:r w:rsidRPr="00791EFA">
        <w:rPr>
          <w:rFonts w:ascii="Garamond" w:eastAsia="Times New Roman" w:hAnsi="Garamond" w:cs="Times New Roman"/>
          <w:color w:val="222222"/>
          <w:sz w:val="24"/>
          <w:szCs w:val="24"/>
          <w:shd w:val="clear" w:color="auto" w:fill="FFFFFF"/>
          <w:lang w:val="en-US"/>
        </w:rPr>
        <w:t>.</w:t>
      </w:r>
    </w:p>
    <w:p w14:paraId="5706E5C8" w14:textId="76EAFA2D" w:rsidR="00F15BD7" w:rsidRPr="00791EFA" w:rsidRDefault="0038413B"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Glosser, G., Friedman, R.B., Grugan, P.K., Lee, J.H., &amp; Grossman, M. (1998). Lexical semantic and associative priming in Alzheimer's disease. </w:t>
      </w:r>
      <w:r w:rsidRPr="00791EFA">
        <w:rPr>
          <w:rFonts w:ascii="Garamond" w:hAnsi="Garamond" w:cs="Times New Roman"/>
          <w:i/>
          <w:sz w:val="24"/>
          <w:szCs w:val="24"/>
        </w:rPr>
        <w:t>Neuropsychology</w:t>
      </w:r>
      <w:r w:rsidRPr="00791EFA">
        <w:rPr>
          <w:rFonts w:ascii="Garamond" w:hAnsi="Garamond" w:cs="Times New Roman"/>
          <w:sz w:val="24"/>
          <w:szCs w:val="24"/>
        </w:rPr>
        <w:t>, 12(2), 218</w:t>
      </w:r>
      <w:r w:rsidR="000F55C9" w:rsidRPr="00791EFA">
        <w:rPr>
          <w:rFonts w:ascii="Garamond" w:hAnsi="Garamond" w:cs="Times New Roman"/>
          <w:sz w:val="24"/>
          <w:szCs w:val="24"/>
        </w:rPr>
        <w:t>–224</w:t>
      </w:r>
      <w:r w:rsidRPr="00791EFA">
        <w:rPr>
          <w:rFonts w:ascii="Garamond" w:hAnsi="Garamond" w:cs="Times New Roman"/>
          <w:sz w:val="24"/>
          <w:szCs w:val="24"/>
        </w:rPr>
        <w:t>.</w:t>
      </w:r>
    </w:p>
    <w:p w14:paraId="652060AA" w14:textId="7677D11E" w:rsidR="00F15BD7" w:rsidRPr="00791EFA" w:rsidRDefault="00F15BD7"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Green, E.J. (2017). On the perception of structure. </w:t>
      </w:r>
      <w:r w:rsidRPr="00791EFA">
        <w:rPr>
          <w:rFonts w:ascii="Garamond" w:hAnsi="Garamond" w:cs="Times New Roman"/>
          <w:i/>
          <w:sz w:val="24"/>
          <w:szCs w:val="24"/>
        </w:rPr>
        <w:t>Noûs</w:t>
      </w:r>
      <w:r w:rsidRPr="00791EFA">
        <w:rPr>
          <w:rFonts w:ascii="Garamond" w:hAnsi="Garamond" w:cs="Times New Roman"/>
          <w:sz w:val="24"/>
          <w:szCs w:val="24"/>
        </w:rPr>
        <w:t>. DOI: 10.1111/nous.12207.</w:t>
      </w:r>
    </w:p>
    <w:p w14:paraId="6D9E589E" w14:textId="6AE6F57D" w:rsidR="00A01972" w:rsidRPr="00791EFA" w:rsidRDefault="00A01972"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lastRenderedPageBreak/>
        <w:t xml:space="preserve">Green, E.J., &amp; Quilty-Dunn, J. (Forthcoming). What is an object file? </w:t>
      </w:r>
      <w:r w:rsidRPr="00791EFA">
        <w:rPr>
          <w:rFonts w:ascii="Garamond" w:hAnsi="Garamond" w:cs="Times New Roman"/>
          <w:i/>
          <w:sz w:val="24"/>
          <w:szCs w:val="24"/>
        </w:rPr>
        <w:t>British Journal for the Philosophy of Science</w:t>
      </w:r>
      <w:r w:rsidRPr="00791EFA">
        <w:rPr>
          <w:rFonts w:ascii="Garamond" w:hAnsi="Garamond" w:cs="Times New Roman"/>
          <w:sz w:val="24"/>
          <w:szCs w:val="24"/>
        </w:rPr>
        <w:t>.</w:t>
      </w:r>
    </w:p>
    <w:p w14:paraId="02C2E5B3" w14:textId="1F15E7B8" w:rsidR="00EF51B2" w:rsidRPr="00791EFA" w:rsidRDefault="00EF51B2"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Handley, S.J., Newstead, S.E., &amp; Trippas, D. (2011). Logic, beliefs, and instruction: A test of the default interventionist account of belief bias. </w:t>
      </w:r>
      <w:r w:rsidRPr="00791EFA">
        <w:rPr>
          <w:rFonts w:ascii="Garamond" w:eastAsia="Garamond" w:hAnsi="Garamond" w:cs="Times New Roman"/>
          <w:i/>
          <w:sz w:val="24"/>
          <w:szCs w:val="24"/>
        </w:rPr>
        <w:t>Journal of Experimental Psychology: Learning, Memory, and Cognition</w:t>
      </w:r>
      <w:r w:rsidRPr="00791EFA">
        <w:rPr>
          <w:rFonts w:ascii="Garamond" w:eastAsia="Garamond" w:hAnsi="Garamond" w:cs="Times New Roman"/>
          <w:sz w:val="24"/>
          <w:szCs w:val="24"/>
        </w:rPr>
        <w:t>, 37(1), 28</w:t>
      </w:r>
      <w:r w:rsidR="000F55C9" w:rsidRPr="00791EFA">
        <w:rPr>
          <w:rFonts w:ascii="Garamond" w:eastAsia="Garamond" w:hAnsi="Garamond" w:cs="Times New Roman"/>
          <w:sz w:val="24"/>
          <w:szCs w:val="24"/>
        </w:rPr>
        <w:t>–43</w:t>
      </w:r>
      <w:r w:rsidRPr="00791EFA">
        <w:rPr>
          <w:rFonts w:ascii="Garamond" w:eastAsia="Garamond" w:hAnsi="Garamond" w:cs="Times New Roman"/>
          <w:sz w:val="24"/>
          <w:szCs w:val="24"/>
        </w:rPr>
        <w:t>.</w:t>
      </w:r>
    </w:p>
    <w:p w14:paraId="6269F28F" w14:textId="6815C23A" w:rsidR="0030531A" w:rsidRPr="00791EFA" w:rsidRDefault="007A36FA"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Haugeland, J. (1998). Representational genera. In his </w:t>
      </w:r>
      <w:r w:rsidRPr="00791EFA">
        <w:rPr>
          <w:rFonts w:ascii="Garamond" w:eastAsia="Garamond" w:hAnsi="Garamond" w:cs="Times New Roman"/>
          <w:i/>
          <w:sz w:val="24"/>
          <w:szCs w:val="24"/>
        </w:rPr>
        <w:t>Having Thought: Essays in the Metaphysics of Mind</w:t>
      </w:r>
      <w:r w:rsidRPr="00791EFA">
        <w:rPr>
          <w:rFonts w:ascii="Garamond" w:eastAsia="Garamond" w:hAnsi="Garamond" w:cs="Times New Roman"/>
          <w:sz w:val="24"/>
          <w:szCs w:val="24"/>
        </w:rPr>
        <w:t xml:space="preserve"> (Cambridge, MA: Harvard University Press), 171–206.</w:t>
      </w:r>
    </w:p>
    <w:p w14:paraId="4D7703CA" w14:textId="6090B108" w:rsidR="007122FB" w:rsidRPr="00791EFA" w:rsidRDefault="00EC2D6A"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Hogan, D.E., &amp; Zentall, T.R. (1977). Backward associations in the pigeon. </w:t>
      </w:r>
      <w:r w:rsidRPr="00791EFA">
        <w:rPr>
          <w:rFonts w:ascii="Garamond" w:eastAsia="Garamond" w:hAnsi="Garamond" w:cs="Times New Roman"/>
          <w:i/>
          <w:sz w:val="24"/>
          <w:szCs w:val="24"/>
        </w:rPr>
        <w:t>The American Journal of Psychology,</w:t>
      </w:r>
      <w:r w:rsidRPr="00791EFA">
        <w:rPr>
          <w:rFonts w:ascii="Garamond" w:eastAsia="Garamond" w:hAnsi="Garamond" w:cs="Times New Roman"/>
          <w:sz w:val="24"/>
          <w:szCs w:val="24"/>
        </w:rPr>
        <w:t xml:space="preserve"> 3</w:t>
      </w:r>
      <w:r w:rsidR="000F55C9" w:rsidRPr="00791EFA">
        <w:rPr>
          <w:rFonts w:ascii="Garamond" w:eastAsia="Garamond" w:hAnsi="Garamond" w:cs="Times New Roman"/>
          <w:sz w:val="24"/>
          <w:szCs w:val="24"/>
        </w:rPr>
        <w:t>–</w:t>
      </w:r>
      <w:r w:rsidRPr="00791EFA">
        <w:rPr>
          <w:rFonts w:ascii="Garamond" w:eastAsia="Garamond" w:hAnsi="Garamond" w:cs="Times New Roman"/>
          <w:sz w:val="24"/>
          <w:szCs w:val="24"/>
        </w:rPr>
        <w:t>15.</w:t>
      </w:r>
    </w:p>
    <w:p w14:paraId="50ECDD44" w14:textId="5DF6ACEC" w:rsidR="00F15BD7" w:rsidRPr="00791EFA" w:rsidRDefault="00F15BD7"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rPr>
        <w:t xml:space="preserve">Hummel, J.E. (2013). Object recognition. In D. Reisburg (ed.), </w:t>
      </w:r>
      <w:r w:rsidRPr="00791EFA">
        <w:rPr>
          <w:rFonts w:ascii="Garamond" w:eastAsia="Garamond" w:hAnsi="Garamond" w:cs="Times New Roman"/>
          <w:i/>
          <w:sz w:val="24"/>
          <w:szCs w:val="24"/>
        </w:rPr>
        <w:t>Oxford Handbook of Cognitive Psychology</w:t>
      </w:r>
      <w:r w:rsidR="00D17EA5" w:rsidRPr="00791EFA">
        <w:rPr>
          <w:rFonts w:ascii="Garamond" w:eastAsia="Garamond" w:hAnsi="Garamond" w:cs="Times New Roman"/>
          <w:sz w:val="24"/>
          <w:szCs w:val="24"/>
        </w:rPr>
        <w:t xml:space="preserve"> (Oxford: Oxford University Press), </w:t>
      </w:r>
      <w:r w:rsidRPr="00791EFA">
        <w:rPr>
          <w:rFonts w:ascii="Garamond" w:eastAsia="Garamond" w:hAnsi="Garamond" w:cs="Times New Roman"/>
          <w:sz w:val="24"/>
          <w:szCs w:val="24"/>
        </w:rPr>
        <w:t>32</w:t>
      </w:r>
      <w:r w:rsidR="00D17EA5" w:rsidRPr="00791EFA">
        <w:rPr>
          <w:rFonts w:ascii="Garamond" w:eastAsia="Garamond" w:hAnsi="Garamond" w:cs="Times New Roman"/>
          <w:sz w:val="24"/>
          <w:szCs w:val="24"/>
        </w:rPr>
        <w:t>–</w:t>
      </w:r>
      <w:r w:rsidRPr="00791EFA">
        <w:rPr>
          <w:rFonts w:ascii="Garamond" w:eastAsia="Garamond" w:hAnsi="Garamond" w:cs="Times New Roman"/>
          <w:sz w:val="24"/>
          <w:szCs w:val="24"/>
        </w:rPr>
        <w:t>46</w:t>
      </w:r>
      <w:r w:rsidR="00D17EA5" w:rsidRPr="00791EFA">
        <w:rPr>
          <w:rFonts w:ascii="Garamond" w:eastAsia="Garamond" w:hAnsi="Garamond" w:cs="Times New Roman"/>
          <w:sz w:val="24"/>
          <w:szCs w:val="24"/>
        </w:rPr>
        <w:t>.</w:t>
      </w:r>
    </w:p>
    <w:p w14:paraId="785361F8" w14:textId="06B1A42C" w:rsidR="009A2BAB" w:rsidRPr="00791EFA" w:rsidRDefault="009A2BAB" w:rsidP="00C86BD1">
      <w:pPr>
        <w:spacing w:after="120" w:line="480" w:lineRule="auto"/>
        <w:ind w:left="720" w:hanging="720"/>
        <w:contextualSpacing/>
        <w:rPr>
          <w:rFonts w:ascii="Garamond" w:eastAsia="Garamond" w:hAnsi="Garamond" w:cs="Times New Roman"/>
          <w:sz w:val="24"/>
          <w:szCs w:val="24"/>
        </w:rPr>
      </w:pPr>
      <w:r w:rsidRPr="00791EFA">
        <w:rPr>
          <w:rFonts w:ascii="Garamond" w:eastAsia="Garamond" w:hAnsi="Garamond" w:cs="Times New Roman"/>
          <w:sz w:val="24"/>
          <w:szCs w:val="24"/>
          <w:lang w:val="nb-NO"/>
        </w:rPr>
        <w:t xml:space="preserve">Kosslyn, S.M., Ball, T.M., &amp; Reiser, B.J. (1978). </w:t>
      </w:r>
      <w:r w:rsidRPr="00791EFA">
        <w:rPr>
          <w:rFonts w:ascii="Garamond" w:eastAsia="Garamond" w:hAnsi="Garamond" w:cs="Times New Roman"/>
          <w:sz w:val="24"/>
          <w:szCs w:val="24"/>
        </w:rPr>
        <w:t xml:space="preserve">Visual images preserve metric spatial information: Evidence from studies of image scanning. </w:t>
      </w:r>
      <w:r w:rsidRPr="00791EFA">
        <w:rPr>
          <w:rFonts w:ascii="Garamond" w:eastAsia="Garamond" w:hAnsi="Garamond" w:cs="Times New Roman"/>
          <w:i/>
          <w:sz w:val="24"/>
          <w:szCs w:val="24"/>
        </w:rPr>
        <w:t>Journal of Experimental Psychology: Human Perception and Performance</w:t>
      </w:r>
      <w:r w:rsidRPr="00791EFA">
        <w:rPr>
          <w:rFonts w:ascii="Garamond" w:eastAsia="Garamond" w:hAnsi="Garamond" w:cs="Times New Roman"/>
          <w:sz w:val="24"/>
          <w:szCs w:val="24"/>
        </w:rPr>
        <w:t xml:space="preserve"> 4(1), 47–60.</w:t>
      </w:r>
    </w:p>
    <w:p w14:paraId="7B0DBB13" w14:textId="6BC3EDB7" w:rsidR="005C3D0E" w:rsidRPr="00791EFA" w:rsidRDefault="005C3D0E"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Kosslyn, S.M. (1980). </w:t>
      </w:r>
      <w:r w:rsidRPr="00791EFA">
        <w:rPr>
          <w:rFonts w:ascii="Garamond" w:hAnsi="Garamond" w:cs="Times New Roman"/>
          <w:i/>
          <w:sz w:val="24"/>
          <w:szCs w:val="24"/>
        </w:rPr>
        <w:t>Image and Mind</w:t>
      </w:r>
      <w:r w:rsidRPr="00791EFA">
        <w:rPr>
          <w:rFonts w:ascii="Garamond" w:hAnsi="Garamond" w:cs="Times New Roman"/>
          <w:sz w:val="24"/>
          <w:szCs w:val="24"/>
        </w:rPr>
        <w:t xml:space="preserve">. </w:t>
      </w:r>
      <w:r w:rsidR="00FD6847" w:rsidRPr="00791EFA">
        <w:rPr>
          <w:rFonts w:ascii="Garamond" w:hAnsi="Garamond" w:cs="Times New Roman"/>
          <w:sz w:val="24"/>
          <w:szCs w:val="24"/>
        </w:rPr>
        <w:t xml:space="preserve">Cambridge, MA: </w:t>
      </w:r>
      <w:r w:rsidRPr="00791EFA">
        <w:rPr>
          <w:rFonts w:ascii="Garamond" w:hAnsi="Garamond" w:cs="Times New Roman"/>
          <w:sz w:val="24"/>
          <w:szCs w:val="24"/>
        </w:rPr>
        <w:t>Harvard University Press.</w:t>
      </w:r>
    </w:p>
    <w:p w14:paraId="1B253D63" w14:textId="0959BC9F" w:rsidR="005C3D0E" w:rsidRPr="00791EFA" w:rsidRDefault="007122FB"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Kosslyn, S.M. (1994). </w:t>
      </w:r>
      <w:r w:rsidRPr="00791EFA">
        <w:rPr>
          <w:rFonts w:ascii="Garamond" w:hAnsi="Garamond" w:cs="Times New Roman"/>
          <w:i/>
          <w:sz w:val="24"/>
          <w:szCs w:val="24"/>
        </w:rPr>
        <w:t>Image and Brain</w:t>
      </w:r>
      <w:r w:rsidRPr="00791EFA">
        <w:rPr>
          <w:rFonts w:ascii="Garamond" w:hAnsi="Garamond" w:cs="Times New Roman"/>
          <w:sz w:val="24"/>
          <w:szCs w:val="24"/>
        </w:rPr>
        <w:t>. Cambridge, MA: MIT Press.</w:t>
      </w:r>
    </w:p>
    <w:p w14:paraId="2542AF5F" w14:textId="011028AB" w:rsidR="00AB08B5" w:rsidRPr="00791EFA" w:rsidRDefault="00AB08B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Kripke, S.A. (1982). </w:t>
      </w:r>
      <w:r w:rsidRPr="00791EFA">
        <w:rPr>
          <w:rFonts w:ascii="Garamond" w:hAnsi="Garamond" w:cs="Times New Roman"/>
          <w:i/>
          <w:sz w:val="24"/>
          <w:szCs w:val="24"/>
        </w:rPr>
        <w:t xml:space="preserve">Wittgenstein on </w:t>
      </w:r>
      <w:r w:rsidR="00FD6847" w:rsidRPr="00791EFA">
        <w:rPr>
          <w:rFonts w:ascii="Garamond" w:hAnsi="Garamond" w:cs="Times New Roman"/>
          <w:i/>
          <w:sz w:val="24"/>
          <w:szCs w:val="24"/>
        </w:rPr>
        <w:t>R</w:t>
      </w:r>
      <w:r w:rsidRPr="00791EFA">
        <w:rPr>
          <w:rFonts w:ascii="Garamond" w:hAnsi="Garamond" w:cs="Times New Roman"/>
          <w:i/>
          <w:sz w:val="24"/>
          <w:szCs w:val="24"/>
        </w:rPr>
        <w:t xml:space="preserve">ules and </w:t>
      </w:r>
      <w:r w:rsidR="00FD6847" w:rsidRPr="00791EFA">
        <w:rPr>
          <w:rFonts w:ascii="Garamond" w:hAnsi="Garamond" w:cs="Times New Roman"/>
          <w:i/>
          <w:sz w:val="24"/>
          <w:szCs w:val="24"/>
        </w:rPr>
        <w:t>P</w:t>
      </w:r>
      <w:r w:rsidRPr="00791EFA">
        <w:rPr>
          <w:rFonts w:ascii="Garamond" w:hAnsi="Garamond" w:cs="Times New Roman"/>
          <w:i/>
          <w:sz w:val="24"/>
          <w:szCs w:val="24"/>
        </w:rPr>
        <w:t xml:space="preserve">rivate </w:t>
      </w:r>
      <w:r w:rsidR="00FD6847" w:rsidRPr="00791EFA">
        <w:rPr>
          <w:rFonts w:ascii="Garamond" w:hAnsi="Garamond" w:cs="Times New Roman"/>
          <w:i/>
          <w:sz w:val="24"/>
          <w:szCs w:val="24"/>
        </w:rPr>
        <w:t>L</w:t>
      </w:r>
      <w:r w:rsidRPr="00791EFA">
        <w:rPr>
          <w:rFonts w:ascii="Garamond" w:hAnsi="Garamond" w:cs="Times New Roman"/>
          <w:i/>
          <w:sz w:val="24"/>
          <w:szCs w:val="24"/>
        </w:rPr>
        <w:t xml:space="preserve">anguage: An </w:t>
      </w:r>
      <w:r w:rsidR="00FD6847" w:rsidRPr="00791EFA">
        <w:rPr>
          <w:rFonts w:ascii="Garamond" w:hAnsi="Garamond" w:cs="Times New Roman"/>
          <w:i/>
          <w:sz w:val="24"/>
          <w:szCs w:val="24"/>
        </w:rPr>
        <w:t>E</w:t>
      </w:r>
      <w:r w:rsidRPr="00791EFA">
        <w:rPr>
          <w:rFonts w:ascii="Garamond" w:hAnsi="Garamond" w:cs="Times New Roman"/>
          <w:i/>
          <w:sz w:val="24"/>
          <w:szCs w:val="24"/>
        </w:rPr>
        <w:t xml:space="preserve">lementary </w:t>
      </w:r>
      <w:r w:rsidR="00FD6847" w:rsidRPr="00791EFA">
        <w:rPr>
          <w:rFonts w:ascii="Garamond" w:hAnsi="Garamond" w:cs="Times New Roman"/>
          <w:i/>
          <w:sz w:val="24"/>
          <w:szCs w:val="24"/>
        </w:rPr>
        <w:t>E</w:t>
      </w:r>
      <w:r w:rsidRPr="00791EFA">
        <w:rPr>
          <w:rFonts w:ascii="Garamond" w:hAnsi="Garamond" w:cs="Times New Roman"/>
          <w:i/>
          <w:sz w:val="24"/>
          <w:szCs w:val="24"/>
        </w:rPr>
        <w:t>xposition</w:t>
      </w:r>
      <w:r w:rsidRPr="00791EFA">
        <w:rPr>
          <w:rFonts w:ascii="Garamond" w:hAnsi="Garamond" w:cs="Times New Roman"/>
          <w:sz w:val="24"/>
          <w:szCs w:val="24"/>
        </w:rPr>
        <w:t xml:space="preserve">. </w:t>
      </w:r>
      <w:r w:rsidR="00FD6847" w:rsidRPr="00791EFA">
        <w:rPr>
          <w:rFonts w:ascii="Garamond" w:hAnsi="Garamond" w:cs="Times New Roman"/>
          <w:sz w:val="24"/>
          <w:szCs w:val="24"/>
        </w:rPr>
        <w:t xml:space="preserve">Cambridge, MA: </w:t>
      </w:r>
      <w:r w:rsidRPr="00791EFA">
        <w:rPr>
          <w:rFonts w:ascii="Garamond" w:hAnsi="Garamond" w:cs="Times New Roman"/>
          <w:sz w:val="24"/>
          <w:szCs w:val="24"/>
        </w:rPr>
        <w:t>Harvard University Press.</w:t>
      </w:r>
    </w:p>
    <w:p w14:paraId="7C136180" w14:textId="669F4C08" w:rsidR="00AB08B5" w:rsidRPr="00791EFA" w:rsidRDefault="00AB08B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Lamme, V.A. (2003). Why visual attention and awareness are different. </w:t>
      </w:r>
      <w:r w:rsidRPr="00791EFA">
        <w:rPr>
          <w:rFonts w:ascii="Garamond" w:hAnsi="Garamond" w:cs="Times New Roman"/>
          <w:i/>
          <w:sz w:val="24"/>
          <w:szCs w:val="24"/>
        </w:rPr>
        <w:t xml:space="preserve">Trends in </w:t>
      </w:r>
      <w:r w:rsidR="00FD6847" w:rsidRPr="00791EFA">
        <w:rPr>
          <w:rFonts w:ascii="Garamond" w:hAnsi="Garamond" w:cs="Times New Roman"/>
          <w:i/>
          <w:sz w:val="24"/>
          <w:szCs w:val="24"/>
        </w:rPr>
        <w:t>C</w:t>
      </w:r>
      <w:r w:rsidRPr="00791EFA">
        <w:rPr>
          <w:rFonts w:ascii="Garamond" w:hAnsi="Garamond" w:cs="Times New Roman"/>
          <w:i/>
          <w:sz w:val="24"/>
          <w:szCs w:val="24"/>
        </w:rPr>
        <w:t xml:space="preserve">ognitive </w:t>
      </w:r>
      <w:r w:rsidR="00FD6847" w:rsidRPr="00791EFA">
        <w:rPr>
          <w:rFonts w:ascii="Garamond" w:hAnsi="Garamond" w:cs="Times New Roman"/>
          <w:i/>
          <w:sz w:val="24"/>
          <w:szCs w:val="24"/>
        </w:rPr>
        <w:t>S</w:t>
      </w:r>
      <w:r w:rsidRPr="00791EFA">
        <w:rPr>
          <w:rFonts w:ascii="Garamond" w:hAnsi="Garamond" w:cs="Times New Roman"/>
          <w:i/>
          <w:sz w:val="24"/>
          <w:szCs w:val="24"/>
        </w:rPr>
        <w:t>ciences</w:t>
      </w:r>
      <w:r w:rsidRPr="00791EFA">
        <w:rPr>
          <w:rFonts w:ascii="Garamond" w:hAnsi="Garamond" w:cs="Times New Roman"/>
          <w:sz w:val="24"/>
          <w:szCs w:val="24"/>
        </w:rPr>
        <w:t>, 7(1), 12</w:t>
      </w:r>
      <w:r w:rsidR="00FD6847" w:rsidRPr="00791EFA">
        <w:rPr>
          <w:rFonts w:ascii="Garamond" w:hAnsi="Garamond" w:cs="Times New Roman"/>
          <w:sz w:val="24"/>
          <w:szCs w:val="24"/>
        </w:rPr>
        <w:t>–</w:t>
      </w:r>
      <w:r w:rsidRPr="00791EFA">
        <w:rPr>
          <w:rFonts w:ascii="Garamond" w:hAnsi="Garamond" w:cs="Times New Roman"/>
          <w:sz w:val="24"/>
          <w:szCs w:val="24"/>
        </w:rPr>
        <w:t>18.</w:t>
      </w:r>
    </w:p>
    <w:p w14:paraId="742FBF34" w14:textId="0572F98A" w:rsidR="00A61897" w:rsidRPr="00791EFA" w:rsidRDefault="00A61897"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Lieberman, D., Tooby, J., &amp; Cosmides, L. (2007). The architecture of human kin detection. </w:t>
      </w:r>
      <w:r w:rsidRPr="00791EFA">
        <w:rPr>
          <w:rFonts w:ascii="Garamond" w:hAnsi="Garamond" w:cs="Times New Roman"/>
          <w:i/>
          <w:sz w:val="24"/>
          <w:szCs w:val="24"/>
        </w:rPr>
        <w:t>Nature</w:t>
      </w:r>
      <w:r w:rsidRPr="00791EFA">
        <w:rPr>
          <w:rFonts w:ascii="Garamond" w:hAnsi="Garamond" w:cs="Times New Roman"/>
          <w:sz w:val="24"/>
          <w:szCs w:val="24"/>
        </w:rPr>
        <w:t>, 445(7129), 727</w:t>
      </w:r>
      <w:r w:rsidR="00FD6847" w:rsidRPr="00791EFA">
        <w:rPr>
          <w:rFonts w:ascii="Garamond" w:hAnsi="Garamond" w:cs="Times New Roman"/>
          <w:sz w:val="24"/>
          <w:szCs w:val="24"/>
        </w:rPr>
        <w:t>–731</w:t>
      </w:r>
      <w:r w:rsidRPr="00791EFA">
        <w:rPr>
          <w:rFonts w:ascii="Garamond" w:hAnsi="Garamond" w:cs="Times New Roman"/>
          <w:sz w:val="24"/>
          <w:szCs w:val="24"/>
        </w:rPr>
        <w:t>.</w:t>
      </w:r>
    </w:p>
    <w:p w14:paraId="4CEC439B" w14:textId="77777777" w:rsidR="00D8210F" w:rsidRPr="00791EFA" w:rsidRDefault="00D8210F" w:rsidP="00C86BD1">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Garamond" w:eastAsia="Times New Roman" w:hAnsi="Garamond" w:cs="Times New Roman"/>
          <w:color w:val="222222"/>
          <w:sz w:val="24"/>
          <w:szCs w:val="24"/>
          <w:shd w:val="clear" w:color="auto" w:fill="FFFFFF"/>
          <w:lang w:val="en-US"/>
        </w:rPr>
      </w:pPr>
      <w:r w:rsidRPr="00791EFA">
        <w:rPr>
          <w:rFonts w:ascii="Garamond" w:eastAsia="Times New Roman" w:hAnsi="Garamond" w:cs="Times New Roman"/>
          <w:color w:val="222222"/>
          <w:sz w:val="24"/>
          <w:szCs w:val="24"/>
          <w:shd w:val="clear" w:color="auto" w:fill="FFFFFF"/>
          <w:lang w:val="en-US"/>
        </w:rPr>
        <w:t xml:space="preserve">MacGregor, L. J., </w:t>
      </w:r>
      <w:proofErr w:type="spellStart"/>
      <w:r w:rsidRPr="00791EFA">
        <w:rPr>
          <w:rFonts w:ascii="Garamond" w:eastAsia="Times New Roman" w:hAnsi="Garamond" w:cs="Times New Roman"/>
          <w:color w:val="222222"/>
          <w:sz w:val="24"/>
          <w:szCs w:val="24"/>
          <w:shd w:val="clear" w:color="auto" w:fill="FFFFFF"/>
          <w:lang w:val="en-US"/>
        </w:rPr>
        <w:t>Bouwsema</w:t>
      </w:r>
      <w:proofErr w:type="spellEnd"/>
      <w:r w:rsidRPr="00791EFA">
        <w:rPr>
          <w:rFonts w:ascii="Garamond" w:eastAsia="Times New Roman" w:hAnsi="Garamond" w:cs="Times New Roman"/>
          <w:color w:val="222222"/>
          <w:sz w:val="24"/>
          <w:szCs w:val="24"/>
          <w:shd w:val="clear" w:color="auto" w:fill="FFFFFF"/>
          <w:lang w:val="en-US"/>
        </w:rPr>
        <w:t xml:space="preserve">, J., &amp; </w:t>
      </w:r>
      <w:proofErr w:type="spellStart"/>
      <w:r w:rsidRPr="00791EFA">
        <w:rPr>
          <w:rFonts w:ascii="Garamond" w:eastAsia="Times New Roman" w:hAnsi="Garamond" w:cs="Times New Roman"/>
          <w:color w:val="222222"/>
          <w:sz w:val="24"/>
          <w:szCs w:val="24"/>
          <w:shd w:val="clear" w:color="auto" w:fill="FFFFFF"/>
          <w:lang w:val="en-US"/>
        </w:rPr>
        <w:t>Klepousniotou</w:t>
      </w:r>
      <w:proofErr w:type="spellEnd"/>
      <w:r w:rsidRPr="00791EFA">
        <w:rPr>
          <w:rFonts w:ascii="Garamond" w:eastAsia="Times New Roman" w:hAnsi="Garamond" w:cs="Times New Roman"/>
          <w:color w:val="222222"/>
          <w:sz w:val="24"/>
          <w:szCs w:val="24"/>
          <w:shd w:val="clear" w:color="auto" w:fill="FFFFFF"/>
          <w:lang w:val="en-US"/>
        </w:rPr>
        <w:t xml:space="preserve">, E. (2015). Sustained meaning activation for </w:t>
      </w:r>
    </w:p>
    <w:p w14:paraId="0F0A78A3" w14:textId="77777777" w:rsidR="00F64FBF" w:rsidRPr="00791EFA" w:rsidRDefault="00D8210F" w:rsidP="00F64FBF">
      <w:pPr>
        <w:pBdr>
          <w:top w:val="none" w:sz="0" w:space="0" w:color="auto"/>
          <w:left w:val="none" w:sz="0" w:space="0" w:color="auto"/>
          <w:bottom w:val="none" w:sz="0" w:space="0" w:color="auto"/>
          <w:right w:val="none" w:sz="0" w:space="0" w:color="auto"/>
          <w:between w:val="none" w:sz="0" w:space="0" w:color="auto"/>
        </w:pBdr>
        <w:spacing w:line="480" w:lineRule="auto"/>
        <w:ind w:firstLine="720"/>
        <w:contextualSpacing/>
        <w:rPr>
          <w:rFonts w:ascii="Garamond" w:eastAsia="Times New Roman" w:hAnsi="Garamond" w:cs="Times New Roman"/>
          <w:color w:val="222222"/>
          <w:sz w:val="24"/>
          <w:szCs w:val="24"/>
          <w:shd w:val="clear" w:color="auto" w:fill="FFFFFF"/>
          <w:lang w:val="en-US"/>
        </w:rPr>
      </w:pPr>
      <w:r w:rsidRPr="00791EFA">
        <w:rPr>
          <w:rFonts w:ascii="Garamond" w:eastAsia="Times New Roman" w:hAnsi="Garamond" w:cs="Times New Roman"/>
          <w:color w:val="222222"/>
          <w:sz w:val="24"/>
          <w:szCs w:val="24"/>
          <w:shd w:val="clear" w:color="auto" w:fill="FFFFFF"/>
          <w:lang w:val="en-US"/>
        </w:rPr>
        <w:t>polysemous but not homonymous words: Evidence from EEG. </w:t>
      </w:r>
      <w:proofErr w:type="spellStart"/>
      <w:r w:rsidRPr="00791EFA">
        <w:rPr>
          <w:rFonts w:ascii="Garamond" w:eastAsia="Times New Roman" w:hAnsi="Garamond" w:cs="Times New Roman"/>
          <w:i/>
          <w:iCs/>
          <w:color w:val="222222"/>
          <w:sz w:val="24"/>
          <w:szCs w:val="24"/>
          <w:shd w:val="clear" w:color="auto" w:fill="FFFFFF"/>
          <w:lang w:val="en-US"/>
        </w:rPr>
        <w:t>Neuropsychologia</w:t>
      </w:r>
      <w:proofErr w:type="spellEnd"/>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68</w:t>
      </w:r>
      <w:r w:rsidRPr="00791EFA">
        <w:rPr>
          <w:rFonts w:ascii="Garamond" w:eastAsia="Times New Roman" w:hAnsi="Garamond" w:cs="Times New Roman"/>
          <w:color w:val="222222"/>
          <w:sz w:val="24"/>
          <w:szCs w:val="24"/>
          <w:shd w:val="clear" w:color="auto" w:fill="FFFFFF"/>
          <w:lang w:val="en-US"/>
        </w:rPr>
        <w:t xml:space="preserve">, </w:t>
      </w:r>
    </w:p>
    <w:p w14:paraId="3E6BB8F4" w14:textId="1FC2B65F" w:rsidR="00D8210F" w:rsidRPr="00791EFA" w:rsidRDefault="00D8210F" w:rsidP="00F64FBF">
      <w:pPr>
        <w:pBdr>
          <w:top w:val="none" w:sz="0" w:space="0" w:color="auto"/>
          <w:left w:val="none" w:sz="0" w:space="0" w:color="auto"/>
          <w:bottom w:val="none" w:sz="0" w:space="0" w:color="auto"/>
          <w:right w:val="none" w:sz="0" w:space="0" w:color="auto"/>
          <w:between w:val="none" w:sz="0" w:space="0" w:color="auto"/>
        </w:pBdr>
        <w:spacing w:line="480" w:lineRule="auto"/>
        <w:ind w:firstLine="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lastRenderedPageBreak/>
        <w:t>126-138.</w:t>
      </w:r>
    </w:p>
    <w:p w14:paraId="405D48BE" w14:textId="5139FB11" w:rsidR="00EB6EB2" w:rsidRPr="00791EFA" w:rsidRDefault="00EB6EB2" w:rsidP="00F64FBF">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Mandelbaum, E. (2015). Associationist theories of thought. The Stanford encyclopedia of philosophy.</w:t>
      </w:r>
    </w:p>
    <w:p w14:paraId="5DAF45A5" w14:textId="684E6CA4" w:rsidR="00EB6EB2" w:rsidRPr="00791EFA" w:rsidRDefault="00EB6EB2" w:rsidP="00F64FBF">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Mandelbaum, E. (2016). Attitude, inference, association: On the propositional structure of implicit bias. </w:t>
      </w:r>
      <w:r w:rsidRPr="00791EFA">
        <w:rPr>
          <w:rFonts w:ascii="Garamond" w:hAnsi="Garamond" w:cs="Times New Roman"/>
          <w:i/>
          <w:sz w:val="24"/>
          <w:szCs w:val="24"/>
        </w:rPr>
        <w:t>Noûs</w:t>
      </w:r>
      <w:r w:rsidRPr="00791EFA">
        <w:rPr>
          <w:rFonts w:ascii="Garamond" w:hAnsi="Garamond" w:cs="Times New Roman"/>
          <w:sz w:val="24"/>
          <w:szCs w:val="24"/>
        </w:rPr>
        <w:t>, 50(3), 629</w:t>
      </w:r>
      <w:r w:rsidR="00FD6847" w:rsidRPr="00791EFA">
        <w:rPr>
          <w:rFonts w:ascii="Garamond" w:hAnsi="Garamond" w:cs="Times New Roman"/>
          <w:sz w:val="24"/>
          <w:szCs w:val="24"/>
        </w:rPr>
        <w:t>–</w:t>
      </w:r>
      <w:r w:rsidRPr="00791EFA">
        <w:rPr>
          <w:rFonts w:ascii="Garamond" w:hAnsi="Garamond" w:cs="Times New Roman"/>
          <w:sz w:val="24"/>
          <w:szCs w:val="24"/>
        </w:rPr>
        <w:t>658.</w:t>
      </w:r>
    </w:p>
    <w:p w14:paraId="6C357E46" w14:textId="3856DD61" w:rsidR="00F64FBF" w:rsidRPr="00791EFA" w:rsidRDefault="00F64FBF" w:rsidP="00F64FBF">
      <w:pPr>
        <w:spacing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Mandelbaum, E (2018). Troubles with Bayesianism: An </w:t>
      </w:r>
      <w:r w:rsidR="00A01972" w:rsidRPr="00791EFA">
        <w:rPr>
          <w:rFonts w:ascii="Garamond" w:hAnsi="Garamond" w:cs="Times New Roman"/>
          <w:sz w:val="24"/>
          <w:szCs w:val="24"/>
        </w:rPr>
        <w:t>i</w:t>
      </w:r>
      <w:r w:rsidRPr="00791EFA">
        <w:rPr>
          <w:rFonts w:ascii="Garamond" w:hAnsi="Garamond" w:cs="Times New Roman"/>
          <w:sz w:val="24"/>
          <w:szCs w:val="24"/>
        </w:rPr>
        <w:t xml:space="preserve">ntroduction to the </w:t>
      </w:r>
      <w:r w:rsidR="00A01972" w:rsidRPr="00791EFA">
        <w:rPr>
          <w:rFonts w:ascii="Garamond" w:hAnsi="Garamond" w:cs="Times New Roman"/>
          <w:sz w:val="24"/>
          <w:szCs w:val="24"/>
        </w:rPr>
        <w:t>p</w:t>
      </w:r>
      <w:r w:rsidRPr="00791EFA">
        <w:rPr>
          <w:rFonts w:ascii="Garamond" w:hAnsi="Garamond" w:cs="Times New Roman"/>
          <w:sz w:val="24"/>
          <w:szCs w:val="24"/>
        </w:rPr>
        <w:t xml:space="preserve">sychological </w:t>
      </w:r>
      <w:r w:rsidR="00A01972" w:rsidRPr="00791EFA">
        <w:rPr>
          <w:rFonts w:ascii="Garamond" w:hAnsi="Garamond" w:cs="Times New Roman"/>
          <w:sz w:val="24"/>
          <w:szCs w:val="24"/>
        </w:rPr>
        <w:t>i</w:t>
      </w:r>
      <w:r w:rsidRPr="00791EFA">
        <w:rPr>
          <w:rFonts w:ascii="Garamond" w:hAnsi="Garamond" w:cs="Times New Roman"/>
          <w:sz w:val="24"/>
          <w:szCs w:val="24"/>
        </w:rPr>
        <w:t xml:space="preserve">mmune </w:t>
      </w:r>
      <w:r w:rsidR="00A01972" w:rsidRPr="00791EFA">
        <w:rPr>
          <w:rFonts w:ascii="Garamond" w:hAnsi="Garamond" w:cs="Times New Roman"/>
          <w:sz w:val="24"/>
          <w:szCs w:val="24"/>
        </w:rPr>
        <w:t>s</w:t>
      </w:r>
      <w:r w:rsidRPr="00791EFA">
        <w:rPr>
          <w:rFonts w:ascii="Garamond" w:hAnsi="Garamond" w:cs="Times New Roman"/>
          <w:sz w:val="24"/>
          <w:szCs w:val="24"/>
        </w:rPr>
        <w:t xml:space="preserve">ystem. </w:t>
      </w:r>
      <w:r w:rsidRPr="00791EFA">
        <w:rPr>
          <w:rFonts w:ascii="Garamond" w:hAnsi="Garamond" w:cs="Times New Roman"/>
          <w:i/>
          <w:sz w:val="24"/>
          <w:szCs w:val="24"/>
        </w:rPr>
        <w:t>Mind &amp; Language</w:t>
      </w:r>
      <w:r w:rsidRPr="00791EFA">
        <w:rPr>
          <w:rFonts w:ascii="Garamond" w:hAnsi="Garamond" w:cs="Times New Roman"/>
          <w:sz w:val="24"/>
          <w:szCs w:val="24"/>
        </w:rPr>
        <w:t>. https://doi.org/10.1111/mila.12205</w:t>
      </w:r>
    </w:p>
    <w:p w14:paraId="6931CF10" w14:textId="07D371BE" w:rsidR="009A2BAB" w:rsidRPr="00791EFA" w:rsidRDefault="009A2BAB" w:rsidP="00F64FBF">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McNamara, T.P. (2004). </w:t>
      </w:r>
      <w:r w:rsidRPr="00791EFA">
        <w:rPr>
          <w:rFonts w:ascii="Garamond" w:hAnsi="Garamond" w:cs="Times New Roman"/>
          <w:i/>
          <w:sz w:val="24"/>
          <w:szCs w:val="24"/>
        </w:rPr>
        <w:t>Semantic Priming: Perspectives from Memory and Word Recognition</w:t>
      </w:r>
      <w:r w:rsidRPr="00791EFA">
        <w:rPr>
          <w:rFonts w:ascii="Garamond" w:hAnsi="Garamond" w:cs="Times New Roman"/>
          <w:sz w:val="24"/>
          <w:szCs w:val="24"/>
        </w:rPr>
        <w:t>. New York: Taylor &amp; Francis Group.</w:t>
      </w:r>
    </w:p>
    <w:p w14:paraId="01688447" w14:textId="5EE7AF0E" w:rsidR="00F56DAF" w:rsidRPr="00791EFA" w:rsidRDefault="00F56DAF"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Meyer, D.E., &amp; Schvaneveldt, R.W. (1971). Facilitation in recognizing pairs of words: </w:t>
      </w:r>
      <w:r w:rsidR="00FD6847" w:rsidRPr="00791EFA">
        <w:rPr>
          <w:rFonts w:ascii="Garamond" w:hAnsi="Garamond" w:cs="Times New Roman"/>
          <w:sz w:val="24"/>
          <w:szCs w:val="24"/>
        </w:rPr>
        <w:t>E</w:t>
      </w:r>
      <w:r w:rsidRPr="00791EFA">
        <w:rPr>
          <w:rFonts w:ascii="Garamond" w:hAnsi="Garamond" w:cs="Times New Roman"/>
          <w:sz w:val="24"/>
          <w:szCs w:val="24"/>
        </w:rPr>
        <w:t xml:space="preserve">vidence of a dependence between retrieval operations. </w:t>
      </w:r>
      <w:r w:rsidR="00EC2D6A" w:rsidRPr="00791EFA">
        <w:rPr>
          <w:rFonts w:ascii="Garamond" w:hAnsi="Garamond" w:cs="Times New Roman"/>
          <w:i/>
          <w:sz w:val="24"/>
          <w:szCs w:val="24"/>
        </w:rPr>
        <w:t>Journal of Experimental P</w:t>
      </w:r>
      <w:r w:rsidRPr="00791EFA">
        <w:rPr>
          <w:rFonts w:ascii="Garamond" w:hAnsi="Garamond" w:cs="Times New Roman"/>
          <w:i/>
          <w:sz w:val="24"/>
          <w:szCs w:val="24"/>
        </w:rPr>
        <w:t>sychology</w:t>
      </w:r>
      <w:r w:rsidRPr="00791EFA">
        <w:rPr>
          <w:rFonts w:ascii="Garamond" w:hAnsi="Garamond" w:cs="Times New Roman"/>
          <w:sz w:val="24"/>
          <w:szCs w:val="24"/>
        </w:rPr>
        <w:t>, 90(2), 227</w:t>
      </w:r>
      <w:r w:rsidR="00FD6847" w:rsidRPr="00791EFA">
        <w:rPr>
          <w:rFonts w:ascii="Garamond" w:hAnsi="Garamond" w:cs="Times New Roman"/>
          <w:sz w:val="24"/>
          <w:szCs w:val="24"/>
        </w:rPr>
        <w:t>–234</w:t>
      </w:r>
      <w:r w:rsidRPr="00791EFA">
        <w:rPr>
          <w:rFonts w:ascii="Garamond" w:hAnsi="Garamond" w:cs="Times New Roman"/>
          <w:sz w:val="24"/>
          <w:szCs w:val="24"/>
        </w:rPr>
        <w:t>.</w:t>
      </w:r>
    </w:p>
    <w:p w14:paraId="2C4D0960" w14:textId="4432E7FD" w:rsidR="008611C4" w:rsidRPr="00791EFA" w:rsidRDefault="008611C4"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Mikhail, J. (2011). </w:t>
      </w:r>
      <w:r w:rsidRPr="00791EFA">
        <w:rPr>
          <w:rFonts w:ascii="Garamond" w:hAnsi="Garamond" w:cs="Times New Roman"/>
          <w:i/>
          <w:sz w:val="24"/>
          <w:szCs w:val="24"/>
        </w:rPr>
        <w:t xml:space="preserve">Elements of </w:t>
      </w:r>
      <w:r w:rsidR="00FD6847" w:rsidRPr="00791EFA">
        <w:rPr>
          <w:rFonts w:ascii="Garamond" w:hAnsi="Garamond" w:cs="Times New Roman"/>
          <w:i/>
          <w:sz w:val="24"/>
          <w:szCs w:val="24"/>
        </w:rPr>
        <w:t>M</w:t>
      </w:r>
      <w:r w:rsidRPr="00791EFA">
        <w:rPr>
          <w:rFonts w:ascii="Garamond" w:hAnsi="Garamond" w:cs="Times New Roman"/>
          <w:i/>
          <w:sz w:val="24"/>
          <w:szCs w:val="24"/>
        </w:rPr>
        <w:t xml:space="preserve">oral </w:t>
      </w:r>
      <w:r w:rsidR="00FD6847" w:rsidRPr="00791EFA">
        <w:rPr>
          <w:rFonts w:ascii="Garamond" w:hAnsi="Garamond" w:cs="Times New Roman"/>
          <w:i/>
          <w:sz w:val="24"/>
          <w:szCs w:val="24"/>
        </w:rPr>
        <w:t>C</w:t>
      </w:r>
      <w:r w:rsidRPr="00791EFA">
        <w:rPr>
          <w:rFonts w:ascii="Garamond" w:hAnsi="Garamond" w:cs="Times New Roman"/>
          <w:i/>
          <w:sz w:val="24"/>
          <w:szCs w:val="24"/>
        </w:rPr>
        <w:t>ognition: Rawls</w:t>
      </w:r>
      <w:r w:rsidR="00FD6847" w:rsidRPr="00791EFA">
        <w:rPr>
          <w:rFonts w:ascii="Garamond" w:hAnsi="Garamond" w:cs="Times New Roman"/>
          <w:i/>
          <w:sz w:val="24"/>
          <w:szCs w:val="24"/>
        </w:rPr>
        <w:t>’</w:t>
      </w:r>
      <w:r w:rsidRPr="00791EFA">
        <w:rPr>
          <w:rFonts w:ascii="Garamond" w:hAnsi="Garamond" w:cs="Times New Roman"/>
          <w:i/>
          <w:sz w:val="24"/>
          <w:szCs w:val="24"/>
        </w:rPr>
        <w:t xml:space="preserve"> </w:t>
      </w:r>
      <w:r w:rsidR="00FD6847" w:rsidRPr="00791EFA">
        <w:rPr>
          <w:rFonts w:ascii="Garamond" w:hAnsi="Garamond" w:cs="Times New Roman"/>
          <w:i/>
          <w:sz w:val="24"/>
          <w:szCs w:val="24"/>
        </w:rPr>
        <w:t>L</w:t>
      </w:r>
      <w:r w:rsidRPr="00791EFA">
        <w:rPr>
          <w:rFonts w:ascii="Garamond" w:hAnsi="Garamond" w:cs="Times New Roman"/>
          <w:i/>
          <w:sz w:val="24"/>
          <w:szCs w:val="24"/>
        </w:rPr>
        <w:t xml:space="preserve">inguistic </w:t>
      </w:r>
      <w:r w:rsidR="00FD6847" w:rsidRPr="00791EFA">
        <w:rPr>
          <w:rFonts w:ascii="Garamond" w:hAnsi="Garamond" w:cs="Times New Roman"/>
          <w:i/>
          <w:sz w:val="24"/>
          <w:szCs w:val="24"/>
        </w:rPr>
        <w:t>A</w:t>
      </w:r>
      <w:r w:rsidRPr="00791EFA">
        <w:rPr>
          <w:rFonts w:ascii="Garamond" w:hAnsi="Garamond" w:cs="Times New Roman"/>
          <w:i/>
          <w:sz w:val="24"/>
          <w:szCs w:val="24"/>
        </w:rPr>
        <w:t xml:space="preserve">nalogy and the </w:t>
      </w:r>
      <w:r w:rsidR="00FD6847" w:rsidRPr="00791EFA">
        <w:rPr>
          <w:rFonts w:ascii="Garamond" w:hAnsi="Garamond" w:cs="Times New Roman"/>
          <w:i/>
          <w:sz w:val="24"/>
          <w:szCs w:val="24"/>
        </w:rPr>
        <w:t>C</w:t>
      </w:r>
      <w:r w:rsidRPr="00791EFA">
        <w:rPr>
          <w:rFonts w:ascii="Garamond" w:hAnsi="Garamond" w:cs="Times New Roman"/>
          <w:i/>
          <w:sz w:val="24"/>
          <w:szCs w:val="24"/>
        </w:rPr>
        <w:t xml:space="preserve">ognitive </w:t>
      </w:r>
      <w:r w:rsidR="00FD6847" w:rsidRPr="00791EFA">
        <w:rPr>
          <w:rFonts w:ascii="Garamond" w:hAnsi="Garamond" w:cs="Times New Roman"/>
          <w:i/>
          <w:sz w:val="24"/>
          <w:szCs w:val="24"/>
        </w:rPr>
        <w:t>S</w:t>
      </w:r>
      <w:r w:rsidRPr="00791EFA">
        <w:rPr>
          <w:rFonts w:ascii="Garamond" w:hAnsi="Garamond" w:cs="Times New Roman"/>
          <w:i/>
          <w:sz w:val="24"/>
          <w:szCs w:val="24"/>
        </w:rPr>
        <w:t xml:space="preserve">cience of </w:t>
      </w:r>
      <w:r w:rsidR="00FD6847" w:rsidRPr="00791EFA">
        <w:rPr>
          <w:rFonts w:ascii="Garamond" w:hAnsi="Garamond" w:cs="Times New Roman"/>
          <w:i/>
          <w:sz w:val="24"/>
          <w:szCs w:val="24"/>
        </w:rPr>
        <w:t>M</w:t>
      </w:r>
      <w:r w:rsidRPr="00791EFA">
        <w:rPr>
          <w:rFonts w:ascii="Garamond" w:hAnsi="Garamond" w:cs="Times New Roman"/>
          <w:i/>
          <w:sz w:val="24"/>
          <w:szCs w:val="24"/>
        </w:rPr>
        <w:t xml:space="preserve">oral and </w:t>
      </w:r>
      <w:r w:rsidR="00FD6847" w:rsidRPr="00791EFA">
        <w:rPr>
          <w:rFonts w:ascii="Garamond" w:hAnsi="Garamond" w:cs="Times New Roman"/>
          <w:i/>
          <w:sz w:val="24"/>
          <w:szCs w:val="24"/>
        </w:rPr>
        <w:t>L</w:t>
      </w:r>
      <w:r w:rsidRPr="00791EFA">
        <w:rPr>
          <w:rFonts w:ascii="Garamond" w:hAnsi="Garamond" w:cs="Times New Roman"/>
          <w:i/>
          <w:sz w:val="24"/>
          <w:szCs w:val="24"/>
        </w:rPr>
        <w:t xml:space="preserve">egal </w:t>
      </w:r>
      <w:r w:rsidR="00FD6847" w:rsidRPr="00791EFA">
        <w:rPr>
          <w:rFonts w:ascii="Garamond" w:hAnsi="Garamond" w:cs="Times New Roman"/>
          <w:i/>
          <w:sz w:val="24"/>
          <w:szCs w:val="24"/>
        </w:rPr>
        <w:t>J</w:t>
      </w:r>
      <w:r w:rsidRPr="00791EFA">
        <w:rPr>
          <w:rFonts w:ascii="Garamond" w:hAnsi="Garamond" w:cs="Times New Roman"/>
          <w:i/>
          <w:sz w:val="24"/>
          <w:szCs w:val="24"/>
        </w:rPr>
        <w:t>udgment</w:t>
      </w:r>
      <w:r w:rsidRPr="00791EFA">
        <w:rPr>
          <w:rFonts w:ascii="Garamond" w:hAnsi="Garamond" w:cs="Times New Roman"/>
          <w:sz w:val="24"/>
          <w:szCs w:val="24"/>
        </w:rPr>
        <w:t xml:space="preserve">. </w:t>
      </w:r>
      <w:r w:rsidR="00D209FA" w:rsidRPr="00791EFA">
        <w:rPr>
          <w:rFonts w:ascii="Garamond" w:hAnsi="Garamond" w:cs="Times New Roman"/>
          <w:sz w:val="24"/>
          <w:szCs w:val="24"/>
        </w:rPr>
        <w:t>N</w:t>
      </w:r>
      <w:r w:rsidR="00FD6847" w:rsidRPr="00791EFA">
        <w:rPr>
          <w:rFonts w:ascii="Garamond" w:hAnsi="Garamond" w:cs="Times New Roman"/>
          <w:sz w:val="24"/>
          <w:szCs w:val="24"/>
        </w:rPr>
        <w:t>ew York</w:t>
      </w:r>
      <w:r w:rsidR="00D209FA" w:rsidRPr="00791EFA">
        <w:rPr>
          <w:rFonts w:ascii="Garamond" w:hAnsi="Garamond" w:cs="Times New Roman"/>
          <w:sz w:val="24"/>
          <w:szCs w:val="24"/>
        </w:rPr>
        <w:t xml:space="preserve">: </w:t>
      </w:r>
      <w:r w:rsidRPr="00791EFA">
        <w:rPr>
          <w:rFonts w:ascii="Garamond" w:hAnsi="Garamond" w:cs="Times New Roman"/>
          <w:sz w:val="24"/>
          <w:szCs w:val="24"/>
        </w:rPr>
        <w:t>Cambridge University Press.</w:t>
      </w:r>
    </w:p>
    <w:p w14:paraId="0DD23710" w14:textId="685D0AF6" w:rsidR="00C96275" w:rsidRPr="00791EFA" w:rsidRDefault="00C9627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Mitchell, C.J., De Houwer, J., &amp; Lovibond, P.F. (2009). The propositional nature of human associative learning. </w:t>
      </w:r>
      <w:r w:rsidRPr="00791EFA">
        <w:rPr>
          <w:rFonts w:ascii="Garamond" w:hAnsi="Garamond" w:cs="Times New Roman"/>
          <w:i/>
          <w:sz w:val="24"/>
          <w:szCs w:val="24"/>
        </w:rPr>
        <w:t>Behavioral and Brain Sciences</w:t>
      </w:r>
      <w:r w:rsidRPr="00791EFA">
        <w:rPr>
          <w:rFonts w:ascii="Garamond" w:hAnsi="Garamond" w:cs="Times New Roman"/>
          <w:sz w:val="24"/>
          <w:szCs w:val="24"/>
        </w:rPr>
        <w:t>, 32(2), 183</w:t>
      </w:r>
      <w:r w:rsidR="00FD6847" w:rsidRPr="00791EFA">
        <w:rPr>
          <w:rFonts w:ascii="Garamond" w:hAnsi="Garamond" w:cs="Times New Roman"/>
          <w:sz w:val="24"/>
          <w:szCs w:val="24"/>
        </w:rPr>
        <w:t>–</w:t>
      </w:r>
      <w:r w:rsidRPr="00791EFA">
        <w:rPr>
          <w:rFonts w:ascii="Garamond" w:hAnsi="Garamond" w:cs="Times New Roman"/>
          <w:sz w:val="24"/>
          <w:szCs w:val="24"/>
        </w:rPr>
        <w:t>198.</w:t>
      </w:r>
    </w:p>
    <w:p w14:paraId="2843F2EC" w14:textId="74292AAD" w:rsidR="00AB08B5" w:rsidRPr="00791EFA" w:rsidRDefault="00AB08B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Quilty-Dunn, J. (2017). </w:t>
      </w:r>
      <w:r w:rsidRPr="00791EFA">
        <w:rPr>
          <w:rFonts w:ascii="Garamond" w:hAnsi="Garamond" w:cs="Times New Roman"/>
          <w:i/>
          <w:sz w:val="24"/>
          <w:szCs w:val="24"/>
        </w:rPr>
        <w:t>Syntax and Semantics of Perceptual Representation</w:t>
      </w:r>
      <w:r w:rsidRPr="00791EFA">
        <w:rPr>
          <w:rFonts w:ascii="Garamond" w:hAnsi="Garamond" w:cs="Times New Roman"/>
          <w:sz w:val="24"/>
          <w:szCs w:val="24"/>
        </w:rPr>
        <w:t xml:space="preserve"> (Doctoral dissertation, City University of New York).</w:t>
      </w:r>
    </w:p>
    <w:p w14:paraId="6A5729CD" w14:textId="2E70DCEE" w:rsidR="00A01972" w:rsidRPr="00791EFA" w:rsidRDefault="00A01972"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Quilty-Dunn, J. (Forthcoming). Perceptual pluralism. </w:t>
      </w:r>
      <w:r w:rsidRPr="00791EFA">
        <w:rPr>
          <w:rFonts w:ascii="Garamond" w:hAnsi="Garamond" w:cs="Times New Roman"/>
          <w:i/>
          <w:sz w:val="24"/>
          <w:szCs w:val="24"/>
        </w:rPr>
        <w:t>Noûs</w:t>
      </w:r>
      <w:r w:rsidRPr="00791EFA">
        <w:rPr>
          <w:rFonts w:ascii="Garamond" w:hAnsi="Garamond" w:cs="Times New Roman"/>
          <w:sz w:val="24"/>
          <w:szCs w:val="24"/>
        </w:rPr>
        <w:t>.</w:t>
      </w:r>
    </w:p>
    <w:p w14:paraId="0410FE31" w14:textId="14CF4410" w:rsidR="00AC40DC" w:rsidRPr="00791EFA" w:rsidRDefault="008611C4"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lang w:val="nb-NO"/>
        </w:rPr>
        <w:t xml:space="preserve">Quilty-Dunn, J., &amp; Mandelbaum, E. (2017). </w:t>
      </w:r>
      <w:r w:rsidRPr="00791EFA">
        <w:rPr>
          <w:rFonts w:ascii="Garamond" w:hAnsi="Garamond" w:cs="Times New Roman"/>
          <w:sz w:val="24"/>
          <w:szCs w:val="24"/>
        </w:rPr>
        <w:t xml:space="preserve">Inferential transitions. </w:t>
      </w:r>
      <w:r w:rsidRPr="00791EFA">
        <w:rPr>
          <w:rFonts w:ascii="Garamond" w:hAnsi="Garamond" w:cs="Times New Roman"/>
          <w:i/>
          <w:sz w:val="24"/>
          <w:szCs w:val="24"/>
        </w:rPr>
        <w:t>Australasian Journal of Philosophy</w:t>
      </w:r>
      <w:r w:rsidRPr="00791EFA">
        <w:rPr>
          <w:rFonts w:ascii="Garamond" w:hAnsi="Garamond" w:cs="Times New Roman"/>
          <w:sz w:val="24"/>
          <w:szCs w:val="24"/>
        </w:rPr>
        <w:t>,</w:t>
      </w:r>
      <w:r w:rsidR="0091546C" w:rsidRPr="00791EFA">
        <w:rPr>
          <w:rFonts w:ascii="Garamond" w:hAnsi="Garamond" w:cs="Times New Roman"/>
          <w:sz w:val="24"/>
          <w:szCs w:val="24"/>
        </w:rPr>
        <w:t xml:space="preserve"> DOI: 10.1080/00048402.2017.1358754</w:t>
      </w:r>
      <w:r w:rsidRPr="00791EFA">
        <w:rPr>
          <w:rFonts w:ascii="Garamond" w:hAnsi="Garamond" w:cs="Times New Roman"/>
          <w:sz w:val="24"/>
          <w:szCs w:val="24"/>
        </w:rPr>
        <w:t>.</w:t>
      </w:r>
    </w:p>
    <w:p w14:paraId="29A9270D" w14:textId="6E72D66D" w:rsidR="00AB08B5" w:rsidRPr="00791EFA" w:rsidRDefault="00AB08B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Paivio, A. (1969). Mental imagery in associative learning and memory. </w:t>
      </w:r>
      <w:r w:rsidRPr="00791EFA">
        <w:rPr>
          <w:rFonts w:ascii="Garamond" w:hAnsi="Garamond" w:cs="Times New Roman"/>
          <w:i/>
          <w:sz w:val="24"/>
          <w:szCs w:val="24"/>
        </w:rPr>
        <w:t xml:space="preserve">Psychological </w:t>
      </w:r>
      <w:r w:rsidR="005F52D1" w:rsidRPr="00791EFA">
        <w:rPr>
          <w:rFonts w:ascii="Garamond" w:hAnsi="Garamond" w:cs="Times New Roman"/>
          <w:i/>
          <w:sz w:val="24"/>
          <w:szCs w:val="24"/>
        </w:rPr>
        <w:t>R</w:t>
      </w:r>
      <w:r w:rsidRPr="00791EFA">
        <w:rPr>
          <w:rFonts w:ascii="Garamond" w:hAnsi="Garamond" w:cs="Times New Roman"/>
          <w:i/>
          <w:sz w:val="24"/>
          <w:szCs w:val="24"/>
        </w:rPr>
        <w:t>eview</w:t>
      </w:r>
      <w:r w:rsidRPr="00791EFA">
        <w:rPr>
          <w:rFonts w:ascii="Garamond" w:hAnsi="Garamond" w:cs="Times New Roman"/>
          <w:sz w:val="24"/>
          <w:szCs w:val="24"/>
        </w:rPr>
        <w:t>, 76(3), 241</w:t>
      </w:r>
      <w:r w:rsidR="005F52D1" w:rsidRPr="00791EFA">
        <w:rPr>
          <w:rFonts w:ascii="Garamond" w:hAnsi="Garamond" w:cs="Times New Roman"/>
          <w:sz w:val="24"/>
          <w:szCs w:val="24"/>
        </w:rPr>
        <w:t>–263</w:t>
      </w:r>
      <w:r w:rsidRPr="00791EFA">
        <w:rPr>
          <w:rFonts w:ascii="Garamond" w:hAnsi="Garamond" w:cs="Times New Roman"/>
          <w:sz w:val="24"/>
          <w:szCs w:val="24"/>
        </w:rPr>
        <w:t>.</w:t>
      </w:r>
    </w:p>
    <w:p w14:paraId="6698289B" w14:textId="469911C7" w:rsidR="00734010" w:rsidRPr="00791EFA" w:rsidRDefault="00734010"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Perea, M., &amp; Rosa, E. (2002). The effects of associative and semantic priming in the lexical decision task. </w:t>
      </w:r>
      <w:r w:rsidRPr="00791EFA">
        <w:rPr>
          <w:rFonts w:ascii="Garamond" w:hAnsi="Garamond" w:cs="Times New Roman"/>
          <w:i/>
          <w:sz w:val="24"/>
          <w:szCs w:val="24"/>
        </w:rPr>
        <w:t>Psychological Research,</w:t>
      </w:r>
      <w:r w:rsidRPr="00791EFA">
        <w:rPr>
          <w:rFonts w:ascii="Garamond" w:hAnsi="Garamond" w:cs="Times New Roman"/>
          <w:sz w:val="24"/>
          <w:szCs w:val="24"/>
        </w:rPr>
        <w:t xml:space="preserve"> 66(3), 180</w:t>
      </w:r>
      <w:r w:rsidR="005F52D1" w:rsidRPr="00791EFA">
        <w:rPr>
          <w:rFonts w:ascii="Garamond" w:hAnsi="Garamond" w:cs="Times New Roman"/>
          <w:sz w:val="24"/>
          <w:szCs w:val="24"/>
        </w:rPr>
        <w:t>–</w:t>
      </w:r>
      <w:r w:rsidRPr="00791EFA">
        <w:rPr>
          <w:rFonts w:ascii="Garamond" w:hAnsi="Garamond" w:cs="Times New Roman"/>
          <w:sz w:val="24"/>
          <w:szCs w:val="24"/>
        </w:rPr>
        <w:t>194.</w:t>
      </w:r>
    </w:p>
    <w:p w14:paraId="46E3E715" w14:textId="4301D23D" w:rsidR="009B753C" w:rsidRPr="00791EFA" w:rsidRDefault="009B753C"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lastRenderedPageBreak/>
        <w:t xml:space="preserve">Prior, A., &amp; Bentin, S. (2008). Word associations are formed incidentally during sentential semantic integration. </w:t>
      </w:r>
      <w:r w:rsidRPr="00791EFA">
        <w:rPr>
          <w:rFonts w:ascii="Garamond" w:hAnsi="Garamond" w:cs="Times New Roman"/>
          <w:i/>
          <w:sz w:val="24"/>
          <w:szCs w:val="24"/>
        </w:rPr>
        <w:t>Acta Psychologica</w:t>
      </w:r>
      <w:r w:rsidRPr="00791EFA">
        <w:rPr>
          <w:rFonts w:ascii="Garamond" w:hAnsi="Garamond" w:cs="Times New Roman"/>
          <w:sz w:val="24"/>
          <w:szCs w:val="24"/>
        </w:rPr>
        <w:t>, 127(1), 57</w:t>
      </w:r>
      <w:r w:rsidR="005F52D1" w:rsidRPr="00791EFA">
        <w:rPr>
          <w:rFonts w:ascii="Garamond" w:hAnsi="Garamond" w:cs="Times New Roman"/>
          <w:sz w:val="24"/>
          <w:szCs w:val="24"/>
        </w:rPr>
        <w:t>–</w:t>
      </w:r>
      <w:r w:rsidRPr="00791EFA">
        <w:rPr>
          <w:rFonts w:ascii="Garamond" w:hAnsi="Garamond" w:cs="Times New Roman"/>
          <w:sz w:val="24"/>
          <w:szCs w:val="24"/>
        </w:rPr>
        <w:t>71.</w:t>
      </w:r>
    </w:p>
    <w:p w14:paraId="675CD462" w14:textId="0E1A9DBF" w:rsidR="007122FB" w:rsidRPr="00791EFA" w:rsidRDefault="007122FB"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Prinz, J.J. (2002). </w:t>
      </w:r>
      <w:r w:rsidRPr="00791EFA">
        <w:rPr>
          <w:rFonts w:ascii="Garamond" w:hAnsi="Garamond" w:cs="Times New Roman"/>
          <w:i/>
          <w:sz w:val="24"/>
          <w:szCs w:val="24"/>
        </w:rPr>
        <w:t>Furnishing the Mind: Concepts and Their Perceptual Basis</w:t>
      </w:r>
      <w:r w:rsidRPr="00791EFA">
        <w:rPr>
          <w:rFonts w:ascii="Garamond" w:hAnsi="Garamond" w:cs="Times New Roman"/>
          <w:sz w:val="24"/>
          <w:szCs w:val="24"/>
        </w:rPr>
        <w:t>. Cambridge, MA: MIT Press.</w:t>
      </w:r>
    </w:p>
    <w:p w14:paraId="72C1F675" w14:textId="77777777" w:rsidR="006E7059" w:rsidRPr="00791EFA" w:rsidRDefault="006E7059" w:rsidP="00C86BD1">
      <w:pPr>
        <w:pBdr>
          <w:top w:val="none" w:sz="0" w:space="0" w:color="auto"/>
          <w:left w:val="none" w:sz="0" w:space="0" w:color="auto"/>
          <w:bottom w:val="none" w:sz="0" w:space="0" w:color="auto"/>
          <w:right w:val="none" w:sz="0" w:space="0" w:color="auto"/>
          <w:between w:val="none" w:sz="0" w:space="0" w:color="auto"/>
        </w:pBdr>
        <w:spacing w:line="480" w:lineRule="auto"/>
        <w:contextualSpacing/>
        <w:rPr>
          <w:rFonts w:ascii="Garamond" w:eastAsia="Times New Roman" w:hAnsi="Garamond" w:cs="Times New Roman"/>
          <w:color w:val="222222"/>
          <w:sz w:val="24"/>
          <w:szCs w:val="24"/>
          <w:shd w:val="clear" w:color="auto" w:fill="FFFFFF"/>
          <w:lang w:val="en-US"/>
        </w:rPr>
      </w:pPr>
      <w:proofErr w:type="spellStart"/>
      <w:r w:rsidRPr="00791EFA">
        <w:rPr>
          <w:rFonts w:ascii="Garamond" w:eastAsia="Times New Roman" w:hAnsi="Garamond" w:cs="Times New Roman"/>
          <w:color w:val="222222"/>
          <w:sz w:val="24"/>
          <w:szCs w:val="24"/>
          <w:shd w:val="clear" w:color="auto" w:fill="FFFFFF"/>
          <w:lang w:val="en-US"/>
        </w:rPr>
        <w:t>Pylkkänen</w:t>
      </w:r>
      <w:proofErr w:type="spellEnd"/>
      <w:r w:rsidRPr="00791EFA">
        <w:rPr>
          <w:rFonts w:ascii="Garamond" w:eastAsia="Times New Roman" w:hAnsi="Garamond" w:cs="Times New Roman"/>
          <w:color w:val="222222"/>
          <w:sz w:val="24"/>
          <w:szCs w:val="24"/>
          <w:shd w:val="clear" w:color="auto" w:fill="FFFFFF"/>
          <w:lang w:val="en-US"/>
        </w:rPr>
        <w:t xml:space="preserve">, L., </w:t>
      </w:r>
      <w:proofErr w:type="spellStart"/>
      <w:r w:rsidRPr="00791EFA">
        <w:rPr>
          <w:rFonts w:ascii="Garamond" w:eastAsia="Times New Roman" w:hAnsi="Garamond" w:cs="Times New Roman"/>
          <w:color w:val="222222"/>
          <w:sz w:val="24"/>
          <w:szCs w:val="24"/>
          <w:shd w:val="clear" w:color="auto" w:fill="FFFFFF"/>
          <w:lang w:val="en-US"/>
        </w:rPr>
        <w:t>Llinás</w:t>
      </w:r>
      <w:proofErr w:type="spellEnd"/>
      <w:r w:rsidRPr="00791EFA">
        <w:rPr>
          <w:rFonts w:ascii="Garamond" w:eastAsia="Times New Roman" w:hAnsi="Garamond" w:cs="Times New Roman"/>
          <w:color w:val="222222"/>
          <w:sz w:val="24"/>
          <w:szCs w:val="24"/>
          <w:shd w:val="clear" w:color="auto" w:fill="FFFFFF"/>
          <w:lang w:val="en-US"/>
        </w:rPr>
        <w:t xml:space="preserve">, R., &amp; Murphy, G. L. (2006). The representation of polysemy: MEG </w:t>
      </w:r>
    </w:p>
    <w:p w14:paraId="5258AE24" w14:textId="2F1D6974" w:rsidR="00CD654F" w:rsidRPr="00791EFA" w:rsidRDefault="006E7059" w:rsidP="00C86BD1">
      <w:pPr>
        <w:pBdr>
          <w:top w:val="none" w:sz="0" w:space="0" w:color="auto"/>
          <w:left w:val="none" w:sz="0" w:space="0" w:color="auto"/>
          <w:bottom w:val="none" w:sz="0" w:space="0" w:color="auto"/>
          <w:right w:val="none" w:sz="0" w:space="0" w:color="auto"/>
          <w:between w:val="none" w:sz="0" w:space="0" w:color="auto"/>
        </w:pBdr>
        <w:spacing w:line="480" w:lineRule="auto"/>
        <w:ind w:firstLine="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t>evidence. </w:t>
      </w:r>
      <w:r w:rsidRPr="00791EFA">
        <w:rPr>
          <w:rFonts w:ascii="Garamond" w:eastAsia="Times New Roman" w:hAnsi="Garamond" w:cs="Times New Roman"/>
          <w:i/>
          <w:iCs/>
          <w:color w:val="222222"/>
          <w:sz w:val="24"/>
          <w:szCs w:val="24"/>
          <w:shd w:val="clear" w:color="auto" w:fill="FFFFFF"/>
          <w:lang w:val="en-US"/>
        </w:rPr>
        <w:t>Journal of cognitive neuroscience</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18</w:t>
      </w:r>
      <w:r w:rsidRPr="00791EFA">
        <w:rPr>
          <w:rFonts w:ascii="Garamond" w:eastAsia="Times New Roman" w:hAnsi="Garamond" w:cs="Times New Roman"/>
          <w:color w:val="222222"/>
          <w:sz w:val="24"/>
          <w:szCs w:val="24"/>
          <w:shd w:val="clear" w:color="auto" w:fill="FFFFFF"/>
          <w:lang w:val="en-US"/>
        </w:rPr>
        <w:t>(1), 97-109.</w:t>
      </w:r>
    </w:p>
    <w:p w14:paraId="77EA4E12" w14:textId="77777777" w:rsidR="006E7059" w:rsidRPr="00791EFA" w:rsidRDefault="006E7059" w:rsidP="00C86BD1">
      <w:pPr>
        <w:pBdr>
          <w:top w:val="none" w:sz="0" w:space="0" w:color="auto"/>
          <w:left w:val="none" w:sz="0" w:space="0" w:color="auto"/>
          <w:bottom w:val="none" w:sz="0" w:space="0" w:color="auto"/>
          <w:right w:val="none" w:sz="0" w:space="0" w:color="auto"/>
          <w:between w:val="none" w:sz="0" w:space="0" w:color="auto"/>
        </w:pBdr>
        <w:spacing w:line="480" w:lineRule="auto"/>
        <w:ind w:firstLine="720"/>
        <w:contextualSpacing/>
        <w:rPr>
          <w:rFonts w:ascii="Garamond" w:eastAsia="Times New Roman" w:hAnsi="Garamond" w:cs="Times New Roman"/>
          <w:color w:val="auto"/>
          <w:sz w:val="24"/>
          <w:szCs w:val="24"/>
          <w:lang w:val="en-US"/>
        </w:rPr>
      </w:pPr>
    </w:p>
    <w:p w14:paraId="7D486B2E" w14:textId="4AFCF9C7" w:rsidR="00D0325D" w:rsidRPr="00791EFA" w:rsidRDefault="00D0325D"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proofErr w:type="spellStart"/>
      <w:r w:rsidRPr="00791EFA">
        <w:rPr>
          <w:rFonts w:ascii="Garamond" w:eastAsia="Times New Roman" w:hAnsi="Garamond" w:cs="Times New Roman"/>
          <w:color w:val="222222"/>
          <w:sz w:val="24"/>
          <w:szCs w:val="24"/>
          <w:shd w:val="clear" w:color="auto" w:fill="FFFFFF"/>
          <w:lang w:val="en-US"/>
        </w:rPr>
        <w:t>Pylyshyn</w:t>
      </w:r>
      <w:proofErr w:type="spellEnd"/>
      <w:r w:rsidRPr="00791EFA">
        <w:rPr>
          <w:rFonts w:ascii="Garamond" w:eastAsia="Times New Roman" w:hAnsi="Garamond" w:cs="Times New Roman"/>
          <w:color w:val="222222"/>
          <w:sz w:val="24"/>
          <w:szCs w:val="24"/>
          <w:shd w:val="clear" w:color="auto" w:fill="FFFFFF"/>
          <w:lang w:val="en-US"/>
        </w:rPr>
        <w:t>, Z.W. (2003). </w:t>
      </w:r>
      <w:r w:rsidRPr="00791EFA">
        <w:rPr>
          <w:rFonts w:ascii="Garamond" w:eastAsia="Times New Roman" w:hAnsi="Garamond" w:cs="Times New Roman"/>
          <w:i/>
          <w:iCs/>
          <w:color w:val="222222"/>
          <w:sz w:val="24"/>
          <w:szCs w:val="24"/>
          <w:shd w:val="clear" w:color="auto" w:fill="FFFFFF"/>
          <w:lang w:val="en-US"/>
        </w:rPr>
        <w:t xml:space="preserve">Seeing and </w:t>
      </w:r>
      <w:r w:rsidR="005F52D1" w:rsidRPr="00791EFA">
        <w:rPr>
          <w:rFonts w:ascii="Garamond" w:eastAsia="Times New Roman" w:hAnsi="Garamond" w:cs="Times New Roman"/>
          <w:i/>
          <w:iCs/>
          <w:color w:val="222222"/>
          <w:sz w:val="24"/>
          <w:szCs w:val="24"/>
          <w:shd w:val="clear" w:color="auto" w:fill="FFFFFF"/>
          <w:lang w:val="en-US"/>
        </w:rPr>
        <w:t>V</w:t>
      </w:r>
      <w:r w:rsidRPr="00791EFA">
        <w:rPr>
          <w:rFonts w:ascii="Garamond" w:eastAsia="Times New Roman" w:hAnsi="Garamond" w:cs="Times New Roman"/>
          <w:i/>
          <w:iCs/>
          <w:color w:val="222222"/>
          <w:sz w:val="24"/>
          <w:szCs w:val="24"/>
          <w:shd w:val="clear" w:color="auto" w:fill="FFFFFF"/>
          <w:lang w:val="en-US"/>
        </w:rPr>
        <w:t xml:space="preserve">isualizing: It's </w:t>
      </w:r>
      <w:r w:rsidR="005F52D1" w:rsidRPr="00791EFA">
        <w:rPr>
          <w:rFonts w:ascii="Garamond" w:eastAsia="Times New Roman" w:hAnsi="Garamond" w:cs="Times New Roman"/>
          <w:i/>
          <w:iCs/>
          <w:color w:val="222222"/>
          <w:sz w:val="24"/>
          <w:szCs w:val="24"/>
          <w:shd w:val="clear" w:color="auto" w:fill="FFFFFF"/>
          <w:lang w:val="en-US"/>
        </w:rPr>
        <w:t>N</w:t>
      </w:r>
      <w:r w:rsidRPr="00791EFA">
        <w:rPr>
          <w:rFonts w:ascii="Garamond" w:eastAsia="Times New Roman" w:hAnsi="Garamond" w:cs="Times New Roman"/>
          <w:i/>
          <w:iCs/>
          <w:color w:val="222222"/>
          <w:sz w:val="24"/>
          <w:szCs w:val="24"/>
          <w:shd w:val="clear" w:color="auto" w:fill="FFFFFF"/>
          <w:lang w:val="en-US"/>
        </w:rPr>
        <w:t xml:space="preserve">ot </w:t>
      </w:r>
      <w:r w:rsidR="005F52D1" w:rsidRPr="00791EFA">
        <w:rPr>
          <w:rFonts w:ascii="Garamond" w:eastAsia="Times New Roman" w:hAnsi="Garamond" w:cs="Times New Roman"/>
          <w:i/>
          <w:iCs/>
          <w:color w:val="222222"/>
          <w:sz w:val="24"/>
          <w:szCs w:val="24"/>
          <w:shd w:val="clear" w:color="auto" w:fill="FFFFFF"/>
          <w:lang w:val="en-US"/>
        </w:rPr>
        <w:t>W</w:t>
      </w:r>
      <w:r w:rsidRPr="00791EFA">
        <w:rPr>
          <w:rFonts w:ascii="Garamond" w:eastAsia="Times New Roman" w:hAnsi="Garamond" w:cs="Times New Roman"/>
          <w:i/>
          <w:iCs/>
          <w:color w:val="222222"/>
          <w:sz w:val="24"/>
          <w:szCs w:val="24"/>
          <w:shd w:val="clear" w:color="auto" w:fill="FFFFFF"/>
          <w:lang w:val="en-US"/>
        </w:rPr>
        <w:t xml:space="preserve">hat </w:t>
      </w:r>
      <w:r w:rsidR="005F52D1" w:rsidRPr="00791EFA">
        <w:rPr>
          <w:rFonts w:ascii="Garamond" w:eastAsia="Times New Roman" w:hAnsi="Garamond" w:cs="Times New Roman"/>
          <w:i/>
          <w:iCs/>
          <w:color w:val="222222"/>
          <w:sz w:val="24"/>
          <w:szCs w:val="24"/>
          <w:shd w:val="clear" w:color="auto" w:fill="FFFFFF"/>
          <w:lang w:val="en-US"/>
        </w:rPr>
        <w:t>Y</w:t>
      </w:r>
      <w:r w:rsidRPr="00791EFA">
        <w:rPr>
          <w:rFonts w:ascii="Garamond" w:eastAsia="Times New Roman" w:hAnsi="Garamond" w:cs="Times New Roman"/>
          <w:i/>
          <w:iCs/>
          <w:color w:val="222222"/>
          <w:sz w:val="24"/>
          <w:szCs w:val="24"/>
          <w:shd w:val="clear" w:color="auto" w:fill="FFFFFF"/>
          <w:lang w:val="en-US"/>
        </w:rPr>
        <w:t xml:space="preserve">ou </w:t>
      </w:r>
      <w:r w:rsidR="005F52D1" w:rsidRPr="00791EFA">
        <w:rPr>
          <w:rFonts w:ascii="Garamond" w:eastAsia="Times New Roman" w:hAnsi="Garamond" w:cs="Times New Roman"/>
          <w:i/>
          <w:iCs/>
          <w:color w:val="222222"/>
          <w:sz w:val="24"/>
          <w:szCs w:val="24"/>
          <w:shd w:val="clear" w:color="auto" w:fill="FFFFFF"/>
          <w:lang w:val="en-US"/>
        </w:rPr>
        <w:t>T</w:t>
      </w:r>
      <w:r w:rsidRPr="00791EFA">
        <w:rPr>
          <w:rFonts w:ascii="Garamond" w:eastAsia="Times New Roman" w:hAnsi="Garamond" w:cs="Times New Roman"/>
          <w:i/>
          <w:iCs/>
          <w:color w:val="222222"/>
          <w:sz w:val="24"/>
          <w:szCs w:val="24"/>
          <w:shd w:val="clear" w:color="auto" w:fill="FFFFFF"/>
          <w:lang w:val="en-US"/>
        </w:rPr>
        <w:t>hink</w:t>
      </w:r>
      <w:r w:rsidRPr="00791EFA">
        <w:rPr>
          <w:rFonts w:ascii="Garamond" w:eastAsia="Times New Roman" w:hAnsi="Garamond" w:cs="Times New Roman"/>
          <w:color w:val="222222"/>
          <w:sz w:val="24"/>
          <w:szCs w:val="24"/>
          <w:shd w:val="clear" w:color="auto" w:fill="FFFFFF"/>
          <w:lang w:val="en-US"/>
        </w:rPr>
        <w:t xml:space="preserve">. </w:t>
      </w:r>
      <w:r w:rsidR="005F52D1" w:rsidRPr="00791EFA">
        <w:rPr>
          <w:rFonts w:ascii="Garamond" w:eastAsia="Times New Roman" w:hAnsi="Garamond" w:cs="Times New Roman"/>
          <w:color w:val="222222"/>
          <w:sz w:val="24"/>
          <w:szCs w:val="24"/>
          <w:shd w:val="clear" w:color="auto" w:fill="FFFFFF"/>
          <w:lang w:val="en-US"/>
        </w:rPr>
        <w:t xml:space="preserve">Cambridge, MA: </w:t>
      </w:r>
      <w:r w:rsidRPr="00791EFA">
        <w:rPr>
          <w:rFonts w:ascii="Garamond" w:eastAsia="Times New Roman" w:hAnsi="Garamond" w:cs="Times New Roman"/>
          <w:color w:val="222222"/>
          <w:sz w:val="24"/>
          <w:szCs w:val="24"/>
          <w:shd w:val="clear" w:color="auto" w:fill="FFFFFF"/>
          <w:lang w:val="en-US"/>
        </w:rPr>
        <w:t>MIT press.</w:t>
      </w:r>
    </w:p>
    <w:p w14:paraId="6E942CA2" w14:textId="77777777" w:rsidR="005F52D1" w:rsidRPr="00791EFA" w:rsidRDefault="005F52D1"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Rescorla, M. (2009). Cognitive maps and the language of thought. The </w:t>
      </w:r>
      <w:r w:rsidRPr="00791EFA">
        <w:rPr>
          <w:rFonts w:ascii="Garamond" w:hAnsi="Garamond" w:cs="Times New Roman"/>
          <w:i/>
          <w:sz w:val="24"/>
          <w:szCs w:val="24"/>
        </w:rPr>
        <w:t>British Journal for the Philosophy of Science,</w:t>
      </w:r>
      <w:r w:rsidRPr="00791EFA">
        <w:rPr>
          <w:rFonts w:ascii="Garamond" w:hAnsi="Garamond" w:cs="Times New Roman"/>
          <w:sz w:val="24"/>
          <w:szCs w:val="24"/>
        </w:rPr>
        <w:t xml:space="preserve"> 60(2), 377-407.</w:t>
      </w:r>
    </w:p>
    <w:p w14:paraId="36CF7397" w14:textId="660722C7" w:rsidR="00A02775" w:rsidRPr="00791EFA" w:rsidRDefault="00A0277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Rescorla, R.A. (1967). Pavlovian conditioning and its proper control procedures. </w:t>
      </w:r>
      <w:r w:rsidRPr="00791EFA">
        <w:rPr>
          <w:rFonts w:ascii="Garamond" w:hAnsi="Garamond" w:cs="Times New Roman"/>
          <w:i/>
          <w:sz w:val="24"/>
          <w:szCs w:val="24"/>
        </w:rPr>
        <w:t>Psychological Review</w:t>
      </w:r>
      <w:r w:rsidRPr="00791EFA">
        <w:rPr>
          <w:rFonts w:ascii="Garamond" w:hAnsi="Garamond" w:cs="Times New Roman"/>
          <w:sz w:val="24"/>
          <w:szCs w:val="24"/>
        </w:rPr>
        <w:t>, 74(1), 71</w:t>
      </w:r>
      <w:r w:rsidR="005F52D1" w:rsidRPr="00791EFA">
        <w:rPr>
          <w:rFonts w:ascii="Garamond" w:hAnsi="Garamond" w:cs="Times New Roman"/>
          <w:sz w:val="24"/>
          <w:szCs w:val="24"/>
        </w:rPr>
        <w:t>–80</w:t>
      </w:r>
      <w:r w:rsidRPr="00791EFA">
        <w:rPr>
          <w:rFonts w:ascii="Garamond" w:hAnsi="Garamond" w:cs="Times New Roman"/>
          <w:sz w:val="24"/>
          <w:szCs w:val="24"/>
        </w:rPr>
        <w:t>.</w:t>
      </w:r>
    </w:p>
    <w:p w14:paraId="52ADF87A" w14:textId="70B59DF2" w:rsidR="007122FB" w:rsidRPr="00791EFA" w:rsidRDefault="007122FB"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Rescorla, R.A., &amp; Wagner, A.R. (1972). A theory of Pavlovian conditioning: Variations in the effectiveness of reinforcement and non-reinforcement. In A.H. Black &amp; W.F. Prokasy (eds.), </w:t>
      </w:r>
      <w:r w:rsidRPr="00791EFA">
        <w:rPr>
          <w:rFonts w:ascii="Garamond" w:hAnsi="Garamond" w:cs="Times New Roman"/>
          <w:i/>
          <w:sz w:val="24"/>
          <w:szCs w:val="24"/>
        </w:rPr>
        <w:t>Classical conditioning II: Current Research and Theory</w:t>
      </w:r>
      <w:r w:rsidRPr="00791EFA">
        <w:rPr>
          <w:rFonts w:ascii="Garamond" w:hAnsi="Garamond" w:cs="Times New Roman"/>
          <w:sz w:val="24"/>
          <w:szCs w:val="24"/>
        </w:rPr>
        <w:t xml:space="preserve"> (New York: Appleton-Century-Crofts), 64–99.</w:t>
      </w:r>
    </w:p>
    <w:p w14:paraId="7BD1D563" w14:textId="418D8B93" w:rsidR="00E55CCC" w:rsidRPr="00791EFA" w:rsidRDefault="00E55CCC"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Reverberi, C., Pischedda, D., Burigo, M., &amp; Cherubini, P. (2012). Deduction without awareness. </w:t>
      </w:r>
      <w:r w:rsidRPr="00791EFA">
        <w:rPr>
          <w:rFonts w:ascii="Garamond" w:hAnsi="Garamond" w:cs="Times New Roman"/>
          <w:i/>
          <w:sz w:val="24"/>
          <w:szCs w:val="24"/>
        </w:rPr>
        <w:t>Acta Psychologica</w:t>
      </w:r>
      <w:r w:rsidRPr="00791EFA">
        <w:rPr>
          <w:rFonts w:ascii="Garamond" w:hAnsi="Garamond" w:cs="Times New Roman"/>
          <w:sz w:val="24"/>
          <w:szCs w:val="24"/>
        </w:rPr>
        <w:t>, 139(1), 244</w:t>
      </w:r>
      <w:r w:rsidR="005F52D1" w:rsidRPr="00791EFA">
        <w:rPr>
          <w:rFonts w:ascii="Garamond" w:hAnsi="Garamond" w:cs="Times New Roman"/>
          <w:sz w:val="24"/>
          <w:szCs w:val="24"/>
        </w:rPr>
        <w:t>–</w:t>
      </w:r>
      <w:r w:rsidRPr="00791EFA">
        <w:rPr>
          <w:rFonts w:ascii="Garamond" w:hAnsi="Garamond" w:cs="Times New Roman"/>
          <w:sz w:val="24"/>
          <w:szCs w:val="24"/>
        </w:rPr>
        <w:t>253.</w:t>
      </w:r>
    </w:p>
    <w:p w14:paraId="2661AE2D" w14:textId="574BEA3B" w:rsidR="00A62BC9" w:rsidRPr="00791EFA" w:rsidRDefault="00A62BC9"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t>Samuels, R. (1998). Evolutionary psychology and the massive modularity hypothesis. </w:t>
      </w:r>
      <w:r w:rsidRPr="00791EFA">
        <w:rPr>
          <w:rFonts w:ascii="Garamond" w:eastAsia="Times New Roman" w:hAnsi="Garamond" w:cs="Times New Roman"/>
          <w:i/>
          <w:iCs/>
          <w:color w:val="222222"/>
          <w:sz w:val="24"/>
          <w:szCs w:val="24"/>
          <w:shd w:val="clear" w:color="auto" w:fill="FFFFFF"/>
          <w:lang w:val="en-US"/>
        </w:rPr>
        <w:t>The British Journal for the Philosophy of Science</w:t>
      </w:r>
      <w:r w:rsidRPr="00791EFA">
        <w:rPr>
          <w:rFonts w:ascii="Garamond" w:eastAsia="Times New Roman" w:hAnsi="Garamond" w:cs="Times New Roman"/>
          <w:color w:val="222222"/>
          <w:sz w:val="24"/>
          <w:szCs w:val="24"/>
          <w:shd w:val="clear" w:color="auto" w:fill="FFFFFF"/>
          <w:lang w:val="en-US"/>
        </w:rPr>
        <w:t>, </w:t>
      </w:r>
      <w:r w:rsidRPr="00791EFA">
        <w:rPr>
          <w:rFonts w:ascii="Garamond" w:eastAsia="Times New Roman" w:hAnsi="Garamond" w:cs="Times New Roman"/>
          <w:i/>
          <w:iCs/>
          <w:color w:val="222222"/>
          <w:sz w:val="24"/>
          <w:szCs w:val="24"/>
          <w:shd w:val="clear" w:color="auto" w:fill="FFFFFF"/>
          <w:lang w:val="en-US"/>
        </w:rPr>
        <w:t>49</w:t>
      </w:r>
      <w:r w:rsidRPr="00791EFA">
        <w:rPr>
          <w:rFonts w:ascii="Garamond" w:eastAsia="Times New Roman" w:hAnsi="Garamond" w:cs="Times New Roman"/>
          <w:color w:val="222222"/>
          <w:sz w:val="24"/>
          <w:szCs w:val="24"/>
          <w:shd w:val="clear" w:color="auto" w:fill="FFFFFF"/>
          <w:lang w:val="en-US"/>
        </w:rPr>
        <w:t>(4), 575</w:t>
      </w:r>
      <w:r w:rsidR="005F52D1" w:rsidRPr="00791EFA">
        <w:rPr>
          <w:rFonts w:ascii="Garamond" w:hAnsi="Garamond" w:cs="Times New Roman"/>
          <w:sz w:val="24"/>
          <w:szCs w:val="24"/>
        </w:rPr>
        <w:t>–</w:t>
      </w:r>
      <w:r w:rsidRPr="00791EFA">
        <w:rPr>
          <w:rFonts w:ascii="Garamond" w:eastAsia="Times New Roman" w:hAnsi="Garamond" w:cs="Times New Roman"/>
          <w:color w:val="222222"/>
          <w:sz w:val="24"/>
          <w:szCs w:val="24"/>
          <w:shd w:val="clear" w:color="auto" w:fill="FFFFFF"/>
          <w:lang w:val="en-US"/>
        </w:rPr>
        <w:t>602.</w:t>
      </w:r>
    </w:p>
    <w:p w14:paraId="40F5C91C" w14:textId="55E91E1E" w:rsidR="00F00D60" w:rsidRPr="00791EFA" w:rsidRDefault="00EC263F"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Shanks, D.R. (2007). Associationism and cognition: Human contingency learning at 25. </w:t>
      </w:r>
      <w:r w:rsidRPr="00791EFA">
        <w:rPr>
          <w:rFonts w:ascii="Garamond" w:hAnsi="Garamond" w:cs="Times New Roman"/>
          <w:i/>
          <w:sz w:val="24"/>
          <w:szCs w:val="24"/>
        </w:rPr>
        <w:t>Quarterly Journal of Experimental Psychology</w:t>
      </w:r>
      <w:r w:rsidRPr="00791EFA">
        <w:rPr>
          <w:rFonts w:ascii="Garamond" w:hAnsi="Garamond" w:cs="Times New Roman"/>
          <w:sz w:val="24"/>
          <w:szCs w:val="24"/>
        </w:rPr>
        <w:t>, 60, 291</w:t>
      </w:r>
      <w:r w:rsidR="005F52D1" w:rsidRPr="00791EFA">
        <w:rPr>
          <w:rFonts w:ascii="Garamond" w:hAnsi="Garamond" w:cs="Times New Roman"/>
          <w:sz w:val="24"/>
          <w:szCs w:val="24"/>
        </w:rPr>
        <w:t>–</w:t>
      </w:r>
      <w:r w:rsidRPr="00791EFA">
        <w:rPr>
          <w:rFonts w:ascii="Garamond" w:hAnsi="Garamond" w:cs="Times New Roman"/>
          <w:sz w:val="24"/>
          <w:szCs w:val="24"/>
        </w:rPr>
        <w:t>309.</w:t>
      </w:r>
    </w:p>
    <w:p w14:paraId="0389B5CE" w14:textId="786EFF65" w:rsidR="00AB08B5" w:rsidRPr="00791EFA" w:rsidRDefault="00AB08B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Sperling, G. (1960). The information available in brief visual presentations. </w:t>
      </w:r>
      <w:r w:rsidRPr="00791EFA">
        <w:rPr>
          <w:rFonts w:ascii="Garamond" w:hAnsi="Garamond" w:cs="Times New Roman"/>
          <w:i/>
          <w:sz w:val="24"/>
          <w:szCs w:val="24"/>
        </w:rPr>
        <w:t xml:space="preserve">Psychological </w:t>
      </w:r>
      <w:r w:rsidR="005F52D1" w:rsidRPr="00791EFA">
        <w:rPr>
          <w:rFonts w:ascii="Garamond" w:hAnsi="Garamond" w:cs="Times New Roman"/>
          <w:i/>
          <w:sz w:val="24"/>
          <w:szCs w:val="24"/>
        </w:rPr>
        <w:t>M</w:t>
      </w:r>
      <w:r w:rsidRPr="00791EFA">
        <w:rPr>
          <w:rFonts w:ascii="Garamond" w:hAnsi="Garamond" w:cs="Times New Roman"/>
          <w:i/>
          <w:sz w:val="24"/>
          <w:szCs w:val="24"/>
        </w:rPr>
        <w:t xml:space="preserve">onographs: General and </w:t>
      </w:r>
      <w:r w:rsidR="005F52D1" w:rsidRPr="00791EFA">
        <w:rPr>
          <w:rFonts w:ascii="Garamond" w:hAnsi="Garamond" w:cs="Times New Roman"/>
          <w:i/>
          <w:sz w:val="24"/>
          <w:szCs w:val="24"/>
        </w:rPr>
        <w:t>A</w:t>
      </w:r>
      <w:r w:rsidRPr="00791EFA">
        <w:rPr>
          <w:rFonts w:ascii="Garamond" w:hAnsi="Garamond" w:cs="Times New Roman"/>
          <w:i/>
          <w:sz w:val="24"/>
          <w:szCs w:val="24"/>
        </w:rPr>
        <w:t>pplied</w:t>
      </w:r>
      <w:r w:rsidRPr="00791EFA">
        <w:rPr>
          <w:rFonts w:ascii="Garamond" w:hAnsi="Garamond" w:cs="Times New Roman"/>
          <w:sz w:val="24"/>
          <w:szCs w:val="24"/>
        </w:rPr>
        <w:t>, 74(11), 1</w:t>
      </w:r>
      <w:r w:rsidR="005F52D1" w:rsidRPr="00791EFA">
        <w:rPr>
          <w:rFonts w:ascii="Garamond" w:hAnsi="Garamond" w:cs="Times New Roman"/>
          <w:sz w:val="24"/>
          <w:szCs w:val="24"/>
        </w:rPr>
        <w:t>–29</w:t>
      </w:r>
      <w:r w:rsidRPr="00791EFA">
        <w:rPr>
          <w:rFonts w:ascii="Garamond" w:hAnsi="Garamond" w:cs="Times New Roman"/>
          <w:sz w:val="24"/>
          <w:szCs w:val="24"/>
        </w:rPr>
        <w:t>.</w:t>
      </w:r>
    </w:p>
    <w:p w14:paraId="406FFF86" w14:textId="3F7BE346" w:rsidR="00F00D60" w:rsidRPr="00791EFA" w:rsidRDefault="00F00D60"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lastRenderedPageBreak/>
        <w:t>Swinney, D.A. (1979). Lexical access during sentence comprehension:</w:t>
      </w:r>
      <w:r w:rsidR="005F52D1" w:rsidRPr="00791EFA">
        <w:rPr>
          <w:rFonts w:ascii="Garamond" w:hAnsi="Garamond" w:cs="Times New Roman"/>
          <w:sz w:val="24"/>
          <w:szCs w:val="24"/>
        </w:rPr>
        <w:t xml:space="preserve"> </w:t>
      </w:r>
      <w:r w:rsidRPr="00791EFA">
        <w:rPr>
          <w:rFonts w:ascii="Garamond" w:hAnsi="Garamond" w:cs="Times New Roman"/>
          <w:sz w:val="24"/>
          <w:szCs w:val="24"/>
        </w:rPr>
        <w:t xml:space="preserve">(Re)consideration of context effects. </w:t>
      </w:r>
      <w:r w:rsidRPr="00791EFA">
        <w:rPr>
          <w:rFonts w:ascii="Garamond" w:hAnsi="Garamond" w:cs="Times New Roman"/>
          <w:i/>
          <w:sz w:val="24"/>
          <w:szCs w:val="24"/>
        </w:rPr>
        <w:t xml:space="preserve">Journal of </w:t>
      </w:r>
      <w:r w:rsidR="007122FB" w:rsidRPr="00791EFA">
        <w:rPr>
          <w:rFonts w:ascii="Garamond" w:hAnsi="Garamond" w:cs="Times New Roman"/>
          <w:i/>
          <w:sz w:val="24"/>
          <w:szCs w:val="24"/>
        </w:rPr>
        <w:t>V</w:t>
      </w:r>
      <w:r w:rsidRPr="00791EFA">
        <w:rPr>
          <w:rFonts w:ascii="Garamond" w:hAnsi="Garamond" w:cs="Times New Roman"/>
          <w:i/>
          <w:sz w:val="24"/>
          <w:szCs w:val="24"/>
        </w:rPr>
        <w:t xml:space="preserve">erbal </w:t>
      </w:r>
      <w:r w:rsidR="007122FB" w:rsidRPr="00791EFA">
        <w:rPr>
          <w:rFonts w:ascii="Garamond" w:hAnsi="Garamond" w:cs="Times New Roman"/>
          <w:i/>
          <w:sz w:val="24"/>
          <w:szCs w:val="24"/>
        </w:rPr>
        <w:t>L</w:t>
      </w:r>
      <w:r w:rsidRPr="00791EFA">
        <w:rPr>
          <w:rFonts w:ascii="Garamond" w:hAnsi="Garamond" w:cs="Times New Roman"/>
          <w:i/>
          <w:sz w:val="24"/>
          <w:szCs w:val="24"/>
        </w:rPr>
        <w:t xml:space="preserve">earning and </w:t>
      </w:r>
      <w:r w:rsidR="007122FB" w:rsidRPr="00791EFA">
        <w:rPr>
          <w:rFonts w:ascii="Garamond" w:hAnsi="Garamond" w:cs="Times New Roman"/>
          <w:i/>
          <w:sz w:val="24"/>
          <w:szCs w:val="24"/>
        </w:rPr>
        <w:t>V</w:t>
      </w:r>
      <w:r w:rsidRPr="00791EFA">
        <w:rPr>
          <w:rFonts w:ascii="Garamond" w:hAnsi="Garamond" w:cs="Times New Roman"/>
          <w:i/>
          <w:sz w:val="24"/>
          <w:szCs w:val="24"/>
        </w:rPr>
        <w:t xml:space="preserve">erbal </w:t>
      </w:r>
      <w:r w:rsidR="007122FB" w:rsidRPr="00791EFA">
        <w:rPr>
          <w:rFonts w:ascii="Garamond" w:hAnsi="Garamond" w:cs="Times New Roman"/>
          <w:i/>
          <w:sz w:val="24"/>
          <w:szCs w:val="24"/>
        </w:rPr>
        <w:t>B</w:t>
      </w:r>
      <w:r w:rsidRPr="00791EFA">
        <w:rPr>
          <w:rFonts w:ascii="Garamond" w:hAnsi="Garamond" w:cs="Times New Roman"/>
          <w:i/>
          <w:sz w:val="24"/>
          <w:szCs w:val="24"/>
        </w:rPr>
        <w:t>ehavior</w:t>
      </w:r>
      <w:r w:rsidRPr="00791EFA">
        <w:rPr>
          <w:rFonts w:ascii="Garamond" w:hAnsi="Garamond" w:cs="Times New Roman"/>
          <w:sz w:val="24"/>
          <w:szCs w:val="24"/>
        </w:rPr>
        <w:t>, 18(6), 645</w:t>
      </w:r>
      <w:r w:rsidR="005F52D1" w:rsidRPr="00791EFA">
        <w:rPr>
          <w:rFonts w:ascii="Garamond" w:hAnsi="Garamond" w:cs="Times New Roman"/>
          <w:sz w:val="24"/>
          <w:szCs w:val="24"/>
        </w:rPr>
        <w:t>–</w:t>
      </w:r>
      <w:r w:rsidRPr="00791EFA">
        <w:rPr>
          <w:rFonts w:ascii="Garamond" w:hAnsi="Garamond" w:cs="Times New Roman"/>
          <w:sz w:val="24"/>
          <w:szCs w:val="24"/>
        </w:rPr>
        <w:t>659.</w:t>
      </w:r>
    </w:p>
    <w:p w14:paraId="5FCC6EA8" w14:textId="14412B49" w:rsidR="00C63513" w:rsidRPr="00791EFA" w:rsidRDefault="00AC40DC"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Shepard, R.N., &amp; Metzler, J. (1971). Mental rotation of three-dimensional objects. </w:t>
      </w:r>
      <w:r w:rsidRPr="00791EFA">
        <w:rPr>
          <w:rFonts w:ascii="Garamond" w:hAnsi="Garamond" w:cs="Times New Roman"/>
          <w:i/>
          <w:sz w:val="24"/>
          <w:szCs w:val="24"/>
        </w:rPr>
        <w:t>Science</w:t>
      </w:r>
      <w:r w:rsidRPr="00791EFA">
        <w:rPr>
          <w:rFonts w:ascii="Garamond" w:hAnsi="Garamond" w:cs="Times New Roman"/>
          <w:sz w:val="24"/>
          <w:szCs w:val="24"/>
        </w:rPr>
        <w:t>, 171(3972), 701</w:t>
      </w:r>
      <w:r w:rsidR="007122FB" w:rsidRPr="00791EFA">
        <w:rPr>
          <w:rFonts w:ascii="Garamond" w:hAnsi="Garamond" w:cs="Times New Roman"/>
          <w:sz w:val="24"/>
          <w:szCs w:val="24"/>
        </w:rPr>
        <w:t>–</w:t>
      </w:r>
      <w:r w:rsidRPr="00791EFA">
        <w:rPr>
          <w:rFonts w:ascii="Garamond" w:hAnsi="Garamond" w:cs="Times New Roman"/>
          <w:sz w:val="24"/>
          <w:szCs w:val="24"/>
        </w:rPr>
        <w:t>703.</w:t>
      </w:r>
    </w:p>
    <w:p w14:paraId="6566B536" w14:textId="232652A8" w:rsidR="00A02775" w:rsidRPr="00791EFA" w:rsidRDefault="00A0277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Storms, L.H. (1958). Apparent backward association: A situational effect</w:t>
      </w:r>
      <w:r w:rsidRPr="00791EFA">
        <w:rPr>
          <w:rFonts w:ascii="Garamond" w:hAnsi="Garamond" w:cs="Times New Roman"/>
          <w:i/>
          <w:sz w:val="24"/>
          <w:szCs w:val="24"/>
        </w:rPr>
        <w:t>. Journal of Experimental Psychology</w:t>
      </w:r>
      <w:r w:rsidRPr="00791EFA">
        <w:rPr>
          <w:rFonts w:ascii="Garamond" w:hAnsi="Garamond" w:cs="Times New Roman"/>
          <w:sz w:val="24"/>
          <w:szCs w:val="24"/>
        </w:rPr>
        <w:t>, 55(4), 390</w:t>
      </w:r>
      <w:r w:rsidR="007122FB" w:rsidRPr="00791EFA">
        <w:rPr>
          <w:rFonts w:ascii="Garamond" w:hAnsi="Garamond" w:cs="Times New Roman"/>
          <w:sz w:val="24"/>
          <w:szCs w:val="24"/>
        </w:rPr>
        <w:t>–395</w:t>
      </w:r>
      <w:r w:rsidRPr="00791EFA">
        <w:rPr>
          <w:rFonts w:ascii="Garamond" w:hAnsi="Garamond" w:cs="Times New Roman"/>
          <w:sz w:val="24"/>
          <w:szCs w:val="24"/>
        </w:rPr>
        <w:t>.</w:t>
      </w:r>
    </w:p>
    <w:p w14:paraId="67B5EDD3" w14:textId="68356E00" w:rsidR="00A02775" w:rsidRPr="00791EFA" w:rsidRDefault="00A02775"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Thorndike, E.L. (1932). The </w:t>
      </w:r>
      <w:r w:rsidR="007122FB" w:rsidRPr="00791EFA">
        <w:rPr>
          <w:rFonts w:ascii="Garamond" w:hAnsi="Garamond" w:cs="Times New Roman"/>
          <w:sz w:val="24"/>
          <w:szCs w:val="24"/>
        </w:rPr>
        <w:t>F</w:t>
      </w:r>
      <w:r w:rsidRPr="00791EFA">
        <w:rPr>
          <w:rFonts w:ascii="Garamond" w:hAnsi="Garamond" w:cs="Times New Roman"/>
          <w:sz w:val="24"/>
          <w:szCs w:val="24"/>
        </w:rPr>
        <w:t xml:space="preserve">undamentals of </w:t>
      </w:r>
      <w:r w:rsidR="007122FB" w:rsidRPr="00791EFA">
        <w:rPr>
          <w:rFonts w:ascii="Garamond" w:hAnsi="Garamond" w:cs="Times New Roman"/>
          <w:sz w:val="24"/>
          <w:szCs w:val="24"/>
        </w:rPr>
        <w:t>L</w:t>
      </w:r>
      <w:r w:rsidRPr="00791EFA">
        <w:rPr>
          <w:rFonts w:ascii="Garamond" w:hAnsi="Garamond" w:cs="Times New Roman"/>
          <w:sz w:val="24"/>
          <w:szCs w:val="24"/>
        </w:rPr>
        <w:t>earning. New York, NY: Teachers College Bureau of Publications.</w:t>
      </w:r>
    </w:p>
    <w:p w14:paraId="4D308141" w14:textId="290C8A41" w:rsidR="00A02775" w:rsidRPr="00791EFA" w:rsidRDefault="005C3D0E"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Treisman, A.M., &amp; Gelade, G. (1980). A feature-integration theory of attention</w:t>
      </w:r>
      <w:r w:rsidRPr="00791EFA">
        <w:rPr>
          <w:rFonts w:ascii="Garamond" w:hAnsi="Garamond" w:cs="Times New Roman"/>
          <w:i/>
          <w:sz w:val="24"/>
          <w:szCs w:val="24"/>
        </w:rPr>
        <w:t xml:space="preserve">. Cognitive </w:t>
      </w:r>
      <w:r w:rsidR="007122FB" w:rsidRPr="00791EFA">
        <w:rPr>
          <w:rFonts w:ascii="Garamond" w:hAnsi="Garamond" w:cs="Times New Roman"/>
          <w:i/>
          <w:sz w:val="24"/>
          <w:szCs w:val="24"/>
        </w:rPr>
        <w:t>P</w:t>
      </w:r>
      <w:r w:rsidRPr="00791EFA">
        <w:rPr>
          <w:rFonts w:ascii="Garamond" w:hAnsi="Garamond" w:cs="Times New Roman"/>
          <w:i/>
          <w:sz w:val="24"/>
          <w:szCs w:val="24"/>
        </w:rPr>
        <w:t>sychology</w:t>
      </w:r>
      <w:r w:rsidRPr="00791EFA">
        <w:rPr>
          <w:rFonts w:ascii="Garamond" w:hAnsi="Garamond" w:cs="Times New Roman"/>
          <w:sz w:val="24"/>
          <w:szCs w:val="24"/>
        </w:rPr>
        <w:t>, 12(1), 97</w:t>
      </w:r>
      <w:r w:rsidR="007122FB" w:rsidRPr="00791EFA">
        <w:rPr>
          <w:rFonts w:ascii="Garamond" w:hAnsi="Garamond" w:cs="Times New Roman"/>
          <w:sz w:val="24"/>
          <w:szCs w:val="24"/>
        </w:rPr>
        <w:t>–</w:t>
      </w:r>
      <w:r w:rsidRPr="00791EFA">
        <w:rPr>
          <w:rFonts w:ascii="Garamond" w:hAnsi="Garamond" w:cs="Times New Roman"/>
          <w:sz w:val="24"/>
          <w:szCs w:val="24"/>
        </w:rPr>
        <w:t>136.</w:t>
      </w:r>
    </w:p>
    <w:p w14:paraId="42D5441E" w14:textId="3D3B628C" w:rsidR="00D0325D" w:rsidRPr="00791EFA" w:rsidRDefault="00C63513" w:rsidP="00C86BD1">
      <w:pPr>
        <w:spacing w:after="120" w:line="480" w:lineRule="auto"/>
        <w:ind w:left="720" w:hanging="720"/>
        <w:contextualSpacing/>
        <w:rPr>
          <w:rFonts w:ascii="Garamond" w:hAnsi="Garamond" w:cs="Times New Roman"/>
          <w:sz w:val="24"/>
          <w:szCs w:val="24"/>
        </w:rPr>
      </w:pPr>
      <w:r w:rsidRPr="00791EFA">
        <w:rPr>
          <w:rFonts w:ascii="Garamond" w:hAnsi="Garamond" w:cs="Times New Roman"/>
          <w:sz w:val="24"/>
          <w:szCs w:val="24"/>
        </w:rPr>
        <w:t xml:space="preserve">Tolman, E.C. (1948). Cognitive maps in rats and men. </w:t>
      </w:r>
      <w:r w:rsidRPr="00791EFA">
        <w:rPr>
          <w:rFonts w:ascii="Garamond" w:hAnsi="Garamond" w:cs="Times New Roman"/>
          <w:i/>
          <w:sz w:val="24"/>
          <w:szCs w:val="24"/>
        </w:rPr>
        <w:t xml:space="preserve">Psychological </w:t>
      </w:r>
      <w:r w:rsidR="007122FB" w:rsidRPr="00791EFA">
        <w:rPr>
          <w:rFonts w:ascii="Garamond" w:hAnsi="Garamond" w:cs="Times New Roman"/>
          <w:sz w:val="24"/>
          <w:szCs w:val="24"/>
        </w:rPr>
        <w:t>R</w:t>
      </w:r>
      <w:r w:rsidRPr="00791EFA">
        <w:rPr>
          <w:rFonts w:ascii="Garamond" w:hAnsi="Garamond" w:cs="Times New Roman"/>
          <w:i/>
          <w:sz w:val="24"/>
          <w:szCs w:val="24"/>
        </w:rPr>
        <w:t>eview</w:t>
      </w:r>
      <w:r w:rsidRPr="00791EFA">
        <w:rPr>
          <w:rFonts w:ascii="Garamond" w:hAnsi="Garamond" w:cs="Times New Roman"/>
          <w:sz w:val="24"/>
          <w:szCs w:val="24"/>
        </w:rPr>
        <w:t>, 55(4), 189</w:t>
      </w:r>
      <w:r w:rsidR="007122FB" w:rsidRPr="00791EFA">
        <w:rPr>
          <w:rFonts w:ascii="Garamond" w:hAnsi="Garamond" w:cs="Times New Roman"/>
          <w:sz w:val="24"/>
          <w:szCs w:val="24"/>
        </w:rPr>
        <w:t>–208</w:t>
      </w:r>
      <w:r w:rsidRPr="00791EFA">
        <w:rPr>
          <w:rFonts w:ascii="Garamond" w:hAnsi="Garamond" w:cs="Times New Roman"/>
          <w:sz w:val="24"/>
          <w:szCs w:val="24"/>
        </w:rPr>
        <w:t>.</w:t>
      </w:r>
    </w:p>
    <w:p w14:paraId="5AB1CE49" w14:textId="67F6FA29" w:rsidR="00F64938" w:rsidRPr="00791EFA" w:rsidRDefault="00D0325D" w:rsidP="00C86BD1">
      <w:pPr>
        <w:pBdr>
          <w:top w:val="none" w:sz="0" w:space="0" w:color="auto"/>
          <w:left w:val="none" w:sz="0" w:space="0" w:color="auto"/>
          <w:bottom w:val="none" w:sz="0" w:space="0" w:color="auto"/>
          <w:right w:val="none" w:sz="0" w:space="0" w:color="auto"/>
          <w:between w:val="none" w:sz="0" w:space="0" w:color="auto"/>
        </w:pBdr>
        <w:spacing w:after="120" w:line="480" w:lineRule="auto"/>
        <w:ind w:left="720" w:hanging="720"/>
        <w:contextualSpacing/>
        <w:rPr>
          <w:rFonts w:ascii="Garamond" w:eastAsia="Times New Roman" w:hAnsi="Garamond" w:cs="Times New Roman"/>
          <w:color w:val="auto"/>
          <w:sz w:val="24"/>
          <w:szCs w:val="24"/>
          <w:lang w:val="en-US"/>
        </w:rPr>
      </w:pPr>
      <w:r w:rsidRPr="00791EFA">
        <w:rPr>
          <w:rFonts w:ascii="Garamond" w:eastAsia="Times New Roman" w:hAnsi="Garamond" w:cs="Times New Roman"/>
          <w:color w:val="222222"/>
          <w:sz w:val="24"/>
          <w:szCs w:val="24"/>
          <w:shd w:val="clear" w:color="auto" w:fill="FFFFFF"/>
          <w:lang w:val="en-US"/>
        </w:rPr>
        <w:t>Ullman, S. (1996). </w:t>
      </w:r>
      <w:r w:rsidRPr="00791EFA">
        <w:rPr>
          <w:rFonts w:ascii="Garamond" w:eastAsia="Times New Roman" w:hAnsi="Garamond" w:cs="Times New Roman"/>
          <w:i/>
          <w:iCs/>
          <w:color w:val="222222"/>
          <w:sz w:val="24"/>
          <w:szCs w:val="24"/>
          <w:shd w:val="clear" w:color="auto" w:fill="FFFFFF"/>
          <w:lang w:val="en-US"/>
        </w:rPr>
        <w:t>High-</w:t>
      </w:r>
      <w:r w:rsidR="007122FB" w:rsidRPr="00791EFA">
        <w:rPr>
          <w:rFonts w:ascii="Garamond" w:eastAsia="Times New Roman" w:hAnsi="Garamond" w:cs="Times New Roman"/>
          <w:i/>
          <w:iCs/>
          <w:color w:val="222222"/>
          <w:sz w:val="24"/>
          <w:szCs w:val="24"/>
          <w:shd w:val="clear" w:color="auto" w:fill="FFFFFF"/>
          <w:lang w:val="en-US"/>
        </w:rPr>
        <w:t>L</w:t>
      </w:r>
      <w:r w:rsidRPr="00791EFA">
        <w:rPr>
          <w:rFonts w:ascii="Garamond" w:eastAsia="Times New Roman" w:hAnsi="Garamond" w:cs="Times New Roman"/>
          <w:i/>
          <w:iCs/>
          <w:color w:val="222222"/>
          <w:sz w:val="24"/>
          <w:szCs w:val="24"/>
          <w:shd w:val="clear" w:color="auto" w:fill="FFFFFF"/>
          <w:lang w:val="en-US"/>
        </w:rPr>
        <w:t xml:space="preserve">evel </w:t>
      </w:r>
      <w:r w:rsidR="007122FB" w:rsidRPr="00791EFA">
        <w:rPr>
          <w:rFonts w:ascii="Garamond" w:eastAsia="Times New Roman" w:hAnsi="Garamond" w:cs="Times New Roman"/>
          <w:i/>
          <w:iCs/>
          <w:color w:val="222222"/>
          <w:sz w:val="24"/>
          <w:szCs w:val="24"/>
          <w:shd w:val="clear" w:color="auto" w:fill="FFFFFF"/>
          <w:lang w:val="en-US"/>
        </w:rPr>
        <w:t>V</w:t>
      </w:r>
      <w:r w:rsidRPr="00791EFA">
        <w:rPr>
          <w:rFonts w:ascii="Garamond" w:eastAsia="Times New Roman" w:hAnsi="Garamond" w:cs="Times New Roman"/>
          <w:i/>
          <w:iCs/>
          <w:color w:val="222222"/>
          <w:sz w:val="24"/>
          <w:szCs w:val="24"/>
          <w:shd w:val="clear" w:color="auto" w:fill="FFFFFF"/>
          <w:lang w:val="en-US"/>
        </w:rPr>
        <w:t xml:space="preserve">ision: Object </w:t>
      </w:r>
      <w:r w:rsidR="007122FB" w:rsidRPr="00791EFA">
        <w:rPr>
          <w:rFonts w:ascii="Garamond" w:eastAsia="Times New Roman" w:hAnsi="Garamond" w:cs="Times New Roman"/>
          <w:i/>
          <w:iCs/>
          <w:color w:val="222222"/>
          <w:sz w:val="24"/>
          <w:szCs w:val="24"/>
          <w:shd w:val="clear" w:color="auto" w:fill="FFFFFF"/>
          <w:lang w:val="en-US"/>
        </w:rPr>
        <w:t>R</w:t>
      </w:r>
      <w:r w:rsidRPr="00791EFA">
        <w:rPr>
          <w:rFonts w:ascii="Garamond" w:eastAsia="Times New Roman" w:hAnsi="Garamond" w:cs="Times New Roman"/>
          <w:i/>
          <w:iCs/>
          <w:color w:val="222222"/>
          <w:sz w:val="24"/>
          <w:szCs w:val="24"/>
          <w:shd w:val="clear" w:color="auto" w:fill="FFFFFF"/>
          <w:lang w:val="en-US"/>
        </w:rPr>
        <w:t xml:space="preserve">ecognition and </w:t>
      </w:r>
      <w:r w:rsidR="007122FB" w:rsidRPr="00791EFA">
        <w:rPr>
          <w:rFonts w:ascii="Garamond" w:eastAsia="Times New Roman" w:hAnsi="Garamond" w:cs="Times New Roman"/>
          <w:i/>
          <w:iCs/>
          <w:color w:val="222222"/>
          <w:sz w:val="24"/>
          <w:szCs w:val="24"/>
          <w:shd w:val="clear" w:color="auto" w:fill="FFFFFF"/>
          <w:lang w:val="en-US"/>
        </w:rPr>
        <w:t>V</w:t>
      </w:r>
      <w:r w:rsidRPr="00791EFA">
        <w:rPr>
          <w:rFonts w:ascii="Garamond" w:eastAsia="Times New Roman" w:hAnsi="Garamond" w:cs="Times New Roman"/>
          <w:i/>
          <w:iCs/>
          <w:color w:val="222222"/>
          <w:sz w:val="24"/>
          <w:szCs w:val="24"/>
          <w:shd w:val="clear" w:color="auto" w:fill="FFFFFF"/>
          <w:lang w:val="en-US"/>
        </w:rPr>
        <w:t xml:space="preserve">isual </w:t>
      </w:r>
      <w:r w:rsidR="007122FB" w:rsidRPr="00791EFA">
        <w:rPr>
          <w:rFonts w:ascii="Garamond" w:eastAsia="Times New Roman" w:hAnsi="Garamond" w:cs="Times New Roman"/>
          <w:i/>
          <w:iCs/>
          <w:color w:val="222222"/>
          <w:sz w:val="24"/>
          <w:szCs w:val="24"/>
          <w:shd w:val="clear" w:color="auto" w:fill="FFFFFF"/>
          <w:lang w:val="en-US"/>
        </w:rPr>
        <w:t>C</w:t>
      </w:r>
      <w:r w:rsidRPr="00791EFA">
        <w:rPr>
          <w:rFonts w:ascii="Garamond" w:eastAsia="Times New Roman" w:hAnsi="Garamond" w:cs="Times New Roman"/>
          <w:i/>
          <w:iCs/>
          <w:color w:val="222222"/>
          <w:sz w:val="24"/>
          <w:szCs w:val="24"/>
          <w:shd w:val="clear" w:color="auto" w:fill="FFFFFF"/>
          <w:lang w:val="en-US"/>
        </w:rPr>
        <w:t>ognition</w:t>
      </w:r>
      <w:r w:rsidRPr="00791EFA">
        <w:rPr>
          <w:rFonts w:ascii="Garamond" w:eastAsia="Times New Roman" w:hAnsi="Garamond" w:cs="Times New Roman"/>
          <w:color w:val="222222"/>
          <w:sz w:val="24"/>
          <w:szCs w:val="24"/>
          <w:shd w:val="clear" w:color="auto" w:fill="FFFFFF"/>
          <w:lang w:val="en-US"/>
        </w:rPr>
        <w:t xml:space="preserve">. Cambridge, MA: MIT </w:t>
      </w:r>
      <w:r w:rsidR="007A36FA" w:rsidRPr="00791EFA">
        <w:rPr>
          <w:rFonts w:ascii="Garamond" w:eastAsia="Times New Roman" w:hAnsi="Garamond" w:cs="Times New Roman"/>
          <w:color w:val="222222"/>
          <w:sz w:val="24"/>
          <w:szCs w:val="24"/>
          <w:shd w:val="clear" w:color="auto" w:fill="FFFFFF"/>
          <w:lang w:val="en-US"/>
        </w:rPr>
        <w:t>Press.</w:t>
      </w:r>
    </w:p>
    <w:sectPr w:rsidR="00F64938" w:rsidRPr="00791EFA">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6A69D" w14:textId="77777777" w:rsidR="008A22B3" w:rsidRDefault="008A22B3">
      <w:pPr>
        <w:spacing w:line="240" w:lineRule="auto"/>
      </w:pPr>
      <w:r>
        <w:separator/>
      </w:r>
    </w:p>
  </w:endnote>
  <w:endnote w:type="continuationSeparator" w:id="0">
    <w:p w14:paraId="73F905CA" w14:textId="77777777" w:rsidR="008A22B3" w:rsidRDefault="008A2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263694"/>
      <w:docPartObj>
        <w:docPartGallery w:val="Page Numbers (Bottom of Page)"/>
        <w:docPartUnique/>
      </w:docPartObj>
    </w:sdtPr>
    <w:sdtEndPr>
      <w:rPr>
        <w:noProof/>
      </w:rPr>
    </w:sdtEndPr>
    <w:sdtContent>
      <w:p w14:paraId="4B7AEC05" w14:textId="6E093A0F" w:rsidR="00C22EE7" w:rsidRDefault="00C22EE7">
        <w:pPr>
          <w:pStyle w:val="Footer"/>
          <w:jc w:val="center"/>
        </w:pPr>
        <w:r w:rsidRPr="00155965">
          <w:rPr>
            <w:rFonts w:ascii="Garamond" w:hAnsi="Garamond"/>
            <w:sz w:val="24"/>
            <w:szCs w:val="24"/>
          </w:rPr>
          <w:fldChar w:fldCharType="begin"/>
        </w:r>
        <w:r w:rsidRPr="00155965">
          <w:rPr>
            <w:rFonts w:ascii="Garamond" w:hAnsi="Garamond"/>
            <w:sz w:val="24"/>
            <w:szCs w:val="24"/>
          </w:rPr>
          <w:instrText xml:space="preserve"> PAGE   \* MERGEFORMAT </w:instrText>
        </w:r>
        <w:r w:rsidRPr="00155965">
          <w:rPr>
            <w:rFonts w:ascii="Garamond" w:hAnsi="Garamond"/>
            <w:sz w:val="24"/>
            <w:szCs w:val="24"/>
          </w:rPr>
          <w:fldChar w:fldCharType="separate"/>
        </w:r>
        <w:r w:rsidR="007E104E">
          <w:rPr>
            <w:rFonts w:ascii="Garamond" w:hAnsi="Garamond"/>
            <w:noProof/>
            <w:sz w:val="24"/>
            <w:szCs w:val="24"/>
          </w:rPr>
          <w:t>1</w:t>
        </w:r>
        <w:r w:rsidRPr="00155965">
          <w:rPr>
            <w:rFonts w:ascii="Garamond" w:hAnsi="Garamond"/>
            <w:noProof/>
            <w:sz w:val="24"/>
            <w:szCs w:val="24"/>
          </w:rPr>
          <w:fldChar w:fldCharType="end"/>
        </w:r>
      </w:p>
    </w:sdtContent>
  </w:sdt>
  <w:p w14:paraId="1F92B775" w14:textId="77777777" w:rsidR="00C22EE7" w:rsidRDefault="00C22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052C1" w14:textId="77777777" w:rsidR="008A22B3" w:rsidRDefault="008A22B3">
      <w:pPr>
        <w:spacing w:line="240" w:lineRule="auto"/>
      </w:pPr>
      <w:r>
        <w:separator/>
      </w:r>
    </w:p>
  </w:footnote>
  <w:footnote w:type="continuationSeparator" w:id="0">
    <w:p w14:paraId="2EC3DB1E" w14:textId="77777777" w:rsidR="008A22B3" w:rsidRDefault="008A22B3">
      <w:pPr>
        <w:spacing w:line="240" w:lineRule="auto"/>
      </w:pPr>
      <w:r>
        <w:continuationSeparator/>
      </w:r>
    </w:p>
  </w:footnote>
  <w:footnote w:id="1">
    <w:p w14:paraId="1213C71F" w14:textId="00CD424E" w:rsidR="00863FF9" w:rsidRPr="00863FF9" w:rsidRDefault="00863FF9" w:rsidP="00863FF9">
      <w:pPr>
        <w:rPr>
          <w:rFonts w:ascii="Garamond" w:hAnsi="Garamond" w:cs="Times New Roman"/>
          <w:b/>
          <w:bCs/>
          <w:sz w:val="24"/>
          <w:szCs w:val="24"/>
        </w:rPr>
      </w:pPr>
      <w:r w:rsidRPr="00863FF9">
        <w:rPr>
          <w:rStyle w:val="FootnoteReference"/>
          <w:rFonts w:ascii="Garamond" w:hAnsi="Garamond"/>
          <w:sz w:val="24"/>
          <w:szCs w:val="24"/>
        </w:rPr>
        <w:footnoteRef/>
      </w:r>
      <w:r w:rsidRPr="00863FF9">
        <w:rPr>
          <w:rFonts w:ascii="Garamond" w:hAnsi="Garamond"/>
          <w:sz w:val="24"/>
          <w:szCs w:val="24"/>
        </w:rPr>
        <w:t xml:space="preserve"> </w:t>
      </w:r>
      <w:r w:rsidRPr="00863FF9">
        <w:rPr>
          <w:rFonts w:ascii="Garamond" w:hAnsi="Garamond" w:cs="Times New Roman"/>
          <w:sz w:val="24"/>
          <w:szCs w:val="24"/>
        </w:rPr>
        <w:t xml:space="preserve">This project has received funding from the European Research Council (ERC) under the European Union's Horizon 2020 research and innovation </w:t>
      </w:r>
      <w:proofErr w:type="spellStart"/>
      <w:r w:rsidRPr="00863FF9">
        <w:rPr>
          <w:rFonts w:ascii="Garamond" w:hAnsi="Garamond" w:cs="Times New Roman"/>
          <w:sz w:val="24"/>
          <w:szCs w:val="24"/>
        </w:rPr>
        <w:t>programme</w:t>
      </w:r>
      <w:proofErr w:type="spellEnd"/>
      <w:r w:rsidRPr="00863FF9">
        <w:rPr>
          <w:rFonts w:ascii="Garamond" w:hAnsi="Garamond" w:cs="Times New Roman"/>
          <w:sz w:val="24"/>
          <w:szCs w:val="24"/>
        </w:rPr>
        <w:t> under grant agreement No 681422.</w:t>
      </w:r>
    </w:p>
  </w:footnote>
  <w:footnote w:id="2">
    <w:p w14:paraId="2C374AA2" w14:textId="59714BCB" w:rsidR="00C22EE7" w:rsidRPr="00863FF9" w:rsidRDefault="00C22EE7" w:rsidP="00C86BD1">
      <w:pPr>
        <w:spacing w:after="120" w:line="480" w:lineRule="auto"/>
        <w:contextualSpacing/>
        <w:jc w:val="both"/>
        <w:rPr>
          <w:rFonts w:ascii="Garamond" w:hAnsi="Garamond" w:cs="Times New Roman"/>
          <w:sz w:val="24"/>
          <w:szCs w:val="24"/>
        </w:rPr>
      </w:pPr>
      <w:r w:rsidRPr="00863FF9">
        <w:rPr>
          <w:rFonts w:ascii="Garamond" w:hAnsi="Garamond" w:cs="Times New Roman"/>
          <w:sz w:val="24"/>
          <w:szCs w:val="24"/>
          <w:vertAlign w:val="superscript"/>
        </w:rPr>
        <w:footnoteRef/>
      </w:r>
      <w:r w:rsidRPr="00863FF9">
        <w:rPr>
          <w:rFonts w:ascii="Garamond" w:hAnsi="Garamond" w:cs="Times New Roman"/>
          <w:sz w:val="24"/>
          <w:szCs w:val="24"/>
        </w:rPr>
        <w:t xml:space="preserve"> We also distinguished BITs from RITs (</w:t>
      </w:r>
      <w:r w:rsidRPr="00863FF9">
        <w:rPr>
          <w:rFonts w:ascii="Garamond" w:hAnsi="Garamond" w:cs="Times New Roman"/>
          <w:i/>
          <w:sz w:val="24"/>
          <w:szCs w:val="24"/>
        </w:rPr>
        <w:t>rich inferential transitions</w:t>
      </w:r>
      <w:r w:rsidRPr="00863FF9">
        <w:rPr>
          <w:rFonts w:ascii="Garamond" w:hAnsi="Garamond" w:cs="Times New Roman"/>
          <w:sz w:val="24"/>
          <w:szCs w:val="24"/>
        </w:rPr>
        <w:t>), a fuller notion of inference in which the subject is also disposed to endorse the transition.</w:t>
      </w:r>
    </w:p>
  </w:footnote>
  <w:footnote w:id="3">
    <w:p w14:paraId="6EFAC389" w14:textId="6BD8C4BE" w:rsidR="00C22EE7" w:rsidRPr="00863FF9" w:rsidRDefault="00C22EE7" w:rsidP="00C86BD1">
      <w:pPr>
        <w:pStyle w:val="FootnoteText"/>
        <w:spacing w:after="120" w:line="480" w:lineRule="auto"/>
        <w:contextualSpacing/>
        <w:jc w:val="both"/>
        <w:rPr>
          <w:rFonts w:ascii="Garamond" w:hAnsi="Garamond" w:cs="Times New Roman"/>
          <w:sz w:val="24"/>
          <w:szCs w:val="24"/>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We assume that categorization involves the application of a discursive concept to a perceived item (Mandelbaum, 2017); if that’s wrong and the outputs of categorization can be icons as well (a possible interpretation of Prinz, 2002), then the computational role of icons is yet richer.</w:t>
      </w:r>
    </w:p>
  </w:footnote>
  <w:footnote w:id="4">
    <w:p w14:paraId="252C5BAD" w14:textId="2A284221" w:rsidR="00C22EE7" w:rsidRPr="00863FF9" w:rsidRDefault="00C22EE7" w:rsidP="00C86BD1">
      <w:pPr>
        <w:pStyle w:val="FootnoteText"/>
        <w:spacing w:after="120" w:line="480" w:lineRule="auto"/>
        <w:contextualSpacing/>
        <w:jc w:val="both"/>
        <w:rPr>
          <w:rFonts w:ascii="Garamond" w:hAnsi="Garamond" w:cs="Times New Roman"/>
          <w:sz w:val="24"/>
          <w:szCs w:val="24"/>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The case might better be modeled by introducing conjunction in the predicate terms, i.e., from </w:t>
      </w:r>
      <w:r w:rsidRPr="00863FF9">
        <w:rPr>
          <w:rFonts w:ascii="Garamond" w:hAnsi="Garamond" w:cs="Times New Roman"/>
          <w:smallCaps/>
          <w:sz w:val="24"/>
          <w:szCs w:val="24"/>
        </w:rPr>
        <w:t>x is f</w:t>
      </w:r>
      <w:r w:rsidRPr="00863FF9">
        <w:rPr>
          <w:rFonts w:ascii="Garamond" w:hAnsi="Garamond" w:cs="Times New Roman"/>
          <w:sz w:val="24"/>
          <w:szCs w:val="24"/>
        </w:rPr>
        <w:t xml:space="preserve"> and </w:t>
      </w:r>
      <w:r w:rsidRPr="00863FF9">
        <w:rPr>
          <w:rFonts w:ascii="Garamond" w:hAnsi="Garamond" w:cs="Times New Roman"/>
          <w:smallCaps/>
          <w:sz w:val="24"/>
          <w:szCs w:val="24"/>
        </w:rPr>
        <w:t>x is g</w:t>
      </w:r>
      <w:r w:rsidRPr="00863FF9">
        <w:rPr>
          <w:rFonts w:ascii="Garamond" w:hAnsi="Garamond" w:cs="Times New Roman"/>
          <w:sz w:val="24"/>
          <w:szCs w:val="24"/>
        </w:rPr>
        <w:t xml:space="preserve"> to </w:t>
      </w:r>
      <w:r w:rsidRPr="00863FF9">
        <w:rPr>
          <w:rFonts w:ascii="Garamond" w:hAnsi="Garamond" w:cs="Times New Roman"/>
          <w:smallCaps/>
          <w:sz w:val="24"/>
          <w:szCs w:val="24"/>
        </w:rPr>
        <w:t>x is f and g</w:t>
      </w:r>
      <w:r w:rsidRPr="00863FF9">
        <w:rPr>
          <w:rFonts w:ascii="Garamond" w:hAnsi="Garamond" w:cs="Times New Roman"/>
          <w:sz w:val="24"/>
          <w:szCs w:val="24"/>
        </w:rPr>
        <w:t xml:space="preserve"> (though importantly not for Treisman, since feature integration </w:t>
      </w:r>
      <w:r w:rsidRPr="00863FF9">
        <w:rPr>
          <w:rFonts w:ascii="Garamond" w:hAnsi="Garamond" w:cs="Times New Roman"/>
          <w:i/>
          <w:sz w:val="24"/>
          <w:szCs w:val="24"/>
        </w:rPr>
        <w:t>a la</w:t>
      </w:r>
      <w:r w:rsidRPr="00863FF9">
        <w:rPr>
          <w:rFonts w:ascii="Garamond" w:hAnsi="Garamond" w:cs="Times New Roman"/>
          <w:sz w:val="24"/>
          <w:szCs w:val="24"/>
        </w:rPr>
        <w:t xml:space="preserve"> Treisman &amp; Gelade (1980) requires the introduction of a new object). </w:t>
      </w:r>
      <w:proofErr w:type="gramStart"/>
      <w:r w:rsidRPr="00863FF9">
        <w:rPr>
          <w:rFonts w:ascii="Garamond" w:hAnsi="Garamond" w:cs="Times New Roman"/>
          <w:sz w:val="24"/>
          <w:szCs w:val="24"/>
        </w:rPr>
        <w:t>We’ll</w:t>
      </w:r>
      <w:proofErr w:type="gramEnd"/>
      <w:r w:rsidRPr="00863FF9">
        <w:rPr>
          <w:rFonts w:ascii="Garamond" w:hAnsi="Garamond" w:cs="Times New Roman"/>
          <w:sz w:val="24"/>
          <w:szCs w:val="24"/>
        </w:rPr>
        <w:t xml:space="preserve"> generally ignore this distinction.</w:t>
      </w:r>
    </w:p>
  </w:footnote>
  <w:footnote w:id="5">
    <w:p w14:paraId="31C5CDE5" w14:textId="209BDDC5" w:rsidR="00C22EE7" w:rsidRPr="00863FF9" w:rsidRDefault="00C22EE7" w:rsidP="00C86BD1">
      <w:pPr>
        <w:pStyle w:val="FootnoteText"/>
        <w:spacing w:after="120" w:line="480" w:lineRule="auto"/>
        <w:contextualSpacing/>
        <w:jc w:val="both"/>
        <w:rPr>
          <w:rFonts w:ascii="Garamond" w:hAnsi="Garamond" w:cs="Times New Roman"/>
          <w:sz w:val="24"/>
          <w:szCs w:val="24"/>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As we’ve argued (Quilty-Dunn &amp; Mandelbaum, 2017), we don’t see Kripkenstein as threatening to the psychological reality of rules as long as one grants a competence/performance distinction sufficiently robust to distinguish failure of conformity to a psychologically real rule (like </w:t>
      </w:r>
      <w:r w:rsidRPr="00863FF9">
        <w:rPr>
          <w:rFonts w:ascii="Garamond" w:hAnsi="Garamond" w:cs="Times New Roman"/>
          <w:i/>
          <w:sz w:val="24"/>
          <w:szCs w:val="24"/>
        </w:rPr>
        <w:t>plus</w:t>
      </w:r>
      <w:r w:rsidRPr="00863FF9">
        <w:rPr>
          <w:rFonts w:ascii="Garamond" w:hAnsi="Garamond" w:cs="Times New Roman"/>
          <w:sz w:val="24"/>
          <w:szCs w:val="24"/>
        </w:rPr>
        <w:t xml:space="preserve">) from conformity to a weird rule (like </w:t>
      </w:r>
      <w:r w:rsidRPr="00863FF9">
        <w:rPr>
          <w:rFonts w:ascii="Garamond" w:hAnsi="Garamond" w:cs="Times New Roman"/>
          <w:i/>
          <w:sz w:val="24"/>
          <w:szCs w:val="24"/>
        </w:rPr>
        <w:t>quus</w:t>
      </w:r>
      <w:r w:rsidRPr="00863FF9">
        <w:rPr>
          <w:rFonts w:ascii="Garamond" w:hAnsi="Garamond" w:cs="Times New Roman"/>
          <w:sz w:val="24"/>
          <w:szCs w:val="24"/>
        </w:rPr>
        <w:t xml:space="preserve">). And Kripke’s insistence that the rule-following argument </w:t>
      </w:r>
      <w:proofErr w:type="gramStart"/>
      <w:r w:rsidRPr="00863FF9">
        <w:rPr>
          <w:rFonts w:ascii="Garamond" w:hAnsi="Garamond" w:cs="Times New Roman"/>
          <w:sz w:val="24"/>
          <w:szCs w:val="24"/>
        </w:rPr>
        <w:t>doesn’t</w:t>
      </w:r>
      <w:proofErr w:type="gramEnd"/>
      <w:r w:rsidRPr="00863FF9">
        <w:rPr>
          <w:rFonts w:ascii="Garamond" w:hAnsi="Garamond" w:cs="Times New Roman"/>
          <w:sz w:val="24"/>
          <w:szCs w:val="24"/>
        </w:rPr>
        <w:t xml:space="preserve"> assume behavioristic limitations on mental architecture (1982, 14–15) seems to us to allow for such a distinction. But we accept the Kripkensteinian point that the functional properties of finite systems like human brains cannot distinguish rules with infinite scope, such as </w:t>
      </w:r>
      <w:r w:rsidRPr="00863FF9">
        <w:rPr>
          <w:rFonts w:ascii="Garamond" w:hAnsi="Garamond" w:cs="Times New Roman"/>
          <w:i/>
          <w:sz w:val="24"/>
          <w:szCs w:val="24"/>
        </w:rPr>
        <w:t>modus ponens</w:t>
      </w:r>
      <w:r w:rsidRPr="00863FF9">
        <w:rPr>
          <w:rFonts w:ascii="Garamond" w:hAnsi="Garamond" w:cs="Times New Roman"/>
          <w:sz w:val="24"/>
          <w:szCs w:val="24"/>
        </w:rPr>
        <w:t xml:space="preserve">, from weird rules that are, for such finite systems, extensionally equivalent, such as </w:t>
      </w:r>
      <w:r w:rsidRPr="00863FF9">
        <w:rPr>
          <w:rFonts w:ascii="Garamond" w:hAnsi="Garamond" w:cs="Times New Roman"/>
          <w:i/>
          <w:sz w:val="24"/>
          <w:szCs w:val="24"/>
        </w:rPr>
        <w:t>modus schmonens</w:t>
      </w:r>
      <w:r w:rsidRPr="00863FF9">
        <w:rPr>
          <w:rFonts w:ascii="Garamond" w:hAnsi="Garamond" w:cs="Times New Roman"/>
          <w:sz w:val="24"/>
          <w:szCs w:val="24"/>
        </w:rPr>
        <w:t xml:space="preserve"> (which is equivalent to </w:t>
      </w:r>
      <w:r w:rsidRPr="00863FF9">
        <w:rPr>
          <w:rFonts w:ascii="Garamond" w:hAnsi="Garamond" w:cs="Times New Roman"/>
          <w:i/>
          <w:sz w:val="24"/>
          <w:szCs w:val="24"/>
        </w:rPr>
        <w:t>modus ponens</w:t>
      </w:r>
      <w:r w:rsidRPr="00863FF9">
        <w:rPr>
          <w:rFonts w:ascii="Garamond" w:hAnsi="Garamond" w:cs="Times New Roman"/>
          <w:sz w:val="24"/>
          <w:szCs w:val="24"/>
        </w:rPr>
        <w:t xml:space="preserve"> except for conjunctions so large they cannot be thought by a human being in any possible world). Our account entails that all extensionally equivalent rules that describe 100% of transitions made in worlds where human beings think without performance errors are built into the architecture. Since these rules will thereby be truth-preservationally equivalent for propositions thinkable by humans, we </w:t>
      </w:r>
      <w:proofErr w:type="gramStart"/>
      <w:r w:rsidRPr="00863FF9">
        <w:rPr>
          <w:rFonts w:ascii="Garamond" w:hAnsi="Garamond" w:cs="Times New Roman"/>
          <w:sz w:val="24"/>
          <w:szCs w:val="24"/>
        </w:rPr>
        <w:t>don’t</w:t>
      </w:r>
      <w:proofErr w:type="gramEnd"/>
      <w:r w:rsidRPr="00863FF9">
        <w:rPr>
          <w:rFonts w:ascii="Garamond" w:hAnsi="Garamond" w:cs="Times New Roman"/>
          <w:sz w:val="24"/>
          <w:szCs w:val="24"/>
        </w:rPr>
        <w:t xml:space="preserve"> see this entailment of our view as skeptical in any deeply worrying sense. Thus </w:t>
      </w:r>
      <w:r w:rsidRPr="00863FF9">
        <w:rPr>
          <w:rFonts w:ascii="Garamond" w:hAnsi="Garamond" w:cs="Times New Roman"/>
          <w:i/>
          <w:sz w:val="24"/>
          <w:szCs w:val="24"/>
        </w:rPr>
        <w:t>modus ponens</w:t>
      </w:r>
      <w:r w:rsidRPr="00863FF9">
        <w:rPr>
          <w:rFonts w:ascii="Garamond" w:hAnsi="Garamond" w:cs="Times New Roman"/>
          <w:sz w:val="24"/>
          <w:szCs w:val="24"/>
        </w:rPr>
        <w:t xml:space="preserve"> and </w:t>
      </w:r>
      <w:r w:rsidRPr="00863FF9">
        <w:rPr>
          <w:rFonts w:ascii="Garamond" w:hAnsi="Garamond" w:cs="Times New Roman"/>
          <w:i/>
          <w:sz w:val="24"/>
          <w:szCs w:val="24"/>
        </w:rPr>
        <w:t>modus schmonens</w:t>
      </w:r>
      <w:r w:rsidRPr="00863FF9">
        <w:rPr>
          <w:rFonts w:ascii="Garamond" w:hAnsi="Garamond" w:cs="Times New Roman"/>
          <w:sz w:val="24"/>
          <w:szCs w:val="24"/>
        </w:rPr>
        <w:t xml:space="preserve"> have equal psychological reality and human inference preserves truth no more or less than we pre-theoretically thought it did.</w:t>
      </w:r>
    </w:p>
  </w:footnote>
  <w:footnote w:id="6">
    <w:p w14:paraId="0C78A010" w14:textId="77777777" w:rsidR="00C22EE7" w:rsidRPr="00863FF9" w:rsidRDefault="00C22EE7" w:rsidP="00C86BD1">
      <w:pPr>
        <w:pStyle w:val="FootnoteText"/>
        <w:spacing w:after="120" w:line="480" w:lineRule="auto"/>
        <w:contextualSpacing/>
        <w:jc w:val="both"/>
        <w:rPr>
          <w:rFonts w:ascii="Garamond" w:hAnsi="Garamond" w:cs="Times New Roman"/>
          <w:sz w:val="24"/>
          <w:szCs w:val="24"/>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We use asterisks to denote aspects of icons.</w:t>
      </w:r>
    </w:p>
  </w:footnote>
  <w:footnote w:id="7">
    <w:p w14:paraId="0AA13F70" w14:textId="77777777" w:rsidR="00C22EE7" w:rsidRPr="00863FF9" w:rsidRDefault="00C22EE7" w:rsidP="00C86BD1">
      <w:pPr>
        <w:pStyle w:val="FootnoteText"/>
        <w:spacing w:after="120" w:line="480" w:lineRule="auto"/>
        <w:contextualSpacing/>
        <w:jc w:val="both"/>
        <w:rPr>
          <w:rFonts w:ascii="Garamond" w:hAnsi="Garamond" w:cs="Times New Roman"/>
          <w:sz w:val="24"/>
          <w:szCs w:val="24"/>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We’re trying to be as non-committal as possible about what causes these features to be integrated; it might be that they’re represented at the same location (in which case the rules should be enriched to reflect sameness of location) or simply that they’re attended together.</w:t>
      </w:r>
    </w:p>
  </w:footnote>
  <w:footnote w:id="8">
    <w:p w14:paraId="670B52F3" w14:textId="77777777" w:rsidR="00C22EE7" w:rsidRPr="00863FF9" w:rsidRDefault="00C22EE7" w:rsidP="00C86BD1">
      <w:pPr>
        <w:pStyle w:val="FootnoteText"/>
        <w:spacing w:after="120" w:line="480" w:lineRule="auto"/>
        <w:contextualSpacing/>
        <w:jc w:val="both"/>
        <w:rPr>
          <w:rFonts w:ascii="Garamond" w:hAnsi="Garamond" w:cs="Times New Roman"/>
          <w:sz w:val="24"/>
          <w:szCs w:val="24"/>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Note that content-specificity in this sense is compatible with being formal in a different, computational sense, i.e., that computation operates over symbols in virtue of their internal symbolic features and not what they actually represent out in the world (Fodor 1980). Here we mean that a rule that pertains only to the concept </w:t>
      </w:r>
      <w:r w:rsidRPr="00863FF9">
        <w:rPr>
          <w:rFonts w:ascii="Garamond" w:hAnsi="Garamond" w:cs="Times New Roman"/>
          <w:smallCaps/>
          <w:sz w:val="24"/>
          <w:szCs w:val="24"/>
        </w:rPr>
        <w:t>dog</w:t>
      </w:r>
      <w:r w:rsidRPr="00863FF9">
        <w:rPr>
          <w:rFonts w:ascii="Garamond" w:hAnsi="Garamond" w:cs="Times New Roman"/>
          <w:sz w:val="24"/>
          <w:szCs w:val="24"/>
        </w:rPr>
        <w:t xml:space="preserve"> is content-specific because it doesn’t pertain to </w:t>
      </w:r>
      <w:r w:rsidRPr="00863FF9">
        <w:rPr>
          <w:rFonts w:ascii="Garamond" w:hAnsi="Garamond" w:cs="Times New Roman"/>
          <w:smallCaps/>
          <w:sz w:val="24"/>
          <w:szCs w:val="24"/>
        </w:rPr>
        <w:t>cat</w:t>
      </w:r>
      <w:r w:rsidRPr="00863FF9">
        <w:rPr>
          <w:rFonts w:ascii="Garamond" w:hAnsi="Garamond" w:cs="Times New Roman"/>
          <w:sz w:val="24"/>
          <w:szCs w:val="24"/>
        </w:rPr>
        <w:t xml:space="preserve"> despite </w:t>
      </w:r>
      <w:r w:rsidRPr="00863FF9">
        <w:rPr>
          <w:rFonts w:ascii="Garamond" w:hAnsi="Garamond" w:cs="Times New Roman"/>
          <w:smallCaps/>
          <w:sz w:val="24"/>
          <w:szCs w:val="24"/>
        </w:rPr>
        <w:t>dog</w:t>
      </w:r>
      <w:r w:rsidRPr="00863FF9">
        <w:rPr>
          <w:rFonts w:ascii="Garamond" w:hAnsi="Garamond" w:cs="Times New Roman"/>
          <w:sz w:val="24"/>
          <w:szCs w:val="24"/>
        </w:rPr>
        <w:t xml:space="preserve"> and </w:t>
      </w:r>
      <w:r w:rsidRPr="00863FF9">
        <w:rPr>
          <w:rFonts w:ascii="Garamond" w:hAnsi="Garamond" w:cs="Times New Roman"/>
          <w:smallCaps/>
          <w:sz w:val="24"/>
          <w:szCs w:val="24"/>
        </w:rPr>
        <w:t>cat</w:t>
      </w:r>
      <w:r w:rsidRPr="00863FF9">
        <w:rPr>
          <w:rFonts w:ascii="Garamond" w:hAnsi="Garamond" w:cs="Times New Roman"/>
          <w:sz w:val="24"/>
          <w:szCs w:val="24"/>
        </w:rPr>
        <w:t xml:space="preserve"> being structurally equivalent; it is compatible with this notion of content-specificity that the rule is “solipsistic”, i.e., that it specifies the symbol </w:t>
      </w:r>
      <w:r w:rsidRPr="00863FF9">
        <w:rPr>
          <w:rFonts w:ascii="Garamond" w:hAnsi="Garamond" w:cs="Times New Roman"/>
          <w:smallCaps/>
          <w:sz w:val="24"/>
          <w:szCs w:val="24"/>
        </w:rPr>
        <w:t>dog</w:t>
      </w:r>
      <w:r w:rsidRPr="00863FF9">
        <w:rPr>
          <w:rFonts w:ascii="Garamond" w:hAnsi="Garamond" w:cs="Times New Roman"/>
          <w:sz w:val="24"/>
          <w:szCs w:val="24"/>
        </w:rPr>
        <w:t xml:space="preserve"> in a way that is completely blind to what </w:t>
      </w:r>
      <w:r w:rsidRPr="00863FF9">
        <w:rPr>
          <w:rFonts w:ascii="Garamond" w:hAnsi="Garamond" w:cs="Times New Roman"/>
          <w:smallCaps/>
          <w:sz w:val="24"/>
          <w:szCs w:val="24"/>
        </w:rPr>
        <w:t>dog</w:t>
      </w:r>
      <w:r w:rsidRPr="00863FF9">
        <w:rPr>
          <w:rFonts w:ascii="Garamond" w:hAnsi="Garamond" w:cs="Times New Roman"/>
          <w:sz w:val="24"/>
          <w:szCs w:val="24"/>
        </w:rPr>
        <w:t xml:space="preserve"> represents.</w:t>
      </w:r>
    </w:p>
  </w:footnote>
  <w:footnote w:id="9">
    <w:p w14:paraId="3644F104" w14:textId="4EE62C74" w:rsidR="00C22EE7" w:rsidRPr="00863FF9" w:rsidRDefault="00C22EE7" w:rsidP="00C86BD1">
      <w:pPr>
        <w:pStyle w:val="FootnoteText"/>
        <w:spacing w:line="480" w:lineRule="auto"/>
        <w:contextualSpacing/>
        <w:rPr>
          <w:rFonts w:ascii="Garamond" w:hAnsi="Garamond" w:cs="Times New Roman"/>
          <w:sz w:val="24"/>
          <w:szCs w:val="24"/>
          <w:lang w:val="en-US"/>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w:t>
      </w:r>
      <w:proofErr w:type="gramStart"/>
      <w:r w:rsidRPr="00863FF9">
        <w:rPr>
          <w:rFonts w:ascii="Garamond" w:hAnsi="Garamond" w:cs="Times New Roman"/>
          <w:sz w:val="24"/>
          <w:szCs w:val="24"/>
          <w:lang w:val="en-US"/>
        </w:rPr>
        <w:t>We’ve</w:t>
      </w:r>
      <w:proofErr w:type="gramEnd"/>
      <w:r w:rsidRPr="00863FF9">
        <w:rPr>
          <w:rFonts w:ascii="Garamond" w:hAnsi="Garamond" w:cs="Times New Roman"/>
          <w:sz w:val="24"/>
          <w:szCs w:val="24"/>
          <w:lang w:val="en-US"/>
        </w:rPr>
        <w:t xml:space="preserve"> discussed elsewhere some inference forms like semantic entailment (e.g., </w:t>
      </w:r>
      <w:r w:rsidRPr="00863FF9">
        <w:rPr>
          <w:rFonts w:ascii="Garamond" w:hAnsi="Garamond" w:cs="Times New Roman"/>
          <w:smallCaps/>
          <w:sz w:val="24"/>
          <w:szCs w:val="24"/>
          <w:lang w:val="en-US"/>
        </w:rPr>
        <w:t xml:space="preserve">x is red </w:t>
      </w:r>
      <w:r w:rsidRPr="00863FF9">
        <w:rPr>
          <w:rFonts w:ascii="Garamond" w:hAnsi="Garamond" w:cs="Times New Roman"/>
          <w:sz w:val="24"/>
          <w:szCs w:val="24"/>
          <w:lang w:val="en-US"/>
        </w:rPr>
        <w:t xml:space="preserve">to </w:t>
      </w:r>
      <w:r w:rsidRPr="00863FF9">
        <w:rPr>
          <w:rFonts w:ascii="Garamond" w:hAnsi="Garamond" w:cs="Times New Roman"/>
          <w:smallCaps/>
          <w:sz w:val="24"/>
          <w:szCs w:val="24"/>
          <w:lang w:val="en-US"/>
        </w:rPr>
        <w:t>x is colored</w:t>
      </w:r>
      <w:r w:rsidRPr="00863FF9">
        <w:rPr>
          <w:rFonts w:ascii="Garamond" w:hAnsi="Garamond" w:cs="Times New Roman"/>
          <w:sz w:val="24"/>
          <w:szCs w:val="24"/>
          <w:lang w:val="en-US"/>
        </w:rPr>
        <w:t xml:space="preserve">) and probabilistic reasoning (Quilty-Dunn &amp; Mandelbaum, 2018). The former </w:t>
      </w:r>
      <w:proofErr w:type="gramStart"/>
      <w:r w:rsidRPr="00863FF9">
        <w:rPr>
          <w:rFonts w:ascii="Garamond" w:hAnsi="Garamond" w:cs="Times New Roman"/>
          <w:sz w:val="24"/>
          <w:szCs w:val="24"/>
          <w:lang w:val="en-US"/>
        </w:rPr>
        <w:t>seem</w:t>
      </w:r>
      <w:proofErr w:type="gramEnd"/>
      <w:r w:rsidRPr="00863FF9">
        <w:rPr>
          <w:rFonts w:ascii="Garamond" w:hAnsi="Garamond" w:cs="Times New Roman"/>
          <w:sz w:val="24"/>
          <w:szCs w:val="24"/>
          <w:lang w:val="en-US"/>
        </w:rPr>
        <w:t xml:space="preserve"> to us to be genuinely inferential only when mediated by explicit knowledge of the connection (e.g., </w:t>
      </w:r>
      <w:r w:rsidRPr="00863FF9">
        <w:rPr>
          <w:rFonts w:ascii="Garamond" w:hAnsi="Garamond" w:cs="Times New Roman"/>
          <w:smallCaps/>
          <w:sz w:val="24"/>
          <w:szCs w:val="24"/>
          <w:lang w:val="en-US"/>
        </w:rPr>
        <w:t>if x is red than x is colored</w:t>
      </w:r>
      <w:r w:rsidRPr="00863FF9">
        <w:rPr>
          <w:rFonts w:ascii="Garamond" w:hAnsi="Garamond" w:cs="Times New Roman"/>
          <w:sz w:val="24"/>
          <w:szCs w:val="24"/>
          <w:lang w:val="en-US"/>
        </w:rPr>
        <w:t xml:space="preserve">) and therefore logical. The latter can be straightforwardly accommodated in our sort of framework (see, e.g., Goodman et al., 2015). A third form of inference is abduction, or “inference to the best explanation” (Harman, 1965). Abduction strikes us as a mess, one that has not been successfully captured by </w:t>
      </w:r>
      <w:r w:rsidRPr="00863FF9">
        <w:rPr>
          <w:rFonts w:ascii="Garamond" w:hAnsi="Garamond" w:cs="Times New Roman"/>
          <w:i/>
          <w:sz w:val="24"/>
          <w:szCs w:val="24"/>
          <w:lang w:val="en-US"/>
        </w:rPr>
        <w:t>any</w:t>
      </w:r>
      <w:r w:rsidRPr="00863FF9">
        <w:rPr>
          <w:rFonts w:ascii="Garamond" w:hAnsi="Garamond" w:cs="Times New Roman"/>
          <w:sz w:val="24"/>
          <w:szCs w:val="24"/>
          <w:lang w:val="en-US"/>
        </w:rPr>
        <w:t xml:space="preserve"> extant theory and probably involves a maelstrom of different processes including task-relevant memory search, formulation of analogies, and probably some purely associative spreading activation and properly logical inferences. We put these forms of reasoning aside here.</w:t>
      </w:r>
    </w:p>
  </w:footnote>
  <w:footnote w:id="10">
    <w:p w14:paraId="387A1503" w14:textId="658BF77B" w:rsidR="00C22EE7" w:rsidRPr="00863FF9" w:rsidRDefault="00C22EE7" w:rsidP="00C86BD1">
      <w:pPr>
        <w:pStyle w:val="FootnoteText"/>
        <w:spacing w:after="120" w:line="480" w:lineRule="auto"/>
        <w:contextualSpacing/>
        <w:jc w:val="both"/>
        <w:rPr>
          <w:rFonts w:ascii="Garamond" w:hAnsi="Garamond" w:cs="Times New Roman"/>
          <w:sz w:val="24"/>
          <w:szCs w:val="24"/>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Biederman’s theory is couched in terms of “geons,” which are representations of types of cylindrical shapes of varying lengths, orientations, etc. Geons might look to be icons, especially when diagrammed (e.g., Prinz, 2002, p.140ff), but they are nothing more than descriptions, explicitly analogized to sentences by proponents of structural-description theories (e.g., Hummel, 2013, p.34).</w:t>
      </w:r>
    </w:p>
  </w:footnote>
  <w:footnote w:id="11">
    <w:p w14:paraId="7E63F858" w14:textId="538B0E2F" w:rsidR="00C22EE7" w:rsidRPr="00863FF9" w:rsidRDefault="00C22EE7" w:rsidP="00C86BD1">
      <w:pPr>
        <w:pStyle w:val="FootnoteText"/>
        <w:spacing w:after="120" w:line="480" w:lineRule="auto"/>
        <w:contextualSpacing/>
        <w:jc w:val="both"/>
        <w:rPr>
          <w:rFonts w:ascii="Garamond" w:hAnsi="Garamond" w:cs="Times New Roman"/>
          <w:sz w:val="24"/>
          <w:szCs w:val="24"/>
          <w:lang w:val="en-US"/>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w:t>
      </w:r>
      <w:proofErr w:type="spellStart"/>
      <w:r w:rsidRPr="00863FF9">
        <w:rPr>
          <w:rFonts w:ascii="Garamond" w:hAnsi="Garamond" w:cs="Times New Roman"/>
          <w:sz w:val="24"/>
          <w:szCs w:val="24"/>
          <w:lang w:val="en-US"/>
        </w:rPr>
        <w:t>N.b.</w:t>
      </w:r>
      <w:proofErr w:type="spellEnd"/>
      <w:r w:rsidRPr="00863FF9">
        <w:rPr>
          <w:rFonts w:ascii="Garamond" w:hAnsi="Garamond" w:cs="Times New Roman"/>
          <w:sz w:val="24"/>
          <w:szCs w:val="24"/>
          <w:lang w:val="en-US"/>
        </w:rPr>
        <w:t xml:space="preserve">: according to this way of cutting up the pie Skinner and Watson do not, strictly speaking, count as associationists because neither believes in mental representations; a fortiori they </w:t>
      </w:r>
      <w:proofErr w:type="gramStart"/>
      <w:r w:rsidRPr="00863FF9">
        <w:rPr>
          <w:rFonts w:ascii="Garamond" w:hAnsi="Garamond" w:cs="Times New Roman"/>
          <w:sz w:val="24"/>
          <w:szCs w:val="24"/>
          <w:lang w:val="en-US"/>
        </w:rPr>
        <w:t>don't</w:t>
      </w:r>
      <w:proofErr w:type="gramEnd"/>
      <w:r w:rsidRPr="00863FF9">
        <w:rPr>
          <w:rFonts w:ascii="Garamond" w:hAnsi="Garamond" w:cs="Times New Roman"/>
          <w:sz w:val="24"/>
          <w:szCs w:val="24"/>
          <w:lang w:val="en-US"/>
        </w:rPr>
        <w:t xml:space="preserve"> believe in associative links between mental representations and anything else. However, Skinner and Watson did think that associative learning causes the acquisition of an associative link between stimulus and response. In any case, given the demise of behaviorism </w:t>
      </w:r>
      <w:proofErr w:type="gramStart"/>
      <w:r w:rsidRPr="00863FF9">
        <w:rPr>
          <w:rFonts w:ascii="Garamond" w:hAnsi="Garamond" w:cs="Times New Roman"/>
          <w:sz w:val="24"/>
          <w:szCs w:val="24"/>
          <w:lang w:val="en-US"/>
        </w:rPr>
        <w:t>we’ll</w:t>
      </w:r>
      <w:proofErr w:type="gramEnd"/>
      <w:r w:rsidRPr="00863FF9">
        <w:rPr>
          <w:rFonts w:ascii="Garamond" w:hAnsi="Garamond" w:cs="Times New Roman"/>
          <w:sz w:val="24"/>
          <w:szCs w:val="24"/>
          <w:lang w:val="en-US"/>
        </w:rPr>
        <w:t xml:space="preserve"> describe association from a mentalistic point of view.</w:t>
      </w:r>
    </w:p>
  </w:footnote>
  <w:footnote w:id="12">
    <w:p w14:paraId="49646656" w14:textId="72B8890A" w:rsidR="00C22EE7" w:rsidRPr="00863FF9" w:rsidRDefault="00C22EE7" w:rsidP="00C86BD1">
      <w:pPr>
        <w:spacing w:line="480" w:lineRule="auto"/>
        <w:contextualSpacing/>
        <w:rPr>
          <w:rFonts w:ascii="Garamond" w:eastAsia="Times New Roman" w:hAnsi="Garamond" w:cs="Times New Roman"/>
          <w:color w:val="auto"/>
          <w:sz w:val="24"/>
          <w:szCs w:val="24"/>
          <w:lang w:val="en-US"/>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w:t>
      </w:r>
      <w:r w:rsidRPr="00863FF9">
        <w:rPr>
          <w:rFonts w:ascii="Garamond" w:hAnsi="Garamond" w:cs="Times New Roman"/>
          <w:sz w:val="24"/>
          <w:szCs w:val="24"/>
          <w:lang w:val="en-US"/>
        </w:rPr>
        <w:t xml:space="preserve">For example, activating one of a pair of homonyms (e.g., [river] bank), will inhibit the activation of the other homonym (e.g., [savings] bank) </w:t>
      </w:r>
      <w:proofErr w:type="spellStart"/>
      <w:r w:rsidRPr="00863FF9">
        <w:rPr>
          <w:rFonts w:ascii="Garamond" w:eastAsia="Times New Roman" w:hAnsi="Garamond" w:cs="Times New Roman"/>
          <w:color w:val="222222"/>
          <w:sz w:val="24"/>
          <w:szCs w:val="24"/>
          <w:shd w:val="clear" w:color="auto" w:fill="FFFFFF"/>
          <w:lang w:val="en-US"/>
        </w:rPr>
        <w:t>Pylkkänen</w:t>
      </w:r>
      <w:proofErr w:type="spellEnd"/>
      <w:r w:rsidRPr="00863FF9">
        <w:rPr>
          <w:rFonts w:ascii="Garamond" w:eastAsia="Times New Roman" w:hAnsi="Garamond" w:cs="Times New Roman"/>
          <w:color w:val="222222"/>
          <w:sz w:val="24"/>
          <w:szCs w:val="24"/>
          <w:shd w:val="clear" w:color="auto" w:fill="FFFFFF"/>
          <w:lang w:val="en-US"/>
        </w:rPr>
        <w:t xml:space="preserve"> et al., (2006);</w:t>
      </w:r>
      <w:r w:rsidRPr="00863FF9">
        <w:rPr>
          <w:rFonts w:ascii="Garamond" w:hAnsi="Garamond" w:cs="Times New Roman"/>
          <w:sz w:val="24"/>
          <w:szCs w:val="24"/>
          <w:lang w:val="en-US"/>
        </w:rPr>
        <w:t xml:space="preserve"> Macgregor et al., (2015).</w:t>
      </w:r>
    </w:p>
  </w:footnote>
  <w:footnote w:id="13">
    <w:p w14:paraId="2EBF1414" w14:textId="44B690DF" w:rsidR="00C22EE7" w:rsidRPr="00863FF9" w:rsidRDefault="00C22EE7" w:rsidP="00C86BD1">
      <w:pPr>
        <w:pStyle w:val="FootnoteText"/>
        <w:spacing w:after="120" w:line="480" w:lineRule="auto"/>
        <w:contextualSpacing/>
        <w:rPr>
          <w:rFonts w:ascii="Garamond" w:hAnsi="Garamond" w:cs="Times New Roman"/>
          <w:sz w:val="24"/>
          <w:szCs w:val="24"/>
          <w:lang w:val="en-US"/>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w:t>
      </w:r>
      <w:proofErr w:type="gramStart"/>
      <w:r w:rsidRPr="00863FF9">
        <w:rPr>
          <w:rFonts w:ascii="Garamond" w:hAnsi="Garamond" w:cs="Times New Roman"/>
          <w:sz w:val="24"/>
          <w:szCs w:val="24"/>
        </w:rPr>
        <w:t>It’s</w:t>
      </w:r>
      <w:proofErr w:type="gramEnd"/>
      <w:r w:rsidRPr="00863FF9">
        <w:rPr>
          <w:rFonts w:ascii="Garamond" w:hAnsi="Garamond" w:cs="Times New Roman"/>
          <w:sz w:val="24"/>
          <w:szCs w:val="24"/>
        </w:rPr>
        <w:t xml:space="preserve"> perhaps puzzling why any associationist would ever have insisted on asymmetry given its tension with the idea that association is unstructured. But </w:t>
      </w:r>
      <w:proofErr w:type="gramStart"/>
      <w:r w:rsidRPr="00863FF9">
        <w:rPr>
          <w:rFonts w:ascii="Garamond" w:hAnsi="Garamond" w:cs="Times New Roman"/>
          <w:sz w:val="24"/>
          <w:szCs w:val="24"/>
        </w:rPr>
        <w:t>it’s</w:t>
      </w:r>
      <w:proofErr w:type="gramEnd"/>
      <w:r w:rsidRPr="00863FF9">
        <w:rPr>
          <w:rFonts w:ascii="Garamond" w:hAnsi="Garamond" w:cs="Times New Roman"/>
          <w:sz w:val="24"/>
          <w:szCs w:val="24"/>
        </w:rPr>
        <w:t xml:space="preserve"> important to keep in mind the co-development of behaviorism and associationist models in the early twentieth century. Since many doubted the existence of representations, let alone associative links between representations, the one form of associative link that all associationists could agree on was the link from stimulus to response. And the notion of associative symmetry in stimulus-response associations makes little sense—being confronted with a ringing bell may associatively cause you to salivate, but salivation tends not to cause bells to ring. We thus suspect that behaviorist (and, more generally, operationalist) influence—not to mention the bare empirical fact that there are asymmetric transitions—caused some early associationists to regard association as asymmetric without seeing how uneasily that fits with their claim that association is unstructured.</w:t>
      </w:r>
    </w:p>
  </w:footnote>
  <w:footnote w:id="14">
    <w:p w14:paraId="63A2855D" w14:textId="6B333B11" w:rsidR="00C22EE7" w:rsidRPr="00863FF9" w:rsidRDefault="00C22EE7" w:rsidP="00C86BD1">
      <w:pPr>
        <w:pStyle w:val="FootnoteText"/>
        <w:spacing w:line="480" w:lineRule="auto"/>
        <w:contextualSpacing/>
        <w:rPr>
          <w:rFonts w:ascii="Garamond" w:hAnsi="Garamond" w:cs="Times New Roman"/>
          <w:sz w:val="24"/>
          <w:szCs w:val="24"/>
          <w:lang w:val="en-US"/>
        </w:rPr>
      </w:pPr>
      <w:r w:rsidRPr="00863FF9">
        <w:rPr>
          <w:rStyle w:val="FootnoteReference"/>
          <w:rFonts w:ascii="Garamond" w:hAnsi="Garamond" w:cs="Times New Roman"/>
          <w:sz w:val="24"/>
          <w:szCs w:val="24"/>
        </w:rPr>
        <w:footnoteRef/>
      </w:r>
      <w:r w:rsidRPr="00863FF9">
        <w:rPr>
          <w:rFonts w:ascii="Garamond" w:hAnsi="Garamond" w:cs="Times New Roman"/>
          <w:sz w:val="24"/>
          <w:szCs w:val="24"/>
        </w:rPr>
        <w:t xml:space="preserve"> </w:t>
      </w:r>
      <w:r w:rsidRPr="00863FF9">
        <w:rPr>
          <w:rFonts w:ascii="Garamond" w:hAnsi="Garamond" w:cs="Times New Roman"/>
          <w:sz w:val="24"/>
          <w:szCs w:val="24"/>
          <w:lang w:val="en-US"/>
        </w:rPr>
        <w:t xml:space="preserve">What kind of “bare propensity” is association? </w:t>
      </w:r>
      <w:proofErr w:type="gramStart"/>
      <w:r w:rsidRPr="00863FF9">
        <w:rPr>
          <w:rFonts w:ascii="Garamond" w:hAnsi="Garamond" w:cs="Times New Roman"/>
          <w:sz w:val="24"/>
          <w:szCs w:val="24"/>
          <w:lang w:val="en-US"/>
        </w:rPr>
        <w:t>It’s</w:t>
      </w:r>
      <w:proofErr w:type="gramEnd"/>
      <w:r w:rsidRPr="00863FF9">
        <w:rPr>
          <w:rFonts w:ascii="Garamond" w:hAnsi="Garamond" w:cs="Times New Roman"/>
          <w:sz w:val="24"/>
          <w:szCs w:val="24"/>
          <w:lang w:val="en-US"/>
        </w:rPr>
        <w:t xml:space="preserve"> simply that there is no deeper psychological explanation for the propensity of the representations to be co-activated. Contiguity, </w:t>
      </w:r>
      <w:proofErr w:type="gramStart"/>
      <w:r w:rsidRPr="00863FF9">
        <w:rPr>
          <w:rFonts w:ascii="Garamond" w:hAnsi="Garamond" w:cs="Times New Roman"/>
          <w:sz w:val="24"/>
          <w:szCs w:val="24"/>
          <w:lang w:val="en-US"/>
        </w:rPr>
        <w:t>resemblance</w:t>
      </w:r>
      <w:proofErr w:type="gramEnd"/>
      <w:r w:rsidRPr="00863FF9">
        <w:rPr>
          <w:rFonts w:ascii="Garamond" w:hAnsi="Garamond" w:cs="Times New Roman"/>
          <w:sz w:val="24"/>
          <w:szCs w:val="24"/>
          <w:lang w:val="en-US"/>
        </w:rPr>
        <w:t xml:space="preserve"> and the like may serve to acquire the association, but once the association is acquired, the functional relation between the two is primitive from the standpoint of psychology. Activation spreading, for example, is not the sort of effect that is explicable in other psychological terms; instead, there are nodes in a network and levels of activation that spread associatively throughout the network. Why is it that activating one of a pair of nodes directly linked to each other will cause the other to activate? There is simply no psychological-level story to tell. Whatever story there is to tell will be told in the vocabulary of sub-psychological reality (such as neuroscience, or whatever intermediate computational levels may connect neural activation to full-blown psychological functioning). None of this entails that the associative activation </w:t>
      </w:r>
      <w:proofErr w:type="gramStart"/>
      <w:r w:rsidRPr="00863FF9">
        <w:rPr>
          <w:rFonts w:ascii="Garamond" w:hAnsi="Garamond" w:cs="Times New Roman"/>
          <w:sz w:val="24"/>
          <w:szCs w:val="24"/>
          <w:lang w:val="en-US"/>
        </w:rPr>
        <w:t>can’t</w:t>
      </w:r>
      <w:proofErr w:type="gramEnd"/>
      <w:r w:rsidRPr="00863FF9">
        <w:rPr>
          <w:rFonts w:ascii="Garamond" w:hAnsi="Garamond" w:cs="Times New Roman"/>
          <w:sz w:val="24"/>
          <w:szCs w:val="24"/>
          <w:lang w:val="en-US"/>
        </w:rPr>
        <w:t xml:space="preserve"> be modulated—associative links, by being primitive at the psychological level, are not therefore immutable rules built into the architecture.</w:t>
      </w:r>
      <w:r w:rsidRPr="00863FF9" w:rsidDel="00361103">
        <w:rPr>
          <w:rFonts w:ascii="Garamond" w:hAnsi="Garamond" w:cs="Times New Roman"/>
          <w:sz w:val="24"/>
          <w:szCs w:val="24"/>
          <w:lang w:val="en-US"/>
        </w:rPr>
        <w:t xml:space="preserve"> </w:t>
      </w:r>
      <w:r w:rsidRPr="00863FF9">
        <w:rPr>
          <w:rFonts w:ascii="Garamond" w:hAnsi="Garamond" w:cs="Times New Roman"/>
          <w:sz w:val="24"/>
          <w:szCs w:val="24"/>
          <w:lang w:val="en-US"/>
        </w:rPr>
        <w:t xml:space="preserve">Counterconditioning and extinction can still suffice to modulate associative links. Thus associative links can have a characteristic functional role (viz., being so modulable) while nonetheless inhabiting a lower ontological level than inference and other properly psychological-level phenomena. Thanks to Anders </w:t>
      </w:r>
      <w:proofErr w:type="spellStart"/>
      <w:r w:rsidRPr="00863FF9">
        <w:rPr>
          <w:rFonts w:ascii="Garamond" w:hAnsi="Garamond" w:cs="Times New Roman"/>
          <w:sz w:val="24"/>
          <w:szCs w:val="24"/>
          <w:lang w:val="en-US"/>
        </w:rPr>
        <w:t>Nes</w:t>
      </w:r>
      <w:proofErr w:type="spellEnd"/>
      <w:r w:rsidRPr="00863FF9">
        <w:rPr>
          <w:rFonts w:ascii="Garamond" w:hAnsi="Garamond" w:cs="Times New Roman"/>
          <w:sz w:val="24"/>
          <w:szCs w:val="24"/>
          <w:lang w:val="en-US"/>
        </w:rPr>
        <w:t xml:space="preserve"> for the concerns that prompted these reflections.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A1A9BC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C1E"/>
    <w:rsid w:val="0000023B"/>
    <w:rsid w:val="000058D6"/>
    <w:rsid w:val="000104A6"/>
    <w:rsid w:val="000118A7"/>
    <w:rsid w:val="000126FC"/>
    <w:rsid w:val="00023420"/>
    <w:rsid w:val="000272FE"/>
    <w:rsid w:val="00027C72"/>
    <w:rsid w:val="0003766B"/>
    <w:rsid w:val="00045F9A"/>
    <w:rsid w:val="00046E7B"/>
    <w:rsid w:val="000526F4"/>
    <w:rsid w:val="00080204"/>
    <w:rsid w:val="00082320"/>
    <w:rsid w:val="00082A67"/>
    <w:rsid w:val="000862AE"/>
    <w:rsid w:val="0009346B"/>
    <w:rsid w:val="0009439B"/>
    <w:rsid w:val="000B6A11"/>
    <w:rsid w:val="000D518B"/>
    <w:rsid w:val="000D74B6"/>
    <w:rsid w:val="000E14A2"/>
    <w:rsid w:val="000E3ACE"/>
    <w:rsid w:val="000F55C9"/>
    <w:rsid w:val="00112F38"/>
    <w:rsid w:val="001145E1"/>
    <w:rsid w:val="001150B8"/>
    <w:rsid w:val="00137A97"/>
    <w:rsid w:val="00143970"/>
    <w:rsid w:val="00151335"/>
    <w:rsid w:val="00153AF7"/>
    <w:rsid w:val="00155965"/>
    <w:rsid w:val="001822BB"/>
    <w:rsid w:val="0019554D"/>
    <w:rsid w:val="00197271"/>
    <w:rsid w:val="001A0980"/>
    <w:rsid w:val="001A6AA4"/>
    <w:rsid w:val="001B041F"/>
    <w:rsid w:val="001B466B"/>
    <w:rsid w:val="001B551C"/>
    <w:rsid w:val="001D2CB6"/>
    <w:rsid w:val="001D6A3E"/>
    <w:rsid w:val="001E236C"/>
    <w:rsid w:val="001E4CDD"/>
    <w:rsid w:val="002068DB"/>
    <w:rsid w:val="00232E92"/>
    <w:rsid w:val="00233DA1"/>
    <w:rsid w:val="0024417F"/>
    <w:rsid w:val="00245187"/>
    <w:rsid w:val="00252809"/>
    <w:rsid w:val="002564DF"/>
    <w:rsid w:val="002823C2"/>
    <w:rsid w:val="002913AA"/>
    <w:rsid w:val="002A3960"/>
    <w:rsid w:val="002C162A"/>
    <w:rsid w:val="002C7A81"/>
    <w:rsid w:val="002D27BA"/>
    <w:rsid w:val="002D2933"/>
    <w:rsid w:val="002E1221"/>
    <w:rsid w:val="002E1322"/>
    <w:rsid w:val="002E6797"/>
    <w:rsid w:val="00301714"/>
    <w:rsid w:val="00302A9B"/>
    <w:rsid w:val="0030531A"/>
    <w:rsid w:val="0032108B"/>
    <w:rsid w:val="003233F1"/>
    <w:rsid w:val="00332231"/>
    <w:rsid w:val="0034181C"/>
    <w:rsid w:val="003559EF"/>
    <w:rsid w:val="00361103"/>
    <w:rsid w:val="00364CF8"/>
    <w:rsid w:val="00367680"/>
    <w:rsid w:val="003737C3"/>
    <w:rsid w:val="0038413B"/>
    <w:rsid w:val="00390E91"/>
    <w:rsid w:val="003910EA"/>
    <w:rsid w:val="00393540"/>
    <w:rsid w:val="003A2A6E"/>
    <w:rsid w:val="003A614B"/>
    <w:rsid w:val="003B6C98"/>
    <w:rsid w:val="003D133A"/>
    <w:rsid w:val="003D7DE8"/>
    <w:rsid w:val="004001C3"/>
    <w:rsid w:val="00410901"/>
    <w:rsid w:val="00431C00"/>
    <w:rsid w:val="004418F8"/>
    <w:rsid w:val="0044744A"/>
    <w:rsid w:val="00454C9D"/>
    <w:rsid w:val="004653D9"/>
    <w:rsid w:val="004710CA"/>
    <w:rsid w:val="00474500"/>
    <w:rsid w:val="00480A3C"/>
    <w:rsid w:val="00490C37"/>
    <w:rsid w:val="004B16F3"/>
    <w:rsid w:val="004B6530"/>
    <w:rsid w:val="004C26D6"/>
    <w:rsid w:val="004C4F4A"/>
    <w:rsid w:val="004E0D64"/>
    <w:rsid w:val="004E5BA9"/>
    <w:rsid w:val="0050275D"/>
    <w:rsid w:val="0052192E"/>
    <w:rsid w:val="00522593"/>
    <w:rsid w:val="00522A8B"/>
    <w:rsid w:val="00540495"/>
    <w:rsid w:val="0054308A"/>
    <w:rsid w:val="005810CB"/>
    <w:rsid w:val="0058342E"/>
    <w:rsid w:val="005921C0"/>
    <w:rsid w:val="00595741"/>
    <w:rsid w:val="00595C1E"/>
    <w:rsid w:val="00596B41"/>
    <w:rsid w:val="005A3390"/>
    <w:rsid w:val="005A6CCF"/>
    <w:rsid w:val="005C3D0E"/>
    <w:rsid w:val="005D6D34"/>
    <w:rsid w:val="005F3096"/>
    <w:rsid w:val="005F36D7"/>
    <w:rsid w:val="005F52D1"/>
    <w:rsid w:val="005F62B3"/>
    <w:rsid w:val="00605833"/>
    <w:rsid w:val="006063DD"/>
    <w:rsid w:val="00607A12"/>
    <w:rsid w:val="00623E1A"/>
    <w:rsid w:val="00624C43"/>
    <w:rsid w:val="00635B95"/>
    <w:rsid w:val="00651594"/>
    <w:rsid w:val="00674E93"/>
    <w:rsid w:val="0068434B"/>
    <w:rsid w:val="006A06A6"/>
    <w:rsid w:val="006B1F48"/>
    <w:rsid w:val="006B5493"/>
    <w:rsid w:val="006C5403"/>
    <w:rsid w:val="006C6661"/>
    <w:rsid w:val="006D2DDC"/>
    <w:rsid w:val="006D60D4"/>
    <w:rsid w:val="006D72A6"/>
    <w:rsid w:val="006D78E9"/>
    <w:rsid w:val="006E17A0"/>
    <w:rsid w:val="006E2EA3"/>
    <w:rsid w:val="006E7059"/>
    <w:rsid w:val="006F1430"/>
    <w:rsid w:val="007056C8"/>
    <w:rsid w:val="00710B62"/>
    <w:rsid w:val="007113E6"/>
    <w:rsid w:val="007122FB"/>
    <w:rsid w:val="00720593"/>
    <w:rsid w:val="00727BFC"/>
    <w:rsid w:val="00734010"/>
    <w:rsid w:val="00734906"/>
    <w:rsid w:val="00735EAD"/>
    <w:rsid w:val="0074196B"/>
    <w:rsid w:val="00752400"/>
    <w:rsid w:val="00765FAF"/>
    <w:rsid w:val="0077356C"/>
    <w:rsid w:val="00773D16"/>
    <w:rsid w:val="00780AE9"/>
    <w:rsid w:val="0078128B"/>
    <w:rsid w:val="0078231E"/>
    <w:rsid w:val="00791EFA"/>
    <w:rsid w:val="00792BD6"/>
    <w:rsid w:val="007953A6"/>
    <w:rsid w:val="007A36FA"/>
    <w:rsid w:val="007B6858"/>
    <w:rsid w:val="007C2B55"/>
    <w:rsid w:val="007D5532"/>
    <w:rsid w:val="007D635E"/>
    <w:rsid w:val="007E0B27"/>
    <w:rsid w:val="007E104E"/>
    <w:rsid w:val="007E6FB0"/>
    <w:rsid w:val="007F4A19"/>
    <w:rsid w:val="00806491"/>
    <w:rsid w:val="0081283F"/>
    <w:rsid w:val="00823F12"/>
    <w:rsid w:val="00847853"/>
    <w:rsid w:val="008611C4"/>
    <w:rsid w:val="00863FF9"/>
    <w:rsid w:val="00870A34"/>
    <w:rsid w:val="00872490"/>
    <w:rsid w:val="008949B0"/>
    <w:rsid w:val="008A22B3"/>
    <w:rsid w:val="008B2520"/>
    <w:rsid w:val="008B4656"/>
    <w:rsid w:val="008C3663"/>
    <w:rsid w:val="008D6D8B"/>
    <w:rsid w:val="008E5FEA"/>
    <w:rsid w:val="008E7410"/>
    <w:rsid w:val="008F53DE"/>
    <w:rsid w:val="008F548D"/>
    <w:rsid w:val="00900EBB"/>
    <w:rsid w:val="00906914"/>
    <w:rsid w:val="0091546C"/>
    <w:rsid w:val="009166B2"/>
    <w:rsid w:val="00922FEE"/>
    <w:rsid w:val="0092417A"/>
    <w:rsid w:val="00925A9F"/>
    <w:rsid w:val="009262A5"/>
    <w:rsid w:val="00931918"/>
    <w:rsid w:val="0093575B"/>
    <w:rsid w:val="00941626"/>
    <w:rsid w:val="00945A4C"/>
    <w:rsid w:val="00951E64"/>
    <w:rsid w:val="009540D4"/>
    <w:rsid w:val="00964988"/>
    <w:rsid w:val="00994DA2"/>
    <w:rsid w:val="009A01AB"/>
    <w:rsid w:val="009A2BAB"/>
    <w:rsid w:val="009A37B6"/>
    <w:rsid w:val="009A49D2"/>
    <w:rsid w:val="009A5234"/>
    <w:rsid w:val="009B753C"/>
    <w:rsid w:val="009C4129"/>
    <w:rsid w:val="009C4DA0"/>
    <w:rsid w:val="009D438C"/>
    <w:rsid w:val="009E4C1B"/>
    <w:rsid w:val="00A01972"/>
    <w:rsid w:val="00A02775"/>
    <w:rsid w:val="00A24B5B"/>
    <w:rsid w:val="00A27B11"/>
    <w:rsid w:val="00A41636"/>
    <w:rsid w:val="00A50B51"/>
    <w:rsid w:val="00A5501A"/>
    <w:rsid w:val="00A61897"/>
    <w:rsid w:val="00A62BC9"/>
    <w:rsid w:val="00A73343"/>
    <w:rsid w:val="00A73C0A"/>
    <w:rsid w:val="00A927D2"/>
    <w:rsid w:val="00AA55C9"/>
    <w:rsid w:val="00AA5BEC"/>
    <w:rsid w:val="00AB08B5"/>
    <w:rsid w:val="00AB4BC8"/>
    <w:rsid w:val="00AB59FE"/>
    <w:rsid w:val="00AB62CA"/>
    <w:rsid w:val="00AB68EF"/>
    <w:rsid w:val="00AC40DC"/>
    <w:rsid w:val="00AC5150"/>
    <w:rsid w:val="00AD2C3F"/>
    <w:rsid w:val="00AD4BEF"/>
    <w:rsid w:val="00AF0BE0"/>
    <w:rsid w:val="00B1023F"/>
    <w:rsid w:val="00B123FF"/>
    <w:rsid w:val="00B13CC6"/>
    <w:rsid w:val="00B170AE"/>
    <w:rsid w:val="00B220D5"/>
    <w:rsid w:val="00B26E31"/>
    <w:rsid w:val="00B313F3"/>
    <w:rsid w:val="00B330B6"/>
    <w:rsid w:val="00B426E1"/>
    <w:rsid w:val="00B44BE1"/>
    <w:rsid w:val="00B614BD"/>
    <w:rsid w:val="00B6203C"/>
    <w:rsid w:val="00B71A55"/>
    <w:rsid w:val="00B72046"/>
    <w:rsid w:val="00B7635A"/>
    <w:rsid w:val="00B82EE0"/>
    <w:rsid w:val="00B93F71"/>
    <w:rsid w:val="00B96E21"/>
    <w:rsid w:val="00BA0A29"/>
    <w:rsid w:val="00BC3917"/>
    <w:rsid w:val="00BD15C7"/>
    <w:rsid w:val="00C04320"/>
    <w:rsid w:val="00C04ADB"/>
    <w:rsid w:val="00C06495"/>
    <w:rsid w:val="00C10411"/>
    <w:rsid w:val="00C1271C"/>
    <w:rsid w:val="00C1333E"/>
    <w:rsid w:val="00C13910"/>
    <w:rsid w:val="00C17C3B"/>
    <w:rsid w:val="00C22EE7"/>
    <w:rsid w:val="00C32524"/>
    <w:rsid w:val="00C3761D"/>
    <w:rsid w:val="00C46F1A"/>
    <w:rsid w:val="00C5410A"/>
    <w:rsid w:val="00C63513"/>
    <w:rsid w:val="00C73C2E"/>
    <w:rsid w:val="00C819D5"/>
    <w:rsid w:val="00C82354"/>
    <w:rsid w:val="00C86BD1"/>
    <w:rsid w:val="00C900C8"/>
    <w:rsid w:val="00C96275"/>
    <w:rsid w:val="00C97EA4"/>
    <w:rsid w:val="00CA205C"/>
    <w:rsid w:val="00CA61DD"/>
    <w:rsid w:val="00CB0C65"/>
    <w:rsid w:val="00CB18BC"/>
    <w:rsid w:val="00CC679C"/>
    <w:rsid w:val="00CC70AD"/>
    <w:rsid w:val="00CD00F0"/>
    <w:rsid w:val="00CD654F"/>
    <w:rsid w:val="00CE3E87"/>
    <w:rsid w:val="00CF07FB"/>
    <w:rsid w:val="00D014EE"/>
    <w:rsid w:val="00D0325D"/>
    <w:rsid w:val="00D06B8F"/>
    <w:rsid w:val="00D17269"/>
    <w:rsid w:val="00D17EA5"/>
    <w:rsid w:val="00D209FA"/>
    <w:rsid w:val="00D214DB"/>
    <w:rsid w:val="00D335FF"/>
    <w:rsid w:val="00D4396F"/>
    <w:rsid w:val="00D6435A"/>
    <w:rsid w:val="00D67E97"/>
    <w:rsid w:val="00D8210F"/>
    <w:rsid w:val="00D84DC0"/>
    <w:rsid w:val="00D92837"/>
    <w:rsid w:val="00D94E71"/>
    <w:rsid w:val="00D9594F"/>
    <w:rsid w:val="00DA59BB"/>
    <w:rsid w:val="00DA77E2"/>
    <w:rsid w:val="00DB7424"/>
    <w:rsid w:val="00DC16C6"/>
    <w:rsid w:val="00DD30A3"/>
    <w:rsid w:val="00DE08E1"/>
    <w:rsid w:val="00DE2454"/>
    <w:rsid w:val="00DF575C"/>
    <w:rsid w:val="00E128D9"/>
    <w:rsid w:val="00E26864"/>
    <w:rsid w:val="00E46E9E"/>
    <w:rsid w:val="00E55B10"/>
    <w:rsid w:val="00E55CCC"/>
    <w:rsid w:val="00E65CF0"/>
    <w:rsid w:val="00E66E0D"/>
    <w:rsid w:val="00E70F76"/>
    <w:rsid w:val="00E75B96"/>
    <w:rsid w:val="00E770E8"/>
    <w:rsid w:val="00E97672"/>
    <w:rsid w:val="00EB4A77"/>
    <w:rsid w:val="00EB6EB2"/>
    <w:rsid w:val="00EC263F"/>
    <w:rsid w:val="00EC2D6A"/>
    <w:rsid w:val="00ED3761"/>
    <w:rsid w:val="00EE62F0"/>
    <w:rsid w:val="00EF04B6"/>
    <w:rsid w:val="00EF060D"/>
    <w:rsid w:val="00EF51B2"/>
    <w:rsid w:val="00EF53FD"/>
    <w:rsid w:val="00F00D60"/>
    <w:rsid w:val="00F04DA3"/>
    <w:rsid w:val="00F04F39"/>
    <w:rsid w:val="00F10FDF"/>
    <w:rsid w:val="00F12C8F"/>
    <w:rsid w:val="00F1397A"/>
    <w:rsid w:val="00F15974"/>
    <w:rsid w:val="00F15BD7"/>
    <w:rsid w:val="00F23473"/>
    <w:rsid w:val="00F25038"/>
    <w:rsid w:val="00F35B0F"/>
    <w:rsid w:val="00F362FA"/>
    <w:rsid w:val="00F45FFF"/>
    <w:rsid w:val="00F547DB"/>
    <w:rsid w:val="00F56DAF"/>
    <w:rsid w:val="00F64938"/>
    <w:rsid w:val="00F64FBF"/>
    <w:rsid w:val="00F90BC4"/>
    <w:rsid w:val="00F9603B"/>
    <w:rsid w:val="00FA496D"/>
    <w:rsid w:val="00FB2912"/>
    <w:rsid w:val="00FD26E5"/>
    <w:rsid w:val="00FD6847"/>
    <w:rsid w:val="00FE402C"/>
    <w:rsid w:val="00FE4562"/>
    <w:rsid w:val="00FF29BA"/>
    <w:rsid w:val="00FF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9D2EC"/>
  <w15:docId w15:val="{13D7656C-091F-1E40-8209-3CC94E11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35B95"/>
    <w:rPr>
      <w:sz w:val="16"/>
      <w:szCs w:val="16"/>
    </w:rPr>
  </w:style>
  <w:style w:type="paragraph" w:styleId="CommentText">
    <w:name w:val="annotation text"/>
    <w:basedOn w:val="Normal"/>
    <w:link w:val="CommentTextChar"/>
    <w:uiPriority w:val="99"/>
    <w:semiHidden/>
    <w:unhideWhenUsed/>
    <w:rsid w:val="00635B95"/>
    <w:pPr>
      <w:spacing w:line="240" w:lineRule="auto"/>
    </w:pPr>
    <w:rPr>
      <w:sz w:val="20"/>
      <w:szCs w:val="20"/>
    </w:rPr>
  </w:style>
  <w:style w:type="character" w:customStyle="1" w:styleId="CommentTextChar">
    <w:name w:val="Comment Text Char"/>
    <w:basedOn w:val="DefaultParagraphFont"/>
    <w:link w:val="CommentText"/>
    <w:uiPriority w:val="99"/>
    <w:semiHidden/>
    <w:rsid w:val="00635B95"/>
    <w:rPr>
      <w:sz w:val="20"/>
      <w:szCs w:val="20"/>
    </w:rPr>
  </w:style>
  <w:style w:type="paragraph" w:styleId="CommentSubject">
    <w:name w:val="annotation subject"/>
    <w:basedOn w:val="CommentText"/>
    <w:next w:val="CommentText"/>
    <w:link w:val="CommentSubjectChar"/>
    <w:uiPriority w:val="99"/>
    <w:semiHidden/>
    <w:unhideWhenUsed/>
    <w:rsid w:val="00635B95"/>
    <w:rPr>
      <w:b/>
      <w:bCs/>
    </w:rPr>
  </w:style>
  <w:style w:type="character" w:customStyle="1" w:styleId="CommentSubjectChar">
    <w:name w:val="Comment Subject Char"/>
    <w:basedOn w:val="CommentTextChar"/>
    <w:link w:val="CommentSubject"/>
    <w:uiPriority w:val="99"/>
    <w:semiHidden/>
    <w:rsid w:val="00635B95"/>
    <w:rPr>
      <w:b/>
      <w:bCs/>
      <w:sz w:val="20"/>
      <w:szCs w:val="20"/>
    </w:rPr>
  </w:style>
  <w:style w:type="paragraph" w:styleId="BalloonText">
    <w:name w:val="Balloon Text"/>
    <w:basedOn w:val="Normal"/>
    <w:link w:val="BalloonTextChar"/>
    <w:uiPriority w:val="99"/>
    <w:semiHidden/>
    <w:unhideWhenUsed/>
    <w:rsid w:val="00635B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95"/>
    <w:rPr>
      <w:rFonts w:ascii="Segoe UI" w:hAnsi="Segoe UI" w:cs="Segoe UI"/>
      <w:sz w:val="18"/>
      <w:szCs w:val="18"/>
    </w:rPr>
  </w:style>
  <w:style w:type="paragraph" w:styleId="FootnoteText">
    <w:name w:val="footnote text"/>
    <w:basedOn w:val="Normal"/>
    <w:link w:val="FootnoteTextChar"/>
    <w:uiPriority w:val="99"/>
    <w:unhideWhenUsed/>
    <w:rsid w:val="002D27BA"/>
    <w:pPr>
      <w:spacing w:line="240" w:lineRule="auto"/>
    </w:pPr>
    <w:rPr>
      <w:sz w:val="20"/>
      <w:szCs w:val="20"/>
    </w:rPr>
  </w:style>
  <w:style w:type="character" w:customStyle="1" w:styleId="FootnoteTextChar">
    <w:name w:val="Footnote Text Char"/>
    <w:basedOn w:val="DefaultParagraphFont"/>
    <w:link w:val="FootnoteText"/>
    <w:uiPriority w:val="99"/>
    <w:rsid w:val="002D27BA"/>
    <w:rPr>
      <w:sz w:val="20"/>
      <w:szCs w:val="20"/>
    </w:rPr>
  </w:style>
  <w:style w:type="character" w:styleId="FootnoteReference">
    <w:name w:val="footnote reference"/>
    <w:basedOn w:val="DefaultParagraphFont"/>
    <w:uiPriority w:val="99"/>
    <w:unhideWhenUsed/>
    <w:rsid w:val="002D27BA"/>
    <w:rPr>
      <w:vertAlign w:val="superscript"/>
    </w:rPr>
  </w:style>
  <w:style w:type="paragraph" w:styleId="Revision">
    <w:name w:val="Revision"/>
    <w:hidden/>
    <w:uiPriority w:val="99"/>
    <w:semiHidden/>
    <w:rsid w:val="0044744A"/>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Strong">
    <w:name w:val="Strong"/>
    <w:basedOn w:val="DefaultParagraphFont"/>
    <w:uiPriority w:val="22"/>
    <w:qFormat/>
    <w:rsid w:val="003910EA"/>
    <w:rPr>
      <w:b/>
      <w:bCs/>
    </w:rPr>
  </w:style>
  <w:style w:type="paragraph" w:styleId="Header">
    <w:name w:val="header"/>
    <w:basedOn w:val="Normal"/>
    <w:link w:val="HeaderChar"/>
    <w:uiPriority w:val="99"/>
    <w:unhideWhenUsed/>
    <w:rsid w:val="00155965"/>
    <w:pPr>
      <w:tabs>
        <w:tab w:val="center" w:pos="4680"/>
        <w:tab w:val="right" w:pos="9360"/>
      </w:tabs>
      <w:spacing w:line="240" w:lineRule="auto"/>
    </w:pPr>
  </w:style>
  <w:style w:type="character" w:customStyle="1" w:styleId="HeaderChar">
    <w:name w:val="Header Char"/>
    <w:basedOn w:val="DefaultParagraphFont"/>
    <w:link w:val="Header"/>
    <w:uiPriority w:val="99"/>
    <w:rsid w:val="00155965"/>
  </w:style>
  <w:style w:type="paragraph" w:styleId="Footer">
    <w:name w:val="footer"/>
    <w:basedOn w:val="Normal"/>
    <w:link w:val="FooterChar"/>
    <w:uiPriority w:val="99"/>
    <w:unhideWhenUsed/>
    <w:rsid w:val="00155965"/>
    <w:pPr>
      <w:tabs>
        <w:tab w:val="center" w:pos="4680"/>
        <w:tab w:val="right" w:pos="9360"/>
      </w:tabs>
      <w:spacing w:line="240" w:lineRule="auto"/>
    </w:pPr>
  </w:style>
  <w:style w:type="character" w:customStyle="1" w:styleId="FooterChar">
    <w:name w:val="Footer Char"/>
    <w:basedOn w:val="DefaultParagraphFont"/>
    <w:link w:val="Footer"/>
    <w:uiPriority w:val="99"/>
    <w:rsid w:val="00155965"/>
  </w:style>
  <w:style w:type="paragraph" w:styleId="ListBullet">
    <w:name w:val="List Bullet"/>
    <w:basedOn w:val="Normal"/>
    <w:uiPriority w:val="99"/>
    <w:unhideWhenUsed/>
    <w:rsid w:val="006063D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77181">
      <w:bodyDiv w:val="1"/>
      <w:marLeft w:val="0"/>
      <w:marRight w:val="0"/>
      <w:marTop w:val="0"/>
      <w:marBottom w:val="0"/>
      <w:divBdr>
        <w:top w:val="none" w:sz="0" w:space="0" w:color="auto"/>
        <w:left w:val="none" w:sz="0" w:space="0" w:color="auto"/>
        <w:bottom w:val="none" w:sz="0" w:space="0" w:color="auto"/>
        <w:right w:val="none" w:sz="0" w:space="0" w:color="auto"/>
      </w:divBdr>
    </w:div>
    <w:div w:id="379860889">
      <w:bodyDiv w:val="1"/>
      <w:marLeft w:val="0"/>
      <w:marRight w:val="0"/>
      <w:marTop w:val="0"/>
      <w:marBottom w:val="0"/>
      <w:divBdr>
        <w:top w:val="none" w:sz="0" w:space="0" w:color="auto"/>
        <w:left w:val="none" w:sz="0" w:space="0" w:color="auto"/>
        <w:bottom w:val="none" w:sz="0" w:space="0" w:color="auto"/>
        <w:right w:val="none" w:sz="0" w:space="0" w:color="auto"/>
      </w:divBdr>
    </w:div>
    <w:div w:id="435443429">
      <w:bodyDiv w:val="1"/>
      <w:marLeft w:val="0"/>
      <w:marRight w:val="0"/>
      <w:marTop w:val="0"/>
      <w:marBottom w:val="0"/>
      <w:divBdr>
        <w:top w:val="none" w:sz="0" w:space="0" w:color="auto"/>
        <w:left w:val="none" w:sz="0" w:space="0" w:color="auto"/>
        <w:bottom w:val="none" w:sz="0" w:space="0" w:color="auto"/>
        <w:right w:val="none" w:sz="0" w:space="0" w:color="auto"/>
      </w:divBdr>
    </w:div>
    <w:div w:id="478350437">
      <w:bodyDiv w:val="1"/>
      <w:marLeft w:val="0"/>
      <w:marRight w:val="0"/>
      <w:marTop w:val="0"/>
      <w:marBottom w:val="0"/>
      <w:divBdr>
        <w:top w:val="none" w:sz="0" w:space="0" w:color="auto"/>
        <w:left w:val="none" w:sz="0" w:space="0" w:color="auto"/>
        <w:bottom w:val="none" w:sz="0" w:space="0" w:color="auto"/>
        <w:right w:val="none" w:sz="0" w:space="0" w:color="auto"/>
      </w:divBdr>
    </w:div>
    <w:div w:id="530605112">
      <w:bodyDiv w:val="1"/>
      <w:marLeft w:val="0"/>
      <w:marRight w:val="0"/>
      <w:marTop w:val="0"/>
      <w:marBottom w:val="0"/>
      <w:divBdr>
        <w:top w:val="none" w:sz="0" w:space="0" w:color="auto"/>
        <w:left w:val="none" w:sz="0" w:space="0" w:color="auto"/>
        <w:bottom w:val="none" w:sz="0" w:space="0" w:color="auto"/>
        <w:right w:val="none" w:sz="0" w:space="0" w:color="auto"/>
      </w:divBdr>
    </w:div>
    <w:div w:id="682785796">
      <w:bodyDiv w:val="1"/>
      <w:marLeft w:val="0"/>
      <w:marRight w:val="0"/>
      <w:marTop w:val="0"/>
      <w:marBottom w:val="0"/>
      <w:divBdr>
        <w:top w:val="none" w:sz="0" w:space="0" w:color="auto"/>
        <w:left w:val="none" w:sz="0" w:space="0" w:color="auto"/>
        <w:bottom w:val="none" w:sz="0" w:space="0" w:color="auto"/>
        <w:right w:val="none" w:sz="0" w:space="0" w:color="auto"/>
      </w:divBdr>
    </w:div>
    <w:div w:id="749084408">
      <w:bodyDiv w:val="1"/>
      <w:marLeft w:val="0"/>
      <w:marRight w:val="0"/>
      <w:marTop w:val="0"/>
      <w:marBottom w:val="0"/>
      <w:divBdr>
        <w:top w:val="none" w:sz="0" w:space="0" w:color="auto"/>
        <w:left w:val="none" w:sz="0" w:space="0" w:color="auto"/>
        <w:bottom w:val="none" w:sz="0" w:space="0" w:color="auto"/>
        <w:right w:val="none" w:sz="0" w:space="0" w:color="auto"/>
      </w:divBdr>
    </w:div>
    <w:div w:id="913515063">
      <w:bodyDiv w:val="1"/>
      <w:marLeft w:val="0"/>
      <w:marRight w:val="0"/>
      <w:marTop w:val="0"/>
      <w:marBottom w:val="0"/>
      <w:divBdr>
        <w:top w:val="none" w:sz="0" w:space="0" w:color="auto"/>
        <w:left w:val="none" w:sz="0" w:space="0" w:color="auto"/>
        <w:bottom w:val="none" w:sz="0" w:space="0" w:color="auto"/>
        <w:right w:val="none" w:sz="0" w:space="0" w:color="auto"/>
      </w:divBdr>
    </w:div>
    <w:div w:id="1025014198">
      <w:bodyDiv w:val="1"/>
      <w:marLeft w:val="0"/>
      <w:marRight w:val="0"/>
      <w:marTop w:val="0"/>
      <w:marBottom w:val="0"/>
      <w:divBdr>
        <w:top w:val="none" w:sz="0" w:space="0" w:color="auto"/>
        <w:left w:val="none" w:sz="0" w:space="0" w:color="auto"/>
        <w:bottom w:val="none" w:sz="0" w:space="0" w:color="auto"/>
        <w:right w:val="none" w:sz="0" w:space="0" w:color="auto"/>
      </w:divBdr>
    </w:div>
    <w:div w:id="1099328494">
      <w:bodyDiv w:val="1"/>
      <w:marLeft w:val="0"/>
      <w:marRight w:val="0"/>
      <w:marTop w:val="0"/>
      <w:marBottom w:val="0"/>
      <w:divBdr>
        <w:top w:val="none" w:sz="0" w:space="0" w:color="auto"/>
        <w:left w:val="none" w:sz="0" w:space="0" w:color="auto"/>
        <w:bottom w:val="none" w:sz="0" w:space="0" w:color="auto"/>
        <w:right w:val="none" w:sz="0" w:space="0" w:color="auto"/>
      </w:divBdr>
    </w:div>
    <w:div w:id="1111439905">
      <w:bodyDiv w:val="1"/>
      <w:marLeft w:val="0"/>
      <w:marRight w:val="0"/>
      <w:marTop w:val="0"/>
      <w:marBottom w:val="0"/>
      <w:divBdr>
        <w:top w:val="none" w:sz="0" w:space="0" w:color="auto"/>
        <w:left w:val="none" w:sz="0" w:space="0" w:color="auto"/>
        <w:bottom w:val="none" w:sz="0" w:space="0" w:color="auto"/>
        <w:right w:val="none" w:sz="0" w:space="0" w:color="auto"/>
      </w:divBdr>
    </w:div>
    <w:div w:id="1250575374">
      <w:bodyDiv w:val="1"/>
      <w:marLeft w:val="0"/>
      <w:marRight w:val="0"/>
      <w:marTop w:val="0"/>
      <w:marBottom w:val="0"/>
      <w:divBdr>
        <w:top w:val="none" w:sz="0" w:space="0" w:color="auto"/>
        <w:left w:val="none" w:sz="0" w:space="0" w:color="auto"/>
        <w:bottom w:val="none" w:sz="0" w:space="0" w:color="auto"/>
        <w:right w:val="none" w:sz="0" w:space="0" w:color="auto"/>
      </w:divBdr>
    </w:div>
    <w:div w:id="1498840526">
      <w:bodyDiv w:val="1"/>
      <w:marLeft w:val="0"/>
      <w:marRight w:val="0"/>
      <w:marTop w:val="0"/>
      <w:marBottom w:val="0"/>
      <w:divBdr>
        <w:top w:val="none" w:sz="0" w:space="0" w:color="auto"/>
        <w:left w:val="none" w:sz="0" w:space="0" w:color="auto"/>
        <w:bottom w:val="none" w:sz="0" w:space="0" w:color="auto"/>
        <w:right w:val="none" w:sz="0" w:space="0" w:color="auto"/>
      </w:divBdr>
    </w:div>
    <w:div w:id="1590428329">
      <w:bodyDiv w:val="1"/>
      <w:marLeft w:val="0"/>
      <w:marRight w:val="0"/>
      <w:marTop w:val="0"/>
      <w:marBottom w:val="0"/>
      <w:divBdr>
        <w:top w:val="none" w:sz="0" w:space="0" w:color="auto"/>
        <w:left w:val="none" w:sz="0" w:space="0" w:color="auto"/>
        <w:bottom w:val="none" w:sz="0" w:space="0" w:color="auto"/>
        <w:right w:val="none" w:sz="0" w:space="0" w:color="auto"/>
      </w:divBdr>
    </w:div>
    <w:div w:id="1683629407">
      <w:bodyDiv w:val="1"/>
      <w:marLeft w:val="0"/>
      <w:marRight w:val="0"/>
      <w:marTop w:val="0"/>
      <w:marBottom w:val="0"/>
      <w:divBdr>
        <w:top w:val="none" w:sz="0" w:space="0" w:color="auto"/>
        <w:left w:val="none" w:sz="0" w:space="0" w:color="auto"/>
        <w:bottom w:val="none" w:sz="0" w:space="0" w:color="auto"/>
        <w:right w:val="none" w:sz="0" w:space="0" w:color="auto"/>
      </w:divBdr>
    </w:div>
    <w:div w:id="1750535638">
      <w:bodyDiv w:val="1"/>
      <w:marLeft w:val="0"/>
      <w:marRight w:val="0"/>
      <w:marTop w:val="0"/>
      <w:marBottom w:val="0"/>
      <w:divBdr>
        <w:top w:val="none" w:sz="0" w:space="0" w:color="auto"/>
        <w:left w:val="none" w:sz="0" w:space="0" w:color="auto"/>
        <w:bottom w:val="none" w:sz="0" w:space="0" w:color="auto"/>
        <w:right w:val="none" w:sz="0" w:space="0" w:color="auto"/>
      </w:divBdr>
    </w:div>
    <w:div w:id="1793933689">
      <w:bodyDiv w:val="1"/>
      <w:marLeft w:val="0"/>
      <w:marRight w:val="0"/>
      <w:marTop w:val="0"/>
      <w:marBottom w:val="0"/>
      <w:divBdr>
        <w:top w:val="none" w:sz="0" w:space="0" w:color="auto"/>
        <w:left w:val="none" w:sz="0" w:space="0" w:color="auto"/>
        <w:bottom w:val="none" w:sz="0" w:space="0" w:color="auto"/>
        <w:right w:val="none" w:sz="0" w:space="0" w:color="auto"/>
      </w:divBdr>
    </w:div>
    <w:div w:id="1829709710">
      <w:bodyDiv w:val="1"/>
      <w:marLeft w:val="0"/>
      <w:marRight w:val="0"/>
      <w:marTop w:val="0"/>
      <w:marBottom w:val="0"/>
      <w:divBdr>
        <w:top w:val="none" w:sz="0" w:space="0" w:color="auto"/>
        <w:left w:val="none" w:sz="0" w:space="0" w:color="auto"/>
        <w:bottom w:val="none" w:sz="0" w:space="0" w:color="auto"/>
        <w:right w:val="none" w:sz="0" w:space="0" w:color="auto"/>
      </w:divBdr>
    </w:div>
    <w:div w:id="1845432026">
      <w:bodyDiv w:val="1"/>
      <w:marLeft w:val="0"/>
      <w:marRight w:val="0"/>
      <w:marTop w:val="0"/>
      <w:marBottom w:val="0"/>
      <w:divBdr>
        <w:top w:val="none" w:sz="0" w:space="0" w:color="auto"/>
        <w:left w:val="none" w:sz="0" w:space="0" w:color="auto"/>
        <w:bottom w:val="none" w:sz="0" w:space="0" w:color="auto"/>
        <w:right w:val="none" w:sz="0" w:space="0" w:color="auto"/>
      </w:divBdr>
    </w:div>
    <w:div w:id="1882553499">
      <w:bodyDiv w:val="1"/>
      <w:marLeft w:val="0"/>
      <w:marRight w:val="0"/>
      <w:marTop w:val="0"/>
      <w:marBottom w:val="0"/>
      <w:divBdr>
        <w:top w:val="none" w:sz="0" w:space="0" w:color="auto"/>
        <w:left w:val="none" w:sz="0" w:space="0" w:color="auto"/>
        <w:bottom w:val="none" w:sz="0" w:space="0" w:color="auto"/>
        <w:right w:val="none" w:sz="0" w:space="0" w:color="auto"/>
      </w:divBdr>
    </w:div>
    <w:div w:id="2147313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5D70B-DA05-B841-80AA-C214B774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8337</Words>
  <Characters>47523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Quilty-Dunn</dc:creator>
  <cp:lastModifiedBy>Jake Quilty-Dunn</cp:lastModifiedBy>
  <cp:revision>2</cp:revision>
  <dcterms:created xsi:type="dcterms:W3CDTF">2020-08-27T16:51:00Z</dcterms:created>
  <dcterms:modified xsi:type="dcterms:W3CDTF">2020-08-27T16:51:00Z</dcterms:modified>
</cp:coreProperties>
</file>