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A3" w:rsidRDefault="004D43B2" w:rsidP="00BF3566">
      <w:pPr>
        <w:rPr>
          <w:b/>
          <w:bCs/>
          <w:i w:val="0"/>
          <w:iCs/>
          <w:sz w:val="24"/>
          <w:szCs w:val="22"/>
          <w:lang w:val="en-US"/>
        </w:rPr>
      </w:pPr>
      <w:r w:rsidRPr="004F6ADF">
        <w:rPr>
          <w:b/>
          <w:bCs/>
          <w:i w:val="0"/>
          <w:iCs/>
          <w:sz w:val="24"/>
          <w:szCs w:val="22"/>
          <w:lang w:val="en-US"/>
        </w:rPr>
        <w:t xml:space="preserve">GOD AND POLITICS IN </w:t>
      </w:r>
      <w:r w:rsidR="00BF3566" w:rsidRPr="004F6ADF">
        <w:rPr>
          <w:b/>
          <w:bCs/>
          <w:i w:val="0"/>
          <w:iCs/>
          <w:sz w:val="24"/>
          <w:szCs w:val="22"/>
          <w:lang w:val="en-US"/>
        </w:rPr>
        <w:t>SECULAR</w:t>
      </w:r>
      <w:r w:rsidRPr="004F6ADF">
        <w:rPr>
          <w:b/>
          <w:bCs/>
          <w:i w:val="0"/>
          <w:iCs/>
          <w:sz w:val="24"/>
          <w:szCs w:val="22"/>
          <w:lang w:val="en-US"/>
        </w:rPr>
        <w:t xml:space="preserve"> INDIA</w:t>
      </w:r>
    </w:p>
    <w:p w:rsidR="00091468" w:rsidRDefault="00091468" w:rsidP="00BF3566">
      <w:pPr>
        <w:rPr>
          <w:b/>
          <w:bCs/>
          <w:i w:val="0"/>
          <w:iCs/>
          <w:sz w:val="24"/>
          <w:szCs w:val="22"/>
          <w:lang w:val="en-US"/>
        </w:rPr>
      </w:pPr>
    </w:p>
    <w:p w:rsidR="00091468" w:rsidRPr="004F6ADF" w:rsidRDefault="00091468" w:rsidP="00BF3566">
      <w:pPr>
        <w:rPr>
          <w:b/>
          <w:bCs/>
          <w:i w:val="0"/>
          <w:iCs/>
          <w:sz w:val="24"/>
          <w:szCs w:val="22"/>
          <w:lang w:val="en-US"/>
        </w:rPr>
      </w:pPr>
      <w:r>
        <w:rPr>
          <w:b/>
          <w:bCs/>
          <w:i w:val="0"/>
          <w:iCs/>
          <w:sz w:val="24"/>
          <w:szCs w:val="22"/>
          <w:lang w:val="en-US"/>
        </w:rPr>
        <w:t>Domenic Marbaniang</w:t>
      </w:r>
    </w:p>
    <w:p w:rsidR="004D43B2" w:rsidRPr="004F6ADF" w:rsidRDefault="004D43B2" w:rsidP="004D43B2">
      <w:pPr>
        <w:jc w:val="both"/>
        <w:rPr>
          <w:i w:val="0"/>
          <w:iCs/>
          <w:sz w:val="24"/>
          <w:szCs w:val="22"/>
          <w:lang w:val="en-US"/>
        </w:rPr>
      </w:pPr>
    </w:p>
    <w:p w:rsidR="004D43B2" w:rsidRPr="004F6ADF" w:rsidRDefault="004D43B2" w:rsidP="004D43B2">
      <w:pPr>
        <w:jc w:val="both"/>
        <w:rPr>
          <w:i w:val="0"/>
          <w:iCs/>
          <w:sz w:val="24"/>
          <w:szCs w:val="22"/>
          <w:lang w:val="en-US"/>
        </w:rPr>
      </w:pPr>
    </w:p>
    <w:p w:rsidR="00DE4004" w:rsidRPr="004F6ADF" w:rsidRDefault="004D43B2" w:rsidP="00F14308">
      <w:pPr>
        <w:jc w:val="both"/>
        <w:rPr>
          <w:i w:val="0"/>
          <w:iCs/>
          <w:sz w:val="24"/>
          <w:szCs w:val="22"/>
          <w:lang w:val="en-US"/>
        </w:rPr>
      </w:pPr>
      <w:r w:rsidRPr="004F6ADF">
        <w:rPr>
          <w:i w:val="0"/>
          <w:iCs/>
          <w:sz w:val="24"/>
          <w:szCs w:val="22"/>
          <w:lang w:val="en-US"/>
        </w:rPr>
        <w:t>God and politics are not strangers</w:t>
      </w:r>
      <w:r w:rsidR="00E261AD" w:rsidRPr="004F6ADF">
        <w:rPr>
          <w:i w:val="0"/>
          <w:iCs/>
          <w:sz w:val="24"/>
          <w:szCs w:val="22"/>
          <w:lang w:val="en-US"/>
        </w:rPr>
        <w:t xml:space="preserve"> to each other</w:t>
      </w:r>
      <w:r w:rsidRPr="004F6ADF">
        <w:rPr>
          <w:i w:val="0"/>
          <w:iCs/>
          <w:sz w:val="24"/>
          <w:szCs w:val="22"/>
          <w:lang w:val="en-US"/>
        </w:rPr>
        <w:t xml:space="preserve"> in India. </w:t>
      </w:r>
    </w:p>
    <w:p w:rsidR="00DE4004" w:rsidRPr="004F6ADF" w:rsidRDefault="00DE4004" w:rsidP="00F14308">
      <w:pPr>
        <w:jc w:val="both"/>
        <w:rPr>
          <w:i w:val="0"/>
          <w:iCs/>
          <w:sz w:val="24"/>
          <w:szCs w:val="22"/>
          <w:lang w:val="en-US"/>
        </w:rPr>
      </w:pPr>
    </w:p>
    <w:p w:rsidR="004D43B2" w:rsidRPr="004F6ADF" w:rsidRDefault="00E261AD" w:rsidP="00713399">
      <w:pPr>
        <w:jc w:val="both"/>
        <w:rPr>
          <w:i w:val="0"/>
          <w:iCs/>
          <w:sz w:val="24"/>
          <w:szCs w:val="22"/>
          <w:lang w:val="en-US"/>
        </w:rPr>
      </w:pPr>
      <w:r w:rsidRPr="004F6ADF">
        <w:rPr>
          <w:i w:val="0"/>
          <w:iCs/>
          <w:sz w:val="24"/>
          <w:szCs w:val="22"/>
          <w:lang w:val="en-US"/>
        </w:rPr>
        <w:t>Of course, that might preliminarily appear to be a theologically precarious announcement. Secularity has taught us to abstain from referring to God in history; while theology closed the lid on divine history, at least, with the fixation of the Canon in the 4</w:t>
      </w:r>
      <w:r w:rsidRPr="004F6ADF">
        <w:rPr>
          <w:i w:val="0"/>
          <w:iCs/>
          <w:sz w:val="24"/>
          <w:szCs w:val="22"/>
          <w:vertAlign w:val="superscript"/>
          <w:lang w:val="en-US"/>
        </w:rPr>
        <w:t>th</w:t>
      </w:r>
      <w:r w:rsidRPr="004F6ADF">
        <w:rPr>
          <w:i w:val="0"/>
          <w:iCs/>
          <w:sz w:val="24"/>
          <w:szCs w:val="22"/>
          <w:lang w:val="en-US"/>
        </w:rPr>
        <w:t xml:space="preserve"> century. That didn’t mean that individual testimonies ceased to exist; however, individual testimonies ceased to hold documentable authority for </w:t>
      </w:r>
      <w:r w:rsidR="0065220E" w:rsidRPr="004F6ADF">
        <w:rPr>
          <w:i w:val="0"/>
          <w:iCs/>
          <w:sz w:val="24"/>
          <w:szCs w:val="22"/>
          <w:lang w:val="en-US"/>
        </w:rPr>
        <w:t>the</w:t>
      </w:r>
      <w:r w:rsidRPr="004F6ADF">
        <w:rPr>
          <w:i w:val="0"/>
          <w:iCs/>
          <w:sz w:val="24"/>
          <w:szCs w:val="22"/>
          <w:lang w:val="en-US"/>
        </w:rPr>
        <w:t xml:space="preserve"> development of a theology of history. Certainly, that </w:t>
      </w:r>
      <w:r w:rsidR="0065220E" w:rsidRPr="004F6ADF">
        <w:rPr>
          <w:i w:val="0"/>
          <w:iCs/>
          <w:sz w:val="24"/>
          <w:szCs w:val="22"/>
          <w:lang w:val="en-US"/>
        </w:rPr>
        <w:t>was</w:t>
      </w:r>
      <w:r w:rsidRPr="004F6ADF">
        <w:rPr>
          <w:i w:val="0"/>
          <w:iCs/>
          <w:sz w:val="24"/>
          <w:szCs w:val="22"/>
          <w:lang w:val="en-US"/>
        </w:rPr>
        <w:t xml:space="preserve"> crucial to the sealing of revelation in history; theology of New Testament is not permitted to extend beyond the original </w:t>
      </w:r>
      <w:proofErr w:type="gramStart"/>
      <w:r w:rsidRPr="004F6ADF">
        <w:rPr>
          <w:i w:val="0"/>
          <w:iCs/>
          <w:sz w:val="24"/>
          <w:szCs w:val="22"/>
          <w:lang w:val="en-US"/>
        </w:rPr>
        <w:t>Apostolic</w:t>
      </w:r>
      <w:proofErr w:type="gramEnd"/>
      <w:r w:rsidRPr="004F6ADF">
        <w:rPr>
          <w:i w:val="0"/>
          <w:iCs/>
          <w:sz w:val="24"/>
          <w:szCs w:val="22"/>
          <w:lang w:val="en-US"/>
        </w:rPr>
        <w:t xml:space="preserve"> doctrine.</w:t>
      </w:r>
      <w:r w:rsidR="00556FFD" w:rsidRPr="004F6ADF">
        <w:rPr>
          <w:i w:val="0"/>
          <w:iCs/>
          <w:sz w:val="24"/>
          <w:szCs w:val="22"/>
          <w:lang w:val="en-US"/>
        </w:rPr>
        <w:t xml:space="preserve"> But, of course, this didn’t rule away the possibility of supernatural experiences though their significance had to be interpreted in light of the revealed Scriptures.</w:t>
      </w:r>
      <w:r w:rsidR="0065220E" w:rsidRPr="004F6ADF">
        <w:rPr>
          <w:i w:val="0"/>
          <w:iCs/>
          <w:sz w:val="24"/>
          <w:szCs w:val="22"/>
          <w:lang w:val="en-US"/>
        </w:rPr>
        <w:t xml:space="preserve"> </w:t>
      </w:r>
      <w:r w:rsidR="00556FFD" w:rsidRPr="004F6ADF">
        <w:rPr>
          <w:i w:val="0"/>
          <w:iCs/>
          <w:sz w:val="24"/>
          <w:szCs w:val="22"/>
          <w:lang w:val="en-US"/>
        </w:rPr>
        <w:t>T</w:t>
      </w:r>
      <w:r w:rsidR="0065220E" w:rsidRPr="004F6ADF">
        <w:rPr>
          <w:i w:val="0"/>
          <w:iCs/>
          <w:sz w:val="24"/>
          <w:szCs w:val="22"/>
          <w:lang w:val="en-US"/>
        </w:rPr>
        <w:t>he modernism of the Enlightenment</w:t>
      </w:r>
      <w:r w:rsidR="00B57075" w:rsidRPr="004F6ADF">
        <w:rPr>
          <w:i w:val="0"/>
          <w:iCs/>
          <w:sz w:val="24"/>
          <w:szCs w:val="22"/>
          <w:lang w:val="en-US"/>
        </w:rPr>
        <w:t xml:space="preserve"> in the 18</w:t>
      </w:r>
      <w:r w:rsidR="00B57075" w:rsidRPr="004F6ADF">
        <w:rPr>
          <w:i w:val="0"/>
          <w:iCs/>
          <w:sz w:val="24"/>
          <w:szCs w:val="22"/>
          <w:vertAlign w:val="superscript"/>
          <w:lang w:val="en-US"/>
        </w:rPr>
        <w:t>th</w:t>
      </w:r>
      <w:r w:rsidR="00B57075" w:rsidRPr="004F6ADF">
        <w:rPr>
          <w:i w:val="0"/>
          <w:iCs/>
          <w:sz w:val="24"/>
          <w:szCs w:val="22"/>
          <w:lang w:val="en-US"/>
        </w:rPr>
        <w:t xml:space="preserve"> century</w:t>
      </w:r>
      <w:r w:rsidR="0065220E" w:rsidRPr="004F6ADF">
        <w:rPr>
          <w:i w:val="0"/>
          <w:iCs/>
          <w:sz w:val="24"/>
          <w:szCs w:val="22"/>
          <w:lang w:val="en-US"/>
        </w:rPr>
        <w:t xml:space="preserve"> encouraged a somewhat deistic view of divine abstinence from human history; a view that seemed to have become </w:t>
      </w:r>
      <w:r w:rsidR="00F14308" w:rsidRPr="004F6ADF">
        <w:rPr>
          <w:i w:val="0"/>
          <w:iCs/>
          <w:sz w:val="24"/>
          <w:szCs w:val="22"/>
          <w:lang w:val="en-US"/>
        </w:rPr>
        <w:t>strengthened</w:t>
      </w:r>
      <w:r w:rsidR="00713399" w:rsidRPr="004F6ADF">
        <w:rPr>
          <w:i w:val="0"/>
          <w:iCs/>
          <w:sz w:val="24"/>
          <w:szCs w:val="22"/>
          <w:lang w:val="en-US"/>
        </w:rPr>
        <w:t>,</w:t>
      </w:r>
      <w:r w:rsidR="0065220E" w:rsidRPr="004F6ADF">
        <w:rPr>
          <w:i w:val="0"/>
          <w:iCs/>
          <w:sz w:val="24"/>
          <w:szCs w:val="22"/>
          <w:lang w:val="en-US"/>
        </w:rPr>
        <w:t xml:space="preserve"> </w:t>
      </w:r>
      <w:r w:rsidR="00713399" w:rsidRPr="004F6ADF">
        <w:rPr>
          <w:i w:val="0"/>
          <w:iCs/>
          <w:sz w:val="24"/>
          <w:szCs w:val="22"/>
          <w:lang w:val="en-US"/>
        </w:rPr>
        <w:t>through</w:t>
      </w:r>
      <w:r w:rsidR="0065220E" w:rsidRPr="004F6ADF">
        <w:rPr>
          <w:i w:val="0"/>
          <w:iCs/>
          <w:sz w:val="24"/>
          <w:szCs w:val="22"/>
          <w:lang w:val="en-US"/>
        </w:rPr>
        <w:t xml:space="preserve"> </w:t>
      </w:r>
      <w:r w:rsidR="00713399" w:rsidRPr="004F6ADF">
        <w:rPr>
          <w:i w:val="0"/>
          <w:iCs/>
          <w:sz w:val="24"/>
          <w:szCs w:val="22"/>
          <w:lang w:val="en-US"/>
        </w:rPr>
        <w:t>diverse</w:t>
      </w:r>
      <w:r w:rsidR="0065220E" w:rsidRPr="004F6ADF">
        <w:rPr>
          <w:i w:val="0"/>
          <w:iCs/>
          <w:sz w:val="24"/>
          <w:szCs w:val="22"/>
          <w:lang w:val="en-US"/>
        </w:rPr>
        <w:t xml:space="preserve"> </w:t>
      </w:r>
      <w:r w:rsidR="00713399" w:rsidRPr="004F6ADF">
        <w:rPr>
          <w:i w:val="0"/>
          <w:iCs/>
          <w:sz w:val="24"/>
          <w:szCs w:val="22"/>
          <w:lang w:val="en-US"/>
        </w:rPr>
        <w:t>interpretations, among</w:t>
      </w:r>
      <w:r w:rsidR="0065220E" w:rsidRPr="004F6ADF">
        <w:rPr>
          <w:i w:val="0"/>
          <w:iCs/>
          <w:sz w:val="24"/>
          <w:szCs w:val="22"/>
          <w:lang w:val="en-US"/>
        </w:rPr>
        <w:t xml:space="preserve"> a few t</w:t>
      </w:r>
      <w:r w:rsidR="00B57075" w:rsidRPr="004F6ADF">
        <w:rPr>
          <w:i w:val="0"/>
          <w:iCs/>
          <w:sz w:val="24"/>
          <w:szCs w:val="22"/>
          <w:lang w:val="en-US"/>
        </w:rPr>
        <w:t>heologians in the Post-War era</w:t>
      </w:r>
      <w:r w:rsidR="0033032A" w:rsidRPr="004F6ADF">
        <w:rPr>
          <w:i w:val="0"/>
          <w:iCs/>
          <w:sz w:val="24"/>
          <w:szCs w:val="22"/>
          <w:lang w:val="en-US"/>
        </w:rPr>
        <w:t>,</w:t>
      </w:r>
      <w:r w:rsidR="00B57075" w:rsidRPr="004F6ADF">
        <w:rPr>
          <w:i w:val="0"/>
          <w:iCs/>
          <w:sz w:val="24"/>
          <w:szCs w:val="22"/>
          <w:lang w:val="en-US"/>
        </w:rPr>
        <w:t xml:space="preserve"> in the Death of God movement.</w:t>
      </w:r>
      <w:r w:rsidR="0033032A" w:rsidRPr="004F6ADF">
        <w:rPr>
          <w:i w:val="0"/>
          <w:iCs/>
          <w:sz w:val="24"/>
          <w:szCs w:val="22"/>
          <w:lang w:val="en-US"/>
        </w:rPr>
        <w:t xml:space="preserve"> </w:t>
      </w:r>
      <w:r w:rsidR="00453079" w:rsidRPr="004F6ADF">
        <w:rPr>
          <w:i w:val="0"/>
          <w:iCs/>
          <w:sz w:val="24"/>
          <w:szCs w:val="22"/>
          <w:lang w:val="en-US"/>
        </w:rPr>
        <w:t xml:space="preserve">Of course, </w:t>
      </w:r>
      <w:r w:rsidR="0033032A" w:rsidRPr="004F6ADF">
        <w:rPr>
          <w:i w:val="0"/>
          <w:iCs/>
          <w:sz w:val="24"/>
          <w:szCs w:val="22"/>
          <w:lang w:val="en-US"/>
        </w:rPr>
        <w:t>these exemplified only a few; most continued to believe that God was interested in human affairs and that God has a historical plan for the world. Prayer became a powerful privilege to such who sought divine intervention in personal and national matters.</w:t>
      </w:r>
    </w:p>
    <w:p w:rsidR="0033032A" w:rsidRPr="004F6ADF" w:rsidRDefault="0033032A" w:rsidP="0033032A">
      <w:pPr>
        <w:jc w:val="both"/>
        <w:rPr>
          <w:i w:val="0"/>
          <w:iCs/>
          <w:sz w:val="24"/>
          <w:szCs w:val="22"/>
          <w:lang w:val="en-US"/>
        </w:rPr>
      </w:pPr>
    </w:p>
    <w:p w:rsidR="00713399" w:rsidRPr="004F6ADF" w:rsidRDefault="000C6ACE" w:rsidP="00091468">
      <w:pPr>
        <w:jc w:val="both"/>
        <w:rPr>
          <w:i w:val="0"/>
          <w:iCs/>
          <w:sz w:val="24"/>
          <w:szCs w:val="22"/>
          <w:lang w:val="en-US"/>
        </w:rPr>
      </w:pPr>
      <w:r w:rsidRPr="004F6ADF">
        <w:rPr>
          <w:i w:val="0"/>
          <w:iCs/>
          <w:sz w:val="24"/>
          <w:szCs w:val="22"/>
          <w:lang w:val="en-US"/>
        </w:rPr>
        <w:t>The Dispensationalists were keen to identify the nation of Israel in the divine historical timeline and interpret all</w:t>
      </w:r>
      <w:r w:rsidR="00F27220" w:rsidRPr="004F6ADF">
        <w:rPr>
          <w:i w:val="0"/>
          <w:iCs/>
          <w:sz w:val="24"/>
          <w:szCs w:val="22"/>
          <w:lang w:val="en-US"/>
        </w:rPr>
        <w:t xml:space="preserve"> current events in relation to the dispensationalist points of reference. </w:t>
      </w:r>
      <w:r w:rsidR="00F14308" w:rsidRPr="004F6ADF">
        <w:rPr>
          <w:i w:val="0"/>
          <w:iCs/>
          <w:sz w:val="24"/>
          <w:szCs w:val="22"/>
          <w:lang w:val="en-US"/>
        </w:rPr>
        <w:t>Nations and nationalisms had no individual significance</w:t>
      </w:r>
      <w:r w:rsidR="00842821" w:rsidRPr="004F6ADF">
        <w:rPr>
          <w:i w:val="0"/>
          <w:iCs/>
          <w:sz w:val="24"/>
          <w:szCs w:val="22"/>
          <w:lang w:val="en-US"/>
        </w:rPr>
        <w:t xml:space="preserve"> apart </w:t>
      </w:r>
      <w:r w:rsidR="002A7027" w:rsidRPr="004F6ADF">
        <w:rPr>
          <w:i w:val="0"/>
          <w:iCs/>
          <w:sz w:val="24"/>
          <w:szCs w:val="22"/>
          <w:lang w:val="en-US"/>
        </w:rPr>
        <w:t xml:space="preserve">from their place in the eschatological timetable. Missionary anthropologists, however, seemed to discover the chronological significance of nations in the ecclesiological plan of God. In some way, it was also anticipated that </w:t>
      </w:r>
      <w:r w:rsidR="00CF7186" w:rsidRPr="004F6ADF">
        <w:rPr>
          <w:i w:val="0"/>
          <w:iCs/>
          <w:sz w:val="24"/>
          <w:szCs w:val="22"/>
          <w:lang w:val="en-US"/>
        </w:rPr>
        <w:t>evangeli</w:t>
      </w:r>
      <w:r w:rsidR="00DE4004" w:rsidRPr="004F6ADF">
        <w:rPr>
          <w:i w:val="0"/>
          <w:iCs/>
          <w:sz w:val="24"/>
          <w:szCs w:val="22"/>
          <w:lang w:val="en-US"/>
        </w:rPr>
        <w:t xml:space="preserve">zation </w:t>
      </w:r>
      <w:r w:rsidR="00CF7186" w:rsidRPr="004F6ADF">
        <w:rPr>
          <w:i w:val="0"/>
          <w:iCs/>
          <w:sz w:val="24"/>
          <w:szCs w:val="22"/>
          <w:lang w:val="en-US"/>
        </w:rPr>
        <w:t>would hasten the end of times.</w:t>
      </w:r>
      <w:r w:rsidR="00925AC2" w:rsidRPr="004F6ADF">
        <w:rPr>
          <w:i w:val="0"/>
          <w:iCs/>
          <w:sz w:val="24"/>
          <w:szCs w:val="22"/>
          <w:lang w:val="en-US"/>
        </w:rPr>
        <w:t xml:space="preserve"> But, was God specifically interested in the history of any nation just for its sake</w:t>
      </w:r>
      <w:r w:rsidR="00091468">
        <w:rPr>
          <w:i w:val="0"/>
          <w:iCs/>
          <w:sz w:val="24"/>
          <w:szCs w:val="22"/>
          <w:lang w:val="en-US"/>
        </w:rPr>
        <w:t>? Also</w:t>
      </w:r>
      <w:r w:rsidR="00925AC2" w:rsidRPr="004F6ADF">
        <w:rPr>
          <w:i w:val="0"/>
          <w:iCs/>
          <w:sz w:val="24"/>
          <w:szCs w:val="22"/>
          <w:lang w:val="en-US"/>
        </w:rPr>
        <w:t>, could a Christian nationalism be possible?</w:t>
      </w:r>
      <w:r w:rsidR="00091468">
        <w:rPr>
          <w:i w:val="0"/>
          <w:iCs/>
          <w:sz w:val="24"/>
          <w:szCs w:val="22"/>
          <w:lang w:val="en-US"/>
        </w:rPr>
        <w:t xml:space="preserve"> D</w:t>
      </w:r>
      <w:r w:rsidR="00925AC2" w:rsidRPr="004F6ADF">
        <w:rPr>
          <w:i w:val="0"/>
          <w:iCs/>
          <w:sz w:val="24"/>
          <w:szCs w:val="22"/>
          <w:lang w:val="en-US"/>
        </w:rPr>
        <w:t>o nations possess individual significance like Israel did or was Israel the only significant physical nation – so that theology had to only deal with the physical Israel and the spiritual Israel (</w:t>
      </w:r>
      <w:r w:rsidR="00091468">
        <w:rPr>
          <w:i w:val="0"/>
          <w:iCs/>
          <w:sz w:val="24"/>
          <w:szCs w:val="22"/>
          <w:lang w:val="en-US"/>
        </w:rPr>
        <w:t>church</w:t>
      </w:r>
      <w:r w:rsidR="00925AC2" w:rsidRPr="004F6ADF">
        <w:rPr>
          <w:i w:val="0"/>
          <w:iCs/>
          <w:sz w:val="24"/>
          <w:szCs w:val="22"/>
          <w:lang w:val="en-US"/>
        </w:rPr>
        <w:t>)</w:t>
      </w:r>
      <w:r w:rsidR="00713399" w:rsidRPr="004F6ADF">
        <w:rPr>
          <w:i w:val="0"/>
          <w:iCs/>
          <w:sz w:val="24"/>
          <w:szCs w:val="22"/>
          <w:lang w:val="en-US"/>
        </w:rPr>
        <w:t xml:space="preserve"> </w:t>
      </w:r>
      <w:r w:rsidR="00091468">
        <w:rPr>
          <w:i w:val="0"/>
          <w:iCs/>
          <w:sz w:val="24"/>
          <w:szCs w:val="22"/>
          <w:lang w:val="en-US"/>
        </w:rPr>
        <w:t>so</w:t>
      </w:r>
      <w:r w:rsidR="00713399" w:rsidRPr="004F6ADF">
        <w:rPr>
          <w:i w:val="0"/>
          <w:iCs/>
          <w:sz w:val="24"/>
          <w:szCs w:val="22"/>
          <w:lang w:val="en-US"/>
        </w:rPr>
        <w:t xml:space="preserve"> far as national historical significance was concerned</w:t>
      </w:r>
      <w:r w:rsidR="00925AC2" w:rsidRPr="004F6ADF">
        <w:rPr>
          <w:i w:val="0"/>
          <w:iCs/>
          <w:sz w:val="24"/>
          <w:szCs w:val="22"/>
          <w:lang w:val="en-US"/>
        </w:rPr>
        <w:t>?</w:t>
      </w:r>
    </w:p>
    <w:p w:rsidR="00713399" w:rsidRPr="004F6ADF" w:rsidRDefault="00713399" w:rsidP="00713399">
      <w:pPr>
        <w:jc w:val="both"/>
        <w:rPr>
          <w:i w:val="0"/>
          <w:iCs/>
          <w:sz w:val="24"/>
          <w:szCs w:val="22"/>
          <w:lang w:val="en-US"/>
        </w:rPr>
      </w:pPr>
    </w:p>
    <w:p w:rsidR="00E474F4" w:rsidRPr="004F6ADF" w:rsidRDefault="00713399" w:rsidP="00091468">
      <w:pPr>
        <w:jc w:val="both"/>
        <w:rPr>
          <w:i w:val="0"/>
          <w:iCs/>
          <w:sz w:val="24"/>
          <w:szCs w:val="22"/>
          <w:lang w:val="en-US"/>
        </w:rPr>
      </w:pPr>
      <w:r w:rsidRPr="004F6ADF">
        <w:rPr>
          <w:i w:val="0"/>
          <w:iCs/>
          <w:sz w:val="24"/>
          <w:szCs w:val="22"/>
          <w:lang w:val="en-US"/>
        </w:rPr>
        <w:t xml:space="preserve">The question needs to be theologically answered and not just sensationally aired. </w:t>
      </w:r>
      <w:r w:rsidR="003A1246" w:rsidRPr="004F6ADF">
        <w:rPr>
          <w:i w:val="0"/>
          <w:iCs/>
          <w:sz w:val="24"/>
          <w:szCs w:val="22"/>
          <w:lang w:val="en-US"/>
        </w:rPr>
        <w:t xml:space="preserve">Interestingly, it seems theologians have not given any theological credit to Christian nationalisms, popularly embraced. </w:t>
      </w:r>
      <w:proofErr w:type="spellStart"/>
      <w:r w:rsidR="003A1246" w:rsidRPr="004F6ADF">
        <w:rPr>
          <w:i w:val="0"/>
          <w:iCs/>
          <w:sz w:val="24"/>
          <w:szCs w:val="22"/>
          <w:lang w:val="en-US"/>
        </w:rPr>
        <w:t>Liberational</w:t>
      </w:r>
      <w:proofErr w:type="spellEnd"/>
      <w:r w:rsidR="003A1246" w:rsidRPr="004F6ADF">
        <w:rPr>
          <w:i w:val="0"/>
          <w:iCs/>
          <w:sz w:val="24"/>
          <w:szCs w:val="22"/>
          <w:lang w:val="en-US"/>
        </w:rPr>
        <w:t xml:space="preserve"> movements may raise some themes; but, a full fledged systematization doesn’t look to </w:t>
      </w:r>
      <w:r w:rsidR="00895439" w:rsidRPr="004F6ADF">
        <w:rPr>
          <w:i w:val="0"/>
          <w:iCs/>
          <w:sz w:val="24"/>
          <w:szCs w:val="22"/>
          <w:lang w:val="en-US"/>
        </w:rPr>
        <w:t>have been attempted</w:t>
      </w:r>
      <w:r w:rsidR="00091468">
        <w:rPr>
          <w:i w:val="0"/>
          <w:iCs/>
          <w:sz w:val="24"/>
          <w:szCs w:val="22"/>
          <w:lang w:val="en-US"/>
        </w:rPr>
        <w:t>. But,</w:t>
      </w:r>
      <w:r w:rsidR="00895439" w:rsidRPr="004F6ADF">
        <w:rPr>
          <w:i w:val="0"/>
          <w:iCs/>
          <w:sz w:val="24"/>
          <w:szCs w:val="22"/>
          <w:lang w:val="en-US"/>
        </w:rPr>
        <w:t xml:space="preserve"> the results </w:t>
      </w:r>
      <w:r w:rsidR="00091468">
        <w:rPr>
          <w:i w:val="0"/>
          <w:iCs/>
          <w:sz w:val="24"/>
          <w:szCs w:val="22"/>
          <w:lang w:val="en-US"/>
        </w:rPr>
        <w:t xml:space="preserve">do </w:t>
      </w:r>
      <w:r w:rsidR="00895439" w:rsidRPr="004F6ADF">
        <w:rPr>
          <w:i w:val="0"/>
          <w:iCs/>
          <w:sz w:val="24"/>
          <w:szCs w:val="22"/>
          <w:lang w:val="en-US"/>
        </w:rPr>
        <w:t xml:space="preserve">seem to have </w:t>
      </w:r>
      <w:r w:rsidR="00E474F4" w:rsidRPr="004F6ADF">
        <w:rPr>
          <w:i w:val="0"/>
          <w:iCs/>
          <w:sz w:val="24"/>
          <w:szCs w:val="22"/>
          <w:lang w:val="en-US"/>
        </w:rPr>
        <w:t>theological antecedents. Commenting on the phenomenon of American Christian nationalism,</w:t>
      </w:r>
      <w:r w:rsidR="00027EAB" w:rsidRPr="004F6ADF">
        <w:rPr>
          <w:i w:val="0"/>
          <w:iCs/>
          <w:sz w:val="24"/>
          <w:szCs w:val="22"/>
          <w:lang w:val="en-US"/>
        </w:rPr>
        <w:t xml:space="preserve"> Stephen Backhouse</w:t>
      </w:r>
      <w:r w:rsidR="00E474F4" w:rsidRPr="004F6ADF">
        <w:rPr>
          <w:i w:val="0"/>
          <w:iCs/>
          <w:sz w:val="24"/>
          <w:szCs w:val="22"/>
          <w:lang w:val="en-US"/>
        </w:rPr>
        <w:t xml:space="preserve"> notes:</w:t>
      </w:r>
    </w:p>
    <w:p w:rsidR="00E474F4" w:rsidRPr="004F6ADF" w:rsidRDefault="00E474F4" w:rsidP="00E474F4">
      <w:pPr>
        <w:jc w:val="both"/>
        <w:rPr>
          <w:i w:val="0"/>
          <w:iCs/>
          <w:sz w:val="24"/>
          <w:szCs w:val="22"/>
          <w:lang w:val="en-US"/>
        </w:rPr>
      </w:pPr>
    </w:p>
    <w:p w:rsidR="00E474F4" w:rsidRPr="004F6ADF" w:rsidRDefault="00E474F4" w:rsidP="00E474F4">
      <w:pPr>
        <w:ind w:left="720" w:right="720"/>
        <w:jc w:val="both"/>
        <w:rPr>
          <w:i w:val="0"/>
          <w:iCs/>
          <w:lang w:val="en-US"/>
        </w:rPr>
      </w:pPr>
      <w:r w:rsidRPr="004F6ADF">
        <w:rPr>
          <w:i w:val="0"/>
          <w:iCs/>
          <w:lang w:val="en-US"/>
        </w:rPr>
        <w:lastRenderedPageBreak/>
        <w:t>...the worldview is itself an example of a rationalist, modernistic mindset, albeit with adjustments. It is a religious Chosen People ideology, bolted on to a classically liberal interpretation of the progression of history, cemented by a thoroughly Enlightenment vision of modern nations and national identity.</w:t>
      </w:r>
    </w:p>
    <w:p w:rsidR="00E474F4" w:rsidRPr="004F6ADF" w:rsidRDefault="00E474F4" w:rsidP="00E474F4">
      <w:pPr>
        <w:ind w:left="720" w:right="720"/>
        <w:jc w:val="both"/>
        <w:rPr>
          <w:i w:val="0"/>
          <w:iCs/>
          <w:lang w:val="en-US"/>
        </w:rPr>
      </w:pPr>
    </w:p>
    <w:p w:rsidR="00CF7186" w:rsidRPr="004F6ADF" w:rsidRDefault="00E474F4" w:rsidP="00E474F4">
      <w:pPr>
        <w:ind w:left="720" w:right="720"/>
        <w:jc w:val="both"/>
        <w:rPr>
          <w:i w:val="0"/>
          <w:iCs/>
          <w:lang w:val="en-US"/>
        </w:rPr>
      </w:pPr>
      <w:r w:rsidRPr="004F6ADF">
        <w:rPr>
          <w:i w:val="0"/>
          <w:iCs/>
          <w:lang w:val="en-US"/>
        </w:rPr>
        <w:t>The result is a theology best described as 'Christian nationalism'. The theology is not systematic, but it is pervasive. It does not have a single source or author, but it does appear regularly from multiple voices and at multiple times. It has not been explicated dogmatically, but its core themes recur with remarkable consistency.....</w:t>
      </w:r>
      <w:r w:rsidRPr="004F6ADF">
        <w:rPr>
          <w:rStyle w:val="FootnoteReference"/>
          <w:i w:val="0"/>
          <w:iCs/>
          <w:lang w:val="en-US"/>
        </w:rPr>
        <w:footnoteReference w:id="1"/>
      </w:r>
    </w:p>
    <w:p w:rsidR="00713399" w:rsidRPr="004F6ADF" w:rsidRDefault="00713399" w:rsidP="00713399">
      <w:pPr>
        <w:jc w:val="both"/>
        <w:rPr>
          <w:i w:val="0"/>
          <w:iCs/>
          <w:sz w:val="24"/>
          <w:szCs w:val="22"/>
          <w:lang w:val="en-US"/>
        </w:rPr>
      </w:pPr>
    </w:p>
    <w:p w:rsidR="00A611A4" w:rsidRPr="004F6ADF" w:rsidRDefault="00027EAB" w:rsidP="00091468">
      <w:pPr>
        <w:jc w:val="both"/>
        <w:rPr>
          <w:i w:val="0"/>
          <w:iCs/>
          <w:sz w:val="24"/>
          <w:szCs w:val="22"/>
          <w:lang w:val="en-US"/>
        </w:rPr>
      </w:pPr>
      <w:r w:rsidRPr="004F6ADF">
        <w:rPr>
          <w:i w:val="0"/>
          <w:iCs/>
          <w:sz w:val="24"/>
          <w:szCs w:val="22"/>
          <w:lang w:val="en-US"/>
        </w:rPr>
        <w:t>Space doesn’t permit here to attempt a theological dissection of nationalism. Certainly, there is no New Testament basis for any such. Jesus made it clear that His kingdom was not of this world. Does that rule out our political involvement in nations? Of course not; what belongs to Caesar must be given to Caesar – “Pay to all what is owed to them: taxes to whom taxes are owed, revenue to whom revenue is owed, respect to whom respect is owed, honor to whom honor is owed.” (Romans 13:7, ESV).</w:t>
      </w:r>
      <w:r w:rsidR="006E5663" w:rsidRPr="004F6ADF">
        <w:rPr>
          <w:i w:val="0"/>
          <w:iCs/>
          <w:sz w:val="24"/>
          <w:szCs w:val="22"/>
          <w:lang w:val="en-US"/>
        </w:rPr>
        <w:t xml:space="preserve"> Our eschatological identity doesn’t </w:t>
      </w:r>
      <w:r w:rsidR="009C15A8" w:rsidRPr="004F6ADF">
        <w:rPr>
          <w:i w:val="0"/>
          <w:iCs/>
          <w:sz w:val="24"/>
          <w:szCs w:val="22"/>
          <w:lang w:val="en-US"/>
        </w:rPr>
        <w:t>preclude</w:t>
      </w:r>
      <w:r w:rsidR="008F54B8" w:rsidRPr="004F6ADF">
        <w:rPr>
          <w:i w:val="0"/>
          <w:iCs/>
          <w:sz w:val="24"/>
          <w:szCs w:val="22"/>
          <w:lang w:val="en-US"/>
        </w:rPr>
        <w:t xml:space="preserve"> our historical responsibilities. </w:t>
      </w:r>
      <w:r w:rsidR="00AA718F" w:rsidRPr="004F6ADF">
        <w:rPr>
          <w:i w:val="0"/>
          <w:iCs/>
          <w:sz w:val="24"/>
          <w:szCs w:val="22"/>
          <w:lang w:val="en-US"/>
        </w:rPr>
        <w:t>Thus, we are called to pray for our political administrators</w:t>
      </w:r>
      <w:r w:rsidR="00A611A4" w:rsidRPr="004F6ADF">
        <w:rPr>
          <w:i w:val="0"/>
          <w:iCs/>
          <w:sz w:val="24"/>
          <w:szCs w:val="22"/>
          <w:lang w:val="en-US"/>
        </w:rPr>
        <w:t xml:space="preserve"> (1Tim.2:2) and understand the importance of peace and order for the propagation of the Gospel: the Gospel </w:t>
      </w:r>
      <w:r w:rsidR="00091468" w:rsidRPr="004F6ADF">
        <w:rPr>
          <w:i w:val="0"/>
          <w:iCs/>
          <w:sz w:val="24"/>
          <w:szCs w:val="22"/>
          <w:lang w:val="en-US"/>
        </w:rPr>
        <w:t xml:space="preserve">is </w:t>
      </w:r>
      <w:r w:rsidR="00A611A4" w:rsidRPr="004F6ADF">
        <w:rPr>
          <w:i w:val="0"/>
          <w:iCs/>
          <w:sz w:val="24"/>
          <w:szCs w:val="22"/>
          <w:lang w:val="en-US"/>
        </w:rPr>
        <w:t>still central.</w:t>
      </w:r>
    </w:p>
    <w:p w:rsidR="00A611A4" w:rsidRPr="004F6ADF" w:rsidRDefault="00A611A4" w:rsidP="00A611A4">
      <w:pPr>
        <w:jc w:val="both"/>
        <w:rPr>
          <w:i w:val="0"/>
          <w:iCs/>
          <w:sz w:val="24"/>
          <w:szCs w:val="22"/>
          <w:lang w:val="en-US"/>
        </w:rPr>
      </w:pPr>
    </w:p>
    <w:p w:rsidR="008953F1" w:rsidRPr="004F6ADF" w:rsidRDefault="00091468" w:rsidP="00091468">
      <w:pPr>
        <w:jc w:val="both"/>
        <w:rPr>
          <w:i w:val="0"/>
          <w:iCs/>
          <w:sz w:val="24"/>
          <w:szCs w:val="22"/>
          <w:lang w:val="en-US"/>
        </w:rPr>
      </w:pPr>
      <w:r>
        <w:rPr>
          <w:i w:val="0"/>
          <w:iCs/>
          <w:sz w:val="24"/>
          <w:szCs w:val="22"/>
          <w:lang w:val="en-US"/>
        </w:rPr>
        <w:t>The</w:t>
      </w:r>
      <w:r w:rsidR="008662C8" w:rsidRPr="004F6ADF">
        <w:rPr>
          <w:i w:val="0"/>
          <w:iCs/>
          <w:sz w:val="24"/>
          <w:szCs w:val="22"/>
          <w:lang w:val="en-US"/>
        </w:rPr>
        <w:t xml:space="preserve"> Reformers of the 16</w:t>
      </w:r>
      <w:r w:rsidR="008662C8" w:rsidRPr="004F6ADF">
        <w:rPr>
          <w:i w:val="0"/>
          <w:iCs/>
          <w:sz w:val="24"/>
          <w:szCs w:val="22"/>
          <w:vertAlign w:val="superscript"/>
          <w:lang w:val="en-US"/>
        </w:rPr>
        <w:t>th</w:t>
      </w:r>
      <w:r w:rsidR="008662C8" w:rsidRPr="004F6ADF">
        <w:rPr>
          <w:i w:val="0"/>
          <w:iCs/>
          <w:sz w:val="24"/>
          <w:szCs w:val="22"/>
          <w:lang w:val="en-US"/>
        </w:rPr>
        <w:t xml:space="preserve"> century considered the alliance between politics and religion as an unholy matrimony. In 1523, Luther published his “On Temporal Authority” in which he argued for the division of the </w:t>
      </w:r>
      <w:r>
        <w:rPr>
          <w:i w:val="0"/>
          <w:iCs/>
          <w:sz w:val="24"/>
          <w:szCs w:val="22"/>
          <w:lang w:val="en-US"/>
        </w:rPr>
        <w:t>c</w:t>
      </w:r>
      <w:r w:rsidR="008662C8" w:rsidRPr="004F6ADF">
        <w:rPr>
          <w:i w:val="0"/>
          <w:iCs/>
          <w:sz w:val="24"/>
          <w:szCs w:val="22"/>
          <w:lang w:val="en-US"/>
        </w:rPr>
        <w:t xml:space="preserve">hurch and the state. To Luther, the </w:t>
      </w:r>
      <w:proofErr w:type="spellStart"/>
      <w:r w:rsidR="008662C8" w:rsidRPr="004F6ADF">
        <w:rPr>
          <w:sz w:val="24"/>
          <w:szCs w:val="22"/>
          <w:lang w:val="en-US"/>
        </w:rPr>
        <w:t>weltliches</w:t>
      </w:r>
      <w:proofErr w:type="spellEnd"/>
      <w:r w:rsidR="008662C8" w:rsidRPr="004F6ADF">
        <w:rPr>
          <w:sz w:val="24"/>
          <w:szCs w:val="22"/>
          <w:lang w:val="en-US"/>
        </w:rPr>
        <w:t xml:space="preserve"> Regiment</w:t>
      </w:r>
      <w:r w:rsidR="008662C8" w:rsidRPr="004F6ADF">
        <w:rPr>
          <w:i w:val="0"/>
          <w:iCs/>
          <w:sz w:val="24"/>
          <w:szCs w:val="22"/>
          <w:lang w:val="en-US"/>
        </w:rPr>
        <w:t xml:space="preserve"> (‘the kingdom of the world,’ ‘the State’) was distinct from the </w:t>
      </w:r>
      <w:proofErr w:type="spellStart"/>
      <w:r w:rsidR="008662C8" w:rsidRPr="004F6ADF">
        <w:rPr>
          <w:sz w:val="24"/>
          <w:szCs w:val="22"/>
          <w:lang w:val="en-US"/>
        </w:rPr>
        <w:t>geistliches</w:t>
      </w:r>
      <w:proofErr w:type="spellEnd"/>
      <w:r w:rsidR="008662C8" w:rsidRPr="004F6ADF">
        <w:rPr>
          <w:sz w:val="24"/>
          <w:szCs w:val="22"/>
          <w:lang w:val="en-US"/>
        </w:rPr>
        <w:t xml:space="preserve"> Regiment</w:t>
      </w:r>
      <w:r w:rsidR="008662C8" w:rsidRPr="004F6ADF">
        <w:rPr>
          <w:i w:val="0"/>
          <w:iCs/>
          <w:sz w:val="24"/>
          <w:szCs w:val="22"/>
          <w:lang w:val="en-US"/>
        </w:rPr>
        <w:t xml:space="preserve"> (‘the kingdom of God,’ ‘the </w:t>
      </w:r>
      <w:r>
        <w:rPr>
          <w:i w:val="0"/>
          <w:iCs/>
          <w:sz w:val="24"/>
          <w:szCs w:val="22"/>
          <w:lang w:val="en-US"/>
        </w:rPr>
        <w:t>church</w:t>
      </w:r>
      <w:r w:rsidR="008662C8" w:rsidRPr="004F6ADF">
        <w:rPr>
          <w:i w:val="0"/>
          <w:iCs/>
          <w:sz w:val="24"/>
          <w:szCs w:val="22"/>
          <w:lang w:val="en-US"/>
        </w:rPr>
        <w:t>’). The state was connected with God’s continual work of creation and the church with God’s continual work of redemption. God, Luther stated, is the head of both the kingdoms.</w:t>
      </w:r>
      <w:r w:rsidR="008662C8" w:rsidRPr="004F6ADF">
        <w:rPr>
          <w:rStyle w:val="FootnoteReference"/>
          <w:i w:val="0"/>
          <w:iCs/>
          <w:sz w:val="24"/>
          <w:szCs w:val="22"/>
          <w:lang w:val="en-US"/>
        </w:rPr>
        <w:footnoteReference w:id="2"/>
      </w:r>
      <w:r w:rsidR="005C1736" w:rsidRPr="004F6ADF">
        <w:rPr>
          <w:i w:val="0"/>
          <w:iCs/>
          <w:sz w:val="24"/>
          <w:szCs w:val="22"/>
          <w:lang w:val="en-US"/>
        </w:rPr>
        <w:t xml:space="preserve"> Paul instructed the Christians of the Roman </w:t>
      </w:r>
      <w:r w:rsidR="009C15A8" w:rsidRPr="004F6ADF">
        <w:rPr>
          <w:i w:val="0"/>
          <w:iCs/>
          <w:sz w:val="24"/>
          <w:szCs w:val="22"/>
          <w:lang w:val="en-US"/>
        </w:rPr>
        <w:t>Empire</w:t>
      </w:r>
      <w:r w:rsidR="005C1736" w:rsidRPr="004F6ADF">
        <w:rPr>
          <w:i w:val="0"/>
          <w:iCs/>
          <w:sz w:val="24"/>
          <w:szCs w:val="22"/>
          <w:lang w:val="en-US"/>
        </w:rPr>
        <w:t xml:space="preserve"> to submit to the political authority as </w:t>
      </w:r>
      <w:r w:rsidR="009C15A8" w:rsidRPr="004F6ADF">
        <w:rPr>
          <w:i w:val="0"/>
          <w:iCs/>
          <w:sz w:val="24"/>
          <w:szCs w:val="22"/>
          <w:lang w:val="en-US"/>
        </w:rPr>
        <w:t xml:space="preserve">an authority ordained by God (Rom.13:1-7). But, certainly, the </w:t>
      </w:r>
      <w:proofErr w:type="spellStart"/>
      <w:r w:rsidR="009C15A8" w:rsidRPr="004F6ADF">
        <w:rPr>
          <w:i w:val="0"/>
          <w:iCs/>
          <w:sz w:val="24"/>
          <w:szCs w:val="22"/>
          <w:lang w:val="en-US"/>
        </w:rPr>
        <w:t>Ordainer</w:t>
      </w:r>
      <w:proofErr w:type="spellEnd"/>
      <w:r w:rsidR="009C15A8" w:rsidRPr="004F6ADF">
        <w:rPr>
          <w:i w:val="0"/>
          <w:iCs/>
          <w:sz w:val="24"/>
          <w:szCs w:val="22"/>
          <w:lang w:val="en-US"/>
        </w:rPr>
        <w:t xml:space="preserve"> was greater than the ordained and so obedience to Him was primary (Acts 4:19).</w:t>
      </w:r>
      <w:r w:rsidR="00544495" w:rsidRPr="004F6ADF">
        <w:rPr>
          <w:i w:val="0"/>
          <w:iCs/>
          <w:sz w:val="24"/>
          <w:szCs w:val="22"/>
          <w:lang w:val="en-US"/>
        </w:rPr>
        <w:t xml:space="preserve"> The implication is that political authority (delegated to either Christian or any other) is divine though </w:t>
      </w:r>
      <w:proofErr w:type="spellStart"/>
      <w:r w:rsidR="00544495" w:rsidRPr="004F6ADF">
        <w:rPr>
          <w:i w:val="0"/>
          <w:iCs/>
          <w:sz w:val="24"/>
          <w:szCs w:val="22"/>
          <w:lang w:val="en-US"/>
        </w:rPr>
        <w:t>unecclesiastical</w:t>
      </w:r>
      <w:proofErr w:type="spellEnd"/>
      <w:r w:rsidR="00544495" w:rsidRPr="004F6ADF">
        <w:rPr>
          <w:i w:val="0"/>
          <w:iCs/>
          <w:sz w:val="24"/>
          <w:szCs w:val="22"/>
          <w:lang w:val="en-US"/>
        </w:rPr>
        <w:t xml:space="preserve">. </w:t>
      </w:r>
      <w:r w:rsidR="00D2583D" w:rsidRPr="004F6ADF">
        <w:rPr>
          <w:i w:val="0"/>
          <w:iCs/>
          <w:sz w:val="24"/>
          <w:szCs w:val="22"/>
          <w:lang w:val="en-US"/>
        </w:rPr>
        <w:t>This certainly establishes God’s direct relationship with politics</w:t>
      </w:r>
      <w:r w:rsidR="00303683" w:rsidRPr="004F6ADF">
        <w:rPr>
          <w:i w:val="0"/>
          <w:iCs/>
          <w:sz w:val="24"/>
          <w:szCs w:val="22"/>
          <w:lang w:val="en-US"/>
        </w:rPr>
        <w:t xml:space="preserve">, though separate from religion or the </w:t>
      </w:r>
      <w:r>
        <w:rPr>
          <w:i w:val="0"/>
          <w:iCs/>
          <w:sz w:val="24"/>
          <w:szCs w:val="22"/>
          <w:lang w:val="en-US"/>
        </w:rPr>
        <w:t>church</w:t>
      </w:r>
      <w:r w:rsidR="00303683" w:rsidRPr="004F6ADF">
        <w:rPr>
          <w:i w:val="0"/>
          <w:iCs/>
          <w:sz w:val="24"/>
          <w:szCs w:val="22"/>
          <w:lang w:val="en-US"/>
        </w:rPr>
        <w:t>.</w:t>
      </w:r>
      <w:r w:rsidR="004874A7" w:rsidRPr="004F6ADF">
        <w:rPr>
          <w:i w:val="0"/>
          <w:iCs/>
          <w:sz w:val="24"/>
          <w:szCs w:val="22"/>
          <w:lang w:val="en-US"/>
        </w:rPr>
        <w:t xml:space="preserve"> The relationship existed prior to the </w:t>
      </w:r>
      <w:r>
        <w:rPr>
          <w:i w:val="0"/>
          <w:iCs/>
          <w:sz w:val="24"/>
          <w:szCs w:val="22"/>
          <w:lang w:val="en-US"/>
        </w:rPr>
        <w:t>church</w:t>
      </w:r>
      <w:r w:rsidR="004874A7" w:rsidRPr="004F6ADF">
        <w:rPr>
          <w:i w:val="0"/>
          <w:iCs/>
          <w:sz w:val="24"/>
          <w:szCs w:val="22"/>
          <w:lang w:val="en-US"/>
        </w:rPr>
        <w:t>.</w:t>
      </w:r>
      <w:r w:rsidR="00303683" w:rsidRPr="004F6ADF">
        <w:rPr>
          <w:i w:val="0"/>
          <w:iCs/>
          <w:sz w:val="24"/>
          <w:szCs w:val="22"/>
          <w:lang w:val="en-US"/>
        </w:rPr>
        <w:t xml:space="preserve"> </w:t>
      </w:r>
      <w:r w:rsidR="00D5120F" w:rsidRPr="004F6ADF">
        <w:rPr>
          <w:i w:val="0"/>
          <w:iCs/>
          <w:sz w:val="24"/>
          <w:szCs w:val="22"/>
          <w:lang w:val="en-US"/>
        </w:rPr>
        <w:t>God works in politics secularly;</w:t>
      </w:r>
      <w:r w:rsidR="00303683" w:rsidRPr="004F6ADF">
        <w:rPr>
          <w:i w:val="0"/>
          <w:iCs/>
          <w:sz w:val="24"/>
          <w:szCs w:val="22"/>
          <w:lang w:val="en-US"/>
        </w:rPr>
        <w:t xml:space="preserve"> </w:t>
      </w:r>
      <w:r w:rsidR="004874A7" w:rsidRPr="004F6ADF">
        <w:rPr>
          <w:i w:val="0"/>
          <w:iCs/>
          <w:sz w:val="24"/>
          <w:szCs w:val="22"/>
          <w:lang w:val="en-US"/>
        </w:rPr>
        <w:t xml:space="preserve">pointing towards the secularity of </w:t>
      </w:r>
      <w:r w:rsidR="00950063" w:rsidRPr="004F6ADF">
        <w:rPr>
          <w:i w:val="0"/>
          <w:iCs/>
          <w:sz w:val="24"/>
          <w:szCs w:val="22"/>
          <w:lang w:val="en-US"/>
        </w:rPr>
        <w:t>God</w:t>
      </w:r>
      <w:r w:rsidR="001444A0" w:rsidRPr="004F6ADF">
        <w:rPr>
          <w:i w:val="0"/>
          <w:iCs/>
          <w:sz w:val="24"/>
          <w:szCs w:val="22"/>
          <w:lang w:val="en-US"/>
        </w:rPr>
        <w:t xml:space="preserve"> (i.e. </w:t>
      </w:r>
      <w:r w:rsidR="00950063" w:rsidRPr="004F6ADF">
        <w:rPr>
          <w:i w:val="0"/>
          <w:iCs/>
          <w:sz w:val="24"/>
          <w:szCs w:val="22"/>
          <w:lang w:val="en-US"/>
        </w:rPr>
        <w:t xml:space="preserve">as </w:t>
      </w:r>
      <w:r w:rsidR="001444A0" w:rsidRPr="004F6ADF">
        <w:rPr>
          <w:i w:val="0"/>
          <w:iCs/>
          <w:sz w:val="24"/>
          <w:szCs w:val="22"/>
          <w:lang w:val="en-US"/>
        </w:rPr>
        <w:t xml:space="preserve">unrelated to the </w:t>
      </w:r>
      <w:r>
        <w:rPr>
          <w:i w:val="0"/>
          <w:iCs/>
          <w:sz w:val="24"/>
          <w:szCs w:val="22"/>
          <w:lang w:val="en-US"/>
        </w:rPr>
        <w:t>church</w:t>
      </w:r>
      <w:r w:rsidR="004874A7" w:rsidRPr="004F6ADF">
        <w:rPr>
          <w:i w:val="0"/>
          <w:iCs/>
          <w:sz w:val="24"/>
          <w:szCs w:val="22"/>
          <w:lang w:val="en-US"/>
        </w:rPr>
        <w:t>), politically speaking.</w:t>
      </w:r>
      <w:r w:rsidR="001444A0" w:rsidRPr="004F6ADF">
        <w:rPr>
          <w:i w:val="0"/>
          <w:iCs/>
          <w:sz w:val="24"/>
          <w:szCs w:val="22"/>
          <w:lang w:val="en-US"/>
        </w:rPr>
        <w:t xml:space="preserve"> </w:t>
      </w:r>
      <w:r w:rsidR="004874A7" w:rsidRPr="004F6ADF">
        <w:rPr>
          <w:i w:val="0"/>
          <w:iCs/>
          <w:sz w:val="24"/>
          <w:szCs w:val="22"/>
          <w:lang w:val="en-US"/>
        </w:rPr>
        <w:t>B</w:t>
      </w:r>
      <w:r w:rsidR="001444A0" w:rsidRPr="004F6ADF">
        <w:rPr>
          <w:i w:val="0"/>
          <w:iCs/>
          <w:sz w:val="24"/>
          <w:szCs w:val="22"/>
          <w:lang w:val="en-US"/>
        </w:rPr>
        <w:t xml:space="preserve">ut, </w:t>
      </w:r>
      <w:r w:rsidR="004874A7" w:rsidRPr="004F6ADF">
        <w:rPr>
          <w:i w:val="0"/>
          <w:iCs/>
          <w:sz w:val="24"/>
          <w:szCs w:val="22"/>
          <w:lang w:val="en-US"/>
        </w:rPr>
        <w:t>God</w:t>
      </w:r>
      <w:r w:rsidR="001444A0" w:rsidRPr="004F6ADF">
        <w:rPr>
          <w:i w:val="0"/>
          <w:iCs/>
          <w:sz w:val="24"/>
          <w:szCs w:val="22"/>
          <w:lang w:val="en-US"/>
        </w:rPr>
        <w:t xml:space="preserve"> also calls the </w:t>
      </w:r>
      <w:r>
        <w:rPr>
          <w:i w:val="0"/>
          <w:iCs/>
          <w:sz w:val="24"/>
          <w:szCs w:val="22"/>
          <w:lang w:val="en-US"/>
        </w:rPr>
        <w:t>church</w:t>
      </w:r>
      <w:r w:rsidR="001444A0" w:rsidRPr="004F6ADF">
        <w:rPr>
          <w:i w:val="0"/>
          <w:iCs/>
          <w:sz w:val="24"/>
          <w:szCs w:val="22"/>
          <w:lang w:val="en-US"/>
        </w:rPr>
        <w:t xml:space="preserve"> to seek Him through prayer to bring political peace for the peaceful propagation of the Gospel</w:t>
      </w:r>
      <w:r w:rsidR="00303683" w:rsidRPr="004F6ADF">
        <w:rPr>
          <w:i w:val="0"/>
          <w:iCs/>
          <w:sz w:val="24"/>
          <w:szCs w:val="22"/>
          <w:lang w:val="en-US"/>
        </w:rPr>
        <w:t>.</w:t>
      </w:r>
      <w:r w:rsidR="006A2358" w:rsidRPr="004F6ADF">
        <w:rPr>
          <w:i w:val="0"/>
          <w:iCs/>
          <w:sz w:val="24"/>
          <w:szCs w:val="22"/>
          <w:lang w:val="en-US"/>
        </w:rPr>
        <w:t xml:space="preserve"> This precludes the</w:t>
      </w:r>
      <w:r w:rsidR="008953F1" w:rsidRPr="004F6ADF">
        <w:rPr>
          <w:i w:val="0"/>
          <w:iCs/>
          <w:sz w:val="24"/>
          <w:szCs w:val="22"/>
          <w:lang w:val="en-US"/>
        </w:rPr>
        <w:t xml:space="preserve"> idea of Christian nationalism though establishing the significance of a Christian’s role in political history. Interestingly, God as secular (disconnected from organized religion) is </w:t>
      </w:r>
      <w:r w:rsidR="008953F1" w:rsidRPr="004F6ADF">
        <w:rPr>
          <w:i w:val="0"/>
          <w:iCs/>
          <w:sz w:val="24"/>
          <w:szCs w:val="22"/>
          <w:lang w:val="en-US"/>
        </w:rPr>
        <w:lastRenderedPageBreak/>
        <w:t>open to the nations as the God of the nations.</w:t>
      </w:r>
      <w:r w:rsidR="007470AF" w:rsidRPr="004F6ADF">
        <w:rPr>
          <w:i w:val="0"/>
          <w:iCs/>
          <w:sz w:val="24"/>
          <w:szCs w:val="22"/>
          <w:lang w:val="en-US"/>
        </w:rPr>
        <w:t xml:space="preserve"> As such, He belongs to them in the place and time that they are.</w:t>
      </w:r>
      <w:r w:rsidR="00C42EB4" w:rsidRPr="004F6ADF">
        <w:rPr>
          <w:i w:val="0"/>
          <w:iCs/>
          <w:sz w:val="24"/>
          <w:szCs w:val="22"/>
          <w:lang w:val="en-US"/>
        </w:rPr>
        <w:t xml:space="preserve"> </w:t>
      </w:r>
    </w:p>
    <w:p w:rsidR="008953F1" w:rsidRPr="004F6ADF" w:rsidRDefault="008953F1" w:rsidP="00986A0C">
      <w:pPr>
        <w:jc w:val="both"/>
        <w:rPr>
          <w:b/>
          <w:bCs/>
          <w:i w:val="0"/>
          <w:iCs/>
          <w:sz w:val="24"/>
          <w:szCs w:val="22"/>
          <w:lang w:val="en-US"/>
        </w:rPr>
      </w:pPr>
    </w:p>
    <w:p w:rsidR="00B53AED" w:rsidRPr="004F6ADF" w:rsidRDefault="00B53AED" w:rsidP="00986A0C">
      <w:pPr>
        <w:jc w:val="both"/>
        <w:rPr>
          <w:b/>
          <w:bCs/>
          <w:i w:val="0"/>
          <w:iCs/>
          <w:sz w:val="24"/>
          <w:szCs w:val="22"/>
          <w:lang w:val="en-US"/>
        </w:rPr>
      </w:pPr>
    </w:p>
    <w:p w:rsidR="00B53AED" w:rsidRPr="004F6ADF" w:rsidRDefault="00B53AED" w:rsidP="00C22F67">
      <w:pPr>
        <w:jc w:val="both"/>
        <w:rPr>
          <w:b/>
          <w:bCs/>
          <w:i w:val="0"/>
          <w:iCs/>
          <w:sz w:val="24"/>
          <w:szCs w:val="22"/>
          <w:lang w:val="en-US"/>
        </w:rPr>
      </w:pPr>
      <w:r w:rsidRPr="004F6ADF">
        <w:rPr>
          <w:b/>
          <w:bCs/>
          <w:i w:val="0"/>
          <w:iCs/>
          <w:sz w:val="24"/>
          <w:szCs w:val="22"/>
          <w:lang w:val="en-US"/>
        </w:rPr>
        <w:t xml:space="preserve">Pluralism, Secularity, and </w:t>
      </w:r>
      <w:r w:rsidR="00C22F67" w:rsidRPr="004F6ADF">
        <w:rPr>
          <w:b/>
          <w:bCs/>
          <w:i w:val="0"/>
          <w:iCs/>
          <w:sz w:val="24"/>
          <w:szCs w:val="22"/>
          <w:lang w:val="en-US"/>
        </w:rPr>
        <w:t>Divine Sovereignty</w:t>
      </w:r>
      <w:r w:rsidR="00752899" w:rsidRPr="004F6ADF">
        <w:rPr>
          <w:b/>
          <w:bCs/>
          <w:i w:val="0"/>
          <w:iCs/>
          <w:sz w:val="24"/>
          <w:szCs w:val="22"/>
          <w:lang w:val="en-US"/>
        </w:rPr>
        <w:t xml:space="preserve"> with reference to the Indian Context</w:t>
      </w:r>
    </w:p>
    <w:p w:rsidR="00B53AED" w:rsidRPr="004F6ADF" w:rsidRDefault="00B53AED" w:rsidP="00986A0C">
      <w:pPr>
        <w:jc w:val="both"/>
        <w:rPr>
          <w:b/>
          <w:bCs/>
          <w:i w:val="0"/>
          <w:iCs/>
          <w:sz w:val="24"/>
          <w:szCs w:val="22"/>
          <w:lang w:val="en-US"/>
        </w:rPr>
      </w:pPr>
    </w:p>
    <w:p w:rsidR="004874A7" w:rsidRPr="004F6ADF" w:rsidRDefault="009853DA" w:rsidP="00B53AED">
      <w:pPr>
        <w:jc w:val="both"/>
        <w:rPr>
          <w:i w:val="0"/>
          <w:iCs/>
          <w:sz w:val="24"/>
          <w:szCs w:val="22"/>
          <w:lang w:val="en-US"/>
        </w:rPr>
      </w:pPr>
      <w:r w:rsidRPr="004F6ADF">
        <w:rPr>
          <w:i w:val="0"/>
          <w:iCs/>
          <w:sz w:val="24"/>
          <w:szCs w:val="22"/>
          <w:lang w:val="en-US"/>
        </w:rPr>
        <w:t xml:space="preserve">Probably, in this sense, we can look at the postmodern pluralist Indian in a more sensible manner. Gandhi’s pluralistic spirituality; and now, (the atheist turn theist) </w:t>
      </w:r>
      <w:proofErr w:type="spellStart"/>
      <w:r w:rsidRPr="004F6ADF">
        <w:rPr>
          <w:i w:val="0"/>
          <w:iCs/>
          <w:sz w:val="24"/>
          <w:szCs w:val="22"/>
          <w:lang w:val="en-US"/>
        </w:rPr>
        <w:t>Kejriwal’s</w:t>
      </w:r>
      <w:proofErr w:type="spellEnd"/>
      <w:r w:rsidRPr="004F6ADF">
        <w:rPr>
          <w:i w:val="0"/>
          <w:iCs/>
          <w:sz w:val="24"/>
          <w:szCs w:val="22"/>
          <w:lang w:val="en-US"/>
        </w:rPr>
        <w:t xml:space="preserve"> pluralistic spirituality admit </w:t>
      </w:r>
      <w:r w:rsidR="00506D4B" w:rsidRPr="004F6ADF">
        <w:rPr>
          <w:i w:val="0"/>
          <w:iCs/>
          <w:sz w:val="24"/>
          <w:szCs w:val="22"/>
          <w:lang w:val="en-US"/>
        </w:rPr>
        <w:t xml:space="preserve">of </w:t>
      </w:r>
      <w:r w:rsidRPr="004F6ADF">
        <w:rPr>
          <w:i w:val="0"/>
          <w:iCs/>
          <w:sz w:val="24"/>
          <w:szCs w:val="22"/>
          <w:lang w:val="en-US"/>
        </w:rPr>
        <w:t xml:space="preserve">sincerity. </w:t>
      </w:r>
      <w:proofErr w:type="spellStart"/>
      <w:r w:rsidRPr="004F6ADF">
        <w:rPr>
          <w:i w:val="0"/>
          <w:iCs/>
          <w:sz w:val="24"/>
          <w:szCs w:val="22"/>
          <w:lang w:val="en-US"/>
        </w:rPr>
        <w:t>Kejriwal’s</w:t>
      </w:r>
      <w:proofErr w:type="spellEnd"/>
      <w:r w:rsidRPr="004F6ADF">
        <w:rPr>
          <w:i w:val="0"/>
          <w:iCs/>
          <w:sz w:val="24"/>
          <w:szCs w:val="22"/>
          <w:lang w:val="en-US"/>
        </w:rPr>
        <w:t xml:space="preserve"> public gratitude to the Supreme Father God (</w:t>
      </w:r>
      <w:proofErr w:type="spellStart"/>
      <w:r w:rsidRPr="004F6ADF">
        <w:rPr>
          <w:sz w:val="24"/>
          <w:szCs w:val="22"/>
          <w:lang w:val="en-US"/>
        </w:rPr>
        <w:t>Parampita</w:t>
      </w:r>
      <w:proofErr w:type="spellEnd"/>
      <w:r w:rsidRPr="004F6ADF">
        <w:rPr>
          <w:sz w:val="24"/>
          <w:szCs w:val="22"/>
          <w:lang w:val="en-US"/>
        </w:rPr>
        <w:t xml:space="preserve"> </w:t>
      </w:r>
      <w:proofErr w:type="spellStart"/>
      <w:r w:rsidRPr="004F6ADF">
        <w:rPr>
          <w:sz w:val="24"/>
          <w:szCs w:val="22"/>
          <w:lang w:val="en-US"/>
        </w:rPr>
        <w:t>Parameshwar</w:t>
      </w:r>
      <w:proofErr w:type="spellEnd"/>
      <w:r w:rsidRPr="004F6ADF">
        <w:rPr>
          <w:sz w:val="24"/>
          <w:szCs w:val="22"/>
          <w:lang w:val="en-US"/>
        </w:rPr>
        <w:t>)</w:t>
      </w:r>
      <w:r w:rsidRPr="004F6ADF">
        <w:rPr>
          <w:rStyle w:val="FootnoteReference"/>
          <w:sz w:val="24"/>
          <w:szCs w:val="22"/>
          <w:lang w:val="en-US"/>
        </w:rPr>
        <w:footnoteReference w:id="3"/>
      </w:r>
      <w:r w:rsidRPr="004F6ADF">
        <w:rPr>
          <w:sz w:val="24"/>
          <w:szCs w:val="22"/>
          <w:lang w:val="en-US"/>
        </w:rPr>
        <w:t>,</w:t>
      </w:r>
      <w:r w:rsidRPr="004F6ADF">
        <w:rPr>
          <w:i w:val="0"/>
          <w:iCs/>
          <w:sz w:val="24"/>
          <w:szCs w:val="22"/>
          <w:lang w:val="en-US"/>
        </w:rPr>
        <w:t xml:space="preserve"> </w:t>
      </w:r>
      <w:proofErr w:type="spellStart"/>
      <w:r w:rsidRPr="004F6ADF">
        <w:rPr>
          <w:sz w:val="24"/>
          <w:szCs w:val="22"/>
          <w:lang w:val="en-US"/>
        </w:rPr>
        <w:t>Ishwar</w:t>
      </w:r>
      <w:proofErr w:type="spellEnd"/>
      <w:r w:rsidRPr="004F6ADF">
        <w:rPr>
          <w:sz w:val="24"/>
          <w:szCs w:val="22"/>
          <w:lang w:val="en-US"/>
        </w:rPr>
        <w:t xml:space="preserve">, Allah, </w:t>
      </w:r>
      <w:proofErr w:type="spellStart"/>
      <w:r w:rsidRPr="004F6ADF">
        <w:rPr>
          <w:sz w:val="24"/>
          <w:szCs w:val="22"/>
          <w:lang w:val="en-US"/>
        </w:rPr>
        <w:t>Waheguru</w:t>
      </w:r>
      <w:proofErr w:type="spellEnd"/>
      <w:r w:rsidRPr="004F6ADF">
        <w:rPr>
          <w:i w:val="0"/>
          <w:iCs/>
          <w:sz w:val="24"/>
          <w:szCs w:val="22"/>
          <w:lang w:val="en-US"/>
        </w:rPr>
        <w:t xml:space="preserve"> is also a declaration of the pluralistic faith in the supremacy of God who transcends religions and relates to the politics of the nation</w:t>
      </w:r>
      <w:r w:rsidR="009A6FF9" w:rsidRPr="004F6ADF">
        <w:rPr>
          <w:i w:val="0"/>
          <w:iCs/>
          <w:sz w:val="24"/>
          <w:szCs w:val="22"/>
          <w:lang w:val="en-US"/>
        </w:rPr>
        <w:t xml:space="preserve"> particularly. The secular God’s interests are not limited to just a single religion; but, here to a nation. At the same time, He is the Supreme God, He is </w:t>
      </w:r>
      <w:r w:rsidR="009A6FF9" w:rsidRPr="004F6ADF">
        <w:rPr>
          <w:sz w:val="24"/>
          <w:szCs w:val="22"/>
          <w:lang w:val="en-US"/>
        </w:rPr>
        <w:t xml:space="preserve">Allah, </w:t>
      </w:r>
      <w:r w:rsidR="009A6FF9" w:rsidRPr="004F6ADF">
        <w:rPr>
          <w:i w:val="0"/>
          <w:iCs/>
          <w:sz w:val="24"/>
          <w:szCs w:val="22"/>
          <w:lang w:val="en-US"/>
        </w:rPr>
        <w:t xml:space="preserve">He is </w:t>
      </w:r>
      <w:proofErr w:type="spellStart"/>
      <w:r w:rsidR="009A6FF9" w:rsidRPr="004F6ADF">
        <w:rPr>
          <w:sz w:val="24"/>
          <w:szCs w:val="22"/>
          <w:lang w:val="en-US"/>
        </w:rPr>
        <w:t>Waheguru</w:t>
      </w:r>
      <w:proofErr w:type="spellEnd"/>
      <w:r w:rsidR="009A6FF9" w:rsidRPr="004F6ADF">
        <w:rPr>
          <w:i w:val="0"/>
          <w:iCs/>
          <w:sz w:val="24"/>
          <w:szCs w:val="22"/>
          <w:lang w:val="en-US"/>
        </w:rPr>
        <w:t xml:space="preserve">; thus, He is also </w:t>
      </w:r>
      <w:r w:rsidR="00737483" w:rsidRPr="004F6ADF">
        <w:rPr>
          <w:i w:val="0"/>
          <w:iCs/>
          <w:sz w:val="24"/>
          <w:szCs w:val="22"/>
          <w:lang w:val="en-US"/>
        </w:rPr>
        <w:t>trans-national simultaneously.</w:t>
      </w:r>
      <w:r w:rsidR="00506D4B" w:rsidRPr="004F6ADF">
        <w:rPr>
          <w:i w:val="0"/>
          <w:iCs/>
          <w:sz w:val="24"/>
          <w:szCs w:val="22"/>
          <w:lang w:val="en-US"/>
        </w:rPr>
        <w:t xml:space="preserve"> Interestingly, </w:t>
      </w:r>
      <w:proofErr w:type="spellStart"/>
      <w:r w:rsidR="00506D4B" w:rsidRPr="004F6ADF">
        <w:rPr>
          <w:i w:val="0"/>
          <w:iCs/>
          <w:sz w:val="24"/>
          <w:szCs w:val="22"/>
          <w:lang w:val="en-US"/>
        </w:rPr>
        <w:t>Kejriwal’s</w:t>
      </w:r>
      <w:proofErr w:type="spellEnd"/>
      <w:r w:rsidR="00506D4B" w:rsidRPr="004F6ADF">
        <w:rPr>
          <w:i w:val="0"/>
          <w:iCs/>
          <w:sz w:val="24"/>
          <w:szCs w:val="22"/>
          <w:lang w:val="en-US"/>
        </w:rPr>
        <w:t xml:space="preserve"> refusal of security with a rational apologetic that if God protects a man, nothing can destroy him, but, if it is His will to take him away, no security can save him, speaks of a theology applied to reality. “I don't need any security. I don't need any escort...God is my biggest security,” he is reported to have said.</w:t>
      </w:r>
      <w:r w:rsidR="00506D4B" w:rsidRPr="004F6ADF">
        <w:rPr>
          <w:rStyle w:val="FootnoteReference"/>
          <w:i w:val="0"/>
          <w:iCs/>
          <w:sz w:val="24"/>
          <w:szCs w:val="22"/>
          <w:lang w:val="en-US"/>
        </w:rPr>
        <w:footnoteReference w:id="4"/>
      </w:r>
      <w:r w:rsidR="001139FF" w:rsidRPr="004F6ADF">
        <w:rPr>
          <w:i w:val="0"/>
          <w:iCs/>
          <w:sz w:val="24"/>
          <w:szCs w:val="22"/>
          <w:lang w:val="en-US"/>
        </w:rPr>
        <w:t xml:space="preserve"> Is </w:t>
      </w:r>
      <w:proofErr w:type="spellStart"/>
      <w:r w:rsidR="001139FF" w:rsidRPr="004F6ADF">
        <w:rPr>
          <w:i w:val="0"/>
          <w:iCs/>
          <w:sz w:val="24"/>
          <w:szCs w:val="22"/>
          <w:lang w:val="en-US"/>
        </w:rPr>
        <w:t>Kejriwal</w:t>
      </w:r>
      <w:proofErr w:type="spellEnd"/>
      <w:r w:rsidR="001139FF" w:rsidRPr="004F6ADF">
        <w:rPr>
          <w:i w:val="0"/>
          <w:iCs/>
          <w:sz w:val="24"/>
          <w:szCs w:val="22"/>
          <w:lang w:val="en-US"/>
        </w:rPr>
        <w:t xml:space="preserve"> tying politics with religion? He doesn’t quote the God of some singular, organized religion. His pluralism may be accused as being politically tainted; but, it </w:t>
      </w:r>
      <w:r w:rsidR="00035BDB" w:rsidRPr="004F6ADF">
        <w:rPr>
          <w:i w:val="0"/>
          <w:iCs/>
          <w:sz w:val="24"/>
          <w:szCs w:val="22"/>
          <w:lang w:val="en-US"/>
        </w:rPr>
        <w:t xml:space="preserve">is not invalidated by God’s secularity. </w:t>
      </w:r>
      <w:r w:rsidR="001C5099" w:rsidRPr="004F6ADF">
        <w:rPr>
          <w:i w:val="0"/>
          <w:iCs/>
          <w:sz w:val="24"/>
          <w:szCs w:val="22"/>
          <w:lang w:val="en-US"/>
        </w:rPr>
        <w:t>It also reflects a local, geographical-historical response to the Unknown Supreme Father (cf. Acts 17:24-29).</w:t>
      </w:r>
    </w:p>
    <w:p w:rsidR="002B2076" w:rsidRPr="004F6ADF" w:rsidRDefault="002B2076" w:rsidP="001139FF">
      <w:pPr>
        <w:jc w:val="both"/>
        <w:rPr>
          <w:i w:val="0"/>
          <w:iCs/>
          <w:sz w:val="24"/>
          <w:szCs w:val="22"/>
          <w:lang w:val="en-US"/>
        </w:rPr>
      </w:pPr>
    </w:p>
    <w:p w:rsidR="002B2076" w:rsidRPr="004F6ADF" w:rsidRDefault="002B2076" w:rsidP="00337E54">
      <w:pPr>
        <w:jc w:val="both"/>
        <w:rPr>
          <w:i w:val="0"/>
          <w:iCs/>
          <w:sz w:val="24"/>
          <w:szCs w:val="22"/>
          <w:lang w:val="en-US"/>
        </w:rPr>
      </w:pPr>
      <w:r w:rsidRPr="004F6ADF">
        <w:rPr>
          <w:i w:val="0"/>
          <w:iCs/>
          <w:sz w:val="24"/>
          <w:szCs w:val="22"/>
          <w:lang w:val="en-US"/>
        </w:rPr>
        <w:t xml:space="preserve">However, such a view has to be informed by some theology whatsoever, which must not be just </w:t>
      </w:r>
      <w:proofErr w:type="spellStart"/>
      <w:r w:rsidRPr="004F6ADF">
        <w:rPr>
          <w:i w:val="0"/>
          <w:iCs/>
          <w:sz w:val="24"/>
          <w:szCs w:val="22"/>
          <w:lang w:val="en-US"/>
        </w:rPr>
        <w:t>pragmatical</w:t>
      </w:r>
      <w:proofErr w:type="spellEnd"/>
      <w:r w:rsidRPr="004F6ADF">
        <w:rPr>
          <w:i w:val="0"/>
          <w:iCs/>
          <w:sz w:val="24"/>
          <w:szCs w:val="22"/>
          <w:lang w:val="en-US"/>
        </w:rPr>
        <w:t xml:space="preserve">. There might be many claims to the sources; but, we know the spirit of the age to be humanistic and spiritual. </w:t>
      </w:r>
      <w:proofErr w:type="spellStart"/>
      <w:r w:rsidRPr="004F6ADF">
        <w:rPr>
          <w:i w:val="0"/>
          <w:iCs/>
          <w:sz w:val="24"/>
          <w:szCs w:val="22"/>
          <w:lang w:val="en-US"/>
        </w:rPr>
        <w:t>Kejriwal’s</w:t>
      </w:r>
      <w:proofErr w:type="spellEnd"/>
      <w:r w:rsidRPr="004F6ADF">
        <w:rPr>
          <w:i w:val="0"/>
          <w:iCs/>
          <w:sz w:val="24"/>
          <w:szCs w:val="22"/>
          <w:lang w:val="en-US"/>
        </w:rPr>
        <w:t xml:space="preserve"> request to the </w:t>
      </w:r>
      <w:proofErr w:type="spellStart"/>
      <w:r w:rsidRPr="004F6ADF">
        <w:rPr>
          <w:i w:val="0"/>
          <w:iCs/>
          <w:sz w:val="24"/>
          <w:szCs w:val="22"/>
          <w:lang w:val="en-US"/>
        </w:rPr>
        <w:t>Delhites</w:t>
      </w:r>
      <w:proofErr w:type="spellEnd"/>
      <w:r w:rsidRPr="004F6ADF">
        <w:rPr>
          <w:i w:val="0"/>
          <w:iCs/>
          <w:sz w:val="24"/>
          <w:szCs w:val="22"/>
          <w:lang w:val="en-US"/>
        </w:rPr>
        <w:t xml:space="preserve"> to swear an oath against corruption with him would be meaningless without these categories subsisting in the background of it</w:t>
      </w:r>
      <w:r w:rsidR="00337E54" w:rsidRPr="004F6ADF">
        <w:rPr>
          <w:i w:val="0"/>
          <w:iCs/>
          <w:sz w:val="24"/>
          <w:szCs w:val="22"/>
          <w:lang w:val="en-US"/>
        </w:rPr>
        <w:t xml:space="preserve"> all</w:t>
      </w:r>
      <w:r w:rsidRPr="004F6ADF">
        <w:rPr>
          <w:i w:val="0"/>
          <w:iCs/>
          <w:sz w:val="24"/>
          <w:szCs w:val="22"/>
          <w:lang w:val="en-US"/>
        </w:rPr>
        <w:t>.</w:t>
      </w:r>
    </w:p>
    <w:p w:rsidR="00A93370" w:rsidRPr="004F6ADF" w:rsidRDefault="00A93370" w:rsidP="00337E54">
      <w:pPr>
        <w:jc w:val="both"/>
        <w:rPr>
          <w:i w:val="0"/>
          <w:iCs/>
          <w:sz w:val="24"/>
          <w:szCs w:val="22"/>
          <w:lang w:val="en-US"/>
        </w:rPr>
      </w:pPr>
    </w:p>
    <w:p w:rsidR="00A93370" w:rsidRPr="004F6ADF" w:rsidRDefault="006A7010" w:rsidP="00891E0F">
      <w:pPr>
        <w:jc w:val="both"/>
        <w:rPr>
          <w:i w:val="0"/>
          <w:iCs/>
          <w:sz w:val="24"/>
          <w:szCs w:val="22"/>
          <w:lang w:val="en-US"/>
        </w:rPr>
      </w:pPr>
      <w:r w:rsidRPr="004F6ADF">
        <w:rPr>
          <w:i w:val="0"/>
          <w:iCs/>
          <w:sz w:val="24"/>
          <w:szCs w:val="22"/>
          <w:lang w:val="en-US"/>
        </w:rPr>
        <w:t>What seems attractively cogent is the implied refusal to associ</w:t>
      </w:r>
      <w:r w:rsidR="00132778" w:rsidRPr="004F6ADF">
        <w:rPr>
          <w:i w:val="0"/>
          <w:iCs/>
          <w:sz w:val="24"/>
          <w:szCs w:val="22"/>
          <w:lang w:val="en-US"/>
        </w:rPr>
        <w:t xml:space="preserve">ate with any singular religion. </w:t>
      </w:r>
      <w:r w:rsidR="00891E0F" w:rsidRPr="004F6ADF">
        <w:rPr>
          <w:i w:val="0"/>
          <w:iCs/>
          <w:sz w:val="24"/>
          <w:szCs w:val="22"/>
          <w:lang w:val="en-US"/>
        </w:rPr>
        <w:t>Yet</w:t>
      </w:r>
      <w:r w:rsidR="00132778" w:rsidRPr="004F6ADF">
        <w:rPr>
          <w:i w:val="0"/>
          <w:iCs/>
          <w:sz w:val="24"/>
          <w:szCs w:val="22"/>
          <w:lang w:val="en-US"/>
        </w:rPr>
        <w:t>, this God of the secular is not impersonal. He is sovereign. He is both transcendent and immanent, being interested in the affairs of humans. He answers prayers. He respects faith. He fixes destiny, determines the times, and fights against corruption.</w:t>
      </w:r>
      <w:r w:rsidR="00951979" w:rsidRPr="004F6ADF">
        <w:rPr>
          <w:i w:val="0"/>
          <w:iCs/>
          <w:sz w:val="24"/>
          <w:szCs w:val="22"/>
          <w:lang w:val="en-US"/>
        </w:rPr>
        <w:t xml:space="preserve"> He is open to all His children, irrespective of race, caste, gender, creed, or class.</w:t>
      </w:r>
      <w:r w:rsidR="00BF3566" w:rsidRPr="004F6ADF">
        <w:rPr>
          <w:i w:val="0"/>
          <w:iCs/>
          <w:sz w:val="24"/>
          <w:szCs w:val="22"/>
          <w:lang w:val="en-US"/>
        </w:rPr>
        <w:t xml:space="preserve"> Is such implicit theology explicit of post-secularity in India? I doubt. Perhaps, in some way or the other, the secularity of God and the secularity of India aren’t confused. The secularity of God is what makes conversations and dialogues possible. The temporal is the platform for the eternal.</w:t>
      </w:r>
      <w:r w:rsidR="00891E0F" w:rsidRPr="004F6ADF">
        <w:rPr>
          <w:i w:val="0"/>
          <w:iCs/>
          <w:sz w:val="24"/>
          <w:szCs w:val="22"/>
          <w:lang w:val="en-US"/>
        </w:rPr>
        <w:t xml:space="preserve"> </w:t>
      </w:r>
    </w:p>
    <w:p w:rsidR="00891E0F" w:rsidRPr="004F6ADF" w:rsidRDefault="00891E0F" w:rsidP="00337E54">
      <w:pPr>
        <w:jc w:val="both"/>
        <w:rPr>
          <w:i w:val="0"/>
          <w:iCs/>
          <w:sz w:val="24"/>
          <w:szCs w:val="22"/>
          <w:lang w:val="en-US"/>
        </w:rPr>
      </w:pPr>
    </w:p>
    <w:p w:rsidR="00891E0F" w:rsidRPr="004F6ADF" w:rsidRDefault="004A79C3" w:rsidP="006E353E">
      <w:pPr>
        <w:jc w:val="both"/>
        <w:rPr>
          <w:i w:val="0"/>
          <w:iCs/>
          <w:sz w:val="24"/>
          <w:szCs w:val="22"/>
          <w:lang w:val="en-US"/>
        </w:rPr>
      </w:pPr>
      <w:r w:rsidRPr="004F6ADF">
        <w:rPr>
          <w:i w:val="0"/>
          <w:iCs/>
          <w:sz w:val="24"/>
          <w:szCs w:val="22"/>
          <w:lang w:val="en-US"/>
        </w:rPr>
        <w:lastRenderedPageBreak/>
        <w:t xml:space="preserve">From a Christian vantage point, can we seriously pronounce AAP’s victory as a divine miracle, as </w:t>
      </w:r>
      <w:proofErr w:type="spellStart"/>
      <w:r w:rsidRPr="004F6ADF">
        <w:rPr>
          <w:i w:val="0"/>
          <w:iCs/>
          <w:sz w:val="24"/>
          <w:szCs w:val="22"/>
          <w:lang w:val="en-US"/>
        </w:rPr>
        <w:t>Kejriwal</w:t>
      </w:r>
      <w:proofErr w:type="spellEnd"/>
      <w:r w:rsidRPr="004F6ADF">
        <w:rPr>
          <w:i w:val="0"/>
          <w:iCs/>
          <w:sz w:val="24"/>
          <w:szCs w:val="22"/>
          <w:lang w:val="en-US"/>
        </w:rPr>
        <w:t xml:space="preserve"> publicly and humbly confessed? Or should we treat it as accidental, a wave of the times, bearing no theological </w:t>
      </w:r>
      <w:r w:rsidR="006E353E" w:rsidRPr="004F6ADF">
        <w:rPr>
          <w:i w:val="0"/>
          <w:iCs/>
          <w:sz w:val="24"/>
          <w:szCs w:val="22"/>
          <w:lang w:val="en-US"/>
        </w:rPr>
        <w:t>value</w:t>
      </w:r>
      <w:r w:rsidRPr="004F6ADF">
        <w:rPr>
          <w:i w:val="0"/>
          <w:iCs/>
          <w:sz w:val="24"/>
          <w:szCs w:val="22"/>
          <w:lang w:val="en-US"/>
        </w:rPr>
        <w:t>?</w:t>
      </w:r>
      <w:r w:rsidR="006E353E" w:rsidRPr="004F6ADF">
        <w:rPr>
          <w:i w:val="0"/>
          <w:iCs/>
          <w:sz w:val="24"/>
          <w:szCs w:val="22"/>
          <w:lang w:val="en-US"/>
        </w:rPr>
        <w:t xml:space="preserve"> I think we don’t have any justification for treating any political event as accidental. Certainly, the Bible is too clear to be misunderstood:</w:t>
      </w:r>
    </w:p>
    <w:p w:rsidR="006E353E" w:rsidRPr="004F6ADF" w:rsidRDefault="006E353E" w:rsidP="006E353E">
      <w:pPr>
        <w:jc w:val="both"/>
        <w:rPr>
          <w:i w:val="0"/>
          <w:iCs/>
          <w:sz w:val="24"/>
          <w:szCs w:val="22"/>
          <w:lang w:val="en-US"/>
        </w:rPr>
      </w:pPr>
    </w:p>
    <w:p w:rsidR="006E353E" w:rsidRPr="004F6ADF" w:rsidRDefault="006833AB" w:rsidP="006833AB">
      <w:pPr>
        <w:ind w:left="720" w:right="720"/>
        <w:jc w:val="both"/>
        <w:rPr>
          <w:i w:val="0"/>
          <w:iCs/>
          <w:lang w:val="en-US"/>
        </w:rPr>
      </w:pPr>
      <w:r w:rsidRPr="004F6ADF">
        <w:rPr>
          <w:i w:val="0"/>
          <w:iCs/>
          <w:lang w:val="en-US"/>
        </w:rPr>
        <w:t>…t</w:t>
      </w:r>
      <w:r w:rsidR="006E353E" w:rsidRPr="004F6ADF">
        <w:rPr>
          <w:i w:val="0"/>
          <w:iCs/>
          <w:lang w:val="en-US"/>
        </w:rPr>
        <w:t>he Most High rules in the kingdom of men, gives it to whomever He will, and sets over it the lowest of men. (Dan 4:17 NKJ)</w:t>
      </w:r>
    </w:p>
    <w:p w:rsidR="006833AB" w:rsidRPr="004F6ADF" w:rsidRDefault="006833AB" w:rsidP="006833AB">
      <w:pPr>
        <w:ind w:left="720" w:right="720"/>
        <w:jc w:val="both"/>
        <w:rPr>
          <w:i w:val="0"/>
          <w:iCs/>
          <w:lang w:val="en-US"/>
        </w:rPr>
      </w:pPr>
      <w:r w:rsidRPr="004F6ADF">
        <w:rPr>
          <w:i w:val="0"/>
          <w:iCs/>
          <w:lang w:val="en-US"/>
        </w:rPr>
        <w:t>…there is no authority except from God, and the authorities that exist are appointed by God. Therefore whoever resists the authority resists the ordinance of God, and those who resist will bring judgment on themselves.  (Rom 13:1-2 NKJ)</w:t>
      </w:r>
    </w:p>
    <w:p w:rsidR="006833AB" w:rsidRPr="004F6ADF" w:rsidRDefault="006833AB" w:rsidP="00A45E07">
      <w:pPr>
        <w:jc w:val="both"/>
        <w:rPr>
          <w:i w:val="0"/>
          <w:iCs/>
          <w:sz w:val="24"/>
          <w:szCs w:val="22"/>
          <w:lang w:val="en-US"/>
        </w:rPr>
      </w:pPr>
    </w:p>
    <w:p w:rsidR="00FA0416" w:rsidRPr="004F6ADF" w:rsidRDefault="00A45E07" w:rsidP="00987114">
      <w:pPr>
        <w:jc w:val="both"/>
        <w:rPr>
          <w:i w:val="0"/>
          <w:iCs/>
          <w:sz w:val="24"/>
          <w:szCs w:val="22"/>
          <w:lang w:val="en-US"/>
        </w:rPr>
      </w:pPr>
      <w:r w:rsidRPr="004F6ADF">
        <w:rPr>
          <w:i w:val="0"/>
          <w:iCs/>
          <w:sz w:val="24"/>
          <w:szCs w:val="22"/>
          <w:lang w:val="en-US"/>
        </w:rPr>
        <w:t xml:space="preserve">Of course, this would more seriously imply that the authority </w:t>
      </w:r>
      <w:r w:rsidR="00FA31AC" w:rsidRPr="004F6ADF">
        <w:rPr>
          <w:i w:val="0"/>
          <w:iCs/>
          <w:sz w:val="24"/>
          <w:szCs w:val="22"/>
          <w:lang w:val="en-US"/>
        </w:rPr>
        <w:t>which</w:t>
      </w:r>
      <w:r w:rsidRPr="004F6ADF">
        <w:rPr>
          <w:i w:val="0"/>
          <w:iCs/>
          <w:sz w:val="24"/>
          <w:szCs w:val="22"/>
          <w:lang w:val="en-US"/>
        </w:rPr>
        <w:t xml:space="preserve"> resists the ordinance of God will bring more severe judgment on itself; because </w:t>
      </w:r>
      <w:r w:rsidR="00FA31AC" w:rsidRPr="004F6ADF">
        <w:rPr>
          <w:i w:val="0"/>
          <w:iCs/>
          <w:sz w:val="24"/>
          <w:szCs w:val="22"/>
          <w:lang w:val="en-US"/>
        </w:rPr>
        <w:t xml:space="preserve">it </w:t>
      </w:r>
      <w:r w:rsidRPr="004F6ADF">
        <w:rPr>
          <w:i w:val="0"/>
          <w:iCs/>
          <w:sz w:val="24"/>
          <w:szCs w:val="22"/>
          <w:lang w:val="en-US"/>
        </w:rPr>
        <w:t>answer</w:t>
      </w:r>
      <w:r w:rsidR="00FA31AC" w:rsidRPr="004F6ADF">
        <w:rPr>
          <w:i w:val="0"/>
          <w:iCs/>
          <w:sz w:val="24"/>
          <w:szCs w:val="22"/>
          <w:lang w:val="en-US"/>
        </w:rPr>
        <w:t>s</w:t>
      </w:r>
      <w:r w:rsidRPr="004F6ADF">
        <w:rPr>
          <w:i w:val="0"/>
          <w:iCs/>
          <w:sz w:val="24"/>
          <w:szCs w:val="22"/>
          <w:lang w:val="en-US"/>
        </w:rPr>
        <w:t xml:space="preserve"> to God, though </w:t>
      </w:r>
      <w:r w:rsidR="00FA31AC" w:rsidRPr="004F6ADF">
        <w:rPr>
          <w:i w:val="0"/>
          <w:iCs/>
          <w:sz w:val="24"/>
          <w:szCs w:val="22"/>
          <w:lang w:val="en-US"/>
        </w:rPr>
        <w:t>it</w:t>
      </w:r>
      <w:r w:rsidRPr="004F6ADF">
        <w:rPr>
          <w:i w:val="0"/>
          <w:iCs/>
          <w:sz w:val="24"/>
          <w:szCs w:val="22"/>
          <w:lang w:val="en-US"/>
        </w:rPr>
        <w:t xml:space="preserve"> may not recognize </w:t>
      </w:r>
      <w:r w:rsidR="00FA31AC" w:rsidRPr="004F6ADF">
        <w:rPr>
          <w:i w:val="0"/>
          <w:iCs/>
          <w:sz w:val="24"/>
          <w:szCs w:val="22"/>
          <w:lang w:val="en-US"/>
        </w:rPr>
        <w:t>it</w:t>
      </w:r>
      <w:r w:rsidRPr="004F6ADF">
        <w:rPr>
          <w:i w:val="0"/>
          <w:iCs/>
          <w:sz w:val="24"/>
          <w:szCs w:val="22"/>
          <w:lang w:val="en-US"/>
        </w:rPr>
        <w:t xml:space="preserve"> – and this irrespective of religion</w:t>
      </w:r>
      <w:r w:rsidR="00FA31AC" w:rsidRPr="004F6ADF">
        <w:rPr>
          <w:i w:val="0"/>
          <w:iCs/>
          <w:sz w:val="24"/>
          <w:szCs w:val="22"/>
          <w:lang w:val="en-US"/>
        </w:rPr>
        <w:t xml:space="preserve">, in secularity alone. </w:t>
      </w:r>
      <w:r w:rsidR="008574AB" w:rsidRPr="004F6ADF">
        <w:rPr>
          <w:i w:val="0"/>
          <w:iCs/>
          <w:sz w:val="24"/>
          <w:szCs w:val="22"/>
          <w:lang w:val="en-US"/>
        </w:rPr>
        <w:t>The judges who were tried at the Nuremberg Trials</w:t>
      </w:r>
      <w:r w:rsidR="00785E95">
        <w:rPr>
          <w:i w:val="0"/>
          <w:iCs/>
          <w:sz w:val="24"/>
          <w:szCs w:val="22"/>
          <w:lang w:val="en-US"/>
        </w:rPr>
        <w:t xml:space="preserve"> (1945-46)</w:t>
      </w:r>
      <w:r w:rsidR="008574AB" w:rsidRPr="004F6ADF">
        <w:rPr>
          <w:i w:val="0"/>
          <w:iCs/>
          <w:sz w:val="24"/>
          <w:szCs w:val="22"/>
          <w:lang w:val="en-US"/>
        </w:rPr>
        <w:t xml:space="preserve"> had to concede to the fact that a corrupt system doesn’t justify compliance to corruption. There was</w:t>
      </w:r>
      <w:r w:rsidR="00987114" w:rsidRPr="004F6ADF">
        <w:rPr>
          <w:i w:val="0"/>
          <w:iCs/>
          <w:sz w:val="24"/>
          <w:szCs w:val="22"/>
          <w:lang w:val="en-US"/>
        </w:rPr>
        <w:t xml:space="preserve"> a Law above the laws of Hitler; and they were first obliged to the greater. </w:t>
      </w:r>
      <w:r w:rsidR="00771785" w:rsidRPr="004F6ADF">
        <w:rPr>
          <w:i w:val="0"/>
          <w:iCs/>
          <w:sz w:val="24"/>
          <w:szCs w:val="22"/>
          <w:lang w:val="en-US"/>
        </w:rPr>
        <w:t>Individuals who stand against the crimes of the nation stand out before God.</w:t>
      </w:r>
      <w:r w:rsidR="008574AB" w:rsidRPr="004F6ADF">
        <w:rPr>
          <w:i w:val="0"/>
          <w:iCs/>
          <w:sz w:val="24"/>
          <w:szCs w:val="22"/>
          <w:lang w:val="en-US"/>
        </w:rPr>
        <w:t xml:space="preserve"> </w:t>
      </w:r>
      <w:r w:rsidR="00FA31AC" w:rsidRPr="004F6ADF">
        <w:rPr>
          <w:i w:val="0"/>
          <w:iCs/>
          <w:sz w:val="24"/>
          <w:szCs w:val="22"/>
          <w:lang w:val="en-US"/>
        </w:rPr>
        <w:t xml:space="preserve">Secularity doesn’t imply </w:t>
      </w:r>
      <w:proofErr w:type="spellStart"/>
      <w:r w:rsidR="00FA31AC" w:rsidRPr="004F6ADF">
        <w:rPr>
          <w:i w:val="0"/>
          <w:iCs/>
          <w:sz w:val="24"/>
          <w:szCs w:val="22"/>
          <w:lang w:val="en-US"/>
        </w:rPr>
        <w:t>unspirituality</w:t>
      </w:r>
      <w:proofErr w:type="spellEnd"/>
      <w:r w:rsidR="00FA31AC" w:rsidRPr="004F6ADF">
        <w:rPr>
          <w:i w:val="0"/>
          <w:iCs/>
          <w:sz w:val="24"/>
          <w:szCs w:val="22"/>
          <w:lang w:val="en-US"/>
        </w:rPr>
        <w:t>, because “in Him we live and move and have our being”.</w:t>
      </w:r>
      <w:r w:rsidR="00FA0416" w:rsidRPr="004F6ADF">
        <w:rPr>
          <w:i w:val="0"/>
          <w:iCs/>
          <w:sz w:val="24"/>
          <w:szCs w:val="22"/>
          <w:lang w:val="en-US"/>
        </w:rPr>
        <w:t xml:space="preserve"> This might seem </w:t>
      </w:r>
      <w:proofErr w:type="spellStart"/>
      <w:r w:rsidR="00FA0416" w:rsidRPr="004F6ADF">
        <w:rPr>
          <w:i w:val="0"/>
          <w:iCs/>
          <w:sz w:val="24"/>
          <w:szCs w:val="22"/>
          <w:lang w:val="en-US"/>
        </w:rPr>
        <w:t>inclusivist</w:t>
      </w:r>
      <w:proofErr w:type="spellEnd"/>
      <w:r w:rsidR="00FA0416" w:rsidRPr="004F6ADF">
        <w:rPr>
          <w:i w:val="0"/>
          <w:iCs/>
          <w:sz w:val="24"/>
          <w:szCs w:val="22"/>
          <w:lang w:val="en-US"/>
        </w:rPr>
        <w:t>; and, it is; but, here again, God is not spoken of possessively but secularly</w:t>
      </w:r>
      <w:r w:rsidR="00752899" w:rsidRPr="004F6ADF">
        <w:rPr>
          <w:i w:val="0"/>
          <w:iCs/>
          <w:sz w:val="24"/>
          <w:szCs w:val="22"/>
          <w:lang w:val="en-US"/>
        </w:rPr>
        <w:t>,</w:t>
      </w:r>
      <w:r w:rsidR="00FA0416" w:rsidRPr="004F6ADF">
        <w:rPr>
          <w:i w:val="0"/>
          <w:iCs/>
          <w:sz w:val="24"/>
          <w:szCs w:val="22"/>
          <w:lang w:val="en-US"/>
        </w:rPr>
        <w:t xml:space="preserve"> as one belonging to the nations.</w:t>
      </w:r>
    </w:p>
    <w:p w:rsidR="008574AB" w:rsidRPr="004F6ADF" w:rsidRDefault="008574AB" w:rsidP="00FA0416">
      <w:pPr>
        <w:jc w:val="both"/>
        <w:rPr>
          <w:i w:val="0"/>
          <w:iCs/>
          <w:sz w:val="24"/>
          <w:szCs w:val="22"/>
          <w:lang w:val="en-US"/>
        </w:rPr>
      </w:pPr>
    </w:p>
    <w:p w:rsidR="008574AB" w:rsidRPr="004F6ADF" w:rsidRDefault="00287FDA" w:rsidP="00FA0416">
      <w:pPr>
        <w:jc w:val="both"/>
        <w:rPr>
          <w:b/>
          <w:bCs/>
          <w:i w:val="0"/>
          <w:iCs/>
          <w:sz w:val="24"/>
          <w:szCs w:val="22"/>
          <w:lang w:val="en-US"/>
        </w:rPr>
      </w:pPr>
      <w:r w:rsidRPr="004F6ADF">
        <w:rPr>
          <w:b/>
          <w:bCs/>
          <w:i w:val="0"/>
          <w:iCs/>
          <w:sz w:val="24"/>
          <w:szCs w:val="22"/>
          <w:lang w:val="en-US"/>
        </w:rPr>
        <w:t>An Inclusivist Political Theology?</w:t>
      </w:r>
    </w:p>
    <w:p w:rsidR="00287FDA" w:rsidRPr="004F6ADF" w:rsidRDefault="00D923B1" w:rsidP="003D21E0">
      <w:pPr>
        <w:jc w:val="both"/>
        <w:rPr>
          <w:i w:val="0"/>
          <w:iCs/>
          <w:sz w:val="24"/>
          <w:szCs w:val="22"/>
          <w:lang w:val="en-US"/>
        </w:rPr>
      </w:pPr>
      <w:r w:rsidRPr="004F6ADF">
        <w:rPr>
          <w:i w:val="0"/>
          <w:iCs/>
          <w:sz w:val="24"/>
          <w:szCs w:val="22"/>
          <w:lang w:val="en-US"/>
        </w:rPr>
        <w:t>The New Testament is clear about the fact that God is interested in nations individually. He is willing to leave the 99 righteous in orde</w:t>
      </w:r>
      <w:r w:rsidR="003D21E0" w:rsidRPr="004F6ADF">
        <w:rPr>
          <w:i w:val="0"/>
          <w:iCs/>
          <w:sz w:val="24"/>
          <w:szCs w:val="22"/>
          <w:lang w:val="en-US"/>
        </w:rPr>
        <w:t xml:space="preserve">r to rescue the one </w:t>
      </w:r>
      <w:r w:rsidR="00F70194" w:rsidRPr="004F6ADF">
        <w:rPr>
          <w:i w:val="0"/>
          <w:iCs/>
          <w:sz w:val="24"/>
          <w:szCs w:val="22"/>
          <w:lang w:val="en-US"/>
        </w:rPr>
        <w:t>in peril. Does this abrogate the place of Israel as a covenant nation in modern times?</w:t>
      </w:r>
    </w:p>
    <w:p w:rsidR="00F70194" w:rsidRPr="004F6ADF" w:rsidRDefault="00F70194" w:rsidP="003D21E0">
      <w:pPr>
        <w:jc w:val="both"/>
        <w:rPr>
          <w:i w:val="0"/>
          <w:iCs/>
          <w:sz w:val="24"/>
          <w:szCs w:val="22"/>
          <w:lang w:val="en-US"/>
        </w:rPr>
      </w:pPr>
    </w:p>
    <w:p w:rsidR="00785E95" w:rsidRDefault="00771785" w:rsidP="004017C2">
      <w:pPr>
        <w:jc w:val="both"/>
        <w:rPr>
          <w:i w:val="0"/>
          <w:iCs/>
          <w:sz w:val="24"/>
          <w:szCs w:val="22"/>
          <w:lang w:val="en-US"/>
        </w:rPr>
      </w:pPr>
      <w:r w:rsidRPr="004F6ADF">
        <w:rPr>
          <w:i w:val="0"/>
          <w:iCs/>
          <w:sz w:val="24"/>
          <w:szCs w:val="22"/>
          <w:lang w:val="en-US"/>
        </w:rPr>
        <w:t xml:space="preserve">In Isaiah 44:28-45:1, God refers to Cyrus, the Persian emperor, as His anointed, His shepherd, who will do His pleasure by building Jerusalem and its temple. Somehow, God’s </w:t>
      </w:r>
      <w:r w:rsidR="00785E95" w:rsidRPr="004F6ADF">
        <w:rPr>
          <w:i w:val="0"/>
          <w:iCs/>
          <w:sz w:val="24"/>
          <w:szCs w:val="22"/>
          <w:lang w:val="en-US"/>
        </w:rPr>
        <w:t>dealing with the nations seems</w:t>
      </w:r>
      <w:r w:rsidRPr="004F6ADF">
        <w:rPr>
          <w:i w:val="0"/>
          <w:iCs/>
          <w:sz w:val="24"/>
          <w:szCs w:val="22"/>
          <w:lang w:val="en-US"/>
        </w:rPr>
        <w:t xml:space="preserve"> to be linked </w:t>
      </w:r>
      <w:r w:rsidR="00785E95">
        <w:rPr>
          <w:i w:val="0"/>
          <w:iCs/>
          <w:sz w:val="24"/>
          <w:szCs w:val="22"/>
          <w:lang w:val="en-US"/>
        </w:rPr>
        <w:t xml:space="preserve">to </w:t>
      </w:r>
      <w:r w:rsidRPr="004F6ADF">
        <w:rPr>
          <w:i w:val="0"/>
          <w:iCs/>
          <w:sz w:val="24"/>
          <w:szCs w:val="22"/>
          <w:lang w:val="en-US"/>
        </w:rPr>
        <w:t xml:space="preserve">Israel. In modern times, Christians have considered seriously the place of Israel in God’s layout of human history. </w:t>
      </w:r>
      <w:proofErr w:type="spellStart"/>
      <w:r w:rsidRPr="004F6ADF">
        <w:rPr>
          <w:i w:val="0"/>
          <w:iCs/>
          <w:sz w:val="24"/>
          <w:szCs w:val="22"/>
          <w:lang w:val="en-US"/>
        </w:rPr>
        <w:t>Dispensationalism</w:t>
      </w:r>
      <w:proofErr w:type="spellEnd"/>
      <w:r w:rsidRPr="004F6ADF">
        <w:rPr>
          <w:i w:val="0"/>
          <w:iCs/>
          <w:sz w:val="24"/>
          <w:szCs w:val="22"/>
          <w:lang w:val="en-US"/>
        </w:rPr>
        <w:t xml:space="preserve"> and </w:t>
      </w:r>
      <w:proofErr w:type="spellStart"/>
      <w:r w:rsidRPr="004F6ADF">
        <w:rPr>
          <w:i w:val="0"/>
          <w:iCs/>
          <w:sz w:val="24"/>
          <w:szCs w:val="22"/>
          <w:lang w:val="en-US"/>
        </w:rPr>
        <w:t>Premillenial</w:t>
      </w:r>
      <w:proofErr w:type="spellEnd"/>
      <w:r w:rsidRPr="004F6ADF">
        <w:rPr>
          <w:i w:val="0"/>
          <w:iCs/>
          <w:sz w:val="24"/>
          <w:szCs w:val="22"/>
          <w:lang w:val="en-US"/>
        </w:rPr>
        <w:t xml:space="preserve"> eschatology</w:t>
      </w:r>
      <w:r w:rsidR="000F1FD9" w:rsidRPr="004F6ADF">
        <w:rPr>
          <w:i w:val="0"/>
          <w:iCs/>
          <w:sz w:val="24"/>
          <w:szCs w:val="22"/>
          <w:lang w:val="en-US"/>
        </w:rPr>
        <w:t xml:space="preserve">, popularized by J.N. Darby and C.I. </w:t>
      </w:r>
      <w:proofErr w:type="spellStart"/>
      <w:r w:rsidR="000F1FD9" w:rsidRPr="004F6ADF">
        <w:rPr>
          <w:i w:val="0"/>
          <w:iCs/>
          <w:sz w:val="24"/>
          <w:szCs w:val="22"/>
          <w:lang w:val="en-US"/>
        </w:rPr>
        <w:t>Scofield</w:t>
      </w:r>
      <w:proofErr w:type="spellEnd"/>
      <w:r w:rsidR="000F1FD9" w:rsidRPr="004F6ADF">
        <w:rPr>
          <w:i w:val="0"/>
          <w:iCs/>
          <w:sz w:val="24"/>
          <w:szCs w:val="22"/>
          <w:lang w:val="en-US"/>
        </w:rPr>
        <w:t>,</w:t>
      </w:r>
      <w:r w:rsidRPr="004F6ADF">
        <w:rPr>
          <w:i w:val="0"/>
          <w:iCs/>
          <w:sz w:val="24"/>
          <w:szCs w:val="22"/>
          <w:lang w:val="en-US"/>
        </w:rPr>
        <w:t xml:space="preserve"> has deeply influenced present Christian political thought. These inform the theology of history which seeks to interpret local instances in light of God’s covenants and prophetical pronouncements. </w:t>
      </w:r>
      <w:r w:rsidR="004017C2" w:rsidRPr="004F6ADF">
        <w:rPr>
          <w:i w:val="0"/>
          <w:iCs/>
          <w:sz w:val="24"/>
          <w:szCs w:val="22"/>
          <w:lang w:val="en-US"/>
        </w:rPr>
        <w:t>For instance, perhaps it is not accidental that the “Times of the Gentiles” that began with the Fall of Jerusalem in 6</w:t>
      </w:r>
      <w:r w:rsidR="004017C2" w:rsidRPr="004F6ADF">
        <w:rPr>
          <w:i w:val="0"/>
          <w:iCs/>
          <w:sz w:val="24"/>
          <w:szCs w:val="22"/>
          <w:vertAlign w:val="superscript"/>
          <w:lang w:val="en-US"/>
        </w:rPr>
        <w:t>th</w:t>
      </w:r>
      <w:r w:rsidR="004017C2" w:rsidRPr="004F6ADF">
        <w:rPr>
          <w:i w:val="0"/>
          <w:iCs/>
          <w:sz w:val="24"/>
          <w:szCs w:val="22"/>
          <w:lang w:val="en-US"/>
        </w:rPr>
        <w:t xml:space="preserve"> century BC saw not only the rise of the great empires, but also the liberation of religion under the great worldwide protest and reform movements during the same time [the 6</w:t>
      </w:r>
      <w:r w:rsidR="004017C2" w:rsidRPr="004F6ADF">
        <w:rPr>
          <w:i w:val="0"/>
          <w:iCs/>
          <w:sz w:val="24"/>
          <w:szCs w:val="22"/>
          <w:vertAlign w:val="superscript"/>
          <w:lang w:val="en-US"/>
        </w:rPr>
        <w:t>th</w:t>
      </w:r>
      <w:r w:rsidR="004017C2" w:rsidRPr="004F6ADF">
        <w:rPr>
          <w:i w:val="0"/>
          <w:iCs/>
          <w:sz w:val="24"/>
          <w:szCs w:val="22"/>
          <w:lang w:val="en-US"/>
        </w:rPr>
        <w:t xml:space="preserve"> and 5</w:t>
      </w:r>
      <w:r w:rsidR="004017C2" w:rsidRPr="004F6ADF">
        <w:rPr>
          <w:i w:val="0"/>
          <w:iCs/>
          <w:sz w:val="24"/>
          <w:szCs w:val="22"/>
          <w:vertAlign w:val="superscript"/>
          <w:lang w:val="en-US"/>
        </w:rPr>
        <w:t>th</w:t>
      </w:r>
      <w:r w:rsidR="004017C2" w:rsidRPr="004F6ADF">
        <w:rPr>
          <w:i w:val="0"/>
          <w:iCs/>
          <w:sz w:val="24"/>
          <w:szCs w:val="22"/>
          <w:lang w:val="en-US"/>
        </w:rPr>
        <w:t xml:space="preserve"> centuries saw the rise of Greek philosophy, Zoroastrianism, Buddhism, Jainism, and Confucianism]. </w:t>
      </w:r>
    </w:p>
    <w:p w:rsidR="00785E95" w:rsidRDefault="00785E95" w:rsidP="004017C2">
      <w:pPr>
        <w:jc w:val="both"/>
        <w:rPr>
          <w:i w:val="0"/>
          <w:iCs/>
          <w:sz w:val="24"/>
          <w:szCs w:val="22"/>
          <w:lang w:val="en-US"/>
        </w:rPr>
      </w:pPr>
    </w:p>
    <w:p w:rsidR="006C2504" w:rsidRPr="004F6ADF" w:rsidRDefault="00046BB4" w:rsidP="004017C2">
      <w:pPr>
        <w:jc w:val="both"/>
        <w:rPr>
          <w:i w:val="0"/>
          <w:iCs/>
          <w:sz w:val="24"/>
          <w:szCs w:val="22"/>
          <w:lang w:val="en-US"/>
        </w:rPr>
      </w:pPr>
      <w:r w:rsidRPr="004F6ADF">
        <w:rPr>
          <w:i w:val="0"/>
          <w:iCs/>
          <w:sz w:val="24"/>
          <w:szCs w:val="22"/>
          <w:lang w:val="en-US"/>
        </w:rPr>
        <w:lastRenderedPageBreak/>
        <w:t>Steph</w:t>
      </w:r>
      <w:r w:rsidR="0003657C" w:rsidRPr="004F6ADF">
        <w:rPr>
          <w:i w:val="0"/>
          <w:iCs/>
          <w:sz w:val="24"/>
          <w:szCs w:val="22"/>
          <w:lang w:val="en-US"/>
        </w:rPr>
        <w:t xml:space="preserve">en Spector has pointed out the two biblical texts that have strongly influenced the modern </w:t>
      </w:r>
      <w:r w:rsidR="001948AB" w:rsidRPr="004F6ADF">
        <w:rPr>
          <w:i w:val="0"/>
          <w:iCs/>
          <w:sz w:val="24"/>
          <w:szCs w:val="22"/>
          <w:lang w:val="en-US"/>
        </w:rPr>
        <w:t>Evangelical</w:t>
      </w:r>
      <w:r w:rsidR="0003657C" w:rsidRPr="004F6ADF">
        <w:rPr>
          <w:i w:val="0"/>
          <w:iCs/>
          <w:sz w:val="24"/>
          <w:szCs w:val="22"/>
          <w:lang w:val="en-US"/>
        </w:rPr>
        <w:t xml:space="preserve"> attitude towards Israel.</w:t>
      </w:r>
      <w:r w:rsidR="0003657C" w:rsidRPr="004F6ADF">
        <w:rPr>
          <w:rStyle w:val="FootnoteReference"/>
          <w:i w:val="0"/>
          <w:iCs/>
          <w:sz w:val="24"/>
          <w:szCs w:val="22"/>
          <w:lang w:val="en-US"/>
        </w:rPr>
        <w:footnoteReference w:id="5"/>
      </w:r>
      <w:r w:rsidR="0003657C" w:rsidRPr="004F6ADF">
        <w:rPr>
          <w:i w:val="0"/>
          <w:iCs/>
          <w:sz w:val="24"/>
          <w:szCs w:val="22"/>
          <w:lang w:val="en-US"/>
        </w:rPr>
        <w:t xml:space="preserve"> </w:t>
      </w:r>
      <w:r w:rsidR="001948AB" w:rsidRPr="004F6ADF">
        <w:rPr>
          <w:i w:val="0"/>
          <w:iCs/>
          <w:sz w:val="24"/>
          <w:szCs w:val="22"/>
          <w:lang w:val="en-US"/>
        </w:rPr>
        <w:t xml:space="preserve">The first is God’s promise to Abraham in Genesis 12:3 in which He declares that He will bless those who bless Abraham and curse those who curse him. </w:t>
      </w:r>
      <w:r w:rsidR="00390AC1" w:rsidRPr="004F6ADF">
        <w:rPr>
          <w:i w:val="0"/>
          <w:iCs/>
          <w:sz w:val="24"/>
          <w:szCs w:val="22"/>
          <w:lang w:val="en-US"/>
        </w:rPr>
        <w:t xml:space="preserve">In his 1909 edition of the </w:t>
      </w:r>
      <w:proofErr w:type="spellStart"/>
      <w:r w:rsidR="00390AC1" w:rsidRPr="004F6ADF">
        <w:rPr>
          <w:i w:val="0"/>
          <w:iCs/>
          <w:sz w:val="24"/>
          <w:szCs w:val="22"/>
          <w:lang w:val="en-US"/>
        </w:rPr>
        <w:t>Scofield</w:t>
      </w:r>
      <w:proofErr w:type="spellEnd"/>
      <w:r w:rsidR="00390AC1" w:rsidRPr="004F6ADF">
        <w:rPr>
          <w:i w:val="0"/>
          <w:iCs/>
          <w:sz w:val="24"/>
          <w:szCs w:val="22"/>
          <w:lang w:val="en-US"/>
        </w:rPr>
        <w:t xml:space="preserve"> Reference Bible, </w:t>
      </w:r>
      <w:proofErr w:type="spellStart"/>
      <w:r w:rsidR="00390AC1" w:rsidRPr="004F6ADF">
        <w:rPr>
          <w:i w:val="0"/>
          <w:iCs/>
          <w:sz w:val="24"/>
          <w:szCs w:val="22"/>
          <w:lang w:val="en-US"/>
        </w:rPr>
        <w:t>Scofield</w:t>
      </w:r>
      <w:proofErr w:type="spellEnd"/>
      <w:r w:rsidR="00390AC1" w:rsidRPr="004F6ADF">
        <w:rPr>
          <w:i w:val="0"/>
          <w:iCs/>
          <w:sz w:val="24"/>
          <w:szCs w:val="22"/>
          <w:lang w:val="en-US"/>
        </w:rPr>
        <w:t xml:space="preserve"> noted that this promise has been “wonderfully fulfilled in the history of the dispersion. It has invariably fared ill with the people who have persecuted the Jew—well with those who have protected him.”</w:t>
      </w:r>
      <w:r w:rsidR="00390AC1" w:rsidRPr="004F6ADF">
        <w:rPr>
          <w:rStyle w:val="FootnoteReference"/>
          <w:i w:val="0"/>
          <w:iCs/>
          <w:sz w:val="24"/>
          <w:szCs w:val="22"/>
          <w:lang w:val="en-US"/>
        </w:rPr>
        <w:footnoteReference w:id="6"/>
      </w:r>
      <w:r w:rsidR="000F1FD9" w:rsidRPr="004F6ADF">
        <w:rPr>
          <w:i w:val="0"/>
          <w:iCs/>
          <w:sz w:val="24"/>
          <w:szCs w:val="22"/>
          <w:lang w:val="en-US"/>
        </w:rPr>
        <w:t xml:space="preserve"> The other text is in Joel 3:1-2 where God declares that He will judge the nations on the Last Day according to how they have treated the nation of Israel. Teachers of prophecy refer to this as the “Judgment of the Nations”.</w:t>
      </w:r>
      <w:r w:rsidR="004017C2" w:rsidRPr="004F6ADF">
        <w:rPr>
          <w:i w:val="0"/>
          <w:iCs/>
          <w:sz w:val="24"/>
          <w:szCs w:val="22"/>
          <w:lang w:val="en-US"/>
        </w:rPr>
        <w:t xml:space="preserve"> </w:t>
      </w:r>
    </w:p>
    <w:p w:rsidR="00C47AD9" w:rsidRPr="004F6ADF" w:rsidRDefault="00C47AD9" w:rsidP="004017C2">
      <w:pPr>
        <w:jc w:val="both"/>
        <w:rPr>
          <w:i w:val="0"/>
          <w:iCs/>
          <w:sz w:val="24"/>
          <w:szCs w:val="22"/>
          <w:lang w:val="en-US"/>
        </w:rPr>
      </w:pPr>
    </w:p>
    <w:p w:rsidR="00C47AD9" w:rsidRPr="004F6ADF" w:rsidRDefault="00C47AD9" w:rsidP="00571B65">
      <w:pPr>
        <w:jc w:val="both"/>
        <w:rPr>
          <w:i w:val="0"/>
          <w:iCs/>
          <w:sz w:val="24"/>
          <w:szCs w:val="22"/>
          <w:lang w:val="en-US"/>
        </w:rPr>
      </w:pPr>
      <w:r w:rsidRPr="004F6ADF">
        <w:rPr>
          <w:i w:val="0"/>
          <w:iCs/>
          <w:sz w:val="24"/>
          <w:szCs w:val="22"/>
          <w:lang w:val="en-US"/>
        </w:rPr>
        <w:t xml:space="preserve">Interestingly, in India the main political voices that have supported the </w:t>
      </w:r>
      <w:r w:rsidR="00DF1D5B" w:rsidRPr="004F6ADF">
        <w:rPr>
          <w:i w:val="0"/>
          <w:iCs/>
          <w:sz w:val="24"/>
          <w:szCs w:val="22"/>
          <w:lang w:val="en-US"/>
        </w:rPr>
        <w:t>cause of Israe</w:t>
      </w:r>
      <w:r w:rsidR="00F42E89" w:rsidRPr="004F6ADF">
        <w:rPr>
          <w:i w:val="0"/>
          <w:iCs/>
          <w:sz w:val="24"/>
          <w:szCs w:val="22"/>
          <w:lang w:val="en-US"/>
        </w:rPr>
        <w:t xml:space="preserve">l came from the Hindutva camp. </w:t>
      </w:r>
      <w:r w:rsidR="00713B87" w:rsidRPr="004F6ADF">
        <w:rPr>
          <w:i w:val="0"/>
          <w:iCs/>
          <w:sz w:val="24"/>
          <w:szCs w:val="22"/>
          <w:lang w:val="en-US"/>
        </w:rPr>
        <w:t>In his letter of 19</w:t>
      </w:r>
      <w:r w:rsidR="00713B87" w:rsidRPr="004F6ADF">
        <w:rPr>
          <w:i w:val="0"/>
          <w:iCs/>
          <w:sz w:val="24"/>
          <w:szCs w:val="22"/>
          <w:vertAlign w:val="superscript"/>
          <w:lang w:val="en-US"/>
        </w:rPr>
        <w:t>th</w:t>
      </w:r>
      <w:r w:rsidR="00713B87" w:rsidRPr="004F6ADF">
        <w:rPr>
          <w:i w:val="0"/>
          <w:iCs/>
          <w:sz w:val="24"/>
          <w:szCs w:val="22"/>
          <w:lang w:val="en-US"/>
        </w:rPr>
        <w:t xml:space="preserve"> December, 1947, V</w:t>
      </w:r>
      <w:r w:rsidR="00571B65" w:rsidRPr="004F6ADF">
        <w:rPr>
          <w:i w:val="0"/>
          <w:iCs/>
          <w:sz w:val="24"/>
          <w:szCs w:val="22"/>
          <w:lang w:val="en-US"/>
        </w:rPr>
        <w:t>ee</w:t>
      </w:r>
      <w:r w:rsidR="00713B87" w:rsidRPr="004F6ADF">
        <w:rPr>
          <w:i w:val="0"/>
          <w:iCs/>
          <w:sz w:val="24"/>
          <w:szCs w:val="22"/>
          <w:lang w:val="en-US"/>
        </w:rPr>
        <w:t xml:space="preserve">r </w:t>
      </w:r>
      <w:proofErr w:type="spellStart"/>
      <w:r w:rsidR="00713B87" w:rsidRPr="004F6ADF">
        <w:rPr>
          <w:i w:val="0"/>
          <w:iCs/>
          <w:sz w:val="24"/>
          <w:szCs w:val="22"/>
          <w:lang w:val="en-US"/>
        </w:rPr>
        <w:t>Savarkar</w:t>
      </w:r>
      <w:proofErr w:type="spellEnd"/>
      <w:r w:rsidR="00713B87" w:rsidRPr="004F6ADF">
        <w:rPr>
          <w:i w:val="0"/>
          <w:iCs/>
          <w:sz w:val="24"/>
          <w:szCs w:val="22"/>
          <w:lang w:val="en-US"/>
        </w:rPr>
        <w:t xml:space="preserve"> celebrated the notion of the creation of the nation of Israel. He wrote:</w:t>
      </w:r>
    </w:p>
    <w:p w:rsidR="00713B87" w:rsidRPr="004F6ADF" w:rsidRDefault="00713B87" w:rsidP="00713B87">
      <w:pPr>
        <w:jc w:val="both"/>
        <w:rPr>
          <w:i w:val="0"/>
          <w:iCs/>
          <w:sz w:val="24"/>
          <w:szCs w:val="22"/>
          <w:lang w:val="en-US"/>
        </w:rPr>
      </w:pPr>
    </w:p>
    <w:p w:rsidR="00713B87" w:rsidRPr="004F6ADF" w:rsidRDefault="00713B87" w:rsidP="0039612D">
      <w:pPr>
        <w:ind w:left="720" w:right="720"/>
        <w:jc w:val="both"/>
        <w:rPr>
          <w:i w:val="0"/>
          <w:iCs/>
          <w:lang w:val="en-US"/>
        </w:rPr>
      </w:pPr>
      <w:r w:rsidRPr="004F6ADF">
        <w:rPr>
          <w:i w:val="0"/>
          <w:iCs/>
          <w:lang w:val="en-US"/>
        </w:rPr>
        <w:t xml:space="preserve">After centuries of sufferings, sacrifices and struggle the Jews will soon recover their national Home in Palestine which has undoubtedly been their Fatherland and </w:t>
      </w:r>
      <w:proofErr w:type="spellStart"/>
      <w:r w:rsidRPr="004F6ADF">
        <w:rPr>
          <w:i w:val="0"/>
          <w:iCs/>
          <w:lang w:val="en-US"/>
        </w:rPr>
        <w:t>Holyland</w:t>
      </w:r>
      <w:proofErr w:type="spellEnd"/>
      <w:r w:rsidRPr="004F6ADF">
        <w:rPr>
          <w:i w:val="0"/>
          <w:iCs/>
          <w:lang w:val="en-US"/>
        </w:rPr>
        <w:t xml:space="preserve">. Well may they compare this event to that glorious day in their history when Moses led them out of The Egyptian bondage and wilderness? </w:t>
      </w:r>
      <w:proofErr w:type="gramStart"/>
      <w:r w:rsidRPr="004F6ADF">
        <w:rPr>
          <w:i w:val="0"/>
          <w:iCs/>
          <w:lang w:val="en-US"/>
        </w:rPr>
        <w:t>and</w:t>
      </w:r>
      <w:proofErr w:type="gramEnd"/>
      <w:r w:rsidRPr="004F6ADF">
        <w:rPr>
          <w:i w:val="0"/>
          <w:iCs/>
          <w:lang w:val="en-US"/>
        </w:rPr>
        <w:t xml:space="preserve"> the promised land flowing with milk and honey came well within sight.</w:t>
      </w:r>
      <w:r w:rsidR="00571B65" w:rsidRPr="004F6ADF">
        <w:rPr>
          <w:rStyle w:val="FootnoteReference"/>
          <w:i w:val="0"/>
          <w:iCs/>
          <w:lang w:val="en-US"/>
        </w:rPr>
        <w:footnoteReference w:id="7"/>
      </w:r>
      <w:r w:rsidR="00571B65" w:rsidRPr="004F6ADF">
        <w:rPr>
          <w:i w:val="0"/>
          <w:iCs/>
          <w:lang w:val="en-US"/>
        </w:rPr>
        <w:t xml:space="preserve"> </w:t>
      </w:r>
    </w:p>
    <w:p w:rsidR="00713B87" w:rsidRPr="004F6ADF" w:rsidRDefault="00713B87" w:rsidP="0039612D">
      <w:pPr>
        <w:ind w:left="720" w:right="720"/>
        <w:jc w:val="both"/>
        <w:rPr>
          <w:i w:val="0"/>
          <w:iCs/>
          <w:lang w:val="en-US"/>
        </w:rPr>
      </w:pPr>
    </w:p>
    <w:p w:rsidR="00713B87" w:rsidRPr="004F6ADF" w:rsidRDefault="0039612D" w:rsidP="00713B87">
      <w:pPr>
        <w:jc w:val="both"/>
        <w:rPr>
          <w:i w:val="0"/>
          <w:iCs/>
          <w:sz w:val="24"/>
          <w:szCs w:val="22"/>
          <w:lang w:val="en-US"/>
        </w:rPr>
      </w:pPr>
      <w:r w:rsidRPr="004F6ADF">
        <w:rPr>
          <w:i w:val="0"/>
          <w:iCs/>
          <w:sz w:val="24"/>
          <w:szCs w:val="22"/>
          <w:lang w:val="en-US"/>
        </w:rPr>
        <w:t>Of course, his nationalistic stance and opposition of the Islamic conquest ideology defined his terms. He wasn’t favorable towards the then India’s position with regard to Israel:</w:t>
      </w:r>
    </w:p>
    <w:p w:rsidR="0039612D" w:rsidRPr="004F6ADF" w:rsidRDefault="0039612D" w:rsidP="00713B87">
      <w:pPr>
        <w:jc w:val="both"/>
        <w:rPr>
          <w:i w:val="0"/>
          <w:iCs/>
          <w:sz w:val="24"/>
          <w:szCs w:val="22"/>
          <w:lang w:val="en-US"/>
        </w:rPr>
      </w:pPr>
    </w:p>
    <w:p w:rsidR="0039612D" w:rsidRPr="004F6ADF" w:rsidRDefault="0039612D" w:rsidP="0039612D">
      <w:pPr>
        <w:ind w:left="720" w:right="720"/>
        <w:jc w:val="both"/>
        <w:rPr>
          <w:i w:val="0"/>
          <w:iCs/>
          <w:lang w:val="en-US"/>
        </w:rPr>
      </w:pPr>
      <w:r w:rsidRPr="004F6ADF">
        <w:rPr>
          <w:i w:val="0"/>
          <w:iCs/>
          <w:lang w:val="en-US"/>
        </w:rPr>
        <w:t xml:space="preserve">It is consequently to be regretted that the delegation which represented our </w:t>
      </w:r>
      <w:proofErr w:type="spellStart"/>
      <w:r w:rsidRPr="004F6ADF">
        <w:rPr>
          <w:i w:val="0"/>
          <w:iCs/>
          <w:lang w:val="en-US"/>
        </w:rPr>
        <w:t>Hindusthani</w:t>
      </w:r>
      <w:proofErr w:type="spellEnd"/>
      <w:r w:rsidRPr="004F6ADF">
        <w:rPr>
          <w:i w:val="0"/>
          <w:iCs/>
          <w:lang w:val="en-US"/>
        </w:rPr>
        <w:t xml:space="preserve"> Government in the UNO should have voted against the creation of the Jewish State. The speeches of </w:t>
      </w:r>
      <w:proofErr w:type="spellStart"/>
      <w:r w:rsidRPr="004F6ADF">
        <w:rPr>
          <w:i w:val="0"/>
          <w:iCs/>
          <w:lang w:val="en-US"/>
        </w:rPr>
        <w:t>Shrimati</w:t>
      </w:r>
      <w:proofErr w:type="spellEnd"/>
      <w:r w:rsidRPr="004F6ADF">
        <w:rPr>
          <w:i w:val="0"/>
          <w:iCs/>
          <w:lang w:val="en-US"/>
        </w:rPr>
        <w:t xml:space="preserve"> </w:t>
      </w:r>
      <w:proofErr w:type="spellStart"/>
      <w:r w:rsidRPr="004F6ADF">
        <w:rPr>
          <w:i w:val="0"/>
          <w:iCs/>
          <w:lang w:val="en-US"/>
        </w:rPr>
        <w:t>Vijayalaxmi</w:t>
      </w:r>
      <w:proofErr w:type="spellEnd"/>
      <w:r w:rsidRPr="004F6ADF">
        <w:rPr>
          <w:i w:val="0"/>
          <w:iCs/>
          <w:lang w:val="en-US"/>
        </w:rPr>
        <w:t xml:space="preserve"> in particular were justly ridiculed when she declaimed melodramatically that the Indian Government refused to stab the unity and integrity of the Palestine State in the back by carving out a </w:t>
      </w:r>
      <w:proofErr w:type="spellStart"/>
      <w:r w:rsidRPr="004F6ADF">
        <w:rPr>
          <w:i w:val="0"/>
          <w:iCs/>
          <w:lang w:val="en-US"/>
        </w:rPr>
        <w:t>seperate</w:t>
      </w:r>
      <w:proofErr w:type="spellEnd"/>
      <w:r w:rsidRPr="004F6ADF">
        <w:rPr>
          <w:i w:val="0"/>
          <w:iCs/>
          <w:lang w:val="en-US"/>
        </w:rPr>
        <w:t xml:space="preserve"> Jewish State,—forgetting for the while that the very Indian Government had stabbed the unity and integrity of their own nation only the other day and gloated over it as an event for public jubilations! </w:t>
      </w:r>
      <w:proofErr w:type="spellStart"/>
      <w:r w:rsidRPr="004F6ADF">
        <w:rPr>
          <w:i w:val="0"/>
          <w:iCs/>
          <w:lang w:val="en-US"/>
        </w:rPr>
        <w:t>Pandit</w:t>
      </w:r>
      <w:proofErr w:type="spellEnd"/>
      <w:r w:rsidRPr="004F6ADF">
        <w:rPr>
          <w:i w:val="0"/>
          <w:iCs/>
          <w:lang w:val="en-US"/>
        </w:rPr>
        <w:t xml:space="preserve"> Nehru made his case more untenable by stating that the creation of the Jewish State was opposed by his Government to secure the goodwill of the group of the petty Moslem States in Asia….</w:t>
      </w:r>
    </w:p>
    <w:p w:rsidR="0039612D" w:rsidRPr="004F6ADF" w:rsidRDefault="0039612D" w:rsidP="0039612D">
      <w:pPr>
        <w:ind w:left="720" w:right="720"/>
        <w:jc w:val="both"/>
        <w:rPr>
          <w:i w:val="0"/>
          <w:iCs/>
          <w:lang w:val="en-US"/>
        </w:rPr>
      </w:pPr>
    </w:p>
    <w:p w:rsidR="0039612D" w:rsidRPr="004F6ADF" w:rsidRDefault="0039612D" w:rsidP="0039612D">
      <w:pPr>
        <w:ind w:left="720" w:right="720"/>
        <w:jc w:val="both"/>
        <w:rPr>
          <w:i w:val="0"/>
          <w:iCs/>
          <w:lang w:val="en-US"/>
        </w:rPr>
      </w:pPr>
      <w:r w:rsidRPr="004F6ADF">
        <w:rPr>
          <w:i w:val="0"/>
          <w:iCs/>
          <w:lang w:val="en-US"/>
        </w:rPr>
        <w:t xml:space="preserve">The international policy of </w:t>
      </w:r>
      <w:proofErr w:type="spellStart"/>
      <w:r w:rsidRPr="004F6ADF">
        <w:rPr>
          <w:i w:val="0"/>
          <w:iCs/>
          <w:lang w:val="en-US"/>
        </w:rPr>
        <w:t>Hindudom</w:t>
      </w:r>
      <w:proofErr w:type="spellEnd"/>
      <w:r w:rsidRPr="004F6ADF">
        <w:rPr>
          <w:i w:val="0"/>
          <w:iCs/>
          <w:lang w:val="en-US"/>
        </w:rPr>
        <w:t xml:space="preserve"> at any rate must always aim to break up the power of the Moslem Blocks from Africa to the Malayan Peninsula. The </w:t>
      </w:r>
      <w:r w:rsidRPr="004F6ADF">
        <w:rPr>
          <w:i w:val="0"/>
          <w:iCs/>
          <w:lang w:val="en-US"/>
        </w:rPr>
        <w:lastRenderedPageBreak/>
        <w:t>creation of a strong and independent Jewish state must serve to checkmate the aggressive tendencies of Moslem fanaticism in</w:t>
      </w:r>
      <w:r w:rsidRPr="004F6ADF">
        <w:rPr>
          <w:i w:val="0"/>
          <w:iCs/>
          <w:sz w:val="24"/>
          <w:szCs w:val="22"/>
          <w:lang w:val="en-US"/>
        </w:rPr>
        <w:t xml:space="preserve"> </w:t>
      </w:r>
      <w:r w:rsidRPr="004F6ADF">
        <w:rPr>
          <w:i w:val="0"/>
          <w:iCs/>
          <w:lang w:val="en-US"/>
        </w:rPr>
        <w:t>general.</w:t>
      </w:r>
      <w:r w:rsidR="00FF432A" w:rsidRPr="004F6ADF">
        <w:rPr>
          <w:rStyle w:val="FootnoteReference"/>
          <w:i w:val="0"/>
          <w:iCs/>
          <w:lang w:val="en-US"/>
        </w:rPr>
        <w:footnoteReference w:id="8"/>
      </w:r>
    </w:p>
    <w:p w:rsidR="00FF432A" w:rsidRPr="004F6ADF" w:rsidRDefault="00FF432A" w:rsidP="0039612D">
      <w:pPr>
        <w:ind w:left="720" w:right="720"/>
        <w:jc w:val="both"/>
        <w:rPr>
          <w:i w:val="0"/>
          <w:iCs/>
          <w:lang w:val="en-US"/>
        </w:rPr>
      </w:pPr>
    </w:p>
    <w:p w:rsidR="00D20651" w:rsidRPr="004F6ADF" w:rsidRDefault="00D20651" w:rsidP="00D20651">
      <w:pPr>
        <w:jc w:val="both"/>
        <w:rPr>
          <w:i w:val="0"/>
          <w:iCs/>
          <w:sz w:val="24"/>
          <w:szCs w:val="22"/>
          <w:lang w:val="en-US"/>
        </w:rPr>
      </w:pPr>
      <w:r w:rsidRPr="004F6ADF">
        <w:rPr>
          <w:i w:val="0"/>
          <w:iCs/>
          <w:sz w:val="24"/>
          <w:szCs w:val="22"/>
          <w:lang w:val="en-US"/>
        </w:rPr>
        <w:t xml:space="preserve">Nehru does have one chapter on Palestine in his </w:t>
      </w:r>
      <w:r w:rsidRPr="004F6ADF">
        <w:rPr>
          <w:sz w:val="24"/>
          <w:szCs w:val="22"/>
          <w:lang w:val="en-US"/>
        </w:rPr>
        <w:t>Glimpses of World History (1960)</w:t>
      </w:r>
      <w:r w:rsidRPr="004F6ADF">
        <w:rPr>
          <w:rStyle w:val="FootnoteReference"/>
          <w:sz w:val="24"/>
          <w:szCs w:val="22"/>
          <w:lang w:val="en-US"/>
        </w:rPr>
        <w:footnoteReference w:id="9"/>
      </w:r>
      <w:r w:rsidRPr="004F6ADF">
        <w:rPr>
          <w:sz w:val="24"/>
          <w:szCs w:val="22"/>
          <w:lang w:val="en-US"/>
        </w:rPr>
        <w:t xml:space="preserve"> </w:t>
      </w:r>
      <w:r w:rsidRPr="004F6ADF">
        <w:rPr>
          <w:i w:val="0"/>
          <w:iCs/>
          <w:sz w:val="24"/>
          <w:szCs w:val="22"/>
          <w:lang w:val="en-US"/>
        </w:rPr>
        <w:t>in which he admires the Jews as a very remarkable people who stood through the many times of affliction during their diaspora; however, he felt that returning their homeland back to them was at the sacrifice of those who were already dwelling there and this only created the Jews-Arabs conflict.</w:t>
      </w:r>
    </w:p>
    <w:p w:rsidR="00D20651" w:rsidRPr="004F6ADF" w:rsidRDefault="00D20651" w:rsidP="00FF432A">
      <w:pPr>
        <w:jc w:val="both"/>
        <w:rPr>
          <w:i w:val="0"/>
          <w:iCs/>
          <w:sz w:val="24"/>
          <w:szCs w:val="22"/>
          <w:lang w:val="en-US"/>
        </w:rPr>
      </w:pPr>
    </w:p>
    <w:p w:rsidR="002B4417" w:rsidRPr="004F6ADF" w:rsidRDefault="002C3EE1" w:rsidP="00D20651">
      <w:pPr>
        <w:jc w:val="both"/>
        <w:rPr>
          <w:i w:val="0"/>
          <w:iCs/>
          <w:sz w:val="24"/>
          <w:szCs w:val="22"/>
          <w:lang w:val="en-US"/>
        </w:rPr>
      </w:pPr>
      <w:proofErr w:type="spellStart"/>
      <w:r w:rsidRPr="004F6ADF">
        <w:rPr>
          <w:i w:val="0"/>
          <w:iCs/>
          <w:sz w:val="24"/>
          <w:szCs w:val="22"/>
          <w:lang w:val="en-US"/>
        </w:rPr>
        <w:t>Savarkar’s</w:t>
      </w:r>
      <w:proofErr w:type="spellEnd"/>
      <w:r w:rsidRPr="004F6ADF">
        <w:rPr>
          <w:i w:val="0"/>
          <w:iCs/>
          <w:sz w:val="24"/>
          <w:szCs w:val="22"/>
          <w:lang w:val="en-US"/>
        </w:rPr>
        <w:t xml:space="preserve"> nationalism (based on his ideas of Hindu-ness) didn’t seem to be threatened by Jewish nationalism. “The Jewish people bear no political ill-will towards </w:t>
      </w:r>
      <w:proofErr w:type="spellStart"/>
      <w:r w:rsidRPr="004F6ADF">
        <w:rPr>
          <w:i w:val="0"/>
          <w:iCs/>
          <w:sz w:val="24"/>
          <w:szCs w:val="22"/>
          <w:lang w:val="en-US"/>
        </w:rPr>
        <w:t>Hindudom</w:t>
      </w:r>
      <w:proofErr w:type="spellEnd"/>
      <w:r w:rsidRPr="004F6ADF">
        <w:rPr>
          <w:i w:val="0"/>
          <w:iCs/>
          <w:sz w:val="24"/>
          <w:szCs w:val="22"/>
          <w:lang w:val="en-US"/>
        </w:rPr>
        <w:t xml:space="preserve">,” he had said. His original directive (“Whatever the attitude of the present </w:t>
      </w:r>
      <w:proofErr w:type="spellStart"/>
      <w:r w:rsidRPr="004F6ADF">
        <w:rPr>
          <w:i w:val="0"/>
          <w:iCs/>
          <w:sz w:val="24"/>
          <w:szCs w:val="22"/>
          <w:lang w:val="en-US"/>
        </w:rPr>
        <w:t>Congressite</w:t>
      </w:r>
      <w:proofErr w:type="spellEnd"/>
      <w:r w:rsidRPr="004F6ADF">
        <w:rPr>
          <w:i w:val="0"/>
          <w:iCs/>
          <w:sz w:val="24"/>
          <w:szCs w:val="22"/>
          <w:lang w:val="en-US"/>
        </w:rPr>
        <w:t xml:space="preserve"> Government be the Hindu </w:t>
      </w:r>
      <w:proofErr w:type="spellStart"/>
      <w:r w:rsidRPr="004F6ADF">
        <w:rPr>
          <w:i w:val="0"/>
          <w:iCs/>
          <w:sz w:val="24"/>
          <w:szCs w:val="22"/>
          <w:lang w:val="en-US"/>
        </w:rPr>
        <w:t>Sanghatanists</w:t>
      </w:r>
      <w:proofErr w:type="spellEnd"/>
      <w:r w:rsidRPr="004F6ADF">
        <w:rPr>
          <w:i w:val="0"/>
          <w:iCs/>
          <w:sz w:val="24"/>
          <w:szCs w:val="22"/>
          <w:lang w:val="en-US"/>
        </w:rPr>
        <w:t xml:space="preserve"> at any rate cherish goodwill towards and extend their moral support to the establishment of the independent Jewish State in Palestine on moral as well as political grounds”) seems to have been carefully observed by the </w:t>
      </w:r>
      <w:proofErr w:type="spellStart"/>
      <w:r w:rsidRPr="004F6ADF">
        <w:rPr>
          <w:i w:val="0"/>
          <w:iCs/>
          <w:sz w:val="24"/>
          <w:szCs w:val="22"/>
          <w:lang w:val="en-US"/>
        </w:rPr>
        <w:t>Sangh</w:t>
      </w:r>
      <w:proofErr w:type="spellEnd"/>
      <w:r w:rsidRPr="004F6ADF">
        <w:rPr>
          <w:i w:val="0"/>
          <w:iCs/>
          <w:sz w:val="24"/>
          <w:szCs w:val="22"/>
          <w:lang w:val="en-US"/>
        </w:rPr>
        <w:t xml:space="preserve"> </w:t>
      </w:r>
      <w:proofErr w:type="spellStart"/>
      <w:r w:rsidRPr="004F6ADF">
        <w:rPr>
          <w:i w:val="0"/>
          <w:iCs/>
          <w:sz w:val="24"/>
          <w:szCs w:val="22"/>
          <w:lang w:val="en-US"/>
        </w:rPr>
        <w:t>Parivar</w:t>
      </w:r>
      <w:proofErr w:type="spellEnd"/>
      <w:r w:rsidRPr="004F6ADF">
        <w:rPr>
          <w:i w:val="0"/>
          <w:iCs/>
          <w:sz w:val="24"/>
          <w:szCs w:val="22"/>
          <w:lang w:val="en-US"/>
        </w:rPr>
        <w:t>.</w:t>
      </w:r>
      <w:r w:rsidR="002B4417" w:rsidRPr="004F6ADF">
        <w:rPr>
          <w:i w:val="0"/>
          <w:iCs/>
          <w:sz w:val="24"/>
          <w:szCs w:val="22"/>
          <w:lang w:val="en-US"/>
        </w:rPr>
        <w:t xml:space="preserve"> Israel-India ties </w:t>
      </w:r>
      <w:r w:rsidR="00D20651" w:rsidRPr="004F6ADF">
        <w:rPr>
          <w:i w:val="0"/>
          <w:iCs/>
          <w:sz w:val="24"/>
          <w:szCs w:val="22"/>
          <w:lang w:val="en-US"/>
        </w:rPr>
        <w:t>were</w:t>
      </w:r>
      <w:r w:rsidR="002B4417" w:rsidRPr="004F6ADF">
        <w:rPr>
          <w:i w:val="0"/>
          <w:iCs/>
          <w:sz w:val="24"/>
          <w:szCs w:val="22"/>
          <w:lang w:val="en-US"/>
        </w:rPr>
        <w:t xml:space="preserve"> strengthened during the BJP term.</w:t>
      </w:r>
    </w:p>
    <w:p w:rsidR="002B4417" w:rsidRPr="004F6ADF" w:rsidRDefault="002B4417" w:rsidP="00FF432A">
      <w:pPr>
        <w:jc w:val="both"/>
        <w:rPr>
          <w:i w:val="0"/>
          <w:iCs/>
          <w:sz w:val="24"/>
          <w:szCs w:val="22"/>
          <w:lang w:val="en-US"/>
        </w:rPr>
      </w:pPr>
    </w:p>
    <w:p w:rsidR="009A5E68" w:rsidRPr="004F6ADF" w:rsidRDefault="002B4417" w:rsidP="003C5E61">
      <w:pPr>
        <w:jc w:val="both"/>
        <w:rPr>
          <w:i w:val="0"/>
          <w:iCs/>
          <w:sz w:val="24"/>
          <w:szCs w:val="22"/>
          <w:lang w:val="en-US"/>
        </w:rPr>
      </w:pPr>
      <w:r w:rsidRPr="004F6ADF">
        <w:rPr>
          <w:i w:val="0"/>
          <w:iCs/>
          <w:sz w:val="24"/>
          <w:szCs w:val="22"/>
          <w:lang w:val="en-US"/>
        </w:rPr>
        <w:t xml:space="preserve">On the other hand, Hindutva nationalism has </w:t>
      </w:r>
      <w:r w:rsidR="00BD7836" w:rsidRPr="004F6ADF">
        <w:rPr>
          <w:i w:val="0"/>
          <w:iCs/>
          <w:sz w:val="24"/>
          <w:szCs w:val="22"/>
          <w:lang w:val="en-US"/>
        </w:rPr>
        <w:t xml:space="preserve">opposed Christian evangelization, prompting us to ask if this </w:t>
      </w:r>
      <w:r w:rsidR="009A5E68" w:rsidRPr="004F6ADF">
        <w:rPr>
          <w:i w:val="0"/>
          <w:iCs/>
          <w:sz w:val="24"/>
          <w:szCs w:val="22"/>
          <w:lang w:val="en-US"/>
        </w:rPr>
        <w:t>obfuscates</w:t>
      </w:r>
      <w:r w:rsidR="00BD7836" w:rsidRPr="004F6ADF">
        <w:rPr>
          <w:i w:val="0"/>
          <w:iCs/>
          <w:sz w:val="24"/>
          <w:szCs w:val="22"/>
          <w:lang w:val="en-US"/>
        </w:rPr>
        <w:t xml:space="preserve"> its nationalist favoritism for Israel.</w:t>
      </w:r>
      <w:r w:rsidR="003C5E61" w:rsidRPr="004F6ADF">
        <w:rPr>
          <w:i w:val="0"/>
          <w:iCs/>
          <w:sz w:val="24"/>
          <w:szCs w:val="22"/>
          <w:lang w:val="en-US"/>
        </w:rPr>
        <w:t xml:space="preserve"> We are not called to be judges here.</w:t>
      </w:r>
      <w:r w:rsidR="009A5E68" w:rsidRPr="004F6ADF">
        <w:rPr>
          <w:i w:val="0"/>
          <w:iCs/>
          <w:sz w:val="24"/>
          <w:szCs w:val="22"/>
          <w:lang w:val="en-US"/>
        </w:rPr>
        <w:t xml:space="preserve"> But, of course, unlike the Dispensationalist Christian support for Israel (which may sometimes be vested with selfish interest – to be blessed in return and not be cursed), Hindutva support of Zionism has a different ideological premise. It certainly doesn’t know about Genesis 12 or care anything about it.</w:t>
      </w:r>
      <w:r w:rsidR="000C0490" w:rsidRPr="004F6ADF">
        <w:rPr>
          <w:i w:val="0"/>
          <w:iCs/>
          <w:sz w:val="24"/>
          <w:szCs w:val="22"/>
          <w:lang w:val="en-US"/>
        </w:rPr>
        <w:t xml:space="preserve"> We have noted </w:t>
      </w:r>
      <w:proofErr w:type="spellStart"/>
      <w:r w:rsidR="000C0490" w:rsidRPr="004F6ADF">
        <w:rPr>
          <w:i w:val="0"/>
          <w:iCs/>
          <w:sz w:val="24"/>
          <w:szCs w:val="22"/>
          <w:lang w:val="en-US"/>
        </w:rPr>
        <w:t>Savarkar’s</w:t>
      </w:r>
      <w:proofErr w:type="spellEnd"/>
      <w:r w:rsidR="000C0490" w:rsidRPr="004F6ADF">
        <w:rPr>
          <w:i w:val="0"/>
          <w:iCs/>
          <w:sz w:val="24"/>
          <w:szCs w:val="22"/>
          <w:lang w:val="en-US"/>
        </w:rPr>
        <w:t xml:space="preserve"> sympathy for the Jews </w:t>
      </w:r>
      <w:r w:rsidR="00F01782" w:rsidRPr="004F6ADF">
        <w:rPr>
          <w:i w:val="0"/>
          <w:iCs/>
          <w:sz w:val="24"/>
          <w:szCs w:val="22"/>
          <w:lang w:val="en-US"/>
        </w:rPr>
        <w:t>as</w:t>
      </w:r>
      <w:r w:rsidR="000C0490" w:rsidRPr="004F6ADF">
        <w:rPr>
          <w:i w:val="0"/>
          <w:iCs/>
          <w:sz w:val="24"/>
          <w:szCs w:val="22"/>
          <w:lang w:val="en-US"/>
        </w:rPr>
        <w:t xml:space="preserve"> he considers Palestine to be their own land. Also, he seems to become more sympathetic because the Jews bear no ill-will towards Hindus but the Moslem states are usually </w:t>
      </w:r>
      <w:proofErr w:type="spellStart"/>
      <w:r w:rsidR="000C0490" w:rsidRPr="004F6ADF">
        <w:rPr>
          <w:i w:val="0"/>
          <w:iCs/>
          <w:sz w:val="24"/>
          <w:szCs w:val="22"/>
          <w:lang w:val="en-US"/>
        </w:rPr>
        <w:t>anti-semitic</w:t>
      </w:r>
      <w:proofErr w:type="spellEnd"/>
      <w:r w:rsidR="000C0490" w:rsidRPr="004F6ADF">
        <w:rPr>
          <w:i w:val="0"/>
          <w:iCs/>
          <w:sz w:val="24"/>
          <w:szCs w:val="22"/>
          <w:lang w:val="en-US"/>
        </w:rPr>
        <w:t>.</w:t>
      </w:r>
    </w:p>
    <w:p w:rsidR="00073101" w:rsidRPr="004F6ADF" w:rsidRDefault="00073101" w:rsidP="003C5E61">
      <w:pPr>
        <w:jc w:val="both"/>
        <w:rPr>
          <w:i w:val="0"/>
          <w:iCs/>
          <w:sz w:val="24"/>
          <w:szCs w:val="22"/>
          <w:lang w:val="en-US"/>
        </w:rPr>
      </w:pPr>
    </w:p>
    <w:p w:rsidR="00073101" w:rsidRPr="004F6ADF" w:rsidRDefault="00073101" w:rsidP="00F75520">
      <w:pPr>
        <w:jc w:val="both"/>
        <w:rPr>
          <w:i w:val="0"/>
          <w:iCs/>
          <w:sz w:val="24"/>
          <w:szCs w:val="22"/>
          <w:lang w:val="en-US"/>
        </w:rPr>
      </w:pPr>
      <w:r w:rsidRPr="004F6ADF">
        <w:rPr>
          <w:i w:val="0"/>
          <w:iCs/>
          <w:sz w:val="24"/>
          <w:szCs w:val="22"/>
          <w:lang w:val="en-US"/>
        </w:rPr>
        <w:t xml:space="preserve">Certainly, there is a point in Christian political theology that cannot ignore the Israeli question. The people are the chosen ones. But, one must not stop to enquire about the nature of this </w:t>
      </w:r>
      <w:proofErr w:type="spellStart"/>
      <w:r w:rsidRPr="004F6ADF">
        <w:rPr>
          <w:i w:val="0"/>
          <w:iCs/>
          <w:sz w:val="24"/>
          <w:szCs w:val="22"/>
          <w:lang w:val="en-US"/>
        </w:rPr>
        <w:t>chosenness</w:t>
      </w:r>
      <w:proofErr w:type="spellEnd"/>
      <w:r w:rsidRPr="004F6ADF">
        <w:rPr>
          <w:i w:val="0"/>
          <w:iCs/>
          <w:sz w:val="24"/>
          <w:szCs w:val="22"/>
          <w:lang w:val="en-US"/>
        </w:rPr>
        <w:t xml:space="preserve">. Certainly, God’s </w:t>
      </w:r>
      <w:r w:rsidR="00F75520" w:rsidRPr="004F6ADF">
        <w:rPr>
          <w:i w:val="0"/>
          <w:iCs/>
          <w:sz w:val="24"/>
          <w:szCs w:val="22"/>
          <w:lang w:val="en-US"/>
        </w:rPr>
        <w:t>choice of Israel is only part of His greater plan for the world. In the ultimate sense, it is not the world towards Israel; it is Israel towards the world.</w:t>
      </w:r>
      <w:r w:rsidR="00F079C3" w:rsidRPr="004F6ADF">
        <w:rPr>
          <w:i w:val="0"/>
          <w:iCs/>
          <w:sz w:val="24"/>
          <w:szCs w:val="22"/>
          <w:lang w:val="en-US"/>
        </w:rPr>
        <w:t xml:space="preserve"> Also, we cannot ignore the Abrahamic promise in Genesis 12. But, we must also not forget the vision of the promise “In you all the families of the earth shall be blessed”. </w:t>
      </w:r>
    </w:p>
    <w:p w:rsidR="00300B94" w:rsidRPr="004F6ADF" w:rsidRDefault="00300B94" w:rsidP="003C5E61">
      <w:pPr>
        <w:jc w:val="both"/>
        <w:rPr>
          <w:i w:val="0"/>
          <w:iCs/>
          <w:sz w:val="24"/>
          <w:szCs w:val="22"/>
          <w:lang w:val="en-US"/>
        </w:rPr>
      </w:pPr>
    </w:p>
    <w:p w:rsidR="00BD7836" w:rsidRPr="004F6ADF" w:rsidRDefault="00763258" w:rsidP="00223CDF">
      <w:pPr>
        <w:jc w:val="both"/>
        <w:rPr>
          <w:i w:val="0"/>
          <w:iCs/>
          <w:sz w:val="24"/>
          <w:szCs w:val="24"/>
          <w:lang w:val="en-US"/>
        </w:rPr>
      </w:pPr>
      <w:r w:rsidRPr="004F6ADF">
        <w:rPr>
          <w:i w:val="0"/>
          <w:iCs/>
          <w:sz w:val="24"/>
          <w:szCs w:val="22"/>
          <w:lang w:val="en-US"/>
        </w:rPr>
        <w:t>The reference to Cyrus as God’s anointed in Isaiah 44 and 45 is</w:t>
      </w:r>
      <w:r w:rsidR="003D223A" w:rsidRPr="004F6ADF">
        <w:rPr>
          <w:i w:val="0"/>
          <w:iCs/>
          <w:sz w:val="24"/>
          <w:szCs w:val="22"/>
          <w:lang w:val="en-US"/>
        </w:rPr>
        <w:t>, obviously,</w:t>
      </w:r>
      <w:r w:rsidRPr="004F6ADF">
        <w:rPr>
          <w:i w:val="0"/>
          <w:iCs/>
          <w:sz w:val="24"/>
          <w:szCs w:val="22"/>
          <w:lang w:val="en-US"/>
        </w:rPr>
        <w:t xml:space="preserve"> in relation to God’s plan for His own covenant people Israel. His famous Edict (536BC) that empowered the Jews in exile to return to Jerusalem a</w:t>
      </w:r>
      <w:r w:rsidR="00EE4B02" w:rsidRPr="004F6ADF">
        <w:rPr>
          <w:i w:val="0"/>
          <w:iCs/>
          <w:sz w:val="24"/>
          <w:szCs w:val="22"/>
          <w:lang w:val="en-US"/>
        </w:rPr>
        <w:t>nd rebuild the temple (Ezra 1) is documented with references to his acknowledgement of YHWH as God (1:2,3). The discovery of Cyrus’ Cylinder in 19</w:t>
      </w:r>
      <w:r w:rsidR="00EE4B02" w:rsidRPr="004F6ADF">
        <w:rPr>
          <w:i w:val="0"/>
          <w:iCs/>
          <w:sz w:val="24"/>
          <w:szCs w:val="22"/>
          <w:vertAlign w:val="superscript"/>
          <w:lang w:val="en-US"/>
        </w:rPr>
        <w:t>th</w:t>
      </w:r>
      <w:r w:rsidR="00EE4B02" w:rsidRPr="004F6ADF">
        <w:rPr>
          <w:i w:val="0"/>
          <w:iCs/>
          <w:sz w:val="24"/>
          <w:szCs w:val="22"/>
          <w:lang w:val="en-US"/>
        </w:rPr>
        <w:t xml:space="preserve"> century did spark lot of enthusiasm since the clay </w:t>
      </w:r>
      <w:r w:rsidR="00EE4B02" w:rsidRPr="004F6ADF">
        <w:rPr>
          <w:i w:val="0"/>
          <w:iCs/>
          <w:sz w:val="24"/>
          <w:szCs w:val="22"/>
          <w:lang w:val="en-US"/>
        </w:rPr>
        <w:lastRenderedPageBreak/>
        <w:t xml:space="preserve">document confirmed the historical authenticity of the Biblical record. </w:t>
      </w:r>
      <w:r w:rsidR="00961423" w:rsidRPr="004F6ADF">
        <w:rPr>
          <w:i w:val="0"/>
          <w:iCs/>
          <w:sz w:val="24"/>
          <w:szCs w:val="22"/>
          <w:lang w:val="en-US"/>
        </w:rPr>
        <w:t xml:space="preserve">The prophetic word regarding Cyrus was: “I have raised him up in righteousness, and I will direct all his ways; he shall build </w:t>
      </w:r>
      <w:proofErr w:type="gramStart"/>
      <w:r w:rsidR="00961423" w:rsidRPr="004F6ADF">
        <w:rPr>
          <w:i w:val="0"/>
          <w:iCs/>
          <w:sz w:val="24"/>
          <w:szCs w:val="22"/>
          <w:lang w:val="en-US"/>
        </w:rPr>
        <w:t>My</w:t>
      </w:r>
      <w:proofErr w:type="gramEnd"/>
      <w:r w:rsidR="00961423" w:rsidRPr="004F6ADF">
        <w:rPr>
          <w:i w:val="0"/>
          <w:iCs/>
          <w:sz w:val="24"/>
          <w:szCs w:val="22"/>
          <w:lang w:val="en-US"/>
        </w:rPr>
        <w:t xml:space="preserve"> city and let My exiles go free, not for price nor reward” (Isa 45:13 NKJ). While it may appear that God’s election of Cyrus was utilitarian (for the sake of His people Israel), we are not without biblical evidence to also say that the election was part of God’s governance of the world-- </w:t>
      </w:r>
      <w:r w:rsidR="00961423" w:rsidRPr="004F6ADF">
        <w:rPr>
          <w:i w:val="0"/>
          <w:iCs/>
          <w:sz w:val="24"/>
          <w:szCs w:val="24"/>
          <w:lang w:val="en-US"/>
        </w:rPr>
        <w:t xml:space="preserve">“the Most High rules in the kingdom of men, gives it to whomever He will” (Dan 4:17). As such, His interest is also in the individual nations. </w:t>
      </w:r>
      <w:r w:rsidR="00232457" w:rsidRPr="004F6ADF">
        <w:rPr>
          <w:i w:val="0"/>
          <w:iCs/>
          <w:sz w:val="24"/>
          <w:szCs w:val="24"/>
          <w:lang w:val="en-US"/>
        </w:rPr>
        <w:t>In fact, in the ultimate sense, God is not interested in the nations for th</w:t>
      </w:r>
      <w:r w:rsidR="00905991" w:rsidRPr="004F6ADF">
        <w:rPr>
          <w:i w:val="0"/>
          <w:iCs/>
          <w:sz w:val="24"/>
          <w:szCs w:val="24"/>
          <w:lang w:val="en-US"/>
        </w:rPr>
        <w:t>e sake of Israel, but God chose</w:t>
      </w:r>
      <w:r w:rsidR="00232457" w:rsidRPr="004F6ADF">
        <w:rPr>
          <w:i w:val="0"/>
          <w:iCs/>
          <w:sz w:val="24"/>
          <w:szCs w:val="24"/>
          <w:lang w:val="en-US"/>
        </w:rPr>
        <w:t xml:space="preserve"> Israel because He loves the nations, and wants to bless them.</w:t>
      </w:r>
      <w:r w:rsidR="0089102C" w:rsidRPr="004F6ADF">
        <w:rPr>
          <w:i w:val="0"/>
          <w:iCs/>
          <w:sz w:val="24"/>
          <w:szCs w:val="24"/>
          <w:lang w:val="en-US"/>
        </w:rPr>
        <w:t xml:space="preserve"> The choice of Israel is one step in affirming God’s belongedness to the nations – His </w:t>
      </w:r>
      <w:r w:rsidR="00223CDF" w:rsidRPr="004F6ADF">
        <w:rPr>
          <w:i w:val="0"/>
          <w:iCs/>
          <w:sz w:val="24"/>
          <w:szCs w:val="24"/>
          <w:lang w:val="en-US"/>
        </w:rPr>
        <w:t>initiation of</w:t>
      </w:r>
      <w:r w:rsidR="0089102C" w:rsidRPr="004F6ADF">
        <w:rPr>
          <w:i w:val="0"/>
          <w:iCs/>
          <w:sz w:val="24"/>
          <w:szCs w:val="24"/>
          <w:lang w:val="en-US"/>
        </w:rPr>
        <w:t xml:space="preserve"> reconciliation and </w:t>
      </w:r>
      <w:r w:rsidR="00223CDF" w:rsidRPr="004F6ADF">
        <w:rPr>
          <w:i w:val="0"/>
          <w:iCs/>
          <w:sz w:val="24"/>
          <w:szCs w:val="24"/>
          <w:lang w:val="en-US"/>
        </w:rPr>
        <w:t xml:space="preserve">of </w:t>
      </w:r>
      <w:r w:rsidR="0089102C" w:rsidRPr="004F6ADF">
        <w:rPr>
          <w:i w:val="0"/>
          <w:iCs/>
          <w:sz w:val="24"/>
          <w:szCs w:val="24"/>
          <w:lang w:val="en-US"/>
        </w:rPr>
        <w:t>making them a people of God.</w:t>
      </w:r>
      <w:r w:rsidR="00EB3B4C" w:rsidRPr="004F6ADF">
        <w:rPr>
          <w:i w:val="0"/>
          <w:iCs/>
          <w:sz w:val="24"/>
          <w:szCs w:val="24"/>
          <w:lang w:val="en-US"/>
        </w:rPr>
        <w:t xml:space="preserve"> Thus, Cyrus or any other ruler or government might be unaware of the theological horizon, but God’</w:t>
      </w:r>
      <w:r w:rsidR="00223CDF" w:rsidRPr="004F6ADF">
        <w:rPr>
          <w:i w:val="0"/>
          <w:iCs/>
          <w:sz w:val="24"/>
          <w:szCs w:val="24"/>
          <w:lang w:val="en-US"/>
        </w:rPr>
        <w:t xml:space="preserve">s governance includes them; </w:t>
      </w:r>
      <w:r w:rsidR="00EB3B4C" w:rsidRPr="004F6ADF">
        <w:rPr>
          <w:i w:val="0"/>
          <w:iCs/>
          <w:sz w:val="24"/>
          <w:szCs w:val="24"/>
          <w:lang w:val="en-US"/>
        </w:rPr>
        <w:t>His sovereignty over the earth is not obstructed by man’</w:t>
      </w:r>
      <w:r w:rsidR="00300B94" w:rsidRPr="004F6ADF">
        <w:rPr>
          <w:i w:val="0"/>
          <w:iCs/>
          <w:sz w:val="24"/>
          <w:szCs w:val="24"/>
          <w:lang w:val="en-US"/>
        </w:rPr>
        <w:t>s incognizance of His person.</w:t>
      </w:r>
    </w:p>
    <w:p w:rsidR="00300B94" w:rsidRPr="004F6ADF" w:rsidRDefault="00300B94" w:rsidP="00961423">
      <w:pPr>
        <w:jc w:val="both"/>
        <w:rPr>
          <w:i w:val="0"/>
          <w:iCs/>
          <w:sz w:val="24"/>
          <w:szCs w:val="24"/>
          <w:lang w:val="en-US"/>
        </w:rPr>
      </w:pPr>
    </w:p>
    <w:p w:rsidR="00232457" w:rsidRPr="004F6ADF" w:rsidRDefault="00334444" w:rsidP="00961423">
      <w:pPr>
        <w:jc w:val="both"/>
        <w:rPr>
          <w:i w:val="0"/>
          <w:iCs/>
          <w:sz w:val="24"/>
          <w:szCs w:val="24"/>
          <w:lang w:val="en-US"/>
        </w:rPr>
      </w:pPr>
      <w:r w:rsidRPr="004F6ADF">
        <w:rPr>
          <w:i w:val="0"/>
          <w:iCs/>
          <w:sz w:val="24"/>
          <w:szCs w:val="24"/>
          <w:lang w:val="en-US"/>
        </w:rPr>
        <w:t>Of course, God’s governance is not through hard-determinism. There are situations where He permits evil rulers to come to power by evil means; there are conditions in which He abandons humans to their selfish and destructive desires; but, then He also seeks for people to stand in the gap to intercede for God’s will to be done on earth as it is in heaven – and, it is He who answers the cries of the innocent by giving them justice.</w:t>
      </w:r>
      <w:r w:rsidR="00073101" w:rsidRPr="004F6ADF">
        <w:rPr>
          <w:i w:val="0"/>
          <w:iCs/>
          <w:sz w:val="24"/>
          <w:szCs w:val="24"/>
          <w:lang w:val="en-US"/>
        </w:rPr>
        <w:t xml:space="preserve"> He is interested in the one missing sheep. Obviously, God’s interest in the salvation of Nineveh was not towards Israel, but from Israel to the world (“Salvation is of the Jews” (John 4:22)). The only rationale God provided to Jonah was:</w:t>
      </w:r>
    </w:p>
    <w:p w:rsidR="00073101" w:rsidRPr="004F6ADF" w:rsidRDefault="00073101" w:rsidP="00961423">
      <w:pPr>
        <w:jc w:val="both"/>
        <w:rPr>
          <w:i w:val="0"/>
          <w:iCs/>
          <w:sz w:val="24"/>
          <w:szCs w:val="24"/>
          <w:lang w:val="en-US"/>
        </w:rPr>
      </w:pPr>
    </w:p>
    <w:p w:rsidR="00073101" w:rsidRPr="004F6ADF" w:rsidRDefault="00073101" w:rsidP="00073101">
      <w:pPr>
        <w:ind w:left="720" w:right="720"/>
        <w:jc w:val="both"/>
        <w:rPr>
          <w:i w:val="0"/>
          <w:iCs/>
          <w:lang w:val="en-US"/>
        </w:rPr>
      </w:pPr>
      <w:r w:rsidRPr="004F6ADF">
        <w:rPr>
          <w:i w:val="0"/>
          <w:iCs/>
          <w:lang w:val="en-US"/>
        </w:rPr>
        <w:t>You have had pity on the plant for which you have not labored, nor made it grow, which came up in a night and perished in a night. And should I not pity Nineveh, that great city, in which are more than one hundred and twenty thousand persons who cannot discern between their right hand and their left-- and much livestock?"  (Jon 4:9-11 NKJ)</w:t>
      </w:r>
    </w:p>
    <w:p w:rsidR="00232457" w:rsidRPr="004F6ADF" w:rsidRDefault="00232457" w:rsidP="00961423">
      <w:pPr>
        <w:jc w:val="both"/>
        <w:rPr>
          <w:i w:val="0"/>
          <w:iCs/>
          <w:sz w:val="24"/>
          <w:szCs w:val="24"/>
          <w:lang w:val="en-US"/>
        </w:rPr>
      </w:pPr>
    </w:p>
    <w:p w:rsidR="003D223A" w:rsidRPr="004F6ADF" w:rsidRDefault="003D223A" w:rsidP="00887331">
      <w:pPr>
        <w:jc w:val="both"/>
        <w:rPr>
          <w:i w:val="0"/>
          <w:iCs/>
          <w:sz w:val="24"/>
          <w:szCs w:val="24"/>
          <w:lang w:val="en-US"/>
        </w:rPr>
      </w:pPr>
      <w:r w:rsidRPr="004F6ADF">
        <w:rPr>
          <w:i w:val="0"/>
          <w:iCs/>
          <w:sz w:val="24"/>
          <w:szCs w:val="24"/>
          <w:lang w:val="en-US"/>
        </w:rPr>
        <w:t xml:space="preserve">God created the nations of the world and His interest in them individually (even to the livestock) is much larger than the nationalistic </w:t>
      </w:r>
      <w:r w:rsidR="00887331" w:rsidRPr="004F6ADF">
        <w:rPr>
          <w:i w:val="0"/>
          <w:iCs/>
          <w:sz w:val="24"/>
          <w:szCs w:val="24"/>
          <w:lang w:val="en-US"/>
        </w:rPr>
        <w:t>self-interest of any people. His interest is global and personal.</w:t>
      </w:r>
    </w:p>
    <w:p w:rsidR="003D223A" w:rsidRPr="004F6ADF" w:rsidRDefault="003D223A" w:rsidP="003D223A">
      <w:pPr>
        <w:jc w:val="both"/>
        <w:rPr>
          <w:i w:val="0"/>
          <w:iCs/>
          <w:sz w:val="24"/>
          <w:szCs w:val="24"/>
          <w:lang w:val="en-US"/>
        </w:rPr>
      </w:pPr>
    </w:p>
    <w:p w:rsidR="00232457" w:rsidRPr="004F6ADF" w:rsidRDefault="00073101" w:rsidP="00785E95">
      <w:pPr>
        <w:jc w:val="both"/>
        <w:rPr>
          <w:i w:val="0"/>
          <w:iCs/>
          <w:sz w:val="24"/>
          <w:szCs w:val="24"/>
          <w:lang w:val="en-US"/>
        </w:rPr>
      </w:pPr>
      <w:r w:rsidRPr="004F6ADF">
        <w:rPr>
          <w:i w:val="0"/>
          <w:iCs/>
          <w:sz w:val="24"/>
          <w:szCs w:val="24"/>
          <w:lang w:val="en-US"/>
        </w:rPr>
        <w:t xml:space="preserve">Indian Christians must avoid any form of nationalism that is religiously oriented. Such nationalism is not theologically warranted. </w:t>
      </w:r>
      <w:r w:rsidR="003D223A" w:rsidRPr="004F6ADF">
        <w:rPr>
          <w:i w:val="0"/>
          <w:iCs/>
          <w:sz w:val="24"/>
          <w:szCs w:val="24"/>
          <w:lang w:val="en-US"/>
        </w:rPr>
        <w:t>We have already noted God’s involvement in politics in a secular fashion (</w:t>
      </w:r>
      <w:proofErr w:type="spellStart"/>
      <w:r w:rsidR="003D223A" w:rsidRPr="004F6ADF">
        <w:rPr>
          <w:i w:val="0"/>
          <w:iCs/>
          <w:sz w:val="24"/>
          <w:szCs w:val="24"/>
          <w:lang w:val="en-US"/>
        </w:rPr>
        <w:t>unecclesiastically</w:t>
      </w:r>
      <w:proofErr w:type="spellEnd"/>
      <w:r w:rsidR="003D223A" w:rsidRPr="004F6ADF">
        <w:rPr>
          <w:i w:val="0"/>
          <w:iCs/>
          <w:sz w:val="24"/>
          <w:szCs w:val="24"/>
          <w:lang w:val="en-US"/>
        </w:rPr>
        <w:t xml:space="preserve">). </w:t>
      </w:r>
      <w:r w:rsidR="00905991" w:rsidRPr="004F6ADF">
        <w:rPr>
          <w:i w:val="0"/>
          <w:iCs/>
          <w:sz w:val="24"/>
          <w:szCs w:val="24"/>
          <w:lang w:val="en-US"/>
        </w:rPr>
        <w:t xml:space="preserve">The </w:t>
      </w:r>
      <w:r w:rsidR="00091468">
        <w:rPr>
          <w:i w:val="0"/>
          <w:iCs/>
          <w:sz w:val="24"/>
          <w:szCs w:val="24"/>
          <w:lang w:val="en-US"/>
        </w:rPr>
        <w:t>church</w:t>
      </w:r>
      <w:r w:rsidR="00905991" w:rsidRPr="004F6ADF">
        <w:rPr>
          <w:i w:val="0"/>
          <w:iCs/>
          <w:sz w:val="24"/>
          <w:szCs w:val="24"/>
          <w:lang w:val="en-US"/>
        </w:rPr>
        <w:t xml:space="preserve"> is separate from the state. </w:t>
      </w:r>
      <w:r w:rsidR="003D223A" w:rsidRPr="004F6ADF">
        <w:rPr>
          <w:i w:val="0"/>
          <w:iCs/>
          <w:sz w:val="24"/>
          <w:szCs w:val="24"/>
          <w:lang w:val="en-US"/>
        </w:rPr>
        <w:t>Thus, historically, it is seen that even though a government wasn’t secular, God was secular. He didn’t drag religion into politics, but silently did intervene to administer temporal justice and order in the world (</w:t>
      </w:r>
      <w:r w:rsidR="00785E95">
        <w:rPr>
          <w:i w:val="0"/>
          <w:iCs/>
          <w:sz w:val="24"/>
          <w:szCs w:val="24"/>
          <w:lang w:val="en-US"/>
        </w:rPr>
        <w:t xml:space="preserve">i.e. </w:t>
      </w:r>
      <w:r w:rsidR="003D223A" w:rsidRPr="004F6ADF">
        <w:rPr>
          <w:i w:val="0"/>
          <w:iCs/>
          <w:sz w:val="24"/>
          <w:szCs w:val="24"/>
          <w:lang w:val="en-US"/>
        </w:rPr>
        <w:t xml:space="preserve">temporal justice </w:t>
      </w:r>
      <w:r w:rsidR="00785E95">
        <w:rPr>
          <w:i w:val="0"/>
          <w:iCs/>
          <w:sz w:val="24"/>
          <w:szCs w:val="24"/>
          <w:lang w:val="en-US"/>
        </w:rPr>
        <w:t>in relation</w:t>
      </w:r>
      <w:r w:rsidR="003D223A" w:rsidRPr="004F6ADF">
        <w:rPr>
          <w:i w:val="0"/>
          <w:iCs/>
          <w:sz w:val="24"/>
          <w:szCs w:val="24"/>
          <w:lang w:val="en-US"/>
        </w:rPr>
        <w:t xml:space="preserve"> to temporal authority). </w:t>
      </w:r>
      <w:r w:rsidR="00785E95">
        <w:rPr>
          <w:i w:val="0"/>
          <w:iCs/>
          <w:sz w:val="24"/>
          <w:szCs w:val="24"/>
          <w:lang w:val="en-US"/>
        </w:rPr>
        <w:t>With</w:t>
      </w:r>
      <w:r w:rsidR="00905991" w:rsidRPr="004F6ADF">
        <w:rPr>
          <w:i w:val="0"/>
          <w:iCs/>
          <w:sz w:val="24"/>
          <w:szCs w:val="24"/>
          <w:lang w:val="en-US"/>
        </w:rPr>
        <w:t xml:space="preserve"> regard to the </w:t>
      </w:r>
      <w:r w:rsidR="00091468">
        <w:rPr>
          <w:i w:val="0"/>
          <w:iCs/>
          <w:sz w:val="24"/>
          <w:szCs w:val="24"/>
          <w:lang w:val="en-US"/>
        </w:rPr>
        <w:t>church</w:t>
      </w:r>
      <w:r w:rsidR="00905991" w:rsidRPr="004F6ADF">
        <w:rPr>
          <w:i w:val="0"/>
          <w:iCs/>
          <w:sz w:val="24"/>
          <w:szCs w:val="24"/>
          <w:lang w:val="en-US"/>
        </w:rPr>
        <w:t xml:space="preserve">, it doesn’t seem that God is interested in an organized religion at all. Christianity had nothing to do with an external temple. Each Christian is the temple of God. This is what frees Paul to do his own theology, separate </w:t>
      </w:r>
      <w:r w:rsidR="00905991" w:rsidRPr="004F6ADF">
        <w:rPr>
          <w:i w:val="0"/>
          <w:iCs/>
          <w:sz w:val="24"/>
          <w:szCs w:val="24"/>
          <w:lang w:val="en-US"/>
        </w:rPr>
        <w:lastRenderedPageBreak/>
        <w:t>from the Twelve. Their association with Jesus for three and half years, and their direct and public appointment by Jesus didn’</w:t>
      </w:r>
      <w:r w:rsidR="00CE082A" w:rsidRPr="004F6ADF">
        <w:rPr>
          <w:i w:val="0"/>
          <w:iCs/>
          <w:sz w:val="24"/>
          <w:szCs w:val="24"/>
          <w:lang w:val="en-US"/>
        </w:rPr>
        <w:t xml:space="preserve">t give them theological </w:t>
      </w:r>
      <w:r w:rsidR="00905991" w:rsidRPr="004F6ADF">
        <w:rPr>
          <w:i w:val="0"/>
          <w:iCs/>
          <w:sz w:val="24"/>
          <w:szCs w:val="24"/>
          <w:lang w:val="en-US"/>
        </w:rPr>
        <w:t xml:space="preserve">advantage over Paul. </w:t>
      </w:r>
    </w:p>
    <w:p w:rsidR="00905991" w:rsidRPr="004F6ADF" w:rsidRDefault="00905991" w:rsidP="00905991">
      <w:pPr>
        <w:jc w:val="both"/>
        <w:rPr>
          <w:i w:val="0"/>
          <w:iCs/>
          <w:sz w:val="24"/>
          <w:szCs w:val="24"/>
          <w:lang w:val="en-US"/>
        </w:rPr>
      </w:pPr>
    </w:p>
    <w:p w:rsidR="00905991" w:rsidRPr="004F6ADF" w:rsidRDefault="00905991" w:rsidP="00905991">
      <w:pPr>
        <w:ind w:left="720" w:right="720"/>
        <w:jc w:val="both"/>
        <w:rPr>
          <w:i w:val="0"/>
          <w:iCs/>
          <w:lang w:val="en-US"/>
        </w:rPr>
      </w:pPr>
      <w:r w:rsidRPr="004F6ADF">
        <w:rPr>
          <w:i w:val="0"/>
          <w:iCs/>
          <w:lang w:val="en-US"/>
        </w:rPr>
        <w:t>But from those who seemed to be something-- whatever they were, it makes no difference to me; God shows personal favoritism to no man-- for those who seemed to be something added nothing to me. (Gal 2:6 NKJ)</w:t>
      </w:r>
    </w:p>
    <w:p w:rsidR="00336F05" w:rsidRPr="004F6ADF" w:rsidRDefault="00336F05" w:rsidP="00336F05">
      <w:pPr>
        <w:jc w:val="both"/>
        <w:rPr>
          <w:i w:val="0"/>
          <w:iCs/>
          <w:sz w:val="24"/>
          <w:szCs w:val="24"/>
          <w:lang w:val="en-US"/>
        </w:rPr>
      </w:pPr>
    </w:p>
    <w:p w:rsidR="005D2D5A" w:rsidRPr="004F6ADF" w:rsidRDefault="00CE082A" w:rsidP="00573C06">
      <w:pPr>
        <w:jc w:val="both"/>
        <w:rPr>
          <w:i w:val="0"/>
          <w:iCs/>
          <w:sz w:val="24"/>
          <w:szCs w:val="24"/>
          <w:lang w:val="en-US"/>
        </w:rPr>
      </w:pPr>
      <w:r w:rsidRPr="004F6ADF">
        <w:rPr>
          <w:i w:val="0"/>
          <w:iCs/>
          <w:sz w:val="24"/>
          <w:szCs w:val="24"/>
          <w:lang w:val="en-US"/>
        </w:rPr>
        <w:t xml:space="preserve">God is not interested in a political structure within the </w:t>
      </w:r>
      <w:r w:rsidR="00091468">
        <w:rPr>
          <w:i w:val="0"/>
          <w:iCs/>
          <w:sz w:val="24"/>
          <w:szCs w:val="24"/>
          <w:lang w:val="en-US"/>
        </w:rPr>
        <w:t>church</w:t>
      </w:r>
      <w:r w:rsidRPr="004F6ADF">
        <w:rPr>
          <w:i w:val="0"/>
          <w:iCs/>
          <w:sz w:val="24"/>
          <w:szCs w:val="24"/>
          <w:lang w:val="en-US"/>
        </w:rPr>
        <w:t xml:space="preserve">, where power lobbying will be an issue. The </w:t>
      </w:r>
      <w:r w:rsidR="00091468">
        <w:rPr>
          <w:i w:val="0"/>
          <w:iCs/>
          <w:sz w:val="24"/>
          <w:szCs w:val="24"/>
          <w:lang w:val="en-US"/>
        </w:rPr>
        <w:t>church</w:t>
      </w:r>
      <w:r w:rsidR="005D2D5A" w:rsidRPr="004F6ADF">
        <w:rPr>
          <w:i w:val="0"/>
          <w:iCs/>
          <w:sz w:val="24"/>
          <w:szCs w:val="24"/>
          <w:lang w:val="en-US"/>
        </w:rPr>
        <w:t xml:space="preserve"> is not a political kingdom; nor is it meant to become a political nation.</w:t>
      </w:r>
      <w:r w:rsidRPr="004F6ADF">
        <w:rPr>
          <w:i w:val="0"/>
          <w:iCs/>
          <w:sz w:val="24"/>
          <w:szCs w:val="24"/>
          <w:lang w:val="en-US"/>
        </w:rPr>
        <w:t xml:space="preserve"> The Bible doesn’t know anything about a Christian nationalism.</w:t>
      </w:r>
      <w:r w:rsidR="005D2D5A" w:rsidRPr="004F6ADF">
        <w:rPr>
          <w:i w:val="0"/>
          <w:iCs/>
          <w:sz w:val="24"/>
          <w:szCs w:val="24"/>
          <w:lang w:val="en-US"/>
        </w:rPr>
        <w:t xml:space="preserve"> It speaks nothing of it. We should be careful of notions such as a “Christian nation”. </w:t>
      </w:r>
      <w:r w:rsidR="00573C06" w:rsidRPr="004F6ADF">
        <w:rPr>
          <w:i w:val="0"/>
          <w:iCs/>
          <w:sz w:val="24"/>
          <w:szCs w:val="24"/>
          <w:lang w:val="en-US"/>
        </w:rPr>
        <w:t>Politics is theologically meant to be secular. In fact, it doesn’t seem unhistorical to maintain that the progressive secularization of the world is “the logical outcome of Biblical religion.”</w:t>
      </w:r>
      <w:r w:rsidR="00573C06" w:rsidRPr="004F6ADF">
        <w:rPr>
          <w:rStyle w:val="FootnoteReference"/>
          <w:i w:val="0"/>
          <w:iCs/>
          <w:sz w:val="24"/>
          <w:szCs w:val="24"/>
          <w:lang w:val="en-US"/>
        </w:rPr>
        <w:footnoteReference w:id="10"/>
      </w:r>
    </w:p>
    <w:p w:rsidR="005D2D5A" w:rsidRPr="004F6ADF" w:rsidRDefault="005D2D5A" w:rsidP="005D2D5A">
      <w:pPr>
        <w:jc w:val="both"/>
        <w:rPr>
          <w:i w:val="0"/>
          <w:iCs/>
          <w:sz w:val="24"/>
          <w:szCs w:val="24"/>
          <w:lang w:val="en-US"/>
        </w:rPr>
      </w:pPr>
    </w:p>
    <w:p w:rsidR="00BD7836" w:rsidRPr="004F6ADF" w:rsidRDefault="00573C06" w:rsidP="00252FBE">
      <w:pPr>
        <w:jc w:val="both"/>
        <w:rPr>
          <w:i w:val="0"/>
          <w:iCs/>
          <w:sz w:val="24"/>
          <w:szCs w:val="24"/>
          <w:lang w:val="en-US"/>
        </w:rPr>
      </w:pPr>
      <w:r w:rsidRPr="004F6ADF">
        <w:rPr>
          <w:i w:val="0"/>
          <w:iCs/>
          <w:sz w:val="24"/>
          <w:szCs w:val="24"/>
          <w:lang w:val="en-US"/>
        </w:rPr>
        <w:t xml:space="preserve">Of course, the eschatological question does remain. </w:t>
      </w:r>
      <w:r w:rsidR="00056788" w:rsidRPr="004F6ADF">
        <w:rPr>
          <w:i w:val="0"/>
          <w:iCs/>
          <w:sz w:val="24"/>
          <w:szCs w:val="24"/>
          <w:lang w:val="en-US"/>
        </w:rPr>
        <w:t>We leave it to</w:t>
      </w:r>
      <w:r w:rsidR="00F36DCF" w:rsidRPr="004F6ADF">
        <w:rPr>
          <w:i w:val="0"/>
          <w:iCs/>
          <w:sz w:val="24"/>
          <w:szCs w:val="24"/>
          <w:lang w:val="en-US"/>
        </w:rPr>
        <w:t xml:space="preserve"> God to deal with the question. This is not to disregard eschatology; but, to affirm the sovereignty of God over all things. </w:t>
      </w:r>
      <w:r w:rsidR="00056788" w:rsidRPr="004F6ADF">
        <w:rPr>
          <w:i w:val="0"/>
          <w:iCs/>
          <w:sz w:val="24"/>
          <w:szCs w:val="24"/>
          <w:lang w:val="en-US"/>
        </w:rPr>
        <w:t xml:space="preserve">The Christian is called to respect the secular political authority. The Christian is also called to be salt and light in the world. However, a Christian who is in a political office must desist from mixing religion with politics. </w:t>
      </w:r>
      <w:r w:rsidR="00252FBE" w:rsidRPr="004F6ADF">
        <w:rPr>
          <w:i w:val="0"/>
          <w:iCs/>
          <w:sz w:val="24"/>
          <w:szCs w:val="24"/>
          <w:lang w:val="en-US"/>
        </w:rPr>
        <w:t>H</w:t>
      </w:r>
      <w:r w:rsidR="00056788" w:rsidRPr="004F6ADF">
        <w:rPr>
          <w:i w:val="0"/>
          <w:iCs/>
          <w:sz w:val="24"/>
          <w:szCs w:val="24"/>
          <w:lang w:val="en-US"/>
        </w:rPr>
        <w:t>e should also serve the world as serving Christ and must not compromise his Christian faith in any situation. He must remember that “the Most High rules in the kingdom of men, gives it to whomever He will”.</w:t>
      </w:r>
      <w:r w:rsidR="00F36DCF" w:rsidRPr="004F6ADF">
        <w:rPr>
          <w:i w:val="0"/>
          <w:iCs/>
          <w:sz w:val="24"/>
          <w:szCs w:val="24"/>
          <w:lang w:val="en-US"/>
        </w:rPr>
        <w:t xml:space="preserve"> </w:t>
      </w:r>
    </w:p>
    <w:p w:rsidR="00F36DCF" w:rsidRPr="004F6ADF" w:rsidRDefault="00F36DCF" w:rsidP="00056788">
      <w:pPr>
        <w:jc w:val="both"/>
        <w:rPr>
          <w:i w:val="0"/>
          <w:iCs/>
          <w:sz w:val="24"/>
          <w:szCs w:val="24"/>
          <w:lang w:val="en-US"/>
        </w:rPr>
      </w:pPr>
    </w:p>
    <w:p w:rsidR="00056788" w:rsidRPr="004F6ADF" w:rsidRDefault="00056788" w:rsidP="00056788">
      <w:pPr>
        <w:jc w:val="both"/>
        <w:rPr>
          <w:i w:val="0"/>
          <w:iCs/>
          <w:sz w:val="24"/>
          <w:szCs w:val="24"/>
          <w:lang w:val="en-US"/>
        </w:rPr>
      </w:pPr>
    </w:p>
    <w:p w:rsidR="00056788" w:rsidRPr="004F6ADF" w:rsidRDefault="00674E03" w:rsidP="00056788">
      <w:pPr>
        <w:jc w:val="both"/>
        <w:rPr>
          <w:b/>
          <w:bCs/>
          <w:i w:val="0"/>
          <w:iCs/>
          <w:sz w:val="24"/>
          <w:szCs w:val="24"/>
          <w:lang w:val="en-US"/>
        </w:rPr>
      </w:pPr>
      <w:r w:rsidRPr="004F6ADF">
        <w:rPr>
          <w:b/>
          <w:bCs/>
          <w:i w:val="0"/>
          <w:iCs/>
          <w:sz w:val="24"/>
          <w:szCs w:val="24"/>
          <w:lang w:val="en-US"/>
        </w:rPr>
        <w:t>God and Politics in the Secular</w:t>
      </w:r>
    </w:p>
    <w:p w:rsidR="00252FBE" w:rsidRPr="004F6ADF" w:rsidRDefault="00252FBE" w:rsidP="00056788">
      <w:pPr>
        <w:jc w:val="both"/>
        <w:rPr>
          <w:b/>
          <w:bCs/>
          <w:i w:val="0"/>
          <w:iCs/>
          <w:sz w:val="24"/>
          <w:szCs w:val="24"/>
          <w:lang w:val="en-US"/>
        </w:rPr>
      </w:pPr>
    </w:p>
    <w:p w:rsidR="00F36DCF" w:rsidRPr="004F6ADF" w:rsidRDefault="00F36DCF" w:rsidP="00785E95">
      <w:pPr>
        <w:jc w:val="both"/>
        <w:rPr>
          <w:i w:val="0"/>
          <w:iCs/>
          <w:sz w:val="24"/>
          <w:szCs w:val="24"/>
          <w:lang w:val="en-US"/>
        </w:rPr>
      </w:pPr>
      <w:r w:rsidRPr="004F6ADF">
        <w:rPr>
          <w:i w:val="0"/>
          <w:iCs/>
          <w:sz w:val="24"/>
          <w:szCs w:val="24"/>
          <w:lang w:val="en-US"/>
        </w:rPr>
        <w:t xml:space="preserve">So, when </w:t>
      </w:r>
      <w:proofErr w:type="spellStart"/>
      <w:r w:rsidRPr="004F6ADF">
        <w:rPr>
          <w:i w:val="0"/>
          <w:iCs/>
          <w:sz w:val="24"/>
          <w:szCs w:val="24"/>
          <w:lang w:val="en-US"/>
        </w:rPr>
        <w:t>Kejriwal</w:t>
      </w:r>
      <w:proofErr w:type="spellEnd"/>
      <w:r w:rsidRPr="004F6ADF">
        <w:rPr>
          <w:i w:val="0"/>
          <w:iCs/>
          <w:sz w:val="24"/>
          <w:szCs w:val="24"/>
          <w:lang w:val="en-US"/>
        </w:rPr>
        <w:t xml:space="preserve"> is grateful to God, in his pluralistic sense, the acknowledgement certainly seems to be honest. The question about the identity of this God is tackled in </w:t>
      </w:r>
      <w:r w:rsidR="00785E95">
        <w:rPr>
          <w:i w:val="0"/>
          <w:iCs/>
          <w:sz w:val="24"/>
          <w:szCs w:val="24"/>
          <w:lang w:val="en-US"/>
        </w:rPr>
        <w:t>h</w:t>
      </w:r>
      <w:r w:rsidRPr="004F6ADF">
        <w:rPr>
          <w:i w:val="0"/>
          <w:iCs/>
          <w:sz w:val="24"/>
          <w:szCs w:val="24"/>
          <w:lang w:val="en-US"/>
        </w:rPr>
        <w:t xml:space="preserve">is naming all the names of God, in different faiths, that he considers pertinent in the Indian setting. </w:t>
      </w:r>
      <w:r w:rsidR="00113D7B" w:rsidRPr="004F6ADF">
        <w:rPr>
          <w:i w:val="0"/>
          <w:iCs/>
          <w:sz w:val="24"/>
          <w:szCs w:val="24"/>
          <w:lang w:val="en-US"/>
        </w:rPr>
        <w:t xml:space="preserve">Of course, the </w:t>
      </w:r>
      <w:proofErr w:type="spellStart"/>
      <w:r w:rsidR="00113D7B" w:rsidRPr="004F6ADF">
        <w:rPr>
          <w:i w:val="0"/>
          <w:iCs/>
          <w:sz w:val="24"/>
          <w:szCs w:val="24"/>
          <w:lang w:val="en-US"/>
        </w:rPr>
        <w:t>inclusivist</w:t>
      </w:r>
      <w:proofErr w:type="spellEnd"/>
      <w:r w:rsidR="00113D7B" w:rsidRPr="004F6ADF">
        <w:rPr>
          <w:i w:val="0"/>
          <w:iCs/>
          <w:sz w:val="24"/>
          <w:szCs w:val="24"/>
          <w:lang w:val="en-US"/>
        </w:rPr>
        <w:t xml:space="preserve"> Christian is well aware of such usage (</w:t>
      </w:r>
      <w:r w:rsidR="00113D7B" w:rsidRPr="004F6ADF">
        <w:rPr>
          <w:sz w:val="24"/>
          <w:szCs w:val="24"/>
          <w:lang w:val="en-US"/>
        </w:rPr>
        <w:t xml:space="preserve">Parmeshwar </w:t>
      </w:r>
      <w:r w:rsidR="00113D7B" w:rsidRPr="004F6ADF">
        <w:rPr>
          <w:i w:val="0"/>
          <w:iCs/>
          <w:sz w:val="24"/>
          <w:szCs w:val="24"/>
          <w:lang w:val="en-US"/>
        </w:rPr>
        <w:t>and</w:t>
      </w:r>
      <w:r w:rsidR="00113D7B" w:rsidRPr="004F6ADF">
        <w:rPr>
          <w:sz w:val="24"/>
          <w:szCs w:val="24"/>
          <w:lang w:val="en-US"/>
        </w:rPr>
        <w:t xml:space="preserve"> Allah </w:t>
      </w:r>
      <w:r w:rsidR="00113D7B" w:rsidRPr="004F6ADF">
        <w:rPr>
          <w:i w:val="0"/>
          <w:iCs/>
          <w:sz w:val="24"/>
          <w:szCs w:val="24"/>
          <w:lang w:val="en-US"/>
        </w:rPr>
        <w:t xml:space="preserve">have been used for God in Hindi and Urdu Bible translations). At the moment, the confession seems to be more secular than religious. </w:t>
      </w:r>
      <w:r w:rsidR="00252FBE" w:rsidRPr="004F6ADF">
        <w:rPr>
          <w:i w:val="0"/>
          <w:iCs/>
          <w:sz w:val="24"/>
          <w:szCs w:val="24"/>
          <w:lang w:val="en-US"/>
        </w:rPr>
        <w:t xml:space="preserve">Certainly, such public confession is not biblically discouraged. In fact, both in the New Testament and the Old Testament, any ruler who got megalomaniac got immediately punished by God (Daniel 4:30-34; Acts 12:21-23). </w:t>
      </w:r>
      <w:proofErr w:type="spellStart"/>
      <w:r w:rsidR="00252FBE" w:rsidRPr="004F6ADF">
        <w:rPr>
          <w:i w:val="0"/>
          <w:iCs/>
          <w:sz w:val="24"/>
          <w:szCs w:val="24"/>
          <w:lang w:val="en-US"/>
        </w:rPr>
        <w:t>Kejriwal’s</w:t>
      </w:r>
      <w:proofErr w:type="spellEnd"/>
      <w:r w:rsidR="00252FBE" w:rsidRPr="004F6ADF">
        <w:rPr>
          <w:i w:val="0"/>
          <w:iCs/>
          <w:sz w:val="24"/>
          <w:szCs w:val="24"/>
          <w:lang w:val="en-US"/>
        </w:rPr>
        <w:t xml:space="preserve"> public humility, in light of this, is highly commendable. </w:t>
      </w:r>
    </w:p>
    <w:p w:rsidR="00252FBE" w:rsidRPr="004F6ADF" w:rsidRDefault="00252FBE" w:rsidP="00113D7B">
      <w:pPr>
        <w:jc w:val="both"/>
        <w:rPr>
          <w:i w:val="0"/>
          <w:iCs/>
          <w:sz w:val="24"/>
          <w:szCs w:val="24"/>
          <w:lang w:val="en-US"/>
        </w:rPr>
      </w:pPr>
    </w:p>
    <w:p w:rsidR="00A13B3D" w:rsidRDefault="00252FBE" w:rsidP="00C02AF5">
      <w:pPr>
        <w:jc w:val="both"/>
        <w:rPr>
          <w:i w:val="0"/>
          <w:iCs/>
          <w:sz w:val="24"/>
          <w:szCs w:val="24"/>
          <w:lang w:val="en-US"/>
        </w:rPr>
      </w:pPr>
      <w:r w:rsidRPr="004F6ADF">
        <w:rPr>
          <w:i w:val="0"/>
          <w:iCs/>
          <w:sz w:val="24"/>
          <w:szCs w:val="24"/>
          <w:lang w:val="en-US"/>
        </w:rPr>
        <w:t xml:space="preserve">Also, </w:t>
      </w:r>
      <w:proofErr w:type="spellStart"/>
      <w:r w:rsidRPr="004F6ADF">
        <w:rPr>
          <w:i w:val="0"/>
          <w:iCs/>
          <w:sz w:val="24"/>
          <w:szCs w:val="24"/>
          <w:lang w:val="en-US"/>
        </w:rPr>
        <w:t>Kejriwal</w:t>
      </w:r>
      <w:proofErr w:type="spellEnd"/>
      <w:r w:rsidRPr="004F6ADF">
        <w:rPr>
          <w:i w:val="0"/>
          <w:iCs/>
          <w:sz w:val="24"/>
          <w:szCs w:val="24"/>
          <w:lang w:val="en-US"/>
        </w:rPr>
        <w:t xml:space="preserve"> seemed to echo the secular God, the God present in the secular world of politics</w:t>
      </w:r>
      <w:r w:rsidR="00785E95">
        <w:rPr>
          <w:i w:val="0"/>
          <w:iCs/>
          <w:sz w:val="24"/>
          <w:szCs w:val="24"/>
          <w:lang w:val="en-US"/>
        </w:rPr>
        <w:t xml:space="preserve">, </w:t>
      </w:r>
      <w:proofErr w:type="spellStart"/>
      <w:r w:rsidR="00C02AF5">
        <w:rPr>
          <w:i w:val="0"/>
          <w:iCs/>
          <w:sz w:val="24"/>
          <w:szCs w:val="24"/>
          <w:lang w:val="en-US"/>
        </w:rPr>
        <w:t>unpossessively</w:t>
      </w:r>
      <w:proofErr w:type="spellEnd"/>
      <w:r w:rsidR="00785E95">
        <w:rPr>
          <w:i w:val="0"/>
          <w:iCs/>
          <w:sz w:val="24"/>
          <w:szCs w:val="24"/>
          <w:lang w:val="en-US"/>
        </w:rPr>
        <w:t xml:space="preserve"> of any religion</w:t>
      </w:r>
      <w:r w:rsidRPr="004F6ADF">
        <w:rPr>
          <w:i w:val="0"/>
          <w:iCs/>
          <w:sz w:val="24"/>
          <w:szCs w:val="24"/>
          <w:lang w:val="en-US"/>
        </w:rPr>
        <w:t xml:space="preserve">. His faith is both personal and public at the same time and important for his identity as a political activist standing for the purification of </w:t>
      </w:r>
      <w:r w:rsidRPr="004F6ADF">
        <w:rPr>
          <w:i w:val="0"/>
          <w:iCs/>
          <w:sz w:val="24"/>
          <w:szCs w:val="24"/>
          <w:lang w:val="en-US"/>
        </w:rPr>
        <w:lastRenderedPageBreak/>
        <w:t xml:space="preserve">Indian politics. Certainly, this </w:t>
      </w:r>
      <w:r w:rsidR="00A423C1" w:rsidRPr="004F6ADF">
        <w:rPr>
          <w:i w:val="0"/>
          <w:iCs/>
          <w:sz w:val="24"/>
          <w:szCs w:val="24"/>
          <w:lang w:val="en-US"/>
        </w:rPr>
        <w:t xml:space="preserve">is </w:t>
      </w:r>
      <w:r w:rsidRPr="004F6ADF">
        <w:rPr>
          <w:i w:val="0"/>
          <w:iCs/>
          <w:sz w:val="24"/>
          <w:szCs w:val="24"/>
          <w:lang w:val="en-US"/>
        </w:rPr>
        <w:t>not just the cry of the people, but also the heart of God for them.</w:t>
      </w:r>
      <w:r w:rsidR="00A423C1" w:rsidRPr="004F6ADF">
        <w:rPr>
          <w:i w:val="0"/>
          <w:iCs/>
          <w:sz w:val="24"/>
          <w:szCs w:val="24"/>
          <w:lang w:val="en-US"/>
        </w:rPr>
        <w:t xml:space="preserve"> </w:t>
      </w:r>
      <w:r w:rsidR="00C02AF5">
        <w:rPr>
          <w:i w:val="0"/>
          <w:iCs/>
          <w:sz w:val="24"/>
          <w:szCs w:val="24"/>
          <w:lang w:val="en-US"/>
        </w:rPr>
        <w:t>We</w:t>
      </w:r>
      <w:r w:rsidRPr="004F6ADF">
        <w:rPr>
          <w:i w:val="0"/>
          <w:iCs/>
          <w:sz w:val="24"/>
          <w:szCs w:val="24"/>
          <w:lang w:val="en-US"/>
        </w:rPr>
        <w:t xml:space="preserve"> must desist from mixing religion (i.e., of the organized kind) with politics</w:t>
      </w:r>
      <w:r w:rsidR="00C02AF5">
        <w:rPr>
          <w:i w:val="0"/>
          <w:iCs/>
          <w:sz w:val="24"/>
          <w:szCs w:val="24"/>
          <w:lang w:val="en-US"/>
        </w:rPr>
        <w:t xml:space="preserve"> here</w:t>
      </w:r>
      <w:r w:rsidRPr="004F6ADF">
        <w:rPr>
          <w:i w:val="0"/>
          <w:iCs/>
          <w:sz w:val="24"/>
          <w:szCs w:val="24"/>
          <w:lang w:val="en-US"/>
        </w:rPr>
        <w:t xml:space="preserve">. </w:t>
      </w:r>
      <w:r w:rsidR="00A423C1" w:rsidRPr="004F6ADF">
        <w:rPr>
          <w:i w:val="0"/>
          <w:iCs/>
          <w:sz w:val="24"/>
          <w:szCs w:val="24"/>
          <w:lang w:val="en-US"/>
        </w:rPr>
        <w:t>However</w:t>
      </w:r>
      <w:r w:rsidRPr="004F6ADF">
        <w:rPr>
          <w:i w:val="0"/>
          <w:iCs/>
          <w:sz w:val="24"/>
          <w:szCs w:val="24"/>
          <w:lang w:val="en-US"/>
        </w:rPr>
        <w:t>, a secular politician is better when he has faith in Go</w:t>
      </w:r>
      <w:r w:rsidR="00735198" w:rsidRPr="004F6ADF">
        <w:rPr>
          <w:i w:val="0"/>
          <w:iCs/>
          <w:sz w:val="24"/>
          <w:szCs w:val="24"/>
          <w:lang w:val="en-US"/>
        </w:rPr>
        <w:t>d</w:t>
      </w:r>
      <w:r w:rsidR="00C02AF5">
        <w:rPr>
          <w:i w:val="0"/>
          <w:iCs/>
          <w:sz w:val="24"/>
          <w:szCs w:val="24"/>
          <w:lang w:val="en-US"/>
        </w:rPr>
        <w:t>. God is not a stranger to politics; in fact, He governs the political world.</w:t>
      </w:r>
    </w:p>
    <w:p w:rsidR="00C02AF5" w:rsidRPr="004F6ADF" w:rsidRDefault="00C02AF5" w:rsidP="00C02AF5">
      <w:pPr>
        <w:jc w:val="both"/>
        <w:rPr>
          <w:i w:val="0"/>
          <w:iCs/>
          <w:sz w:val="24"/>
          <w:szCs w:val="24"/>
          <w:lang w:val="en-US"/>
        </w:rPr>
      </w:pPr>
    </w:p>
    <w:p w:rsidR="00A13B3D" w:rsidRDefault="00A13B3D" w:rsidP="00C02AF5">
      <w:pPr>
        <w:jc w:val="both"/>
        <w:rPr>
          <w:i w:val="0"/>
          <w:iCs/>
          <w:sz w:val="24"/>
          <w:szCs w:val="24"/>
          <w:lang w:val="en-US"/>
        </w:rPr>
      </w:pPr>
      <w:r w:rsidRPr="004F6ADF">
        <w:rPr>
          <w:i w:val="0"/>
          <w:iCs/>
          <w:sz w:val="24"/>
          <w:szCs w:val="24"/>
          <w:lang w:val="en-US"/>
        </w:rPr>
        <w:t>The queries with this regard don’t end here</w:t>
      </w:r>
      <w:r w:rsidR="00C02AF5">
        <w:rPr>
          <w:i w:val="0"/>
          <w:iCs/>
          <w:sz w:val="24"/>
          <w:szCs w:val="24"/>
          <w:lang w:val="en-US"/>
        </w:rPr>
        <w:t xml:space="preserve">; there is much to be reflected. </w:t>
      </w:r>
      <w:r w:rsidRPr="004F6ADF">
        <w:rPr>
          <w:i w:val="0"/>
          <w:iCs/>
          <w:sz w:val="24"/>
          <w:szCs w:val="24"/>
          <w:lang w:val="en-US"/>
        </w:rPr>
        <w:t>However, it should certainly be a challenge to understand that there is also a way in which God relates to the world</w:t>
      </w:r>
      <w:r w:rsidR="00C02AF5">
        <w:rPr>
          <w:i w:val="0"/>
          <w:iCs/>
          <w:sz w:val="24"/>
          <w:szCs w:val="24"/>
          <w:lang w:val="en-US"/>
        </w:rPr>
        <w:t xml:space="preserve"> even if the world is un</w:t>
      </w:r>
      <w:r w:rsidRPr="004F6ADF">
        <w:rPr>
          <w:i w:val="0"/>
          <w:iCs/>
          <w:sz w:val="24"/>
          <w:szCs w:val="24"/>
          <w:lang w:val="en-US"/>
        </w:rPr>
        <w:t>aware of Him; perhaps, that shows us the secular face of God.</w:t>
      </w:r>
    </w:p>
    <w:p w:rsidR="00DC6977" w:rsidRDefault="00DC6977" w:rsidP="00A13B3D">
      <w:pPr>
        <w:jc w:val="both"/>
        <w:rPr>
          <w:i w:val="0"/>
          <w:iCs/>
          <w:sz w:val="24"/>
          <w:szCs w:val="24"/>
          <w:lang w:val="en-US"/>
        </w:rPr>
      </w:pPr>
    </w:p>
    <w:p w:rsidR="00DC6977" w:rsidRDefault="00DC6977" w:rsidP="00A13B3D">
      <w:pPr>
        <w:jc w:val="both"/>
        <w:rPr>
          <w:i w:val="0"/>
          <w:iCs/>
          <w:sz w:val="24"/>
          <w:szCs w:val="24"/>
          <w:lang w:val="en-US"/>
        </w:rPr>
      </w:pPr>
    </w:p>
    <w:p w:rsidR="00DC6977" w:rsidRDefault="00DC6977" w:rsidP="00DC6977">
      <w:pPr>
        <w:jc w:val="left"/>
        <w:rPr>
          <w:b/>
          <w:bCs/>
          <w:sz w:val="24"/>
          <w:szCs w:val="24"/>
          <w:lang w:val="en-US"/>
        </w:rPr>
      </w:pPr>
      <w:r w:rsidRPr="00DC6977">
        <w:rPr>
          <w:b/>
          <w:bCs/>
          <w:sz w:val="24"/>
          <w:szCs w:val="24"/>
          <w:lang w:val="en-US"/>
        </w:rPr>
        <w:t>References</w:t>
      </w:r>
    </w:p>
    <w:p w:rsidR="00DC6977" w:rsidRPr="00043E84" w:rsidRDefault="00DC6977" w:rsidP="00043E84">
      <w:pPr>
        <w:ind w:left="360" w:hanging="360"/>
        <w:jc w:val="left"/>
        <w:rPr>
          <w:i w:val="0"/>
          <w:iCs/>
          <w:szCs w:val="22"/>
          <w:lang w:val="en-US"/>
        </w:rPr>
      </w:pPr>
      <w:r w:rsidRPr="00043E84">
        <w:rPr>
          <w:i w:val="0"/>
          <w:iCs/>
          <w:szCs w:val="22"/>
          <w:lang w:val="en-US"/>
        </w:rPr>
        <w:t xml:space="preserve">Backhouse, Stephen. </w:t>
      </w:r>
      <w:proofErr w:type="gramStart"/>
      <w:r w:rsidRPr="00043E84">
        <w:rPr>
          <w:szCs w:val="22"/>
          <w:lang w:val="en-US"/>
        </w:rPr>
        <w:t>Kierkegaard’s Critique of Christian Nationalism</w:t>
      </w:r>
      <w:r w:rsidRPr="00043E84">
        <w:rPr>
          <w:i w:val="0"/>
          <w:iCs/>
          <w:szCs w:val="22"/>
          <w:lang w:val="en-US"/>
        </w:rPr>
        <w:t>, Oxford University Press, 2011.</w:t>
      </w:r>
      <w:proofErr w:type="gramEnd"/>
    </w:p>
    <w:p w:rsidR="00DC6977" w:rsidRPr="00043E84" w:rsidRDefault="00DC6977" w:rsidP="00043E84">
      <w:pPr>
        <w:ind w:left="360" w:hanging="360"/>
        <w:jc w:val="left"/>
        <w:rPr>
          <w:i w:val="0"/>
          <w:iCs/>
          <w:szCs w:val="22"/>
          <w:lang w:val="en-US"/>
        </w:rPr>
      </w:pPr>
      <w:proofErr w:type="gramStart"/>
      <w:r w:rsidRPr="00043E84">
        <w:rPr>
          <w:i w:val="0"/>
          <w:iCs/>
          <w:szCs w:val="22"/>
          <w:lang w:val="en-US"/>
        </w:rPr>
        <w:t>Cox, Harvey.</w:t>
      </w:r>
      <w:proofErr w:type="gramEnd"/>
      <w:r w:rsidRPr="00043E84">
        <w:rPr>
          <w:i w:val="0"/>
          <w:iCs/>
          <w:szCs w:val="22"/>
          <w:lang w:val="en-US"/>
        </w:rPr>
        <w:t xml:space="preserve"> </w:t>
      </w:r>
      <w:r w:rsidRPr="00043E84">
        <w:rPr>
          <w:szCs w:val="22"/>
          <w:lang w:val="en-US"/>
        </w:rPr>
        <w:t>The Secular City,</w:t>
      </w:r>
      <w:r w:rsidRPr="00043E84">
        <w:rPr>
          <w:i w:val="0"/>
          <w:iCs/>
          <w:szCs w:val="22"/>
          <w:lang w:val="en-US"/>
        </w:rPr>
        <w:t xml:space="preserve"> New York: Macmillan Pub. Co. Inc., 1975.</w:t>
      </w:r>
    </w:p>
    <w:p w:rsidR="00DC6977" w:rsidRPr="00043E84" w:rsidRDefault="00DC6977" w:rsidP="00043E84">
      <w:pPr>
        <w:ind w:left="360" w:hanging="360"/>
        <w:jc w:val="left"/>
        <w:rPr>
          <w:i w:val="0"/>
          <w:iCs/>
          <w:szCs w:val="22"/>
          <w:lang w:val="en-US"/>
        </w:rPr>
      </w:pPr>
      <w:r w:rsidRPr="00043E84">
        <w:rPr>
          <w:i w:val="0"/>
          <w:iCs/>
          <w:szCs w:val="22"/>
          <w:lang w:val="en-US"/>
        </w:rPr>
        <w:t xml:space="preserve">Marbaniang, Domenic. </w:t>
      </w:r>
      <w:r w:rsidRPr="00043E84">
        <w:rPr>
          <w:szCs w:val="22"/>
          <w:lang w:val="en-US"/>
        </w:rPr>
        <w:t>Secularism in India: A Historical Analysis,</w:t>
      </w:r>
      <w:r w:rsidRPr="00043E84">
        <w:rPr>
          <w:i w:val="0"/>
          <w:iCs/>
          <w:szCs w:val="22"/>
          <w:lang w:val="en-US"/>
        </w:rPr>
        <w:t xml:space="preserve"> Lulu, 2011.</w:t>
      </w:r>
    </w:p>
    <w:p w:rsidR="00DC6977" w:rsidRPr="00043E84" w:rsidRDefault="00DC6977" w:rsidP="00043E84">
      <w:pPr>
        <w:ind w:left="360" w:hanging="360"/>
        <w:jc w:val="left"/>
        <w:rPr>
          <w:i w:val="0"/>
          <w:iCs/>
          <w:szCs w:val="22"/>
          <w:lang w:val="en-US"/>
        </w:rPr>
      </w:pPr>
      <w:r w:rsidRPr="00043E84">
        <w:rPr>
          <w:i w:val="0"/>
          <w:iCs/>
          <w:szCs w:val="22"/>
          <w:lang w:val="en-US"/>
        </w:rPr>
        <w:t>Nehru, Jawaharlal</w:t>
      </w:r>
      <w:r w:rsidRPr="00043E84">
        <w:rPr>
          <w:szCs w:val="22"/>
          <w:lang w:val="en-US"/>
        </w:rPr>
        <w:t>. Glimpses of World History</w:t>
      </w:r>
      <w:r w:rsidRPr="00043E84">
        <w:rPr>
          <w:i w:val="0"/>
          <w:iCs/>
          <w:szCs w:val="22"/>
          <w:lang w:val="en-US"/>
        </w:rPr>
        <w:t>, NY: The John Day Company, 1960.</w:t>
      </w:r>
    </w:p>
    <w:p w:rsidR="00DC6977" w:rsidRPr="00043E84" w:rsidRDefault="00DC6977" w:rsidP="00043E84">
      <w:pPr>
        <w:ind w:left="360" w:hanging="360"/>
        <w:jc w:val="left"/>
        <w:rPr>
          <w:i w:val="0"/>
          <w:iCs/>
          <w:szCs w:val="22"/>
          <w:lang w:val="en-US"/>
        </w:rPr>
      </w:pPr>
      <w:proofErr w:type="spellStart"/>
      <w:r w:rsidRPr="00043E84">
        <w:rPr>
          <w:i w:val="0"/>
          <w:iCs/>
          <w:szCs w:val="22"/>
          <w:lang w:val="en-US"/>
        </w:rPr>
        <w:t>Savarkar</w:t>
      </w:r>
      <w:proofErr w:type="spellEnd"/>
      <w:r w:rsidRPr="00043E84">
        <w:rPr>
          <w:i w:val="0"/>
          <w:iCs/>
          <w:szCs w:val="22"/>
          <w:lang w:val="en-US"/>
        </w:rPr>
        <w:t xml:space="preserve">, S.S. for V.D. </w:t>
      </w:r>
      <w:proofErr w:type="spellStart"/>
      <w:r w:rsidRPr="00043E84">
        <w:rPr>
          <w:i w:val="0"/>
          <w:iCs/>
          <w:szCs w:val="22"/>
          <w:lang w:val="en-US"/>
        </w:rPr>
        <w:t>Savarkar</w:t>
      </w:r>
      <w:proofErr w:type="spellEnd"/>
      <w:r w:rsidRPr="00043E84">
        <w:rPr>
          <w:i w:val="0"/>
          <w:iCs/>
          <w:szCs w:val="22"/>
          <w:lang w:val="en-US"/>
        </w:rPr>
        <w:t xml:space="preserve">, “Glad to Note that Independent Jewish State is </w:t>
      </w:r>
      <w:proofErr w:type="gramStart"/>
      <w:r w:rsidRPr="00043E84">
        <w:rPr>
          <w:i w:val="0"/>
          <w:iCs/>
          <w:szCs w:val="22"/>
          <w:lang w:val="en-US"/>
        </w:rPr>
        <w:t>Established</w:t>
      </w:r>
      <w:proofErr w:type="gramEnd"/>
      <w:r w:rsidRPr="00043E84">
        <w:rPr>
          <w:i w:val="0"/>
          <w:iCs/>
          <w:szCs w:val="22"/>
          <w:lang w:val="en-US"/>
        </w:rPr>
        <w:t xml:space="preserve">”, </w:t>
      </w:r>
      <w:r w:rsidRPr="00043E84">
        <w:rPr>
          <w:szCs w:val="22"/>
          <w:lang w:val="en-US"/>
        </w:rPr>
        <w:t xml:space="preserve">Historic Statements by </w:t>
      </w:r>
      <w:proofErr w:type="spellStart"/>
      <w:r w:rsidRPr="00043E84">
        <w:rPr>
          <w:szCs w:val="22"/>
          <w:lang w:val="en-US"/>
        </w:rPr>
        <w:t>Savarkar</w:t>
      </w:r>
      <w:proofErr w:type="spellEnd"/>
      <w:r w:rsidRPr="00043E84">
        <w:rPr>
          <w:i w:val="0"/>
          <w:iCs/>
          <w:szCs w:val="22"/>
          <w:lang w:val="en-US"/>
        </w:rPr>
        <w:t xml:space="preserve">, Bombay: G.P. </w:t>
      </w:r>
      <w:proofErr w:type="spellStart"/>
      <w:r w:rsidRPr="00043E84">
        <w:rPr>
          <w:i w:val="0"/>
          <w:iCs/>
          <w:szCs w:val="22"/>
          <w:lang w:val="en-US"/>
        </w:rPr>
        <w:t>Parchure</w:t>
      </w:r>
      <w:proofErr w:type="spellEnd"/>
      <w:r w:rsidRPr="00043E84">
        <w:rPr>
          <w:i w:val="0"/>
          <w:iCs/>
          <w:szCs w:val="22"/>
          <w:lang w:val="en-US"/>
        </w:rPr>
        <w:t>, 1967.</w:t>
      </w:r>
    </w:p>
    <w:p w:rsidR="00DC6977" w:rsidRPr="00043E84" w:rsidRDefault="00DC6977" w:rsidP="00043E84">
      <w:pPr>
        <w:ind w:left="360" w:hanging="360"/>
        <w:jc w:val="left"/>
        <w:rPr>
          <w:i w:val="0"/>
          <w:iCs/>
          <w:szCs w:val="22"/>
          <w:lang w:val="en-US"/>
        </w:rPr>
      </w:pPr>
      <w:r w:rsidRPr="00043E84">
        <w:rPr>
          <w:i w:val="0"/>
          <w:iCs/>
          <w:szCs w:val="22"/>
          <w:lang w:val="en-US"/>
        </w:rPr>
        <w:t>Spector, Step</w:t>
      </w:r>
      <w:bookmarkStart w:id="0" w:name="_GoBack"/>
      <w:bookmarkEnd w:id="0"/>
      <w:r w:rsidRPr="00043E84">
        <w:rPr>
          <w:i w:val="0"/>
          <w:iCs/>
          <w:szCs w:val="22"/>
          <w:lang w:val="en-US"/>
        </w:rPr>
        <w:t xml:space="preserve">hen. </w:t>
      </w:r>
      <w:r w:rsidRPr="00043E84">
        <w:rPr>
          <w:szCs w:val="22"/>
          <w:lang w:val="en-US"/>
        </w:rPr>
        <w:t xml:space="preserve">Evangelicals and Israel: The Story of American Christian Zionism, </w:t>
      </w:r>
      <w:r w:rsidRPr="00043E84">
        <w:rPr>
          <w:i w:val="0"/>
          <w:iCs/>
          <w:szCs w:val="22"/>
          <w:lang w:val="en-US"/>
        </w:rPr>
        <w:t>Oxford University Press, 2009.</w:t>
      </w:r>
    </w:p>
    <w:sectPr w:rsidR="00DC6977" w:rsidRPr="00043E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12" w:rsidRDefault="00FB6212" w:rsidP="00E474F4">
      <w:r>
        <w:separator/>
      </w:r>
    </w:p>
  </w:endnote>
  <w:endnote w:type="continuationSeparator" w:id="0">
    <w:p w:rsidR="00FB6212" w:rsidRDefault="00FB6212" w:rsidP="00E4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12" w:rsidRDefault="00FB6212" w:rsidP="00E474F4">
      <w:r>
        <w:separator/>
      </w:r>
    </w:p>
  </w:footnote>
  <w:footnote w:type="continuationSeparator" w:id="0">
    <w:p w:rsidR="00FB6212" w:rsidRDefault="00FB6212" w:rsidP="00E474F4">
      <w:r>
        <w:continuationSeparator/>
      </w:r>
    </w:p>
  </w:footnote>
  <w:footnote w:id="1">
    <w:p w:rsidR="00E474F4" w:rsidRPr="004F6ADF" w:rsidRDefault="00E474F4" w:rsidP="00E474F4">
      <w:pPr>
        <w:pStyle w:val="FootnoteText"/>
        <w:jc w:val="left"/>
        <w:rPr>
          <w:i w:val="0"/>
          <w:iCs/>
          <w:sz w:val="22"/>
          <w:szCs w:val="20"/>
          <w:lang w:val="en-US"/>
        </w:rPr>
      </w:pPr>
      <w:r w:rsidRPr="004F6ADF">
        <w:rPr>
          <w:rStyle w:val="FootnoteReference"/>
          <w:sz w:val="22"/>
          <w:szCs w:val="20"/>
        </w:rPr>
        <w:footnoteRef/>
      </w:r>
      <w:r w:rsidR="006A2358" w:rsidRPr="004F6ADF">
        <w:rPr>
          <w:i w:val="0"/>
          <w:iCs/>
          <w:sz w:val="22"/>
          <w:szCs w:val="20"/>
        </w:rPr>
        <w:t xml:space="preserve"> </w:t>
      </w:r>
      <w:r w:rsidRPr="004F6ADF">
        <w:rPr>
          <w:i w:val="0"/>
          <w:iCs/>
          <w:sz w:val="22"/>
          <w:szCs w:val="20"/>
        </w:rPr>
        <w:t xml:space="preserve">Stephen Backhouse, </w:t>
      </w:r>
      <w:r w:rsidRPr="004F6ADF">
        <w:rPr>
          <w:sz w:val="22"/>
          <w:szCs w:val="20"/>
        </w:rPr>
        <w:t>Kierkegaard’s Critique of Christian Nationalism</w:t>
      </w:r>
      <w:r w:rsidRPr="004F6ADF">
        <w:rPr>
          <w:i w:val="0"/>
          <w:iCs/>
          <w:sz w:val="22"/>
          <w:szCs w:val="20"/>
        </w:rPr>
        <w:t xml:space="preserve"> (Oxford University Press, 2011), </w:t>
      </w:r>
      <w:r w:rsidRPr="004F6ADF">
        <w:rPr>
          <w:sz w:val="22"/>
          <w:szCs w:val="20"/>
        </w:rPr>
        <w:t xml:space="preserve"> </w:t>
      </w:r>
      <w:r w:rsidRPr="004F6ADF">
        <w:rPr>
          <w:i w:val="0"/>
          <w:iCs/>
          <w:sz w:val="22"/>
          <w:szCs w:val="20"/>
          <w:lang w:val="en-US"/>
        </w:rPr>
        <w:t>18</w:t>
      </w:r>
    </w:p>
  </w:footnote>
  <w:footnote w:id="2">
    <w:p w:rsidR="008662C8" w:rsidRPr="004F6ADF" w:rsidRDefault="008662C8" w:rsidP="008662C8">
      <w:pPr>
        <w:pStyle w:val="FootnoteText"/>
        <w:jc w:val="left"/>
        <w:rPr>
          <w:i w:val="0"/>
          <w:iCs/>
          <w:sz w:val="22"/>
          <w:szCs w:val="20"/>
          <w:lang w:val="en-US"/>
        </w:rPr>
      </w:pPr>
      <w:r w:rsidRPr="004F6ADF">
        <w:rPr>
          <w:rStyle w:val="FootnoteReference"/>
          <w:sz w:val="22"/>
          <w:szCs w:val="20"/>
        </w:rPr>
        <w:footnoteRef/>
      </w:r>
      <w:r w:rsidRPr="004F6ADF">
        <w:rPr>
          <w:sz w:val="22"/>
          <w:szCs w:val="20"/>
        </w:rPr>
        <w:t xml:space="preserve"> </w:t>
      </w:r>
      <w:r w:rsidRPr="004F6ADF">
        <w:rPr>
          <w:i w:val="0"/>
          <w:iCs/>
          <w:sz w:val="22"/>
          <w:szCs w:val="20"/>
          <w:lang w:val="en-US"/>
        </w:rPr>
        <w:t xml:space="preserve">Domenic Marbaniang, </w:t>
      </w:r>
      <w:r w:rsidRPr="004F6ADF">
        <w:rPr>
          <w:sz w:val="22"/>
          <w:szCs w:val="20"/>
          <w:lang w:val="en-US"/>
        </w:rPr>
        <w:t>Secularism in India: A Historical Analysis</w:t>
      </w:r>
      <w:r w:rsidRPr="004F6ADF">
        <w:rPr>
          <w:i w:val="0"/>
          <w:iCs/>
          <w:sz w:val="22"/>
          <w:szCs w:val="20"/>
          <w:lang w:val="en-US"/>
        </w:rPr>
        <w:t xml:space="preserve"> (Lulu, 2011), 22</w:t>
      </w:r>
    </w:p>
  </w:footnote>
  <w:footnote w:id="3">
    <w:p w:rsidR="009853DA" w:rsidRPr="004F6ADF" w:rsidRDefault="009853DA" w:rsidP="009853DA">
      <w:pPr>
        <w:pStyle w:val="FootnoteText"/>
        <w:jc w:val="left"/>
        <w:rPr>
          <w:i w:val="0"/>
          <w:iCs/>
          <w:sz w:val="22"/>
          <w:szCs w:val="20"/>
          <w:lang w:val="en-US"/>
        </w:rPr>
      </w:pPr>
      <w:r w:rsidRPr="004F6ADF">
        <w:rPr>
          <w:rStyle w:val="FootnoteReference"/>
          <w:sz w:val="22"/>
          <w:szCs w:val="20"/>
        </w:rPr>
        <w:footnoteRef/>
      </w:r>
      <w:r w:rsidRPr="004F6ADF">
        <w:rPr>
          <w:sz w:val="22"/>
          <w:szCs w:val="20"/>
        </w:rPr>
        <w:t xml:space="preserve"> </w:t>
      </w:r>
      <w:r w:rsidRPr="004F6ADF">
        <w:rPr>
          <w:i w:val="0"/>
          <w:iCs/>
          <w:sz w:val="22"/>
          <w:szCs w:val="20"/>
          <w:lang w:val="en-US"/>
        </w:rPr>
        <w:t xml:space="preserve">“Once-atheist </w:t>
      </w:r>
      <w:proofErr w:type="spellStart"/>
      <w:r w:rsidRPr="004F6ADF">
        <w:rPr>
          <w:i w:val="0"/>
          <w:iCs/>
          <w:sz w:val="22"/>
          <w:szCs w:val="20"/>
          <w:lang w:val="en-US"/>
        </w:rPr>
        <w:t>Arvind</w:t>
      </w:r>
      <w:proofErr w:type="spellEnd"/>
      <w:r w:rsidRPr="004F6ADF">
        <w:rPr>
          <w:i w:val="0"/>
          <w:iCs/>
          <w:sz w:val="22"/>
          <w:szCs w:val="20"/>
          <w:lang w:val="en-US"/>
        </w:rPr>
        <w:t xml:space="preserve"> </w:t>
      </w:r>
      <w:proofErr w:type="spellStart"/>
      <w:r w:rsidRPr="004F6ADF">
        <w:rPr>
          <w:i w:val="0"/>
          <w:iCs/>
          <w:sz w:val="22"/>
          <w:szCs w:val="20"/>
          <w:lang w:val="en-US"/>
        </w:rPr>
        <w:t>Kejriwal</w:t>
      </w:r>
      <w:proofErr w:type="spellEnd"/>
      <w:r w:rsidRPr="004F6ADF">
        <w:rPr>
          <w:i w:val="0"/>
          <w:iCs/>
          <w:sz w:val="22"/>
          <w:szCs w:val="20"/>
          <w:lang w:val="en-US"/>
        </w:rPr>
        <w:t xml:space="preserve"> thanks God, calls it miracle”, </w:t>
      </w:r>
      <w:r w:rsidR="00506D4B" w:rsidRPr="004F6ADF">
        <w:rPr>
          <w:sz w:val="22"/>
          <w:szCs w:val="20"/>
          <w:lang w:val="en-US"/>
        </w:rPr>
        <w:t xml:space="preserve">Times of India, </w:t>
      </w:r>
      <w:r w:rsidRPr="004F6ADF">
        <w:rPr>
          <w:i w:val="0"/>
          <w:iCs/>
          <w:sz w:val="22"/>
          <w:szCs w:val="20"/>
          <w:lang w:val="en-US"/>
        </w:rPr>
        <w:t>Dec 28, 2013, 02:18 PM IST, timesofindia.indiatimes.com</w:t>
      </w:r>
    </w:p>
  </w:footnote>
  <w:footnote w:id="4">
    <w:p w:rsidR="00506D4B" w:rsidRPr="004F6ADF" w:rsidRDefault="00506D4B" w:rsidP="00506D4B">
      <w:pPr>
        <w:pStyle w:val="FootnoteText"/>
        <w:jc w:val="left"/>
        <w:rPr>
          <w:i w:val="0"/>
          <w:iCs/>
          <w:sz w:val="22"/>
          <w:szCs w:val="20"/>
          <w:lang w:val="en-US"/>
        </w:rPr>
      </w:pPr>
      <w:r w:rsidRPr="004F6ADF">
        <w:rPr>
          <w:rStyle w:val="FootnoteReference"/>
          <w:i w:val="0"/>
          <w:iCs/>
          <w:sz w:val="22"/>
          <w:szCs w:val="20"/>
        </w:rPr>
        <w:footnoteRef/>
      </w:r>
      <w:r w:rsidRPr="004F6ADF">
        <w:rPr>
          <w:i w:val="0"/>
          <w:iCs/>
          <w:sz w:val="22"/>
          <w:szCs w:val="20"/>
        </w:rPr>
        <w:t xml:space="preserve"> “God will protect me, says </w:t>
      </w:r>
      <w:proofErr w:type="spellStart"/>
      <w:r w:rsidRPr="004F6ADF">
        <w:rPr>
          <w:i w:val="0"/>
          <w:iCs/>
          <w:sz w:val="22"/>
          <w:szCs w:val="20"/>
        </w:rPr>
        <w:t>Arvind</w:t>
      </w:r>
      <w:proofErr w:type="spellEnd"/>
      <w:r w:rsidRPr="004F6ADF">
        <w:rPr>
          <w:i w:val="0"/>
          <w:iCs/>
          <w:sz w:val="22"/>
          <w:szCs w:val="20"/>
        </w:rPr>
        <w:t xml:space="preserve"> </w:t>
      </w:r>
      <w:proofErr w:type="spellStart"/>
      <w:r w:rsidRPr="004F6ADF">
        <w:rPr>
          <w:i w:val="0"/>
          <w:iCs/>
          <w:sz w:val="22"/>
          <w:szCs w:val="20"/>
        </w:rPr>
        <w:t>Kejriwal</w:t>
      </w:r>
      <w:proofErr w:type="spellEnd"/>
      <w:r w:rsidRPr="004F6ADF">
        <w:rPr>
          <w:i w:val="0"/>
          <w:iCs/>
          <w:sz w:val="22"/>
          <w:szCs w:val="20"/>
        </w:rPr>
        <w:t xml:space="preserve"> as he refuses security”, </w:t>
      </w:r>
      <w:r w:rsidRPr="004F6ADF">
        <w:rPr>
          <w:sz w:val="22"/>
          <w:szCs w:val="20"/>
        </w:rPr>
        <w:t>NDTV</w:t>
      </w:r>
      <w:r w:rsidRPr="004F6ADF">
        <w:rPr>
          <w:i w:val="0"/>
          <w:iCs/>
          <w:sz w:val="22"/>
          <w:szCs w:val="20"/>
        </w:rPr>
        <w:t>, December 23, 2013 23:57 IST, ndtv.com</w:t>
      </w:r>
    </w:p>
  </w:footnote>
  <w:footnote w:id="5">
    <w:p w:rsidR="0003657C" w:rsidRPr="004F6ADF" w:rsidRDefault="0003657C" w:rsidP="001948AB">
      <w:pPr>
        <w:pStyle w:val="FootnoteText"/>
        <w:jc w:val="both"/>
        <w:rPr>
          <w:i w:val="0"/>
          <w:iCs/>
          <w:sz w:val="22"/>
          <w:szCs w:val="20"/>
          <w:lang w:val="en-US"/>
        </w:rPr>
      </w:pPr>
      <w:r w:rsidRPr="004F6ADF">
        <w:rPr>
          <w:rStyle w:val="FootnoteReference"/>
          <w:sz w:val="22"/>
          <w:szCs w:val="20"/>
        </w:rPr>
        <w:footnoteRef/>
      </w:r>
      <w:r w:rsidRPr="004F6ADF">
        <w:rPr>
          <w:sz w:val="22"/>
          <w:szCs w:val="20"/>
        </w:rPr>
        <w:t xml:space="preserve"> </w:t>
      </w:r>
      <w:r w:rsidRPr="004F6ADF">
        <w:rPr>
          <w:i w:val="0"/>
          <w:iCs/>
          <w:sz w:val="22"/>
          <w:szCs w:val="20"/>
          <w:lang w:val="en-US"/>
        </w:rPr>
        <w:t xml:space="preserve">Stephen Spector, </w:t>
      </w:r>
      <w:r w:rsidRPr="004F6ADF">
        <w:rPr>
          <w:sz w:val="22"/>
          <w:szCs w:val="20"/>
          <w:lang w:val="en-US"/>
        </w:rPr>
        <w:t>Evangelicals and Israel: The Story of American Christian Zionism</w:t>
      </w:r>
      <w:r w:rsidRPr="004F6ADF">
        <w:rPr>
          <w:i w:val="0"/>
          <w:iCs/>
          <w:sz w:val="22"/>
          <w:szCs w:val="20"/>
          <w:lang w:val="en-US"/>
        </w:rPr>
        <w:t xml:space="preserve"> (</w:t>
      </w:r>
      <w:r w:rsidR="001948AB" w:rsidRPr="004F6ADF">
        <w:rPr>
          <w:i w:val="0"/>
          <w:iCs/>
          <w:sz w:val="22"/>
          <w:szCs w:val="20"/>
          <w:lang w:val="en-US"/>
        </w:rPr>
        <w:t>Oxford University Press, 2009), 23-35</w:t>
      </w:r>
    </w:p>
  </w:footnote>
  <w:footnote w:id="6">
    <w:p w:rsidR="00390AC1" w:rsidRPr="004F6ADF" w:rsidRDefault="00390AC1" w:rsidP="00390AC1">
      <w:pPr>
        <w:pStyle w:val="FootnoteText"/>
        <w:jc w:val="left"/>
        <w:rPr>
          <w:i w:val="0"/>
          <w:iCs/>
          <w:sz w:val="22"/>
          <w:szCs w:val="20"/>
          <w:lang w:val="en-US"/>
        </w:rPr>
      </w:pPr>
      <w:r w:rsidRPr="004F6ADF">
        <w:rPr>
          <w:rStyle w:val="FootnoteReference"/>
          <w:sz w:val="22"/>
          <w:szCs w:val="20"/>
        </w:rPr>
        <w:footnoteRef/>
      </w:r>
      <w:r w:rsidRPr="004F6ADF">
        <w:rPr>
          <w:sz w:val="22"/>
          <w:szCs w:val="20"/>
        </w:rPr>
        <w:t xml:space="preserve"> </w:t>
      </w:r>
      <w:r w:rsidRPr="004F6ADF">
        <w:rPr>
          <w:i w:val="0"/>
          <w:iCs/>
          <w:sz w:val="22"/>
          <w:szCs w:val="20"/>
          <w:lang w:val="en-US"/>
        </w:rPr>
        <w:t xml:space="preserve">As cited by Stephen Spector, </w:t>
      </w:r>
      <w:r w:rsidRPr="004F6ADF">
        <w:rPr>
          <w:sz w:val="22"/>
          <w:szCs w:val="20"/>
          <w:lang w:val="en-US"/>
        </w:rPr>
        <w:t>Evangelicals and Israel,</w:t>
      </w:r>
      <w:r w:rsidRPr="004F6ADF">
        <w:rPr>
          <w:i w:val="0"/>
          <w:iCs/>
          <w:sz w:val="22"/>
          <w:szCs w:val="20"/>
          <w:lang w:val="en-US"/>
        </w:rPr>
        <w:t xml:space="preserve"> 23</w:t>
      </w:r>
    </w:p>
  </w:footnote>
  <w:footnote w:id="7">
    <w:p w:rsidR="00571B65" w:rsidRPr="004F6ADF" w:rsidRDefault="00571B65" w:rsidP="00571B65">
      <w:pPr>
        <w:pStyle w:val="FootnoteText"/>
        <w:jc w:val="left"/>
        <w:rPr>
          <w:sz w:val="22"/>
          <w:szCs w:val="20"/>
          <w:lang w:val="en-US"/>
        </w:rPr>
      </w:pPr>
      <w:r w:rsidRPr="004F6ADF">
        <w:rPr>
          <w:rStyle w:val="FootnoteReference"/>
          <w:sz w:val="22"/>
          <w:szCs w:val="20"/>
        </w:rPr>
        <w:footnoteRef/>
      </w:r>
      <w:r w:rsidRPr="004F6ADF">
        <w:rPr>
          <w:sz w:val="22"/>
          <w:szCs w:val="20"/>
        </w:rPr>
        <w:t xml:space="preserve"> </w:t>
      </w:r>
      <w:r w:rsidRPr="004F6ADF">
        <w:rPr>
          <w:i w:val="0"/>
          <w:iCs/>
          <w:sz w:val="22"/>
          <w:szCs w:val="20"/>
        </w:rPr>
        <w:t xml:space="preserve">S.S. </w:t>
      </w:r>
      <w:proofErr w:type="spellStart"/>
      <w:r w:rsidRPr="004F6ADF">
        <w:rPr>
          <w:i w:val="0"/>
          <w:iCs/>
          <w:sz w:val="22"/>
          <w:szCs w:val="20"/>
        </w:rPr>
        <w:t>Savarkar</w:t>
      </w:r>
      <w:proofErr w:type="spellEnd"/>
      <w:r w:rsidRPr="004F6ADF">
        <w:rPr>
          <w:i w:val="0"/>
          <w:iCs/>
          <w:sz w:val="22"/>
          <w:szCs w:val="20"/>
        </w:rPr>
        <w:t xml:space="preserve"> for V.D. </w:t>
      </w:r>
      <w:proofErr w:type="spellStart"/>
      <w:r w:rsidRPr="004F6ADF">
        <w:rPr>
          <w:i w:val="0"/>
          <w:iCs/>
          <w:sz w:val="22"/>
          <w:szCs w:val="20"/>
        </w:rPr>
        <w:t>Savarkar</w:t>
      </w:r>
      <w:proofErr w:type="spellEnd"/>
      <w:r w:rsidRPr="004F6ADF">
        <w:rPr>
          <w:i w:val="0"/>
          <w:iCs/>
          <w:sz w:val="22"/>
          <w:szCs w:val="20"/>
        </w:rPr>
        <w:t xml:space="preserve">, </w:t>
      </w:r>
      <w:r w:rsidRPr="004F6ADF">
        <w:rPr>
          <w:i w:val="0"/>
          <w:iCs/>
          <w:sz w:val="22"/>
          <w:szCs w:val="20"/>
          <w:lang w:val="en-US"/>
        </w:rPr>
        <w:t xml:space="preserve">“Glad to Note that Independent Jewish State is </w:t>
      </w:r>
      <w:proofErr w:type="gramStart"/>
      <w:r w:rsidRPr="004F6ADF">
        <w:rPr>
          <w:i w:val="0"/>
          <w:iCs/>
          <w:sz w:val="22"/>
          <w:szCs w:val="20"/>
          <w:lang w:val="en-US"/>
        </w:rPr>
        <w:t>Established</w:t>
      </w:r>
      <w:proofErr w:type="gramEnd"/>
      <w:r w:rsidRPr="004F6ADF">
        <w:rPr>
          <w:i w:val="0"/>
          <w:iCs/>
          <w:sz w:val="22"/>
          <w:szCs w:val="20"/>
          <w:lang w:val="en-US"/>
        </w:rPr>
        <w:t xml:space="preserve">”, </w:t>
      </w:r>
      <w:r w:rsidRPr="004F6ADF">
        <w:rPr>
          <w:sz w:val="22"/>
          <w:szCs w:val="20"/>
          <w:lang w:val="en-US"/>
        </w:rPr>
        <w:t xml:space="preserve">Historic Statements by </w:t>
      </w:r>
      <w:proofErr w:type="spellStart"/>
      <w:r w:rsidRPr="004F6ADF">
        <w:rPr>
          <w:sz w:val="22"/>
          <w:szCs w:val="20"/>
          <w:lang w:val="en-US"/>
        </w:rPr>
        <w:t>Savarkar</w:t>
      </w:r>
      <w:proofErr w:type="spellEnd"/>
      <w:r w:rsidRPr="004F6ADF">
        <w:rPr>
          <w:sz w:val="22"/>
          <w:szCs w:val="20"/>
          <w:lang w:val="en-US"/>
        </w:rPr>
        <w:t xml:space="preserve"> </w:t>
      </w:r>
      <w:r w:rsidRPr="004F6ADF">
        <w:rPr>
          <w:i w:val="0"/>
          <w:iCs/>
          <w:sz w:val="22"/>
          <w:szCs w:val="20"/>
          <w:lang w:val="en-US"/>
        </w:rPr>
        <w:t xml:space="preserve">(Bombay: G.P. </w:t>
      </w:r>
      <w:proofErr w:type="spellStart"/>
      <w:r w:rsidRPr="004F6ADF">
        <w:rPr>
          <w:i w:val="0"/>
          <w:iCs/>
          <w:sz w:val="22"/>
          <w:szCs w:val="20"/>
          <w:lang w:val="en-US"/>
        </w:rPr>
        <w:t>Parchure</w:t>
      </w:r>
      <w:proofErr w:type="spellEnd"/>
      <w:r w:rsidRPr="004F6ADF">
        <w:rPr>
          <w:i w:val="0"/>
          <w:iCs/>
          <w:sz w:val="22"/>
          <w:szCs w:val="20"/>
          <w:lang w:val="en-US"/>
        </w:rPr>
        <w:t xml:space="preserve">, 1967), 135. Savarkar.org </w:t>
      </w:r>
    </w:p>
  </w:footnote>
  <w:footnote w:id="8">
    <w:p w:rsidR="00FF432A" w:rsidRPr="004F6ADF" w:rsidRDefault="00FF432A" w:rsidP="00FF432A">
      <w:pPr>
        <w:pStyle w:val="FootnoteText"/>
        <w:jc w:val="left"/>
        <w:rPr>
          <w:i w:val="0"/>
          <w:iCs/>
          <w:sz w:val="22"/>
          <w:szCs w:val="20"/>
          <w:lang w:val="en-US"/>
        </w:rPr>
      </w:pPr>
      <w:r w:rsidRPr="004F6ADF">
        <w:rPr>
          <w:rStyle w:val="FootnoteReference"/>
          <w:sz w:val="22"/>
          <w:szCs w:val="20"/>
        </w:rPr>
        <w:footnoteRef/>
      </w:r>
      <w:r w:rsidRPr="004F6ADF">
        <w:rPr>
          <w:sz w:val="22"/>
          <w:szCs w:val="20"/>
        </w:rPr>
        <w:t xml:space="preserve"> </w:t>
      </w:r>
      <w:proofErr w:type="spellStart"/>
      <w:r w:rsidRPr="004F6ADF">
        <w:rPr>
          <w:i w:val="0"/>
          <w:iCs/>
          <w:sz w:val="22"/>
          <w:szCs w:val="20"/>
          <w:lang w:val="en-US"/>
        </w:rPr>
        <w:t>Savarkar</w:t>
      </w:r>
      <w:proofErr w:type="spellEnd"/>
      <w:r w:rsidRPr="004F6ADF">
        <w:rPr>
          <w:i w:val="0"/>
          <w:iCs/>
          <w:sz w:val="22"/>
          <w:szCs w:val="20"/>
          <w:lang w:val="en-US"/>
        </w:rPr>
        <w:t xml:space="preserve">, </w:t>
      </w:r>
      <w:r w:rsidRPr="004F6ADF">
        <w:rPr>
          <w:sz w:val="22"/>
          <w:szCs w:val="20"/>
          <w:lang w:val="en-US"/>
        </w:rPr>
        <w:t>Historic Statements</w:t>
      </w:r>
      <w:r w:rsidRPr="004F6ADF">
        <w:rPr>
          <w:i w:val="0"/>
          <w:iCs/>
          <w:sz w:val="22"/>
          <w:szCs w:val="20"/>
          <w:lang w:val="en-US"/>
        </w:rPr>
        <w:t>, 136</w:t>
      </w:r>
    </w:p>
  </w:footnote>
  <w:footnote w:id="9">
    <w:p w:rsidR="00D20651" w:rsidRPr="004F6ADF" w:rsidRDefault="00D20651" w:rsidP="00763258">
      <w:pPr>
        <w:pStyle w:val="FootnoteText"/>
        <w:jc w:val="left"/>
        <w:rPr>
          <w:i w:val="0"/>
          <w:iCs/>
          <w:sz w:val="22"/>
          <w:szCs w:val="20"/>
          <w:lang w:val="en-US"/>
        </w:rPr>
      </w:pPr>
      <w:r w:rsidRPr="004F6ADF">
        <w:rPr>
          <w:rStyle w:val="FootnoteReference"/>
          <w:sz w:val="22"/>
          <w:szCs w:val="20"/>
        </w:rPr>
        <w:footnoteRef/>
      </w:r>
      <w:r w:rsidRPr="004F6ADF">
        <w:rPr>
          <w:sz w:val="22"/>
          <w:szCs w:val="20"/>
        </w:rPr>
        <w:t xml:space="preserve"> </w:t>
      </w:r>
      <w:r w:rsidRPr="004F6ADF">
        <w:rPr>
          <w:i w:val="0"/>
          <w:iCs/>
          <w:sz w:val="22"/>
          <w:szCs w:val="20"/>
          <w:lang w:val="en-US"/>
        </w:rPr>
        <w:t xml:space="preserve">Jawaharlal Nehru, </w:t>
      </w:r>
      <w:r w:rsidRPr="004F6ADF">
        <w:rPr>
          <w:sz w:val="22"/>
          <w:szCs w:val="20"/>
          <w:lang w:val="en-US"/>
        </w:rPr>
        <w:t xml:space="preserve">Glimpses of World History </w:t>
      </w:r>
      <w:r w:rsidRPr="004F6ADF">
        <w:rPr>
          <w:i w:val="0"/>
          <w:iCs/>
          <w:sz w:val="22"/>
          <w:szCs w:val="20"/>
          <w:lang w:val="en-US"/>
        </w:rPr>
        <w:t>(NY: The John Day Company, 1960), 262</w:t>
      </w:r>
    </w:p>
  </w:footnote>
  <w:footnote w:id="10">
    <w:p w:rsidR="00573C06" w:rsidRPr="004F6ADF" w:rsidRDefault="00573C06" w:rsidP="00573C06">
      <w:pPr>
        <w:pStyle w:val="FootnoteText"/>
        <w:jc w:val="left"/>
        <w:rPr>
          <w:i w:val="0"/>
          <w:iCs/>
          <w:sz w:val="22"/>
          <w:szCs w:val="20"/>
          <w:lang w:val="en-US"/>
        </w:rPr>
      </w:pPr>
      <w:r w:rsidRPr="004F6ADF">
        <w:rPr>
          <w:rStyle w:val="FootnoteReference"/>
          <w:i w:val="0"/>
          <w:iCs/>
          <w:sz w:val="22"/>
          <w:szCs w:val="20"/>
        </w:rPr>
        <w:footnoteRef/>
      </w:r>
      <w:r w:rsidRPr="004F6ADF">
        <w:rPr>
          <w:i w:val="0"/>
          <w:iCs/>
          <w:sz w:val="22"/>
          <w:szCs w:val="20"/>
        </w:rPr>
        <w:t xml:space="preserve"> Harvey Cox, </w:t>
      </w:r>
      <w:r w:rsidRPr="004F6ADF">
        <w:rPr>
          <w:sz w:val="22"/>
          <w:szCs w:val="20"/>
        </w:rPr>
        <w:t>The Secular City</w:t>
      </w:r>
      <w:r w:rsidRPr="004F6ADF">
        <w:rPr>
          <w:i w:val="0"/>
          <w:iCs/>
          <w:sz w:val="22"/>
          <w:szCs w:val="20"/>
        </w:rPr>
        <w:t xml:space="preserve"> (New York: Macmillan Pub. Co. Inc., 1975), Cover Page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2"/>
    <w:rsid w:val="00027EAB"/>
    <w:rsid w:val="00035BDB"/>
    <w:rsid w:val="0003657C"/>
    <w:rsid w:val="00043E84"/>
    <w:rsid w:val="00046BB4"/>
    <w:rsid w:val="00056788"/>
    <w:rsid w:val="000668B9"/>
    <w:rsid w:val="00073101"/>
    <w:rsid w:val="00087F0A"/>
    <w:rsid w:val="00091468"/>
    <w:rsid w:val="000B45C8"/>
    <w:rsid w:val="000C0490"/>
    <w:rsid w:val="000C6ACE"/>
    <w:rsid w:val="000F1FD9"/>
    <w:rsid w:val="001139FF"/>
    <w:rsid w:val="00113D7B"/>
    <w:rsid w:val="00132778"/>
    <w:rsid w:val="001444A0"/>
    <w:rsid w:val="001948AB"/>
    <w:rsid w:val="0019698A"/>
    <w:rsid w:val="001C2C31"/>
    <w:rsid w:val="001C5099"/>
    <w:rsid w:val="00223CDF"/>
    <w:rsid w:val="00232457"/>
    <w:rsid w:val="00252FBE"/>
    <w:rsid w:val="0026115D"/>
    <w:rsid w:val="00287FDA"/>
    <w:rsid w:val="002A7027"/>
    <w:rsid w:val="002B2076"/>
    <w:rsid w:val="002B4417"/>
    <w:rsid w:val="002C3EE1"/>
    <w:rsid w:val="002F5430"/>
    <w:rsid w:val="00300B94"/>
    <w:rsid w:val="00303683"/>
    <w:rsid w:val="0033032A"/>
    <w:rsid w:val="00334444"/>
    <w:rsid w:val="00336F05"/>
    <w:rsid w:val="00337E54"/>
    <w:rsid w:val="00342C7B"/>
    <w:rsid w:val="003467B5"/>
    <w:rsid w:val="00390AC1"/>
    <w:rsid w:val="0039612D"/>
    <w:rsid w:val="003A1246"/>
    <w:rsid w:val="003C5E61"/>
    <w:rsid w:val="003D21E0"/>
    <w:rsid w:val="003D223A"/>
    <w:rsid w:val="004017C2"/>
    <w:rsid w:val="0041454A"/>
    <w:rsid w:val="00416931"/>
    <w:rsid w:val="00453079"/>
    <w:rsid w:val="004643D4"/>
    <w:rsid w:val="004874A7"/>
    <w:rsid w:val="004A79C3"/>
    <w:rsid w:val="004D11A3"/>
    <w:rsid w:val="004D43B2"/>
    <w:rsid w:val="004F6ADF"/>
    <w:rsid w:val="00506D4B"/>
    <w:rsid w:val="00527E6C"/>
    <w:rsid w:val="00544495"/>
    <w:rsid w:val="00556FFD"/>
    <w:rsid w:val="00571B65"/>
    <w:rsid w:val="00573C06"/>
    <w:rsid w:val="005867D7"/>
    <w:rsid w:val="005C1736"/>
    <w:rsid w:val="005D2D5A"/>
    <w:rsid w:val="005F3090"/>
    <w:rsid w:val="00625491"/>
    <w:rsid w:val="0065220E"/>
    <w:rsid w:val="00665C11"/>
    <w:rsid w:val="00674E03"/>
    <w:rsid w:val="006833AB"/>
    <w:rsid w:val="006865F6"/>
    <w:rsid w:val="006A2358"/>
    <w:rsid w:val="006A7010"/>
    <w:rsid w:val="006C2504"/>
    <w:rsid w:val="006E353E"/>
    <w:rsid w:val="006E5663"/>
    <w:rsid w:val="00710C67"/>
    <w:rsid w:val="00713399"/>
    <w:rsid w:val="00713B87"/>
    <w:rsid w:val="00735198"/>
    <w:rsid w:val="00737483"/>
    <w:rsid w:val="007470AF"/>
    <w:rsid w:val="00752899"/>
    <w:rsid w:val="00763258"/>
    <w:rsid w:val="00771785"/>
    <w:rsid w:val="00785E95"/>
    <w:rsid w:val="007A5656"/>
    <w:rsid w:val="008212BF"/>
    <w:rsid w:val="008316B3"/>
    <w:rsid w:val="00842821"/>
    <w:rsid w:val="008574AB"/>
    <w:rsid w:val="008662C8"/>
    <w:rsid w:val="0087096A"/>
    <w:rsid w:val="00887331"/>
    <w:rsid w:val="0089102C"/>
    <w:rsid w:val="00891E0F"/>
    <w:rsid w:val="008953F1"/>
    <w:rsid w:val="00895439"/>
    <w:rsid w:val="008B0690"/>
    <w:rsid w:val="008F54B8"/>
    <w:rsid w:val="00905991"/>
    <w:rsid w:val="00925AC2"/>
    <w:rsid w:val="009276A2"/>
    <w:rsid w:val="00950063"/>
    <w:rsid w:val="00951979"/>
    <w:rsid w:val="00961423"/>
    <w:rsid w:val="009853DA"/>
    <w:rsid w:val="00986A0C"/>
    <w:rsid w:val="00987114"/>
    <w:rsid w:val="009A5E68"/>
    <w:rsid w:val="009A6FF9"/>
    <w:rsid w:val="009C15A8"/>
    <w:rsid w:val="00A13B3D"/>
    <w:rsid w:val="00A423C1"/>
    <w:rsid w:val="00A45E07"/>
    <w:rsid w:val="00A54977"/>
    <w:rsid w:val="00A60210"/>
    <w:rsid w:val="00A611A4"/>
    <w:rsid w:val="00A93370"/>
    <w:rsid w:val="00AA718F"/>
    <w:rsid w:val="00B53AED"/>
    <w:rsid w:val="00B57075"/>
    <w:rsid w:val="00BB64F9"/>
    <w:rsid w:val="00BC56EB"/>
    <w:rsid w:val="00BD7836"/>
    <w:rsid w:val="00BE7629"/>
    <w:rsid w:val="00BF3566"/>
    <w:rsid w:val="00C02AF5"/>
    <w:rsid w:val="00C22F67"/>
    <w:rsid w:val="00C42EB4"/>
    <w:rsid w:val="00C47AD9"/>
    <w:rsid w:val="00CE082A"/>
    <w:rsid w:val="00CF7186"/>
    <w:rsid w:val="00D20651"/>
    <w:rsid w:val="00D2583D"/>
    <w:rsid w:val="00D35B82"/>
    <w:rsid w:val="00D35D53"/>
    <w:rsid w:val="00D5120F"/>
    <w:rsid w:val="00D923B1"/>
    <w:rsid w:val="00DA6626"/>
    <w:rsid w:val="00DB3E9C"/>
    <w:rsid w:val="00DC6977"/>
    <w:rsid w:val="00DE4004"/>
    <w:rsid w:val="00DF1D5B"/>
    <w:rsid w:val="00E05EA9"/>
    <w:rsid w:val="00E261AD"/>
    <w:rsid w:val="00E474F4"/>
    <w:rsid w:val="00E84423"/>
    <w:rsid w:val="00EB3B4C"/>
    <w:rsid w:val="00EE4B02"/>
    <w:rsid w:val="00F01782"/>
    <w:rsid w:val="00F079C3"/>
    <w:rsid w:val="00F14308"/>
    <w:rsid w:val="00F27220"/>
    <w:rsid w:val="00F36DCF"/>
    <w:rsid w:val="00F42E89"/>
    <w:rsid w:val="00F70194"/>
    <w:rsid w:val="00F7451D"/>
    <w:rsid w:val="00F75520"/>
    <w:rsid w:val="00F82ED2"/>
    <w:rsid w:val="00FA0416"/>
    <w:rsid w:val="00FA31AC"/>
    <w:rsid w:val="00FB6212"/>
    <w:rsid w:val="00FD6EDC"/>
    <w:rsid w:val="00FF43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Arial Unicode MS"/>
        <w:i/>
        <w:sz w:val="22"/>
        <w:lang w:val="en-US" w:eastAsia="en-US"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74F4"/>
    <w:rPr>
      <w:rFonts w:cs="Mangal"/>
      <w:sz w:val="20"/>
      <w:szCs w:val="18"/>
    </w:rPr>
  </w:style>
  <w:style w:type="character" w:customStyle="1" w:styleId="FootnoteTextChar">
    <w:name w:val="Footnote Text Char"/>
    <w:basedOn w:val="DefaultParagraphFont"/>
    <w:link w:val="FootnoteText"/>
    <w:uiPriority w:val="99"/>
    <w:semiHidden/>
    <w:rsid w:val="00E474F4"/>
    <w:rPr>
      <w:rFonts w:cs="Mangal"/>
      <w:sz w:val="20"/>
      <w:szCs w:val="18"/>
      <w:lang w:val="en-GB"/>
    </w:rPr>
  </w:style>
  <w:style w:type="character" w:styleId="FootnoteReference">
    <w:name w:val="footnote reference"/>
    <w:basedOn w:val="DefaultParagraphFont"/>
    <w:uiPriority w:val="99"/>
    <w:semiHidden/>
    <w:unhideWhenUsed/>
    <w:rsid w:val="00E474F4"/>
    <w:rPr>
      <w:vertAlign w:val="superscript"/>
    </w:rPr>
  </w:style>
  <w:style w:type="paragraph" w:styleId="Header">
    <w:name w:val="header"/>
    <w:basedOn w:val="Normal"/>
    <w:link w:val="HeaderChar"/>
    <w:uiPriority w:val="99"/>
    <w:unhideWhenUsed/>
    <w:rsid w:val="004643D4"/>
    <w:pPr>
      <w:tabs>
        <w:tab w:val="center" w:pos="4680"/>
        <w:tab w:val="right" w:pos="9360"/>
      </w:tabs>
    </w:pPr>
    <w:rPr>
      <w:rFonts w:cs="Mangal"/>
    </w:rPr>
  </w:style>
  <w:style w:type="character" w:customStyle="1" w:styleId="HeaderChar">
    <w:name w:val="Header Char"/>
    <w:basedOn w:val="DefaultParagraphFont"/>
    <w:link w:val="Header"/>
    <w:uiPriority w:val="99"/>
    <w:rsid w:val="004643D4"/>
    <w:rPr>
      <w:rFonts w:cs="Mangal"/>
      <w:lang w:val="en-GB"/>
    </w:rPr>
  </w:style>
  <w:style w:type="paragraph" w:styleId="Footer">
    <w:name w:val="footer"/>
    <w:basedOn w:val="Normal"/>
    <w:link w:val="FooterChar"/>
    <w:uiPriority w:val="99"/>
    <w:unhideWhenUsed/>
    <w:rsid w:val="004643D4"/>
    <w:pPr>
      <w:tabs>
        <w:tab w:val="center" w:pos="4680"/>
        <w:tab w:val="right" w:pos="9360"/>
      </w:tabs>
    </w:pPr>
    <w:rPr>
      <w:rFonts w:cs="Mangal"/>
    </w:rPr>
  </w:style>
  <w:style w:type="character" w:customStyle="1" w:styleId="FooterChar">
    <w:name w:val="Footer Char"/>
    <w:basedOn w:val="DefaultParagraphFont"/>
    <w:link w:val="Footer"/>
    <w:uiPriority w:val="99"/>
    <w:rsid w:val="004643D4"/>
    <w:rPr>
      <w:rFonts w:cs="Mang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Arial Unicode MS"/>
        <w:i/>
        <w:sz w:val="22"/>
        <w:lang w:val="en-US" w:eastAsia="en-US"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74F4"/>
    <w:rPr>
      <w:rFonts w:cs="Mangal"/>
      <w:sz w:val="20"/>
      <w:szCs w:val="18"/>
    </w:rPr>
  </w:style>
  <w:style w:type="character" w:customStyle="1" w:styleId="FootnoteTextChar">
    <w:name w:val="Footnote Text Char"/>
    <w:basedOn w:val="DefaultParagraphFont"/>
    <w:link w:val="FootnoteText"/>
    <w:uiPriority w:val="99"/>
    <w:semiHidden/>
    <w:rsid w:val="00E474F4"/>
    <w:rPr>
      <w:rFonts w:cs="Mangal"/>
      <w:sz w:val="20"/>
      <w:szCs w:val="18"/>
      <w:lang w:val="en-GB"/>
    </w:rPr>
  </w:style>
  <w:style w:type="character" w:styleId="FootnoteReference">
    <w:name w:val="footnote reference"/>
    <w:basedOn w:val="DefaultParagraphFont"/>
    <w:uiPriority w:val="99"/>
    <w:semiHidden/>
    <w:unhideWhenUsed/>
    <w:rsid w:val="00E474F4"/>
    <w:rPr>
      <w:vertAlign w:val="superscript"/>
    </w:rPr>
  </w:style>
  <w:style w:type="paragraph" w:styleId="Header">
    <w:name w:val="header"/>
    <w:basedOn w:val="Normal"/>
    <w:link w:val="HeaderChar"/>
    <w:uiPriority w:val="99"/>
    <w:unhideWhenUsed/>
    <w:rsid w:val="004643D4"/>
    <w:pPr>
      <w:tabs>
        <w:tab w:val="center" w:pos="4680"/>
        <w:tab w:val="right" w:pos="9360"/>
      </w:tabs>
    </w:pPr>
    <w:rPr>
      <w:rFonts w:cs="Mangal"/>
    </w:rPr>
  </w:style>
  <w:style w:type="character" w:customStyle="1" w:styleId="HeaderChar">
    <w:name w:val="Header Char"/>
    <w:basedOn w:val="DefaultParagraphFont"/>
    <w:link w:val="Header"/>
    <w:uiPriority w:val="99"/>
    <w:rsid w:val="004643D4"/>
    <w:rPr>
      <w:rFonts w:cs="Mangal"/>
      <w:lang w:val="en-GB"/>
    </w:rPr>
  </w:style>
  <w:style w:type="paragraph" w:styleId="Footer">
    <w:name w:val="footer"/>
    <w:basedOn w:val="Normal"/>
    <w:link w:val="FooterChar"/>
    <w:uiPriority w:val="99"/>
    <w:unhideWhenUsed/>
    <w:rsid w:val="004643D4"/>
    <w:pPr>
      <w:tabs>
        <w:tab w:val="center" w:pos="4680"/>
        <w:tab w:val="right" w:pos="9360"/>
      </w:tabs>
    </w:pPr>
    <w:rPr>
      <w:rFonts w:cs="Mangal"/>
    </w:rPr>
  </w:style>
  <w:style w:type="character" w:customStyle="1" w:styleId="FooterChar">
    <w:name w:val="Footer Char"/>
    <w:basedOn w:val="DefaultParagraphFont"/>
    <w:link w:val="Footer"/>
    <w:uiPriority w:val="99"/>
    <w:rsid w:val="004643D4"/>
    <w:rPr>
      <w:rFonts w:cs="Mang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986</TotalTime>
  <Pages>9</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106</cp:revision>
  <dcterms:created xsi:type="dcterms:W3CDTF">2014-01-14T13:03:00Z</dcterms:created>
  <dcterms:modified xsi:type="dcterms:W3CDTF">2014-01-15T18:13:00Z</dcterms:modified>
</cp:coreProperties>
</file>