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A38DA" w14:textId="0B3C363D" w:rsidR="00FB3C7B" w:rsidRDefault="00FB3C7B" w:rsidP="00FB3C7B">
      <w:pPr>
        <w:jc w:val="center"/>
      </w:pPr>
      <w:r>
        <w:t xml:space="preserve">The Nietzschean precedent for </w:t>
      </w:r>
      <w:r w:rsidR="00E86C9C">
        <w:t>anti-reflective</w:t>
      </w:r>
      <w:r w:rsidR="00F6513B">
        <w:t>,</w:t>
      </w:r>
      <w:r w:rsidR="00E86C9C">
        <w:t xml:space="preserve"> dialogical agency</w:t>
      </w:r>
    </w:p>
    <w:p w14:paraId="60417C68" w14:textId="77777777" w:rsidR="00B970DF" w:rsidRDefault="00B970DF" w:rsidP="00FB3C7B">
      <w:pPr>
        <w:jc w:val="center"/>
      </w:pPr>
    </w:p>
    <w:p w14:paraId="5825BBAB" w14:textId="3A9D61EB" w:rsidR="00FB3C7B" w:rsidRPr="00FB3C7B" w:rsidRDefault="00FB3C7B" w:rsidP="00FB3C7B">
      <w:pPr>
        <w:jc w:val="center"/>
      </w:pPr>
      <w:r>
        <w:t>Mark Alfano, Delft University of Technology &amp; Australian Catholic University</w:t>
      </w:r>
    </w:p>
    <w:p w14:paraId="39D80FF6" w14:textId="77777777" w:rsidR="00BA5C3B" w:rsidRDefault="00BA5C3B"/>
    <w:p w14:paraId="667D1D72" w14:textId="77777777" w:rsidR="00F02187" w:rsidRPr="00C94E29" w:rsidRDefault="00F02187"/>
    <w:p w14:paraId="534274C4" w14:textId="05D701EF" w:rsidR="001F1154" w:rsidRDefault="00077267" w:rsidP="00B2793D">
      <w:pPr>
        <w:ind w:firstLine="720"/>
      </w:pPr>
      <w:r>
        <w:t xml:space="preserve">John Doris and Friedrich Nietzsche have </w:t>
      </w:r>
      <w:r w:rsidR="00775FE8">
        <w:t>a lot</w:t>
      </w:r>
      <w:r>
        <w:t xml:space="preserve"> in common. In addition to being </w:t>
      </w:r>
      <w:r w:rsidR="0045183D">
        <w:t>provocative</w:t>
      </w:r>
      <w:r w:rsidR="00892FB9">
        <w:t xml:space="preserve"> and </w:t>
      </w:r>
      <w:r w:rsidR="00B2793D">
        <w:t>humorous</w:t>
      </w:r>
      <w:r>
        <w:t xml:space="preserve"> writers in their native idioms, they share a</w:t>
      </w:r>
      <w:r w:rsidR="000C470F">
        <w:t xml:space="preserve"> </w:t>
      </w:r>
      <w:r>
        <w:t xml:space="preserve">conception of </w:t>
      </w:r>
      <w:r w:rsidR="001272FC">
        <w:t xml:space="preserve">human </w:t>
      </w:r>
      <w:r>
        <w:t>agency.</w:t>
      </w:r>
      <w:r w:rsidR="006A1533">
        <w:t xml:space="preserve"> </w:t>
      </w:r>
      <w:r w:rsidR="009269E6">
        <w:t>It ca</w:t>
      </w:r>
      <w:r w:rsidR="00F02187">
        <w:t>n be tiresome to poi</w:t>
      </w:r>
      <w:r w:rsidR="00D46541">
        <w:t>nt out the priority c</w:t>
      </w:r>
      <w:r w:rsidR="00743E64">
        <w:t xml:space="preserve">laims of an earlier philosopher, so I </w:t>
      </w:r>
      <w:r w:rsidR="00762B95">
        <w:t>should</w:t>
      </w:r>
      <w:r w:rsidR="00743E64">
        <w:t xml:space="preserve"> </w:t>
      </w:r>
      <w:r w:rsidR="00762B95">
        <w:t>say</w:t>
      </w:r>
      <w:r w:rsidR="00743E64">
        <w:t xml:space="preserve"> at the outset that</w:t>
      </w:r>
      <w:r w:rsidR="00D46541">
        <w:t xml:space="preserve"> I do so not </w:t>
      </w:r>
      <w:r w:rsidR="006A1533">
        <w:t>to smugly insist that my guy go</w:t>
      </w:r>
      <w:r>
        <w:t xml:space="preserve">t there first but to showcase a closely-allied perspective that </w:t>
      </w:r>
      <w:r w:rsidR="00423D4D">
        <w:t>may s</w:t>
      </w:r>
      <w:r w:rsidR="00125A67">
        <w:t>hed additional light and offer</w:t>
      </w:r>
      <w:r w:rsidR="00423D4D">
        <w:t xml:space="preserve"> glimpse</w:t>
      </w:r>
      <w:r w:rsidR="00125A67">
        <w:t>s</w:t>
      </w:r>
      <w:r w:rsidR="00423D4D">
        <w:t xml:space="preserve"> around blind corners.</w:t>
      </w:r>
      <w:r w:rsidR="00056815">
        <w:t xml:space="preserve"> In </w:t>
      </w:r>
      <w:r w:rsidR="00E075F4">
        <w:t xml:space="preserve">particular, I argue that Nietzsche anticipates both </w:t>
      </w:r>
      <w:r w:rsidR="00C77041">
        <w:t xml:space="preserve">the </w:t>
      </w:r>
      <w:r w:rsidR="00AB75CA">
        <w:t>anti-reflective</w:t>
      </w:r>
      <w:r w:rsidR="00E075F4">
        <w:t xml:space="preserve"> and </w:t>
      </w:r>
      <w:r w:rsidR="00C77041">
        <w:t xml:space="preserve">the </w:t>
      </w:r>
      <w:r w:rsidR="00E075F4">
        <w:t>dialogical</w:t>
      </w:r>
      <w:r w:rsidR="00AA6D5C">
        <w:t xml:space="preserve"> </w:t>
      </w:r>
      <w:r w:rsidR="00C77041">
        <w:t>aspect</w:t>
      </w:r>
      <w:r w:rsidR="00AB75CA">
        <w:t>s</w:t>
      </w:r>
      <w:r w:rsidR="00C77041">
        <w:t xml:space="preserve"> of Doris’s theory of agency</w:t>
      </w:r>
      <w:r w:rsidR="00AA6D5C">
        <w:t>.</w:t>
      </w:r>
    </w:p>
    <w:p w14:paraId="4B4E8C8E" w14:textId="6D4535E2" w:rsidR="00B970DF" w:rsidRDefault="001F1154" w:rsidP="001F1154">
      <w:pPr>
        <w:ind w:firstLine="720"/>
      </w:pPr>
      <w:r>
        <w:t xml:space="preserve">Doris’s primary </w:t>
      </w:r>
      <w:r w:rsidR="00BB532D">
        <w:t>target</w:t>
      </w:r>
      <w:r>
        <w:t xml:space="preserve"> is </w:t>
      </w:r>
      <w:r w:rsidRPr="001F1154">
        <w:rPr>
          <w:i/>
        </w:rPr>
        <w:t>reflectivism</w:t>
      </w:r>
      <w:r>
        <w:t xml:space="preserve">, according to which the exercise of human agency consists in judgment and behavior ordered by (accurate enough) reflection about what to think and do. </w:t>
      </w:r>
      <w:r w:rsidR="00AA6D5C">
        <w:t>As</w:t>
      </w:r>
      <w:r w:rsidR="00E075F4">
        <w:t xml:space="preserve"> Paul Katsafanas (2013</w:t>
      </w:r>
      <w:r w:rsidR="006F2208">
        <w:t>, 2016</w:t>
      </w:r>
      <w:r w:rsidR="00E075F4">
        <w:t xml:space="preserve">) and I (Alfano </w:t>
      </w:r>
      <w:r w:rsidR="00394BD0">
        <w:t>2010, 2013b</w:t>
      </w:r>
      <w:r w:rsidR="009B6B73">
        <w:t>, 2016c</w:t>
      </w:r>
      <w:r w:rsidR="00E075F4">
        <w:t xml:space="preserve">) have argued, Nietzsche’s doctrine of will to power </w:t>
      </w:r>
      <w:r w:rsidR="00FA2B37">
        <w:t>presupposes</w:t>
      </w:r>
      <w:r w:rsidR="00E075F4">
        <w:t xml:space="preserve"> that </w:t>
      </w:r>
      <w:r w:rsidR="00FA2B37">
        <w:t xml:space="preserve">human </w:t>
      </w:r>
      <w:r w:rsidR="00E075F4">
        <w:t>agency does not require reflection</w:t>
      </w:r>
      <w:r w:rsidR="00FA2B37">
        <w:t>. Instead, agency emerges from the interaction of drives, affects, and emotions that are sometimes in harmony and som</w:t>
      </w:r>
      <w:r w:rsidR="00FC0A9A">
        <w:t>etimes in conflict</w:t>
      </w:r>
      <w:r w:rsidR="00BC26EB">
        <w:t xml:space="preserve"> (</w:t>
      </w:r>
      <w:r w:rsidR="00091674" w:rsidRPr="00D801BA">
        <w:rPr>
          <w:i/>
        </w:rPr>
        <w:t>D</w:t>
      </w:r>
      <w:r w:rsidR="00D801BA" w:rsidRPr="00D801BA">
        <w:rPr>
          <w:i/>
        </w:rPr>
        <w:t>aybreak</w:t>
      </w:r>
      <w:r w:rsidR="00091674">
        <w:t xml:space="preserve"> 119; </w:t>
      </w:r>
      <w:r w:rsidR="00091674" w:rsidRPr="00D801BA">
        <w:rPr>
          <w:i/>
        </w:rPr>
        <w:t>G</w:t>
      </w:r>
      <w:r w:rsidR="00D801BA" w:rsidRPr="00D801BA">
        <w:rPr>
          <w:i/>
        </w:rPr>
        <w:t xml:space="preserve">ay </w:t>
      </w:r>
      <w:r w:rsidR="00091674" w:rsidRPr="00D801BA">
        <w:rPr>
          <w:i/>
        </w:rPr>
        <w:t>S</w:t>
      </w:r>
      <w:r w:rsidR="00D801BA" w:rsidRPr="00D801BA">
        <w:rPr>
          <w:i/>
        </w:rPr>
        <w:t>cience</w:t>
      </w:r>
      <w:r w:rsidR="00091674">
        <w:t xml:space="preserve"> 333, 354, 357; </w:t>
      </w:r>
      <w:r w:rsidR="00D801BA">
        <w:rPr>
          <w:i/>
        </w:rPr>
        <w:t>Beyond Good and Evil</w:t>
      </w:r>
      <w:r w:rsidR="008F214E">
        <w:t xml:space="preserve"> 6</w:t>
      </w:r>
      <w:r w:rsidR="001664D1">
        <w:t>, 12</w:t>
      </w:r>
      <w:r w:rsidR="00B81650">
        <w:t>, 200</w:t>
      </w:r>
      <w:r w:rsidR="00364934">
        <w:t>, 224</w:t>
      </w:r>
      <w:r w:rsidR="008F214E">
        <w:t xml:space="preserve">; </w:t>
      </w:r>
      <w:r w:rsidR="00D801BA">
        <w:rPr>
          <w:i/>
        </w:rPr>
        <w:t>Genealogy of Morals</w:t>
      </w:r>
      <w:r w:rsidR="00091674">
        <w:t xml:space="preserve"> I:13, </w:t>
      </w:r>
      <w:r w:rsidR="00196A8A">
        <w:t>II:1</w:t>
      </w:r>
      <w:r w:rsidR="00091674">
        <w:t>6</w:t>
      </w:r>
      <w:r w:rsidR="00BC26EB">
        <w:t>)</w:t>
      </w:r>
      <w:r w:rsidR="00FC0A9A">
        <w:t>.</w:t>
      </w:r>
      <w:r w:rsidR="001D2886">
        <w:rPr>
          <w:rStyle w:val="FootnoteReference"/>
        </w:rPr>
        <w:footnoteReference w:id="1"/>
      </w:r>
      <w:r w:rsidR="00673BA5">
        <w:t xml:space="preserve"> While affects and emotions receive much attention in contemporary dual</w:t>
      </w:r>
      <w:r w:rsidR="00D45008">
        <w:t>-process psychology, drives</w:t>
      </w:r>
      <w:r w:rsidR="00CD21FB">
        <w:t xml:space="preserve"> – which Nietzsche construes as standing motivational dispositions to engage in particular action-types – </w:t>
      </w:r>
      <w:r w:rsidR="00673BA5">
        <w:t>have largely been ignored.</w:t>
      </w:r>
      <w:r w:rsidR="00FC0A9A">
        <w:t xml:space="preserve"> The Nietzschean perspective thus expands the class of mental processes that can lead to incongruent parallel pr</w:t>
      </w:r>
      <w:r w:rsidR="00673BA5">
        <w:t>ocessing, though empirical research is</w:t>
      </w:r>
      <w:r w:rsidR="00816A75">
        <w:t xml:space="preserve"> of course</w:t>
      </w:r>
      <w:r w:rsidR="00673BA5">
        <w:t xml:space="preserve"> needed to determine the role played by </w:t>
      </w:r>
      <w:r w:rsidR="00D45008">
        <w:t xml:space="preserve">drives </w:t>
      </w:r>
      <w:r w:rsidR="00673BA5">
        <w:t>in our mental economies.</w:t>
      </w:r>
    </w:p>
    <w:p w14:paraId="3CCAC221" w14:textId="460F78C3" w:rsidR="00C94E29" w:rsidRDefault="005A7B1A" w:rsidP="00CA3B5D">
      <w:pPr>
        <w:ind w:firstLine="720"/>
      </w:pPr>
      <w:r>
        <w:t xml:space="preserve">Like Doris, Nietzsche is </w:t>
      </w:r>
      <w:r w:rsidR="00BC26EB">
        <w:t xml:space="preserve">concerned that incongruent parallel processing may undermine agency. Doris </w:t>
      </w:r>
      <w:r w:rsidR="00D8608B">
        <w:t>focuses on cases in which someone would not endorse the causes of her own behavior</w:t>
      </w:r>
      <w:r w:rsidR="00CC5EE8">
        <w:t xml:space="preserve"> </w:t>
      </w:r>
      <w:r w:rsidR="00115AC3">
        <w:t>because those causes are what I</w:t>
      </w:r>
      <w:r w:rsidR="00CC5EE8">
        <w:t xml:space="preserve"> </w:t>
      </w:r>
      <w:r w:rsidR="00AB1B3C">
        <w:t xml:space="preserve">have </w:t>
      </w:r>
      <w:r w:rsidR="00CC5EE8">
        <w:t>dubbed “non-reasons”</w:t>
      </w:r>
      <w:r w:rsidR="00115AC3">
        <w:t xml:space="preserve"> (Alfano 2013a, pp. 43-45).</w:t>
      </w:r>
      <w:r w:rsidR="00064C09">
        <w:t xml:space="preserve"> While Nietzsche does not rule out such arational influences on behavior, his concern is directed to cases in which someone would </w:t>
      </w:r>
      <w:r w:rsidR="00AE78C1">
        <w:t>outright reject an accurate description of the causes of her behavior</w:t>
      </w:r>
      <w:r w:rsidR="005E59B2">
        <w:t xml:space="preserve"> (</w:t>
      </w:r>
      <w:r w:rsidR="009670CB">
        <w:rPr>
          <w:i/>
        </w:rPr>
        <w:t>Genealogy of Morals</w:t>
      </w:r>
      <w:r w:rsidR="00B53A66">
        <w:t xml:space="preserve"> I:10</w:t>
      </w:r>
      <w:r w:rsidR="00766368">
        <w:t>-11</w:t>
      </w:r>
      <w:r w:rsidR="00E135E4">
        <w:t>, II:11</w:t>
      </w:r>
      <w:r w:rsidR="00CF4C06">
        <w:t>, III:15</w:t>
      </w:r>
      <w:r w:rsidR="005E59B2">
        <w:t>)</w:t>
      </w:r>
      <w:r w:rsidR="00AE78C1">
        <w:t>.</w:t>
      </w:r>
      <w:r w:rsidR="00E17295">
        <w:t xml:space="preserve"> </w:t>
      </w:r>
      <w:r w:rsidR="00BB51FB">
        <w:t xml:space="preserve">Nietzsche’s solution to the problem of incongruent parallel processing also resembles Doris’s. According to Doris, someone’s behavior constitutes an exercise of agency just in case </w:t>
      </w:r>
      <w:r w:rsidR="00F73EC2">
        <w:t>it</w:t>
      </w:r>
      <w:r w:rsidR="00BB51FB">
        <w:t xml:space="preserve"> expresses a subset of the agent’s values: namely, those</w:t>
      </w:r>
      <w:r w:rsidR="00260956">
        <w:t xml:space="preserve"> values</w:t>
      </w:r>
      <w:r w:rsidR="00BB51FB">
        <w:t xml:space="preserve"> that are sufficiently longstanding, strong, </w:t>
      </w:r>
      <w:r w:rsidR="00DC38DD">
        <w:t xml:space="preserve">and </w:t>
      </w:r>
      <w:r w:rsidR="00BB51FB">
        <w:t>acc</w:t>
      </w:r>
      <w:r w:rsidR="001D462B">
        <w:t>epted by the agent as</w:t>
      </w:r>
      <w:r w:rsidR="00BB51FB">
        <w:t xml:space="preserve"> justificatory.</w:t>
      </w:r>
      <w:r w:rsidR="00CA3B5D">
        <w:t xml:space="preserve"> The key move in this account is to allow for </w:t>
      </w:r>
      <w:r w:rsidR="001D56E5">
        <w:t xml:space="preserve">agency despite </w:t>
      </w:r>
      <w:r w:rsidR="00880A74">
        <w:t>self-</w:t>
      </w:r>
      <w:r w:rsidR="001D56E5">
        <w:t xml:space="preserve">ignorance. The agent needn’t know that she is willing to assign a justificatory role to </w:t>
      </w:r>
      <w:r w:rsidR="00F95846">
        <w:t>the</w:t>
      </w:r>
      <w:r w:rsidR="001D56E5">
        <w:t xml:space="preserve"> values</w:t>
      </w:r>
      <w:r w:rsidR="00F95846">
        <w:t xml:space="preserve"> she expresses in action</w:t>
      </w:r>
      <w:r w:rsidR="001D56E5">
        <w:t>, nor need she realize that her exercise of agency expresses one or more of her values.</w:t>
      </w:r>
      <w:r w:rsidR="00F73EC2">
        <w:t xml:space="preserve"> </w:t>
      </w:r>
      <w:r w:rsidR="00D62C8C">
        <w:t>Similarly</w:t>
      </w:r>
      <w:r w:rsidR="000E6674">
        <w:t>, for</w:t>
      </w:r>
      <w:r w:rsidR="00F73EC2">
        <w:t xml:space="preserve"> Nietzsche</w:t>
      </w:r>
      <w:r w:rsidR="00703547">
        <w:t xml:space="preserve"> (</w:t>
      </w:r>
      <w:r w:rsidR="009670CB">
        <w:rPr>
          <w:i/>
        </w:rPr>
        <w:t>Daybreak</w:t>
      </w:r>
      <w:r w:rsidR="001664D1">
        <w:t xml:space="preserve"> 109; </w:t>
      </w:r>
      <w:r w:rsidR="009670CB">
        <w:rPr>
          <w:i/>
        </w:rPr>
        <w:t>Beyond Good and Evil</w:t>
      </w:r>
      <w:r w:rsidR="001664D1">
        <w:t xml:space="preserve"> 3</w:t>
      </w:r>
      <w:r w:rsidR="00703547">
        <w:t>)</w:t>
      </w:r>
      <w:r w:rsidR="00F73EC2">
        <w:t>, someone’s behavior constitutes an exercise of agency just in case it expresses a subset of the agent’s drives</w:t>
      </w:r>
      <w:r w:rsidR="00055B44">
        <w:t>, affects, and emotions</w:t>
      </w:r>
      <w:r w:rsidR="00F73EC2">
        <w:t xml:space="preserve">: namely, those that, were the agent to learn about them, </w:t>
      </w:r>
      <w:r w:rsidR="00BA1179">
        <w:t xml:space="preserve">would not lead her </w:t>
      </w:r>
      <w:r w:rsidR="0049109F">
        <w:t>to disapprove of her own action</w:t>
      </w:r>
      <w:r w:rsidR="001A0243">
        <w:t xml:space="preserve"> (Kats</w:t>
      </w:r>
      <w:r w:rsidR="00285E06">
        <w:t>a</w:t>
      </w:r>
      <w:r w:rsidR="001A0243">
        <w:t>fanas 2013, p. 138</w:t>
      </w:r>
      <w:r w:rsidR="006F2208">
        <w:t>; 2016, ch. 7</w:t>
      </w:r>
      <w:r w:rsidR="001A0243">
        <w:t>)</w:t>
      </w:r>
      <w:r w:rsidR="0049109F">
        <w:t>.</w:t>
      </w:r>
      <w:r w:rsidR="00BA1179">
        <w:t xml:space="preserve"> Like Doris, </w:t>
      </w:r>
      <w:r w:rsidR="00DC51EA">
        <w:t xml:space="preserve">then, </w:t>
      </w:r>
      <w:r w:rsidR="00BA1179">
        <w:t>Nietzsche allows for agency des</w:t>
      </w:r>
      <w:r w:rsidR="00342265">
        <w:t xml:space="preserve">pite substantial self-ignorance. The agent needn’t know that she would </w:t>
      </w:r>
      <w:r w:rsidR="00773B16">
        <w:t>endorse her own action after learning more about its etiology, nor need she</w:t>
      </w:r>
      <w:r w:rsidR="00BA1179">
        <w:t xml:space="preserve"> know </w:t>
      </w:r>
      <w:r w:rsidR="00D92B43">
        <w:t>which drives, affects, and emotions led to her act</w:t>
      </w:r>
      <w:r w:rsidR="00624ACC">
        <w:t>ion</w:t>
      </w:r>
      <w:r w:rsidR="00D92B43">
        <w:t xml:space="preserve"> in the first place.</w:t>
      </w:r>
    </w:p>
    <w:p w14:paraId="43E8B011" w14:textId="285E20BF" w:rsidR="00520B79" w:rsidRDefault="00D12154" w:rsidP="000E469A">
      <w:pPr>
        <w:ind w:firstLine="720"/>
      </w:pPr>
      <w:r>
        <w:lastRenderedPageBreak/>
        <w:t>Lowering the bar</w:t>
      </w:r>
      <w:r w:rsidR="001F2B92">
        <w:t xml:space="preserve"> of accurate reflection</w:t>
      </w:r>
      <w:r>
        <w:t xml:space="preserve"> in this way enables Doris and Nietzsche to </w:t>
      </w:r>
      <w:r w:rsidR="00235396">
        <w:t xml:space="preserve">countenance and even make use of a common human foible: the tendency to </w:t>
      </w:r>
      <w:r w:rsidR="007F46F1">
        <w:rPr>
          <w:i/>
        </w:rPr>
        <w:t>post hoc</w:t>
      </w:r>
      <w:r w:rsidR="007F46F1">
        <w:t xml:space="preserve"> confabulation. When we reflect on why we did what we did</w:t>
      </w:r>
      <w:r w:rsidR="001F2B92">
        <w:t xml:space="preserve"> or what sorts of people we are</w:t>
      </w:r>
      <w:r w:rsidR="007F46F1">
        <w:t xml:space="preserve">, we often enough tell ourselves flattering stories that enhance our own rationality, </w:t>
      </w:r>
      <w:r w:rsidR="000E469A">
        <w:t>moral rectitude, or agency – turning every “it was” into a “thus I willed it”</w:t>
      </w:r>
      <w:r w:rsidR="005C6C42">
        <w:t xml:space="preserve"> (</w:t>
      </w:r>
      <w:r w:rsidR="005C6C42">
        <w:rPr>
          <w:i/>
        </w:rPr>
        <w:t>Thus Spoke Zarathustra</w:t>
      </w:r>
      <w:r w:rsidR="000E469A">
        <w:t xml:space="preserve"> II.Redemption; see also </w:t>
      </w:r>
      <w:r w:rsidR="005C6C42">
        <w:rPr>
          <w:i/>
        </w:rPr>
        <w:t>Gay Science</w:t>
      </w:r>
      <w:r w:rsidR="000E469A">
        <w:t xml:space="preserve"> 277</w:t>
      </w:r>
      <w:r w:rsidR="00264581">
        <w:t>)</w:t>
      </w:r>
      <w:r w:rsidR="00486822">
        <w:t>.</w:t>
      </w:r>
      <w:r w:rsidR="00657119">
        <w:t xml:space="preserve"> </w:t>
      </w:r>
      <w:r w:rsidR="006C3367">
        <w:t xml:space="preserve">Without disputing the inaccuracy of such confabulation, Doris argues that it can lend someone the courage to move confidently into the future, to undertake ambitious projects, and to make </w:t>
      </w:r>
      <w:r w:rsidR="000335CC">
        <w:t>demanding</w:t>
      </w:r>
      <w:r w:rsidR="009460EE">
        <w:t xml:space="preserve"> </w:t>
      </w:r>
      <w:r w:rsidR="001E2EC5">
        <w:t>commitments.</w:t>
      </w:r>
      <w:r w:rsidR="0024622F">
        <w:t xml:space="preserve"> </w:t>
      </w:r>
      <w:r w:rsidR="00EE2ABD">
        <w:t>Tactically deployed fictions</w:t>
      </w:r>
      <w:r w:rsidR="007D3DDF">
        <w:t xml:space="preserve"> about ourselves</w:t>
      </w:r>
      <w:r w:rsidR="00EE2ABD">
        <w:t xml:space="preserve"> can </w:t>
      </w:r>
      <w:r w:rsidR="00A02011">
        <w:t>become</w:t>
      </w:r>
      <w:r w:rsidR="004C33C2">
        <w:t xml:space="preserve"> facts</w:t>
      </w:r>
      <w:r w:rsidR="00002912">
        <w:t>. I</w:t>
      </w:r>
      <w:r w:rsidR="007D3DDF">
        <w:t xml:space="preserve">ndeed, in </w:t>
      </w:r>
      <w:r w:rsidR="004C33C2">
        <w:t xml:space="preserve">Alfano </w:t>
      </w:r>
      <w:r w:rsidR="007D3DDF">
        <w:t>(</w:t>
      </w:r>
      <w:r w:rsidR="00D457DE">
        <w:t>2013a</w:t>
      </w:r>
      <w:r w:rsidR="004C33C2">
        <w:t xml:space="preserve"> ch. 4</w:t>
      </w:r>
      <w:r w:rsidR="007C32F1">
        <w:t xml:space="preserve">; see also </w:t>
      </w:r>
      <w:r w:rsidR="001A083A">
        <w:t>Alfano 2016a</w:t>
      </w:r>
      <w:r w:rsidR="004B5772">
        <w:t>,</w:t>
      </w:r>
      <w:r w:rsidR="00D457DE">
        <w:t xml:space="preserve"> ch. 4</w:t>
      </w:r>
      <w:r w:rsidR="004B5772">
        <w:t xml:space="preserve"> and</w:t>
      </w:r>
      <w:r w:rsidR="001A083A">
        <w:t xml:space="preserve"> 2016b</w:t>
      </w:r>
      <w:r w:rsidR="00EE2ABD">
        <w:t>)</w:t>
      </w:r>
      <w:r w:rsidR="007D3DDF">
        <w:t xml:space="preserve"> I argue that they can lead to factitious traits of character</w:t>
      </w:r>
      <w:r w:rsidR="00002912">
        <w:t xml:space="preserve">, where someone becomes, for example, </w:t>
      </w:r>
      <w:r w:rsidR="003B0A48">
        <w:t>honest</w:t>
      </w:r>
      <w:r w:rsidR="00002912">
        <w:t xml:space="preserve"> because she first falsely attributes </w:t>
      </w:r>
      <w:r w:rsidR="003B0A48">
        <w:t>honesty</w:t>
      </w:r>
      <w:r w:rsidR="00002912">
        <w:t xml:space="preserve"> to herself</w:t>
      </w:r>
      <w:r w:rsidR="007D3DDF">
        <w:t>.</w:t>
      </w:r>
    </w:p>
    <w:p w14:paraId="72AD37E6" w14:textId="08B88478" w:rsidR="004E5E9C" w:rsidRDefault="00101D89" w:rsidP="004E5E9C">
      <w:pPr>
        <w:ind w:firstLine="720"/>
      </w:pPr>
      <w:r>
        <w:t>To understand how people manage this trick, we must turn to the dialogical aspect of Doris’s and Nietzsche’s conception of agency.</w:t>
      </w:r>
      <w:r w:rsidR="004E5E9C">
        <w:t xml:space="preserve"> Doris’s secondary target is individualism</w:t>
      </w:r>
      <w:r w:rsidR="009C551E">
        <w:t xml:space="preserve">, according to which optimal human </w:t>
      </w:r>
      <w:r w:rsidR="003640A1">
        <w:t>decision-making</w:t>
      </w:r>
      <w:r w:rsidR="009C551E">
        <w:t xml:space="preserve"> is exemplified by individual thinkers. </w:t>
      </w:r>
      <w:r w:rsidR="004E5E9C">
        <w:t>He</w:t>
      </w:r>
      <w:r w:rsidR="009C551E">
        <w:t xml:space="preserve"> argues instead for collaborativism, according to which human </w:t>
      </w:r>
      <w:r w:rsidR="00D802AB">
        <w:t>decision-making</w:t>
      </w:r>
      <w:r w:rsidR="009C551E">
        <w:t xml:space="preserve"> and agency are socially embedded and perhaps even extended</w:t>
      </w:r>
      <w:r w:rsidR="00966698">
        <w:t xml:space="preserve"> through dialogical processes</w:t>
      </w:r>
      <w:r w:rsidR="009C551E">
        <w:t xml:space="preserve">. </w:t>
      </w:r>
      <w:r w:rsidR="00966698">
        <w:t>The factitiously honest person is (typically) not honest in splendid isolation. Instead, she engages in social interactions that “hold” her in a network of narratives that represent what she and those close to her consider her most important actions,</w:t>
      </w:r>
      <w:r w:rsidR="00966698" w:rsidRPr="00966698">
        <w:t xml:space="preserve"> </w:t>
      </w:r>
      <w:r w:rsidR="00966698">
        <w:t>passions, traits, roles, relationships, and values (cf. Lindemann 2014).</w:t>
      </w:r>
    </w:p>
    <w:p w14:paraId="043C059D" w14:textId="67025030" w:rsidR="000864D9" w:rsidRDefault="00AA37F4" w:rsidP="004E5E9C">
      <w:pPr>
        <w:ind w:firstLine="720"/>
      </w:pPr>
      <w:r>
        <w:t xml:space="preserve">There are several ways in which such narratives help to build and stabilize human persons. They can change someone’s self-concept by representing them as embodying values or drives that they previously did not self-attribute. They can reassure someone of the accuracy of their self-concept by providing social proof. </w:t>
      </w:r>
      <w:r w:rsidR="00F10E1B">
        <w:t xml:space="preserve">They can lend someone a communal identity by representing them as one of “us.” And they can help </w:t>
      </w:r>
      <w:r w:rsidR="00642912">
        <w:t>to “shape and crystallize” someone’s traits and values by “making more determinate tendencies and impulses […] that are in some degree inchoate” (Wong 2006, p. 136)</w:t>
      </w:r>
      <w:r w:rsidR="000864D9">
        <w:t>. If this is right, then talking about our mental lives</w:t>
      </w:r>
      <w:r w:rsidR="009040A9">
        <w:t xml:space="preserve"> resembles not so much</w:t>
      </w:r>
      <w:r w:rsidR="000864D9">
        <w:t xml:space="preserve"> describing the weather </w:t>
      </w:r>
      <w:r w:rsidR="009040A9">
        <w:t>as</w:t>
      </w:r>
      <w:r w:rsidR="000864D9">
        <w:t xml:space="preserve"> negotiating a cooperative agreement. </w:t>
      </w:r>
    </w:p>
    <w:p w14:paraId="73664B71" w14:textId="074CFC60" w:rsidR="00B00127" w:rsidRDefault="000864D9" w:rsidP="00B00127">
      <w:pPr>
        <w:ind w:firstLine="720"/>
      </w:pPr>
      <w:r>
        <w:t xml:space="preserve">As I argue in Alfano (2015, 2016c), </w:t>
      </w:r>
      <w:r w:rsidR="00607A7F">
        <w:t>Nietzsche identifies two main channels through which such dialogical processes flow</w:t>
      </w:r>
      <w:r w:rsidR="00A0794D">
        <w:t xml:space="preserve"> (</w:t>
      </w:r>
      <w:r w:rsidR="00AE4A3E">
        <w:rPr>
          <w:i/>
        </w:rPr>
        <w:t>Human, All-Too-Human</w:t>
      </w:r>
      <w:r w:rsidR="00AE4A3E">
        <w:t xml:space="preserve"> 51; </w:t>
      </w:r>
      <w:r w:rsidR="00EB0DA7" w:rsidRPr="00EB0DA7">
        <w:rPr>
          <w:i/>
        </w:rPr>
        <w:t>Daybreak</w:t>
      </w:r>
      <w:r w:rsidR="00EB0DA7">
        <w:t xml:space="preserve"> 105</w:t>
      </w:r>
      <w:r w:rsidR="00AD2D29">
        <w:t>, 201, 248</w:t>
      </w:r>
      <w:r w:rsidR="00EB0DA7">
        <w:t xml:space="preserve">; </w:t>
      </w:r>
      <w:r w:rsidR="00A0794D" w:rsidRPr="00EB0DA7">
        <w:t>Gay</w:t>
      </w:r>
      <w:r w:rsidR="00A0794D">
        <w:rPr>
          <w:i/>
        </w:rPr>
        <w:t xml:space="preserve"> Science</w:t>
      </w:r>
      <w:r w:rsidR="00A0794D">
        <w:t xml:space="preserve"> 21</w:t>
      </w:r>
      <w:r w:rsidR="0010612C">
        <w:t xml:space="preserve">, </w:t>
      </w:r>
      <w:r w:rsidR="00EB0DA7">
        <w:t xml:space="preserve">40, </w:t>
      </w:r>
      <w:r w:rsidR="0010612C">
        <w:t>58</w:t>
      </w:r>
      <w:r w:rsidR="00B26CD8">
        <w:t xml:space="preserve">; </w:t>
      </w:r>
      <w:r w:rsidR="00B26CD8">
        <w:rPr>
          <w:i/>
        </w:rPr>
        <w:t>Beyond Good and Evil</w:t>
      </w:r>
      <w:r w:rsidR="00B26CD8">
        <w:t xml:space="preserve"> </w:t>
      </w:r>
      <w:r w:rsidR="003E3EFE">
        <w:t xml:space="preserve">42, </w:t>
      </w:r>
      <w:r w:rsidR="00FA1E3A">
        <w:t>44,</w:t>
      </w:r>
      <w:r w:rsidR="0005684B">
        <w:t xml:space="preserve"> </w:t>
      </w:r>
      <w:r w:rsidR="00B26CD8">
        <w:t>261</w:t>
      </w:r>
      <w:r w:rsidR="00A5390E">
        <w:t xml:space="preserve">; </w:t>
      </w:r>
      <w:r w:rsidR="00A5390E">
        <w:rPr>
          <w:i/>
        </w:rPr>
        <w:t>Genealogy of Morals</w:t>
      </w:r>
      <w:r w:rsidR="00A5390E">
        <w:t xml:space="preserve"> I:2</w:t>
      </w:r>
      <w:r w:rsidR="008737BF">
        <w:t>, I:6</w:t>
      </w:r>
      <w:r w:rsidR="00A0794D">
        <w:t>)</w:t>
      </w:r>
      <w:r w:rsidR="00607A7F">
        <w:t>. On the one hand, sometimes a person</w:t>
      </w:r>
      <w:r w:rsidR="00607A7F" w:rsidRPr="00607A7F">
        <w:t xml:space="preserve"> </w:t>
      </w:r>
      <w:r w:rsidR="00607A7F">
        <w:t>announces what she is</w:t>
      </w:r>
      <w:r w:rsidR="00FE50B8">
        <w:t xml:space="preserve"> (i.e., what her values, motives, concerns, or drives are)</w:t>
      </w:r>
      <w:r w:rsidR="00607A7F">
        <w:t>, and that announcement meet</w:t>
      </w:r>
      <w:r w:rsidR="00645E6B">
        <w:t>s</w:t>
      </w:r>
      <w:r w:rsidR="00607A7F">
        <w:t xml:space="preserve"> with social acceptance; on the other hand, sometimes </w:t>
      </w:r>
      <w:r w:rsidR="009A4621">
        <w:t>someone else</w:t>
      </w:r>
      <w:r w:rsidR="00607A7F">
        <w:t xml:space="preserve"> announces what the person is, and she accepts the attribution.</w:t>
      </w:r>
      <w:r w:rsidR="00EE211A">
        <w:t xml:space="preserve"> Such bid-and-accept patterns can be iterated. X could describe herself has embodying value V, to which Y responds by pointing to evidence (e.g., in her past behavior) that she actually embodies value V*, to which X responds by pointing to evidence that she actually embodies V</w:t>
      </w:r>
      <w:r w:rsidR="00ED5E47">
        <w:t xml:space="preserve">†, and so on. Moreover, the negotiation needn’t be so explicit. X could instead tell a story that represents herself as embodying V, to which Y responds by asking a question that presupposes </w:t>
      </w:r>
      <w:r w:rsidR="00B65BE1">
        <w:t xml:space="preserve">that </w:t>
      </w:r>
      <w:r w:rsidR="00ED5E47">
        <w:t>she embodies V*, to which X responds by telling another story that represents herself as embodying V†.</w:t>
      </w:r>
      <w:r w:rsidR="0025276D">
        <w:t xml:space="preserve"> The kind of person or self that emerges from such feedback loops is</w:t>
      </w:r>
      <w:r w:rsidR="0025276D" w:rsidRPr="0025276D">
        <w:t xml:space="preserve"> </w:t>
      </w:r>
      <w:r w:rsidR="0025276D">
        <w:t>reflected or echoed rather than reflective and transparent.</w:t>
      </w:r>
    </w:p>
    <w:p w14:paraId="111E614F" w14:textId="743C0E34" w:rsidR="0066303F" w:rsidRDefault="0091734E" w:rsidP="00B00127">
      <w:pPr>
        <w:ind w:firstLine="720"/>
      </w:pPr>
      <w:r>
        <w:t xml:space="preserve">If this is right, then much of human </w:t>
      </w:r>
      <w:r w:rsidR="00623BA0">
        <w:t>agency is constitutively social. Moreover,</w:t>
      </w:r>
      <w:r w:rsidR="00914DD6">
        <w:t xml:space="preserve"> it suggests that</w:t>
      </w:r>
      <w:r>
        <w:t xml:space="preserve"> a novel class of dispositions – namely, the </w:t>
      </w:r>
      <w:r w:rsidR="00816074">
        <w:t>dispositions</w:t>
      </w:r>
      <w:r>
        <w:t xml:space="preserve"> associated with being a good echo – must be recognized and theorized by philosophers and social scientists.</w:t>
      </w:r>
      <w:r w:rsidR="002E53D0">
        <w:rPr>
          <w:rStyle w:val="FootnoteReference"/>
        </w:rPr>
        <w:footnoteReference w:id="2"/>
      </w:r>
      <w:r>
        <w:t xml:space="preserve"> A virtuous echoer may not be entirely accurate and comprehensive. Instead, I contend, a virtuous echoer filters and perhaps even distorts to some extent; in this way, the echoer modulates existing dispositions without inventing them whole cloth</w:t>
      </w:r>
      <w:r w:rsidR="00D966D0">
        <w:t>. By contrast, a vicious echo may negotiate their partner into accepting an unflattering self-description or even an incoherent self-description, undermining their agency.</w:t>
      </w:r>
    </w:p>
    <w:p w14:paraId="712C9A1E" w14:textId="4287AAB9" w:rsidR="00BA6528" w:rsidRDefault="00EC1594" w:rsidP="00B00127">
      <w:pPr>
        <w:ind w:firstLine="720"/>
      </w:pPr>
      <w:r>
        <w:t xml:space="preserve">I conclude </w:t>
      </w:r>
      <w:r w:rsidR="000416A8">
        <w:t>with a speculation about the future of dialogical agency in the wake of self-tracking technologies and predictive analytics</w:t>
      </w:r>
      <w:r w:rsidR="00704984">
        <w:t xml:space="preserve"> (cf. </w:t>
      </w:r>
      <w:r w:rsidR="001D7696">
        <w:t>Selke</w:t>
      </w:r>
      <w:r w:rsidR="00704984">
        <w:t xml:space="preserve"> 2016)</w:t>
      </w:r>
      <w:r w:rsidR="000416A8">
        <w:t xml:space="preserve">. </w:t>
      </w:r>
      <w:r w:rsidR="00B12563">
        <w:t xml:space="preserve">If it’s true that someone’s agency and self are constructed by the stories she tells and is told about herself, and that these stories need be neither wholly accurate nor unfiltered, then </w:t>
      </w:r>
      <w:r w:rsidR="009F3F84">
        <w:t xml:space="preserve">such technologies and analytics may curtail </w:t>
      </w:r>
      <w:r w:rsidR="00A048FB">
        <w:t>one’s</w:t>
      </w:r>
      <w:r w:rsidR="009F3F84">
        <w:t xml:space="preserve"> </w:t>
      </w:r>
      <w:r w:rsidR="00340577">
        <w:t>capacity</w:t>
      </w:r>
      <w:r w:rsidR="009F3F84">
        <w:t xml:space="preserve"> to – in Nietzsche’s phrase – become what one is.</w:t>
      </w:r>
      <w:r w:rsidR="008F1AE3">
        <w:t xml:space="preserve"> Self-tracking is liable to make it more difficult to enjoy self-enhancing illusions. If I tell a story about how I once did this or saw that, it may be</w:t>
      </w:r>
      <w:r w:rsidR="00F562CD">
        <w:t>come</w:t>
      </w:r>
      <w:r w:rsidR="008F1AE3">
        <w:t xml:space="preserve"> possible</w:t>
      </w:r>
      <w:r w:rsidR="00F562CD">
        <w:t xml:space="preserve"> for me or someone else</w:t>
      </w:r>
      <w:r w:rsidR="008F1AE3">
        <w:t xml:space="preserve"> to verify or falsify my narrative. In addition, predictive analytics is liable to make it more difficult to have </w:t>
      </w:r>
      <w:r w:rsidR="00250F50">
        <w:t xml:space="preserve">inflated </w:t>
      </w:r>
      <w:r w:rsidR="008F1AE3">
        <w:t xml:space="preserve">confidence in one’s capabilities. If positive illusions about my own potential enable me to undertake ambitious plans and commitments, then </w:t>
      </w:r>
      <w:r w:rsidR="00A00B77">
        <w:t>well-evidenced predictions that I am likely to fail may keep from trying in the first place.</w:t>
      </w:r>
      <w:r w:rsidR="00270ADC">
        <w:t xml:space="preserve"> There may be a steep prudential price to be paid for the epistemic benefits of these innovations.</w:t>
      </w:r>
    </w:p>
    <w:p w14:paraId="339DECA9" w14:textId="77777777" w:rsidR="00966698" w:rsidRDefault="00966698" w:rsidP="00BA6528">
      <w:pPr>
        <w:rPr>
          <w:b/>
        </w:rPr>
      </w:pPr>
    </w:p>
    <w:p w14:paraId="4A05F608" w14:textId="61BC6367" w:rsidR="009614F2" w:rsidRDefault="009614F2" w:rsidP="00BA6528">
      <w:pPr>
        <w:rPr>
          <w:b/>
        </w:rPr>
      </w:pPr>
      <w:r>
        <w:rPr>
          <w:b/>
        </w:rPr>
        <w:t>References:</w:t>
      </w:r>
    </w:p>
    <w:p w14:paraId="2BC1FDDA" w14:textId="77777777" w:rsidR="00440439" w:rsidRDefault="00440439" w:rsidP="00BA6528"/>
    <w:p w14:paraId="54102177" w14:textId="6D829279" w:rsidR="002378F3" w:rsidRPr="007A710E" w:rsidRDefault="002378F3" w:rsidP="00AF7607">
      <w:pPr>
        <w:ind w:left="720" w:hanging="720"/>
      </w:pPr>
      <w:r w:rsidRPr="007A710E">
        <w:t xml:space="preserve">Alfano, M. (2010). The tenacity of the intentional prior to the </w:t>
      </w:r>
      <w:r w:rsidRPr="007A710E">
        <w:rPr>
          <w:i/>
        </w:rPr>
        <w:t>Genealogy</w:t>
      </w:r>
      <w:r w:rsidRPr="007A710E">
        <w:t xml:space="preserve">. </w:t>
      </w:r>
      <w:r w:rsidRPr="007A710E">
        <w:rPr>
          <w:i/>
        </w:rPr>
        <w:t>Journal of Nietzsche Studies</w:t>
      </w:r>
      <w:r w:rsidRPr="007A710E">
        <w:t>, 40: 123-40.</w:t>
      </w:r>
    </w:p>
    <w:p w14:paraId="133E3FBC" w14:textId="1585C0CB" w:rsidR="009614F2" w:rsidRPr="007A710E" w:rsidRDefault="00232294" w:rsidP="00AF7607">
      <w:pPr>
        <w:ind w:left="720" w:hanging="720"/>
      </w:pPr>
      <w:r w:rsidRPr="007A710E">
        <w:t>Alfano, M. (2013</w:t>
      </w:r>
      <w:r w:rsidR="00261011" w:rsidRPr="007A710E">
        <w:t>a</w:t>
      </w:r>
      <w:r w:rsidRPr="007A710E">
        <w:t xml:space="preserve">). </w:t>
      </w:r>
      <w:r w:rsidRPr="007A710E">
        <w:rPr>
          <w:i/>
        </w:rPr>
        <w:t>Character as Moral Fiction</w:t>
      </w:r>
      <w:r w:rsidRPr="007A710E">
        <w:t>. Cambridge University Press.</w:t>
      </w:r>
    </w:p>
    <w:p w14:paraId="4741F82C" w14:textId="231A733D" w:rsidR="00261011" w:rsidRPr="007A710E" w:rsidRDefault="00261011" w:rsidP="00AF7607">
      <w:pPr>
        <w:ind w:left="720" w:hanging="720"/>
      </w:pPr>
      <w:r w:rsidRPr="007A710E">
        <w:t xml:space="preserve">Alfano, M. (2013b). Nietzsche, naturalism, and the tenacity of the intentional. </w:t>
      </w:r>
      <w:r w:rsidRPr="007A710E">
        <w:rPr>
          <w:i/>
        </w:rPr>
        <w:t>Journal of Nietzsche Studies</w:t>
      </w:r>
      <w:r w:rsidRPr="007A710E">
        <w:t>, 44(3): 457-64.</w:t>
      </w:r>
    </w:p>
    <w:p w14:paraId="07FA20D1" w14:textId="352860D6" w:rsidR="002673C8" w:rsidRPr="007A710E" w:rsidRDefault="002673C8" w:rsidP="00AF7607">
      <w:pPr>
        <w:ind w:left="720" w:hanging="720"/>
      </w:pPr>
      <w:r w:rsidRPr="007A710E">
        <w:t xml:space="preserve">Alfano, M. (2015). How one becomes what one is called: On the relation between traits and trait-terms in Nietzsche. </w:t>
      </w:r>
      <w:r w:rsidRPr="007A710E">
        <w:rPr>
          <w:i/>
        </w:rPr>
        <w:t>Journal of Nietzsche Studies</w:t>
      </w:r>
      <w:r w:rsidRPr="007A710E">
        <w:t>, 46(1): 261-9.</w:t>
      </w:r>
    </w:p>
    <w:p w14:paraId="6D722A3B" w14:textId="7223A08E" w:rsidR="00232294" w:rsidRPr="007A710E" w:rsidRDefault="00232294" w:rsidP="00AF7607">
      <w:pPr>
        <w:ind w:left="720" w:hanging="720"/>
      </w:pPr>
      <w:r w:rsidRPr="007A710E">
        <w:t>Alfano, M. (2016</w:t>
      </w:r>
      <w:r w:rsidR="007B663F" w:rsidRPr="007A710E">
        <w:t>a</w:t>
      </w:r>
      <w:r w:rsidRPr="007A710E">
        <w:t xml:space="preserve">). </w:t>
      </w:r>
      <w:r w:rsidRPr="007A710E">
        <w:rPr>
          <w:i/>
        </w:rPr>
        <w:t>Moral Psychology: An Introduction</w:t>
      </w:r>
      <w:r w:rsidRPr="007A710E">
        <w:t>. Polity.</w:t>
      </w:r>
    </w:p>
    <w:p w14:paraId="5BD353A2" w14:textId="333E9FC9" w:rsidR="007B663F" w:rsidRPr="007A710E" w:rsidRDefault="007B663F" w:rsidP="00AF7607">
      <w:pPr>
        <w:ind w:left="720" w:hanging="720"/>
      </w:pPr>
      <w:r w:rsidRPr="007A710E">
        <w:t xml:space="preserve">Alfano, M. (2016b). Friendship and the structure of trust. In A. Masala &amp; J. Webber (eds.), </w:t>
      </w:r>
      <w:r w:rsidRPr="007A710E">
        <w:rPr>
          <w:i/>
        </w:rPr>
        <w:t>From Personality to Virtue</w:t>
      </w:r>
      <w:r w:rsidRPr="007A710E">
        <w:t>. Oxford University Press.</w:t>
      </w:r>
    </w:p>
    <w:p w14:paraId="4D0AE29B" w14:textId="723D7205" w:rsidR="009B6B73" w:rsidRDefault="009B6B73" w:rsidP="00AF7607">
      <w:pPr>
        <w:ind w:left="720" w:hanging="720"/>
      </w:pPr>
      <w:r w:rsidRPr="007A710E">
        <w:t xml:space="preserve">Alfano, M. (2016c). How one becomes what one is: </w:t>
      </w:r>
      <w:r w:rsidR="004E7CFE" w:rsidRPr="007A710E">
        <w:t xml:space="preserve">The case for a Nietzschean conception of character development. In I. Fileva (ed.), </w:t>
      </w:r>
      <w:r w:rsidR="004E7CFE" w:rsidRPr="007A710E">
        <w:rPr>
          <w:i/>
        </w:rPr>
        <w:t>Perspectives on Character</w:t>
      </w:r>
      <w:r w:rsidR="004E7CFE" w:rsidRPr="007A710E">
        <w:t>. Oxford University Press.</w:t>
      </w:r>
    </w:p>
    <w:p w14:paraId="1C6D7D62" w14:textId="6BCE0697" w:rsidR="00197DA6" w:rsidRPr="00197DA6" w:rsidRDefault="00197DA6" w:rsidP="00AF7607">
      <w:pPr>
        <w:ind w:left="720" w:hanging="720"/>
      </w:pPr>
      <w:r>
        <w:t xml:space="preserve">Dixon, </w:t>
      </w:r>
      <w:r w:rsidR="00D94353">
        <w:t xml:space="preserve">R. </w:t>
      </w:r>
      <w:r>
        <w:t>&amp; Gould</w:t>
      </w:r>
      <w:r w:rsidR="00D94353">
        <w:t>, O</w:t>
      </w:r>
      <w:r>
        <w:t xml:space="preserve">. (1996). </w:t>
      </w:r>
      <w:r w:rsidR="00D94353">
        <w:t>Adults telling and retelling stories collaboratively</w:t>
      </w:r>
      <w:r>
        <w:t xml:space="preserve">. In P. Baltes &amp; U. Staudinger (eds.), </w:t>
      </w:r>
      <w:r>
        <w:rPr>
          <w:i/>
        </w:rPr>
        <w:t>Interactive Minds: Life-Span Perspectives on the Social Foundation of Cognition</w:t>
      </w:r>
      <w:r>
        <w:t>. Cambridge University Press.</w:t>
      </w:r>
    </w:p>
    <w:p w14:paraId="0CE04638" w14:textId="31678E22" w:rsidR="008D53C2" w:rsidRDefault="008D53C2" w:rsidP="00AF7607">
      <w:pPr>
        <w:ind w:left="720" w:hanging="720"/>
      </w:pPr>
      <w:r w:rsidRPr="007A710E">
        <w:t>Katsafanas, P. (</w:t>
      </w:r>
      <w:r w:rsidR="00AF7607" w:rsidRPr="007A710E">
        <w:t xml:space="preserve">2013). </w:t>
      </w:r>
      <w:r w:rsidR="00AF7607" w:rsidRPr="007A710E">
        <w:rPr>
          <w:i/>
        </w:rPr>
        <w:t>Agency and the Foundations of Ethics: Nietzschean Constitutivism</w:t>
      </w:r>
      <w:r w:rsidR="00AF7607" w:rsidRPr="007A710E">
        <w:t>. Oxford University Press.</w:t>
      </w:r>
    </w:p>
    <w:p w14:paraId="5A98B877" w14:textId="43FE74A6" w:rsidR="006F2208" w:rsidRPr="006F2208" w:rsidRDefault="006F2208" w:rsidP="00AF7607">
      <w:pPr>
        <w:ind w:left="720" w:hanging="720"/>
      </w:pPr>
      <w:r>
        <w:t xml:space="preserve">Katsafanas, P. (2016). </w:t>
      </w:r>
      <w:r>
        <w:rPr>
          <w:i/>
        </w:rPr>
        <w:t>The Nietzschean Self: Moral Psychology, Agency, and the Unconscious</w:t>
      </w:r>
      <w:r>
        <w:t>. Oxford University Press.</w:t>
      </w:r>
      <w:bookmarkStart w:id="0" w:name="_GoBack"/>
      <w:bookmarkEnd w:id="0"/>
    </w:p>
    <w:p w14:paraId="1CB9A2C5" w14:textId="1CE5D1CB" w:rsidR="0085597A" w:rsidRDefault="0085597A" w:rsidP="0085597A">
      <w:pPr>
        <w:ind w:left="720" w:hanging="720"/>
      </w:pPr>
      <w:r w:rsidRPr="007A710E">
        <w:t xml:space="preserve">Lindemann, H. (2014). </w:t>
      </w:r>
      <w:r w:rsidRPr="007A710E">
        <w:rPr>
          <w:i/>
        </w:rPr>
        <w:t>Holding and Letting Go: The Social Practice of Personal Identities</w:t>
      </w:r>
      <w:r w:rsidRPr="007A710E">
        <w:t>.</w:t>
      </w:r>
      <w:r w:rsidR="00704984">
        <w:t xml:space="preserve"> Oxford University Press.</w:t>
      </w:r>
    </w:p>
    <w:p w14:paraId="579F6A1F" w14:textId="09231396" w:rsidR="00704984" w:rsidRPr="00FE3818" w:rsidRDefault="00FE3818" w:rsidP="0085597A">
      <w:pPr>
        <w:ind w:left="720" w:hanging="720"/>
      </w:pPr>
      <w:r>
        <w:t xml:space="preserve">Selke, S. (2016). </w:t>
      </w:r>
      <w:r>
        <w:rPr>
          <w:i/>
        </w:rPr>
        <w:t>Lifelogging: Digital Self-tracking and Lifelogging: Between Disruptive Technology and Cultural Transformation</w:t>
      </w:r>
      <w:r>
        <w:t>. Springer.</w:t>
      </w:r>
    </w:p>
    <w:p w14:paraId="685FF324" w14:textId="6A867589" w:rsidR="00B107BB" w:rsidRPr="000B1C28" w:rsidRDefault="00B107BB" w:rsidP="00B107BB">
      <w:pPr>
        <w:ind w:left="720" w:hanging="720"/>
      </w:pPr>
      <w:r w:rsidRPr="000B1C28">
        <w:t>Nietzsche, F.</w:t>
      </w:r>
      <w:r w:rsidR="000E3990" w:rsidRPr="000B1C28">
        <w:t xml:space="preserve"> (1878</w:t>
      </w:r>
      <w:r w:rsidR="00831DDC" w:rsidRPr="000B1C28">
        <w:t>/1996</w:t>
      </w:r>
      <w:r w:rsidR="000E3990" w:rsidRPr="000B1C28">
        <w:t>).</w:t>
      </w:r>
      <w:r w:rsidRPr="000B1C28">
        <w:t xml:space="preserve"> </w:t>
      </w:r>
      <w:r w:rsidRPr="000B1C28">
        <w:rPr>
          <w:i/>
        </w:rPr>
        <w:t>Human All-Too-Human</w:t>
      </w:r>
      <w:r w:rsidRPr="000B1C28">
        <w:t xml:space="preserve">. </w:t>
      </w:r>
      <w:r w:rsidR="00831DDC" w:rsidRPr="000B1C28">
        <w:t>Translated by R. J. Hollingdale. Cambridge University Press.</w:t>
      </w:r>
    </w:p>
    <w:p w14:paraId="3D115E1A" w14:textId="36AF5EDE" w:rsidR="006625E0" w:rsidRPr="000B1C28" w:rsidRDefault="006625E0" w:rsidP="00AF7607">
      <w:pPr>
        <w:ind w:left="720" w:hanging="720"/>
      </w:pPr>
      <w:r w:rsidRPr="000B1C28">
        <w:t>Nietzsche, F.</w:t>
      </w:r>
      <w:r w:rsidR="00A97400" w:rsidRPr="000B1C28">
        <w:t xml:space="preserve"> (1881/1997).</w:t>
      </w:r>
      <w:r w:rsidR="003230CD" w:rsidRPr="000B1C28">
        <w:t xml:space="preserve"> </w:t>
      </w:r>
      <w:r w:rsidR="003230CD" w:rsidRPr="000B1C28">
        <w:rPr>
          <w:i/>
        </w:rPr>
        <w:t>Daybreak</w:t>
      </w:r>
      <w:r w:rsidR="00A97400" w:rsidRPr="000B1C28">
        <w:rPr>
          <w:i/>
        </w:rPr>
        <w:t>: Thoughts on the Prejudices of Morality</w:t>
      </w:r>
      <w:r w:rsidR="003230CD" w:rsidRPr="000B1C28">
        <w:t xml:space="preserve">. </w:t>
      </w:r>
      <w:r w:rsidR="00A97400" w:rsidRPr="000B1C28">
        <w:t>Translated by R. J. Hollingdale. Edited by M. Clark &amp; B. Leiter. Cambridge University Press.</w:t>
      </w:r>
    </w:p>
    <w:p w14:paraId="418214FF" w14:textId="2CCE8C4F" w:rsidR="003230CD" w:rsidRPr="000B1C28" w:rsidRDefault="003230CD" w:rsidP="00AF7607">
      <w:pPr>
        <w:ind w:left="720" w:hanging="720"/>
      </w:pPr>
      <w:r w:rsidRPr="000B1C28">
        <w:t>Nietzsche, F.</w:t>
      </w:r>
      <w:r w:rsidR="00D80D2A" w:rsidRPr="000B1C28">
        <w:t xml:space="preserve"> (1882/2001).</w:t>
      </w:r>
      <w:r w:rsidRPr="000B1C28">
        <w:t xml:space="preserve"> </w:t>
      </w:r>
      <w:r w:rsidRPr="000B1C28">
        <w:rPr>
          <w:i/>
        </w:rPr>
        <w:t>The Gay Science</w:t>
      </w:r>
      <w:r w:rsidRPr="000B1C28">
        <w:t xml:space="preserve">. </w:t>
      </w:r>
      <w:r w:rsidR="00D80D2A" w:rsidRPr="000B1C28">
        <w:t>Translated by J. Nauckhoff. Edited by B. Williams. Cambridge University Press.</w:t>
      </w:r>
    </w:p>
    <w:p w14:paraId="7FF29822" w14:textId="6C3A7D92" w:rsidR="003230CD" w:rsidRPr="000B1C28" w:rsidRDefault="003230CD" w:rsidP="00AF7607">
      <w:pPr>
        <w:ind w:left="720" w:hanging="720"/>
      </w:pPr>
      <w:r w:rsidRPr="000B1C28">
        <w:t>Nietzsche, F.</w:t>
      </w:r>
      <w:r w:rsidR="00517581" w:rsidRPr="000B1C28">
        <w:t xml:space="preserve"> (1883/2006)</w:t>
      </w:r>
      <w:r w:rsidRPr="000B1C28">
        <w:t xml:space="preserve"> </w:t>
      </w:r>
      <w:r w:rsidRPr="000B1C28">
        <w:rPr>
          <w:i/>
        </w:rPr>
        <w:t>Thus Spoke Zarathustra</w:t>
      </w:r>
      <w:r w:rsidRPr="000B1C28">
        <w:t>.</w:t>
      </w:r>
      <w:r w:rsidR="00517581" w:rsidRPr="000B1C28">
        <w:t xml:space="preserve"> Translated by A. Del Caro. Edited by A. Del Caro &amp; R. Pippin. Cambridge University Press.</w:t>
      </w:r>
    </w:p>
    <w:p w14:paraId="0915EDC1" w14:textId="24F3A631" w:rsidR="00ED7AAB" w:rsidRPr="000B1C28" w:rsidRDefault="00ED7AAB" w:rsidP="00ED7AAB">
      <w:pPr>
        <w:ind w:left="1440" w:hanging="1440"/>
        <w:rPr>
          <w:i/>
        </w:rPr>
      </w:pPr>
      <w:r w:rsidRPr="000B1C28">
        <w:t>Nietzsche, F. (1886</w:t>
      </w:r>
      <w:r w:rsidR="00821360" w:rsidRPr="000B1C28">
        <w:t>/2001).</w:t>
      </w:r>
      <w:r w:rsidRPr="000B1C28">
        <w:t xml:space="preserve"> </w:t>
      </w:r>
      <w:r w:rsidRPr="000B1C28">
        <w:rPr>
          <w:i/>
        </w:rPr>
        <w:t>Beyond Good and Evil</w:t>
      </w:r>
      <w:r w:rsidRPr="000B1C28">
        <w:t xml:space="preserve">. </w:t>
      </w:r>
      <w:r w:rsidR="00821360" w:rsidRPr="000B1C28">
        <w:t>Translated by J. Norman. Edited by R.-P. Horstmann. Cambridge University Press.</w:t>
      </w:r>
    </w:p>
    <w:p w14:paraId="77102F17" w14:textId="1F66882A" w:rsidR="003230CD" w:rsidRDefault="003230CD" w:rsidP="00AF7607">
      <w:pPr>
        <w:ind w:left="720" w:hanging="720"/>
      </w:pPr>
      <w:r w:rsidRPr="000B1C28">
        <w:t>Nietzsche, F.</w:t>
      </w:r>
      <w:r w:rsidR="005105BD" w:rsidRPr="000B1C28">
        <w:t xml:space="preserve"> (1887/2006).</w:t>
      </w:r>
      <w:r w:rsidR="008C26B6" w:rsidRPr="000B1C28">
        <w:t xml:space="preserve"> </w:t>
      </w:r>
      <w:r w:rsidR="008C26B6" w:rsidRPr="000B1C28">
        <w:rPr>
          <w:i/>
        </w:rPr>
        <w:t>Genealogy of Morals</w:t>
      </w:r>
      <w:r w:rsidR="008C26B6" w:rsidRPr="000B1C28">
        <w:t>.</w:t>
      </w:r>
      <w:r w:rsidR="005105BD" w:rsidRPr="000B1C28">
        <w:t xml:space="preserve"> Translated by C. Diethe. Edited by K. Ansell-</w:t>
      </w:r>
      <w:r w:rsidR="005105BD">
        <w:t>Pearson. Cambridge University Press.</w:t>
      </w:r>
    </w:p>
    <w:p w14:paraId="5DA6A00E" w14:textId="0BB5C849" w:rsidR="00642912" w:rsidRPr="00642912" w:rsidRDefault="00642912" w:rsidP="00AF7607">
      <w:pPr>
        <w:ind w:left="720" w:hanging="720"/>
      </w:pPr>
      <w:r>
        <w:t xml:space="preserve">Wong, D. (2006). </w:t>
      </w:r>
      <w:r>
        <w:rPr>
          <w:i/>
        </w:rPr>
        <w:t>Natural Moralities</w:t>
      </w:r>
      <w:r>
        <w:t>. Oxford University Press.</w:t>
      </w:r>
    </w:p>
    <w:p w14:paraId="2195D0F5" w14:textId="77777777" w:rsidR="00BA6528" w:rsidRPr="0090666F" w:rsidRDefault="00BA6528" w:rsidP="00BA6528"/>
    <w:sectPr w:rsidR="00BA6528" w:rsidRPr="0090666F" w:rsidSect="00E1575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4A4EF" w14:textId="77777777" w:rsidR="00F5557B" w:rsidRDefault="00F5557B" w:rsidP="000E67C7">
      <w:r>
        <w:separator/>
      </w:r>
    </w:p>
  </w:endnote>
  <w:endnote w:type="continuationSeparator" w:id="0">
    <w:p w14:paraId="6407D2AB" w14:textId="77777777" w:rsidR="00F5557B" w:rsidRDefault="00F5557B" w:rsidP="000E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66040" w14:textId="77777777" w:rsidR="000E67C7" w:rsidRDefault="000E67C7" w:rsidP="00FA30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39420" w14:textId="77777777" w:rsidR="000E67C7" w:rsidRDefault="000E67C7" w:rsidP="000E67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CB9FC" w14:textId="77777777" w:rsidR="000E67C7" w:rsidRDefault="000E67C7" w:rsidP="00FA30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5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5E55C2" w14:textId="77777777" w:rsidR="000E67C7" w:rsidRDefault="000E67C7" w:rsidP="000E67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7FAF4" w14:textId="77777777" w:rsidR="00F5557B" w:rsidRDefault="00F5557B" w:rsidP="000E67C7">
      <w:r>
        <w:separator/>
      </w:r>
    </w:p>
  </w:footnote>
  <w:footnote w:type="continuationSeparator" w:id="0">
    <w:p w14:paraId="7EE30931" w14:textId="77777777" w:rsidR="00F5557B" w:rsidRDefault="00F5557B" w:rsidP="000E67C7">
      <w:r>
        <w:continuationSeparator/>
      </w:r>
    </w:p>
  </w:footnote>
  <w:footnote w:id="1">
    <w:p w14:paraId="76997908" w14:textId="1B8C2DCA" w:rsidR="001D2886" w:rsidRDefault="001D2886">
      <w:pPr>
        <w:pStyle w:val="FootnoteText"/>
      </w:pPr>
      <w:r>
        <w:rPr>
          <w:rStyle w:val="FootnoteReference"/>
        </w:rPr>
        <w:footnoteRef/>
      </w:r>
      <w:r>
        <w:t xml:space="preserve"> I refer to Nietzsche’</w:t>
      </w:r>
      <w:r w:rsidR="00D801BA">
        <w:t>s texts using the canonical section numbering</w:t>
      </w:r>
      <w:r w:rsidR="009670CB">
        <w:t xml:space="preserve"> rather than page numbers</w:t>
      </w:r>
      <w:r w:rsidR="00D801BA">
        <w:t>.</w:t>
      </w:r>
    </w:p>
  </w:footnote>
  <w:footnote w:id="2">
    <w:p w14:paraId="5956B80A" w14:textId="6E1C5ADA" w:rsidR="002E53D0" w:rsidRDefault="002E53D0">
      <w:pPr>
        <w:pStyle w:val="FootnoteText"/>
      </w:pPr>
      <w:r>
        <w:rPr>
          <w:rStyle w:val="FootnoteReference"/>
        </w:rPr>
        <w:footnoteRef/>
      </w:r>
      <w:r>
        <w:t xml:space="preserve"> Arguably, the literature on </w:t>
      </w:r>
      <w:r w:rsidR="00707B59">
        <w:t>transactive</w:t>
      </w:r>
      <w:r w:rsidR="003B7979">
        <w:t xml:space="preserve"> memories (e.g., Dixon &amp; Gould 1996)</w:t>
      </w:r>
      <w:r>
        <w:t xml:space="preserve"> already does this to some extent. Thanks to Alessandra Tanesini for pointing this out.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87C28"/>
    <w:multiLevelType w:val="hybridMultilevel"/>
    <w:tmpl w:val="AE50CFD8"/>
    <w:lvl w:ilvl="0" w:tplc="A3323B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6F"/>
    <w:rsid w:val="00002912"/>
    <w:rsid w:val="00004F42"/>
    <w:rsid w:val="00022253"/>
    <w:rsid w:val="000335CC"/>
    <w:rsid w:val="00035F61"/>
    <w:rsid w:val="000416A8"/>
    <w:rsid w:val="0005051F"/>
    <w:rsid w:val="00055B44"/>
    <w:rsid w:val="00056815"/>
    <w:rsid w:val="0005684B"/>
    <w:rsid w:val="00064C09"/>
    <w:rsid w:val="00077267"/>
    <w:rsid w:val="00077836"/>
    <w:rsid w:val="000864D9"/>
    <w:rsid w:val="00091674"/>
    <w:rsid w:val="000A3318"/>
    <w:rsid w:val="000A6AD2"/>
    <w:rsid w:val="000A71EB"/>
    <w:rsid w:val="000B1C28"/>
    <w:rsid w:val="000C470F"/>
    <w:rsid w:val="000C6ABD"/>
    <w:rsid w:val="000C7033"/>
    <w:rsid w:val="000E3990"/>
    <w:rsid w:val="000E469A"/>
    <w:rsid w:val="000E6674"/>
    <w:rsid w:val="000E67C7"/>
    <w:rsid w:val="000E72DA"/>
    <w:rsid w:val="00101D89"/>
    <w:rsid w:val="0010612C"/>
    <w:rsid w:val="00115AC3"/>
    <w:rsid w:val="00125A67"/>
    <w:rsid w:val="001272FC"/>
    <w:rsid w:val="00130A11"/>
    <w:rsid w:val="00142742"/>
    <w:rsid w:val="0014698A"/>
    <w:rsid w:val="00152879"/>
    <w:rsid w:val="001664D1"/>
    <w:rsid w:val="00167E64"/>
    <w:rsid w:val="0017514B"/>
    <w:rsid w:val="0018609D"/>
    <w:rsid w:val="00196828"/>
    <w:rsid w:val="00196A8A"/>
    <w:rsid w:val="00197DA6"/>
    <w:rsid w:val="001A0243"/>
    <w:rsid w:val="001A083A"/>
    <w:rsid w:val="001A634A"/>
    <w:rsid w:val="001B65F9"/>
    <w:rsid w:val="001D2886"/>
    <w:rsid w:val="001D462B"/>
    <w:rsid w:val="001D56E5"/>
    <w:rsid w:val="001D7696"/>
    <w:rsid w:val="001E2EC5"/>
    <w:rsid w:val="001F1154"/>
    <w:rsid w:val="001F2B92"/>
    <w:rsid w:val="00232294"/>
    <w:rsid w:val="00235396"/>
    <w:rsid w:val="00235D4A"/>
    <w:rsid w:val="002378F3"/>
    <w:rsid w:val="0024622F"/>
    <w:rsid w:val="00250F50"/>
    <w:rsid w:val="0025276D"/>
    <w:rsid w:val="00260956"/>
    <w:rsid w:val="00261011"/>
    <w:rsid w:val="00264581"/>
    <w:rsid w:val="002673C8"/>
    <w:rsid w:val="00270A4C"/>
    <w:rsid w:val="00270ADC"/>
    <w:rsid w:val="00277B82"/>
    <w:rsid w:val="0028007A"/>
    <w:rsid w:val="0028402E"/>
    <w:rsid w:val="00285E06"/>
    <w:rsid w:val="002A6779"/>
    <w:rsid w:val="002A76B2"/>
    <w:rsid w:val="002B24FC"/>
    <w:rsid w:val="002B71B3"/>
    <w:rsid w:val="002C31D0"/>
    <w:rsid w:val="002D066E"/>
    <w:rsid w:val="002E53D0"/>
    <w:rsid w:val="002E5EBD"/>
    <w:rsid w:val="00307FC6"/>
    <w:rsid w:val="00316C5F"/>
    <w:rsid w:val="003216B9"/>
    <w:rsid w:val="00322A8F"/>
    <w:rsid w:val="003230CD"/>
    <w:rsid w:val="00330FCF"/>
    <w:rsid w:val="00340577"/>
    <w:rsid w:val="00342265"/>
    <w:rsid w:val="00342738"/>
    <w:rsid w:val="00351780"/>
    <w:rsid w:val="003640A1"/>
    <w:rsid w:val="00364934"/>
    <w:rsid w:val="00375108"/>
    <w:rsid w:val="0038244F"/>
    <w:rsid w:val="00394BD0"/>
    <w:rsid w:val="003A6F17"/>
    <w:rsid w:val="003B0A48"/>
    <w:rsid w:val="003B4110"/>
    <w:rsid w:val="003B7979"/>
    <w:rsid w:val="003E3EFE"/>
    <w:rsid w:val="003F3451"/>
    <w:rsid w:val="004017B2"/>
    <w:rsid w:val="004162D9"/>
    <w:rsid w:val="00423D4D"/>
    <w:rsid w:val="00440439"/>
    <w:rsid w:val="0045183D"/>
    <w:rsid w:val="0045354F"/>
    <w:rsid w:val="00486822"/>
    <w:rsid w:val="0049109F"/>
    <w:rsid w:val="004B5772"/>
    <w:rsid w:val="004C33C2"/>
    <w:rsid w:val="004D25AD"/>
    <w:rsid w:val="004E0C04"/>
    <w:rsid w:val="004E0C81"/>
    <w:rsid w:val="004E3ABD"/>
    <w:rsid w:val="004E5E9C"/>
    <w:rsid w:val="004E7CFE"/>
    <w:rsid w:val="004F64AD"/>
    <w:rsid w:val="00507B01"/>
    <w:rsid w:val="005105BD"/>
    <w:rsid w:val="00517581"/>
    <w:rsid w:val="00520B79"/>
    <w:rsid w:val="00527547"/>
    <w:rsid w:val="0055699D"/>
    <w:rsid w:val="00565E47"/>
    <w:rsid w:val="00572E53"/>
    <w:rsid w:val="00594F2D"/>
    <w:rsid w:val="005A7B1A"/>
    <w:rsid w:val="005B5915"/>
    <w:rsid w:val="005C3D16"/>
    <w:rsid w:val="005C6C42"/>
    <w:rsid w:val="005D36BD"/>
    <w:rsid w:val="005D4C44"/>
    <w:rsid w:val="005E59B2"/>
    <w:rsid w:val="00600364"/>
    <w:rsid w:val="00602AD5"/>
    <w:rsid w:val="00607A7F"/>
    <w:rsid w:val="00623BA0"/>
    <w:rsid w:val="00624ACC"/>
    <w:rsid w:val="00637AA7"/>
    <w:rsid w:val="00641935"/>
    <w:rsid w:val="00642912"/>
    <w:rsid w:val="00645E6B"/>
    <w:rsid w:val="00654E2A"/>
    <w:rsid w:val="00657119"/>
    <w:rsid w:val="006625E0"/>
    <w:rsid w:val="0066303F"/>
    <w:rsid w:val="006735E1"/>
    <w:rsid w:val="00673BA5"/>
    <w:rsid w:val="00686E62"/>
    <w:rsid w:val="00694460"/>
    <w:rsid w:val="0069674E"/>
    <w:rsid w:val="006A1533"/>
    <w:rsid w:val="006A68EE"/>
    <w:rsid w:val="006B0E5C"/>
    <w:rsid w:val="006C3367"/>
    <w:rsid w:val="006C7BD4"/>
    <w:rsid w:val="006D6105"/>
    <w:rsid w:val="006D688E"/>
    <w:rsid w:val="006F2208"/>
    <w:rsid w:val="006F6425"/>
    <w:rsid w:val="00700894"/>
    <w:rsid w:val="00703547"/>
    <w:rsid w:val="00704984"/>
    <w:rsid w:val="00707B59"/>
    <w:rsid w:val="0072098F"/>
    <w:rsid w:val="00722003"/>
    <w:rsid w:val="00732919"/>
    <w:rsid w:val="00743E64"/>
    <w:rsid w:val="00761BC9"/>
    <w:rsid w:val="00762B95"/>
    <w:rsid w:val="00766368"/>
    <w:rsid w:val="00773B16"/>
    <w:rsid w:val="00775FE8"/>
    <w:rsid w:val="00780996"/>
    <w:rsid w:val="007902DB"/>
    <w:rsid w:val="007A0C38"/>
    <w:rsid w:val="007A710E"/>
    <w:rsid w:val="007B3CEC"/>
    <w:rsid w:val="007B663F"/>
    <w:rsid w:val="007C32F1"/>
    <w:rsid w:val="007C40E5"/>
    <w:rsid w:val="007D3DDF"/>
    <w:rsid w:val="007F46F1"/>
    <w:rsid w:val="00813BEC"/>
    <w:rsid w:val="00816074"/>
    <w:rsid w:val="00816A75"/>
    <w:rsid w:val="00821360"/>
    <w:rsid w:val="00822988"/>
    <w:rsid w:val="00824692"/>
    <w:rsid w:val="00831DDC"/>
    <w:rsid w:val="0085597A"/>
    <w:rsid w:val="008737BF"/>
    <w:rsid w:val="00873D94"/>
    <w:rsid w:val="00880A74"/>
    <w:rsid w:val="00885BEF"/>
    <w:rsid w:val="00892FB9"/>
    <w:rsid w:val="008C26B6"/>
    <w:rsid w:val="008D53C2"/>
    <w:rsid w:val="008E6A43"/>
    <w:rsid w:val="008F1AE3"/>
    <w:rsid w:val="008F214E"/>
    <w:rsid w:val="008F7CF0"/>
    <w:rsid w:val="009023BA"/>
    <w:rsid w:val="009040A9"/>
    <w:rsid w:val="0090666F"/>
    <w:rsid w:val="009141EB"/>
    <w:rsid w:val="00914DD6"/>
    <w:rsid w:val="0091734E"/>
    <w:rsid w:val="00917CB5"/>
    <w:rsid w:val="009269E6"/>
    <w:rsid w:val="009460EE"/>
    <w:rsid w:val="009614F2"/>
    <w:rsid w:val="00966698"/>
    <w:rsid w:val="009670CB"/>
    <w:rsid w:val="009759DE"/>
    <w:rsid w:val="00981424"/>
    <w:rsid w:val="009823CE"/>
    <w:rsid w:val="0098242F"/>
    <w:rsid w:val="009A1D4E"/>
    <w:rsid w:val="009A2492"/>
    <w:rsid w:val="009A4621"/>
    <w:rsid w:val="009A6875"/>
    <w:rsid w:val="009B3A86"/>
    <w:rsid w:val="009B6B73"/>
    <w:rsid w:val="009C05BF"/>
    <w:rsid w:val="009C551E"/>
    <w:rsid w:val="009C7BC4"/>
    <w:rsid w:val="009D1034"/>
    <w:rsid w:val="009F3F84"/>
    <w:rsid w:val="00A00B77"/>
    <w:rsid w:val="00A02011"/>
    <w:rsid w:val="00A048FB"/>
    <w:rsid w:val="00A05FD6"/>
    <w:rsid w:val="00A0794D"/>
    <w:rsid w:val="00A2157E"/>
    <w:rsid w:val="00A226B9"/>
    <w:rsid w:val="00A24FC0"/>
    <w:rsid w:val="00A5390E"/>
    <w:rsid w:val="00A54F23"/>
    <w:rsid w:val="00A605C4"/>
    <w:rsid w:val="00A67F25"/>
    <w:rsid w:val="00A81727"/>
    <w:rsid w:val="00A97400"/>
    <w:rsid w:val="00AA37F4"/>
    <w:rsid w:val="00AA6D5C"/>
    <w:rsid w:val="00AB1B3C"/>
    <w:rsid w:val="00AB75CA"/>
    <w:rsid w:val="00AC6A1D"/>
    <w:rsid w:val="00AD1109"/>
    <w:rsid w:val="00AD2D29"/>
    <w:rsid w:val="00AD3E61"/>
    <w:rsid w:val="00AE4A3E"/>
    <w:rsid w:val="00AE78C1"/>
    <w:rsid w:val="00AF7607"/>
    <w:rsid w:val="00B00127"/>
    <w:rsid w:val="00B107BB"/>
    <w:rsid w:val="00B12563"/>
    <w:rsid w:val="00B20E76"/>
    <w:rsid w:val="00B26CD8"/>
    <w:rsid w:val="00B2793D"/>
    <w:rsid w:val="00B43557"/>
    <w:rsid w:val="00B51A30"/>
    <w:rsid w:val="00B53A66"/>
    <w:rsid w:val="00B65BE1"/>
    <w:rsid w:val="00B71348"/>
    <w:rsid w:val="00B71B85"/>
    <w:rsid w:val="00B739B6"/>
    <w:rsid w:val="00B765F2"/>
    <w:rsid w:val="00B81650"/>
    <w:rsid w:val="00B91421"/>
    <w:rsid w:val="00B970DF"/>
    <w:rsid w:val="00BA1179"/>
    <w:rsid w:val="00BA574C"/>
    <w:rsid w:val="00BA5C3B"/>
    <w:rsid w:val="00BA5E0F"/>
    <w:rsid w:val="00BA6528"/>
    <w:rsid w:val="00BB2B40"/>
    <w:rsid w:val="00BB51FB"/>
    <w:rsid w:val="00BB532D"/>
    <w:rsid w:val="00BC05BE"/>
    <w:rsid w:val="00BC26EB"/>
    <w:rsid w:val="00BC569B"/>
    <w:rsid w:val="00BE118E"/>
    <w:rsid w:val="00BF25A7"/>
    <w:rsid w:val="00C06BE5"/>
    <w:rsid w:val="00C272D2"/>
    <w:rsid w:val="00C50FA2"/>
    <w:rsid w:val="00C77041"/>
    <w:rsid w:val="00C917CA"/>
    <w:rsid w:val="00C94E29"/>
    <w:rsid w:val="00CA3B5D"/>
    <w:rsid w:val="00CC2EDA"/>
    <w:rsid w:val="00CC5EE8"/>
    <w:rsid w:val="00CD21FB"/>
    <w:rsid w:val="00CF4C06"/>
    <w:rsid w:val="00D12154"/>
    <w:rsid w:val="00D43B64"/>
    <w:rsid w:val="00D45008"/>
    <w:rsid w:val="00D457DE"/>
    <w:rsid w:val="00D46541"/>
    <w:rsid w:val="00D47C49"/>
    <w:rsid w:val="00D62C8C"/>
    <w:rsid w:val="00D63800"/>
    <w:rsid w:val="00D73EC0"/>
    <w:rsid w:val="00D801BA"/>
    <w:rsid w:val="00D802AB"/>
    <w:rsid w:val="00D80C9D"/>
    <w:rsid w:val="00D80D2A"/>
    <w:rsid w:val="00D841A2"/>
    <w:rsid w:val="00D8608B"/>
    <w:rsid w:val="00D92B43"/>
    <w:rsid w:val="00D94353"/>
    <w:rsid w:val="00D966D0"/>
    <w:rsid w:val="00DA2D28"/>
    <w:rsid w:val="00DC38DD"/>
    <w:rsid w:val="00DC51EA"/>
    <w:rsid w:val="00DF0839"/>
    <w:rsid w:val="00E075F4"/>
    <w:rsid w:val="00E13270"/>
    <w:rsid w:val="00E135E4"/>
    <w:rsid w:val="00E1575A"/>
    <w:rsid w:val="00E17295"/>
    <w:rsid w:val="00E5129C"/>
    <w:rsid w:val="00E72815"/>
    <w:rsid w:val="00E7673E"/>
    <w:rsid w:val="00E86C9C"/>
    <w:rsid w:val="00EA595D"/>
    <w:rsid w:val="00EB0DA7"/>
    <w:rsid w:val="00EB3EAD"/>
    <w:rsid w:val="00EB5C6D"/>
    <w:rsid w:val="00EC1594"/>
    <w:rsid w:val="00EC526B"/>
    <w:rsid w:val="00ED5E47"/>
    <w:rsid w:val="00ED7AAB"/>
    <w:rsid w:val="00EE211A"/>
    <w:rsid w:val="00EE2ABD"/>
    <w:rsid w:val="00F02187"/>
    <w:rsid w:val="00F0601A"/>
    <w:rsid w:val="00F10E1B"/>
    <w:rsid w:val="00F37D7C"/>
    <w:rsid w:val="00F5557B"/>
    <w:rsid w:val="00F562CD"/>
    <w:rsid w:val="00F6513B"/>
    <w:rsid w:val="00F73EC2"/>
    <w:rsid w:val="00F742DD"/>
    <w:rsid w:val="00F82B12"/>
    <w:rsid w:val="00F95846"/>
    <w:rsid w:val="00FA1E3A"/>
    <w:rsid w:val="00FA2B37"/>
    <w:rsid w:val="00FB3C7B"/>
    <w:rsid w:val="00FC0A9A"/>
    <w:rsid w:val="00FC21C5"/>
    <w:rsid w:val="00FE3818"/>
    <w:rsid w:val="00FE50B8"/>
    <w:rsid w:val="00FF15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FF9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AA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*Body"/>
    <w:basedOn w:val="Normal"/>
    <w:qFormat/>
    <w:rsid w:val="00EB5C6D"/>
  </w:style>
  <w:style w:type="paragraph" w:customStyle="1" w:styleId="BlockQuotation">
    <w:name w:val="*Block Quotation"/>
    <w:basedOn w:val="Normal"/>
    <w:qFormat/>
    <w:rsid w:val="006F6425"/>
    <w:pPr>
      <w:ind w:left="720"/>
    </w:pPr>
  </w:style>
  <w:style w:type="paragraph" w:customStyle="1" w:styleId="Heading">
    <w:name w:val="*Heading"/>
    <w:basedOn w:val="Normal"/>
    <w:qFormat/>
    <w:rsid w:val="006F6425"/>
    <w:rPr>
      <w:b/>
    </w:rPr>
  </w:style>
  <w:style w:type="paragraph" w:styleId="ListParagraph">
    <w:name w:val="List Paragraph"/>
    <w:basedOn w:val="Normal"/>
    <w:uiPriority w:val="34"/>
    <w:qFormat/>
    <w:rsid w:val="007809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7C7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E67C7"/>
  </w:style>
  <w:style w:type="paragraph" w:styleId="FootnoteText">
    <w:name w:val="footnote text"/>
    <w:basedOn w:val="Normal"/>
    <w:link w:val="FootnoteTextChar"/>
    <w:uiPriority w:val="99"/>
    <w:unhideWhenUsed/>
    <w:rsid w:val="001D2886"/>
  </w:style>
  <w:style w:type="character" w:customStyle="1" w:styleId="FootnoteTextChar">
    <w:name w:val="Footnote Text Char"/>
    <w:basedOn w:val="DefaultParagraphFont"/>
    <w:link w:val="FootnoteText"/>
    <w:uiPriority w:val="99"/>
    <w:rsid w:val="001D288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1D2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1715</Words>
  <Characters>9778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Alfano</dc:creator>
  <cp:keywords/>
  <dc:description/>
  <cp:lastModifiedBy>Mark Alfano</cp:lastModifiedBy>
  <cp:revision>303</cp:revision>
  <dcterms:created xsi:type="dcterms:W3CDTF">2016-11-25T18:25:00Z</dcterms:created>
  <dcterms:modified xsi:type="dcterms:W3CDTF">2017-02-20T16:03:00Z</dcterms:modified>
</cp:coreProperties>
</file>