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8BF68" w14:textId="6FE2DBB2" w:rsidR="003F635C" w:rsidRPr="003F635C" w:rsidRDefault="003F635C" w:rsidP="003F635C">
      <w:pPr>
        <w:jc w:val="right"/>
        <w:rPr>
          <w:rFonts w:ascii="Helvetica" w:eastAsia="Times New Roman" w:hAnsi="Helvetica" w:cs="Helvetica"/>
          <w:color w:val="333333"/>
        </w:rPr>
      </w:pPr>
      <w:bookmarkStart w:id="0" w:name="_Hlk116452123"/>
      <w:r w:rsidRPr="003F635C">
        <w:t xml:space="preserve">Preprint version. Please cite from </w:t>
      </w:r>
      <w:r w:rsidRPr="003F635C">
        <w:rPr>
          <w:rFonts w:ascii="Helvetica" w:eastAsia="Times New Roman" w:hAnsi="Helvetica" w:cs="Helvetica"/>
          <w:color w:val="333333"/>
        </w:rPr>
        <w:t>Matthews S</w:t>
      </w:r>
      <w:r>
        <w:rPr>
          <w:rFonts w:ascii="Helvetica" w:eastAsia="Times New Roman" w:hAnsi="Helvetica" w:cs="Helvetica"/>
          <w:color w:val="333333"/>
        </w:rPr>
        <w:t>. “</w:t>
      </w:r>
      <w:r w:rsidRPr="003F635C">
        <w:rPr>
          <w:rFonts w:ascii="Helvetica" w:eastAsia="Times New Roman" w:hAnsi="Helvetica" w:cs="Helvetica"/>
          <w:color w:val="333333"/>
        </w:rPr>
        <w:t>Dignity and exclusion</w:t>
      </w:r>
      <w:r>
        <w:rPr>
          <w:rFonts w:ascii="Helvetica" w:eastAsia="Times New Roman" w:hAnsi="Helvetica" w:cs="Helvetica"/>
          <w:color w:val="333333"/>
        </w:rPr>
        <w:t xml:space="preserve">,” </w:t>
      </w:r>
      <w:r w:rsidRPr="003F635C">
        <w:rPr>
          <w:rFonts w:ascii="Helvetica" w:eastAsia="Times New Roman" w:hAnsi="Helvetica" w:cs="Helvetica"/>
          <w:i/>
          <w:iCs/>
          <w:color w:val="333333"/>
        </w:rPr>
        <w:t>Journal of Medical Ethics </w:t>
      </w:r>
      <w:r w:rsidRPr="003F635C">
        <w:rPr>
          <w:rFonts w:ascii="Helvetica" w:eastAsia="Times New Roman" w:hAnsi="Helvetica" w:cs="Helvetica"/>
          <w:color w:val="333333"/>
        </w:rPr>
        <w:t>2022;</w:t>
      </w:r>
      <w:r w:rsidRPr="003F635C">
        <w:rPr>
          <w:rFonts w:ascii="Helvetica" w:eastAsia="Times New Roman" w:hAnsi="Helvetica" w:cs="Helvetica"/>
          <w:b/>
          <w:bCs/>
          <w:color w:val="333333"/>
        </w:rPr>
        <w:t>48:</w:t>
      </w:r>
      <w:r w:rsidRPr="003F635C">
        <w:rPr>
          <w:rFonts w:ascii="Helvetica" w:eastAsia="Times New Roman" w:hAnsi="Helvetica" w:cs="Helvetica"/>
          <w:color w:val="333333"/>
        </w:rPr>
        <w:t>974.</w:t>
      </w:r>
    </w:p>
    <w:p w14:paraId="570074BD" w14:textId="6073D59E" w:rsidR="003F635C" w:rsidRDefault="003F635C" w:rsidP="003F635C"/>
    <w:p w14:paraId="34512562" w14:textId="66E414D7" w:rsidR="00034F58" w:rsidRPr="0086605E" w:rsidRDefault="00EB6BBB">
      <w:pPr>
        <w:rPr>
          <w:sz w:val="36"/>
          <w:szCs w:val="36"/>
        </w:rPr>
      </w:pPr>
      <w:r>
        <w:rPr>
          <w:sz w:val="36"/>
          <w:szCs w:val="36"/>
        </w:rPr>
        <w:t>Dignity and exclusion</w:t>
      </w:r>
    </w:p>
    <w:p w14:paraId="25C18FD9" w14:textId="70AAC58E" w:rsidR="00D92B7C" w:rsidRDefault="00D55A58" w:rsidP="00D55A58">
      <w:r>
        <w:t>Soofi</w:t>
      </w:r>
      <w:r w:rsidR="003222A6" w:rsidRPr="003222A6">
        <w:rPr>
          <w:vertAlign w:val="superscript"/>
        </w:rPr>
        <w:t>1</w:t>
      </w:r>
      <w:r>
        <w:t xml:space="preserve"> aims to develop an account of dignity in dementia care based on Nussbaum’s capabilities approach. He does this by drawing on the Kitwood-Bredin</w:t>
      </w:r>
      <w:r w:rsidR="003222A6" w:rsidRPr="003222A6">
        <w:rPr>
          <w:vertAlign w:val="superscript"/>
        </w:rPr>
        <w:t>2</w:t>
      </w:r>
      <w:r>
        <w:t xml:space="preserve"> list of well-being indicators, </w:t>
      </w:r>
      <w:proofErr w:type="gramStart"/>
      <w:r>
        <w:t>in order to</w:t>
      </w:r>
      <w:proofErr w:type="gramEnd"/>
      <w:r>
        <w:t xml:space="preserve"> fill out </w:t>
      </w:r>
      <w:r w:rsidR="007A7985">
        <w:t>her</w:t>
      </w:r>
      <w:r>
        <w:t xml:space="preserve"> account of human flourishing to cover aspects such as practical reasoning that appear beyond the reach of those with relatively severe dementia. </w:t>
      </w:r>
      <w:r w:rsidR="007A7985">
        <w:t>A</w:t>
      </w:r>
      <w:r>
        <w:t>s Soofi points out, Nussbaum</w:t>
      </w:r>
      <w:r w:rsidR="00EB67F8">
        <w:t>’s</w:t>
      </w:r>
      <w:r>
        <w:t xml:space="preserve"> claim that such lost abilities can be compensated through guardianship measures is implausible. </w:t>
      </w:r>
      <w:r w:rsidR="007A7985">
        <w:t>He</w:t>
      </w:r>
      <w:r w:rsidR="003725DE">
        <w:t xml:space="preserve"> </w:t>
      </w:r>
      <w:r w:rsidR="00EB67F8">
        <w:t>asserts</w:t>
      </w:r>
      <w:r w:rsidR="003725DE">
        <w:t xml:space="preserve"> in response that his account</w:t>
      </w:r>
      <w:r w:rsidR="0088532A">
        <w:t xml:space="preserve"> of dignity</w:t>
      </w:r>
      <w:r w:rsidR="003725DE">
        <w:t xml:space="preserve"> is sufficient to address the desiderata he sets out at the start, including especially the problem </w:t>
      </w:r>
      <w:r w:rsidR="00D92B7C">
        <w:t>of</w:t>
      </w:r>
      <w:r w:rsidR="0088532A">
        <w:t xml:space="preserve"> exclusionary implications any putative account should address. So far, so good, but a</w:t>
      </w:r>
      <w:r w:rsidR="00D92B7C">
        <w:t xml:space="preserve">n objection Soofi raises for his own account is that it </w:t>
      </w:r>
      <w:r w:rsidR="007A7985">
        <w:t>seems</w:t>
      </w:r>
      <w:r w:rsidR="00D92B7C">
        <w:t xml:space="preserve"> </w:t>
      </w:r>
      <w:r w:rsidR="00EB67F8">
        <w:t>unable</w:t>
      </w:r>
      <w:r w:rsidR="00D92B7C">
        <w:t xml:space="preserve"> to cover cases of severe late</w:t>
      </w:r>
      <w:r w:rsidR="00EF4C36">
        <w:t>-</w:t>
      </w:r>
      <w:r w:rsidR="00D92B7C">
        <w:t xml:space="preserve">stage dementia. </w:t>
      </w:r>
      <w:r w:rsidR="007A7985">
        <w:t>His response is,</w:t>
      </w:r>
      <w:r w:rsidR="00D92B7C">
        <w:t xml:space="preserve"> </w:t>
      </w:r>
    </w:p>
    <w:p w14:paraId="0DB82EE8" w14:textId="61C5FD79" w:rsidR="00D92B7C" w:rsidRDefault="007A7985" w:rsidP="00D92B7C">
      <w:pPr>
        <w:ind w:left="720"/>
      </w:pPr>
      <w:r>
        <w:t>…</w:t>
      </w:r>
      <w:r w:rsidR="00D92B7C">
        <w:t xml:space="preserve">that there is insufficient factual evidence to suggest that people at the very advanced stages of dementia lose all capabilities. But for the sake of argument, </w:t>
      </w:r>
      <w:proofErr w:type="gramStart"/>
      <w:r w:rsidR="00D92B7C">
        <w:t>let’s</w:t>
      </w:r>
      <w:proofErr w:type="gramEnd"/>
      <w:r w:rsidR="00D92B7C">
        <w:t xml:space="preserve"> suppose that this is true. This, however, still does not undermine the conceptual </w:t>
      </w:r>
      <w:proofErr w:type="spellStart"/>
      <w:r w:rsidR="00D92B7C">
        <w:t>rigour</w:t>
      </w:r>
      <w:proofErr w:type="spellEnd"/>
      <w:r w:rsidR="00D92B7C">
        <w:t xml:space="preserve"> of the modified version of Nussbaum’s account. This is because the list of the dementia-specific capabilities that I proposed</w:t>
      </w:r>
      <w:r w:rsidR="0088532A">
        <w:t>…</w:t>
      </w:r>
      <w:r w:rsidR="00D92B7C">
        <w:t>is open to include additional items that hold relevance to people in the late stages of dementia. The objection is viable only if we cannot find any sort of (humanlike) capacity available to people in the late stages of dementia. I highly suspect that this is not the case</w:t>
      </w:r>
      <w:r w:rsidR="003222A6">
        <w:t xml:space="preserve"> (p6)</w:t>
      </w:r>
    </w:p>
    <w:p w14:paraId="18B62DB0" w14:textId="4297B006" w:rsidR="00B00C18" w:rsidRDefault="006F6FEF" w:rsidP="00D92B7C">
      <w:r>
        <w:t>The</w:t>
      </w:r>
      <w:r w:rsidR="00155628">
        <w:t xml:space="preserve"> first</w:t>
      </w:r>
      <w:r>
        <w:t xml:space="preserve"> worry</w:t>
      </w:r>
      <w:r w:rsidR="002A194B">
        <w:t xml:space="preserve"> here </w:t>
      </w:r>
      <w:r w:rsidR="002E5A55">
        <w:t>is that t</w:t>
      </w:r>
      <w:r>
        <w:t xml:space="preserve">here is, in fact, evidence to suggest that in a </w:t>
      </w:r>
      <w:r w:rsidR="00EB67F8">
        <w:t>subset of</w:t>
      </w:r>
      <w:r>
        <w:t xml:space="preserve"> severe cases of dementia, all</w:t>
      </w:r>
      <w:r w:rsidR="002A194B">
        <w:t xml:space="preserve"> dignity-relevant</w:t>
      </w:r>
      <w:r>
        <w:t xml:space="preserve"> capabilities are lost. </w:t>
      </w:r>
      <w:r w:rsidR="00EF4C36">
        <w:t>For example, a</w:t>
      </w:r>
      <w:r>
        <w:t xml:space="preserve"> study by Jaul </w:t>
      </w:r>
      <w:r w:rsidR="00D75B08">
        <w:t>and Calderon-Margalit</w:t>
      </w:r>
      <w:r w:rsidR="003222A6" w:rsidRPr="003222A6">
        <w:rPr>
          <w:vertAlign w:val="superscript"/>
        </w:rPr>
        <w:t>3</w:t>
      </w:r>
      <w:r>
        <w:t xml:space="preserve"> concludes that the natural history of dementia is such that being in a permanent vegetative state (PVS) is an advanced stage of the condition in a range of cases. </w:t>
      </w:r>
      <w:r w:rsidR="00A762A3">
        <w:t>But</w:t>
      </w:r>
      <w:r w:rsidR="00155628">
        <w:t>, second,</w:t>
      </w:r>
      <w:r w:rsidR="00A762A3">
        <w:t xml:space="preserve"> can Soofi’s fallback position – that we can always find additional capacities for his list – save the account? </w:t>
      </w:r>
      <w:r w:rsidR="003F4A17">
        <w:t>The trouble is that</w:t>
      </w:r>
      <w:r w:rsidR="00A762A3">
        <w:t xml:space="preserve"> </w:t>
      </w:r>
      <w:r w:rsidR="003F4A17">
        <w:t>f</w:t>
      </w:r>
      <w:r w:rsidR="00A762A3">
        <w:t>or any additional item</w:t>
      </w:r>
      <w:r w:rsidR="00002243">
        <w:t xml:space="preserve"> we add to the account</w:t>
      </w:r>
      <w:r w:rsidR="00A762A3">
        <w:t xml:space="preserve"> it will be </w:t>
      </w:r>
      <w:r w:rsidR="00571F63">
        <w:t>in</w:t>
      </w:r>
      <w:r w:rsidR="00AA4C75">
        <w:t>-</w:t>
      </w:r>
      <w:r w:rsidR="00571F63">
        <w:t xml:space="preserve">principle possible for a case to emerge in which such a capacity </w:t>
      </w:r>
      <w:r w:rsidR="00D75B08">
        <w:t>i</w:t>
      </w:r>
      <w:r w:rsidR="00571F63">
        <w:t>s missing.</w:t>
      </w:r>
      <w:r w:rsidR="00AB7CF9">
        <w:t xml:space="preserve"> </w:t>
      </w:r>
      <w:r w:rsidR="00D2409D">
        <w:t>Additionally</w:t>
      </w:r>
      <w:r w:rsidR="00155628">
        <w:t xml:space="preserve">, </w:t>
      </w:r>
      <w:r w:rsidR="00D75B08">
        <w:t>if we may add ‘any sort of (humanlike) capacity</w:t>
      </w:r>
      <w:proofErr w:type="gramStart"/>
      <w:r w:rsidR="00D75B08">
        <w:t>’</w:t>
      </w:r>
      <w:r w:rsidR="00EB67F8">
        <w:t>,</w:t>
      </w:r>
      <w:proofErr w:type="gramEnd"/>
      <w:r w:rsidR="00155628">
        <w:t xml:space="preserve"> </w:t>
      </w:r>
      <w:r w:rsidR="00EB67F8">
        <w:t xml:space="preserve">then </w:t>
      </w:r>
      <w:r w:rsidR="00155628">
        <w:t>w</w:t>
      </w:r>
      <w:r w:rsidR="00AB7CF9">
        <w:t>e begin to lose our grip on what is a dignity-relevant capacity.</w:t>
      </w:r>
      <w:r w:rsidR="003F4A17">
        <w:t xml:space="preserve"> Related to this </w:t>
      </w:r>
      <w:r w:rsidR="00AB7CF9">
        <w:t xml:space="preserve">is Soofi’s claim that </w:t>
      </w:r>
      <w:r w:rsidR="00B00C18">
        <w:t xml:space="preserve">since possession of the capabilities is a matter of degree, </w:t>
      </w:r>
    </w:p>
    <w:p w14:paraId="6197B77B" w14:textId="1B76BF19" w:rsidR="00B00C18" w:rsidRDefault="00AB7CF9" w:rsidP="00B00C18">
      <w:pPr>
        <w:ind w:left="720"/>
      </w:pPr>
      <w:r>
        <w:t>…</w:t>
      </w:r>
      <w:r w:rsidR="00B00C18">
        <w:t>assessing the violations of the dignity of people with dementia should focus on external constraints that negatively impact people with dementia to access and exercise their extant capabilities given and despite dementia-related progressive deprivation of capabilities. (p6)</w:t>
      </w:r>
    </w:p>
    <w:p w14:paraId="22274373" w14:textId="0AEA6391" w:rsidR="00D07D86" w:rsidRDefault="00571F63" w:rsidP="00D07D86">
      <w:r>
        <w:t>The trouble is that for a person</w:t>
      </w:r>
      <w:r w:rsidR="004C0222">
        <w:t xml:space="preserve"> with dementia</w:t>
      </w:r>
      <w:r>
        <w:t xml:space="preserve"> in a PVS state, or close to it, it would be </w:t>
      </w:r>
      <w:r w:rsidR="003F4A17">
        <w:t>extremely difficult</w:t>
      </w:r>
      <w:r>
        <w:t xml:space="preserve"> to assess such violations.</w:t>
      </w:r>
      <w:r w:rsidR="00D07D86">
        <w:t xml:space="preserve"> Moreover, we should think that (dementia cases aside) respectful treatment is demanded for people with PVS, regardless of its etiology, and that the diagnostic boundary between those just short of that categorization and those so categorized, is morally trivial, especially given Soofi’s own suggestion</w:t>
      </w:r>
      <w:r w:rsidR="00E04822">
        <w:t xml:space="preserve"> above</w:t>
      </w:r>
      <w:r w:rsidR="00D07D86">
        <w:t xml:space="preserve"> that the degree of respectful dignity-oriented treatment should respond in isomorphic recognition of extant capabilities.</w:t>
      </w:r>
    </w:p>
    <w:p w14:paraId="7270AB67" w14:textId="50E54055" w:rsidR="00D35A85" w:rsidRDefault="00A3183F" w:rsidP="00D35A85">
      <w:r>
        <w:lastRenderedPageBreak/>
        <w:t>T</w:t>
      </w:r>
      <w:r w:rsidR="000F17F6">
        <w:t>he underlying</w:t>
      </w:r>
      <w:r w:rsidR="0032742C">
        <w:t xml:space="preserve"> problem</w:t>
      </w:r>
      <w:r w:rsidR="007C77BC">
        <w:t xml:space="preserve"> </w:t>
      </w:r>
      <w:r>
        <w:t xml:space="preserve">here consists in </w:t>
      </w:r>
      <w:r w:rsidR="007C77BC">
        <w:t>using intrinsically possessed capabilities as the</w:t>
      </w:r>
      <w:r w:rsidR="00760995">
        <w:t xml:space="preserve"> sole</w:t>
      </w:r>
      <w:r w:rsidR="007C77BC">
        <w:t xml:space="preserve"> ground for status dignity</w:t>
      </w:r>
      <w:r>
        <w:t>; it</w:t>
      </w:r>
      <w:r w:rsidR="007C77BC">
        <w:t xml:space="preserve"> ultimately runs into the same problem Kantian</w:t>
      </w:r>
      <w:r>
        <w:t xml:space="preserve"> (autonomy-based)</w:t>
      </w:r>
      <w:r w:rsidR="007C77BC">
        <w:t xml:space="preserve"> accounts have</w:t>
      </w:r>
      <w:r w:rsidR="00EF4C36">
        <w:t xml:space="preserve">, </w:t>
      </w:r>
      <w:r>
        <w:t>viz., that</w:t>
      </w:r>
      <w:r w:rsidR="00D35A85">
        <w:t xml:space="preserve"> it</w:t>
      </w:r>
      <w:r>
        <w:t xml:space="preserve"> is too exclusionary</w:t>
      </w:r>
      <w:r w:rsidR="007C77BC">
        <w:t xml:space="preserve">. </w:t>
      </w:r>
      <w:r w:rsidR="00887BFB">
        <w:t xml:space="preserve">In response, two </w:t>
      </w:r>
      <w:r w:rsidR="001151A3">
        <w:t>lines of argument</w:t>
      </w:r>
      <w:r w:rsidR="00902BB2">
        <w:t xml:space="preserve"> seem salient</w:t>
      </w:r>
      <w:r w:rsidR="00887BFB">
        <w:t xml:space="preserve">. The first is to bite the bullet and acknowledge that this </w:t>
      </w:r>
      <w:r w:rsidR="0019624B">
        <w:t>approach to status-dignity</w:t>
      </w:r>
      <w:r w:rsidR="00887BFB">
        <w:t xml:space="preserve"> reaches its limit in the</w:t>
      </w:r>
      <w:r w:rsidR="00902BB2">
        <w:t xml:space="preserve"> severe cases. </w:t>
      </w:r>
      <w:r w:rsidR="00EB67F8">
        <w:t>Fortunately, though, g</w:t>
      </w:r>
      <w:r w:rsidR="00902BB2">
        <w:t>oing down this route</w:t>
      </w:r>
      <w:r w:rsidR="00EB67F8">
        <w:t xml:space="preserve"> </w:t>
      </w:r>
      <w:r w:rsidR="00902BB2">
        <w:t xml:space="preserve">does not imply a lack of ethical resources for respectful treatment. </w:t>
      </w:r>
      <w:r w:rsidR="00EB67F8">
        <w:t>A</w:t>
      </w:r>
      <w:r w:rsidR="00FE637E">
        <w:t xml:space="preserve">s </w:t>
      </w:r>
      <w:r w:rsidR="00D35A85">
        <w:t>Formosa and Mackenzie</w:t>
      </w:r>
      <w:r w:rsidR="003222A6" w:rsidRPr="003222A6">
        <w:rPr>
          <w:vertAlign w:val="superscript"/>
        </w:rPr>
        <w:t>4</w:t>
      </w:r>
      <w:r w:rsidR="00FE637E">
        <w:t xml:space="preserve"> </w:t>
      </w:r>
      <w:r w:rsidR="00155628">
        <w:t>point out</w:t>
      </w:r>
      <w:r w:rsidR="00FE637E">
        <w:t>:</w:t>
      </w:r>
      <w:r w:rsidR="00D35A85">
        <w:t xml:space="preserve"> </w:t>
      </w:r>
    </w:p>
    <w:p w14:paraId="676C76F1" w14:textId="7F948475" w:rsidR="00D35A85" w:rsidRDefault="00D35A85" w:rsidP="00D35A85">
      <w:pPr>
        <w:ind w:left="720"/>
      </w:pPr>
      <w:r>
        <w:t xml:space="preserve">… even if it turns out on Kant’s account that some humans lack status dignity, such as those in a persistent vegetative state…, it does not follow that we have no </w:t>
      </w:r>
      <w:r w:rsidRPr="001151A3">
        <w:rPr>
          <w:i/>
          <w:iCs/>
        </w:rPr>
        <w:t>moral</w:t>
      </w:r>
      <w:r>
        <w:t xml:space="preserve"> duties </w:t>
      </w:r>
      <w:proofErr w:type="gramStart"/>
      <w:r w:rsidRPr="001151A3">
        <w:rPr>
          <w:i/>
          <w:iCs/>
        </w:rPr>
        <w:t>in regard to</w:t>
      </w:r>
      <w:proofErr w:type="gramEnd"/>
      <w:r>
        <w:t xml:space="preserve"> those humans.</w:t>
      </w:r>
      <w:r w:rsidR="001151A3">
        <w:t xml:space="preserve"> </w:t>
      </w:r>
      <w:r>
        <w:t>There are at least two ways that a Kantian might ground such indirect duties. First, by arguing that we have a duty to those who care deeply about such humans</w:t>
      </w:r>
      <w:r w:rsidR="00E4288B">
        <w:t>…</w:t>
      </w:r>
      <w:r>
        <w:t xml:space="preserve"> </w:t>
      </w:r>
      <w:r w:rsidRPr="00D35A85">
        <w:t xml:space="preserve">Second, by arguing that we have a duty to ourselves, since it is difficult to maintain a disposition of love and respect for all rational beings if we fail to care for all humans, </w:t>
      </w:r>
      <w:proofErr w:type="gramStart"/>
      <w:r w:rsidRPr="00D35A85">
        <w:t>whether or not</w:t>
      </w:r>
      <w:proofErr w:type="gramEnd"/>
      <w:r w:rsidRPr="00D35A85">
        <w:t xml:space="preserve"> they have status dignity.</w:t>
      </w:r>
      <w:r w:rsidR="003222A6">
        <w:t xml:space="preserve"> (p887)</w:t>
      </w:r>
    </w:p>
    <w:p w14:paraId="7A275BD2" w14:textId="16978AAE" w:rsidR="004F76D5" w:rsidRDefault="00FE637E" w:rsidP="004F76D5">
      <w:r>
        <w:t>The second</w:t>
      </w:r>
      <w:r w:rsidR="00E67DA8">
        <w:t xml:space="preserve"> line of argument</w:t>
      </w:r>
      <w:r w:rsidR="00EB67F8">
        <w:t xml:space="preserve"> – echoing Formosa and Mackenzie’s second way –</w:t>
      </w:r>
      <w:r>
        <w:t xml:space="preserve"> is to claim that another dignity-related approach will suffice, one whose practices are </w:t>
      </w:r>
      <w:r w:rsidR="00EB67F8">
        <w:t>based</w:t>
      </w:r>
      <w:r>
        <w:t xml:space="preserve"> on different metaphysical principles.</w:t>
      </w:r>
      <w:r w:rsidR="00E67DA8">
        <w:t xml:space="preserve"> </w:t>
      </w:r>
      <w:r>
        <w:t>Michael Rosen</w:t>
      </w:r>
      <w:r w:rsidR="003222A6" w:rsidRPr="003222A6">
        <w:rPr>
          <w:vertAlign w:val="superscript"/>
        </w:rPr>
        <w:t>5</w:t>
      </w:r>
      <w:r>
        <w:t xml:space="preserve"> has</w:t>
      </w:r>
      <w:r w:rsidR="00E67DA8">
        <w:t xml:space="preserve"> defended such a possibility.</w:t>
      </w:r>
      <w:r>
        <w:t xml:space="preserve"> </w:t>
      </w:r>
      <w:r w:rsidR="000A68F6">
        <w:t>H</w:t>
      </w:r>
      <w:r w:rsidR="004F76D5">
        <w:t>e begins with a</w:t>
      </w:r>
      <w:r w:rsidR="000A68F6">
        <w:t xml:space="preserve"> </w:t>
      </w:r>
      <w:r w:rsidR="004F76D5">
        <w:t>puzzle</w:t>
      </w:r>
      <w:r w:rsidR="002824F4">
        <w:t xml:space="preserve"> for ethical theories like some versions of utilitarianism which claim that actions are good only if their effect is to benefit some existing person. </w:t>
      </w:r>
      <w:r w:rsidR="00874706">
        <w:t xml:space="preserve">The puzzle </w:t>
      </w:r>
      <w:r w:rsidR="002824F4">
        <w:t xml:space="preserve">is </w:t>
      </w:r>
      <w:r w:rsidR="004F76D5">
        <w:t>prompted by</w:t>
      </w:r>
      <w:r w:rsidR="00874706">
        <w:t xml:space="preserve"> his </w:t>
      </w:r>
      <w:r w:rsidR="004F76D5">
        <w:t xml:space="preserve">observation </w:t>
      </w:r>
      <w:r w:rsidR="00874706">
        <w:t>of the</w:t>
      </w:r>
      <w:r w:rsidR="000A68F6">
        <w:t xml:space="preserve"> universally held belief that we have a duty to treat dead bodies with</w:t>
      </w:r>
      <w:r w:rsidR="004F76D5">
        <w:t xml:space="preserve"> dignity and</w:t>
      </w:r>
      <w:r w:rsidR="000A68F6">
        <w:t xml:space="preserve"> respect</w:t>
      </w:r>
      <w:r w:rsidR="002824F4">
        <w:t>.</w:t>
      </w:r>
      <w:r w:rsidR="004F76D5">
        <w:t xml:space="preserve"> His answer to the puzzle is that this duty expresses our esteem for our own worth, our own self</w:t>
      </w:r>
      <w:r w:rsidR="00F15B78">
        <w:t>-</w:t>
      </w:r>
      <w:r w:rsidR="004F76D5">
        <w:t xml:space="preserve">respect. His idea is that our duties are a part of us to the extent that ‘…we could not be the people that we are without having them. In failing to respect the humanity of others we </w:t>
      </w:r>
      <w:proofErr w:type="gramStart"/>
      <w:r w:rsidR="004F76D5">
        <w:t>actually undermine</w:t>
      </w:r>
      <w:proofErr w:type="gramEnd"/>
      <w:r w:rsidR="004F76D5">
        <w:t xml:space="preserve"> humanity in ourselves.’ (</w:t>
      </w:r>
      <w:r w:rsidR="002824F4">
        <w:t>p</w:t>
      </w:r>
      <w:r w:rsidR="004F76D5">
        <w:t>157)</w:t>
      </w:r>
      <w:r w:rsidR="002824F4">
        <w:t>.</w:t>
      </w:r>
    </w:p>
    <w:p w14:paraId="5485EE7B" w14:textId="22B4DB0A" w:rsidR="0054296B" w:rsidRDefault="003E7A13" w:rsidP="00D92B7C">
      <w:r>
        <w:t>Rosen</w:t>
      </w:r>
      <w:r w:rsidR="00F15B78">
        <w:t xml:space="preserve"> does</w:t>
      </w:r>
      <w:r w:rsidR="001E5CA9">
        <w:t xml:space="preserve"> admit</w:t>
      </w:r>
      <w:r w:rsidR="00F15B78">
        <w:t xml:space="preserve"> that</w:t>
      </w:r>
      <w:r w:rsidR="001E5CA9">
        <w:t xml:space="preserve"> his position </w:t>
      </w:r>
      <w:r w:rsidR="00874706">
        <w:t>might be perceived as</w:t>
      </w:r>
      <w:r w:rsidR="001E5CA9">
        <w:t xml:space="preserve"> radical, for the motivation here is pure duty</w:t>
      </w:r>
      <w:r w:rsidR="00874706">
        <w:t xml:space="preserve"> as related to our natures;</w:t>
      </w:r>
      <w:r w:rsidR="001E5CA9">
        <w:t xml:space="preserve"> </w:t>
      </w:r>
      <w:r w:rsidR="00874706">
        <w:t>the action brings no benefits</w:t>
      </w:r>
      <w:r w:rsidR="001E5CA9">
        <w:t>.</w:t>
      </w:r>
      <w:r w:rsidR="00F15B78">
        <w:t xml:space="preserve"> This approach will seem more than strange to both utilitarians and teleo</w:t>
      </w:r>
      <w:r w:rsidR="00F24A8E">
        <w:t>lo</w:t>
      </w:r>
      <w:r w:rsidR="00F15B78">
        <w:t>gists. Still,</w:t>
      </w:r>
      <w:r w:rsidR="00874706">
        <w:t xml:space="preserve"> failing to</w:t>
      </w:r>
      <w:r w:rsidR="002E559A">
        <w:t xml:space="preserve"> </w:t>
      </w:r>
      <w:r w:rsidR="0054296B">
        <w:t>treat someone</w:t>
      </w:r>
      <w:r w:rsidR="002E559A">
        <w:t xml:space="preserve"> whose capacities are unrecoverable</w:t>
      </w:r>
      <w:r w:rsidR="0054296B">
        <w:t xml:space="preserve">, but who </w:t>
      </w:r>
      <w:r w:rsidR="00874706">
        <w:t xml:space="preserve">nevertheless </w:t>
      </w:r>
      <w:r w:rsidR="0054296B">
        <w:t>represents the living and breathing last lap of a</w:t>
      </w:r>
      <w:r w:rsidR="00874706">
        <w:t xml:space="preserve"> </w:t>
      </w:r>
      <w:r w:rsidR="0054296B">
        <w:t>life</w:t>
      </w:r>
      <w:r w:rsidR="002E559A">
        <w:t xml:space="preserve">, </w:t>
      </w:r>
      <w:r w:rsidR="00A4280B">
        <w:t>would be</w:t>
      </w:r>
      <w:r w:rsidR="00874706">
        <w:t>, to echo Rosen,</w:t>
      </w:r>
      <w:r w:rsidR="00A4280B">
        <w:t xml:space="preserve"> dishonorable.</w:t>
      </w:r>
      <w:r w:rsidR="0054296B">
        <w:t xml:space="preserve"> </w:t>
      </w:r>
      <w:r w:rsidR="00EB67F8">
        <w:t>W</w:t>
      </w:r>
      <w:r w:rsidR="00F24A8E">
        <w:t xml:space="preserve">hen you think about it, perhaps </w:t>
      </w:r>
      <w:r w:rsidR="00874706">
        <w:t>this is not as radical as we might think</w:t>
      </w:r>
      <w:r w:rsidR="002E559A">
        <w:t>.</w:t>
      </w:r>
    </w:p>
    <w:p w14:paraId="73C7141F" w14:textId="21987C29" w:rsidR="00630157" w:rsidRDefault="00920093" w:rsidP="00D92B7C">
      <w:r>
        <w:t>REFERENCES</w:t>
      </w:r>
    </w:p>
    <w:p w14:paraId="6FCFE971" w14:textId="77777777" w:rsidR="00FA4729" w:rsidRDefault="00FA4729" w:rsidP="00FA4729">
      <w:r>
        <w:t xml:space="preserve">1 Soofi H. What moral work can Nussbaum’s account of human dignity do in the context of dementia care? </w:t>
      </w:r>
      <w:r w:rsidRPr="00242CD0">
        <w:rPr>
          <w:i/>
          <w:iCs/>
        </w:rPr>
        <w:t>J Med Ethics</w:t>
      </w:r>
      <w:r>
        <w:t xml:space="preserve"> </w:t>
      </w:r>
      <w:proofErr w:type="gramStart"/>
      <w:r>
        <w:t>2022;0:1</w:t>
      </w:r>
      <w:proofErr w:type="gramEnd"/>
      <w:r>
        <w:t>–7. doi:10.1136/medethics-2021-108095.</w:t>
      </w:r>
    </w:p>
    <w:p w14:paraId="163B9861" w14:textId="77777777" w:rsidR="00FA4729" w:rsidRDefault="00FA4729" w:rsidP="00FA4729">
      <w:r>
        <w:t xml:space="preserve">2 </w:t>
      </w:r>
      <w:proofErr w:type="spellStart"/>
      <w:r>
        <w:t>Kitwood</w:t>
      </w:r>
      <w:proofErr w:type="spellEnd"/>
      <w:r>
        <w:t xml:space="preserve"> T, Bredin K. Towards a theory of dementia care: personhood and well-being. </w:t>
      </w:r>
      <w:r w:rsidRPr="00401733">
        <w:rPr>
          <w:i/>
          <w:iCs/>
        </w:rPr>
        <w:t>Ageing Soc</w:t>
      </w:r>
      <w:r>
        <w:t xml:space="preserve"> 1992;12: 269–87.</w:t>
      </w:r>
    </w:p>
    <w:p w14:paraId="07518341" w14:textId="77777777" w:rsidR="00FA4729" w:rsidRDefault="00FA4729" w:rsidP="00FA4729">
      <w:r>
        <w:t xml:space="preserve">3 Jaul E, Calderon-Margalit R. Persistent vegetative </w:t>
      </w:r>
      <w:proofErr w:type="gramStart"/>
      <w:r>
        <w:t>state</w:t>
      </w:r>
      <w:proofErr w:type="gramEnd"/>
      <w:r>
        <w:t xml:space="preserve"> and dementia in the elderly. </w:t>
      </w:r>
      <w:r w:rsidRPr="00242CD0">
        <w:rPr>
          <w:i/>
          <w:iCs/>
        </w:rPr>
        <w:t>Int</w:t>
      </w:r>
      <w:r>
        <w:rPr>
          <w:i/>
          <w:iCs/>
        </w:rPr>
        <w:t xml:space="preserve">. </w:t>
      </w:r>
      <w:proofErr w:type="spellStart"/>
      <w:r w:rsidRPr="00242CD0">
        <w:rPr>
          <w:i/>
          <w:iCs/>
        </w:rPr>
        <w:t>Psychogeriatr</w:t>
      </w:r>
      <w:proofErr w:type="spellEnd"/>
      <w:r>
        <w:rPr>
          <w:i/>
          <w:iCs/>
        </w:rPr>
        <w:t xml:space="preserve"> </w:t>
      </w:r>
      <w:r w:rsidRPr="0083507C">
        <w:t>2007;</w:t>
      </w:r>
      <w:r>
        <w:t>19: 1064–1071.</w:t>
      </w:r>
    </w:p>
    <w:p w14:paraId="5D250910" w14:textId="77777777" w:rsidR="00FA4729" w:rsidRDefault="00FA4729" w:rsidP="00FA4729">
      <w:r>
        <w:t xml:space="preserve">4 Formosa P, Mackenzie C. Nussbaum, Kant, and the Capabilities Approach to Dignity. </w:t>
      </w:r>
      <w:r w:rsidRPr="00242CD0">
        <w:rPr>
          <w:i/>
          <w:iCs/>
        </w:rPr>
        <w:t xml:space="preserve">Ethical Theory Moral </w:t>
      </w:r>
      <w:proofErr w:type="spellStart"/>
      <w:r w:rsidRPr="00242CD0">
        <w:rPr>
          <w:i/>
          <w:iCs/>
        </w:rPr>
        <w:t>Pract</w:t>
      </w:r>
      <w:proofErr w:type="spellEnd"/>
      <w:r>
        <w:rPr>
          <w:i/>
          <w:iCs/>
        </w:rPr>
        <w:t xml:space="preserve"> </w:t>
      </w:r>
      <w:r>
        <w:t>2014; 17: 875–892.</w:t>
      </w:r>
    </w:p>
    <w:p w14:paraId="70D98A58" w14:textId="77777777" w:rsidR="00FA4729" w:rsidRDefault="00FA4729" w:rsidP="00FA4729">
      <w:r>
        <w:t xml:space="preserve">5 Rosen M. </w:t>
      </w:r>
      <w:r w:rsidRPr="005824FD">
        <w:t>Dignity: its history and meaning</w:t>
      </w:r>
      <w:r>
        <w:t xml:space="preserve">. Cambridge, MA: Cambridge University Press 2012. </w:t>
      </w:r>
    </w:p>
    <w:p w14:paraId="00958140" w14:textId="77777777" w:rsidR="0054296B" w:rsidRDefault="0054296B" w:rsidP="00D92B7C"/>
    <w:bookmarkEnd w:id="0"/>
    <w:p w14:paraId="76A7A0E5" w14:textId="17D4694E" w:rsidR="00984205" w:rsidRDefault="00984205"/>
    <w:sectPr w:rsidR="009842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58"/>
    <w:rsid w:val="00002243"/>
    <w:rsid w:val="0002707B"/>
    <w:rsid w:val="00034F58"/>
    <w:rsid w:val="000A1798"/>
    <w:rsid w:val="000A68F6"/>
    <w:rsid w:val="000E0CF2"/>
    <w:rsid w:val="000E3307"/>
    <w:rsid w:val="000F17F6"/>
    <w:rsid w:val="001151A3"/>
    <w:rsid w:val="00155628"/>
    <w:rsid w:val="0019624B"/>
    <w:rsid w:val="001C5E09"/>
    <w:rsid w:val="001E0620"/>
    <w:rsid w:val="001E479A"/>
    <w:rsid w:val="001E5CA9"/>
    <w:rsid w:val="00205D63"/>
    <w:rsid w:val="002824F4"/>
    <w:rsid w:val="00285F5D"/>
    <w:rsid w:val="002A194B"/>
    <w:rsid w:val="002A6CC7"/>
    <w:rsid w:val="002B3BB1"/>
    <w:rsid w:val="002C405E"/>
    <w:rsid w:val="002C7A85"/>
    <w:rsid w:val="002E559A"/>
    <w:rsid w:val="002E5A55"/>
    <w:rsid w:val="0030577C"/>
    <w:rsid w:val="003222A6"/>
    <w:rsid w:val="003234AC"/>
    <w:rsid w:val="0032742C"/>
    <w:rsid w:val="00332226"/>
    <w:rsid w:val="003725DE"/>
    <w:rsid w:val="00380756"/>
    <w:rsid w:val="003D13DF"/>
    <w:rsid w:val="003E7A13"/>
    <w:rsid w:val="003F27A2"/>
    <w:rsid w:val="003F4A17"/>
    <w:rsid w:val="003F635C"/>
    <w:rsid w:val="004C0222"/>
    <w:rsid w:val="004C18F8"/>
    <w:rsid w:val="004C6A5A"/>
    <w:rsid w:val="004F76D5"/>
    <w:rsid w:val="0054296B"/>
    <w:rsid w:val="00571F63"/>
    <w:rsid w:val="0058215D"/>
    <w:rsid w:val="00612AF5"/>
    <w:rsid w:val="00630157"/>
    <w:rsid w:val="00630515"/>
    <w:rsid w:val="006A6011"/>
    <w:rsid w:val="006F6FEF"/>
    <w:rsid w:val="00735D04"/>
    <w:rsid w:val="00760995"/>
    <w:rsid w:val="007A2EBF"/>
    <w:rsid w:val="007A4321"/>
    <w:rsid w:val="007A7985"/>
    <w:rsid w:val="007C77BC"/>
    <w:rsid w:val="007D3C31"/>
    <w:rsid w:val="00834FA3"/>
    <w:rsid w:val="0086605E"/>
    <w:rsid w:val="00874706"/>
    <w:rsid w:val="0088532A"/>
    <w:rsid w:val="00887BFB"/>
    <w:rsid w:val="008E2461"/>
    <w:rsid w:val="008F7FCE"/>
    <w:rsid w:val="00902BB2"/>
    <w:rsid w:val="00920093"/>
    <w:rsid w:val="0094250F"/>
    <w:rsid w:val="00971894"/>
    <w:rsid w:val="00984205"/>
    <w:rsid w:val="009B3DE6"/>
    <w:rsid w:val="009D000E"/>
    <w:rsid w:val="009F6476"/>
    <w:rsid w:val="00A13856"/>
    <w:rsid w:val="00A26718"/>
    <w:rsid w:val="00A3183F"/>
    <w:rsid w:val="00A4280B"/>
    <w:rsid w:val="00A762A3"/>
    <w:rsid w:val="00AA4C75"/>
    <w:rsid w:val="00AB7CF9"/>
    <w:rsid w:val="00AD3A8C"/>
    <w:rsid w:val="00B00C18"/>
    <w:rsid w:val="00B25155"/>
    <w:rsid w:val="00B3238F"/>
    <w:rsid w:val="00B5181B"/>
    <w:rsid w:val="00B54D43"/>
    <w:rsid w:val="00BB1839"/>
    <w:rsid w:val="00C26601"/>
    <w:rsid w:val="00CF270A"/>
    <w:rsid w:val="00D07D86"/>
    <w:rsid w:val="00D17FFB"/>
    <w:rsid w:val="00D2409D"/>
    <w:rsid w:val="00D35A85"/>
    <w:rsid w:val="00D55A58"/>
    <w:rsid w:val="00D75B08"/>
    <w:rsid w:val="00D92B7C"/>
    <w:rsid w:val="00D9618F"/>
    <w:rsid w:val="00DC6AF2"/>
    <w:rsid w:val="00E04822"/>
    <w:rsid w:val="00E051EB"/>
    <w:rsid w:val="00E4288B"/>
    <w:rsid w:val="00E67DA8"/>
    <w:rsid w:val="00E80213"/>
    <w:rsid w:val="00EB348E"/>
    <w:rsid w:val="00EB67F8"/>
    <w:rsid w:val="00EB6BBB"/>
    <w:rsid w:val="00EE2774"/>
    <w:rsid w:val="00EF4C36"/>
    <w:rsid w:val="00F15B78"/>
    <w:rsid w:val="00F24A8E"/>
    <w:rsid w:val="00F34BDE"/>
    <w:rsid w:val="00F36AC1"/>
    <w:rsid w:val="00F4465A"/>
    <w:rsid w:val="00F66C09"/>
    <w:rsid w:val="00FA4729"/>
    <w:rsid w:val="00FE51F5"/>
    <w:rsid w:val="00FE5281"/>
    <w:rsid w:val="00FE6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B92BA"/>
  <w15:chartTrackingRefBased/>
  <w15:docId w15:val="{0F8D2B05-6216-42F8-BA99-D85264574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wire-citation-author">
    <w:name w:val="highwire-citation-author"/>
    <w:basedOn w:val="DefaultParagraphFont"/>
    <w:rsid w:val="003F635C"/>
  </w:style>
  <w:style w:type="character" w:customStyle="1" w:styleId="nlm-surname">
    <w:name w:val="nlm-surname"/>
    <w:basedOn w:val="DefaultParagraphFont"/>
    <w:rsid w:val="003F635C"/>
  </w:style>
  <w:style w:type="character" w:customStyle="1" w:styleId="highwire-cite-metadata-journal">
    <w:name w:val="highwire-cite-metadata-journal"/>
    <w:basedOn w:val="DefaultParagraphFont"/>
    <w:rsid w:val="003F635C"/>
  </w:style>
  <w:style w:type="character" w:customStyle="1" w:styleId="highwire-cite-metadata-year">
    <w:name w:val="highwire-cite-metadata-year"/>
    <w:basedOn w:val="DefaultParagraphFont"/>
    <w:rsid w:val="003F635C"/>
  </w:style>
  <w:style w:type="character" w:customStyle="1" w:styleId="highwire-cite-metadata-volume">
    <w:name w:val="highwire-cite-metadata-volume"/>
    <w:basedOn w:val="DefaultParagraphFont"/>
    <w:rsid w:val="003F635C"/>
  </w:style>
  <w:style w:type="character" w:customStyle="1" w:styleId="highwire-cite-metadata-pages">
    <w:name w:val="highwire-cite-metadata-pages"/>
    <w:basedOn w:val="DefaultParagraphFont"/>
    <w:rsid w:val="003F6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579840">
      <w:bodyDiv w:val="1"/>
      <w:marLeft w:val="0"/>
      <w:marRight w:val="0"/>
      <w:marTop w:val="0"/>
      <w:marBottom w:val="0"/>
      <w:divBdr>
        <w:top w:val="none" w:sz="0" w:space="0" w:color="auto"/>
        <w:left w:val="none" w:sz="0" w:space="0" w:color="auto"/>
        <w:bottom w:val="none" w:sz="0" w:space="0" w:color="auto"/>
        <w:right w:val="none" w:sz="0" w:space="0" w:color="auto"/>
      </w:divBdr>
      <w:divsChild>
        <w:div w:id="255940882">
          <w:marLeft w:val="0"/>
          <w:marRight w:val="0"/>
          <w:marTop w:val="0"/>
          <w:marBottom w:val="0"/>
          <w:divBdr>
            <w:top w:val="none" w:sz="0" w:space="0" w:color="auto"/>
            <w:left w:val="none" w:sz="0" w:space="0" w:color="auto"/>
            <w:bottom w:val="none" w:sz="0" w:space="0" w:color="auto"/>
            <w:right w:val="none" w:sz="0" w:space="0" w:color="auto"/>
          </w:divBdr>
        </w:div>
        <w:div w:id="479542631">
          <w:marLeft w:val="0"/>
          <w:marRight w:val="0"/>
          <w:marTop w:val="0"/>
          <w:marBottom w:val="0"/>
          <w:divBdr>
            <w:top w:val="none" w:sz="0" w:space="0" w:color="auto"/>
            <w:left w:val="none" w:sz="0" w:space="0" w:color="auto"/>
            <w:bottom w:val="none" w:sz="0" w:space="0" w:color="auto"/>
            <w:right w:val="none" w:sz="0" w:space="0" w:color="auto"/>
          </w:divBdr>
        </w:div>
        <w:div w:id="1123422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DEDD6-A8B7-43B9-AEC1-8B7B3E606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1846</TotalTime>
  <Pages>3</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Matthews</dc:creator>
  <cp:keywords/>
  <dc:description/>
  <cp:lastModifiedBy>Reviewer</cp:lastModifiedBy>
  <cp:revision>111</cp:revision>
  <dcterms:created xsi:type="dcterms:W3CDTF">2022-09-29T06:11:00Z</dcterms:created>
  <dcterms:modified xsi:type="dcterms:W3CDTF">2024-07-02T07:28:00Z</dcterms:modified>
</cp:coreProperties>
</file>