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8AFB6" w14:textId="7C560F64" w:rsidR="004470E9" w:rsidRPr="00EA5BBC" w:rsidRDefault="004470E9" w:rsidP="004470E9">
      <w:pPr>
        <w:pStyle w:val="Noindent"/>
      </w:pPr>
      <w:r w:rsidRPr="00EA5BBC">
        <w:t xml:space="preserve">Abrol Fairweather and Carlos Montemayor, </w:t>
      </w:r>
      <w:r w:rsidRPr="00EA5BBC">
        <w:rPr>
          <w:i/>
        </w:rPr>
        <w:t xml:space="preserve">Knowledge, Dexterity, and Attention: A Theory of Epistemic Agency </w:t>
      </w:r>
      <w:r w:rsidRPr="00EA5BBC">
        <w:t>Cambridge, England: Cambridge University Press, 2017, viii + 196 pp., $99.99 (hbk), ISBN 9781316105849</w:t>
      </w:r>
    </w:p>
    <w:p w14:paraId="73C99BF3" w14:textId="77777777" w:rsidR="004470E9" w:rsidRPr="00EA5BBC" w:rsidRDefault="004470E9" w:rsidP="004470E9">
      <w:pPr>
        <w:pStyle w:val="Noindent"/>
      </w:pPr>
      <w:r w:rsidRPr="00EA5BBC">
        <w:t>Reviewed by Mohan Matthen, University of Toronto</w:t>
      </w:r>
    </w:p>
    <w:p w14:paraId="500469E1" w14:textId="4E84189D" w:rsidR="000F1C80" w:rsidRPr="00EA5BBC" w:rsidRDefault="002B3897" w:rsidP="004470E9">
      <w:pPr>
        <w:pStyle w:val="Noindent"/>
      </w:pPr>
      <w:r w:rsidRPr="00EA5BBC">
        <w:t xml:space="preserve">Mika examines a </w:t>
      </w:r>
      <w:r w:rsidR="00B510AC">
        <w:t xml:space="preserve">urine sample under a microscope and reports that she has found </w:t>
      </w:r>
      <w:r w:rsidR="00652F13">
        <w:t xml:space="preserve">a high level of </w:t>
      </w:r>
      <w:r w:rsidR="00B510AC">
        <w:t>red blood cells</w:t>
      </w:r>
      <w:r w:rsidRPr="00EA5BBC">
        <w:t xml:space="preserve">. Does she </w:t>
      </w:r>
      <w:r w:rsidRPr="00EA5BBC">
        <w:rPr>
          <w:i/>
        </w:rPr>
        <w:t xml:space="preserve">know </w:t>
      </w:r>
      <w:r w:rsidRPr="00EA5BBC">
        <w:t xml:space="preserve">that the patient has </w:t>
      </w:r>
      <w:r w:rsidR="00652F13">
        <w:t xml:space="preserve">microscopic </w:t>
      </w:r>
      <w:r w:rsidR="00E93CCD">
        <w:t>haematuria</w:t>
      </w:r>
      <w:r w:rsidRPr="00EA5BBC">
        <w:t xml:space="preserve">? </w:t>
      </w:r>
      <w:r w:rsidR="004470E9" w:rsidRPr="00EA5BBC">
        <w:t xml:space="preserve">Which is more fundamental </w:t>
      </w:r>
      <w:r w:rsidRPr="00EA5BBC">
        <w:t>for deciding this? That Mika</w:t>
      </w:r>
      <w:r w:rsidR="00AE23EA" w:rsidRPr="00EA5BBC">
        <w:t xml:space="preserve"> is</w:t>
      </w:r>
      <w:r w:rsidR="004470E9" w:rsidRPr="00EA5BBC">
        <w:t xml:space="preserve"> a</w:t>
      </w:r>
      <w:r w:rsidR="00652F13">
        <w:t xml:space="preserve"> competent</w:t>
      </w:r>
      <w:r w:rsidR="00652F13">
        <w:rPr>
          <w:i/>
        </w:rPr>
        <w:t xml:space="preserve"> </w:t>
      </w:r>
      <w:r w:rsidR="00652F13">
        <w:t>technician</w:t>
      </w:r>
      <w:r w:rsidR="000F1C80" w:rsidRPr="00EA5BBC">
        <w:t xml:space="preserve"> who </w:t>
      </w:r>
      <w:r w:rsidR="00E93CCD">
        <w:t>is well-trained</w:t>
      </w:r>
      <w:r w:rsidR="000F1C80" w:rsidRPr="00EA5BBC">
        <w:t xml:space="preserve"> </w:t>
      </w:r>
      <w:r w:rsidR="007503CA">
        <w:t xml:space="preserve">and </w:t>
      </w:r>
      <w:r w:rsidR="004D0130">
        <w:t>possesses</w:t>
      </w:r>
      <w:r w:rsidR="007503CA">
        <w:t xml:space="preserve"> </w:t>
      </w:r>
      <w:r w:rsidR="004D0130">
        <w:t xml:space="preserve">acute </w:t>
      </w:r>
      <w:r w:rsidR="004D0130">
        <w:t>eyesight</w:t>
      </w:r>
      <w:r w:rsidR="004D0130" w:rsidRPr="00EA5BBC">
        <w:t>,</w:t>
      </w:r>
      <w:r w:rsidR="004D0130">
        <w:t xml:space="preserve"> </w:t>
      </w:r>
      <w:r w:rsidR="007503CA">
        <w:t>good technique,</w:t>
      </w:r>
      <w:r w:rsidR="00E93CCD">
        <w:t xml:space="preserve"> </w:t>
      </w:r>
      <w:r w:rsidR="000F1C80" w:rsidRPr="00EA5BBC">
        <w:t>and</w:t>
      </w:r>
      <w:r w:rsidRPr="00EA5BBC">
        <w:t xml:space="preserve"> long experience of her specialty</w:t>
      </w:r>
      <w:r w:rsidR="00E93CCD">
        <w:t xml:space="preserve"> and </w:t>
      </w:r>
      <w:r w:rsidR="007503CA">
        <w:t xml:space="preserve">that she </w:t>
      </w:r>
      <w:r w:rsidR="00E93CCD">
        <w:t>acts accordingly</w:t>
      </w:r>
      <w:r w:rsidR="004470E9" w:rsidRPr="00EA5BBC">
        <w:t xml:space="preserve">? Or that </w:t>
      </w:r>
      <w:r w:rsidRPr="00EA5BBC">
        <w:t>her</w:t>
      </w:r>
      <w:r w:rsidR="00AE23EA" w:rsidRPr="00EA5BBC">
        <w:t xml:space="preserve"> </w:t>
      </w:r>
      <w:r w:rsidR="000F1C80" w:rsidRPr="00EA5BBC">
        <w:t>observation</w:t>
      </w:r>
      <w:r w:rsidR="00AE23EA" w:rsidRPr="00EA5BBC">
        <w:t xml:space="preserve"> of </w:t>
      </w:r>
      <w:r w:rsidR="000F1C80" w:rsidRPr="00EA5BBC">
        <w:rPr>
          <w:i/>
        </w:rPr>
        <w:t>this</w:t>
      </w:r>
      <w:r w:rsidR="000F1C80" w:rsidRPr="00EA5BBC">
        <w:t xml:space="preserve"> sample</w:t>
      </w:r>
      <w:r w:rsidR="00AE23EA" w:rsidRPr="00EA5BBC">
        <w:t xml:space="preserve"> </w:t>
      </w:r>
      <w:r w:rsidR="000F1C80" w:rsidRPr="00EA5BBC">
        <w:t>was meticulous</w:t>
      </w:r>
      <w:r w:rsidR="004470E9" w:rsidRPr="00EA5BBC">
        <w:t xml:space="preserve">? </w:t>
      </w:r>
      <w:r w:rsidR="000F1C80" w:rsidRPr="00EA5BBC">
        <w:t>Traditionally, most epistemologists fou</w:t>
      </w:r>
      <w:r w:rsidRPr="00EA5BBC">
        <w:t xml:space="preserve">nd it natural </w:t>
      </w:r>
      <w:r w:rsidR="00AE23EA" w:rsidRPr="00EA5BBC">
        <w:t>to choose the latter</w:t>
      </w:r>
      <w:r w:rsidRPr="00EA5BBC">
        <w:t xml:space="preserve"> option</w:t>
      </w:r>
      <w:r w:rsidR="00AE23EA" w:rsidRPr="00EA5BBC">
        <w:t xml:space="preserve">. </w:t>
      </w:r>
      <w:r w:rsidRPr="00EA5BBC">
        <w:t xml:space="preserve">Mika’s </w:t>
      </w:r>
      <w:r w:rsidR="000F1C80" w:rsidRPr="00EA5BBC">
        <w:t xml:space="preserve">examination </w:t>
      </w:r>
      <w:r w:rsidRPr="00EA5BBC">
        <w:t>produce</w:t>
      </w:r>
      <w:r w:rsidR="000F1C80" w:rsidRPr="00EA5BBC">
        <w:t xml:space="preserve">d knowledge because it was </w:t>
      </w:r>
      <w:r w:rsidRPr="00EA5BBC">
        <w:t>well suited to find out the truth</w:t>
      </w:r>
      <w:r w:rsidR="000F1C80" w:rsidRPr="00EA5BBC">
        <w:t xml:space="preserve">. Her disposition to observe well on </w:t>
      </w:r>
      <w:r w:rsidR="000F1C80" w:rsidRPr="00EA5BBC">
        <w:rPr>
          <w:i/>
        </w:rPr>
        <w:t>other</w:t>
      </w:r>
      <w:r w:rsidR="000F1C80" w:rsidRPr="00EA5BBC">
        <w:t xml:space="preserve"> occasions is irrelevant to whether she knows on this occasion—though, of course, it might be relevant to whether the recipient</w:t>
      </w:r>
      <w:r w:rsidR="00E414ED">
        <w:t xml:space="preserve"> of her report trusts her, and </w:t>
      </w:r>
      <w:r w:rsidR="000F1C80" w:rsidRPr="00EA5BBC">
        <w:t>to whether this recipient can claim to know</w:t>
      </w:r>
      <w:r w:rsidR="00E93CCD">
        <w:t xml:space="preserve"> that the patient has haematuria</w:t>
      </w:r>
      <w:r w:rsidR="000F1C80" w:rsidRPr="00EA5BBC">
        <w:t>.</w:t>
      </w:r>
    </w:p>
    <w:p w14:paraId="5CF0AAA1" w14:textId="77777777" w:rsidR="004300C9" w:rsidRDefault="000F1C80" w:rsidP="000F1C80">
      <w:r w:rsidRPr="00EA5BBC">
        <w:t>In this</w:t>
      </w:r>
      <w:r w:rsidR="007503CA">
        <w:t xml:space="preserve"> </w:t>
      </w:r>
      <w:r w:rsidR="004D0130">
        <w:t xml:space="preserve">authoritative, </w:t>
      </w:r>
      <w:r w:rsidR="007503CA">
        <w:t>wide-ranging</w:t>
      </w:r>
      <w:r w:rsidR="00E93CCD">
        <w:t xml:space="preserve">, </w:t>
      </w:r>
      <w:r w:rsidRPr="00EA5BBC">
        <w:t xml:space="preserve">densely reasoned, empirically sensitive, and insightful study, Abrol </w:t>
      </w:r>
      <w:r w:rsidR="00AE23EA" w:rsidRPr="00EA5BBC">
        <w:t>Fair</w:t>
      </w:r>
      <w:r w:rsidR="002B3897" w:rsidRPr="00EA5BBC">
        <w:t xml:space="preserve">weather and </w:t>
      </w:r>
      <w:r w:rsidRPr="00EA5BBC">
        <w:t xml:space="preserve">Carlos </w:t>
      </w:r>
      <w:r w:rsidR="002B3897" w:rsidRPr="00EA5BBC">
        <w:t>Montemayor</w:t>
      </w:r>
      <w:r w:rsidR="00AE23EA" w:rsidRPr="00EA5BBC">
        <w:t xml:space="preserve"> </w:t>
      </w:r>
      <w:r w:rsidRPr="00EA5BBC">
        <w:t xml:space="preserve">(henceforth F&amp;M) </w:t>
      </w:r>
      <w:r w:rsidR="00AE23EA" w:rsidRPr="00EA5BBC">
        <w:t xml:space="preserve">go the other way. </w:t>
      </w:r>
      <w:r w:rsidRPr="00EA5BBC">
        <w:t>In common with other “virtue epistemologists,”</w:t>
      </w:r>
      <w:r w:rsidR="002B3897" w:rsidRPr="00EA5BBC">
        <w:t xml:space="preserve"> </w:t>
      </w:r>
      <w:r w:rsidRPr="00EA5BBC">
        <w:t xml:space="preserve">they hold that knowledge depends on the exercise of epistemic virtue, or in other words, on the “normative cognitive dispositional properties” of the observer (13-14). </w:t>
      </w:r>
      <w:r w:rsidR="002B3897" w:rsidRPr="00EA5BBC">
        <w:t>Mika</w:t>
      </w:r>
      <w:r w:rsidR="00AE23EA" w:rsidRPr="00EA5BBC">
        <w:t xml:space="preserve">’s </w:t>
      </w:r>
      <w:r w:rsidR="002B3897" w:rsidRPr="00EA5BBC">
        <w:t>conclus</w:t>
      </w:r>
      <w:r w:rsidR="00AE23EA" w:rsidRPr="00EA5BBC">
        <w:t xml:space="preserve">ions rise to the status of knowledge because </w:t>
      </w:r>
      <w:r w:rsidRPr="00EA5BBC">
        <w:t xml:space="preserve">of </w:t>
      </w:r>
      <w:r w:rsidR="00AE23EA" w:rsidRPr="00EA5BBC">
        <w:t>her</w:t>
      </w:r>
      <w:r w:rsidR="00E93CCD">
        <w:t xml:space="preserve"> skill, the exercise of which ensures that this observation is due to her agency, and the excellence of which ensures reliability</w:t>
      </w:r>
      <w:r w:rsidR="002B3897" w:rsidRPr="00EA5BBC">
        <w:t xml:space="preserve">. </w:t>
      </w:r>
      <w:r w:rsidR="00BC21ED">
        <w:t>F&amp;M’s goal in this book is to construct a substantive theory of knowledge that shows what kinds of agen</w:t>
      </w:r>
      <w:r w:rsidR="00E414ED">
        <w:t>t-dispositions produce reliable belief non-fortuitously</w:t>
      </w:r>
      <w:r w:rsidR="00BC21ED">
        <w:t>.</w:t>
      </w:r>
      <w:r w:rsidR="004D0130">
        <w:t xml:space="preserve"> </w:t>
      </w:r>
    </w:p>
    <w:p w14:paraId="18BA4CD4" w14:textId="17CEC95E" w:rsidR="002B3897" w:rsidRPr="004D0130" w:rsidRDefault="004D0130" w:rsidP="000F1C80">
      <w:r>
        <w:t xml:space="preserve">Note that this way of motivating virtue epistemology is missing one element that is important in Aristotelian virtue </w:t>
      </w:r>
      <w:r>
        <w:rPr>
          <w:i/>
        </w:rPr>
        <w:t>ethics</w:t>
      </w:r>
      <w:r>
        <w:t xml:space="preserve">, namely affect. Aristotle insisted that the best acts are not just performed reliably and for the right reasons, but also with the right kinds of emotional affect. The best act of generosity, for example, is performed warm-heartedly. The epistemologist does not have this kind of consideration to appeal to; whatever its plausibility </w:t>
      </w:r>
      <w:r>
        <w:lastRenderedPageBreak/>
        <w:t>in the ethical domain, affect is irrelevant in epistemology.</w:t>
      </w:r>
      <w:r w:rsidR="004300C9">
        <w:t xml:space="preserve"> Mika may or may not love the truth, but her actions are no more or less creditworthy for that.</w:t>
      </w:r>
    </w:p>
    <w:p w14:paraId="5E9638AB" w14:textId="61C20D5E" w:rsidR="00652F13" w:rsidRPr="004300C9" w:rsidRDefault="00652F13" w:rsidP="000F1C80">
      <w:r>
        <w:t xml:space="preserve">I have deliberately chosen a laboratory skill to illustrate virtue </w:t>
      </w:r>
      <w:r w:rsidR="009B77EE">
        <w:t>epistemology</w:t>
      </w:r>
      <w:r w:rsidR="00C51F87">
        <w:t>, though</w:t>
      </w:r>
      <w:r w:rsidR="00F80140">
        <w:t xml:space="preserve">, </w:t>
      </w:r>
      <w:r w:rsidR="004300C9">
        <w:t>in the main F&amp;M</w:t>
      </w:r>
      <w:r w:rsidR="007503CA">
        <w:t xml:space="preserve"> discuss </w:t>
      </w:r>
      <w:r w:rsidR="00670886">
        <w:t>only</w:t>
      </w:r>
      <w:r>
        <w:t xml:space="preserve"> reasoning. </w:t>
      </w:r>
      <w:r w:rsidR="007503CA">
        <w:t>My</w:t>
      </w:r>
      <w:r>
        <w:t xml:space="preserve"> reason is tha</w:t>
      </w:r>
      <w:r w:rsidR="00E93CCD">
        <w:t xml:space="preserve">t </w:t>
      </w:r>
      <w:r w:rsidR="004D0130">
        <w:t>a good observer de</w:t>
      </w:r>
      <w:r w:rsidR="003F7305">
        <w:t>ploy</w:t>
      </w:r>
      <w:r w:rsidR="004D0130">
        <w:t>s</w:t>
      </w:r>
      <w:r w:rsidR="003F7305">
        <w:t xml:space="preserve"> </w:t>
      </w:r>
      <w:r>
        <w:t xml:space="preserve">bodily </w:t>
      </w:r>
      <w:r w:rsidR="004D0130">
        <w:t xml:space="preserve">and perceptual </w:t>
      </w:r>
      <w:r>
        <w:t>skill</w:t>
      </w:r>
      <w:r w:rsidR="004D0130">
        <w:t>s at a level of analysis that is irrelevant to reasoning</w:t>
      </w:r>
      <w:r>
        <w:t xml:space="preserve">. When </w:t>
      </w:r>
      <w:r w:rsidR="007503CA">
        <w:t>a technician</w:t>
      </w:r>
      <w:r>
        <w:t xml:space="preserve"> </w:t>
      </w:r>
      <w:r w:rsidR="00E93CCD">
        <w:t>conducts</w:t>
      </w:r>
      <w:r>
        <w:t xml:space="preserve"> a skilled </w:t>
      </w:r>
      <w:r w:rsidR="00E93CCD">
        <w:t>examination</w:t>
      </w:r>
      <w:r>
        <w:t xml:space="preserve">, </w:t>
      </w:r>
      <w:r w:rsidR="007503CA">
        <w:t>she</w:t>
      </w:r>
      <w:r>
        <w:t xml:space="preserve"> </w:t>
      </w:r>
      <w:r w:rsidRPr="004D0130">
        <w:rPr>
          <w:i/>
        </w:rPr>
        <w:t>intends</w:t>
      </w:r>
      <w:r>
        <w:t xml:space="preserve"> </w:t>
      </w:r>
      <w:r w:rsidR="004D0130">
        <w:t>her</w:t>
      </w:r>
      <w:r>
        <w:t xml:space="preserve"> action at one level (e.g., ‘Bring the sample into clear focus’) but </w:t>
      </w:r>
      <w:r w:rsidRPr="004D0130">
        <w:rPr>
          <w:i/>
        </w:rPr>
        <w:t>realizes</w:t>
      </w:r>
      <w:r>
        <w:t xml:space="preserve"> the action at another level—by </w:t>
      </w:r>
      <w:r w:rsidR="00E93CCD">
        <w:t xml:space="preserve">the </w:t>
      </w:r>
      <w:r>
        <w:t>fine moti</w:t>
      </w:r>
      <w:r w:rsidR="00E93CCD">
        <w:t xml:space="preserve">on of </w:t>
      </w:r>
      <w:r w:rsidR="007503CA">
        <w:t>her</w:t>
      </w:r>
      <w:r w:rsidR="00E93CCD">
        <w:t xml:space="preserve"> </w:t>
      </w:r>
      <w:r w:rsidR="003F7305">
        <w:t xml:space="preserve">hands, for example. </w:t>
      </w:r>
      <w:r w:rsidR="007503CA">
        <w:t xml:space="preserve">Her </w:t>
      </w:r>
      <w:r w:rsidR="00E93CCD">
        <w:t>dextrous movements when conducting an examination of this sort are</w:t>
      </w:r>
      <w:r w:rsidR="003F7305">
        <w:t xml:space="preserve"> not</w:t>
      </w:r>
      <w:r w:rsidR="009B77EE">
        <w:t xml:space="preserve"> chosen</w:t>
      </w:r>
      <w:r w:rsidR="00C83B2C">
        <w:t xml:space="preserve"> or controlled</w:t>
      </w:r>
      <w:r w:rsidR="009B77EE">
        <w:t xml:space="preserve"> under any conceptual description</w:t>
      </w:r>
      <w:r w:rsidR="004D0130">
        <w:t>. (T</w:t>
      </w:r>
      <w:r w:rsidR="007503CA">
        <w:t>his is g</w:t>
      </w:r>
      <w:r w:rsidR="004D0130">
        <w:t xml:space="preserve">enerally true of bodily action. </w:t>
      </w:r>
      <w:r w:rsidR="007503CA">
        <w:t xml:space="preserve">I choose to walk across the room; I don’t </w:t>
      </w:r>
      <w:r w:rsidR="004D0130">
        <w:t xml:space="preserve">choose and </w:t>
      </w:r>
      <w:r w:rsidR="007503CA">
        <w:t xml:space="preserve">control </w:t>
      </w:r>
      <w:r w:rsidR="004D0130">
        <w:t xml:space="preserve">the precise motions of </w:t>
      </w:r>
      <w:r w:rsidR="007503CA">
        <w:t>my feet</w:t>
      </w:r>
      <w:r w:rsidR="004D0130">
        <w:t>, and have no intention with respect to them other than that they should serve my intention to walk across the room</w:t>
      </w:r>
      <w:r w:rsidR="00C83B2C">
        <w:t>.</w:t>
      </w:r>
      <w:r w:rsidR="004D0130">
        <w:t>)</w:t>
      </w:r>
      <w:r w:rsidR="00C83B2C">
        <w:t xml:space="preserve"> </w:t>
      </w:r>
      <w:r w:rsidR="00E93CCD">
        <w:t xml:space="preserve">This makes a </w:t>
      </w:r>
      <w:r w:rsidR="00C83B2C">
        <w:t>dispositional analysis</w:t>
      </w:r>
      <w:r w:rsidR="00E93CCD">
        <w:t xml:space="preserve"> more plausible</w:t>
      </w:r>
      <w:r w:rsidR="004D0130">
        <w:t xml:space="preserve">; Mika doesn’t </w:t>
      </w:r>
      <w:r w:rsidR="004D0130" w:rsidRPr="004300C9">
        <w:rPr>
          <w:i/>
        </w:rPr>
        <w:t>intend</w:t>
      </w:r>
      <w:r w:rsidR="004D0130">
        <w:t xml:space="preserve"> her fine motor and perceptual actions—</w:t>
      </w:r>
      <w:r w:rsidR="004300C9">
        <w:t>her intentions are formulated more abstractly</w:t>
      </w:r>
      <w:r w:rsidR="00C83B2C">
        <w:t xml:space="preserve">. The classic rational belief-formation problems that virtue epistemologists focus on are </w:t>
      </w:r>
      <w:r w:rsidR="00C83B2C">
        <w:rPr>
          <w:i/>
        </w:rPr>
        <w:t xml:space="preserve">prima facie </w:t>
      </w:r>
      <w:r w:rsidR="00670886">
        <w:t xml:space="preserve">a </w:t>
      </w:r>
      <w:r w:rsidR="00C83B2C">
        <w:t xml:space="preserve">less </w:t>
      </w:r>
      <w:r w:rsidR="00670886">
        <w:t>fertile field for this kind of explanation</w:t>
      </w:r>
      <w:r w:rsidR="00C83B2C">
        <w:t xml:space="preserve">. Johnna </w:t>
      </w:r>
      <w:r w:rsidR="005C0B69">
        <w:t>is a fine meta-logician</w:t>
      </w:r>
      <w:r w:rsidR="00E93CCD">
        <w:t xml:space="preserve"> who constructs elegant investigations of logic systems</w:t>
      </w:r>
      <w:r w:rsidR="00C83B2C">
        <w:t>—it’</w:t>
      </w:r>
      <w:r w:rsidR="00670886">
        <w:t xml:space="preserve">s </w:t>
      </w:r>
      <w:r w:rsidR="004D0130">
        <w:t>not</w:t>
      </w:r>
      <w:r w:rsidR="00670886">
        <w:t xml:space="preserve"> clear why</w:t>
      </w:r>
      <w:r w:rsidR="00E93CCD">
        <w:t xml:space="preserve"> anybody thinks that</w:t>
      </w:r>
      <w:r w:rsidR="00670886">
        <w:t xml:space="preserve"> </w:t>
      </w:r>
      <w:r w:rsidR="00670886" w:rsidRPr="00E93CCD">
        <w:rPr>
          <w:i/>
        </w:rPr>
        <w:t>this</w:t>
      </w:r>
      <w:r w:rsidR="00C83B2C">
        <w:t xml:space="preserve"> “virtue” has explanatory priority</w:t>
      </w:r>
      <w:r w:rsidR="00670886">
        <w:t xml:space="preserve"> over</w:t>
      </w:r>
      <w:r w:rsidR="004D0130">
        <w:t xml:space="preserve"> the mental process by which she constructs</w:t>
      </w:r>
      <w:r w:rsidR="00670886">
        <w:t xml:space="preserve"> </w:t>
      </w:r>
      <w:r w:rsidR="005C0B69">
        <w:t xml:space="preserve">a </w:t>
      </w:r>
      <w:r w:rsidR="00670886">
        <w:t>proof</w:t>
      </w:r>
      <w:r w:rsidR="005C0B69">
        <w:t xml:space="preserve"> on a specific occasion</w:t>
      </w:r>
      <w:r w:rsidR="00C83B2C">
        <w:t>.</w:t>
      </w:r>
      <w:r w:rsidR="004300C9">
        <w:t xml:space="preserve"> For these reasons, I was particularly interested in how virtue epistemology works in areas where knowledge-seeking is not easily captured in explicit theoretical or practical reasoning. (There is a significant overlap here with F&amp;M’s discussion of </w:t>
      </w:r>
      <w:r w:rsidR="004300C9">
        <w:rPr>
          <w:i/>
        </w:rPr>
        <w:t xml:space="preserve">integrated </w:t>
      </w:r>
      <w:r w:rsidR="004300C9">
        <w:t>automatic processes in chapter 4.)</w:t>
      </w:r>
    </w:p>
    <w:p w14:paraId="6DF33464" w14:textId="4A291349" w:rsidR="002B3897" w:rsidRPr="00EA5BBC" w:rsidRDefault="004D0130" w:rsidP="002B3897">
      <w:r>
        <w:t>With this distinction between intention and execution</w:t>
      </w:r>
      <w:r w:rsidR="00C83B2C">
        <w:t xml:space="preserve"> in mind, l</w:t>
      </w:r>
      <w:r w:rsidR="00EA5BBC" w:rsidRPr="00EA5BBC">
        <w:t xml:space="preserve">et me </w:t>
      </w:r>
      <w:r>
        <w:t xml:space="preserve">review some central </w:t>
      </w:r>
      <w:r w:rsidR="00EA5BBC" w:rsidRPr="00EA5BBC">
        <w:t>points of F&amp;M’</w:t>
      </w:r>
      <w:r w:rsidR="00F8677D">
        <w:t>s virtue epistemology.</w:t>
      </w:r>
      <w:r w:rsidR="00EA5BBC" w:rsidRPr="00EA5BBC">
        <w:t xml:space="preserve"> </w:t>
      </w:r>
    </w:p>
    <w:p w14:paraId="104DCCFC" w14:textId="2C4819A0" w:rsidR="00EA5BBC" w:rsidRPr="00EA5BBC" w:rsidRDefault="00EA5BBC" w:rsidP="00EA5BBC">
      <w:r w:rsidRPr="00EA5BBC">
        <w:rPr>
          <w:i/>
        </w:rPr>
        <w:t>First</w:t>
      </w:r>
      <w:r w:rsidRPr="00EA5BBC">
        <w:t xml:space="preserve">, the claim, as recounted above, is that dispositions </w:t>
      </w:r>
      <w:r w:rsidR="007503CA">
        <w:t xml:space="preserve">(or skills) </w:t>
      </w:r>
      <w:r w:rsidRPr="00EA5BBC">
        <w:t xml:space="preserve">are better guarantors of non-fortuitous action than any particular intention. </w:t>
      </w:r>
      <w:r w:rsidR="005C0B69">
        <w:t xml:space="preserve">Let’s pursue this with a somewhat more extreme case than that of Mika, the microscopist. </w:t>
      </w:r>
      <w:r w:rsidRPr="00EA5BBC">
        <w:t>Carrie is a fine judge of character. When she declares somebody to be honest, you can bet he is. But it is very difficult to pin Carrie’s methods down. Her reasoning is holistic, contextual, and non-monotonic to the n</w:t>
      </w:r>
      <w:r w:rsidRPr="005C0B69">
        <w:rPr>
          <w:vertAlign w:val="superscript"/>
        </w:rPr>
        <w:t>th</w:t>
      </w:r>
      <w:r w:rsidRPr="00EA5BBC">
        <w:t xml:space="preserve"> degree. You can’t ascribe any </w:t>
      </w:r>
      <w:r w:rsidR="007503CA">
        <w:t xml:space="preserve">explicit reasoning </w:t>
      </w:r>
      <w:r w:rsidRPr="00EA5BBC">
        <w:t>to her</w:t>
      </w:r>
      <w:r w:rsidR="007503CA">
        <w:t>; she simply</w:t>
      </w:r>
      <w:r w:rsidRPr="00EA5BBC">
        <w:t xml:space="preserve"> </w:t>
      </w:r>
      <w:r w:rsidR="007503CA">
        <w:t>reads</w:t>
      </w:r>
      <w:r w:rsidR="00E414ED">
        <w:t xml:space="preserve"> people</w:t>
      </w:r>
      <w:r w:rsidRPr="00EA5BBC">
        <w:t xml:space="preserve">, </w:t>
      </w:r>
      <w:r w:rsidR="00E414ED">
        <w:t xml:space="preserve">using </w:t>
      </w:r>
      <w:r w:rsidRPr="00EA5BBC">
        <w:t>the very same indications that the rest of us employ, albei</w:t>
      </w:r>
      <w:r w:rsidR="003F7305">
        <w:t xml:space="preserve">t with more success. </w:t>
      </w:r>
      <w:r w:rsidR="007503CA">
        <w:t>(</w:t>
      </w:r>
      <w:r w:rsidR="003F7305">
        <w:t>S</w:t>
      </w:r>
      <w:r w:rsidRPr="00EA5BBC">
        <w:t>he do</w:t>
      </w:r>
      <w:r w:rsidR="003F7305">
        <w:t>esn’t rely on occult powers of divination.</w:t>
      </w:r>
      <w:r w:rsidR="007503CA">
        <w:t>)</w:t>
      </w:r>
      <w:r w:rsidR="00E93CCD">
        <w:t xml:space="preserve"> </w:t>
      </w:r>
      <w:r w:rsidR="007503CA">
        <w:t xml:space="preserve">Since </w:t>
      </w:r>
      <w:r w:rsidR="00E93CCD">
        <w:t>there’s not a lot more to be said about her success than that she has excellent judgement</w:t>
      </w:r>
      <w:r w:rsidR="007503CA">
        <w:t xml:space="preserve">, we can only </w:t>
      </w:r>
      <w:r w:rsidR="005C0B69">
        <w:t>explain</w:t>
      </w:r>
      <w:r w:rsidR="007503CA">
        <w:t xml:space="preserve"> her performance by her general skill</w:t>
      </w:r>
      <w:r w:rsidR="00E93CCD">
        <w:t>.</w:t>
      </w:r>
      <w:r w:rsidR="007503CA">
        <w:t xml:space="preserve"> </w:t>
      </w:r>
      <w:r w:rsidR="005C0B69">
        <w:t>Some might think that this is a case</w:t>
      </w:r>
      <w:r w:rsidR="007503CA">
        <w:t xml:space="preserve"> that</w:t>
      </w:r>
      <w:r w:rsidR="005C0B69">
        <w:t xml:space="preserve"> supports</w:t>
      </w:r>
      <w:r w:rsidR="007503CA">
        <w:t xml:space="preserve"> </w:t>
      </w:r>
      <w:r w:rsidR="005C0B69">
        <w:t>disposition-based</w:t>
      </w:r>
      <w:r w:rsidR="007503CA">
        <w:t xml:space="preserve"> epistemology.</w:t>
      </w:r>
      <w:r w:rsidRPr="00EA5BBC">
        <w:t xml:space="preserve"> </w:t>
      </w:r>
      <w:r w:rsidR="006A2153">
        <w:t>F&amp;M write: “An epistemically virtuous agent will reliably form a reliable epistemic motivation” (24). Carrie is just such an agent.</w:t>
      </w:r>
    </w:p>
    <w:p w14:paraId="3FC97664" w14:textId="77777777" w:rsidR="004300C9" w:rsidRDefault="005C0B69" w:rsidP="00EA5BBC">
      <w:r>
        <w:t>T</w:t>
      </w:r>
      <w:r w:rsidR="00EA5BBC" w:rsidRPr="00EA5BBC">
        <w:t>he worry</w:t>
      </w:r>
      <w:r>
        <w:t xml:space="preserve"> is that the case supports a disposition-based </w:t>
      </w:r>
      <w:r>
        <w:rPr>
          <w:i/>
        </w:rPr>
        <w:t>psychology</w:t>
      </w:r>
      <w:r>
        <w:t>, but it’</w:t>
      </w:r>
      <w:r w:rsidR="004300C9">
        <w:t>s not clear w</w:t>
      </w:r>
      <w:r>
        <w:t>hat it does for epistemology</w:t>
      </w:r>
      <w:r w:rsidR="00EA5BBC" w:rsidRPr="00EA5BBC">
        <w:t xml:space="preserve">. </w:t>
      </w:r>
      <w:r w:rsidR="007503CA">
        <w:rPr>
          <w:i/>
        </w:rPr>
        <w:t xml:space="preserve">Ex </w:t>
      </w:r>
      <w:r w:rsidR="007503CA" w:rsidRPr="007503CA">
        <w:rPr>
          <w:i/>
        </w:rPr>
        <w:t>hypothesi</w:t>
      </w:r>
      <w:r w:rsidR="007503CA">
        <w:t xml:space="preserve">, </w:t>
      </w:r>
      <w:r w:rsidR="00EA5BBC" w:rsidRPr="007503CA">
        <w:t>Carrie’s</w:t>
      </w:r>
      <w:r w:rsidR="00EA5BBC" w:rsidRPr="00EA5BBC">
        <w:t xml:space="preserve"> disposition </w:t>
      </w:r>
      <w:r w:rsidR="007503CA">
        <w:t xml:space="preserve">reveals </w:t>
      </w:r>
      <w:r w:rsidR="00EA5BBC" w:rsidRPr="00EA5BBC">
        <w:t xml:space="preserve">very little about </w:t>
      </w:r>
      <w:r w:rsidR="007503CA">
        <w:t>her reasoning in particular cases</w:t>
      </w:r>
      <w:r w:rsidR="00EA5BBC" w:rsidRPr="00EA5BBC">
        <w:t xml:space="preserve">. </w:t>
      </w:r>
      <w:r>
        <w:t>Often</w:t>
      </w:r>
      <w:r w:rsidR="007503CA">
        <w:t xml:space="preserve">, she says something </w:t>
      </w:r>
      <w:r>
        <w:t>startlingly on the right track</w:t>
      </w:r>
      <w:r w:rsidR="007503CA">
        <w:t>. For instance, y</w:t>
      </w:r>
      <w:r w:rsidR="00EA5BBC" w:rsidRPr="00EA5BBC">
        <w:t>ou think Harry is dishonest</w:t>
      </w:r>
      <w:r w:rsidR="00BD3D68">
        <w:t>, but Carrie explains</w:t>
      </w:r>
      <w:r w:rsidR="00E93CCD">
        <w:t xml:space="preserve"> that you have misunderstood the interactions on which you are basing your judgment</w:t>
      </w:r>
      <w:r w:rsidR="00EA5BBC" w:rsidRPr="00EA5BBC">
        <w:t xml:space="preserve">. </w:t>
      </w:r>
      <w:r w:rsidR="00E414ED">
        <w:t>This illustrates her perspicacity</w:t>
      </w:r>
      <w:r w:rsidR="004300C9">
        <w:t xml:space="preserve">, but it is </w:t>
      </w:r>
      <w:r w:rsidR="004300C9">
        <w:rPr>
          <w:i/>
        </w:rPr>
        <w:t>post facto</w:t>
      </w:r>
      <w:r w:rsidR="004300C9">
        <w:t>—Carrie can’t account for how she arrives at her conclusions; her “reliable epistemic motivation” can’t readily be conceptualized</w:t>
      </w:r>
      <w:r w:rsidR="00E414ED">
        <w:t xml:space="preserve">. </w:t>
      </w:r>
    </w:p>
    <w:p w14:paraId="1AB80B11" w14:textId="2ECF9E4A" w:rsidR="005C0B69" w:rsidRDefault="005C0B69" w:rsidP="00EA5BBC">
      <w:r>
        <w:t xml:space="preserve">Now, what is the ontological status of </w:t>
      </w:r>
      <w:r w:rsidR="006A2153">
        <w:t>her</w:t>
      </w:r>
      <w:r>
        <w:t xml:space="preserve"> perspicacity? It can’t merely be a conditional fact—the fact that </w:t>
      </w:r>
      <w:r>
        <w:rPr>
          <w:i/>
        </w:rPr>
        <w:t xml:space="preserve">when </w:t>
      </w:r>
      <w:r>
        <w:t xml:space="preserve">Carrie encounters personal situation, she most often reads it correctly. It can’t be this, because this conditional merely describes and does not cause or explain her judgement. It must be something ontologically more independent; something that underlies the conditional fact and causes it—lacking better terminology, let’s call it a </w:t>
      </w:r>
      <w:r>
        <w:rPr>
          <w:i/>
        </w:rPr>
        <w:t>power</w:t>
      </w:r>
      <w:r>
        <w:t xml:space="preserve">. </w:t>
      </w:r>
      <w:r w:rsidR="006A2153">
        <w:t xml:space="preserve">If epistemic virtues are not powers, they would </w:t>
      </w:r>
      <w:r w:rsidR="006A2153">
        <w:t xml:space="preserve">merely </w:t>
      </w:r>
      <w:r w:rsidR="006A2153">
        <w:t>be conditional behaviours, and this would defeat the very point of putting virtue first.</w:t>
      </w:r>
    </w:p>
    <w:p w14:paraId="7A7DCB61" w14:textId="760D51F9" w:rsidR="00EA5BBC" w:rsidRPr="00EA5BBC" w:rsidRDefault="005C0B69" w:rsidP="00EA5BBC">
      <w:r>
        <w:t>Here comes the difficulty. The very same power—however you individuate mental powers—</w:t>
      </w:r>
      <w:r w:rsidR="004300C9">
        <w:t xml:space="preserve">that led her to read Harry so well </w:t>
      </w:r>
      <w:r>
        <w:t xml:space="preserve">sometimes </w:t>
      </w:r>
      <w:r w:rsidR="00E414ED">
        <w:t xml:space="preserve">leads </w:t>
      </w:r>
      <w:r w:rsidR="00EA5BBC" w:rsidRPr="00EA5BBC">
        <w:t xml:space="preserve">Carrie </w:t>
      </w:r>
      <w:r w:rsidR="00E414ED">
        <w:t>into error</w:t>
      </w:r>
      <w:r>
        <w:t>.</w:t>
      </w:r>
      <w:r w:rsidR="00EA5BBC" w:rsidRPr="00EA5BBC">
        <w:t xml:space="preserve"> </w:t>
      </w:r>
      <w:r>
        <w:t xml:space="preserve">She insists that Thomas is a very courageous man, but she’s over-estimating him. </w:t>
      </w:r>
      <w:r>
        <w:t>She has blind spots</w:t>
      </w:r>
      <w:r w:rsidRPr="00EA5BBC">
        <w:t xml:space="preserve">. </w:t>
      </w:r>
      <w:r w:rsidR="004300C9">
        <w:t xml:space="preserve">Now, how does her epistemic excellence help us here? </w:t>
      </w:r>
      <w:r>
        <w:t xml:space="preserve">It seems odd to say that </w:t>
      </w:r>
      <w:r w:rsidR="004300C9">
        <w:t xml:space="preserve">it </w:t>
      </w:r>
      <w:r w:rsidR="00BD3D68">
        <w:t>excuse</w:t>
      </w:r>
      <w:r>
        <w:t>s</w:t>
      </w:r>
      <w:r w:rsidR="00BD3D68">
        <w:t xml:space="preserve"> </w:t>
      </w:r>
      <w:r>
        <w:t>this</w:t>
      </w:r>
      <w:r w:rsidR="00E93CCD">
        <w:t xml:space="preserve"> </w:t>
      </w:r>
      <w:r w:rsidR="00E414ED">
        <w:t>mistake</w:t>
      </w:r>
      <w:r w:rsidR="00E93CCD">
        <w:t xml:space="preserve">; </w:t>
      </w:r>
      <w:r>
        <w:t xml:space="preserve">conversely, </w:t>
      </w:r>
      <w:r w:rsidR="00BD3D68">
        <w:t xml:space="preserve">her </w:t>
      </w:r>
      <w:r>
        <w:t xml:space="preserve">occasional errors </w:t>
      </w:r>
      <w:r w:rsidR="007503CA">
        <w:t xml:space="preserve">don’t </w:t>
      </w:r>
      <w:r w:rsidR="00E93CCD">
        <w:t>gainsay</w:t>
      </w:r>
      <w:r w:rsidR="00BD3D68">
        <w:t xml:space="preserve"> her successes. </w:t>
      </w:r>
      <w:r>
        <w:t>Still</w:t>
      </w:r>
      <w:r w:rsidR="007503CA">
        <w:t xml:space="preserve">, we have no good way to make explicit her reasoning in particular cases. So, it’s hard to say whether she </w:t>
      </w:r>
      <w:r w:rsidR="007503CA">
        <w:rPr>
          <w:i/>
        </w:rPr>
        <w:t xml:space="preserve">knows </w:t>
      </w:r>
      <w:r w:rsidR="007503CA">
        <w:t xml:space="preserve">the truth about Harry. </w:t>
      </w:r>
      <w:r w:rsidR="00BD3D68">
        <w:t xml:space="preserve">Of course, </w:t>
      </w:r>
      <w:r w:rsidR="00BD3D68" w:rsidRPr="00EA5BBC">
        <w:t>an observer might be inclined to trust Carrie because he has so often seen her get things right</w:t>
      </w:r>
      <w:r w:rsidR="00E93CCD">
        <w:t>. B</w:t>
      </w:r>
      <w:r w:rsidR="00BD3D68">
        <w:t>ut the fact remains that</w:t>
      </w:r>
      <w:r w:rsidR="00BD3D68" w:rsidRPr="00EA5BBC">
        <w:t xml:space="preserve"> </w:t>
      </w:r>
      <w:r w:rsidR="00BD3D68">
        <w:t>t</w:t>
      </w:r>
      <w:r w:rsidR="00EA5BBC" w:rsidRPr="00EA5BBC">
        <w:t xml:space="preserve">he rationality of her judgement on any particular occasion is decided </w:t>
      </w:r>
      <w:r w:rsidR="00BD3D68" w:rsidRPr="00EA5BBC">
        <w:t xml:space="preserve">not </w:t>
      </w:r>
      <w:r w:rsidR="00EA5BBC" w:rsidRPr="00EA5BBC">
        <w:t>by her dispositio</w:t>
      </w:r>
      <w:r w:rsidR="004300C9">
        <w:t>ns. True,</w:t>
      </w:r>
      <w:r w:rsidR="00E93CCD">
        <w:t xml:space="preserve"> her actual </w:t>
      </w:r>
      <w:r>
        <w:t>mental process</w:t>
      </w:r>
      <w:r w:rsidR="004300C9">
        <w:t xml:space="preserve"> doesn’t help either</w:t>
      </w:r>
      <w:r>
        <w:t xml:space="preserve">, </w:t>
      </w:r>
      <w:r w:rsidR="004300C9">
        <w:t xml:space="preserve">since </w:t>
      </w:r>
      <w:r>
        <w:t xml:space="preserve">this </w:t>
      </w:r>
      <w:r w:rsidR="00E93CCD">
        <w:t>may be opaque even to herself.</w:t>
      </w:r>
      <w:r w:rsidR="004300C9">
        <w:t xml:space="preserve"> But this does not help the virtue-theorist.</w:t>
      </w:r>
      <w:r w:rsidR="007503CA">
        <w:t xml:space="preserve"> In summary, then, the very irreducibility of explanation by </w:t>
      </w:r>
      <w:r>
        <w:t>powers</w:t>
      </w:r>
      <w:r w:rsidR="007503CA">
        <w:t xml:space="preserve"> undercuts the availability of knowledge judgements</w:t>
      </w:r>
      <w:r>
        <w:t xml:space="preserve"> and undercuts its utility to epistemology</w:t>
      </w:r>
      <w:r w:rsidR="007503CA">
        <w:t xml:space="preserve">. </w:t>
      </w:r>
    </w:p>
    <w:p w14:paraId="2AB1EEF5" w14:textId="77777777" w:rsidR="004300C9" w:rsidRDefault="004300C9" w:rsidP="00EA5BBC">
      <w:r>
        <w:t xml:space="preserve">Though Mika’s case is different, </w:t>
      </w:r>
      <w:r w:rsidR="00EA5BBC" w:rsidRPr="00EA5BBC">
        <w:t>I am</w:t>
      </w:r>
      <w:r w:rsidR="009B77EE">
        <w:t xml:space="preserve"> </w:t>
      </w:r>
      <w:r w:rsidR="00EA5BBC" w:rsidRPr="00EA5BBC">
        <w:t xml:space="preserve">inclined to say the same of </w:t>
      </w:r>
      <w:r>
        <w:t>her</w:t>
      </w:r>
      <w:r w:rsidR="009B77EE">
        <w:t>. I</w:t>
      </w:r>
      <w:r w:rsidR="00EA5BBC" w:rsidRPr="00EA5BBC">
        <w:t xml:space="preserve">n her case, </w:t>
      </w:r>
      <w:r w:rsidR="009B77EE">
        <w:t xml:space="preserve">there are two levels of analysis. At the level of </w:t>
      </w:r>
      <w:r w:rsidR="009B77EE" w:rsidRPr="00E93CCD">
        <w:rPr>
          <w:i/>
        </w:rPr>
        <w:t>intention</w:t>
      </w:r>
      <w:r w:rsidR="009B77EE">
        <w:t>, she exercises</w:t>
      </w:r>
      <w:r w:rsidR="00EA5BBC" w:rsidRPr="00EA5BBC">
        <w:t xml:space="preserve"> truth-conducive rule</w:t>
      </w:r>
      <w:r w:rsidR="009B77EE">
        <w:t xml:space="preserve">s. </w:t>
      </w:r>
      <w:r w:rsidR="00E93CCD">
        <w:t xml:space="preserve">Microscopy is not all that mysterious; we can figure out what these rules are. </w:t>
      </w:r>
      <w:r w:rsidR="009B77EE">
        <w:t xml:space="preserve">At the level of </w:t>
      </w:r>
      <w:r w:rsidR="009B77EE" w:rsidRPr="00E93CCD">
        <w:rPr>
          <w:i/>
        </w:rPr>
        <w:t>execution</w:t>
      </w:r>
      <w:r w:rsidR="009B77EE">
        <w:t>, she translates these rules into dextrous eye-hand coordination</w:t>
      </w:r>
      <w:r w:rsidR="00EA5BBC" w:rsidRPr="00EA5BBC">
        <w:t xml:space="preserve">. </w:t>
      </w:r>
      <w:r w:rsidR="00BD3D68">
        <w:t>T</w:t>
      </w:r>
      <w:r w:rsidR="00E93CCD">
        <w:t>his</w:t>
      </w:r>
      <w:r w:rsidR="009B77EE">
        <w:t xml:space="preserve"> dexterity, though it is necessary for proper execution, is not chosen under any conceptual description. </w:t>
      </w:r>
      <w:r w:rsidR="00F80140">
        <w:t>This does not, as F&amp;M ri</w:t>
      </w:r>
      <w:r w:rsidR="00BD3D68">
        <w:t xml:space="preserve">ghtly insist (6), preclude dextrous </w:t>
      </w:r>
      <w:r>
        <w:t>bodily movement</w:t>
      </w:r>
      <w:r w:rsidR="00BD3D68">
        <w:t xml:space="preserve"> from</w:t>
      </w:r>
      <w:r>
        <w:t xml:space="preserve"> being “agential</w:t>
      </w:r>
      <w:r w:rsidR="00F80140">
        <w:t>”</w:t>
      </w:r>
      <w:r>
        <w:t>—see section 4.1 for an excellent analysis.</w:t>
      </w:r>
      <w:r w:rsidR="00F80140">
        <w:t xml:space="preserve"> Nonetheless, </w:t>
      </w:r>
      <w:r w:rsidR="00F80140">
        <w:rPr>
          <w:i/>
        </w:rPr>
        <w:t xml:space="preserve">reason-giving </w:t>
      </w:r>
      <w:r w:rsidR="00F80140">
        <w:t>plays out</w:t>
      </w:r>
      <w:r w:rsidR="00BD3D68">
        <w:t xml:space="preserve"> at the level of intention, not </w:t>
      </w:r>
      <w:r w:rsidR="007503CA">
        <w:t xml:space="preserve">bodily </w:t>
      </w:r>
      <w:r w:rsidR="00BD3D68">
        <w:t>execution</w:t>
      </w:r>
      <w:r w:rsidR="00E93CCD">
        <w:t xml:space="preserve">. </w:t>
      </w:r>
      <w:r w:rsidR="00F80140">
        <w:t>F&amp;M are right to say that “the automaticity of a process in an agent is actually an indication of success and creditworthiness” (</w:t>
      </w:r>
      <w:r w:rsidR="00F80140">
        <w:rPr>
          <w:i/>
        </w:rPr>
        <w:t>ibid</w:t>
      </w:r>
      <w:r w:rsidR="00F80140">
        <w:t xml:space="preserve">), </w:t>
      </w:r>
      <w:r>
        <w:t xml:space="preserve">and this is right, </w:t>
      </w:r>
      <w:r w:rsidR="00BD3D68">
        <w:t xml:space="preserve">but </w:t>
      </w:r>
      <w:r>
        <w:t>the fact remains that rationality resides in intention not execution</w:t>
      </w:r>
      <w:r w:rsidR="00F80140">
        <w:t>.</w:t>
      </w:r>
      <w:r w:rsidR="00F80140">
        <w:rPr>
          <w:i/>
        </w:rPr>
        <w:t xml:space="preserve"> </w:t>
      </w:r>
      <w:r w:rsidR="00F80140">
        <w:t>So</w:t>
      </w:r>
      <w:r w:rsidR="00EA5BBC" w:rsidRPr="00EA5BBC">
        <w:t xml:space="preserve">, </w:t>
      </w:r>
      <w:r>
        <w:t xml:space="preserve">here too, </w:t>
      </w:r>
      <w:r w:rsidR="00EA5BBC" w:rsidRPr="00EA5BBC">
        <w:t xml:space="preserve">there’s no reason to think that virtue </w:t>
      </w:r>
      <w:r w:rsidR="00BD3D68">
        <w:t xml:space="preserve">is </w:t>
      </w:r>
      <w:r w:rsidR="00EA5BBC" w:rsidRPr="00EA5BBC">
        <w:t>normatively more fundamental than performance.</w:t>
      </w:r>
    </w:p>
    <w:p w14:paraId="236FC51A" w14:textId="738905B3" w:rsidR="00EA5BBC" w:rsidRPr="004300C9" w:rsidRDefault="004300C9" w:rsidP="00EA5BBC">
      <w:r>
        <w:t xml:space="preserve">So, there are three kinds of cases. Johnna the logician reasons explicitly, and we evaluate each of her proofs on its own merits, not Johnna’s. </w:t>
      </w:r>
      <w:r w:rsidR="007503CA">
        <w:t>Mika’s dexterity cannot be codified, but it does not determine rationality; her use of good method, on the other hand, is evaluable in individual performances.</w:t>
      </w:r>
      <w:r>
        <w:t xml:space="preserve"> Finally, Carrie: her epistemic virtue is irreducibly responsible for her success, but it doesn’t help us decide whether she </w:t>
      </w:r>
      <w:r>
        <w:rPr>
          <w:i/>
        </w:rPr>
        <w:t>knows</w:t>
      </w:r>
      <w:r>
        <w:t xml:space="preserve">. </w:t>
      </w:r>
    </w:p>
    <w:p w14:paraId="38F93DD9" w14:textId="6AACA86C" w:rsidR="00E93CCD" w:rsidRDefault="00EA5BBC" w:rsidP="000F1C80">
      <w:r w:rsidRPr="00EA5BBC">
        <w:rPr>
          <w:i/>
        </w:rPr>
        <w:t>Second</w:t>
      </w:r>
      <w:r w:rsidR="002B3897" w:rsidRPr="00EA5BBC">
        <w:t xml:space="preserve">, I am uncomfortable </w:t>
      </w:r>
      <w:r w:rsidR="004300C9">
        <w:t xml:space="preserve">in this context </w:t>
      </w:r>
      <w:r w:rsidR="002B3897" w:rsidRPr="00EA5BBC">
        <w:t>with</w:t>
      </w:r>
      <w:r w:rsidR="000F1C80" w:rsidRPr="00EA5BBC">
        <w:t xml:space="preserve"> the notion of an</w:t>
      </w:r>
      <w:r w:rsidR="002B3897" w:rsidRPr="00EA5BBC">
        <w:t xml:space="preserve"> </w:t>
      </w:r>
      <w:r w:rsidR="002B3897" w:rsidRPr="00EA5BBC">
        <w:rPr>
          <w:i/>
        </w:rPr>
        <w:t>epistemic</w:t>
      </w:r>
      <w:r w:rsidR="000F1C80" w:rsidRPr="00EA5BBC">
        <w:t xml:space="preserve"> norm or value</w:t>
      </w:r>
      <w:r w:rsidR="002B3897" w:rsidRPr="00EA5BBC">
        <w:t xml:space="preserve">. </w:t>
      </w:r>
      <w:r w:rsidR="000F1C80" w:rsidRPr="00EA5BBC">
        <w:t>Stewart Cohen (2016) observes that “if your child is critically ill, you are morally obligated to investigate th</w:t>
      </w:r>
      <w:r w:rsidR="007503CA">
        <w:t>e various options for treatment.” B</w:t>
      </w:r>
      <w:r w:rsidR="000F1C80" w:rsidRPr="00EA5BBC">
        <w:t>ut</w:t>
      </w:r>
      <w:r w:rsidR="007503CA">
        <w:t xml:space="preserve"> he says</w:t>
      </w:r>
      <w:r w:rsidR="000F1C80" w:rsidRPr="00EA5BBC">
        <w:t xml:space="preserve"> that it is “ludicrous to suppose” that there is a general </w:t>
      </w:r>
      <w:r w:rsidRPr="00EA5BBC">
        <w:t xml:space="preserve">obligation to attain the truth. </w:t>
      </w:r>
      <w:r w:rsidR="005C0B69">
        <w:t xml:space="preserve">You have no obligation to memorize the phone book. </w:t>
      </w:r>
      <w:r w:rsidR="00E93CCD">
        <w:t xml:space="preserve">I take it that </w:t>
      </w:r>
      <w:r w:rsidR="005C0B69">
        <w:t>Cohen</w:t>
      </w:r>
      <w:r w:rsidR="00E93CCD">
        <w:t xml:space="preserve"> is thinking of </w:t>
      </w:r>
      <w:r w:rsidR="00E93CCD">
        <w:rPr>
          <w:i/>
        </w:rPr>
        <w:t xml:space="preserve">external </w:t>
      </w:r>
      <w:r w:rsidR="005C0B69">
        <w:t xml:space="preserve">obligations: the parent must do everything he </w:t>
      </w:r>
      <w:r w:rsidR="00E93CCD">
        <w:t xml:space="preserve">can to make </w:t>
      </w:r>
      <w:r w:rsidR="005C0B69">
        <w:t>his</w:t>
      </w:r>
      <w:r w:rsidR="00E93CCD">
        <w:t xml:space="preserve"> child better; therefore,</w:t>
      </w:r>
      <w:r w:rsidR="005C0B69">
        <w:t xml:space="preserve"> he ought to</w:t>
      </w:r>
      <w:r w:rsidR="00E93CCD">
        <w:t xml:space="preserve"> research the treatment options. </w:t>
      </w:r>
      <w:r w:rsidR="005C0B69">
        <w:t xml:space="preserve">You have no obligation to memorize </w:t>
      </w:r>
      <w:r w:rsidR="006A2153">
        <w:t xml:space="preserve">the </w:t>
      </w:r>
      <w:r w:rsidR="005C0B69">
        <w:t>phone</w:t>
      </w:r>
      <w:r w:rsidR="006A2153">
        <w:t xml:space="preserve"> book</w:t>
      </w:r>
      <w:r w:rsidR="005C0B69">
        <w:t>; you have not erred by leaving it unperused. These oughts follow from external, i.e.</w:t>
      </w:r>
      <w:r w:rsidR="00E93CCD">
        <w:t xml:space="preserve"> non-epistemic</w:t>
      </w:r>
      <w:r w:rsidR="005C0B69">
        <w:t>, moral duties</w:t>
      </w:r>
      <w:r w:rsidR="00E93CCD">
        <w:t xml:space="preserve">. </w:t>
      </w:r>
      <w:r w:rsidR="005C0B69">
        <w:t>They do</w:t>
      </w:r>
      <w:r w:rsidR="00E93CCD">
        <w:t>n’t tell us anything about epistemic norms or values.</w:t>
      </w:r>
    </w:p>
    <w:p w14:paraId="36806FB1" w14:textId="0A548E17" w:rsidR="00EA5BBC" w:rsidRPr="00EA5BBC" w:rsidRDefault="00E93CCD" w:rsidP="007503CA">
      <w:r>
        <w:t>F&amp;M disagree</w:t>
      </w:r>
      <w:r w:rsidR="005C0B69">
        <w:t xml:space="preserve"> with this assessment</w:t>
      </w:r>
      <w:r>
        <w:t>. “To form a belief is to commit to being subject to epistemic norms, whether the content is trivial or not</w:t>
      </w:r>
      <w:r w:rsidR="005C0B69">
        <w:t>,</w:t>
      </w:r>
      <w:r>
        <w:t xml:space="preserve">” </w:t>
      </w:r>
      <w:r w:rsidR="005C0B69">
        <w:t xml:space="preserve">they write </w:t>
      </w:r>
      <w:r>
        <w:t xml:space="preserve">(70). </w:t>
      </w:r>
      <w:r w:rsidR="005C0B69">
        <w:t>But t</w:t>
      </w:r>
      <w:r>
        <w:t>his doesn’t seem</w:t>
      </w:r>
      <w:r w:rsidR="007503CA">
        <w:t xml:space="preserve"> germane: true, you are subject to certain standards if you decide to form a belief, but that doesn’t mean that you are subject to epistemic norms in all inquiry.</w:t>
      </w:r>
      <w:r>
        <w:t xml:space="preserve"> The imperative, “If you seek belief, then do this,” breaks up into two parts—wh</w:t>
      </w:r>
      <w:r w:rsidR="005C0B69">
        <w:t>ether to seek belief,</w:t>
      </w:r>
      <w:r w:rsidR="004300C9">
        <w:t xml:space="preserve"> what course of action most reliably produces true</w:t>
      </w:r>
      <w:r>
        <w:t xml:space="preserve"> belief. The former is not an epistemic question; the latter is purely factual and non-normative. </w:t>
      </w:r>
      <w:r w:rsidR="00E414ED">
        <w:t>Even more tellingly</w:t>
      </w:r>
      <w:r w:rsidR="00EA5BBC" w:rsidRPr="00EA5BBC">
        <w:t xml:space="preserve">, there is sometimes a positive obligation </w:t>
      </w:r>
      <w:r w:rsidR="00EA5BBC" w:rsidRPr="00EA5BBC">
        <w:rPr>
          <w:i/>
        </w:rPr>
        <w:t xml:space="preserve">not </w:t>
      </w:r>
      <w:r w:rsidR="00EA5BBC" w:rsidRPr="00EA5BBC">
        <w:t xml:space="preserve">to seek the truth—you have a (defeasible) duty </w:t>
      </w:r>
      <w:r w:rsidR="00EA5BBC" w:rsidRPr="00EA5BBC">
        <w:rPr>
          <w:i/>
        </w:rPr>
        <w:t>not</w:t>
      </w:r>
      <w:r w:rsidR="00EA5BBC" w:rsidRPr="00EA5BBC">
        <w:t xml:space="preserve"> to snoop on the people who live next door. </w:t>
      </w:r>
      <w:r>
        <w:t>I</w:t>
      </w:r>
      <w:r w:rsidR="00EA5BBC" w:rsidRPr="00EA5BBC">
        <w:t xml:space="preserve">n the service of prohibited truth-seeking, resourcefulness and diligence </w:t>
      </w:r>
      <w:r w:rsidR="00BD3D68">
        <w:t>are</w:t>
      </w:r>
      <w:r w:rsidR="00EA5BBC" w:rsidRPr="00EA5BBC">
        <w:t xml:space="preserve"> not commendable.</w:t>
      </w:r>
      <w:r w:rsidR="00E414ED">
        <w:t xml:space="preserve"> Recall </w:t>
      </w:r>
      <w:r w:rsidR="00EA5BBC" w:rsidRPr="00EA5BBC">
        <w:t>A</w:t>
      </w:r>
      <w:r w:rsidR="00E414ED">
        <w:t>ristotle</w:t>
      </w:r>
      <w:r w:rsidR="00EA5BBC" w:rsidRPr="00EA5BBC">
        <w:t>: you can’t commit adultery with the</w:t>
      </w:r>
      <w:r>
        <w:t xml:space="preserve"> right person in the right way at the right time.</w:t>
      </w:r>
    </w:p>
    <w:p w14:paraId="03F4C326" w14:textId="77777777" w:rsidR="005C0B69" w:rsidRDefault="000F1C80" w:rsidP="000F1C80">
      <w:r w:rsidRPr="00EA5BBC">
        <w:t xml:space="preserve">The parent in Cohen’s example, </w:t>
      </w:r>
      <w:r w:rsidR="00EA5BBC" w:rsidRPr="00EA5BBC">
        <w:t>his</w:t>
      </w:r>
      <w:r w:rsidRPr="00EA5BBC">
        <w:t xml:space="preserve"> would-be telephonist, and Mika the microscopist have differently based obligations. </w:t>
      </w:r>
      <w:r w:rsidR="00EA5BBC" w:rsidRPr="00EA5BBC">
        <w:t xml:space="preserve">None of these rest on the unconditional value of </w:t>
      </w:r>
      <w:r w:rsidRPr="00EA5BBC">
        <w:t xml:space="preserve">rational inquiry. As I understand him, Cohen is pointing out a difference between </w:t>
      </w:r>
      <w:r w:rsidR="00EA5BBC" w:rsidRPr="00EA5BBC">
        <w:t xml:space="preserve">(a) </w:t>
      </w:r>
      <w:r w:rsidRPr="00EA5BBC">
        <w:t>norms that dictate how one should act in epistemic situations</w:t>
      </w:r>
      <w:r w:rsidR="00EA5BBC" w:rsidRPr="00EA5BBC">
        <w:t xml:space="preserve"> </w:t>
      </w:r>
      <w:r w:rsidRPr="00EA5BBC">
        <w:t xml:space="preserve">and </w:t>
      </w:r>
      <w:r w:rsidR="00EA5BBC" w:rsidRPr="00EA5BBC">
        <w:t xml:space="preserve">(b) </w:t>
      </w:r>
      <w:r w:rsidRPr="00EA5BBC">
        <w:t xml:space="preserve">norms that arise from the </w:t>
      </w:r>
      <w:r w:rsidR="00EA5BBC" w:rsidRPr="00EA5BBC">
        <w:t xml:space="preserve">very </w:t>
      </w:r>
      <w:r w:rsidRPr="00EA5BBC">
        <w:t xml:space="preserve">nature of knowledge, belief, and other epistemic </w:t>
      </w:r>
      <w:r w:rsidR="00EA5BBC" w:rsidRPr="00EA5BBC">
        <w:t>achievements</w:t>
      </w:r>
      <w:r w:rsidRPr="00EA5BBC">
        <w:t>. (On this point, see also Kaup</w:t>
      </w:r>
      <w:r w:rsidR="00EA5BBC" w:rsidRPr="00EA5BBC">
        <w:t>pi</w:t>
      </w:r>
      <w:r w:rsidRPr="00EA5BBC">
        <w:t>nen, forthcoming.)</w:t>
      </w:r>
      <w:r w:rsidR="00EA5BBC" w:rsidRPr="00EA5BBC">
        <w:t xml:space="preserve"> </w:t>
      </w:r>
      <w:r w:rsidR="00E414ED">
        <w:t xml:space="preserve">I am inclined to think that the canons of </w:t>
      </w:r>
      <w:r w:rsidR="005C0B69">
        <w:t>truth-revealing</w:t>
      </w:r>
      <w:r w:rsidR="00E414ED">
        <w:t xml:space="preserve"> inquiry fall </w:t>
      </w:r>
      <w:r w:rsidR="00E93CCD">
        <w:t>under (a), not (b)</w:t>
      </w:r>
      <w:r w:rsidR="00E414ED">
        <w:t xml:space="preserve">. </w:t>
      </w:r>
      <w:r w:rsidR="00EA5BBC" w:rsidRPr="00EA5BBC">
        <w:t xml:space="preserve">F&amp;M say that cognitive integration and attention to relevant evidence are cognitive norms (34), and that distracting mental influences are “normatively significant failure(s).” </w:t>
      </w:r>
      <w:r w:rsidR="00E414ED">
        <w:t>In my view, attention to evidence and similar rules of inquiry are</w:t>
      </w:r>
      <w:r w:rsidR="00EA5BBC" w:rsidRPr="00EA5BBC">
        <w:t xml:space="preserve"> good </w:t>
      </w:r>
      <w:r w:rsidR="00EA5BBC" w:rsidRPr="00EA5BBC">
        <w:rPr>
          <w:i/>
        </w:rPr>
        <w:t xml:space="preserve">for </w:t>
      </w:r>
      <w:r w:rsidR="00EA5BBC" w:rsidRPr="00EA5BBC">
        <w:t>discovering the truth, but not good unconditionally.</w:t>
      </w:r>
      <w:r w:rsidR="00E414ED">
        <w:t xml:space="preserve"> </w:t>
      </w:r>
    </w:p>
    <w:p w14:paraId="3D6106B1" w14:textId="0477128B" w:rsidR="000F1C80" w:rsidRPr="00EA5BBC" w:rsidRDefault="005C0B69" w:rsidP="000F1C80">
      <w:r>
        <w:t xml:space="preserve">Are there norms of type (b), which </w:t>
      </w:r>
      <w:r w:rsidR="007503CA">
        <w:t xml:space="preserve">arise from the nature of knowledge itself? Timothy Williamson </w:t>
      </w:r>
      <w:r w:rsidR="00154191">
        <w:t>(2000</w:t>
      </w:r>
      <w:r w:rsidR="007503CA">
        <w:t>) claim</w:t>
      </w:r>
      <w:r>
        <w:t xml:space="preserve">s </w:t>
      </w:r>
      <w:r w:rsidR="007503CA">
        <w:t>that you should believe only what you know.</w:t>
      </w:r>
      <w:r w:rsidR="00154191">
        <w:t xml:space="preserve"> (“The point of belief is knowledge,” </w:t>
      </w:r>
      <w:r w:rsidR="00154191">
        <w:rPr>
          <w:i/>
        </w:rPr>
        <w:t xml:space="preserve">ibid. </w:t>
      </w:r>
      <w:r w:rsidR="00154191">
        <w:t>1.)</w:t>
      </w:r>
      <w:r w:rsidR="007503CA">
        <w:t xml:space="preserve"> This is a putative example of such </w:t>
      </w:r>
      <w:r w:rsidR="006A2153">
        <w:t xml:space="preserve">a norm—it’s </w:t>
      </w:r>
      <w:r>
        <w:t>an epistemic norm</w:t>
      </w:r>
      <w:r w:rsidR="006A2153">
        <w:t xml:space="preserve"> if it’s a norm at all—</w:t>
      </w:r>
      <w:r w:rsidR="007503CA">
        <w:t xml:space="preserve">but it’s hard for me to see how it is relevant to virtue epistemology, which seems to be more concerned with </w:t>
      </w:r>
      <w:r w:rsidR="006A2153">
        <w:t xml:space="preserve">the “how” </w:t>
      </w:r>
      <w:r w:rsidR="007503CA">
        <w:t xml:space="preserve">of inquiry, </w:t>
      </w:r>
      <w:r w:rsidR="006A2153">
        <w:t xml:space="preserve">the methods and dispositions that bring success, </w:t>
      </w:r>
      <w:r w:rsidR="007503CA">
        <w:t>not success</w:t>
      </w:r>
      <w:r w:rsidR="006A2153">
        <w:t xml:space="preserve"> itself</w:t>
      </w:r>
      <w:r w:rsidR="007503CA">
        <w:t>.</w:t>
      </w:r>
    </w:p>
    <w:p w14:paraId="3CA49E5E" w14:textId="731581C8" w:rsidR="00E414ED" w:rsidRDefault="00EA5BBC" w:rsidP="00EA5BBC">
      <w:r w:rsidRPr="00EA5BBC">
        <w:t xml:space="preserve">Now, F&amp;M are aware of considerations such as those </w:t>
      </w:r>
      <w:r w:rsidR="007503CA">
        <w:t>that bother Cohen</w:t>
      </w:r>
      <w:r w:rsidRPr="00EA5BBC">
        <w:t xml:space="preserve">. For instance, they quote Philippa Foot saying that one can judge that </w:t>
      </w:r>
      <w:r w:rsidRPr="00EA5BBC">
        <w:rPr>
          <w:i/>
        </w:rPr>
        <w:t xml:space="preserve">x </w:t>
      </w:r>
      <w:r w:rsidRPr="00EA5BBC">
        <w:t xml:space="preserve">is a good doctor without having a reason to choose </w:t>
      </w:r>
      <w:r w:rsidRPr="00EA5BBC">
        <w:rPr>
          <w:i/>
        </w:rPr>
        <w:t xml:space="preserve">x </w:t>
      </w:r>
      <w:r w:rsidRPr="00EA5BBC">
        <w:t xml:space="preserve">(62), and they suggest (again following Foot) that the gap is bridged by an interest or desire. </w:t>
      </w:r>
    </w:p>
    <w:p w14:paraId="7CFC69D4" w14:textId="3FA5B88A" w:rsidR="00E414ED" w:rsidRPr="00E414ED" w:rsidRDefault="00E414ED" w:rsidP="00E414ED">
      <w:pPr>
        <w:pStyle w:val="NoSpacing"/>
      </w:pPr>
      <w:r>
        <w:t xml:space="preserve">Attentional states . . . select environmental targets and recruit guidance activity </w:t>
      </w:r>
      <w:r>
        <w:rPr>
          <w:i/>
        </w:rPr>
        <w:t>relevant to some current aim</w:t>
      </w:r>
      <w:r>
        <w:t>. . . Any cognitive system with selective attention is thereby answerable to an internal norm. (63, my emphasis)</w:t>
      </w:r>
    </w:p>
    <w:p w14:paraId="5138C213" w14:textId="7F82A80F" w:rsidR="00E414ED" w:rsidRDefault="00EA5BBC" w:rsidP="00E414ED">
      <w:pPr>
        <w:ind w:firstLine="0"/>
      </w:pPr>
      <w:r w:rsidRPr="00EA5BBC">
        <w:t>T</w:t>
      </w:r>
      <w:r w:rsidR="00271AF2">
        <w:t>o me, t</w:t>
      </w:r>
      <w:r w:rsidRPr="00EA5BBC">
        <w:t>his is unconvincing</w:t>
      </w:r>
      <w:r w:rsidR="00BD3D68">
        <w:t xml:space="preserve"> for two reasons</w:t>
      </w:r>
      <w:r w:rsidRPr="00EA5BBC">
        <w:t xml:space="preserve">. </w:t>
      </w:r>
    </w:p>
    <w:p w14:paraId="325AA0EF" w14:textId="12AF3530" w:rsidR="00E414ED" w:rsidRDefault="00EA5BBC" w:rsidP="00E414ED">
      <w:r w:rsidRPr="00EA5BBC">
        <w:t>First, I may have a desire, or even a</w:t>
      </w:r>
      <w:r w:rsidR="00271AF2">
        <w:t>n interest, in finding out what your</w:t>
      </w:r>
      <w:r w:rsidRPr="00EA5BBC">
        <w:t xml:space="preserve"> bank balance is, but this does not make it commendable</w:t>
      </w:r>
      <w:r w:rsidR="00E414ED">
        <w:t xml:space="preserve"> </w:t>
      </w:r>
      <w:r w:rsidR="00E414ED">
        <w:rPr>
          <w:i/>
        </w:rPr>
        <w:t>in any way</w:t>
      </w:r>
      <w:r w:rsidRPr="00EA5BBC">
        <w:t xml:space="preserve"> for me to use the most effective methods in order to find this out. </w:t>
      </w:r>
      <w:r w:rsidR="00E414ED">
        <w:t>For a</w:t>
      </w:r>
      <w:r w:rsidR="00E414ED" w:rsidRPr="00EA5BBC">
        <w:t xml:space="preserve">s Niko Kolodny and John Brunero </w:t>
      </w:r>
      <w:r w:rsidR="00E414ED">
        <w:t xml:space="preserve">(2016) </w:t>
      </w:r>
      <w:r w:rsidR="00E414ED" w:rsidRPr="00EA5BBC">
        <w:t>observe (c</w:t>
      </w:r>
      <w:r w:rsidR="00E414ED">
        <w:t>red</w:t>
      </w:r>
      <w:r w:rsidR="00E414ED" w:rsidRPr="00EA5BBC">
        <w:t xml:space="preserve">iting </w:t>
      </w:r>
      <w:r w:rsidR="00E414ED">
        <w:t xml:space="preserve">Jay </w:t>
      </w:r>
      <w:r w:rsidR="00E414ED" w:rsidRPr="00EA5BBC">
        <w:t>Wallace</w:t>
      </w:r>
      <w:r w:rsidR="00E414ED">
        <w:t xml:space="preserve"> 2001</w:t>
      </w:r>
      <w:r w:rsidR="00E414ED" w:rsidRPr="00EA5BBC">
        <w:t>), “it seems possible for one to have some akratic end while failing to see anything even </w:t>
      </w:r>
      <w:r w:rsidR="00E414ED" w:rsidRPr="00EA5BBC">
        <w:rPr>
          <w:i/>
          <w:iCs/>
        </w:rPr>
        <w:t>pro tanto</w:t>
      </w:r>
      <w:r w:rsidR="00E414ED" w:rsidRPr="00EA5BBC">
        <w:t xml:space="preserve"> good about it, </w:t>
      </w:r>
      <w:r w:rsidR="00E414ED" w:rsidRPr="00E414ED">
        <w:rPr>
          <w:i/>
        </w:rPr>
        <w:t>or any reason to pursue it</w:t>
      </w:r>
      <w:r w:rsidR="00E414ED">
        <w:t xml:space="preserve">” (my emphasis). </w:t>
      </w:r>
      <w:r w:rsidR="007503CA">
        <w:t xml:space="preserve">Snooping into your private affairs </w:t>
      </w:r>
      <w:r w:rsidR="00E414ED" w:rsidRPr="00EA5BBC">
        <w:t xml:space="preserve">does not </w:t>
      </w:r>
      <w:r w:rsidR="00E414ED">
        <w:t>have normative force even if I</w:t>
      </w:r>
      <w:r w:rsidR="00E414ED" w:rsidRPr="00EA5BBC">
        <w:t xml:space="preserve"> </w:t>
      </w:r>
      <w:r w:rsidR="00E414ED" w:rsidRPr="00EA5BBC">
        <w:rPr>
          <w:i/>
        </w:rPr>
        <w:t xml:space="preserve">intend </w:t>
      </w:r>
      <w:r w:rsidR="007503CA">
        <w:t>(against my better self</w:t>
      </w:r>
      <w:r w:rsidR="00E414ED">
        <w:t xml:space="preserve">) </w:t>
      </w:r>
      <w:r w:rsidR="00E414ED" w:rsidRPr="00EA5BBC">
        <w:t xml:space="preserve">to find out your bank balance. </w:t>
      </w:r>
    </w:p>
    <w:p w14:paraId="2F75FE6E" w14:textId="3638AB68" w:rsidR="00EA5BBC" w:rsidRDefault="00EA5BBC" w:rsidP="00E414ED">
      <w:r w:rsidRPr="00EA5BBC">
        <w:t xml:space="preserve">Second, bracketing </w:t>
      </w:r>
      <w:r w:rsidRPr="00EA5BBC">
        <w:rPr>
          <w:i/>
        </w:rPr>
        <w:t xml:space="preserve">moral </w:t>
      </w:r>
      <w:r w:rsidRPr="00EA5BBC">
        <w:t xml:space="preserve">praise or censure, think of the conditional ‘If you want to know </w:t>
      </w:r>
      <w:r w:rsidRPr="00EA5BBC">
        <w:rPr>
          <w:i/>
        </w:rPr>
        <w:t>x</w:t>
      </w:r>
      <w:r w:rsidRPr="00EA5BBC">
        <w:t>’s bank bal</w:t>
      </w:r>
      <w:r w:rsidR="00E414ED">
        <w:t>ance, you should hack into her</w:t>
      </w:r>
      <w:r w:rsidR="005C0B69">
        <w:t xml:space="preserve"> computer.’ As I said earlier, </w:t>
      </w:r>
      <w:r w:rsidRPr="00EA5BBC">
        <w:t xml:space="preserve">this assessment </w:t>
      </w:r>
      <w:r w:rsidR="005C0B69">
        <w:t>appears to be</w:t>
      </w:r>
      <w:r w:rsidRPr="00EA5BBC">
        <w:t xml:space="preserve"> purely factual</w:t>
      </w:r>
      <w:r w:rsidR="005C0B69">
        <w:t>. As F&amp;M put it, following Wayne Wu, you s</w:t>
      </w:r>
      <w:r w:rsidRPr="00EA5BBC">
        <w:t>pecify some level of non-fortuitousness, and figure out a path through “behavior space” (30) to get you there. This is not the same as granting normative force to the hacking actions.</w:t>
      </w:r>
      <w:r w:rsidR="00E414ED">
        <w:t xml:space="preserve"> </w:t>
      </w:r>
    </w:p>
    <w:p w14:paraId="7BD089BA" w14:textId="6B0E5058" w:rsidR="007503CA" w:rsidRDefault="00E93CCD" w:rsidP="00EA5BBC">
      <w:r>
        <w:t>Coming now to knowledge, F&amp;M</w:t>
      </w:r>
      <w:r w:rsidR="00F8677D">
        <w:t xml:space="preserve"> say that the form of agency required for knowledge consists in selecting </w:t>
      </w:r>
      <w:r w:rsidR="005C0B69">
        <w:t xml:space="preserve">external </w:t>
      </w:r>
      <w:r w:rsidR="00F8677D">
        <w:t xml:space="preserve">objects for cognition and action, and that this is attention. We select an object for investigation; attention “anchors” our focus on this object; we methodically complete the epistemic task in a process that demands continued attention. They seem to model this process on sequential </w:t>
      </w:r>
      <w:r w:rsidR="00E414ED">
        <w:t xml:space="preserve">attentive </w:t>
      </w:r>
      <w:r w:rsidR="00F8677D">
        <w:t xml:space="preserve">search. Where are my keys? To find them, I </w:t>
      </w:r>
      <w:r w:rsidR="00E414ED">
        <w:t xml:space="preserve">attend to one </w:t>
      </w:r>
      <w:r w:rsidR="00F8677D">
        <w:t xml:space="preserve">specific region </w:t>
      </w:r>
      <w:r w:rsidR="00E414ED">
        <w:t xml:space="preserve">after another </w:t>
      </w:r>
      <w:r w:rsidR="00F8677D">
        <w:t xml:space="preserve">with the aim of determining whether they are there (31). Similarly, I might search through my memories of a colleague to figure out how </w:t>
      </w:r>
      <w:r w:rsidR="004300C9">
        <w:t>he</w:t>
      </w:r>
      <w:r w:rsidR="00F8677D">
        <w:t xml:space="preserve"> will behave </w:t>
      </w:r>
      <w:r w:rsidR="004300C9">
        <w:t>in a given</w:t>
      </w:r>
      <w:r w:rsidR="005C0B69">
        <w:t xml:space="preserve"> situation </w:t>
      </w:r>
      <w:r w:rsidR="00F8677D">
        <w:t xml:space="preserve">(32). </w:t>
      </w:r>
      <w:r w:rsidR="007503CA">
        <w:t>According to F&amp;M, reasoning proceeds analogously: it requires selective and sequential attention to content.</w:t>
      </w:r>
      <w:r w:rsidR="005C0B69">
        <w:t xml:space="preserve"> How do I come to know that there is no largest prime number? I go through the proof, sequentially attending to the content of each step. </w:t>
      </w:r>
      <w:r w:rsidR="007503CA">
        <w:t xml:space="preserve"> </w:t>
      </w:r>
    </w:p>
    <w:p w14:paraId="6D658D05" w14:textId="1DC650E2" w:rsidR="007503CA" w:rsidRDefault="007503CA" w:rsidP="00EA5BBC">
      <w:r>
        <w:t>There is a challenge to this approach that F&amp;M parry in a somewhat controversial manner.</w:t>
      </w:r>
      <w:r w:rsidR="00F8677D">
        <w:t xml:space="preserve"> Da</w:t>
      </w:r>
      <w:r>
        <w:t xml:space="preserve">niel Kahneman and Amos Tversky have notoriously argued that the methods most humans use </w:t>
      </w:r>
      <w:r w:rsidR="005C0B69">
        <w:t xml:space="preserve">are in fact irrational—they found that given elementary everyday problems, most human beings proceed in an irrational way. </w:t>
      </w:r>
      <w:r>
        <w:t xml:space="preserve">F&amp;M respond </w:t>
      </w:r>
      <w:r w:rsidR="005C0B69">
        <w:t xml:space="preserve">(39-44) </w:t>
      </w:r>
      <w:r>
        <w:t xml:space="preserve">that these methods are not irrational, but rather that </w:t>
      </w:r>
      <w:r w:rsidR="00F8677D">
        <w:t>they display “bounded rationality” (</w:t>
      </w:r>
      <w:r w:rsidR="00E414ED">
        <w:t xml:space="preserve">as </w:t>
      </w:r>
      <w:r w:rsidR="00F8677D">
        <w:t>Gerd Gigerenzer</w:t>
      </w:r>
      <w:r w:rsidR="00E414ED">
        <w:t xml:space="preserve"> has eloquently argued for many decades</w:t>
      </w:r>
      <w:r w:rsidR="00F8677D">
        <w:t>)—that is, they are effective in the situations that we humans find ourselves</w:t>
      </w:r>
      <w:r w:rsidR="005C0B69">
        <w:t xml:space="preserve"> in, even if not reliable in the abstract</w:t>
      </w:r>
      <w:r w:rsidR="00F8677D">
        <w:t>.</w:t>
      </w:r>
      <w:r>
        <w:t xml:space="preserve"> Of course, an epistemology that relies on bounded rationality is externalist, since the premise is that human </w:t>
      </w:r>
      <w:r>
        <w:t>reasoning</w:t>
      </w:r>
      <w:r>
        <w:t xml:space="preserve"> is </w:t>
      </w:r>
      <w:r>
        <w:t>guide</w:t>
      </w:r>
      <w:r>
        <w:t xml:space="preserve">d by certain contingencies, though we are not aware of these. </w:t>
      </w:r>
    </w:p>
    <w:p w14:paraId="6B3BA8BA" w14:textId="70B7C97A" w:rsidR="004D0130" w:rsidRDefault="007503CA" w:rsidP="00EA5BBC">
      <w:r>
        <w:t xml:space="preserve">More seriously, perhaps, the </w:t>
      </w:r>
      <w:r w:rsidR="004D0130">
        <w:t xml:space="preserve">attentional </w:t>
      </w:r>
      <w:r>
        <w:t xml:space="preserve">approach makes reasoning </w:t>
      </w:r>
      <w:r>
        <w:rPr>
          <w:i/>
        </w:rPr>
        <w:t>explicit</w:t>
      </w:r>
      <w:r>
        <w:t xml:space="preserve"> in </w:t>
      </w:r>
      <w:r w:rsidR="004D0130">
        <w:t>a</w:t>
      </w:r>
      <w:r>
        <w:t xml:space="preserve"> manner </w:t>
      </w:r>
      <w:r w:rsidR="004D0130">
        <w:t>made disreputable</w:t>
      </w:r>
      <w:r w:rsidR="004D0130">
        <w:t xml:space="preserve"> by</w:t>
      </w:r>
      <w:r>
        <w:t xml:space="preserve"> the failure of Good Old Fashioned Artificial Intelligence.</w:t>
      </w:r>
      <w:r w:rsidR="004D0130">
        <w:t xml:space="preserve"> GOFAI notoriously ran into the so-called “Frame Problem:” even simple human problems demand</w:t>
      </w:r>
      <w:r>
        <w:t xml:space="preserve"> </w:t>
      </w:r>
      <w:r w:rsidR="004D0130">
        <w:t>more</w:t>
      </w:r>
      <w:r>
        <w:t xml:space="preserve"> </w:t>
      </w:r>
      <w:r w:rsidR="004D0130">
        <w:t>assumptions than</w:t>
      </w:r>
      <w:r>
        <w:t xml:space="preserve"> </w:t>
      </w:r>
      <w:r w:rsidR="004D0130">
        <w:t>can</w:t>
      </w:r>
      <w:r>
        <w:t xml:space="preserve"> </w:t>
      </w:r>
      <w:r>
        <w:t xml:space="preserve">explicitly </w:t>
      </w:r>
      <w:r w:rsidR="004D0130">
        <w:t xml:space="preserve">be </w:t>
      </w:r>
      <w:r>
        <w:t>state</w:t>
      </w:r>
      <w:r w:rsidR="004D0130">
        <w:t xml:space="preserve">d. Shanahan (2016) illustrates the problem by reference to an expert system that is told (1) that </w:t>
      </w:r>
      <w:r w:rsidR="004D0130">
        <w:rPr>
          <w:i/>
        </w:rPr>
        <w:t xml:space="preserve">painting </w:t>
      </w:r>
      <w:r w:rsidR="004D0130">
        <w:t xml:space="preserve">an object changes its colour, and (2) that </w:t>
      </w:r>
      <w:r w:rsidR="004D0130">
        <w:rPr>
          <w:i/>
        </w:rPr>
        <w:t xml:space="preserve">moving </w:t>
      </w:r>
      <w:r w:rsidR="004D0130">
        <w:t xml:space="preserve">it changes its position. The system is asked: What colour is a white cup after it is moved to </w:t>
      </w:r>
      <w:r w:rsidR="004300C9">
        <w:t>the garden</w:t>
      </w:r>
      <w:r w:rsidR="004D0130">
        <w:t xml:space="preserve">? The </w:t>
      </w:r>
      <w:r w:rsidR="005C0B69">
        <w:t xml:space="preserve">system cannot answer the question </w:t>
      </w:r>
      <w:r w:rsidR="004D0130">
        <w:t xml:space="preserve">because </w:t>
      </w:r>
      <w:r w:rsidR="005C0B69">
        <w:t xml:space="preserve">it </w:t>
      </w:r>
      <w:r w:rsidR="004D0130">
        <w:t xml:space="preserve">is not told that moving something </w:t>
      </w:r>
      <w:r w:rsidR="004D0130">
        <w:rPr>
          <w:i/>
        </w:rPr>
        <w:t xml:space="preserve">doesn’t </w:t>
      </w:r>
      <w:r w:rsidR="004D0130">
        <w:t>change its colour</w:t>
      </w:r>
      <w:r w:rsidR="005C0B69">
        <w:t>—which is not universally true anyway</w:t>
      </w:r>
      <w:r w:rsidR="004300C9">
        <w:t>; consider what happens when you move it into a tank of paint</w:t>
      </w:r>
      <w:r w:rsidR="004D0130">
        <w:t>—and it might have no inform</w:t>
      </w:r>
      <w:r w:rsidR="004300C9">
        <w:t>ation about moving cups to the garden</w:t>
      </w:r>
      <w:r w:rsidR="004D0130">
        <w:t>. So,</w:t>
      </w:r>
      <w:r w:rsidR="004300C9">
        <w:t xml:space="preserve"> this expert system</w:t>
      </w:r>
      <w:r w:rsidR="004D0130">
        <w:t xml:space="preserve"> might get stuck </w:t>
      </w:r>
      <w:r w:rsidR="004300C9">
        <w:t xml:space="preserve">vainly </w:t>
      </w:r>
      <w:r w:rsidR="004D0130">
        <w:t>looking in its data-banks for information that might help. Hu</w:t>
      </w:r>
      <w:r w:rsidR="004300C9">
        <w:t>mans, however</w:t>
      </w:r>
      <w:r w:rsidR="004D0130">
        <w:t xml:space="preserve">, answer this </w:t>
      </w:r>
      <w:r w:rsidR="004300C9">
        <w:t xml:space="preserve">kind of </w:t>
      </w:r>
      <w:r w:rsidR="004D0130">
        <w:t>question rather easily.</w:t>
      </w:r>
    </w:p>
    <w:p w14:paraId="446C8DDF" w14:textId="6D841E25" w:rsidR="00F8677D" w:rsidRPr="007503CA" w:rsidRDefault="007503CA" w:rsidP="00EA5BBC">
      <w:r>
        <w:t xml:space="preserve">F&amp;M take note of the </w:t>
      </w:r>
      <w:r w:rsidR="004D0130">
        <w:t>Frame Problem</w:t>
      </w:r>
      <w:r>
        <w:t xml:space="preserve"> and propose that it is to be solved by selective inattention (or “virtuous insensitivity,” 67). </w:t>
      </w:r>
      <w:r w:rsidR="00E645FF">
        <w:t>In t</w:t>
      </w:r>
      <w:r w:rsidR="005C0B69">
        <w:t>his</w:t>
      </w:r>
      <w:r w:rsidR="00E645FF">
        <w:t xml:space="preserve"> particular case, this</w:t>
      </w:r>
      <w:r w:rsidR="005C0B69">
        <w:t xml:space="preserve"> seems to </w:t>
      </w:r>
      <w:r w:rsidR="004D0130">
        <w:t>amount to</w:t>
      </w:r>
      <w:r w:rsidR="005C0B69">
        <w:t xml:space="preserve"> the following rule</w:t>
      </w:r>
      <w:r w:rsidR="004D0130">
        <w:t xml:space="preserve">: if you </w:t>
      </w:r>
      <w:r w:rsidR="005C0B69">
        <w:t>are not told that</w:t>
      </w:r>
      <w:r w:rsidR="004D0130">
        <w:t xml:space="preserve"> moving </w:t>
      </w:r>
      <w:r w:rsidR="005C0B69">
        <w:t>something</w:t>
      </w:r>
      <w:r w:rsidR="004D0130">
        <w:t xml:space="preserve"> changes its colour,</w:t>
      </w:r>
      <w:r w:rsidR="00E645FF">
        <w:t xml:space="preserve"> then ignore the effect</w:t>
      </w:r>
      <w:bookmarkStart w:id="0" w:name="_GoBack"/>
      <w:bookmarkEnd w:id="0"/>
      <w:r w:rsidR="005C0B69">
        <w:t xml:space="preserve"> of moving things.</w:t>
      </w:r>
      <w:r w:rsidR="004D0130">
        <w:t xml:space="preserve"> It’s hard to reconcile </w:t>
      </w:r>
      <w:r w:rsidR="004D0130">
        <w:rPr>
          <w:i/>
        </w:rPr>
        <w:t xml:space="preserve">this </w:t>
      </w:r>
      <w:r w:rsidR="004D0130">
        <w:t>kind of inattention with knowledge claims</w:t>
      </w:r>
      <w:r w:rsidR="005C0B69">
        <w:t>; it’s not virtuous</w:t>
      </w:r>
      <w:r w:rsidR="004D0130">
        <w:t>.</w:t>
      </w:r>
      <w:r w:rsidR="005C0B69">
        <w:t xml:space="preserve"> F&amp;M</w:t>
      </w:r>
      <w:r w:rsidR="004D0130" w:rsidRPr="004D0130">
        <w:t xml:space="preserve"> </w:t>
      </w:r>
      <w:r>
        <w:t>do not consider connectionist approaches</w:t>
      </w:r>
      <w:r w:rsidR="005C0B69">
        <w:t xml:space="preserve"> here</w:t>
      </w:r>
      <w:r>
        <w:t>, whi</w:t>
      </w:r>
      <w:r w:rsidR="004D0130">
        <w:t>ch is a pity, since these approaches</w:t>
      </w:r>
      <w:r>
        <w:t xml:space="preserve"> reconfigure the role of attention in learning in ways that potentially transform the book’s problematic. </w:t>
      </w:r>
      <w:r w:rsidR="004D0130">
        <w:t>Notoriously, connectionist processes are hidden from the subject’s view, and cannot either be attended to as they proceed or evaluated step-by-step. They are “automatic” in ways that are impervious to agent-control, even in the more relaxed notion of control that F&amp;M posit in Chapter 4</w:t>
      </w:r>
      <w:r w:rsidR="005C0B69">
        <w:t xml:space="preserve"> (104-109)—by which automatic processes are counted as under the control of the subject if they are responsive to the aims of the subject</w:t>
      </w:r>
      <w:r w:rsidR="004D0130">
        <w:t>.</w:t>
      </w:r>
      <w:r w:rsidR="005C0B69">
        <w:t xml:space="preserve"> They are opaque in the way that Carrie’s power to read character is opaque. Connectionist processes</w:t>
      </w:r>
      <w:r w:rsidR="004300C9">
        <w:t xml:space="preserve"> can often yield </w:t>
      </w:r>
      <w:r w:rsidR="004300C9">
        <w:rPr>
          <w:i/>
        </w:rPr>
        <w:t xml:space="preserve">post facto </w:t>
      </w:r>
      <w:r w:rsidR="004300C9">
        <w:t>rationalizations, but these may or may not be related to how they arrived at a conclusion. These kinds of process</w:t>
      </w:r>
      <w:r w:rsidR="005C0B69">
        <w:t xml:space="preserve"> deserve at least a brief consideration by all epistemologists</w:t>
      </w:r>
      <w:r w:rsidR="004300C9">
        <w:t>, but they are particularly challenging for the virtue-epistemologist’s posit of rational powers</w:t>
      </w:r>
      <w:r w:rsidR="005C0B69">
        <w:t>.</w:t>
      </w:r>
    </w:p>
    <w:p w14:paraId="6ACB0C75" w14:textId="53FD7F35" w:rsidR="00F8677D" w:rsidRDefault="004D0130" w:rsidP="00EA5BBC">
      <w:r>
        <w:t xml:space="preserve">One more problem regarding explicit reasoning. </w:t>
      </w:r>
      <w:r w:rsidR="00F8677D">
        <w:t xml:space="preserve">F&amp;M are epistemic consequentialists; that is, they </w:t>
      </w:r>
      <w:r>
        <w:t>understand</w:t>
      </w:r>
      <w:r w:rsidR="00F8677D">
        <w:t xml:space="preserve"> rationality as what is likely to lead to success in achieving the goal</w:t>
      </w:r>
      <w:r>
        <w:t xml:space="preserve"> of getting at the truth</w:t>
      </w:r>
      <w:r w:rsidR="00F8677D">
        <w:t xml:space="preserve">. </w:t>
      </w:r>
      <w:r w:rsidR="00BC21ED">
        <w:t xml:space="preserve">They consider an objection from deontology, namely that they would then condone “bad” actions if they lead to “good” consequences. </w:t>
      </w:r>
      <w:r w:rsidR="005C0B69">
        <w:t xml:space="preserve">Is it alright to disregard the truth if your action leads to more truth? </w:t>
      </w:r>
      <w:r w:rsidR="00BC21ED">
        <w:t xml:space="preserve">Selim Berker imagines an atheistic scientist who can get money to advance her research if she forms a genuine belief in God’s existence. F&amp;M respond </w:t>
      </w:r>
      <w:r w:rsidR="00E414ED">
        <w:t xml:space="preserve">(48-51; see references to Berker there) </w:t>
      </w:r>
      <w:r w:rsidR="00BC21ED">
        <w:t xml:space="preserve">that while this would be indeed be an epistemically bad thing to do, it is not a counterexample to their kind of virtue epistemology, </w:t>
      </w:r>
      <w:r w:rsidR="00E414ED">
        <w:t xml:space="preserve">since </w:t>
      </w:r>
      <w:r w:rsidR="00BC21ED">
        <w:t xml:space="preserve">such beliefs violate virtuous </w:t>
      </w:r>
      <w:r w:rsidR="00E93CCD">
        <w:t>knowledge-</w:t>
      </w:r>
      <w:r w:rsidR="00BC21ED">
        <w:t>dispositions, regardless of their consequences. This seems right, but I would argue, contrary to their inclination, that consequentialists can in fact show a legitimate disregard for truth. Consider a quantum computer engineer who</w:t>
      </w:r>
      <w:r w:rsidR="00E414ED">
        <w:t xml:space="preserve"> adopt</w:t>
      </w:r>
      <w:r w:rsidR="00BC21ED">
        <w:t xml:space="preserve">s an instrumentalist attitude toward the details of quantum mechanics. She says, in essence, “I don’t care whether QM is literally true; all I care about is its application to my task.” </w:t>
      </w:r>
      <w:r w:rsidR="00EE78F0">
        <w:t>I</w:t>
      </w:r>
      <w:r w:rsidR="00BC21ED">
        <w:t xml:space="preserve">t is a strength of consequentialism that it permits this kind of instrumental rationality in inquiry. </w:t>
      </w:r>
      <w:r w:rsidR="004300C9">
        <w:t xml:space="preserve">The intermediate steps in any process of reasoning can be “bracketed,” even though they are provisionally asserted. </w:t>
      </w:r>
      <w:r w:rsidR="004A4E0E">
        <w:t>But I am not entirely sure that F&amp;M agree.</w:t>
      </w:r>
    </w:p>
    <w:p w14:paraId="5A6060E8" w14:textId="38F6346E" w:rsidR="00EA5BBC" w:rsidRDefault="005C0B69" w:rsidP="00154191">
      <w:pPr>
        <w:pStyle w:val="Noindent"/>
        <w:ind w:firstLine="720"/>
      </w:pPr>
      <w:r>
        <w:rPr>
          <w:i/>
        </w:rPr>
        <w:t xml:space="preserve">Knowledge, Dexterity, and Attention </w:t>
      </w:r>
      <w:r>
        <w:t>is an excellent book. It is extremely methodical in its exposition; for instance, each se</w:t>
      </w:r>
      <w:r w:rsidR="004300C9">
        <w:t xml:space="preserve">ction begins with a paragraph of </w:t>
      </w:r>
      <w:r>
        <w:t xml:space="preserve"> the following form: “This section examines problem P. Relevant work by X and Y is discussed. We argue that p.” This is admirable and very helpful. The coverage of the philosophical literature is ex</w:t>
      </w:r>
      <w:r w:rsidR="004300C9">
        <w:t>empl</w:t>
      </w:r>
      <w:r>
        <w:t>ary. The reader gets a balanced, critical account of how virtue epistemology stands today. The argumentation is judicious and insightful. I learned a great deal from it, and so, I think, will anybody who reads it.</w:t>
      </w:r>
    </w:p>
    <w:p w14:paraId="758E8C86" w14:textId="5081AAA0" w:rsidR="00154191" w:rsidRPr="00EA5BBC" w:rsidRDefault="00154191" w:rsidP="00154191">
      <w:pPr>
        <w:pStyle w:val="Noindent"/>
      </w:pPr>
      <w:r>
        <w:t>(I’d like to thank my colleague, David Barnett, for helpful discussion.)</w:t>
      </w:r>
    </w:p>
    <w:p w14:paraId="38364359" w14:textId="1738B543" w:rsidR="000F1C80" w:rsidRPr="00EA5BBC" w:rsidRDefault="00154191" w:rsidP="004470E9">
      <w:pPr>
        <w:pStyle w:val="Noindent"/>
      </w:pPr>
      <w:r>
        <w:t>REFERENCES</w:t>
      </w:r>
    </w:p>
    <w:p w14:paraId="032ABE42" w14:textId="7E6CCEBF" w:rsidR="000F1C80" w:rsidRPr="00EA5BBC" w:rsidRDefault="000F1C80" w:rsidP="004470E9">
      <w:pPr>
        <w:pStyle w:val="Noindent"/>
      </w:pPr>
      <w:r w:rsidRPr="00EA5BBC">
        <w:t xml:space="preserve">Cohen, Stewart (2016). Theorizing About the Epistemic. </w:t>
      </w:r>
      <w:r w:rsidRPr="00EA5BBC">
        <w:rPr>
          <w:i/>
        </w:rPr>
        <w:t xml:space="preserve">Inquiry </w:t>
      </w:r>
      <w:r w:rsidRPr="00EA5BBC">
        <w:t>59 (7-8): 839-857.</w:t>
      </w:r>
    </w:p>
    <w:p w14:paraId="0E7D77E2" w14:textId="51ECB056" w:rsidR="000F1C80" w:rsidRDefault="000F1C80" w:rsidP="004470E9">
      <w:pPr>
        <w:pStyle w:val="Noindent"/>
        <w:rPr>
          <w:i/>
        </w:rPr>
      </w:pPr>
      <w:r w:rsidRPr="00EA5BBC">
        <w:t xml:space="preserve">Kauppinen, Antti (forthcoming). Epistemic Norms and Epistemic Accountability. </w:t>
      </w:r>
      <w:r w:rsidRPr="00EA5BBC">
        <w:rPr>
          <w:i/>
        </w:rPr>
        <w:t xml:space="preserve">Philosophers’ Imprint. </w:t>
      </w:r>
    </w:p>
    <w:p w14:paraId="4395A564" w14:textId="4EB84E7B" w:rsidR="00EA5BBC" w:rsidRDefault="00EA5BBC" w:rsidP="00EA5BBC">
      <w:pPr>
        <w:pStyle w:val="Noindent"/>
        <w:rPr>
          <w:lang w:val="en-US"/>
        </w:rPr>
      </w:pPr>
      <w:r>
        <w:rPr>
          <w:lang w:val="en-US"/>
        </w:rPr>
        <w:t>Kolodny, Niko and Brunero, John (2016). Instrumental Rationality.</w:t>
      </w:r>
      <w:r w:rsidRPr="00EA5BBC">
        <w:rPr>
          <w:lang w:val="en-US"/>
        </w:rPr>
        <w:t> </w:t>
      </w:r>
      <w:r w:rsidRPr="00EA5BBC">
        <w:rPr>
          <w:i/>
          <w:iCs/>
          <w:lang w:val="en-US"/>
        </w:rPr>
        <w:t>The Stanford Encyclopedia of Philosophy </w:t>
      </w:r>
      <w:r w:rsidRPr="00EA5BBC">
        <w:rPr>
          <w:lang w:val="en-US"/>
        </w:rPr>
        <w:t>(Winter 2016 Edition), Edward N. Zalta (ed.), URL = &lt;https://plato.stanford.edu/archives/win2016/entries/rationality-instrumental/&gt;.</w:t>
      </w:r>
    </w:p>
    <w:p w14:paraId="2E20EC59" w14:textId="19460198" w:rsidR="004D0130" w:rsidRDefault="004D0130" w:rsidP="00EA5BBC">
      <w:pPr>
        <w:pStyle w:val="Noindent"/>
        <w:rPr>
          <w:lang w:val="en-US"/>
        </w:rPr>
      </w:pPr>
      <w:r>
        <w:rPr>
          <w:lang w:val="en-US"/>
        </w:rPr>
        <w:t>Shanahan, Murray (2016). The Frame Problem.</w:t>
      </w:r>
      <w:r w:rsidRPr="004D0130">
        <w:rPr>
          <w:lang w:val="en-US"/>
        </w:rPr>
        <w:t> </w:t>
      </w:r>
      <w:r w:rsidRPr="004D0130">
        <w:rPr>
          <w:i/>
          <w:iCs/>
          <w:lang w:val="en-US"/>
        </w:rPr>
        <w:t>The Stanford Encyclopedia of Philosophy </w:t>
      </w:r>
      <w:r w:rsidRPr="004D0130">
        <w:rPr>
          <w:lang w:val="en-US"/>
        </w:rPr>
        <w:t>(Spring 2016 Edition), Edward N. Zalta (ed.), URL = &lt;https://plato.stanford.edu/archives/spr2016/entries/frame-problem/&gt;.</w:t>
      </w:r>
    </w:p>
    <w:p w14:paraId="284A2FD3" w14:textId="54875839" w:rsidR="00EA5BBC" w:rsidRDefault="00EA5BBC" w:rsidP="00EA5BBC">
      <w:pPr>
        <w:pStyle w:val="Noindent"/>
        <w:rPr>
          <w:lang w:val="en-US"/>
        </w:rPr>
      </w:pPr>
      <w:r w:rsidRPr="00EA5BBC">
        <w:rPr>
          <w:lang w:val="en-US"/>
        </w:rPr>
        <w:t>Wallace, R. J. (2001). Normativity, commitment, and instrumental reason. </w:t>
      </w:r>
      <w:r w:rsidRPr="00EA5BBC">
        <w:rPr>
          <w:i/>
          <w:iCs/>
          <w:lang w:val="en-US"/>
        </w:rPr>
        <w:t>Philosophers’ Imprint</w:t>
      </w:r>
      <w:r w:rsidRPr="00EA5BBC">
        <w:rPr>
          <w:lang w:val="en-US"/>
        </w:rPr>
        <w:t> </w:t>
      </w:r>
      <w:r w:rsidRPr="00EA5BBC">
        <w:rPr>
          <w:iCs/>
          <w:lang w:val="en-US"/>
        </w:rPr>
        <w:t>1</w:t>
      </w:r>
      <w:r>
        <w:rPr>
          <w:lang w:val="en-US"/>
        </w:rPr>
        <w:t xml:space="preserve"> (3):</w:t>
      </w:r>
      <w:r w:rsidRPr="00EA5BBC">
        <w:rPr>
          <w:lang w:val="en-US"/>
        </w:rPr>
        <w:t xml:space="preserve"> 1-26.</w:t>
      </w:r>
    </w:p>
    <w:p w14:paraId="34494102" w14:textId="77D536AE" w:rsidR="00154191" w:rsidRPr="00154191" w:rsidRDefault="00154191" w:rsidP="00EA5BBC">
      <w:pPr>
        <w:pStyle w:val="Noindent"/>
        <w:rPr>
          <w:lang w:val="en-US"/>
        </w:rPr>
      </w:pPr>
      <w:r>
        <w:rPr>
          <w:lang w:val="en-US"/>
        </w:rPr>
        <w:t xml:space="preserve">Williamson, Timothy (2000). </w:t>
      </w:r>
      <w:r>
        <w:rPr>
          <w:i/>
          <w:lang w:val="en-US"/>
        </w:rPr>
        <w:t xml:space="preserve">Knowledge and Its Limits. </w:t>
      </w:r>
      <w:r>
        <w:rPr>
          <w:lang w:val="en-US"/>
        </w:rPr>
        <w:t>Oxford: Oxford University Press.</w:t>
      </w:r>
    </w:p>
    <w:p w14:paraId="39C3C5D6" w14:textId="77777777" w:rsidR="00EA5BBC" w:rsidRPr="00EA5BBC" w:rsidRDefault="00EA5BBC" w:rsidP="004470E9">
      <w:pPr>
        <w:pStyle w:val="Noindent"/>
        <w:rPr>
          <w:lang w:val="en-US"/>
        </w:rPr>
      </w:pPr>
    </w:p>
    <w:sectPr w:rsidR="00EA5BBC" w:rsidRPr="00EA5BBC" w:rsidSect="007C25EB">
      <w:footerReference w:type="even"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E7A32" w14:textId="77777777" w:rsidR="00722966" w:rsidRDefault="00722966" w:rsidP="00041BBD">
      <w:pPr>
        <w:spacing w:after="0" w:line="240" w:lineRule="auto"/>
      </w:pPr>
      <w:r>
        <w:separator/>
      </w:r>
    </w:p>
  </w:endnote>
  <w:endnote w:type="continuationSeparator" w:id="0">
    <w:p w14:paraId="405776DC" w14:textId="77777777" w:rsidR="00722966" w:rsidRDefault="00722966" w:rsidP="000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FFE3" w14:textId="77777777" w:rsidR="007C25EB" w:rsidRDefault="007C25EB" w:rsidP="000221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58619" w14:textId="77777777" w:rsidR="007C25EB" w:rsidRDefault="007C25EB" w:rsidP="007C25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221F" w14:textId="77777777" w:rsidR="007C25EB" w:rsidRDefault="007C25EB" w:rsidP="000221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45FF">
      <w:rPr>
        <w:rStyle w:val="PageNumber"/>
        <w:noProof/>
      </w:rPr>
      <w:t>7</w:t>
    </w:r>
    <w:r>
      <w:rPr>
        <w:rStyle w:val="PageNumber"/>
      </w:rPr>
      <w:fldChar w:fldCharType="end"/>
    </w:r>
  </w:p>
  <w:p w14:paraId="309BBF1A" w14:textId="77777777" w:rsidR="007C25EB" w:rsidRDefault="007C25EB" w:rsidP="007C25E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20F5" w14:textId="77777777" w:rsidR="00722966" w:rsidRDefault="00722966" w:rsidP="00041BBD">
      <w:pPr>
        <w:spacing w:after="0" w:line="240" w:lineRule="auto"/>
      </w:pPr>
      <w:r>
        <w:separator/>
      </w:r>
    </w:p>
  </w:footnote>
  <w:footnote w:type="continuationSeparator" w:id="0">
    <w:p w14:paraId="5FC3A796" w14:textId="77777777" w:rsidR="00722966" w:rsidRDefault="00722966" w:rsidP="00041B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E4F13"/>
    <w:multiLevelType w:val="multilevel"/>
    <w:tmpl w:val="B9C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679B0"/>
    <w:multiLevelType w:val="hybridMultilevel"/>
    <w:tmpl w:val="5A864B5E"/>
    <w:lvl w:ilvl="0" w:tplc="969432A2">
      <w:start w:val="1"/>
      <w:numFmt w:val="upperRoman"/>
      <w:pStyle w:val="Heading3"/>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65FB6"/>
    <w:multiLevelType w:val="hybridMultilevel"/>
    <w:tmpl w:val="13C4A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E9"/>
    <w:rsid w:val="00000A40"/>
    <w:rsid w:val="00007E67"/>
    <w:rsid w:val="00032734"/>
    <w:rsid w:val="00041BBD"/>
    <w:rsid w:val="00047391"/>
    <w:rsid w:val="0005722A"/>
    <w:rsid w:val="000675C8"/>
    <w:rsid w:val="00074859"/>
    <w:rsid w:val="000830E8"/>
    <w:rsid w:val="00084FA8"/>
    <w:rsid w:val="000E5A32"/>
    <w:rsid w:val="000F1C80"/>
    <w:rsid w:val="0012506B"/>
    <w:rsid w:val="001324CB"/>
    <w:rsid w:val="00133CE0"/>
    <w:rsid w:val="0014762B"/>
    <w:rsid w:val="00152BB8"/>
    <w:rsid w:val="00154191"/>
    <w:rsid w:val="001A44AC"/>
    <w:rsid w:val="001A7AC6"/>
    <w:rsid w:val="001B26E6"/>
    <w:rsid w:val="001F5012"/>
    <w:rsid w:val="001F6694"/>
    <w:rsid w:val="001F7179"/>
    <w:rsid w:val="002048D7"/>
    <w:rsid w:val="0021696E"/>
    <w:rsid w:val="002344CD"/>
    <w:rsid w:val="00261482"/>
    <w:rsid w:val="002622E8"/>
    <w:rsid w:val="002628FE"/>
    <w:rsid w:val="00271AF2"/>
    <w:rsid w:val="00274797"/>
    <w:rsid w:val="002B1998"/>
    <w:rsid w:val="002B3897"/>
    <w:rsid w:val="002D58B5"/>
    <w:rsid w:val="00300C78"/>
    <w:rsid w:val="00302066"/>
    <w:rsid w:val="00342A22"/>
    <w:rsid w:val="00346A68"/>
    <w:rsid w:val="00346C63"/>
    <w:rsid w:val="00351FE9"/>
    <w:rsid w:val="00357F0B"/>
    <w:rsid w:val="003709A7"/>
    <w:rsid w:val="003850EC"/>
    <w:rsid w:val="00392963"/>
    <w:rsid w:val="003A4EFF"/>
    <w:rsid w:val="003D628F"/>
    <w:rsid w:val="003E1C4E"/>
    <w:rsid w:val="003F7305"/>
    <w:rsid w:val="0040093C"/>
    <w:rsid w:val="00401DA3"/>
    <w:rsid w:val="00407B52"/>
    <w:rsid w:val="004300C9"/>
    <w:rsid w:val="00442CC3"/>
    <w:rsid w:val="004470E9"/>
    <w:rsid w:val="00461C5F"/>
    <w:rsid w:val="00475517"/>
    <w:rsid w:val="004757DF"/>
    <w:rsid w:val="00485A67"/>
    <w:rsid w:val="00494978"/>
    <w:rsid w:val="004A1733"/>
    <w:rsid w:val="004A4E0E"/>
    <w:rsid w:val="004C621F"/>
    <w:rsid w:val="004C67EB"/>
    <w:rsid w:val="004D0130"/>
    <w:rsid w:val="005308C8"/>
    <w:rsid w:val="00573A20"/>
    <w:rsid w:val="005C0B69"/>
    <w:rsid w:val="005C36FD"/>
    <w:rsid w:val="005F09D3"/>
    <w:rsid w:val="006007C8"/>
    <w:rsid w:val="0061211A"/>
    <w:rsid w:val="006124FA"/>
    <w:rsid w:val="00614B3D"/>
    <w:rsid w:val="00626CCB"/>
    <w:rsid w:val="00627A05"/>
    <w:rsid w:val="00635FE3"/>
    <w:rsid w:val="006371AA"/>
    <w:rsid w:val="00652F13"/>
    <w:rsid w:val="00663ACB"/>
    <w:rsid w:val="0066495D"/>
    <w:rsid w:val="00670886"/>
    <w:rsid w:val="00677A18"/>
    <w:rsid w:val="00682F91"/>
    <w:rsid w:val="006A2153"/>
    <w:rsid w:val="006B3F1D"/>
    <w:rsid w:val="006F59A9"/>
    <w:rsid w:val="00722966"/>
    <w:rsid w:val="007503CA"/>
    <w:rsid w:val="00783E15"/>
    <w:rsid w:val="007A4725"/>
    <w:rsid w:val="007C1460"/>
    <w:rsid w:val="007C25EB"/>
    <w:rsid w:val="007C7EA8"/>
    <w:rsid w:val="007D1C2B"/>
    <w:rsid w:val="007D4C9B"/>
    <w:rsid w:val="007E5550"/>
    <w:rsid w:val="007F11FE"/>
    <w:rsid w:val="007F17DF"/>
    <w:rsid w:val="0080157A"/>
    <w:rsid w:val="0080191E"/>
    <w:rsid w:val="00803E95"/>
    <w:rsid w:val="00806971"/>
    <w:rsid w:val="008249F0"/>
    <w:rsid w:val="008340EE"/>
    <w:rsid w:val="008450EB"/>
    <w:rsid w:val="008470CE"/>
    <w:rsid w:val="00861FCE"/>
    <w:rsid w:val="008A06A4"/>
    <w:rsid w:val="008A4AF5"/>
    <w:rsid w:val="008A52FC"/>
    <w:rsid w:val="008D0594"/>
    <w:rsid w:val="008D2D2C"/>
    <w:rsid w:val="008E598E"/>
    <w:rsid w:val="00907A6D"/>
    <w:rsid w:val="00913E6D"/>
    <w:rsid w:val="00933DAC"/>
    <w:rsid w:val="00962322"/>
    <w:rsid w:val="00973FDE"/>
    <w:rsid w:val="009745D1"/>
    <w:rsid w:val="009A1789"/>
    <w:rsid w:val="009A197A"/>
    <w:rsid w:val="009B77EE"/>
    <w:rsid w:val="009B7A76"/>
    <w:rsid w:val="009C145C"/>
    <w:rsid w:val="00A20A0C"/>
    <w:rsid w:val="00A35A8C"/>
    <w:rsid w:val="00A371BE"/>
    <w:rsid w:val="00A40B30"/>
    <w:rsid w:val="00A42275"/>
    <w:rsid w:val="00A5043C"/>
    <w:rsid w:val="00A5538A"/>
    <w:rsid w:val="00A61675"/>
    <w:rsid w:val="00A70179"/>
    <w:rsid w:val="00A73F7B"/>
    <w:rsid w:val="00A74599"/>
    <w:rsid w:val="00A7720A"/>
    <w:rsid w:val="00A86FFE"/>
    <w:rsid w:val="00AB7906"/>
    <w:rsid w:val="00AD008B"/>
    <w:rsid w:val="00AD33D3"/>
    <w:rsid w:val="00AE23EA"/>
    <w:rsid w:val="00AF0235"/>
    <w:rsid w:val="00AF3D31"/>
    <w:rsid w:val="00B00EFD"/>
    <w:rsid w:val="00B02A41"/>
    <w:rsid w:val="00B30FA6"/>
    <w:rsid w:val="00B3565E"/>
    <w:rsid w:val="00B510AC"/>
    <w:rsid w:val="00B64580"/>
    <w:rsid w:val="00B65C32"/>
    <w:rsid w:val="00B676AE"/>
    <w:rsid w:val="00B7643C"/>
    <w:rsid w:val="00B84EE5"/>
    <w:rsid w:val="00B87BE9"/>
    <w:rsid w:val="00BA5A0A"/>
    <w:rsid w:val="00BC21ED"/>
    <w:rsid w:val="00BC7F0A"/>
    <w:rsid w:val="00BD3D68"/>
    <w:rsid w:val="00BD43E7"/>
    <w:rsid w:val="00BF4111"/>
    <w:rsid w:val="00BF7589"/>
    <w:rsid w:val="00C01330"/>
    <w:rsid w:val="00C042DF"/>
    <w:rsid w:val="00C23873"/>
    <w:rsid w:val="00C26DBB"/>
    <w:rsid w:val="00C37E68"/>
    <w:rsid w:val="00C51F87"/>
    <w:rsid w:val="00C83B2C"/>
    <w:rsid w:val="00C90268"/>
    <w:rsid w:val="00D273F2"/>
    <w:rsid w:val="00D40D4C"/>
    <w:rsid w:val="00D451D9"/>
    <w:rsid w:val="00D6198B"/>
    <w:rsid w:val="00D7694E"/>
    <w:rsid w:val="00D95F70"/>
    <w:rsid w:val="00DA08F4"/>
    <w:rsid w:val="00DA66F4"/>
    <w:rsid w:val="00E20A14"/>
    <w:rsid w:val="00E31D2A"/>
    <w:rsid w:val="00E3212F"/>
    <w:rsid w:val="00E35B79"/>
    <w:rsid w:val="00E414ED"/>
    <w:rsid w:val="00E645FF"/>
    <w:rsid w:val="00E83786"/>
    <w:rsid w:val="00E93CCD"/>
    <w:rsid w:val="00E94C8F"/>
    <w:rsid w:val="00E94D17"/>
    <w:rsid w:val="00EA0ECD"/>
    <w:rsid w:val="00EA208A"/>
    <w:rsid w:val="00EA5BBC"/>
    <w:rsid w:val="00EB50ED"/>
    <w:rsid w:val="00EC6177"/>
    <w:rsid w:val="00ED0760"/>
    <w:rsid w:val="00EE502E"/>
    <w:rsid w:val="00EE5933"/>
    <w:rsid w:val="00EE74CF"/>
    <w:rsid w:val="00EE78F0"/>
    <w:rsid w:val="00EF3E7C"/>
    <w:rsid w:val="00F44B53"/>
    <w:rsid w:val="00F52F32"/>
    <w:rsid w:val="00F539BB"/>
    <w:rsid w:val="00F6688C"/>
    <w:rsid w:val="00F77636"/>
    <w:rsid w:val="00F80140"/>
    <w:rsid w:val="00F83174"/>
    <w:rsid w:val="00F8677D"/>
    <w:rsid w:val="00FA0CAB"/>
    <w:rsid w:val="00FA439F"/>
    <w:rsid w:val="00FA50E6"/>
    <w:rsid w:val="00FA6CDA"/>
    <w:rsid w:val="00FC0FE0"/>
    <w:rsid w:val="00FD248E"/>
    <w:rsid w:val="00FD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76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7F0B"/>
    <w:pPr>
      <w:spacing w:after="120" w:line="360" w:lineRule="auto"/>
      <w:ind w:firstLine="720"/>
      <w:jc w:val="both"/>
    </w:pPr>
    <w:rPr>
      <w:rFonts w:ascii="Cambria" w:eastAsiaTheme="minorEastAsia" w:hAnsi="Cambria" w:cs="Times New Roman"/>
      <w:lang w:val="en-GB" w:eastAsia="ja-JP"/>
    </w:rPr>
  </w:style>
  <w:style w:type="paragraph" w:styleId="Heading1">
    <w:name w:val="heading 1"/>
    <w:basedOn w:val="NoSpacing"/>
    <w:next w:val="NoSpacing"/>
    <w:link w:val="Heading1Char"/>
    <w:uiPriority w:val="9"/>
    <w:qFormat/>
    <w:rsid w:val="00041BBD"/>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rmal"/>
    <w:next w:val="Normal"/>
    <w:link w:val="Heading2Char"/>
    <w:uiPriority w:val="9"/>
    <w:unhideWhenUsed/>
    <w:qFormat/>
    <w:rsid w:val="00041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Spacing"/>
    <w:link w:val="Heading3Char"/>
    <w:uiPriority w:val="9"/>
    <w:unhideWhenUsed/>
    <w:qFormat/>
    <w:rsid w:val="00041BBD"/>
    <w:pPr>
      <w:keepNext/>
      <w:keepLines/>
      <w:numPr>
        <w:numId w:val="1"/>
      </w:numPr>
      <w:jc w:val="center"/>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BD"/>
    <w:rPr>
      <w:rFonts w:asciiTheme="majorHAnsi" w:eastAsiaTheme="majorEastAsia" w:hAnsiTheme="majorHAnsi" w:cstheme="majorBidi"/>
      <w:b/>
      <w:bCs/>
      <w:noProof/>
      <w:color w:val="000000" w:themeColor="text1"/>
      <w:sz w:val="32"/>
      <w:szCs w:val="32"/>
      <w:lang w:val="en-GB" w:eastAsia="ja-JP"/>
    </w:rPr>
  </w:style>
  <w:style w:type="character" w:customStyle="1" w:styleId="Heading3Char">
    <w:name w:val="Heading 3 Char"/>
    <w:basedOn w:val="DefaultParagraphFont"/>
    <w:link w:val="Heading3"/>
    <w:uiPriority w:val="9"/>
    <w:rsid w:val="00041BBD"/>
    <w:rPr>
      <w:rFonts w:asciiTheme="majorHAnsi" w:eastAsiaTheme="majorEastAsia" w:hAnsiTheme="majorHAnsi" w:cstheme="majorBidi"/>
      <w:b/>
      <w:color w:val="000000" w:themeColor="text1"/>
      <w:lang w:val="en-GB" w:eastAsia="ja-JP"/>
    </w:rPr>
  </w:style>
  <w:style w:type="paragraph" w:styleId="NoSpacing">
    <w:name w:val="No Spacing"/>
    <w:aliases w:val="Intense quote"/>
    <w:basedOn w:val="Normal"/>
    <w:next w:val="Normal"/>
    <w:link w:val="NoSpacingChar"/>
    <w:uiPriority w:val="1"/>
    <w:qFormat/>
    <w:rsid w:val="00357F0B"/>
    <w:pPr>
      <w:ind w:left="720" w:right="720" w:firstLine="0"/>
    </w:pPr>
    <w:rPr>
      <w:rFonts w:eastAsia="Calibri"/>
      <w:szCs w:val="22"/>
    </w:rPr>
  </w:style>
  <w:style w:type="character" w:customStyle="1" w:styleId="NoSpacingChar">
    <w:name w:val="No Spacing Char"/>
    <w:aliases w:val="Intense quote Char"/>
    <w:basedOn w:val="DefaultParagraphFont"/>
    <w:link w:val="NoSpacing"/>
    <w:uiPriority w:val="1"/>
    <w:rsid w:val="00357F0B"/>
    <w:rPr>
      <w:rFonts w:ascii="Cambria" w:eastAsia="Calibri" w:hAnsi="Cambria" w:cs="Times New Roman"/>
      <w:szCs w:val="22"/>
      <w:lang w:val="en-GB" w:eastAsia="ja-JP"/>
    </w:rPr>
  </w:style>
  <w:style w:type="paragraph" w:styleId="Quote">
    <w:name w:val="Quote"/>
    <w:basedOn w:val="Normal"/>
    <w:next w:val="Normal"/>
    <w:link w:val="QuoteChar"/>
    <w:uiPriority w:val="29"/>
    <w:qFormat/>
    <w:rsid w:val="00041BBD"/>
    <w:pPr>
      <w:ind w:left="862" w:right="862" w:firstLine="0"/>
    </w:pPr>
    <w:rPr>
      <w:iCs/>
      <w:color w:val="404040" w:themeColor="text1" w:themeTint="BF"/>
      <w:sz w:val="20"/>
    </w:rPr>
  </w:style>
  <w:style w:type="character" w:customStyle="1" w:styleId="QuoteChar">
    <w:name w:val="Quote Char"/>
    <w:basedOn w:val="DefaultParagraphFont"/>
    <w:link w:val="Quote"/>
    <w:uiPriority w:val="29"/>
    <w:rsid w:val="00041BBD"/>
    <w:rPr>
      <w:rFonts w:ascii="Cambria" w:eastAsiaTheme="minorEastAsia" w:hAnsi="Cambria" w:cs="Times New Roman"/>
      <w:iCs/>
      <w:color w:val="404040" w:themeColor="text1" w:themeTint="BF"/>
      <w:sz w:val="20"/>
      <w:lang w:val="en-GB" w:eastAsia="ja-JP"/>
    </w:rPr>
  </w:style>
  <w:style w:type="paragraph" w:styleId="FootnoteText">
    <w:name w:val="footnote text"/>
    <w:basedOn w:val="Normal"/>
    <w:link w:val="FootnoteTextChar"/>
    <w:uiPriority w:val="99"/>
    <w:unhideWhenUsed/>
    <w:rsid w:val="00041BBD"/>
    <w:pPr>
      <w:spacing w:after="0" w:line="240" w:lineRule="auto"/>
    </w:pPr>
    <w:rPr>
      <w:sz w:val="20"/>
    </w:rPr>
  </w:style>
  <w:style w:type="character" w:customStyle="1" w:styleId="FootnoteTextChar">
    <w:name w:val="Footnote Text Char"/>
    <w:basedOn w:val="DefaultParagraphFont"/>
    <w:link w:val="FootnoteText"/>
    <w:uiPriority w:val="99"/>
    <w:rsid w:val="00041BBD"/>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041BBD"/>
    <w:rPr>
      <w:vertAlign w:val="superscript"/>
    </w:rPr>
  </w:style>
  <w:style w:type="character" w:customStyle="1" w:styleId="Heading2Char">
    <w:name w:val="Heading 2 Char"/>
    <w:basedOn w:val="DefaultParagraphFont"/>
    <w:link w:val="Heading2"/>
    <w:uiPriority w:val="9"/>
    <w:rsid w:val="00041BBD"/>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uiPriority w:val="34"/>
    <w:qFormat/>
    <w:rsid w:val="00ED0760"/>
    <w:pPr>
      <w:ind w:left="720" w:hanging="720"/>
      <w:contextualSpacing/>
    </w:pPr>
  </w:style>
  <w:style w:type="character" w:styleId="IntenseEmphasis">
    <w:name w:val="Intense Emphasis"/>
    <w:basedOn w:val="DefaultParagraphFont"/>
    <w:uiPriority w:val="21"/>
    <w:qFormat/>
    <w:rsid w:val="00AD33D3"/>
    <w:rPr>
      <w:i/>
      <w:iCs/>
      <w:color w:val="4472C4" w:themeColor="accent1"/>
    </w:rPr>
  </w:style>
  <w:style w:type="paragraph" w:customStyle="1" w:styleId="Noindent">
    <w:name w:val="No indent"/>
    <w:basedOn w:val="Normal"/>
    <w:qFormat/>
    <w:rsid w:val="00357F0B"/>
    <w:pPr>
      <w:ind w:firstLine="0"/>
    </w:pPr>
  </w:style>
  <w:style w:type="paragraph" w:styleId="Footer">
    <w:name w:val="footer"/>
    <w:basedOn w:val="Normal"/>
    <w:link w:val="FooterChar"/>
    <w:uiPriority w:val="99"/>
    <w:unhideWhenUsed/>
    <w:rsid w:val="007C2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EB"/>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7C25EB"/>
  </w:style>
  <w:style w:type="paragraph" w:styleId="Header">
    <w:name w:val="header"/>
    <w:basedOn w:val="Normal"/>
    <w:link w:val="HeaderChar"/>
    <w:uiPriority w:val="99"/>
    <w:unhideWhenUsed/>
    <w:rsid w:val="007C2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EB"/>
    <w:rPr>
      <w:rFonts w:ascii="Cambria" w:eastAsiaTheme="minorEastAsia" w:hAnsi="Cambria" w:cs="Times New Roman"/>
      <w:lang w:val="en-GB" w:eastAsia="ja-JP"/>
    </w:rPr>
  </w:style>
  <w:style w:type="paragraph" w:styleId="IntenseQuote">
    <w:name w:val="Intense Quote"/>
    <w:basedOn w:val="Normal"/>
    <w:next w:val="Normal"/>
    <w:link w:val="IntenseQuoteChar"/>
    <w:uiPriority w:val="30"/>
    <w:qFormat/>
    <w:rsid w:val="00E94C8F"/>
    <w:pPr>
      <w:ind w:left="862" w:right="862" w:firstLine="0"/>
    </w:pPr>
    <w:rPr>
      <w:iCs/>
      <w:color w:val="000000" w:themeColor="text1"/>
    </w:rPr>
  </w:style>
  <w:style w:type="character" w:customStyle="1" w:styleId="IntenseQuoteChar">
    <w:name w:val="Intense Quote Char"/>
    <w:basedOn w:val="DefaultParagraphFont"/>
    <w:link w:val="IntenseQuote"/>
    <w:uiPriority w:val="30"/>
    <w:rsid w:val="00E94C8F"/>
    <w:rPr>
      <w:rFonts w:ascii="Cambria" w:eastAsiaTheme="minorEastAsia" w:hAnsi="Cambria" w:cs="Times New Roman"/>
      <w:iCs/>
      <w:color w:val="000000" w:themeColor="text1"/>
      <w:lang w:val="en-GB" w:eastAsia="ja-JP"/>
    </w:rPr>
  </w:style>
  <w:style w:type="paragraph" w:styleId="EndnoteText">
    <w:name w:val="endnote text"/>
    <w:basedOn w:val="Normal"/>
    <w:link w:val="EndnoteTextChar"/>
    <w:uiPriority w:val="99"/>
    <w:unhideWhenUsed/>
    <w:rsid w:val="000F1C80"/>
    <w:pPr>
      <w:spacing w:after="0" w:line="240" w:lineRule="auto"/>
    </w:pPr>
  </w:style>
  <w:style w:type="character" w:customStyle="1" w:styleId="EndnoteTextChar">
    <w:name w:val="Endnote Text Char"/>
    <w:basedOn w:val="DefaultParagraphFont"/>
    <w:link w:val="EndnoteText"/>
    <w:uiPriority w:val="99"/>
    <w:rsid w:val="000F1C80"/>
    <w:rPr>
      <w:rFonts w:ascii="Cambria" w:eastAsiaTheme="minorEastAsia" w:hAnsi="Cambria" w:cs="Times New Roman"/>
      <w:lang w:val="en-GB" w:eastAsia="ja-JP"/>
    </w:rPr>
  </w:style>
  <w:style w:type="character" w:styleId="EndnoteReference">
    <w:name w:val="endnote reference"/>
    <w:basedOn w:val="DefaultParagraphFont"/>
    <w:uiPriority w:val="99"/>
    <w:unhideWhenUsed/>
    <w:rsid w:val="000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6934">
      <w:bodyDiv w:val="1"/>
      <w:marLeft w:val="0"/>
      <w:marRight w:val="0"/>
      <w:marTop w:val="0"/>
      <w:marBottom w:val="0"/>
      <w:divBdr>
        <w:top w:val="none" w:sz="0" w:space="0" w:color="auto"/>
        <w:left w:val="none" w:sz="0" w:space="0" w:color="auto"/>
        <w:bottom w:val="none" w:sz="0" w:space="0" w:color="auto"/>
        <w:right w:val="none" w:sz="0" w:space="0" w:color="auto"/>
      </w:divBdr>
    </w:div>
    <w:div w:id="198057826">
      <w:bodyDiv w:val="1"/>
      <w:marLeft w:val="0"/>
      <w:marRight w:val="0"/>
      <w:marTop w:val="0"/>
      <w:marBottom w:val="0"/>
      <w:divBdr>
        <w:top w:val="none" w:sz="0" w:space="0" w:color="auto"/>
        <w:left w:val="none" w:sz="0" w:space="0" w:color="auto"/>
        <w:bottom w:val="none" w:sz="0" w:space="0" w:color="auto"/>
        <w:right w:val="none" w:sz="0" w:space="0" w:color="auto"/>
      </w:divBdr>
    </w:div>
    <w:div w:id="363599099">
      <w:bodyDiv w:val="1"/>
      <w:marLeft w:val="0"/>
      <w:marRight w:val="0"/>
      <w:marTop w:val="0"/>
      <w:marBottom w:val="0"/>
      <w:divBdr>
        <w:top w:val="none" w:sz="0" w:space="0" w:color="auto"/>
        <w:left w:val="none" w:sz="0" w:space="0" w:color="auto"/>
        <w:bottom w:val="none" w:sz="0" w:space="0" w:color="auto"/>
        <w:right w:val="none" w:sz="0" w:space="0" w:color="auto"/>
      </w:divBdr>
    </w:div>
    <w:div w:id="419910453">
      <w:bodyDiv w:val="1"/>
      <w:marLeft w:val="0"/>
      <w:marRight w:val="0"/>
      <w:marTop w:val="0"/>
      <w:marBottom w:val="0"/>
      <w:divBdr>
        <w:top w:val="none" w:sz="0" w:space="0" w:color="auto"/>
        <w:left w:val="none" w:sz="0" w:space="0" w:color="auto"/>
        <w:bottom w:val="none" w:sz="0" w:space="0" w:color="auto"/>
        <w:right w:val="none" w:sz="0" w:space="0" w:color="auto"/>
      </w:divBdr>
    </w:div>
    <w:div w:id="504134549">
      <w:bodyDiv w:val="1"/>
      <w:marLeft w:val="0"/>
      <w:marRight w:val="0"/>
      <w:marTop w:val="0"/>
      <w:marBottom w:val="0"/>
      <w:divBdr>
        <w:top w:val="none" w:sz="0" w:space="0" w:color="auto"/>
        <w:left w:val="none" w:sz="0" w:space="0" w:color="auto"/>
        <w:bottom w:val="none" w:sz="0" w:space="0" w:color="auto"/>
        <w:right w:val="none" w:sz="0" w:space="0" w:color="auto"/>
      </w:divBdr>
      <w:divsChild>
        <w:div w:id="3723858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49265884">
      <w:bodyDiv w:val="1"/>
      <w:marLeft w:val="0"/>
      <w:marRight w:val="0"/>
      <w:marTop w:val="0"/>
      <w:marBottom w:val="0"/>
      <w:divBdr>
        <w:top w:val="none" w:sz="0" w:space="0" w:color="auto"/>
        <w:left w:val="none" w:sz="0" w:space="0" w:color="auto"/>
        <w:bottom w:val="none" w:sz="0" w:space="0" w:color="auto"/>
        <w:right w:val="none" w:sz="0" w:space="0" w:color="auto"/>
      </w:divBdr>
    </w:div>
    <w:div w:id="757563211">
      <w:bodyDiv w:val="1"/>
      <w:marLeft w:val="0"/>
      <w:marRight w:val="0"/>
      <w:marTop w:val="0"/>
      <w:marBottom w:val="0"/>
      <w:divBdr>
        <w:top w:val="none" w:sz="0" w:space="0" w:color="auto"/>
        <w:left w:val="none" w:sz="0" w:space="0" w:color="auto"/>
        <w:bottom w:val="none" w:sz="0" w:space="0" w:color="auto"/>
        <w:right w:val="none" w:sz="0" w:space="0" w:color="auto"/>
      </w:divBdr>
    </w:div>
    <w:div w:id="1156414952">
      <w:bodyDiv w:val="1"/>
      <w:marLeft w:val="0"/>
      <w:marRight w:val="0"/>
      <w:marTop w:val="0"/>
      <w:marBottom w:val="0"/>
      <w:divBdr>
        <w:top w:val="none" w:sz="0" w:space="0" w:color="auto"/>
        <w:left w:val="none" w:sz="0" w:space="0" w:color="auto"/>
        <w:bottom w:val="none" w:sz="0" w:space="0" w:color="auto"/>
        <w:right w:val="none" w:sz="0" w:space="0" w:color="auto"/>
      </w:divBdr>
    </w:div>
    <w:div w:id="1187719040">
      <w:bodyDiv w:val="1"/>
      <w:marLeft w:val="0"/>
      <w:marRight w:val="0"/>
      <w:marTop w:val="0"/>
      <w:marBottom w:val="0"/>
      <w:divBdr>
        <w:top w:val="none" w:sz="0" w:space="0" w:color="auto"/>
        <w:left w:val="none" w:sz="0" w:space="0" w:color="auto"/>
        <w:bottom w:val="none" w:sz="0" w:space="0" w:color="auto"/>
        <w:right w:val="none" w:sz="0" w:space="0" w:color="auto"/>
      </w:divBdr>
    </w:div>
    <w:div w:id="1371615197">
      <w:bodyDiv w:val="1"/>
      <w:marLeft w:val="0"/>
      <w:marRight w:val="0"/>
      <w:marTop w:val="0"/>
      <w:marBottom w:val="0"/>
      <w:divBdr>
        <w:top w:val="none" w:sz="0" w:space="0" w:color="auto"/>
        <w:left w:val="none" w:sz="0" w:space="0" w:color="auto"/>
        <w:bottom w:val="none" w:sz="0" w:space="0" w:color="auto"/>
        <w:right w:val="none" w:sz="0" w:space="0" w:color="auto"/>
      </w:divBdr>
    </w:div>
    <w:div w:id="1398745172">
      <w:bodyDiv w:val="1"/>
      <w:marLeft w:val="0"/>
      <w:marRight w:val="0"/>
      <w:marTop w:val="0"/>
      <w:marBottom w:val="0"/>
      <w:divBdr>
        <w:top w:val="none" w:sz="0" w:space="0" w:color="auto"/>
        <w:left w:val="none" w:sz="0" w:space="0" w:color="auto"/>
        <w:bottom w:val="none" w:sz="0" w:space="0" w:color="auto"/>
        <w:right w:val="none" w:sz="0" w:space="0" w:color="auto"/>
      </w:divBdr>
    </w:div>
    <w:div w:id="1471098703">
      <w:bodyDiv w:val="1"/>
      <w:marLeft w:val="0"/>
      <w:marRight w:val="0"/>
      <w:marTop w:val="0"/>
      <w:marBottom w:val="0"/>
      <w:divBdr>
        <w:top w:val="none" w:sz="0" w:space="0" w:color="auto"/>
        <w:left w:val="none" w:sz="0" w:space="0" w:color="auto"/>
        <w:bottom w:val="none" w:sz="0" w:space="0" w:color="auto"/>
        <w:right w:val="none" w:sz="0" w:space="0" w:color="auto"/>
      </w:divBdr>
      <w:divsChild>
        <w:div w:id="254174678">
          <w:marLeft w:val="0"/>
          <w:marRight w:val="0"/>
          <w:marTop w:val="0"/>
          <w:marBottom w:val="120"/>
          <w:divBdr>
            <w:top w:val="none" w:sz="0" w:space="0" w:color="auto"/>
            <w:left w:val="none" w:sz="0" w:space="0" w:color="auto"/>
            <w:bottom w:val="none" w:sz="0" w:space="0" w:color="auto"/>
            <w:right w:val="none" w:sz="0" w:space="0" w:color="auto"/>
          </w:divBdr>
        </w:div>
      </w:divsChild>
    </w:div>
    <w:div w:id="1609504675">
      <w:bodyDiv w:val="1"/>
      <w:marLeft w:val="0"/>
      <w:marRight w:val="0"/>
      <w:marTop w:val="0"/>
      <w:marBottom w:val="0"/>
      <w:divBdr>
        <w:top w:val="none" w:sz="0" w:space="0" w:color="auto"/>
        <w:left w:val="none" w:sz="0" w:space="0" w:color="auto"/>
        <w:bottom w:val="none" w:sz="0" w:space="0" w:color="auto"/>
        <w:right w:val="none" w:sz="0" w:space="0" w:color="auto"/>
      </w:divBdr>
      <w:divsChild>
        <w:div w:id="142718934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30374320">
      <w:bodyDiv w:val="1"/>
      <w:marLeft w:val="0"/>
      <w:marRight w:val="0"/>
      <w:marTop w:val="0"/>
      <w:marBottom w:val="0"/>
      <w:divBdr>
        <w:top w:val="none" w:sz="0" w:space="0" w:color="auto"/>
        <w:left w:val="none" w:sz="0" w:space="0" w:color="auto"/>
        <w:bottom w:val="none" w:sz="0" w:space="0" w:color="auto"/>
        <w:right w:val="none" w:sz="0" w:space="0" w:color="auto"/>
      </w:divBdr>
    </w:div>
    <w:div w:id="2043434710">
      <w:bodyDiv w:val="1"/>
      <w:marLeft w:val="0"/>
      <w:marRight w:val="0"/>
      <w:marTop w:val="0"/>
      <w:marBottom w:val="0"/>
      <w:divBdr>
        <w:top w:val="none" w:sz="0" w:space="0" w:color="auto"/>
        <w:left w:val="none" w:sz="0" w:space="0" w:color="auto"/>
        <w:bottom w:val="none" w:sz="0" w:space="0" w:color="auto"/>
        <w:right w:val="none" w:sz="0" w:space="0" w:color="auto"/>
      </w:divBdr>
    </w:div>
    <w:div w:id="2127775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FA684F-8C35-904D-A24F-043ADC1D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paper.dotx</Template>
  <TotalTime>455</TotalTime>
  <Pages>9</Pages>
  <Words>3116</Words>
  <Characters>17762</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13</cp:revision>
  <cp:lastPrinted>2017-12-12T22:20:00Z</cp:lastPrinted>
  <dcterms:created xsi:type="dcterms:W3CDTF">2017-12-07T13:09:00Z</dcterms:created>
  <dcterms:modified xsi:type="dcterms:W3CDTF">2017-12-13T13:35:00Z</dcterms:modified>
</cp:coreProperties>
</file>