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158" w:rsidRDefault="00D77442" w:rsidP="001B3158">
      <w:pPr>
        <w:jc w:val="center"/>
        <w:rPr>
          <w:b/>
          <w:bCs/>
        </w:rPr>
      </w:pPr>
      <w:r>
        <w:rPr>
          <w:b/>
          <w:bCs/>
        </w:rPr>
        <w:t>ACADEMIC WOMEN</w:t>
      </w:r>
      <w:r w:rsidR="00955969">
        <w:rPr>
          <w:b/>
          <w:bCs/>
        </w:rPr>
        <w:t>’</w:t>
      </w:r>
      <w:r w:rsidR="00FD2268">
        <w:rPr>
          <w:b/>
          <w:bCs/>
        </w:rPr>
        <w:t>S</w:t>
      </w:r>
      <w:r w:rsidR="001B3158">
        <w:rPr>
          <w:b/>
          <w:bCs/>
        </w:rPr>
        <w:t xml:space="preserve"> </w:t>
      </w:r>
      <w:r w:rsidR="00433CA8">
        <w:rPr>
          <w:b/>
          <w:bCs/>
        </w:rPr>
        <w:t>PERSPECTIVE</w:t>
      </w:r>
      <w:r w:rsidR="00955969">
        <w:rPr>
          <w:b/>
          <w:bCs/>
        </w:rPr>
        <w:t xml:space="preserve"> O</w:t>
      </w:r>
      <w:r w:rsidR="00433CA8">
        <w:rPr>
          <w:b/>
          <w:bCs/>
        </w:rPr>
        <w:t>N</w:t>
      </w:r>
      <w:r w:rsidR="00495432">
        <w:rPr>
          <w:b/>
          <w:bCs/>
        </w:rPr>
        <w:t xml:space="preserve"> </w:t>
      </w:r>
      <w:r w:rsidR="00FD2268">
        <w:rPr>
          <w:b/>
          <w:bCs/>
        </w:rPr>
        <w:t xml:space="preserve">STRATEGIES FOR </w:t>
      </w:r>
      <w:r w:rsidR="001B3158">
        <w:rPr>
          <w:b/>
          <w:bCs/>
        </w:rPr>
        <w:t>IN</w:t>
      </w:r>
      <w:r>
        <w:rPr>
          <w:b/>
          <w:bCs/>
        </w:rPr>
        <w:t>CLUSION</w:t>
      </w:r>
      <w:r w:rsidR="001B3158">
        <w:rPr>
          <w:b/>
          <w:bCs/>
        </w:rPr>
        <w:t xml:space="preserve"> </w:t>
      </w:r>
      <w:r w:rsidR="00B267D9">
        <w:rPr>
          <w:b/>
          <w:bCs/>
        </w:rPr>
        <w:t xml:space="preserve">OF </w:t>
      </w:r>
      <w:r w:rsidR="00955969">
        <w:rPr>
          <w:b/>
          <w:bCs/>
        </w:rPr>
        <w:t xml:space="preserve">WOMEN IN </w:t>
      </w:r>
      <w:r w:rsidR="001D1DEB">
        <w:rPr>
          <w:b/>
          <w:bCs/>
        </w:rPr>
        <w:t xml:space="preserve">NIGERIA </w:t>
      </w:r>
      <w:r w:rsidR="00955969">
        <w:rPr>
          <w:b/>
          <w:bCs/>
        </w:rPr>
        <w:t>HIGHER</w:t>
      </w:r>
      <w:r w:rsidR="001B3158">
        <w:rPr>
          <w:b/>
          <w:bCs/>
        </w:rPr>
        <w:t xml:space="preserve"> EDUCATION </w:t>
      </w:r>
      <w:r w:rsidR="00955969">
        <w:rPr>
          <w:b/>
          <w:bCs/>
        </w:rPr>
        <w:t>GOVERNANCE</w:t>
      </w:r>
    </w:p>
    <w:p w:rsidR="001B3158" w:rsidRDefault="001B3158" w:rsidP="001B3158">
      <w:pPr>
        <w:rPr>
          <w:b/>
          <w:bCs/>
        </w:rPr>
      </w:pPr>
    </w:p>
    <w:p w:rsidR="001B3158" w:rsidRDefault="003C4AEF" w:rsidP="00406BC7">
      <w:pPr>
        <w:jc w:val="center"/>
        <w:rPr>
          <w:b/>
          <w:bCs/>
        </w:rPr>
      </w:pPr>
      <w:r>
        <w:rPr>
          <w:b/>
          <w:bCs/>
        </w:rPr>
        <w:t>MBOTO, ODEY. A (</w:t>
      </w:r>
      <w:proofErr w:type="spellStart"/>
      <w:proofErr w:type="gramStart"/>
      <w:r>
        <w:rPr>
          <w:b/>
          <w:bCs/>
        </w:rPr>
        <w:t>Ph.D</w:t>
      </w:r>
      <w:proofErr w:type="spellEnd"/>
      <w:proofErr w:type="gramEnd"/>
      <w:r>
        <w:rPr>
          <w:b/>
          <w:bCs/>
        </w:rPr>
        <w:t xml:space="preserve">), </w:t>
      </w:r>
      <w:r w:rsidR="00406BC7" w:rsidRPr="00406BC7">
        <w:rPr>
          <w:b/>
          <w:bCs/>
        </w:rPr>
        <w:t>Dr. (</w:t>
      </w:r>
      <w:proofErr w:type="spellStart"/>
      <w:r w:rsidR="00406BC7" w:rsidRPr="00406BC7">
        <w:rPr>
          <w:b/>
          <w:bCs/>
        </w:rPr>
        <w:t>Mrs</w:t>
      </w:r>
      <w:proofErr w:type="spellEnd"/>
      <w:r w:rsidR="00406BC7" w:rsidRPr="00406BC7">
        <w:rPr>
          <w:b/>
          <w:bCs/>
        </w:rPr>
        <w:t>) PAULINE U. EKPANG</w:t>
      </w:r>
      <w:r w:rsidR="00406BC7">
        <w:rPr>
          <w:b/>
          <w:bCs/>
        </w:rPr>
        <w:t xml:space="preserve">, </w:t>
      </w:r>
      <w:r w:rsidR="00406BC7" w:rsidRPr="00406BC7">
        <w:rPr>
          <w:b/>
          <w:bCs/>
        </w:rPr>
        <w:t xml:space="preserve"> </w:t>
      </w:r>
      <w:r w:rsidR="00E6067A">
        <w:rPr>
          <w:b/>
          <w:bCs/>
        </w:rPr>
        <w:t xml:space="preserve">PROF </w:t>
      </w:r>
      <w:r w:rsidR="001B3158">
        <w:rPr>
          <w:b/>
          <w:bCs/>
        </w:rPr>
        <w:t xml:space="preserve">ASUQUO, </w:t>
      </w:r>
      <w:r w:rsidR="00FD2268">
        <w:rPr>
          <w:b/>
          <w:bCs/>
        </w:rPr>
        <w:t>P</w:t>
      </w:r>
      <w:r w:rsidR="001B3158">
        <w:rPr>
          <w:b/>
          <w:bCs/>
        </w:rPr>
        <w:t xml:space="preserve">. </w:t>
      </w:r>
      <w:r w:rsidR="00FD2268">
        <w:rPr>
          <w:b/>
          <w:bCs/>
        </w:rPr>
        <w:t>N</w:t>
      </w:r>
      <w:r w:rsidR="001B3158">
        <w:rPr>
          <w:b/>
          <w:bCs/>
        </w:rPr>
        <w:t>.</w:t>
      </w:r>
    </w:p>
    <w:p w:rsidR="001B3158" w:rsidRDefault="001B3158" w:rsidP="001B3158">
      <w:pPr>
        <w:jc w:val="center"/>
        <w:rPr>
          <w:b/>
          <w:bCs/>
          <w:i/>
          <w:iCs/>
        </w:rPr>
      </w:pPr>
      <w:r>
        <w:rPr>
          <w:b/>
          <w:bCs/>
          <w:i/>
          <w:iCs/>
        </w:rPr>
        <w:t>Depart</w:t>
      </w:r>
      <w:r w:rsidR="00482BE4">
        <w:rPr>
          <w:b/>
          <w:bCs/>
          <w:i/>
          <w:iCs/>
        </w:rPr>
        <w:t>ment of</w:t>
      </w:r>
      <w:r>
        <w:rPr>
          <w:b/>
          <w:bCs/>
          <w:i/>
          <w:iCs/>
        </w:rPr>
        <w:t xml:space="preserve"> Guidance &amp; Counselling</w:t>
      </w:r>
    </w:p>
    <w:p w:rsidR="001B3158" w:rsidRDefault="001B3158" w:rsidP="001B3158">
      <w:pPr>
        <w:jc w:val="center"/>
        <w:rPr>
          <w:b/>
          <w:bCs/>
          <w:i/>
          <w:iCs/>
        </w:rPr>
      </w:pPr>
      <w:r>
        <w:rPr>
          <w:b/>
          <w:bCs/>
          <w:i/>
          <w:iCs/>
        </w:rPr>
        <w:t>University of Calabar,</w:t>
      </w:r>
    </w:p>
    <w:p w:rsidR="001B3158" w:rsidRDefault="001B3158" w:rsidP="001B3158">
      <w:pPr>
        <w:jc w:val="center"/>
        <w:rPr>
          <w:b/>
          <w:bCs/>
          <w:i/>
          <w:iCs/>
        </w:rPr>
      </w:pPr>
      <w:r>
        <w:rPr>
          <w:b/>
          <w:bCs/>
          <w:i/>
          <w:iCs/>
        </w:rPr>
        <w:t>Calabar, Nigeria.</w:t>
      </w:r>
    </w:p>
    <w:p w:rsidR="001B3158" w:rsidRDefault="00AE49DB" w:rsidP="00AE49DB">
      <w:pPr>
        <w:rPr>
          <w:b/>
          <w:bCs/>
          <w:i/>
          <w:iCs/>
        </w:rPr>
      </w:pPr>
      <w:r>
        <w:rPr>
          <w:b/>
          <w:bCs/>
        </w:rPr>
        <w:t xml:space="preserve">                                                        </w:t>
      </w:r>
      <w:r>
        <w:rPr>
          <w:b/>
          <w:bCs/>
          <w:i/>
          <w:iCs/>
        </w:rPr>
        <w:t>mboto1983@gmail.com</w:t>
      </w:r>
    </w:p>
    <w:p w:rsidR="001B3158" w:rsidRDefault="001B3158" w:rsidP="001B3158">
      <w:pPr>
        <w:rPr>
          <w:b/>
          <w:bCs/>
          <w:i/>
          <w:iCs/>
        </w:rPr>
      </w:pPr>
    </w:p>
    <w:p w:rsidR="001B3158" w:rsidRPr="00A55A49" w:rsidRDefault="00B9649B" w:rsidP="00B9649B">
      <w:pPr>
        <w:rPr>
          <w:b/>
          <w:bCs/>
          <w:sz w:val="22"/>
          <w:szCs w:val="22"/>
        </w:rPr>
      </w:pPr>
      <w:r w:rsidRPr="00A55A49">
        <w:rPr>
          <w:b/>
          <w:bCs/>
          <w:sz w:val="22"/>
          <w:szCs w:val="22"/>
        </w:rPr>
        <w:t>Abstract</w:t>
      </w:r>
    </w:p>
    <w:p w:rsidR="00237FC2" w:rsidRDefault="001B3158" w:rsidP="001B3158">
      <w:pPr>
        <w:jc w:val="both"/>
        <w:rPr>
          <w:i/>
          <w:iCs/>
          <w:sz w:val="20"/>
          <w:szCs w:val="20"/>
        </w:rPr>
      </w:pPr>
      <w:r w:rsidRPr="00B9649B">
        <w:rPr>
          <w:i/>
          <w:iCs/>
          <w:sz w:val="20"/>
          <w:szCs w:val="20"/>
        </w:rPr>
        <w:t xml:space="preserve">This paper provides data on </w:t>
      </w:r>
      <w:r w:rsidR="00C8362E" w:rsidRPr="00B9649B">
        <w:rPr>
          <w:i/>
          <w:iCs/>
          <w:sz w:val="20"/>
          <w:szCs w:val="20"/>
        </w:rPr>
        <w:t>women in academic</w:t>
      </w:r>
      <w:r w:rsidRPr="00B9649B">
        <w:rPr>
          <w:i/>
          <w:iCs/>
          <w:sz w:val="20"/>
          <w:szCs w:val="20"/>
        </w:rPr>
        <w:t xml:space="preserve">s’ perspective on approaches for enhancing female participation in </w:t>
      </w:r>
      <w:r w:rsidR="00C8362E" w:rsidRPr="00B9649B">
        <w:rPr>
          <w:i/>
          <w:iCs/>
          <w:sz w:val="20"/>
          <w:szCs w:val="20"/>
        </w:rPr>
        <w:t>university’s governance</w:t>
      </w:r>
      <w:r w:rsidRPr="00B9649B">
        <w:rPr>
          <w:i/>
          <w:iCs/>
          <w:sz w:val="20"/>
          <w:szCs w:val="20"/>
        </w:rPr>
        <w:t xml:space="preserve"> in </w:t>
      </w:r>
      <w:r w:rsidR="00C8362E" w:rsidRPr="00B9649B">
        <w:rPr>
          <w:i/>
          <w:iCs/>
          <w:sz w:val="20"/>
          <w:szCs w:val="20"/>
        </w:rPr>
        <w:t xml:space="preserve">Calabar, </w:t>
      </w:r>
      <w:r w:rsidRPr="00B9649B">
        <w:rPr>
          <w:i/>
          <w:iCs/>
          <w:sz w:val="20"/>
          <w:szCs w:val="20"/>
        </w:rPr>
        <w:t xml:space="preserve">Cross River State, Nigeria. Subjects were </w:t>
      </w:r>
      <w:r w:rsidR="00C8362E" w:rsidRPr="00B9649B">
        <w:rPr>
          <w:i/>
          <w:iCs/>
          <w:sz w:val="20"/>
          <w:szCs w:val="20"/>
        </w:rPr>
        <w:t>25</w:t>
      </w:r>
      <w:r w:rsidRPr="00B9649B">
        <w:rPr>
          <w:i/>
          <w:iCs/>
          <w:sz w:val="20"/>
          <w:szCs w:val="20"/>
        </w:rPr>
        <w:t xml:space="preserve">4 </w:t>
      </w:r>
      <w:r w:rsidR="00C8362E" w:rsidRPr="00B9649B">
        <w:rPr>
          <w:i/>
          <w:iCs/>
          <w:sz w:val="20"/>
          <w:szCs w:val="20"/>
        </w:rPr>
        <w:t>women in academic</w:t>
      </w:r>
      <w:r w:rsidRPr="00B9649B">
        <w:rPr>
          <w:i/>
          <w:iCs/>
          <w:sz w:val="20"/>
          <w:szCs w:val="20"/>
        </w:rPr>
        <w:t xml:space="preserve">s with varying years of teaching experience, from </w:t>
      </w:r>
      <w:r w:rsidR="0046729F" w:rsidRPr="00B9649B">
        <w:rPr>
          <w:i/>
          <w:iCs/>
          <w:sz w:val="20"/>
          <w:szCs w:val="20"/>
        </w:rPr>
        <w:t>two universities in Calabar</w:t>
      </w:r>
      <w:r w:rsidRPr="00B9649B">
        <w:rPr>
          <w:i/>
          <w:iCs/>
          <w:sz w:val="20"/>
          <w:szCs w:val="20"/>
        </w:rPr>
        <w:t>. A questionnaire (</w:t>
      </w:r>
      <w:r w:rsidR="00C8362E" w:rsidRPr="00B9649B">
        <w:rPr>
          <w:i/>
          <w:iCs/>
          <w:sz w:val="20"/>
          <w:szCs w:val="20"/>
        </w:rPr>
        <w:t>Academic women</w:t>
      </w:r>
      <w:r w:rsidRPr="00B9649B">
        <w:rPr>
          <w:i/>
          <w:iCs/>
          <w:sz w:val="20"/>
          <w:szCs w:val="20"/>
        </w:rPr>
        <w:t xml:space="preserve"> perspective on strategies of increasing female participation in </w:t>
      </w:r>
      <w:r w:rsidR="00C8362E" w:rsidRPr="00B9649B">
        <w:rPr>
          <w:i/>
          <w:iCs/>
          <w:sz w:val="20"/>
          <w:szCs w:val="20"/>
        </w:rPr>
        <w:t>university governance</w:t>
      </w:r>
      <w:r w:rsidRPr="00B9649B">
        <w:rPr>
          <w:i/>
          <w:iCs/>
          <w:sz w:val="20"/>
          <w:szCs w:val="20"/>
        </w:rPr>
        <w:t xml:space="preserve"> questionnaire) was used to gather data from respondents in order to provide answer to the only research question of the study. Subjects were required to outline strategies they considered effective and practicable, for increasing female participation in </w:t>
      </w:r>
      <w:r w:rsidR="00C8362E" w:rsidRPr="00B9649B">
        <w:rPr>
          <w:i/>
          <w:iCs/>
          <w:sz w:val="20"/>
          <w:szCs w:val="20"/>
        </w:rPr>
        <w:t>university governance</w:t>
      </w:r>
      <w:r w:rsidRPr="00B9649B">
        <w:rPr>
          <w:i/>
          <w:iCs/>
          <w:sz w:val="20"/>
          <w:szCs w:val="20"/>
        </w:rPr>
        <w:t>. Actual numbers</w:t>
      </w:r>
      <w:r w:rsidR="00C553B9" w:rsidRPr="00B9649B">
        <w:rPr>
          <w:i/>
          <w:iCs/>
          <w:sz w:val="20"/>
          <w:szCs w:val="20"/>
        </w:rPr>
        <w:t>,</w:t>
      </w:r>
      <w:r w:rsidRPr="00B9649B">
        <w:rPr>
          <w:i/>
          <w:iCs/>
          <w:sz w:val="20"/>
          <w:szCs w:val="20"/>
        </w:rPr>
        <w:t xml:space="preserve"> </w:t>
      </w:r>
      <w:r w:rsidR="0046729F" w:rsidRPr="00B9649B">
        <w:rPr>
          <w:i/>
          <w:iCs/>
          <w:sz w:val="20"/>
          <w:szCs w:val="20"/>
        </w:rPr>
        <w:t xml:space="preserve">frequencies </w:t>
      </w:r>
      <w:r w:rsidRPr="00B9649B">
        <w:rPr>
          <w:i/>
          <w:iCs/>
          <w:sz w:val="20"/>
          <w:szCs w:val="20"/>
        </w:rPr>
        <w:t>and percentages were used to present the</w:t>
      </w:r>
      <w:r w:rsidR="003C0153" w:rsidRPr="00B9649B">
        <w:rPr>
          <w:i/>
          <w:iCs/>
          <w:sz w:val="20"/>
          <w:szCs w:val="20"/>
        </w:rPr>
        <w:t xml:space="preserve"> result. Results indicated that eleven out of the fifteen strategies had a rating of above 70% with strategies listed in items 5,6 and 10 adjudge by the respondents as most effective for increasing women’s capacities and abilities for active involvement in the management of higher education institutions. The study recommended among others that counsellors should focus the advocacy energy on promotion of gender equity by empowering and equipping academic women to take their rightful positions as managers in institutional governance of higher institutions.</w:t>
      </w:r>
    </w:p>
    <w:p w:rsidR="001B3158" w:rsidRPr="00237FC2" w:rsidRDefault="00237FC2" w:rsidP="001B3158">
      <w:pPr>
        <w:jc w:val="both"/>
        <w:rPr>
          <w:b/>
          <w:iCs/>
          <w:sz w:val="20"/>
          <w:szCs w:val="20"/>
        </w:rPr>
      </w:pPr>
      <w:r w:rsidRPr="00237FC2">
        <w:rPr>
          <w:b/>
          <w:iCs/>
          <w:sz w:val="20"/>
          <w:szCs w:val="20"/>
        </w:rPr>
        <w:t>Keywords:</w:t>
      </w:r>
      <w:r>
        <w:rPr>
          <w:b/>
          <w:iCs/>
          <w:sz w:val="20"/>
          <w:szCs w:val="20"/>
        </w:rPr>
        <w:t xml:space="preserve"> Women, Higher Education, Administration, Governance</w:t>
      </w:r>
      <w:r w:rsidR="001B3158" w:rsidRPr="00237FC2">
        <w:rPr>
          <w:b/>
          <w:iCs/>
          <w:sz w:val="20"/>
          <w:szCs w:val="20"/>
        </w:rPr>
        <w:t xml:space="preserve"> </w:t>
      </w:r>
    </w:p>
    <w:p w:rsidR="001B3158" w:rsidRPr="00237FC2" w:rsidRDefault="001B3158" w:rsidP="001B3158">
      <w:pPr>
        <w:jc w:val="both"/>
        <w:rPr>
          <w:sz w:val="20"/>
          <w:szCs w:val="20"/>
        </w:rPr>
      </w:pPr>
    </w:p>
    <w:p w:rsidR="00A55A49" w:rsidRPr="00B9649B" w:rsidRDefault="00A55A49" w:rsidP="001B3158">
      <w:pPr>
        <w:spacing w:line="360" w:lineRule="auto"/>
        <w:jc w:val="both"/>
        <w:rPr>
          <w:b/>
          <w:bCs/>
          <w:sz w:val="20"/>
          <w:szCs w:val="20"/>
        </w:rPr>
      </w:pPr>
    </w:p>
    <w:p w:rsidR="001B3158" w:rsidRPr="00B9649B" w:rsidRDefault="00B9649B" w:rsidP="001B3158">
      <w:pPr>
        <w:spacing w:line="360" w:lineRule="auto"/>
        <w:jc w:val="both"/>
        <w:rPr>
          <w:b/>
          <w:bCs/>
          <w:sz w:val="20"/>
          <w:szCs w:val="20"/>
        </w:rPr>
      </w:pPr>
      <w:r w:rsidRPr="00B9649B">
        <w:rPr>
          <w:b/>
          <w:bCs/>
          <w:sz w:val="20"/>
          <w:szCs w:val="20"/>
        </w:rPr>
        <w:t xml:space="preserve">Introduction </w:t>
      </w:r>
    </w:p>
    <w:p w:rsidR="00A608AB" w:rsidRPr="00B9649B" w:rsidRDefault="001B3158" w:rsidP="00E20F15">
      <w:pPr>
        <w:spacing w:line="360" w:lineRule="auto"/>
        <w:jc w:val="both"/>
        <w:rPr>
          <w:i/>
          <w:iCs/>
          <w:sz w:val="20"/>
          <w:szCs w:val="20"/>
        </w:rPr>
      </w:pPr>
      <w:r w:rsidRPr="00B9649B">
        <w:rPr>
          <w:sz w:val="20"/>
          <w:szCs w:val="20"/>
        </w:rPr>
        <w:tab/>
      </w:r>
      <w:r w:rsidR="00AE49DB" w:rsidRPr="00B9649B">
        <w:rPr>
          <w:sz w:val="20"/>
          <w:szCs w:val="20"/>
        </w:rPr>
        <w:t>Over the years</w:t>
      </w:r>
      <w:r w:rsidR="00A17AA3" w:rsidRPr="00B9649B">
        <w:rPr>
          <w:sz w:val="20"/>
          <w:szCs w:val="20"/>
        </w:rPr>
        <w:t>, w</w:t>
      </w:r>
      <w:r w:rsidR="006C0930" w:rsidRPr="00B9649B">
        <w:rPr>
          <w:sz w:val="20"/>
          <w:szCs w:val="20"/>
        </w:rPr>
        <w:t>omen</w:t>
      </w:r>
      <w:r w:rsidR="00D838AA" w:rsidRPr="00B9649B">
        <w:rPr>
          <w:sz w:val="20"/>
          <w:szCs w:val="20"/>
        </w:rPr>
        <w:t xml:space="preserve"> </w:t>
      </w:r>
      <w:r w:rsidR="00AE49DB" w:rsidRPr="00B9649B">
        <w:rPr>
          <w:sz w:val="20"/>
          <w:szCs w:val="20"/>
        </w:rPr>
        <w:t xml:space="preserve">have comparatively </w:t>
      </w:r>
      <w:r w:rsidR="006C0930" w:rsidRPr="00B9649B">
        <w:rPr>
          <w:sz w:val="20"/>
          <w:szCs w:val="20"/>
        </w:rPr>
        <w:t>remain</w:t>
      </w:r>
      <w:r w:rsidR="00AE49DB" w:rsidRPr="00B9649B">
        <w:rPr>
          <w:sz w:val="20"/>
          <w:szCs w:val="20"/>
        </w:rPr>
        <w:t>ed</w:t>
      </w:r>
      <w:r w:rsidR="006C0930" w:rsidRPr="00B9649B">
        <w:rPr>
          <w:sz w:val="20"/>
          <w:szCs w:val="20"/>
        </w:rPr>
        <w:t xml:space="preserve"> an unused resource in the management of higher education institutions in Nigeria.</w:t>
      </w:r>
      <w:r w:rsidR="002F0673" w:rsidRPr="00B9649B">
        <w:rPr>
          <w:sz w:val="20"/>
          <w:szCs w:val="20"/>
        </w:rPr>
        <w:t xml:space="preserve"> </w:t>
      </w:r>
      <w:r w:rsidR="00C553B9" w:rsidRPr="00B9649B">
        <w:rPr>
          <w:sz w:val="20"/>
          <w:szCs w:val="20"/>
        </w:rPr>
        <w:t>They</w:t>
      </w:r>
      <w:r w:rsidR="002F0673" w:rsidRPr="00B9649B">
        <w:rPr>
          <w:sz w:val="20"/>
          <w:szCs w:val="20"/>
        </w:rPr>
        <w:t xml:space="preserve"> and the</w:t>
      </w:r>
      <w:r w:rsidR="00A17AA3" w:rsidRPr="00B9649B">
        <w:rPr>
          <w:sz w:val="20"/>
          <w:szCs w:val="20"/>
        </w:rPr>
        <w:t>ir male counterparts constitute</w:t>
      </w:r>
      <w:r w:rsidR="002F0673" w:rsidRPr="00B9649B">
        <w:rPr>
          <w:sz w:val="20"/>
          <w:szCs w:val="20"/>
        </w:rPr>
        <w:t xml:space="preserve"> the </w:t>
      </w:r>
      <w:r w:rsidR="00F51032" w:rsidRPr="00B9649B">
        <w:rPr>
          <w:sz w:val="20"/>
          <w:szCs w:val="20"/>
        </w:rPr>
        <w:t>essential human resource base upon which</w:t>
      </w:r>
      <w:r w:rsidR="002F0673" w:rsidRPr="00B9649B">
        <w:rPr>
          <w:sz w:val="20"/>
          <w:szCs w:val="20"/>
        </w:rPr>
        <w:t xml:space="preserve"> every nation’s development process</w:t>
      </w:r>
      <w:r w:rsidR="00F51032" w:rsidRPr="00B9649B">
        <w:rPr>
          <w:sz w:val="20"/>
          <w:szCs w:val="20"/>
        </w:rPr>
        <w:t xml:space="preserve"> depends and</w:t>
      </w:r>
      <w:r w:rsidR="002F0673" w:rsidRPr="00B9649B">
        <w:rPr>
          <w:sz w:val="20"/>
          <w:szCs w:val="20"/>
        </w:rPr>
        <w:t xml:space="preserve"> from where</w:t>
      </w:r>
      <w:r w:rsidR="00C553B9" w:rsidRPr="00B9649B">
        <w:rPr>
          <w:sz w:val="20"/>
          <w:szCs w:val="20"/>
        </w:rPr>
        <w:t xml:space="preserve"> leaders including</w:t>
      </w:r>
      <w:r w:rsidR="002F0673" w:rsidRPr="00B9649B">
        <w:rPr>
          <w:sz w:val="20"/>
          <w:szCs w:val="20"/>
        </w:rPr>
        <w:t xml:space="preserve"> managers of higher education are drawn.</w:t>
      </w:r>
      <w:r w:rsidR="00DD74C9" w:rsidRPr="00B9649B">
        <w:rPr>
          <w:sz w:val="20"/>
          <w:szCs w:val="20"/>
        </w:rPr>
        <w:t xml:space="preserve"> </w:t>
      </w:r>
      <w:r w:rsidR="00F51032" w:rsidRPr="00B9649B">
        <w:rPr>
          <w:sz w:val="20"/>
          <w:szCs w:val="20"/>
        </w:rPr>
        <w:t xml:space="preserve">Managers of higher education institutions play a crucial role in the development of their institutions and nations. They generally mobilize the material and </w:t>
      </w:r>
      <w:proofErr w:type="spellStart"/>
      <w:proofErr w:type="gramStart"/>
      <w:r w:rsidR="00F51032" w:rsidRPr="00B9649B">
        <w:rPr>
          <w:sz w:val="20"/>
          <w:szCs w:val="20"/>
        </w:rPr>
        <w:t>non material</w:t>
      </w:r>
      <w:proofErr w:type="spellEnd"/>
      <w:proofErr w:type="gramEnd"/>
      <w:r w:rsidR="00F51032" w:rsidRPr="00B9649B">
        <w:rPr>
          <w:sz w:val="20"/>
          <w:szCs w:val="20"/>
        </w:rPr>
        <w:t xml:space="preserve"> resources available to the institutions to control, coordinate, direct and guide subordinates and other colleagues toward achieving the corporate goals of their institutions. The context of higher education where some of them women work, leadership is provided to head committees, boards, panels, and governing councils as well as departments, faculties, directorates and the university at large. </w:t>
      </w:r>
      <w:proofErr w:type="gramStart"/>
      <w:r w:rsidR="00F51032" w:rsidRPr="00B9649B">
        <w:rPr>
          <w:sz w:val="20"/>
          <w:szCs w:val="20"/>
        </w:rPr>
        <w:t>Also</w:t>
      </w:r>
      <w:proofErr w:type="gramEnd"/>
      <w:r w:rsidR="00F51032" w:rsidRPr="00B9649B">
        <w:rPr>
          <w:sz w:val="20"/>
          <w:szCs w:val="20"/>
        </w:rPr>
        <w:t xml:space="preserve"> those in management positions represent the top echelon of decision-making cadre and are placed based on their experience and progression in the academy as effective scholars and not necessary as effective administrators.</w:t>
      </w:r>
      <w:r w:rsidR="00A608AB" w:rsidRPr="00B9649B">
        <w:rPr>
          <w:sz w:val="20"/>
          <w:szCs w:val="20"/>
        </w:rPr>
        <w:t xml:space="preserve"> The progress made by women</w:t>
      </w:r>
      <w:r w:rsidR="00E20F15" w:rsidRPr="00B9649B">
        <w:rPr>
          <w:sz w:val="20"/>
          <w:szCs w:val="20"/>
        </w:rPr>
        <w:t xml:space="preserve"> so far</w:t>
      </w:r>
      <w:r w:rsidR="00A608AB" w:rsidRPr="00B9649B">
        <w:rPr>
          <w:sz w:val="20"/>
          <w:szCs w:val="20"/>
        </w:rPr>
        <w:t xml:space="preserve"> in terms of access though significant but not sufficient. Certain aspects of the access like participation in Universities governance require significant improvement, requiring the promotion of more enlightened attitudes towards highly educated women whose qualifications entitle them to career fulfillment and advancement to decision-making positions. In other words, as women continue to become more numerous management positions like Vice Chancellor, Deputy Vice Chancellor, Deans and Heads of department should be accessible to those with the right credentials to occupy irrespective of their gender. The conventional development approaches in Nigeria had however, remained male driven with a social, economic and masculine bias</w:t>
      </w:r>
      <w:r w:rsidR="002B6054">
        <w:rPr>
          <w:sz w:val="20"/>
          <w:szCs w:val="20"/>
        </w:rPr>
        <w:t xml:space="preserve"> (</w:t>
      </w:r>
      <w:proofErr w:type="spellStart"/>
      <w:r w:rsidR="002B6054">
        <w:rPr>
          <w:sz w:val="20"/>
          <w:szCs w:val="20"/>
        </w:rPr>
        <w:t>Omini</w:t>
      </w:r>
      <w:proofErr w:type="spellEnd"/>
      <w:r w:rsidR="002B6054">
        <w:rPr>
          <w:sz w:val="20"/>
          <w:szCs w:val="20"/>
        </w:rPr>
        <w:t xml:space="preserve"> &amp; </w:t>
      </w:r>
      <w:proofErr w:type="spellStart"/>
      <w:r w:rsidR="002B6054">
        <w:rPr>
          <w:sz w:val="20"/>
          <w:szCs w:val="20"/>
        </w:rPr>
        <w:t>Iquo</w:t>
      </w:r>
      <w:proofErr w:type="spellEnd"/>
      <w:r w:rsidR="002B6054">
        <w:rPr>
          <w:sz w:val="20"/>
          <w:szCs w:val="20"/>
        </w:rPr>
        <w:t>, 2018)</w:t>
      </w:r>
      <w:r w:rsidR="00A608AB" w:rsidRPr="00B9649B">
        <w:rPr>
          <w:sz w:val="20"/>
          <w:szCs w:val="20"/>
        </w:rPr>
        <w:t xml:space="preserve">. </w:t>
      </w:r>
    </w:p>
    <w:p w:rsidR="00A608AB" w:rsidRPr="00B9649B" w:rsidRDefault="00A608AB" w:rsidP="00A608AB">
      <w:pPr>
        <w:spacing w:line="360" w:lineRule="auto"/>
        <w:jc w:val="both"/>
        <w:rPr>
          <w:sz w:val="20"/>
          <w:szCs w:val="20"/>
        </w:rPr>
      </w:pPr>
      <w:r w:rsidRPr="00B9649B">
        <w:rPr>
          <w:sz w:val="20"/>
          <w:szCs w:val="20"/>
        </w:rPr>
        <w:lastRenderedPageBreak/>
        <w:tab/>
        <w:t xml:space="preserve">It is widely believed that education is an important tool for the achievement of social justice and socio-economic progress. For women as a social group, education gives them better chance to control their lives, to earn money, to be better mothers and to have improved relationship with spouses as well as reduced infant mortality and fertility rates, greater and higher economic production, improved family and child nutrition, better resource utilization, longer life expectancy for both men and women, are equally associated with </w:t>
      </w:r>
      <w:proofErr w:type="gramStart"/>
      <w:r w:rsidRPr="00B9649B">
        <w:rPr>
          <w:sz w:val="20"/>
          <w:szCs w:val="20"/>
        </w:rPr>
        <w:t>girls</w:t>
      </w:r>
      <w:proofErr w:type="gramEnd"/>
      <w:r w:rsidRPr="00B9649B">
        <w:rPr>
          <w:sz w:val="20"/>
          <w:szCs w:val="20"/>
        </w:rPr>
        <w:t xml:space="preserve"> education (Moss, 2007). Education also fosters empowerment which is essential for the participation of women in aspects of the development process while higher education provides the expertise that facilitates ascension to critical positions which shape policy in all fields of human </w:t>
      </w:r>
      <w:proofErr w:type="spellStart"/>
      <w:r w:rsidRPr="00B9649B">
        <w:rPr>
          <w:sz w:val="20"/>
          <w:szCs w:val="20"/>
        </w:rPr>
        <w:t>endeavour</w:t>
      </w:r>
      <w:proofErr w:type="spellEnd"/>
      <w:r w:rsidRPr="00B9649B">
        <w:rPr>
          <w:sz w:val="20"/>
          <w:szCs w:val="20"/>
        </w:rPr>
        <w:t>. Little wonder that, United Nations (2003:75) warns that:</w:t>
      </w:r>
    </w:p>
    <w:p w:rsidR="00650687" w:rsidRPr="00B9649B" w:rsidRDefault="00A608AB" w:rsidP="00650687">
      <w:pPr>
        <w:spacing w:line="360" w:lineRule="auto"/>
        <w:ind w:left="720"/>
        <w:jc w:val="both"/>
        <w:rPr>
          <w:i/>
          <w:iCs/>
          <w:sz w:val="20"/>
          <w:szCs w:val="20"/>
        </w:rPr>
      </w:pPr>
      <w:r w:rsidRPr="00B9649B">
        <w:rPr>
          <w:i/>
          <w:iCs/>
          <w:sz w:val="20"/>
          <w:szCs w:val="20"/>
        </w:rPr>
        <w:t>As long as women remain illiterate and are subject to discrimination in</w:t>
      </w:r>
      <w:r w:rsidR="00E20F15" w:rsidRPr="00B9649B">
        <w:rPr>
          <w:i/>
          <w:iCs/>
          <w:sz w:val="20"/>
          <w:szCs w:val="20"/>
        </w:rPr>
        <w:t xml:space="preserve"> </w:t>
      </w:r>
      <w:r w:rsidRPr="00B9649B">
        <w:rPr>
          <w:i/>
          <w:iCs/>
          <w:sz w:val="20"/>
          <w:szCs w:val="20"/>
        </w:rPr>
        <w:t xml:space="preserve">education and training, the motivation for change so badly needed to improve the quality of life for all will fail, for in most societies, it is the mother who is responsible for the training of her children during the formative years. </w:t>
      </w:r>
    </w:p>
    <w:p w:rsidR="00650687" w:rsidRPr="00B9649B" w:rsidRDefault="00650687" w:rsidP="00650687">
      <w:pPr>
        <w:spacing w:line="360" w:lineRule="auto"/>
        <w:jc w:val="both"/>
        <w:rPr>
          <w:b/>
          <w:i/>
          <w:iCs/>
          <w:sz w:val="20"/>
          <w:szCs w:val="20"/>
        </w:rPr>
      </w:pPr>
      <w:r w:rsidRPr="00B9649B">
        <w:rPr>
          <w:sz w:val="20"/>
          <w:szCs w:val="20"/>
        </w:rPr>
        <w:t>Undoubtedly, the promotion, acceptance and entrenchment of the principle as enunciated above in the field of higher education as well as providing adequate training opportunities for women to acquire such skills as would put them up for possible consideration when leadership positions arise would therefore afford them the opportunity to take meaningful part in the governance and development of higher education in Nigeria.</w:t>
      </w:r>
    </w:p>
    <w:p w:rsidR="00F51032" w:rsidRPr="00B9649B" w:rsidRDefault="00F51032" w:rsidP="001B3158">
      <w:pPr>
        <w:spacing w:line="360" w:lineRule="auto"/>
        <w:jc w:val="both"/>
        <w:rPr>
          <w:b/>
          <w:sz w:val="20"/>
          <w:szCs w:val="20"/>
        </w:rPr>
      </w:pPr>
      <w:r w:rsidRPr="00B9649B">
        <w:rPr>
          <w:b/>
          <w:sz w:val="20"/>
          <w:szCs w:val="20"/>
        </w:rPr>
        <w:t>A review of related literature</w:t>
      </w:r>
    </w:p>
    <w:p w:rsidR="00650687" w:rsidRPr="00B9649B" w:rsidRDefault="00650687" w:rsidP="00E20F15">
      <w:pPr>
        <w:spacing w:line="360" w:lineRule="auto"/>
        <w:jc w:val="both"/>
        <w:rPr>
          <w:sz w:val="20"/>
          <w:szCs w:val="20"/>
        </w:rPr>
      </w:pPr>
      <w:r w:rsidRPr="00B9649B">
        <w:rPr>
          <w:sz w:val="20"/>
          <w:szCs w:val="20"/>
        </w:rPr>
        <w:t xml:space="preserve">        </w:t>
      </w:r>
      <w:r w:rsidR="00F51032" w:rsidRPr="00B9649B">
        <w:rPr>
          <w:sz w:val="20"/>
          <w:szCs w:val="20"/>
        </w:rPr>
        <w:t xml:space="preserve"> </w:t>
      </w:r>
      <w:r w:rsidR="00DD74C9" w:rsidRPr="00B9649B">
        <w:rPr>
          <w:sz w:val="20"/>
          <w:szCs w:val="20"/>
        </w:rPr>
        <w:t>Traditionally, women have had limited role in society with restricted opportunities and the preference of males over females in education has been a marked feature throughout history (</w:t>
      </w:r>
      <w:proofErr w:type="spellStart"/>
      <w:r w:rsidR="00DD74C9" w:rsidRPr="00B9649B">
        <w:rPr>
          <w:sz w:val="20"/>
          <w:szCs w:val="20"/>
        </w:rPr>
        <w:t>Esu</w:t>
      </w:r>
      <w:proofErr w:type="spellEnd"/>
      <w:r w:rsidR="00DD74C9" w:rsidRPr="00B9649B">
        <w:rPr>
          <w:sz w:val="20"/>
          <w:szCs w:val="20"/>
        </w:rPr>
        <w:t>,</w:t>
      </w:r>
      <w:r w:rsidR="00A16292" w:rsidRPr="00B9649B">
        <w:rPr>
          <w:sz w:val="20"/>
          <w:szCs w:val="20"/>
        </w:rPr>
        <w:t xml:space="preserve"> </w:t>
      </w:r>
      <w:r w:rsidR="00DD74C9" w:rsidRPr="00B9649B">
        <w:rPr>
          <w:sz w:val="20"/>
          <w:szCs w:val="20"/>
        </w:rPr>
        <w:t xml:space="preserve">2008; UNESCO 2012). </w:t>
      </w:r>
      <w:r w:rsidR="00AE49DB" w:rsidRPr="00B9649B">
        <w:rPr>
          <w:sz w:val="20"/>
          <w:szCs w:val="20"/>
        </w:rPr>
        <w:t>T</w:t>
      </w:r>
      <w:r w:rsidR="00DD74C9" w:rsidRPr="00B9649B">
        <w:rPr>
          <w:sz w:val="20"/>
          <w:szCs w:val="20"/>
        </w:rPr>
        <w:t>heir under-representation at various levels</w:t>
      </w:r>
      <w:r w:rsidR="00E165FD" w:rsidRPr="00B9649B">
        <w:rPr>
          <w:sz w:val="20"/>
          <w:szCs w:val="20"/>
        </w:rPr>
        <w:t xml:space="preserve"> of leadership</w:t>
      </w:r>
      <w:r w:rsidR="00DD74C9" w:rsidRPr="00B9649B">
        <w:rPr>
          <w:sz w:val="20"/>
          <w:szCs w:val="20"/>
        </w:rPr>
        <w:t xml:space="preserve"> has become a recurrent theme in studies across the globe (Morley, 2019; </w:t>
      </w:r>
      <w:proofErr w:type="spellStart"/>
      <w:r w:rsidR="00DD74C9" w:rsidRPr="00B9649B">
        <w:rPr>
          <w:sz w:val="20"/>
          <w:szCs w:val="20"/>
        </w:rPr>
        <w:t>Bagihole</w:t>
      </w:r>
      <w:proofErr w:type="spellEnd"/>
      <w:r w:rsidR="00DD74C9" w:rsidRPr="00B9649B">
        <w:rPr>
          <w:sz w:val="20"/>
          <w:szCs w:val="20"/>
        </w:rPr>
        <w:t xml:space="preserve"> &amp; White, 2011; </w:t>
      </w:r>
      <w:proofErr w:type="spellStart"/>
      <w:r w:rsidR="00DD74C9" w:rsidRPr="00B9649B">
        <w:rPr>
          <w:sz w:val="20"/>
          <w:szCs w:val="20"/>
        </w:rPr>
        <w:t>Elg</w:t>
      </w:r>
      <w:proofErr w:type="spellEnd"/>
      <w:r w:rsidR="00DD74C9" w:rsidRPr="00B9649B">
        <w:rPr>
          <w:sz w:val="20"/>
          <w:szCs w:val="20"/>
        </w:rPr>
        <w:t xml:space="preserve"> &amp; </w:t>
      </w:r>
      <w:proofErr w:type="spellStart"/>
      <w:r w:rsidR="00DD74C9" w:rsidRPr="00B9649B">
        <w:rPr>
          <w:sz w:val="20"/>
          <w:szCs w:val="20"/>
        </w:rPr>
        <w:t>Jonnergard</w:t>
      </w:r>
      <w:proofErr w:type="spellEnd"/>
      <w:r w:rsidR="00DD74C9" w:rsidRPr="00B9649B">
        <w:rPr>
          <w:sz w:val="20"/>
          <w:szCs w:val="20"/>
        </w:rPr>
        <w:t>, 2010).</w:t>
      </w:r>
      <w:r w:rsidR="00EC16B3" w:rsidRPr="00B9649B">
        <w:rPr>
          <w:sz w:val="20"/>
          <w:szCs w:val="20"/>
        </w:rPr>
        <w:t xml:space="preserve"> </w:t>
      </w:r>
      <w:r w:rsidR="00E165FD" w:rsidRPr="00B9649B">
        <w:rPr>
          <w:sz w:val="20"/>
          <w:szCs w:val="20"/>
        </w:rPr>
        <w:t xml:space="preserve">About two decades ago, the Association of Commonwealth Universities published data that looked like management of higher education was a single sex profession: 13.9% of Heads of administration in Commonwealth Universities were women and only 6.9% were executive Heads or Vice Chancellors. More recently, the American Council on Education (ACE) in </w:t>
      </w:r>
      <w:r w:rsidR="00AE49DB" w:rsidRPr="00B9649B">
        <w:rPr>
          <w:sz w:val="20"/>
          <w:szCs w:val="20"/>
        </w:rPr>
        <w:t xml:space="preserve">an </w:t>
      </w:r>
      <w:r w:rsidR="00E165FD" w:rsidRPr="00B9649B">
        <w:rPr>
          <w:sz w:val="20"/>
          <w:szCs w:val="20"/>
        </w:rPr>
        <w:t xml:space="preserve">American College President Study 2017 showed that only 30% of the nation’s college and university presidents were women – an increase of just 4% from 2011 statistics. Similarly, revelation from a report on the status of women in higher education indicated improved access for women in terms of earning college degrees and entry into mid-level positions in most economic sectors but made very little progress in advancing into chief executive positions everywhere including higher education. </w:t>
      </w:r>
    </w:p>
    <w:p w:rsidR="00E20F15" w:rsidRPr="00B9649B" w:rsidRDefault="00650687" w:rsidP="00E20F15">
      <w:pPr>
        <w:spacing w:line="360" w:lineRule="auto"/>
        <w:jc w:val="both"/>
        <w:rPr>
          <w:sz w:val="20"/>
          <w:szCs w:val="20"/>
        </w:rPr>
      </w:pPr>
      <w:r w:rsidRPr="00B9649B">
        <w:rPr>
          <w:sz w:val="20"/>
          <w:szCs w:val="20"/>
        </w:rPr>
        <w:t xml:space="preserve">            </w:t>
      </w:r>
      <w:r w:rsidR="00E165FD" w:rsidRPr="00B9649B">
        <w:rPr>
          <w:sz w:val="20"/>
          <w:szCs w:val="20"/>
        </w:rPr>
        <w:t>In Nigeria</w:t>
      </w:r>
      <w:r w:rsidR="009348E5" w:rsidRPr="00B9649B">
        <w:rPr>
          <w:sz w:val="20"/>
          <w:szCs w:val="20"/>
        </w:rPr>
        <w:t>, a</w:t>
      </w:r>
      <w:r w:rsidR="00E165FD" w:rsidRPr="00B9649B">
        <w:rPr>
          <w:sz w:val="20"/>
          <w:szCs w:val="20"/>
        </w:rPr>
        <w:t xml:space="preserve"> few notable exceptions to this</w:t>
      </w:r>
      <w:r w:rsidR="009348E5" w:rsidRPr="00B9649B">
        <w:rPr>
          <w:sz w:val="20"/>
          <w:szCs w:val="20"/>
        </w:rPr>
        <w:t xml:space="preserve"> general</w:t>
      </w:r>
      <w:r w:rsidR="00E165FD" w:rsidRPr="00B9649B">
        <w:rPr>
          <w:sz w:val="20"/>
          <w:szCs w:val="20"/>
        </w:rPr>
        <w:t xml:space="preserve"> trend in our recent history</w:t>
      </w:r>
      <w:r w:rsidR="00A16292" w:rsidRPr="00B9649B">
        <w:rPr>
          <w:sz w:val="20"/>
          <w:szCs w:val="20"/>
        </w:rPr>
        <w:t xml:space="preserve"> (as reported by </w:t>
      </w:r>
      <w:proofErr w:type="spellStart"/>
      <w:r w:rsidR="00A16292" w:rsidRPr="00B9649B">
        <w:rPr>
          <w:sz w:val="20"/>
          <w:szCs w:val="20"/>
        </w:rPr>
        <w:t>Fajonyomi</w:t>
      </w:r>
      <w:proofErr w:type="spellEnd"/>
      <w:r w:rsidR="00A16292" w:rsidRPr="00B9649B">
        <w:rPr>
          <w:sz w:val="20"/>
          <w:szCs w:val="20"/>
        </w:rPr>
        <w:t xml:space="preserve">, </w:t>
      </w:r>
      <w:proofErr w:type="spellStart"/>
      <w:r w:rsidR="00954E43" w:rsidRPr="00B9649B">
        <w:rPr>
          <w:sz w:val="20"/>
          <w:szCs w:val="20"/>
        </w:rPr>
        <w:t>Ogungbade</w:t>
      </w:r>
      <w:proofErr w:type="spellEnd"/>
      <w:r w:rsidR="00A16292" w:rsidRPr="00B9649B">
        <w:rPr>
          <w:sz w:val="20"/>
          <w:szCs w:val="20"/>
        </w:rPr>
        <w:t xml:space="preserve">, </w:t>
      </w:r>
      <w:proofErr w:type="spellStart"/>
      <w:r w:rsidR="00A16292" w:rsidRPr="00B9649B">
        <w:rPr>
          <w:sz w:val="20"/>
          <w:szCs w:val="20"/>
        </w:rPr>
        <w:t>Kolawale</w:t>
      </w:r>
      <w:proofErr w:type="spellEnd"/>
      <w:r w:rsidR="00A16292" w:rsidRPr="00B9649B">
        <w:rPr>
          <w:sz w:val="20"/>
          <w:szCs w:val="20"/>
        </w:rPr>
        <w:t xml:space="preserve">, </w:t>
      </w:r>
      <w:proofErr w:type="spellStart"/>
      <w:r w:rsidR="00A16292" w:rsidRPr="00B9649B">
        <w:rPr>
          <w:sz w:val="20"/>
          <w:szCs w:val="20"/>
        </w:rPr>
        <w:t>Isarinde</w:t>
      </w:r>
      <w:proofErr w:type="spellEnd"/>
      <w:r w:rsidR="00A16292" w:rsidRPr="00B9649B">
        <w:rPr>
          <w:sz w:val="20"/>
          <w:szCs w:val="20"/>
        </w:rPr>
        <w:t xml:space="preserve"> &amp; </w:t>
      </w:r>
      <w:proofErr w:type="spellStart"/>
      <w:r w:rsidR="00A16292" w:rsidRPr="00B9649B">
        <w:rPr>
          <w:sz w:val="20"/>
          <w:szCs w:val="20"/>
        </w:rPr>
        <w:t>Bolu</w:t>
      </w:r>
      <w:proofErr w:type="spellEnd"/>
      <w:r w:rsidR="00A16292" w:rsidRPr="00B9649B">
        <w:rPr>
          <w:sz w:val="20"/>
          <w:szCs w:val="20"/>
        </w:rPr>
        <w:t>-Steve, 2017)</w:t>
      </w:r>
      <w:r w:rsidR="00E165FD" w:rsidRPr="00B9649B">
        <w:rPr>
          <w:sz w:val="20"/>
          <w:szCs w:val="20"/>
        </w:rPr>
        <w:t xml:space="preserve"> are perhaps Professor Grace </w:t>
      </w:r>
      <w:proofErr w:type="spellStart"/>
      <w:r w:rsidR="00E165FD" w:rsidRPr="00B9649B">
        <w:rPr>
          <w:sz w:val="20"/>
          <w:szCs w:val="20"/>
        </w:rPr>
        <w:t>Awani</w:t>
      </w:r>
      <w:proofErr w:type="spellEnd"/>
      <w:r w:rsidR="00E165FD" w:rsidRPr="00B9649B">
        <w:rPr>
          <w:sz w:val="20"/>
          <w:szCs w:val="20"/>
        </w:rPr>
        <w:t xml:space="preserve"> </w:t>
      </w:r>
      <w:proofErr w:type="spellStart"/>
      <w:r w:rsidR="00E165FD" w:rsidRPr="00B9649B">
        <w:rPr>
          <w:sz w:val="20"/>
          <w:szCs w:val="20"/>
        </w:rPr>
        <w:t>Alele</w:t>
      </w:r>
      <w:proofErr w:type="spellEnd"/>
      <w:r w:rsidR="00E165FD" w:rsidRPr="00B9649B">
        <w:rPr>
          <w:sz w:val="20"/>
          <w:szCs w:val="20"/>
        </w:rPr>
        <w:t xml:space="preserve">-Williams who was the first female to become the Vice Chancellor of an African University (University of Benin, 1985-1991). This was followed by Professor </w:t>
      </w:r>
      <w:proofErr w:type="spellStart"/>
      <w:r w:rsidR="00E165FD" w:rsidRPr="00B9649B">
        <w:rPr>
          <w:sz w:val="20"/>
          <w:szCs w:val="20"/>
        </w:rPr>
        <w:t>Jodesola</w:t>
      </w:r>
      <w:proofErr w:type="spellEnd"/>
      <w:r w:rsidR="00E165FD" w:rsidRPr="00B9649B">
        <w:rPr>
          <w:sz w:val="20"/>
          <w:szCs w:val="20"/>
        </w:rPr>
        <w:t xml:space="preserve"> Akande who became the first and only female Vice Chancellor of Lagos State University to date (1989 – 1993). A little later, Professor </w:t>
      </w:r>
      <w:proofErr w:type="spellStart"/>
      <w:r w:rsidR="00E165FD" w:rsidRPr="00B9649B">
        <w:rPr>
          <w:sz w:val="20"/>
          <w:szCs w:val="20"/>
        </w:rPr>
        <w:t>Aize</w:t>
      </w:r>
      <w:proofErr w:type="spellEnd"/>
      <w:r w:rsidR="00E165FD" w:rsidRPr="00B9649B">
        <w:rPr>
          <w:sz w:val="20"/>
          <w:szCs w:val="20"/>
        </w:rPr>
        <w:t xml:space="preserve"> </w:t>
      </w:r>
      <w:proofErr w:type="spellStart"/>
      <w:r w:rsidR="00E165FD" w:rsidRPr="00B9649B">
        <w:rPr>
          <w:sz w:val="20"/>
          <w:szCs w:val="20"/>
        </w:rPr>
        <w:t>Olohigbe</w:t>
      </w:r>
      <w:proofErr w:type="spellEnd"/>
      <w:r w:rsidR="00E165FD" w:rsidRPr="00B9649B">
        <w:rPr>
          <w:sz w:val="20"/>
          <w:szCs w:val="20"/>
        </w:rPr>
        <w:t xml:space="preserve"> </w:t>
      </w:r>
      <w:proofErr w:type="spellStart"/>
      <w:r w:rsidR="00E165FD" w:rsidRPr="00B9649B">
        <w:rPr>
          <w:sz w:val="20"/>
          <w:szCs w:val="20"/>
        </w:rPr>
        <w:t>Imouokhome</w:t>
      </w:r>
      <w:proofErr w:type="spellEnd"/>
      <w:r w:rsidR="00E165FD" w:rsidRPr="00B9649B">
        <w:rPr>
          <w:sz w:val="20"/>
          <w:szCs w:val="20"/>
        </w:rPr>
        <w:t xml:space="preserve"> </w:t>
      </w:r>
      <w:proofErr w:type="spellStart"/>
      <w:r w:rsidR="00E165FD" w:rsidRPr="00B9649B">
        <w:rPr>
          <w:sz w:val="20"/>
          <w:szCs w:val="20"/>
        </w:rPr>
        <w:t>Obanyan</w:t>
      </w:r>
      <w:proofErr w:type="spellEnd"/>
      <w:r w:rsidR="00E165FD" w:rsidRPr="00B9649B">
        <w:rPr>
          <w:sz w:val="20"/>
          <w:szCs w:val="20"/>
        </w:rPr>
        <w:t xml:space="preserve"> was appointed to head Covenant University between 2005 and 2012 and later Land Mark University.</w:t>
      </w:r>
      <w:r w:rsidR="000968F0" w:rsidRPr="00B9649B">
        <w:rPr>
          <w:sz w:val="20"/>
          <w:szCs w:val="20"/>
        </w:rPr>
        <w:t xml:space="preserve"> </w:t>
      </w:r>
      <w:r w:rsidR="00E20F15" w:rsidRPr="00B9649B">
        <w:rPr>
          <w:sz w:val="20"/>
          <w:szCs w:val="20"/>
        </w:rPr>
        <w:t>Be that as it may, far more men than women are represented in</w:t>
      </w:r>
      <w:r w:rsidR="004B4A09" w:rsidRPr="00B9649B">
        <w:rPr>
          <w:sz w:val="20"/>
          <w:szCs w:val="20"/>
        </w:rPr>
        <w:t xml:space="preserve"> the</w:t>
      </w:r>
      <w:r w:rsidR="00E20F15" w:rsidRPr="00B9649B">
        <w:rPr>
          <w:sz w:val="20"/>
          <w:szCs w:val="20"/>
        </w:rPr>
        <w:t xml:space="preserve"> leading positions in higher education management and gender equity seems very difficult to achieve. </w:t>
      </w:r>
      <w:r w:rsidR="009E2B44">
        <w:rPr>
          <w:sz w:val="20"/>
          <w:szCs w:val="20"/>
        </w:rPr>
        <w:t xml:space="preserve">This, according to </w:t>
      </w:r>
      <w:r w:rsidR="00954E43">
        <w:rPr>
          <w:sz w:val="20"/>
          <w:szCs w:val="20"/>
        </w:rPr>
        <w:t xml:space="preserve">Bassey &amp; </w:t>
      </w:r>
      <w:proofErr w:type="spellStart"/>
      <w:r w:rsidR="00954E43">
        <w:rPr>
          <w:sz w:val="20"/>
          <w:szCs w:val="20"/>
        </w:rPr>
        <w:t>Oshie</w:t>
      </w:r>
      <w:proofErr w:type="spellEnd"/>
      <w:r w:rsidR="00954E43">
        <w:rPr>
          <w:sz w:val="20"/>
          <w:szCs w:val="20"/>
        </w:rPr>
        <w:t xml:space="preserve"> (2018), is a problem of communication, where most of the male counterparts communicate and share ideas amongst themselves. </w:t>
      </w:r>
      <w:r w:rsidR="00E20F15" w:rsidRPr="00B9649B">
        <w:rPr>
          <w:sz w:val="20"/>
          <w:szCs w:val="20"/>
        </w:rPr>
        <w:t xml:space="preserve">The continued neglect of women graduates as part of the essential human resource base and keeping them away by unfair reasons of gender remains a flagrant </w:t>
      </w:r>
      <w:r w:rsidR="00E20F15" w:rsidRPr="00B9649B">
        <w:rPr>
          <w:sz w:val="20"/>
          <w:szCs w:val="20"/>
        </w:rPr>
        <w:lastRenderedPageBreak/>
        <w:t xml:space="preserve">wastage of their valuable expertise which should have been harnessed to the overall social development across all sectors including higher education (World Economic Forum, 2010). </w:t>
      </w:r>
    </w:p>
    <w:p w:rsidR="0016181A" w:rsidRPr="00B9649B" w:rsidRDefault="00650687" w:rsidP="001B3158">
      <w:pPr>
        <w:spacing w:line="360" w:lineRule="auto"/>
        <w:jc w:val="both"/>
        <w:rPr>
          <w:sz w:val="20"/>
          <w:szCs w:val="20"/>
        </w:rPr>
      </w:pPr>
      <w:r w:rsidRPr="00B9649B">
        <w:rPr>
          <w:sz w:val="20"/>
          <w:szCs w:val="20"/>
        </w:rPr>
        <w:t xml:space="preserve">           </w:t>
      </w:r>
      <w:r w:rsidR="0051141A" w:rsidRPr="00B9649B">
        <w:rPr>
          <w:sz w:val="20"/>
          <w:szCs w:val="20"/>
        </w:rPr>
        <w:t>This gender weighting of higher education landscape</w:t>
      </w:r>
      <w:r w:rsidR="000968F0" w:rsidRPr="00B9649B">
        <w:rPr>
          <w:sz w:val="20"/>
          <w:szCs w:val="20"/>
        </w:rPr>
        <w:t xml:space="preserve"> observed in the reports above</w:t>
      </w:r>
      <w:r w:rsidR="004B4A09" w:rsidRPr="00B9649B">
        <w:rPr>
          <w:sz w:val="20"/>
          <w:szCs w:val="20"/>
        </w:rPr>
        <w:t xml:space="preserve"> and literature</w:t>
      </w:r>
      <w:r w:rsidR="0051141A" w:rsidRPr="00B9649B">
        <w:rPr>
          <w:sz w:val="20"/>
          <w:szCs w:val="20"/>
        </w:rPr>
        <w:t xml:space="preserve"> means that leadership of American</w:t>
      </w:r>
      <w:r w:rsidR="004B4A09" w:rsidRPr="00B9649B">
        <w:rPr>
          <w:sz w:val="20"/>
          <w:szCs w:val="20"/>
        </w:rPr>
        <w:t xml:space="preserve"> Commonwealth nations (including Nigeria)</w:t>
      </w:r>
      <w:r w:rsidR="0051141A" w:rsidRPr="00B9649B">
        <w:rPr>
          <w:sz w:val="20"/>
          <w:szCs w:val="20"/>
        </w:rPr>
        <w:t xml:space="preserve"> universities is provided</w:t>
      </w:r>
      <w:r w:rsidR="000968F0" w:rsidRPr="00B9649B">
        <w:rPr>
          <w:sz w:val="20"/>
          <w:szCs w:val="20"/>
        </w:rPr>
        <w:t xml:space="preserve"> mainly</w:t>
      </w:r>
      <w:r w:rsidR="0051141A" w:rsidRPr="00B9649B">
        <w:rPr>
          <w:sz w:val="20"/>
          <w:szCs w:val="20"/>
        </w:rPr>
        <w:t xml:space="preserve"> by men. It also means that the present of a critical mass of women at the decision-making levels of these institutions is grossly inadequate. </w:t>
      </w:r>
      <w:r w:rsidR="005555C4" w:rsidRPr="00B9649B">
        <w:rPr>
          <w:sz w:val="20"/>
          <w:szCs w:val="20"/>
        </w:rPr>
        <w:t>The common understanding in this setting</w:t>
      </w:r>
      <w:r w:rsidR="00D33015" w:rsidRPr="00B9649B">
        <w:rPr>
          <w:sz w:val="20"/>
          <w:szCs w:val="20"/>
        </w:rPr>
        <w:t xml:space="preserve"> </w:t>
      </w:r>
      <w:r w:rsidR="0018242F" w:rsidRPr="00B9649B">
        <w:rPr>
          <w:sz w:val="20"/>
          <w:szCs w:val="20"/>
        </w:rPr>
        <w:t>s</w:t>
      </w:r>
      <w:r w:rsidR="0004624F" w:rsidRPr="00B9649B">
        <w:rPr>
          <w:sz w:val="20"/>
          <w:szCs w:val="20"/>
        </w:rPr>
        <w:t>eem to be</w:t>
      </w:r>
      <w:r w:rsidR="0018242F" w:rsidRPr="00B9649B">
        <w:rPr>
          <w:sz w:val="20"/>
          <w:szCs w:val="20"/>
        </w:rPr>
        <w:t xml:space="preserve"> that</w:t>
      </w:r>
      <w:r w:rsidR="005555C4" w:rsidRPr="00B9649B">
        <w:rPr>
          <w:sz w:val="20"/>
          <w:szCs w:val="20"/>
        </w:rPr>
        <w:t xml:space="preserve"> management is natural progression from</w:t>
      </w:r>
      <w:r w:rsidR="0018242F" w:rsidRPr="00B9649B">
        <w:rPr>
          <w:sz w:val="20"/>
          <w:szCs w:val="20"/>
        </w:rPr>
        <w:t xml:space="preserve"> effective</w:t>
      </w:r>
      <w:r w:rsidR="00FE457C" w:rsidRPr="00B9649B">
        <w:rPr>
          <w:sz w:val="20"/>
          <w:szCs w:val="20"/>
        </w:rPr>
        <w:t xml:space="preserve"> and successful</w:t>
      </w:r>
      <w:r w:rsidR="0018242F" w:rsidRPr="00B9649B">
        <w:rPr>
          <w:sz w:val="20"/>
          <w:szCs w:val="20"/>
        </w:rPr>
        <w:t xml:space="preserve"> academic service delivery and curriculum administration.</w:t>
      </w:r>
      <w:r w:rsidR="005555C4" w:rsidRPr="00B9649B">
        <w:rPr>
          <w:sz w:val="20"/>
          <w:szCs w:val="20"/>
        </w:rPr>
        <w:t xml:space="preserve"> </w:t>
      </w:r>
      <w:r w:rsidR="00EB5B4E" w:rsidRPr="00B9649B">
        <w:rPr>
          <w:sz w:val="20"/>
          <w:szCs w:val="20"/>
        </w:rPr>
        <w:t>However, t</w:t>
      </w:r>
      <w:r w:rsidR="0051141A" w:rsidRPr="00B9649B">
        <w:rPr>
          <w:sz w:val="20"/>
          <w:szCs w:val="20"/>
        </w:rPr>
        <w:t>his</w:t>
      </w:r>
      <w:r w:rsidR="0018242F" w:rsidRPr="00B9649B">
        <w:rPr>
          <w:sz w:val="20"/>
          <w:szCs w:val="20"/>
        </w:rPr>
        <w:t xml:space="preserve"> </w:t>
      </w:r>
      <w:r w:rsidR="002B6F47" w:rsidRPr="00B9649B">
        <w:rPr>
          <w:sz w:val="20"/>
          <w:szCs w:val="20"/>
        </w:rPr>
        <w:t>theoretical</w:t>
      </w:r>
      <w:r w:rsidR="0018242F" w:rsidRPr="00B9649B">
        <w:rPr>
          <w:sz w:val="20"/>
          <w:szCs w:val="20"/>
        </w:rPr>
        <w:t xml:space="preserve"> underpinning</w:t>
      </w:r>
      <w:r w:rsidR="002B6F47" w:rsidRPr="00B9649B">
        <w:rPr>
          <w:sz w:val="20"/>
          <w:szCs w:val="20"/>
        </w:rPr>
        <w:t xml:space="preserve"> of academic</w:t>
      </w:r>
      <w:r w:rsidR="0018242F" w:rsidRPr="00B9649B">
        <w:rPr>
          <w:sz w:val="20"/>
          <w:szCs w:val="20"/>
        </w:rPr>
        <w:t xml:space="preserve"> </w:t>
      </w:r>
      <w:r w:rsidR="002B6F47" w:rsidRPr="00B9649B">
        <w:rPr>
          <w:sz w:val="20"/>
          <w:szCs w:val="20"/>
        </w:rPr>
        <w:t>leadership does no</w:t>
      </w:r>
      <w:r w:rsidR="0018242F" w:rsidRPr="00B9649B">
        <w:rPr>
          <w:sz w:val="20"/>
          <w:szCs w:val="20"/>
        </w:rPr>
        <w:t>t</w:t>
      </w:r>
      <w:r w:rsidR="002B6F47" w:rsidRPr="00B9649B">
        <w:rPr>
          <w:sz w:val="20"/>
          <w:szCs w:val="20"/>
        </w:rPr>
        <w:t xml:space="preserve"> seem to</w:t>
      </w:r>
      <w:r w:rsidR="0018242F" w:rsidRPr="00B9649B">
        <w:rPr>
          <w:sz w:val="20"/>
          <w:szCs w:val="20"/>
        </w:rPr>
        <w:t xml:space="preserve"> explain </w:t>
      </w:r>
      <w:r w:rsidR="002B6F47" w:rsidRPr="00B9649B">
        <w:rPr>
          <w:sz w:val="20"/>
          <w:szCs w:val="20"/>
        </w:rPr>
        <w:t xml:space="preserve">the </w:t>
      </w:r>
      <w:r w:rsidR="0018242F" w:rsidRPr="00B9649B">
        <w:rPr>
          <w:sz w:val="20"/>
          <w:szCs w:val="20"/>
        </w:rPr>
        <w:t xml:space="preserve">differential between male and female occupying leadership and management </w:t>
      </w:r>
      <w:r w:rsidR="002B6F47" w:rsidRPr="00B9649B">
        <w:rPr>
          <w:sz w:val="20"/>
          <w:szCs w:val="20"/>
        </w:rPr>
        <w:t>positions in higher</w:t>
      </w:r>
      <w:r w:rsidR="0018242F" w:rsidRPr="00B9649B">
        <w:rPr>
          <w:sz w:val="20"/>
          <w:szCs w:val="20"/>
        </w:rPr>
        <w:t xml:space="preserve"> </w:t>
      </w:r>
      <w:r w:rsidR="002B6F47" w:rsidRPr="00B9649B">
        <w:rPr>
          <w:sz w:val="20"/>
          <w:szCs w:val="20"/>
        </w:rPr>
        <w:t xml:space="preserve">education which is still biased to the greater </w:t>
      </w:r>
      <w:r w:rsidR="00342E84" w:rsidRPr="00B9649B">
        <w:rPr>
          <w:sz w:val="20"/>
          <w:szCs w:val="20"/>
        </w:rPr>
        <w:t>disfavor</w:t>
      </w:r>
      <w:r w:rsidR="002B6F47" w:rsidRPr="00B9649B">
        <w:rPr>
          <w:sz w:val="20"/>
          <w:szCs w:val="20"/>
        </w:rPr>
        <w:t xml:space="preserve"> of females. </w:t>
      </w:r>
      <w:r w:rsidR="0004624F" w:rsidRPr="00B9649B">
        <w:rPr>
          <w:sz w:val="20"/>
          <w:szCs w:val="20"/>
        </w:rPr>
        <w:t>It does appear then t</w:t>
      </w:r>
      <w:r w:rsidR="00A32F21" w:rsidRPr="00B9649B">
        <w:rPr>
          <w:sz w:val="20"/>
          <w:szCs w:val="20"/>
        </w:rPr>
        <w:t>h</w:t>
      </w:r>
      <w:r w:rsidR="0004624F" w:rsidRPr="00B9649B">
        <w:rPr>
          <w:sz w:val="20"/>
          <w:szCs w:val="20"/>
        </w:rPr>
        <w:t>at</w:t>
      </w:r>
      <w:r w:rsidR="00A32F21" w:rsidRPr="00B9649B">
        <w:rPr>
          <w:sz w:val="20"/>
          <w:szCs w:val="20"/>
        </w:rPr>
        <w:t xml:space="preserve"> </w:t>
      </w:r>
      <w:r w:rsidR="002F3392" w:rsidRPr="00B9649B">
        <w:rPr>
          <w:sz w:val="20"/>
          <w:szCs w:val="20"/>
        </w:rPr>
        <w:t xml:space="preserve">the </w:t>
      </w:r>
      <w:r w:rsidR="00A32F21" w:rsidRPr="00B9649B">
        <w:rPr>
          <w:sz w:val="20"/>
          <w:szCs w:val="20"/>
        </w:rPr>
        <w:t xml:space="preserve">basis for </w:t>
      </w:r>
      <w:r w:rsidR="002F3392" w:rsidRPr="00B9649B">
        <w:rPr>
          <w:sz w:val="20"/>
          <w:szCs w:val="20"/>
        </w:rPr>
        <w:t xml:space="preserve">the </w:t>
      </w:r>
      <w:r w:rsidR="00A32F21" w:rsidRPr="00B9649B">
        <w:rPr>
          <w:sz w:val="20"/>
          <w:szCs w:val="20"/>
        </w:rPr>
        <w:t>under representation of women in higher education management</w:t>
      </w:r>
      <w:r w:rsidR="00A72F8D" w:rsidRPr="00B9649B">
        <w:rPr>
          <w:sz w:val="20"/>
          <w:szCs w:val="20"/>
        </w:rPr>
        <w:t xml:space="preserve"> is</w:t>
      </w:r>
      <w:r w:rsidR="00A32F21" w:rsidRPr="00B9649B">
        <w:rPr>
          <w:sz w:val="20"/>
          <w:szCs w:val="20"/>
        </w:rPr>
        <w:t xml:space="preserve"> gender related</w:t>
      </w:r>
      <w:r w:rsidR="003F4A6B" w:rsidRPr="00B9649B">
        <w:rPr>
          <w:sz w:val="20"/>
          <w:szCs w:val="20"/>
        </w:rPr>
        <w:t xml:space="preserve"> </w:t>
      </w:r>
      <w:r w:rsidR="00A72F8D" w:rsidRPr="00B9649B">
        <w:rPr>
          <w:sz w:val="20"/>
          <w:szCs w:val="20"/>
        </w:rPr>
        <w:t xml:space="preserve">with strong undertones </w:t>
      </w:r>
      <w:r w:rsidR="007B2439" w:rsidRPr="00B9649B">
        <w:rPr>
          <w:sz w:val="20"/>
          <w:szCs w:val="20"/>
        </w:rPr>
        <w:t>of</w:t>
      </w:r>
      <w:r w:rsidR="00A72F8D" w:rsidRPr="00B9649B">
        <w:rPr>
          <w:sz w:val="20"/>
          <w:szCs w:val="20"/>
        </w:rPr>
        <w:t xml:space="preserve"> the historical roles of women in certain societies, </w:t>
      </w:r>
      <w:r w:rsidR="00EC16B3" w:rsidRPr="00B9649B">
        <w:rPr>
          <w:sz w:val="20"/>
          <w:szCs w:val="20"/>
        </w:rPr>
        <w:t xml:space="preserve">societal attitudes to women which discourage their participation in decision-making, </w:t>
      </w:r>
      <w:r w:rsidR="00A72F8D" w:rsidRPr="00B9649B">
        <w:rPr>
          <w:sz w:val="20"/>
          <w:szCs w:val="20"/>
        </w:rPr>
        <w:t>the conflicts arising from their advanced education and exposure to other cultures, their own continued commitment to the values of their own race, religion and nation (UNESCO,1998).</w:t>
      </w:r>
      <w:r w:rsidR="00A32F21" w:rsidRPr="00B9649B">
        <w:rPr>
          <w:sz w:val="20"/>
          <w:szCs w:val="20"/>
        </w:rPr>
        <w:t xml:space="preserve"> </w:t>
      </w:r>
    </w:p>
    <w:p w:rsidR="00AB7F95" w:rsidRPr="00B9649B" w:rsidRDefault="00650687" w:rsidP="001B3158">
      <w:pPr>
        <w:spacing w:line="360" w:lineRule="auto"/>
        <w:jc w:val="both"/>
        <w:rPr>
          <w:i/>
          <w:iCs/>
          <w:sz w:val="20"/>
          <w:szCs w:val="20"/>
        </w:rPr>
      </w:pPr>
      <w:r w:rsidRPr="00B9649B">
        <w:rPr>
          <w:sz w:val="20"/>
          <w:szCs w:val="20"/>
        </w:rPr>
        <w:t xml:space="preserve">            </w:t>
      </w:r>
      <w:r w:rsidR="00A32F21" w:rsidRPr="00B9649B">
        <w:rPr>
          <w:sz w:val="20"/>
          <w:szCs w:val="20"/>
        </w:rPr>
        <w:t>G</w:t>
      </w:r>
      <w:r w:rsidR="001B3158" w:rsidRPr="00B9649B">
        <w:rPr>
          <w:sz w:val="20"/>
          <w:szCs w:val="20"/>
        </w:rPr>
        <w:t xml:space="preserve">ender is </w:t>
      </w:r>
      <w:r w:rsidR="00A32F21" w:rsidRPr="00B9649B">
        <w:rPr>
          <w:sz w:val="20"/>
          <w:szCs w:val="20"/>
        </w:rPr>
        <w:t>a social and cultural construct</w:t>
      </w:r>
      <w:r w:rsidR="001B3158" w:rsidRPr="00B9649B">
        <w:rPr>
          <w:sz w:val="20"/>
          <w:szCs w:val="20"/>
        </w:rPr>
        <w:t xml:space="preserve"> </w:t>
      </w:r>
      <w:r w:rsidR="00931C98" w:rsidRPr="00B9649B">
        <w:rPr>
          <w:sz w:val="20"/>
          <w:szCs w:val="20"/>
        </w:rPr>
        <w:t xml:space="preserve">and </w:t>
      </w:r>
      <w:r w:rsidR="001B3158" w:rsidRPr="00B9649B">
        <w:rPr>
          <w:sz w:val="20"/>
          <w:szCs w:val="20"/>
        </w:rPr>
        <w:t>sex u</w:t>
      </w:r>
      <w:r w:rsidR="00A32F21" w:rsidRPr="00B9649B">
        <w:rPr>
          <w:sz w:val="20"/>
          <w:szCs w:val="20"/>
        </w:rPr>
        <w:t>pon which it is based, is genet</w:t>
      </w:r>
      <w:r w:rsidR="001B3158" w:rsidRPr="00B9649B">
        <w:rPr>
          <w:sz w:val="20"/>
          <w:szCs w:val="20"/>
        </w:rPr>
        <w:t xml:space="preserve">ically determined. </w:t>
      </w:r>
      <w:r w:rsidR="00A32F21" w:rsidRPr="00B9649B">
        <w:rPr>
          <w:sz w:val="20"/>
          <w:szCs w:val="20"/>
        </w:rPr>
        <w:t xml:space="preserve">While </w:t>
      </w:r>
      <w:r w:rsidR="001B3158" w:rsidRPr="00B9649B">
        <w:rPr>
          <w:sz w:val="20"/>
          <w:szCs w:val="20"/>
        </w:rPr>
        <w:t xml:space="preserve">genetic factors account for sex differences </w:t>
      </w:r>
      <w:r w:rsidR="00931C98" w:rsidRPr="00B9649B">
        <w:rPr>
          <w:sz w:val="20"/>
          <w:szCs w:val="20"/>
        </w:rPr>
        <w:t>of males and females,</w:t>
      </w:r>
      <w:r w:rsidR="001B3158" w:rsidRPr="00B9649B">
        <w:rPr>
          <w:sz w:val="20"/>
          <w:szCs w:val="20"/>
        </w:rPr>
        <w:t xml:space="preserve"> cultural factors e</w:t>
      </w:r>
      <w:r w:rsidR="00931C98" w:rsidRPr="00B9649B">
        <w:rPr>
          <w:sz w:val="20"/>
          <w:szCs w:val="20"/>
        </w:rPr>
        <w:t>xplain gender roles</w:t>
      </w:r>
      <w:r w:rsidR="001B3158" w:rsidRPr="00B9649B">
        <w:rPr>
          <w:sz w:val="20"/>
          <w:szCs w:val="20"/>
        </w:rPr>
        <w:t>, which globally confer more power on me</w:t>
      </w:r>
      <w:r w:rsidR="00F27011" w:rsidRPr="00B9649B">
        <w:rPr>
          <w:sz w:val="20"/>
          <w:szCs w:val="20"/>
        </w:rPr>
        <w:t>n than on women.</w:t>
      </w:r>
      <w:r w:rsidR="00B52DB8" w:rsidRPr="00B9649B">
        <w:rPr>
          <w:sz w:val="20"/>
          <w:szCs w:val="20"/>
        </w:rPr>
        <w:t xml:space="preserve"> </w:t>
      </w:r>
      <w:r w:rsidR="005872E4" w:rsidRPr="00B9649B">
        <w:rPr>
          <w:sz w:val="20"/>
          <w:szCs w:val="20"/>
        </w:rPr>
        <w:t>A</w:t>
      </w:r>
      <w:r w:rsidR="004614C1" w:rsidRPr="00B9649B">
        <w:rPr>
          <w:sz w:val="20"/>
          <w:szCs w:val="20"/>
        </w:rPr>
        <w:t xml:space="preserve"> </w:t>
      </w:r>
      <w:r w:rsidR="005872E4" w:rsidRPr="00B9649B">
        <w:rPr>
          <w:sz w:val="20"/>
          <w:szCs w:val="20"/>
        </w:rPr>
        <w:t xml:space="preserve">1993 </w:t>
      </w:r>
      <w:r w:rsidR="004614C1" w:rsidRPr="00B9649B">
        <w:rPr>
          <w:sz w:val="20"/>
          <w:szCs w:val="20"/>
        </w:rPr>
        <w:t xml:space="preserve">study by </w:t>
      </w:r>
      <w:r w:rsidR="005872E4" w:rsidRPr="00B9649B">
        <w:rPr>
          <w:sz w:val="20"/>
          <w:szCs w:val="20"/>
        </w:rPr>
        <w:t>UNESCO/Commonwealth Secretariat entitled “W</w:t>
      </w:r>
      <w:r w:rsidR="0016181A" w:rsidRPr="00B9649B">
        <w:rPr>
          <w:sz w:val="20"/>
          <w:szCs w:val="20"/>
        </w:rPr>
        <w:t>o</w:t>
      </w:r>
      <w:r w:rsidR="005872E4" w:rsidRPr="00B9649B">
        <w:rPr>
          <w:sz w:val="20"/>
          <w:szCs w:val="20"/>
        </w:rPr>
        <w:t>men in higher education management” identified</w:t>
      </w:r>
      <w:r w:rsidR="00B04D49" w:rsidRPr="00B9649B">
        <w:rPr>
          <w:sz w:val="20"/>
          <w:szCs w:val="20"/>
        </w:rPr>
        <w:t xml:space="preserve"> critical</w:t>
      </w:r>
      <w:r w:rsidR="005872E4" w:rsidRPr="00B9649B">
        <w:rPr>
          <w:sz w:val="20"/>
          <w:szCs w:val="20"/>
        </w:rPr>
        <w:t xml:space="preserve"> </w:t>
      </w:r>
      <w:r w:rsidR="00B04D49" w:rsidRPr="00B9649B">
        <w:rPr>
          <w:sz w:val="20"/>
          <w:szCs w:val="20"/>
        </w:rPr>
        <w:t>barriers hindering women participation in decision-making to include limited access to education, especially higher education, discriminatory appointment and promotion practices, the stress of dual family and professional roles, family attitudes, career interruptions, cultural stereotyping, alienation from the male culture and continued  resistance to women in management positions, propagation of glass ceiling syndrome which privileges covert criteria for advancement, absence of adequate policies and legislation</w:t>
      </w:r>
      <w:r w:rsidR="00A20EF4" w:rsidRPr="00B9649B">
        <w:rPr>
          <w:sz w:val="20"/>
          <w:szCs w:val="20"/>
        </w:rPr>
        <w:t xml:space="preserve"> to ensure the participation of women. </w:t>
      </w:r>
      <w:r w:rsidR="00CA457F" w:rsidRPr="00B9649B">
        <w:rPr>
          <w:sz w:val="20"/>
          <w:szCs w:val="20"/>
        </w:rPr>
        <w:t xml:space="preserve">It was suggested that the </w:t>
      </w:r>
      <w:r w:rsidR="00C54824" w:rsidRPr="00B9649B">
        <w:rPr>
          <w:sz w:val="20"/>
          <w:szCs w:val="20"/>
        </w:rPr>
        <w:t xml:space="preserve">real </w:t>
      </w:r>
      <w:r w:rsidR="00CA457F" w:rsidRPr="00B9649B">
        <w:rPr>
          <w:sz w:val="20"/>
          <w:szCs w:val="20"/>
        </w:rPr>
        <w:t xml:space="preserve">solution to remedy the exclusion of women </w:t>
      </w:r>
      <w:r w:rsidR="00C54824" w:rsidRPr="00B9649B">
        <w:rPr>
          <w:sz w:val="20"/>
          <w:szCs w:val="20"/>
        </w:rPr>
        <w:t xml:space="preserve">was a reversal of these trends via wider access to higher education, review of appointment procedures, provision of legislative and infra-structural support in all profession and of special </w:t>
      </w:r>
      <w:proofErr w:type="spellStart"/>
      <w:r w:rsidR="00C54824" w:rsidRPr="00B9649B">
        <w:rPr>
          <w:sz w:val="20"/>
          <w:szCs w:val="20"/>
        </w:rPr>
        <w:t>programmes</w:t>
      </w:r>
      <w:proofErr w:type="spellEnd"/>
      <w:r w:rsidR="00C54824" w:rsidRPr="00B9649B">
        <w:rPr>
          <w:sz w:val="20"/>
          <w:szCs w:val="20"/>
        </w:rPr>
        <w:t xml:space="preserve"> for women, affirmative action to </w:t>
      </w:r>
      <w:proofErr w:type="spellStart"/>
      <w:r w:rsidR="00C54824" w:rsidRPr="00B9649B">
        <w:rPr>
          <w:sz w:val="20"/>
          <w:szCs w:val="20"/>
        </w:rPr>
        <w:t>favour</w:t>
      </w:r>
      <w:proofErr w:type="spellEnd"/>
      <w:r w:rsidR="00C54824" w:rsidRPr="00B9649B">
        <w:rPr>
          <w:sz w:val="20"/>
          <w:szCs w:val="20"/>
        </w:rPr>
        <w:t xml:space="preserve"> women’s access and participation amongst others.</w:t>
      </w:r>
    </w:p>
    <w:p w:rsidR="00C64809" w:rsidRPr="00B9649B" w:rsidRDefault="00650687" w:rsidP="001B3158">
      <w:pPr>
        <w:spacing w:line="360" w:lineRule="auto"/>
        <w:jc w:val="both"/>
        <w:rPr>
          <w:sz w:val="20"/>
          <w:szCs w:val="20"/>
        </w:rPr>
      </w:pPr>
      <w:r w:rsidRPr="00B9649B">
        <w:rPr>
          <w:sz w:val="20"/>
          <w:szCs w:val="20"/>
        </w:rPr>
        <w:t xml:space="preserve">           </w:t>
      </w:r>
      <w:r w:rsidR="00AB7F95" w:rsidRPr="00B9649B">
        <w:rPr>
          <w:sz w:val="20"/>
          <w:szCs w:val="20"/>
        </w:rPr>
        <w:t xml:space="preserve">Given the complex </w:t>
      </w:r>
      <w:r w:rsidR="00974B0B" w:rsidRPr="00B9649B">
        <w:rPr>
          <w:sz w:val="20"/>
          <w:szCs w:val="20"/>
        </w:rPr>
        <w:t>environment of the 21</w:t>
      </w:r>
      <w:r w:rsidR="00974B0B" w:rsidRPr="00B9649B">
        <w:rPr>
          <w:sz w:val="20"/>
          <w:szCs w:val="20"/>
          <w:vertAlign w:val="superscript"/>
        </w:rPr>
        <w:t>st</w:t>
      </w:r>
      <w:r w:rsidR="00974B0B" w:rsidRPr="00B9649B">
        <w:rPr>
          <w:sz w:val="20"/>
          <w:szCs w:val="20"/>
        </w:rPr>
        <w:t xml:space="preserve"> century </w:t>
      </w:r>
      <w:r w:rsidR="00AB7F95" w:rsidRPr="00B9649B">
        <w:rPr>
          <w:sz w:val="20"/>
          <w:szCs w:val="20"/>
        </w:rPr>
        <w:t>and multifaceted challenges facing higher education in Nigeria t</w:t>
      </w:r>
      <w:r w:rsidR="00974B0B" w:rsidRPr="00B9649B">
        <w:rPr>
          <w:sz w:val="20"/>
          <w:szCs w:val="20"/>
        </w:rPr>
        <w:t>oday,</w:t>
      </w:r>
      <w:r w:rsidR="00AB7F95" w:rsidRPr="00B9649B">
        <w:rPr>
          <w:sz w:val="20"/>
          <w:szCs w:val="20"/>
        </w:rPr>
        <w:t xml:space="preserve"> reform of the </w:t>
      </w:r>
      <w:r w:rsidR="00974B0B" w:rsidRPr="00B9649B">
        <w:rPr>
          <w:sz w:val="20"/>
          <w:szCs w:val="20"/>
        </w:rPr>
        <w:t>subsector will require such</w:t>
      </w:r>
      <w:r w:rsidR="00C64809" w:rsidRPr="00B9649B">
        <w:rPr>
          <w:sz w:val="20"/>
          <w:szCs w:val="20"/>
        </w:rPr>
        <w:t xml:space="preserve"> leadership </w:t>
      </w:r>
      <w:r w:rsidR="00974B0B" w:rsidRPr="00B9649B">
        <w:rPr>
          <w:sz w:val="20"/>
          <w:szCs w:val="20"/>
        </w:rPr>
        <w:t xml:space="preserve">that </w:t>
      </w:r>
      <w:r w:rsidR="00C64809" w:rsidRPr="00B9649B">
        <w:rPr>
          <w:sz w:val="20"/>
          <w:szCs w:val="20"/>
        </w:rPr>
        <w:t xml:space="preserve">has </w:t>
      </w:r>
      <w:r w:rsidR="00974B0B" w:rsidRPr="00B9649B">
        <w:rPr>
          <w:sz w:val="20"/>
          <w:szCs w:val="20"/>
        </w:rPr>
        <w:t xml:space="preserve">capacity competence and character </w:t>
      </w:r>
      <w:r w:rsidR="009E5EC1" w:rsidRPr="00B9649B">
        <w:rPr>
          <w:sz w:val="20"/>
          <w:szCs w:val="20"/>
        </w:rPr>
        <w:t xml:space="preserve">to ensure </w:t>
      </w:r>
      <w:r w:rsidR="00C64809" w:rsidRPr="00B9649B">
        <w:rPr>
          <w:sz w:val="20"/>
          <w:szCs w:val="20"/>
        </w:rPr>
        <w:t>radical transformation</w:t>
      </w:r>
      <w:r w:rsidR="009E5EC1" w:rsidRPr="00B9649B">
        <w:rPr>
          <w:sz w:val="20"/>
          <w:szCs w:val="20"/>
        </w:rPr>
        <w:t xml:space="preserve"> of its institutions</w:t>
      </w:r>
      <w:r w:rsidR="00C64809" w:rsidRPr="00B9649B">
        <w:rPr>
          <w:sz w:val="20"/>
          <w:szCs w:val="20"/>
        </w:rPr>
        <w:t>.</w:t>
      </w:r>
      <w:r w:rsidR="00A82B5E" w:rsidRPr="00B9649B">
        <w:rPr>
          <w:sz w:val="20"/>
          <w:szCs w:val="20"/>
        </w:rPr>
        <w:t xml:space="preserve"> </w:t>
      </w:r>
      <w:r w:rsidR="00C64809" w:rsidRPr="00B9649B">
        <w:rPr>
          <w:sz w:val="20"/>
          <w:szCs w:val="20"/>
        </w:rPr>
        <w:t>A</w:t>
      </w:r>
      <w:r w:rsidR="00FF44A3" w:rsidRPr="00B9649B">
        <w:rPr>
          <w:sz w:val="20"/>
          <w:szCs w:val="20"/>
        </w:rPr>
        <w:t>lready, a</w:t>
      </w:r>
      <w:r w:rsidR="00C64809" w:rsidRPr="00B9649B">
        <w:rPr>
          <w:sz w:val="20"/>
          <w:szCs w:val="20"/>
        </w:rPr>
        <w:t xml:space="preserve"> framework of qualities and skills set required by prospective leaders</w:t>
      </w:r>
      <w:r w:rsidR="00E930C0" w:rsidRPr="00B9649B">
        <w:rPr>
          <w:sz w:val="20"/>
          <w:szCs w:val="20"/>
        </w:rPr>
        <w:t xml:space="preserve"> as generated</w:t>
      </w:r>
      <w:r w:rsidR="00C64809" w:rsidRPr="00B9649B">
        <w:rPr>
          <w:sz w:val="20"/>
          <w:szCs w:val="20"/>
        </w:rPr>
        <w:t xml:space="preserve"> by UNESCO/Commonwealth Secretariat provides an ideal checklist</w:t>
      </w:r>
      <w:r w:rsidR="00FF44A3" w:rsidRPr="00B9649B">
        <w:rPr>
          <w:sz w:val="20"/>
          <w:szCs w:val="20"/>
        </w:rPr>
        <w:t xml:space="preserve"> for that purpose. It is presented</w:t>
      </w:r>
      <w:r w:rsidR="00C64809" w:rsidRPr="00B9649B">
        <w:rPr>
          <w:sz w:val="20"/>
          <w:szCs w:val="20"/>
        </w:rPr>
        <w:t xml:space="preserve"> as follows:</w:t>
      </w:r>
    </w:p>
    <w:p w:rsidR="00C64809" w:rsidRPr="00B9649B" w:rsidRDefault="00C64809" w:rsidP="00C64809">
      <w:pPr>
        <w:pStyle w:val="ListParagraph"/>
        <w:numPr>
          <w:ilvl w:val="0"/>
          <w:numId w:val="2"/>
        </w:numPr>
        <w:spacing w:line="360" w:lineRule="auto"/>
        <w:jc w:val="both"/>
        <w:rPr>
          <w:sz w:val="20"/>
          <w:szCs w:val="20"/>
        </w:rPr>
      </w:pPr>
      <w:r w:rsidRPr="00B9649B">
        <w:rPr>
          <w:sz w:val="20"/>
          <w:szCs w:val="20"/>
        </w:rPr>
        <w:t>Strong record of academic leadership/excellence in research and teaching</w:t>
      </w:r>
      <w:r w:rsidR="009E5EC1" w:rsidRPr="00B9649B">
        <w:rPr>
          <w:sz w:val="20"/>
          <w:szCs w:val="20"/>
        </w:rPr>
        <w:t>;</w:t>
      </w:r>
    </w:p>
    <w:p w:rsidR="00C64809" w:rsidRPr="00B9649B" w:rsidRDefault="00C64809" w:rsidP="00C64809">
      <w:pPr>
        <w:pStyle w:val="ListParagraph"/>
        <w:numPr>
          <w:ilvl w:val="0"/>
          <w:numId w:val="2"/>
        </w:numPr>
        <w:spacing w:line="360" w:lineRule="auto"/>
        <w:jc w:val="both"/>
        <w:rPr>
          <w:sz w:val="20"/>
          <w:szCs w:val="20"/>
        </w:rPr>
      </w:pPr>
      <w:r w:rsidRPr="00B9649B">
        <w:rPr>
          <w:sz w:val="20"/>
          <w:szCs w:val="20"/>
        </w:rPr>
        <w:t>Leadership skills including visioning capacities</w:t>
      </w:r>
      <w:r w:rsidR="009E5EC1" w:rsidRPr="00B9649B">
        <w:rPr>
          <w:sz w:val="20"/>
          <w:szCs w:val="20"/>
        </w:rPr>
        <w:t>;</w:t>
      </w:r>
    </w:p>
    <w:p w:rsidR="00C64809" w:rsidRPr="00B9649B" w:rsidRDefault="00C64809" w:rsidP="00C64809">
      <w:pPr>
        <w:pStyle w:val="ListParagraph"/>
        <w:numPr>
          <w:ilvl w:val="0"/>
          <w:numId w:val="2"/>
        </w:numPr>
        <w:spacing w:line="360" w:lineRule="auto"/>
        <w:jc w:val="both"/>
        <w:rPr>
          <w:sz w:val="20"/>
          <w:szCs w:val="20"/>
        </w:rPr>
      </w:pPr>
      <w:r w:rsidRPr="00B9649B">
        <w:rPr>
          <w:sz w:val="20"/>
          <w:szCs w:val="20"/>
        </w:rPr>
        <w:t>Management skills</w:t>
      </w:r>
      <w:r w:rsidR="009E5EC1" w:rsidRPr="00B9649B">
        <w:rPr>
          <w:sz w:val="20"/>
          <w:szCs w:val="20"/>
        </w:rPr>
        <w:t>;</w:t>
      </w:r>
    </w:p>
    <w:p w:rsidR="00C64809" w:rsidRPr="00B9649B" w:rsidRDefault="00C64809" w:rsidP="00C64809">
      <w:pPr>
        <w:pStyle w:val="ListParagraph"/>
        <w:numPr>
          <w:ilvl w:val="0"/>
          <w:numId w:val="2"/>
        </w:numPr>
        <w:spacing w:line="360" w:lineRule="auto"/>
        <w:jc w:val="both"/>
        <w:rPr>
          <w:sz w:val="20"/>
          <w:szCs w:val="20"/>
        </w:rPr>
      </w:pPr>
      <w:r w:rsidRPr="00B9649B">
        <w:rPr>
          <w:sz w:val="20"/>
          <w:szCs w:val="20"/>
        </w:rPr>
        <w:t>Institutional experience</w:t>
      </w:r>
      <w:r w:rsidR="009E5EC1" w:rsidRPr="00B9649B">
        <w:rPr>
          <w:sz w:val="20"/>
          <w:szCs w:val="20"/>
        </w:rPr>
        <w:t>;</w:t>
      </w:r>
    </w:p>
    <w:p w:rsidR="00C64809" w:rsidRPr="00B9649B" w:rsidRDefault="00C64809" w:rsidP="00C64809">
      <w:pPr>
        <w:pStyle w:val="ListParagraph"/>
        <w:numPr>
          <w:ilvl w:val="0"/>
          <w:numId w:val="2"/>
        </w:numPr>
        <w:spacing w:line="360" w:lineRule="auto"/>
        <w:jc w:val="both"/>
        <w:rPr>
          <w:sz w:val="20"/>
          <w:szCs w:val="20"/>
        </w:rPr>
      </w:pPr>
      <w:r w:rsidRPr="00B9649B">
        <w:rPr>
          <w:sz w:val="20"/>
          <w:szCs w:val="20"/>
        </w:rPr>
        <w:t>International experience of higher education</w:t>
      </w:r>
      <w:r w:rsidR="009E5EC1" w:rsidRPr="00B9649B">
        <w:rPr>
          <w:sz w:val="20"/>
          <w:szCs w:val="20"/>
        </w:rPr>
        <w:t>;</w:t>
      </w:r>
    </w:p>
    <w:p w:rsidR="00A82B5E" w:rsidRPr="00B9649B" w:rsidRDefault="00A82B5E" w:rsidP="00C64809">
      <w:pPr>
        <w:pStyle w:val="ListParagraph"/>
        <w:numPr>
          <w:ilvl w:val="0"/>
          <w:numId w:val="2"/>
        </w:numPr>
        <w:spacing w:line="360" w:lineRule="auto"/>
        <w:jc w:val="both"/>
        <w:rPr>
          <w:sz w:val="20"/>
          <w:szCs w:val="20"/>
        </w:rPr>
      </w:pPr>
      <w:r w:rsidRPr="00B9649B">
        <w:rPr>
          <w:sz w:val="20"/>
          <w:szCs w:val="20"/>
        </w:rPr>
        <w:lastRenderedPageBreak/>
        <w:t>Negotiating skills to deal with stakeholders (internally, the management, professoriate and students; externally, national policy makers, the economic sector, community groups, regional and international peer groups)</w:t>
      </w:r>
      <w:r w:rsidR="009E5EC1" w:rsidRPr="00B9649B">
        <w:rPr>
          <w:sz w:val="20"/>
          <w:szCs w:val="20"/>
        </w:rPr>
        <w:t>;</w:t>
      </w:r>
    </w:p>
    <w:p w:rsidR="00A82B5E" w:rsidRPr="00B9649B" w:rsidRDefault="00A82B5E" w:rsidP="00A82B5E">
      <w:pPr>
        <w:pStyle w:val="ListParagraph"/>
        <w:numPr>
          <w:ilvl w:val="0"/>
          <w:numId w:val="2"/>
        </w:numPr>
        <w:spacing w:line="360" w:lineRule="auto"/>
        <w:jc w:val="both"/>
        <w:rPr>
          <w:sz w:val="20"/>
          <w:szCs w:val="20"/>
        </w:rPr>
      </w:pPr>
      <w:r w:rsidRPr="00B9649B">
        <w:rPr>
          <w:sz w:val="20"/>
          <w:szCs w:val="20"/>
        </w:rPr>
        <w:t>Communication skills including, if possible charisma</w:t>
      </w:r>
      <w:r w:rsidR="009E5EC1" w:rsidRPr="00B9649B">
        <w:rPr>
          <w:sz w:val="20"/>
          <w:szCs w:val="20"/>
        </w:rPr>
        <w:t>.</w:t>
      </w:r>
    </w:p>
    <w:p w:rsidR="001B3158" w:rsidRPr="00B9649B" w:rsidRDefault="00650687" w:rsidP="00A82B5E">
      <w:pPr>
        <w:spacing w:line="360" w:lineRule="auto"/>
        <w:jc w:val="both"/>
        <w:rPr>
          <w:sz w:val="20"/>
          <w:szCs w:val="20"/>
        </w:rPr>
      </w:pPr>
      <w:r w:rsidRPr="00B9649B">
        <w:rPr>
          <w:sz w:val="20"/>
          <w:szCs w:val="20"/>
        </w:rPr>
        <w:t xml:space="preserve">               </w:t>
      </w:r>
      <w:r w:rsidR="00E930C0" w:rsidRPr="00B9649B">
        <w:rPr>
          <w:sz w:val="20"/>
          <w:szCs w:val="20"/>
        </w:rPr>
        <w:t>A</w:t>
      </w:r>
      <w:r w:rsidR="00FF44A3" w:rsidRPr="00B9649B">
        <w:rPr>
          <w:sz w:val="20"/>
          <w:szCs w:val="20"/>
        </w:rPr>
        <w:t xml:space="preserve"> cursory look at these </w:t>
      </w:r>
      <w:r w:rsidR="009E5EC1" w:rsidRPr="00B9649B">
        <w:rPr>
          <w:sz w:val="20"/>
          <w:szCs w:val="20"/>
        </w:rPr>
        <w:t xml:space="preserve">basic parameters and unique </w:t>
      </w:r>
      <w:r w:rsidR="00FF44A3" w:rsidRPr="00B9649B">
        <w:rPr>
          <w:sz w:val="20"/>
          <w:szCs w:val="20"/>
        </w:rPr>
        <w:t>skill requisites does not in any way suggest that they are male-</w:t>
      </w:r>
      <w:proofErr w:type="spellStart"/>
      <w:r w:rsidR="00FF44A3" w:rsidRPr="00B9649B">
        <w:rPr>
          <w:sz w:val="20"/>
          <w:szCs w:val="20"/>
        </w:rPr>
        <w:t>centred</w:t>
      </w:r>
      <w:proofErr w:type="spellEnd"/>
      <w:r w:rsidR="00FF44A3" w:rsidRPr="00B9649B">
        <w:rPr>
          <w:sz w:val="20"/>
          <w:szCs w:val="20"/>
        </w:rPr>
        <w:t>. A</w:t>
      </w:r>
      <w:r w:rsidR="00E930C0" w:rsidRPr="00B9649B">
        <w:rPr>
          <w:sz w:val="20"/>
          <w:szCs w:val="20"/>
        </w:rPr>
        <w:t>gainst this background, there is no reason why women should be excluded from this leadership position and power, provided they possess</w:t>
      </w:r>
      <w:r w:rsidR="00FF44A3" w:rsidRPr="00B9649B">
        <w:rPr>
          <w:sz w:val="20"/>
          <w:szCs w:val="20"/>
        </w:rPr>
        <w:t xml:space="preserve"> the necessary competencies and</w:t>
      </w:r>
      <w:r w:rsidR="00E930C0" w:rsidRPr="00B9649B">
        <w:rPr>
          <w:sz w:val="20"/>
          <w:szCs w:val="20"/>
        </w:rPr>
        <w:t xml:space="preserve"> capacities being sought. </w:t>
      </w:r>
    </w:p>
    <w:p w:rsidR="001B3158" w:rsidRPr="00B9649B" w:rsidRDefault="001B3158" w:rsidP="001B3158">
      <w:pPr>
        <w:spacing w:line="360" w:lineRule="auto"/>
        <w:jc w:val="both"/>
        <w:rPr>
          <w:b/>
          <w:bCs/>
          <w:sz w:val="20"/>
          <w:szCs w:val="20"/>
        </w:rPr>
      </w:pPr>
      <w:r w:rsidRPr="00B9649B">
        <w:rPr>
          <w:b/>
          <w:bCs/>
          <w:sz w:val="20"/>
          <w:szCs w:val="20"/>
        </w:rPr>
        <w:t>State</w:t>
      </w:r>
      <w:r w:rsidR="001D1DEB" w:rsidRPr="00B9649B">
        <w:rPr>
          <w:b/>
          <w:bCs/>
          <w:sz w:val="20"/>
          <w:szCs w:val="20"/>
        </w:rPr>
        <w:t>ment</w:t>
      </w:r>
      <w:r w:rsidRPr="00B9649B">
        <w:rPr>
          <w:b/>
          <w:bCs/>
          <w:sz w:val="20"/>
          <w:szCs w:val="20"/>
        </w:rPr>
        <w:t xml:space="preserve"> of </w:t>
      </w:r>
      <w:r w:rsidR="00EE0E2D" w:rsidRPr="00B9649B">
        <w:rPr>
          <w:b/>
          <w:bCs/>
          <w:sz w:val="20"/>
          <w:szCs w:val="20"/>
        </w:rPr>
        <w:t>the Problem</w:t>
      </w:r>
      <w:r w:rsidRPr="00B9649B">
        <w:rPr>
          <w:b/>
          <w:bCs/>
          <w:sz w:val="20"/>
          <w:szCs w:val="20"/>
        </w:rPr>
        <w:t xml:space="preserve"> </w:t>
      </w:r>
    </w:p>
    <w:p w:rsidR="001B3158" w:rsidRPr="00B9649B" w:rsidRDefault="001B3158" w:rsidP="001B3158">
      <w:pPr>
        <w:spacing w:line="360" w:lineRule="auto"/>
        <w:jc w:val="both"/>
        <w:rPr>
          <w:sz w:val="20"/>
          <w:szCs w:val="20"/>
        </w:rPr>
      </w:pPr>
      <w:r w:rsidRPr="00B9649B">
        <w:rPr>
          <w:sz w:val="20"/>
          <w:szCs w:val="20"/>
        </w:rPr>
        <w:tab/>
        <w:t xml:space="preserve">One of the pressing educational concerns in the </w:t>
      </w:r>
      <w:r w:rsidR="00FB3A7F" w:rsidRPr="00B9649B">
        <w:rPr>
          <w:sz w:val="20"/>
          <w:szCs w:val="20"/>
        </w:rPr>
        <w:t>Nigeria</w:t>
      </w:r>
      <w:r w:rsidRPr="00B9649B">
        <w:rPr>
          <w:sz w:val="20"/>
          <w:szCs w:val="20"/>
        </w:rPr>
        <w:t xml:space="preserve"> today is promotion of </w:t>
      </w:r>
      <w:r w:rsidR="00FB3A7F" w:rsidRPr="00B9649B">
        <w:rPr>
          <w:sz w:val="20"/>
          <w:szCs w:val="20"/>
        </w:rPr>
        <w:t>higher</w:t>
      </w:r>
      <w:r w:rsidRPr="00B9649B">
        <w:rPr>
          <w:sz w:val="20"/>
          <w:szCs w:val="20"/>
        </w:rPr>
        <w:t xml:space="preserve"> education and the under-representation of females in </w:t>
      </w:r>
      <w:r w:rsidR="00FB3A7F" w:rsidRPr="00B9649B">
        <w:rPr>
          <w:sz w:val="20"/>
          <w:szCs w:val="20"/>
        </w:rPr>
        <w:t>institutional management and governance</w:t>
      </w:r>
      <w:r w:rsidRPr="00B9649B">
        <w:rPr>
          <w:sz w:val="20"/>
          <w:szCs w:val="20"/>
        </w:rPr>
        <w:t>.</w:t>
      </w:r>
      <w:r w:rsidR="00175895" w:rsidRPr="00B9649B">
        <w:rPr>
          <w:sz w:val="20"/>
          <w:szCs w:val="20"/>
        </w:rPr>
        <w:t xml:space="preserve"> This is reinforced by the recognition and enhancement of the university’s role in society, the creation and exchange of knowledge, impact of globalization and internationalization of education</w:t>
      </w:r>
      <w:r w:rsidR="00BF6CA5" w:rsidRPr="00B9649B">
        <w:rPr>
          <w:sz w:val="20"/>
          <w:szCs w:val="20"/>
        </w:rPr>
        <w:t xml:space="preserve"> and mainstreaming of women issues</w:t>
      </w:r>
      <w:r w:rsidR="00175895" w:rsidRPr="00B9649B">
        <w:rPr>
          <w:sz w:val="20"/>
          <w:szCs w:val="20"/>
        </w:rPr>
        <w:t>.</w:t>
      </w:r>
      <w:r w:rsidRPr="00B9649B">
        <w:rPr>
          <w:sz w:val="20"/>
          <w:szCs w:val="20"/>
        </w:rPr>
        <w:t xml:space="preserve"> The need for increas</w:t>
      </w:r>
      <w:r w:rsidR="005D126E" w:rsidRPr="00B9649B">
        <w:rPr>
          <w:sz w:val="20"/>
          <w:szCs w:val="20"/>
        </w:rPr>
        <w:t>ing</w:t>
      </w:r>
      <w:r w:rsidRPr="00B9649B">
        <w:rPr>
          <w:sz w:val="20"/>
          <w:szCs w:val="20"/>
        </w:rPr>
        <w:t xml:space="preserve"> female </w:t>
      </w:r>
      <w:r w:rsidR="00FB3A7F" w:rsidRPr="00B9649B">
        <w:rPr>
          <w:sz w:val="20"/>
          <w:szCs w:val="20"/>
        </w:rPr>
        <w:t>participation in the governance of higher education</w:t>
      </w:r>
      <w:r w:rsidRPr="00B9649B">
        <w:rPr>
          <w:sz w:val="20"/>
          <w:szCs w:val="20"/>
        </w:rPr>
        <w:t xml:space="preserve"> has become more crucial, especially now that the role of women in nation building can no longer be ignored; considering the high social and economic return of fe</w:t>
      </w:r>
      <w:r w:rsidR="00DA2EA9" w:rsidRPr="00B9649B">
        <w:rPr>
          <w:sz w:val="20"/>
          <w:szCs w:val="20"/>
        </w:rPr>
        <w:t>male education</w:t>
      </w:r>
      <w:r w:rsidRPr="00B9649B">
        <w:rPr>
          <w:sz w:val="20"/>
          <w:szCs w:val="20"/>
        </w:rPr>
        <w:t xml:space="preserve"> </w:t>
      </w:r>
      <w:r w:rsidR="00DA2EA9" w:rsidRPr="00B9649B">
        <w:rPr>
          <w:sz w:val="20"/>
          <w:szCs w:val="20"/>
        </w:rPr>
        <w:t>(</w:t>
      </w:r>
      <w:proofErr w:type="spellStart"/>
      <w:r w:rsidRPr="00B9649B">
        <w:rPr>
          <w:sz w:val="20"/>
          <w:szCs w:val="20"/>
        </w:rPr>
        <w:t>Miroux</w:t>
      </w:r>
      <w:proofErr w:type="spellEnd"/>
      <w:r w:rsidRPr="00B9649B">
        <w:rPr>
          <w:sz w:val="20"/>
          <w:szCs w:val="20"/>
        </w:rPr>
        <w:t>, 2011</w:t>
      </w:r>
      <w:r w:rsidR="00175895" w:rsidRPr="00B9649B">
        <w:rPr>
          <w:sz w:val="20"/>
          <w:szCs w:val="20"/>
        </w:rPr>
        <w:t>).</w:t>
      </w:r>
      <w:r w:rsidR="00DA2EA9" w:rsidRPr="00B9649B">
        <w:rPr>
          <w:sz w:val="20"/>
          <w:szCs w:val="20"/>
        </w:rPr>
        <w:t xml:space="preserve"> </w:t>
      </w:r>
      <w:r w:rsidRPr="00B9649B">
        <w:rPr>
          <w:sz w:val="20"/>
          <w:szCs w:val="20"/>
        </w:rPr>
        <w:t xml:space="preserve">In contrast to extensive research focusing on the under-representation of females in </w:t>
      </w:r>
      <w:r w:rsidR="00BF6CA5" w:rsidRPr="00B9649B">
        <w:rPr>
          <w:sz w:val="20"/>
          <w:szCs w:val="20"/>
        </w:rPr>
        <w:t>access to higher education</w:t>
      </w:r>
      <w:r w:rsidRPr="00B9649B">
        <w:rPr>
          <w:sz w:val="20"/>
          <w:szCs w:val="20"/>
        </w:rPr>
        <w:t>; and the delineation of factors associated with poor participation, there has been paucity of research on effective methods/approaches for increasing participation and enhanced achievement. Research is therefore</w:t>
      </w:r>
      <w:r w:rsidR="009E5EC1" w:rsidRPr="00B9649B">
        <w:rPr>
          <w:sz w:val="20"/>
          <w:szCs w:val="20"/>
        </w:rPr>
        <w:t>,</w:t>
      </w:r>
      <w:r w:rsidRPr="00B9649B">
        <w:rPr>
          <w:sz w:val="20"/>
          <w:szCs w:val="20"/>
        </w:rPr>
        <w:t xml:space="preserve"> required </w:t>
      </w:r>
      <w:r w:rsidR="001D1DEB" w:rsidRPr="00B9649B">
        <w:rPr>
          <w:sz w:val="20"/>
          <w:szCs w:val="20"/>
        </w:rPr>
        <w:t xml:space="preserve">to fill this gap in literature especially as it relates </w:t>
      </w:r>
      <w:r w:rsidRPr="00B9649B">
        <w:rPr>
          <w:sz w:val="20"/>
          <w:szCs w:val="20"/>
        </w:rPr>
        <w:t>to increas</w:t>
      </w:r>
      <w:r w:rsidR="001D1DEB" w:rsidRPr="00B9649B">
        <w:rPr>
          <w:sz w:val="20"/>
          <w:szCs w:val="20"/>
        </w:rPr>
        <w:t>ing their participation and</w:t>
      </w:r>
      <w:r w:rsidRPr="00B9649B">
        <w:rPr>
          <w:sz w:val="20"/>
          <w:szCs w:val="20"/>
        </w:rPr>
        <w:t xml:space="preserve"> improv</w:t>
      </w:r>
      <w:r w:rsidR="001D1DEB" w:rsidRPr="00B9649B">
        <w:rPr>
          <w:sz w:val="20"/>
          <w:szCs w:val="20"/>
        </w:rPr>
        <w:t>ing</w:t>
      </w:r>
      <w:r w:rsidRPr="00B9649B">
        <w:rPr>
          <w:sz w:val="20"/>
          <w:szCs w:val="20"/>
        </w:rPr>
        <w:t xml:space="preserve"> their </w:t>
      </w:r>
      <w:r w:rsidR="00BF6CA5" w:rsidRPr="00B9649B">
        <w:rPr>
          <w:sz w:val="20"/>
          <w:szCs w:val="20"/>
        </w:rPr>
        <w:t>capacities</w:t>
      </w:r>
      <w:r w:rsidRPr="00B9649B">
        <w:rPr>
          <w:sz w:val="20"/>
          <w:szCs w:val="20"/>
        </w:rPr>
        <w:t xml:space="preserve"> in </w:t>
      </w:r>
      <w:r w:rsidR="00BF6CA5" w:rsidRPr="00B9649B">
        <w:rPr>
          <w:sz w:val="20"/>
          <w:szCs w:val="20"/>
        </w:rPr>
        <w:t>management of higher education</w:t>
      </w:r>
      <w:r w:rsidRPr="00B9649B">
        <w:rPr>
          <w:sz w:val="20"/>
          <w:szCs w:val="20"/>
        </w:rPr>
        <w:t>.</w:t>
      </w:r>
    </w:p>
    <w:p w:rsidR="001B3158" w:rsidRPr="00B9649B" w:rsidRDefault="001B3158" w:rsidP="001B3158">
      <w:pPr>
        <w:spacing w:line="360" w:lineRule="auto"/>
        <w:jc w:val="both"/>
        <w:rPr>
          <w:sz w:val="20"/>
          <w:szCs w:val="20"/>
        </w:rPr>
      </w:pPr>
      <w:r w:rsidRPr="00B9649B">
        <w:rPr>
          <w:sz w:val="20"/>
          <w:szCs w:val="20"/>
        </w:rPr>
        <w:tab/>
        <w:t>A</w:t>
      </w:r>
      <w:r w:rsidR="001D1DEB" w:rsidRPr="00B9649B">
        <w:rPr>
          <w:sz w:val="20"/>
          <w:szCs w:val="20"/>
        </w:rPr>
        <w:t>dditionally, a</w:t>
      </w:r>
      <w:r w:rsidRPr="00B9649B">
        <w:rPr>
          <w:sz w:val="20"/>
          <w:szCs w:val="20"/>
        </w:rPr>
        <w:t>vailable literature contains relatively few studies that focus on methods/approaches for increasing participation and on impr</w:t>
      </w:r>
      <w:r w:rsidR="005D126E" w:rsidRPr="00B9649B">
        <w:rPr>
          <w:sz w:val="20"/>
          <w:szCs w:val="20"/>
        </w:rPr>
        <w:t xml:space="preserve">oving </w:t>
      </w:r>
      <w:r w:rsidR="009E5EC1" w:rsidRPr="00B9649B">
        <w:rPr>
          <w:sz w:val="20"/>
          <w:szCs w:val="20"/>
        </w:rPr>
        <w:t>access to the top decision-making cadre</w:t>
      </w:r>
      <w:r w:rsidR="005D126E" w:rsidRPr="00B9649B">
        <w:rPr>
          <w:sz w:val="20"/>
          <w:szCs w:val="20"/>
        </w:rPr>
        <w:t>. Most of the few existing</w:t>
      </w:r>
      <w:r w:rsidRPr="00B9649B">
        <w:rPr>
          <w:sz w:val="20"/>
          <w:szCs w:val="20"/>
        </w:rPr>
        <w:t xml:space="preserve"> studies are basically theoretically reviews</w:t>
      </w:r>
      <w:r w:rsidR="007B2439" w:rsidRPr="00B9649B">
        <w:rPr>
          <w:sz w:val="20"/>
          <w:szCs w:val="20"/>
        </w:rPr>
        <w:t xml:space="preserve"> of methods/approaches </w:t>
      </w:r>
      <w:proofErr w:type="gramStart"/>
      <w:r w:rsidR="007B2439" w:rsidRPr="00B9649B">
        <w:rPr>
          <w:sz w:val="20"/>
          <w:szCs w:val="20"/>
        </w:rPr>
        <w:t>(</w:t>
      </w:r>
      <w:r w:rsidRPr="00B9649B">
        <w:rPr>
          <w:sz w:val="20"/>
          <w:szCs w:val="20"/>
        </w:rPr>
        <w:t xml:space="preserve"> Bassey</w:t>
      </w:r>
      <w:proofErr w:type="gramEnd"/>
      <w:r w:rsidRPr="00B9649B">
        <w:rPr>
          <w:sz w:val="20"/>
          <w:szCs w:val="20"/>
        </w:rPr>
        <w:t xml:space="preserve">, 1997; </w:t>
      </w:r>
      <w:proofErr w:type="spellStart"/>
      <w:r w:rsidRPr="00B9649B">
        <w:rPr>
          <w:sz w:val="20"/>
          <w:szCs w:val="20"/>
        </w:rPr>
        <w:t>Ekpiken</w:t>
      </w:r>
      <w:proofErr w:type="spellEnd"/>
      <w:r w:rsidRPr="00B9649B">
        <w:rPr>
          <w:sz w:val="20"/>
          <w:szCs w:val="20"/>
        </w:rPr>
        <w:t xml:space="preserve"> 1997 &amp; </w:t>
      </w:r>
      <w:proofErr w:type="spellStart"/>
      <w:r w:rsidRPr="00B9649B">
        <w:rPr>
          <w:sz w:val="20"/>
          <w:szCs w:val="20"/>
        </w:rPr>
        <w:t>Piwuna</w:t>
      </w:r>
      <w:proofErr w:type="spellEnd"/>
      <w:r w:rsidRPr="00B9649B">
        <w:rPr>
          <w:sz w:val="20"/>
          <w:szCs w:val="20"/>
        </w:rPr>
        <w:t xml:space="preserve"> and </w:t>
      </w:r>
      <w:proofErr w:type="spellStart"/>
      <w:r w:rsidRPr="00B9649B">
        <w:rPr>
          <w:sz w:val="20"/>
          <w:szCs w:val="20"/>
        </w:rPr>
        <w:t>Ncharam</w:t>
      </w:r>
      <w:proofErr w:type="spellEnd"/>
      <w:r w:rsidRPr="00B9649B">
        <w:rPr>
          <w:sz w:val="20"/>
          <w:szCs w:val="20"/>
        </w:rPr>
        <w:t>, 2001). Studies that provide self-repo</w:t>
      </w:r>
      <w:r w:rsidR="000F636D" w:rsidRPr="00B9649B">
        <w:rPr>
          <w:sz w:val="20"/>
          <w:szCs w:val="20"/>
        </w:rPr>
        <w:t>r</w:t>
      </w:r>
      <w:r w:rsidRPr="00B9649B">
        <w:rPr>
          <w:sz w:val="20"/>
          <w:szCs w:val="20"/>
        </w:rPr>
        <w:t>t</w:t>
      </w:r>
      <w:r w:rsidR="000F636D" w:rsidRPr="00B9649B">
        <w:rPr>
          <w:sz w:val="20"/>
          <w:szCs w:val="20"/>
        </w:rPr>
        <w:t>ed</w:t>
      </w:r>
      <w:r w:rsidRPr="00B9649B">
        <w:rPr>
          <w:sz w:val="20"/>
          <w:szCs w:val="20"/>
        </w:rPr>
        <w:t xml:space="preserve"> </w:t>
      </w:r>
      <w:r w:rsidR="000F636D" w:rsidRPr="00B9649B">
        <w:rPr>
          <w:sz w:val="20"/>
          <w:szCs w:val="20"/>
        </w:rPr>
        <w:t xml:space="preserve">empirical </w:t>
      </w:r>
      <w:r w:rsidRPr="00B9649B">
        <w:rPr>
          <w:sz w:val="20"/>
          <w:szCs w:val="20"/>
        </w:rPr>
        <w:t xml:space="preserve">data by </w:t>
      </w:r>
      <w:r w:rsidR="000F636D" w:rsidRPr="00B9649B">
        <w:rPr>
          <w:sz w:val="20"/>
          <w:szCs w:val="20"/>
        </w:rPr>
        <w:t>lectur</w:t>
      </w:r>
      <w:r w:rsidRPr="00B9649B">
        <w:rPr>
          <w:sz w:val="20"/>
          <w:szCs w:val="20"/>
        </w:rPr>
        <w:t>ers on methods/approaches for improving female participation</w:t>
      </w:r>
      <w:r w:rsidR="00DA2EA9" w:rsidRPr="00B9649B">
        <w:rPr>
          <w:sz w:val="20"/>
          <w:szCs w:val="20"/>
        </w:rPr>
        <w:t xml:space="preserve"> in institutional governance</w:t>
      </w:r>
      <w:r w:rsidRPr="00B9649B">
        <w:rPr>
          <w:sz w:val="20"/>
          <w:szCs w:val="20"/>
        </w:rPr>
        <w:t xml:space="preserve"> are yet to be located from available literature. A pertinent question therefore is: what are the views of </w:t>
      </w:r>
      <w:r w:rsidR="007B2439" w:rsidRPr="00B9649B">
        <w:rPr>
          <w:sz w:val="20"/>
          <w:szCs w:val="20"/>
        </w:rPr>
        <w:t>women academics</w:t>
      </w:r>
      <w:r w:rsidRPr="00B9649B">
        <w:rPr>
          <w:sz w:val="20"/>
          <w:szCs w:val="20"/>
        </w:rPr>
        <w:t xml:space="preserve"> on methods/approaches for increasing female participation and improving their achievement in </w:t>
      </w:r>
      <w:r w:rsidR="007B2439" w:rsidRPr="00B9649B">
        <w:rPr>
          <w:sz w:val="20"/>
          <w:szCs w:val="20"/>
        </w:rPr>
        <w:t>university’s govern</w:t>
      </w:r>
      <w:r w:rsidR="00DA2EA9" w:rsidRPr="00B9649B">
        <w:rPr>
          <w:sz w:val="20"/>
          <w:szCs w:val="20"/>
        </w:rPr>
        <w:t>ance</w:t>
      </w:r>
      <w:r w:rsidRPr="00B9649B">
        <w:rPr>
          <w:sz w:val="20"/>
          <w:szCs w:val="20"/>
        </w:rPr>
        <w:t xml:space="preserve">? The present study is an attempt to provide empirical data on </w:t>
      </w:r>
      <w:r w:rsidR="007B2439" w:rsidRPr="00B9649B">
        <w:rPr>
          <w:sz w:val="20"/>
          <w:szCs w:val="20"/>
        </w:rPr>
        <w:t>academic women</w:t>
      </w:r>
      <w:r w:rsidR="005D126E" w:rsidRPr="00B9649B">
        <w:rPr>
          <w:sz w:val="20"/>
          <w:szCs w:val="20"/>
        </w:rPr>
        <w:t xml:space="preserve"> perspectives on</w:t>
      </w:r>
      <w:r w:rsidRPr="00B9649B">
        <w:rPr>
          <w:sz w:val="20"/>
          <w:szCs w:val="20"/>
        </w:rPr>
        <w:t xml:space="preserve"> increasing female participation in </w:t>
      </w:r>
      <w:r w:rsidR="005A06A5" w:rsidRPr="00B9649B">
        <w:rPr>
          <w:sz w:val="20"/>
          <w:szCs w:val="20"/>
        </w:rPr>
        <w:t>university management</w:t>
      </w:r>
      <w:r w:rsidRPr="00B9649B">
        <w:rPr>
          <w:sz w:val="20"/>
          <w:szCs w:val="20"/>
        </w:rPr>
        <w:t xml:space="preserve"> in</w:t>
      </w:r>
      <w:r w:rsidR="005D126E" w:rsidRPr="00B9649B">
        <w:rPr>
          <w:sz w:val="20"/>
          <w:szCs w:val="20"/>
        </w:rPr>
        <w:t xml:space="preserve"> Calabar,</w:t>
      </w:r>
      <w:r w:rsidRPr="00B9649B">
        <w:rPr>
          <w:sz w:val="20"/>
          <w:szCs w:val="20"/>
        </w:rPr>
        <w:t xml:space="preserve"> Cross River State, Nigeria.</w:t>
      </w:r>
    </w:p>
    <w:p w:rsidR="00911FE1" w:rsidRPr="00B9649B" w:rsidRDefault="00AC6B57" w:rsidP="00911FE1">
      <w:pPr>
        <w:spacing w:line="360" w:lineRule="auto"/>
        <w:jc w:val="both"/>
        <w:rPr>
          <w:sz w:val="20"/>
          <w:szCs w:val="20"/>
        </w:rPr>
      </w:pPr>
      <w:r w:rsidRPr="00B9649B">
        <w:rPr>
          <w:b/>
          <w:sz w:val="20"/>
          <w:szCs w:val="20"/>
        </w:rPr>
        <w:t>Purpose</w:t>
      </w:r>
      <w:r w:rsidR="00911FE1" w:rsidRPr="00B9649B">
        <w:rPr>
          <w:b/>
          <w:sz w:val="20"/>
          <w:szCs w:val="20"/>
        </w:rPr>
        <w:t xml:space="preserve"> of the study</w:t>
      </w:r>
      <w:r w:rsidR="00911FE1" w:rsidRPr="00B9649B">
        <w:rPr>
          <w:sz w:val="20"/>
          <w:szCs w:val="20"/>
        </w:rPr>
        <w:t xml:space="preserve">: </w:t>
      </w:r>
    </w:p>
    <w:p w:rsidR="00911FE1" w:rsidRPr="00B9649B" w:rsidRDefault="00650687" w:rsidP="00911FE1">
      <w:pPr>
        <w:spacing w:line="360" w:lineRule="auto"/>
        <w:jc w:val="both"/>
        <w:rPr>
          <w:sz w:val="20"/>
          <w:szCs w:val="20"/>
        </w:rPr>
      </w:pPr>
      <w:r w:rsidRPr="00B9649B">
        <w:rPr>
          <w:sz w:val="20"/>
          <w:szCs w:val="20"/>
        </w:rPr>
        <w:t xml:space="preserve">        </w:t>
      </w:r>
      <w:r w:rsidR="00AC6B57" w:rsidRPr="00B9649B">
        <w:rPr>
          <w:sz w:val="20"/>
          <w:szCs w:val="20"/>
        </w:rPr>
        <w:t>The prime objective of this study was</w:t>
      </w:r>
      <w:r w:rsidR="00911FE1" w:rsidRPr="00B9649B">
        <w:rPr>
          <w:sz w:val="20"/>
          <w:szCs w:val="20"/>
        </w:rPr>
        <w:t xml:space="preserve"> to examine </w:t>
      </w:r>
    </w:p>
    <w:p w:rsidR="00911FE1" w:rsidRPr="00B9649B" w:rsidRDefault="00911FE1" w:rsidP="00911FE1">
      <w:pPr>
        <w:pStyle w:val="ListParagraph"/>
        <w:numPr>
          <w:ilvl w:val="0"/>
          <w:numId w:val="4"/>
        </w:numPr>
        <w:spacing w:line="360" w:lineRule="auto"/>
        <w:jc w:val="both"/>
        <w:rPr>
          <w:sz w:val="20"/>
          <w:szCs w:val="20"/>
        </w:rPr>
      </w:pPr>
      <w:r w:rsidRPr="00B9649B">
        <w:rPr>
          <w:sz w:val="20"/>
          <w:szCs w:val="20"/>
        </w:rPr>
        <w:t xml:space="preserve">The perspective of </w:t>
      </w:r>
      <w:r w:rsidR="00AC6B57" w:rsidRPr="00B9649B">
        <w:rPr>
          <w:sz w:val="20"/>
          <w:szCs w:val="20"/>
        </w:rPr>
        <w:t xml:space="preserve">women academics </w:t>
      </w:r>
      <w:r w:rsidRPr="00B9649B">
        <w:rPr>
          <w:sz w:val="20"/>
          <w:szCs w:val="20"/>
        </w:rPr>
        <w:t xml:space="preserve">on strategies for increasing their participation in the </w:t>
      </w:r>
      <w:r w:rsidR="00AC6B57" w:rsidRPr="00B9649B">
        <w:rPr>
          <w:sz w:val="20"/>
          <w:szCs w:val="20"/>
        </w:rPr>
        <w:t>governance and management of their i</w:t>
      </w:r>
      <w:r w:rsidR="00323635" w:rsidRPr="00B9649B">
        <w:rPr>
          <w:sz w:val="20"/>
          <w:szCs w:val="20"/>
        </w:rPr>
        <w:t>n</w:t>
      </w:r>
      <w:r w:rsidR="00AC6B57" w:rsidRPr="00B9649B">
        <w:rPr>
          <w:sz w:val="20"/>
          <w:szCs w:val="20"/>
        </w:rPr>
        <w:t>stitutions</w:t>
      </w:r>
      <w:r w:rsidRPr="00B9649B">
        <w:rPr>
          <w:sz w:val="20"/>
          <w:szCs w:val="20"/>
        </w:rPr>
        <w:t xml:space="preserve">.     </w:t>
      </w:r>
    </w:p>
    <w:p w:rsidR="00911FE1" w:rsidRPr="00B9649B" w:rsidRDefault="00911FE1" w:rsidP="00911FE1">
      <w:pPr>
        <w:pStyle w:val="Default"/>
        <w:rPr>
          <w:bCs/>
          <w:sz w:val="20"/>
          <w:szCs w:val="20"/>
        </w:rPr>
      </w:pPr>
      <w:r w:rsidRPr="00B9649B">
        <w:rPr>
          <w:b/>
          <w:bCs/>
          <w:sz w:val="20"/>
          <w:szCs w:val="20"/>
        </w:rPr>
        <w:t xml:space="preserve">Research Question - </w:t>
      </w:r>
      <w:r w:rsidRPr="00B9649B">
        <w:rPr>
          <w:bCs/>
          <w:sz w:val="20"/>
          <w:szCs w:val="20"/>
        </w:rPr>
        <w:t>The following question guided the study:</w:t>
      </w:r>
    </w:p>
    <w:p w:rsidR="00AC6B57" w:rsidRPr="00B9649B" w:rsidRDefault="00930497" w:rsidP="00930497">
      <w:pPr>
        <w:pStyle w:val="Default"/>
        <w:tabs>
          <w:tab w:val="left" w:pos="1770"/>
        </w:tabs>
        <w:rPr>
          <w:sz w:val="20"/>
          <w:szCs w:val="20"/>
        </w:rPr>
      </w:pPr>
      <w:r w:rsidRPr="00B9649B">
        <w:rPr>
          <w:sz w:val="20"/>
          <w:szCs w:val="20"/>
        </w:rPr>
        <w:tab/>
      </w:r>
    </w:p>
    <w:p w:rsidR="00911FE1" w:rsidRPr="00B9649B" w:rsidRDefault="00911FE1" w:rsidP="00911FE1">
      <w:pPr>
        <w:pStyle w:val="Default"/>
        <w:numPr>
          <w:ilvl w:val="0"/>
          <w:numId w:val="3"/>
        </w:numPr>
        <w:spacing w:after="243"/>
        <w:rPr>
          <w:sz w:val="20"/>
          <w:szCs w:val="20"/>
        </w:rPr>
      </w:pPr>
      <w:r w:rsidRPr="00B9649B">
        <w:rPr>
          <w:sz w:val="20"/>
          <w:szCs w:val="20"/>
        </w:rPr>
        <w:t>What are the views of</w:t>
      </w:r>
      <w:r w:rsidR="00AC6B57" w:rsidRPr="00B9649B">
        <w:rPr>
          <w:sz w:val="20"/>
          <w:szCs w:val="20"/>
        </w:rPr>
        <w:t xml:space="preserve"> women academics</w:t>
      </w:r>
      <w:r w:rsidRPr="00B9649B">
        <w:rPr>
          <w:sz w:val="20"/>
          <w:szCs w:val="20"/>
        </w:rPr>
        <w:t xml:space="preserve"> on </w:t>
      </w:r>
      <w:r w:rsidR="00AC6B57" w:rsidRPr="00B9649B">
        <w:rPr>
          <w:sz w:val="20"/>
          <w:szCs w:val="20"/>
        </w:rPr>
        <w:t xml:space="preserve">appropriate </w:t>
      </w:r>
      <w:r w:rsidRPr="00B9649B">
        <w:rPr>
          <w:sz w:val="20"/>
          <w:szCs w:val="20"/>
        </w:rPr>
        <w:t>methods/approaches/ strategies for f</w:t>
      </w:r>
      <w:r w:rsidR="00AC6B57" w:rsidRPr="00B9649B">
        <w:rPr>
          <w:sz w:val="20"/>
          <w:szCs w:val="20"/>
        </w:rPr>
        <w:t>ostering active their participation</w:t>
      </w:r>
      <w:r w:rsidRPr="00B9649B">
        <w:rPr>
          <w:sz w:val="20"/>
          <w:szCs w:val="20"/>
        </w:rPr>
        <w:t xml:space="preserve"> in the </w:t>
      </w:r>
      <w:r w:rsidR="00AC6B57" w:rsidRPr="00B9649B">
        <w:rPr>
          <w:sz w:val="20"/>
          <w:szCs w:val="20"/>
        </w:rPr>
        <w:t>governance and management of their universities?</w:t>
      </w:r>
    </w:p>
    <w:p w:rsidR="001B3158" w:rsidRPr="00B9649B" w:rsidRDefault="001B3158" w:rsidP="001B3158">
      <w:pPr>
        <w:spacing w:line="360" w:lineRule="auto"/>
        <w:jc w:val="both"/>
        <w:rPr>
          <w:b/>
          <w:bCs/>
          <w:sz w:val="20"/>
          <w:szCs w:val="20"/>
        </w:rPr>
      </w:pPr>
      <w:r w:rsidRPr="00B9649B">
        <w:rPr>
          <w:b/>
          <w:bCs/>
          <w:sz w:val="20"/>
          <w:szCs w:val="20"/>
        </w:rPr>
        <w:t>M</w:t>
      </w:r>
      <w:r w:rsidR="00AC6B57" w:rsidRPr="00B9649B">
        <w:rPr>
          <w:b/>
          <w:bCs/>
          <w:sz w:val="20"/>
          <w:szCs w:val="20"/>
        </w:rPr>
        <w:t>ethodology</w:t>
      </w:r>
    </w:p>
    <w:p w:rsidR="001B3158" w:rsidRPr="00B9649B" w:rsidRDefault="00650687" w:rsidP="001B3158">
      <w:pPr>
        <w:spacing w:line="360" w:lineRule="auto"/>
        <w:jc w:val="both"/>
        <w:rPr>
          <w:b/>
          <w:bCs/>
          <w:sz w:val="20"/>
          <w:szCs w:val="20"/>
        </w:rPr>
      </w:pPr>
      <w:r w:rsidRPr="00B9649B">
        <w:rPr>
          <w:sz w:val="20"/>
          <w:szCs w:val="20"/>
        </w:rPr>
        <w:t xml:space="preserve">         </w:t>
      </w:r>
      <w:r w:rsidR="001B3158" w:rsidRPr="00B9649B">
        <w:rPr>
          <w:sz w:val="20"/>
          <w:szCs w:val="20"/>
        </w:rPr>
        <w:t>Due to the nature of the study which entailed use of simple frequencies, it was not necessary to formulate research hypothesis and t</w:t>
      </w:r>
      <w:r w:rsidR="001B3158" w:rsidRPr="00B9649B">
        <w:rPr>
          <w:bCs/>
          <w:sz w:val="20"/>
          <w:szCs w:val="20"/>
        </w:rPr>
        <w:t>he only research question of the study was designed</w:t>
      </w:r>
      <w:r w:rsidR="001B3158" w:rsidRPr="00B9649B">
        <w:rPr>
          <w:i/>
          <w:iCs/>
          <w:sz w:val="20"/>
          <w:szCs w:val="20"/>
        </w:rPr>
        <w:t xml:space="preserve"> </w:t>
      </w:r>
      <w:r w:rsidR="001B3158" w:rsidRPr="00B9649B">
        <w:rPr>
          <w:iCs/>
          <w:sz w:val="20"/>
          <w:szCs w:val="20"/>
        </w:rPr>
        <w:t xml:space="preserve">to elicit responses of </w:t>
      </w:r>
      <w:r w:rsidR="00AE1D47" w:rsidRPr="00B9649B">
        <w:rPr>
          <w:iCs/>
          <w:sz w:val="20"/>
          <w:szCs w:val="20"/>
        </w:rPr>
        <w:t xml:space="preserve">women </w:t>
      </w:r>
      <w:r w:rsidR="00AE1D47" w:rsidRPr="00B9649B">
        <w:rPr>
          <w:iCs/>
          <w:sz w:val="20"/>
          <w:szCs w:val="20"/>
        </w:rPr>
        <w:lastRenderedPageBreak/>
        <w:t>academics</w:t>
      </w:r>
      <w:r w:rsidR="001B3158" w:rsidRPr="00B9649B">
        <w:rPr>
          <w:iCs/>
          <w:sz w:val="20"/>
          <w:szCs w:val="20"/>
        </w:rPr>
        <w:t xml:space="preserve"> on their perspective on strategies for increasing female participation </w:t>
      </w:r>
      <w:r w:rsidR="00AE1D47" w:rsidRPr="00B9649B">
        <w:rPr>
          <w:iCs/>
          <w:sz w:val="20"/>
          <w:szCs w:val="20"/>
        </w:rPr>
        <w:t>in university governance and management</w:t>
      </w:r>
      <w:r w:rsidR="001B3158" w:rsidRPr="00B9649B">
        <w:rPr>
          <w:iCs/>
          <w:sz w:val="20"/>
          <w:szCs w:val="20"/>
        </w:rPr>
        <w:t>.</w:t>
      </w:r>
    </w:p>
    <w:p w:rsidR="001B3158" w:rsidRPr="00B9649B" w:rsidRDefault="001B3158" w:rsidP="001B3158">
      <w:pPr>
        <w:spacing w:line="360" w:lineRule="auto"/>
        <w:jc w:val="both"/>
        <w:rPr>
          <w:sz w:val="20"/>
          <w:szCs w:val="20"/>
        </w:rPr>
      </w:pPr>
      <w:r w:rsidRPr="00B9649B">
        <w:rPr>
          <w:b/>
          <w:bCs/>
          <w:sz w:val="20"/>
          <w:szCs w:val="20"/>
        </w:rPr>
        <w:t>Subjects:</w:t>
      </w:r>
      <w:r w:rsidR="005A06A5" w:rsidRPr="00B9649B">
        <w:rPr>
          <w:sz w:val="20"/>
          <w:szCs w:val="20"/>
        </w:rPr>
        <w:t xml:space="preserve"> Subjects were 2</w:t>
      </w:r>
      <w:r w:rsidR="00E96C4C" w:rsidRPr="00B9649B">
        <w:rPr>
          <w:sz w:val="20"/>
          <w:szCs w:val="20"/>
        </w:rPr>
        <w:t>54</w:t>
      </w:r>
      <w:r w:rsidRPr="00B9649B">
        <w:rPr>
          <w:sz w:val="20"/>
          <w:szCs w:val="20"/>
        </w:rPr>
        <w:t xml:space="preserve"> </w:t>
      </w:r>
      <w:r w:rsidR="005A06A5" w:rsidRPr="00B9649B">
        <w:rPr>
          <w:sz w:val="20"/>
          <w:szCs w:val="20"/>
        </w:rPr>
        <w:t>women academics from the 2</w:t>
      </w:r>
      <w:r w:rsidRPr="00B9649B">
        <w:rPr>
          <w:sz w:val="20"/>
          <w:szCs w:val="20"/>
        </w:rPr>
        <w:t xml:space="preserve"> </w:t>
      </w:r>
      <w:r w:rsidR="005A06A5" w:rsidRPr="00B9649B">
        <w:rPr>
          <w:sz w:val="20"/>
          <w:szCs w:val="20"/>
        </w:rPr>
        <w:t xml:space="preserve">universities in Calabar, </w:t>
      </w:r>
      <w:r w:rsidRPr="00B9649B">
        <w:rPr>
          <w:sz w:val="20"/>
          <w:szCs w:val="20"/>
        </w:rPr>
        <w:t>Cross River State, Nigeria. The school sample was stratified across the</w:t>
      </w:r>
      <w:r w:rsidR="005A06A5" w:rsidRPr="00B9649B">
        <w:rPr>
          <w:sz w:val="20"/>
          <w:szCs w:val="20"/>
        </w:rPr>
        <w:t xml:space="preserve"> two</w:t>
      </w:r>
      <w:r w:rsidRPr="00B9649B">
        <w:rPr>
          <w:sz w:val="20"/>
          <w:szCs w:val="20"/>
        </w:rPr>
        <w:t xml:space="preserve"> in</w:t>
      </w:r>
      <w:r w:rsidR="005A06A5" w:rsidRPr="00B9649B">
        <w:rPr>
          <w:sz w:val="20"/>
          <w:szCs w:val="20"/>
        </w:rPr>
        <w:t>stitutions in</w:t>
      </w:r>
      <w:r w:rsidRPr="00B9649B">
        <w:rPr>
          <w:sz w:val="20"/>
          <w:szCs w:val="20"/>
        </w:rPr>
        <w:t xml:space="preserve"> the </w:t>
      </w:r>
      <w:r w:rsidR="005A06A5" w:rsidRPr="00B9649B">
        <w:rPr>
          <w:sz w:val="20"/>
          <w:szCs w:val="20"/>
        </w:rPr>
        <w:t>town</w:t>
      </w:r>
      <w:r w:rsidR="005D126E" w:rsidRPr="00B9649B">
        <w:rPr>
          <w:sz w:val="20"/>
          <w:szCs w:val="20"/>
        </w:rPr>
        <w:t>. I</w:t>
      </w:r>
      <w:r w:rsidRPr="00B9649B">
        <w:rPr>
          <w:sz w:val="20"/>
          <w:szCs w:val="20"/>
        </w:rPr>
        <w:t>n terms of school</w:t>
      </w:r>
      <w:r w:rsidR="00E96C4C" w:rsidRPr="00B9649B">
        <w:rPr>
          <w:sz w:val="20"/>
          <w:szCs w:val="20"/>
        </w:rPr>
        <w:t xml:space="preserve"> specific</w:t>
      </w:r>
      <w:r w:rsidRPr="00B9649B">
        <w:rPr>
          <w:sz w:val="20"/>
          <w:szCs w:val="20"/>
        </w:rPr>
        <w:t xml:space="preserve"> lo</w:t>
      </w:r>
      <w:r w:rsidR="00E96C4C" w:rsidRPr="00B9649B">
        <w:rPr>
          <w:sz w:val="20"/>
          <w:szCs w:val="20"/>
        </w:rPr>
        <w:t>cation, the sample consists of 150 University of Calabar</w:t>
      </w:r>
      <w:r w:rsidRPr="00B9649B">
        <w:rPr>
          <w:sz w:val="20"/>
          <w:szCs w:val="20"/>
        </w:rPr>
        <w:t xml:space="preserve"> and </w:t>
      </w:r>
      <w:r w:rsidR="00E96C4C" w:rsidRPr="00B9649B">
        <w:rPr>
          <w:sz w:val="20"/>
          <w:szCs w:val="20"/>
        </w:rPr>
        <w:t>10</w:t>
      </w:r>
      <w:r w:rsidRPr="00B9649B">
        <w:rPr>
          <w:sz w:val="20"/>
          <w:szCs w:val="20"/>
        </w:rPr>
        <w:t xml:space="preserve">4 </w:t>
      </w:r>
      <w:r w:rsidR="005D126E" w:rsidRPr="00B9649B">
        <w:rPr>
          <w:sz w:val="20"/>
          <w:szCs w:val="20"/>
        </w:rPr>
        <w:t xml:space="preserve">of </w:t>
      </w:r>
      <w:r w:rsidR="00E96C4C" w:rsidRPr="00B9649B">
        <w:rPr>
          <w:sz w:val="20"/>
          <w:szCs w:val="20"/>
        </w:rPr>
        <w:t>Cross River State University</w:t>
      </w:r>
      <w:r w:rsidR="005D126E" w:rsidRPr="00B9649B">
        <w:rPr>
          <w:sz w:val="20"/>
          <w:szCs w:val="20"/>
        </w:rPr>
        <w:t xml:space="preserve"> academic women</w:t>
      </w:r>
      <w:r w:rsidR="00685DC8" w:rsidRPr="00B9649B">
        <w:rPr>
          <w:sz w:val="20"/>
          <w:szCs w:val="20"/>
        </w:rPr>
        <w:t>. Withi</w:t>
      </w:r>
      <w:r w:rsidRPr="00B9649B">
        <w:rPr>
          <w:sz w:val="20"/>
          <w:szCs w:val="20"/>
        </w:rPr>
        <w:t>n each school selected for the s</w:t>
      </w:r>
      <w:r w:rsidR="00685DC8" w:rsidRPr="00B9649B">
        <w:rPr>
          <w:sz w:val="20"/>
          <w:szCs w:val="20"/>
        </w:rPr>
        <w:t>tudy,</w:t>
      </w:r>
      <w:r w:rsidRPr="00B9649B">
        <w:rPr>
          <w:sz w:val="20"/>
          <w:szCs w:val="20"/>
        </w:rPr>
        <w:t xml:space="preserve"> participat</w:t>
      </w:r>
      <w:r w:rsidR="00685DC8" w:rsidRPr="00B9649B">
        <w:rPr>
          <w:sz w:val="20"/>
          <w:szCs w:val="20"/>
        </w:rPr>
        <w:t xml:space="preserve">ion </w:t>
      </w:r>
      <w:r w:rsidRPr="00B9649B">
        <w:rPr>
          <w:sz w:val="20"/>
          <w:szCs w:val="20"/>
        </w:rPr>
        <w:t>in the study</w:t>
      </w:r>
      <w:r w:rsidR="00685DC8" w:rsidRPr="00B9649B">
        <w:rPr>
          <w:sz w:val="20"/>
          <w:szCs w:val="20"/>
        </w:rPr>
        <w:t xml:space="preserve"> was opened </w:t>
      </w:r>
      <w:r w:rsidRPr="00B9649B">
        <w:rPr>
          <w:sz w:val="20"/>
          <w:szCs w:val="20"/>
        </w:rPr>
        <w:t>.</w:t>
      </w:r>
      <w:r w:rsidR="005D126E" w:rsidRPr="00B9649B">
        <w:rPr>
          <w:sz w:val="20"/>
          <w:szCs w:val="20"/>
        </w:rPr>
        <w:t xml:space="preserve">to </w:t>
      </w:r>
      <w:r w:rsidR="00685DC8" w:rsidRPr="00B9649B">
        <w:rPr>
          <w:sz w:val="20"/>
          <w:szCs w:val="20"/>
        </w:rPr>
        <w:t>all women academic.</w:t>
      </w:r>
      <w:r w:rsidRPr="00B9649B">
        <w:rPr>
          <w:sz w:val="20"/>
          <w:szCs w:val="20"/>
        </w:rPr>
        <w:t xml:space="preserve"> Alt</w:t>
      </w:r>
      <w:r w:rsidR="000D3F6F" w:rsidRPr="00B9649B">
        <w:rPr>
          <w:sz w:val="20"/>
          <w:szCs w:val="20"/>
        </w:rPr>
        <w:t>ogether, the sample comprised</w:t>
      </w:r>
      <w:r w:rsidRPr="00B9649B">
        <w:rPr>
          <w:sz w:val="20"/>
          <w:szCs w:val="20"/>
        </w:rPr>
        <w:t xml:space="preserve"> </w:t>
      </w:r>
      <w:r w:rsidR="00685DC8" w:rsidRPr="00B9649B">
        <w:rPr>
          <w:sz w:val="20"/>
          <w:szCs w:val="20"/>
        </w:rPr>
        <w:t>academic women with varied years of</w:t>
      </w:r>
      <w:r w:rsidRPr="00B9649B">
        <w:rPr>
          <w:sz w:val="20"/>
          <w:szCs w:val="20"/>
        </w:rPr>
        <w:t xml:space="preserve"> teaching experien</w:t>
      </w:r>
      <w:r w:rsidR="00685DC8" w:rsidRPr="00B9649B">
        <w:rPr>
          <w:sz w:val="20"/>
          <w:szCs w:val="20"/>
        </w:rPr>
        <w:t>ce (mean teaching experience = 10</w:t>
      </w:r>
      <w:r w:rsidRPr="00B9649B">
        <w:rPr>
          <w:sz w:val="20"/>
          <w:szCs w:val="20"/>
        </w:rPr>
        <w:t>.2 years, standard deviation = 2.</w:t>
      </w:r>
      <w:r w:rsidR="00685DC8" w:rsidRPr="00B9649B">
        <w:rPr>
          <w:sz w:val="20"/>
          <w:szCs w:val="20"/>
        </w:rPr>
        <w:t>8). Their ages ranged from 30</w:t>
      </w:r>
      <w:r w:rsidRPr="00B9649B">
        <w:rPr>
          <w:sz w:val="20"/>
          <w:szCs w:val="20"/>
        </w:rPr>
        <w:t xml:space="preserve"> to </w:t>
      </w:r>
      <w:r w:rsidR="00685DC8" w:rsidRPr="00B9649B">
        <w:rPr>
          <w:sz w:val="20"/>
          <w:szCs w:val="20"/>
        </w:rPr>
        <w:t>5</w:t>
      </w:r>
      <w:r w:rsidRPr="00B9649B">
        <w:rPr>
          <w:sz w:val="20"/>
          <w:szCs w:val="20"/>
        </w:rPr>
        <w:t>8 years, with a mean age of 3</w:t>
      </w:r>
      <w:r w:rsidR="00685DC8" w:rsidRPr="00B9649B">
        <w:rPr>
          <w:sz w:val="20"/>
          <w:szCs w:val="20"/>
        </w:rPr>
        <w:t>9</w:t>
      </w:r>
      <w:r w:rsidRPr="00B9649B">
        <w:rPr>
          <w:sz w:val="20"/>
          <w:szCs w:val="20"/>
        </w:rPr>
        <w:t xml:space="preserve"> years and a standard deviation of 3.</w:t>
      </w:r>
      <w:r w:rsidR="00685DC8" w:rsidRPr="00B9649B">
        <w:rPr>
          <w:sz w:val="20"/>
          <w:szCs w:val="20"/>
        </w:rPr>
        <w:t>2</w:t>
      </w:r>
      <w:r w:rsidRPr="00B9649B">
        <w:rPr>
          <w:sz w:val="20"/>
          <w:szCs w:val="20"/>
        </w:rPr>
        <w:t xml:space="preserve">. (Table1 represents this information in a tabular form). </w:t>
      </w:r>
    </w:p>
    <w:p w:rsidR="001B3158" w:rsidRPr="00B9649B" w:rsidRDefault="001B3158" w:rsidP="001B3158">
      <w:pPr>
        <w:spacing w:line="360" w:lineRule="auto"/>
        <w:jc w:val="both"/>
        <w:rPr>
          <w:sz w:val="20"/>
          <w:szCs w:val="20"/>
        </w:rPr>
      </w:pPr>
    </w:p>
    <w:p w:rsidR="001B3158" w:rsidRPr="00B9649B" w:rsidRDefault="001B3158" w:rsidP="001B3158">
      <w:pPr>
        <w:spacing w:line="360" w:lineRule="auto"/>
        <w:jc w:val="both"/>
        <w:rPr>
          <w:b/>
          <w:sz w:val="20"/>
          <w:szCs w:val="20"/>
        </w:rPr>
      </w:pPr>
      <w:r w:rsidRPr="00B9649B">
        <w:rPr>
          <w:b/>
          <w:sz w:val="20"/>
          <w:szCs w:val="20"/>
        </w:rPr>
        <w:t>Table1: Number and characteristics of</w:t>
      </w:r>
      <w:r w:rsidR="00DA2EA9" w:rsidRPr="00B9649B">
        <w:rPr>
          <w:b/>
          <w:sz w:val="20"/>
          <w:szCs w:val="20"/>
        </w:rPr>
        <w:t xml:space="preserve"> </w:t>
      </w:r>
      <w:r w:rsidR="00AE1D47" w:rsidRPr="00B9649B">
        <w:rPr>
          <w:b/>
          <w:sz w:val="20"/>
          <w:szCs w:val="20"/>
        </w:rPr>
        <w:t xml:space="preserve">women academic </w:t>
      </w:r>
      <w:r w:rsidRPr="00B9649B">
        <w:rPr>
          <w:b/>
          <w:sz w:val="20"/>
          <w:szCs w:val="20"/>
        </w:rPr>
        <w:t xml:space="preserve">used in the study </w:t>
      </w:r>
    </w:p>
    <w:tbl>
      <w:tblPr>
        <w:tblStyle w:val="TableGrid"/>
        <w:tblW w:w="0" w:type="auto"/>
        <w:tblLook w:val="04A0" w:firstRow="1" w:lastRow="0" w:firstColumn="1" w:lastColumn="0" w:noHBand="0" w:noVBand="1"/>
      </w:tblPr>
      <w:tblGrid>
        <w:gridCol w:w="2468"/>
        <w:gridCol w:w="2379"/>
      </w:tblGrid>
      <w:tr w:rsidR="00AE1D47" w:rsidRPr="00B9649B" w:rsidTr="00AE1D47">
        <w:tc>
          <w:tcPr>
            <w:tcW w:w="2468"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Subjects</w:t>
            </w:r>
          </w:p>
        </w:tc>
        <w:tc>
          <w:tcPr>
            <w:tcW w:w="2379" w:type="dxa"/>
            <w:tcBorders>
              <w:top w:val="single" w:sz="4" w:space="0" w:color="auto"/>
              <w:left w:val="single" w:sz="4" w:space="0" w:color="auto"/>
              <w:bottom w:val="single" w:sz="4" w:space="0" w:color="auto"/>
              <w:right w:val="single" w:sz="4" w:space="0" w:color="auto"/>
            </w:tcBorders>
            <w:hideMark/>
          </w:tcPr>
          <w:p w:rsidR="00AE1D47" w:rsidRPr="00B9649B" w:rsidRDefault="00AE1D47" w:rsidP="00190E45">
            <w:pPr>
              <w:tabs>
                <w:tab w:val="right" w:pos="2163"/>
              </w:tabs>
              <w:spacing w:line="360" w:lineRule="auto"/>
              <w:jc w:val="both"/>
              <w:rPr>
                <w:sz w:val="20"/>
                <w:szCs w:val="20"/>
              </w:rPr>
            </w:pPr>
            <w:r w:rsidRPr="00B9649B">
              <w:rPr>
                <w:sz w:val="20"/>
                <w:szCs w:val="20"/>
              </w:rPr>
              <w:t>25</w:t>
            </w:r>
            <w:r w:rsidR="00AC6B57" w:rsidRPr="00B9649B">
              <w:rPr>
                <w:sz w:val="20"/>
                <w:szCs w:val="20"/>
              </w:rPr>
              <w:t>0</w:t>
            </w:r>
            <w:r w:rsidR="00190E45" w:rsidRPr="00B9649B">
              <w:rPr>
                <w:sz w:val="20"/>
                <w:szCs w:val="20"/>
              </w:rPr>
              <w:tab/>
            </w:r>
          </w:p>
        </w:tc>
      </w:tr>
      <w:tr w:rsidR="00AE1D47" w:rsidRPr="00B9649B" w:rsidTr="00AE1D47">
        <w:tc>
          <w:tcPr>
            <w:tcW w:w="2468"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Schools</w:t>
            </w:r>
          </w:p>
        </w:tc>
        <w:tc>
          <w:tcPr>
            <w:tcW w:w="2379"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2</w:t>
            </w:r>
          </w:p>
        </w:tc>
      </w:tr>
      <w:tr w:rsidR="00AE1D47" w:rsidRPr="00B9649B" w:rsidTr="00AE1D47">
        <w:tc>
          <w:tcPr>
            <w:tcW w:w="2468"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p>
        </w:tc>
        <w:tc>
          <w:tcPr>
            <w:tcW w:w="2379"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p>
        </w:tc>
      </w:tr>
      <w:tr w:rsidR="00AE1D47" w:rsidRPr="00B9649B" w:rsidTr="00AE1D47">
        <w:tc>
          <w:tcPr>
            <w:tcW w:w="2468"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Mean experience</w:t>
            </w:r>
          </w:p>
          <w:p w:rsidR="00AE1D47" w:rsidRPr="00B9649B" w:rsidRDefault="00AE1D47">
            <w:pPr>
              <w:spacing w:line="360" w:lineRule="auto"/>
              <w:jc w:val="both"/>
              <w:rPr>
                <w:sz w:val="20"/>
                <w:szCs w:val="20"/>
              </w:rPr>
            </w:pPr>
            <w:r w:rsidRPr="00B9649B">
              <w:rPr>
                <w:sz w:val="20"/>
                <w:szCs w:val="20"/>
              </w:rPr>
              <w:t>Standard Deviation</w:t>
            </w:r>
          </w:p>
        </w:tc>
        <w:tc>
          <w:tcPr>
            <w:tcW w:w="2379"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 xml:space="preserve">10.2 years;  </w:t>
            </w:r>
          </w:p>
          <w:p w:rsidR="00AE1D47" w:rsidRPr="00B9649B" w:rsidRDefault="00AE1D47">
            <w:pPr>
              <w:spacing w:line="360" w:lineRule="auto"/>
              <w:jc w:val="both"/>
              <w:rPr>
                <w:sz w:val="20"/>
                <w:szCs w:val="20"/>
              </w:rPr>
            </w:pPr>
            <w:r w:rsidRPr="00B9649B">
              <w:rPr>
                <w:sz w:val="20"/>
                <w:szCs w:val="20"/>
              </w:rPr>
              <w:t>2.8</w:t>
            </w:r>
          </w:p>
        </w:tc>
      </w:tr>
      <w:tr w:rsidR="00AE1D47" w:rsidRPr="00B9649B" w:rsidTr="00AE1D47">
        <w:tc>
          <w:tcPr>
            <w:tcW w:w="2468"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Mean age</w:t>
            </w:r>
          </w:p>
          <w:p w:rsidR="00AE1D47" w:rsidRPr="00B9649B" w:rsidRDefault="00AE1D47">
            <w:pPr>
              <w:spacing w:line="360" w:lineRule="auto"/>
              <w:jc w:val="both"/>
              <w:rPr>
                <w:sz w:val="20"/>
                <w:szCs w:val="20"/>
              </w:rPr>
            </w:pPr>
            <w:r w:rsidRPr="00B9649B">
              <w:rPr>
                <w:sz w:val="20"/>
                <w:szCs w:val="20"/>
              </w:rPr>
              <w:t>Standard Deviation</w:t>
            </w:r>
          </w:p>
        </w:tc>
        <w:tc>
          <w:tcPr>
            <w:tcW w:w="2379" w:type="dxa"/>
            <w:tcBorders>
              <w:top w:val="single" w:sz="4" w:space="0" w:color="auto"/>
              <w:left w:val="single" w:sz="4" w:space="0" w:color="auto"/>
              <w:bottom w:val="single" w:sz="4" w:space="0" w:color="auto"/>
              <w:right w:val="single" w:sz="4" w:space="0" w:color="auto"/>
            </w:tcBorders>
            <w:hideMark/>
          </w:tcPr>
          <w:p w:rsidR="00AE1D47" w:rsidRPr="00B9649B" w:rsidRDefault="00AE1D47">
            <w:pPr>
              <w:spacing w:line="360" w:lineRule="auto"/>
              <w:jc w:val="both"/>
              <w:rPr>
                <w:sz w:val="20"/>
                <w:szCs w:val="20"/>
              </w:rPr>
            </w:pPr>
            <w:r w:rsidRPr="00B9649B">
              <w:rPr>
                <w:sz w:val="20"/>
                <w:szCs w:val="20"/>
              </w:rPr>
              <w:t>39. years</w:t>
            </w:r>
          </w:p>
          <w:p w:rsidR="00AE1D47" w:rsidRPr="00B9649B" w:rsidRDefault="00AE1D47">
            <w:pPr>
              <w:spacing w:line="360" w:lineRule="auto"/>
              <w:jc w:val="both"/>
              <w:rPr>
                <w:sz w:val="20"/>
                <w:szCs w:val="20"/>
              </w:rPr>
            </w:pPr>
            <w:r w:rsidRPr="00B9649B">
              <w:rPr>
                <w:sz w:val="20"/>
                <w:szCs w:val="20"/>
              </w:rPr>
              <w:t>3.2</w:t>
            </w:r>
          </w:p>
        </w:tc>
      </w:tr>
    </w:tbl>
    <w:p w:rsidR="001B3158" w:rsidRPr="00B9649B" w:rsidRDefault="001B3158" w:rsidP="001B3158">
      <w:pPr>
        <w:spacing w:line="360" w:lineRule="auto"/>
        <w:jc w:val="both"/>
        <w:rPr>
          <w:sz w:val="20"/>
          <w:szCs w:val="20"/>
        </w:rPr>
      </w:pPr>
    </w:p>
    <w:p w:rsidR="001B3158" w:rsidRPr="00B9649B" w:rsidRDefault="00F577BA" w:rsidP="001B3158">
      <w:pPr>
        <w:spacing w:line="360" w:lineRule="auto"/>
        <w:jc w:val="both"/>
        <w:rPr>
          <w:sz w:val="20"/>
          <w:szCs w:val="20"/>
        </w:rPr>
      </w:pPr>
      <w:r w:rsidRPr="00B9649B">
        <w:rPr>
          <w:b/>
          <w:bCs/>
          <w:sz w:val="20"/>
          <w:szCs w:val="20"/>
        </w:rPr>
        <w:t>Instrument and Data Collection</w:t>
      </w:r>
      <w:r w:rsidR="001B3158" w:rsidRPr="00B9649B">
        <w:rPr>
          <w:b/>
          <w:bCs/>
          <w:sz w:val="20"/>
          <w:szCs w:val="20"/>
        </w:rPr>
        <w:t>:</w:t>
      </w:r>
      <w:r w:rsidR="001B3158" w:rsidRPr="00B9649B">
        <w:rPr>
          <w:sz w:val="20"/>
          <w:szCs w:val="20"/>
        </w:rPr>
        <w:t xml:space="preserve"> A questionnaire </w:t>
      </w:r>
      <w:r w:rsidR="001B3158" w:rsidRPr="00B9649B">
        <w:rPr>
          <w:iCs/>
          <w:sz w:val="20"/>
          <w:szCs w:val="20"/>
        </w:rPr>
        <w:t>(</w:t>
      </w:r>
      <w:r w:rsidRPr="00B9649B">
        <w:rPr>
          <w:iCs/>
          <w:sz w:val="20"/>
          <w:szCs w:val="20"/>
        </w:rPr>
        <w:t>Women academic</w:t>
      </w:r>
      <w:r w:rsidR="001B3158" w:rsidRPr="00B9649B">
        <w:rPr>
          <w:iCs/>
          <w:sz w:val="20"/>
          <w:szCs w:val="20"/>
        </w:rPr>
        <w:t>’</w:t>
      </w:r>
      <w:r w:rsidRPr="00B9649B">
        <w:rPr>
          <w:iCs/>
          <w:sz w:val="20"/>
          <w:szCs w:val="20"/>
        </w:rPr>
        <w:t>s</w:t>
      </w:r>
      <w:r w:rsidR="001B3158" w:rsidRPr="00B9649B">
        <w:rPr>
          <w:iCs/>
          <w:sz w:val="20"/>
          <w:szCs w:val="20"/>
        </w:rPr>
        <w:t xml:space="preserve"> perspective on strategies of increasing female participation in </w:t>
      </w:r>
      <w:r w:rsidRPr="00B9649B">
        <w:rPr>
          <w:iCs/>
          <w:sz w:val="20"/>
          <w:szCs w:val="20"/>
        </w:rPr>
        <w:t>university governance</w:t>
      </w:r>
      <w:r w:rsidR="001B3158" w:rsidRPr="00B9649B">
        <w:rPr>
          <w:iCs/>
          <w:sz w:val="20"/>
          <w:szCs w:val="20"/>
        </w:rPr>
        <w:t xml:space="preserve"> questionnaire)</w:t>
      </w:r>
      <w:r w:rsidR="001B3158" w:rsidRPr="00B9649B">
        <w:rPr>
          <w:sz w:val="20"/>
          <w:szCs w:val="20"/>
        </w:rPr>
        <w:t xml:space="preserve"> was designed by the researchers to collect data for this study. The questionnaire had two parts. In the first part, subjects were asked to supply information on the following variables: age, educational qualification, and years of teaching experience. In the second part of the questionnaire, subjects </w:t>
      </w:r>
      <w:r w:rsidRPr="00B9649B">
        <w:rPr>
          <w:sz w:val="20"/>
          <w:szCs w:val="20"/>
        </w:rPr>
        <w:t>were required to tick the</w:t>
      </w:r>
      <w:r w:rsidR="001B3158" w:rsidRPr="00B9649B">
        <w:rPr>
          <w:sz w:val="20"/>
          <w:szCs w:val="20"/>
        </w:rPr>
        <w:t xml:space="preserve"> methods/approaches they consider</w:t>
      </w:r>
      <w:r w:rsidRPr="00B9649B">
        <w:rPr>
          <w:sz w:val="20"/>
          <w:szCs w:val="20"/>
        </w:rPr>
        <w:t>ed</w:t>
      </w:r>
      <w:r w:rsidR="001B3158" w:rsidRPr="00B9649B">
        <w:rPr>
          <w:sz w:val="20"/>
          <w:szCs w:val="20"/>
        </w:rPr>
        <w:t>, would increase female</w:t>
      </w:r>
      <w:r w:rsidRPr="00B9649B">
        <w:rPr>
          <w:sz w:val="20"/>
          <w:szCs w:val="20"/>
        </w:rPr>
        <w:t xml:space="preserve"> participation in institutional governance</w:t>
      </w:r>
      <w:r w:rsidR="001B3158" w:rsidRPr="00B9649B">
        <w:rPr>
          <w:sz w:val="20"/>
          <w:szCs w:val="20"/>
        </w:rPr>
        <w:t>. In each school visited for data collection, a</w:t>
      </w:r>
      <w:r w:rsidR="000D3F6F" w:rsidRPr="00B9649B">
        <w:rPr>
          <w:sz w:val="20"/>
          <w:szCs w:val="20"/>
        </w:rPr>
        <w:t>vai</w:t>
      </w:r>
      <w:r w:rsidR="001B3158" w:rsidRPr="00B9649B">
        <w:rPr>
          <w:sz w:val="20"/>
          <w:szCs w:val="20"/>
        </w:rPr>
        <w:t>l</w:t>
      </w:r>
      <w:r w:rsidR="000D3F6F" w:rsidRPr="00B9649B">
        <w:rPr>
          <w:sz w:val="20"/>
          <w:szCs w:val="20"/>
        </w:rPr>
        <w:t>able academic women</w:t>
      </w:r>
      <w:r w:rsidR="001B3158" w:rsidRPr="00B9649B">
        <w:rPr>
          <w:sz w:val="20"/>
          <w:szCs w:val="20"/>
        </w:rPr>
        <w:t xml:space="preserve"> were called for a meeting with the research team, throug</w:t>
      </w:r>
      <w:r w:rsidR="000D3F6F" w:rsidRPr="00B9649B">
        <w:rPr>
          <w:sz w:val="20"/>
          <w:szCs w:val="20"/>
        </w:rPr>
        <w:t>h the help of the heads of departments</w:t>
      </w:r>
      <w:r w:rsidR="001B3158" w:rsidRPr="00B9649B">
        <w:rPr>
          <w:sz w:val="20"/>
          <w:szCs w:val="20"/>
        </w:rPr>
        <w:t xml:space="preserve">, sometimes </w:t>
      </w:r>
      <w:r w:rsidR="000D3F6F" w:rsidRPr="00B9649B">
        <w:rPr>
          <w:sz w:val="20"/>
          <w:szCs w:val="20"/>
        </w:rPr>
        <w:t>with some assistance from the</w:t>
      </w:r>
      <w:r w:rsidR="001B3158" w:rsidRPr="00B9649B">
        <w:rPr>
          <w:sz w:val="20"/>
          <w:szCs w:val="20"/>
        </w:rPr>
        <w:t xml:space="preserve"> Dean</w:t>
      </w:r>
      <w:r w:rsidR="000D3F6F" w:rsidRPr="00B9649B">
        <w:rPr>
          <w:sz w:val="20"/>
          <w:szCs w:val="20"/>
        </w:rPr>
        <w:t>’s</w:t>
      </w:r>
      <w:r w:rsidR="001B3158" w:rsidRPr="00B9649B">
        <w:rPr>
          <w:sz w:val="20"/>
          <w:szCs w:val="20"/>
        </w:rPr>
        <w:t xml:space="preserve"> of</w:t>
      </w:r>
      <w:r w:rsidR="000D3F6F" w:rsidRPr="00B9649B">
        <w:rPr>
          <w:sz w:val="20"/>
          <w:szCs w:val="20"/>
        </w:rPr>
        <w:t>fice</w:t>
      </w:r>
      <w:r w:rsidR="001B3158" w:rsidRPr="00B9649B">
        <w:rPr>
          <w:sz w:val="20"/>
          <w:szCs w:val="20"/>
        </w:rPr>
        <w:t xml:space="preserve">. Right there, the purpose of the study was explained and subjects willingly responded to the questionnaire and returned on the spot. The questionnaire used for data collection was validated by the authors with the help of experts in measurement and evaluation while the reliability </w:t>
      </w:r>
      <w:proofErr w:type="gramStart"/>
      <w:r w:rsidR="001B3158" w:rsidRPr="00B9649B">
        <w:rPr>
          <w:sz w:val="20"/>
          <w:szCs w:val="20"/>
        </w:rPr>
        <w:t>estimate</w:t>
      </w:r>
      <w:proofErr w:type="gramEnd"/>
      <w:r w:rsidR="001B3158" w:rsidRPr="00B9649B">
        <w:rPr>
          <w:sz w:val="20"/>
          <w:szCs w:val="20"/>
        </w:rPr>
        <w:t xml:space="preserve"> of .76 </w:t>
      </w:r>
      <w:r w:rsidR="00431B64" w:rsidRPr="00B9649B">
        <w:rPr>
          <w:sz w:val="20"/>
          <w:szCs w:val="20"/>
        </w:rPr>
        <w:t>to .85 was obtained using Cronb</w:t>
      </w:r>
      <w:r w:rsidR="001B3158" w:rsidRPr="00B9649B">
        <w:rPr>
          <w:sz w:val="20"/>
          <w:szCs w:val="20"/>
        </w:rPr>
        <w:t>ach Alpha index. The data collection exercise lasted for 1</w:t>
      </w:r>
      <w:r w:rsidR="000D3F6F" w:rsidRPr="00B9649B">
        <w:rPr>
          <w:sz w:val="20"/>
          <w:szCs w:val="20"/>
        </w:rPr>
        <w:t>2</w:t>
      </w:r>
      <w:r w:rsidR="001B3158" w:rsidRPr="00B9649B">
        <w:rPr>
          <w:sz w:val="20"/>
          <w:szCs w:val="20"/>
        </w:rPr>
        <w:t xml:space="preserve"> working days.</w:t>
      </w:r>
    </w:p>
    <w:p w:rsidR="001B3158" w:rsidRPr="00B9649B" w:rsidRDefault="001B3158" w:rsidP="001B3158">
      <w:pPr>
        <w:spacing w:line="360" w:lineRule="auto"/>
        <w:jc w:val="both"/>
        <w:rPr>
          <w:sz w:val="20"/>
          <w:szCs w:val="20"/>
        </w:rPr>
      </w:pPr>
      <w:r w:rsidRPr="00B9649B">
        <w:rPr>
          <w:b/>
          <w:bCs/>
          <w:sz w:val="20"/>
          <w:szCs w:val="20"/>
        </w:rPr>
        <w:t>Method of Data Analysis:</w:t>
      </w:r>
      <w:r w:rsidRPr="00B9649B">
        <w:rPr>
          <w:sz w:val="20"/>
          <w:szCs w:val="20"/>
        </w:rPr>
        <w:t xml:space="preserve"> Frequency and percentages were used to present and describe the result. The frequency for each type or response was determined and further converted to percentage to show the relative proportion of subjects that choose a</w:t>
      </w:r>
      <w:r w:rsidR="000D3F6F" w:rsidRPr="00B9649B">
        <w:rPr>
          <w:sz w:val="20"/>
          <w:szCs w:val="20"/>
        </w:rPr>
        <w:t xml:space="preserve"> </w:t>
      </w:r>
      <w:r w:rsidRPr="00B9649B">
        <w:rPr>
          <w:sz w:val="20"/>
          <w:szCs w:val="20"/>
        </w:rPr>
        <w:t>particular method</w:t>
      </w:r>
      <w:r w:rsidR="000D3F6F" w:rsidRPr="00B9649B">
        <w:rPr>
          <w:sz w:val="20"/>
          <w:szCs w:val="20"/>
        </w:rPr>
        <w:t xml:space="preserve"> </w:t>
      </w:r>
      <w:r w:rsidRPr="00B9649B">
        <w:rPr>
          <w:sz w:val="20"/>
          <w:szCs w:val="20"/>
        </w:rPr>
        <w:t>/</w:t>
      </w:r>
      <w:r w:rsidR="000D3F6F" w:rsidRPr="00B9649B">
        <w:rPr>
          <w:sz w:val="20"/>
          <w:szCs w:val="20"/>
        </w:rPr>
        <w:t xml:space="preserve"> approach</w:t>
      </w:r>
      <w:r w:rsidRPr="00B9649B">
        <w:rPr>
          <w:sz w:val="20"/>
          <w:szCs w:val="20"/>
        </w:rPr>
        <w:t>. Based on this, a frequency distribution table was prepared for the data</w:t>
      </w:r>
    </w:p>
    <w:p w:rsidR="001B3158" w:rsidRPr="00B9649B" w:rsidRDefault="00DD60ED" w:rsidP="001B3158">
      <w:pPr>
        <w:spacing w:line="360" w:lineRule="auto"/>
        <w:jc w:val="both"/>
        <w:rPr>
          <w:b/>
          <w:bCs/>
          <w:sz w:val="20"/>
          <w:szCs w:val="20"/>
        </w:rPr>
      </w:pPr>
      <w:r w:rsidRPr="00B9649B">
        <w:rPr>
          <w:b/>
          <w:bCs/>
          <w:sz w:val="20"/>
          <w:szCs w:val="20"/>
        </w:rPr>
        <w:t>Results/Findings</w:t>
      </w:r>
      <w:r w:rsidR="006743D6" w:rsidRPr="00B9649B">
        <w:rPr>
          <w:b/>
          <w:bCs/>
          <w:sz w:val="20"/>
          <w:szCs w:val="20"/>
        </w:rPr>
        <w:t xml:space="preserve"> of the study</w:t>
      </w:r>
    </w:p>
    <w:p w:rsidR="001B3158" w:rsidRPr="00B9649B" w:rsidRDefault="009504CD" w:rsidP="001B3158">
      <w:pPr>
        <w:ind w:left="1440" w:hanging="1440"/>
        <w:jc w:val="both"/>
        <w:rPr>
          <w:b/>
          <w:bCs/>
          <w:sz w:val="20"/>
          <w:szCs w:val="20"/>
        </w:rPr>
      </w:pPr>
      <w:r w:rsidRPr="00B9649B">
        <w:rPr>
          <w:b/>
          <w:bCs/>
          <w:sz w:val="20"/>
          <w:szCs w:val="20"/>
        </w:rPr>
        <w:t>Table 2</w:t>
      </w:r>
      <w:r w:rsidR="00F325EB" w:rsidRPr="00B9649B">
        <w:rPr>
          <w:b/>
          <w:bCs/>
          <w:sz w:val="20"/>
          <w:szCs w:val="20"/>
        </w:rPr>
        <w:t>: Women</w:t>
      </w:r>
      <w:r w:rsidRPr="00B9649B">
        <w:rPr>
          <w:b/>
          <w:bCs/>
          <w:sz w:val="20"/>
          <w:szCs w:val="20"/>
        </w:rPr>
        <w:t xml:space="preserve"> in Academics</w:t>
      </w:r>
      <w:r w:rsidR="001B3158" w:rsidRPr="00B9649B">
        <w:rPr>
          <w:b/>
          <w:bCs/>
          <w:sz w:val="20"/>
          <w:szCs w:val="20"/>
        </w:rPr>
        <w:t>’ Perspective of S</w:t>
      </w:r>
      <w:r w:rsidR="007D0F98" w:rsidRPr="00B9649B">
        <w:rPr>
          <w:b/>
          <w:bCs/>
          <w:sz w:val="20"/>
          <w:szCs w:val="20"/>
        </w:rPr>
        <w:t xml:space="preserve">trategies for Increasing Female </w:t>
      </w:r>
      <w:r w:rsidR="001B3158" w:rsidRPr="00B9649B">
        <w:rPr>
          <w:b/>
          <w:bCs/>
          <w:sz w:val="20"/>
          <w:szCs w:val="20"/>
        </w:rPr>
        <w:t xml:space="preserve">Participation in </w:t>
      </w:r>
      <w:r w:rsidRPr="00B9649B">
        <w:rPr>
          <w:b/>
          <w:bCs/>
          <w:sz w:val="20"/>
          <w:szCs w:val="20"/>
        </w:rPr>
        <w:t>university’s management</w:t>
      </w:r>
      <w:r w:rsidR="001B3158" w:rsidRPr="00B9649B">
        <w:rPr>
          <w:b/>
          <w:bCs/>
          <w:sz w:val="20"/>
          <w:szCs w:val="20"/>
        </w:rPr>
        <w:t xml:space="preserve">, </w:t>
      </w:r>
      <w:r w:rsidR="007D0F98" w:rsidRPr="00B9649B">
        <w:rPr>
          <w:b/>
          <w:bCs/>
          <w:sz w:val="20"/>
          <w:szCs w:val="20"/>
        </w:rPr>
        <w:t xml:space="preserve">ranked &amp; </w:t>
      </w:r>
      <w:r w:rsidR="001B3158" w:rsidRPr="00B9649B">
        <w:rPr>
          <w:b/>
          <w:bCs/>
          <w:sz w:val="20"/>
          <w:szCs w:val="20"/>
        </w:rPr>
        <w:t>rendered in percentage (%).</w:t>
      </w:r>
    </w:p>
    <w:tbl>
      <w:tblPr>
        <w:tblStyle w:val="TableGrid"/>
        <w:tblpPr w:leftFromText="180" w:rightFromText="180" w:vertAnchor="text" w:horzAnchor="margin" w:tblpY="136"/>
        <w:tblOverlap w:val="never"/>
        <w:tblW w:w="0" w:type="auto"/>
        <w:tblBorders>
          <w:left w:val="none" w:sz="0" w:space="0" w:color="auto"/>
          <w:right w:val="none" w:sz="0" w:space="0" w:color="auto"/>
          <w:insideV w:val="none" w:sz="0" w:space="0" w:color="auto"/>
        </w:tblBorders>
        <w:tblLook w:val="01E0" w:firstRow="1" w:lastRow="1" w:firstColumn="1" w:lastColumn="1" w:noHBand="0" w:noVBand="0"/>
      </w:tblPr>
      <w:tblGrid>
        <w:gridCol w:w="669"/>
        <w:gridCol w:w="6732"/>
        <w:gridCol w:w="1455"/>
      </w:tblGrid>
      <w:tr w:rsidR="001B3158" w:rsidRPr="00B9649B" w:rsidTr="007F2253">
        <w:tc>
          <w:tcPr>
            <w:tcW w:w="669" w:type="dxa"/>
            <w:tcBorders>
              <w:top w:val="thinThickSmallGap" w:sz="24" w:space="0" w:color="auto"/>
              <w:left w:val="nil"/>
              <w:bottom w:val="single" w:sz="4" w:space="0" w:color="auto"/>
              <w:right w:val="nil"/>
            </w:tcBorders>
            <w:hideMark/>
          </w:tcPr>
          <w:p w:rsidR="001B3158" w:rsidRPr="00B9649B" w:rsidRDefault="001B3158" w:rsidP="007F2253">
            <w:pPr>
              <w:jc w:val="both"/>
              <w:rPr>
                <w:b/>
                <w:bCs/>
                <w:sz w:val="20"/>
                <w:szCs w:val="20"/>
              </w:rPr>
            </w:pPr>
            <w:r w:rsidRPr="00B9649B">
              <w:rPr>
                <w:b/>
                <w:bCs/>
                <w:sz w:val="20"/>
                <w:szCs w:val="20"/>
              </w:rPr>
              <w:t>S/N</w:t>
            </w:r>
          </w:p>
        </w:tc>
        <w:tc>
          <w:tcPr>
            <w:tcW w:w="6732" w:type="dxa"/>
            <w:tcBorders>
              <w:top w:val="thinThickSmallGap" w:sz="24" w:space="0" w:color="auto"/>
              <w:left w:val="nil"/>
              <w:bottom w:val="single" w:sz="4" w:space="0" w:color="auto"/>
              <w:right w:val="nil"/>
            </w:tcBorders>
            <w:hideMark/>
          </w:tcPr>
          <w:p w:rsidR="001B3158" w:rsidRPr="00B9649B" w:rsidRDefault="001B3158" w:rsidP="007F2253">
            <w:pPr>
              <w:jc w:val="both"/>
              <w:rPr>
                <w:b/>
                <w:bCs/>
                <w:sz w:val="20"/>
                <w:szCs w:val="20"/>
              </w:rPr>
            </w:pPr>
            <w:r w:rsidRPr="00B9649B">
              <w:rPr>
                <w:b/>
                <w:bCs/>
                <w:sz w:val="20"/>
                <w:szCs w:val="20"/>
              </w:rPr>
              <w:t>Strategy Description</w:t>
            </w:r>
          </w:p>
        </w:tc>
        <w:tc>
          <w:tcPr>
            <w:tcW w:w="1455" w:type="dxa"/>
            <w:tcBorders>
              <w:top w:val="thinThickSmallGap" w:sz="24" w:space="0" w:color="auto"/>
              <w:left w:val="nil"/>
              <w:bottom w:val="single" w:sz="4" w:space="0" w:color="auto"/>
              <w:right w:val="nil"/>
            </w:tcBorders>
            <w:hideMark/>
          </w:tcPr>
          <w:p w:rsidR="001B3158" w:rsidRPr="00B9649B" w:rsidRDefault="001B3158" w:rsidP="007F2253">
            <w:pPr>
              <w:jc w:val="both"/>
              <w:rPr>
                <w:b/>
                <w:bCs/>
                <w:sz w:val="20"/>
                <w:szCs w:val="20"/>
              </w:rPr>
            </w:pPr>
            <w:r w:rsidRPr="00B9649B">
              <w:rPr>
                <w:b/>
                <w:bCs/>
                <w:sz w:val="20"/>
                <w:szCs w:val="20"/>
              </w:rPr>
              <w:t xml:space="preserve">Responses </w:t>
            </w:r>
          </w:p>
        </w:tc>
      </w:tr>
      <w:tr w:rsidR="001B3158" w:rsidRPr="00B9649B" w:rsidTr="007F2253">
        <w:tc>
          <w:tcPr>
            <w:tcW w:w="669" w:type="dxa"/>
            <w:tcBorders>
              <w:top w:val="single"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1</w:t>
            </w:r>
          </w:p>
        </w:tc>
        <w:tc>
          <w:tcPr>
            <w:tcW w:w="6732" w:type="dxa"/>
            <w:tcBorders>
              <w:top w:val="single"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Attitude orientation of female</w:t>
            </w:r>
            <w:r w:rsidR="00AC4EE0" w:rsidRPr="00B9649B">
              <w:rPr>
                <w:sz w:val="20"/>
                <w:szCs w:val="20"/>
              </w:rPr>
              <w:t xml:space="preserve"> academics</w:t>
            </w:r>
            <w:r w:rsidRPr="00B9649B">
              <w:rPr>
                <w:sz w:val="20"/>
                <w:szCs w:val="20"/>
              </w:rPr>
              <w:t xml:space="preserve"> </w:t>
            </w:r>
          </w:p>
        </w:tc>
        <w:tc>
          <w:tcPr>
            <w:tcW w:w="1455" w:type="dxa"/>
            <w:tcBorders>
              <w:top w:val="single" w:sz="4" w:space="0" w:color="auto"/>
              <w:left w:val="nil"/>
              <w:bottom w:val="dotDotDash" w:sz="4" w:space="0" w:color="auto"/>
              <w:right w:val="nil"/>
            </w:tcBorders>
            <w:hideMark/>
          </w:tcPr>
          <w:p w:rsidR="001B3158" w:rsidRPr="00B9649B" w:rsidRDefault="00A16292" w:rsidP="007F2253">
            <w:pPr>
              <w:jc w:val="both"/>
              <w:rPr>
                <w:sz w:val="20"/>
                <w:szCs w:val="20"/>
              </w:rPr>
            </w:pPr>
            <w:r w:rsidRPr="00B9649B">
              <w:rPr>
                <w:sz w:val="20"/>
                <w:szCs w:val="20"/>
              </w:rPr>
              <w:t>125</w:t>
            </w:r>
            <w:r w:rsidR="001B3158" w:rsidRPr="00B9649B">
              <w:rPr>
                <w:sz w:val="20"/>
                <w:szCs w:val="20"/>
              </w:rPr>
              <w:t>(</w:t>
            </w:r>
            <w:r w:rsidRPr="00B9649B">
              <w:rPr>
                <w:sz w:val="20"/>
                <w:szCs w:val="20"/>
              </w:rPr>
              <w:t>50</w:t>
            </w:r>
            <w:r w:rsidR="001B3158" w:rsidRPr="00B9649B">
              <w:rPr>
                <w:sz w:val="20"/>
                <w:szCs w:val="20"/>
              </w:rPr>
              <w:t>)</w:t>
            </w:r>
            <w:r w:rsidR="006743D6" w:rsidRPr="00B9649B">
              <w:rPr>
                <w:sz w:val="20"/>
                <w:szCs w:val="20"/>
              </w:rPr>
              <w:t xml:space="preserve"> </w:t>
            </w:r>
            <w:r w:rsidR="00112088" w:rsidRPr="00B9649B">
              <w:rPr>
                <w:sz w:val="20"/>
                <w:szCs w:val="20"/>
              </w:rPr>
              <w:t>15</w:t>
            </w:r>
            <w:r w:rsidR="006743D6" w:rsidRPr="00B9649B">
              <w:rPr>
                <w:sz w:val="20"/>
                <w:szCs w:val="20"/>
                <w:vertAlign w:val="superscript"/>
              </w:rPr>
              <w:t>th</w:t>
            </w:r>
            <w:r w:rsidR="006743D6" w:rsidRPr="00B9649B">
              <w:rPr>
                <w:sz w:val="20"/>
                <w:szCs w:val="20"/>
              </w:rPr>
              <w:t xml:space="preserve"> </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2</w:t>
            </w:r>
          </w:p>
        </w:tc>
        <w:tc>
          <w:tcPr>
            <w:tcW w:w="6732" w:type="dxa"/>
            <w:tcBorders>
              <w:top w:val="dotDotDash" w:sz="4" w:space="0" w:color="auto"/>
              <w:left w:val="nil"/>
              <w:bottom w:val="dotDotDash" w:sz="4" w:space="0" w:color="auto"/>
              <w:right w:val="nil"/>
            </w:tcBorders>
            <w:hideMark/>
          </w:tcPr>
          <w:p w:rsidR="001B3158" w:rsidRPr="00B9649B" w:rsidRDefault="00AC4EE0" w:rsidP="007F2253">
            <w:pPr>
              <w:jc w:val="both"/>
              <w:rPr>
                <w:sz w:val="20"/>
                <w:szCs w:val="20"/>
              </w:rPr>
            </w:pPr>
            <w:r w:rsidRPr="00B9649B">
              <w:rPr>
                <w:sz w:val="20"/>
                <w:szCs w:val="20"/>
              </w:rPr>
              <w:t>Identify</w:t>
            </w:r>
            <w:r w:rsidR="00005B89" w:rsidRPr="00B9649B">
              <w:rPr>
                <w:sz w:val="20"/>
                <w:szCs w:val="20"/>
              </w:rPr>
              <w:t>ing</w:t>
            </w:r>
            <w:r w:rsidRPr="00B9649B">
              <w:rPr>
                <w:sz w:val="20"/>
                <w:szCs w:val="20"/>
              </w:rPr>
              <w:t xml:space="preserve"> all barriers to gender equity &amp; discuss</w:t>
            </w:r>
            <w:r w:rsidR="00005B89" w:rsidRPr="00B9649B">
              <w:rPr>
                <w:sz w:val="20"/>
                <w:szCs w:val="20"/>
              </w:rPr>
              <w:t>ing</w:t>
            </w:r>
            <w:r w:rsidRPr="00B9649B">
              <w:rPr>
                <w:sz w:val="20"/>
                <w:szCs w:val="20"/>
              </w:rPr>
              <w:t xml:space="preserve"> best practices</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230 (92</w:t>
            </w:r>
            <w:r w:rsidR="001B3158" w:rsidRPr="00B9649B">
              <w:rPr>
                <w:sz w:val="20"/>
                <w:szCs w:val="20"/>
              </w:rPr>
              <w:t>)</w:t>
            </w:r>
            <w:r w:rsidR="0054131B" w:rsidRPr="00B9649B">
              <w:rPr>
                <w:sz w:val="20"/>
                <w:szCs w:val="20"/>
              </w:rPr>
              <w:t xml:space="preserve"> 4</w:t>
            </w:r>
            <w:r w:rsidR="0054131B" w:rsidRPr="00B9649B">
              <w:rPr>
                <w:sz w:val="20"/>
                <w:szCs w:val="20"/>
                <w:vertAlign w:val="superscript"/>
              </w:rPr>
              <w:t>th</w:t>
            </w:r>
            <w:r w:rsidR="0054131B" w:rsidRPr="00B9649B">
              <w:rPr>
                <w:sz w:val="20"/>
                <w:szCs w:val="20"/>
              </w:rPr>
              <w:t xml:space="preserve"> </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lastRenderedPageBreak/>
              <w:t>3</w:t>
            </w:r>
          </w:p>
        </w:tc>
        <w:tc>
          <w:tcPr>
            <w:tcW w:w="6732" w:type="dxa"/>
            <w:tcBorders>
              <w:top w:val="dotDotDash" w:sz="4" w:space="0" w:color="auto"/>
              <w:left w:val="nil"/>
              <w:bottom w:val="dotDotDash" w:sz="4" w:space="0" w:color="auto"/>
              <w:right w:val="nil"/>
            </w:tcBorders>
            <w:hideMark/>
          </w:tcPr>
          <w:p w:rsidR="001B3158" w:rsidRPr="00B9649B" w:rsidRDefault="00AC4EE0" w:rsidP="007F2253">
            <w:pPr>
              <w:jc w:val="both"/>
              <w:rPr>
                <w:sz w:val="20"/>
                <w:szCs w:val="20"/>
              </w:rPr>
            </w:pPr>
            <w:r w:rsidRPr="00B9649B">
              <w:rPr>
                <w:sz w:val="20"/>
                <w:szCs w:val="20"/>
              </w:rPr>
              <w:t xml:space="preserve">Provision of </w:t>
            </w:r>
            <w:r w:rsidR="00FE3A85" w:rsidRPr="00B9649B">
              <w:rPr>
                <w:sz w:val="20"/>
                <w:szCs w:val="20"/>
              </w:rPr>
              <w:t xml:space="preserve">enforceable </w:t>
            </w:r>
            <w:r w:rsidRPr="00B9649B">
              <w:rPr>
                <w:sz w:val="20"/>
                <w:szCs w:val="20"/>
              </w:rPr>
              <w:t>inclu</w:t>
            </w:r>
            <w:r w:rsidR="009504CD" w:rsidRPr="00B9649B">
              <w:rPr>
                <w:sz w:val="20"/>
                <w:szCs w:val="20"/>
              </w:rPr>
              <w:t>sion and diversity policy in</w:t>
            </w:r>
            <w:r w:rsidRPr="00B9649B">
              <w:rPr>
                <w:sz w:val="20"/>
                <w:szCs w:val="20"/>
              </w:rPr>
              <w:t xml:space="preserve"> universit</w:t>
            </w:r>
            <w:r w:rsidR="009504CD" w:rsidRPr="00B9649B">
              <w:rPr>
                <w:sz w:val="20"/>
                <w:szCs w:val="20"/>
              </w:rPr>
              <w:t>ies</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180</w:t>
            </w:r>
            <w:r w:rsidR="001B3158" w:rsidRPr="00B9649B">
              <w:rPr>
                <w:sz w:val="20"/>
                <w:szCs w:val="20"/>
              </w:rPr>
              <w:t xml:space="preserve"> (</w:t>
            </w:r>
            <w:r w:rsidRPr="00B9649B">
              <w:rPr>
                <w:sz w:val="20"/>
                <w:szCs w:val="20"/>
              </w:rPr>
              <w:t>72</w:t>
            </w:r>
            <w:r w:rsidR="001B3158" w:rsidRPr="00B9649B">
              <w:rPr>
                <w:sz w:val="20"/>
                <w:szCs w:val="20"/>
              </w:rPr>
              <w:t>)</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4</w:t>
            </w:r>
          </w:p>
        </w:tc>
        <w:tc>
          <w:tcPr>
            <w:tcW w:w="6732"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Con</w:t>
            </w:r>
            <w:r w:rsidR="00AC4EE0" w:rsidRPr="00B9649B">
              <w:rPr>
                <w:sz w:val="20"/>
                <w:szCs w:val="20"/>
              </w:rPr>
              <w:t>front</w:t>
            </w:r>
            <w:r w:rsidR="009504CD" w:rsidRPr="00B9649B">
              <w:rPr>
                <w:sz w:val="20"/>
                <w:szCs w:val="20"/>
              </w:rPr>
              <w:t>ing</w:t>
            </w:r>
            <w:r w:rsidR="00AC4EE0" w:rsidRPr="00B9649B">
              <w:rPr>
                <w:sz w:val="20"/>
                <w:szCs w:val="20"/>
              </w:rPr>
              <w:t xml:space="preserve"> </w:t>
            </w:r>
            <w:r w:rsidR="009504CD" w:rsidRPr="00B9649B">
              <w:rPr>
                <w:sz w:val="20"/>
                <w:szCs w:val="20"/>
              </w:rPr>
              <w:t xml:space="preserve">your </w:t>
            </w:r>
            <w:r w:rsidR="00AC4EE0" w:rsidRPr="00B9649B">
              <w:rPr>
                <w:sz w:val="20"/>
                <w:szCs w:val="20"/>
              </w:rPr>
              <w:t xml:space="preserve">institution’s gender diversity issue head on </w:t>
            </w:r>
          </w:p>
        </w:tc>
        <w:tc>
          <w:tcPr>
            <w:tcW w:w="1455" w:type="dxa"/>
            <w:tcBorders>
              <w:top w:val="dotDotDash" w:sz="4" w:space="0" w:color="auto"/>
              <w:left w:val="nil"/>
              <w:bottom w:val="dotDotDash" w:sz="4" w:space="0" w:color="auto"/>
              <w:right w:val="nil"/>
            </w:tcBorders>
            <w:hideMark/>
          </w:tcPr>
          <w:p w:rsidR="001B3158" w:rsidRPr="00B9649B" w:rsidRDefault="006743D6" w:rsidP="007F2253">
            <w:pPr>
              <w:jc w:val="both"/>
              <w:rPr>
                <w:sz w:val="20"/>
                <w:szCs w:val="20"/>
              </w:rPr>
            </w:pPr>
            <w:r w:rsidRPr="00B9649B">
              <w:rPr>
                <w:sz w:val="20"/>
                <w:szCs w:val="20"/>
              </w:rPr>
              <w:t>135</w:t>
            </w:r>
            <w:r w:rsidR="007D0F98" w:rsidRPr="00B9649B">
              <w:rPr>
                <w:sz w:val="20"/>
                <w:szCs w:val="20"/>
              </w:rPr>
              <w:t>(54</w:t>
            </w:r>
            <w:r w:rsidR="001B3158" w:rsidRPr="00B9649B">
              <w:rPr>
                <w:sz w:val="20"/>
                <w:szCs w:val="20"/>
              </w:rPr>
              <w:t>)</w:t>
            </w:r>
            <w:r w:rsidRPr="00B9649B">
              <w:rPr>
                <w:sz w:val="20"/>
                <w:szCs w:val="20"/>
              </w:rPr>
              <w:t>13</w:t>
            </w:r>
            <w:r w:rsidRPr="00B9649B">
              <w:rPr>
                <w:sz w:val="20"/>
                <w:szCs w:val="20"/>
                <w:vertAlign w:val="superscript"/>
              </w:rPr>
              <w:t>th</w:t>
            </w:r>
            <w:r w:rsidRPr="00B9649B">
              <w:rPr>
                <w:sz w:val="20"/>
                <w:szCs w:val="20"/>
              </w:rPr>
              <w:t xml:space="preserve">  </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5</w:t>
            </w:r>
          </w:p>
        </w:tc>
        <w:tc>
          <w:tcPr>
            <w:tcW w:w="6732" w:type="dxa"/>
            <w:tcBorders>
              <w:top w:val="dotDotDash" w:sz="4" w:space="0" w:color="auto"/>
              <w:left w:val="nil"/>
              <w:bottom w:val="dotDotDash" w:sz="4" w:space="0" w:color="auto"/>
              <w:right w:val="nil"/>
            </w:tcBorders>
            <w:hideMark/>
          </w:tcPr>
          <w:p w:rsidR="001B3158" w:rsidRPr="00B9649B" w:rsidRDefault="00AC4EE0" w:rsidP="007F2253">
            <w:pPr>
              <w:jc w:val="both"/>
              <w:rPr>
                <w:sz w:val="20"/>
                <w:szCs w:val="20"/>
              </w:rPr>
            </w:pPr>
            <w:r w:rsidRPr="00B9649B">
              <w:rPr>
                <w:sz w:val="20"/>
                <w:szCs w:val="20"/>
              </w:rPr>
              <w:t xml:space="preserve">Setting up strategic </w:t>
            </w:r>
            <w:r w:rsidR="00C82D8A" w:rsidRPr="00B9649B">
              <w:rPr>
                <w:sz w:val="20"/>
                <w:szCs w:val="20"/>
              </w:rPr>
              <w:t>insti</w:t>
            </w:r>
            <w:r w:rsidR="00005B89" w:rsidRPr="00B9649B">
              <w:rPr>
                <w:sz w:val="20"/>
                <w:szCs w:val="20"/>
              </w:rPr>
              <w:t>tution-wide objectives on</w:t>
            </w:r>
            <w:r w:rsidR="00C82D8A" w:rsidRPr="00B9649B">
              <w:rPr>
                <w:sz w:val="20"/>
                <w:szCs w:val="20"/>
              </w:rPr>
              <w:t xml:space="preserve"> gender </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 xml:space="preserve">235 </w:t>
            </w:r>
            <w:r w:rsidR="001B3158" w:rsidRPr="00B9649B">
              <w:rPr>
                <w:sz w:val="20"/>
                <w:szCs w:val="20"/>
              </w:rPr>
              <w:t>(</w:t>
            </w:r>
            <w:r w:rsidRPr="00B9649B">
              <w:rPr>
                <w:sz w:val="20"/>
                <w:szCs w:val="20"/>
              </w:rPr>
              <w:t>94</w:t>
            </w:r>
            <w:r w:rsidR="001B3158" w:rsidRPr="00B9649B">
              <w:rPr>
                <w:sz w:val="20"/>
                <w:szCs w:val="20"/>
              </w:rPr>
              <w:t>)</w:t>
            </w:r>
            <w:r w:rsidR="0054131B" w:rsidRPr="00B9649B">
              <w:rPr>
                <w:sz w:val="20"/>
                <w:szCs w:val="20"/>
              </w:rPr>
              <w:t xml:space="preserve"> 3</w:t>
            </w:r>
            <w:r w:rsidR="0054131B" w:rsidRPr="00B9649B">
              <w:rPr>
                <w:sz w:val="20"/>
                <w:szCs w:val="20"/>
                <w:vertAlign w:val="superscript"/>
              </w:rPr>
              <w:t>rd</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6</w:t>
            </w:r>
          </w:p>
        </w:tc>
        <w:tc>
          <w:tcPr>
            <w:tcW w:w="6732" w:type="dxa"/>
            <w:tcBorders>
              <w:top w:val="dotDotDash" w:sz="4" w:space="0" w:color="auto"/>
              <w:left w:val="nil"/>
              <w:bottom w:val="dotDotDash" w:sz="4" w:space="0" w:color="auto"/>
              <w:right w:val="nil"/>
            </w:tcBorders>
            <w:hideMark/>
          </w:tcPr>
          <w:p w:rsidR="001B3158" w:rsidRPr="00B9649B" w:rsidRDefault="00C82D8A" w:rsidP="007F2253">
            <w:pPr>
              <w:jc w:val="both"/>
              <w:rPr>
                <w:sz w:val="20"/>
                <w:szCs w:val="20"/>
              </w:rPr>
            </w:pPr>
            <w:r w:rsidRPr="00B9649B">
              <w:rPr>
                <w:sz w:val="20"/>
                <w:szCs w:val="20"/>
              </w:rPr>
              <w:t>Offer</w:t>
            </w:r>
            <w:r w:rsidR="009504CD" w:rsidRPr="00B9649B">
              <w:rPr>
                <w:sz w:val="20"/>
                <w:szCs w:val="20"/>
              </w:rPr>
              <w:t>ing</w:t>
            </w:r>
            <w:r w:rsidRPr="00B9649B">
              <w:rPr>
                <w:sz w:val="20"/>
                <w:szCs w:val="20"/>
              </w:rPr>
              <w:t xml:space="preserve"> f</w:t>
            </w:r>
            <w:r w:rsidR="009504CD" w:rsidRPr="00B9649B">
              <w:rPr>
                <w:sz w:val="20"/>
                <w:szCs w:val="20"/>
              </w:rPr>
              <w:t>e</w:t>
            </w:r>
            <w:r w:rsidRPr="00B9649B">
              <w:rPr>
                <w:sz w:val="20"/>
                <w:szCs w:val="20"/>
              </w:rPr>
              <w:t>mal</w:t>
            </w:r>
            <w:r w:rsidR="009504CD" w:rsidRPr="00B9649B">
              <w:rPr>
                <w:sz w:val="20"/>
                <w:szCs w:val="20"/>
              </w:rPr>
              <w:t>es formal</w:t>
            </w:r>
            <w:r w:rsidRPr="00B9649B">
              <w:rPr>
                <w:sz w:val="20"/>
                <w:szCs w:val="20"/>
              </w:rPr>
              <w:t xml:space="preserve"> mentoring &amp; leadership development opportunities</w:t>
            </w:r>
            <w:r w:rsidR="001B3158" w:rsidRPr="00B9649B">
              <w:rPr>
                <w:sz w:val="20"/>
                <w:szCs w:val="20"/>
              </w:rPr>
              <w:t xml:space="preserve"> </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240</w:t>
            </w:r>
            <w:r w:rsidR="001B3158" w:rsidRPr="00B9649B">
              <w:rPr>
                <w:sz w:val="20"/>
                <w:szCs w:val="20"/>
              </w:rPr>
              <w:t xml:space="preserve"> (9</w:t>
            </w:r>
            <w:r w:rsidRPr="00B9649B">
              <w:rPr>
                <w:sz w:val="20"/>
                <w:szCs w:val="20"/>
              </w:rPr>
              <w:t>6</w:t>
            </w:r>
            <w:r w:rsidR="001B3158" w:rsidRPr="00B9649B">
              <w:rPr>
                <w:sz w:val="20"/>
                <w:szCs w:val="20"/>
              </w:rPr>
              <w:t>)</w:t>
            </w:r>
            <w:r w:rsidR="0054131B" w:rsidRPr="00B9649B">
              <w:rPr>
                <w:sz w:val="20"/>
                <w:szCs w:val="20"/>
              </w:rPr>
              <w:t xml:space="preserve"> 1</w:t>
            </w:r>
            <w:r w:rsidR="0054131B" w:rsidRPr="00B9649B">
              <w:rPr>
                <w:sz w:val="20"/>
                <w:szCs w:val="20"/>
                <w:vertAlign w:val="superscript"/>
              </w:rPr>
              <w:t>st</w:t>
            </w:r>
            <w:r w:rsidR="0054131B" w:rsidRPr="00B9649B">
              <w:rPr>
                <w:sz w:val="20"/>
                <w:szCs w:val="20"/>
              </w:rPr>
              <w:t xml:space="preserve"> </w:t>
            </w:r>
          </w:p>
        </w:tc>
      </w:tr>
      <w:tr w:rsidR="001B3158" w:rsidRPr="00B9649B" w:rsidTr="007F2253">
        <w:tc>
          <w:tcPr>
            <w:tcW w:w="669" w:type="dxa"/>
            <w:tcBorders>
              <w:top w:val="single"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7</w:t>
            </w:r>
          </w:p>
        </w:tc>
        <w:tc>
          <w:tcPr>
            <w:tcW w:w="6732" w:type="dxa"/>
            <w:tcBorders>
              <w:top w:val="single" w:sz="4" w:space="0" w:color="auto"/>
              <w:left w:val="nil"/>
              <w:bottom w:val="dotDotDash" w:sz="4" w:space="0" w:color="auto"/>
              <w:right w:val="nil"/>
            </w:tcBorders>
            <w:hideMark/>
          </w:tcPr>
          <w:p w:rsidR="001B3158" w:rsidRPr="00B9649B" w:rsidRDefault="009504CD" w:rsidP="007F2253">
            <w:pPr>
              <w:jc w:val="both"/>
              <w:rPr>
                <w:sz w:val="20"/>
                <w:szCs w:val="20"/>
              </w:rPr>
            </w:pPr>
            <w:r w:rsidRPr="00B9649B">
              <w:rPr>
                <w:sz w:val="20"/>
                <w:szCs w:val="20"/>
              </w:rPr>
              <w:t>Rev</w:t>
            </w:r>
            <w:r w:rsidR="001B3158" w:rsidRPr="00B9649B">
              <w:rPr>
                <w:sz w:val="20"/>
                <w:szCs w:val="20"/>
              </w:rPr>
              <w:t>i</w:t>
            </w:r>
            <w:r w:rsidRPr="00B9649B">
              <w:rPr>
                <w:sz w:val="20"/>
                <w:szCs w:val="20"/>
              </w:rPr>
              <w:t>ewing</w:t>
            </w:r>
            <w:r w:rsidR="001B3158" w:rsidRPr="00B9649B">
              <w:rPr>
                <w:sz w:val="20"/>
                <w:szCs w:val="20"/>
              </w:rPr>
              <w:t xml:space="preserve"> of </w:t>
            </w:r>
            <w:r w:rsidRPr="00B9649B">
              <w:rPr>
                <w:sz w:val="20"/>
                <w:szCs w:val="20"/>
              </w:rPr>
              <w:t>discriminatory appointment and promotion procedures</w:t>
            </w:r>
            <w:r w:rsidR="001B3158" w:rsidRPr="00B9649B">
              <w:rPr>
                <w:sz w:val="20"/>
                <w:szCs w:val="20"/>
              </w:rPr>
              <w:t xml:space="preserve"> </w:t>
            </w:r>
          </w:p>
        </w:tc>
        <w:tc>
          <w:tcPr>
            <w:tcW w:w="1455" w:type="dxa"/>
            <w:tcBorders>
              <w:top w:val="single"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1</w:t>
            </w:r>
            <w:r w:rsidR="001B3158" w:rsidRPr="00B9649B">
              <w:rPr>
                <w:sz w:val="20"/>
                <w:szCs w:val="20"/>
              </w:rPr>
              <w:t>8</w:t>
            </w:r>
            <w:r w:rsidRPr="00B9649B">
              <w:rPr>
                <w:sz w:val="20"/>
                <w:szCs w:val="20"/>
              </w:rPr>
              <w:t>0 (72</w:t>
            </w:r>
            <w:r w:rsidR="001B3158" w:rsidRPr="00B9649B">
              <w:rPr>
                <w:sz w:val="20"/>
                <w:szCs w:val="20"/>
              </w:rPr>
              <w:t>)</w:t>
            </w:r>
            <w:r w:rsidR="006743D6" w:rsidRPr="00B9649B">
              <w:rPr>
                <w:sz w:val="20"/>
                <w:szCs w:val="20"/>
              </w:rPr>
              <w:t xml:space="preserve"> 9</w:t>
            </w:r>
            <w:r w:rsidR="006743D6" w:rsidRPr="00B9649B">
              <w:rPr>
                <w:sz w:val="20"/>
                <w:szCs w:val="20"/>
                <w:vertAlign w:val="superscript"/>
              </w:rPr>
              <w:t>th</w:t>
            </w:r>
            <w:r w:rsidR="006743D6" w:rsidRPr="00B9649B">
              <w:rPr>
                <w:sz w:val="20"/>
                <w:szCs w:val="20"/>
              </w:rPr>
              <w:t xml:space="preserve"> </w:t>
            </w:r>
          </w:p>
        </w:tc>
      </w:tr>
      <w:tr w:rsidR="001B3158" w:rsidRPr="00B9649B" w:rsidTr="007F2253">
        <w:tc>
          <w:tcPr>
            <w:tcW w:w="669" w:type="dxa"/>
            <w:tcBorders>
              <w:top w:val="single"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8</w:t>
            </w:r>
          </w:p>
        </w:tc>
        <w:tc>
          <w:tcPr>
            <w:tcW w:w="6732" w:type="dxa"/>
            <w:tcBorders>
              <w:top w:val="single"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 xml:space="preserve">Adoption of </w:t>
            </w:r>
            <w:r w:rsidR="009504CD" w:rsidRPr="00B9649B">
              <w:rPr>
                <w:sz w:val="20"/>
                <w:szCs w:val="20"/>
              </w:rPr>
              <w:t xml:space="preserve">affirmative action to </w:t>
            </w:r>
            <w:proofErr w:type="spellStart"/>
            <w:r w:rsidR="009504CD" w:rsidRPr="00B9649B">
              <w:rPr>
                <w:sz w:val="20"/>
                <w:szCs w:val="20"/>
              </w:rPr>
              <w:t>favour</w:t>
            </w:r>
            <w:proofErr w:type="spellEnd"/>
            <w:r w:rsidR="009504CD" w:rsidRPr="00B9649B">
              <w:rPr>
                <w:sz w:val="20"/>
                <w:szCs w:val="20"/>
              </w:rPr>
              <w:t xml:space="preserve"> women participation</w:t>
            </w:r>
          </w:p>
        </w:tc>
        <w:tc>
          <w:tcPr>
            <w:tcW w:w="1455" w:type="dxa"/>
            <w:tcBorders>
              <w:top w:val="single"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195 (78</w:t>
            </w:r>
            <w:r w:rsidR="001B3158" w:rsidRPr="00B9649B">
              <w:rPr>
                <w:sz w:val="20"/>
                <w:szCs w:val="20"/>
              </w:rPr>
              <w:t>)</w:t>
            </w:r>
            <w:r w:rsidR="006743D6" w:rsidRPr="00B9649B">
              <w:rPr>
                <w:sz w:val="20"/>
                <w:szCs w:val="20"/>
              </w:rPr>
              <w:t xml:space="preserve"> 8</w:t>
            </w:r>
            <w:r w:rsidR="006743D6" w:rsidRPr="00B9649B">
              <w:rPr>
                <w:sz w:val="20"/>
                <w:szCs w:val="20"/>
                <w:vertAlign w:val="superscript"/>
              </w:rPr>
              <w:t>th</w:t>
            </w:r>
            <w:r w:rsidR="006743D6" w:rsidRPr="00B9649B">
              <w:rPr>
                <w:sz w:val="20"/>
                <w:szCs w:val="20"/>
              </w:rPr>
              <w:t xml:space="preserve"> </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9</w:t>
            </w:r>
          </w:p>
        </w:tc>
        <w:tc>
          <w:tcPr>
            <w:tcW w:w="6732" w:type="dxa"/>
            <w:tcBorders>
              <w:top w:val="dotDotDash" w:sz="4" w:space="0" w:color="auto"/>
              <w:left w:val="nil"/>
              <w:bottom w:val="dotDotDash" w:sz="4" w:space="0" w:color="auto"/>
              <w:right w:val="nil"/>
            </w:tcBorders>
            <w:hideMark/>
          </w:tcPr>
          <w:p w:rsidR="001B3158" w:rsidRPr="00B9649B" w:rsidRDefault="00FE3A85" w:rsidP="007F2253">
            <w:pPr>
              <w:jc w:val="both"/>
              <w:rPr>
                <w:sz w:val="20"/>
                <w:szCs w:val="20"/>
              </w:rPr>
            </w:pPr>
            <w:r w:rsidRPr="00B9649B">
              <w:rPr>
                <w:sz w:val="20"/>
                <w:szCs w:val="20"/>
              </w:rPr>
              <w:t>Ensuring genuine change in attitudes towards full gender</w:t>
            </w:r>
            <w:r w:rsidR="001B3158" w:rsidRPr="00B9649B">
              <w:rPr>
                <w:sz w:val="20"/>
                <w:szCs w:val="20"/>
              </w:rPr>
              <w:t xml:space="preserve"> </w:t>
            </w:r>
            <w:r w:rsidRPr="00B9649B">
              <w:rPr>
                <w:sz w:val="20"/>
                <w:szCs w:val="20"/>
              </w:rPr>
              <w:t>equity</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230</w:t>
            </w:r>
            <w:r w:rsidR="001B3158" w:rsidRPr="00B9649B">
              <w:rPr>
                <w:sz w:val="20"/>
                <w:szCs w:val="20"/>
              </w:rPr>
              <w:t xml:space="preserve"> (</w:t>
            </w:r>
            <w:r w:rsidRPr="00B9649B">
              <w:rPr>
                <w:sz w:val="20"/>
                <w:szCs w:val="20"/>
              </w:rPr>
              <w:t>92</w:t>
            </w:r>
            <w:r w:rsidR="001B3158" w:rsidRPr="00B9649B">
              <w:rPr>
                <w:sz w:val="20"/>
                <w:szCs w:val="20"/>
              </w:rPr>
              <w:t>)</w:t>
            </w:r>
            <w:r w:rsidR="0054131B" w:rsidRPr="00B9649B">
              <w:rPr>
                <w:sz w:val="20"/>
                <w:szCs w:val="20"/>
              </w:rPr>
              <w:t xml:space="preserve"> 4</w:t>
            </w:r>
            <w:r w:rsidR="0054131B" w:rsidRPr="00B9649B">
              <w:rPr>
                <w:sz w:val="20"/>
                <w:szCs w:val="20"/>
                <w:vertAlign w:val="superscript"/>
              </w:rPr>
              <w:t>th</w:t>
            </w:r>
            <w:r w:rsidR="0054131B" w:rsidRPr="00B9649B">
              <w:rPr>
                <w:sz w:val="20"/>
                <w:szCs w:val="20"/>
              </w:rPr>
              <w:t xml:space="preserve">  </w:t>
            </w:r>
          </w:p>
        </w:tc>
      </w:tr>
      <w:tr w:rsidR="001B3158" w:rsidRPr="00B9649B" w:rsidTr="007F2253">
        <w:tc>
          <w:tcPr>
            <w:tcW w:w="669" w:type="dxa"/>
            <w:tcBorders>
              <w:top w:val="dotDotDash" w:sz="4" w:space="0" w:color="auto"/>
              <w:left w:val="nil"/>
              <w:bottom w:val="dotDotDash" w:sz="4" w:space="0" w:color="auto"/>
              <w:right w:val="nil"/>
            </w:tcBorders>
            <w:hideMark/>
          </w:tcPr>
          <w:p w:rsidR="001B3158" w:rsidRPr="00B9649B" w:rsidRDefault="001B3158" w:rsidP="007F2253">
            <w:pPr>
              <w:jc w:val="both"/>
              <w:rPr>
                <w:sz w:val="20"/>
                <w:szCs w:val="20"/>
              </w:rPr>
            </w:pPr>
            <w:r w:rsidRPr="00B9649B">
              <w:rPr>
                <w:sz w:val="20"/>
                <w:szCs w:val="20"/>
              </w:rPr>
              <w:t>10</w:t>
            </w:r>
          </w:p>
        </w:tc>
        <w:tc>
          <w:tcPr>
            <w:tcW w:w="6732" w:type="dxa"/>
            <w:tcBorders>
              <w:top w:val="dotDotDash" w:sz="4" w:space="0" w:color="auto"/>
              <w:left w:val="nil"/>
              <w:bottom w:val="dotDotDash" w:sz="4" w:space="0" w:color="auto"/>
              <w:right w:val="nil"/>
            </w:tcBorders>
            <w:hideMark/>
          </w:tcPr>
          <w:p w:rsidR="001B3158" w:rsidRPr="00B9649B" w:rsidRDefault="00271848" w:rsidP="007F2253">
            <w:pPr>
              <w:jc w:val="both"/>
              <w:rPr>
                <w:sz w:val="20"/>
                <w:szCs w:val="20"/>
              </w:rPr>
            </w:pPr>
            <w:r w:rsidRPr="00B9649B">
              <w:rPr>
                <w:sz w:val="20"/>
                <w:szCs w:val="20"/>
              </w:rPr>
              <w:t>Formulating and implementing</w:t>
            </w:r>
            <w:r w:rsidR="001B3158" w:rsidRPr="00B9649B">
              <w:rPr>
                <w:sz w:val="20"/>
                <w:szCs w:val="20"/>
              </w:rPr>
              <w:t xml:space="preserve"> </w:t>
            </w:r>
            <w:proofErr w:type="spellStart"/>
            <w:r w:rsidR="001B3158" w:rsidRPr="00B9649B">
              <w:rPr>
                <w:sz w:val="20"/>
                <w:szCs w:val="20"/>
              </w:rPr>
              <w:t>p</w:t>
            </w:r>
            <w:r w:rsidRPr="00B9649B">
              <w:rPr>
                <w:sz w:val="20"/>
                <w:szCs w:val="20"/>
              </w:rPr>
              <w:t>r</w:t>
            </w:r>
            <w:r w:rsidR="001B3158" w:rsidRPr="00B9649B">
              <w:rPr>
                <w:sz w:val="20"/>
                <w:szCs w:val="20"/>
              </w:rPr>
              <w:t>o</w:t>
            </w:r>
            <w:r w:rsidRPr="00B9649B">
              <w:rPr>
                <w:sz w:val="20"/>
                <w:szCs w:val="20"/>
              </w:rPr>
              <w:t>gramm</w:t>
            </w:r>
            <w:r w:rsidR="001B3158" w:rsidRPr="00B9649B">
              <w:rPr>
                <w:sz w:val="20"/>
                <w:szCs w:val="20"/>
              </w:rPr>
              <w:t>es</w:t>
            </w:r>
            <w:proofErr w:type="spellEnd"/>
            <w:r w:rsidR="001B3158" w:rsidRPr="00B9649B">
              <w:rPr>
                <w:sz w:val="20"/>
                <w:szCs w:val="20"/>
              </w:rPr>
              <w:t xml:space="preserve"> that will enhance </w:t>
            </w:r>
            <w:r w:rsidRPr="00B9649B">
              <w:rPr>
                <w:sz w:val="20"/>
                <w:szCs w:val="20"/>
              </w:rPr>
              <w:t>gender sensitivity, reflection and balancing</w:t>
            </w:r>
          </w:p>
        </w:tc>
        <w:tc>
          <w:tcPr>
            <w:tcW w:w="1455" w:type="dxa"/>
            <w:tcBorders>
              <w:top w:val="dotDotDash" w:sz="4" w:space="0" w:color="auto"/>
              <w:left w:val="nil"/>
              <w:bottom w:val="dotDotDash" w:sz="4" w:space="0" w:color="auto"/>
              <w:right w:val="nil"/>
            </w:tcBorders>
            <w:hideMark/>
          </w:tcPr>
          <w:p w:rsidR="001B3158" w:rsidRPr="00B9649B" w:rsidRDefault="007D0F98" w:rsidP="007F2253">
            <w:pPr>
              <w:jc w:val="both"/>
              <w:rPr>
                <w:sz w:val="20"/>
                <w:szCs w:val="20"/>
              </w:rPr>
            </w:pPr>
            <w:r w:rsidRPr="00B9649B">
              <w:rPr>
                <w:sz w:val="20"/>
                <w:szCs w:val="20"/>
              </w:rPr>
              <w:t>240 (96</w:t>
            </w:r>
            <w:r w:rsidR="001B3158" w:rsidRPr="00B9649B">
              <w:rPr>
                <w:sz w:val="20"/>
                <w:szCs w:val="20"/>
              </w:rPr>
              <w:t>)</w:t>
            </w:r>
            <w:r w:rsidR="0054131B" w:rsidRPr="00B9649B">
              <w:rPr>
                <w:sz w:val="20"/>
                <w:szCs w:val="20"/>
              </w:rPr>
              <w:t xml:space="preserve"> 1</w:t>
            </w:r>
            <w:r w:rsidR="0054131B" w:rsidRPr="00B9649B">
              <w:rPr>
                <w:sz w:val="20"/>
                <w:szCs w:val="20"/>
                <w:vertAlign w:val="superscript"/>
              </w:rPr>
              <w:t>st</w:t>
            </w:r>
            <w:r w:rsidR="0054131B" w:rsidRPr="00B9649B">
              <w:rPr>
                <w:sz w:val="20"/>
                <w:szCs w:val="20"/>
              </w:rPr>
              <w:t xml:space="preserve"> </w:t>
            </w:r>
          </w:p>
        </w:tc>
      </w:tr>
      <w:tr w:rsidR="001B3158" w:rsidRPr="00B9649B" w:rsidTr="007F2253">
        <w:tc>
          <w:tcPr>
            <w:tcW w:w="669" w:type="dxa"/>
            <w:tcBorders>
              <w:top w:val="single" w:sz="4" w:space="0" w:color="auto"/>
              <w:left w:val="nil"/>
              <w:bottom w:val="single" w:sz="4" w:space="0" w:color="auto"/>
              <w:right w:val="nil"/>
            </w:tcBorders>
            <w:hideMark/>
          </w:tcPr>
          <w:p w:rsidR="001B3158" w:rsidRPr="00B9649B" w:rsidRDefault="001B3158" w:rsidP="007F2253">
            <w:pPr>
              <w:jc w:val="both"/>
              <w:rPr>
                <w:sz w:val="20"/>
                <w:szCs w:val="20"/>
              </w:rPr>
            </w:pPr>
            <w:r w:rsidRPr="00B9649B">
              <w:rPr>
                <w:sz w:val="20"/>
                <w:szCs w:val="20"/>
              </w:rPr>
              <w:t>11</w:t>
            </w:r>
          </w:p>
        </w:tc>
        <w:tc>
          <w:tcPr>
            <w:tcW w:w="6732" w:type="dxa"/>
            <w:tcBorders>
              <w:top w:val="single" w:sz="4" w:space="0" w:color="auto"/>
              <w:left w:val="nil"/>
              <w:bottom w:val="single" w:sz="4" w:space="0" w:color="auto"/>
              <w:right w:val="nil"/>
            </w:tcBorders>
            <w:hideMark/>
          </w:tcPr>
          <w:p w:rsidR="001B3158" w:rsidRPr="00B9649B" w:rsidRDefault="00271848" w:rsidP="007F2253">
            <w:pPr>
              <w:jc w:val="both"/>
              <w:rPr>
                <w:sz w:val="20"/>
                <w:szCs w:val="20"/>
              </w:rPr>
            </w:pPr>
            <w:r w:rsidRPr="00B9649B">
              <w:rPr>
                <w:sz w:val="20"/>
                <w:szCs w:val="20"/>
              </w:rPr>
              <w:t xml:space="preserve">Regular system-wide consultation with major stakeholders </w:t>
            </w:r>
            <w:r w:rsidR="001B3158" w:rsidRPr="00B9649B">
              <w:rPr>
                <w:sz w:val="20"/>
                <w:szCs w:val="20"/>
              </w:rPr>
              <w:t xml:space="preserve"> </w:t>
            </w:r>
          </w:p>
        </w:tc>
        <w:tc>
          <w:tcPr>
            <w:tcW w:w="1455" w:type="dxa"/>
            <w:tcBorders>
              <w:top w:val="single" w:sz="4" w:space="0" w:color="auto"/>
              <w:left w:val="nil"/>
              <w:bottom w:val="single" w:sz="4" w:space="0" w:color="auto"/>
              <w:right w:val="nil"/>
            </w:tcBorders>
            <w:hideMark/>
          </w:tcPr>
          <w:p w:rsidR="001B3158" w:rsidRPr="00B9649B" w:rsidRDefault="007D0F98" w:rsidP="007F2253">
            <w:pPr>
              <w:jc w:val="both"/>
              <w:rPr>
                <w:sz w:val="20"/>
                <w:szCs w:val="20"/>
              </w:rPr>
            </w:pPr>
            <w:r w:rsidRPr="00B9649B">
              <w:rPr>
                <w:sz w:val="20"/>
                <w:szCs w:val="20"/>
              </w:rPr>
              <w:t>225 (90</w:t>
            </w:r>
            <w:r w:rsidR="001B3158" w:rsidRPr="00B9649B">
              <w:rPr>
                <w:sz w:val="20"/>
                <w:szCs w:val="20"/>
              </w:rPr>
              <w:t>)</w:t>
            </w:r>
            <w:r w:rsidR="0054131B" w:rsidRPr="00B9649B">
              <w:rPr>
                <w:sz w:val="20"/>
                <w:szCs w:val="20"/>
              </w:rPr>
              <w:t xml:space="preserve"> 6</w:t>
            </w:r>
            <w:r w:rsidR="0054131B" w:rsidRPr="00B9649B">
              <w:rPr>
                <w:sz w:val="20"/>
                <w:szCs w:val="20"/>
                <w:vertAlign w:val="superscript"/>
              </w:rPr>
              <w:t>th</w:t>
            </w:r>
            <w:r w:rsidR="0054131B" w:rsidRPr="00B9649B">
              <w:rPr>
                <w:sz w:val="20"/>
                <w:szCs w:val="20"/>
              </w:rPr>
              <w:t xml:space="preserve"> </w:t>
            </w:r>
          </w:p>
        </w:tc>
      </w:tr>
    </w:tbl>
    <w:p w:rsidR="00316236" w:rsidRPr="00B9649B" w:rsidRDefault="007D0F98" w:rsidP="001B3158">
      <w:pPr>
        <w:spacing w:line="360" w:lineRule="auto"/>
        <w:jc w:val="both"/>
        <w:rPr>
          <w:b/>
          <w:bCs/>
          <w:sz w:val="20"/>
          <w:szCs w:val="20"/>
        </w:rPr>
      </w:pPr>
      <w:r w:rsidRPr="00B9649B">
        <w:rPr>
          <w:bCs/>
          <w:sz w:val="20"/>
          <w:szCs w:val="20"/>
        </w:rPr>
        <w:br w:type="textWrapping" w:clear="all"/>
      </w:r>
      <w:r w:rsidR="00271848" w:rsidRPr="00B9649B">
        <w:rPr>
          <w:bCs/>
          <w:sz w:val="20"/>
          <w:szCs w:val="20"/>
        </w:rPr>
        <w:t>12</w:t>
      </w:r>
      <w:r w:rsidR="00271848" w:rsidRPr="00B9649B">
        <w:rPr>
          <w:b/>
          <w:bCs/>
          <w:sz w:val="20"/>
          <w:szCs w:val="20"/>
        </w:rPr>
        <w:t xml:space="preserve">       </w:t>
      </w:r>
      <w:r w:rsidR="00271848" w:rsidRPr="00B9649B">
        <w:rPr>
          <w:sz w:val="20"/>
          <w:szCs w:val="20"/>
        </w:rPr>
        <w:t>Consulting with community</w:t>
      </w:r>
      <w:r w:rsidR="00811801" w:rsidRPr="00B9649B">
        <w:rPr>
          <w:sz w:val="20"/>
          <w:szCs w:val="20"/>
        </w:rPr>
        <w:t xml:space="preserve"> leaders on gender </w:t>
      </w:r>
      <w:r w:rsidR="00271848" w:rsidRPr="00B9649B">
        <w:rPr>
          <w:sz w:val="20"/>
          <w:szCs w:val="20"/>
        </w:rPr>
        <w:t>e</w:t>
      </w:r>
      <w:r w:rsidR="00811801" w:rsidRPr="00B9649B">
        <w:rPr>
          <w:sz w:val="20"/>
          <w:szCs w:val="20"/>
        </w:rPr>
        <w:t>quity participation</w:t>
      </w:r>
      <w:r w:rsidR="0054131B" w:rsidRPr="00B9649B">
        <w:rPr>
          <w:sz w:val="20"/>
          <w:szCs w:val="20"/>
        </w:rPr>
        <w:t xml:space="preserve">      150(60)</w:t>
      </w:r>
      <w:r w:rsidR="006743D6" w:rsidRPr="00B9649B">
        <w:rPr>
          <w:sz w:val="20"/>
          <w:szCs w:val="20"/>
        </w:rPr>
        <w:t xml:space="preserve"> 11</w:t>
      </w:r>
      <w:r w:rsidR="006743D6" w:rsidRPr="00B9649B">
        <w:rPr>
          <w:sz w:val="20"/>
          <w:szCs w:val="20"/>
          <w:vertAlign w:val="superscript"/>
        </w:rPr>
        <w:t>th</w:t>
      </w:r>
      <w:r w:rsidR="006743D6" w:rsidRPr="00B9649B">
        <w:rPr>
          <w:sz w:val="20"/>
          <w:szCs w:val="20"/>
        </w:rPr>
        <w:t xml:space="preserve"> </w:t>
      </w:r>
    </w:p>
    <w:tbl>
      <w:tblPr>
        <w:tblStyle w:val="TableGrid"/>
        <w:tblW w:w="0" w:type="auto"/>
        <w:tblBorders>
          <w:left w:val="none" w:sz="0" w:space="0" w:color="auto"/>
          <w:right w:val="none" w:sz="0" w:space="0" w:color="auto"/>
          <w:insideV w:val="none" w:sz="0" w:space="0" w:color="auto"/>
        </w:tblBorders>
        <w:tblLook w:val="01E0" w:firstRow="1" w:lastRow="1" w:firstColumn="1" w:lastColumn="1" w:noHBand="0" w:noVBand="0"/>
      </w:tblPr>
      <w:tblGrid>
        <w:gridCol w:w="669"/>
        <w:gridCol w:w="6732"/>
        <w:gridCol w:w="1455"/>
      </w:tblGrid>
      <w:tr w:rsidR="00316236" w:rsidRPr="00B9649B" w:rsidTr="00FD0C8B">
        <w:tc>
          <w:tcPr>
            <w:tcW w:w="669"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r w:rsidRPr="00B9649B">
              <w:rPr>
                <w:sz w:val="20"/>
                <w:szCs w:val="20"/>
              </w:rPr>
              <w:t>1</w:t>
            </w:r>
            <w:r w:rsidR="00811801" w:rsidRPr="00B9649B">
              <w:rPr>
                <w:sz w:val="20"/>
                <w:szCs w:val="20"/>
              </w:rPr>
              <w:t>3</w:t>
            </w:r>
          </w:p>
        </w:tc>
        <w:tc>
          <w:tcPr>
            <w:tcW w:w="6732" w:type="dxa"/>
            <w:tcBorders>
              <w:top w:val="single" w:sz="4" w:space="0" w:color="auto"/>
              <w:left w:val="nil"/>
              <w:bottom w:val="dotDotDash" w:sz="4" w:space="0" w:color="auto"/>
              <w:right w:val="nil"/>
            </w:tcBorders>
            <w:hideMark/>
          </w:tcPr>
          <w:p w:rsidR="00316236" w:rsidRPr="00B9649B" w:rsidRDefault="00811801" w:rsidP="00FD0C8B">
            <w:pPr>
              <w:jc w:val="both"/>
              <w:rPr>
                <w:sz w:val="20"/>
                <w:szCs w:val="20"/>
              </w:rPr>
            </w:pPr>
            <w:r w:rsidRPr="00B9649B">
              <w:rPr>
                <w:sz w:val="20"/>
                <w:szCs w:val="20"/>
              </w:rPr>
              <w:t>Adoption of gender equity participation road show project</w:t>
            </w:r>
            <w:r w:rsidR="00316236" w:rsidRPr="00B9649B">
              <w:rPr>
                <w:sz w:val="20"/>
                <w:szCs w:val="20"/>
              </w:rPr>
              <w:t xml:space="preserve"> </w:t>
            </w:r>
          </w:p>
        </w:tc>
        <w:tc>
          <w:tcPr>
            <w:tcW w:w="1455" w:type="dxa"/>
            <w:tcBorders>
              <w:top w:val="single" w:sz="4" w:space="0" w:color="auto"/>
              <w:left w:val="nil"/>
              <w:bottom w:val="dotDotDash" w:sz="4" w:space="0" w:color="auto"/>
              <w:right w:val="nil"/>
            </w:tcBorders>
            <w:hideMark/>
          </w:tcPr>
          <w:p w:rsidR="00316236" w:rsidRPr="00B9649B" w:rsidRDefault="007D0F98" w:rsidP="0054131B">
            <w:pPr>
              <w:jc w:val="both"/>
              <w:rPr>
                <w:sz w:val="20"/>
                <w:szCs w:val="20"/>
              </w:rPr>
            </w:pPr>
            <w:r w:rsidRPr="00B9649B">
              <w:rPr>
                <w:sz w:val="20"/>
                <w:szCs w:val="20"/>
              </w:rPr>
              <w:t>1</w:t>
            </w:r>
            <w:r w:rsidR="0054131B" w:rsidRPr="00B9649B">
              <w:rPr>
                <w:sz w:val="20"/>
                <w:szCs w:val="20"/>
              </w:rPr>
              <w:t>4</w:t>
            </w:r>
            <w:r w:rsidRPr="00B9649B">
              <w:rPr>
                <w:sz w:val="20"/>
                <w:szCs w:val="20"/>
              </w:rPr>
              <w:t>5</w:t>
            </w:r>
            <w:r w:rsidR="00316236" w:rsidRPr="00B9649B">
              <w:rPr>
                <w:sz w:val="20"/>
                <w:szCs w:val="20"/>
              </w:rPr>
              <w:t>(</w:t>
            </w:r>
            <w:r w:rsidR="0054131B" w:rsidRPr="00B9649B">
              <w:rPr>
                <w:sz w:val="20"/>
                <w:szCs w:val="20"/>
              </w:rPr>
              <w:t>58</w:t>
            </w:r>
            <w:r w:rsidR="00316236" w:rsidRPr="00B9649B">
              <w:rPr>
                <w:sz w:val="20"/>
                <w:szCs w:val="20"/>
              </w:rPr>
              <w:t>)</w:t>
            </w:r>
            <w:r w:rsidR="006743D6" w:rsidRPr="00B9649B">
              <w:rPr>
                <w:sz w:val="20"/>
                <w:szCs w:val="20"/>
              </w:rPr>
              <w:t xml:space="preserve"> </w:t>
            </w:r>
            <w:r w:rsidR="00112088" w:rsidRPr="00B9649B">
              <w:rPr>
                <w:sz w:val="20"/>
                <w:szCs w:val="20"/>
              </w:rPr>
              <w:t>14</w:t>
            </w:r>
            <w:r w:rsidR="006743D6" w:rsidRPr="00B9649B">
              <w:rPr>
                <w:sz w:val="20"/>
                <w:szCs w:val="20"/>
                <w:vertAlign w:val="superscript"/>
              </w:rPr>
              <w:t>th</w:t>
            </w:r>
            <w:r w:rsidR="006743D6" w:rsidRPr="00B9649B">
              <w:rPr>
                <w:sz w:val="20"/>
                <w:szCs w:val="20"/>
              </w:rPr>
              <w:t xml:space="preserve"> </w:t>
            </w: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r w:rsidRPr="00B9649B">
              <w:rPr>
                <w:sz w:val="20"/>
                <w:szCs w:val="20"/>
              </w:rPr>
              <w:t>1</w:t>
            </w:r>
            <w:r w:rsidR="00811801" w:rsidRPr="00B9649B">
              <w:rPr>
                <w:sz w:val="20"/>
                <w:szCs w:val="20"/>
              </w:rPr>
              <w:t>4</w:t>
            </w:r>
          </w:p>
        </w:tc>
        <w:tc>
          <w:tcPr>
            <w:tcW w:w="6732" w:type="dxa"/>
            <w:tcBorders>
              <w:top w:val="dotDotDash" w:sz="4" w:space="0" w:color="auto"/>
              <w:left w:val="nil"/>
              <w:bottom w:val="dotDotDash" w:sz="4" w:space="0" w:color="auto"/>
              <w:right w:val="nil"/>
            </w:tcBorders>
            <w:hideMark/>
          </w:tcPr>
          <w:p w:rsidR="00316236" w:rsidRPr="00B9649B" w:rsidRDefault="00811801" w:rsidP="00FD0C8B">
            <w:pPr>
              <w:jc w:val="both"/>
              <w:rPr>
                <w:sz w:val="20"/>
                <w:szCs w:val="20"/>
              </w:rPr>
            </w:pPr>
            <w:r w:rsidRPr="00B9649B">
              <w:rPr>
                <w:sz w:val="20"/>
                <w:szCs w:val="20"/>
              </w:rPr>
              <w:t>Promoting wider female access to higher education</w:t>
            </w:r>
            <w:r w:rsidR="00AE7FA1" w:rsidRPr="00B9649B">
              <w:rPr>
                <w:sz w:val="20"/>
                <w:szCs w:val="20"/>
              </w:rPr>
              <w:t xml:space="preserve"> &amp; assertiveness training</w:t>
            </w:r>
          </w:p>
        </w:tc>
        <w:tc>
          <w:tcPr>
            <w:tcW w:w="1455" w:type="dxa"/>
            <w:tcBorders>
              <w:top w:val="dotDotDash" w:sz="4" w:space="0" w:color="auto"/>
              <w:left w:val="nil"/>
              <w:bottom w:val="dotDotDash" w:sz="4" w:space="0" w:color="auto"/>
              <w:right w:val="nil"/>
            </w:tcBorders>
            <w:hideMark/>
          </w:tcPr>
          <w:p w:rsidR="00316236" w:rsidRPr="00B9649B" w:rsidRDefault="0054131B" w:rsidP="007D0F98">
            <w:pPr>
              <w:jc w:val="both"/>
              <w:rPr>
                <w:sz w:val="20"/>
                <w:szCs w:val="20"/>
              </w:rPr>
            </w:pPr>
            <w:r w:rsidRPr="00B9649B">
              <w:rPr>
                <w:sz w:val="20"/>
                <w:szCs w:val="20"/>
              </w:rPr>
              <w:t>22</w:t>
            </w:r>
            <w:r w:rsidR="007D0F98" w:rsidRPr="00B9649B">
              <w:rPr>
                <w:sz w:val="20"/>
                <w:szCs w:val="20"/>
              </w:rPr>
              <w:t>5 (</w:t>
            </w:r>
            <w:r w:rsidRPr="00B9649B">
              <w:rPr>
                <w:sz w:val="20"/>
                <w:szCs w:val="20"/>
              </w:rPr>
              <w:t>90</w:t>
            </w:r>
            <w:r w:rsidR="00316236" w:rsidRPr="00B9649B">
              <w:rPr>
                <w:sz w:val="20"/>
                <w:szCs w:val="20"/>
              </w:rPr>
              <w:t>)</w:t>
            </w:r>
            <w:r w:rsidRPr="00B9649B">
              <w:rPr>
                <w:sz w:val="20"/>
                <w:szCs w:val="20"/>
              </w:rPr>
              <w:t xml:space="preserve"> 6</w:t>
            </w:r>
            <w:r w:rsidRPr="00B9649B">
              <w:rPr>
                <w:sz w:val="20"/>
                <w:szCs w:val="20"/>
                <w:vertAlign w:val="superscript"/>
              </w:rPr>
              <w:t>th</w:t>
            </w:r>
            <w:r w:rsidRPr="00B9649B">
              <w:rPr>
                <w:sz w:val="20"/>
                <w:szCs w:val="20"/>
              </w:rPr>
              <w:t xml:space="preserve"> </w:t>
            </w: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r w:rsidRPr="00B9649B">
              <w:rPr>
                <w:sz w:val="20"/>
                <w:szCs w:val="20"/>
              </w:rPr>
              <w:t>1</w:t>
            </w:r>
            <w:r w:rsidR="00811801" w:rsidRPr="00B9649B">
              <w:rPr>
                <w:sz w:val="20"/>
                <w:szCs w:val="20"/>
              </w:rPr>
              <w:t>5</w:t>
            </w:r>
          </w:p>
        </w:tc>
        <w:tc>
          <w:tcPr>
            <w:tcW w:w="6732" w:type="dxa"/>
            <w:tcBorders>
              <w:top w:val="dotDotDash" w:sz="4" w:space="0" w:color="auto"/>
              <w:left w:val="nil"/>
              <w:bottom w:val="dotDotDash" w:sz="4" w:space="0" w:color="auto"/>
              <w:right w:val="nil"/>
            </w:tcBorders>
            <w:hideMark/>
          </w:tcPr>
          <w:p w:rsidR="00316236" w:rsidRPr="00B9649B" w:rsidRDefault="00811801" w:rsidP="00AE7FA1">
            <w:pPr>
              <w:jc w:val="both"/>
              <w:rPr>
                <w:sz w:val="20"/>
                <w:szCs w:val="20"/>
              </w:rPr>
            </w:pPr>
            <w:r w:rsidRPr="00B9649B">
              <w:rPr>
                <w:sz w:val="20"/>
                <w:szCs w:val="20"/>
              </w:rPr>
              <w:t xml:space="preserve">Reduction of costs of female higher education </w:t>
            </w:r>
          </w:p>
        </w:tc>
        <w:tc>
          <w:tcPr>
            <w:tcW w:w="1455" w:type="dxa"/>
            <w:tcBorders>
              <w:top w:val="dotDotDash" w:sz="4" w:space="0" w:color="auto"/>
              <w:left w:val="nil"/>
              <w:bottom w:val="dotDotDash" w:sz="4" w:space="0" w:color="auto"/>
              <w:right w:val="nil"/>
            </w:tcBorders>
            <w:hideMark/>
          </w:tcPr>
          <w:p w:rsidR="00316236" w:rsidRPr="00B9649B" w:rsidRDefault="0054131B" w:rsidP="0054131B">
            <w:pPr>
              <w:jc w:val="both"/>
              <w:rPr>
                <w:sz w:val="20"/>
                <w:szCs w:val="20"/>
              </w:rPr>
            </w:pPr>
            <w:r w:rsidRPr="00B9649B">
              <w:rPr>
                <w:sz w:val="20"/>
                <w:szCs w:val="20"/>
              </w:rPr>
              <w:t>125</w:t>
            </w:r>
            <w:r w:rsidR="00316236" w:rsidRPr="00B9649B">
              <w:rPr>
                <w:sz w:val="20"/>
                <w:szCs w:val="20"/>
              </w:rPr>
              <w:t>(</w:t>
            </w:r>
            <w:r w:rsidRPr="00B9649B">
              <w:rPr>
                <w:sz w:val="20"/>
                <w:szCs w:val="20"/>
              </w:rPr>
              <w:t>5</w:t>
            </w:r>
            <w:r w:rsidR="00316236" w:rsidRPr="00B9649B">
              <w:rPr>
                <w:sz w:val="20"/>
                <w:szCs w:val="20"/>
              </w:rPr>
              <w:t>0)</w:t>
            </w:r>
            <w:r w:rsidR="006743D6" w:rsidRPr="00B9649B">
              <w:rPr>
                <w:sz w:val="20"/>
                <w:szCs w:val="20"/>
              </w:rPr>
              <w:t xml:space="preserve"> </w:t>
            </w:r>
            <w:r w:rsidR="00112088" w:rsidRPr="00B9649B">
              <w:rPr>
                <w:sz w:val="20"/>
                <w:szCs w:val="20"/>
              </w:rPr>
              <w:t>15</w:t>
            </w:r>
            <w:r w:rsidR="006743D6" w:rsidRPr="00B9649B">
              <w:rPr>
                <w:sz w:val="20"/>
                <w:szCs w:val="20"/>
                <w:vertAlign w:val="superscript"/>
              </w:rPr>
              <w:t>th</w:t>
            </w:r>
            <w:r w:rsidR="006743D6" w:rsidRPr="00B9649B">
              <w:rPr>
                <w:sz w:val="20"/>
                <w:szCs w:val="20"/>
              </w:rPr>
              <w:t xml:space="preserve"> </w:t>
            </w: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single" w:sz="4" w:space="0" w:color="auto"/>
              <w:left w:val="nil"/>
              <w:bottom w:val="dotDotDash" w:sz="4" w:space="0" w:color="auto"/>
              <w:right w:val="nil"/>
            </w:tcBorders>
            <w:hideMark/>
          </w:tcPr>
          <w:p w:rsidR="00316236" w:rsidRPr="00B9649B" w:rsidRDefault="00316236" w:rsidP="00FE3A85">
            <w:pPr>
              <w:jc w:val="both"/>
              <w:rPr>
                <w:sz w:val="20"/>
                <w:szCs w:val="20"/>
              </w:rPr>
            </w:pPr>
          </w:p>
        </w:tc>
        <w:tc>
          <w:tcPr>
            <w:tcW w:w="1455" w:type="dxa"/>
            <w:tcBorders>
              <w:top w:val="single"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r>
      <w:tr w:rsidR="00316236" w:rsidRPr="00B9649B" w:rsidTr="00FD0C8B">
        <w:tc>
          <w:tcPr>
            <w:tcW w:w="669"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6732"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c>
          <w:tcPr>
            <w:tcW w:w="1455" w:type="dxa"/>
            <w:tcBorders>
              <w:top w:val="dotDotDash" w:sz="4" w:space="0" w:color="auto"/>
              <w:left w:val="nil"/>
              <w:bottom w:val="dotDotDash" w:sz="4" w:space="0" w:color="auto"/>
              <w:right w:val="nil"/>
            </w:tcBorders>
            <w:hideMark/>
          </w:tcPr>
          <w:p w:rsidR="00316236" w:rsidRPr="00B9649B" w:rsidRDefault="00316236" w:rsidP="00FD0C8B">
            <w:pPr>
              <w:jc w:val="both"/>
              <w:rPr>
                <w:sz w:val="20"/>
                <w:szCs w:val="20"/>
              </w:rPr>
            </w:pPr>
          </w:p>
        </w:tc>
      </w:tr>
    </w:tbl>
    <w:p w:rsidR="00316236" w:rsidRPr="00B9649B" w:rsidRDefault="00316236" w:rsidP="001B3158">
      <w:pPr>
        <w:spacing w:line="360" w:lineRule="auto"/>
        <w:jc w:val="both"/>
        <w:rPr>
          <w:b/>
          <w:bCs/>
          <w:sz w:val="20"/>
          <w:szCs w:val="20"/>
        </w:rPr>
      </w:pPr>
    </w:p>
    <w:p w:rsidR="001B3158" w:rsidRPr="00B9649B" w:rsidRDefault="00B405FF" w:rsidP="001B3158">
      <w:pPr>
        <w:spacing w:line="360" w:lineRule="auto"/>
        <w:jc w:val="both"/>
        <w:rPr>
          <w:sz w:val="20"/>
          <w:szCs w:val="20"/>
        </w:rPr>
      </w:pPr>
      <w:r w:rsidRPr="00B9649B">
        <w:rPr>
          <w:sz w:val="20"/>
          <w:szCs w:val="20"/>
        </w:rPr>
        <w:t xml:space="preserve">         </w:t>
      </w:r>
      <w:r w:rsidR="001B3158" w:rsidRPr="00B9649B">
        <w:rPr>
          <w:sz w:val="20"/>
          <w:szCs w:val="20"/>
        </w:rPr>
        <w:t xml:space="preserve">Table 2 shows </w:t>
      </w:r>
      <w:r w:rsidR="00653730" w:rsidRPr="00B9649B">
        <w:rPr>
          <w:sz w:val="20"/>
          <w:szCs w:val="20"/>
        </w:rPr>
        <w:t>women academic</w:t>
      </w:r>
      <w:r w:rsidR="001B3158" w:rsidRPr="00B9649B">
        <w:rPr>
          <w:sz w:val="20"/>
          <w:szCs w:val="20"/>
        </w:rPr>
        <w:t xml:space="preserve">s’ views regarding methods/approaches for increasing female participation in </w:t>
      </w:r>
      <w:r w:rsidR="00653730" w:rsidRPr="00B9649B">
        <w:rPr>
          <w:sz w:val="20"/>
          <w:szCs w:val="20"/>
        </w:rPr>
        <w:t>university governance</w:t>
      </w:r>
      <w:r w:rsidR="001B3158" w:rsidRPr="00B9649B">
        <w:rPr>
          <w:sz w:val="20"/>
          <w:szCs w:val="20"/>
        </w:rPr>
        <w:t>. Actual numbers and percentages for responses to each method/approach are shown in the table. The percentages are in parenthesis</w:t>
      </w:r>
      <w:r w:rsidR="00653730" w:rsidRPr="00B9649B">
        <w:rPr>
          <w:sz w:val="20"/>
          <w:szCs w:val="20"/>
        </w:rPr>
        <w:t xml:space="preserve"> while the ranks are on the last column on the right side of the table</w:t>
      </w:r>
      <w:r w:rsidR="001B3158" w:rsidRPr="00B9649B">
        <w:rPr>
          <w:sz w:val="20"/>
          <w:szCs w:val="20"/>
        </w:rPr>
        <w:t xml:space="preserve">. Table2 shows that generally, the </w:t>
      </w:r>
      <w:r w:rsidR="00653730" w:rsidRPr="00B9649B">
        <w:rPr>
          <w:sz w:val="20"/>
          <w:szCs w:val="20"/>
        </w:rPr>
        <w:t>women academic</w:t>
      </w:r>
      <w:r w:rsidR="001B3158" w:rsidRPr="00B9649B">
        <w:rPr>
          <w:sz w:val="20"/>
          <w:szCs w:val="20"/>
        </w:rPr>
        <w:t xml:space="preserve"> </w:t>
      </w:r>
      <w:r w:rsidR="00653730" w:rsidRPr="00B9649B">
        <w:rPr>
          <w:sz w:val="20"/>
          <w:szCs w:val="20"/>
        </w:rPr>
        <w:t xml:space="preserve">selected and </w:t>
      </w:r>
      <w:r w:rsidR="001B3158" w:rsidRPr="00B9649B">
        <w:rPr>
          <w:sz w:val="20"/>
          <w:szCs w:val="20"/>
        </w:rPr>
        <w:t>u</w:t>
      </w:r>
      <w:r w:rsidR="00653730" w:rsidRPr="00B9649B">
        <w:rPr>
          <w:sz w:val="20"/>
          <w:szCs w:val="20"/>
        </w:rPr>
        <w:t>tili</w:t>
      </w:r>
      <w:r w:rsidR="00AB174A" w:rsidRPr="00B9649B">
        <w:rPr>
          <w:sz w:val="20"/>
          <w:szCs w:val="20"/>
        </w:rPr>
        <w:t>z</w:t>
      </w:r>
      <w:r w:rsidR="001B3158" w:rsidRPr="00B9649B">
        <w:rPr>
          <w:sz w:val="20"/>
          <w:szCs w:val="20"/>
        </w:rPr>
        <w:t xml:space="preserve">ed in this study, perceived </w:t>
      </w:r>
      <w:r w:rsidR="00653730" w:rsidRPr="00B9649B">
        <w:rPr>
          <w:sz w:val="20"/>
          <w:szCs w:val="20"/>
        </w:rPr>
        <w:t>all the 15</w:t>
      </w:r>
      <w:r w:rsidR="001B3158" w:rsidRPr="00B9649B">
        <w:rPr>
          <w:sz w:val="20"/>
          <w:szCs w:val="20"/>
        </w:rPr>
        <w:t xml:space="preserve"> methods/ approaches as useful in increasing female </w:t>
      </w:r>
      <w:r w:rsidR="00653730" w:rsidRPr="00B9649B">
        <w:rPr>
          <w:sz w:val="20"/>
          <w:szCs w:val="20"/>
        </w:rPr>
        <w:t>participation in university governance</w:t>
      </w:r>
      <w:r w:rsidR="001B3158" w:rsidRPr="00B9649B">
        <w:rPr>
          <w:sz w:val="20"/>
          <w:szCs w:val="20"/>
        </w:rPr>
        <w:t>. Specifically, a greater proportion of the subjects (above 50</w:t>
      </w:r>
      <w:r w:rsidR="00AB174A" w:rsidRPr="00B9649B">
        <w:rPr>
          <w:sz w:val="20"/>
          <w:szCs w:val="20"/>
        </w:rPr>
        <w:t>%), considered</w:t>
      </w:r>
      <w:r w:rsidR="00653730" w:rsidRPr="00B9649B">
        <w:rPr>
          <w:sz w:val="20"/>
          <w:szCs w:val="20"/>
        </w:rPr>
        <w:t xml:space="preserve"> 13</w:t>
      </w:r>
      <w:r w:rsidR="001B3158" w:rsidRPr="00B9649B">
        <w:rPr>
          <w:sz w:val="20"/>
          <w:szCs w:val="20"/>
        </w:rPr>
        <w:t xml:space="preserve"> out of the 1</w:t>
      </w:r>
      <w:r w:rsidR="00653730" w:rsidRPr="00B9649B">
        <w:rPr>
          <w:sz w:val="20"/>
          <w:szCs w:val="20"/>
        </w:rPr>
        <w:t>5</w:t>
      </w:r>
      <w:r w:rsidR="001B3158" w:rsidRPr="00B9649B">
        <w:rPr>
          <w:sz w:val="20"/>
          <w:szCs w:val="20"/>
        </w:rPr>
        <w:t xml:space="preserve"> methods/approaches as effective for increasing female participation in </w:t>
      </w:r>
      <w:r w:rsidR="00653730" w:rsidRPr="00B9649B">
        <w:rPr>
          <w:sz w:val="20"/>
          <w:szCs w:val="20"/>
        </w:rPr>
        <w:t>active involvement as managers in university management</w:t>
      </w:r>
      <w:r w:rsidR="001B3158" w:rsidRPr="00B9649B">
        <w:rPr>
          <w:sz w:val="20"/>
          <w:szCs w:val="20"/>
        </w:rPr>
        <w:t xml:space="preserve">. Top on this list is item </w:t>
      </w:r>
      <w:r w:rsidR="00AB174A" w:rsidRPr="00B9649B">
        <w:rPr>
          <w:sz w:val="20"/>
          <w:szCs w:val="20"/>
        </w:rPr>
        <w:t>6</w:t>
      </w:r>
      <w:r w:rsidR="001B3158" w:rsidRPr="00B9649B">
        <w:rPr>
          <w:sz w:val="20"/>
          <w:szCs w:val="20"/>
        </w:rPr>
        <w:t>; “</w:t>
      </w:r>
      <w:r w:rsidR="00AB174A" w:rsidRPr="00B9649B">
        <w:rPr>
          <w:sz w:val="20"/>
          <w:szCs w:val="20"/>
        </w:rPr>
        <w:t>Offering females formal mentoring &amp; leadership development</w:t>
      </w:r>
      <w:r w:rsidR="001B3158" w:rsidRPr="00B9649B">
        <w:rPr>
          <w:sz w:val="20"/>
          <w:szCs w:val="20"/>
        </w:rPr>
        <w:t>” (9</w:t>
      </w:r>
      <w:r w:rsidR="00AB174A" w:rsidRPr="00B9649B">
        <w:rPr>
          <w:sz w:val="20"/>
          <w:szCs w:val="20"/>
        </w:rPr>
        <w:t>6</w:t>
      </w:r>
      <w:r w:rsidR="001B3158" w:rsidRPr="00B9649B">
        <w:rPr>
          <w:sz w:val="20"/>
          <w:szCs w:val="20"/>
        </w:rPr>
        <w:t>%)</w:t>
      </w:r>
      <w:r w:rsidR="00AB174A" w:rsidRPr="00B9649B">
        <w:rPr>
          <w:sz w:val="20"/>
          <w:szCs w:val="20"/>
        </w:rPr>
        <w:t xml:space="preserve"> and items 10</w:t>
      </w:r>
      <w:r w:rsidR="00171C87" w:rsidRPr="00B9649B">
        <w:rPr>
          <w:sz w:val="20"/>
          <w:szCs w:val="20"/>
        </w:rPr>
        <w:t xml:space="preserve">; </w:t>
      </w:r>
      <w:r w:rsidR="00E06930" w:rsidRPr="00B9649B">
        <w:rPr>
          <w:sz w:val="20"/>
          <w:szCs w:val="20"/>
        </w:rPr>
        <w:t>“</w:t>
      </w:r>
      <w:r w:rsidR="00171C87" w:rsidRPr="00B9649B">
        <w:rPr>
          <w:sz w:val="20"/>
          <w:szCs w:val="20"/>
        </w:rPr>
        <w:t xml:space="preserve">Formulating and implementing </w:t>
      </w:r>
      <w:proofErr w:type="spellStart"/>
      <w:r w:rsidR="00171C87" w:rsidRPr="00B9649B">
        <w:rPr>
          <w:sz w:val="20"/>
          <w:szCs w:val="20"/>
        </w:rPr>
        <w:t>programmes</w:t>
      </w:r>
      <w:proofErr w:type="spellEnd"/>
      <w:r w:rsidR="00171C87" w:rsidRPr="00B9649B">
        <w:rPr>
          <w:sz w:val="20"/>
          <w:szCs w:val="20"/>
        </w:rPr>
        <w:t xml:space="preserve"> that will enhance gender sensitivity, reflection and balancing</w:t>
      </w:r>
      <w:r w:rsidR="00E06930" w:rsidRPr="00B9649B">
        <w:rPr>
          <w:sz w:val="20"/>
          <w:szCs w:val="20"/>
        </w:rPr>
        <w:t>”</w:t>
      </w:r>
      <w:r w:rsidR="00171C87" w:rsidRPr="00B9649B">
        <w:rPr>
          <w:sz w:val="20"/>
          <w:szCs w:val="20"/>
        </w:rPr>
        <w:t xml:space="preserve"> (96%) followed by item </w:t>
      </w:r>
      <w:r w:rsidR="005133B4" w:rsidRPr="00B9649B">
        <w:rPr>
          <w:sz w:val="20"/>
          <w:szCs w:val="20"/>
        </w:rPr>
        <w:t>5</w:t>
      </w:r>
      <w:r w:rsidR="001B3158" w:rsidRPr="00B9649B">
        <w:rPr>
          <w:sz w:val="20"/>
          <w:szCs w:val="20"/>
        </w:rPr>
        <w:t>; “</w:t>
      </w:r>
      <w:r w:rsidR="00171C87" w:rsidRPr="00B9649B">
        <w:rPr>
          <w:sz w:val="20"/>
          <w:szCs w:val="20"/>
        </w:rPr>
        <w:t>Setting up strategic institution-wide objectives on gender” (</w:t>
      </w:r>
      <w:r w:rsidR="001B3158" w:rsidRPr="00B9649B">
        <w:rPr>
          <w:sz w:val="20"/>
          <w:szCs w:val="20"/>
        </w:rPr>
        <w:t>9</w:t>
      </w:r>
      <w:r w:rsidR="00171C87" w:rsidRPr="00B9649B">
        <w:rPr>
          <w:sz w:val="20"/>
          <w:szCs w:val="20"/>
        </w:rPr>
        <w:t>4</w:t>
      </w:r>
      <w:r w:rsidR="005133B4" w:rsidRPr="00B9649B">
        <w:rPr>
          <w:sz w:val="20"/>
          <w:szCs w:val="20"/>
        </w:rPr>
        <w:t>%);</w:t>
      </w:r>
      <w:r w:rsidR="001B3158" w:rsidRPr="00B9649B">
        <w:rPr>
          <w:sz w:val="20"/>
          <w:szCs w:val="20"/>
        </w:rPr>
        <w:t xml:space="preserve"> </w:t>
      </w:r>
      <w:r w:rsidR="00E06930" w:rsidRPr="00B9649B">
        <w:rPr>
          <w:sz w:val="20"/>
          <w:szCs w:val="20"/>
        </w:rPr>
        <w:t>item 2 Identifying all barriers to gender equity &amp; discussing best practices (92%) and item 9</w:t>
      </w:r>
      <w:r w:rsidR="001B3158" w:rsidRPr="00B9649B">
        <w:rPr>
          <w:sz w:val="20"/>
          <w:szCs w:val="20"/>
        </w:rPr>
        <w:t>; “</w:t>
      </w:r>
      <w:r w:rsidR="00E06930" w:rsidRPr="00B9649B">
        <w:rPr>
          <w:sz w:val="20"/>
          <w:szCs w:val="20"/>
        </w:rPr>
        <w:t>Ensuring genuine change in attitudes towards full gender equity</w:t>
      </w:r>
      <w:r w:rsidR="001B3158" w:rsidRPr="00B9649B">
        <w:rPr>
          <w:sz w:val="20"/>
          <w:szCs w:val="20"/>
        </w:rPr>
        <w:t>” (</w:t>
      </w:r>
      <w:r w:rsidR="00E06930" w:rsidRPr="00B9649B">
        <w:rPr>
          <w:sz w:val="20"/>
          <w:szCs w:val="20"/>
        </w:rPr>
        <w:t>92</w:t>
      </w:r>
      <w:r w:rsidR="001B3158" w:rsidRPr="00B9649B">
        <w:rPr>
          <w:sz w:val="20"/>
          <w:szCs w:val="20"/>
        </w:rPr>
        <w:t>%). Others are: item</w:t>
      </w:r>
      <w:r w:rsidR="00E06930" w:rsidRPr="00B9649B">
        <w:rPr>
          <w:sz w:val="20"/>
          <w:szCs w:val="20"/>
        </w:rPr>
        <w:t>11</w:t>
      </w:r>
      <w:r w:rsidR="001B3158" w:rsidRPr="00B9649B">
        <w:rPr>
          <w:sz w:val="20"/>
          <w:szCs w:val="20"/>
        </w:rPr>
        <w:t xml:space="preserve"> “</w:t>
      </w:r>
      <w:r w:rsidR="00E06930" w:rsidRPr="00B9649B">
        <w:rPr>
          <w:sz w:val="20"/>
          <w:szCs w:val="20"/>
        </w:rPr>
        <w:t>Regular system-wide consultation with major stakeholders” (90</w:t>
      </w:r>
      <w:r w:rsidR="001B3158" w:rsidRPr="00B9649B">
        <w:rPr>
          <w:sz w:val="20"/>
          <w:szCs w:val="20"/>
        </w:rPr>
        <w:t>%),</w:t>
      </w:r>
      <w:r w:rsidR="00E06930" w:rsidRPr="00B9649B">
        <w:rPr>
          <w:sz w:val="20"/>
          <w:szCs w:val="20"/>
        </w:rPr>
        <w:t xml:space="preserve"> and 14 “Promoting wider female access to higher education &amp; assertiveness training” (90%);</w:t>
      </w:r>
      <w:r w:rsidR="00AD2B4C" w:rsidRPr="00B9649B">
        <w:rPr>
          <w:sz w:val="20"/>
          <w:szCs w:val="20"/>
        </w:rPr>
        <w:t xml:space="preserve"> then item8</w:t>
      </w:r>
      <w:r w:rsidR="001B3158" w:rsidRPr="00B9649B">
        <w:rPr>
          <w:sz w:val="20"/>
          <w:szCs w:val="20"/>
        </w:rPr>
        <w:t>; “</w:t>
      </w:r>
      <w:r w:rsidR="00AD2B4C" w:rsidRPr="00B9649B">
        <w:rPr>
          <w:sz w:val="20"/>
          <w:szCs w:val="20"/>
        </w:rPr>
        <w:t xml:space="preserve">Adoption of affirmative action to </w:t>
      </w:r>
      <w:proofErr w:type="spellStart"/>
      <w:r w:rsidR="00AD2B4C" w:rsidRPr="00B9649B">
        <w:rPr>
          <w:sz w:val="20"/>
          <w:szCs w:val="20"/>
        </w:rPr>
        <w:t>favour</w:t>
      </w:r>
      <w:proofErr w:type="spellEnd"/>
      <w:r w:rsidR="00AD2B4C" w:rsidRPr="00B9649B">
        <w:rPr>
          <w:sz w:val="20"/>
          <w:szCs w:val="20"/>
        </w:rPr>
        <w:t xml:space="preserve"> women participation</w:t>
      </w:r>
      <w:r w:rsidR="001B3158" w:rsidRPr="00B9649B">
        <w:rPr>
          <w:sz w:val="20"/>
          <w:szCs w:val="20"/>
        </w:rPr>
        <w:t>” (</w:t>
      </w:r>
      <w:r w:rsidR="00AD2B4C" w:rsidRPr="00B9649B">
        <w:rPr>
          <w:sz w:val="20"/>
          <w:szCs w:val="20"/>
        </w:rPr>
        <w:t>7</w:t>
      </w:r>
      <w:r w:rsidR="001B3158" w:rsidRPr="00B9649B">
        <w:rPr>
          <w:sz w:val="20"/>
          <w:szCs w:val="20"/>
        </w:rPr>
        <w:t>8%)</w:t>
      </w:r>
      <w:r w:rsidR="00AD2B4C" w:rsidRPr="00B9649B">
        <w:rPr>
          <w:sz w:val="20"/>
          <w:szCs w:val="20"/>
        </w:rPr>
        <w:t>;</w:t>
      </w:r>
      <w:r w:rsidR="001B3158" w:rsidRPr="00B9649B">
        <w:rPr>
          <w:sz w:val="20"/>
          <w:szCs w:val="20"/>
        </w:rPr>
        <w:t xml:space="preserve"> </w:t>
      </w:r>
      <w:r w:rsidR="00AD2B4C" w:rsidRPr="00B9649B">
        <w:rPr>
          <w:sz w:val="20"/>
          <w:szCs w:val="20"/>
        </w:rPr>
        <w:t xml:space="preserve">items3 “Provision of enforceable inclusion and diversity policy in universities” </w:t>
      </w:r>
      <w:r w:rsidR="001B3158" w:rsidRPr="00B9649B">
        <w:rPr>
          <w:sz w:val="20"/>
          <w:szCs w:val="20"/>
        </w:rPr>
        <w:t>and</w:t>
      </w:r>
      <w:r w:rsidR="00AD2B4C" w:rsidRPr="00B9649B">
        <w:rPr>
          <w:sz w:val="20"/>
          <w:szCs w:val="20"/>
        </w:rPr>
        <w:t xml:space="preserve"> 7</w:t>
      </w:r>
      <w:r w:rsidR="001B3158" w:rsidRPr="00B9649B">
        <w:rPr>
          <w:sz w:val="20"/>
          <w:szCs w:val="20"/>
        </w:rPr>
        <w:t xml:space="preserve"> “</w:t>
      </w:r>
      <w:r w:rsidR="00AD2B4C" w:rsidRPr="00B9649B">
        <w:rPr>
          <w:sz w:val="20"/>
          <w:szCs w:val="20"/>
        </w:rPr>
        <w:t>Reviewing of discriminatory appointment and promotion procedures</w:t>
      </w:r>
      <w:r w:rsidR="001B3158" w:rsidRPr="00B9649B">
        <w:rPr>
          <w:sz w:val="20"/>
          <w:szCs w:val="20"/>
        </w:rPr>
        <w:t xml:space="preserve">” (72%), in that order. </w:t>
      </w:r>
    </w:p>
    <w:p w:rsidR="001B3158" w:rsidRPr="00B9649B" w:rsidRDefault="001B3158" w:rsidP="001B3158">
      <w:pPr>
        <w:spacing w:line="360" w:lineRule="auto"/>
        <w:jc w:val="both"/>
        <w:rPr>
          <w:b/>
          <w:bCs/>
          <w:sz w:val="20"/>
          <w:szCs w:val="20"/>
        </w:rPr>
      </w:pPr>
      <w:r w:rsidRPr="00B9649B">
        <w:rPr>
          <w:sz w:val="20"/>
          <w:szCs w:val="20"/>
        </w:rPr>
        <w:tab/>
        <w:t xml:space="preserve">Table2 also shows that </w:t>
      </w:r>
      <w:r w:rsidR="00112088" w:rsidRPr="00B9649B">
        <w:rPr>
          <w:sz w:val="20"/>
          <w:szCs w:val="20"/>
        </w:rPr>
        <w:t>four</w:t>
      </w:r>
      <w:r w:rsidR="0015235F" w:rsidRPr="00B9649B">
        <w:rPr>
          <w:sz w:val="20"/>
          <w:szCs w:val="20"/>
        </w:rPr>
        <w:t xml:space="preserve"> items are </w:t>
      </w:r>
      <w:r w:rsidRPr="00B9649B">
        <w:rPr>
          <w:sz w:val="20"/>
          <w:szCs w:val="20"/>
        </w:rPr>
        <w:t xml:space="preserve">less </w:t>
      </w:r>
      <w:r w:rsidR="0015235F" w:rsidRPr="00B9649B">
        <w:rPr>
          <w:sz w:val="20"/>
          <w:szCs w:val="20"/>
        </w:rPr>
        <w:t>popular with the respondents as methods/approaches</w:t>
      </w:r>
      <w:r w:rsidRPr="00B9649B">
        <w:rPr>
          <w:sz w:val="20"/>
          <w:szCs w:val="20"/>
        </w:rPr>
        <w:t xml:space="preserve"> effective for increasing female participation in </w:t>
      </w:r>
      <w:r w:rsidR="0015235F" w:rsidRPr="00B9649B">
        <w:rPr>
          <w:sz w:val="20"/>
          <w:szCs w:val="20"/>
        </w:rPr>
        <w:t>the management of universities</w:t>
      </w:r>
      <w:r w:rsidRPr="00B9649B">
        <w:rPr>
          <w:sz w:val="20"/>
          <w:szCs w:val="20"/>
        </w:rPr>
        <w:t>. These are:</w:t>
      </w:r>
      <w:r w:rsidR="00112088" w:rsidRPr="00B9649B">
        <w:rPr>
          <w:sz w:val="20"/>
          <w:szCs w:val="20"/>
        </w:rPr>
        <w:t xml:space="preserve"> item 1 “</w:t>
      </w:r>
      <w:r w:rsidR="0015235F" w:rsidRPr="00B9649B">
        <w:rPr>
          <w:sz w:val="20"/>
          <w:szCs w:val="20"/>
        </w:rPr>
        <w:t>Attitude orientation of female academics</w:t>
      </w:r>
      <w:r w:rsidR="00112088" w:rsidRPr="00B9649B">
        <w:rPr>
          <w:sz w:val="20"/>
          <w:szCs w:val="20"/>
        </w:rPr>
        <w:t>”</w:t>
      </w:r>
      <w:r w:rsidRPr="00B9649B">
        <w:rPr>
          <w:sz w:val="20"/>
          <w:szCs w:val="20"/>
        </w:rPr>
        <w:t xml:space="preserve"> (</w:t>
      </w:r>
      <w:r w:rsidR="00112088" w:rsidRPr="00B9649B">
        <w:rPr>
          <w:sz w:val="20"/>
          <w:szCs w:val="20"/>
        </w:rPr>
        <w:t>50</w:t>
      </w:r>
      <w:r w:rsidRPr="00B9649B">
        <w:rPr>
          <w:sz w:val="20"/>
          <w:szCs w:val="20"/>
        </w:rPr>
        <w:t>%)</w:t>
      </w:r>
      <w:r w:rsidR="00112088" w:rsidRPr="00B9649B">
        <w:rPr>
          <w:sz w:val="20"/>
          <w:szCs w:val="20"/>
        </w:rPr>
        <w:t xml:space="preserve"> and 15</w:t>
      </w:r>
      <w:r w:rsidRPr="00B9649B">
        <w:rPr>
          <w:sz w:val="20"/>
          <w:szCs w:val="20"/>
        </w:rPr>
        <w:t xml:space="preserve">, </w:t>
      </w:r>
      <w:r w:rsidR="00112088" w:rsidRPr="00B9649B">
        <w:rPr>
          <w:sz w:val="20"/>
          <w:szCs w:val="20"/>
        </w:rPr>
        <w:t>“Reduction of costs of female higher education” (50%);</w:t>
      </w:r>
      <w:r w:rsidRPr="00B9649B">
        <w:rPr>
          <w:sz w:val="20"/>
          <w:szCs w:val="20"/>
        </w:rPr>
        <w:t xml:space="preserve"> </w:t>
      </w:r>
      <w:r w:rsidR="00112088" w:rsidRPr="00B9649B">
        <w:rPr>
          <w:sz w:val="20"/>
          <w:szCs w:val="20"/>
        </w:rPr>
        <w:t>“Confronting your institution’s gender diversity issue head on”</w:t>
      </w:r>
      <w:r w:rsidRPr="00B9649B">
        <w:rPr>
          <w:sz w:val="20"/>
          <w:szCs w:val="20"/>
        </w:rPr>
        <w:t xml:space="preserve"> (</w:t>
      </w:r>
      <w:r w:rsidR="00112088" w:rsidRPr="00B9649B">
        <w:rPr>
          <w:sz w:val="20"/>
          <w:szCs w:val="20"/>
        </w:rPr>
        <w:t>5</w:t>
      </w:r>
      <w:r w:rsidRPr="00B9649B">
        <w:rPr>
          <w:sz w:val="20"/>
          <w:szCs w:val="20"/>
        </w:rPr>
        <w:t xml:space="preserve">4%) </w:t>
      </w:r>
      <w:r w:rsidR="00112088" w:rsidRPr="00B9649B">
        <w:rPr>
          <w:sz w:val="20"/>
          <w:szCs w:val="20"/>
        </w:rPr>
        <w:t>“</w:t>
      </w:r>
      <w:r w:rsidR="0022323A" w:rsidRPr="00B9649B">
        <w:rPr>
          <w:sz w:val="20"/>
          <w:szCs w:val="20"/>
        </w:rPr>
        <w:t>Adoption of gender equity participation road show project” (</w:t>
      </w:r>
      <w:r w:rsidRPr="00B9649B">
        <w:rPr>
          <w:sz w:val="20"/>
          <w:szCs w:val="20"/>
        </w:rPr>
        <w:t>5</w:t>
      </w:r>
      <w:r w:rsidR="0022323A" w:rsidRPr="00B9649B">
        <w:rPr>
          <w:sz w:val="20"/>
          <w:szCs w:val="20"/>
        </w:rPr>
        <w:t>8</w:t>
      </w:r>
      <w:r w:rsidRPr="00B9649B">
        <w:rPr>
          <w:sz w:val="20"/>
          <w:szCs w:val="20"/>
        </w:rPr>
        <w:t xml:space="preserve">%), </w:t>
      </w:r>
      <w:r w:rsidR="0022323A" w:rsidRPr="00B9649B">
        <w:rPr>
          <w:sz w:val="20"/>
          <w:szCs w:val="20"/>
        </w:rPr>
        <w:t>“Consulting with community leaders on gender equity participation” (</w:t>
      </w:r>
      <w:r w:rsidRPr="00B9649B">
        <w:rPr>
          <w:sz w:val="20"/>
          <w:szCs w:val="20"/>
        </w:rPr>
        <w:t>6</w:t>
      </w:r>
      <w:r w:rsidR="0022323A" w:rsidRPr="00B9649B">
        <w:rPr>
          <w:sz w:val="20"/>
          <w:szCs w:val="20"/>
        </w:rPr>
        <w:t>0</w:t>
      </w:r>
      <w:r w:rsidRPr="00B9649B">
        <w:rPr>
          <w:sz w:val="20"/>
          <w:szCs w:val="20"/>
        </w:rPr>
        <w:t>%).</w:t>
      </w:r>
      <w:r w:rsidRPr="00B9649B">
        <w:rPr>
          <w:b/>
          <w:bCs/>
          <w:sz w:val="20"/>
          <w:szCs w:val="20"/>
        </w:rPr>
        <w:t xml:space="preserve"> </w:t>
      </w:r>
      <w:r w:rsidR="0022323A" w:rsidRPr="00B9649B">
        <w:rPr>
          <w:bCs/>
          <w:sz w:val="20"/>
          <w:szCs w:val="20"/>
        </w:rPr>
        <w:t>The rating for these last four items was below 70%.</w:t>
      </w:r>
    </w:p>
    <w:p w:rsidR="001B3158" w:rsidRPr="00B9649B" w:rsidRDefault="001B3158" w:rsidP="001B3158">
      <w:pPr>
        <w:spacing w:line="360" w:lineRule="auto"/>
        <w:jc w:val="both"/>
        <w:rPr>
          <w:b/>
          <w:bCs/>
          <w:sz w:val="20"/>
          <w:szCs w:val="20"/>
        </w:rPr>
      </w:pPr>
      <w:r w:rsidRPr="00B9649B">
        <w:rPr>
          <w:b/>
          <w:bCs/>
          <w:sz w:val="20"/>
          <w:szCs w:val="20"/>
        </w:rPr>
        <w:t xml:space="preserve">Discussion of Research Findings </w:t>
      </w:r>
    </w:p>
    <w:p w:rsidR="001B3158" w:rsidRPr="00B9649B" w:rsidRDefault="001B3158" w:rsidP="001B3158">
      <w:pPr>
        <w:spacing w:line="360" w:lineRule="auto"/>
        <w:jc w:val="both"/>
        <w:rPr>
          <w:sz w:val="20"/>
          <w:szCs w:val="20"/>
        </w:rPr>
      </w:pPr>
      <w:r w:rsidRPr="00B9649B">
        <w:rPr>
          <w:sz w:val="20"/>
          <w:szCs w:val="20"/>
        </w:rPr>
        <w:tab/>
        <w:t xml:space="preserve">The only research question in the study was, “what </w:t>
      </w:r>
      <w:proofErr w:type="gramStart"/>
      <w:r w:rsidRPr="00B9649B">
        <w:rPr>
          <w:sz w:val="20"/>
          <w:szCs w:val="20"/>
        </w:rPr>
        <w:t xml:space="preserve">is </w:t>
      </w:r>
      <w:r w:rsidR="0022323A" w:rsidRPr="00B9649B">
        <w:rPr>
          <w:sz w:val="20"/>
          <w:szCs w:val="20"/>
        </w:rPr>
        <w:t>Women academics</w:t>
      </w:r>
      <w:r w:rsidRPr="00B9649B">
        <w:rPr>
          <w:sz w:val="20"/>
          <w:szCs w:val="20"/>
        </w:rPr>
        <w:t>’ perspective on strategies for</w:t>
      </w:r>
      <w:proofErr w:type="gramEnd"/>
      <w:r w:rsidRPr="00B9649B">
        <w:rPr>
          <w:sz w:val="20"/>
          <w:szCs w:val="20"/>
        </w:rPr>
        <w:t xml:space="preserve"> promoting female participation in </w:t>
      </w:r>
      <w:r w:rsidR="0022323A" w:rsidRPr="00B9649B">
        <w:rPr>
          <w:sz w:val="20"/>
          <w:szCs w:val="20"/>
        </w:rPr>
        <w:t>universities’ governance</w:t>
      </w:r>
      <w:r w:rsidRPr="00B9649B">
        <w:rPr>
          <w:sz w:val="20"/>
          <w:szCs w:val="20"/>
        </w:rPr>
        <w:t xml:space="preserve">?” The </w:t>
      </w:r>
      <w:r w:rsidR="0022323A" w:rsidRPr="00B9649B">
        <w:rPr>
          <w:sz w:val="20"/>
          <w:szCs w:val="20"/>
        </w:rPr>
        <w:t>women in academic</w:t>
      </w:r>
      <w:r w:rsidRPr="00B9649B">
        <w:rPr>
          <w:sz w:val="20"/>
          <w:szCs w:val="20"/>
        </w:rPr>
        <w:t xml:space="preserve">s who participated in this study seem to be more </w:t>
      </w:r>
      <w:proofErr w:type="spellStart"/>
      <w:r w:rsidRPr="00B9649B">
        <w:rPr>
          <w:sz w:val="20"/>
          <w:szCs w:val="20"/>
        </w:rPr>
        <w:t>favourably</w:t>
      </w:r>
      <w:proofErr w:type="spellEnd"/>
      <w:r w:rsidRPr="00B9649B">
        <w:rPr>
          <w:sz w:val="20"/>
          <w:szCs w:val="20"/>
        </w:rPr>
        <w:t xml:space="preserve"> disposed to </w:t>
      </w:r>
      <w:r w:rsidR="00C33C0B" w:rsidRPr="00B9649B">
        <w:rPr>
          <w:sz w:val="20"/>
          <w:szCs w:val="20"/>
        </w:rPr>
        <w:t>all the</w:t>
      </w:r>
      <w:r w:rsidRPr="00B9649B">
        <w:rPr>
          <w:sz w:val="20"/>
          <w:szCs w:val="20"/>
        </w:rPr>
        <w:t xml:space="preserve"> methods/approaches as effective in increasing participation of female </w:t>
      </w:r>
      <w:r w:rsidR="00C33C0B" w:rsidRPr="00B9649B">
        <w:rPr>
          <w:sz w:val="20"/>
          <w:szCs w:val="20"/>
        </w:rPr>
        <w:t>universities’ governance. However, eleven out of the fifteen strategies outlined in the study had a rating of above 70%</w:t>
      </w:r>
      <w:r w:rsidR="00E67137" w:rsidRPr="00B9649B">
        <w:rPr>
          <w:sz w:val="20"/>
          <w:szCs w:val="20"/>
        </w:rPr>
        <w:t xml:space="preserve"> and of this number, strategies listed in items 5,6 and 10 are adjudge by the respondents as the most </w:t>
      </w:r>
      <w:r w:rsidR="00E67137" w:rsidRPr="00B9649B">
        <w:rPr>
          <w:sz w:val="20"/>
          <w:szCs w:val="20"/>
        </w:rPr>
        <w:lastRenderedPageBreak/>
        <w:t xml:space="preserve">effective for increasing women’s capacities and abilities for active involvement in the management </w:t>
      </w:r>
      <w:proofErr w:type="gramStart"/>
      <w:r w:rsidR="00E67137" w:rsidRPr="00B9649B">
        <w:rPr>
          <w:sz w:val="20"/>
          <w:szCs w:val="20"/>
        </w:rPr>
        <w:t>of  higher</w:t>
      </w:r>
      <w:proofErr w:type="gramEnd"/>
      <w:r w:rsidR="00E67137" w:rsidRPr="00B9649B">
        <w:rPr>
          <w:sz w:val="20"/>
          <w:szCs w:val="20"/>
        </w:rPr>
        <w:t xml:space="preserve"> education institutions</w:t>
      </w:r>
      <w:r w:rsidRPr="00B9649B">
        <w:rPr>
          <w:sz w:val="20"/>
          <w:szCs w:val="20"/>
        </w:rPr>
        <w:t xml:space="preserve"> </w:t>
      </w:r>
    </w:p>
    <w:p w:rsidR="001B3158" w:rsidRPr="00B9649B" w:rsidRDefault="001B3158" w:rsidP="001B3158">
      <w:pPr>
        <w:spacing w:line="360" w:lineRule="auto"/>
        <w:jc w:val="both"/>
        <w:rPr>
          <w:sz w:val="20"/>
          <w:szCs w:val="20"/>
        </w:rPr>
      </w:pPr>
      <w:r w:rsidRPr="00B9649B">
        <w:rPr>
          <w:sz w:val="20"/>
          <w:szCs w:val="20"/>
        </w:rPr>
        <w:tab/>
        <w:t>Increasing the number of female</w:t>
      </w:r>
      <w:r w:rsidR="000407BD" w:rsidRPr="00B9649B">
        <w:rPr>
          <w:sz w:val="20"/>
          <w:szCs w:val="20"/>
        </w:rPr>
        <w:t xml:space="preserve"> academics</w:t>
      </w:r>
      <w:r w:rsidRPr="00B9649B">
        <w:rPr>
          <w:sz w:val="20"/>
          <w:szCs w:val="20"/>
        </w:rPr>
        <w:t xml:space="preserve"> particularly in the </w:t>
      </w:r>
      <w:r w:rsidR="000407BD" w:rsidRPr="00B9649B">
        <w:rPr>
          <w:sz w:val="20"/>
          <w:szCs w:val="20"/>
        </w:rPr>
        <w:t>management</w:t>
      </w:r>
      <w:r w:rsidR="00E6135A" w:rsidRPr="00B9649B">
        <w:rPr>
          <w:sz w:val="20"/>
          <w:szCs w:val="20"/>
        </w:rPr>
        <w:t xml:space="preserve"> of their institution</w:t>
      </w:r>
      <w:r w:rsidRPr="00B9649B">
        <w:rPr>
          <w:sz w:val="20"/>
          <w:szCs w:val="20"/>
        </w:rPr>
        <w:t xml:space="preserve"> is important in that, the</w:t>
      </w:r>
      <w:r w:rsidR="000407BD" w:rsidRPr="00B9649B">
        <w:rPr>
          <w:sz w:val="20"/>
          <w:szCs w:val="20"/>
        </w:rPr>
        <w:t>ir</w:t>
      </w:r>
      <w:r w:rsidRPr="00B9649B">
        <w:rPr>
          <w:sz w:val="20"/>
          <w:szCs w:val="20"/>
        </w:rPr>
        <w:t xml:space="preserve"> presence in </w:t>
      </w:r>
      <w:r w:rsidR="000407BD" w:rsidRPr="00B9649B">
        <w:rPr>
          <w:sz w:val="20"/>
          <w:szCs w:val="20"/>
        </w:rPr>
        <w:t>decision-making cadre</w:t>
      </w:r>
      <w:r w:rsidRPr="00B9649B">
        <w:rPr>
          <w:sz w:val="20"/>
          <w:szCs w:val="20"/>
        </w:rPr>
        <w:t xml:space="preserve"> would encourage</w:t>
      </w:r>
      <w:r w:rsidR="000407BD" w:rsidRPr="00B9649B">
        <w:rPr>
          <w:sz w:val="20"/>
          <w:szCs w:val="20"/>
        </w:rPr>
        <w:t xml:space="preserve"> younger</w:t>
      </w:r>
      <w:r w:rsidRPr="00B9649B">
        <w:rPr>
          <w:sz w:val="20"/>
          <w:szCs w:val="20"/>
        </w:rPr>
        <w:t xml:space="preserve"> female</w:t>
      </w:r>
      <w:r w:rsidR="000407BD" w:rsidRPr="00B9649B">
        <w:rPr>
          <w:sz w:val="20"/>
          <w:szCs w:val="20"/>
        </w:rPr>
        <w:t xml:space="preserve"> colleagues to aspire to greater heights as well</w:t>
      </w:r>
      <w:r w:rsidRPr="00B9649B">
        <w:rPr>
          <w:sz w:val="20"/>
          <w:szCs w:val="20"/>
        </w:rPr>
        <w:t xml:space="preserve"> </w:t>
      </w:r>
      <w:r w:rsidR="000407BD" w:rsidRPr="00B9649B">
        <w:rPr>
          <w:sz w:val="20"/>
          <w:szCs w:val="20"/>
        </w:rPr>
        <w:t>as assure</w:t>
      </w:r>
      <w:r w:rsidRPr="00B9649B">
        <w:rPr>
          <w:sz w:val="20"/>
          <w:szCs w:val="20"/>
        </w:rPr>
        <w:t xml:space="preserve"> </w:t>
      </w:r>
      <w:r w:rsidR="000407BD" w:rsidRPr="00B9649B">
        <w:rPr>
          <w:sz w:val="20"/>
          <w:szCs w:val="20"/>
        </w:rPr>
        <w:t xml:space="preserve">female students who have tended </w:t>
      </w:r>
      <w:r w:rsidR="000F6392" w:rsidRPr="00B9649B">
        <w:rPr>
          <w:sz w:val="20"/>
          <w:szCs w:val="20"/>
        </w:rPr>
        <w:t>YGD</w:t>
      </w:r>
      <w:r w:rsidR="00D86126" w:rsidRPr="00B9649B">
        <w:rPr>
          <w:sz w:val="20"/>
          <w:szCs w:val="20"/>
        </w:rPr>
        <w:t xml:space="preserve"> </w:t>
      </w:r>
      <w:r w:rsidR="000407BD" w:rsidRPr="00B9649B">
        <w:rPr>
          <w:sz w:val="20"/>
          <w:szCs w:val="20"/>
        </w:rPr>
        <w:t>to experience ‘oppression</w:t>
      </w:r>
      <w:r w:rsidRPr="00B9649B">
        <w:rPr>
          <w:sz w:val="20"/>
          <w:szCs w:val="20"/>
        </w:rPr>
        <w:t xml:space="preserve"> </w:t>
      </w:r>
      <w:r w:rsidR="000407BD" w:rsidRPr="00B9649B">
        <w:rPr>
          <w:sz w:val="20"/>
          <w:szCs w:val="20"/>
        </w:rPr>
        <w:t xml:space="preserve">and victimization’ </w:t>
      </w:r>
      <w:r w:rsidR="00A34CD7" w:rsidRPr="00B9649B">
        <w:rPr>
          <w:sz w:val="20"/>
          <w:szCs w:val="20"/>
        </w:rPr>
        <w:t xml:space="preserve">some form of protection </w:t>
      </w:r>
      <w:r w:rsidRPr="00B9649B">
        <w:rPr>
          <w:sz w:val="20"/>
          <w:szCs w:val="20"/>
        </w:rPr>
        <w:t>thereby decreasing dropout</w:t>
      </w:r>
      <w:r w:rsidR="00A34CD7" w:rsidRPr="00B9649B">
        <w:rPr>
          <w:sz w:val="20"/>
          <w:szCs w:val="20"/>
        </w:rPr>
        <w:t xml:space="preserve"> rates emanating from such tendencies</w:t>
      </w:r>
      <w:r w:rsidRPr="00B9649B">
        <w:rPr>
          <w:sz w:val="20"/>
          <w:szCs w:val="20"/>
        </w:rPr>
        <w:t xml:space="preserve">. Besides, female </w:t>
      </w:r>
      <w:r w:rsidR="00A34CD7" w:rsidRPr="00B9649B">
        <w:rPr>
          <w:sz w:val="20"/>
          <w:szCs w:val="20"/>
        </w:rPr>
        <w:t>manager</w:t>
      </w:r>
      <w:r w:rsidRPr="00B9649B">
        <w:rPr>
          <w:sz w:val="20"/>
          <w:szCs w:val="20"/>
        </w:rPr>
        <w:t xml:space="preserve">s </w:t>
      </w:r>
      <w:r w:rsidR="00A34CD7" w:rsidRPr="00B9649B">
        <w:rPr>
          <w:sz w:val="20"/>
          <w:szCs w:val="20"/>
        </w:rPr>
        <w:t xml:space="preserve">in higher education </w:t>
      </w:r>
      <w:r w:rsidRPr="00B9649B">
        <w:rPr>
          <w:sz w:val="20"/>
          <w:szCs w:val="20"/>
        </w:rPr>
        <w:t>would serve as role models to female students.</w:t>
      </w:r>
      <w:r w:rsidR="00A34CD7" w:rsidRPr="00B9649B">
        <w:rPr>
          <w:sz w:val="20"/>
          <w:szCs w:val="20"/>
        </w:rPr>
        <w:t xml:space="preserve"> The availability of viable and veritable strategies</w:t>
      </w:r>
      <w:r w:rsidR="00E6135A" w:rsidRPr="00B9649B">
        <w:rPr>
          <w:sz w:val="20"/>
          <w:szCs w:val="20"/>
        </w:rPr>
        <w:t xml:space="preserve"> as revealed in this study designed</w:t>
      </w:r>
      <w:r w:rsidR="00A34CD7" w:rsidRPr="00B9649B">
        <w:rPr>
          <w:sz w:val="20"/>
          <w:szCs w:val="20"/>
        </w:rPr>
        <w:t xml:space="preserve"> to promote the equitable placement of female academics in such decision-making platforms that can enhance their viability, visibility and productivity is a positive </w:t>
      </w:r>
      <w:r w:rsidR="00995336" w:rsidRPr="00B9649B">
        <w:rPr>
          <w:sz w:val="20"/>
          <w:szCs w:val="20"/>
        </w:rPr>
        <w:t>d</w:t>
      </w:r>
      <w:r w:rsidR="00A34CD7" w:rsidRPr="00B9649B">
        <w:rPr>
          <w:sz w:val="20"/>
          <w:szCs w:val="20"/>
        </w:rPr>
        <w:t>e</w:t>
      </w:r>
      <w:r w:rsidR="00995336" w:rsidRPr="00B9649B">
        <w:rPr>
          <w:sz w:val="20"/>
          <w:szCs w:val="20"/>
        </w:rPr>
        <w:t>velopment. The result as shown here is an empirical affirmatio</w:t>
      </w:r>
      <w:r w:rsidR="00E6135A" w:rsidRPr="00B9649B">
        <w:rPr>
          <w:sz w:val="20"/>
          <w:szCs w:val="20"/>
        </w:rPr>
        <w:t>n of the suggestion</w:t>
      </w:r>
      <w:r w:rsidR="009139B1" w:rsidRPr="00B9649B">
        <w:rPr>
          <w:sz w:val="20"/>
          <w:szCs w:val="20"/>
        </w:rPr>
        <w:t xml:space="preserve"> that the real solution to remedy</w:t>
      </w:r>
      <w:r w:rsidR="002E68C1" w:rsidRPr="00B9649B">
        <w:rPr>
          <w:sz w:val="20"/>
          <w:szCs w:val="20"/>
        </w:rPr>
        <w:t xml:space="preserve"> in</w:t>
      </w:r>
      <w:r w:rsidR="009139B1" w:rsidRPr="00B9649B">
        <w:rPr>
          <w:sz w:val="20"/>
          <w:szCs w:val="20"/>
        </w:rPr>
        <w:t xml:space="preserve"> the exclusion of women from top </w:t>
      </w:r>
      <w:proofErr w:type="gramStart"/>
      <w:r w:rsidR="009139B1" w:rsidRPr="00B9649B">
        <w:rPr>
          <w:sz w:val="20"/>
          <w:szCs w:val="20"/>
        </w:rPr>
        <w:t>decision making</w:t>
      </w:r>
      <w:proofErr w:type="gramEnd"/>
      <w:r w:rsidR="009139B1" w:rsidRPr="00B9649B">
        <w:rPr>
          <w:sz w:val="20"/>
          <w:szCs w:val="20"/>
        </w:rPr>
        <w:t xml:space="preserve"> echelons of society was a reversal</w:t>
      </w:r>
      <w:r w:rsidR="00E6135A" w:rsidRPr="00B9649B">
        <w:rPr>
          <w:sz w:val="20"/>
          <w:szCs w:val="20"/>
        </w:rPr>
        <w:t xml:space="preserve"> </w:t>
      </w:r>
      <w:r w:rsidR="009139B1" w:rsidRPr="00B9649B">
        <w:rPr>
          <w:sz w:val="20"/>
          <w:szCs w:val="20"/>
        </w:rPr>
        <w:t>of schemes that undermined their aspirations along these directions (</w:t>
      </w:r>
      <w:r w:rsidR="00E6135A" w:rsidRPr="00B9649B">
        <w:rPr>
          <w:sz w:val="20"/>
          <w:szCs w:val="20"/>
        </w:rPr>
        <w:t>UNESCO/Commonwealth Secretaria</w:t>
      </w:r>
      <w:r w:rsidR="009139B1" w:rsidRPr="00B9649B">
        <w:rPr>
          <w:sz w:val="20"/>
          <w:szCs w:val="20"/>
        </w:rPr>
        <w:t xml:space="preserve">t, </w:t>
      </w:r>
      <w:r w:rsidR="00E6135A" w:rsidRPr="00B9649B">
        <w:rPr>
          <w:sz w:val="20"/>
          <w:szCs w:val="20"/>
        </w:rPr>
        <w:t>1993</w:t>
      </w:r>
      <w:r w:rsidR="00E6323C" w:rsidRPr="00B9649B">
        <w:rPr>
          <w:sz w:val="20"/>
          <w:szCs w:val="20"/>
        </w:rPr>
        <w:t xml:space="preserve"> &amp;</w:t>
      </w:r>
      <w:r w:rsidR="00E6135A" w:rsidRPr="00B9649B">
        <w:rPr>
          <w:sz w:val="20"/>
          <w:szCs w:val="20"/>
        </w:rPr>
        <w:t xml:space="preserve"> World Economic Forum</w:t>
      </w:r>
      <w:r w:rsidR="009139B1" w:rsidRPr="00B9649B">
        <w:rPr>
          <w:sz w:val="20"/>
          <w:szCs w:val="20"/>
        </w:rPr>
        <w:t xml:space="preserve">, </w:t>
      </w:r>
      <w:r w:rsidR="00E6135A" w:rsidRPr="00B9649B">
        <w:rPr>
          <w:sz w:val="20"/>
          <w:szCs w:val="20"/>
        </w:rPr>
        <w:t>2010)</w:t>
      </w:r>
      <w:r w:rsidR="009139B1" w:rsidRPr="00B9649B">
        <w:rPr>
          <w:sz w:val="20"/>
          <w:szCs w:val="20"/>
        </w:rPr>
        <w:t>.</w:t>
      </w:r>
    </w:p>
    <w:p w:rsidR="001B3158" w:rsidRPr="00B9649B" w:rsidRDefault="001B3158" w:rsidP="001B3158">
      <w:pPr>
        <w:spacing w:line="360" w:lineRule="auto"/>
        <w:jc w:val="both"/>
        <w:rPr>
          <w:sz w:val="20"/>
          <w:szCs w:val="20"/>
        </w:rPr>
      </w:pPr>
      <w:r w:rsidRPr="00B9649B">
        <w:rPr>
          <w:sz w:val="20"/>
          <w:szCs w:val="20"/>
        </w:rPr>
        <w:tab/>
        <w:t>Experience has shown that,</w:t>
      </w:r>
      <w:r w:rsidR="009139B1" w:rsidRPr="00B9649B">
        <w:rPr>
          <w:sz w:val="20"/>
          <w:szCs w:val="20"/>
        </w:rPr>
        <w:t xml:space="preserve"> offering females formal mentoring and leadership development</w:t>
      </w:r>
      <w:r w:rsidRPr="00B9649B">
        <w:rPr>
          <w:sz w:val="20"/>
          <w:szCs w:val="20"/>
        </w:rPr>
        <w:t xml:space="preserve"> </w:t>
      </w:r>
      <w:r w:rsidR="009139B1" w:rsidRPr="00B9649B">
        <w:rPr>
          <w:sz w:val="20"/>
          <w:szCs w:val="20"/>
        </w:rPr>
        <w:t xml:space="preserve">and formulating and implementing </w:t>
      </w:r>
      <w:proofErr w:type="spellStart"/>
      <w:r w:rsidR="009139B1" w:rsidRPr="00B9649B">
        <w:rPr>
          <w:sz w:val="20"/>
          <w:szCs w:val="20"/>
        </w:rPr>
        <w:t>programmes</w:t>
      </w:r>
      <w:proofErr w:type="spellEnd"/>
      <w:r w:rsidR="009139B1" w:rsidRPr="00B9649B">
        <w:rPr>
          <w:sz w:val="20"/>
          <w:szCs w:val="20"/>
        </w:rPr>
        <w:t xml:space="preserve"> that enhance gender sensitivity, reflection and balancing</w:t>
      </w:r>
      <w:r w:rsidR="00445046" w:rsidRPr="00B9649B">
        <w:rPr>
          <w:sz w:val="20"/>
          <w:szCs w:val="20"/>
        </w:rPr>
        <w:t xml:space="preserve"> promote rapid psychological, social and economic development of the female gender at all levels</w:t>
      </w:r>
      <w:r w:rsidR="00E6323C" w:rsidRPr="00B9649B">
        <w:rPr>
          <w:sz w:val="20"/>
          <w:szCs w:val="20"/>
        </w:rPr>
        <w:t xml:space="preserve"> (</w:t>
      </w:r>
      <w:r w:rsidR="00425C92" w:rsidRPr="00B9649B">
        <w:rPr>
          <w:sz w:val="20"/>
          <w:szCs w:val="20"/>
        </w:rPr>
        <w:t xml:space="preserve">UNESCO, 2010 </w:t>
      </w:r>
      <w:r w:rsidR="00E6323C" w:rsidRPr="00B9649B">
        <w:rPr>
          <w:sz w:val="20"/>
          <w:szCs w:val="20"/>
        </w:rPr>
        <w:t>UNICEF,</w:t>
      </w:r>
      <w:r w:rsidR="00425C92" w:rsidRPr="00B9649B">
        <w:rPr>
          <w:sz w:val="20"/>
          <w:szCs w:val="20"/>
        </w:rPr>
        <w:t xml:space="preserve"> </w:t>
      </w:r>
      <w:r w:rsidR="00E6323C" w:rsidRPr="00B9649B">
        <w:rPr>
          <w:sz w:val="20"/>
          <w:szCs w:val="20"/>
        </w:rPr>
        <w:t>2011)</w:t>
      </w:r>
      <w:r w:rsidRPr="00B9649B">
        <w:rPr>
          <w:sz w:val="20"/>
          <w:szCs w:val="20"/>
        </w:rPr>
        <w:t xml:space="preserve">. When such </w:t>
      </w:r>
      <w:r w:rsidR="00E6323C" w:rsidRPr="00B9649B">
        <w:rPr>
          <w:sz w:val="20"/>
          <w:szCs w:val="20"/>
        </w:rPr>
        <w:t>environment is created, they are</w:t>
      </w:r>
      <w:r w:rsidRPr="00B9649B">
        <w:rPr>
          <w:sz w:val="20"/>
          <w:szCs w:val="20"/>
        </w:rPr>
        <w:t xml:space="preserve"> always at a</w:t>
      </w:r>
      <w:r w:rsidR="00E6323C" w:rsidRPr="00B9649B">
        <w:rPr>
          <w:sz w:val="20"/>
          <w:szCs w:val="20"/>
        </w:rPr>
        <w:t xml:space="preserve">n </w:t>
      </w:r>
      <w:r w:rsidRPr="00B9649B">
        <w:rPr>
          <w:sz w:val="20"/>
          <w:szCs w:val="20"/>
        </w:rPr>
        <w:t xml:space="preserve">advantage. </w:t>
      </w:r>
      <w:r w:rsidR="00E6323C" w:rsidRPr="00B9649B">
        <w:rPr>
          <w:sz w:val="20"/>
          <w:szCs w:val="20"/>
        </w:rPr>
        <w:t>Provid</w:t>
      </w:r>
      <w:r w:rsidRPr="00B9649B">
        <w:rPr>
          <w:sz w:val="20"/>
          <w:szCs w:val="20"/>
        </w:rPr>
        <w:t xml:space="preserve">ing </w:t>
      </w:r>
      <w:r w:rsidR="00E6323C" w:rsidRPr="00B9649B">
        <w:rPr>
          <w:sz w:val="20"/>
          <w:szCs w:val="20"/>
        </w:rPr>
        <w:t>such an enabling</w:t>
      </w:r>
      <w:r w:rsidRPr="00B9649B">
        <w:rPr>
          <w:sz w:val="20"/>
          <w:szCs w:val="20"/>
        </w:rPr>
        <w:t xml:space="preserve"> </w:t>
      </w:r>
      <w:r w:rsidR="00E6323C" w:rsidRPr="00B9649B">
        <w:rPr>
          <w:sz w:val="20"/>
          <w:szCs w:val="20"/>
        </w:rPr>
        <w:t xml:space="preserve">and positive environment </w:t>
      </w:r>
      <w:r w:rsidR="001D61A4" w:rsidRPr="00B9649B">
        <w:rPr>
          <w:sz w:val="20"/>
          <w:szCs w:val="20"/>
        </w:rPr>
        <w:t xml:space="preserve">for </w:t>
      </w:r>
      <w:r w:rsidRPr="00B9649B">
        <w:rPr>
          <w:sz w:val="20"/>
          <w:szCs w:val="20"/>
        </w:rPr>
        <w:t xml:space="preserve">female education </w:t>
      </w:r>
      <w:r w:rsidR="001D61A4" w:rsidRPr="00B9649B">
        <w:rPr>
          <w:sz w:val="20"/>
          <w:szCs w:val="20"/>
        </w:rPr>
        <w:t xml:space="preserve">advancement </w:t>
      </w:r>
      <w:r w:rsidRPr="00B9649B">
        <w:rPr>
          <w:sz w:val="20"/>
          <w:szCs w:val="20"/>
        </w:rPr>
        <w:t>would certainly augur well with the female folk and the entire society, since it would increase their access to education</w:t>
      </w:r>
      <w:r w:rsidR="001D61A4" w:rsidRPr="00B9649B">
        <w:rPr>
          <w:sz w:val="20"/>
          <w:szCs w:val="20"/>
        </w:rPr>
        <w:t xml:space="preserve">, positions and </w:t>
      </w:r>
      <w:proofErr w:type="gramStart"/>
      <w:r w:rsidR="001D61A4" w:rsidRPr="00B9649B">
        <w:rPr>
          <w:sz w:val="20"/>
          <w:szCs w:val="20"/>
        </w:rPr>
        <w:t>power</w:t>
      </w:r>
      <w:r w:rsidR="00425C92" w:rsidRPr="00B9649B">
        <w:rPr>
          <w:sz w:val="20"/>
          <w:szCs w:val="20"/>
        </w:rPr>
        <w:t>(</w:t>
      </w:r>
      <w:proofErr w:type="gramEnd"/>
      <w:r w:rsidR="00425C92" w:rsidRPr="00B9649B">
        <w:rPr>
          <w:sz w:val="20"/>
          <w:szCs w:val="20"/>
        </w:rPr>
        <w:t>UNESCO, 2010)</w:t>
      </w:r>
      <w:r w:rsidRPr="00B9649B">
        <w:rPr>
          <w:sz w:val="20"/>
          <w:szCs w:val="20"/>
        </w:rPr>
        <w:t xml:space="preserve">. This could be achieved through </w:t>
      </w:r>
      <w:r w:rsidR="00425C92" w:rsidRPr="00B9649B">
        <w:rPr>
          <w:sz w:val="20"/>
          <w:szCs w:val="20"/>
        </w:rPr>
        <w:t>practical mentoring and leader</w:t>
      </w:r>
      <w:r w:rsidRPr="00B9649B">
        <w:rPr>
          <w:sz w:val="20"/>
          <w:szCs w:val="20"/>
        </w:rPr>
        <w:t>s</w:t>
      </w:r>
      <w:r w:rsidR="00425C92" w:rsidRPr="00B9649B">
        <w:rPr>
          <w:sz w:val="20"/>
          <w:szCs w:val="20"/>
        </w:rPr>
        <w:t>hip training</w:t>
      </w:r>
      <w:r w:rsidRPr="00B9649B">
        <w:rPr>
          <w:sz w:val="20"/>
          <w:szCs w:val="20"/>
        </w:rPr>
        <w:t xml:space="preserve">, </w:t>
      </w:r>
      <w:r w:rsidR="00425C92" w:rsidRPr="00B9649B">
        <w:rPr>
          <w:sz w:val="20"/>
          <w:szCs w:val="20"/>
        </w:rPr>
        <w:t>int</w:t>
      </w:r>
      <w:r w:rsidRPr="00B9649B">
        <w:rPr>
          <w:sz w:val="20"/>
          <w:szCs w:val="20"/>
        </w:rPr>
        <w:t>ro</w:t>
      </w:r>
      <w:r w:rsidR="00425C92" w:rsidRPr="00B9649B">
        <w:rPr>
          <w:sz w:val="20"/>
          <w:szCs w:val="20"/>
        </w:rPr>
        <w:t>ducing</w:t>
      </w:r>
      <w:r w:rsidRPr="00B9649B">
        <w:rPr>
          <w:sz w:val="20"/>
          <w:szCs w:val="20"/>
        </w:rPr>
        <w:t xml:space="preserve"> </w:t>
      </w:r>
      <w:r w:rsidR="00425C92" w:rsidRPr="00B9649B">
        <w:rPr>
          <w:sz w:val="20"/>
          <w:szCs w:val="20"/>
        </w:rPr>
        <w:t>gender sensitivity</w:t>
      </w:r>
      <w:r w:rsidRPr="00B9649B">
        <w:rPr>
          <w:sz w:val="20"/>
          <w:szCs w:val="20"/>
        </w:rPr>
        <w:t xml:space="preserve"> </w:t>
      </w:r>
      <w:r w:rsidR="00425C92" w:rsidRPr="00B9649B">
        <w:rPr>
          <w:sz w:val="20"/>
          <w:szCs w:val="20"/>
        </w:rPr>
        <w:t>and balancing policies</w:t>
      </w:r>
      <w:r w:rsidRPr="00B9649B">
        <w:rPr>
          <w:sz w:val="20"/>
          <w:szCs w:val="20"/>
        </w:rPr>
        <w:t xml:space="preserve">, where </w:t>
      </w:r>
      <w:r w:rsidR="00174B1D" w:rsidRPr="00B9649B">
        <w:rPr>
          <w:sz w:val="20"/>
          <w:szCs w:val="20"/>
        </w:rPr>
        <w:t>and when practicable. E</w:t>
      </w:r>
      <w:r w:rsidRPr="00B9649B">
        <w:rPr>
          <w:sz w:val="20"/>
          <w:szCs w:val="20"/>
        </w:rPr>
        <w:t>merging literature on increasing female access to education</w:t>
      </w:r>
      <w:r w:rsidR="00174B1D" w:rsidRPr="00B9649B">
        <w:rPr>
          <w:sz w:val="20"/>
          <w:szCs w:val="20"/>
        </w:rPr>
        <w:t>, position and power</w:t>
      </w:r>
      <w:r w:rsidRPr="00B9649B">
        <w:rPr>
          <w:sz w:val="20"/>
          <w:szCs w:val="20"/>
        </w:rPr>
        <w:t xml:space="preserve"> revealed that, </w:t>
      </w:r>
      <w:r w:rsidR="00174B1D" w:rsidRPr="00B9649B">
        <w:rPr>
          <w:sz w:val="20"/>
          <w:szCs w:val="20"/>
        </w:rPr>
        <w:t>mentoring, leadership training and gender balancing schemes</w:t>
      </w:r>
      <w:r w:rsidRPr="00B9649B">
        <w:rPr>
          <w:sz w:val="20"/>
          <w:szCs w:val="20"/>
        </w:rPr>
        <w:t xml:space="preserve"> ha</w:t>
      </w:r>
      <w:r w:rsidR="00174B1D" w:rsidRPr="00B9649B">
        <w:rPr>
          <w:sz w:val="20"/>
          <w:szCs w:val="20"/>
        </w:rPr>
        <w:t>ve</w:t>
      </w:r>
      <w:r w:rsidRPr="00B9649B">
        <w:rPr>
          <w:sz w:val="20"/>
          <w:szCs w:val="20"/>
        </w:rPr>
        <w:t xml:space="preserve"> strong effect on </w:t>
      </w:r>
      <w:r w:rsidR="00174B1D" w:rsidRPr="00B9649B">
        <w:rPr>
          <w:sz w:val="20"/>
          <w:szCs w:val="20"/>
        </w:rPr>
        <w:t>the</w:t>
      </w:r>
      <w:r w:rsidRPr="00B9649B">
        <w:rPr>
          <w:sz w:val="20"/>
          <w:szCs w:val="20"/>
        </w:rPr>
        <w:t xml:space="preserve"> education</w:t>
      </w:r>
      <w:r w:rsidR="00174B1D" w:rsidRPr="00B9649B">
        <w:rPr>
          <w:sz w:val="20"/>
          <w:szCs w:val="20"/>
        </w:rPr>
        <w:t xml:space="preserve"> and advancement </w:t>
      </w:r>
      <w:r w:rsidRPr="00B9649B">
        <w:rPr>
          <w:sz w:val="20"/>
          <w:szCs w:val="20"/>
        </w:rPr>
        <w:t>o</w:t>
      </w:r>
      <w:r w:rsidR="00174B1D" w:rsidRPr="00B9649B">
        <w:rPr>
          <w:sz w:val="20"/>
          <w:szCs w:val="20"/>
        </w:rPr>
        <w:t>f</w:t>
      </w:r>
      <w:r w:rsidRPr="00B9649B">
        <w:rPr>
          <w:sz w:val="20"/>
          <w:szCs w:val="20"/>
        </w:rPr>
        <w:t xml:space="preserve"> the girl child (</w:t>
      </w:r>
      <w:proofErr w:type="spellStart"/>
      <w:r w:rsidRPr="00B9649B">
        <w:rPr>
          <w:sz w:val="20"/>
          <w:szCs w:val="20"/>
        </w:rPr>
        <w:t>Miroux</w:t>
      </w:r>
      <w:proofErr w:type="spellEnd"/>
      <w:r w:rsidRPr="00B9649B">
        <w:rPr>
          <w:sz w:val="20"/>
          <w:szCs w:val="20"/>
        </w:rPr>
        <w:t>, 2011).</w:t>
      </w:r>
    </w:p>
    <w:p w:rsidR="001B3158" w:rsidRPr="00B9649B" w:rsidRDefault="001B3158" w:rsidP="001B3158">
      <w:pPr>
        <w:spacing w:line="360" w:lineRule="auto"/>
        <w:jc w:val="both"/>
        <w:rPr>
          <w:sz w:val="20"/>
          <w:szCs w:val="20"/>
        </w:rPr>
      </w:pPr>
      <w:r w:rsidRPr="00B9649B">
        <w:rPr>
          <w:sz w:val="20"/>
          <w:szCs w:val="20"/>
        </w:rPr>
        <w:tab/>
      </w:r>
      <w:r w:rsidR="00E33C48" w:rsidRPr="00B9649B">
        <w:rPr>
          <w:sz w:val="20"/>
          <w:szCs w:val="20"/>
        </w:rPr>
        <w:t>Setting up strategic institution-wide objectives on gender, identifying all barriers to gender equity and discussing best practices as well as ensuring genuine change in attitudes towards full gender equity</w:t>
      </w:r>
      <w:r w:rsidR="005B77E7" w:rsidRPr="00B9649B">
        <w:rPr>
          <w:sz w:val="20"/>
          <w:szCs w:val="20"/>
        </w:rPr>
        <w:t xml:space="preserve"> among</w:t>
      </w:r>
      <w:r w:rsidR="00E33C48" w:rsidRPr="00B9649B">
        <w:rPr>
          <w:sz w:val="20"/>
          <w:szCs w:val="20"/>
        </w:rPr>
        <w:t xml:space="preserve"> </w:t>
      </w:r>
      <w:r w:rsidR="005B77E7" w:rsidRPr="00B9649B">
        <w:rPr>
          <w:sz w:val="20"/>
          <w:szCs w:val="20"/>
        </w:rPr>
        <w:t>major stakeholders</w:t>
      </w:r>
      <w:r w:rsidRPr="00B9649B">
        <w:rPr>
          <w:sz w:val="20"/>
          <w:szCs w:val="20"/>
        </w:rPr>
        <w:t xml:space="preserve"> and community leaders on the need for females to be given the highest education</w:t>
      </w:r>
      <w:r w:rsidR="005B77E7" w:rsidRPr="00B9649B">
        <w:rPr>
          <w:sz w:val="20"/>
          <w:szCs w:val="20"/>
        </w:rPr>
        <w:t xml:space="preserve"> and power opp</w:t>
      </w:r>
      <w:r w:rsidR="00E66D24" w:rsidRPr="00B9649B">
        <w:rPr>
          <w:sz w:val="20"/>
          <w:szCs w:val="20"/>
        </w:rPr>
        <w:t>o</w:t>
      </w:r>
      <w:r w:rsidR="005B77E7" w:rsidRPr="00B9649B">
        <w:rPr>
          <w:sz w:val="20"/>
          <w:szCs w:val="20"/>
        </w:rPr>
        <w:t>rtunities</w:t>
      </w:r>
      <w:r w:rsidRPr="00B9649B">
        <w:rPr>
          <w:sz w:val="20"/>
          <w:szCs w:val="20"/>
        </w:rPr>
        <w:t xml:space="preserve"> possible, is important, because if they were fully aware of </w:t>
      </w:r>
      <w:r w:rsidR="00E66D24" w:rsidRPr="00B9649B">
        <w:rPr>
          <w:sz w:val="20"/>
          <w:szCs w:val="20"/>
        </w:rPr>
        <w:t>i</w:t>
      </w:r>
      <w:r w:rsidRPr="00B9649B">
        <w:rPr>
          <w:sz w:val="20"/>
          <w:szCs w:val="20"/>
        </w:rPr>
        <w:t>t</w:t>
      </w:r>
      <w:r w:rsidR="00E66D24" w:rsidRPr="00B9649B">
        <w:rPr>
          <w:sz w:val="20"/>
          <w:szCs w:val="20"/>
        </w:rPr>
        <w:t>s</w:t>
      </w:r>
      <w:r w:rsidRPr="00B9649B">
        <w:rPr>
          <w:sz w:val="20"/>
          <w:szCs w:val="20"/>
        </w:rPr>
        <w:t xml:space="preserve"> importance</w:t>
      </w:r>
      <w:r w:rsidR="00E66D24" w:rsidRPr="00B9649B">
        <w:rPr>
          <w:sz w:val="20"/>
          <w:szCs w:val="20"/>
        </w:rPr>
        <w:t xml:space="preserve">, </w:t>
      </w:r>
      <w:r w:rsidRPr="00B9649B">
        <w:rPr>
          <w:sz w:val="20"/>
          <w:szCs w:val="20"/>
        </w:rPr>
        <w:t xml:space="preserve"> </w:t>
      </w:r>
      <w:r w:rsidR="00E66D24" w:rsidRPr="00B9649B">
        <w:rPr>
          <w:sz w:val="20"/>
          <w:szCs w:val="20"/>
        </w:rPr>
        <w:t>t</w:t>
      </w:r>
      <w:r w:rsidRPr="00B9649B">
        <w:rPr>
          <w:sz w:val="20"/>
          <w:szCs w:val="20"/>
        </w:rPr>
        <w:t>hey would willingly support and encourage their partici</w:t>
      </w:r>
      <w:r w:rsidR="00E66D24" w:rsidRPr="00B9649B">
        <w:rPr>
          <w:sz w:val="20"/>
          <w:szCs w:val="20"/>
        </w:rPr>
        <w:t>pation more in institutional governance</w:t>
      </w:r>
      <w:r w:rsidRPr="00B9649B">
        <w:rPr>
          <w:sz w:val="20"/>
          <w:szCs w:val="20"/>
        </w:rPr>
        <w:t>. The task of en</w:t>
      </w:r>
      <w:r w:rsidR="00E66D24" w:rsidRPr="00B9649B">
        <w:rPr>
          <w:sz w:val="20"/>
          <w:szCs w:val="20"/>
        </w:rPr>
        <w:t>suring this among stakeholders and community leaders</w:t>
      </w:r>
      <w:r w:rsidRPr="00B9649B">
        <w:rPr>
          <w:sz w:val="20"/>
          <w:szCs w:val="20"/>
        </w:rPr>
        <w:t xml:space="preserve"> could be easily achieved through</w:t>
      </w:r>
      <w:r w:rsidR="00E66D24" w:rsidRPr="00B9649B">
        <w:rPr>
          <w:sz w:val="20"/>
          <w:szCs w:val="20"/>
        </w:rPr>
        <w:t xml:space="preserve"> policy implementation circulars, seminars, posters, bill boards and</w:t>
      </w:r>
      <w:r w:rsidRPr="00B9649B">
        <w:rPr>
          <w:sz w:val="20"/>
          <w:szCs w:val="20"/>
        </w:rPr>
        <w:t xml:space="preserve"> mass education campaigns (utilizing) both the print and electronic med</w:t>
      </w:r>
      <w:r w:rsidR="00E66D24" w:rsidRPr="00B9649B">
        <w:rPr>
          <w:sz w:val="20"/>
          <w:szCs w:val="20"/>
        </w:rPr>
        <w:t xml:space="preserve">ia. </w:t>
      </w:r>
    </w:p>
    <w:p w:rsidR="001B3158" w:rsidRPr="00B9649B" w:rsidRDefault="001B3158" w:rsidP="001B3158">
      <w:pPr>
        <w:spacing w:line="360" w:lineRule="auto"/>
        <w:jc w:val="both"/>
        <w:rPr>
          <w:sz w:val="20"/>
          <w:szCs w:val="20"/>
        </w:rPr>
      </w:pPr>
      <w:r w:rsidRPr="00B9649B">
        <w:rPr>
          <w:sz w:val="20"/>
          <w:szCs w:val="20"/>
        </w:rPr>
        <w:tab/>
        <w:t xml:space="preserve">The importance of </w:t>
      </w:r>
      <w:r w:rsidR="00393BC4" w:rsidRPr="00B9649B">
        <w:rPr>
          <w:sz w:val="20"/>
          <w:szCs w:val="20"/>
        </w:rPr>
        <w:t xml:space="preserve">regular system-wide consultation with major stakeholders, promoting wider female access to higher education and assertiveness training, adoption of affirmative action to </w:t>
      </w:r>
      <w:proofErr w:type="spellStart"/>
      <w:r w:rsidR="00393BC4" w:rsidRPr="00B9649B">
        <w:rPr>
          <w:sz w:val="20"/>
          <w:szCs w:val="20"/>
        </w:rPr>
        <w:t>favour</w:t>
      </w:r>
      <w:proofErr w:type="spellEnd"/>
      <w:r w:rsidR="00393BC4" w:rsidRPr="00B9649B">
        <w:rPr>
          <w:sz w:val="20"/>
          <w:szCs w:val="20"/>
        </w:rPr>
        <w:t xml:space="preserve"> women participation, provision of enforceable inclusion and diversity policy in universities as well as reviewing of discriminatory appointment and promotion procedures </w:t>
      </w:r>
      <w:r w:rsidRPr="00B9649B">
        <w:rPr>
          <w:sz w:val="20"/>
          <w:szCs w:val="20"/>
        </w:rPr>
        <w:t>individ</w:t>
      </w:r>
      <w:r w:rsidR="00AE2416" w:rsidRPr="00B9649B">
        <w:rPr>
          <w:sz w:val="20"/>
          <w:szCs w:val="20"/>
        </w:rPr>
        <w:t>ual development have</w:t>
      </w:r>
      <w:r w:rsidRPr="00B9649B">
        <w:rPr>
          <w:sz w:val="20"/>
          <w:szCs w:val="20"/>
        </w:rPr>
        <w:t xml:space="preserve"> long been recognized and emphasized by </w:t>
      </w:r>
      <w:r w:rsidR="00393BC4" w:rsidRPr="00B9649B">
        <w:rPr>
          <w:sz w:val="20"/>
          <w:szCs w:val="20"/>
        </w:rPr>
        <w:t>othe</w:t>
      </w:r>
      <w:r w:rsidRPr="00B9649B">
        <w:rPr>
          <w:sz w:val="20"/>
          <w:szCs w:val="20"/>
        </w:rPr>
        <w:t>r</w:t>
      </w:r>
      <w:r w:rsidR="00E85D43" w:rsidRPr="00B9649B">
        <w:rPr>
          <w:sz w:val="20"/>
          <w:szCs w:val="20"/>
        </w:rPr>
        <w:t xml:space="preserve"> related</w:t>
      </w:r>
      <w:r w:rsidR="00393BC4" w:rsidRPr="00B9649B">
        <w:rPr>
          <w:sz w:val="20"/>
          <w:szCs w:val="20"/>
        </w:rPr>
        <w:t xml:space="preserve"> </w:t>
      </w:r>
      <w:r w:rsidRPr="00B9649B">
        <w:rPr>
          <w:sz w:val="20"/>
          <w:szCs w:val="20"/>
        </w:rPr>
        <w:t>s</w:t>
      </w:r>
      <w:r w:rsidR="00393BC4" w:rsidRPr="00B9649B">
        <w:rPr>
          <w:sz w:val="20"/>
          <w:szCs w:val="20"/>
        </w:rPr>
        <w:t>tudies</w:t>
      </w:r>
      <w:r w:rsidR="00AE2416" w:rsidRPr="00B9649B">
        <w:rPr>
          <w:sz w:val="20"/>
          <w:szCs w:val="20"/>
        </w:rPr>
        <w:t xml:space="preserve"> </w:t>
      </w:r>
      <w:r w:rsidRPr="00B9649B">
        <w:rPr>
          <w:sz w:val="20"/>
          <w:szCs w:val="20"/>
        </w:rPr>
        <w:t>(</w:t>
      </w:r>
      <w:proofErr w:type="spellStart"/>
      <w:r w:rsidR="002D5846" w:rsidRPr="00B9649B">
        <w:rPr>
          <w:sz w:val="20"/>
          <w:szCs w:val="20"/>
        </w:rPr>
        <w:t>Jaja</w:t>
      </w:r>
      <w:proofErr w:type="spellEnd"/>
      <w:r w:rsidR="002D5846" w:rsidRPr="00B9649B">
        <w:rPr>
          <w:sz w:val="20"/>
          <w:szCs w:val="20"/>
        </w:rPr>
        <w:t xml:space="preserve">, 2013, </w:t>
      </w:r>
      <w:proofErr w:type="spellStart"/>
      <w:r w:rsidR="002D5846" w:rsidRPr="00B9649B">
        <w:rPr>
          <w:sz w:val="20"/>
          <w:szCs w:val="20"/>
        </w:rPr>
        <w:t>Bagihole</w:t>
      </w:r>
      <w:proofErr w:type="spellEnd"/>
      <w:r w:rsidR="00E85D43" w:rsidRPr="00B9649B">
        <w:rPr>
          <w:sz w:val="20"/>
          <w:szCs w:val="20"/>
        </w:rPr>
        <w:t xml:space="preserve"> &amp;</w:t>
      </w:r>
      <w:r w:rsidR="002D5846" w:rsidRPr="00B9649B">
        <w:rPr>
          <w:sz w:val="20"/>
          <w:szCs w:val="20"/>
        </w:rPr>
        <w:t xml:space="preserve"> White, 2011 &amp;</w:t>
      </w:r>
      <w:r w:rsidR="00E85D43" w:rsidRPr="00B9649B">
        <w:rPr>
          <w:sz w:val="20"/>
          <w:szCs w:val="20"/>
        </w:rPr>
        <w:t xml:space="preserve"> </w:t>
      </w:r>
      <w:proofErr w:type="spellStart"/>
      <w:r w:rsidR="00E85D43" w:rsidRPr="00B9649B">
        <w:rPr>
          <w:sz w:val="20"/>
          <w:szCs w:val="20"/>
        </w:rPr>
        <w:t>Asuquo</w:t>
      </w:r>
      <w:proofErr w:type="spellEnd"/>
      <w:r w:rsidR="00E85D43" w:rsidRPr="00B9649B">
        <w:rPr>
          <w:sz w:val="20"/>
          <w:szCs w:val="20"/>
        </w:rPr>
        <w:t>, 2017</w:t>
      </w:r>
      <w:r w:rsidRPr="00B9649B">
        <w:rPr>
          <w:sz w:val="20"/>
          <w:szCs w:val="20"/>
        </w:rPr>
        <w:t>). This implies that the</w:t>
      </w:r>
      <w:r w:rsidR="00AE2416" w:rsidRPr="00B9649B">
        <w:rPr>
          <w:sz w:val="20"/>
          <w:szCs w:val="20"/>
        </w:rPr>
        <w:t>se factors</w:t>
      </w:r>
      <w:r w:rsidRPr="00B9649B">
        <w:rPr>
          <w:sz w:val="20"/>
          <w:szCs w:val="20"/>
        </w:rPr>
        <w:t xml:space="preserve"> have to function effectively to ensure that a re-orientation of female </w:t>
      </w:r>
      <w:r w:rsidR="00AE2416" w:rsidRPr="00B9649B">
        <w:rPr>
          <w:sz w:val="20"/>
          <w:szCs w:val="20"/>
        </w:rPr>
        <w:t xml:space="preserve">academics and </w:t>
      </w:r>
      <w:r w:rsidRPr="00B9649B">
        <w:rPr>
          <w:sz w:val="20"/>
          <w:szCs w:val="20"/>
        </w:rPr>
        <w:t>s</w:t>
      </w:r>
      <w:r w:rsidR="00AE2416" w:rsidRPr="00B9649B">
        <w:rPr>
          <w:sz w:val="20"/>
          <w:szCs w:val="20"/>
        </w:rPr>
        <w:t>tudents attitude towards institutional governance</w:t>
      </w:r>
      <w:r w:rsidRPr="00B9649B">
        <w:rPr>
          <w:sz w:val="20"/>
          <w:szCs w:val="20"/>
        </w:rPr>
        <w:t xml:space="preserve">; so as to help revalue themselves, reorder their lives and participate fully in school </w:t>
      </w:r>
      <w:r w:rsidR="00AE2416" w:rsidRPr="00B9649B">
        <w:rPr>
          <w:sz w:val="20"/>
          <w:szCs w:val="20"/>
        </w:rPr>
        <w:t xml:space="preserve">management </w:t>
      </w:r>
      <w:r w:rsidRPr="00B9649B">
        <w:rPr>
          <w:sz w:val="20"/>
          <w:szCs w:val="20"/>
        </w:rPr>
        <w:t>activities with all their heart</w:t>
      </w:r>
      <w:r w:rsidR="00AE2416" w:rsidRPr="00B9649B">
        <w:rPr>
          <w:sz w:val="20"/>
          <w:szCs w:val="20"/>
        </w:rPr>
        <w:t>.</w:t>
      </w:r>
    </w:p>
    <w:p w:rsidR="001B3158" w:rsidRPr="00B9649B" w:rsidRDefault="00AE2416" w:rsidP="001B3158">
      <w:pPr>
        <w:spacing w:line="360" w:lineRule="auto"/>
        <w:jc w:val="both"/>
        <w:rPr>
          <w:sz w:val="20"/>
          <w:szCs w:val="20"/>
        </w:rPr>
      </w:pPr>
      <w:r w:rsidRPr="00B9649B">
        <w:rPr>
          <w:sz w:val="20"/>
          <w:szCs w:val="20"/>
        </w:rPr>
        <w:lastRenderedPageBreak/>
        <w:tab/>
        <w:t>Table2 also shows that about</w:t>
      </w:r>
      <w:r w:rsidR="001B3158" w:rsidRPr="00B9649B">
        <w:rPr>
          <w:sz w:val="20"/>
          <w:szCs w:val="20"/>
        </w:rPr>
        <w:t xml:space="preserve"> half </w:t>
      </w:r>
      <w:r w:rsidR="005F248E" w:rsidRPr="00B9649B">
        <w:rPr>
          <w:sz w:val="20"/>
          <w:szCs w:val="20"/>
        </w:rPr>
        <w:t xml:space="preserve">or a little above that number </w:t>
      </w:r>
      <w:r w:rsidR="001B3158" w:rsidRPr="00B9649B">
        <w:rPr>
          <w:sz w:val="20"/>
          <w:szCs w:val="20"/>
        </w:rPr>
        <w:t xml:space="preserve">of the </w:t>
      </w:r>
      <w:r w:rsidRPr="00B9649B">
        <w:rPr>
          <w:sz w:val="20"/>
          <w:szCs w:val="20"/>
        </w:rPr>
        <w:t>re</w:t>
      </w:r>
      <w:r w:rsidR="001B3158" w:rsidRPr="00B9649B">
        <w:rPr>
          <w:sz w:val="20"/>
          <w:szCs w:val="20"/>
        </w:rPr>
        <w:t>s</w:t>
      </w:r>
      <w:r w:rsidRPr="00B9649B">
        <w:rPr>
          <w:sz w:val="20"/>
          <w:szCs w:val="20"/>
        </w:rPr>
        <w:t>pondents in the study</w:t>
      </w:r>
      <w:r w:rsidR="001B3158" w:rsidRPr="00B9649B">
        <w:rPr>
          <w:sz w:val="20"/>
          <w:szCs w:val="20"/>
        </w:rPr>
        <w:t xml:space="preserve"> considered only </w:t>
      </w:r>
      <w:r w:rsidR="005F248E" w:rsidRPr="00B9649B">
        <w:rPr>
          <w:sz w:val="20"/>
          <w:szCs w:val="20"/>
        </w:rPr>
        <w:t>4</w:t>
      </w:r>
      <w:r w:rsidR="001B3158" w:rsidRPr="00B9649B">
        <w:rPr>
          <w:sz w:val="20"/>
          <w:szCs w:val="20"/>
        </w:rPr>
        <w:t xml:space="preserve"> methods/approaches as</w:t>
      </w:r>
      <w:r w:rsidRPr="00B9649B">
        <w:rPr>
          <w:sz w:val="20"/>
          <w:szCs w:val="20"/>
        </w:rPr>
        <w:t xml:space="preserve"> being comparatively less</w:t>
      </w:r>
      <w:r w:rsidR="001B3158" w:rsidRPr="00B9649B">
        <w:rPr>
          <w:sz w:val="20"/>
          <w:szCs w:val="20"/>
        </w:rPr>
        <w:t xml:space="preserve"> effective for increasing female participation in </w:t>
      </w:r>
      <w:r w:rsidRPr="00B9649B">
        <w:rPr>
          <w:sz w:val="20"/>
          <w:szCs w:val="20"/>
        </w:rPr>
        <w:t>higher education institutional governance</w:t>
      </w:r>
      <w:r w:rsidR="001B3158" w:rsidRPr="00B9649B">
        <w:rPr>
          <w:sz w:val="20"/>
          <w:szCs w:val="20"/>
        </w:rPr>
        <w:t xml:space="preserve">. These are: </w:t>
      </w:r>
      <w:r w:rsidR="005F248E" w:rsidRPr="00B9649B">
        <w:rPr>
          <w:sz w:val="20"/>
          <w:szCs w:val="20"/>
        </w:rPr>
        <w:t>attitude orientation of female academics, reduction of costs of female higher education, confronting your institution’s gender diversity issue head on adoption of gender equity participation road show project consulting with community leaders on gender equity participation</w:t>
      </w:r>
      <w:r w:rsidR="001B3158" w:rsidRPr="00B9649B">
        <w:rPr>
          <w:sz w:val="20"/>
          <w:szCs w:val="20"/>
        </w:rPr>
        <w:t>.</w:t>
      </w:r>
      <w:r w:rsidR="00AC022D" w:rsidRPr="00B9649B">
        <w:rPr>
          <w:sz w:val="20"/>
          <w:szCs w:val="20"/>
        </w:rPr>
        <w:t xml:space="preserve"> </w:t>
      </w:r>
      <w:r w:rsidR="001B3158" w:rsidRPr="00B9649B">
        <w:rPr>
          <w:sz w:val="20"/>
          <w:szCs w:val="20"/>
        </w:rPr>
        <w:t xml:space="preserve">It appears from this part of the result that the </w:t>
      </w:r>
      <w:r w:rsidR="00AC022D" w:rsidRPr="00B9649B">
        <w:rPr>
          <w:sz w:val="20"/>
          <w:szCs w:val="20"/>
        </w:rPr>
        <w:t>academic women</w:t>
      </w:r>
      <w:r w:rsidR="001B3158" w:rsidRPr="00B9649B">
        <w:rPr>
          <w:sz w:val="20"/>
          <w:szCs w:val="20"/>
        </w:rPr>
        <w:t xml:space="preserve"> who participated in this study tend to undermine the relevance of these afore mentioned methods/approaches in student motivation for </w:t>
      </w:r>
      <w:r w:rsidR="00AC022D" w:rsidRPr="00B9649B">
        <w:rPr>
          <w:sz w:val="20"/>
          <w:szCs w:val="20"/>
        </w:rPr>
        <w:t>involvement</w:t>
      </w:r>
      <w:r w:rsidR="001B3158" w:rsidRPr="00B9649B">
        <w:rPr>
          <w:sz w:val="20"/>
          <w:szCs w:val="20"/>
        </w:rPr>
        <w:t xml:space="preserve"> </w:t>
      </w:r>
      <w:r w:rsidR="00AC022D" w:rsidRPr="00B9649B">
        <w:rPr>
          <w:sz w:val="20"/>
          <w:szCs w:val="20"/>
        </w:rPr>
        <w:t>i</w:t>
      </w:r>
      <w:r w:rsidR="001B3158" w:rsidRPr="00B9649B">
        <w:rPr>
          <w:sz w:val="20"/>
          <w:szCs w:val="20"/>
        </w:rPr>
        <w:t>n</w:t>
      </w:r>
      <w:r w:rsidR="00AC022D" w:rsidRPr="00B9649B">
        <w:rPr>
          <w:sz w:val="20"/>
          <w:szCs w:val="20"/>
        </w:rPr>
        <w:t>stitutional governance</w:t>
      </w:r>
      <w:r w:rsidR="001B3158" w:rsidRPr="00B9649B">
        <w:rPr>
          <w:sz w:val="20"/>
          <w:szCs w:val="20"/>
        </w:rPr>
        <w:t>. For instance, the road show project, which is the initiative of the common wealth secretariat in 1990 was meant to attract girls to take up studies and careers in science and technology-related fields</w:t>
      </w:r>
      <w:r w:rsidR="00F35D8D" w:rsidRPr="00B9649B">
        <w:rPr>
          <w:sz w:val="20"/>
          <w:szCs w:val="20"/>
        </w:rPr>
        <w:t xml:space="preserve"> with some astonishing results</w:t>
      </w:r>
      <w:r w:rsidR="001B3158" w:rsidRPr="00B9649B">
        <w:rPr>
          <w:sz w:val="20"/>
          <w:szCs w:val="20"/>
        </w:rPr>
        <w:t>. The project move</w:t>
      </w:r>
      <w:r w:rsidR="00AC022D" w:rsidRPr="00B9649B">
        <w:rPr>
          <w:sz w:val="20"/>
          <w:szCs w:val="20"/>
        </w:rPr>
        <w:t>d</w:t>
      </w:r>
      <w:r w:rsidR="001B3158" w:rsidRPr="00B9649B">
        <w:rPr>
          <w:sz w:val="20"/>
          <w:szCs w:val="20"/>
        </w:rPr>
        <w:t xml:space="preserve"> from city to city, carrying the message to girls about opportunities for them in scientific and technical careers, using women who have opted for and succeeded in scientific or technical careers, as role models. In this project, girls are involved in practical activities, career guidance activity and games.</w:t>
      </w:r>
    </w:p>
    <w:p w:rsidR="001B3158" w:rsidRPr="00B9649B" w:rsidRDefault="001B3158" w:rsidP="001B3158">
      <w:pPr>
        <w:spacing w:line="360" w:lineRule="auto"/>
        <w:jc w:val="both"/>
        <w:rPr>
          <w:sz w:val="20"/>
          <w:szCs w:val="20"/>
        </w:rPr>
      </w:pPr>
      <w:r w:rsidRPr="00B9649B">
        <w:rPr>
          <w:sz w:val="20"/>
          <w:szCs w:val="20"/>
        </w:rPr>
        <w:tab/>
      </w:r>
      <w:r w:rsidR="00AC022D" w:rsidRPr="00B9649B">
        <w:rPr>
          <w:sz w:val="20"/>
          <w:szCs w:val="20"/>
        </w:rPr>
        <w:t>Attitude orientation of female</w:t>
      </w:r>
      <w:r w:rsidR="0093668D" w:rsidRPr="00B9649B">
        <w:rPr>
          <w:sz w:val="20"/>
          <w:szCs w:val="20"/>
        </w:rPr>
        <w:t>s in the</w:t>
      </w:r>
      <w:r w:rsidR="00AC022D" w:rsidRPr="00B9649B">
        <w:rPr>
          <w:sz w:val="20"/>
          <w:szCs w:val="20"/>
        </w:rPr>
        <w:t xml:space="preserve"> academi</w:t>
      </w:r>
      <w:r w:rsidR="0093668D" w:rsidRPr="00B9649B">
        <w:rPr>
          <w:sz w:val="20"/>
          <w:szCs w:val="20"/>
        </w:rPr>
        <w:t>a</w:t>
      </w:r>
      <w:r w:rsidR="00AC022D" w:rsidRPr="00B9649B">
        <w:rPr>
          <w:sz w:val="20"/>
          <w:szCs w:val="20"/>
        </w:rPr>
        <w:t xml:space="preserve"> is particularly important especially in places where </w:t>
      </w:r>
      <w:r w:rsidRPr="00B9649B">
        <w:rPr>
          <w:sz w:val="20"/>
          <w:szCs w:val="20"/>
        </w:rPr>
        <w:t>some cultural practices,</w:t>
      </w:r>
      <w:r w:rsidR="00AC022D" w:rsidRPr="00B9649B">
        <w:rPr>
          <w:sz w:val="20"/>
          <w:szCs w:val="20"/>
        </w:rPr>
        <w:t xml:space="preserve"> tend to isol</w:t>
      </w:r>
      <w:r w:rsidR="0093668D" w:rsidRPr="00B9649B">
        <w:rPr>
          <w:sz w:val="20"/>
          <w:szCs w:val="20"/>
        </w:rPr>
        <w:t>ate or put them down. In</w:t>
      </w:r>
      <w:r w:rsidRPr="00B9649B">
        <w:rPr>
          <w:sz w:val="20"/>
          <w:szCs w:val="20"/>
        </w:rPr>
        <w:t xml:space="preserve"> areas such as these, female participation </w:t>
      </w:r>
      <w:r w:rsidR="00F35D8D" w:rsidRPr="00B9649B">
        <w:rPr>
          <w:sz w:val="20"/>
          <w:szCs w:val="20"/>
        </w:rPr>
        <w:t xml:space="preserve">management of their institutions </w:t>
      </w:r>
      <w:r w:rsidRPr="00B9649B">
        <w:rPr>
          <w:sz w:val="20"/>
          <w:szCs w:val="20"/>
        </w:rPr>
        <w:t xml:space="preserve">will be very low if there </w:t>
      </w:r>
      <w:r w:rsidR="0093668D" w:rsidRPr="00B9649B">
        <w:rPr>
          <w:sz w:val="20"/>
          <w:szCs w:val="20"/>
        </w:rPr>
        <w:t>are no deliberate orientation activities</w:t>
      </w:r>
      <w:r w:rsidRPr="00B9649B">
        <w:rPr>
          <w:sz w:val="20"/>
          <w:szCs w:val="20"/>
        </w:rPr>
        <w:t xml:space="preserve">. In addition, the relevance of </w:t>
      </w:r>
      <w:r w:rsidR="0093668D" w:rsidRPr="00B9649B">
        <w:rPr>
          <w:sz w:val="20"/>
          <w:szCs w:val="20"/>
        </w:rPr>
        <w:t>confronting the barriers to their advancement in their institution’s gender diversity issues head on</w:t>
      </w:r>
      <w:r w:rsidRPr="00B9649B">
        <w:rPr>
          <w:sz w:val="20"/>
          <w:szCs w:val="20"/>
        </w:rPr>
        <w:t xml:space="preserve"> is obvious. The availability of these </w:t>
      </w:r>
      <w:r w:rsidR="0093668D" w:rsidRPr="00B9649B">
        <w:rPr>
          <w:sz w:val="20"/>
          <w:szCs w:val="20"/>
        </w:rPr>
        <w:t>self-assertive actions would free girls and academic</w:t>
      </w:r>
      <w:r w:rsidRPr="00B9649B">
        <w:rPr>
          <w:sz w:val="20"/>
          <w:szCs w:val="20"/>
        </w:rPr>
        <w:t xml:space="preserve"> females from </w:t>
      </w:r>
      <w:r w:rsidR="0093668D" w:rsidRPr="00B9649B">
        <w:rPr>
          <w:sz w:val="20"/>
          <w:szCs w:val="20"/>
        </w:rPr>
        <w:t>fear of male chauvinism and domination as well as other cultural biases against the womenfolk</w:t>
      </w:r>
      <w:r w:rsidRPr="00B9649B">
        <w:rPr>
          <w:sz w:val="20"/>
          <w:szCs w:val="20"/>
        </w:rPr>
        <w:t>.</w:t>
      </w:r>
    </w:p>
    <w:p w:rsidR="00F35D8D" w:rsidRPr="00B9649B" w:rsidRDefault="00F35D8D" w:rsidP="001B3158">
      <w:pPr>
        <w:spacing w:line="360" w:lineRule="auto"/>
        <w:jc w:val="both"/>
        <w:rPr>
          <w:sz w:val="20"/>
          <w:szCs w:val="20"/>
        </w:rPr>
      </w:pPr>
      <w:r w:rsidRPr="00B9649B">
        <w:rPr>
          <w:b/>
          <w:sz w:val="20"/>
          <w:szCs w:val="20"/>
        </w:rPr>
        <w:t>Counselling implications</w:t>
      </w:r>
      <w:r w:rsidRPr="00B9649B">
        <w:rPr>
          <w:sz w:val="20"/>
          <w:szCs w:val="20"/>
        </w:rPr>
        <w:t xml:space="preserve"> It is obvious that the female academics are under-represented in available opportunities in institutional governance at higher education level in Nigeria. </w:t>
      </w:r>
      <w:r w:rsidR="006424BB" w:rsidRPr="00B9649B">
        <w:rPr>
          <w:sz w:val="20"/>
          <w:szCs w:val="20"/>
        </w:rPr>
        <w:t>This</w:t>
      </w:r>
      <w:r w:rsidRPr="00B9649B">
        <w:rPr>
          <w:sz w:val="20"/>
          <w:szCs w:val="20"/>
        </w:rPr>
        <w:t xml:space="preserve"> gender </w:t>
      </w:r>
      <w:r w:rsidR="006424BB" w:rsidRPr="00B9649B">
        <w:rPr>
          <w:sz w:val="20"/>
          <w:szCs w:val="20"/>
        </w:rPr>
        <w:t>im</w:t>
      </w:r>
      <w:r w:rsidRPr="00B9649B">
        <w:rPr>
          <w:sz w:val="20"/>
          <w:szCs w:val="20"/>
        </w:rPr>
        <w:t>balanc</w:t>
      </w:r>
      <w:r w:rsidR="006424BB" w:rsidRPr="00B9649B">
        <w:rPr>
          <w:sz w:val="20"/>
          <w:szCs w:val="20"/>
        </w:rPr>
        <w:t>e</w:t>
      </w:r>
      <w:r w:rsidRPr="00B9649B">
        <w:rPr>
          <w:sz w:val="20"/>
          <w:szCs w:val="20"/>
        </w:rPr>
        <w:t xml:space="preserve"> a</w:t>
      </w:r>
      <w:r w:rsidR="006424BB" w:rsidRPr="00B9649B">
        <w:rPr>
          <w:sz w:val="20"/>
          <w:szCs w:val="20"/>
        </w:rPr>
        <w:t>nd in</w:t>
      </w:r>
      <w:r w:rsidRPr="00B9649B">
        <w:rPr>
          <w:sz w:val="20"/>
          <w:szCs w:val="20"/>
        </w:rPr>
        <w:t>eq</w:t>
      </w:r>
      <w:r w:rsidR="006424BB" w:rsidRPr="00B9649B">
        <w:rPr>
          <w:sz w:val="20"/>
          <w:szCs w:val="20"/>
        </w:rPr>
        <w:t>ual</w:t>
      </w:r>
      <w:r w:rsidRPr="00B9649B">
        <w:rPr>
          <w:sz w:val="20"/>
          <w:szCs w:val="20"/>
        </w:rPr>
        <w:t>ity</w:t>
      </w:r>
      <w:r w:rsidR="006424BB" w:rsidRPr="00B9649B">
        <w:rPr>
          <w:sz w:val="20"/>
          <w:szCs w:val="20"/>
        </w:rPr>
        <w:t xml:space="preserve"> which is</w:t>
      </w:r>
      <w:r w:rsidRPr="00B9649B">
        <w:rPr>
          <w:sz w:val="20"/>
          <w:szCs w:val="20"/>
        </w:rPr>
        <w:t xml:space="preserve"> q</w:t>
      </w:r>
      <w:r w:rsidR="006424BB" w:rsidRPr="00B9649B">
        <w:rPr>
          <w:sz w:val="20"/>
          <w:szCs w:val="20"/>
        </w:rPr>
        <w:t>uite unfair is a matter</w:t>
      </w:r>
      <w:r w:rsidRPr="00B9649B">
        <w:rPr>
          <w:sz w:val="20"/>
          <w:szCs w:val="20"/>
        </w:rPr>
        <w:t xml:space="preserve"> of great concern to major stakeholders including </w:t>
      </w:r>
      <w:r w:rsidR="006424BB" w:rsidRPr="00B9649B">
        <w:rPr>
          <w:sz w:val="20"/>
          <w:szCs w:val="20"/>
        </w:rPr>
        <w:t>counsellors.</w:t>
      </w:r>
      <w:r w:rsidRPr="00B9649B">
        <w:rPr>
          <w:sz w:val="20"/>
          <w:szCs w:val="20"/>
        </w:rPr>
        <w:t xml:space="preserve"> </w:t>
      </w:r>
      <w:r w:rsidR="00F54758" w:rsidRPr="00B9649B">
        <w:rPr>
          <w:sz w:val="20"/>
          <w:szCs w:val="20"/>
        </w:rPr>
        <w:t>Counsellors are by orientation</w:t>
      </w:r>
      <w:r w:rsidR="006424BB" w:rsidRPr="00B9649B">
        <w:rPr>
          <w:sz w:val="20"/>
          <w:szCs w:val="20"/>
        </w:rPr>
        <w:t xml:space="preserve"> advocates for the individuals. The affirmation </w:t>
      </w:r>
      <w:r w:rsidR="00F54758" w:rsidRPr="00B9649B">
        <w:rPr>
          <w:sz w:val="20"/>
          <w:szCs w:val="20"/>
        </w:rPr>
        <w:t xml:space="preserve">of </w:t>
      </w:r>
      <w:r w:rsidR="006424BB" w:rsidRPr="00B9649B">
        <w:rPr>
          <w:sz w:val="20"/>
          <w:szCs w:val="20"/>
        </w:rPr>
        <w:t xml:space="preserve">the strategies presented </w:t>
      </w:r>
      <w:r w:rsidR="00F54758" w:rsidRPr="00B9649B">
        <w:rPr>
          <w:sz w:val="20"/>
          <w:szCs w:val="20"/>
        </w:rPr>
        <w:t>to women academics for consideration in this study</w:t>
      </w:r>
      <w:r w:rsidR="006424BB" w:rsidRPr="00B9649B">
        <w:rPr>
          <w:sz w:val="20"/>
          <w:szCs w:val="20"/>
        </w:rPr>
        <w:t xml:space="preserve"> as potentially </w:t>
      </w:r>
      <w:r w:rsidR="00F54758" w:rsidRPr="00B9649B">
        <w:rPr>
          <w:sz w:val="20"/>
          <w:szCs w:val="20"/>
        </w:rPr>
        <w:t>vi</w:t>
      </w:r>
      <w:r w:rsidR="006424BB" w:rsidRPr="00B9649B">
        <w:rPr>
          <w:sz w:val="20"/>
          <w:szCs w:val="20"/>
        </w:rPr>
        <w:t>able tools for addressing gender equity and balancing</w:t>
      </w:r>
      <w:r w:rsidR="0082272F" w:rsidRPr="00B9649B">
        <w:rPr>
          <w:sz w:val="20"/>
          <w:szCs w:val="20"/>
        </w:rPr>
        <w:t xml:space="preserve"> provide</w:t>
      </w:r>
      <w:r w:rsidR="00F54758" w:rsidRPr="00B9649B">
        <w:rPr>
          <w:sz w:val="20"/>
          <w:szCs w:val="20"/>
        </w:rPr>
        <w:t xml:space="preserve"> ready schemes </w:t>
      </w:r>
      <w:r w:rsidR="0082272F" w:rsidRPr="00B9649B">
        <w:rPr>
          <w:sz w:val="20"/>
          <w:szCs w:val="20"/>
        </w:rPr>
        <w:t>for counselors to</w:t>
      </w:r>
      <w:r w:rsidR="00F54758" w:rsidRPr="00B9649B">
        <w:rPr>
          <w:sz w:val="20"/>
          <w:szCs w:val="20"/>
        </w:rPr>
        <w:t xml:space="preserve"> utilize for this purpose. </w:t>
      </w:r>
      <w:r w:rsidR="0082272F" w:rsidRPr="00B9649B">
        <w:rPr>
          <w:sz w:val="20"/>
          <w:szCs w:val="20"/>
        </w:rPr>
        <w:t>The study has provided them with a variety of methods for the promotion of inclusion of the female gender in the institutional governance within the context of higher education in Nigeria.</w:t>
      </w:r>
      <w:r w:rsidR="006424BB" w:rsidRPr="00B9649B">
        <w:rPr>
          <w:sz w:val="20"/>
          <w:szCs w:val="20"/>
        </w:rPr>
        <w:t xml:space="preserve"> </w:t>
      </w:r>
      <w:r w:rsidR="00C8618D" w:rsidRPr="00B9649B">
        <w:rPr>
          <w:sz w:val="20"/>
          <w:szCs w:val="20"/>
        </w:rPr>
        <w:t xml:space="preserve">This study also has implications for research. Further research should focus on the potency of some of the highly subscribed method among female </w:t>
      </w:r>
      <w:proofErr w:type="gramStart"/>
      <w:r w:rsidR="00C8618D" w:rsidRPr="00B9649B">
        <w:rPr>
          <w:sz w:val="20"/>
          <w:szCs w:val="20"/>
        </w:rPr>
        <w:t>scholars</w:t>
      </w:r>
      <w:proofErr w:type="gramEnd"/>
      <w:r w:rsidR="00C8618D" w:rsidRPr="00B9649B">
        <w:rPr>
          <w:sz w:val="20"/>
          <w:szCs w:val="20"/>
        </w:rPr>
        <w:t xml:space="preserve"> managerial progression and advancement. Longitudinal studies are also required to find out the effectiveness of the methods/approaches identified in this study in female participation in other areas of leadership.</w:t>
      </w:r>
    </w:p>
    <w:p w:rsidR="001B3158" w:rsidRPr="00B9649B" w:rsidRDefault="001B3158" w:rsidP="001B3158">
      <w:pPr>
        <w:spacing w:line="360" w:lineRule="auto"/>
        <w:jc w:val="both"/>
        <w:rPr>
          <w:b/>
          <w:bCs/>
          <w:sz w:val="20"/>
          <w:szCs w:val="20"/>
        </w:rPr>
      </w:pPr>
      <w:r w:rsidRPr="00B9649B">
        <w:rPr>
          <w:b/>
          <w:bCs/>
          <w:sz w:val="20"/>
          <w:szCs w:val="20"/>
        </w:rPr>
        <w:t xml:space="preserve">Conclusion </w:t>
      </w:r>
      <w:r w:rsidR="0082272F" w:rsidRPr="00B9649B">
        <w:rPr>
          <w:b/>
          <w:bCs/>
          <w:sz w:val="20"/>
          <w:szCs w:val="20"/>
        </w:rPr>
        <w:t>and recommendations</w:t>
      </w:r>
    </w:p>
    <w:p w:rsidR="00FF0EED" w:rsidRPr="00B9649B" w:rsidRDefault="001B3158" w:rsidP="001B3158">
      <w:pPr>
        <w:spacing w:line="360" w:lineRule="auto"/>
        <w:jc w:val="both"/>
        <w:rPr>
          <w:sz w:val="20"/>
          <w:szCs w:val="20"/>
        </w:rPr>
      </w:pPr>
      <w:r w:rsidRPr="00B9649B">
        <w:rPr>
          <w:sz w:val="20"/>
          <w:szCs w:val="20"/>
        </w:rPr>
        <w:tab/>
        <w:t xml:space="preserve">The result of this study illustrated the following significant characteristics of </w:t>
      </w:r>
      <w:r w:rsidR="0082272F" w:rsidRPr="00B9649B">
        <w:rPr>
          <w:sz w:val="20"/>
          <w:szCs w:val="20"/>
        </w:rPr>
        <w:t>women in academic</w:t>
      </w:r>
      <w:r w:rsidRPr="00B9649B">
        <w:rPr>
          <w:sz w:val="20"/>
          <w:szCs w:val="20"/>
        </w:rPr>
        <w:t xml:space="preserve">s’ perspective of effective methods/approaches for increasing participation of females in </w:t>
      </w:r>
      <w:r w:rsidR="0082272F" w:rsidRPr="00B9649B">
        <w:rPr>
          <w:sz w:val="20"/>
          <w:szCs w:val="20"/>
        </w:rPr>
        <w:t xml:space="preserve">institutional governance of their universities. Some of the methods like </w:t>
      </w:r>
      <w:r w:rsidR="00C8618D" w:rsidRPr="00B9649B">
        <w:rPr>
          <w:sz w:val="20"/>
          <w:szCs w:val="20"/>
        </w:rPr>
        <w:t xml:space="preserve">offering females formal mentoring and leadership development and formulating and implementing </w:t>
      </w:r>
      <w:proofErr w:type="spellStart"/>
      <w:r w:rsidR="00C8618D" w:rsidRPr="00B9649B">
        <w:rPr>
          <w:sz w:val="20"/>
          <w:szCs w:val="20"/>
        </w:rPr>
        <w:t>programmes</w:t>
      </w:r>
      <w:proofErr w:type="spellEnd"/>
      <w:r w:rsidR="00C8618D" w:rsidRPr="00B9649B">
        <w:rPr>
          <w:sz w:val="20"/>
          <w:szCs w:val="20"/>
        </w:rPr>
        <w:t xml:space="preserve"> that enhance gender sensitivity, reflection and balancing </w:t>
      </w:r>
      <w:r w:rsidRPr="00B9649B">
        <w:rPr>
          <w:sz w:val="20"/>
          <w:szCs w:val="20"/>
        </w:rPr>
        <w:t>a</w:t>
      </w:r>
      <w:r w:rsidR="00C8618D" w:rsidRPr="00B9649B">
        <w:rPr>
          <w:sz w:val="20"/>
          <w:szCs w:val="20"/>
        </w:rPr>
        <w:t>re</w:t>
      </w:r>
      <w:r w:rsidRPr="00B9649B">
        <w:rPr>
          <w:sz w:val="20"/>
          <w:szCs w:val="20"/>
        </w:rPr>
        <w:t xml:space="preserve"> very popular among the</w:t>
      </w:r>
      <w:r w:rsidR="00C8618D" w:rsidRPr="00B9649B">
        <w:rPr>
          <w:sz w:val="20"/>
          <w:szCs w:val="20"/>
        </w:rPr>
        <w:t>m.</w:t>
      </w:r>
      <w:r w:rsidRPr="00B9649B">
        <w:rPr>
          <w:sz w:val="20"/>
          <w:szCs w:val="20"/>
        </w:rPr>
        <w:t xml:space="preserve"> </w:t>
      </w:r>
      <w:r w:rsidR="00FF0EED" w:rsidRPr="00B9649B">
        <w:rPr>
          <w:sz w:val="20"/>
          <w:szCs w:val="20"/>
        </w:rPr>
        <w:t xml:space="preserve">Others are regular system-wide consultation with major stakeholders, promoting wider female access to higher education and assertiveness training, adoption of affirmative action to </w:t>
      </w:r>
      <w:proofErr w:type="spellStart"/>
      <w:r w:rsidR="00FF0EED" w:rsidRPr="00B9649B">
        <w:rPr>
          <w:sz w:val="20"/>
          <w:szCs w:val="20"/>
        </w:rPr>
        <w:t>favour</w:t>
      </w:r>
      <w:proofErr w:type="spellEnd"/>
      <w:r w:rsidR="00FF0EED" w:rsidRPr="00B9649B">
        <w:rPr>
          <w:sz w:val="20"/>
          <w:szCs w:val="20"/>
        </w:rPr>
        <w:t xml:space="preserve"> women participation, provision of enforceable inclusion and diversity policy in universities as well as reviewing of discriminatory appointment and promotion procedures individual development. The result also revealed</w:t>
      </w:r>
      <w:r w:rsidRPr="00B9649B">
        <w:rPr>
          <w:sz w:val="20"/>
          <w:szCs w:val="20"/>
        </w:rPr>
        <w:t xml:space="preserve"> </w:t>
      </w:r>
      <w:r w:rsidR="00FF0EED" w:rsidRPr="00B9649B">
        <w:rPr>
          <w:sz w:val="20"/>
          <w:szCs w:val="20"/>
        </w:rPr>
        <w:t xml:space="preserve">a few of the methods that </w:t>
      </w:r>
      <w:r w:rsidR="00FF0EED" w:rsidRPr="00B9649B">
        <w:rPr>
          <w:sz w:val="20"/>
          <w:szCs w:val="20"/>
        </w:rPr>
        <w:lastRenderedPageBreak/>
        <w:t>were not as popular as the ones earlier presented in this paragraph. Based on the foregoing, it is recommended as follows:</w:t>
      </w:r>
    </w:p>
    <w:p w:rsidR="00FF0EED" w:rsidRPr="00B9649B" w:rsidRDefault="00FF0EED" w:rsidP="00FF0EED">
      <w:pPr>
        <w:pStyle w:val="ListParagraph"/>
        <w:numPr>
          <w:ilvl w:val="0"/>
          <w:numId w:val="6"/>
        </w:numPr>
        <w:spacing w:line="360" w:lineRule="auto"/>
        <w:jc w:val="both"/>
        <w:rPr>
          <w:b/>
          <w:bCs/>
          <w:sz w:val="20"/>
          <w:szCs w:val="20"/>
        </w:rPr>
      </w:pPr>
      <w:r w:rsidRPr="00B9649B">
        <w:rPr>
          <w:sz w:val="20"/>
          <w:szCs w:val="20"/>
        </w:rPr>
        <w:t>Counsellors should focus the advocacy energy on promotion of gender equity by empowering and equipping academic women to take their rightful positions as mangers in the institutional governance of their universities.</w:t>
      </w:r>
    </w:p>
    <w:p w:rsidR="001B3158" w:rsidRPr="00B9649B" w:rsidRDefault="00FF0EED" w:rsidP="00FF0EED">
      <w:pPr>
        <w:pStyle w:val="ListParagraph"/>
        <w:numPr>
          <w:ilvl w:val="0"/>
          <w:numId w:val="6"/>
        </w:numPr>
        <w:spacing w:line="360" w:lineRule="auto"/>
        <w:jc w:val="both"/>
        <w:rPr>
          <w:b/>
          <w:bCs/>
          <w:sz w:val="20"/>
          <w:szCs w:val="20"/>
        </w:rPr>
      </w:pPr>
      <w:r w:rsidRPr="00B9649B">
        <w:rPr>
          <w:sz w:val="20"/>
          <w:szCs w:val="20"/>
        </w:rPr>
        <w:t xml:space="preserve">They should </w:t>
      </w:r>
      <w:r w:rsidR="00902223" w:rsidRPr="00B9649B">
        <w:rPr>
          <w:sz w:val="20"/>
          <w:szCs w:val="20"/>
        </w:rPr>
        <w:t>choose from a variety of</w:t>
      </w:r>
      <w:r w:rsidRPr="00B9649B">
        <w:rPr>
          <w:sz w:val="20"/>
          <w:szCs w:val="20"/>
        </w:rPr>
        <w:t xml:space="preserve"> </w:t>
      </w:r>
      <w:r w:rsidR="00902223" w:rsidRPr="00B9649B">
        <w:rPr>
          <w:sz w:val="20"/>
          <w:szCs w:val="20"/>
        </w:rPr>
        <w:t xml:space="preserve">strategies as suggested and affirmed by academic women for that purpose in this study. </w:t>
      </w:r>
      <w:r w:rsidRPr="00B9649B">
        <w:rPr>
          <w:sz w:val="20"/>
          <w:szCs w:val="20"/>
        </w:rPr>
        <w:t xml:space="preserve">   </w:t>
      </w:r>
    </w:p>
    <w:p w:rsidR="00902223" w:rsidRPr="00B9649B" w:rsidRDefault="00902223" w:rsidP="00FF0EED">
      <w:pPr>
        <w:pStyle w:val="ListParagraph"/>
        <w:numPr>
          <w:ilvl w:val="0"/>
          <w:numId w:val="6"/>
        </w:numPr>
        <w:spacing w:line="360" w:lineRule="auto"/>
        <w:jc w:val="both"/>
        <w:rPr>
          <w:b/>
          <w:bCs/>
          <w:sz w:val="20"/>
          <w:szCs w:val="20"/>
        </w:rPr>
      </w:pPr>
      <w:r w:rsidRPr="00B9649B">
        <w:rPr>
          <w:sz w:val="20"/>
          <w:szCs w:val="20"/>
        </w:rPr>
        <w:t>Female academics should be ready and willing to take up such position as may be available through diligent commitment and attitude change.</w:t>
      </w:r>
    </w:p>
    <w:p w:rsidR="00902223" w:rsidRPr="00B9649B" w:rsidRDefault="00902223" w:rsidP="00FF0EED">
      <w:pPr>
        <w:pStyle w:val="ListParagraph"/>
        <w:numPr>
          <w:ilvl w:val="0"/>
          <w:numId w:val="6"/>
        </w:numPr>
        <w:spacing w:line="360" w:lineRule="auto"/>
        <w:jc w:val="both"/>
        <w:rPr>
          <w:b/>
          <w:bCs/>
          <w:sz w:val="20"/>
          <w:szCs w:val="20"/>
        </w:rPr>
      </w:pPr>
      <w:r w:rsidRPr="00B9649B">
        <w:rPr>
          <w:sz w:val="20"/>
          <w:szCs w:val="20"/>
        </w:rPr>
        <w:t xml:space="preserve">Male academics should be willing to encourage equity participation of their female counterparts in the management of their institutions. </w:t>
      </w:r>
    </w:p>
    <w:p w:rsidR="0028729F" w:rsidRPr="00B9649B" w:rsidRDefault="001B3158" w:rsidP="001B3158">
      <w:pPr>
        <w:spacing w:line="360" w:lineRule="auto"/>
        <w:jc w:val="both"/>
        <w:rPr>
          <w:b/>
          <w:bCs/>
          <w:sz w:val="20"/>
          <w:szCs w:val="20"/>
        </w:rPr>
      </w:pPr>
      <w:r w:rsidRPr="00B9649B">
        <w:rPr>
          <w:b/>
          <w:bCs/>
          <w:sz w:val="20"/>
          <w:szCs w:val="20"/>
        </w:rPr>
        <w:t xml:space="preserve">                             </w:t>
      </w:r>
    </w:p>
    <w:p w:rsidR="001B3158" w:rsidRPr="00B9649B" w:rsidRDefault="001B3158" w:rsidP="001B3158">
      <w:pPr>
        <w:spacing w:line="360" w:lineRule="auto"/>
        <w:jc w:val="both"/>
        <w:rPr>
          <w:b/>
          <w:bCs/>
          <w:sz w:val="20"/>
          <w:szCs w:val="20"/>
        </w:rPr>
      </w:pPr>
      <w:r w:rsidRPr="00B9649B">
        <w:rPr>
          <w:b/>
          <w:bCs/>
          <w:sz w:val="20"/>
          <w:szCs w:val="20"/>
        </w:rPr>
        <w:t xml:space="preserve"> R</w:t>
      </w:r>
      <w:r w:rsidR="0028729F" w:rsidRPr="00B9649B">
        <w:rPr>
          <w:b/>
          <w:bCs/>
          <w:sz w:val="20"/>
          <w:szCs w:val="20"/>
        </w:rPr>
        <w:t>eferences</w:t>
      </w:r>
    </w:p>
    <w:p w:rsidR="00AE5B0E" w:rsidRPr="00F325EB" w:rsidRDefault="00AE5B0E" w:rsidP="001B3158">
      <w:pPr>
        <w:jc w:val="center"/>
        <w:rPr>
          <w:b/>
          <w:bCs/>
        </w:rPr>
      </w:pPr>
      <w:r w:rsidRPr="00F325EB">
        <w:rPr>
          <w:b/>
          <w:bCs/>
        </w:rPr>
        <w:t xml:space="preserve">   </w:t>
      </w:r>
    </w:p>
    <w:p w:rsidR="00AE5B0E" w:rsidRPr="00B9649B" w:rsidRDefault="00AE5B0E" w:rsidP="002D39C9">
      <w:pPr>
        <w:spacing w:line="360" w:lineRule="auto"/>
        <w:ind w:left="720" w:hanging="720"/>
        <w:jc w:val="both"/>
        <w:rPr>
          <w:sz w:val="20"/>
          <w:szCs w:val="20"/>
        </w:rPr>
      </w:pPr>
      <w:proofErr w:type="spellStart"/>
      <w:r>
        <w:rPr>
          <w:sz w:val="20"/>
          <w:szCs w:val="20"/>
        </w:rPr>
        <w:t>Afonja</w:t>
      </w:r>
      <w:proofErr w:type="spellEnd"/>
      <w:r>
        <w:rPr>
          <w:sz w:val="20"/>
          <w:szCs w:val="20"/>
        </w:rPr>
        <w:t xml:space="preserve">, S. &amp; Pearce, T. </w:t>
      </w:r>
      <w:r w:rsidRPr="00B9649B">
        <w:rPr>
          <w:sz w:val="20"/>
          <w:szCs w:val="20"/>
        </w:rPr>
        <w:t xml:space="preserve">(1987). </w:t>
      </w:r>
      <w:r w:rsidRPr="006F3E56">
        <w:rPr>
          <w:i/>
          <w:sz w:val="20"/>
          <w:szCs w:val="20"/>
        </w:rPr>
        <w:t>Social Change in Nigeria</w:t>
      </w:r>
      <w:r w:rsidRPr="00B9649B">
        <w:rPr>
          <w:sz w:val="20"/>
          <w:szCs w:val="20"/>
          <w:u w:val="single"/>
        </w:rPr>
        <w:t>.</w:t>
      </w:r>
      <w:r w:rsidRPr="00B9649B">
        <w:rPr>
          <w:sz w:val="20"/>
          <w:szCs w:val="20"/>
        </w:rPr>
        <w:t xml:space="preserve"> Ibadan; Intec. Printers.</w:t>
      </w:r>
    </w:p>
    <w:p w:rsidR="00AE5B0E" w:rsidRPr="00B9649B" w:rsidRDefault="00AE5B0E" w:rsidP="002D39C9">
      <w:pPr>
        <w:spacing w:after="200" w:line="360" w:lineRule="auto"/>
        <w:ind w:left="720" w:hanging="720"/>
        <w:jc w:val="both"/>
        <w:rPr>
          <w:sz w:val="20"/>
          <w:szCs w:val="20"/>
        </w:rPr>
      </w:pPr>
      <w:proofErr w:type="spellStart"/>
      <w:r w:rsidRPr="00B9649B">
        <w:rPr>
          <w:sz w:val="20"/>
          <w:szCs w:val="20"/>
        </w:rPr>
        <w:t>Asuquo</w:t>
      </w:r>
      <w:proofErr w:type="spellEnd"/>
      <w:r w:rsidRPr="00B9649B">
        <w:rPr>
          <w:sz w:val="20"/>
          <w:szCs w:val="20"/>
        </w:rPr>
        <w:t>, P.N.</w:t>
      </w:r>
      <w:r w:rsidRPr="00B9649B">
        <w:rPr>
          <w:b/>
          <w:sz w:val="20"/>
          <w:szCs w:val="20"/>
        </w:rPr>
        <w:t xml:space="preserve"> </w:t>
      </w:r>
      <w:r w:rsidRPr="00B9649B">
        <w:rPr>
          <w:sz w:val="20"/>
          <w:szCs w:val="20"/>
        </w:rPr>
        <w:t>(2018</w:t>
      </w:r>
      <w:r w:rsidR="007805A6" w:rsidRPr="00B9649B">
        <w:rPr>
          <w:sz w:val="20"/>
          <w:szCs w:val="20"/>
        </w:rPr>
        <w:t>). Counselling</w:t>
      </w:r>
      <w:r w:rsidRPr="00B9649B">
        <w:rPr>
          <w:sz w:val="20"/>
          <w:szCs w:val="20"/>
        </w:rPr>
        <w:t xml:space="preserve"> and </w:t>
      </w:r>
      <w:proofErr w:type="spellStart"/>
      <w:r w:rsidRPr="00B9649B">
        <w:rPr>
          <w:sz w:val="20"/>
          <w:szCs w:val="20"/>
        </w:rPr>
        <w:t>vocationalisation</w:t>
      </w:r>
      <w:proofErr w:type="spellEnd"/>
      <w:r w:rsidRPr="00B9649B">
        <w:rPr>
          <w:sz w:val="20"/>
          <w:szCs w:val="20"/>
        </w:rPr>
        <w:t xml:space="preserve"> of higher education in Nigeria</w:t>
      </w:r>
      <w:r w:rsidRPr="00B9649B">
        <w:rPr>
          <w:bCs/>
          <w:sz w:val="20"/>
          <w:szCs w:val="20"/>
        </w:rPr>
        <w:t xml:space="preserve">. In </w:t>
      </w:r>
      <w:proofErr w:type="spellStart"/>
      <w:r w:rsidRPr="00B9649B">
        <w:rPr>
          <w:bCs/>
          <w:sz w:val="20"/>
          <w:szCs w:val="20"/>
        </w:rPr>
        <w:t>M.</w:t>
      </w:r>
      <w:proofErr w:type="gramStart"/>
      <w:r w:rsidRPr="00B9649B">
        <w:rPr>
          <w:bCs/>
          <w:sz w:val="20"/>
          <w:szCs w:val="20"/>
        </w:rPr>
        <w:t>T.Joshua</w:t>
      </w:r>
      <w:proofErr w:type="spellEnd"/>
      <w:proofErr w:type="gramEnd"/>
      <w:r w:rsidRPr="00B9649B">
        <w:rPr>
          <w:bCs/>
          <w:sz w:val="20"/>
          <w:szCs w:val="20"/>
        </w:rPr>
        <w:t xml:space="preserve">, </w:t>
      </w:r>
      <w:proofErr w:type="spellStart"/>
      <w:r w:rsidRPr="00B9649B">
        <w:rPr>
          <w:bCs/>
          <w:sz w:val="20"/>
          <w:szCs w:val="20"/>
        </w:rPr>
        <w:t>P.N.Asuquo</w:t>
      </w:r>
      <w:proofErr w:type="spellEnd"/>
      <w:r w:rsidRPr="00B9649B">
        <w:rPr>
          <w:bCs/>
          <w:sz w:val="20"/>
          <w:szCs w:val="20"/>
        </w:rPr>
        <w:t xml:space="preserve"> &amp; </w:t>
      </w:r>
      <w:proofErr w:type="spellStart"/>
      <w:r w:rsidRPr="00B9649B">
        <w:rPr>
          <w:bCs/>
          <w:sz w:val="20"/>
          <w:szCs w:val="20"/>
        </w:rPr>
        <w:t>J.S.Petters</w:t>
      </w:r>
      <w:proofErr w:type="spellEnd"/>
      <w:r w:rsidRPr="00B9649B">
        <w:rPr>
          <w:sz w:val="20"/>
          <w:szCs w:val="20"/>
        </w:rPr>
        <w:t xml:space="preserve"> </w:t>
      </w:r>
      <w:r w:rsidRPr="00485C4F">
        <w:rPr>
          <w:i/>
          <w:sz w:val="20"/>
          <w:szCs w:val="20"/>
        </w:rPr>
        <w:t xml:space="preserve">Counselling, globalization and </w:t>
      </w:r>
      <w:proofErr w:type="spellStart"/>
      <w:r w:rsidRPr="00485C4F">
        <w:rPr>
          <w:i/>
          <w:sz w:val="20"/>
          <w:szCs w:val="20"/>
        </w:rPr>
        <w:t>vocationalization</w:t>
      </w:r>
      <w:proofErr w:type="spellEnd"/>
      <w:r w:rsidRPr="00485C4F">
        <w:rPr>
          <w:i/>
          <w:sz w:val="20"/>
          <w:szCs w:val="20"/>
        </w:rPr>
        <w:t xml:space="preserve"> of education in multicultural contexts</w:t>
      </w:r>
      <w:r w:rsidRPr="00B9649B">
        <w:rPr>
          <w:bCs/>
          <w:sz w:val="20"/>
          <w:szCs w:val="20"/>
        </w:rPr>
        <w:t xml:space="preserve"> Calabar: University of Calabar Press </w:t>
      </w:r>
    </w:p>
    <w:p w:rsidR="00AE5B0E" w:rsidRPr="00B9649B" w:rsidRDefault="00AE5B0E" w:rsidP="002D39C9">
      <w:pPr>
        <w:spacing w:line="360" w:lineRule="auto"/>
        <w:ind w:left="720" w:hanging="720"/>
        <w:jc w:val="both"/>
        <w:rPr>
          <w:sz w:val="20"/>
          <w:szCs w:val="20"/>
        </w:rPr>
      </w:pPr>
      <w:proofErr w:type="spellStart"/>
      <w:r w:rsidRPr="00B9649B">
        <w:rPr>
          <w:sz w:val="20"/>
          <w:szCs w:val="20"/>
        </w:rPr>
        <w:t>Asuquo</w:t>
      </w:r>
      <w:proofErr w:type="spellEnd"/>
      <w:r w:rsidRPr="00B9649B">
        <w:rPr>
          <w:sz w:val="20"/>
          <w:szCs w:val="20"/>
        </w:rPr>
        <w:t xml:space="preserve">, </w:t>
      </w:r>
      <w:proofErr w:type="gramStart"/>
      <w:r w:rsidRPr="00B9649B">
        <w:rPr>
          <w:sz w:val="20"/>
          <w:szCs w:val="20"/>
        </w:rPr>
        <w:t>P.N.(</w:t>
      </w:r>
      <w:proofErr w:type="gramEnd"/>
      <w:r w:rsidRPr="00B9649B">
        <w:rPr>
          <w:sz w:val="20"/>
          <w:szCs w:val="20"/>
        </w:rPr>
        <w:t xml:space="preserve">2009). </w:t>
      </w:r>
      <w:r w:rsidRPr="006F3E56">
        <w:rPr>
          <w:i/>
          <w:sz w:val="20"/>
          <w:szCs w:val="20"/>
        </w:rPr>
        <w:t>Basic Counselling Principles and Procedures for Teachers.</w:t>
      </w:r>
      <w:r w:rsidRPr="00B9649B">
        <w:rPr>
          <w:sz w:val="20"/>
          <w:szCs w:val="20"/>
        </w:rPr>
        <w:t xml:space="preserve"> University of Calabar Press: Calabar*</w:t>
      </w:r>
    </w:p>
    <w:p w:rsidR="00AE5B0E" w:rsidRPr="00B9649B" w:rsidRDefault="00AE5B0E" w:rsidP="002D39C9">
      <w:pPr>
        <w:spacing w:after="200" w:line="360" w:lineRule="auto"/>
        <w:ind w:left="720" w:hanging="720"/>
        <w:jc w:val="both"/>
        <w:rPr>
          <w:sz w:val="20"/>
          <w:szCs w:val="20"/>
        </w:rPr>
      </w:pPr>
      <w:proofErr w:type="spellStart"/>
      <w:r w:rsidRPr="00B9649B">
        <w:rPr>
          <w:sz w:val="20"/>
          <w:szCs w:val="20"/>
        </w:rPr>
        <w:t>Bagihole</w:t>
      </w:r>
      <w:proofErr w:type="spellEnd"/>
      <w:r w:rsidRPr="00B9649B">
        <w:rPr>
          <w:sz w:val="20"/>
          <w:szCs w:val="20"/>
        </w:rPr>
        <w:t xml:space="preserve">, B. &amp; White, K. (2011).  </w:t>
      </w:r>
      <w:r w:rsidRPr="00485C4F">
        <w:rPr>
          <w:i/>
          <w:sz w:val="20"/>
          <w:szCs w:val="20"/>
        </w:rPr>
        <w:t xml:space="preserve">Gender, power and management: A cross-cultural analysis of higher education. </w:t>
      </w:r>
      <w:r w:rsidRPr="00B9649B">
        <w:rPr>
          <w:sz w:val="20"/>
          <w:szCs w:val="20"/>
        </w:rPr>
        <w:t xml:space="preserve">London: Palgrave Macmillan       </w:t>
      </w:r>
    </w:p>
    <w:p w:rsidR="00AE5B0E" w:rsidRDefault="00AE5B0E" w:rsidP="002D39C9">
      <w:pPr>
        <w:spacing w:line="360" w:lineRule="auto"/>
        <w:ind w:left="720" w:hanging="720"/>
        <w:jc w:val="both"/>
        <w:rPr>
          <w:sz w:val="20"/>
          <w:szCs w:val="20"/>
        </w:rPr>
      </w:pPr>
      <w:r>
        <w:rPr>
          <w:sz w:val="20"/>
          <w:szCs w:val="20"/>
        </w:rPr>
        <w:t>Bassey, A.</w:t>
      </w:r>
      <w:r w:rsidRPr="00B9649B">
        <w:rPr>
          <w:sz w:val="20"/>
          <w:szCs w:val="20"/>
        </w:rPr>
        <w:t xml:space="preserve"> (1997). Attitudinal Orientation: Effective Counselling Technique for Science Education. </w:t>
      </w:r>
      <w:proofErr w:type="spellStart"/>
      <w:r w:rsidRPr="00485C4F">
        <w:rPr>
          <w:i/>
          <w:sz w:val="20"/>
          <w:szCs w:val="20"/>
        </w:rPr>
        <w:t>Akamkpa</w:t>
      </w:r>
      <w:proofErr w:type="spellEnd"/>
      <w:r w:rsidRPr="00485C4F">
        <w:rPr>
          <w:i/>
          <w:sz w:val="20"/>
          <w:szCs w:val="20"/>
        </w:rPr>
        <w:t xml:space="preserve"> Journal Science and Mathematics Education, 1</w:t>
      </w:r>
      <w:r w:rsidRPr="00B9649B">
        <w:rPr>
          <w:sz w:val="20"/>
          <w:szCs w:val="20"/>
        </w:rPr>
        <w:t xml:space="preserve">(1), 1-5.  </w:t>
      </w:r>
    </w:p>
    <w:p w:rsidR="00293293" w:rsidRPr="00B9649B" w:rsidRDefault="00293293" w:rsidP="002D39C9">
      <w:pPr>
        <w:spacing w:line="360" w:lineRule="auto"/>
        <w:ind w:left="720" w:hanging="720"/>
        <w:jc w:val="both"/>
        <w:rPr>
          <w:sz w:val="20"/>
          <w:szCs w:val="20"/>
        </w:rPr>
      </w:pPr>
      <w:r>
        <w:rPr>
          <w:sz w:val="20"/>
          <w:szCs w:val="20"/>
        </w:rPr>
        <w:t xml:space="preserve">Bassey, A. &amp; </w:t>
      </w:r>
      <w:proofErr w:type="spellStart"/>
      <w:r>
        <w:rPr>
          <w:sz w:val="20"/>
          <w:szCs w:val="20"/>
        </w:rPr>
        <w:t>Oshie</w:t>
      </w:r>
      <w:proofErr w:type="spellEnd"/>
      <w:r w:rsidR="00D371EA">
        <w:rPr>
          <w:sz w:val="20"/>
          <w:szCs w:val="20"/>
        </w:rPr>
        <w:t>,</w:t>
      </w:r>
      <w:r>
        <w:rPr>
          <w:sz w:val="20"/>
          <w:szCs w:val="20"/>
        </w:rPr>
        <w:t xml:space="preserve"> M. (2018). New media of communication: a paradigmatic approach to issues and prospects. </w:t>
      </w:r>
      <w:r w:rsidRPr="00792331">
        <w:rPr>
          <w:i/>
          <w:sz w:val="20"/>
          <w:szCs w:val="20"/>
        </w:rPr>
        <w:t>Journal of humanities, management and social sciences-Maiden Edition</w:t>
      </w:r>
      <w:r>
        <w:rPr>
          <w:sz w:val="20"/>
          <w:szCs w:val="20"/>
        </w:rPr>
        <w:t>, (1)</w:t>
      </w:r>
      <w:r w:rsidR="00792331">
        <w:rPr>
          <w:sz w:val="20"/>
          <w:szCs w:val="20"/>
        </w:rPr>
        <w:t>, 233-246</w:t>
      </w:r>
    </w:p>
    <w:p w:rsidR="00AE5B0E" w:rsidRPr="00B9649B" w:rsidRDefault="00AE5B0E" w:rsidP="002D39C9">
      <w:pPr>
        <w:spacing w:line="360" w:lineRule="auto"/>
        <w:ind w:left="720" w:hanging="720"/>
        <w:jc w:val="both"/>
        <w:rPr>
          <w:sz w:val="20"/>
          <w:szCs w:val="20"/>
        </w:rPr>
      </w:pPr>
      <w:proofErr w:type="spellStart"/>
      <w:r w:rsidRPr="00B9649B">
        <w:rPr>
          <w:sz w:val="20"/>
          <w:szCs w:val="20"/>
        </w:rPr>
        <w:t>Ekpiken</w:t>
      </w:r>
      <w:proofErr w:type="spellEnd"/>
      <w:r w:rsidRPr="00B9649B">
        <w:rPr>
          <w:sz w:val="20"/>
          <w:szCs w:val="20"/>
        </w:rPr>
        <w:t>, R. J. (1997). Science Education for Nigerian Women in the 21</w:t>
      </w:r>
      <w:r w:rsidRPr="00B9649B">
        <w:rPr>
          <w:sz w:val="20"/>
          <w:szCs w:val="20"/>
          <w:vertAlign w:val="superscript"/>
        </w:rPr>
        <w:t>st</w:t>
      </w:r>
      <w:r w:rsidRPr="00B9649B">
        <w:rPr>
          <w:sz w:val="20"/>
          <w:szCs w:val="20"/>
        </w:rPr>
        <w:t xml:space="preserve"> century; trends and implications. </w:t>
      </w:r>
      <w:proofErr w:type="spellStart"/>
      <w:r w:rsidRPr="00485C4F">
        <w:rPr>
          <w:i/>
          <w:sz w:val="20"/>
          <w:szCs w:val="20"/>
        </w:rPr>
        <w:t>Akamkpa</w:t>
      </w:r>
      <w:proofErr w:type="spellEnd"/>
      <w:r w:rsidRPr="00485C4F">
        <w:rPr>
          <w:i/>
          <w:sz w:val="20"/>
          <w:szCs w:val="20"/>
        </w:rPr>
        <w:t xml:space="preserve"> Journal of Science and Mathematics Education, 1</w:t>
      </w:r>
      <w:r>
        <w:rPr>
          <w:i/>
          <w:sz w:val="20"/>
          <w:szCs w:val="20"/>
        </w:rPr>
        <w:t xml:space="preserve"> </w:t>
      </w:r>
      <w:r w:rsidRPr="00B9649B">
        <w:rPr>
          <w:sz w:val="20"/>
          <w:szCs w:val="20"/>
        </w:rPr>
        <w:t>(1), 55-64.</w:t>
      </w:r>
    </w:p>
    <w:p w:rsidR="00AE5B0E" w:rsidRPr="00B9649B" w:rsidRDefault="00AE5B0E" w:rsidP="002D39C9">
      <w:pPr>
        <w:spacing w:line="360" w:lineRule="auto"/>
        <w:ind w:left="720" w:hanging="720"/>
        <w:jc w:val="both"/>
        <w:rPr>
          <w:sz w:val="20"/>
          <w:szCs w:val="20"/>
        </w:rPr>
      </w:pPr>
      <w:proofErr w:type="spellStart"/>
      <w:r>
        <w:rPr>
          <w:sz w:val="20"/>
          <w:szCs w:val="20"/>
        </w:rPr>
        <w:t>Ekuri</w:t>
      </w:r>
      <w:proofErr w:type="spellEnd"/>
      <w:r>
        <w:rPr>
          <w:sz w:val="20"/>
          <w:szCs w:val="20"/>
        </w:rPr>
        <w:t>, E.</w:t>
      </w:r>
      <w:r w:rsidRPr="00B9649B">
        <w:rPr>
          <w:sz w:val="20"/>
          <w:szCs w:val="20"/>
        </w:rPr>
        <w:t xml:space="preserve"> &amp; </w:t>
      </w:r>
      <w:proofErr w:type="spellStart"/>
      <w:r w:rsidRPr="00B9649B">
        <w:rPr>
          <w:sz w:val="20"/>
          <w:szCs w:val="20"/>
        </w:rPr>
        <w:t>Isangedighi</w:t>
      </w:r>
      <w:proofErr w:type="spellEnd"/>
      <w:r w:rsidRPr="00B9649B">
        <w:rPr>
          <w:sz w:val="20"/>
          <w:szCs w:val="20"/>
        </w:rPr>
        <w:t xml:space="preserve"> </w:t>
      </w:r>
      <w:r>
        <w:rPr>
          <w:sz w:val="20"/>
          <w:szCs w:val="20"/>
        </w:rPr>
        <w:t xml:space="preserve">A. </w:t>
      </w:r>
      <w:r w:rsidRPr="00B9649B">
        <w:rPr>
          <w:sz w:val="20"/>
          <w:szCs w:val="20"/>
        </w:rPr>
        <w:t xml:space="preserve">(2003). The Effect of Cooperative Learning Strategy in fostering gender equity in science concept attainment in a Nigerian setting. </w:t>
      </w:r>
      <w:r w:rsidRPr="00485C4F">
        <w:rPr>
          <w:i/>
          <w:sz w:val="20"/>
          <w:szCs w:val="20"/>
        </w:rPr>
        <w:t>Education for Today. 3</w:t>
      </w:r>
      <w:r w:rsidRPr="00B9649B">
        <w:rPr>
          <w:sz w:val="20"/>
          <w:szCs w:val="20"/>
        </w:rPr>
        <w:t xml:space="preserve">(3) In Press. </w:t>
      </w:r>
    </w:p>
    <w:p w:rsidR="00AE5B0E" w:rsidRDefault="00AE5B0E" w:rsidP="002D39C9">
      <w:pPr>
        <w:spacing w:line="360" w:lineRule="auto"/>
        <w:ind w:left="720" w:hanging="720"/>
        <w:jc w:val="both"/>
        <w:rPr>
          <w:sz w:val="20"/>
          <w:szCs w:val="20"/>
        </w:rPr>
      </w:pPr>
      <w:proofErr w:type="spellStart"/>
      <w:r w:rsidRPr="00B9649B">
        <w:rPr>
          <w:sz w:val="20"/>
          <w:szCs w:val="20"/>
        </w:rPr>
        <w:t>Elg</w:t>
      </w:r>
      <w:proofErr w:type="spellEnd"/>
      <w:r w:rsidRPr="00B9649B">
        <w:rPr>
          <w:sz w:val="20"/>
          <w:szCs w:val="20"/>
        </w:rPr>
        <w:t>, U.</w:t>
      </w:r>
      <w:r>
        <w:rPr>
          <w:sz w:val="20"/>
          <w:szCs w:val="20"/>
        </w:rPr>
        <w:t xml:space="preserve"> </w:t>
      </w:r>
      <w:r w:rsidRPr="00B9649B">
        <w:rPr>
          <w:sz w:val="20"/>
          <w:szCs w:val="20"/>
        </w:rPr>
        <w:t xml:space="preserve">&amp; </w:t>
      </w:r>
      <w:proofErr w:type="spellStart"/>
      <w:r w:rsidRPr="00B9649B">
        <w:rPr>
          <w:sz w:val="20"/>
          <w:szCs w:val="20"/>
        </w:rPr>
        <w:t>Jonnergard</w:t>
      </w:r>
      <w:proofErr w:type="spellEnd"/>
      <w:r w:rsidRPr="00B9649B">
        <w:rPr>
          <w:sz w:val="20"/>
          <w:szCs w:val="20"/>
        </w:rPr>
        <w:t>, K. (2010). Included or excluded? The dual influences</w:t>
      </w:r>
      <w:r>
        <w:rPr>
          <w:sz w:val="20"/>
          <w:szCs w:val="20"/>
        </w:rPr>
        <w:t>.</w:t>
      </w:r>
    </w:p>
    <w:p w:rsidR="00AE5B0E" w:rsidRPr="00B9649B" w:rsidRDefault="00AE5B0E" w:rsidP="002D39C9">
      <w:pPr>
        <w:spacing w:line="360" w:lineRule="auto"/>
        <w:ind w:left="720" w:hanging="720"/>
        <w:jc w:val="both"/>
        <w:rPr>
          <w:sz w:val="20"/>
          <w:szCs w:val="20"/>
        </w:rPr>
      </w:pPr>
      <w:proofErr w:type="spellStart"/>
      <w:r>
        <w:rPr>
          <w:sz w:val="20"/>
          <w:szCs w:val="20"/>
        </w:rPr>
        <w:t>Emunemu</w:t>
      </w:r>
      <w:proofErr w:type="spellEnd"/>
      <w:r>
        <w:rPr>
          <w:sz w:val="20"/>
          <w:szCs w:val="20"/>
        </w:rPr>
        <w:t xml:space="preserve">, B. </w:t>
      </w:r>
      <w:r w:rsidRPr="00B9649B">
        <w:rPr>
          <w:sz w:val="20"/>
          <w:szCs w:val="20"/>
        </w:rPr>
        <w:t xml:space="preserve">(1998). The gender gap in Basis education: Evolving strategies to increase girls’ access. In J. O. </w:t>
      </w:r>
      <w:proofErr w:type="spellStart"/>
      <w:r w:rsidRPr="00B9649B">
        <w:rPr>
          <w:sz w:val="20"/>
          <w:szCs w:val="20"/>
        </w:rPr>
        <w:t>Obemeata</w:t>
      </w:r>
      <w:proofErr w:type="spellEnd"/>
      <w:r w:rsidRPr="00B9649B">
        <w:rPr>
          <w:sz w:val="20"/>
          <w:szCs w:val="20"/>
        </w:rPr>
        <w:t xml:space="preserve">; S. O. Ayodele, &amp; M. A. </w:t>
      </w:r>
      <w:proofErr w:type="spellStart"/>
      <w:r w:rsidRPr="00B9649B">
        <w:rPr>
          <w:sz w:val="20"/>
          <w:szCs w:val="20"/>
        </w:rPr>
        <w:t>Araromi</w:t>
      </w:r>
      <w:proofErr w:type="spellEnd"/>
      <w:r w:rsidRPr="00B9649B">
        <w:rPr>
          <w:sz w:val="20"/>
          <w:szCs w:val="20"/>
        </w:rPr>
        <w:t xml:space="preserve"> (Eds.) </w:t>
      </w:r>
      <w:r w:rsidRPr="00485C4F">
        <w:rPr>
          <w:i/>
          <w:sz w:val="20"/>
          <w:szCs w:val="20"/>
        </w:rPr>
        <w:t>Evaluation in Africa</w:t>
      </w:r>
      <w:r w:rsidRPr="00B9649B">
        <w:rPr>
          <w:sz w:val="20"/>
          <w:szCs w:val="20"/>
        </w:rPr>
        <w:t>, 361-369.</w:t>
      </w:r>
    </w:p>
    <w:p w:rsidR="00AE5B0E" w:rsidRPr="00B9649B" w:rsidRDefault="00AE5B0E" w:rsidP="002D39C9">
      <w:pPr>
        <w:spacing w:line="360" w:lineRule="auto"/>
        <w:ind w:left="720" w:hanging="720"/>
        <w:jc w:val="both"/>
        <w:rPr>
          <w:sz w:val="20"/>
          <w:szCs w:val="20"/>
        </w:rPr>
      </w:pPr>
      <w:r w:rsidRPr="00B9649B">
        <w:rPr>
          <w:sz w:val="20"/>
          <w:szCs w:val="20"/>
        </w:rPr>
        <w:t>Ernest, W. &amp; Horwath (2014</w:t>
      </w:r>
      <w:proofErr w:type="gramStart"/>
      <w:r w:rsidRPr="00B9649B">
        <w:rPr>
          <w:sz w:val="20"/>
          <w:szCs w:val="20"/>
        </w:rPr>
        <w:t>)  (</w:t>
      </w:r>
      <w:proofErr w:type="gramEnd"/>
      <w:r w:rsidRPr="00B9649B">
        <w:rPr>
          <w:sz w:val="20"/>
          <w:szCs w:val="20"/>
        </w:rPr>
        <w:t>eds.) Gender in science and technology. FWF Pub 103-G15</w:t>
      </w:r>
    </w:p>
    <w:p w:rsidR="00AE5B0E" w:rsidRPr="00B9649B" w:rsidRDefault="00AE5B0E" w:rsidP="002D39C9">
      <w:pPr>
        <w:spacing w:line="360" w:lineRule="auto"/>
        <w:ind w:left="720" w:hanging="720"/>
        <w:jc w:val="both"/>
        <w:rPr>
          <w:sz w:val="20"/>
          <w:szCs w:val="20"/>
        </w:rPr>
      </w:pPr>
      <w:proofErr w:type="spellStart"/>
      <w:r w:rsidRPr="00B9649B">
        <w:rPr>
          <w:sz w:val="20"/>
          <w:szCs w:val="20"/>
        </w:rPr>
        <w:t>Esu</w:t>
      </w:r>
      <w:proofErr w:type="spellEnd"/>
      <w:r w:rsidRPr="00B9649B">
        <w:rPr>
          <w:sz w:val="20"/>
          <w:szCs w:val="20"/>
        </w:rPr>
        <w:t>,</w:t>
      </w:r>
      <w:r>
        <w:rPr>
          <w:sz w:val="20"/>
          <w:szCs w:val="20"/>
        </w:rPr>
        <w:t xml:space="preserve"> </w:t>
      </w:r>
      <w:r w:rsidRPr="00B9649B">
        <w:rPr>
          <w:sz w:val="20"/>
          <w:szCs w:val="20"/>
        </w:rPr>
        <w:t>O</w:t>
      </w:r>
      <w:r>
        <w:rPr>
          <w:sz w:val="20"/>
          <w:szCs w:val="20"/>
        </w:rPr>
        <w:t xml:space="preserve">. </w:t>
      </w:r>
      <w:r w:rsidRPr="00B9649B">
        <w:rPr>
          <w:sz w:val="20"/>
          <w:szCs w:val="20"/>
        </w:rPr>
        <w:t xml:space="preserve">(2008). Policy paper on gender equality in higher education. </w:t>
      </w:r>
      <w:hyperlink r:id="rId5" w:history="1">
        <w:r w:rsidRPr="00B9649B">
          <w:rPr>
            <w:rStyle w:val="Hyperlink"/>
            <w:sz w:val="20"/>
            <w:szCs w:val="20"/>
          </w:rPr>
          <w:t>URL:http://www.esu.online.org/newsarticle6064/100/</w:t>
        </w:r>
      </w:hyperlink>
      <w:r w:rsidRPr="00B9649B">
        <w:rPr>
          <w:sz w:val="20"/>
          <w:szCs w:val="20"/>
        </w:rPr>
        <w:t xml:space="preserve"> (Retrieved August10 2019)</w:t>
      </w:r>
    </w:p>
    <w:p w:rsidR="00AE5B0E" w:rsidRPr="00B9649B" w:rsidRDefault="00AE5B0E" w:rsidP="002D39C9">
      <w:pPr>
        <w:spacing w:line="360" w:lineRule="auto"/>
        <w:ind w:left="720" w:hanging="720"/>
        <w:jc w:val="both"/>
        <w:rPr>
          <w:sz w:val="20"/>
          <w:szCs w:val="20"/>
        </w:rPr>
      </w:pPr>
      <w:r w:rsidRPr="00B9649B">
        <w:rPr>
          <w:sz w:val="20"/>
          <w:szCs w:val="20"/>
        </w:rPr>
        <w:lastRenderedPageBreak/>
        <w:t xml:space="preserve">Eta, F. (1996). Gender Issues in Nigerian Education: A Research Agenda. </w:t>
      </w:r>
      <w:r w:rsidRPr="00485C4F">
        <w:rPr>
          <w:i/>
          <w:sz w:val="20"/>
          <w:szCs w:val="20"/>
        </w:rPr>
        <w:t xml:space="preserve">Journal of Further Education, 1 </w:t>
      </w:r>
      <w:r w:rsidRPr="00B9649B">
        <w:rPr>
          <w:sz w:val="20"/>
          <w:szCs w:val="20"/>
        </w:rPr>
        <w:t>(1) 125-132.</w:t>
      </w:r>
    </w:p>
    <w:p w:rsidR="00AE5B0E" w:rsidRPr="00B9649B" w:rsidRDefault="00AE5B0E" w:rsidP="002D39C9">
      <w:pPr>
        <w:spacing w:line="360" w:lineRule="auto"/>
        <w:ind w:left="720" w:hanging="720"/>
        <w:jc w:val="both"/>
        <w:rPr>
          <w:sz w:val="20"/>
          <w:szCs w:val="20"/>
        </w:rPr>
      </w:pPr>
      <w:r w:rsidRPr="00B9649B">
        <w:rPr>
          <w:sz w:val="20"/>
          <w:szCs w:val="20"/>
        </w:rPr>
        <w:t xml:space="preserve">Federal Republic of Nigeria (2004). National Policy on Education. Abuja: NERDC       </w:t>
      </w:r>
    </w:p>
    <w:p w:rsidR="00AE5B0E" w:rsidRDefault="00AE5B0E" w:rsidP="002D39C9">
      <w:pPr>
        <w:spacing w:line="360" w:lineRule="auto"/>
        <w:ind w:left="720" w:hanging="720"/>
        <w:jc w:val="both"/>
        <w:rPr>
          <w:sz w:val="20"/>
          <w:szCs w:val="20"/>
        </w:rPr>
      </w:pPr>
      <w:r w:rsidRPr="00B9649B">
        <w:rPr>
          <w:sz w:val="20"/>
          <w:szCs w:val="20"/>
        </w:rPr>
        <w:t xml:space="preserve">Graham-Brown, S. (1991). </w:t>
      </w:r>
      <w:r w:rsidR="00356E03">
        <w:rPr>
          <w:i/>
          <w:sz w:val="20"/>
          <w:szCs w:val="20"/>
        </w:rPr>
        <w:t>Education in the Developing</w:t>
      </w:r>
      <w:r w:rsidRPr="00485C4F">
        <w:rPr>
          <w:i/>
          <w:sz w:val="20"/>
          <w:szCs w:val="20"/>
        </w:rPr>
        <w:t xml:space="preserve"> World</w:t>
      </w:r>
      <w:r w:rsidR="005A6594">
        <w:rPr>
          <w:sz w:val="20"/>
          <w:szCs w:val="20"/>
        </w:rPr>
        <w:t>. Harlow, Longman</w:t>
      </w:r>
    </w:p>
    <w:p w:rsidR="00AE5B0E" w:rsidRDefault="00AE5B0E" w:rsidP="002D39C9">
      <w:pPr>
        <w:spacing w:line="360" w:lineRule="auto"/>
        <w:ind w:left="720" w:hanging="720"/>
        <w:jc w:val="both"/>
        <w:rPr>
          <w:sz w:val="20"/>
          <w:szCs w:val="20"/>
        </w:rPr>
      </w:pPr>
      <w:proofErr w:type="spellStart"/>
      <w:r>
        <w:rPr>
          <w:sz w:val="20"/>
          <w:szCs w:val="20"/>
        </w:rPr>
        <w:t>Kirmani</w:t>
      </w:r>
      <w:proofErr w:type="spellEnd"/>
      <w:r>
        <w:rPr>
          <w:sz w:val="20"/>
          <w:szCs w:val="20"/>
        </w:rPr>
        <w:t>, M.</w:t>
      </w:r>
      <w:r w:rsidRPr="00B9649B">
        <w:rPr>
          <w:sz w:val="20"/>
          <w:szCs w:val="20"/>
        </w:rPr>
        <w:t xml:space="preserve"> (1972). The Gender gap in Basic Education. </w:t>
      </w:r>
      <w:r w:rsidRPr="00485C4F">
        <w:rPr>
          <w:i/>
          <w:sz w:val="20"/>
          <w:szCs w:val="20"/>
        </w:rPr>
        <w:t>Development Communication Report.</w:t>
      </w:r>
      <w:r w:rsidRPr="00B9649B">
        <w:rPr>
          <w:sz w:val="20"/>
          <w:szCs w:val="20"/>
        </w:rPr>
        <w:t xml:space="preserve"> No. 69.</w:t>
      </w:r>
    </w:p>
    <w:p w:rsidR="00AE5B0E" w:rsidRPr="00B9649B" w:rsidRDefault="00AE5B0E" w:rsidP="002D39C9">
      <w:pPr>
        <w:spacing w:line="360" w:lineRule="auto"/>
        <w:ind w:left="720" w:hanging="720"/>
        <w:jc w:val="both"/>
        <w:rPr>
          <w:sz w:val="20"/>
          <w:szCs w:val="20"/>
        </w:rPr>
      </w:pPr>
      <w:r w:rsidRPr="00B9649B">
        <w:rPr>
          <w:sz w:val="20"/>
          <w:szCs w:val="20"/>
        </w:rPr>
        <w:t xml:space="preserve">Lockheed, M. E. &amp; </w:t>
      </w:r>
      <w:proofErr w:type="spellStart"/>
      <w:r w:rsidRPr="00B9649B">
        <w:rPr>
          <w:sz w:val="20"/>
          <w:szCs w:val="20"/>
        </w:rPr>
        <w:t>Verspoor</w:t>
      </w:r>
      <w:proofErr w:type="spellEnd"/>
      <w:r w:rsidRPr="00B9649B">
        <w:rPr>
          <w:sz w:val="20"/>
          <w:szCs w:val="20"/>
        </w:rPr>
        <w:t xml:space="preserve">, A. M. (1994). </w:t>
      </w:r>
      <w:r w:rsidRPr="00485C4F">
        <w:rPr>
          <w:i/>
          <w:sz w:val="20"/>
          <w:szCs w:val="20"/>
        </w:rPr>
        <w:t>Improving Primary Education in developing countries.</w:t>
      </w:r>
      <w:r w:rsidRPr="00B9649B">
        <w:rPr>
          <w:sz w:val="20"/>
          <w:szCs w:val="20"/>
        </w:rPr>
        <w:t xml:space="preserve"> New York: Oxford University Press.</w:t>
      </w:r>
    </w:p>
    <w:p w:rsidR="00AE5B0E" w:rsidRPr="00B9649B" w:rsidRDefault="00AE5B0E" w:rsidP="002D39C9">
      <w:pPr>
        <w:spacing w:line="360" w:lineRule="auto"/>
        <w:ind w:left="720" w:hanging="720"/>
        <w:jc w:val="both"/>
        <w:rPr>
          <w:sz w:val="20"/>
          <w:szCs w:val="20"/>
        </w:rPr>
      </w:pPr>
      <w:r>
        <w:rPr>
          <w:sz w:val="20"/>
          <w:szCs w:val="20"/>
        </w:rPr>
        <w:t>Longman. H</w:t>
      </w:r>
      <w:r w:rsidRPr="00B9649B">
        <w:rPr>
          <w:sz w:val="20"/>
          <w:szCs w:val="20"/>
        </w:rPr>
        <w:t>. (1994). Gender streaming as a strategy for improving girls academic performances: Evidence for Malawi. A Publication for Centre for Social Research, University of Malawi.</w:t>
      </w:r>
    </w:p>
    <w:p w:rsidR="00AE5B0E" w:rsidRPr="00B9649B" w:rsidRDefault="00AE5B0E" w:rsidP="002D39C9">
      <w:pPr>
        <w:spacing w:line="360" w:lineRule="auto"/>
        <w:ind w:left="720" w:hanging="720"/>
        <w:jc w:val="both"/>
        <w:rPr>
          <w:sz w:val="20"/>
          <w:szCs w:val="20"/>
        </w:rPr>
      </w:pPr>
      <w:proofErr w:type="spellStart"/>
      <w:r w:rsidRPr="00B9649B">
        <w:rPr>
          <w:sz w:val="20"/>
          <w:szCs w:val="20"/>
        </w:rPr>
        <w:t>Miroux</w:t>
      </w:r>
      <w:proofErr w:type="spellEnd"/>
      <w:r w:rsidRPr="00B9649B">
        <w:rPr>
          <w:sz w:val="20"/>
          <w:szCs w:val="20"/>
        </w:rPr>
        <w:t>, A.</w:t>
      </w:r>
      <w:r>
        <w:rPr>
          <w:sz w:val="20"/>
          <w:szCs w:val="20"/>
        </w:rPr>
        <w:t xml:space="preserve"> </w:t>
      </w:r>
      <w:r w:rsidRPr="00B9649B">
        <w:rPr>
          <w:sz w:val="20"/>
          <w:szCs w:val="20"/>
        </w:rPr>
        <w:t>(2011) Mainstreaming a gender perspective in science, technology and innovative policy. UNCTAD publications</w:t>
      </w:r>
    </w:p>
    <w:p w:rsidR="00AE5B0E" w:rsidRPr="00B9649B" w:rsidRDefault="00AE5B0E" w:rsidP="002D39C9">
      <w:pPr>
        <w:spacing w:line="360" w:lineRule="auto"/>
        <w:ind w:left="720" w:hanging="720"/>
        <w:jc w:val="both"/>
        <w:rPr>
          <w:sz w:val="20"/>
          <w:szCs w:val="20"/>
        </w:rPr>
      </w:pPr>
      <w:r w:rsidRPr="00B9649B">
        <w:rPr>
          <w:sz w:val="20"/>
          <w:szCs w:val="20"/>
        </w:rPr>
        <w:t xml:space="preserve">Morley, L. (2013). Women and higher education Leadership: absence and aspirations. UK: Leadership Foundation for Higher Education      </w:t>
      </w:r>
    </w:p>
    <w:p w:rsidR="00AE5B0E" w:rsidRPr="00B9649B" w:rsidRDefault="00AE5B0E" w:rsidP="002D39C9">
      <w:pPr>
        <w:spacing w:line="360" w:lineRule="auto"/>
        <w:ind w:left="720" w:hanging="720"/>
        <w:jc w:val="both"/>
        <w:rPr>
          <w:sz w:val="20"/>
          <w:szCs w:val="20"/>
        </w:rPr>
      </w:pPr>
      <w:r w:rsidRPr="00B9649B">
        <w:rPr>
          <w:sz w:val="20"/>
          <w:szCs w:val="20"/>
        </w:rPr>
        <w:t xml:space="preserve">Moss, G. (2007). Literacy &amp; Gender. </w:t>
      </w:r>
      <w:r w:rsidR="00356E03" w:rsidRPr="00B9649B">
        <w:rPr>
          <w:sz w:val="20"/>
          <w:szCs w:val="20"/>
        </w:rPr>
        <w:t>Routledge</w:t>
      </w:r>
      <w:r w:rsidRPr="00B9649B">
        <w:rPr>
          <w:sz w:val="20"/>
          <w:szCs w:val="20"/>
        </w:rPr>
        <w:t xml:space="preserve">. </w:t>
      </w:r>
    </w:p>
    <w:p w:rsidR="00AE5B0E" w:rsidRPr="00B9649B" w:rsidRDefault="00AE5B0E" w:rsidP="002D39C9">
      <w:pPr>
        <w:spacing w:line="360" w:lineRule="auto"/>
        <w:ind w:left="720" w:hanging="720"/>
        <w:jc w:val="both"/>
        <w:rPr>
          <w:sz w:val="20"/>
          <w:szCs w:val="20"/>
        </w:rPr>
      </w:pPr>
      <w:r w:rsidRPr="00B9649B">
        <w:rPr>
          <w:sz w:val="20"/>
          <w:szCs w:val="20"/>
        </w:rPr>
        <w:t xml:space="preserve">National planning commission (1992). </w:t>
      </w:r>
      <w:r w:rsidRPr="00485C4F">
        <w:rPr>
          <w:i/>
          <w:sz w:val="20"/>
          <w:szCs w:val="20"/>
        </w:rPr>
        <w:t xml:space="preserve">National </w:t>
      </w:r>
      <w:proofErr w:type="spellStart"/>
      <w:r w:rsidRPr="00485C4F">
        <w:rPr>
          <w:i/>
          <w:sz w:val="20"/>
          <w:szCs w:val="20"/>
        </w:rPr>
        <w:t>Programme</w:t>
      </w:r>
      <w:proofErr w:type="spellEnd"/>
      <w:r w:rsidRPr="00485C4F">
        <w:rPr>
          <w:i/>
          <w:sz w:val="20"/>
          <w:szCs w:val="20"/>
        </w:rPr>
        <w:t xml:space="preserve"> of Action for the survival, protection and development of the Nigerian Child.</w:t>
      </w:r>
      <w:r w:rsidRPr="00B9649B">
        <w:rPr>
          <w:sz w:val="20"/>
          <w:szCs w:val="20"/>
        </w:rPr>
        <w:t xml:space="preserve"> Lagos: Federal Government of Nigeria.</w:t>
      </w:r>
    </w:p>
    <w:p w:rsidR="00AE5B0E" w:rsidRPr="00B9649B" w:rsidRDefault="00AE5B0E" w:rsidP="002D39C9">
      <w:pPr>
        <w:spacing w:line="360" w:lineRule="auto"/>
        <w:ind w:left="720" w:hanging="720"/>
        <w:jc w:val="both"/>
        <w:rPr>
          <w:sz w:val="20"/>
          <w:szCs w:val="20"/>
        </w:rPr>
      </w:pPr>
      <w:proofErr w:type="spellStart"/>
      <w:r w:rsidRPr="00B9649B">
        <w:rPr>
          <w:sz w:val="20"/>
          <w:szCs w:val="20"/>
        </w:rPr>
        <w:t>Nwamuo</w:t>
      </w:r>
      <w:proofErr w:type="spellEnd"/>
      <w:r w:rsidRPr="00B9649B">
        <w:rPr>
          <w:sz w:val="20"/>
          <w:szCs w:val="20"/>
        </w:rPr>
        <w:t xml:space="preserve">, P. (1986). Counselling for value orientation: A case for community counselling. </w:t>
      </w:r>
      <w:r w:rsidRPr="00485C4F">
        <w:rPr>
          <w:i/>
          <w:sz w:val="20"/>
          <w:szCs w:val="20"/>
        </w:rPr>
        <w:t>The Counsellor, 1,</w:t>
      </w:r>
      <w:r w:rsidRPr="00B9649B">
        <w:rPr>
          <w:sz w:val="20"/>
          <w:szCs w:val="20"/>
        </w:rPr>
        <w:t xml:space="preserve"> 1.</w:t>
      </w:r>
    </w:p>
    <w:p w:rsidR="00AE5B0E" w:rsidRDefault="00AE5B0E" w:rsidP="002D39C9">
      <w:pPr>
        <w:spacing w:line="360" w:lineRule="auto"/>
        <w:ind w:left="720" w:hanging="720"/>
        <w:jc w:val="both"/>
        <w:rPr>
          <w:sz w:val="20"/>
          <w:szCs w:val="20"/>
        </w:rPr>
      </w:pPr>
      <w:r w:rsidRPr="00B9649B">
        <w:rPr>
          <w:sz w:val="20"/>
          <w:szCs w:val="20"/>
        </w:rPr>
        <w:t xml:space="preserve">Olayinka, S. (1972). The role of Guidance and Vocational Counselling in Nigeria Education. Unpublished paper read at the Advanced Professional studies </w:t>
      </w:r>
      <w:proofErr w:type="spellStart"/>
      <w:r w:rsidRPr="00B9649B">
        <w:rPr>
          <w:sz w:val="20"/>
          <w:szCs w:val="20"/>
        </w:rPr>
        <w:t>programme</w:t>
      </w:r>
      <w:proofErr w:type="spellEnd"/>
      <w:r w:rsidRPr="00B9649B">
        <w:rPr>
          <w:sz w:val="20"/>
          <w:szCs w:val="20"/>
        </w:rPr>
        <w:t xml:space="preserve"> seminar, College of Education, University of Lagos, Lagos.</w:t>
      </w:r>
    </w:p>
    <w:p w:rsidR="00842631" w:rsidRPr="00B9649B" w:rsidRDefault="00842631" w:rsidP="002D39C9">
      <w:pPr>
        <w:spacing w:line="360" w:lineRule="auto"/>
        <w:ind w:left="720" w:hanging="720"/>
        <w:jc w:val="both"/>
        <w:rPr>
          <w:sz w:val="20"/>
          <w:szCs w:val="20"/>
        </w:rPr>
      </w:pPr>
      <w:proofErr w:type="spellStart"/>
      <w:r>
        <w:rPr>
          <w:sz w:val="20"/>
          <w:szCs w:val="20"/>
        </w:rPr>
        <w:t>Omini</w:t>
      </w:r>
      <w:proofErr w:type="spellEnd"/>
      <w:r>
        <w:rPr>
          <w:sz w:val="20"/>
          <w:szCs w:val="20"/>
        </w:rPr>
        <w:t xml:space="preserve">, E. &amp; </w:t>
      </w:r>
      <w:proofErr w:type="spellStart"/>
      <w:r>
        <w:rPr>
          <w:sz w:val="20"/>
          <w:szCs w:val="20"/>
        </w:rPr>
        <w:t>Iquo</w:t>
      </w:r>
      <w:proofErr w:type="spellEnd"/>
      <w:r>
        <w:rPr>
          <w:sz w:val="20"/>
          <w:szCs w:val="20"/>
        </w:rPr>
        <w:t xml:space="preserve">, O. (2018). </w:t>
      </w:r>
      <w:r w:rsidRPr="00842631">
        <w:rPr>
          <w:sz w:val="20"/>
          <w:szCs w:val="20"/>
        </w:rPr>
        <w:t>Managing Basic Education for National Cohesion and Global Competitiveness</w:t>
      </w:r>
      <w:r>
        <w:rPr>
          <w:sz w:val="20"/>
          <w:szCs w:val="20"/>
        </w:rPr>
        <w:t>.</w:t>
      </w:r>
      <w:r w:rsidRPr="00842631">
        <w:t xml:space="preserve"> </w:t>
      </w:r>
      <w:r w:rsidRPr="00842631">
        <w:rPr>
          <w:i/>
          <w:sz w:val="20"/>
          <w:szCs w:val="20"/>
        </w:rPr>
        <w:t>Nigerian Journal of Education Administration and planning (NAEP) 18</w:t>
      </w:r>
      <w:r w:rsidRPr="00842631">
        <w:rPr>
          <w:sz w:val="20"/>
          <w:szCs w:val="20"/>
        </w:rPr>
        <w:t xml:space="preserve"> (5), 253-261</w:t>
      </w:r>
    </w:p>
    <w:p w:rsidR="00AE5B0E" w:rsidRPr="00B9649B" w:rsidRDefault="00AE5B0E" w:rsidP="002D39C9">
      <w:pPr>
        <w:spacing w:line="360" w:lineRule="auto"/>
        <w:ind w:left="720" w:hanging="720"/>
        <w:jc w:val="both"/>
        <w:rPr>
          <w:sz w:val="20"/>
          <w:szCs w:val="20"/>
        </w:rPr>
      </w:pPr>
      <w:proofErr w:type="spellStart"/>
      <w:r>
        <w:rPr>
          <w:sz w:val="20"/>
          <w:szCs w:val="20"/>
        </w:rPr>
        <w:t>Piwuna</w:t>
      </w:r>
      <w:proofErr w:type="spellEnd"/>
      <w:r>
        <w:rPr>
          <w:sz w:val="20"/>
          <w:szCs w:val="20"/>
        </w:rPr>
        <w:t xml:space="preserve">, C. &amp; </w:t>
      </w:r>
      <w:proofErr w:type="spellStart"/>
      <w:r>
        <w:rPr>
          <w:sz w:val="20"/>
          <w:szCs w:val="20"/>
        </w:rPr>
        <w:t>Ncharam</w:t>
      </w:r>
      <w:proofErr w:type="spellEnd"/>
      <w:r>
        <w:rPr>
          <w:sz w:val="20"/>
          <w:szCs w:val="20"/>
        </w:rPr>
        <w:t>, S.</w:t>
      </w:r>
      <w:r w:rsidRPr="00B9649B">
        <w:rPr>
          <w:sz w:val="20"/>
          <w:szCs w:val="20"/>
        </w:rPr>
        <w:t xml:space="preserve"> (2000). Strategies for encouraging girls in science and technology education in Nigeria. </w:t>
      </w:r>
      <w:r w:rsidRPr="00485C4F">
        <w:rPr>
          <w:i/>
          <w:sz w:val="20"/>
          <w:szCs w:val="20"/>
        </w:rPr>
        <w:t xml:space="preserve">Education </w:t>
      </w:r>
      <w:proofErr w:type="gramStart"/>
      <w:r w:rsidRPr="00485C4F">
        <w:rPr>
          <w:i/>
          <w:sz w:val="20"/>
          <w:szCs w:val="20"/>
        </w:rPr>
        <w:t>For</w:t>
      </w:r>
      <w:proofErr w:type="gramEnd"/>
      <w:r w:rsidRPr="00485C4F">
        <w:rPr>
          <w:i/>
          <w:sz w:val="20"/>
          <w:szCs w:val="20"/>
        </w:rPr>
        <w:t xml:space="preserve"> Today, 2</w:t>
      </w:r>
      <w:r w:rsidRPr="00B9649B">
        <w:rPr>
          <w:sz w:val="20"/>
          <w:szCs w:val="20"/>
        </w:rPr>
        <w:t>(1), 55-64.</w:t>
      </w:r>
    </w:p>
    <w:p w:rsidR="00AE5B0E" w:rsidRDefault="00AE5B0E" w:rsidP="002D39C9">
      <w:pPr>
        <w:spacing w:line="360" w:lineRule="auto"/>
        <w:ind w:left="720" w:hanging="720"/>
        <w:jc w:val="both"/>
        <w:rPr>
          <w:sz w:val="20"/>
          <w:szCs w:val="20"/>
        </w:rPr>
      </w:pPr>
      <w:r w:rsidRPr="00B9649B">
        <w:rPr>
          <w:sz w:val="20"/>
          <w:szCs w:val="20"/>
        </w:rPr>
        <w:t xml:space="preserve">Schultz </w:t>
      </w:r>
      <w:r>
        <w:rPr>
          <w:sz w:val="20"/>
          <w:szCs w:val="20"/>
        </w:rPr>
        <w:t>T.</w:t>
      </w:r>
      <w:r w:rsidRPr="00B9649B">
        <w:rPr>
          <w:sz w:val="20"/>
          <w:szCs w:val="20"/>
        </w:rPr>
        <w:t xml:space="preserve"> (1993). Public Investment in women’s schooling. </w:t>
      </w:r>
      <w:r w:rsidRPr="00485C4F">
        <w:rPr>
          <w:i/>
          <w:sz w:val="20"/>
          <w:szCs w:val="20"/>
        </w:rPr>
        <w:t>The Forum, 3</w:t>
      </w:r>
      <w:r>
        <w:rPr>
          <w:i/>
          <w:sz w:val="20"/>
          <w:szCs w:val="20"/>
        </w:rPr>
        <w:t xml:space="preserve"> </w:t>
      </w:r>
      <w:r w:rsidRPr="00B9649B">
        <w:rPr>
          <w:sz w:val="20"/>
          <w:szCs w:val="20"/>
        </w:rPr>
        <w:t xml:space="preserve">(1). </w:t>
      </w:r>
      <w:bookmarkStart w:id="0" w:name="_GoBack"/>
      <w:bookmarkEnd w:id="0"/>
    </w:p>
    <w:p w:rsidR="00AE5B0E" w:rsidRPr="00B9649B" w:rsidRDefault="00AE5B0E" w:rsidP="002D39C9">
      <w:pPr>
        <w:spacing w:line="360" w:lineRule="auto"/>
        <w:ind w:left="720" w:hanging="720"/>
        <w:jc w:val="both"/>
        <w:rPr>
          <w:sz w:val="20"/>
          <w:szCs w:val="20"/>
        </w:rPr>
      </w:pPr>
      <w:proofErr w:type="spellStart"/>
      <w:r>
        <w:rPr>
          <w:sz w:val="20"/>
          <w:szCs w:val="20"/>
        </w:rPr>
        <w:t>Tyoor</w:t>
      </w:r>
      <w:proofErr w:type="spellEnd"/>
      <w:r>
        <w:rPr>
          <w:sz w:val="20"/>
          <w:szCs w:val="20"/>
        </w:rPr>
        <w:t>, F.</w:t>
      </w:r>
      <w:r w:rsidRPr="00B9649B">
        <w:rPr>
          <w:sz w:val="20"/>
          <w:szCs w:val="20"/>
        </w:rPr>
        <w:t xml:space="preserve"> (2007). Masculinities: Male involvement in Gender responsive programming. </w:t>
      </w:r>
      <w:r w:rsidRPr="00AE5B0E">
        <w:rPr>
          <w:i/>
          <w:sz w:val="20"/>
          <w:szCs w:val="20"/>
        </w:rPr>
        <w:t>International Journal of Development and Policy Studies 4,</w:t>
      </w:r>
      <w:r w:rsidRPr="00B9649B">
        <w:rPr>
          <w:sz w:val="20"/>
          <w:szCs w:val="20"/>
        </w:rPr>
        <w:t>1, 1 – 21.</w:t>
      </w:r>
    </w:p>
    <w:p w:rsidR="00AE5B0E" w:rsidRDefault="00AE5B0E" w:rsidP="002D39C9">
      <w:pPr>
        <w:spacing w:line="360" w:lineRule="auto"/>
        <w:ind w:left="720" w:hanging="720"/>
        <w:jc w:val="both"/>
        <w:rPr>
          <w:sz w:val="20"/>
          <w:szCs w:val="20"/>
        </w:rPr>
      </w:pPr>
      <w:proofErr w:type="spellStart"/>
      <w:r w:rsidRPr="00B9649B">
        <w:rPr>
          <w:sz w:val="20"/>
          <w:szCs w:val="20"/>
        </w:rPr>
        <w:t>Uba</w:t>
      </w:r>
      <w:proofErr w:type="spellEnd"/>
      <w:r w:rsidRPr="00B9649B">
        <w:rPr>
          <w:sz w:val="20"/>
          <w:szCs w:val="20"/>
        </w:rPr>
        <w:t xml:space="preserve">, A. (1986). Attitudinal value orientation in Counselling. </w:t>
      </w:r>
      <w:r w:rsidRPr="00AE5B0E">
        <w:rPr>
          <w:i/>
          <w:sz w:val="20"/>
          <w:szCs w:val="20"/>
        </w:rPr>
        <w:t>The Counsellor, 1</w:t>
      </w:r>
      <w:r w:rsidRPr="00B9649B">
        <w:rPr>
          <w:sz w:val="20"/>
          <w:szCs w:val="20"/>
        </w:rPr>
        <w:t xml:space="preserve">,1 </w:t>
      </w:r>
    </w:p>
    <w:p w:rsidR="00AE5B0E" w:rsidRPr="00B9649B" w:rsidRDefault="00AE5B0E" w:rsidP="002D39C9">
      <w:pPr>
        <w:spacing w:line="360" w:lineRule="auto"/>
        <w:ind w:left="720" w:hanging="720"/>
        <w:jc w:val="both"/>
        <w:rPr>
          <w:sz w:val="20"/>
          <w:szCs w:val="20"/>
        </w:rPr>
      </w:pPr>
      <w:r w:rsidRPr="00B9649B">
        <w:rPr>
          <w:sz w:val="20"/>
          <w:szCs w:val="20"/>
        </w:rPr>
        <w:t xml:space="preserve">UNESCO (1998) Higher education and women issues and perspectives. </w:t>
      </w:r>
      <w:hyperlink r:id="rId6" w:history="1">
        <w:r w:rsidRPr="00B9649B">
          <w:rPr>
            <w:rStyle w:val="Hyperlink"/>
            <w:sz w:val="20"/>
            <w:szCs w:val="20"/>
          </w:rPr>
          <w:t>URL:http://www.unesco.org/education/educprog/wche/principal/womenhtml</w:t>
        </w:r>
      </w:hyperlink>
      <w:r w:rsidRPr="00B9649B">
        <w:rPr>
          <w:sz w:val="20"/>
          <w:szCs w:val="20"/>
        </w:rPr>
        <w:t xml:space="preserve"> (Retrieved August 10 2019)</w:t>
      </w:r>
    </w:p>
    <w:p w:rsidR="00AE5B0E" w:rsidRPr="00B9649B" w:rsidRDefault="00AE5B0E" w:rsidP="002D39C9">
      <w:pPr>
        <w:spacing w:line="360" w:lineRule="auto"/>
        <w:ind w:left="720" w:hanging="720"/>
        <w:jc w:val="both"/>
        <w:rPr>
          <w:sz w:val="20"/>
          <w:szCs w:val="20"/>
        </w:rPr>
      </w:pPr>
      <w:r w:rsidRPr="00B9649B">
        <w:rPr>
          <w:sz w:val="20"/>
          <w:szCs w:val="20"/>
        </w:rPr>
        <w:t>UNESCO (2012). World atlas</w:t>
      </w:r>
      <w:r>
        <w:rPr>
          <w:sz w:val="20"/>
          <w:szCs w:val="20"/>
        </w:rPr>
        <w:t xml:space="preserve"> </w:t>
      </w:r>
      <w:r w:rsidRPr="00B9649B">
        <w:rPr>
          <w:sz w:val="20"/>
          <w:szCs w:val="20"/>
        </w:rPr>
        <w:t xml:space="preserve">of gender equality in education (Adobe Digital Editions) </w:t>
      </w:r>
      <w:hyperlink r:id="rId7" w:history="1">
        <w:r w:rsidRPr="00B9649B">
          <w:rPr>
            <w:rStyle w:val="Hyperlink"/>
            <w:sz w:val="20"/>
            <w:szCs w:val="20"/>
          </w:rPr>
          <w:t>URL:http:/UNESDOC.unesco.org/images/0021/002155/215522E.pdf</w:t>
        </w:r>
      </w:hyperlink>
      <w:r w:rsidRPr="00B9649B">
        <w:rPr>
          <w:sz w:val="20"/>
          <w:szCs w:val="20"/>
        </w:rPr>
        <w:t xml:space="preserve"> (RetrievedAugust10 2019)</w:t>
      </w:r>
    </w:p>
    <w:p w:rsidR="00AE5B0E" w:rsidRPr="00B9649B" w:rsidRDefault="00AE5B0E" w:rsidP="002D39C9">
      <w:pPr>
        <w:spacing w:line="360" w:lineRule="auto"/>
        <w:ind w:left="720" w:hanging="720"/>
        <w:jc w:val="both"/>
        <w:rPr>
          <w:sz w:val="20"/>
          <w:szCs w:val="20"/>
        </w:rPr>
      </w:pPr>
      <w:r w:rsidRPr="00B9649B">
        <w:rPr>
          <w:sz w:val="20"/>
          <w:szCs w:val="20"/>
        </w:rPr>
        <w:t>United Nations (1996). Platform for Action and the Beijing, China, 4-15 September 1995.</w:t>
      </w:r>
    </w:p>
    <w:p w:rsidR="00AE5B0E" w:rsidRPr="00B9649B" w:rsidRDefault="00AE5B0E" w:rsidP="002D39C9">
      <w:pPr>
        <w:spacing w:line="360" w:lineRule="auto"/>
        <w:ind w:left="720" w:hanging="720"/>
        <w:jc w:val="both"/>
        <w:rPr>
          <w:sz w:val="20"/>
          <w:szCs w:val="20"/>
        </w:rPr>
      </w:pPr>
      <w:r w:rsidRPr="00B9649B">
        <w:rPr>
          <w:sz w:val="20"/>
          <w:szCs w:val="20"/>
        </w:rPr>
        <w:t xml:space="preserve">United Nations (2003). Participation in and access of women to the Media and Information and Communication Technologies and their impact on and use as an instrument for the advancement and empowerment of women. Report of the Secretary General (E/CN6/2003/6)  </w:t>
      </w:r>
    </w:p>
    <w:p w:rsidR="00AE5B0E" w:rsidRPr="00B9649B" w:rsidRDefault="00AE5B0E" w:rsidP="002D39C9">
      <w:pPr>
        <w:spacing w:line="360" w:lineRule="auto"/>
        <w:ind w:left="720" w:hanging="720"/>
        <w:jc w:val="both"/>
        <w:rPr>
          <w:sz w:val="20"/>
          <w:szCs w:val="20"/>
        </w:rPr>
      </w:pPr>
      <w:proofErr w:type="spellStart"/>
      <w:r>
        <w:rPr>
          <w:sz w:val="20"/>
          <w:szCs w:val="20"/>
        </w:rPr>
        <w:t>Voyer</w:t>
      </w:r>
      <w:proofErr w:type="spellEnd"/>
      <w:r>
        <w:rPr>
          <w:sz w:val="20"/>
          <w:szCs w:val="20"/>
        </w:rPr>
        <w:t xml:space="preserve">, D. &amp; </w:t>
      </w:r>
      <w:proofErr w:type="spellStart"/>
      <w:r>
        <w:rPr>
          <w:sz w:val="20"/>
          <w:szCs w:val="20"/>
        </w:rPr>
        <w:t>Voyer</w:t>
      </w:r>
      <w:proofErr w:type="spellEnd"/>
      <w:r>
        <w:rPr>
          <w:sz w:val="20"/>
          <w:szCs w:val="20"/>
        </w:rPr>
        <w:t>, S.</w:t>
      </w:r>
      <w:r w:rsidRPr="00B9649B">
        <w:rPr>
          <w:sz w:val="20"/>
          <w:szCs w:val="20"/>
        </w:rPr>
        <w:t xml:space="preserve"> (2014). </w:t>
      </w:r>
      <w:r w:rsidR="00356E03">
        <w:rPr>
          <w:sz w:val="20"/>
          <w:szCs w:val="20"/>
        </w:rPr>
        <w:t xml:space="preserve">Gender difference in scholastic achievement: a meta-analysis. </w:t>
      </w:r>
      <w:r w:rsidRPr="00356E03">
        <w:rPr>
          <w:i/>
          <w:sz w:val="20"/>
          <w:szCs w:val="20"/>
        </w:rPr>
        <w:t>Psychological Bulletin 140,</w:t>
      </w:r>
      <w:r w:rsidRPr="00B9649B">
        <w:rPr>
          <w:sz w:val="20"/>
          <w:szCs w:val="20"/>
        </w:rPr>
        <w:t xml:space="preserve"> </w:t>
      </w:r>
      <w:r w:rsidR="00356E03">
        <w:rPr>
          <w:sz w:val="20"/>
          <w:szCs w:val="20"/>
        </w:rPr>
        <w:t>(</w:t>
      </w:r>
      <w:r w:rsidRPr="00B9649B">
        <w:rPr>
          <w:sz w:val="20"/>
          <w:szCs w:val="20"/>
        </w:rPr>
        <w:t>4</w:t>
      </w:r>
      <w:r w:rsidR="00356E03">
        <w:rPr>
          <w:sz w:val="20"/>
          <w:szCs w:val="20"/>
        </w:rPr>
        <w:t>)</w:t>
      </w:r>
      <w:r w:rsidRPr="00B9649B">
        <w:rPr>
          <w:sz w:val="20"/>
          <w:szCs w:val="20"/>
        </w:rPr>
        <w:t>, 1174 – 1204.</w:t>
      </w:r>
      <w:r w:rsidR="00356E03">
        <w:rPr>
          <w:sz w:val="20"/>
          <w:szCs w:val="20"/>
        </w:rPr>
        <w:t xml:space="preserve"> https://doi.org/10.1037/a0036620</w:t>
      </w:r>
    </w:p>
    <w:p w:rsidR="00AE5B0E" w:rsidRPr="00B9649B" w:rsidRDefault="00AE5B0E" w:rsidP="002D39C9">
      <w:pPr>
        <w:spacing w:line="360" w:lineRule="auto"/>
        <w:ind w:left="720" w:hanging="720"/>
        <w:jc w:val="both"/>
        <w:rPr>
          <w:sz w:val="20"/>
          <w:szCs w:val="20"/>
          <w:u w:val="single"/>
        </w:rPr>
      </w:pPr>
      <w:r w:rsidRPr="00B9649B">
        <w:rPr>
          <w:sz w:val="20"/>
          <w:szCs w:val="20"/>
        </w:rPr>
        <w:lastRenderedPageBreak/>
        <w:t xml:space="preserve">World Bank (1996). </w:t>
      </w:r>
      <w:r w:rsidRPr="00AE5B0E">
        <w:rPr>
          <w:i/>
          <w:sz w:val="20"/>
          <w:szCs w:val="20"/>
        </w:rPr>
        <w:t>World Development Report,</w:t>
      </w:r>
      <w:r>
        <w:rPr>
          <w:sz w:val="20"/>
          <w:szCs w:val="20"/>
        </w:rPr>
        <w:t xml:space="preserve"> </w:t>
      </w:r>
      <w:r w:rsidRPr="00AE5B0E">
        <w:rPr>
          <w:sz w:val="20"/>
          <w:szCs w:val="20"/>
        </w:rPr>
        <w:t>996.</w:t>
      </w:r>
      <w:r w:rsidRPr="00B9649B">
        <w:rPr>
          <w:sz w:val="20"/>
          <w:szCs w:val="20"/>
        </w:rPr>
        <w:t xml:space="preserve"> </w:t>
      </w:r>
      <w:r w:rsidR="00A902C1" w:rsidRPr="00B9649B">
        <w:rPr>
          <w:sz w:val="20"/>
          <w:szCs w:val="20"/>
        </w:rPr>
        <w:t>New York</w:t>
      </w:r>
      <w:r w:rsidRPr="00B9649B">
        <w:rPr>
          <w:sz w:val="20"/>
          <w:szCs w:val="20"/>
        </w:rPr>
        <w:t xml:space="preserve">; Oxford University Press.        </w:t>
      </w:r>
      <w:r w:rsidRPr="00B9649B">
        <w:rPr>
          <w:sz w:val="20"/>
          <w:szCs w:val="20"/>
          <w:u w:val="single"/>
        </w:rPr>
        <w:t xml:space="preserve"> </w:t>
      </w:r>
    </w:p>
    <w:p w:rsidR="00AE5B0E" w:rsidRPr="00B9649B" w:rsidRDefault="00AE5B0E" w:rsidP="002D39C9">
      <w:pPr>
        <w:spacing w:line="360" w:lineRule="auto"/>
        <w:ind w:left="720" w:hanging="720"/>
        <w:jc w:val="both"/>
        <w:rPr>
          <w:sz w:val="20"/>
          <w:szCs w:val="20"/>
        </w:rPr>
      </w:pPr>
      <w:r w:rsidRPr="00B9649B">
        <w:rPr>
          <w:sz w:val="20"/>
          <w:szCs w:val="20"/>
        </w:rPr>
        <w:t xml:space="preserve">World Economic Forum (2010) Global gender gap </w:t>
      </w:r>
      <w:hyperlink r:id="rId8" w:history="1">
        <w:r w:rsidRPr="00B9649B">
          <w:rPr>
            <w:rStyle w:val="Hyperlink"/>
            <w:sz w:val="20"/>
            <w:szCs w:val="20"/>
          </w:rPr>
          <w:t>URL:http://www.weforum.org/issues/global-gender-gap</w:t>
        </w:r>
      </w:hyperlink>
      <w:r w:rsidRPr="00B9649B">
        <w:rPr>
          <w:sz w:val="20"/>
          <w:szCs w:val="20"/>
        </w:rPr>
        <w:t xml:space="preserve"> (Retrieved August10 2019) </w:t>
      </w:r>
    </w:p>
    <w:p w:rsidR="007F615F" w:rsidRPr="00F325EB" w:rsidRDefault="007F615F"/>
    <w:sectPr w:rsidR="007F615F" w:rsidRPr="00F325EB" w:rsidSect="00323635">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C2339"/>
    <w:multiLevelType w:val="hybridMultilevel"/>
    <w:tmpl w:val="BD40C880"/>
    <w:lvl w:ilvl="0" w:tplc="0409000F">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17340EC"/>
    <w:multiLevelType w:val="hybridMultilevel"/>
    <w:tmpl w:val="CE40E1D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46880839"/>
    <w:multiLevelType w:val="hybridMultilevel"/>
    <w:tmpl w:val="868E820E"/>
    <w:lvl w:ilvl="0" w:tplc="3D542AB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67929"/>
    <w:multiLevelType w:val="hybridMultilevel"/>
    <w:tmpl w:val="0B46DBF2"/>
    <w:lvl w:ilvl="0" w:tplc="654ED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A0079"/>
    <w:multiLevelType w:val="hybridMultilevel"/>
    <w:tmpl w:val="ABF0BAF0"/>
    <w:lvl w:ilvl="0" w:tplc="57AE20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E5B09"/>
    <w:multiLevelType w:val="hybridMultilevel"/>
    <w:tmpl w:val="604A623A"/>
    <w:lvl w:ilvl="0" w:tplc="37900050">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3158"/>
    <w:rsid w:val="00005B89"/>
    <w:rsid w:val="00015BFD"/>
    <w:rsid w:val="000407BD"/>
    <w:rsid w:val="0004624F"/>
    <w:rsid w:val="000968F0"/>
    <w:rsid w:val="000D169F"/>
    <w:rsid w:val="000D3F6F"/>
    <w:rsid w:val="000D3FBA"/>
    <w:rsid w:val="000D51FA"/>
    <w:rsid w:val="000E3804"/>
    <w:rsid w:val="000F636D"/>
    <w:rsid w:val="000F6392"/>
    <w:rsid w:val="00112088"/>
    <w:rsid w:val="00141EA6"/>
    <w:rsid w:val="00143435"/>
    <w:rsid w:val="0015235F"/>
    <w:rsid w:val="0016181A"/>
    <w:rsid w:val="00171C87"/>
    <w:rsid w:val="00173613"/>
    <w:rsid w:val="00174B1D"/>
    <w:rsid w:val="00174F3A"/>
    <w:rsid w:val="00175895"/>
    <w:rsid w:val="0018242F"/>
    <w:rsid w:val="00190498"/>
    <w:rsid w:val="00190E45"/>
    <w:rsid w:val="001B3158"/>
    <w:rsid w:val="001C2FDA"/>
    <w:rsid w:val="001C6015"/>
    <w:rsid w:val="001D1DEB"/>
    <w:rsid w:val="001D61A4"/>
    <w:rsid w:val="001F6814"/>
    <w:rsid w:val="0021032F"/>
    <w:rsid w:val="0022323A"/>
    <w:rsid w:val="00223C61"/>
    <w:rsid w:val="00236BD5"/>
    <w:rsid w:val="00237FC2"/>
    <w:rsid w:val="00271848"/>
    <w:rsid w:val="0028729F"/>
    <w:rsid w:val="0029162C"/>
    <w:rsid w:val="00293293"/>
    <w:rsid w:val="00295C14"/>
    <w:rsid w:val="002B6054"/>
    <w:rsid w:val="002B6F47"/>
    <w:rsid w:val="002D39C9"/>
    <w:rsid w:val="002D5846"/>
    <w:rsid w:val="002E68C1"/>
    <w:rsid w:val="002F0673"/>
    <w:rsid w:val="002F3392"/>
    <w:rsid w:val="00310423"/>
    <w:rsid w:val="00316236"/>
    <w:rsid w:val="00323635"/>
    <w:rsid w:val="00342E84"/>
    <w:rsid w:val="00356E03"/>
    <w:rsid w:val="00362ACC"/>
    <w:rsid w:val="00375506"/>
    <w:rsid w:val="00393BC4"/>
    <w:rsid w:val="003B0DDF"/>
    <w:rsid w:val="003C0153"/>
    <w:rsid w:val="003C4AEF"/>
    <w:rsid w:val="003F4A6B"/>
    <w:rsid w:val="00406BC7"/>
    <w:rsid w:val="00425C92"/>
    <w:rsid w:val="00431B64"/>
    <w:rsid w:val="004332DF"/>
    <w:rsid w:val="00433CA8"/>
    <w:rsid w:val="00437484"/>
    <w:rsid w:val="00445046"/>
    <w:rsid w:val="004614C1"/>
    <w:rsid w:val="0046729F"/>
    <w:rsid w:val="00476629"/>
    <w:rsid w:val="00482BE4"/>
    <w:rsid w:val="00485C4F"/>
    <w:rsid w:val="00495432"/>
    <w:rsid w:val="004B4A09"/>
    <w:rsid w:val="004D1BE9"/>
    <w:rsid w:val="004D339B"/>
    <w:rsid w:val="0051141A"/>
    <w:rsid w:val="005133B4"/>
    <w:rsid w:val="00523496"/>
    <w:rsid w:val="0054131B"/>
    <w:rsid w:val="005555C4"/>
    <w:rsid w:val="00575DAC"/>
    <w:rsid w:val="005872E4"/>
    <w:rsid w:val="005A06A5"/>
    <w:rsid w:val="005A6594"/>
    <w:rsid w:val="005B77E7"/>
    <w:rsid w:val="005D126E"/>
    <w:rsid w:val="005E51D5"/>
    <w:rsid w:val="005F248E"/>
    <w:rsid w:val="00614682"/>
    <w:rsid w:val="00616037"/>
    <w:rsid w:val="006279FA"/>
    <w:rsid w:val="00632D53"/>
    <w:rsid w:val="006424BB"/>
    <w:rsid w:val="00650687"/>
    <w:rsid w:val="00653730"/>
    <w:rsid w:val="006743D6"/>
    <w:rsid w:val="00685DC8"/>
    <w:rsid w:val="006A49A9"/>
    <w:rsid w:val="006B010F"/>
    <w:rsid w:val="006C0930"/>
    <w:rsid w:val="006D02B1"/>
    <w:rsid w:val="006E67D0"/>
    <w:rsid w:val="006F05F7"/>
    <w:rsid w:val="006F2750"/>
    <w:rsid w:val="006F3E56"/>
    <w:rsid w:val="007214B6"/>
    <w:rsid w:val="00755A12"/>
    <w:rsid w:val="007805A6"/>
    <w:rsid w:val="00792331"/>
    <w:rsid w:val="007A4987"/>
    <w:rsid w:val="007B2439"/>
    <w:rsid w:val="007C7907"/>
    <w:rsid w:val="007C7D57"/>
    <w:rsid w:val="007D0F98"/>
    <w:rsid w:val="007E110A"/>
    <w:rsid w:val="007F2253"/>
    <w:rsid w:val="007F615F"/>
    <w:rsid w:val="00811801"/>
    <w:rsid w:val="0082272F"/>
    <w:rsid w:val="00842631"/>
    <w:rsid w:val="008507A2"/>
    <w:rsid w:val="00855249"/>
    <w:rsid w:val="008E59DA"/>
    <w:rsid w:val="00902223"/>
    <w:rsid w:val="00911FE1"/>
    <w:rsid w:val="009139B1"/>
    <w:rsid w:val="00930497"/>
    <w:rsid w:val="00931C98"/>
    <w:rsid w:val="009348E5"/>
    <w:rsid w:val="0093668D"/>
    <w:rsid w:val="009504CD"/>
    <w:rsid w:val="00954E43"/>
    <w:rsid w:val="00955969"/>
    <w:rsid w:val="00974B0B"/>
    <w:rsid w:val="00995336"/>
    <w:rsid w:val="009A35D0"/>
    <w:rsid w:val="009E2B44"/>
    <w:rsid w:val="009E5EC1"/>
    <w:rsid w:val="00A054FB"/>
    <w:rsid w:val="00A16292"/>
    <w:rsid w:val="00A16D9B"/>
    <w:rsid w:val="00A17AA3"/>
    <w:rsid w:val="00A20EF4"/>
    <w:rsid w:val="00A32F21"/>
    <w:rsid w:val="00A34CD7"/>
    <w:rsid w:val="00A55A49"/>
    <w:rsid w:val="00A56B02"/>
    <w:rsid w:val="00A608AB"/>
    <w:rsid w:val="00A72F8D"/>
    <w:rsid w:val="00A82B5E"/>
    <w:rsid w:val="00A87A98"/>
    <w:rsid w:val="00A902C1"/>
    <w:rsid w:val="00AA06AF"/>
    <w:rsid w:val="00AB174A"/>
    <w:rsid w:val="00AB7F95"/>
    <w:rsid w:val="00AC022D"/>
    <w:rsid w:val="00AC4EE0"/>
    <w:rsid w:val="00AC6B57"/>
    <w:rsid w:val="00AD2B4C"/>
    <w:rsid w:val="00AE1D47"/>
    <w:rsid w:val="00AE2416"/>
    <w:rsid w:val="00AE49DB"/>
    <w:rsid w:val="00AE5B0E"/>
    <w:rsid w:val="00AE7FA1"/>
    <w:rsid w:val="00B01A24"/>
    <w:rsid w:val="00B02804"/>
    <w:rsid w:val="00B04D49"/>
    <w:rsid w:val="00B17B76"/>
    <w:rsid w:val="00B23630"/>
    <w:rsid w:val="00B267D9"/>
    <w:rsid w:val="00B33782"/>
    <w:rsid w:val="00B405FF"/>
    <w:rsid w:val="00B52DB8"/>
    <w:rsid w:val="00B7156C"/>
    <w:rsid w:val="00B87588"/>
    <w:rsid w:val="00B9649B"/>
    <w:rsid w:val="00B972C1"/>
    <w:rsid w:val="00BA00FF"/>
    <w:rsid w:val="00BF6CA5"/>
    <w:rsid w:val="00C33C0B"/>
    <w:rsid w:val="00C34B57"/>
    <w:rsid w:val="00C3654C"/>
    <w:rsid w:val="00C45DB8"/>
    <w:rsid w:val="00C54824"/>
    <w:rsid w:val="00C553B9"/>
    <w:rsid w:val="00C64809"/>
    <w:rsid w:val="00C82D8A"/>
    <w:rsid w:val="00C8362E"/>
    <w:rsid w:val="00C8618D"/>
    <w:rsid w:val="00CA457F"/>
    <w:rsid w:val="00CB7EDE"/>
    <w:rsid w:val="00CF2776"/>
    <w:rsid w:val="00D33015"/>
    <w:rsid w:val="00D34A58"/>
    <w:rsid w:val="00D371EA"/>
    <w:rsid w:val="00D55A7E"/>
    <w:rsid w:val="00D77442"/>
    <w:rsid w:val="00D83494"/>
    <w:rsid w:val="00D838AA"/>
    <w:rsid w:val="00D86126"/>
    <w:rsid w:val="00DA2EA9"/>
    <w:rsid w:val="00DD60ED"/>
    <w:rsid w:val="00DD74C9"/>
    <w:rsid w:val="00E0445C"/>
    <w:rsid w:val="00E06930"/>
    <w:rsid w:val="00E165FD"/>
    <w:rsid w:val="00E20F15"/>
    <w:rsid w:val="00E2627C"/>
    <w:rsid w:val="00E33C48"/>
    <w:rsid w:val="00E33FFC"/>
    <w:rsid w:val="00E6067A"/>
    <w:rsid w:val="00E6135A"/>
    <w:rsid w:val="00E6323C"/>
    <w:rsid w:val="00E66D24"/>
    <w:rsid w:val="00E67137"/>
    <w:rsid w:val="00E83B55"/>
    <w:rsid w:val="00E85D43"/>
    <w:rsid w:val="00E930C0"/>
    <w:rsid w:val="00E96C4C"/>
    <w:rsid w:val="00EB5B4E"/>
    <w:rsid w:val="00EC16B3"/>
    <w:rsid w:val="00EE0E2D"/>
    <w:rsid w:val="00F27011"/>
    <w:rsid w:val="00F325EB"/>
    <w:rsid w:val="00F35D8D"/>
    <w:rsid w:val="00F51032"/>
    <w:rsid w:val="00F54758"/>
    <w:rsid w:val="00F55C54"/>
    <w:rsid w:val="00F577BA"/>
    <w:rsid w:val="00F752FD"/>
    <w:rsid w:val="00FB3A7F"/>
    <w:rsid w:val="00FD0C8B"/>
    <w:rsid w:val="00FD2268"/>
    <w:rsid w:val="00FE3A85"/>
    <w:rsid w:val="00FE457C"/>
    <w:rsid w:val="00FF0EED"/>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8453"/>
  <w15:docId w15:val="{8A97527E-19B2-47B8-B7BB-6CB847EB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1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31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809"/>
    <w:pPr>
      <w:ind w:left="720"/>
      <w:contextualSpacing/>
    </w:pPr>
  </w:style>
  <w:style w:type="character" w:styleId="Hyperlink">
    <w:name w:val="Hyperlink"/>
    <w:basedOn w:val="DefaultParagraphFont"/>
    <w:uiPriority w:val="99"/>
    <w:unhideWhenUsed/>
    <w:rsid w:val="007C7907"/>
    <w:rPr>
      <w:color w:val="0000FF" w:themeColor="hyperlink"/>
      <w:u w:val="single"/>
    </w:rPr>
  </w:style>
  <w:style w:type="paragraph" w:customStyle="1" w:styleId="Default">
    <w:name w:val="Default"/>
    <w:rsid w:val="00911F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11319">
      <w:bodyDiv w:val="1"/>
      <w:marLeft w:val="0"/>
      <w:marRight w:val="0"/>
      <w:marTop w:val="0"/>
      <w:marBottom w:val="0"/>
      <w:divBdr>
        <w:top w:val="none" w:sz="0" w:space="0" w:color="auto"/>
        <w:left w:val="none" w:sz="0" w:space="0" w:color="auto"/>
        <w:bottom w:val="none" w:sz="0" w:space="0" w:color="auto"/>
        <w:right w:val="none" w:sz="0" w:space="0" w:color="auto"/>
      </w:divBdr>
    </w:div>
    <w:div w:id="21058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www.weforum.org/issues/global-gender-gap" TargetMode="External"/><Relationship Id="rId3" Type="http://schemas.openxmlformats.org/officeDocument/2006/relationships/settings" Target="settings.xml"/><Relationship Id="rId7" Type="http://schemas.openxmlformats.org/officeDocument/2006/relationships/hyperlink" Target="URL:http:/UNESDOC.unesco.org/images/0021/002155/215522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RL:http://www.unesco.org/education/educprog/wche/principal/womenhtml" TargetMode="External"/><Relationship Id="rId5" Type="http://schemas.openxmlformats.org/officeDocument/2006/relationships/hyperlink" Target="URL:http://www.esu.online.org/newsarticle6064/1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2139</TotalTime>
  <Pages>11</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Links>
    <vt:vector size="24" baseType="variant">
      <vt:variant>
        <vt:i4>4128889</vt:i4>
      </vt:variant>
      <vt:variant>
        <vt:i4>9</vt:i4>
      </vt:variant>
      <vt:variant>
        <vt:i4>0</vt:i4>
      </vt:variant>
      <vt:variant>
        <vt:i4>5</vt:i4>
      </vt:variant>
      <vt:variant>
        <vt:lpwstr>http://www.weforum.org/issues/global-gender-gap</vt:lpwstr>
      </vt:variant>
      <vt:variant>
        <vt:lpwstr/>
      </vt:variant>
      <vt:variant>
        <vt:i4>2752625</vt:i4>
      </vt:variant>
      <vt:variant>
        <vt:i4>6</vt:i4>
      </vt:variant>
      <vt:variant>
        <vt:i4>0</vt:i4>
      </vt:variant>
      <vt:variant>
        <vt:i4>5</vt:i4>
      </vt:variant>
      <vt:variant>
        <vt:lpwstr>http:/UNESDOC.unesco.org/images/0021/002155/215522E.pdf</vt:lpwstr>
      </vt:variant>
      <vt:variant>
        <vt:lpwstr/>
      </vt:variant>
      <vt:variant>
        <vt:i4>917532</vt:i4>
      </vt:variant>
      <vt:variant>
        <vt:i4>3</vt:i4>
      </vt:variant>
      <vt:variant>
        <vt:i4>0</vt:i4>
      </vt:variant>
      <vt:variant>
        <vt:i4>5</vt:i4>
      </vt:variant>
      <vt:variant>
        <vt:lpwstr>http://www.unesco.org/education/educprog/wche/principal/womenhtml</vt:lpwstr>
      </vt:variant>
      <vt:variant>
        <vt:lpwstr/>
      </vt:variant>
      <vt:variant>
        <vt:i4>7602280</vt:i4>
      </vt:variant>
      <vt:variant>
        <vt:i4>0</vt:i4>
      </vt:variant>
      <vt:variant>
        <vt:i4>0</vt:i4>
      </vt:variant>
      <vt:variant>
        <vt:i4>5</vt:i4>
      </vt:variant>
      <vt:variant>
        <vt:lpwstr>http://www.esu.online.org/newsarticle6064/100/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MRS ANN ASUQUO</dc:creator>
  <cp:lastModifiedBy>PINK COMPUTERS</cp:lastModifiedBy>
  <cp:revision>59</cp:revision>
  <cp:lastPrinted>2019-08-17T15:00:00Z</cp:lastPrinted>
  <dcterms:created xsi:type="dcterms:W3CDTF">2019-07-02T12:56:00Z</dcterms:created>
  <dcterms:modified xsi:type="dcterms:W3CDTF">2023-08-08T16:14:00Z</dcterms:modified>
</cp:coreProperties>
</file>