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D01EE" w14:textId="5C576AD2" w:rsidR="00DC67A5" w:rsidRPr="00AB1D33" w:rsidRDefault="00AB1D33" w:rsidP="00BC1138">
      <w:pPr>
        <w:spacing w:line="480" w:lineRule="auto"/>
        <w:rPr>
          <w:rFonts w:ascii="Garamond" w:hAnsi="Garamond"/>
        </w:rPr>
      </w:pPr>
      <w:r w:rsidRPr="00AB1D33">
        <w:rPr>
          <w:rFonts w:ascii="Garamond" w:hAnsi="Garamond"/>
        </w:rPr>
        <w:t xml:space="preserve">Don Garrett, </w:t>
      </w:r>
      <w:r w:rsidRPr="00AB1D33">
        <w:rPr>
          <w:rFonts w:ascii="Garamond" w:hAnsi="Garamond"/>
          <w:i/>
          <w:iCs/>
        </w:rPr>
        <w:t>Nature and Necessity in Spinoza’s Philosophy</w:t>
      </w:r>
      <w:r w:rsidRPr="00AB1D33">
        <w:rPr>
          <w:rFonts w:ascii="Garamond" w:hAnsi="Garamond"/>
        </w:rPr>
        <w:t>.</w:t>
      </w:r>
    </w:p>
    <w:p w14:paraId="19BC10CC" w14:textId="1969058C" w:rsidR="00AB1D33" w:rsidRPr="00AB1D33" w:rsidRDefault="00AB1D33" w:rsidP="00BC1138">
      <w:pPr>
        <w:spacing w:line="480" w:lineRule="auto"/>
        <w:rPr>
          <w:rFonts w:ascii="Garamond" w:hAnsi="Garamond"/>
        </w:rPr>
      </w:pPr>
      <w:r w:rsidRPr="00AB1D33">
        <w:rPr>
          <w:rFonts w:ascii="Garamond" w:hAnsi="Garamond"/>
        </w:rPr>
        <w:t>New York, Oxford University Press, 2018, xiv+533 pp.</w:t>
      </w:r>
    </w:p>
    <w:p w14:paraId="662ED408" w14:textId="2F49C127" w:rsidR="00415719" w:rsidRDefault="00415719" w:rsidP="00BC1138">
      <w:pPr>
        <w:spacing w:line="480" w:lineRule="auto"/>
      </w:pPr>
    </w:p>
    <w:p w14:paraId="7104BF53" w14:textId="1ED7A383" w:rsidR="00AB1D33" w:rsidRDefault="00AB1D33" w:rsidP="00D36CE2">
      <w:pPr>
        <w:spacing w:line="480" w:lineRule="auto"/>
        <w:jc w:val="both"/>
        <w:rPr>
          <w:rFonts w:ascii="Garamond" w:hAnsi="Garamond"/>
        </w:rPr>
      </w:pPr>
      <w:r w:rsidRPr="00AB1D33">
        <w:rPr>
          <w:rFonts w:ascii="Garamond" w:hAnsi="Garamond"/>
        </w:rPr>
        <w:t xml:space="preserve">The </w:t>
      </w:r>
      <w:r>
        <w:rPr>
          <w:rFonts w:ascii="Garamond" w:hAnsi="Garamond"/>
        </w:rPr>
        <w:t xml:space="preserve">publication of Garrett’s </w:t>
      </w:r>
      <w:r w:rsidRPr="00AB1D33">
        <w:rPr>
          <w:rFonts w:ascii="Garamond" w:hAnsi="Garamond"/>
          <w:i/>
          <w:iCs/>
        </w:rPr>
        <w:t>Nature and Necessity in Spinoza’s Philosophy</w:t>
      </w:r>
      <w:r>
        <w:rPr>
          <w:rFonts w:ascii="Garamond" w:hAnsi="Garamond"/>
        </w:rPr>
        <w:t xml:space="preserve"> is a major event in the study of modern philosophy and Spinoza</w:t>
      </w:r>
      <w:r w:rsidR="00822E32" w:rsidRPr="00822E32">
        <w:rPr>
          <w:rFonts w:ascii="Garamond" w:hAnsi="Garamond"/>
        </w:rPr>
        <w:t xml:space="preserve"> </w:t>
      </w:r>
      <w:r w:rsidR="00822E32">
        <w:rPr>
          <w:rFonts w:ascii="Garamond" w:hAnsi="Garamond"/>
        </w:rPr>
        <w:t>in particular</w:t>
      </w:r>
      <w:r>
        <w:rPr>
          <w:rFonts w:ascii="Garamond" w:hAnsi="Garamond"/>
        </w:rPr>
        <w:t xml:space="preserve">. The book collects most of Garrett’s articles on Spinoza which appeared </w:t>
      </w:r>
      <w:r w:rsidR="00C121CF">
        <w:rPr>
          <w:rFonts w:ascii="Garamond" w:hAnsi="Garamond"/>
        </w:rPr>
        <w:t>between</w:t>
      </w:r>
      <w:r>
        <w:rPr>
          <w:rFonts w:ascii="Garamond" w:hAnsi="Garamond"/>
        </w:rPr>
        <w:t xml:space="preserve"> 1979 </w:t>
      </w:r>
      <w:r w:rsidR="00C121CF">
        <w:rPr>
          <w:rFonts w:ascii="Garamond" w:hAnsi="Garamond"/>
        </w:rPr>
        <w:t>and</w:t>
      </w:r>
      <w:r>
        <w:rPr>
          <w:rFonts w:ascii="Garamond" w:hAnsi="Garamond"/>
        </w:rPr>
        <w:t xml:space="preserve"> 2017.</w:t>
      </w:r>
      <w:r w:rsidR="00F13680">
        <w:rPr>
          <w:rFonts w:ascii="Garamond" w:hAnsi="Garamond"/>
        </w:rPr>
        <w:t xml:space="preserve"> During these four decades the study of Spinoza </w:t>
      </w:r>
      <w:r w:rsidR="00822E32">
        <w:rPr>
          <w:rFonts w:ascii="Garamond" w:hAnsi="Garamond"/>
        </w:rPr>
        <w:t xml:space="preserve">in the Anglo-American world </w:t>
      </w:r>
      <w:r w:rsidR="002A5766">
        <w:rPr>
          <w:rFonts w:ascii="Garamond" w:hAnsi="Garamond"/>
        </w:rPr>
        <w:t>has undergone</w:t>
      </w:r>
      <w:r w:rsidR="00F13680">
        <w:rPr>
          <w:rFonts w:ascii="Garamond" w:hAnsi="Garamond"/>
        </w:rPr>
        <w:t xml:space="preserve"> a dramatic transformation, as the previously disreputabl</w:t>
      </w:r>
      <w:r w:rsidR="002A5766">
        <w:rPr>
          <w:rFonts w:ascii="Garamond" w:hAnsi="Garamond"/>
        </w:rPr>
        <w:t>e and poorly understood</w:t>
      </w:r>
      <w:r w:rsidR="00F13680">
        <w:rPr>
          <w:rFonts w:ascii="Garamond" w:hAnsi="Garamond"/>
        </w:rPr>
        <w:t xml:space="preserve"> metaphysician </w:t>
      </w:r>
      <w:r w:rsidR="002A5766">
        <w:rPr>
          <w:rFonts w:ascii="Garamond" w:hAnsi="Garamond"/>
        </w:rPr>
        <w:t xml:space="preserve">has </w:t>
      </w:r>
      <w:r w:rsidR="00F13680">
        <w:rPr>
          <w:rFonts w:ascii="Garamond" w:hAnsi="Garamond"/>
        </w:rPr>
        <w:t>acquired preeminence</w:t>
      </w:r>
      <w:r w:rsidR="008112EF">
        <w:rPr>
          <w:rFonts w:ascii="Garamond" w:hAnsi="Garamond"/>
        </w:rPr>
        <w:t xml:space="preserve"> and wide respect as a highly original, systematic, and audacious thinker</w:t>
      </w:r>
      <w:r w:rsidR="00135A8B">
        <w:rPr>
          <w:rFonts w:ascii="Garamond" w:hAnsi="Garamond"/>
        </w:rPr>
        <w:t xml:space="preserve">. Currently, </w:t>
      </w:r>
      <w:r w:rsidR="00750267">
        <w:rPr>
          <w:rFonts w:ascii="Garamond" w:hAnsi="Garamond"/>
        </w:rPr>
        <w:t xml:space="preserve">the study of </w:t>
      </w:r>
      <w:r w:rsidR="00135A8B">
        <w:rPr>
          <w:rFonts w:ascii="Garamond" w:hAnsi="Garamond"/>
        </w:rPr>
        <w:t>Spinoza appears to be the most thriving</w:t>
      </w:r>
      <w:r w:rsidR="00701A18">
        <w:rPr>
          <w:rFonts w:ascii="Garamond" w:hAnsi="Garamond"/>
        </w:rPr>
        <w:t xml:space="preserve"> </w:t>
      </w:r>
      <w:r w:rsidR="00135A8B">
        <w:rPr>
          <w:rFonts w:ascii="Garamond" w:hAnsi="Garamond"/>
        </w:rPr>
        <w:t>and innovativ</w:t>
      </w:r>
      <w:r w:rsidR="002A5766">
        <w:rPr>
          <w:rFonts w:ascii="Garamond" w:hAnsi="Garamond"/>
        </w:rPr>
        <w:t xml:space="preserve">e </w:t>
      </w:r>
      <w:r w:rsidR="00BD74DC">
        <w:rPr>
          <w:rFonts w:ascii="Garamond" w:hAnsi="Garamond"/>
        </w:rPr>
        <w:t xml:space="preserve">of </w:t>
      </w:r>
      <w:r w:rsidR="002A5766">
        <w:rPr>
          <w:rFonts w:ascii="Garamond" w:hAnsi="Garamond"/>
        </w:rPr>
        <w:t xml:space="preserve">subfield </w:t>
      </w:r>
      <w:r w:rsidR="00135A8B">
        <w:rPr>
          <w:rFonts w:ascii="Garamond" w:hAnsi="Garamond"/>
        </w:rPr>
        <w:t xml:space="preserve">within the </w:t>
      </w:r>
      <w:r w:rsidR="000E1A28">
        <w:rPr>
          <w:rFonts w:ascii="Garamond" w:hAnsi="Garamond"/>
        </w:rPr>
        <w:t xml:space="preserve">wider </w:t>
      </w:r>
      <w:r w:rsidR="00135A8B">
        <w:rPr>
          <w:rFonts w:ascii="Garamond" w:hAnsi="Garamond"/>
        </w:rPr>
        <w:t xml:space="preserve">discipline of the history of philosophy. Garrett deserves </w:t>
      </w:r>
      <w:r w:rsidR="00EE6885">
        <w:rPr>
          <w:rFonts w:ascii="Garamond" w:hAnsi="Garamond"/>
        </w:rPr>
        <w:t xml:space="preserve">a significant part </w:t>
      </w:r>
      <w:bookmarkStart w:id="0" w:name="_GoBack"/>
      <w:bookmarkEnd w:id="0"/>
      <w:r w:rsidR="00135A8B">
        <w:rPr>
          <w:rFonts w:ascii="Garamond" w:hAnsi="Garamond"/>
        </w:rPr>
        <w:t>of the credit for th</w:t>
      </w:r>
      <w:r w:rsidR="00822E32">
        <w:rPr>
          <w:rFonts w:ascii="Garamond" w:hAnsi="Garamond"/>
          <w:lang w:bidi="he-IL"/>
        </w:rPr>
        <w:t>is</w:t>
      </w:r>
      <w:r w:rsidR="00135A8B">
        <w:rPr>
          <w:rFonts w:ascii="Garamond" w:hAnsi="Garamond"/>
        </w:rPr>
        <w:t xml:space="preserve"> </w:t>
      </w:r>
      <w:r w:rsidR="008112EF">
        <w:rPr>
          <w:rFonts w:ascii="Garamond" w:hAnsi="Garamond"/>
        </w:rPr>
        <w:t xml:space="preserve">present </w:t>
      </w:r>
      <w:r w:rsidR="00135A8B">
        <w:rPr>
          <w:rFonts w:ascii="Garamond" w:hAnsi="Garamond"/>
        </w:rPr>
        <w:t>state of affairs</w:t>
      </w:r>
      <w:r w:rsidR="002A5766">
        <w:rPr>
          <w:rFonts w:ascii="Garamond" w:hAnsi="Garamond"/>
        </w:rPr>
        <w:t>,</w:t>
      </w:r>
      <w:r w:rsidR="00135A8B">
        <w:rPr>
          <w:rFonts w:ascii="Garamond" w:hAnsi="Garamond"/>
        </w:rPr>
        <w:t xml:space="preserve"> due </w:t>
      </w:r>
      <w:r w:rsidR="002A5766">
        <w:rPr>
          <w:rFonts w:ascii="Garamond" w:hAnsi="Garamond"/>
        </w:rPr>
        <w:t>both to</w:t>
      </w:r>
      <w:r w:rsidR="00135A8B">
        <w:rPr>
          <w:rFonts w:ascii="Garamond" w:hAnsi="Garamond"/>
        </w:rPr>
        <w:t xml:space="preserve"> his outstanding scholarship and </w:t>
      </w:r>
      <w:r w:rsidR="002A5766">
        <w:rPr>
          <w:rFonts w:ascii="Garamond" w:hAnsi="Garamond"/>
        </w:rPr>
        <w:t>to his</w:t>
      </w:r>
      <w:r w:rsidR="00135A8B">
        <w:rPr>
          <w:rFonts w:ascii="Garamond" w:hAnsi="Garamond"/>
        </w:rPr>
        <w:t xml:space="preserve"> influential </w:t>
      </w:r>
      <w:r w:rsidR="002A5766">
        <w:rPr>
          <w:rFonts w:ascii="Garamond" w:hAnsi="Garamond"/>
        </w:rPr>
        <w:t xml:space="preserve">mentorship </w:t>
      </w:r>
      <w:r w:rsidR="00135A8B">
        <w:rPr>
          <w:rFonts w:ascii="Garamond" w:hAnsi="Garamond"/>
        </w:rPr>
        <w:t>and support of young</w:t>
      </w:r>
      <w:r w:rsidR="002A5766">
        <w:rPr>
          <w:rFonts w:ascii="Garamond" w:hAnsi="Garamond"/>
        </w:rPr>
        <w:t>er</w:t>
      </w:r>
      <w:r w:rsidR="00135A8B">
        <w:rPr>
          <w:rFonts w:ascii="Garamond" w:hAnsi="Garamond"/>
        </w:rPr>
        <w:t xml:space="preserve"> scholars.</w:t>
      </w:r>
    </w:p>
    <w:p w14:paraId="71D9E13A" w14:textId="6A37374E" w:rsidR="00AE386D" w:rsidRDefault="00AE386D" w:rsidP="00D36CE2">
      <w:pPr>
        <w:spacing w:line="480" w:lineRule="auto"/>
        <w:jc w:val="both"/>
        <w:rPr>
          <w:rFonts w:ascii="Garamond" w:hAnsi="Garamond"/>
        </w:rPr>
      </w:pPr>
      <w:r>
        <w:rPr>
          <w:rFonts w:ascii="Garamond" w:hAnsi="Garamond"/>
        </w:rPr>
        <w:tab/>
        <w:t xml:space="preserve">In </w:t>
      </w:r>
      <w:r w:rsidR="00520853">
        <w:rPr>
          <w:rFonts w:ascii="Garamond" w:hAnsi="Garamond"/>
        </w:rPr>
        <w:t xml:space="preserve">his </w:t>
      </w:r>
      <w:r>
        <w:rPr>
          <w:rFonts w:ascii="Garamond" w:hAnsi="Garamond"/>
        </w:rPr>
        <w:t>introduction, Garrett</w:t>
      </w:r>
      <w:r w:rsidR="005E2C9D">
        <w:rPr>
          <w:rFonts w:ascii="Garamond" w:hAnsi="Garamond"/>
        </w:rPr>
        <w:t xml:space="preserve"> </w:t>
      </w:r>
      <w:r w:rsidR="00BD74DC">
        <w:rPr>
          <w:rFonts w:ascii="Garamond" w:hAnsi="Garamond"/>
        </w:rPr>
        <w:t xml:space="preserve">identifies </w:t>
      </w:r>
      <w:r w:rsidR="005E2C9D">
        <w:rPr>
          <w:rFonts w:ascii="Garamond" w:hAnsi="Garamond"/>
        </w:rPr>
        <w:t xml:space="preserve">the </w:t>
      </w:r>
      <w:r w:rsidR="00E43DF0">
        <w:rPr>
          <w:rFonts w:ascii="Garamond" w:hAnsi="Garamond"/>
        </w:rPr>
        <w:t xml:space="preserve">problem-driven </w:t>
      </w:r>
      <w:r w:rsidR="005E2C9D">
        <w:rPr>
          <w:rFonts w:ascii="Garamond" w:hAnsi="Garamond"/>
        </w:rPr>
        <w:t>common feature of the eighteen studies compris</w:t>
      </w:r>
      <w:r w:rsidR="00E43DF0">
        <w:rPr>
          <w:rFonts w:ascii="Garamond" w:hAnsi="Garamond"/>
        </w:rPr>
        <w:t>ing</w:t>
      </w:r>
      <w:r w:rsidR="005E2C9D">
        <w:rPr>
          <w:rFonts w:ascii="Garamond" w:hAnsi="Garamond"/>
        </w:rPr>
        <w:t xml:space="preserve"> the book: “all are intended, at least in large part, to resolve challenging and central problems in the interpretation of Spinoza’s difficult </w:t>
      </w:r>
      <w:r w:rsidR="005822B4">
        <w:rPr>
          <w:rFonts w:ascii="Garamond" w:hAnsi="Garamond"/>
        </w:rPr>
        <w:t>b</w:t>
      </w:r>
      <w:r w:rsidR="005E2C9D">
        <w:rPr>
          <w:rFonts w:ascii="Garamond" w:hAnsi="Garamond"/>
        </w:rPr>
        <w:t>ut important philosophy” (3). Regardless of whether one agree</w:t>
      </w:r>
      <w:r w:rsidR="00FC2BF9">
        <w:rPr>
          <w:rFonts w:ascii="Garamond" w:hAnsi="Garamond"/>
        </w:rPr>
        <w:t>s</w:t>
      </w:r>
      <w:r w:rsidR="005E2C9D">
        <w:rPr>
          <w:rFonts w:ascii="Garamond" w:hAnsi="Garamond"/>
        </w:rPr>
        <w:t xml:space="preserve"> with Garrett’s solutions to the deep challenges he attempts to solve, each and every study in this volume is a </w:t>
      </w:r>
      <w:r w:rsidR="00FC2BF9">
        <w:rPr>
          <w:rFonts w:ascii="Garamond" w:hAnsi="Garamond"/>
        </w:rPr>
        <w:t xml:space="preserve">real </w:t>
      </w:r>
      <w:r w:rsidR="005E2C9D">
        <w:rPr>
          <w:rFonts w:ascii="Garamond" w:hAnsi="Garamond"/>
        </w:rPr>
        <w:t xml:space="preserve">gem which requires repeated reading before evaluation. Four of the studies are accompanied by </w:t>
      </w:r>
      <w:r w:rsidR="005822B4">
        <w:rPr>
          <w:rFonts w:ascii="Garamond" w:hAnsi="Garamond"/>
        </w:rPr>
        <w:t xml:space="preserve">postscripts in which Garrett responds to critiques but also </w:t>
      </w:r>
      <w:r w:rsidR="00FC2BF9">
        <w:rPr>
          <w:rFonts w:ascii="Garamond" w:hAnsi="Garamond"/>
        </w:rPr>
        <w:t xml:space="preserve">makes </w:t>
      </w:r>
      <w:r w:rsidR="005822B4">
        <w:rPr>
          <w:rFonts w:ascii="Garamond" w:hAnsi="Garamond"/>
        </w:rPr>
        <w:t xml:space="preserve">crucial and astute revisions of his </w:t>
      </w:r>
      <w:r w:rsidR="00FC2BF9">
        <w:rPr>
          <w:rFonts w:ascii="Garamond" w:hAnsi="Garamond"/>
        </w:rPr>
        <w:t xml:space="preserve">previous </w:t>
      </w:r>
      <w:r w:rsidR="005822B4">
        <w:rPr>
          <w:rFonts w:ascii="Garamond" w:hAnsi="Garamond"/>
        </w:rPr>
        <w:t>views. Taken together</w:t>
      </w:r>
      <w:r w:rsidR="000F2170">
        <w:rPr>
          <w:rFonts w:ascii="Garamond" w:hAnsi="Garamond"/>
        </w:rPr>
        <w:t>,</w:t>
      </w:r>
      <w:r w:rsidR="005822B4">
        <w:rPr>
          <w:rFonts w:ascii="Garamond" w:hAnsi="Garamond"/>
        </w:rPr>
        <w:t xml:space="preserve"> the articles and pos</w:t>
      </w:r>
      <w:r w:rsidR="000F2170">
        <w:rPr>
          <w:rFonts w:ascii="Garamond" w:hAnsi="Garamond"/>
        </w:rPr>
        <w:t xml:space="preserve">tscripts provide a panoramic perspective on Spinoza’s philosophy as a whole, </w:t>
      </w:r>
      <w:r w:rsidR="000E1A28">
        <w:rPr>
          <w:rFonts w:ascii="Garamond" w:hAnsi="Garamond"/>
        </w:rPr>
        <w:t xml:space="preserve">as well as </w:t>
      </w:r>
      <w:r w:rsidR="000F2170">
        <w:rPr>
          <w:rFonts w:ascii="Garamond" w:hAnsi="Garamond"/>
        </w:rPr>
        <w:t>current</w:t>
      </w:r>
      <w:r w:rsidR="00822E32">
        <w:rPr>
          <w:rFonts w:ascii="Garamond" w:hAnsi="Garamond"/>
        </w:rPr>
        <w:t>, cutting-edge</w:t>
      </w:r>
      <w:r w:rsidR="000F2170">
        <w:rPr>
          <w:rFonts w:ascii="Garamond" w:hAnsi="Garamond"/>
        </w:rPr>
        <w:t xml:space="preserve"> research agenda</w:t>
      </w:r>
      <w:r w:rsidR="00181AF1">
        <w:rPr>
          <w:rFonts w:ascii="Garamond" w:hAnsi="Garamond"/>
        </w:rPr>
        <w:t>s</w:t>
      </w:r>
      <w:r w:rsidR="000F2170">
        <w:rPr>
          <w:rFonts w:ascii="Garamond" w:hAnsi="Garamond"/>
        </w:rPr>
        <w:t xml:space="preserve"> </w:t>
      </w:r>
      <w:r w:rsidR="00181AF1">
        <w:rPr>
          <w:rFonts w:ascii="Garamond" w:hAnsi="Garamond"/>
        </w:rPr>
        <w:t>concerning each of i</w:t>
      </w:r>
      <w:r w:rsidR="002A6C64">
        <w:rPr>
          <w:rFonts w:ascii="Garamond" w:hAnsi="Garamond"/>
        </w:rPr>
        <w:t>t</w:t>
      </w:r>
      <w:r w:rsidR="00181AF1">
        <w:rPr>
          <w:rFonts w:ascii="Garamond" w:hAnsi="Garamond"/>
        </w:rPr>
        <w:t>s aspects</w:t>
      </w:r>
      <w:r w:rsidR="000F2170">
        <w:rPr>
          <w:rFonts w:ascii="Garamond" w:hAnsi="Garamond"/>
        </w:rPr>
        <w:t>.</w:t>
      </w:r>
    </w:p>
    <w:p w14:paraId="453C8DC2" w14:textId="1485FD8D" w:rsidR="000F2170" w:rsidRDefault="000F2170" w:rsidP="00D36CE2">
      <w:pPr>
        <w:spacing w:line="480" w:lineRule="auto"/>
        <w:jc w:val="both"/>
        <w:rPr>
          <w:rFonts w:ascii="Garamond" w:hAnsi="Garamond"/>
        </w:rPr>
      </w:pPr>
      <w:r>
        <w:rPr>
          <w:rFonts w:ascii="Garamond" w:hAnsi="Garamond"/>
        </w:rPr>
        <w:lastRenderedPageBreak/>
        <w:tab/>
      </w:r>
      <w:r w:rsidR="009E023D">
        <w:rPr>
          <w:rFonts w:ascii="Garamond" w:hAnsi="Garamond"/>
        </w:rPr>
        <w:t>F</w:t>
      </w:r>
      <w:r w:rsidR="008112EF">
        <w:rPr>
          <w:rFonts w:ascii="Garamond" w:hAnsi="Garamond"/>
        </w:rPr>
        <w:t xml:space="preserve">ollowing an introductory essay which provides an overview of Spinoza’s </w:t>
      </w:r>
      <w:r w:rsidR="002A6C64">
        <w:rPr>
          <w:rFonts w:ascii="Garamond" w:hAnsi="Garamond"/>
        </w:rPr>
        <w:t>“</w:t>
      </w:r>
      <w:r w:rsidR="008112EF">
        <w:rPr>
          <w:rFonts w:ascii="Garamond" w:hAnsi="Garamond"/>
        </w:rPr>
        <w:t>metaphysics of blessedness</w:t>
      </w:r>
      <w:r w:rsidR="009E023D">
        <w:rPr>
          <w:rFonts w:ascii="Garamond" w:hAnsi="Garamond"/>
        </w:rPr>
        <w:t>,</w:t>
      </w:r>
      <w:r w:rsidR="002A6C64">
        <w:rPr>
          <w:rFonts w:ascii="Garamond" w:hAnsi="Garamond"/>
        </w:rPr>
        <w:t>”</w:t>
      </w:r>
      <w:r w:rsidR="009E023D" w:rsidRPr="009E023D">
        <w:rPr>
          <w:rFonts w:ascii="Garamond" w:hAnsi="Garamond"/>
        </w:rPr>
        <w:t xml:space="preserve"> </w:t>
      </w:r>
      <w:r w:rsidR="009E023D">
        <w:rPr>
          <w:rFonts w:ascii="Garamond" w:hAnsi="Garamond"/>
        </w:rPr>
        <w:t xml:space="preserve">the </w:t>
      </w:r>
      <w:r w:rsidR="00822E32">
        <w:rPr>
          <w:rFonts w:ascii="Garamond" w:hAnsi="Garamond"/>
        </w:rPr>
        <w:t xml:space="preserve">rest of the </w:t>
      </w:r>
      <w:r w:rsidR="009E023D">
        <w:rPr>
          <w:rFonts w:ascii="Garamond" w:hAnsi="Garamond"/>
        </w:rPr>
        <w:t>volume is divided into six sections</w:t>
      </w:r>
      <w:r>
        <w:rPr>
          <w:rFonts w:ascii="Garamond" w:hAnsi="Garamond"/>
        </w:rPr>
        <w:t>.</w:t>
      </w:r>
      <w:r w:rsidR="004D6451">
        <w:rPr>
          <w:rFonts w:ascii="Garamond" w:hAnsi="Garamond"/>
        </w:rPr>
        <w:t xml:space="preserve"> The first </w:t>
      </w:r>
      <w:r w:rsidR="009E023D">
        <w:rPr>
          <w:rFonts w:ascii="Garamond" w:hAnsi="Garamond"/>
        </w:rPr>
        <w:t xml:space="preserve">section </w:t>
      </w:r>
      <w:r w:rsidR="004D6451">
        <w:rPr>
          <w:rFonts w:ascii="Garamond" w:hAnsi="Garamond"/>
        </w:rPr>
        <w:t>contains Garrett’s seminal studies of Spinoza’s proof</w:t>
      </w:r>
      <w:r w:rsidR="007A661A">
        <w:rPr>
          <w:rFonts w:ascii="Garamond" w:hAnsi="Garamond"/>
        </w:rPr>
        <w:t>s</w:t>
      </w:r>
      <w:r w:rsidR="004D6451">
        <w:rPr>
          <w:rFonts w:ascii="Garamond" w:hAnsi="Garamond"/>
        </w:rPr>
        <w:t xml:space="preserve"> of God’s existence</w:t>
      </w:r>
      <w:r w:rsidR="009E023D">
        <w:rPr>
          <w:rFonts w:ascii="Garamond" w:hAnsi="Garamond"/>
        </w:rPr>
        <w:t xml:space="preserve"> (Ch. 2)</w:t>
      </w:r>
      <w:r w:rsidR="004D6451">
        <w:rPr>
          <w:rFonts w:ascii="Garamond" w:hAnsi="Garamond"/>
        </w:rPr>
        <w:t xml:space="preserve">, and </w:t>
      </w:r>
      <w:r w:rsidR="0012059A">
        <w:rPr>
          <w:rFonts w:ascii="Garamond" w:hAnsi="Garamond"/>
        </w:rPr>
        <w:t xml:space="preserve">Spinoza's </w:t>
      </w:r>
      <w:r w:rsidR="004D6451">
        <w:rPr>
          <w:rFonts w:ascii="Garamond" w:hAnsi="Garamond"/>
        </w:rPr>
        <w:t>necessitarianism</w:t>
      </w:r>
      <w:r w:rsidR="009E023D">
        <w:rPr>
          <w:rFonts w:ascii="Garamond" w:hAnsi="Garamond"/>
        </w:rPr>
        <w:t xml:space="preserve"> (Ch. 3)</w:t>
      </w:r>
      <w:r w:rsidR="004D6451">
        <w:rPr>
          <w:rFonts w:ascii="Garamond" w:hAnsi="Garamond"/>
        </w:rPr>
        <w:t>, as well as a</w:t>
      </w:r>
      <w:r w:rsidR="009E023D">
        <w:rPr>
          <w:rFonts w:ascii="Garamond" w:hAnsi="Garamond"/>
        </w:rPr>
        <w:t xml:space="preserve"> high-resolution examination of a</w:t>
      </w:r>
      <w:r w:rsidR="004D6451">
        <w:rPr>
          <w:rFonts w:ascii="Garamond" w:hAnsi="Garamond"/>
        </w:rPr>
        <w:t xml:space="preserve"> crucial link</w:t>
      </w:r>
      <w:r w:rsidR="00D36CE2">
        <w:rPr>
          <w:rFonts w:ascii="Garamond" w:hAnsi="Garamond"/>
        </w:rPr>
        <w:t xml:space="preserve"> (E1p5</w:t>
      </w:r>
      <w:r w:rsidR="00E43DF0">
        <w:rPr>
          <w:rStyle w:val="FootnoteReference"/>
          <w:rFonts w:ascii="Garamond" w:hAnsi="Garamond"/>
        </w:rPr>
        <w:footnoteReference w:id="1"/>
      </w:r>
      <w:r w:rsidR="00D36CE2">
        <w:rPr>
          <w:rFonts w:ascii="Garamond" w:hAnsi="Garamond"/>
        </w:rPr>
        <w:t>)</w:t>
      </w:r>
      <w:r w:rsidR="004D6451">
        <w:rPr>
          <w:rFonts w:ascii="Garamond" w:hAnsi="Garamond"/>
        </w:rPr>
        <w:t xml:space="preserve"> in </w:t>
      </w:r>
      <w:r w:rsidR="00225AB8">
        <w:rPr>
          <w:rFonts w:ascii="Garamond" w:hAnsi="Garamond"/>
        </w:rPr>
        <w:t>a</w:t>
      </w:r>
      <w:r w:rsidR="004D6451">
        <w:rPr>
          <w:rFonts w:ascii="Garamond" w:hAnsi="Garamond"/>
        </w:rPr>
        <w:t xml:space="preserve"> proof</w:t>
      </w:r>
      <w:r w:rsidR="0012059A">
        <w:rPr>
          <w:rFonts w:ascii="Garamond" w:hAnsi="Garamond"/>
        </w:rPr>
        <w:t xml:space="preserve"> of God</w:t>
      </w:r>
      <w:r w:rsidR="002A6C64">
        <w:rPr>
          <w:rFonts w:ascii="Garamond" w:hAnsi="Garamond"/>
        </w:rPr>
        <w:t>’</w:t>
      </w:r>
      <w:r w:rsidR="0012059A">
        <w:rPr>
          <w:rFonts w:ascii="Garamond" w:hAnsi="Garamond"/>
        </w:rPr>
        <w:t>s existence that has</w:t>
      </w:r>
      <w:r w:rsidR="004D6451">
        <w:rPr>
          <w:rFonts w:ascii="Garamond" w:hAnsi="Garamond"/>
        </w:rPr>
        <w:t xml:space="preserve"> troubled discerning readers and commentators for more than three centuries</w:t>
      </w:r>
      <w:r w:rsidR="009E023D">
        <w:rPr>
          <w:rFonts w:ascii="Garamond" w:hAnsi="Garamond"/>
        </w:rPr>
        <w:t xml:space="preserve"> (Ch. 4)</w:t>
      </w:r>
      <w:r w:rsidR="004D6451">
        <w:rPr>
          <w:rFonts w:ascii="Garamond" w:hAnsi="Garamond"/>
        </w:rPr>
        <w:t xml:space="preserve">. </w:t>
      </w:r>
      <w:r w:rsidR="009E023D">
        <w:rPr>
          <w:rFonts w:ascii="Garamond" w:hAnsi="Garamond"/>
        </w:rPr>
        <w:t xml:space="preserve">The three studies in the second section </w:t>
      </w:r>
      <w:r w:rsidR="00AF3662">
        <w:rPr>
          <w:rFonts w:ascii="Garamond" w:hAnsi="Garamond"/>
        </w:rPr>
        <w:t xml:space="preserve">deal with </w:t>
      </w:r>
      <w:r w:rsidR="009E023D">
        <w:rPr>
          <w:rFonts w:ascii="Garamond" w:hAnsi="Garamond"/>
        </w:rPr>
        <w:t xml:space="preserve">Spinoza’s epistemology, broadly construed, and </w:t>
      </w:r>
      <w:r w:rsidR="00AF3662">
        <w:rPr>
          <w:rFonts w:ascii="Garamond" w:hAnsi="Garamond"/>
        </w:rPr>
        <w:t xml:space="preserve">address </w:t>
      </w:r>
      <w:r w:rsidR="009E023D">
        <w:rPr>
          <w:rFonts w:ascii="Garamond" w:hAnsi="Garamond"/>
        </w:rPr>
        <w:t xml:space="preserve">Spinoza’s </w:t>
      </w:r>
      <w:r w:rsidR="000D6EA2">
        <w:rPr>
          <w:rFonts w:ascii="Garamond" w:hAnsi="Garamond"/>
        </w:rPr>
        <w:t xml:space="preserve">understanding of truth and of the imagination in his early and unfinished </w:t>
      </w:r>
      <w:r w:rsidR="000D6EA2" w:rsidRPr="000D6EA2">
        <w:rPr>
          <w:rFonts w:ascii="Garamond" w:hAnsi="Garamond"/>
          <w:i/>
          <w:iCs/>
        </w:rPr>
        <w:t xml:space="preserve">Treatise on the Emendation of the Intellect </w:t>
      </w:r>
      <w:r w:rsidR="000D6EA2">
        <w:rPr>
          <w:rFonts w:ascii="Garamond" w:hAnsi="Garamond"/>
        </w:rPr>
        <w:t xml:space="preserve">(Ch. 5), Spinoza’s and Leibniz’s distinct responses to Descartes’ method of doubt (Ch. 6), and Spinoza’s theory of </w:t>
      </w:r>
      <w:proofErr w:type="spellStart"/>
      <w:r w:rsidR="000D6EA2" w:rsidRPr="000D6EA2">
        <w:rPr>
          <w:rFonts w:ascii="Garamond" w:hAnsi="Garamond"/>
          <w:i/>
          <w:iCs/>
        </w:rPr>
        <w:t>scientia</w:t>
      </w:r>
      <w:proofErr w:type="spellEnd"/>
      <w:r w:rsidR="000D6EA2" w:rsidRPr="000D6EA2">
        <w:rPr>
          <w:rFonts w:ascii="Garamond" w:hAnsi="Garamond"/>
          <w:i/>
          <w:iCs/>
        </w:rPr>
        <w:t xml:space="preserve"> </w:t>
      </w:r>
      <w:proofErr w:type="spellStart"/>
      <w:r w:rsidR="000D6EA2" w:rsidRPr="000D6EA2">
        <w:rPr>
          <w:rFonts w:ascii="Garamond" w:hAnsi="Garamond"/>
          <w:i/>
          <w:iCs/>
        </w:rPr>
        <w:t>intuitiva</w:t>
      </w:r>
      <w:proofErr w:type="spellEnd"/>
      <w:r w:rsidR="000D6EA2">
        <w:rPr>
          <w:rFonts w:ascii="Garamond" w:hAnsi="Garamond"/>
        </w:rPr>
        <w:t>, the highest kind of cognition (Ch. 7)</w:t>
      </w:r>
      <w:r w:rsidR="009332F7">
        <w:rPr>
          <w:rFonts w:ascii="Garamond" w:hAnsi="Garamond"/>
        </w:rPr>
        <w:t>. As</w:t>
      </w:r>
      <w:r w:rsidR="000D6EA2">
        <w:rPr>
          <w:rFonts w:ascii="Garamond" w:hAnsi="Garamond"/>
        </w:rPr>
        <w:t xml:space="preserve"> Garrett shows</w:t>
      </w:r>
      <w:r w:rsidR="009332F7">
        <w:rPr>
          <w:rFonts w:ascii="Garamond" w:hAnsi="Garamond"/>
        </w:rPr>
        <w:t xml:space="preserve"> </w:t>
      </w:r>
      <w:r w:rsidR="0025197A">
        <w:rPr>
          <w:rFonts w:ascii="Garamond" w:hAnsi="Garamond"/>
        </w:rPr>
        <w:t xml:space="preserve">in </w:t>
      </w:r>
      <w:r w:rsidR="009332F7">
        <w:rPr>
          <w:rFonts w:ascii="Garamond" w:hAnsi="Garamond"/>
        </w:rPr>
        <w:t>the latter study</w:t>
      </w:r>
      <w:r w:rsidR="000D6EA2" w:rsidRPr="002A6C64">
        <w:rPr>
          <w:rFonts w:ascii="Garamond" w:hAnsi="Garamond"/>
          <w:i/>
          <w:iCs/>
        </w:rPr>
        <w:t>,</w:t>
      </w:r>
      <w:r w:rsidR="000D6EA2">
        <w:rPr>
          <w:rFonts w:ascii="Garamond" w:hAnsi="Garamond"/>
        </w:rPr>
        <w:t xml:space="preserve"> </w:t>
      </w:r>
      <w:proofErr w:type="spellStart"/>
      <w:r w:rsidR="009332F7">
        <w:rPr>
          <w:rFonts w:ascii="Garamond" w:hAnsi="Garamond"/>
          <w:i/>
          <w:iCs/>
        </w:rPr>
        <w:t>scientia</w:t>
      </w:r>
      <w:proofErr w:type="spellEnd"/>
      <w:r w:rsidR="009332F7">
        <w:rPr>
          <w:rFonts w:ascii="Garamond" w:hAnsi="Garamond"/>
          <w:i/>
          <w:iCs/>
        </w:rPr>
        <w:t xml:space="preserve"> </w:t>
      </w:r>
      <w:proofErr w:type="spellStart"/>
      <w:r w:rsidR="009332F7">
        <w:rPr>
          <w:rFonts w:ascii="Garamond" w:hAnsi="Garamond"/>
          <w:i/>
          <w:iCs/>
        </w:rPr>
        <w:t>intuitiva</w:t>
      </w:r>
      <w:proofErr w:type="spellEnd"/>
      <w:r w:rsidR="009C192D">
        <w:rPr>
          <w:rFonts w:ascii="Garamond" w:hAnsi="Garamond"/>
        </w:rPr>
        <w:t xml:space="preserve"> </w:t>
      </w:r>
      <w:r w:rsidR="00A47F47">
        <w:rPr>
          <w:rFonts w:ascii="Garamond" w:hAnsi="Garamond"/>
        </w:rPr>
        <w:t>does</w:t>
      </w:r>
      <w:r w:rsidR="009332F7">
        <w:rPr>
          <w:rFonts w:ascii="Garamond" w:hAnsi="Garamond"/>
        </w:rPr>
        <w:t xml:space="preserve"> </w:t>
      </w:r>
      <w:r w:rsidR="009C192D">
        <w:rPr>
          <w:rFonts w:ascii="Garamond" w:hAnsi="Garamond"/>
        </w:rPr>
        <w:t xml:space="preserve">not </w:t>
      </w:r>
      <w:r w:rsidR="00A47F47">
        <w:rPr>
          <w:rFonts w:ascii="Garamond" w:hAnsi="Garamond"/>
        </w:rPr>
        <w:t xml:space="preserve">involve some </w:t>
      </w:r>
      <w:r w:rsidR="009C192D">
        <w:rPr>
          <w:rFonts w:ascii="Garamond" w:hAnsi="Garamond"/>
        </w:rPr>
        <w:t>mystical experience</w:t>
      </w:r>
      <w:r w:rsidR="00A97ACB">
        <w:rPr>
          <w:rFonts w:ascii="Garamond" w:hAnsi="Garamond"/>
        </w:rPr>
        <w:t xml:space="preserve"> (as many tend to think)</w:t>
      </w:r>
      <w:r w:rsidR="009C192D">
        <w:rPr>
          <w:rFonts w:ascii="Garamond" w:hAnsi="Garamond"/>
        </w:rPr>
        <w:t>, but rather the systematic tracing of “the fundamental causal structure of God (i.e., Nature)” (214</w:t>
      </w:r>
      <w:r w:rsidR="009C192D" w:rsidRPr="00660358">
        <w:rPr>
          <w:rFonts w:ascii="Garamond" w:hAnsi="Garamond"/>
        </w:rPr>
        <w:t xml:space="preserve">) and a participation in the </w:t>
      </w:r>
      <w:r w:rsidR="00741002">
        <w:rPr>
          <w:rFonts w:ascii="Garamond" w:hAnsi="Garamond"/>
        </w:rPr>
        <w:t>way in which</w:t>
      </w:r>
      <w:r w:rsidR="00741002" w:rsidRPr="00660358">
        <w:rPr>
          <w:rFonts w:ascii="Garamond" w:hAnsi="Garamond"/>
        </w:rPr>
        <w:t xml:space="preserve"> </w:t>
      </w:r>
      <w:r w:rsidR="009C192D" w:rsidRPr="00660358">
        <w:rPr>
          <w:rFonts w:ascii="Garamond" w:hAnsi="Garamond"/>
        </w:rPr>
        <w:t>God knows himself.</w:t>
      </w:r>
    </w:p>
    <w:p w14:paraId="76830AE8" w14:textId="0B86432E" w:rsidR="00452164" w:rsidRDefault="00452164" w:rsidP="005F233F">
      <w:pPr>
        <w:spacing w:line="480" w:lineRule="auto"/>
        <w:jc w:val="both"/>
        <w:rPr>
          <w:rFonts w:ascii="Garamond" w:hAnsi="Garamond"/>
        </w:rPr>
      </w:pPr>
      <w:r>
        <w:rPr>
          <w:rFonts w:ascii="Garamond" w:hAnsi="Garamond"/>
        </w:rPr>
        <w:tab/>
      </w:r>
      <w:r w:rsidR="00BA515C">
        <w:rPr>
          <w:rFonts w:ascii="Garamond" w:hAnsi="Garamond"/>
        </w:rPr>
        <w:t>The book’s third section contains</w:t>
      </w:r>
      <w:r w:rsidR="000C0E0F">
        <w:rPr>
          <w:rFonts w:ascii="Garamond" w:hAnsi="Garamond"/>
        </w:rPr>
        <w:t xml:space="preserve"> three chapters on Spinoza’s attributes: a study of Spinoza’s and Locke’s critical responses to the Cartesian arguments against the possibility of things which are </w:t>
      </w:r>
      <w:r w:rsidR="000C0E0F" w:rsidRPr="00957161">
        <w:rPr>
          <w:rFonts w:ascii="Garamond" w:hAnsi="Garamond"/>
          <w:i/>
          <w:iCs/>
        </w:rPr>
        <w:t>both</w:t>
      </w:r>
      <w:r w:rsidR="000C0E0F">
        <w:rPr>
          <w:rFonts w:ascii="Garamond" w:hAnsi="Garamond"/>
        </w:rPr>
        <w:t xml:space="preserve"> extended and thinking (Ch. 8), a substantial attempt to resolve the enigmas involved in Spinoza’s </w:t>
      </w:r>
      <w:r w:rsidR="009F1677">
        <w:rPr>
          <w:rFonts w:ascii="Garamond" w:hAnsi="Garamond"/>
        </w:rPr>
        <w:t xml:space="preserve">thorny </w:t>
      </w:r>
      <w:r w:rsidR="000C0E0F">
        <w:rPr>
          <w:rFonts w:ascii="Garamond" w:hAnsi="Garamond"/>
        </w:rPr>
        <w:t>discussion of mind eternity</w:t>
      </w:r>
      <w:r w:rsidR="00957161">
        <w:rPr>
          <w:rFonts w:ascii="Garamond" w:hAnsi="Garamond"/>
        </w:rPr>
        <w:t xml:space="preserve"> (Ch. 9), </w:t>
      </w:r>
      <w:r w:rsidR="000C0E0F">
        <w:rPr>
          <w:rFonts w:ascii="Garamond" w:hAnsi="Garamond"/>
        </w:rPr>
        <w:t xml:space="preserve"> </w:t>
      </w:r>
      <w:r w:rsidR="00957161">
        <w:rPr>
          <w:rFonts w:ascii="Garamond" w:hAnsi="Garamond"/>
        </w:rPr>
        <w:t xml:space="preserve">and a fascinating study of </w:t>
      </w:r>
      <w:r w:rsidR="00822E32">
        <w:rPr>
          <w:rFonts w:ascii="Garamond" w:hAnsi="Garamond"/>
        </w:rPr>
        <w:t xml:space="preserve">the </w:t>
      </w:r>
      <w:r w:rsidR="00957161">
        <w:rPr>
          <w:rFonts w:ascii="Garamond" w:hAnsi="Garamond"/>
        </w:rPr>
        <w:t xml:space="preserve">inter-relations among the attributes and </w:t>
      </w:r>
      <w:r w:rsidR="00822E32">
        <w:rPr>
          <w:rFonts w:ascii="Garamond" w:hAnsi="Garamond"/>
        </w:rPr>
        <w:t xml:space="preserve">the </w:t>
      </w:r>
      <w:r w:rsidR="00957161">
        <w:rPr>
          <w:rFonts w:ascii="Garamond" w:hAnsi="Garamond"/>
        </w:rPr>
        <w:t>substance (Ch.</w:t>
      </w:r>
      <w:r w:rsidR="00822E32">
        <w:rPr>
          <w:rFonts w:ascii="Garamond" w:hAnsi="Garamond"/>
        </w:rPr>
        <w:t xml:space="preserve"> </w:t>
      </w:r>
      <w:r w:rsidR="00957161">
        <w:rPr>
          <w:rFonts w:ascii="Garamond" w:hAnsi="Garamond"/>
        </w:rPr>
        <w:t xml:space="preserve">10), the conclusion of which leads Garrett to </w:t>
      </w:r>
      <w:r w:rsidR="001F7D42">
        <w:rPr>
          <w:rFonts w:ascii="Garamond" w:hAnsi="Garamond"/>
        </w:rPr>
        <w:t>propose</w:t>
      </w:r>
      <w:r w:rsidR="00957161">
        <w:rPr>
          <w:rFonts w:ascii="Garamond" w:hAnsi="Garamond"/>
        </w:rPr>
        <w:t xml:space="preserve"> that </w:t>
      </w:r>
      <w:r w:rsidR="001F7D42">
        <w:rPr>
          <w:rFonts w:ascii="Garamond" w:hAnsi="Garamond"/>
        </w:rPr>
        <w:t>Spinoza’s</w:t>
      </w:r>
      <w:r w:rsidR="00957161">
        <w:rPr>
          <w:rFonts w:ascii="Garamond" w:hAnsi="Garamond"/>
        </w:rPr>
        <w:t xml:space="preserve"> attributes are fundamental kinds</w:t>
      </w:r>
      <w:r w:rsidR="001F7D42">
        <w:rPr>
          <w:rFonts w:ascii="Garamond" w:hAnsi="Garamond"/>
        </w:rPr>
        <w:t>, or manners,</w:t>
      </w:r>
      <w:r w:rsidR="00957161">
        <w:rPr>
          <w:rFonts w:ascii="Garamond" w:hAnsi="Garamond"/>
        </w:rPr>
        <w:t xml:space="preserve"> </w:t>
      </w:r>
      <w:r w:rsidR="00957161">
        <w:rPr>
          <w:rFonts w:ascii="Garamond" w:hAnsi="Garamond"/>
        </w:rPr>
        <w:lastRenderedPageBreak/>
        <w:t>of existence</w:t>
      </w:r>
      <w:r w:rsidR="008F400C">
        <w:rPr>
          <w:rFonts w:ascii="Garamond" w:hAnsi="Garamond"/>
        </w:rPr>
        <w:t xml:space="preserve"> “that are not </w:t>
      </w:r>
      <w:r w:rsidR="008F400C" w:rsidRPr="008F400C">
        <w:rPr>
          <w:rFonts w:ascii="Garamond" w:hAnsi="Garamond"/>
          <w:i/>
          <w:iCs/>
        </w:rPr>
        <w:t>in</w:t>
      </w:r>
      <w:r w:rsidR="008F400C">
        <w:rPr>
          <w:rFonts w:ascii="Garamond" w:hAnsi="Garamond"/>
        </w:rPr>
        <w:t xml:space="preserve"> the ontology but are rather structures of it” (287)</w:t>
      </w:r>
      <w:r w:rsidR="00957161">
        <w:rPr>
          <w:rFonts w:ascii="Garamond" w:hAnsi="Garamond"/>
        </w:rPr>
        <w:t>.</w:t>
      </w:r>
      <w:r w:rsidR="001F7D42">
        <w:rPr>
          <w:rFonts w:ascii="Garamond" w:hAnsi="Garamond"/>
        </w:rPr>
        <w:t xml:space="preserve"> The fourth section contains a </w:t>
      </w:r>
      <w:r w:rsidR="00AE42A8">
        <w:rPr>
          <w:rFonts w:ascii="Garamond" w:hAnsi="Garamond"/>
        </w:rPr>
        <w:t xml:space="preserve">scrupulous </w:t>
      </w:r>
      <w:r w:rsidR="001F7D42">
        <w:rPr>
          <w:rFonts w:ascii="Garamond" w:hAnsi="Garamond"/>
        </w:rPr>
        <w:t>study of Spinoza’s theory of metaphysical individuation (Ch. 11)</w:t>
      </w:r>
      <w:r w:rsidR="00687D3C">
        <w:rPr>
          <w:rFonts w:ascii="Garamond" w:hAnsi="Garamond"/>
        </w:rPr>
        <w:t>.  This is followed by an</w:t>
      </w:r>
      <w:r w:rsidR="001F7D42">
        <w:rPr>
          <w:rFonts w:ascii="Garamond" w:hAnsi="Garamond"/>
        </w:rPr>
        <w:t xml:space="preserve"> iconoclastic </w:t>
      </w:r>
      <w:r w:rsidR="00687D3C">
        <w:rPr>
          <w:rFonts w:ascii="Garamond" w:hAnsi="Garamond"/>
        </w:rPr>
        <w:t xml:space="preserve">chapter on </w:t>
      </w:r>
      <w:r w:rsidR="001F7D42">
        <w:rPr>
          <w:rFonts w:ascii="Garamond" w:hAnsi="Garamond"/>
        </w:rPr>
        <w:t>teleology in the early modern rationalist</w:t>
      </w:r>
      <w:r w:rsidR="00A10EAF">
        <w:rPr>
          <w:rFonts w:ascii="Garamond" w:hAnsi="Garamond"/>
        </w:rPr>
        <w:t>s</w:t>
      </w:r>
      <w:r w:rsidR="001F7D42">
        <w:rPr>
          <w:rFonts w:ascii="Garamond" w:hAnsi="Garamond"/>
        </w:rPr>
        <w:t xml:space="preserve"> in which Garrett suggests that Spinoza’s rejection of teleology is far more reserved than is commonly considered, and that</w:t>
      </w:r>
      <w:r w:rsidR="00687D3C">
        <w:rPr>
          <w:rFonts w:ascii="Garamond" w:hAnsi="Garamond"/>
        </w:rPr>
        <w:t>,</w:t>
      </w:r>
      <w:r w:rsidR="001F7D42">
        <w:rPr>
          <w:rFonts w:ascii="Garamond" w:hAnsi="Garamond"/>
        </w:rPr>
        <w:t xml:space="preserve"> in a certain manner</w:t>
      </w:r>
      <w:r w:rsidR="00687D3C">
        <w:rPr>
          <w:rFonts w:ascii="Garamond" w:hAnsi="Garamond"/>
        </w:rPr>
        <w:t>,</w:t>
      </w:r>
      <w:r w:rsidR="001F7D42">
        <w:rPr>
          <w:rFonts w:ascii="Garamond" w:hAnsi="Garamond"/>
        </w:rPr>
        <w:t xml:space="preserve"> Spinoza was more amenable to Aristotelian teleology than</w:t>
      </w:r>
      <w:r w:rsidR="00687D3C">
        <w:rPr>
          <w:rFonts w:ascii="Garamond" w:hAnsi="Garamond"/>
        </w:rPr>
        <w:t xml:space="preserve"> were</w:t>
      </w:r>
      <w:r w:rsidR="001F7D42">
        <w:rPr>
          <w:rFonts w:ascii="Garamond" w:hAnsi="Garamond"/>
        </w:rPr>
        <w:t xml:space="preserve"> both Descartes and Leibniz. </w:t>
      </w:r>
      <w:r w:rsidR="001F7D42" w:rsidRPr="00C32CC3">
        <w:rPr>
          <w:rFonts w:ascii="Garamond" w:hAnsi="Garamond"/>
        </w:rPr>
        <w:t>This is a superb study</w:t>
      </w:r>
      <w:r w:rsidR="00B015EB" w:rsidRPr="00C32CC3">
        <w:rPr>
          <w:rFonts w:ascii="Garamond" w:hAnsi="Garamond"/>
        </w:rPr>
        <w:t>, though</w:t>
      </w:r>
      <w:r w:rsidR="009D5C0A" w:rsidRPr="00C32CC3">
        <w:rPr>
          <w:rFonts w:ascii="Garamond" w:hAnsi="Garamond"/>
        </w:rPr>
        <w:t xml:space="preserve"> </w:t>
      </w:r>
      <w:r w:rsidR="00047442" w:rsidRPr="00C32CC3">
        <w:rPr>
          <w:rFonts w:ascii="Garamond" w:hAnsi="Garamond"/>
        </w:rPr>
        <w:t xml:space="preserve">I tend to </w:t>
      </w:r>
      <w:r w:rsidR="00C977C2" w:rsidRPr="00C32CC3">
        <w:rPr>
          <w:rFonts w:ascii="Garamond" w:hAnsi="Garamond"/>
        </w:rPr>
        <w:t xml:space="preserve">see </w:t>
      </w:r>
      <w:r w:rsidR="009D5C0A" w:rsidRPr="00C32CC3">
        <w:rPr>
          <w:rFonts w:ascii="Garamond" w:hAnsi="Garamond"/>
        </w:rPr>
        <w:t xml:space="preserve">the aims of Spinoza’s critique of teleology </w:t>
      </w:r>
      <w:r w:rsidR="00C977C2" w:rsidRPr="00C32CC3">
        <w:rPr>
          <w:rFonts w:ascii="Garamond" w:hAnsi="Garamond"/>
        </w:rPr>
        <w:t xml:space="preserve">as </w:t>
      </w:r>
      <w:r w:rsidR="0046415D" w:rsidRPr="00C32CC3">
        <w:rPr>
          <w:rFonts w:ascii="Garamond" w:hAnsi="Garamond"/>
        </w:rPr>
        <w:t xml:space="preserve">being </w:t>
      </w:r>
      <w:r w:rsidR="009D5C0A" w:rsidRPr="00C32CC3">
        <w:rPr>
          <w:rFonts w:ascii="Garamond" w:hAnsi="Garamond"/>
        </w:rPr>
        <w:t>more ambitious</w:t>
      </w:r>
      <w:r w:rsidR="00C977C2" w:rsidRPr="00C32CC3">
        <w:rPr>
          <w:rFonts w:ascii="Garamond" w:hAnsi="Garamond"/>
        </w:rPr>
        <w:t xml:space="preserve"> than</w:t>
      </w:r>
      <w:r w:rsidR="009D5C0A" w:rsidRPr="00C32CC3">
        <w:rPr>
          <w:rFonts w:ascii="Garamond" w:hAnsi="Garamond"/>
        </w:rPr>
        <w:t xml:space="preserve"> Garrett </w:t>
      </w:r>
      <w:r w:rsidR="00C977C2" w:rsidRPr="00C32CC3">
        <w:rPr>
          <w:rFonts w:ascii="Garamond" w:hAnsi="Garamond"/>
        </w:rPr>
        <w:t>does</w:t>
      </w:r>
      <w:r w:rsidR="009D5C0A" w:rsidRPr="00C32CC3">
        <w:rPr>
          <w:rFonts w:ascii="Garamond" w:hAnsi="Garamond"/>
        </w:rPr>
        <w:t xml:space="preserve">. Specifically, I believe Garrett’s reading does not </w:t>
      </w:r>
      <w:r w:rsidR="0096158D" w:rsidRPr="00C32CC3">
        <w:rPr>
          <w:rFonts w:ascii="Garamond" w:hAnsi="Garamond"/>
        </w:rPr>
        <w:t>sufficiently</w:t>
      </w:r>
      <w:r w:rsidR="009D5C0A" w:rsidRPr="00C32CC3">
        <w:rPr>
          <w:rFonts w:ascii="Garamond" w:hAnsi="Garamond"/>
        </w:rPr>
        <w:t xml:space="preserve"> </w:t>
      </w:r>
      <w:r w:rsidR="0043621D">
        <w:rPr>
          <w:rFonts w:ascii="Garamond" w:hAnsi="Garamond"/>
        </w:rPr>
        <w:t xml:space="preserve">appreciate </w:t>
      </w:r>
      <w:r w:rsidR="009D5C0A" w:rsidRPr="00C32CC3">
        <w:rPr>
          <w:rFonts w:ascii="Garamond" w:hAnsi="Garamond"/>
        </w:rPr>
        <w:t>the tight connection between Spinoza’s critique of free will and his rejection of human, thoughtful teleology.</w:t>
      </w:r>
      <w:r w:rsidR="00047442" w:rsidRPr="00C32CC3">
        <w:rPr>
          <w:rFonts w:ascii="Garamond" w:hAnsi="Garamond"/>
        </w:rPr>
        <w:t xml:space="preserve"> </w:t>
      </w:r>
      <w:r w:rsidR="005F233F" w:rsidRPr="00C32CC3">
        <w:rPr>
          <w:rFonts w:ascii="Garamond" w:hAnsi="Garamond"/>
        </w:rPr>
        <w:t>Part of the issue</w:t>
      </w:r>
      <w:r w:rsidR="0096158D" w:rsidRPr="00C32CC3">
        <w:rPr>
          <w:rFonts w:ascii="Garamond" w:hAnsi="Garamond"/>
        </w:rPr>
        <w:t xml:space="preserve"> at stake</w:t>
      </w:r>
      <w:r w:rsidR="005F233F" w:rsidRPr="00C32CC3">
        <w:rPr>
          <w:rFonts w:ascii="Garamond" w:hAnsi="Garamond"/>
        </w:rPr>
        <w:t xml:space="preserve"> is the precise definition of teleology, and </w:t>
      </w:r>
      <w:r w:rsidR="00C977C2" w:rsidRPr="00C32CC3">
        <w:rPr>
          <w:rFonts w:ascii="Garamond" w:hAnsi="Garamond"/>
        </w:rPr>
        <w:t xml:space="preserve">an exploration of </w:t>
      </w:r>
      <w:r w:rsidR="005F233F" w:rsidRPr="00C32CC3">
        <w:rPr>
          <w:rFonts w:ascii="Garamond" w:hAnsi="Garamond"/>
        </w:rPr>
        <w:t xml:space="preserve">this important </w:t>
      </w:r>
      <w:r w:rsidR="00C977C2" w:rsidRPr="00C32CC3">
        <w:rPr>
          <w:rFonts w:ascii="Garamond" w:hAnsi="Garamond"/>
        </w:rPr>
        <w:t xml:space="preserve">subject </w:t>
      </w:r>
      <w:r w:rsidR="005F233F" w:rsidRPr="00C32CC3">
        <w:rPr>
          <w:rFonts w:ascii="Garamond" w:hAnsi="Garamond"/>
        </w:rPr>
        <w:t>cannot be carried out in the current, limited space.</w:t>
      </w:r>
      <w:r w:rsidR="005F233F">
        <w:rPr>
          <w:rFonts w:ascii="Garamond" w:hAnsi="Garamond"/>
        </w:rPr>
        <w:t xml:space="preserve"> </w:t>
      </w:r>
      <w:r w:rsidR="00047442">
        <w:rPr>
          <w:rFonts w:ascii="Garamond" w:hAnsi="Garamond"/>
        </w:rPr>
        <w:t xml:space="preserve">The final chapter of </w:t>
      </w:r>
      <w:r w:rsidR="00A10EAF">
        <w:rPr>
          <w:rFonts w:ascii="Garamond" w:hAnsi="Garamond"/>
        </w:rPr>
        <w:t xml:space="preserve">the </w:t>
      </w:r>
      <w:r w:rsidR="00047442">
        <w:rPr>
          <w:rFonts w:ascii="Garamond" w:hAnsi="Garamond"/>
        </w:rPr>
        <w:t xml:space="preserve">fourth section </w:t>
      </w:r>
      <w:r w:rsidR="00B457DA">
        <w:rPr>
          <w:rFonts w:ascii="Garamond" w:hAnsi="Garamond"/>
        </w:rPr>
        <w:t xml:space="preserve">is </w:t>
      </w:r>
      <w:r w:rsidR="00047442">
        <w:rPr>
          <w:rFonts w:ascii="Garamond" w:hAnsi="Garamond"/>
        </w:rPr>
        <w:t>a</w:t>
      </w:r>
      <w:r w:rsidR="00B457DA">
        <w:rPr>
          <w:rFonts w:ascii="Garamond" w:hAnsi="Garamond"/>
        </w:rPr>
        <w:t>n</w:t>
      </w:r>
      <w:r w:rsidR="00047442">
        <w:rPr>
          <w:rFonts w:ascii="Garamond" w:hAnsi="Garamond"/>
        </w:rPr>
        <w:t xml:space="preserve"> insightful </w:t>
      </w:r>
      <w:r w:rsidR="00B457DA">
        <w:rPr>
          <w:rFonts w:ascii="Garamond" w:hAnsi="Garamond"/>
        </w:rPr>
        <w:t xml:space="preserve">and innovative </w:t>
      </w:r>
      <w:r w:rsidR="00047442">
        <w:rPr>
          <w:rFonts w:ascii="Garamond" w:hAnsi="Garamond"/>
        </w:rPr>
        <w:t xml:space="preserve">reading of Spinoza’s doctrine of the </w:t>
      </w:r>
      <w:r w:rsidR="00047442" w:rsidRPr="00B457DA">
        <w:rPr>
          <w:rFonts w:ascii="Garamond" w:hAnsi="Garamond"/>
          <w:i/>
          <w:iCs/>
        </w:rPr>
        <w:t>conatus</w:t>
      </w:r>
      <w:r w:rsidR="00B457DA">
        <w:rPr>
          <w:rFonts w:ascii="Garamond" w:hAnsi="Garamond"/>
        </w:rPr>
        <w:t xml:space="preserve"> according </w:t>
      </w:r>
      <w:r w:rsidR="006029FB">
        <w:rPr>
          <w:rFonts w:ascii="Garamond" w:hAnsi="Garamond"/>
        </w:rPr>
        <w:t xml:space="preserve">to </w:t>
      </w:r>
      <w:r w:rsidR="00B457DA">
        <w:rPr>
          <w:rFonts w:ascii="Garamond" w:hAnsi="Garamond"/>
        </w:rPr>
        <w:t>which even modes are</w:t>
      </w:r>
      <w:r w:rsidR="00A10EAF">
        <w:rPr>
          <w:rFonts w:ascii="Garamond" w:hAnsi="Garamond"/>
        </w:rPr>
        <w:t>,</w:t>
      </w:r>
      <w:r w:rsidR="00B457DA">
        <w:rPr>
          <w:rFonts w:ascii="Garamond" w:hAnsi="Garamond"/>
        </w:rPr>
        <w:t xml:space="preserve"> to an extent</w:t>
      </w:r>
      <w:r w:rsidR="00A10EAF">
        <w:rPr>
          <w:rFonts w:ascii="Garamond" w:hAnsi="Garamond"/>
        </w:rPr>
        <w:t>,</w:t>
      </w:r>
      <w:r w:rsidR="00B457DA">
        <w:rPr>
          <w:rFonts w:ascii="Garamond" w:hAnsi="Garamond"/>
        </w:rPr>
        <w:t xml:space="preserve"> in-themselves, and thus constitute limited approximations to the genuine, unique substance (377).</w:t>
      </w:r>
    </w:p>
    <w:p w14:paraId="132DC2C0" w14:textId="54623CF2" w:rsidR="00A10EAF" w:rsidRDefault="00A10EAF" w:rsidP="002A6C64">
      <w:pPr>
        <w:spacing w:line="480" w:lineRule="auto"/>
        <w:jc w:val="both"/>
        <w:rPr>
          <w:rFonts w:ascii="Garamond" w:hAnsi="Garamond"/>
        </w:rPr>
      </w:pPr>
      <w:r>
        <w:rPr>
          <w:rFonts w:ascii="Garamond" w:hAnsi="Garamond"/>
        </w:rPr>
        <w:tab/>
        <w:t xml:space="preserve">Section five contains two excellent chapters on Spinoza’s understanding of intentionality and consciousness. </w:t>
      </w:r>
      <w:r w:rsidR="001A6F85">
        <w:rPr>
          <w:rFonts w:ascii="Garamond" w:hAnsi="Garamond"/>
        </w:rPr>
        <w:t>Underlying</w:t>
      </w:r>
      <w:r>
        <w:rPr>
          <w:rFonts w:ascii="Garamond" w:hAnsi="Garamond"/>
        </w:rPr>
        <w:t xml:space="preserve"> both </w:t>
      </w:r>
      <w:r w:rsidR="001A6F85">
        <w:rPr>
          <w:rFonts w:ascii="Garamond" w:hAnsi="Garamond"/>
        </w:rPr>
        <w:t xml:space="preserve">chapters is Garrett’s sympathetic attitude toward Spinoza’s </w:t>
      </w:r>
      <w:proofErr w:type="spellStart"/>
      <w:r w:rsidR="001A6F85">
        <w:rPr>
          <w:rFonts w:ascii="Garamond" w:hAnsi="Garamond"/>
        </w:rPr>
        <w:t>panpsychism</w:t>
      </w:r>
      <w:proofErr w:type="spellEnd"/>
      <w:r w:rsidR="001A6F85">
        <w:rPr>
          <w:rFonts w:ascii="Garamond" w:hAnsi="Garamond"/>
        </w:rPr>
        <w:t>, and</w:t>
      </w:r>
      <w:r w:rsidR="001213D9">
        <w:rPr>
          <w:rFonts w:ascii="Garamond" w:hAnsi="Garamond"/>
        </w:rPr>
        <w:t xml:space="preserve"> toward his</w:t>
      </w:r>
      <w:r w:rsidR="001A6F85">
        <w:rPr>
          <w:rFonts w:ascii="Garamond" w:hAnsi="Garamond"/>
        </w:rPr>
        <w:t xml:space="preserve"> commitment to strict naturalism that does not allow for </w:t>
      </w:r>
      <w:r w:rsidR="001213D9">
        <w:rPr>
          <w:rFonts w:ascii="Garamond" w:hAnsi="Garamond"/>
        </w:rPr>
        <w:t xml:space="preserve">the brute reality </w:t>
      </w:r>
      <w:r w:rsidR="002A6C64">
        <w:rPr>
          <w:rFonts w:ascii="Garamond" w:hAnsi="Garamond"/>
        </w:rPr>
        <w:t>–</w:t>
      </w:r>
      <w:r w:rsidR="001213D9">
        <w:rPr>
          <w:rFonts w:ascii="Garamond" w:hAnsi="Garamond"/>
        </w:rPr>
        <w:t xml:space="preserve"> or </w:t>
      </w:r>
      <w:r w:rsidR="002A6C64">
        <w:rPr>
          <w:rFonts w:ascii="Garamond" w:hAnsi="Garamond"/>
        </w:rPr>
        <w:t>“</w:t>
      </w:r>
      <w:r w:rsidR="001213D9">
        <w:rPr>
          <w:rFonts w:ascii="Garamond" w:hAnsi="Garamond"/>
        </w:rPr>
        <w:t>sudden appearance</w:t>
      </w:r>
      <w:r w:rsidR="002A6C64">
        <w:rPr>
          <w:rFonts w:ascii="Garamond" w:hAnsi="Garamond"/>
        </w:rPr>
        <w:t>”</w:t>
      </w:r>
      <w:r w:rsidR="001213D9">
        <w:rPr>
          <w:rFonts w:ascii="Garamond" w:hAnsi="Garamond"/>
        </w:rPr>
        <w:t xml:space="preserve"> </w:t>
      </w:r>
      <w:r w:rsidR="002A6C64">
        <w:rPr>
          <w:rFonts w:ascii="Garamond" w:hAnsi="Garamond"/>
        </w:rPr>
        <w:t>–</w:t>
      </w:r>
      <w:r w:rsidR="001213D9">
        <w:rPr>
          <w:rFonts w:ascii="Garamond" w:hAnsi="Garamond"/>
        </w:rPr>
        <w:t xml:space="preserve"> of </w:t>
      </w:r>
      <w:r w:rsidR="001A6F85">
        <w:rPr>
          <w:rFonts w:ascii="Garamond" w:hAnsi="Garamond"/>
        </w:rPr>
        <w:t>mental features (428).</w:t>
      </w:r>
      <w:r>
        <w:rPr>
          <w:rFonts w:ascii="Garamond" w:hAnsi="Garamond"/>
        </w:rPr>
        <w:t xml:space="preserve"> </w:t>
      </w:r>
      <w:r w:rsidR="001A6F85">
        <w:rPr>
          <w:rFonts w:ascii="Garamond" w:hAnsi="Garamond"/>
        </w:rPr>
        <w:t xml:space="preserve">Chapter 14 suggests that Spinoza’s view of </w:t>
      </w:r>
      <w:r w:rsidR="0089219D">
        <w:rPr>
          <w:rFonts w:ascii="Garamond" w:hAnsi="Garamond"/>
        </w:rPr>
        <w:t>consciousness</w:t>
      </w:r>
      <w:r w:rsidR="001A6F85">
        <w:rPr>
          <w:rFonts w:ascii="Garamond" w:hAnsi="Garamond"/>
        </w:rPr>
        <w:t xml:space="preserve"> relies heavily on the </w:t>
      </w:r>
      <w:r w:rsidR="001A6F85" w:rsidRPr="001A6F85">
        <w:rPr>
          <w:rFonts w:ascii="Garamond" w:hAnsi="Garamond"/>
          <w:i/>
          <w:iCs/>
        </w:rPr>
        <w:t>conatus</w:t>
      </w:r>
      <w:r w:rsidR="001A6F85">
        <w:rPr>
          <w:rFonts w:ascii="Garamond" w:hAnsi="Garamond"/>
        </w:rPr>
        <w:t xml:space="preserve"> doctrine. According to Garrett</w:t>
      </w:r>
      <w:r w:rsidR="0089219D">
        <w:rPr>
          <w:rFonts w:ascii="Garamond" w:hAnsi="Garamond"/>
        </w:rPr>
        <w:t>, Spinoza identifies consciousness [</w:t>
      </w:r>
      <w:proofErr w:type="spellStart"/>
      <w:r w:rsidR="0089219D" w:rsidRPr="0089219D">
        <w:rPr>
          <w:rFonts w:ascii="Garamond" w:hAnsi="Garamond"/>
          <w:i/>
          <w:iCs/>
        </w:rPr>
        <w:t>conscientia</w:t>
      </w:r>
      <w:proofErr w:type="spellEnd"/>
      <w:r w:rsidR="0089219D">
        <w:rPr>
          <w:rFonts w:ascii="Garamond" w:hAnsi="Garamond"/>
        </w:rPr>
        <w:t>] with the power of thinking [</w:t>
      </w:r>
      <w:proofErr w:type="spellStart"/>
      <w:r w:rsidR="0089219D" w:rsidRPr="0089219D">
        <w:rPr>
          <w:rFonts w:ascii="Garamond" w:hAnsi="Garamond"/>
          <w:i/>
          <w:iCs/>
        </w:rPr>
        <w:t>cogitandi</w:t>
      </w:r>
      <w:proofErr w:type="spellEnd"/>
      <w:r w:rsidR="0089219D" w:rsidRPr="0089219D">
        <w:rPr>
          <w:rFonts w:ascii="Garamond" w:hAnsi="Garamond"/>
          <w:i/>
          <w:iCs/>
        </w:rPr>
        <w:t xml:space="preserve"> </w:t>
      </w:r>
      <w:proofErr w:type="spellStart"/>
      <w:r w:rsidR="0089219D" w:rsidRPr="0089219D">
        <w:rPr>
          <w:rFonts w:ascii="Garamond" w:hAnsi="Garamond"/>
          <w:i/>
          <w:iCs/>
        </w:rPr>
        <w:t>potentia</w:t>
      </w:r>
      <w:proofErr w:type="spellEnd"/>
      <w:r w:rsidR="0089219D">
        <w:rPr>
          <w:rFonts w:ascii="Garamond" w:hAnsi="Garamond"/>
        </w:rPr>
        <w:t>] which itself is nothing but the degree of self-</w:t>
      </w:r>
      <w:r w:rsidR="001213D9">
        <w:rPr>
          <w:rFonts w:ascii="Garamond" w:hAnsi="Garamond"/>
        </w:rPr>
        <w:t>preserving</w:t>
      </w:r>
      <w:r w:rsidR="0089219D">
        <w:rPr>
          <w:rFonts w:ascii="Garamond" w:hAnsi="Garamond"/>
        </w:rPr>
        <w:t xml:space="preserve"> activity the mind of a given individual has (409).</w:t>
      </w:r>
      <w:r w:rsidR="00A067D8">
        <w:rPr>
          <w:rFonts w:ascii="Garamond" w:hAnsi="Garamond"/>
        </w:rPr>
        <w:t xml:space="preserve"> Building on this understand</w:t>
      </w:r>
      <w:r w:rsidR="005F284A">
        <w:rPr>
          <w:rFonts w:ascii="Garamond" w:hAnsi="Garamond"/>
        </w:rPr>
        <w:t>ing</w:t>
      </w:r>
      <w:r w:rsidR="00A067D8">
        <w:rPr>
          <w:rFonts w:ascii="Garamond" w:hAnsi="Garamond"/>
        </w:rPr>
        <w:t xml:space="preserve"> of consciousness, the following chapter</w:t>
      </w:r>
      <w:r w:rsidR="00021164">
        <w:rPr>
          <w:rFonts w:ascii="Garamond" w:hAnsi="Garamond"/>
        </w:rPr>
        <w:t xml:space="preserve"> attempts to provide an explanation for Spinoza’s claim that even our sense-perception of external bodies encodes information about the </w:t>
      </w:r>
      <w:r w:rsidR="009E270C">
        <w:rPr>
          <w:rFonts w:ascii="Garamond" w:hAnsi="Garamond"/>
        </w:rPr>
        <w:t xml:space="preserve">most </w:t>
      </w:r>
      <w:r w:rsidR="00021164">
        <w:rPr>
          <w:rFonts w:ascii="Garamond" w:hAnsi="Garamond"/>
        </w:rPr>
        <w:t xml:space="preserve">remote causes of the perceived bodies </w:t>
      </w:r>
      <w:r w:rsidR="00021164">
        <w:rPr>
          <w:rFonts w:ascii="Garamond" w:hAnsi="Garamond"/>
        </w:rPr>
        <w:lastRenderedPageBreak/>
        <w:t xml:space="preserve">(Ch. 15). The chapter </w:t>
      </w:r>
      <w:r w:rsidR="009E270C">
        <w:rPr>
          <w:rFonts w:ascii="Garamond" w:hAnsi="Garamond"/>
        </w:rPr>
        <w:t xml:space="preserve">suggests </w:t>
      </w:r>
      <w:r w:rsidR="00021164">
        <w:rPr>
          <w:rFonts w:ascii="Garamond" w:hAnsi="Garamond"/>
        </w:rPr>
        <w:t xml:space="preserve">a </w:t>
      </w:r>
      <w:r w:rsidR="005F284A">
        <w:rPr>
          <w:rFonts w:ascii="Garamond" w:hAnsi="Garamond"/>
        </w:rPr>
        <w:t xml:space="preserve">novel </w:t>
      </w:r>
      <w:r w:rsidR="00021164">
        <w:rPr>
          <w:rFonts w:ascii="Garamond" w:hAnsi="Garamond"/>
        </w:rPr>
        <w:t xml:space="preserve">account of Spinoza’s understanding of error and culminates in </w:t>
      </w:r>
      <w:r w:rsidR="00D9460F">
        <w:rPr>
          <w:rFonts w:ascii="Garamond" w:hAnsi="Garamond"/>
        </w:rPr>
        <w:t xml:space="preserve">a convincing explication of the distinction between the </w:t>
      </w:r>
      <w:proofErr w:type="spellStart"/>
      <w:r w:rsidR="00D9460F" w:rsidRPr="00D9460F">
        <w:rPr>
          <w:rFonts w:ascii="Garamond" w:hAnsi="Garamond"/>
          <w:i/>
          <w:iCs/>
        </w:rPr>
        <w:t>objectum</w:t>
      </w:r>
      <w:proofErr w:type="spellEnd"/>
      <w:r w:rsidR="00D9460F">
        <w:rPr>
          <w:rFonts w:ascii="Garamond" w:hAnsi="Garamond"/>
        </w:rPr>
        <w:t xml:space="preserve"> of an idea (the object parallel </w:t>
      </w:r>
      <w:r w:rsidR="009E270C">
        <w:rPr>
          <w:rFonts w:ascii="Garamond" w:hAnsi="Garamond"/>
        </w:rPr>
        <w:t xml:space="preserve">to, </w:t>
      </w:r>
      <w:r w:rsidR="00D9460F">
        <w:rPr>
          <w:rFonts w:ascii="Garamond" w:hAnsi="Garamond"/>
        </w:rPr>
        <w:t>and identical with</w:t>
      </w:r>
      <w:r w:rsidR="009E270C">
        <w:rPr>
          <w:rFonts w:ascii="Garamond" w:hAnsi="Garamond"/>
        </w:rPr>
        <w:t>,</w:t>
      </w:r>
      <w:r w:rsidR="00D9460F">
        <w:rPr>
          <w:rFonts w:ascii="Garamond" w:hAnsi="Garamond"/>
        </w:rPr>
        <w:t xml:space="preserve"> the idea), and its </w:t>
      </w:r>
      <w:proofErr w:type="spellStart"/>
      <w:r w:rsidR="00D9460F" w:rsidRPr="00D9460F">
        <w:rPr>
          <w:rFonts w:ascii="Garamond" w:hAnsi="Garamond"/>
          <w:i/>
          <w:iCs/>
        </w:rPr>
        <w:t>ideatum</w:t>
      </w:r>
      <w:proofErr w:type="spellEnd"/>
      <w:r w:rsidR="00D9460F">
        <w:rPr>
          <w:rFonts w:ascii="Garamond" w:hAnsi="Garamond"/>
        </w:rPr>
        <w:t xml:space="preserve"> (what the idea is of).</w:t>
      </w:r>
    </w:p>
    <w:p w14:paraId="7842FEE6" w14:textId="40ABCEEA" w:rsidR="000528F2" w:rsidRDefault="000528F2" w:rsidP="002A6C64">
      <w:pPr>
        <w:spacing w:line="480" w:lineRule="auto"/>
        <w:jc w:val="both"/>
        <w:rPr>
          <w:rFonts w:ascii="Garamond" w:hAnsi="Garamond"/>
        </w:rPr>
      </w:pPr>
      <w:r>
        <w:rPr>
          <w:rFonts w:ascii="Garamond" w:hAnsi="Garamond"/>
        </w:rPr>
        <w:tab/>
        <w:t>The three chapters of the book’s six</w:t>
      </w:r>
      <w:r w:rsidR="002918DF">
        <w:rPr>
          <w:rFonts w:ascii="Garamond" w:hAnsi="Garamond"/>
        </w:rPr>
        <w:t>th</w:t>
      </w:r>
      <w:r>
        <w:rPr>
          <w:rFonts w:ascii="Garamond" w:hAnsi="Garamond"/>
        </w:rPr>
        <w:t xml:space="preserve"> and final section are dedicated to Spinoza’s ethics and political philosophy. Following a</w:t>
      </w:r>
      <w:r w:rsidR="00EC3B4E">
        <w:rPr>
          <w:rFonts w:ascii="Garamond" w:hAnsi="Garamond"/>
        </w:rPr>
        <w:t>n incisive</w:t>
      </w:r>
      <w:r>
        <w:rPr>
          <w:rFonts w:ascii="Garamond" w:hAnsi="Garamond"/>
        </w:rPr>
        <w:t xml:space="preserve"> study of Spinoza’s “Free Man” – the </w:t>
      </w:r>
      <w:r w:rsidRPr="00AE42A8">
        <w:rPr>
          <w:rFonts w:ascii="Garamond" w:hAnsi="Garamond"/>
          <w:i/>
          <w:iCs/>
        </w:rPr>
        <w:t>Ethics</w:t>
      </w:r>
      <w:r>
        <w:rPr>
          <w:rFonts w:ascii="Garamond" w:hAnsi="Garamond"/>
        </w:rPr>
        <w:t>’ model of a fully rational person</w:t>
      </w:r>
      <w:r w:rsidR="00EC3B4E">
        <w:rPr>
          <w:rFonts w:ascii="Garamond" w:hAnsi="Garamond"/>
        </w:rPr>
        <w:t xml:space="preserve"> (Ch. 16)</w:t>
      </w:r>
      <w:r w:rsidR="00EB3245">
        <w:rPr>
          <w:rFonts w:ascii="Garamond" w:hAnsi="Garamond"/>
        </w:rPr>
        <w:t xml:space="preserve"> </w:t>
      </w:r>
      <w:r w:rsidR="002A6C64">
        <w:rPr>
          <w:rFonts w:ascii="Garamond" w:hAnsi="Garamond"/>
        </w:rPr>
        <w:t>–</w:t>
      </w:r>
      <w:r w:rsidR="00EC3B4E">
        <w:rPr>
          <w:rFonts w:ascii="Garamond" w:hAnsi="Garamond"/>
        </w:rPr>
        <w:t xml:space="preserve"> Garrett turns to provide a </w:t>
      </w:r>
      <w:r w:rsidR="009E270C">
        <w:rPr>
          <w:rFonts w:ascii="Garamond" w:hAnsi="Garamond"/>
        </w:rPr>
        <w:t xml:space="preserve">well-rounded </w:t>
      </w:r>
      <w:r w:rsidR="00EC3B4E">
        <w:rPr>
          <w:rFonts w:ascii="Garamond" w:hAnsi="Garamond"/>
        </w:rPr>
        <w:t>account of the various strands of Spinoza’s moral theory and their p</w:t>
      </w:r>
      <w:r w:rsidR="00F46B36">
        <w:rPr>
          <w:rFonts w:ascii="Garamond" w:hAnsi="Garamond"/>
        </w:rPr>
        <w:t>s</w:t>
      </w:r>
      <w:r w:rsidR="00EC3B4E">
        <w:rPr>
          <w:rFonts w:ascii="Garamond" w:hAnsi="Garamond"/>
        </w:rPr>
        <w:t>yc</w:t>
      </w:r>
      <w:r w:rsidR="00F46B36">
        <w:rPr>
          <w:rFonts w:ascii="Garamond" w:hAnsi="Garamond"/>
        </w:rPr>
        <w:t>h</w:t>
      </w:r>
      <w:r w:rsidR="00EC3B4E">
        <w:rPr>
          <w:rFonts w:ascii="Garamond" w:hAnsi="Garamond"/>
        </w:rPr>
        <w:t xml:space="preserve">ological, and ultimately metaphysical, grounds (Ch. 17). The book concludes with a chapter that </w:t>
      </w:r>
      <w:r w:rsidR="003E6364">
        <w:rPr>
          <w:rFonts w:ascii="Garamond" w:hAnsi="Garamond"/>
        </w:rPr>
        <w:t>compares</w:t>
      </w:r>
      <w:r w:rsidR="00EC3B4E">
        <w:rPr>
          <w:rFonts w:ascii="Garamond" w:hAnsi="Garamond"/>
        </w:rPr>
        <w:t xml:space="preserve"> Spinoza’s views on the nature of right, power</w:t>
      </w:r>
      <w:r w:rsidR="003E6364">
        <w:rPr>
          <w:rFonts w:ascii="Garamond" w:hAnsi="Garamond"/>
        </w:rPr>
        <w:t>,</w:t>
      </w:r>
      <w:r w:rsidR="00EC3B4E">
        <w:rPr>
          <w:rFonts w:ascii="Garamond" w:hAnsi="Garamond"/>
        </w:rPr>
        <w:t xml:space="preserve"> and the validity of social contract with </w:t>
      </w:r>
      <w:r w:rsidR="00EB3245">
        <w:rPr>
          <w:rFonts w:ascii="Garamond" w:hAnsi="Garamond"/>
        </w:rPr>
        <w:t xml:space="preserve">the views of </w:t>
      </w:r>
      <w:r w:rsidR="00EC3B4E">
        <w:rPr>
          <w:rFonts w:ascii="Garamond" w:hAnsi="Garamond"/>
        </w:rPr>
        <w:t>Hobbes.</w:t>
      </w:r>
      <w:r w:rsidR="00AA24FA">
        <w:rPr>
          <w:rFonts w:ascii="Garamond" w:hAnsi="Garamond"/>
        </w:rPr>
        <w:t xml:space="preserve"> While both Hobbes and Spinoza ground much of their politics in the human striv</w:t>
      </w:r>
      <w:r w:rsidR="000F1E74">
        <w:rPr>
          <w:rFonts w:ascii="Garamond" w:hAnsi="Garamond"/>
        </w:rPr>
        <w:t>ing</w:t>
      </w:r>
      <w:r w:rsidR="00AA24FA">
        <w:rPr>
          <w:rFonts w:ascii="Garamond" w:hAnsi="Garamond"/>
        </w:rPr>
        <w:t xml:space="preserve"> for self-preservation, Garrett </w:t>
      </w:r>
      <w:r w:rsidR="00582FA1">
        <w:rPr>
          <w:rFonts w:ascii="Garamond" w:hAnsi="Garamond"/>
        </w:rPr>
        <w:t xml:space="preserve">perceptively </w:t>
      </w:r>
      <w:r w:rsidR="000F1E74">
        <w:rPr>
          <w:rFonts w:ascii="Garamond" w:hAnsi="Garamond"/>
        </w:rPr>
        <w:t xml:space="preserve">notes </w:t>
      </w:r>
      <w:r w:rsidR="00AA24FA">
        <w:rPr>
          <w:rFonts w:ascii="Garamond" w:hAnsi="Garamond"/>
        </w:rPr>
        <w:t xml:space="preserve">significant differences in </w:t>
      </w:r>
      <w:r w:rsidR="000F1E74">
        <w:rPr>
          <w:rFonts w:ascii="Garamond" w:hAnsi="Garamond"/>
        </w:rPr>
        <w:t xml:space="preserve">their </w:t>
      </w:r>
      <w:r w:rsidR="00AA24FA">
        <w:rPr>
          <w:rFonts w:ascii="Garamond" w:hAnsi="Garamond"/>
        </w:rPr>
        <w:t xml:space="preserve">understanding what self-preservation is.  </w:t>
      </w:r>
      <w:r w:rsidR="00036E21">
        <w:rPr>
          <w:rFonts w:ascii="Garamond" w:hAnsi="Garamond"/>
        </w:rPr>
        <w:tab/>
      </w:r>
    </w:p>
    <w:p w14:paraId="133B0C55" w14:textId="65CF86E9" w:rsidR="003C52E4" w:rsidRDefault="00036E21" w:rsidP="003C52E4">
      <w:pPr>
        <w:spacing w:line="480" w:lineRule="auto"/>
        <w:jc w:val="both"/>
        <w:rPr>
          <w:rFonts w:ascii="Garamond" w:hAnsi="Garamond"/>
        </w:rPr>
      </w:pPr>
      <w:r>
        <w:rPr>
          <w:rFonts w:ascii="Garamond" w:hAnsi="Garamond"/>
        </w:rPr>
        <w:tab/>
        <w:t xml:space="preserve">In the remainder of this review I </w:t>
      </w:r>
      <w:r w:rsidR="00CC75AA">
        <w:rPr>
          <w:rFonts w:ascii="Garamond" w:hAnsi="Garamond"/>
        </w:rPr>
        <w:t xml:space="preserve">would like to </w:t>
      </w:r>
      <w:r w:rsidR="007428F1">
        <w:rPr>
          <w:rFonts w:ascii="Garamond" w:hAnsi="Garamond"/>
        </w:rPr>
        <w:t>look closely at one crucial revision Garrett suggests</w:t>
      </w:r>
      <w:r w:rsidR="008F400C">
        <w:rPr>
          <w:rFonts w:ascii="Garamond" w:hAnsi="Garamond"/>
        </w:rPr>
        <w:t xml:space="preserve"> </w:t>
      </w:r>
      <w:r w:rsidR="007428F1">
        <w:rPr>
          <w:rFonts w:ascii="Garamond" w:hAnsi="Garamond"/>
        </w:rPr>
        <w:t xml:space="preserve">to </w:t>
      </w:r>
      <w:r>
        <w:rPr>
          <w:rFonts w:ascii="Garamond" w:hAnsi="Garamond"/>
        </w:rPr>
        <w:t>the earliest</w:t>
      </w:r>
      <w:r w:rsidR="008F400C">
        <w:rPr>
          <w:rFonts w:ascii="Garamond" w:hAnsi="Garamond"/>
        </w:rPr>
        <w:t xml:space="preserve"> article in the </w:t>
      </w:r>
      <w:r w:rsidR="004678B3">
        <w:rPr>
          <w:rFonts w:ascii="Garamond" w:hAnsi="Garamond"/>
        </w:rPr>
        <w:t>volume</w:t>
      </w:r>
      <w:r w:rsidR="00041487">
        <w:rPr>
          <w:rFonts w:ascii="Garamond" w:hAnsi="Garamond"/>
        </w:rPr>
        <w:t>.</w:t>
      </w:r>
      <w:r w:rsidR="008F400C">
        <w:rPr>
          <w:rFonts w:ascii="Garamond" w:hAnsi="Garamond"/>
        </w:rPr>
        <w:t xml:space="preserve"> </w:t>
      </w:r>
      <w:r w:rsidR="009E270C">
        <w:rPr>
          <w:rFonts w:ascii="Garamond" w:hAnsi="Garamond"/>
        </w:rPr>
        <w:t>His</w:t>
      </w:r>
      <w:r w:rsidR="008F400C">
        <w:rPr>
          <w:rFonts w:ascii="Garamond" w:hAnsi="Garamond"/>
        </w:rPr>
        <w:t xml:space="preserve"> 1979 piece “Spinoza’s ‘Ontological’ Argument” appeared in this journal while he was still in graduate school. The article is a</w:t>
      </w:r>
      <w:r w:rsidR="003C52E4">
        <w:rPr>
          <w:rFonts w:ascii="Garamond" w:hAnsi="Garamond"/>
        </w:rPr>
        <w:t xml:space="preserve"> </w:t>
      </w:r>
      <w:r w:rsidR="008F400C">
        <w:rPr>
          <w:rFonts w:ascii="Garamond" w:hAnsi="Garamond"/>
        </w:rPr>
        <w:t xml:space="preserve">landmark </w:t>
      </w:r>
      <w:r w:rsidR="002E4A14">
        <w:rPr>
          <w:rFonts w:ascii="Garamond" w:hAnsi="Garamond"/>
        </w:rPr>
        <w:t xml:space="preserve">of </w:t>
      </w:r>
      <w:r w:rsidR="008F400C">
        <w:rPr>
          <w:rFonts w:ascii="Garamond" w:hAnsi="Garamond"/>
        </w:rPr>
        <w:t>Spinoza scholarship not only because of its unprecedented</w:t>
      </w:r>
      <w:r w:rsidR="00AB71C7">
        <w:rPr>
          <w:rFonts w:ascii="Garamond" w:hAnsi="Garamond"/>
        </w:rPr>
        <w:t>ly</w:t>
      </w:r>
      <w:r w:rsidR="008F400C">
        <w:rPr>
          <w:rFonts w:ascii="Garamond" w:hAnsi="Garamond"/>
        </w:rPr>
        <w:t xml:space="preserve"> high-resolution analysis of Spinoza’s proofs, but also because it introduces </w:t>
      </w:r>
      <w:r w:rsidR="002E4A14">
        <w:rPr>
          <w:rFonts w:ascii="Garamond" w:hAnsi="Garamond"/>
        </w:rPr>
        <w:t>the term “principle of sufficient reason”</w:t>
      </w:r>
      <w:r w:rsidR="003C52E4">
        <w:rPr>
          <w:rFonts w:ascii="Garamond" w:hAnsi="Garamond"/>
        </w:rPr>
        <w:t xml:space="preserve"> [=PSR]</w:t>
      </w:r>
      <w:r w:rsidR="002E4A14">
        <w:rPr>
          <w:rFonts w:ascii="Garamond" w:hAnsi="Garamond"/>
        </w:rPr>
        <w:t xml:space="preserve"> as a </w:t>
      </w:r>
      <w:r w:rsidR="003E6364">
        <w:rPr>
          <w:rFonts w:ascii="Garamond" w:hAnsi="Garamond"/>
        </w:rPr>
        <w:t xml:space="preserve">label </w:t>
      </w:r>
      <w:r w:rsidR="002E4A14">
        <w:rPr>
          <w:rFonts w:ascii="Garamond" w:hAnsi="Garamond"/>
        </w:rPr>
        <w:t>for Spinoza’s insistence that every state of affair</w:t>
      </w:r>
      <w:r w:rsidR="00AB71C7">
        <w:rPr>
          <w:rFonts w:ascii="Garamond" w:hAnsi="Garamond"/>
        </w:rPr>
        <w:t>s</w:t>
      </w:r>
      <w:r w:rsidR="002E4A14">
        <w:rPr>
          <w:rFonts w:ascii="Garamond" w:hAnsi="Garamond"/>
        </w:rPr>
        <w:t xml:space="preserve">, or its absence, must have a </w:t>
      </w:r>
      <w:r w:rsidR="00CD6E5C">
        <w:rPr>
          <w:rFonts w:ascii="Garamond" w:hAnsi="Garamond"/>
        </w:rPr>
        <w:t xml:space="preserve">complete </w:t>
      </w:r>
      <w:r w:rsidR="002E4A14">
        <w:rPr>
          <w:rFonts w:ascii="Garamond" w:hAnsi="Garamond"/>
        </w:rPr>
        <w:t>explanation</w:t>
      </w:r>
      <w:r w:rsidR="00CE0588">
        <w:rPr>
          <w:rFonts w:ascii="Garamond" w:hAnsi="Garamond"/>
        </w:rPr>
        <w:t>.</w:t>
      </w:r>
      <w:r w:rsidR="003C52E4">
        <w:rPr>
          <w:rFonts w:ascii="Garamond" w:hAnsi="Garamond"/>
        </w:rPr>
        <w:t xml:space="preserve"> </w:t>
      </w:r>
      <w:r w:rsidR="00CE0588">
        <w:rPr>
          <w:rFonts w:ascii="Garamond" w:hAnsi="Garamond"/>
        </w:rPr>
        <w:t>T</w:t>
      </w:r>
      <w:r w:rsidR="003C52E4">
        <w:rPr>
          <w:rFonts w:ascii="Garamond" w:hAnsi="Garamond"/>
        </w:rPr>
        <w:t xml:space="preserve">he centrality of the PSR in Spinoza has been elegantly </w:t>
      </w:r>
      <w:r w:rsidR="005F71C2">
        <w:rPr>
          <w:rFonts w:ascii="Garamond" w:hAnsi="Garamond"/>
        </w:rPr>
        <w:t xml:space="preserve">and convincingly </w:t>
      </w:r>
      <w:r w:rsidR="003C52E4">
        <w:rPr>
          <w:rFonts w:ascii="Garamond" w:hAnsi="Garamond"/>
        </w:rPr>
        <w:t>demonstrated in Michael Della Rocca’s recent</w:t>
      </w:r>
      <w:r w:rsidR="00CE0588">
        <w:rPr>
          <w:rFonts w:ascii="Garamond" w:hAnsi="Garamond"/>
        </w:rPr>
        <w:t xml:space="preserve"> and most</w:t>
      </w:r>
      <w:r w:rsidR="003C52E4">
        <w:rPr>
          <w:rFonts w:ascii="Garamond" w:hAnsi="Garamond"/>
        </w:rPr>
        <w:t xml:space="preserve"> infl</w:t>
      </w:r>
      <w:r w:rsidR="00CE0588">
        <w:rPr>
          <w:rFonts w:ascii="Garamond" w:hAnsi="Garamond"/>
        </w:rPr>
        <w:t>u</w:t>
      </w:r>
      <w:r w:rsidR="003C52E4">
        <w:rPr>
          <w:rFonts w:ascii="Garamond" w:hAnsi="Garamond"/>
        </w:rPr>
        <w:t>ential work.</w:t>
      </w:r>
    </w:p>
    <w:p w14:paraId="32C50D21" w14:textId="6CFD590C" w:rsidR="0070687A" w:rsidRDefault="00CE0588" w:rsidP="003C52E4">
      <w:pPr>
        <w:spacing w:line="480" w:lineRule="auto"/>
        <w:jc w:val="both"/>
        <w:rPr>
          <w:rFonts w:ascii="Garamond" w:hAnsi="Garamond"/>
        </w:rPr>
      </w:pPr>
      <w:r>
        <w:rPr>
          <w:rFonts w:ascii="Garamond" w:hAnsi="Garamond"/>
        </w:rPr>
        <w:tab/>
      </w:r>
      <w:r w:rsidR="002E4A14">
        <w:rPr>
          <w:rFonts w:ascii="Garamond" w:hAnsi="Garamond"/>
        </w:rPr>
        <w:t xml:space="preserve"> </w:t>
      </w:r>
      <w:r w:rsidR="000116BB">
        <w:rPr>
          <w:rFonts w:ascii="Garamond" w:hAnsi="Garamond"/>
        </w:rPr>
        <w:t xml:space="preserve">In E1p11 Spinoza </w:t>
      </w:r>
      <w:r w:rsidR="004678B3">
        <w:rPr>
          <w:rFonts w:ascii="Garamond" w:hAnsi="Garamond"/>
        </w:rPr>
        <w:t>offers</w:t>
      </w:r>
      <w:r w:rsidR="000116BB">
        <w:rPr>
          <w:rFonts w:ascii="Garamond" w:hAnsi="Garamond"/>
        </w:rPr>
        <w:t xml:space="preserve"> four </w:t>
      </w:r>
      <w:r w:rsidR="00C168E5">
        <w:rPr>
          <w:rFonts w:ascii="Garamond" w:hAnsi="Garamond"/>
        </w:rPr>
        <w:t xml:space="preserve">arguments </w:t>
      </w:r>
      <w:r w:rsidR="000116BB">
        <w:rPr>
          <w:rFonts w:ascii="Garamond" w:hAnsi="Garamond"/>
        </w:rPr>
        <w:t>for the existence</w:t>
      </w:r>
      <w:r w:rsidR="004678B3">
        <w:rPr>
          <w:rFonts w:ascii="Garamond" w:hAnsi="Garamond"/>
        </w:rPr>
        <w:t xml:space="preserve"> of God</w:t>
      </w:r>
      <w:r w:rsidR="000116BB">
        <w:rPr>
          <w:rFonts w:ascii="Garamond" w:hAnsi="Garamond"/>
        </w:rPr>
        <w:t xml:space="preserve">, i.e., a substance having infinitely many attributes. </w:t>
      </w:r>
      <w:r w:rsidR="004678B3">
        <w:rPr>
          <w:rFonts w:ascii="Garamond" w:hAnsi="Garamond"/>
        </w:rPr>
        <w:t xml:space="preserve">The first of these four arguments – slightly simplified – relies on the definition of God as a substance and on Spinoza’s proof that a substance cannot be </w:t>
      </w:r>
      <w:r w:rsidR="00563D56">
        <w:rPr>
          <w:rFonts w:ascii="Garamond" w:hAnsi="Garamond"/>
        </w:rPr>
        <w:t>caused, or produced, by anything else (E1p6</w:t>
      </w:r>
      <w:r>
        <w:rPr>
          <w:rFonts w:ascii="Garamond" w:hAnsi="Garamond"/>
        </w:rPr>
        <w:t>c</w:t>
      </w:r>
      <w:r w:rsidR="00563D56">
        <w:rPr>
          <w:rFonts w:ascii="Garamond" w:hAnsi="Garamond"/>
        </w:rPr>
        <w:t xml:space="preserve">). Assuming tacitly that everything must have a </w:t>
      </w:r>
      <w:r w:rsidR="00563D56">
        <w:rPr>
          <w:rFonts w:ascii="Garamond" w:hAnsi="Garamond"/>
        </w:rPr>
        <w:lastRenderedPageBreak/>
        <w:t xml:space="preserve">cause, Spinoza infers in E1p7 that since a substance cannot be caused by anything else, it must be a cause of itself, or – per the definition of </w:t>
      </w:r>
      <w:r w:rsidR="00563D56" w:rsidRPr="00563D56">
        <w:rPr>
          <w:rFonts w:ascii="Garamond" w:hAnsi="Garamond"/>
          <w:i/>
          <w:iCs/>
        </w:rPr>
        <w:t>causa sui</w:t>
      </w:r>
      <w:r w:rsidR="00563D56">
        <w:rPr>
          <w:rFonts w:ascii="Garamond" w:hAnsi="Garamond"/>
        </w:rPr>
        <w:t xml:space="preserve"> in E1d1 – </w:t>
      </w:r>
      <w:r w:rsidR="00CD6E5C">
        <w:rPr>
          <w:rFonts w:ascii="Garamond" w:hAnsi="Garamond"/>
        </w:rPr>
        <w:t xml:space="preserve">that </w:t>
      </w:r>
      <w:r w:rsidR="00563D56">
        <w:rPr>
          <w:rFonts w:ascii="Garamond" w:hAnsi="Garamond"/>
        </w:rPr>
        <w:t>it must have a nature, or essence, which necessitates its existence.</w:t>
      </w:r>
      <w:r w:rsidR="0070687A">
        <w:rPr>
          <w:rFonts w:ascii="Garamond" w:hAnsi="Garamond"/>
        </w:rPr>
        <w:t xml:space="preserve"> From the proposition that each substance has a nature which necessitates its existence (E1p7), and the definition of God as a substance (E1d6), Spinoza seems to be entitled to infer</w:t>
      </w:r>
      <w:r w:rsidR="00540D97">
        <w:rPr>
          <w:rFonts w:ascii="Garamond" w:hAnsi="Garamond"/>
        </w:rPr>
        <w:t xml:space="preserve"> in the first proof of E1p11</w:t>
      </w:r>
      <w:r w:rsidR="0070687A">
        <w:rPr>
          <w:rFonts w:ascii="Garamond" w:hAnsi="Garamond"/>
        </w:rPr>
        <w:t xml:space="preserve"> that God necessarily exists </w:t>
      </w:r>
      <w:r w:rsidR="00CD6E5C">
        <w:rPr>
          <w:rFonts w:ascii="Garamond" w:hAnsi="Garamond"/>
        </w:rPr>
        <w:t>insofar as</w:t>
      </w:r>
      <w:r w:rsidR="0070687A">
        <w:rPr>
          <w:rFonts w:ascii="Garamond" w:hAnsi="Garamond"/>
        </w:rPr>
        <w:t xml:space="preserve"> it has a nature, or essence, which necessitates its existence.</w:t>
      </w:r>
    </w:p>
    <w:p w14:paraId="5F8FD6A4" w14:textId="58A54ECD" w:rsidR="00540D97" w:rsidRDefault="00540D97" w:rsidP="00AE468C">
      <w:pPr>
        <w:spacing w:line="480" w:lineRule="auto"/>
        <w:jc w:val="both"/>
        <w:rPr>
          <w:rFonts w:ascii="Garamond" w:hAnsi="Garamond"/>
        </w:rPr>
      </w:pPr>
      <w:r>
        <w:rPr>
          <w:rFonts w:ascii="Garamond" w:hAnsi="Garamond"/>
        </w:rPr>
        <w:tab/>
        <w:t xml:space="preserve"> Challenging this proof, Garrett writes in 1979: “…even if Spinoza’s principle of sufficient reason is granted, however, it follows only that every actually </w:t>
      </w:r>
      <w:r w:rsidRPr="00DF3857">
        <w:rPr>
          <w:rFonts w:ascii="Garamond" w:hAnsi="Garamond"/>
          <w:i/>
          <w:iCs/>
        </w:rPr>
        <w:t>existing</w:t>
      </w:r>
      <w:r>
        <w:rPr>
          <w:rFonts w:ascii="Garamond" w:hAnsi="Garamond"/>
        </w:rPr>
        <w:t xml:space="preserve"> substance is self-caused, and so has an essence involving existence. For a possible substance might fail to have some other thing for its cause, and fail to be the cause of itself, and yet not to be exiting-without-a-cause – by not existing at all…</w:t>
      </w:r>
      <w:r w:rsidR="00662509">
        <w:rPr>
          <w:rFonts w:ascii="Garamond" w:hAnsi="Garamond"/>
        </w:rPr>
        <w:t>[T]</w:t>
      </w:r>
      <w:r>
        <w:rPr>
          <w:rFonts w:ascii="Garamond" w:hAnsi="Garamond"/>
        </w:rPr>
        <w:t xml:space="preserve">he first proof of E1p11 could show only that </w:t>
      </w:r>
      <w:r w:rsidRPr="00540D97">
        <w:rPr>
          <w:rFonts w:ascii="Garamond" w:hAnsi="Garamond"/>
          <w:i/>
          <w:iCs/>
        </w:rPr>
        <w:t>if</w:t>
      </w:r>
      <w:r>
        <w:rPr>
          <w:rFonts w:ascii="Garamond" w:hAnsi="Garamond"/>
        </w:rPr>
        <w:t xml:space="preserve"> God exists at all, </w:t>
      </w:r>
      <w:r w:rsidRPr="00540D97">
        <w:rPr>
          <w:rFonts w:ascii="Garamond" w:hAnsi="Garamond"/>
          <w:i/>
          <w:iCs/>
        </w:rPr>
        <w:t xml:space="preserve">then </w:t>
      </w:r>
      <w:r>
        <w:rPr>
          <w:rFonts w:ascii="Garamond" w:hAnsi="Garamond"/>
        </w:rPr>
        <w:t>He exists necessarily” (36).</w:t>
      </w:r>
      <w:r w:rsidR="00DF3857">
        <w:rPr>
          <w:rFonts w:ascii="Garamond" w:hAnsi="Garamond"/>
        </w:rPr>
        <w:t xml:space="preserve"> These words – which ec</w:t>
      </w:r>
      <w:r w:rsidR="000C00EF">
        <w:rPr>
          <w:rFonts w:ascii="Garamond" w:hAnsi="Garamond"/>
        </w:rPr>
        <w:t>h</w:t>
      </w:r>
      <w:r w:rsidR="00DF3857">
        <w:rPr>
          <w:rFonts w:ascii="Garamond" w:hAnsi="Garamond"/>
        </w:rPr>
        <w:t xml:space="preserve">o a common and widely accepted critique of the ontological argument – are withdrawn in Garrett’s recent postscript to the article in which </w:t>
      </w:r>
      <w:r w:rsidR="005944D0">
        <w:rPr>
          <w:rFonts w:ascii="Garamond" w:hAnsi="Garamond"/>
        </w:rPr>
        <w:t xml:space="preserve">he </w:t>
      </w:r>
      <w:r w:rsidR="00DF3857">
        <w:rPr>
          <w:rFonts w:ascii="Garamond" w:hAnsi="Garamond"/>
        </w:rPr>
        <w:t>asserts that a possible being with an essence</w:t>
      </w:r>
      <w:r w:rsidR="005944D0">
        <w:rPr>
          <w:rFonts w:ascii="Garamond" w:hAnsi="Garamond"/>
        </w:rPr>
        <w:t xml:space="preserve"> “which did </w:t>
      </w:r>
      <w:r w:rsidR="005944D0" w:rsidRPr="005944D0">
        <w:rPr>
          <w:rFonts w:ascii="Garamond" w:hAnsi="Garamond"/>
          <w:i/>
          <w:iCs/>
        </w:rPr>
        <w:t>not</w:t>
      </w:r>
      <w:r w:rsidR="005944D0">
        <w:rPr>
          <w:rFonts w:ascii="Garamond" w:hAnsi="Garamond"/>
        </w:rPr>
        <w:t xml:space="preserve"> involve existence would not even be a </w:t>
      </w:r>
      <w:r w:rsidR="005944D0" w:rsidRPr="005944D0">
        <w:rPr>
          <w:rFonts w:ascii="Garamond" w:hAnsi="Garamond"/>
          <w:i/>
          <w:iCs/>
        </w:rPr>
        <w:t>possible</w:t>
      </w:r>
      <w:r w:rsidR="005944D0">
        <w:rPr>
          <w:rFonts w:ascii="Garamond" w:hAnsi="Garamond"/>
        </w:rPr>
        <w:t xml:space="preserve"> substance” (56).</w:t>
      </w:r>
      <w:r w:rsidR="00DF3857">
        <w:rPr>
          <w:rFonts w:ascii="Garamond" w:hAnsi="Garamond"/>
        </w:rPr>
        <w:t xml:space="preserve"> </w:t>
      </w:r>
      <w:r w:rsidR="005944D0">
        <w:rPr>
          <w:rFonts w:ascii="Garamond" w:hAnsi="Garamond"/>
        </w:rPr>
        <w:t>Why?</w:t>
      </w:r>
      <w:r w:rsidR="000F30ED">
        <w:rPr>
          <w:rFonts w:ascii="Garamond" w:hAnsi="Garamond"/>
        </w:rPr>
        <w:t xml:space="preserve"> Consider a</w:t>
      </w:r>
      <w:r w:rsidR="00AE468C">
        <w:rPr>
          <w:rFonts w:ascii="Garamond" w:hAnsi="Garamond"/>
        </w:rPr>
        <w:t>n alleged</w:t>
      </w:r>
      <w:r w:rsidR="000F30ED">
        <w:rPr>
          <w:rFonts w:ascii="Garamond" w:hAnsi="Garamond"/>
        </w:rPr>
        <w:t xml:space="preserve"> possible substance </w:t>
      </w:r>
      <w:r w:rsidR="001F1A9A" w:rsidRPr="00AE468C">
        <w:rPr>
          <w:rFonts w:ascii="Garamond" w:hAnsi="Garamond"/>
          <w:i/>
          <w:iCs/>
        </w:rPr>
        <w:t>s</w:t>
      </w:r>
      <w:r w:rsidR="000F30ED">
        <w:rPr>
          <w:rFonts w:ascii="Garamond" w:hAnsi="Garamond"/>
        </w:rPr>
        <w:t xml:space="preserve">. This </w:t>
      </w:r>
      <w:r w:rsidR="00AE468C">
        <w:rPr>
          <w:rFonts w:ascii="Garamond" w:hAnsi="Garamond"/>
        </w:rPr>
        <w:t xml:space="preserve">alleged </w:t>
      </w:r>
      <w:r w:rsidR="000F30ED">
        <w:rPr>
          <w:rFonts w:ascii="Garamond" w:hAnsi="Garamond"/>
        </w:rPr>
        <w:t xml:space="preserve">substance may not be instantiated in the actual world, but </w:t>
      </w:r>
      <w:r w:rsidR="00AE468C">
        <w:rPr>
          <w:rFonts w:ascii="Garamond" w:hAnsi="Garamond"/>
        </w:rPr>
        <w:t>insofar as</w:t>
      </w:r>
      <w:r w:rsidR="000F30ED">
        <w:rPr>
          <w:rFonts w:ascii="Garamond" w:hAnsi="Garamond"/>
        </w:rPr>
        <w:t xml:space="preserve"> </w:t>
      </w:r>
      <w:r w:rsidR="00AE468C">
        <w:rPr>
          <w:rFonts w:ascii="Garamond" w:hAnsi="Garamond"/>
        </w:rPr>
        <w:t xml:space="preserve">this thing is </w:t>
      </w:r>
      <w:r w:rsidR="000F30ED">
        <w:rPr>
          <w:rFonts w:ascii="Garamond" w:hAnsi="Garamond"/>
        </w:rPr>
        <w:t>possible</w:t>
      </w:r>
      <w:r w:rsidR="00AE468C">
        <w:rPr>
          <w:rFonts w:ascii="Garamond" w:hAnsi="Garamond"/>
        </w:rPr>
        <w:t>,</w:t>
      </w:r>
      <w:r w:rsidR="000F30ED">
        <w:rPr>
          <w:rFonts w:ascii="Garamond" w:hAnsi="Garamond"/>
        </w:rPr>
        <w:t xml:space="preserve"> there </w:t>
      </w:r>
      <w:r w:rsidR="00CD6E5C">
        <w:rPr>
          <w:rFonts w:ascii="Garamond" w:hAnsi="Garamond"/>
        </w:rPr>
        <w:t xml:space="preserve">is </w:t>
      </w:r>
      <w:r w:rsidR="000F30ED">
        <w:rPr>
          <w:rFonts w:ascii="Garamond" w:hAnsi="Garamond"/>
        </w:rPr>
        <w:t xml:space="preserve">a </w:t>
      </w:r>
      <w:r w:rsidR="00CD6E5C">
        <w:rPr>
          <w:rFonts w:ascii="Garamond" w:hAnsi="Garamond"/>
        </w:rPr>
        <w:t xml:space="preserve">possible </w:t>
      </w:r>
      <w:r w:rsidR="000F30ED">
        <w:rPr>
          <w:rFonts w:ascii="Garamond" w:hAnsi="Garamond"/>
        </w:rPr>
        <w:t xml:space="preserve">world </w:t>
      </w:r>
      <w:r w:rsidR="001F1A9A" w:rsidRPr="001F1A9A">
        <w:rPr>
          <w:rFonts w:ascii="Garamond" w:hAnsi="Garamond"/>
          <w:i/>
          <w:iCs/>
        </w:rPr>
        <w:t>w</w:t>
      </w:r>
      <w:r w:rsidR="000F30ED">
        <w:rPr>
          <w:rFonts w:ascii="Garamond" w:hAnsi="Garamond"/>
        </w:rPr>
        <w:t xml:space="preserve"> in which </w:t>
      </w:r>
      <w:r w:rsidR="00AE468C" w:rsidRPr="00AE468C">
        <w:rPr>
          <w:rFonts w:ascii="Garamond" w:hAnsi="Garamond"/>
          <w:i/>
          <w:iCs/>
        </w:rPr>
        <w:t>s</w:t>
      </w:r>
      <w:r w:rsidR="000F30ED">
        <w:rPr>
          <w:rFonts w:ascii="Garamond" w:hAnsi="Garamond"/>
        </w:rPr>
        <w:t xml:space="preserve"> is instantiated. Assuming that the definitions and axioms of Part One of the </w:t>
      </w:r>
      <w:r w:rsidR="000F30ED" w:rsidRPr="00F46494">
        <w:rPr>
          <w:rFonts w:ascii="Garamond" w:hAnsi="Garamond"/>
          <w:i/>
          <w:iCs/>
        </w:rPr>
        <w:t>Ethics</w:t>
      </w:r>
      <w:r w:rsidR="00F46494">
        <w:rPr>
          <w:rFonts w:ascii="Garamond" w:hAnsi="Garamond"/>
        </w:rPr>
        <w:t xml:space="preserve"> are necessary,</w:t>
      </w:r>
      <w:r w:rsidR="00F46494">
        <w:rPr>
          <w:rStyle w:val="FootnoteReference"/>
          <w:rFonts w:ascii="Garamond" w:hAnsi="Garamond"/>
        </w:rPr>
        <w:footnoteReference w:id="2"/>
      </w:r>
      <w:r w:rsidR="00F46494">
        <w:rPr>
          <w:rFonts w:ascii="Garamond" w:hAnsi="Garamond"/>
        </w:rPr>
        <w:t xml:space="preserve"> they</w:t>
      </w:r>
      <w:r w:rsidR="00AE468C">
        <w:rPr>
          <w:rFonts w:ascii="Garamond" w:hAnsi="Garamond"/>
        </w:rPr>
        <w:t xml:space="preserve"> are</w:t>
      </w:r>
      <w:r w:rsidR="00F46494">
        <w:rPr>
          <w:rFonts w:ascii="Garamond" w:hAnsi="Garamond"/>
        </w:rPr>
        <w:t xml:space="preserve"> all </w:t>
      </w:r>
      <w:r w:rsidR="00AE468C">
        <w:rPr>
          <w:rFonts w:ascii="Garamond" w:hAnsi="Garamond"/>
        </w:rPr>
        <w:t>true</w:t>
      </w:r>
      <w:r w:rsidR="00F46494">
        <w:rPr>
          <w:rFonts w:ascii="Garamond" w:hAnsi="Garamond"/>
        </w:rPr>
        <w:t xml:space="preserve"> in </w:t>
      </w:r>
      <w:r w:rsidR="00AE468C" w:rsidRPr="00AE468C">
        <w:rPr>
          <w:rFonts w:ascii="Garamond" w:hAnsi="Garamond"/>
          <w:i/>
          <w:iCs/>
        </w:rPr>
        <w:t>w</w:t>
      </w:r>
      <w:r w:rsidR="00F46494">
        <w:rPr>
          <w:rFonts w:ascii="Garamond" w:hAnsi="Garamond"/>
        </w:rPr>
        <w:t xml:space="preserve">. </w:t>
      </w:r>
      <w:r w:rsidR="00AE468C">
        <w:rPr>
          <w:rFonts w:ascii="Garamond" w:hAnsi="Garamond"/>
        </w:rPr>
        <w:lastRenderedPageBreak/>
        <w:t xml:space="preserve">Insofar as E1p7 follows necessarily from these definitions and axioms, E1p7 too is true in </w:t>
      </w:r>
      <w:r w:rsidR="00AE468C" w:rsidRPr="00AE468C">
        <w:rPr>
          <w:rFonts w:ascii="Garamond" w:hAnsi="Garamond"/>
          <w:i/>
          <w:iCs/>
        </w:rPr>
        <w:t>w</w:t>
      </w:r>
      <w:r w:rsidR="00AE468C">
        <w:rPr>
          <w:rFonts w:ascii="Garamond" w:hAnsi="Garamond"/>
        </w:rPr>
        <w:t xml:space="preserve">. </w:t>
      </w:r>
      <w:r w:rsidR="00F46494">
        <w:rPr>
          <w:rFonts w:ascii="Garamond" w:hAnsi="Garamond"/>
        </w:rPr>
        <w:t xml:space="preserve">Therefore, were </w:t>
      </w:r>
      <w:r w:rsidR="00AE468C" w:rsidRPr="00AE468C">
        <w:rPr>
          <w:rFonts w:ascii="Garamond" w:hAnsi="Garamond"/>
          <w:i/>
          <w:iCs/>
        </w:rPr>
        <w:t>s</w:t>
      </w:r>
      <w:r w:rsidR="00F46494">
        <w:rPr>
          <w:rFonts w:ascii="Garamond" w:hAnsi="Garamond"/>
        </w:rPr>
        <w:t xml:space="preserve"> not to have an essence involving existence, it would not </w:t>
      </w:r>
      <w:r w:rsidR="00AE468C">
        <w:rPr>
          <w:rFonts w:ascii="Garamond" w:hAnsi="Garamond"/>
        </w:rPr>
        <w:t xml:space="preserve">– </w:t>
      </w:r>
      <w:r w:rsidR="00F46494">
        <w:rPr>
          <w:rFonts w:ascii="Garamond" w:hAnsi="Garamond"/>
        </w:rPr>
        <w:t>per E1p7</w:t>
      </w:r>
      <w:r w:rsidR="00AE468C">
        <w:rPr>
          <w:rFonts w:ascii="Garamond" w:hAnsi="Garamond"/>
        </w:rPr>
        <w:t xml:space="preserve"> –</w:t>
      </w:r>
      <w:r w:rsidR="00F46494">
        <w:rPr>
          <w:rFonts w:ascii="Garamond" w:hAnsi="Garamond"/>
        </w:rPr>
        <w:t xml:space="preserve"> be a substance.</w:t>
      </w:r>
      <w:r w:rsidR="000F30ED">
        <w:rPr>
          <w:rFonts w:ascii="Garamond" w:hAnsi="Garamond"/>
        </w:rPr>
        <w:t xml:space="preserve"> </w:t>
      </w:r>
    </w:p>
    <w:p w14:paraId="6999745A" w14:textId="471C44B7" w:rsidR="008E1EA4" w:rsidRDefault="003B5560" w:rsidP="008E1EA4">
      <w:pPr>
        <w:spacing w:line="480" w:lineRule="auto"/>
        <w:jc w:val="both"/>
        <w:rPr>
          <w:rFonts w:ascii="Garamond" w:hAnsi="Garamond"/>
        </w:rPr>
      </w:pPr>
      <w:r>
        <w:rPr>
          <w:rFonts w:ascii="Garamond" w:hAnsi="Garamond"/>
        </w:rPr>
        <w:tab/>
        <w:t>Having made this crucial corrective, Garrett</w:t>
      </w:r>
      <w:r w:rsidR="00F07D67">
        <w:rPr>
          <w:rFonts w:ascii="Garamond" w:hAnsi="Garamond"/>
        </w:rPr>
        <w:t>’s postscript</w:t>
      </w:r>
      <w:r>
        <w:rPr>
          <w:rFonts w:ascii="Garamond" w:hAnsi="Garamond"/>
        </w:rPr>
        <w:t xml:space="preserve"> still</w:t>
      </w:r>
      <w:r w:rsidR="00ED242E">
        <w:rPr>
          <w:rFonts w:ascii="Garamond" w:hAnsi="Garamond"/>
        </w:rPr>
        <w:t xml:space="preserve"> </w:t>
      </w:r>
      <w:r w:rsidR="00F07D67">
        <w:rPr>
          <w:rFonts w:ascii="Garamond" w:hAnsi="Garamond"/>
        </w:rPr>
        <w:t xml:space="preserve">leaves </w:t>
      </w:r>
      <w:r w:rsidR="00BD57AC">
        <w:rPr>
          <w:rFonts w:ascii="Garamond" w:hAnsi="Garamond"/>
        </w:rPr>
        <w:t>open</w:t>
      </w:r>
      <w:r w:rsidR="00183C28">
        <w:rPr>
          <w:rFonts w:ascii="Garamond" w:hAnsi="Garamond"/>
        </w:rPr>
        <w:t xml:space="preserve"> </w:t>
      </w:r>
      <w:r w:rsidR="00F07D67">
        <w:rPr>
          <w:rFonts w:ascii="Garamond" w:hAnsi="Garamond"/>
        </w:rPr>
        <w:t xml:space="preserve">the </w:t>
      </w:r>
      <w:r w:rsidR="00BD57AC">
        <w:rPr>
          <w:rFonts w:ascii="Garamond" w:hAnsi="Garamond"/>
        </w:rPr>
        <w:t>difficult question</w:t>
      </w:r>
      <w:r w:rsidR="00183C28">
        <w:rPr>
          <w:rFonts w:ascii="Garamond" w:hAnsi="Garamond"/>
        </w:rPr>
        <w:t xml:space="preserve"> of</w:t>
      </w:r>
      <w:r w:rsidR="00CE1BD3">
        <w:rPr>
          <w:rFonts w:ascii="Garamond" w:hAnsi="Garamond"/>
        </w:rPr>
        <w:t xml:space="preserve"> </w:t>
      </w:r>
      <w:r w:rsidR="00F07D67">
        <w:rPr>
          <w:rFonts w:ascii="Garamond" w:hAnsi="Garamond"/>
        </w:rPr>
        <w:t xml:space="preserve">whether Spinoza is entitled to assume that God is a </w:t>
      </w:r>
      <w:r w:rsidR="00F07D67" w:rsidRPr="00ED242E">
        <w:rPr>
          <w:rFonts w:ascii="Garamond" w:hAnsi="Garamond"/>
          <w:i/>
          <w:iCs/>
        </w:rPr>
        <w:t>possible</w:t>
      </w:r>
      <w:r w:rsidR="00F07D67">
        <w:rPr>
          <w:rFonts w:ascii="Garamond" w:hAnsi="Garamond"/>
        </w:rPr>
        <w:t xml:space="preserve"> substance, i.e., </w:t>
      </w:r>
      <w:r w:rsidR="00ED242E">
        <w:rPr>
          <w:rFonts w:ascii="Garamond" w:hAnsi="Garamond"/>
        </w:rPr>
        <w:t>whether</w:t>
      </w:r>
      <w:r w:rsidR="00F07D67">
        <w:rPr>
          <w:rFonts w:ascii="Garamond" w:hAnsi="Garamond"/>
        </w:rPr>
        <w:t xml:space="preserve"> the definition of God is </w:t>
      </w:r>
      <w:r w:rsidR="00F85F17">
        <w:rPr>
          <w:rFonts w:ascii="Garamond" w:hAnsi="Garamond"/>
        </w:rPr>
        <w:t xml:space="preserve">internally </w:t>
      </w:r>
      <w:r w:rsidR="00F07D67">
        <w:rPr>
          <w:rFonts w:ascii="Garamond" w:hAnsi="Garamond"/>
        </w:rPr>
        <w:t>consistent</w:t>
      </w:r>
      <w:r w:rsidR="00F85F17">
        <w:rPr>
          <w:rFonts w:ascii="Garamond" w:hAnsi="Garamond"/>
        </w:rPr>
        <w:t xml:space="preserve"> (59)</w:t>
      </w:r>
      <w:r w:rsidR="00F07D67">
        <w:rPr>
          <w:rFonts w:ascii="Garamond" w:hAnsi="Garamond"/>
        </w:rPr>
        <w:t xml:space="preserve">. </w:t>
      </w:r>
      <w:r w:rsidR="00653AFD" w:rsidRPr="00C32CC3">
        <w:rPr>
          <w:rFonts w:ascii="Garamond" w:hAnsi="Garamond"/>
        </w:rPr>
        <w:t xml:space="preserve">One way to prove the </w:t>
      </w:r>
      <w:r w:rsidR="00667AD8" w:rsidRPr="00C32CC3">
        <w:rPr>
          <w:rFonts w:ascii="Garamond" w:hAnsi="Garamond"/>
        </w:rPr>
        <w:t xml:space="preserve">internal </w:t>
      </w:r>
      <w:r w:rsidR="00653AFD" w:rsidRPr="00C32CC3">
        <w:rPr>
          <w:rFonts w:ascii="Garamond" w:hAnsi="Garamond"/>
        </w:rPr>
        <w:t>consistency of the definition is to rule out all the ways in which it could turn out to be</w:t>
      </w:r>
      <w:r w:rsidR="00667AD8" w:rsidRPr="00C32CC3">
        <w:rPr>
          <w:rFonts w:ascii="Garamond" w:hAnsi="Garamond"/>
        </w:rPr>
        <w:t xml:space="preserve"> internally</w:t>
      </w:r>
      <w:r w:rsidR="00653AFD" w:rsidRPr="00C32CC3">
        <w:rPr>
          <w:rFonts w:ascii="Garamond" w:hAnsi="Garamond"/>
        </w:rPr>
        <w:t xml:space="preserve"> inconsistent.</w:t>
      </w:r>
      <w:r w:rsidR="00653AFD">
        <w:rPr>
          <w:rFonts w:ascii="Garamond" w:hAnsi="Garamond"/>
        </w:rPr>
        <w:t xml:space="preserve">  But c</w:t>
      </w:r>
      <w:r w:rsidR="007428F1">
        <w:rPr>
          <w:rFonts w:ascii="Garamond" w:hAnsi="Garamond"/>
        </w:rPr>
        <w:t xml:space="preserve">an we </w:t>
      </w:r>
      <w:r w:rsidR="008E1EA4">
        <w:rPr>
          <w:rFonts w:ascii="Garamond" w:hAnsi="Garamond"/>
        </w:rPr>
        <w:t xml:space="preserve">even </w:t>
      </w:r>
      <w:r w:rsidR="007428F1">
        <w:rPr>
          <w:rFonts w:ascii="Garamond" w:hAnsi="Garamond"/>
        </w:rPr>
        <w:t xml:space="preserve">provide an </w:t>
      </w:r>
      <w:r w:rsidR="008E1EA4" w:rsidRPr="008E1EA4">
        <w:rPr>
          <w:rFonts w:ascii="Garamond" w:hAnsi="Garamond"/>
          <w:i/>
          <w:iCs/>
        </w:rPr>
        <w:t>exhaustive</w:t>
      </w:r>
      <w:r w:rsidR="007428F1">
        <w:rPr>
          <w:rFonts w:ascii="Garamond" w:hAnsi="Garamond"/>
        </w:rPr>
        <w:t xml:space="preserve"> list of the </w:t>
      </w:r>
      <w:r w:rsidR="008E1EA4">
        <w:rPr>
          <w:rFonts w:ascii="Garamond" w:hAnsi="Garamond"/>
        </w:rPr>
        <w:t xml:space="preserve">ways in which </w:t>
      </w:r>
      <w:r w:rsidR="00CE1BD3">
        <w:rPr>
          <w:rFonts w:ascii="Garamond" w:hAnsi="Garamond"/>
        </w:rPr>
        <w:t xml:space="preserve">the </w:t>
      </w:r>
      <w:r w:rsidR="007428F1">
        <w:rPr>
          <w:rFonts w:ascii="Garamond" w:hAnsi="Garamond"/>
        </w:rPr>
        <w:t xml:space="preserve">definition of God – “a substance consisting of an infinity of attributes” – </w:t>
      </w:r>
      <w:r w:rsidR="008E1EA4">
        <w:rPr>
          <w:rFonts w:ascii="Garamond" w:hAnsi="Garamond"/>
        </w:rPr>
        <w:t>m</w:t>
      </w:r>
      <w:r w:rsidR="009C7593">
        <w:rPr>
          <w:rFonts w:ascii="Garamond" w:hAnsi="Garamond"/>
        </w:rPr>
        <w:t>ight</w:t>
      </w:r>
      <w:r w:rsidR="008E1EA4">
        <w:rPr>
          <w:rFonts w:ascii="Garamond" w:hAnsi="Garamond"/>
        </w:rPr>
        <w:t xml:space="preserve"> turn </w:t>
      </w:r>
      <w:r w:rsidR="00CE1BD3">
        <w:rPr>
          <w:rFonts w:ascii="Garamond" w:hAnsi="Garamond"/>
        </w:rPr>
        <w:t xml:space="preserve">out </w:t>
      </w:r>
      <w:r w:rsidR="008E1EA4">
        <w:rPr>
          <w:rFonts w:ascii="Garamond" w:hAnsi="Garamond"/>
        </w:rPr>
        <w:t xml:space="preserve">to be </w:t>
      </w:r>
      <w:r w:rsidR="001E38AF">
        <w:rPr>
          <w:rFonts w:ascii="Garamond" w:hAnsi="Garamond"/>
        </w:rPr>
        <w:t xml:space="preserve">internally </w:t>
      </w:r>
      <w:r w:rsidR="008E1EA4">
        <w:rPr>
          <w:rFonts w:ascii="Garamond" w:hAnsi="Garamond"/>
        </w:rPr>
        <w:t>inconsistent? O</w:t>
      </w:r>
      <w:r w:rsidR="00525C33">
        <w:rPr>
          <w:rFonts w:ascii="Garamond" w:hAnsi="Garamond"/>
        </w:rPr>
        <w:t>stensibly</w:t>
      </w:r>
      <w:r w:rsidR="008E1EA4">
        <w:rPr>
          <w:rFonts w:ascii="Garamond" w:hAnsi="Garamond"/>
        </w:rPr>
        <w:t xml:space="preserve">, if </w:t>
      </w:r>
      <w:r w:rsidR="00955459">
        <w:rPr>
          <w:rFonts w:ascii="Garamond" w:hAnsi="Garamond"/>
        </w:rPr>
        <w:t xml:space="preserve">any </w:t>
      </w:r>
      <w:r w:rsidR="008E1EA4">
        <w:rPr>
          <w:rFonts w:ascii="Garamond" w:hAnsi="Garamond"/>
        </w:rPr>
        <w:t xml:space="preserve">one of the concepts of substance, attribute, or infinity were internally inconsistent, or if two (or more) of the attributes were incompatible, the definition of God would not be consistent. </w:t>
      </w:r>
      <w:r w:rsidR="00525C33">
        <w:rPr>
          <w:rFonts w:ascii="Garamond" w:hAnsi="Garamond"/>
        </w:rPr>
        <w:t xml:space="preserve">Michael </w:t>
      </w:r>
      <w:r w:rsidR="008E1EA4">
        <w:rPr>
          <w:rFonts w:ascii="Garamond" w:hAnsi="Garamond"/>
        </w:rPr>
        <w:t xml:space="preserve">Della Rocca </w:t>
      </w:r>
      <w:r w:rsidR="00CE1BD3">
        <w:rPr>
          <w:rFonts w:ascii="Garamond" w:hAnsi="Garamond"/>
        </w:rPr>
        <w:t xml:space="preserve">has insightfully </w:t>
      </w:r>
      <w:r w:rsidR="00653AFD">
        <w:rPr>
          <w:rFonts w:ascii="Garamond" w:hAnsi="Garamond"/>
        </w:rPr>
        <w:t xml:space="preserve">suggested </w:t>
      </w:r>
      <w:r w:rsidR="008E1EA4">
        <w:rPr>
          <w:rFonts w:ascii="Garamond" w:hAnsi="Garamond"/>
        </w:rPr>
        <w:t xml:space="preserve">that the radical heterogeneity of </w:t>
      </w:r>
      <w:r w:rsidR="00525C33">
        <w:rPr>
          <w:rFonts w:ascii="Garamond" w:hAnsi="Garamond"/>
        </w:rPr>
        <w:t>Spinoza’s</w:t>
      </w:r>
      <w:r w:rsidR="008E1EA4">
        <w:rPr>
          <w:rFonts w:ascii="Garamond" w:hAnsi="Garamond"/>
        </w:rPr>
        <w:t xml:space="preserve"> attributes </w:t>
      </w:r>
      <w:r w:rsidR="00653AFD">
        <w:rPr>
          <w:rFonts w:ascii="Garamond" w:hAnsi="Garamond"/>
        </w:rPr>
        <w:t xml:space="preserve">seems to </w:t>
      </w:r>
      <w:r w:rsidR="00CA678B">
        <w:rPr>
          <w:rFonts w:ascii="Garamond" w:hAnsi="Garamond"/>
        </w:rPr>
        <w:t>rule out their incompatibility (Della Rocca 200</w:t>
      </w:r>
      <w:r w:rsidR="00CE1BD3">
        <w:rPr>
          <w:rFonts w:ascii="Garamond" w:hAnsi="Garamond"/>
        </w:rPr>
        <w:t>2, 28-9</w:t>
      </w:r>
      <w:r w:rsidR="00CA678B">
        <w:rPr>
          <w:rFonts w:ascii="Garamond" w:hAnsi="Garamond"/>
        </w:rPr>
        <w:t xml:space="preserve">). The simplicity of the substance and </w:t>
      </w:r>
      <w:r w:rsidR="004354E4">
        <w:rPr>
          <w:rFonts w:ascii="Garamond" w:hAnsi="Garamond"/>
        </w:rPr>
        <w:t xml:space="preserve">its </w:t>
      </w:r>
      <w:r w:rsidR="00CA678B">
        <w:rPr>
          <w:rFonts w:ascii="Garamond" w:hAnsi="Garamond"/>
        </w:rPr>
        <w:t xml:space="preserve">attributes (E1p12) might provide a ground for rejecting the possibility of a contradiction lurking within each. Still, how does one </w:t>
      </w:r>
      <w:r w:rsidR="00525C33">
        <w:rPr>
          <w:rFonts w:ascii="Garamond" w:hAnsi="Garamond"/>
        </w:rPr>
        <w:t xml:space="preserve">even </w:t>
      </w:r>
      <w:r w:rsidR="00CA678B">
        <w:rPr>
          <w:rFonts w:ascii="Garamond" w:hAnsi="Garamond"/>
        </w:rPr>
        <w:t>go about proving the consistency of Spinoza’s understanding of infinity?</w:t>
      </w:r>
    </w:p>
    <w:p w14:paraId="3D8D3F4D" w14:textId="5DE579DA" w:rsidR="009C7593" w:rsidRDefault="009C7593" w:rsidP="008E1EA4">
      <w:pPr>
        <w:spacing w:line="480" w:lineRule="auto"/>
        <w:jc w:val="both"/>
        <w:rPr>
          <w:rFonts w:ascii="Garamond" w:hAnsi="Garamond"/>
          <w:lang w:bidi="he-IL"/>
        </w:rPr>
      </w:pPr>
      <w:r>
        <w:rPr>
          <w:rFonts w:ascii="Garamond" w:hAnsi="Garamond"/>
        </w:rPr>
        <w:tab/>
        <w:t>Foundation</w:t>
      </w:r>
      <w:r w:rsidR="00525C33">
        <w:rPr>
          <w:rFonts w:ascii="Garamond" w:hAnsi="Garamond"/>
        </w:rPr>
        <w:t>al</w:t>
      </w:r>
      <w:r>
        <w:rPr>
          <w:rFonts w:ascii="Garamond" w:hAnsi="Garamond"/>
        </w:rPr>
        <w:t xml:space="preserve"> questions are frequently accompanied by perplexity. </w:t>
      </w:r>
      <w:r w:rsidR="00C46EA7">
        <w:rPr>
          <w:rFonts w:ascii="Garamond" w:hAnsi="Garamond"/>
        </w:rPr>
        <w:t xml:space="preserve">In the current volume, </w:t>
      </w:r>
      <w:r>
        <w:rPr>
          <w:rFonts w:ascii="Garamond" w:hAnsi="Garamond"/>
        </w:rPr>
        <w:t>Garrett</w:t>
      </w:r>
      <w:r w:rsidR="00C46EA7">
        <w:rPr>
          <w:rFonts w:ascii="Garamond" w:hAnsi="Garamond"/>
        </w:rPr>
        <w:t xml:space="preserve"> succeeds</w:t>
      </w:r>
      <w:r w:rsidR="00525C33">
        <w:rPr>
          <w:rFonts w:ascii="Garamond" w:hAnsi="Garamond"/>
        </w:rPr>
        <w:t xml:space="preserve"> time and again </w:t>
      </w:r>
      <w:r w:rsidR="00C46EA7">
        <w:rPr>
          <w:rFonts w:ascii="Garamond" w:hAnsi="Garamond"/>
        </w:rPr>
        <w:t xml:space="preserve">to </w:t>
      </w:r>
      <w:r w:rsidR="00525C33">
        <w:rPr>
          <w:rFonts w:ascii="Garamond" w:hAnsi="Garamond"/>
        </w:rPr>
        <w:t>untangl</w:t>
      </w:r>
      <w:r w:rsidR="00C46EA7">
        <w:rPr>
          <w:rFonts w:ascii="Garamond" w:hAnsi="Garamond"/>
        </w:rPr>
        <w:t>e</w:t>
      </w:r>
      <w:r w:rsidR="00525C33">
        <w:rPr>
          <w:rFonts w:ascii="Garamond" w:hAnsi="Garamond"/>
        </w:rPr>
        <w:t xml:space="preserve"> and clarify the deepest</w:t>
      </w:r>
      <w:r w:rsidR="001E38AF">
        <w:rPr>
          <w:rFonts w:ascii="Garamond" w:hAnsi="Garamond"/>
        </w:rPr>
        <w:t xml:space="preserve">, </w:t>
      </w:r>
      <w:r w:rsidR="00525C33">
        <w:rPr>
          <w:rFonts w:ascii="Garamond" w:hAnsi="Garamond"/>
        </w:rPr>
        <w:t xml:space="preserve">most difficult and stubborn problems of (Spinoza’s) philosophy. </w:t>
      </w:r>
      <w:r w:rsidR="00697363">
        <w:rPr>
          <w:rFonts w:ascii="Garamond" w:hAnsi="Garamond"/>
          <w:lang w:bidi="he-IL"/>
        </w:rPr>
        <w:t xml:space="preserve">Indeed, </w:t>
      </w:r>
      <w:r w:rsidR="001E38AF">
        <w:rPr>
          <w:rFonts w:ascii="Garamond" w:hAnsi="Garamond"/>
          <w:lang w:bidi="he-IL"/>
        </w:rPr>
        <w:t xml:space="preserve">if </w:t>
      </w:r>
      <w:r w:rsidR="00697363">
        <w:rPr>
          <w:rFonts w:ascii="Garamond" w:hAnsi="Garamond"/>
          <w:lang w:bidi="he-IL"/>
        </w:rPr>
        <w:t xml:space="preserve">“there is no </w:t>
      </w:r>
      <w:r w:rsidR="00BD57AC">
        <w:rPr>
          <w:rFonts w:ascii="Garamond" w:hAnsi="Garamond"/>
          <w:lang w:bidi="he-IL"/>
        </w:rPr>
        <w:t>joy</w:t>
      </w:r>
      <w:r w:rsidR="00697363">
        <w:rPr>
          <w:rFonts w:ascii="Garamond" w:hAnsi="Garamond"/>
          <w:lang w:bidi="he-IL"/>
        </w:rPr>
        <w:t xml:space="preserve"> like the </w:t>
      </w:r>
      <w:r w:rsidR="00BD57AC">
        <w:rPr>
          <w:rFonts w:ascii="Garamond" w:hAnsi="Garamond"/>
          <w:lang w:bidi="he-IL"/>
        </w:rPr>
        <w:t>joy</w:t>
      </w:r>
      <w:r w:rsidR="00697363">
        <w:rPr>
          <w:rFonts w:ascii="Garamond" w:hAnsi="Garamond"/>
          <w:lang w:bidi="he-IL"/>
        </w:rPr>
        <w:t xml:space="preserve"> of sorting out perplexit</w:t>
      </w:r>
      <w:r w:rsidR="001E38AF">
        <w:rPr>
          <w:rFonts w:ascii="Garamond" w:hAnsi="Garamond"/>
          <w:lang w:bidi="he-IL"/>
        </w:rPr>
        <w:t>ies,</w:t>
      </w:r>
      <w:r w:rsidR="00697363">
        <w:rPr>
          <w:rFonts w:ascii="Garamond" w:hAnsi="Garamond"/>
          <w:lang w:bidi="he-IL"/>
        </w:rPr>
        <w:t>”</w:t>
      </w:r>
      <w:r w:rsidR="001E38AF">
        <w:rPr>
          <w:rFonts w:ascii="Garamond" w:hAnsi="Garamond"/>
          <w:lang w:bidi="he-IL"/>
        </w:rPr>
        <w:t xml:space="preserve"> </w:t>
      </w:r>
      <w:r w:rsidR="001E38AF" w:rsidRPr="001E38AF">
        <w:rPr>
          <w:rFonts w:ascii="Garamond" w:hAnsi="Garamond"/>
          <w:i/>
          <w:iCs/>
          <w:lang w:bidi="he-IL"/>
        </w:rPr>
        <w:t>Nature and Necessity in Spinoza’s Philosophy</w:t>
      </w:r>
      <w:r w:rsidR="001E38AF">
        <w:rPr>
          <w:rFonts w:ascii="Garamond" w:hAnsi="Garamond"/>
          <w:lang w:bidi="he-IL"/>
        </w:rPr>
        <w:t xml:space="preserve"> is a </w:t>
      </w:r>
      <w:r w:rsidR="00466B88">
        <w:rPr>
          <w:rFonts w:ascii="Garamond" w:hAnsi="Garamond"/>
          <w:lang w:bidi="he-IL"/>
        </w:rPr>
        <w:t>work</w:t>
      </w:r>
      <w:r w:rsidR="001E38AF">
        <w:rPr>
          <w:rFonts w:ascii="Garamond" w:hAnsi="Garamond"/>
          <w:lang w:bidi="he-IL"/>
        </w:rPr>
        <w:t xml:space="preserve"> of pure bliss.</w:t>
      </w:r>
      <w:r w:rsidR="00BD57AC">
        <w:rPr>
          <w:rStyle w:val="FootnoteReference"/>
          <w:rFonts w:ascii="Garamond" w:hAnsi="Garamond"/>
          <w:lang w:bidi="he-IL"/>
        </w:rPr>
        <w:footnoteReference w:id="3"/>
      </w:r>
    </w:p>
    <w:p w14:paraId="1DDD2DC5" w14:textId="3693C92D" w:rsidR="00697363" w:rsidRDefault="00697363" w:rsidP="008E1EA4">
      <w:pPr>
        <w:spacing w:line="480" w:lineRule="auto"/>
        <w:jc w:val="both"/>
        <w:rPr>
          <w:rFonts w:ascii="Garamond" w:hAnsi="Garamond"/>
          <w:lang w:bidi="he-IL"/>
        </w:rPr>
      </w:pPr>
    </w:p>
    <w:p w14:paraId="5E999265" w14:textId="27445D9A" w:rsidR="004B7C45" w:rsidRPr="004B7C45" w:rsidRDefault="004B7C45" w:rsidP="008E1EA4">
      <w:pPr>
        <w:spacing w:line="480" w:lineRule="auto"/>
        <w:jc w:val="both"/>
        <w:rPr>
          <w:rFonts w:ascii="Garamond" w:hAnsi="Garamond"/>
          <w:b/>
          <w:bCs/>
          <w:lang w:bidi="he-IL"/>
        </w:rPr>
      </w:pPr>
      <w:r w:rsidRPr="004B7C45">
        <w:rPr>
          <w:rFonts w:ascii="Garamond" w:hAnsi="Garamond"/>
          <w:b/>
          <w:bCs/>
          <w:lang w:bidi="he-IL"/>
        </w:rPr>
        <w:lastRenderedPageBreak/>
        <w:t>References</w:t>
      </w:r>
    </w:p>
    <w:p w14:paraId="1D52BFE9" w14:textId="50FDC73D" w:rsidR="00C46EA7" w:rsidRDefault="00C46EA7" w:rsidP="004B7C45">
      <w:pPr>
        <w:spacing w:line="480" w:lineRule="auto"/>
        <w:jc w:val="both"/>
        <w:rPr>
          <w:rFonts w:ascii="Garamond" w:hAnsi="Garamond"/>
        </w:rPr>
      </w:pPr>
      <w:proofErr w:type="spellStart"/>
      <w:r>
        <w:rPr>
          <w:rFonts w:ascii="Garamond" w:hAnsi="Garamond"/>
        </w:rPr>
        <w:t>Bledin</w:t>
      </w:r>
      <w:proofErr w:type="spellEnd"/>
      <w:r>
        <w:rPr>
          <w:rFonts w:ascii="Garamond" w:hAnsi="Garamond"/>
        </w:rPr>
        <w:t>, Justin and Yitzhak Y. Melamed. Manuscript. “</w:t>
      </w:r>
      <w:proofErr w:type="spellStart"/>
      <w:r w:rsidRPr="00C46EA7">
        <w:rPr>
          <w:rFonts w:ascii="Garamond" w:hAnsi="Garamond"/>
          <w:i/>
          <w:iCs/>
        </w:rPr>
        <w:t>Ethica</w:t>
      </w:r>
      <w:proofErr w:type="spellEnd"/>
      <w:r w:rsidRPr="00C46EA7">
        <w:rPr>
          <w:rFonts w:ascii="Garamond" w:hAnsi="Garamond"/>
          <w:i/>
          <w:iCs/>
        </w:rPr>
        <w:t xml:space="preserve"> More </w:t>
      </w:r>
      <w:proofErr w:type="spellStart"/>
      <w:r w:rsidRPr="00C46EA7">
        <w:rPr>
          <w:rFonts w:ascii="Garamond" w:hAnsi="Garamond"/>
          <w:i/>
          <w:iCs/>
        </w:rPr>
        <w:t>Logico</w:t>
      </w:r>
      <w:proofErr w:type="spellEnd"/>
      <w:r w:rsidRPr="00C46EA7">
        <w:rPr>
          <w:rFonts w:ascii="Garamond" w:hAnsi="Garamond"/>
          <w:i/>
          <w:iCs/>
        </w:rPr>
        <w:t xml:space="preserve"> </w:t>
      </w:r>
      <w:proofErr w:type="spellStart"/>
      <w:r w:rsidRPr="00C46EA7">
        <w:rPr>
          <w:rFonts w:ascii="Garamond" w:hAnsi="Garamond"/>
          <w:i/>
          <w:iCs/>
        </w:rPr>
        <w:t>Demonstrsta</w:t>
      </w:r>
      <w:proofErr w:type="spellEnd"/>
      <w:r>
        <w:rPr>
          <w:rFonts w:ascii="Garamond" w:hAnsi="Garamond"/>
        </w:rPr>
        <w:t>.”</w:t>
      </w:r>
    </w:p>
    <w:p w14:paraId="580D9C59" w14:textId="409B3526" w:rsidR="004B7C45" w:rsidRPr="000F198D" w:rsidRDefault="004B7C45" w:rsidP="004B7C45">
      <w:pPr>
        <w:spacing w:line="480" w:lineRule="auto"/>
        <w:jc w:val="both"/>
        <w:rPr>
          <w:rFonts w:ascii="Garamond" w:hAnsi="Garamond"/>
        </w:rPr>
      </w:pPr>
      <w:r w:rsidRPr="000F198D">
        <w:rPr>
          <w:rFonts w:ascii="Garamond" w:hAnsi="Garamond"/>
        </w:rPr>
        <w:t>Della Rocca, Michael.</w:t>
      </w:r>
      <w:r>
        <w:rPr>
          <w:rFonts w:ascii="Garamond" w:hAnsi="Garamond"/>
        </w:rPr>
        <w:t xml:space="preserve"> 2002. </w:t>
      </w:r>
      <w:r w:rsidRPr="000F198D">
        <w:rPr>
          <w:rFonts w:ascii="Garamond" w:hAnsi="Garamond"/>
        </w:rPr>
        <w:t xml:space="preserve">“Spinoza’s Substance Monism” in </w:t>
      </w:r>
      <w:r>
        <w:rPr>
          <w:rFonts w:ascii="Garamond" w:hAnsi="Garamond"/>
        </w:rPr>
        <w:t xml:space="preserve">John </w:t>
      </w:r>
      <w:r w:rsidRPr="000F198D">
        <w:rPr>
          <w:rFonts w:ascii="Garamond" w:hAnsi="Garamond"/>
        </w:rPr>
        <w:t xml:space="preserve">Biro </w:t>
      </w:r>
      <w:r>
        <w:rPr>
          <w:rFonts w:ascii="Garamond" w:hAnsi="Garamond"/>
        </w:rPr>
        <w:t>and Olli</w:t>
      </w:r>
      <w:r w:rsidRPr="000F198D">
        <w:rPr>
          <w:rFonts w:ascii="Garamond" w:hAnsi="Garamond"/>
        </w:rPr>
        <w:t xml:space="preserve"> </w:t>
      </w:r>
      <w:proofErr w:type="spellStart"/>
      <w:r w:rsidRPr="000F198D">
        <w:rPr>
          <w:rFonts w:ascii="Garamond" w:hAnsi="Garamond"/>
        </w:rPr>
        <w:t>Koistinen</w:t>
      </w:r>
      <w:proofErr w:type="spellEnd"/>
      <w:r w:rsidRPr="000F198D">
        <w:rPr>
          <w:rFonts w:ascii="Garamond" w:hAnsi="Garamond"/>
        </w:rPr>
        <w:t xml:space="preserve"> (eds.), </w:t>
      </w:r>
      <w:r w:rsidRPr="000F198D">
        <w:rPr>
          <w:rFonts w:ascii="Garamond" w:hAnsi="Garamond"/>
          <w:i/>
        </w:rPr>
        <w:t>Spinoza: Metaphysical Themes</w:t>
      </w:r>
      <w:r w:rsidRPr="000F198D">
        <w:rPr>
          <w:rFonts w:ascii="Garamond" w:hAnsi="Garamond"/>
        </w:rPr>
        <w:t xml:space="preserve"> (Oxford: Oxford University Press), 11-37.</w:t>
      </w:r>
    </w:p>
    <w:p w14:paraId="04C7B67D" w14:textId="7CB08F35" w:rsidR="004B7C45" w:rsidRDefault="004B7C45" w:rsidP="008E1EA4">
      <w:pPr>
        <w:spacing w:line="480" w:lineRule="auto"/>
        <w:jc w:val="both"/>
        <w:rPr>
          <w:rFonts w:ascii="Garamond" w:hAnsi="Garamond"/>
          <w:lang w:bidi="he-IL"/>
        </w:rPr>
      </w:pPr>
    </w:p>
    <w:p w14:paraId="1C72CE21" w14:textId="09CB2145" w:rsidR="004B7C45" w:rsidRPr="004B7C45" w:rsidRDefault="004B7C45" w:rsidP="008E1EA4">
      <w:pPr>
        <w:spacing w:line="480" w:lineRule="auto"/>
        <w:jc w:val="both"/>
        <w:rPr>
          <w:rFonts w:ascii="Garamond" w:hAnsi="Garamond"/>
          <w:i/>
          <w:iCs/>
          <w:lang w:bidi="he-IL"/>
        </w:rPr>
      </w:pPr>
      <w:r w:rsidRPr="004B7C45">
        <w:rPr>
          <w:rFonts w:ascii="Garamond" w:hAnsi="Garamond"/>
          <w:i/>
          <w:iCs/>
          <w:lang w:bidi="he-IL"/>
        </w:rPr>
        <w:t>Yitzhak Y. Melamed</w:t>
      </w:r>
    </w:p>
    <w:p w14:paraId="50C81182" w14:textId="4C3F08A6" w:rsidR="004B7C45" w:rsidRDefault="004B7C45" w:rsidP="008E1EA4">
      <w:pPr>
        <w:spacing w:line="480" w:lineRule="auto"/>
        <w:jc w:val="both"/>
        <w:rPr>
          <w:rFonts w:ascii="Garamond" w:hAnsi="Garamond"/>
          <w:lang w:bidi="he-IL"/>
        </w:rPr>
      </w:pPr>
      <w:r>
        <w:rPr>
          <w:rFonts w:ascii="Garamond" w:hAnsi="Garamond"/>
          <w:lang w:bidi="he-IL"/>
        </w:rPr>
        <w:t>Johns Hopkins University</w:t>
      </w:r>
    </w:p>
    <w:p w14:paraId="149B389B" w14:textId="08F63D47" w:rsidR="003B5560" w:rsidRDefault="008E1EA4" w:rsidP="008E1EA4">
      <w:pPr>
        <w:spacing w:line="480" w:lineRule="auto"/>
        <w:jc w:val="both"/>
        <w:rPr>
          <w:rFonts w:ascii="Garamond" w:hAnsi="Garamond"/>
        </w:rPr>
      </w:pPr>
      <w:r>
        <w:rPr>
          <w:rFonts w:ascii="Garamond" w:hAnsi="Garamond"/>
        </w:rPr>
        <w:t xml:space="preserve">   </w:t>
      </w:r>
    </w:p>
    <w:p w14:paraId="18C20F40" w14:textId="30CA1309" w:rsidR="000F2170" w:rsidRPr="00AB1D33" w:rsidRDefault="000F2170" w:rsidP="00F85F17">
      <w:pPr>
        <w:spacing w:line="480" w:lineRule="auto"/>
        <w:jc w:val="both"/>
        <w:rPr>
          <w:rFonts w:ascii="Garamond" w:hAnsi="Garamond"/>
        </w:rPr>
      </w:pPr>
    </w:p>
    <w:sectPr w:rsidR="000F2170" w:rsidRPr="00AB1D33" w:rsidSect="001173C1">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4F5D7" w14:textId="77777777" w:rsidR="00DF5E07" w:rsidRDefault="00DF5E07" w:rsidP="00B0105E">
      <w:r>
        <w:separator/>
      </w:r>
    </w:p>
  </w:endnote>
  <w:endnote w:type="continuationSeparator" w:id="0">
    <w:p w14:paraId="53D2F9D2" w14:textId="77777777" w:rsidR="00DF5E07" w:rsidRDefault="00DF5E07" w:rsidP="00B0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8826879"/>
      <w:docPartObj>
        <w:docPartGallery w:val="Page Numbers (Bottom of Page)"/>
        <w:docPartUnique/>
      </w:docPartObj>
    </w:sdtPr>
    <w:sdtEndPr>
      <w:rPr>
        <w:rStyle w:val="PageNumber"/>
      </w:rPr>
    </w:sdtEndPr>
    <w:sdtContent>
      <w:p w14:paraId="218CF70F" w14:textId="5DD7A922" w:rsidR="00B0105E" w:rsidRDefault="00B0105E" w:rsidP="00DB1E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8DE82" w14:textId="77777777" w:rsidR="00B0105E" w:rsidRDefault="00B01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0326676"/>
      <w:docPartObj>
        <w:docPartGallery w:val="Page Numbers (Bottom of Page)"/>
        <w:docPartUnique/>
      </w:docPartObj>
    </w:sdtPr>
    <w:sdtEndPr>
      <w:rPr>
        <w:rStyle w:val="PageNumber"/>
      </w:rPr>
    </w:sdtEndPr>
    <w:sdtContent>
      <w:p w14:paraId="7E2B4CC6" w14:textId="7FD9265B" w:rsidR="00B0105E" w:rsidRDefault="00B0105E" w:rsidP="00DB1E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1C2104" w14:textId="77777777" w:rsidR="00B0105E" w:rsidRDefault="00B01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FF909" w14:textId="77777777" w:rsidR="00DF5E07" w:rsidRDefault="00DF5E07" w:rsidP="00B0105E">
      <w:r>
        <w:separator/>
      </w:r>
    </w:p>
  </w:footnote>
  <w:footnote w:type="continuationSeparator" w:id="0">
    <w:p w14:paraId="403F5233" w14:textId="77777777" w:rsidR="00DF5E07" w:rsidRDefault="00DF5E07" w:rsidP="00B0105E">
      <w:r>
        <w:continuationSeparator/>
      </w:r>
    </w:p>
  </w:footnote>
  <w:footnote w:id="1">
    <w:p w14:paraId="6CD2086B" w14:textId="0F3C2462" w:rsidR="00E43DF0" w:rsidRPr="00E43DF0" w:rsidRDefault="00E43DF0" w:rsidP="00E43DF0">
      <w:pPr>
        <w:pStyle w:val="FootnoteText"/>
        <w:spacing w:line="480" w:lineRule="auto"/>
        <w:jc w:val="both"/>
        <w:rPr>
          <w:rFonts w:ascii="Garamond" w:hAnsi="Garamond"/>
          <w:sz w:val="22"/>
          <w:szCs w:val="22"/>
        </w:rPr>
      </w:pPr>
      <w:r w:rsidRPr="00E43DF0">
        <w:rPr>
          <w:rStyle w:val="FootnoteReference"/>
          <w:rFonts w:ascii="Garamond" w:hAnsi="Garamond"/>
          <w:sz w:val="22"/>
          <w:szCs w:val="22"/>
        </w:rPr>
        <w:footnoteRef/>
      </w:r>
      <w:r w:rsidRPr="00E43DF0">
        <w:rPr>
          <w:rFonts w:ascii="Garamond" w:hAnsi="Garamond"/>
          <w:sz w:val="22"/>
          <w:szCs w:val="22"/>
        </w:rPr>
        <w:t xml:space="preserve"> I use the following standard abbreviation for passages in the </w:t>
      </w:r>
      <w:r w:rsidRPr="00E43DF0">
        <w:rPr>
          <w:rFonts w:ascii="Garamond" w:hAnsi="Garamond"/>
          <w:i/>
          <w:iCs/>
          <w:sz w:val="22"/>
          <w:szCs w:val="22"/>
        </w:rPr>
        <w:t>Ethics</w:t>
      </w:r>
      <w:r w:rsidRPr="00E43DF0">
        <w:rPr>
          <w:rFonts w:ascii="Garamond" w:hAnsi="Garamond"/>
          <w:sz w:val="22"/>
          <w:szCs w:val="22"/>
        </w:rPr>
        <w:t>: a(-</w:t>
      </w:r>
      <w:proofErr w:type="spellStart"/>
      <w:r w:rsidRPr="00E43DF0">
        <w:rPr>
          <w:rFonts w:ascii="Garamond" w:hAnsi="Garamond"/>
          <w:sz w:val="22"/>
          <w:szCs w:val="22"/>
        </w:rPr>
        <w:t>xiom</w:t>
      </w:r>
      <w:proofErr w:type="spellEnd"/>
      <w:r w:rsidRPr="00E43DF0">
        <w:rPr>
          <w:rFonts w:ascii="Garamond" w:hAnsi="Garamond"/>
          <w:sz w:val="22"/>
          <w:szCs w:val="22"/>
        </w:rPr>
        <w:t>), and p(-</w:t>
      </w:r>
      <w:proofErr w:type="spellStart"/>
      <w:r w:rsidRPr="00E43DF0">
        <w:rPr>
          <w:rFonts w:ascii="Garamond" w:hAnsi="Garamond"/>
          <w:sz w:val="22"/>
          <w:szCs w:val="22"/>
        </w:rPr>
        <w:t>roposition</w:t>
      </w:r>
      <w:proofErr w:type="spellEnd"/>
      <w:r w:rsidRPr="00E43DF0">
        <w:rPr>
          <w:rFonts w:ascii="Garamond" w:hAnsi="Garamond"/>
          <w:sz w:val="22"/>
          <w:szCs w:val="22"/>
        </w:rPr>
        <w:t>); ‘d’ stands for either ‘definition’ (when it appears immediately to the right of the part of the book), or ‘demonstration’ (in all other cases). Hence, E1d3 is the third definition of part 1 and E1p16d is the demonstration of proposition 16 of part 1.</w:t>
      </w:r>
    </w:p>
  </w:footnote>
  <w:footnote w:id="2">
    <w:p w14:paraId="45410CD2" w14:textId="56002056" w:rsidR="00F46494" w:rsidRDefault="00F46494" w:rsidP="00CD6E5C">
      <w:pPr>
        <w:pStyle w:val="FootnoteText"/>
        <w:spacing w:line="480" w:lineRule="auto"/>
        <w:jc w:val="both"/>
      </w:pPr>
      <w:r w:rsidRPr="00CD6E5C">
        <w:rPr>
          <w:rStyle w:val="FootnoteReference"/>
          <w:rFonts w:ascii="Garamond" w:hAnsi="Garamond"/>
          <w:sz w:val="22"/>
          <w:szCs w:val="22"/>
        </w:rPr>
        <w:footnoteRef/>
      </w:r>
      <w:r w:rsidRPr="00C85FBA">
        <w:rPr>
          <w:rFonts w:ascii="Garamond" w:hAnsi="Garamond"/>
          <w:sz w:val="22"/>
          <w:szCs w:val="22"/>
        </w:rPr>
        <w:t xml:space="preserve"> </w:t>
      </w:r>
      <w:r w:rsidR="00C46EA7">
        <w:rPr>
          <w:rFonts w:ascii="Garamond" w:hAnsi="Garamond"/>
          <w:sz w:val="22"/>
          <w:szCs w:val="22"/>
        </w:rPr>
        <w:t xml:space="preserve">Cf. </w:t>
      </w:r>
      <w:proofErr w:type="spellStart"/>
      <w:r w:rsidR="00C46EA7">
        <w:rPr>
          <w:rFonts w:ascii="Garamond" w:hAnsi="Garamond"/>
          <w:sz w:val="22"/>
          <w:szCs w:val="22"/>
        </w:rPr>
        <w:t>Bledin</w:t>
      </w:r>
      <w:proofErr w:type="spellEnd"/>
      <w:r w:rsidR="00C46EA7">
        <w:rPr>
          <w:rFonts w:ascii="Garamond" w:hAnsi="Garamond"/>
          <w:sz w:val="22"/>
          <w:szCs w:val="22"/>
        </w:rPr>
        <w:t xml:space="preserve"> and Melamed (manuscript), §5.2 </w:t>
      </w:r>
      <w:r w:rsidR="00C85FBA">
        <w:rPr>
          <w:rFonts w:ascii="Garamond" w:hAnsi="Garamond"/>
          <w:sz w:val="22"/>
          <w:szCs w:val="22"/>
        </w:rPr>
        <w:t xml:space="preserve">For Spinoza, adequate definitions must capture the essence of the things defined, and axioms are statements of eternal truths other than the essence of things. Thus, he considered both kinds of </w:t>
      </w:r>
      <w:r w:rsidR="009E270C">
        <w:rPr>
          <w:rFonts w:ascii="Garamond" w:hAnsi="Garamond"/>
          <w:sz w:val="22"/>
          <w:szCs w:val="22"/>
        </w:rPr>
        <w:t xml:space="preserve">statements </w:t>
      </w:r>
      <w:r w:rsidR="00C85FBA">
        <w:rPr>
          <w:rFonts w:ascii="Garamond" w:hAnsi="Garamond"/>
          <w:sz w:val="22"/>
          <w:szCs w:val="22"/>
        </w:rPr>
        <w:t>as necessary</w:t>
      </w:r>
      <w:r w:rsidR="003B5560">
        <w:rPr>
          <w:rFonts w:ascii="Garamond" w:hAnsi="Garamond"/>
          <w:sz w:val="22"/>
          <w:szCs w:val="22"/>
        </w:rPr>
        <w:t xml:space="preserve"> truths</w:t>
      </w:r>
      <w:r w:rsidR="00C85FBA">
        <w:rPr>
          <w:rFonts w:ascii="Garamond" w:hAnsi="Garamond"/>
          <w:sz w:val="22"/>
          <w:szCs w:val="22"/>
        </w:rPr>
        <w:t>.</w:t>
      </w:r>
      <w:r w:rsidR="003B5560">
        <w:rPr>
          <w:rFonts w:ascii="Garamond" w:hAnsi="Garamond"/>
          <w:sz w:val="22"/>
          <w:szCs w:val="22"/>
        </w:rPr>
        <w:t xml:space="preserve"> E1p7 relies on very few, trivial, tacit premises that are required for the validity of the demonstrations upon which it relies. These tacit, trivial premises must also be necessary in order for E1p7 to be true in</w:t>
      </w:r>
      <w:r w:rsidR="001E38AF">
        <w:rPr>
          <w:rFonts w:ascii="Garamond" w:hAnsi="Garamond"/>
          <w:sz w:val="22"/>
          <w:szCs w:val="22"/>
        </w:rPr>
        <w:t xml:space="preserve"> every</w:t>
      </w:r>
      <w:r w:rsidR="003B5560">
        <w:rPr>
          <w:rFonts w:ascii="Garamond" w:hAnsi="Garamond"/>
          <w:sz w:val="22"/>
          <w:szCs w:val="22"/>
        </w:rPr>
        <w:t xml:space="preserve"> </w:t>
      </w:r>
      <w:r w:rsidR="001E38AF">
        <w:rPr>
          <w:rFonts w:ascii="Garamond" w:hAnsi="Garamond"/>
          <w:sz w:val="22"/>
          <w:szCs w:val="22"/>
        </w:rPr>
        <w:t>possible world</w:t>
      </w:r>
      <w:r w:rsidR="003B5560">
        <w:rPr>
          <w:rFonts w:ascii="Garamond" w:hAnsi="Garamond"/>
          <w:sz w:val="22"/>
          <w:szCs w:val="22"/>
        </w:rPr>
        <w:t>.</w:t>
      </w:r>
    </w:p>
  </w:footnote>
  <w:footnote w:id="3">
    <w:p w14:paraId="465109A4" w14:textId="29AAD613" w:rsidR="00BD57AC" w:rsidRPr="00BD57AC" w:rsidRDefault="00BD57AC" w:rsidP="00BD57AC">
      <w:pPr>
        <w:pStyle w:val="FootnoteText"/>
        <w:spacing w:line="480" w:lineRule="auto"/>
        <w:jc w:val="both"/>
        <w:rPr>
          <w:rFonts w:ascii="Garamond" w:hAnsi="Garamond"/>
          <w:sz w:val="22"/>
          <w:szCs w:val="22"/>
        </w:rPr>
      </w:pPr>
      <w:r w:rsidRPr="00BD57AC">
        <w:rPr>
          <w:rStyle w:val="FootnoteReference"/>
          <w:rFonts w:ascii="Garamond" w:hAnsi="Garamond"/>
          <w:sz w:val="22"/>
          <w:szCs w:val="22"/>
        </w:rPr>
        <w:footnoteRef/>
      </w:r>
      <w:r w:rsidRPr="00BD57AC">
        <w:rPr>
          <w:rFonts w:ascii="Garamond" w:hAnsi="Garamond"/>
          <w:sz w:val="22"/>
          <w:szCs w:val="22"/>
        </w:rPr>
        <w:t xml:space="preserve"> I would like to thank Zach </w:t>
      </w:r>
      <w:proofErr w:type="spellStart"/>
      <w:r w:rsidRPr="00BD57AC">
        <w:rPr>
          <w:rFonts w:ascii="Garamond" w:hAnsi="Garamond"/>
          <w:sz w:val="22"/>
          <w:szCs w:val="22"/>
        </w:rPr>
        <w:t>Gartenberg</w:t>
      </w:r>
      <w:proofErr w:type="spellEnd"/>
      <w:r w:rsidR="00750267">
        <w:rPr>
          <w:rFonts w:ascii="Garamond" w:hAnsi="Garamond"/>
          <w:sz w:val="22"/>
          <w:szCs w:val="22"/>
        </w:rPr>
        <w:t xml:space="preserve"> and Justin </w:t>
      </w:r>
      <w:proofErr w:type="spellStart"/>
      <w:r w:rsidR="00750267">
        <w:rPr>
          <w:rFonts w:ascii="Garamond" w:hAnsi="Garamond"/>
          <w:sz w:val="22"/>
          <w:szCs w:val="22"/>
        </w:rPr>
        <w:t>Bledin</w:t>
      </w:r>
      <w:proofErr w:type="spellEnd"/>
      <w:r w:rsidRPr="00BD57AC">
        <w:rPr>
          <w:rFonts w:ascii="Garamond" w:hAnsi="Garamond"/>
          <w:sz w:val="22"/>
          <w:szCs w:val="22"/>
        </w:rPr>
        <w:t xml:space="preserve"> for comments on an earlier draft of this review.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38"/>
    <w:rsid w:val="0000205B"/>
    <w:rsid w:val="000054F3"/>
    <w:rsid w:val="000116BB"/>
    <w:rsid w:val="00021164"/>
    <w:rsid w:val="00036E21"/>
    <w:rsid w:val="000413AA"/>
    <w:rsid w:val="00041487"/>
    <w:rsid w:val="00047442"/>
    <w:rsid w:val="000528F2"/>
    <w:rsid w:val="00084E4E"/>
    <w:rsid w:val="00093319"/>
    <w:rsid w:val="000A6475"/>
    <w:rsid w:val="000C00EF"/>
    <w:rsid w:val="000C0E0F"/>
    <w:rsid w:val="000C3495"/>
    <w:rsid w:val="000D6EA2"/>
    <w:rsid w:val="000E1A28"/>
    <w:rsid w:val="000F1E74"/>
    <w:rsid w:val="000F2170"/>
    <w:rsid w:val="000F30ED"/>
    <w:rsid w:val="00104555"/>
    <w:rsid w:val="00106AAC"/>
    <w:rsid w:val="0012059A"/>
    <w:rsid w:val="001213D9"/>
    <w:rsid w:val="00135A8B"/>
    <w:rsid w:val="00181AF1"/>
    <w:rsid w:val="00183C28"/>
    <w:rsid w:val="001A6F85"/>
    <w:rsid w:val="001A755A"/>
    <w:rsid w:val="001C70F1"/>
    <w:rsid w:val="001D6F6B"/>
    <w:rsid w:val="001E2282"/>
    <w:rsid w:val="001E38AF"/>
    <w:rsid w:val="001F1A9A"/>
    <w:rsid w:val="001F7D42"/>
    <w:rsid w:val="00225AB8"/>
    <w:rsid w:val="0024687D"/>
    <w:rsid w:val="0025197A"/>
    <w:rsid w:val="002918DF"/>
    <w:rsid w:val="002A5766"/>
    <w:rsid w:val="002A6C64"/>
    <w:rsid w:val="002D3F5E"/>
    <w:rsid w:val="002E4A14"/>
    <w:rsid w:val="003B1BB1"/>
    <w:rsid w:val="003B5560"/>
    <w:rsid w:val="003B7C22"/>
    <w:rsid w:val="003C52E4"/>
    <w:rsid w:val="003E6364"/>
    <w:rsid w:val="00415719"/>
    <w:rsid w:val="004354E4"/>
    <w:rsid w:val="0043621D"/>
    <w:rsid w:val="00452164"/>
    <w:rsid w:val="0046415D"/>
    <w:rsid w:val="00466B88"/>
    <w:rsid w:val="004678B3"/>
    <w:rsid w:val="004877B1"/>
    <w:rsid w:val="00490D1E"/>
    <w:rsid w:val="004B7C45"/>
    <w:rsid w:val="004D6451"/>
    <w:rsid w:val="00520853"/>
    <w:rsid w:val="00525C33"/>
    <w:rsid w:val="005341EC"/>
    <w:rsid w:val="00540D97"/>
    <w:rsid w:val="00563D56"/>
    <w:rsid w:val="005822B4"/>
    <w:rsid w:val="00582FA1"/>
    <w:rsid w:val="00587C50"/>
    <w:rsid w:val="005944D0"/>
    <w:rsid w:val="005E22C9"/>
    <w:rsid w:val="005E2C9D"/>
    <w:rsid w:val="005F233F"/>
    <w:rsid w:val="005F284A"/>
    <w:rsid w:val="005F71C2"/>
    <w:rsid w:val="006029FB"/>
    <w:rsid w:val="00652BEA"/>
    <w:rsid w:val="00653AFD"/>
    <w:rsid w:val="00660358"/>
    <w:rsid w:val="00662509"/>
    <w:rsid w:val="00667AD8"/>
    <w:rsid w:val="00687D3C"/>
    <w:rsid w:val="00697363"/>
    <w:rsid w:val="006A1614"/>
    <w:rsid w:val="006C35D5"/>
    <w:rsid w:val="00701A18"/>
    <w:rsid w:val="0070687A"/>
    <w:rsid w:val="00733A0A"/>
    <w:rsid w:val="00741002"/>
    <w:rsid w:val="007428F1"/>
    <w:rsid w:val="00750267"/>
    <w:rsid w:val="00775402"/>
    <w:rsid w:val="00775786"/>
    <w:rsid w:val="007A661A"/>
    <w:rsid w:val="007C0615"/>
    <w:rsid w:val="007E7FD1"/>
    <w:rsid w:val="00806DF4"/>
    <w:rsid w:val="008112EF"/>
    <w:rsid w:val="00822E32"/>
    <w:rsid w:val="00844EBE"/>
    <w:rsid w:val="0089219D"/>
    <w:rsid w:val="008D6559"/>
    <w:rsid w:val="008E1EA4"/>
    <w:rsid w:val="008E4EBF"/>
    <w:rsid w:val="008F400C"/>
    <w:rsid w:val="00930A7A"/>
    <w:rsid w:val="009332F7"/>
    <w:rsid w:val="00955459"/>
    <w:rsid w:val="00957161"/>
    <w:rsid w:val="0096158D"/>
    <w:rsid w:val="00961F92"/>
    <w:rsid w:val="009713B6"/>
    <w:rsid w:val="00997A01"/>
    <w:rsid w:val="009C1081"/>
    <w:rsid w:val="009C192D"/>
    <w:rsid w:val="009C7593"/>
    <w:rsid w:val="009D5C0A"/>
    <w:rsid w:val="009E023D"/>
    <w:rsid w:val="009E270C"/>
    <w:rsid w:val="009F1677"/>
    <w:rsid w:val="00A067D8"/>
    <w:rsid w:val="00A10EAF"/>
    <w:rsid w:val="00A47F47"/>
    <w:rsid w:val="00A84CC9"/>
    <w:rsid w:val="00A97ACB"/>
    <w:rsid w:val="00AA24FA"/>
    <w:rsid w:val="00AB1D33"/>
    <w:rsid w:val="00AB71C7"/>
    <w:rsid w:val="00AC4573"/>
    <w:rsid w:val="00AD74ED"/>
    <w:rsid w:val="00AE386D"/>
    <w:rsid w:val="00AE42A8"/>
    <w:rsid w:val="00AE468C"/>
    <w:rsid w:val="00AF3662"/>
    <w:rsid w:val="00B0105E"/>
    <w:rsid w:val="00B015EB"/>
    <w:rsid w:val="00B12302"/>
    <w:rsid w:val="00B22B70"/>
    <w:rsid w:val="00B457DA"/>
    <w:rsid w:val="00B869E2"/>
    <w:rsid w:val="00BA2CA6"/>
    <w:rsid w:val="00BA4E33"/>
    <w:rsid w:val="00BA515C"/>
    <w:rsid w:val="00BC1138"/>
    <w:rsid w:val="00BD57AC"/>
    <w:rsid w:val="00BD74DC"/>
    <w:rsid w:val="00C121CF"/>
    <w:rsid w:val="00C168E5"/>
    <w:rsid w:val="00C32CC3"/>
    <w:rsid w:val="00C46EA7"/>
    <w:rsid w:val="00C50749"/>
    <w:rsid w:val="00C50D38"/>
    <w:rsid w:val="00C5708E"/>
    <w:rsid w:val="00C85FBA"/>
    <w:rsid w:val="00C977C2"/>
    <w:rsid w:val="00CA678B"/>
    <w:rsid w:val="00CC75AA"/>
    <w:rsid w:val="00CD6E5C"/>
    <w:rsid w:val="00CE0588"/>
    <w:rsid w:val="00CE1BD3"/>
    <w:rsid w:val="00CE616E"/>
    <w:rsid w:val="00D36CE2"/>
    <w:rsid w:val="00D4330C"/>
    <w:rsid w:val="00D9460F"/>
    <w:rsid w:val="00DE0D58"/>
    <w:rsid w:val="00DF3857"/>
    <w:rsid w:val="00DF5E07"/>
    <w:rsid w:val="00E03288"/>
    <w:rsid w:val="00E43DF0"/>
    <w:rsid w:val="00E54D6F"/>
    <w:rsid w:val="00E6264E"/>
    <w:rsid w:val="00E96686"/>
    <w:rsid w:val="00EB3245"/>
    <w:rsid w:val="00EC3B4E"/>
    <w:rsid w:val="00EC74CD"/>
    <w:rsid w:val="00ED242E"/>
    <w:rsid w:val="00EE6885"/>
    <w:rsid w:val="00F07D67"/>
    <w:rsid w:val="00F13680"/>
    <w:rsid w:val="00F37C3F"/>
    <w:rsid w:val="00F46494"/>
    <w:rsid w:val="00F46B36"/>
    <w:rsid w:val="00F710B5"/>
    <w:rsid w:val="00F85F17"/>
    <w:rsid w:val="00FC2BF9"/>
  </w:rsids>
  <m:mathPr>
    <m:mathFont m:val="Cambria Math"/>
    <m:brkBin m:val="before"/>
    <m:brkBinSub m:val="--"/>
    <m:smallFrac m:val="0"/>
    <m:dispDef m:val="0"/>
    <m:lMargin m:val="0"/>
    <m:rMargin m:val="0"/>
    <m:defJc m:val="centerGroup"/>
    <m:wrapRight/>
    <m:intLim m:val="subSup"/>
    <m:naryLim m:val="subSup"/>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0D36"/>
  <w15:docId w15:val="{B124687A-44C4-2D4E-B58B-10C8F1CD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105E"/>
    <w:pPr>
      <w:tabs>
        <w:tab w:val="center" w:pos="4680"/>
        <w:tab w:val="right" w:pos="9360"/>
      </w:tabs>
    </w:pPr>
  </w:style>
  <w:style w:type="character" w:customStyle="1" w:styleId="FooterChar">
    <w:name w:val="Footer Char"/>
    <w:basedOn w:val="DefaultParagraphFont"/>
    <w:link w:val="Footer"/>
    <w:uiPriority w:val="99"/>
    <w:rsid w:val="00B0105E"/>
  </w:style>
  <w:style w:type="character" w:styleId="PageNumber">
    <w:name w:val="page number"/>
    <w:basedOn w:val="DefaultParagraphFont"/>
    <w:uiPriority w:val="99"/>
    <w:semiHidden/>
    <w:unhideWhenUsed/>
    <w:rsid w:val="00B0105E"/>
  </w:style>
  <w:style w:type="paragraph" w:styleId="FootnoteText">
    <w:name w:val="footnote text"/>
    <w:basedOn w:val="Normal"/>
    <w:link w:val="FootnoteTextChar"/>
    <w:uiPriority w:val="99"/>
    <w:semiHidden/>
    <w:unhideWhenUsed/>
    <w:rsid w:val="005944D0"/>
    <w:rPr>
      <w:sz w:val="20"/>
      <w:szCs w:val="20"/>
    </w:rPr>
  </w:style>
  <w:style w:type="character" w:customStyle="1" w:styleId="FootnoteTextChar">
    <w:name w:val="Footnote Text Char"/>
    <w:basedOn w:val="DefaultParagraphFont"/>
    <w:link w:val="FootnoteText"/>
    <w:uiPriority w:val="99"/>
    <w:semiHidden/>
    <w:rsid w:val="005944D0"/>
    <w:rPr>
      <w:sz w:val="20"/>
      <w:szCs w:val="20"/>
    </w:rPr>
  </w:style>
  <w:style w:type="character" w:styleId="FootnoteReference">
    <w:name w:val="footnote reference"/>
    <w:basedOn w:val="DefaultParagraphFont"/>
    <w:uiPriority w:val="99"/>
    <w:semiHidden/>
    <w:unhideWhenUsed/>
    <w:rsid w:val="005944D0"/>
    <w:rPr>
      <w:vertAlign w:val="superscript"/>
    </w:rPr>
  </w:style>
  <w:style w:type="paragraph" w:styleId="BalloonText">
    <w:name w:val="Balloon Text"/>
    <w:basedOn w:val="Normal"/>
    <w:link w:val="BalloonTextChar"/>
    <w:uiPriority w:val="99"/>
    <w:semiHidden/>
    <w:unhideWhenUsed/>
    <w:rsid w:val="002A6C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6C6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7</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JHU</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Yitzhak Melamed</dc:creator>
  <cp:keywords/>
  <cp:lastModifiedBy>Microsoft Office User</cp:lastModifiedBy>
  <cp:revision>9</cp:revision>
  <cp:lastPrinted>2019-07-21T20:49:00Z</cp:lastPrinted>
  <dcterms:created xsi:type="dcterms:W3CDTF">2019-07-31T01:12:00Z</dcterms:created>
  <dcterms:modified xsi:type="dcterms:W3CDTF">2019-08-04T01:52:00Z</dcterms:modified>
</cp:coreProperties>
</file>