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3A23" w14:textId="68E4687E" w:rsidR="002A1BB5" w:rsidRDefault="002A1BB5" w:rsidP="002A1BB5">
      <w:pPr>
        <w:spacing w:line="480" w:lineRule="auto"/>
        <w:jc w:val="center"/>
        <w:rPr>
          <w:rFonts w:ascii="Garamond" w:hAnsi="Garamond"/>
          <w:iCs/>
          <w:u w:val="single"/>
        </w:rPr>
      </w:pPr>
      <w:r w:rsidRPr="002A1BB5">
        <w:rPr>
          <w:rFonts w:ascii="Garamond" w:hAnsi="Garamond"/>
          <w:iCs/>
          <w:u w:val="single"/>
        </w:rPr>
        <w:t xml:space="preserve">“The Political Theology of Salomon Maimon” </w:t>
      </w:r>
      <w:r w:rsidR="00F634E5">
        <w:rPr>
          <w:rFonts w:ascii="Garamond" w:hAnsi="Garamond"/>
          <w:iCs/>
          <w:u w:val="single"/>
        </w:rPr>
        <w:t>(</w:t>
      </w:r>
      <w:r w:rsidR="00A46B2D">
        <w:rPr>
          <w:rFonts w:ascii="Garamond" w:hAnsi="Garamond"/>
          <w:iCs/>
          <w:u w:val="single"/>
        </w:rPr>
        <w:t>0</w:t>
      </w:r>
      <w:r w:rsidR="00B43110">
        <w:rPr>
          <w:rFonts w:ascii="Garamond" w:hAnsi="Garamond"/>
          <w:iCs/>
          <w:u w:val="single"/>
        </w:rPr>
        <w:t>4</w:t>
      </w:r>
      <w:r w:rsidR="00A46B2D">
        <w:rPr>
          <w:rFonts w:ascii="Garamond" w:hAnsi="Garamond"/>
          <w:iCs/>
          <w:u w:val="single"/>
        </w:rPr>
        <w:t>.</w:t>
      </w:r>
      <w:r w:rsidR="00B43110">
        <w:rPr>
          <w:rFonts w:ascii="Garamond" w:hAnsi="Garamond"/>
          <w:iCs/>
          <w:u w:val="single"/>
        </w:rPr>
        <w:t>0</w:t>
      </w:r>
      <w:r w:rsidR="00F766FC">
        <w:rPr>
          <w:rFonts w:ascii="Garamond" w:hAnsi="Garamond"/>
          <w:iCs/>
          <w:u w:val="single"/>
        </w:rPr>
        <w:t>7</w:t>
      </w:r>
      <w:r w:rsidR="00A46B2D">
        <w:rPr>
          <w:rFonts w:ascii="Garamond" w:hAnsi="Garamond"/>
          <w:iCs/>
          <w:u w:val="single"/>
        </w:rPr>
        <w:t>.22</w:t>
      </w:r>
      <w:r w:rsidR="006773C5">
        <w:rPr>
          <w:rFonts w:ascii="Garamond" w:hAnsi="Garamond"/>
          <w:iCs/>
          <w:u w:val="single"/>
        </w:rPr>
        <w:t>)</w:t>
      </w:r>
    </w:p>
    <w:p w14:paraId="7AF2E1CB" w14:textId="77777777" w:rsidR="000D1DD1" w:rsidRDefault="000D1DD1" w:rsidP="002A1BB5">
      <w:pPr>
        <w:spacing w:line="480" w:lineRule="auto"/>
        <w:jc w:val="center"/>
        <w:rPr>
          <w:rFonts w:ascii="Garamond" w:hAnsi="Garamond"/>
          <w:iCs/>
        </w:rPr>
      </w:pPr>
    </w:p>
    <w:p w14:paraId="26C4224D" w14:textId="410B688C" w:rsidR="002A1BB5" w:rsidRDefault="002A1BB5" w:rsidP="002A1BB5">
      <w:pPr>
        <w:spacing w:line="480" w:lineRule="auto"/>
        <w:jc w:val="center"/>
        <w:rPr>
          <w:rFonts w:ascii="Garamond" w:hAnsi="Garamond"/>
          <w:iCs/>
        </w:rPr>
      </w:pPr>
      <w:r>
        <w:rPr>
          <w:rFonts w:ascii="Garamond" w:hAnsi="Garamond"/>
          <w:iCs/>
        </w:rPr>
        <w:t xml:space="preserve">(in </w:t>
      </w:r>
      <w:r w:rsidRPr="002A1BB5">
        <w:rPr>
          <w:rFonts w:ascii="Garamond" w:hAnsi="Garamond"/>
          <w:iCs/>
        </w:rPr>
        <w:t xml:space="preserve">Jason Yonover </w:t>
      </w:r>
      <w:r w:rsidR="000D1DD1">
        <w:rPr>
          <w:rFonts w:ascii="Garamond" w:hAnsi="Garamond"/>
          <w:iCs/>
        </w:rPr>
        <w:t xml:space="preserve">and </w:t>
      </w:r>
      <w:r w:rsidR="000D1DD1" w:rsidRPr="002A1BB5">
        <w:rPr>
          <w:rFonts w:ascii="Garamond" w:hAnsi="Garamond"/>
          <w:iCs/>
        </w:rPr>
        <w:t xml:space="preserve">Kristin </w:t>
      </w:r>
      <w:proofErr w:type="spellStart"/>
      <w:r w:rsidR="000D1DD1" w:rsidRPr="002A1BB5">
        <w:rPr>
          <w:rFonts w:ascii="Garamond" w:hAnsi="Garamond"/>
          <w:iCs/>
        </w:rPr>
        <w:t>Gjesdal</w:t>
      </w:r>
      <w:proofErr w:type="spellEnd"/>
      <w:r w:rsidR="000D1DD1" w:rsidRPr="002A1BB5">
        <w:rPr>
          <w:rFonts w:ascii="Garamond" w:hAnsi="Garamond"/>
          <w:iCs/>
        </w:rPr>
        <w:t xml:space="preserve"> </w:t>
      </w:r>
      <w:r w:rsidRPr="002A1BB5">
        <w:rPr>
          <w:rFonts w:ascii="Garamond" w:hAnsi="Garamond"/>
          <w:iCs/>
        </w:rPr>
        <w:t xml:space="preserve">(eds.), </w:t>
      </w:r>
      <w:r w:rsidRPr="002A1BB5">
        <w:rPr>
          <w:rFonts w:ascii="Garamond" w:hAnsi="Garamond"/>
          <w:i/>
        </w:rPr>
        <w:t>Spinoza</w:t>
      </w:r>
      <w:r w:rsidR="000D1DD1">
        <w:rPr>
          <w:rFonts w:ascii="Garamond" w:hAnsi="Garamond"/>
          <w:i/>
        </w:rPr>
        <w:t xml:space="preserve"> in Germany: </w:t>
      </w:r>
      <w:r w:rsidRPr="002A1BB5">
        <w:rPr>
          <w:rFonts w:ascii="Garamond" w:hAnsi="Garamond"/>
          <w:i/>
        </w:rPr>
        <w:t xml:space="preserve"> Political </w:t>
      </w:r>
      <w:r w:rsidR="000D1DD1">
        <w:rPr>
          <w:rFonts w:ascii="Garamond" w:hAnsi="Garamond"/>
          <w:i/>
        </w:rPr>
        <w:t xml:space="preserve">and </w:t>
      </w:r>
      <w:r w:rsidR="002B239B">
        <w:rPr>
          <w:rFonts w:ascii="Garamond" w:hAnsi="Garamond"/>
          <w:i/>
        </w:rPr>
        <w:t>R</w:t>
      </w:r>
      <w:r w:rsidR="000D1DD1">
        <w:rPr>
          <w:rFonts w:ascii="Garamond" w:hAnsi="Garamond"/>
          <w:i/>
        </w:rPr>
        <w:t>eligious Thought across the long nineteenth Century</w:t>
      </w:r>
      <w:r w:rsidRPr="002A1BB5">
        <w:rPr>
          <w:rFonts w:ascii="Garamond" w:hAnsi="Garamond"/>
          <w:i/>
        </w:rPr>
        <w:t xml:space="preserve"> </w:t>
      </w:r>
      <w:r w:rsidRPr="002A1BB5">
        <w:rPr>
          <w:rFonts w:ascii="Garamond" w:hAnsi="Garamond"/>
          <w:iCs/>
        </w:rPr>
        <w:t>(Oxford University Press)</w:t>
      </w:r>
    </w:p>
    <w:p w14:paraId="45A2824C" w14:textId="0F2D9051" w:rsidR="002A1BB5" w:rsidRDefault="002A1BB5" w:rsidP="002A1BB5">
      <w:pPr>
        <w:spacing w:line="480" w:lineRule="auto"/>
        <w:jc w:val="center"/>
        <w:rPr>
          <w:rFonts w:ascii="Garamond" w:hAnsi="Garamond"/>
          <w:iCs/>
        </w:rPr>
      </w:pPr>
    </w:p>
    <w:p w14:paraId="62063B81" w14:textId="343F6215" w:rsidR="00213B8B" w:rsidRDefault="00213B8B" w:rsidP="00223CC5">
      <w:pPr>
        <w:spacing w:line="360" w:lineRule="auto"/>
        <w:ind w:left="4464"/>
        <w:jc w:val="both"/>
        <w:rPr>
          <w:rFonts w:ascii="Garamond" w:hAnsi="Garamond"/>
          <w:iCs/>
        </w:rPr>
      </w:pPr>
      <w:r>
        <w:rPr>
          <w:rFonts w:ascii="Garamond" w:hAnsi="Garamond"/>
          <w:iCs/>
        </w:rPr>
        <w:t>“</w:t>
      </w:r>
      <w:r w:rsidR="00223CC5">
        <w:rPr>
          <w:rFonts w:ascii="Garamond" w:hAnsi="Garamond"/>
          <w:i/>
          <w:sz w:val="22"/>
          <w:szCs w:val="22"/>
        </w:rPr>
        <w:t>The true end of the laws is usually evident only to a few</w:t>
      </w:r>
      <w:r>
        <w:rPr>
          <w:rFonts w:ascii="Garamond" w:hAnsi="Garamond"/>
          <w:iCs/>
        </w:rPr>
        <w:t>”</w:t>
      </w:r>
      <w:r w:rsidR="00D00BB0">
        <w:rPr>
          <w:rStyle w:val="FootnoteReference"/>
          <w:rFonts w:ascii="Garamond" w:hAnsi="Garamond"/>
          <w:iCs/>
        </w:rPr>
        <w:footnoteReference w:id="1"/>
      </w:r>
    </w:p>
    <w:p w14:paraId="3B177D45" w14:textId="77777777" w:rsidR="00213B8B" w:rsidRDefault="00213B8B" w:rsidP="002A1BB5">
      <w:pPr>
        <w:spacing w:line="480" w:lineRule="auto"/>
        <w:jc w:val="center"/>
        <w:rPr>
          <w:rFonts w:ascii="Garamond" w:hAnsi="Garamond"/>
          <w:iCs/>
        </w:rPr>
      </w:pPr>
    </w:p>
    <w:p w14:paraId="2F7574FF" w14:textId="287F9C4A" w:rsidR="002A1BB5" w:rsidRPr="002A1BB5" w:rsidRDefault="002A1BB5" w:rsidP="002A1BB5">
      <w:pPr>
        <w:spacing w:line="480" w:lineRule="auto"/>
        <w:jc w:val="both"/>
        <w:rPr>
          <w:rFonts w:ascii="Garamond" w:hAnsi="Garamond"/>
          <w:iCs/>
          <w:u w:val="single"/>
        </w:rPr>
      </w:pPr>
      <w:r w:rsidRPr="002A1BB5">
        <w:rPr>
          <w:rFonts w:ascii="Garamond" w:hAnsi="Garamond"/>
          <w:iCs/>
          <w:u w:val="single"/>
        </w:rPr>
        <w:t>Introduction</w:t>
      </w:r>
    </w:p>
    <w:p w14:paraId="138E49F9" w14:textId="60CAA65A" w:rsidR="000D1DD1" w:rsidRDefault="000D1DD1" w:rsidP="002A1BB5">
      <w:pPr>
        <w:spacing w:line="480" w:lineRule="auto"/>
        <w:jc w:val="both"/>
        <w:rPr>
          <w:rFonts w:ascii="Garamond" w:hAnsi="Garamond"/>
          <w:iCs/>
        </w:rPr>
      </w:pPr>
      <w:r>
        <w:rPr>
          <w:rFonts w:ascii="Garamond" w:hAnsi="Garamond"/>
          <w:iCs/>
        </w:rPr>
        <w:t>The term ‘Political Theology’ was not coined in the twentieth century.</w:t>
      </w:r>
      <w:r w:rsidR="00860798">
        <w:rPr>
          <w:rStyle w:val="FootnoteReference"/>
          <w:rFonts w:ascii="Garamond" w:hAnsi="Garamond"/>
          <w:iCs/>
        </w:rPr>
        <w:footnoteReference w:id="2"/>
      </w:r>
      <w:r>
        <w:rPr>
          <w:rFonts w:ascii="Garamond" w:hAnsi="Garamond"/>
          <w:iCs/>
        </w:rPr>
        <w:t xml:space="preserve"> I am not absolutely sure about who was the first to introduce the term. As we shall shortly see, Salomon Maimon</w:t>
      </w:r>
      <w:r w:rsidR="00B20FC2">
        <w:rPr>
          <w:rFonts w:ascii="Garamond" w:hAnsi="Garamond"/>
          <w:iCs/>
        </w:rPr>
        <w:t xml:space="preserve"> </w:t>
      </w:r>
      <w:r w:rsidR="00B20FC2">
        <w:rPr>
          <w:rFonts w:ascii="Garamond" w:hAnsi="Garamond"/>
          <w:iCs/>
        </w:rPr>
        <w:lastRenderedPageBreak/>
        <w:t>(1753-1800)</w:t>
      </w:r>
      <w:r>
        <w:rPr>
          <w:rFonts w:ascii="Garamond" w:hAnsi="Garamond"/>
          <w:iCs/>
        </w:rPr>
        <w:t xml:space="preserve"> used the term as</w:t>
      </w:r>
      <w:r w:rsidR="00A46B2D">
        <w:rPr>
          <w:rFonts w:ascii="Garamond" w:hAnsi="Garamond"/>
          <w:iCs/>
        </w:rPr>
        <w:t xml:space="preserve"> part of the</w:t>
      </w:r>
      <w:r>
        <w:rPr>
          <w:rFonts w:ascii="Garamond" w:hAnsi="Garamond"/>
          <w:iCs/>
        </w:rPr>
        <w:t xml:space="preserve"> title to one of the chapters </w:t>
      </w:r>
      <w:r w:rsidR="00A46B2D">
        <w:rPr>
          <w:rFonts w:ascii="Garamond" w:hAnsi="Garamond"/>
          <w:iCs/>
        </w:rPr>
        <w:t>of</w:t>
      </w:r>
      <w:r>
        <w:rPr>
          <w:rFonts w:ascii="Garamond" w:hAnsi="Garamond"/>
          <w:iCs/>
        </w:rPr>
        <w:t xml:space="preserve"> his 1792/3 </w:t>
      </w:r>
      <w:proofErr w:type="spellStart"/>
      <w:r w:rsidRPr="000D1DD1">
        <w:rPr>
          <w:rFonts w:ascii="Garamond" w:hAnsi="Garamond"/>
          <w:i/>
        </w:rPr>
        <w:t>Lebensgeschichte</w:t>
      </w:r>
      <w:proofErr w:type="spellEnd"/>
      <w:r>
        <w:rPr>
          <w:rFonts w:ascii="Garamond" w:hAnsi="Garamond"/>
          <w:iCs/>
        </w:rPr>
        <w:t xml:space="preserve">, and it is the primary </w:t>
      </w:r>
      <w:r w:rsidR="0063757B">
        <w:rPr>
          <w:rFonts w:ascii="Garamond" w:hAnsi="Garamond"/>
          <w:iCs/>
        </w:rPr>
        <w:t xml:space="preserve">aim </w:t>
      </w:r>
      <w:r>
        <w:rPr>
          <w:rFonts w:ascii="Garamond" w:hAnsi="Garamond"/>
          <w:iCs/>
        </w:rPr>
        <w:t xml:space="preserve">of </w:t>
      </w:r>
      <w:r w:rsidR="00FE3C64">
        <w:rPr>
          <w:rFonts w:ascii="Garamond" w:hAnsi="Garamond"/>
          <w:iCs/>
        </w:rPr>
        <w:t>my</w:t>
      </w:r>
      <w:r>
        <w:rPr>
          <w:rFonts w:ascii="Garamond" w:hAnsi="Garamond"/>
          <w:iCs/>
        </w:rPr>
        <w:t xml:space="preserve"> chapter to explain his understanding of the term.</w:t>
      </w:r>
    </w:p>
    <w:p w14:paraId="7915A5A4" w14:textId="41B26077" w:rsidR="0063757B" w:rsidRDefault="003311EB" w:rsidP="0063757B">
      <w:pPr>
        <w:spacing w:line="480" w:lineRule="auto"/>
        <w:jc w:val="both"/>
        <w:rPr>
          <w:rFonts w:ascii="Garamond" w:hAnsi="Garamond"/>
          <w:iCs/>
        </w:rPr>
      </w:pPr>
      <w:r>
        <w:rPr>
          <w:rFonts w:ascii="Garamond" w:hAnsi="Garamond"/>
          <w:iCs/>
        </w:rPr>
        <w:tab/>
        <w:t xml:space="preserve">The idea that views about the divine (‘theology’) – true or false – </w:t>
      </w:r>
      <w:r w:rsidR="00B20FC2">
        <w:rPr>
          <w:rFonts w:ascii="Garamond" w:hAnsi="Garamond"/>
          <w:iCs/>
        </w:rPr>
        <w:t xml:space="preserve">could </w:t>
      </w:r>
      <w:r>
        <w:rPr>
          <w:rFonts w:ascii="Garamond" w:hAnsi="Garamond"/>
          <w:iCs/>
        </w:rPr>
        <w:t>have an important role in establishing (or undermining) political order and authority, or even in the promotion of the ideal state, goes back to Maimonides, al-</w:t>
      </w:r>
      <w:proofErr w:type="spellStart"/>
      <w:r>
        <w:rPr>
          <w:rFonts w:ascii="Garamond" w:hAnsi="Garamond"/>
          <w:iCs/>
        </w:rPr>
        <w:t>Farabi</w:t>
      </w:r>
      <w:proofErr w:type="spellEnd"/>
      <w:r>
        <w:rPr>
          <w:rFonts w:ascii="Garamond" w:hAnsi="Garamond"/>
          <w:iCs/>
        </w:rPr>
        <w:t xml:space="preserve">, and ultimately, Plato. We are likely to hear echoes of these writers in the current </w:t>
      </w:r>
      <w:r w:rsidR="00B20FC2">
        <w:rPr>
          <w:rFonts w:ascii="Garamond" w:hAnsi="Garamond"/>
          <w:iCs/>
        </w:rPr>
        <w:t>chapter</w:t>
      </w:r>
      <w:r>
        <w:rPr>
          <w:rFonts w:ascii="Garamond" w:hAnsi="Garamond"/>
          <w:iCs/>
        </w:rPr>
        <w:t xml:space="preserve">. Still, in addressing the background of Maimon’s discussion of political theology, I will focus on the one text which exerted the most significant influence on Maimon’s discussion of the issue: Spinoza’s </w:t>
      </w:r>
      <w:r w:rsidRPr="003311EB">
        <w:rPr>
          <w:rFonts w:ascii="Garamond" w:hAnsi="Garamond"/>
          <w:i/>
        </w:rPr>
        <w:t>Theological Political Treatise</w:t>
      </w:r>
      <w:r>
        <w:rPr>
          <w:rFonts w:ascii="Garamond" w:hAnsi="Garamond"/>
          <w:iCs/>
        </w:rPr>
        <w:t xml:space="preserve"> (1670). </w:t>
      </w:r>
    </w:p>
    <w:p w14:paraId="4A9EDE6F" w14:textId="432485FD" w:rsidR="0063757B" w:rsidRDefault="0063757B" w:rsidP="0063757B">
      <w:pPr>
        <w:spacing w:line="480" w:lineRule="auto"/>
        <w:jc w:val="both"/>
        <w:rPr>
          <w:rFonts w:ascii="Garamond" w:hAnsi="Garamond"/>
          <w:iCs/>
        </w:rPr>
      </w:pPr>
      <w:r>
        <w:rPr>
          <w:rFonts w:ascii="Garamond" w:hAnsi="Garamond"/>
          <w:iCs/>
        </w:rPr>
        <w:tab/>
        <w:t xml:space="preserve">In order to explain Maimon’s understanding of political theology, </w:t>
      </w:r>
      <w:r w:rsidR="006773C5">
        <w:rPr>
          <w:rFonts w:ascii="Garamond" w:hAnsi="Garamond"/>
          <w:iCs/>
        </w:rPr>
        <w:t>we</w:t>
      </w:r>
      <w:r>
        <w:rPr>
          <w:rFonts w:ascii="Garamond" w:hAnsi="Garamond"/>
          <w:iCs/>
        </w:rPr>
        <w:t xml:space="preserve"> will proceed in the following order. In the first part of the chapter we will have our first encounter with the term and the role of secrets in religious matters. The second part will study Maimon’s definitions </w:t>
      </w:r>
      <w:r w:rsidR="006773C5">
        <w:rPr>
          <w:rFonts w:ascii="Garamond" w:hAnsi="Garamond"/>
          <w:iCs/>
        </w:rPr>
        <w:t>of</w:t>
      </w:r>
      <w:r w:rsidR="00A46B2D">
        <w:rPr>
          <w:rFonts w:ascii="Garamond" w:hAnsi="Garamond"/>
          <w:iCs/>
        </w:rPr>
        <w:t>,</w:t>
      </w:r>
      <w:r w:rsidR="006773C5">
        <w:rPr>
          <w:rFonts w:ascii="Garamond" w:hAnsi="Garamond"/>
          <w:iCs/>
        </w:rPr>
        <w:t xml:space="preserve"> </w:t>
      </w:r>
      <w:r>
        <w:rPr>
          <w:rFonts w:ascii="Garamond" w:hAnsi="Garamond"/>
          <w:iCs/>
        </w:rPr>
        <w:t>and distinction</w:t>
      </w:r>
      <w:r w:rsidR="00C55F11">
        <w:rPr>
          <w:rFonts w:ascii="Garamond" w:hAnsi="Garamond"/>
          <w:iCs/>
        </w:rPr>
        <w:t>s</w:t>
      </w:r>
      <w:r>
        <w:rPr>
          <w:rFonts w:ascii="Garamond" w:hAnsi="Garamond"/>
          <w:iCs/>
        </w:rPr>
        <w:t xml:space="preserve"> </w:t>
      </w:r>
      <w:r w:rsidR="006773C5">
        <w:rPr>
          <w:rFonts w:ascii="Garamond" w:hAnsi="Garamond"/>
          <w:iCs/>
        </w:rPr>
        <w:t>among</w:t>
      </w:r>
      <w:r w:rsidR="00A46B2D">
        <w:rPr>
          <w:rFonts w:ascii="Garamond" w:hAnsi="Garamond"/>
          <w:iCs/>
        </w:rPr>
        <w:t>,</w:t>
      </w:r>
      <w:r>
        <w:rPr>
          <w:rFonts w:ascii="Garamond" w:hAnsi="Garamond"/>
          <w:iCs/>
        </w:rPr>
        <w:t xml:space="preserve"> various forms of religion. In the third and final p</w:t>
      </w:r>
      <w:r w:rsidR="00161BC7">
        <w:rPr>
          <w:rFonts w:ascii="Garamond" w:hAnsi="Garamond"/>
          <w:iCs/>
        </w:rPr>
        <w:t xml:space="preserve">art we will </w:t>
      </w:r>
      <w:r w:rsidR="006773C5">
        <w:rPr>
          <w:rFonts w:ascii="Garamond" w:hAnsi="Garamond"/>
          <w:iCs/>
        </w:rPr>
        <w:t xml:space="preserve">explore </w:t>
      </w:r>
      <w:r w:rsidR="00161BC7">
        <w:rPr>
          <w:rFonts w:ascii="Garamond" w:hAnsi="Garamond"/>
          <w:iCs/>
        </w:rPr>
        <w:t>Maimon’s view</w:t>
      </w:r>
      <w:r w:rsidR="006773C5">
        <w:rPr>
          <w:rFonts w:ascii="Garamond" w:hAnsi="Garamond"/>
          <w:iCs/>
        </w:rPr>
        <w:t>s</w:t>
      </w:r>
      <w:r w:rsidR="00161BC7">
        <w:rPr>
          <w:rFonts w:ascii="Garamond" w:hAnsi="Garamond"/>
          <w:iCs/>
        </w:rPr>
        <w:t xml:space="preserve"> about “the greatest of all the mysteries of the Jewish religion”</w:t>
      </w:r>
      <w:r w:rsidR="00161BC7">
        <w:rPr>
          <w:rStyle w:val="FootnoteReference"/>
          <w:rFonts w:ascii="Garamond" w:hAnsi="Garamond"/>
          <w:iCs/>
        </w:rPr>
        <w:footnoteReference w:id="3"/>
      </w:r>
      <w:r w:rsidR="00161BC7">
        <w:rPr>
          <w:rFonts w:ascii="Garamond" w:hAnsi="Garamond"/>
          <w:iCs/>
        </w:rPr>
        <w:t xml:space="preserve"> and about the nature of that religion.  </w:t>
      </w:r>
      <w:r>
        <w:rPr>
          <w:rFonts w:ascii="Garamond" w:hAnsi="Garamond"/>
          <w:iCs/>
        </w:rPr>
        <w:t xml:space="preserve"> </w:t>
      </w:r>
    </w:p>
    <w:p w14:paraId="4C747E02" w14:textId="77628406" w:rsidR="003311EB" w:rsidRDefault="003311EB" w:rsidP="002A1BB5">
      <w:pPr>
        <w:spacing w:line="480" w:lineRule="auto"/>
        <w:jc w:val="both"/>
        <w:rPr>
          <w:rFonts w:ascii="Garamond" w:hAnsi="Garamond"/>
          <w:iCs/>
        </w:rPr>
      </w:pPr>
    </w:p>
    <w:p w14:paraId="53536C6D" w14:textId="77777777" w:rsidR="006773C5" w:rsidRDefault="006773C5" w:rsidP="006773C5">
      <w:pPr>
        <w:spacing w:line="480" w:lineRule="auto"/>
        <w:jc w:val="both"/>
        <w:rPr>
          <w:rFonts w:ascii="Garamond" w:hAnsi="Garamond"/>
          <w:iCs/>
          <w:u w:val="single"/>
        </w:rPr>
      </w:pPr>
      <w:r>
        <w:rPr>
          <w:rFonts w:ascii="Garamond" w:hAnsi="Garamond"/>
          <w:iCs/>
        </w:rPr>
        <w:tab/>
      </w:r>
      <w:r w:rsidRPr="006773C5">
        <w:rPr>
          <w:rFonts w:ascii="Garamond" w:hAnsi="Garamond"/>
          <w:iCs/>
          <w:u w:val="single"/>
        </w:rPr>
        <w:t>Part 1: What is Political Theology?</w:t>
      </w:r>
    </w:p>
    <w:p w14:paraId="3D28E177" w14:textId="6CAC4F77" w:rsidR="0073132D" w:rsidRDefault="006773C5" w:rsidP="0073132D">
      <w:pPr>
        <w:spacing w:line="480" w:lineRule="auto"/>
        <w:jc w:val="both"/>
        <w:rPr>
          <w:rFonts w:ascii="Garamond" w:eastAsia="Times New Roman" w:hAnsi="Garamond" w:cs="Times New Roman"/>
          <w:sz w:val="22"/>
          <w:szCs w:val="22"/>
          <w:lang w:bidi="he-IL"/>
        </w:rPr>
      </w:pPr>
      <w:r>
        <w:rPr>
          <w:rFonts w:ascii="Garamond" w:eastAsia="Times New Roman" w:hAnsi="Garamond" w:cs="Times New Roman"/>
          <w:sz w:val="22"/>
          <w:szCs w:val="22"/>
          <w:lang w:bidi="he-IL"/>
        </w:rPr>
        <w:tab/>
      </w:r>
      <w:r w:rsidR="00D7119B" w:rsidRPr="006773C5">
        <w:rPr>
          <w:rFonts w:ascii="Garamond" w:eastAsia="Times New Roman" w:hAnsi="Garamond" w:cs="Times New Roman"/>
          <w:sz w:val="22"/>
          <w:szCs w:val="22"/>
          <w:lang w:bidi="he-IL"/>
        </w:rPr>
        <w:t xml:space="preserve">Maimon’s 1792/3 </w:t>
      </w:r>
      <w:proofErr w:type="spellStart"/>
      <w:r w:rsidR="00D7119B" w:rsidRPr="006773C5">
        <w:rPr>
          <w:rFonts w:ascii="Garamond" w:eastAsia="Times New Roman" w:hAnsi="Garamond" w:cs="Times New Roman"/>
          <w:i/>
          <w:iCs/>
          <w:sz w:val="22"/>
          <w:szCs w:val="22"/>
          <w:lang w:bidi="he-IL"/>
        </w:rPr>
        <w:t>Lebensgeschichte</w:t>
      </w:r>
      <w:proofErr w:type="spellEnd"/>
      <w:r w:rsidR="00D7119B" w:rsidRPr="006773C5">
        <w:rPr>
          <w:rFonts w:ascii="Garamond" w:eastAsia="Times New Roman" w:hAnsi="Garamond" w:cs="Times New Roman"/>
          <w:sz w:val="22"/>
          <w:szCs w:val="22"/>
          <w:lang w:bidi="he-IL"/>
        </w:rPr>
        <w:t xml:space="preserve"> is quite an extraordinary text, being one of the very first instances of the </w:t>
      </w:r>
      <w:r w:rsidR="00D7119B" w:rsidRPr="006773C5">
        <w:rPr>
          <w:rFonts w:ascii="Garamond" w:eastAsia="Times New Roman" w:hAnsi="Garamond" w:cs="Times New Roman"/>
          <w:i/>
          <w:iCs/>
          <w:sz w:val="22"/>
          <w:szCs w:val="22"/>
          <w:lang w:bidi="he-IL"/>
        </w:rPr>
        <w:t>Bildungsroman</w:t>
      </w:r>
      <w:r w:rsidR="00D7119B" w:rsidRPr="006773C5">
        <w:rPr>
          <w:rFonts w:ascii="Garamond" w:eastAsia="Times New Roman" w:hAnsi="Garamond" w:cs="Times New Roman"/>
          <w:sz w:val="22"/>
          <w:szCs w:val="22"/>
          <w:lang w:bidi="he-IL"/>
        </w:rPr>
        <w:t xml:space="preserve"> (published only two years after </w:t>
      </w:r>
      <w:r>
        <w:rPr>
          <w:rFonts w:ascii="Garamond" w:eastAsia="Times New Roman" w:hAnsi="Garamond" w:cs="Times New Roman"/>
          <w:sz w:val="22"/>
          <w:szCs w:val="22"/>
          <w:lang w:bidi="he-IL"/>
        </w:rPr>
        <w:t>Karl Philip</w:t>
      </w:r>
      <w:r w:rsidR="00D00BB0">
        <w:rPr>
          <w:rFonts w:ascii="Garamond" w:eastAsia="Times New Roman" w:hAnsi="Garamond" w:cs="Times New Roman"/>
          <w:sz w:val="22"/>
          <w:szCs w:val="22"/>
          <w:lang w:bidi="he-IL"/>
        </w:rPr>
        <w:t>p</w:t>
      </w:r>
      <w:r>
        <w:rPr>
          <w:rFonts w:ascii="Garamond" w:eastAsia="Times New Roman" w:hAnsi="Garamond" w:cs="Times New Roman"/>
          <w:sz w:val="22"/>
          <w:szCs w:val="22"/>
          <w:lang w:bidi="he-IL"/>
        </w:rPr>
        <w:t xml:space="preserve"> </w:t>
      </w:r>
      <w:r w:rsidR="00D7119B" w:rsidRPr="006773C5">
        <w:rPr>
          <w:rFonts w:ascii="Garamond" w:eastAsia="Times New Roman" w:hAnsi="Garamond" w:cs="Times New Roman"/>
          <w:sz w:val="22"/>
          <w:szCs w:val="22"/>
          <w:lang w:bidi="he-IL"/>
        </w:rPr>
        <w:t xml:space="preserve">Moritz’s </w:t>
      </w:r>
      <w:r w:rsidR="00D7119B" w:rsidRPr="006773C5">
        <w:rPr>
          <w:rFonts w:ascii="Garamond" w:eastAsia="Times New Roman" w:hAnsi="Garamond" w:cs="Times New Roman"/>
          <w:i/>
          <w:iCs/>
          <w:sz w:val="22"/>
          <w:szCs w:val="22"/>
          <w:lang w:bidi="he-IL"/>
        </w:rPr>
        <w:t>Anton Reiser</w:t>
      </w:r>
      <w:r w:rsidR="00D7119B" w:rsidRPr="006773C5">
        <w:rPr>
          <w:rFonts w:ascii="Garamond" w:eastAsia="Times New Roman" w:hAnsi="Garamond" w:cs="Times New Roman"/>
          <w:sz w:val="22"/>
          <w:szCs w:val="22"/>
          <w:lang w:bidi="he-IL"/>
        </w:rPr>
        <w:t>), and provid</w:t>
      </w:r>
      <w:r w:rsidR="005976F0">
        <w:rPr>
          <w:rFonts w:ascii="Garamond" w:eastAsia="Times New Roman" w:hAnsi="Garamond" w:cs="Times New Roman"/>
          <w:sz w:val="22"/>
          <w:szCs w:val="22"/>
          <w:lang w:bidi="he-IL"/>
        </w:rPr>
        <w:t>ing</w:t>
      </w:r>
      <w:r w:rsidR="00D7119B" w:rsidRPr="006773C5">
        <w:rPr>
          <w:rFonts w:ascii="Garamond" w:eastAsia="Times New Roman" w:hAnsi="Garamond" w:cs="Times New Roman"/>
          <w:sz w:val="22"/>
          <w:szCs w:val="22"/>
          <w:lang w:bidi="he-IL"/>
        </w:rPr>
        <w:t xml:space="preserve"> an </w:t>
      </w:r>
      <w:r w:rsidR="005976F0">
        <w:rPr>
          <w:rFonts w:ascii="Garamond" w:eastAsia="Times New Roman" w:hAnsi="Garamond" w:cs="Times New Roman"/>
          <w:sz w:val="22"/>
          <w:szCs w:val="22"/>
          <w:lang w:bidi="he-IL"/>
        </w:rPr>
        <w:t xml:space="preserve">extremely </w:t>
      </w:r>
      <w:r w:rsidR="00D7119B" w:rsidRPr="006773C5">
        <w:rPr>
          <w:rFonts w:ascii="Garamond" w:eastAsia="Times New Roman" w:hAnsi="Garamond" w:cs="Times New Roman"/>
          <w:sz w:val="22"/>
          <w:szCs w:val="22"/>
          <w:lang w:bidi="he-IL"/>
        </w:rPr>
        <w:t xml:space="preserve">insightful and deep analysis of Jewish culture (in spite of its occasional </w:t>
      </w:r>
      <w:r w:rsidR="00D7119B" w:rsidRPr="006773C5">
        <w:rPr>
          <w:rFonts w:ascii="Garamond" w:eastAsia="Times New Roman" w:hAnsi="Garamond" w:cs="Times New Roman"/>
          <w:sz w:val="22"/>
          <w:szCs w:val="22"/>
          <w:lang w:bidi="he-IL"/>
        </w:rPr>
        <w:lastRenderedPageBreak/>
        <w:t xml:space="preserve">narcissistic exaggerations). At the time, it was a widely read </w:t>
      </w:r>
      <w:r w:rsidR="005976F0">
        <w:rPr>
          <w:rFonts w:ascii="Garamond" w:eastAsia="Times New Roman" w:hAnsi="Garamond" w:cs="Times New Roman"/>
          <w:sz w:val="22"/>
          <w:szCs w:val="22"/>
          <w:lang w:bidi="he-IL"/>
        </w:rPr>
        <w:t xml:space="preserve">and discussed </w:t>
      </w:r>
      <w:r w:rsidR="00A46B2D">
        <w:rPr>
          <w:rFonts w:ascii="Garamond" w:eastAsia="Times New Roman" w:hAnsi="Garamond" w:cs="Times New Roman"/>
          <w:sz w:val="22"/>
          <w:szCs w:val="22"/>
          <w:lang w:bidi="he-IL"/>
        </w:rPr>
        <w:t>book</w:t>
      </w:r>
      <w:r w:rsidR="00D7119B" w:rsidRPr="006773C5">
        <w:rPr>
          <w:rFonts w:ascii="Garamond" w:eastAsia="Times New Roman" w:hAnsi="Garamond" w:cs="Times New Roman"/>
          <w:sz w:val="22"/>
          <w:szCs w:val="22"/>
          <w:lang w:bidi="he-IL"/>
        </w:rPr>
        <w:t>.</w:t>
      </w:r>
      <w:r w:rsidR="00FE3C64">
        <w:rPr>
          <w:rStyle w:val="FootnoteReference"/>
          <w:rFonts w:ascii="Garamond" w:eastAsia="Times New Roman" w:hAnsi="Garamond" w:cs="Times New Roman"/>
          <w:sz w:val="22"/>
          <w:szCs w:val="22"/>
          <w:lang w:bidi="he-IL"/>
        </w:rPr>
        <w:footnoteReference w:id="4"/>
      </w:r>
      <w:r w:rsidR="005976F0">
        <w:rPr>
          <w:rFonts w:ascii="Garamond" w:eastAsia="Times New Roman" w:hAnsi="Garamond" w:cs="Times New Roman"/>
          <w:sz w:val="22"/>
          <w:szCs w:val="22"/>
          <w:lang w:bidi="he-IL"/>
        </w:rPr>
        <w:t xml:space="preserve"> </w:t>
      </w:r>
      <w:r w:rsidR="00D7119B" w:rsidRPr="006773C5">
        <w:rPr>
          <w:rFonts w:ascii="Garamond" w:hAnsi="Garamond"/>
          <w:iCs/>
        </w:rPr>
        <w:t xml:space="preserve">Since Maimon was uniquely placed at the juncture of so many competing ideologies – traditional rabbinics, </w:t>
      </w:r>
      <w:proofErr w:type="spellStart"/>
      <w:r w:rsidR="00D7119B" w:rsidRPr="006773C5">
        <w:rPr>
          <w:rFonts w:ascii="Garamond" w:hAnsi="Garamond"/>
          <w:iCs/>
        </w:rPr>
        <w:t>Maimonideanism</w:t>
      </w:r>
      <w:proofErr w:type="spellEnd"/>
      <w:r w:rsidR="00D7119B" w:rsidRPr="006773C5">
        <w:rPr>
          <w:rFonts w:ascii="Garamond" w:hAnsi="Garamond"/>
          <w:iCs/>
        </w:rPr>
        <w:t xml:space="preserve">, Kabbalah, </w:t>
      </w:r>
      <w:r w:rsidR="005976F0">
        <w:rPr>
          <w:rFonts w:ascii="Garamond" w:hAnsi="Garamond"/>
          <w:iCs/>
        </w:rPr>
        <w:t xml:space="preserve">early </w:t>
      </w:r>
      <w:r w:rsidR="00D7119B" w:rsidRPr="006773C5">
        <w:rPr>
          <w:rFonts w:ascii="Garamond" w:hAnsi="Garamond"/>
          <w:iCs/>
        </w:rPr>
        <w:t>Hassidism, Jewish Enlightenment (</w:t>
      </w:r>
      <w:r w:rsidR="00D7119B" w:rsidRPr="006773C5">
        <w:rPr>
          <w:rFonts w:ascii="Garamond" w:hAnsi="Garamond"/>
          <w:i/>
          <w:iCs/>
        </w:rPr>
        <w:t>Haskalah</w:t>
      </w:r>
      <w:r w:rsidR="00D7119B" w:rsidRPr="006773C5">
        <w:rPr>
          <w:rFonts w:ascii="Garamond" w:hAnsi="Garamond"/>
          <w:iCs/>
        </w:rPr>
        <w:t xml:space="preserve">), </w:t>
      </w:r>
      <w:r w:rsidR="005976F0">
        <w:rPr>
          <w:rFonts w:ascii="Garamond" w:hAnsi="Garamond"/>
          <w:iCs/>
        </w:rPr>
        <w:t xml:space="preserve">and </w:t>
      </w:r>
      <w:r w:rsidR="00D7119B" w:rsidRPr="006773C5">
        <w:rPr>
          <w:rFonts w:ascii="Garamond" w:hAnsi="Garamond"/>
          <w:iCs/>
        </w:rPr>
        <w:t>Kantianism</w:t>
      </w:r>
      <w:r w:rsidR="005976F0">
        <w:rPr>
          <w:rFonts w:ascii="Garamond" w:hAnsi="Garamond"/>
          <w:iCs/>
        </w:rPr>
        <w:t>, to name a few</w:t>
      </w:r>
      <w:r w:rsidR="00D7119B" w:rsidRPr="006773C5">
        <w:rPr>
          <w:rFonts w:ascii="Garamond" w:hAnsi="Garamond"/>
          <w:iCs/>
        </w:rPr>
        <w:t xml:space="preserve"> – it is hard to think of any other single book that is equally or more informative (and knowledgeable) about modern </w:t>
      </w:r>
      <w:r w:rsidR="005976F0">
        <w:rPr>
          <w:rFonts w:ascii="Garamond" w:hAnsi="Garamond"/>
          <w:iCs/>
        </w:rPr>
        <w:t xml:space="preserve">European </w:t>
      </w:r>
      <w:r w:rsidR="00D7119B" w:rsidRPr="006773C5">
        <w:rPr>
          <w:rFonts w:ascii="Garamond" w:hAnsi="Garamond"/>
          <w:iCs/>
        </w:rPr>
        <w:t>Jewish culture.</w:t>
      </w:r>
      <w:r w:rsidR="005976F0">
        <w:rPr>
          <w:rFonts w:ascii="Garamond" w:eastAsia="Times New Roman" w:hAnsi="Garamond" w:cs="Times New Roman"/>
          <w:sz w:val="22"/>
          <w:szCs w:val="22"/>
          <w:lang w:bidi="he-IL"/>
        </w:rPr>
        <w:tab/>
      </w:r>
    </w:p>
    <w:p w14:paraId="6440D8F2" w14:textId="017AF3DF" w:rsidR="007213B8" w:rsidRDefault="0073132D" w:rsidP="00736E24">
      <w:pPr>
        <w:spacing w:line="480" w:lineRule="auto"/>
        <w:jc w:val="both"/>
        <w:rPr>
          <w:rFonts w:ascii="Garamond" w:eastAsia="Times New Roman" w:hAnsi="Garamond"/>
          <w:sz w:val="22"/>
          <w:szCs w:val="22"/>
          <w:lang w:bidi="he-IL"/>
        </w:rPr>
      </w:pPr>
      <w:r>
        <w:rPr>
          <w:rFonts w:ascii="Garamond" w:eastAsia="Times New Roman" w:hAnsi="Garamond" w:cs="Times New Roman"/>
          <w:sz w:val="22"/>
          <w:szCs w:val="22"/>
          <w:lang w:bidi="he-IL"/>
        </w:rPr>
        <w:tab/>
      </w:r>
      <w:r w:rsidR="005976F0">
        <w:rPr>
          <w:rFonts w:ascii="Garamond" w:eastAsia="Times New Roman" w:hAnsi="Garamond" w:cs="Times New Roman"/>
          <w:sz w:val="22"/>
          <w:szCs w:val="22"/>
          <w:lang w:bidi="he-IL"/>
        </w:rPr>
        <w:t xml:space="preserve">The </w:t>
      </w:r>
      <w:proofErr w:type="spellStart"/>
      <w:r w:rsidR="005976F0" w:rsidRPr="0073132D">
        <w:rPr>
          <w:rFonts w:ascii="Garamond" w:eastAsia="Times New Roman" w:hAnsi="Garamond" w:cs="Times New Roman"/>
          <w:i/>
          <w:iCs/>
          <w:sz w:val="22"/>
          <w:szCs w:val="22"/>
          <w:lang w:bidi="he-IL"/>
        </w:rPr>
        <w:t>Lebensgeschichte</w:t>
      </w:r>
      <w:proofErr w:type="spellEnd"/>
      <w:r w:rsidR="005976F0">
        <w:rPr>
          <w:rFonts w:ascii="Garamond" w:eastAsia="Times New Roman" w:hAnsi="Garamond" w:cs="Times New Roman"/>
          <w:sz w:val="22"/>
          <w:szCs w:val="22"/>
          <w:lang w:bidi="he-IL"/>
        </w:rPr>
        <w:t xml:space="preserve"> appeared in two parts: the first in 1792, the second in 1793.</w:t>
      </w:r>
      <w:r w:rsidR="005976F0">
        <w:rPr>
          <w:rStyle w:val="FootnoteReference"/>
          <w:rFonts w:ascii="Garamond" w:eastAsia="Times New Roman" w:hAnsi="Garamond" w:cs="Times New Roman"/>
          <w:sz w:val="22"/>
          <w:szCs w:val="22"/>
          <w:lang w:bidi="he-IL"/>
        </w:rPr>
        <w:footnoteReference w:id="5"/>
      </w:r>
      <w:r>
        <w:rPr>
          <w:rFonts w:ascii="Garamond" w:eastAsia="Times New Roman" w:hAnsi="Garamond" w:cs="Times New Roman"/>
          <w:sz w:val="22"/>
          <w:szCs w:val="22"/>
          <w:lang w:bidi="he-IL"/>
        </w:rPr>
        <w:t xml:space="preserve"> </w:t>
      </w:r>
      <w:r w:rsidR="006F3DEB" w:rsidRPr="0073132D">
        <w:rPr>
          <w:rFonts w:ascii="Garamond" w:eastAsia="Times New Roman" w:hAnsi="Garamond"/>
          <w:sz w:val="22"/>
          <w:szCs w:val="22"/>
          <w:lang w:bidi="he-IL"/>
        </w:rPr>
        <w:t xml:space="preserve">The title of the first chapter of </w:t>
      </w:r>
      <w:r>
        <w:rPr>
          <w:rFonts w:ascii="Garamond" w:eastAsia="Times New Roman" w:hAnsi="Garamond"/>
          <w:sz w:val="22"/>
          <w:szCs w:val="22"/>
          <w:lang w:bidi="he-IL"/>
        </w:rPr>
        <w:t>Part Two</w:t>
      </w:r>
      <w:r w:rsidR="006F3DEB" w:rsidRPr="0073132D">
        <w:rPr>
          <w:rFonts w:ascii="Garamond" w:eastAsia="Times New Roman" w:hAnsi="Garamond"/>
          <w:sz w:val="22"/>
          <w:szCs w:val="22"/>
          <w:lang w:bidi="he-IL"/>
        </w:rPr>
        <w:t xml:space="preserve"> of </w:t>
      </w:r>
      <w:r>
        <w:rPr>
          <w:rFonts w:ascii="Garamond" w:eastAsia="Times New Roman" w:hAnsi="Garamond"/>
          <w:sz w:val="22"/>
          <w:szCs w:val="22"/>
          <w:lang w:bidi="he-IL"/>
        </w:rPr>
        <w:t xml:space="preserve">the book </w:t>
      </w:r>
      <w:r w:rsidR="006F3DEB" w:rsidRPr="0073132D">
        <w:rPr>
          <w:rFonts w:ascii="Garamond" w:eastAsia="Times New Roman" w:hAnsi="Garamond"/>
          <w:sz w:val="22"/>
          <w:szCs w:val="22"/>
          <w:lang w:bidi="he-IL"/>
        </w:rPr>
        <w:t>reads: “</w:t>
      </w:r>
      <w:r w:rsidR="006F3DEB" w:rsidRPr="0073132D">
        <w:rPr>
          <w:rFonts w:ascii="Garamond" w:eastAsia="Times New Roman" w:hAnsi="Garamond"/>
          <w:i/>
          <w:iCs/>
          <w:sz w:val="22"/>
          <w:szCs w:val="22"/>
          <w:lang w:bidi="he-IL"/>
        </w:rPr>
        <w:t>Guide of the Perplexed</w:t>
      </w:r>
      <w:r w:rsidR="006F3DEB" w:rsidRPr="0073132D">
        <w:rPr>
          <w:rFonts w:ascii="Garamond" w:eastAsia="Times New Roman" w:hAnsi="Garamond"/>
          <w:sz w:val="22"/>
          <w:szCs w:val="22"/>
          <w:lang w:bidi="he-IL"/>
        </w:rPr>
        <w:t xml:space="preserve">: Its plan, Goal, and Method. </w:t>
      </w:r>
      <w:r w:rsidR="006F3DEB" w:rsidRPr="0073132D">
        <w:rPr>
          <w:rFonts w:ascii="Garamond" w:eastAsia="Times New Roman" w:hAnsi="Garamond"/>
          <w:i/>
          <w:iCs/>
          <w:sz w:val="22"/>
          <w:szCs w:val="22"/>
          <w:u w:val="single"/>
          <w:lang w:bidi="he-IL"/>
        </w:rPr>
        <w:t xml:space="preserve">Political Theology </w:t>
      </w:r>
      <w:r w:rsidR="006F3DEB" w:rsidRPr="0073132D">
        <w:rPr>
          <w:rFonts w:ascii="Garamond" w:eastAsia="Times New Roman" w:hAnsi="Garamond"/>
          <w:sz w:val="22"/>
          <w:szCs w:val="22"/>
          <w:lang w:bidi="he-IL"/>
        </w:rPr>
        <w:t>[</w:t>
      </w:r>
      <w:r w:rsidR="006F3DEB" w:rsidRPr="0073132D">
        <w:rPr>
          <w:rFonts w:ascii="Garamond" w:eastAsia="Times New Roman" w:hAnsi="Garamond"/>
          <w:i/>
          <w:iCs/>
          <w:sz w:val="22"/>
          <w:szCs w:val="22"/>
          <w:lang w:bidi="he-IL"/>
        </w:rPr>
        <w:t xml:space="preserve">More </w:t>
      </w:r>
      <w:proofErr w:type="spellStart"/>
      <w:r w:rsidR="006F3DEB" w:rsidRPr="0073132D">
        <w:rPr>
          <w:rFonts w:ascii="Garamond" w:eastAsia="Times New Roman" w:hAnsi="Garamond"/>
          <w:i/>
          <w:iCs/>
          <w:sz w:val="22"/>
          <w:szCs w:val="22"/>
          <w:lang w:bidi="he-IL"/>
        </w:rPr>
        <w:t>Newochim</w:t>
      </w:r>
      <w:proofErr w:type="spellEnd"/>
      <w:r w:rsidR="006F3DEB" w:rsidRPr="0073132D">
        <w:rPr>
          <w:rFonts w:ascii="Garamond" w:eastAsia="Times New Roman" w:hAnsi="Garamond"/>
          <w:i/>
          <w:iCs/>
          <w:sz w:val="22"/>
          <w:szCs w:val="22"/>
          <w:lang w:bidi="he-IL"/>
        </w:rPr>
        <w:t xml:space="preserve">, </w:t>
      </w:r>
      <w:proofErr w:type="spellStart"/>
      <w:r w:rsidR="006F3DEB" w:rsidRPr="0073132D">
        <w:rPr>
          <w:rFonts w:ascii="Garamond" w:eastAsia="Times New Roman" w:hAnsi="Garamond"/>
          <w:i/>
          <w:iCs/>
          <w:sz w:val="22"/>
          <w:szCs w:val="22"/>
          <w:lang w:bidi="he-IL"/>
        </w:rPr>
        <w:t>dessen</w:t>
      </w:r>
      <w:proofErr w:type="spellEnd"/>
      <w:r w:rsidR="006F3DEB" w:rsidRPr="0073132D">
        <w:rPr>
          <w:rFonts w:ascii="Garamond" w:eastAsia="Times New Roman" w:hAnsi="Garamond"/>
          <w:i/>
          <w:iCs/>
          <w:sz w:val="22"/>
          <w:szCs w:val="22"/>
          <w:lang w:bidi="he-IL"/>
        </w:rPr>
        <w:t xml:space="preserve"> plan, </w:t>
      </w:r>
      <w:proofErr w:type="spellStart"/>
      <w:r w:rsidR="006F3DEB" w:rsidRPr="0073132D">
        <w:rPr>
          <w:rFonts w:ascii="Garamond" w:eastAsia="Times New Roman" w:hAnsi="Garamond"/>
          <w:i/>
          <w:iCs/>
          <w:sz w:val="22"/>
          <w:szCs w:val="22"/>
          <w:lang w:bidi="he-IL"/>
        </w:rPr>
        <w:t>Zweck</w:t>
      </w:r>
      <w:proofErr w:type="spellEnd"/>
      <w:r w:rsidR="006F3DEB" w:rsidRPr="0073132D">
        <w:rPr>
          <w:rFonts w:ascii="Garamond" w:eastAsia="Times New Roman" w:hAnsi="Garamond"/>
          <w:i/>
          <w:iCs/>
          <w:sz w:val="22"/>
          <w:szCs w:val="22"/>
          <w:lang w:bidi="he-IL"/>
        </w:rPr>
        <w:t xml:space="preserve"> und </w:t>
      </w:r>
      <w:proofErr w:type="spellStart"/>
      <w:r w:rsidR="006F3DEB" w:rsidRPr="0073132D">
        <w:rPr>
          <w:rFonts w:ascii="Garamond" w:eastAsia="Times New Roman" w:hAnsi="Garamond"/>
          <w:i/>
          <w:iCs/>
          <w:sz w:val="22"/>
          <w:szCs w:val="22"/>
          <w:lang w:bidi="he-IL"/>
        </w:rPr>
        <w:t>Methode</w:t>
      </w:r>
      <w:proofErr w:type="spellEnd"/>
      <w:r w:rsidR="006F3DEB" w:rsidRPr="0073132D">
        <w:rPr>
          <w:rFonts w:ascii="Garamond" w:eastAsia="Times New Roman" w:hAnsi="Garamond"/>
          <w:i/>
          <w:iCs/>
          <w:sz w:val="22"/>
          <w:szCs w:val="22"/>
          <w:lang w:bidi="he-IL"/>
        </w:rPr>
        <w:t xml:space="preserve">. </w:t>
      </w:r>
      <w:r w:rsidR="006F3DEB" w:rsidRPr="0073132D">
        <w:rPr>
          <w:rFonts w:ascii="Garamond" w:eastAsia="Times New Roman" w:hAnsi="Garamond"/>
          <w:i/>
          <w:iCs/>
          <w:sz w:val="22"/>
          <w:szCs w:val="22"/>
          <w:u w:val="single"/>
          <w:lang w:bidi="he-IL"/>
        </w:rPr>
        <w:t xml:space="preserve">Theologica </w:t>
      </w:r>
      <w:proofErr w:type="spellStart"/>
      <w:r>
        <w:rPr>
          <w:rFonts w:ascii="Garamond" w:eastAsia="Times New Roman" w:hAnsi="Garamond"/>
          <w:i/>
          <w:iCs/>
          <w:sz w:val="22"/>
          <w:szCs w:val="22"/>
          <w:u w:val="single"/>
          <w:lang w:bidi="he-IL"/>
        </w:rPr>
        <w:t>P</w:t>
      </w:r>
      <w:r w:rsidR="006F3DEB" w:rsidRPr="0073132D">
        <w:rPr>
          <w:rFonts w:ascii="Garamond" w:eastAsia="Times New Roman" w:hAnsi="Garamond"/>
          <w:i/>
          <w:iCs/>
          <w:sz w:val="22"/>
          <w:szCs w:val="22"/>
          <w:u w:val="single"/>
          <w:lang w:bidi="he-IL"/>
        </w:rPr>
        <w:t>olitica</w:t>
      </w:r>
      <w:proofErr w:type="spellEnd"/>
      <w:r w:rsidR="006F3DEB" w:rsidRPr="0073132D">
        <w:rPr>
          <w:rFonts w:ascii="Garamond" w:eastAsia="Times New Roman" w:hAnsi="Garamond"/>
          <w:sz w:val="22"/>
          <w:szCs w:val="22"/>
          <w:lang w:bidi="he-IL"/>
        </w:rPr>
        <w:t>].”</w:t>
      </w:r>
      <w:r>
        <w:rPr>
          <w:rStyle w:val="FootnoteReference"/>
          <w:rFonts w:ascii="Garamond" w:eastAsia="Times New Roman" w:hAnsi="Garamond"/>
          <w:sz w:val="22"/>
          <w:szCs w:val="22"/>
          <w:lang w:bidi="he-IL"/>
        </w:rPr>
        <w:footnoteReference w:id="6"/>
      </w:r>
      <w:r w:rsidR="006F3DEB" w:rsidRPr="0073132D">
        <w:rPr>
          <w:rFonts w:ascii="Garamond" w:eastAsia="Times New Roman" w:hAnsi="Garamond"/>
          <w:sz w:val="22"/>
          <w:szCs w:val="22"/>
          <w:lang w:bidi="he-IL"/>
        </w:rPr>
        <w:t xml:space="preserve"> This chapter</w:t>
      </w:r>
      <w:r w:rsidR="001B201C">
        <w:rPr>
          <w:rFonts w:ascii="Garamond" w:eastAsia="Times New Roman" w:hAnsi="Garamond"/>
          <w:sz w:val="22"/>
          <w:szCs w:val="22"/>
          <w:lang w:bidi="he-IL"/>
        </w:rPr>
        <w:t xml:space="preserve"> begins a distinct division of the book; the first ten chapters of Part Two of the </w:t>
      </w:r>
      <w:proofErr w:type="spellStart"/>
      <w:r w:rsidR="001B201C" w:rsidRPr="001B201C">
        <w:rPr>
          <w:rFonts w:ascii="Garamond" w:eastAsia="Times New Roman" w:hAnsi="Garamond"/>
          <w:i/>
          <w:iCs/>
          <w:sz w:val="22"/>
          <w:szCs w:val="22"/>
          <w:lang w:bidi="he-IL"/>
        </w:rPr>
        <w:t>Lebensgeschichte</w:t>
      </w:r>
      <w:proofErr w:type="spellEnd"/>
      <w:r w:rsidR="001B201C">
        <w:rPr>
          <w:rFonts w:ascii="Garamond" w:eastAsia="Times New Roman" w:hAnsi="Garamond"/>
          <w:sz w:val="22"/>
          <w:szCs w:val="22"/>
          <w:lang w:bidi="he-IL"/>
        </w:rPr>
        <w:t xml:space="preserve"> are dedicated entirely to the explanation and interpretation of one philosophical work: Maimonides’</w:t>
      </w:r>
      <w:r w:rsidR="0078211E">
        <w:rPr>
          <w:rFonts w:ascii="Garamond" w:eastAsia="Times New Roman" w:hAnsi="Garamond"/>
          <w:sz w:val="22"/>
          <w:szCs w:val="22"/>
          <w:lang w:bidi="he-IL"/>
        </w:rPr>
        <w:t>s</w:t>
      </w:r>
      <w:r w:rsidR="001B201C">
        <w:rPr>
          <w:rFonts w:ascii="Garamond" w:eastAsia="Times New Roman" w:hAnsi="Garamond"/>
          <w:sz w:val="22"/>
          <w:szCs w:val="22"/>
          <w:lang w:bidi="he-IL"/>
        </w:rPr>
        <w:t xml:space="preserve"> </w:t>
      </w:r>
      <w:r w:rsidR="001B201C" w:rsidRPr="001B201C">
        <w:rPr>
          <w:rFonts w:ascii="Garamond" w:eastAsia="Times New Roman" w:hAnsi="Garamond"/>
          <w:i/>
          <w:iCs/>
          <w:sz w:val="22"/>
          <w:szCs w:val="22"/>
          <w:lang w:bidi="he-IL"/>
        </w:rPr>
        <w:t>Guide of the Perplexed</w:t>
      </w:r>
      <w:r w:rsidR="001B201C">
        <w:rPr>
          <w:rFonts w:ascii="Garamond" w:eastAsia="Times New Roman" w:hAnsi="Garamond"/>
          <w:sz w:val="22"/>
          <w:szCs w:val="22"/>
          <w:lang w:bidi="he-IL"/>
        </w:rPr>
        <w:t xml:space="preserve">. Maimon’s account of the </w:t>
      </w:r>
      <w:r w:rsidR="001B201C" w:rsidRPr="001B201C">
        <w:rPr>
          <w:rFonts w:ascii="Garamond" w:eastAsia="Times New Roman" w:hAnsi="Garamond"/>
          <w:i/>
          <w:iCs/>
          <w:sz w:val="22"/>
          <w:szCs w:val="22"/>
          <w:lang w:bidi="he-IL"/>
        </w:rPr>
        <w:t>Guide</w:t>
      </w:r>
      <w:r w:rsidR="001B201C">
        <w:rPr>
          <w:rFonts w:ascii="Garamond" w:eastAsia="Times New Roman" w:hAnsi="Garamond"/>
          <w:sz w:val="22"/>
          <w:szCs w:val="22"/>
          <w:lang w:bidi="he-IL"/>
        </w:rPr>
        <w:t xml:space="preserve"> is detailed, crystal-clear,</w:t>
      </w:r>
      <w:r w:rsidR="00201BA1">
        <w:rPr>
          <w:rStyle w:val="FootnoteReference"/>
          <w:rFonts w:ascii="Garamond" w:eastAsia="Times New Roman" w:hAnsi="Garamond"/>
          <w:sz w:val="22"/>
          <w:szCs w:val="22"/>
          <w:lang w:bidi="he-IL"/>
        </w:rPr>
        <w:footnoteReference w:id="7"/>
      </w:r>
      <w:r w:rsidR="001B201C">
        <w:rPr>
          <w:rFonts w:ascii="Garamond" w:eastAsia="Times New Roman" w:hAnsi="Garamond"/>
          <w:sz w:val="22"/>
          <w:szCs w:val="22"/>
          <w:lang w:bidi="he-IL"/>
        </w:rPr>
        <w:t xml:space="preserve"> and penetrating. Arguably, these ten chapters provide one of the best – if not </w:t>
      </w:r>
      <w:r w:rsidR="001B201C" w:rsidRPr="001B201C">
        <w:rPr>
          <w:rFonts w:ascii="Garamond" w:eastAsia="Times New Roman" w:hAnsi="Garamond"/>
          <w:i/>
          <w:iCs/>
          <w:sz w:val="22"/>
          <w:szCs w:val="22"/>
          <w:lang w:bidi="he-IL"/>
        </w:rPr>
        <w:t>the</w:t>
      </w:r>
      <w:r w:rsidR="001B201C">
        <w:rPr>
          <w:rFonts w:ascii="Garamond" w:eastAsia="Times New Roman" w:hAnsi="Garamond"/>
          <w:sz w:val="22"/>
          <w:szCs w:val="22"/>
          <w:lang w:bidi="he-IL"/>
        </w:rPr>
        <w:t xml:space="preserve"> best – philosophical analyses of Maimonides’</w:t>
      </w:r>
      <w:r w:rsidR="0064385D">
        <w:rPr>
          <w:rFonts w:ascii="Garamond" w:eastAsia="Times New Roman" w:hAnsi="Garamond"/>
          <w:sz w:val="22"/>
          <w:szCs w:val="22"/>
          <w:lang w:bidi="he-IL"/>
        </w:rPr>
        <w:t>s</w:t>
      </w:r>
      <w:r w:rsidR="001B201C">
        <w:rPr>
          <w:rFonts w:ascii="Garamond" w:eastAsia="Times New Roman" w:hAnsi="Garamond"/>
          <w:sz w:val="22"/>
          <w:szCs w:val="22"/>
          <w:lang w:bidi="he-IL"/>
        </w:rPr>
        <w:t xml:space="preserve"> </w:t>
      </w:r>
      <w:r w:rsidR="001B201C" w:rsidRPr="00C55F11">
        <w:rPr>
          <w:rFonts w:ascii="Garamond" w:eastAsia="Times New Roman" w:hAnsi="Garamond"/>
          <w:i/>
          <w:iCs/>
          <w:sz w:val="22"/>
          <w:szCs w:val="22"/>
          <w:lang w:bidi="he-IL"/>
        </w:rPr>
        <w:t>magnum opus</w:t>
      </w:r>
      <w:r w:rsidR="001B201C">
        <w:rPr>
          <w:rFonts w:ascii="Garamond" w:eastAsia="Times New Roman" w:hAnsi="Garamond"/>
          <w:sz w:val="22"/>
          <w:szCs w:val="22"/>
          <w:lang w:bidi="he-IL"/>
        </w:rPr>
        <w:t xml:space="preserve">. </w:t>
      </w:r>
      <w:r w:rsidR="00201BA1">
        <w:rPr>
          <w:rFonts w:ascii="Garamond" w:eastAsia="Times New Roman" w:hAnsi="Garamond"/>
          <w:sz w:val="22"/>
          <w:szCs w:val="22"/>
          <w:lang w:bidi="he-IL"/>
        </w:rPr>
        <w:t xml:space="preserve">Maimon’s decision to dedicate no less than a </w:t>
      </w:r>
      <w:r w:rsidR="00201BA1" w:rsidRPr="00201BA1">
        <w:rPr>
          <w:rFonts w:ascii="Garamond" w:eastAsia="Times New Roman" w:hAnsi="Garamond"/>
          <w:i/>
          <w:iCs/>
          <w:sz w:val="22"/>
          <w:szCs w:val="22"/>
          <w:lang w:bidi="he-IL"/>
        </w:rPr>
        <w:t>quarter</w:t>
      </w:r>
      <w:r w:rsidR="00201BA1">
        <w:rPr>
          <w:rFonts w:ascii="Garamond" w:eastAsia="Times New Roman" w:hAnsi="Garamond"/>
          <w:sz w:val="22"/>
          <w:szCs w:val="22"/>
          <w:lang w:bidi="he-IL"/>
        </w:rPr>
        <w:t xml:space="preserve"> of his autobiography to the elucidation of the </w:t>
      </w:r>
      <w:r w:rsidR="00201BA1" w:rsidRPr="00201BA1">
        <w:rPr>
          <w:rFonts w:ascii="Garamond" w:eastAsia="Times New Roman" w:hAnsi="Garamond"/>
          <w:i/>
          <w:iCs/>
          <w:sz w:val="22"/>
          <w:szCs w:val="22"/>
          <w:lang w:bidi="he-IL"/>
        </w:rPr>
        <w:t>Guide</w:t>
      </w:r>
      <w:r w:rsidR="00201BA1">
        <w:rPr>
          <w:rFonts w:ascii="Garamond" w:eastAsia="Times New Roman" w:hAnsi="Garamond"/>
          <w:sz w:val="22"/>
          <w:szCs w:val="22"/>
          <w:lang w:bidi="he-IL"/>
        </w:rPr>
        <w:t xml:space="preserve"> attests to the immense respect Maimon professed toward the work. Unfortunately, these fascinating ten chapters </w:t>
      </w:r>
      <w:r w:rsidR="006F3DEB" w:rsidRPr="0073132D">
        <w:rPr>
          <w:rFonts w:ascii="Garamond" w:eastAsia="Times New Roman" w:hAnsi="Garamond"/>
          <w:sz w:val="22"/>
          <w:szCs w:val="22"/>
          <w:lang w:bidi="he-IL"/>
        </w:rPr>
        <w:t xml:space="preserve">have not been translated into English </w:t>
      </w:r>
      <w:r w:rsidR="00CF01A3">
        <w:rPr>
          <w:rFonts w:ascii="Garamond" w:eastAsia="Times New Roman" w:hAnsi="Garamond"/>
          <w:sz w:val="22"/>
          <w:szCs w:val="22"/>
          <w:lang w:bidi="he-IL"/>
        </w:rPr>
        <w:t>until</w:t>
      </w:r>
      <w:r w:rsidR="00201BA1">
        <w:rPr>
          <w:rFonts w:ascii="Garamond" w:eastAsia="Times New Roman" w:hAnsi="Garamond"/>
          <w:sz w:val="22"/>
          <w:szCs w:val="22"/>
          <w:lang w:bidi="he-IL"/>
        </w:rPr>
        <w:t xml:space="preserve"> recently</w:t>
      </w:r>
      <w:r w:rsidR="006F3DEB" w:rsidRPr="0073132D">
        <w:rPr>
          <w:rFonts w:ascii="Garamond" w:eastAsia="Times New Roman" w:hAnsi="Garamond"/>
          <w:sz w:val="22"/>
          <w:szCs w:val="22"/>
          <w:lang w:bidi="he-IL"/>
        </w:rPr>
        <w:t>, and were omitted</w:t>
      </w:r>
      <w:r w:rsidR="00201BA1">
        <w:rPr>
          <w:rFonts w:ascii="Garamond" w:eastAsia="Times New Roman" w:hAnsi="Garamond"/>
          <w:sz w:val="22"/>
          <w:szCs w:val="22"/>
          <w:lang w:bidi="he-IL"/>
        </w:rPr>
        <w:t xml:space="preserve"> –</w:t>
      </w:r>
      <w:r w:rsidR="00736E24">
        <w:rPr>
          <w:rFonts w:ascii="Garamond" w:eastAsia="Times New Roman" w:hAnsi="Garamond"/>
          <w:sz w:val="22"/>
          <w:szCs w:val="22"/>
          <w:lang w:bidi="he-IL"/>
        </w:rPr>
        <w:t xml:space="preserve"> </w:t>
      </w:r>
      <w:r w:rsidR="00201BA1">
        <w:rPr>
          <w:rFonts w:ascii="Garamond" w:eastAsia="Times New Roman" w:hAnsi="Garamond"/>
          <w:sz w:val="22"/>
          <w:szCs w:val="22"/>
          <w:lang w:bidi="he-IL"/>
        </w:rPr>
        <w:t xml:space="preserve">or </w:t>
      </w:r>
      <w:r w:rsidR="006F3DEB" w:rsidRPr="0073132D">
        <w:rPr>
          <w:rFonts w:ascii="Garamond" w:eastAsia="Times New Roman" w:hAnsi="Garamond"/>
          <w:sz w:val="22"/>
          <w:szCs w:val="22"/>
          <w:lang w:bidi="he-IL"/>
        </w:rPr>
        <w:t>displaced</w:t>
      </w:r>
      <w:r w:rsidR="00201BA1">
        <w:rPr>
          <w:rFonts w:ascii="Garamond" w:eastAsia="Times New Roman" w:hAnsi="Garamond"/>
          <w:sz w:val="22"/>
          <w:szCs w:val="22"/>
          <w:lang w:bidi="he-IL"/>
        </w:rPr>
        <w:t xml:space="preserve"> as an appendix at the back of the book – in virtually</w:t>
      </w:r>
      <w:r w:rsidR="006F3DEB" w:rsidRPr="00201BA1">
        <w:rPr>
          <w:rFonts w:ascii="Garamond" w:eastAsia="Times New Roman" w:hAnsi="Garamond"/>
          <w:sz w:val="22"/>
          <w:szCs w:val="22"/>
          <w:lang w:bidi="he-IL"/>
        </w:rPr>
        <w:t xml:space="preserve"> </w:t>
      </w:r>
      <w:r w:rsidR="006F3DEB" w:rsidRPr="00201BA1">
        <w:rPr>
          <w:rFonts w:ascii="Garamond" w:eastAsia="Times New Roman" w:hAnsi="Garamond"/>
          <w:i/>
          <w:iCs/>
          <w:sz w:val="22"/>
          <w:szCs w:val="22"/>
          <w:lang w:bidi="he-IL"/>
        </w:rPr>
        <w:t>all</w:t>
      </w:r>
      <w:r w:rsidR="006F3DEB" w:rsidRPr="00201BA1">
        <w:rPr>
          <w:rFonts w:ascii="Garamond" w:eastAsia="Times New Roman" w:hAnsi="Garamond"/>
          <w:sz w:val="22"/>
          <w:szCs w:val="22"/>
          <w:lang w:bidi="he-IL"/>
        </w:rPr>
        <w:t xml:space="preserve"> </w:t>
      </w:r>
      <w:r w:rsidR="006F3DEB" w:rsidRPr="0073132D">
        <w:rPr>
          <w:rFonts w:ascii="Garamond" w:eastAsia="Times New Roman" w:hAnsi="Garamond"/>
          <w:sz w:val="22"/>
          <w:szCs w:val="22"/>
          <w:lang w:bidi="he-IL"/>
        </w:rPr>
        <w:t xml:space="preserve">editions and translations of the </w:t>
      </w:r>
      <w:r w:rsidR="00201BA1" w:rsidRPr="00736E24">
        <w:rPr>
          <w:rFonts w:ascii="Garamond" w:eastAsia="Times New Roman" w:hAnsi="Garamond"/>
          <w:sz w:val="22"/>
          <w:szCs w:val="22"/>
          <w:lang w:bidi="he-IL"/>
        </w:rPr>
        <w:t>book</w:t>
      </w:r>
      <w:r w:rsidR="00201BA1">
        <w:rPr>
          <w:rFonts w:ascii="Garamond" w:eastAsia="Times New Roman" w:hAnsi="Garamond"/>
          <w:i/>
          <w:iCs/>
          <w:sz w:val="22"/>
          <w:szCs w:val="22"/>
          <w:lang w:bidi="he-IL"/>
        </w:rPr>
        <w:t xml:space="preserve"> </w:t>
      </w:r>
      <w:r w:rsidR="006F3DEB" w:rsidRPr="0073132D">
        <w:rPr>
          <w:rFonts w:ascii="Garamond" w:eastAsia="Times New Roman" w:hAnsi="Garamond"/>
          <w:sz w:val="22"/>
          <w:szCs w:val="22"/>
          <w:lang w:bidi="he-IL"/>
        </w:rPr>
        <w:t>after 1793</w:t>
      </w:r>
      <w:r w:rsidR="006F3DEB" w:rsidRPr="0073132D">
        <w:rPr>
          <w:rFonts w:ascii="Garamond" w:eastAsia="Times New Roman" w:hAnsi="Garamond"/>
          <w:i/>
          <w:iCs/>
          <w:sz w:val="22"/>
          <w:szCs w:val="22"/>
          <w:lang w:bidi="he-IL"/>
        </w:rPr>
        <w:t>.</w:t>
      </w:r>
      <w:r w:rsidR="00736E24">
        <w:rPr>
          <w:rStyle w:val="FootnoteReference"/>
          <w:rFonts w:ascii="Garamond" w:eastAsia="Times New Roman" w:hAnsi="Garamond"/>
          <w:i/>
          <w:iCs/>
          <w:sz w:val="22"/>
          <w:szCs w:val="22"/>
          <w:lang w:bidi="he-IL"/>
        </w:rPr>
        <w:footnoteReference w:id="8"/>
      </w:r>
      <w:r w:rsidR="00736E24">
        <w:rPr>
          <w:rFonts w:ascii="Garamond" w:eastAsia="Times New Roman" w:hAnsi="Garamond"/>
          <w:i/>
          <w:iCs/>
          <w:sz w:val="22"/>
          <w:szCs w:val="22"/>
          <w:lang w:bidi="he-IL"/>
        </w:rPr>
        <w:t xml:space="preserve"> </w:t>
      </w:r>
      <w:r w:rsidR="00736E24">
        <w:rPr>
          <w:rFonts w:ascii="Garamond" w:eastAsia="Times New Roman" w:hAnsi="Garamond"/>
          <w:sz w:val="22"/>
          <w:szCs w:val="22"/>
          <w:lang w:bidi="he-IL"/>
        </w:rPr>
        <w:lastRenderedPageBreak/>
        <w:t xml:space="preserve">The omission and displacement of these ten chapters in almost all editions of the </w:t>
      </w:r>
      <w:proofErr w:type="spellStart"/>
      <w:r w:rsidR="00736E24" w:rsidRPr="00736E24">
        <w:rPr>
          <w:rFonts w:ascii="Garamond" w:eastAsia="Times New Roman" w:hAnsi="Garamond"/>
          <w:i/>
          <w:iCs/>
          <w:sz w:val="22"/>
          <w:szCs w:val="22"/>
          <w:lang w:bidi="he-IL"/>
        </w:rPr>
        <w:t>Lebensgeschichte</w:t>
      </w:r>
      <w:proofErr w:type="spellEnd"/>
      <w:r w:rsidR="00736E24">
        <w:rPr>
          <w:rFonts w:ascii="Garamond" w:eastAsia="Times New Roman" w:hAnsi="Garamond"/>
          <w:sz w:val="22"/>
          <w:szCs w:val="22"/>
          <w:lang w:bidi="he-IL"/>
        </w:rPr>
        <w:t xml:space="preserve"> might explain the </w:t>
      </w:r>
      <w:r w:rsidR="007213B8">
        <w:rPr>
          <w:rFonts w:ascii="Garamond" w:eastAsia="Times New Roman" w:hAnsi="Garamond"/>
          <w:sz w:val="22"/>
          <w:szCs w:val="22"/>
          <w:lang w:bidi="he-IL"/>
        </w:rPr>
        <w:t>hitherto</w:t>
      </w:r>
      <w:r w:rsidR="00736E24">
        <w:rPr>
          <w:rFonts w:ascii="Garamond" w:eastAsia="Times New Roman" w:hAnsi="Garamond"/>
          <w:sz w:val="22"/>
          <w:szCs w:val="22"/>
          <w:lang w:bidi="he-IL"/>
        </w:rPr>
        <w:t xml:space="preserve"> lack of scholarly attention toward Maimon’s discussion of political theology. </w:t>
      </w:r>
    </w:p>
    <w:p w14:paraId="5CD9C944" w14:textId="4DB56712" w:rsidR="00DC1359" w:rsidRPr="00736E24" w:rsidRDefault="007213B8" w:rsidP="000E681B">
      <w:pPr>
        <w:spacing w:line="480" w:lineRule="auto"/>
        <w:jc w:val="both"/>
        <w:rPr>
          <w:rFonts w:ascii="Garamond" w:eastAsia="Times New Roman" w:hAnsi="Garamond"/>
          <w:sz w:val="22"/>
          <w:szCs w:val="22"/>
          <w:lang w:bidi="he-IL"/>
        </w:rPr>
      </w:pPr>
      <w:r>
        <w:rPr>
          <w:rFonts w:ascii="Garamond" w:eastAsia="Times New Roman" w:hAnsi="Garamond"/>
          <w:sz w:val="22"/>
          <w:szCs w:val="22"/>
          <w:lang w:bidi="he-IL"/>
        </w:rPr>
        <w:tab/>
        <w:t xml:space="preserve">What did Maimon find in the </w:t>
      </w:r>
      <w:r w:rsidRPr="007213B8">
        <w:rPr>
          <w:rFonts w:ascii="Garamond" w:eastAsia="Times New Roman" w:hAnsi="Garamond"/>
          <w:i/>
          <w:iCs/>
          <w:sz w:val="22"/>
          <w:szCs w:val="22"/>
          <w:lang w:bidi="he-IL"/>
        </w:rPr>
        <w:t>Guide of the Perpl</w:t>
      </w:r>
      <w:r>
        <w:rPr>
          <w:rFonts w:ascii="Garamond" w:eastAsia="Times New Roman" w:hAnsi="Garamond"/>
          <w:i/>
          <w:iCs/>
          <w:sz w:val="22"/>
          <w:szCs w:val="22"/>
          <w:lang w:bidi="he-IL"/>
        </w:rPr>
        <w:t>e</w:t>
      </w:r>
      <w:r w:rsidRPr="007213B8">
        <w:rPr>
          <w:rFonts w:ascii="Garamond" w:eastAsia="Times New Roman" w:hAnsi="Garamond"/>
          <w:i/>
          <w:iCs/>
          <w:sz w:val="22"/>
          <w:szCs w:val="22"/>
          <w:lang w:bidi="he-IL"/>
        </w:rPr>
        <w:t>xed</w:t>
      </w:r>
      <w:r>
        <w:rPr>
          <w:rFonts w:ascii="Garamond" w:eastAsia="Times New Roman" w:hAnsi="Garamond"/>
          <w:sz w:val="22"/>
          <w:szCs w:val="22"/>
          <w:lang w:bidi="he-IL"/>
        </w:rPr>
        <w:t>? I do not wish to provide a reductive answer to th</w:t>
      </w:r>
      <w:r w:rsidR="00034FE5">
        <w:rPr>
          <w:rFonts w:ascii="Garamond" w:eastAsia="Times New Roman" w:hAnsi="Garamond"/>
          <w:sz w:val="22"/>
          <w:szCs w:val="22"/>
          <w:lang w:bidi="he-IL"/>
        </w:rPr>
        <w:t>is</w:t>
      </w:r>
      <w:r>
        <w:rPr>
          <w:rFonts w:ascii="Garamond" w:eastAsia="Times New Roman" w:hAnsi="Garamond"/>
          <w:sz w:val="22"/>
          <w:szCs w:val="22"/>
          <w:lang w:bidi="he-IL"/>
        </w:rPr>
        <w:t xml:space="preserve"> question. Still, Maimon’s own words at the opening of his discussion of the </w:t>
      </w:r>
      <w:r w:rsidRPr="007213B8">
        <w:rPr>
          <w:rFonts w:ascii="Garamond" w:eastAsia="Times New Roman" w:hAnsi="Garamond"/>
          <w:i/>
          <w:iCs/>
          <w:sz w:val="22"/>
          <w:szCs w:val="22"/>
          <w:lang w:bidi="he-IL"/>
        </w:rPr>
        <w:t>Guide</w:t>
      </w:r>
      <w:r>
        <w:rPr>
          <w:rFonts w:ascii="Garamond" w:eastAsia="Times New Roman" w:hAnsi="Garamond"/>
          <w:sz w:val="22"/>
          <w:szCs w:val="22"/>
          <w:lang w:bidi="he-IL"/>
        </w:rPr>
        <w:t xml:space="preserve"> provide at least a significant part of the answer: </w:t>
      </w:r>
      <w:r w:rsidRPr="007213B8">
        <w:rPr>
          <w:rFonts w:ascii="Garamond" w:eastAsia="Times New Roman" w:hAnsi="Garamond"/>
          <w:sz w:val="22"/>
          <w:szCs w:val="22"/>
          <w:lang w:bidi="he-IL"/>
        </w:rPr>
        <w:t xml:space="preserve">“In the </w:t>
      </w:r>
      <w:r w:rsidRPr="007213B8">
        <w:rPr>
          <w:rFonts w:ascii="Garamond" w:eastAsia="Times New Roman" w:hAnsi="Garamond"/>
          <w:i/>
          <w:iCs/>
          <w:sz w:val="22"/>
          <w:szCs w:val="22"/>
          <w:lang w:bidi="he-IL"/>
        </w:rPr>
        <w:t xml:space="preserve">Guide of the Perplexed </w:t>
      </w:r>
      <w:r w:rsidRPr="007213B8">
        <w:rPr>
          <w:rFonts w:ascii="Garamond" w:eastAsia="Times New Roman" w:hAnsi="Garamond"/>
          <w:sz w:val="22"/>
          <w:szCs w:val="22"/>
          <w:lang w:bidi="he-IL"/>
        </w:rPr>
        <w:t xml:space="preserve">we see, in exemplary fashion, </w:t>
      </w:r>
      <w:r>
        <w:rPr>
          <w:rFonts w:ascii="Garamond" w:eastAsia="Times New Roman" w:hAnsi="Garamond"/>
          <w:sz w:val="22"/>
          <w:szCs w:val="22"/>
          <w:lang w:bidi="he-IL"/>
        </w:rPr>
        <w:t>Maimonides’</w:t>
      </w:r>
      <w:r w:rsidRPr="007213B8">
        <w:rPr>
          <w:rFonts w:ascii="Garamond" w:eastAsia="Times New Roman" w:hAnsi="Garamond"/>
          <w:sz w:val="22"/>
          <w:szCs w:val="22"/>
          <w:lang w:bidi="he-IL"/>
        </w:rPr>
        <w:t xml:space="preserve"> </w:t>
      </w:r>
      <w:r w:rsidRPr="007213B8">
        <w:rPr>
          <w:rFonts w:ascii="Garamond" w:eastAsia="Times New Roman" w:hAnsi="Garamond"/>
          <w:i/>
          <w:iCs/>
          <w:sz w:val="22"/>
          <w:szCs w:val="22"/>
          <w:lang w:bidi="he-IL"/>
        </w:rPr>
        <w:t xml:space="preserve">pure love of truth, and his sincere religious and moral mindset </w:t>
      </w:r>
      <w:r w:rsidRPr="007213B8">
        <w:rPr>
          <w:rFonts w:ascii="Garamond" w:eastAsia="Times New Roman" w:hAnsi="Garamond"/>
          <w:sz w:val="22"/>
          <w:szCs w:val="22"/>
          <w:lang w:bidi="he-IL"/>
        </w:rPr>
        <w:t>[</w:t>
      </w:r>
      <w:r w:rsidRPr="00F409BE">
        <w:rPr>
          <w:rFonts w:ascii="Garamond" w:eastAsia="Times New Roman" w:hAnsi="Garamond"/>
          <w:i/>
          <w:iCs/>
          <w:sz w:val="22"/>
          <w:szCs w:val="22"/>
          <w:lang w:bidi="he-IL"/>
        </w:rPr>
        <w:t xml:space="preserve">die </w:t>
      </w:r>
      <w:proofErr w:type="spellStart"/>
      <w:r w:rsidRPr="00F409BE">
        <w:rPr>
          <w:rFonts w:ascii="Garamond" w:eastAsia="Times New Roman" w:hAnsi="Garamond"/>
          <w:i/>
          <w:iCs/>
          <w:sz w:val="22"/>
          <w:szCs w:val="22"/>
          <w:lang w:bidi="he-IL"/>
        </w:rPr>
        <w:t>ungeheuchelte</w:t>
      </w:r>
      <w:proofErr w:type="spellEnd"/>
      <w:r w:rsidRPr="00F409BE">
        <w:rPr>
          <w:rFonts w:ascii="Garamond" w:eastAsia="Times New Roman" w:hAnsi="Garamond"/>
          <w:i/>
          <w:iCs/>
          <w:sz w:val="22"/>
          <w:szCs w:val="22"/>
          <w:lang w:bidi="he-IL"/>
        </w:rPr>
        <w:t xml:space="preserve">, </w:t>
      </w:r>
      <w:proofErr w:type="spellStart"/>
      <w:r w:rsidRPr="00F409BE">
        <w:rPr>
          <w:rFonts w:ascii="Garamond" w:eastAsia="Times New Roman" w:hAnsi="Garamond"/>
          <w:i/>
          <w:iCs/>
          <w:sz w:val="22"/>
          <w:szCs w:val="22"/>
          <w:lang w:bidi="he-IL"/>
        </w:rPr>
        <w:t>religiöse</w:t>
      </w:r>
      <w:proofErr w:type="spellEnd"/>
      <w:r w:rsidRPr="00F409BE">
        <w:rPr>
          <w:rFonts w:ascii="Garamond" w:eastAsia="Times New Roman" w:hAnsi="Garamond"/>
          <w:i/>
          <w:iCs/>
          <w:sz w:val="22"/>
          <w:szCs w:val="22"/>
          <w:lang w:bidi="he-IL"/>
        </w:rPr>
        <w:t xml:space="preserve"> und </w:t>
      </w:r>
      <w:proofErr w:type="spellStart"/>
      <w:r w:rsidRPr="00F409BE">
        <w:rPr>
          <w:rFonts w:ascii="Garamond" w:eastAsia="Times New Roman" w:hAnsi="Garamond"/>
          <w:i/>
          <w:iCs/>
          <w:sz w:val="22"/>
          <w:szCs w:val="22"/>
          <w:lang w:bidi="he-IL"/>
        </w:rPr>
        <w:t>moralische</w:t>
      </w:r>
      <w:proofErr w:type="spellEnd"/>
      <w:r w:rsidRPr="00F409BE">
        <w:rPr>
          <w:rFonts w:ascii="Garamond" w:eastAsia="Times New Roman" w:hAnsi="Garamond"/>
          <w:i/>
          <w:iCs/>
          <w:sz w:val="22"/>
          <w:szCs w:val="22"/>
          <w:lang w:bidi="he-IL"/>
        </w:rPr>
        <w:t xml:space="preserve"> </w:t>
      </w:r>
      <w:proofErr w:type="spellStart"/>
      <w:r w:rsidRPr="00F409BE">
        <w:rPr>
          <w:rFonts w:ascii="Garamond" w:eastAsia="Times New Roman" w:hAnsi="Garamond"/>
          <w:i/>
          <w:iCs/>
          <w:sz w:val="22"/>
          <w:szCs w:val="22"/>
          <w:lang w:bidi="he-IL"/>
        </w:rPr>
        <w:t>Gesinnung</w:t>
      </w:r>
      <w:proofErr w:type="spellEnd"/>
      <w:r w:rsidRPr="007213B8">
        <w:rPr>
          <w:rFonts w:ascii="Garamond" w:eastAsia="Times New Roman" w:hAnsi="Garamond"/>
          <w:sz w:val="22"/>
          <w:szCs w:val="22"/>
          <w:lang w:bidi="he-IL"/>
        </w:rPr>
        <w:t>]</w:t>
      </w:r>
      <w:r>
        <w:rPr>
          <w:rFonts w:ascii="Garamond" w:eastAsia="Times New Roman" w:hAnsi="Garamond"/>
          <w:sz w:val="22"/>
          <w:szCs w:val="22"/>
          <w:lang w:bidi="he-IL"/>
        </w:rPr>
        <w:t>.</w:t>
      </w:r>
      <w:r w:rsidRPr="007213B8">
        <w:rPr>
          <w:rFonts w:ascii="Garamond" w:eastAsia="Times New Roman" w:hAnsi="Garamond"/>
          <w:sz w:val="22"/>
          <w:szCs w:val="22"/>
          <w:lang w:bidi="he-IL"/>
        </w:rPr>
        <w:t>”</w:t>
      </w:r>
      <w:r>
        <w:rPr>
          <w:rStyle w:val="FootnoteReference"/>
          <w:rFonts w:ascii="Garamond" w:eastAsia="Times New Roman" w:hAnsi="Garamond"/>
          <w:sz w:val="22"/>
          <w:szCs w:val="22"/>
          <w:lang w:bidi="he-IL"/>
        </w:rPr>
        <w:footnoteReference w:id="9"/>
      </w:r>
      <w:r w:rsidR="00736E24">
        <w:rPr>
          <w:rFonts w:ascii="Garamond" w:eastAsia="Times New Roman" w:hAnsi="Garamond"/>
          <w:sz w:val="22"/>
          <w:szCs w:val="22"/>
          <w:lang w:bidi="he-IL"/>
        </w:rPr>
        <w:t xml:space="preserve"> </w:t>
      </w:r>
      <w:r>
        <w:rPr>
          <w:rFonts w:ascii="Garamond" w:eastAsia="Times New Roman" w:hAnsi="Garamond"/>
          <w:sz w:val="22"/>
          <w:szCs w:val="22"/>
          <w:lang w:bidi="he-IL"/>
        </w:rPr>
        <w:t>The iss</w:t>
      </w:r>
      <w:r w:rsidR="000E681B">
        <w:rPr>
          <w:rFonts w:ascii="Garamond" w:eastAsia="Times New Roman" w:hAnsi="Garamond"/>
          <w:sz w:val="22"/>
          <w:szCs w:val="22"/>
          <w:lang w:bidi="he-IL"/>
        </w:rPr>
        <w:t xml:space="preserve">ue of </w:t>
      </w:r>
      <w:proofErr w:type="spellStart"/>
      <w:r w:rsidR="000E681B" w:rsidRPr="000E681B">
        <w:rPr>
          <w:rFonts w:ascii="Garamond" w:eastAsia="Times New Roman" w:hAnsi="Garamond"/>
          <w:i/>
          <w:iCs/>
          <w:sz w:val="22"/>
          <w:szCs w:val="22"/>
          <w:lang w:bidi="he-IL"/>
        </w:rPr>
        <w:t>Heuchelei</w:t>
      </w:r>
      <w:proofErr w:type="spellEnd"/>
      <w:r w:rsidR="000E681B">
        <w:rPr>
          <w:rFonts w:ascii="Garamond" w:eastAsia="Times New Roman" w:hAnsi="Garamond"/>
          <w:sz w:val="22"/>
          <w:szCs w:val="22"/>
          <w:lang w:bidi="he-IL"/>
        </w:rPr>
        <w:t xml:space="preserve"> (hypocrisy) in treating questions of religion and philosophy will come up again in the </w:t>
      </w:r>
      <w:proofErr w:type="spellStart"/>
      <w:r w:rsidR="000E681B" w:rsidRPr="00F409BE">
        <w:rPr>
          <w:rFonts w:ascii="Garamond" w:eastAsia="Times New Roman" w:hAnsi="Garamond"/>
          <w:i/>
          <w:iCs/>
          <w:sz w:val="22"/>
          <w:szCs w:val="22"/>
          <w:lang w:bidi="he-IL"/>
        </w:rPr>
        <w:t>Lebensgeschichte</w:t>
      </w:r>
      <w:proofErr w:type="spellEnd"/>
      <w:r w:rsidR="000E681B">
        <w:rPr>
          <w:rFonts w:ascii="Garamond" w:eastAsia="Times New Roman" w:hAnsi="Garamond"/>
          <w:sz w:val="22"/>
          <w:szCs w:val="22"/>
          <w:lang w:bidi="he-IL"/>
        </w:rPr>
        <w:t xml:space="preserve"> in the course of Maimon’s discussion of Mendelssohn and the </w:t>
      </w:r>
      <w:proofErr w:type="spellStart"/>
      <w:r w:rsidR="000E681B">
        <w:rPr>
          <w:rFonts w:ascii="Garamond" w:eastAsia="Times New Roman" w:hAnsi="Garamond"/>
          <w:sz w:val="22"/>
          <w:szCs w:val="22"/>
          <w:lang w:bidi="he-IL"/>
        </w:rPr>
        <w:t>Wolffians</w:t>
      </w:r>
      <w:proofErr w:type="spellEnd"/>
      <w:r w:rsidR="000E681B">
        <w:rPr>
          <w:rFonts w:ascii="Garamond" w:eastAsia="Times New Roman" w:hAnsi="Garamond"/>
          <w:sz w:val="22"/>
          <w:szCs w:val="22"/>
          <w:lang w:bidi="he-IL"/>
        </w:rPr>
        <w:t xml:space="preserve"> and their common attempt </w:t>
      </w:r>
      <w:r w:rsidR="00522739">
        <w:rPr>
          <w:rFonts w:ascii="Garamond" w:eastAsia="Times New Roman" w:hAnsi="Garamond"/>
          <w:sz w:val="22"/>
          <w:szCs w:val="22"/>
          <w:lang w:bidi="he-IL"/>
        </w:rPr>
        <w:t xml:space="preserve">to avoid the </w:t>
      </w:r>
      <w:r w:rsidR="000E681B">
        <w:rPr>
          <w:rFonts w:ascii="Garamond" w:eastAsia="Times New Roman" w:hAnsi="Garamond"/>
          <w:sz w:val="22"/>
          <w:szCs w:val="22"/>
          <w:lang w:bidi="he-IL"/>
        </w:rPr>
        <w:t>Spinoz</w:t>
      </w:r>
      <w:r w:rsidR="00522739">
        <w:rPr>
          <w:rFonts w:ascii="Garamond" w:eastAsia="Times New Roman" w:hAnsi="Garamond"/>
          <w:sz w:val="22"/>
          <w:szCs w:val="22"/>
          <w:lang w:bidi="he-IL"/>
        </w:rPr>
        <w:t>istic co</w:t>
      </w:r>
      <w:r w:rsidR="00C55F11">
        <w:rPr>
          <w:rFonts w:ascii="Garamond" w:eastAsia="Times New Roman" w:hAnsi="Garamond"/>
          <w:sz w:val="22"/>
          <w:szCs w:val="22"/>
          <w:lang w:bidi="he-IL"/>
        </w:rPr>
        <w:t>nsequences</w:t>
      </w:r>
      <w:r w:rsidR="00522739">
        <w:rPr>
          <w:rFonts w:ascii="Garamond" w:eastAsia="Times New Roman" w:hAnsi="Garamond"/>
          <w:sz w:val="22"/>
          <w:szCs w:val="22"/>
          <w:lang w:bidi="he-IL"/>
        </w:rPr>
        <w:t xml:space="preserve"> of their </w:t>
      </w:r>
      <w:r w:rsidR="00C76AD9">
        <w:rPr>
          <w:rFonts w:ascii="Garamond" w:eastAsia="Times New Roman" w:hAnsi="Garamond"/>
          <w:sz w:val="22"/>
          <w:szCs w:val="22"/>
          <w:lang w:bidi="he-IL"/>
        </w:rPr>
        <w:t>own views,</w:t>
      </w:r>
      <w:r w:rsidR="00522739">
        <w:rPr>
          <w:rFonts w:ascii="Garamond" w:eastAsia="Times New Roman" w:hAnsi="Garamond"/>
          <w:sz w:val="22"/>
          <w:szCs w:val="22"/>
          <w:lang w:bidi="he-IL"/>
        </w:rPr>
        <w:t xml:space="preserve"> if pursued consistently</w:t>
      </w:r>
      <w:r w:rsidR="000E681B">
        <w:rPr>
          <w:rFonts w:ascii="Garamond" w:eastAsia="Times New Roman" w:hAnsi="Garamond"/>
          <w:sz w:val="22"/>
          <w:szCs w:val="22"/>
          <w:lang w:bidi="he-IL"/>
        </w:rPr>
        <w:t>. In this context</w:t>
      </w:r>
      <w:r w:rsidR="00FE3C64">
        <w:rPr>
          <w:rFonts w:ascii="Garamond" w:eastAsia="Times New Roman" w:hAnsi="Garamond"/>
          <w:sz w:val="22"/>
          <w:szCs w:val="22"/>
          <w:lang w:bidi="he-IL"/>
        </w:rPr>
        <w:t>,</w:t>
      </w:r>
      <w:r w:rsidR="000E681B">
        <w:rPr>
          <w:rFonts w:ascii="Garamond" w:eastAsia="Times New Roman" w:hAnsi="Garamond"/>
          <w:sz w:val="22"/>
          <w:szCs w:val="22"/>
          <w:lang w:bidi="he-IL"/>
        </w:rPr>
        <w:t xml:space="preserve"> Maimon will accuse Mendelssohn </w:t>
      </w:r>
      <w:r w:rsidR="002A3174">
        <w:rPr>
          <w:rFonts w:ascii="Garamond" w:eastAsia="Times New Roman" w:hAnsi="Garamond"/>
          <w:sz w:val="22"/>
          <w:szCs w:val="22"/>
          <w:lang w:bidi="he-IL"/>
        </w:rPr>
        <w:t>of</w:t>
      </w:r>
      <w:r w:rsidR="000E681B">
        <w:rPr>
          <w:rFonts w:ascii="Garamond" w:eastAsia="Times New Roman" w:hAnsi="Garamond"/>
          <w:sz w:val="22"/>
          <w:szCs w:val="22"/>
          <w:lang w:bidi="he-IL"/>
        </w:rPr>
        <w:t xml:space="preserve"> engaging in </w:t>
      </w:r>
      <w:r w:rsidR="000E681B" w:rsidRPr="000E681B">
        <w:rPr>
          <w:rFonts w:ascii="Garamond" w:eastAsia="Times New Roman" w:hAnsi="Garamond"/>
          <w:sz w:val="22"/>
          <w:szCs w:val="22"/>
          <w:lang w:bidi="he-IL"/>
        </w:rPr>
        <w:t>“</w:t>
      </w:r>
      <w:proofErr w:type="spellStart"/>
      <w:r w:rsidR="000E681B" w:rsidRPr="00F409BE">
        <w:rPr>
          <w:rFonts w:ascii="Garamond" w:eastAsia="Times New Roman" w:hAnsi="Garamond"/>
          <w:i/>
          <w:iCs/>
          <w:sz w:val="22"/>
          <w:szCs w:val="22"/>
          <w:lang w:bidi="he-IL"/>
        </w:rPr>
        <w:t>politische</w:t>
      </w:r>
      <w:proofErr w:type="spellEnd"/>
      <w:r w:rsidR="000E681B" w:rsidRPr="00F409BE">
        <w:rPr>
          <w:rFonts w:ascii="Garamond" w:eastAsia="Times New Roman" w:hAnsi="Garamond"/>
          <w:i/>
          <w:iCs/>
          <w:sz w:val="22"/>
          <w:szCs w:val="22"/>
          <w:lang w:bidi="he-IL"/>
        </w:rPr>
        <w:t xml:space="preserve"> </w:t>
      </w:r>
      <w:proofErr w:type="spellStart"/>
      <w:r w:rsidR="000E681B" w:rsidRPr="00F409BE">
        <w:rPr>
          <w:rFonts w:ascii="Garamond" w:eastAsia="Times New Roman" w:hAnsi="Garamond"/>
          <w:i/>
          <w:iCs/>
          <w:sz w:val="22"/>
          <w:szCs w:val="22"/>
          <w:lang w:bidi="he-IL"/>
        </w:rPr>
        <w:t>Kniffe</w:t>
      </w:r>
      <w:proofErr w:type="spellEnd"/>
      <w:r w:rsidR="000E681B" w:rsidRPr="00F409BE">
        <w:rPr>
          <w:rFonts w:ascii="Garamond" w:eastAsia="Times New Roman" w:hAnsi="Garamond"/>
          <w:i/>
          <w:iCs/>
          <w:sz w:val="22"/>
          <w:szCs w:val="22"/>
          <w:lang w:bidi="he-IL"/>
        </w:rPr>
        <w:t xml:space="preserve"> und </w:t>
      </w:r>
      <w:proofErr w:type="spellStart"/>
      <w:r w:rsidR="000E681B" w:rsidRPr="00F409BE">
        <w:rPr>
          <w:rFonts w:ascii="Garamond" w:eastAsia="Times New Roman" w:hAnsi="Garamond"/>
          <w:i/>
          <w:iCs/>
          <w:sz w:val="22"/>
          <w:szCs w:val="22"/>
          <w:lang w:bidi="he-IL"/>
        </w:rPr>
        <w:t>Heuchelei</w:t>
      </w:r>
      <w:proofErr w:type="spellEnd"/>
      <w:r w:rsidR="000E681B" w:rsidRPr="000E681B">
        <w:rPr>
          <w:rFonts w:ascii="Garamond" w:eastAsia="Times New Roman" w:hAnsi="Garamond"/>
          <w:sz w:val="22"/>
          <w:szCs w:val="22"/>
          <w:lang w:bidi="he-IL"/>
        </w:rPr>
        <w:t>”</w:t>
      </w:r>
      <w:r w:rsidR="000E681B">
        <w:rPr>
          <w:rFonts w:ascii="Garamond" w:eastAsia="Times New Roman" w:hAnsi="Garamond"/>
          <w:sz w:val="22"/>
          <w:szCs w:val="22"/>
          <w:lang w:bidi="he-IL"/>
        </w:rPr>
        <w:t xml:space="preserve"> (political</w:t>
      </w:r>
      <w:r w:rsidR="00F409BE">
        <w:rPr>
          <w:rFonts w:ascii="Garamond" w:eastAsia="Times New Roman" w:hAnsi="Garamond"/>
          <w:sz w:val="22"/>
          <w:szCs w:val="22"/>
          <w:lang w:bidi="he-IL"/>
        </w:rPr>
        <w:t xml:space="preserve"> trick</w:t>
      </w:r>
      <w:r w:rsidR="000E681B">
        <w:rPr>
          <w:rFonts w:ascii="Garamond" w:eastAsia="Times New Roman" w:hAnsi="Garamond"/>
          <w:sz w:val="22"/>
          <w:szCs w:val="22"/>
          <w:lang w:bidi="he-IL"/>
        </w:rPr>
        <w:t xml:space="preserve"> and </w:t>
      </w:r>
      <w:r w:rsidR="00522739">
        <w:rPr>
          <w:rFonts w:ascii="Garamond" w:eastAsia="Times New Roman" w:hAnsi="Garamond"/>
          <w:sz w:val="22"/>
          <w:szCs w:val="22"/>
          <w:lang w:bidi="he-IL"/>
        </w:rPr>
        <w:t>hypocrisy</w:t>
      </w:r>
      <w:r w:rsidR="000E681B">
        <w:rPr>
          <w:rFonts w:ascii="Garamond" w:eastAsia="Times New Roman" w:hAnsi="Garamond"/>
          <w:sz w:val="22"/>
          <w:szCs w:val="22"/>
          <w:lang w:bidi="he-IL"/>
        </w:rPr>
        <w:t>).</w:t>
      </w:r>
      <w:r w:rsidR="000E681B">
        <w:rPr>
          <w:rStyle w:val="FootnoteReference"/>
          <w:rFonts w:ascii="Garamond" w:eastAsia="Times New Roman" w:hAnsi="Garamond"/>
          <w:sz w:val="22"/>
          <w:szCs w:val="22"/>
          <w:lang w:bidi="he-IL"/>
        </w:rPr>
        <w:footnoteReference w:id="10"/>
      </w:r>
      <w:r w:rsidR="000E681B">
        <w:rPr>
          <w:rFonts w:ascii="Garamond" w:eastAsia="Times New Roman" w:hAnsi="Garamond"/>
          <w:sz w:val="22"/>
          <w:szCs w:val="22"/>
          <w:lang w:bidi="he-IL"/>
        </w:rPr>
        <w:t xml:space="preserve"> Maimonides thus provides Maimon with a model of a thinker and intellectual</w:t>
      </w:r>
      <w:r w:rsidR="00F409BE">
        <w:rPr>
          <w:rFonts w:ascii="Garamond" w:eastAsia="Times New Roman" w:hAnsi="Garamond"/>
          <w:sz w:val="22"/>
          <w:szCs w:val="22"/>
          <w:lang w:bidi="he-IL"/>
        </w:rPr>
        <w:t xml:space="preserve"> w</w:t>
      </w:r>
      <w:r w:rsidR="008D2BAB">
        <w:rPr>
          <w:rFonts w:ascii="Garamond" w:eastAsia="Times New Roman" w:hAnsi="Garamond"/>
          <w:sz w:val="22"/>
          <w:szCs w:val="22"/>
          <w:lang w:bidi="he-IL"/>
        </w:rPr>
        <w:t>ho</w:t>
      </w:r>
      <w:r w:rsidR="00F409BE">
        <w:rPr>
          <w:rFonts w:ascii="Garamond" w:eastAsia="Times New Roman" w:hAnsi="Garamond"/>
          <w:sz w:val="22"/>
          <w:szCs w:val="22"/>
          <w:lang w:bidi="he-IL"/>
        </w:rPr>
        <w:t xml:space="preserve"> is precisely the opposite of Mendelssohn: </w:t>
      </w:r>
      <w:r w:rsidR="00C76AD9">
        <w:rPr>
          <w:rFonts w:ascii="Garamond" w:eastAsia="Times New Roman" w:hAnsi="Garamond"/>
          <w:sz w:val="22"/>
          <w:szCs w:val="22"/>
          <w:lang w:bidi="he-IL"/>
        </w:rPr>
        <w:t xml:space="preserve">a bold thinker with intellectual integrity whose primary commitment is to the philosophical truth rather than the </w:t>
      </w:r>
      <w:r w:rsidR="00A46B2D">
        <w:rPr>
          <w:rFonts w:ascii="Garamond" w:eastAsia="Times New Roman" w:hAnsi="Garamond"/>
          <w:sz w:val="22"/>
          <w:szCs w:val="22"/>
          <w:lang w:bidi="he-IL"/>
        </w:rPr>
        <w:t>appeasement of</w:t>
      </w:r>
      <w:r w:rsidR="00C76AD9">
        <w:rPr>
          <w:rFonts w:ascii="Garamond" w:eastAsia="Times New Roman" w:hAnsi="Garamond"/>
          <w:sz w:val="22"/>
          <w:szCs w:val="22"/>
          <w:lang w:bidi="he-IL"/>
        </w:rPr>
        <w:t xml:space="preserve"> the crowd</w:t>
      </w:r>
      <w:r w:rsidR="00A46B2D">
        <w:rPr>
          <w:rFonts w:ascii="Garamond" w:eastAsia="Times New Roman" w:hAnsi="Garamond"/>
          <w:sz w:val="22"/>
          <w:szCs w:val="22"/>
          <w:lang w:bidi="he-IL"/>
        </w:rPr>
        <w:t>s</w:t>
      </w:r>
      <w:r w:rsidR="00C76AD9">
        <w:rPr>
          <w:rFonts w:ascii="Garamond" w:eastAsia="Times New Roman" w:hAnsi="Garamond"/>
          <w:sz w:val="22"/>
          <w:szCs w:val="22"/>
          <w:lang w:bidi="he-IL"/>
        </w:rPr>
        <w:t xml:space="preserve"> (or the Berlin bourgeoisie). </w:t>
      </w:r>
      <w:r w:rsidR="00F409BE">
        <w:rPr>
          <w:rFonts w:ascii="Garamond" w:eastAsia="Times New Roman" w:hAnsi="Garamond"/>
          <w:sz w:val="22"/>
          <w:szCs w:val="22"/>
          <w:lang w:bidi="he-IL"/>
        </w:rPr>
        <w:t xml:space="preserve"> </w:t>
      </w:r>
    </w:p>
    <w:p w14:paraId="5B6432F8" w14:textId="434009E3" w:rsidR="005976F0" w:rsidRPr="006773C5" w:rsidRDefault="00C76AD9" w:rsidP="005976F0">
      <w:pPr>
        <w:spacing w:line="480" w:lineRule="auto"/>
        <w:jc w:val="both"/>
        <w:rPr>
          <w:rFonts w:ascii="Garamond" w:eastAsia="Times New Roman" w:hAnsi="Garamond" w:cs="Times New Roman"/>
          <w:sz w:val="22"/>
          <w:szCs w:val="22"/>
          <w:lang w:bidi="he-IL"/>
        </w:rPr>
      </w:pPr>
      <w:r>
        <w:rPr>
          <w:rFonts w:ascii="Garamond" w:eastAsia="Times New Roman" w:hAnsi="Garamond" w:cs="Times New Roman"/>
          <w:sz w:val="22"/>
          <w:szCs w:val="22"/>
          <w:lang w:bidi="he-IL"/>
        </w:rPr>
        <w:tab/>
      </w:r>
      <w:r w:rsidR="00FD1250">
        <w:rPr>
          <w:rFonts w:ascii="Garamond" w:eastAsia="Times New Roman" w:hAnsi="Garamond" w:cs="Times New Roman"/>
          <w:sz w:val="22"/>
          <w:szCs w:val="22"/>
          <w:lang w:bidi="he-IL"/>
        </w:rPr>
        <w:t>Other than in the title of the chapter, the</w:t>
      </w:r>
      <w:r>
        <w:rPr>
          <w:rFonts w:ascii="Garamond" w:eastAsia="Times New Roman" w:hAnsi="Garamond" w:cs="Times New Roman"/>
          <w:sz w:val="22"/>
          <w:szCs w:val="22"/>
          <w:lang w:bidi="he-IL"/>
        </w:rPr>
        <w:t xml:space="preserve"> term “Political Theology” does not appear again</w:t>
      </w:r>
      <w:r w:rsidR="00FD1250">
        <w:rPr>
          <w:rFonts w:ascii="Garamond" w:eastAsia="Times New Roman" w:hAnsi="Garamond" w:cs="Times New Roman"/>
          <w:sz w:val="22"/>
          <w:szCs w:val="22"/>
          <w:lang w:bidi="he-IL"/>
        </w:rPr>
        <w:t xml:space="preserve"> in the first chapter of part two of the </w:t>
      </w:r>
      <w:proofErr w:type="spellStart"/>
      <w:r w:rsidR="00FD1250" w:rsidRPr="00FD1250">
        <w:rPr>
          <w:rFonts w:ascii="Garamond" w:eastAsia="Times New Roman" w:hAnsi="Garamond" w:cs="Times New Roman"/>
          <w:i/>
          <w:iCs/>
          <w:sz w:val="22"/>
          <w:szCs w:val="22"/>
          <w:lang w:bidi="he-IL"/>
        </w:rPr>
        <w:t>Lebensgeschichte</w:t>
      </w:r>
      <w:proofErr w:type="spellEnd"/>
      <w:r w:rsidR="00FD1250">
        <w:rPr>
          <w:rFonts w:ascii="Garamond" w:eastAsia="Times New Roman" w:hAnsi="Garamond" w:cs="Times New Roman"/>
          <w:sz w:val="22"/>
          <w:szCs w:val="22"/>
          <w:lang w:bidi="he-IL"/>
        </w:rPr>
        <w:t>. Instead, Maimon repeatedly refers in the chapter to the “Secrets of the Prophetic Writing</w:t>
      </w:r>
      <w:r w:rsidR="00A46B2D">
        <w:rPr>
          <w:rFonts w:ascii="Garamond" w:eastAsia="Times New Roman" w:hAnsi="Garamond" w:cs="Times New Roman"/>
          <w:sz w:val="22"/>
          <w:szCs w:val="22"/>
          <w:lang w:bidi="he-IL"/>
        </w:rPr>
        <w:t>s</w:t>
      </w:r>
      <w:r w:rsidR="00FD1250">
        <w:rPr>
          <w:rFonts w:ascii="Garamond" w:eastAsia="Times New Roman" w:hAnsi="Garamond" w:cs="Times New Roman"/>
          <w:sz w:val="22"/>
          <w:szCs w:val="22"/>
          <w:lang w:bidi="he-IL"/>
        </w:rPr>
        <w:t>” (a term he adopts from Maimonides). What are these esoteric secrets (notice the plural)</w:t>
      </w:r>
      <w:r w:rsidR="00C92FBF">
        <w:rPr>
          <w:rFonts w:ascii="Garamond" w:eastAsia="Times New Roman" w:hAnsi="Garamond" w:cs="Times New Roman"/>
          <w:sz w:val="22"/>
          <w:szCs w:val="22"/>
          <w:lang w:bidi="he-IL"/>
        </w:rPr>
        <w:t>?</w:t>
      </w:r>
      <w:r w:rsidR="00FD1250">
        <w:rPr>
          <w:rFonts w:ascii="Garamond" w:eastAsia="Times New Roman" w:hAnsi="Garamond" w:cs="Times New Roman"/>
          <w:sz w:val="22"/>
          <w:szCs w:val="22"/>
          <w:lang w:bidi="he-IL"/>
        </w:rPr>
        <w:t xml:space="preserve"> And how are they related to Political Theology, the topic announced in the title of the chapter?   </w:t>
      </w:r>
    </w:p>
    <w:p w14:paraId="32464E6F" w14:textId="77777777" w:rsidR="006773C5" w:rsidRPr="006773C5" w:rsidRDefault="006773C5" w:rsidP="006773C5">
      <w:pPr>
        <w:spacing w:line="480" w:lineRule="auto"/>
        <w:jc w:val="both"/>
        <w:rPr>
          <w:rFonts w:ascii="Garamond" w:hAnsi="Garamond"/>
          <w:iCs/>
          <w:u w:val="single"/>
        </w:rPr>
      </w:pPr>
    </w:p>
    <w:p w14:paraId="2D95AE5A" w14:textId="77777777" w:rsidR="00C7117E" w:rsidRDefault="006773C5" w:rsidP="00C7117E">
      <w:pPr>
        <w:spacing w:line="480" w:lineRule="auto"/>
        <w:rPr>
          <w:rFonts w:ascii="Garamond" w:eastAsia="Times New Roman" w:hAnsi="Garamond" w:cs="Times New Roman"/>
          <w:sz w:val="22"/>
          <w:szCs w:val="22"/>
          <w:lang w:bidi="he-IL"/>
        </w:rPr>
      </w:pPr>
      <w:r w:rsidRPr="006773C5">
        <w:rPr>
          <w:rFonts w:ascii="Garamond" w:eastAsia="Times New Roman" w:hAnsi="Garamond" w:cs="Times New Roman"/>
          <w:sz w:val="22"/>
          <w:szCs w:val="22"/>
          <w:rtl/>
          <w:lang w:bidi="he-IL"/>
        </w:rPr>
        <w:t xml:space="preserve"> </w:t>
      </w:r>
      <w:r w:rsidR="00FD1250">
        <w:rPr>
          <w:rFonts w:ascii="Garamond" w:eastAsia="Times New Roman" w:hAnsi="Garamond" w:cs="Times New Roman"/>
          <w:sz w:val="22"/>
          <w:szCs w:val="22"/>
          <w:lang w:bidi="he-IL"/>
        </w:rPr>
        <w:tab/>
      </w:r>
      <w:r w:rsidR="00C76AD9" w:rsidRPr="006773C5">
        <w:rPr>
          <w:rFonts w:ascii="Garamond" w:hAnsi="Garamond"/>
          <w:iCs/>
          <w:u w:val="single"/>
        </w:rPr>
        <w:t xml:space="preserve">Part </w:t>
      </w:r>
      <w:r w:rsidR="00C76AD9">
        <w:rPr>
          <w:rFonts w:ascii="Garamond" w:hAnsi="Garamond"/>
          <w:iCs/>
          <w:u w:val="single"/>
        </w:rPr>
        <w:t>2</w:t>
      </w:r>
      <w:r w:rsidR="00C76AD9" w:rsidRPr="006773C5">
        <w:rPr>
          <w:rFonts w:ascii="Garamond" w:hAnsi="Garamond"/>
          <w:iCs/>
          <w:u w:val="single"/>
        </w:rPr>
        <w:t xml:space="preserve">: </w:t>
      </w:r>
      <w:r w:rsidR="00C76AD9">
        <w:rPr>
          <w:rFonts w:ascii="Garamond" w:hAnsi="Garamond"/>
          <w:iCs/>
          <w:u w:val="single"/>
        </w:rPr>
        <w:t>Definitions</w:t>
      </w:r>
    </w:p>
    <w:p w14:paraId="69AC8762" w14:textId="38D7C3B2" w:rsidR="00C7117E" w:rsidRDefault="00C7117E" w:rsidP="00C7117E">
      <w:pPr>
        <w:spacing w:line="480" w:lineRule="auto"/>
        <w:jc w:val="both"/>
        <w:rPr>
          <w:rFonts w:ascii="Garamond" w:eastAsia="Times New Roman" w:hAnsi="Garamond" w:cs="Times New Roman"/>
          <w:sz w:val="22"/>
          <w:szCs w:val="22"/>
          <w:lang w:bidi="he-IL"/>
        </w:rPr>
      </w:pPr>
      <w:r>
        <w:rPr>
          <w:rFonts w:ascii="Garamond" w:eastAsia="Times New Roman" w:hAnsi="Garamond" w:cs="Times New Roman"/>
          <w:sz w:val="22"/>
          <w:szCs w:val="22"/>
          <w:lang w:bidi="he-IL"/>
        </w:rPr>
        <w:tab/>
      </w:r>
      <w:r w:rsidR="00A46B2D">
        <w:rPr>
          <w:rFonts w:ascii="Garamond" w:eastAsia="Times New Roman" w:hAnsi="Garamond" w:cs="Times New Roman"/>
          <w:sz w:val="22"/>
          <w:szCs w:val="22"/>
          <w:lang w:bidi="he-IL"/>
        </w:rPr>
        <w:t xml:space="preserve">A highly influential view about the esoteric secret of religion </w:t>
      </w:r>
      <w:r w:rsidR="00BB2A93">
        <w:rPr>
          <w:rFonts w:ascii="Garamond" w:eastAsia="Times New Roman" w:hAnsi="Garamond" w:cs="Times New Roman"/>
          <w:sz w:val="22"/>
          <w:szCs w:val="22"/>
          <w:lang w:bidi="he-IL"/>
        </w:rPr>
        <w:t>was</w:t>
      </w:r>
      <w:r w:rsidR="00A46B2D">
        <w:rPr>
          <w:rFonts w:ascii="Garamond" w:eastAsia="Times New Roman" w:hAnsi="Garamond" w:cs="Times New Roman"/>
          <w:sz w:val="22"/>
          <w:szCs w:val="22"/>
          <w:lang w:bidi="he-IL"/>
        </w:rPr>
        <w:t xml:space="preserve"> </w:t>
      </w:r>
      <w:r w:rsidR="009A018B">
        <w:rPr>
          <w:rFonts w:ascii="Garamond" w:eastAsia="Times New Roman" w:hAnsi="Garamond" w:cs="Times New Roman"/>
          <w:sz w:val="22"/>
          <w:szCs w:val="22"/>
          <w:lang w:bidi="he-IL"/>
        </w:rPr>
        <w:t>offered</w:t>
      </w:r>
      <w:r>
        <w:rPr>
          <w:rFonts w:ascii="Garamond" w:eastAsia="Times New Roman" w:hAnsi="Garamond" w:cs="Times New Roman"/>
          <w:sz w:val="22"/>
          <w:szCs w:val="22"/>
          <w:lang w:bidi="he-IL"/>
        </w:rPr>
        <w:t xml:space="preserve"> </w:t>
      </w:r>
      <w:r w:rsidR="00A46B2D">
        <w:rPr>
          <w:rFonts w:ascii="Garamond" w:eastAsia="Times New Roman" w:hAnsi="Garamond" w:cs="Times New Roman"/>
          <w:sz w:val="22"/>
          <w:szCs w:val="22"/>
          <w:lang w:bidi="he-IL"/>
        </w:rPr>
        <w:t>by Leo Strauss</w:t>
      </w:r>
      <w:r>
        <w:rPr>
          <w:rFonts w:ascii="Garamond" w:eastAsia="Times New Roman" w:hAnsi="Garamond" w:cs="Times New Roman"/>
          <w:sz w:val="22"/>
          <w:szCs w:val="22"/>
          <w:lang w:bidi="he-IL"/>
        </w:rPr>
        <w:t xml:space="preserve"> in the previous century</w:t>
      </w:r>
      <w:r w:rsidR="00A46B2D">
        <w:rPr>
          <w:rFonts w:ascii="Garamond" w:eastAsia="Times New Roman" w:hAnsi="Garamond" w:cs="Times New Roman"/>
          <w:sz w:val="22"/>
          <w:szCs w:val="22"/>
          <w:lang w:bidi="he-IL"/>
        </w:rPr>
        <w:t>. According to Strauss</w:t>
      </w:r>
      <w:r>
        <w:rPr>
          <w:rFonts w:ascii="Garamond" w:eastAsia="Times New Roman" w:hAnsi="Garamond" w:cs="Times New Roman"/>
          <w:sz w:val="22"/>
          <w:szCs w:val="22"/>
          <w:lang w:bidi="he-IL"/>
        </w:rPr>
        <w:t xml:space="preserve">, the simple and basic secret is that </w:t>
      </w:r>
      <w:r w:rsidR="00284F8D" w:rsidRPr="00C7117E">
        <w:rPr>
          <w:rFonts w:ascii="Garamond" w:eastAsia="Times New Roman" w:hAnsi="Garamond"/>
          <w:sz w:val="22"/>
          <w:szCs w:val="22"/>
          <w:lang w:bidi="he-IL"/>
        </w:rPr>
        <w:t>religion should be preached to the masses</w:t>
      </w:r>
      <w:r>
        <w:rPr>
          <w:rFonts w:ascii="Garamond" w:eastAsia="Times New Roman" w:hAnsi="Garamond"/>
          <w:sz w:val="22"/>
          <w:szCs w:val="22"/>
          <w:lang w:bidi="he-IL"/>
        </w:rPr>
        <w:t xml:space="preserve"> as a “white lie”</w:t>
      </w:r>
      <w:r w:rsidR="00284F8D" w:rsidRPr="00C7117E">
        <w:rPr>
          <w:rFonts w:ascii="Garamond" w:eastAsia="Times New Roman" w:hAnsi="Garamond"/>
          <w:sz w:val="22"/>
          <w:szCs w:val="22"/>
          <w:lang w:bidi="he-IL"/>
        </w:rPr>
        <w:t xml:space="preserve"> in order to keep them in check, while the </w:t>
      </w:r>
      <w:r>
        <w:rPr>
          <w:rFonts w:ascii="Garamond" w:eastAsia="Times New Roman" w:hAnsi="Garamond"/>
          <w:sz w:val="22"/>
          <w:szCs w:val="22"/>
          <w:lang w:bidi="he-IL"/>
        </w:rPr>
        <w:t xml:space="preserve">philosophical </w:t>
      </w:r>
      <w:r w:rsidR="00284F8D" w:rsidRPr="00C7117E">
        <w:rPr>
          <w:rFonts w:ascii="Garamond" w:eastAsia="Times New Roman" w:hAnsi="Garamond"/>
          <w:sz w:val="22"/>
          <w:szCs w:val="22"/>
          <w:lang w:bidi="he-IL"/>
        </w:rPr>
        <w:t>truth – atheism – should be kept to the cabal.</w:t>
      </w:r>
      <w:r w:rsidR="00E16F68">
        <w:rPr>
          <w:rStyle w:val="FootnoteReference"/>
          <w:rFonts w:ascii="Garamond" w:eastAsia="Times New Roman" w:hAnsi="Garamond"/>
          <w:sz w:val="22"/>
          <w:szCs w:val="22"/>
          <w:lang w:bidi="he-IL"/>
        </w:rPr>
        <w:footnoteReference w:id="11"/>
      </w:r>
      <w:r>
        <w:rPr>
          <w:rFonts w:ascii="Garamond" w:eastAsia="Times New Roman" w:hAnsi="Garamond"/>
          <w:sz w:val="22"/>
          <w:szCs w:val="22"/>
          <w:lang w:bidi="he-IL"/>
        </w:rPr>
        <w:t xml:space="preserve"> Strauss not only maintain</w:t>
      </w:r>
      <w:r w:rsidR="00567850">
        <w:rPr>
          <w:rFonts w:ascii="Garamond" w:eastAsia="Times New Roman" w:hAnsi="Garamond"/>
          <w:sz w:val="22"/>
          <w:szCs w:val="22"/>
          <w:lang w:bidi="he-IL"/>
        </w:rPr>
        <w:t>e</w:t>
      </w:r>
      <w:r w:rsidR="009A018B">
        <w:rPr>
          <w:rFonts w:ascii="Garamond" w:eastAsia="Times New Roman" w:hAnsi="Garamond"/>
          <w:sz w:val="22"/>
          <w:szCs w:val="22"/>
          <w:lang w:bidi="he-IL"/>
        </w:rPr>
        <w:t>d</w:t>
      </w:r>
      <w:r>
        <w:rPr>
          <w:rFonts w:ascii="Garamond" w:eastAsia="Times New Roman" w:hAnsi="Garamond"/>
          <w:sz w:val="22"/>
          <w:szCs w:val="22"/>
          <w:lang w:bidi="he-IL"/>
        </w:rPr>
        <w:t xml:space="preserve"> this view</w:t>
      </w:r>
      <w:r w:rsidR="00567850">
        <w:rPr>
          <w:rFonts w:ascii="Garamond" w:eastAsia="Times New Roman" w:hAnsi="Garamond"/>
          <w:sz w:val="22"/>
          <w:szCs w:val="22"/>
          <w:lang w:bidi="he-IL"/>
        </w:rPr>
        <w:t xml:space="preserve"> himself</w:t>
      </w:r>
      <w:r>
        <w:rPr>
          <w:rFonts w:ascii="Garamond" w:eastAsia="Times New Roman" w:hAnsi="Garamond"/>
          <w:sz w:val="22"/>
          <w:szCs w:val="22"/>
          <w:lang w:bidi="he-IL"/>
        </w:rPr>
        <w:t>, but ascribe</w:t>
      </w:r>
      <w:r w:rsidR="009A018B">
        <w:rPr>
          <w:rFonts w:ascii="Garamond" w:eastAsia="Times New Roman" w:hAnsi="Garamond"/>
          <w:sz w:val="22"/>
          <w:szCs w:val="22"/>
          <w:lang w:bidi="he-IL"/>
        </w:rPr>
        <w:t>d</w:t>
      </w:r>
      <w:r>
        <w:rPr>
          <w:rFonts w:ascii="Garamond" w:eastAsia="Times New Roman" w:hAnsi="Garamond"/>
          <w:sz w:val="22"/>
          <w:szCs w:val="22"/>
          <w:lang w:bidi="he-IL"/>
        </w:rPr>
        <w:t xml:space="preserve"> it </w:t>
      </w:r>
      <w:r w:rsidR="00284F8D" w:rsidRPr="00C7117E">
        <w:rPr>
          <w:rFonts w:ascii="Garamond" w:eastAsia="Times New Roman" w:hAnsi="Garamond" w:cs="Times New Roman"/>
          <w:sz w:val="22"/>
          <w:szCs w:val="22"/>
          <w:lang w:bidi="he-IL"/>
        </w:rPr>
        <w:t>to Maimonides and Spinoza.</w:t>
      </w:r>
      <w:r w:rsidR="0068635E">
        <w:rPr>
          <w:rStyle w:val="FootnoteReference"/>
          <w:rFonts w:ascii="Garamond" w:eastAsia="Times New Roman" w:hAnsi="Garamond" w:cs="Times New Roman"/>
          <w:sz w:val="22"/>
          <w:szCs w:val="22"/>
          <w:lang w:bidi="he-IL"/>
        </w:rPr>
        <w:footnoteReference w:id="12"/>
      </w:r>
    </w:p>
    <w:p w14:paraId="2DB1B967" w14:textId="487B66DE" w:rsidR="00AB7B18" w:rsidRDefault="00C7117E" w:rsidP="00C7117E">
      <w:pPr>
        <w:spacing w:line="480" w:lineRule="auto"/>
        <w:jc w:val="both"/>
        <w:rPr>
          <w:rFonts w:ascii="Garamond" w:eastAsia="Times New Roman" w:hAnsi="Garamond"/>
          <w:sz w:val="22"/>
          <w:szCs w:val="22"/>
          <w:lang w:bidi="he-IL"/>
        </w:rPr>
      </w:pPr>
      <w:r>
        <w:rPr>
          <w:rFonts w:ascii="Garamond" w:eastAsia="Times New Roman" w:hAnsi="Garamond" w:cs="Times New Roman"/>
          <w:sz w:val="22"/>
          <w:szCs w:val="22"/>
          <w:lang w:bidi="he-IL"/>
        </w:rPr>
        <w:tab/>
        <w:t xml:space="preserve">If my reading of Maimon’s claims in the </w:t>
      </w:r>
      <w:proofErr w:type="spellStart"/>
      <w:r w:rsidRPr="00C7117E">
        <w:rPr>
          <w:rFonts w:ascii="Garamond" w:eastAsia="Times New Roman" w:hAnsi="Garamond" w:cs="Times New Roman"/>
          <w:i/>
          <w:iCs/>
          <w:sz w:val="22"/>
          <w:szCs w:val="22"/>
          <w:lang w:bidi="he-IL"/>
        </w:rPr>
        <w:t>Lebensgeshichte</w:t>
      </w:r>
      <w:proofErr w:type="spellEnd"/>
      <w:r>
        <w:rPr>
          <w:rFonts w:ascii="Garamond" w:eastAsia="Times New Roman" w:hAnsi="Garamond" w:cs="Times New Roman"/>
          <w:sz w:val="22"/>
          <w:szCs w:val="22"/>
          <w:lang w:bidi="he-IL"/>
        </w:rPr>
        <w:t xml:space="preserve"> is correct, it appears </w:t>
      </w:r>
      <w:r w:rsidR="00284F8D" w:rsidRPr="00C7117E">
        <w:rPr>
          <w:rFonts w:ascii="Garamond" w:eastAsia="Times New Roman" w:hAnsi="Garamond"/>
          <w:sz w:val="22"/>
          <w:szCs w:val="22"/>
          <w:lang w:bidi="he-IL"/>
        </w:rPr>
        <w:t>that something like Strauss’</w:t>
      </w:r>
      <w:r w:rsidR="003D20A6">
        <w:rPr>
          <w:rFonts w:ascii="Garamond" w:eastAsia="Times New Roman" w:hAnsi="Garamond"/>
          <w:sz w:val="22"/>
          <w:szCs w:val="22"/>
          <w:lang w:bidi="he-IL"/>
        </w:rPr>
        <w:t>s</w:t>
      </w:r>
      <w:r w:rsidR="00284F8D" w:rsidRPr="00C7117E">
        <w:rPr>
          <w:rFonts w:ascii="Garamond" w:eastAsia="Times New Roman" w:hAnsi="Garamond"/>
          <w:sz w:val="22"/>
          <w:szCs w:val="22"/>
          <w:lang w:bidi="he-IL"/>
        </w:rPr>
        <w:t xml:space="preserve"> secret</w:t>
      </w:r>
      <w:r>
        <w:rPr>
          <w:rFonts w:ascii="Garamond" w:eastAsia="Times New Roman" w:hAnsi="Garamond"/>
          <w:sz w:val="22"/>
          <w:szCs w:val="22"/>
          <w:lang w:bidi="he-IL"/>
        </w:rPr>
        <w:t xml:space="preserve"> is –</w:t>
      </w:r>
      <w:r w:rsidR="0033005B">
        <w:rPr>
          <w:rFonts w:ascii="Garamond" w:eastAsia="Times New Roman" w:hAnsi="Garamond"/>
          <w:sz w:val="22"/>
          <w:szCs w:val="22"/>
          <w:lang w:bidi="he-IL"/>
        </w:rPr>
        <w:t xml:space="preserve"> </w:t>
      </w:r>
      <w:r>
        <w:rPr>
          <w:rFonts w:ascii="Garamond" w:eastAsia="Times New Roman" w:hAnsi="Garamond"/>
          <w:sz w:val="22"/>
          <w:szCs w:val="22"/>
          <w:lang w:bidi="he-IL"/>
        </w:rPr>
        <w:t>according to Maimon</w:t>
      </w:r>
      <w:r w:rsidR="00284F8D" w:rsidRPr="00C7117E">
        <w:rPr>
          <w:rFonts w:ascii="Garamond" w:eastAsia="Times New Roman" w:hAnsi="Garamond"/>
          <w:sz w:val="22"/>
          <w:szCs w:val="22"/>
          <w:lang w:bidi="he-IL"/>
        </w:rPr>
        <w:t xml:space="preserve"> </w:t>
      </w:r>
      <w:r>
        <w:rPr>
          <w:rFonts w:ascii="Garamond" w:eastAsia="Times New Roman" w:hAnsi="Garamond"/>
          <w:sz w:val="22"/>
          <w:szCs w:val="22"/>
          <w:lang w:bidi="he-IL"/>
        </w:rPr>
        <w:t>–</w:t>
      </w:r>
      <w:r w:rsidR="00284F8D" w:rsidRPr="00C7117E">
        <w:rPr>
          <w:rFonts w:ascii="Garamond" w:eastAsia="Times New Roman" w:hAnsi="Garamond"/>
          <w:sz w:val="22"/>
          <w:szCs w:val="22"/>
          <w:lang w:bidi="he-IL"/>
        </w:rPr>
        <w:t xml:space="preserve"> what constitutes the </w:t>
      </w:r>
      <w:r w:rsidR="00284F8D" w:rsidRPr="00C7117E">
        <w:rPr>
          <w:rFonts w:ascii="Garamond" w:eastAsia="Times New Roman" w:hAnsi="Garamond"/>
          <w:i/>
          <w:iCs/>
          <w:sz w:val="22"/>
          <w:szCs w:val="22"/>
          <w:lang w:bidi="he-IL"/>
        </w:rPr>
        <w:t>smaller mysteries</w:t>
      </w:r>
      <w:r w:rsidR="00284F8D" w:rsidRPr="0033005B">
        <w:rPr>
          <w:rFonts w:ascii="Garamond" w:eastAsia="Times New Roman" w:hAnsi="Garamond"/>
          <w:sz w:val="22"/>
          <w:szCs w:val="22"/>
          <w:lang w:bidi="he-IL"/>
        </w:rPr>
        <w:t xml:space="preserve"> </w:t>
      </w:r>
      <w:r w:rsidR="00284F8D" w:rsidRPr="00C7117E">
        <w:rPr>
          <w:rFonts w:ascii="Garamond" w:eastAsia="Times New Roman" w:hAnsi="Garamond"/>
          <w:sz w:val="22"/>
          <w:szCs w:val="22"/>
          <w:lang w:bidi="he-IL"/>
        </w:rPr>
        <w:t>of religion which are very useful for the prudent politician</w:t>
      </w:r>
      <w:r w:rsidR="0033005B">
        <w:rPr>
          <w:rFonts w:ascii="Garamond" w:eastAsia="Times New Roman" w:hAnsi="Garamond"/>
          <w:sz w:val="22"/>
          <w:szCs w:val="22"/>
          <w:lang w:bidi="he-IL"/>
        </w:rPr>
        <w:t>s</w:t>
      </w:r>
      <w:r w:rsidR="00284F8D" w:rsidRPr="00C7117E">
        <w:rPr>
          <w:rFonts w:ascii="Garamond" w:eastAsia="Times New Roman" w:hAnsi="Garamond"/>
          <w:sz w:val="22"/>
          <w:szCs w:val="22"/>
          <w:lang w:bidi="he-IL"/>
        </w:rPr>
        <w:t xml:space="preserve"> who </w:t>
      </w:r>
      <w:r w:rsidR="0033005B">
        <w:rPr>
          <w:rFonts w:ascii="Garamond" w:eastAsia="Times New Roman" w:hAnsi="Garamond"/>
          <w:sz w:val="22"/>
          <w:szCs w:val="22"/>
          <w:lang w:bidi="he-IL"/>
        </w:rPr>
        <w:t>are</w:t>
      </w:r>
      <w:r w:rsidR="00284F8D" w:rsidRPr="00C7117E">
        <w:rPr>
          <w:rFonts w:ascii="Garamond" w:eastAsia="Times New Roman" w:hAnsi="Garamond"/>
          <w:sz w:val="22"/>
          <w:szCs w:val="22"/>
          <w:lang w:bidi="he-IL"/>
        </w:rPr>
        <w:t xml:space="preserve"> incapable of genuine philosophical thought. The </w:t>
      </w:r>
      <w:r w:rsidR="00284F8D" w:rsidRPr="0033005B">
        <w:rPr>
          <w:rFonts w:ascii="Garamond" w:eastAsia="Times New Roman" w:hAnsi="Garamond"/>
          <w:i/>
          <w:iCs/>
          <w:sz w:val="22"/>
          <w:szCs w:val="22"/>
          <w:lang w:bidi="he-IL"/>
        </w:rPr>
        <w:t xml:space="preserve">larger mysteries </w:t>
      </w:r>
      <w:r w:rsidR="00284F8D" w:rsidRPr="00C7117E">
        <w:rPr>
          <w:rFonts w:ascii="Garamond" w:eastAsia="Times New Roman" w:hAnsi="Garamond"/>
          <w:sz w:val="22"/>
          <w:szCs w:val="22"/>
          <w:lang w:bidi="he-IL"/>
        </w:rPr>
        <w:t>of religion</w:t>
      </w:r>
      <w:r w:rsidR="0033005B">
        <w:rPr>
          <w:rFonts w:ascii="Garamond" w:eastAsia="Times New Roman" w:hAnsi="Garamond"/>
          <w:sz w:val="22"/>
          <w:szCs w:val="22"/>
          <w:lang w:bidi="he-IL"/>
        </w:rPr>
        <w:t xml:space="preserve">, claims Maimon, </w:t>
      </w:r>
      <w:r w:rsidR="00284F8D" w:rsidRPr="00C7117E">
        <w:rPr>
          <w:rFonts w:ascii="Garamond" w:eastAsia="Times New Roman" w:hAnsi="Garamond"/>
          <w:sz w:val="22"/>
          <w:szCs w:val="22"/>
          <w:lang w:bidi="he-IL"/>
        </w:rPr>
        <w:t xml:space="preserve">point in a very different, indeed opposed, direction. In order to </w:t>
      </w:r>
      <w:r w:rsidR="0033005B">
        <w:rPr>
          <w:rFonts w:ascii="Garamond" w:eastAsia="Times New Roman" w:hAnsi="Garamond"/>
          <w:sz w:val="22"/>
          <w:szCs w:val="22"/>
          <w:lang w:bidi="he-IL"/>
        </w:rPr>
        <w:t xml:space="preserve">explore and uncover this other </w:t>
      </w:r>
      <w:r w:rsidR="00CE61E7">
        <w:rPr>
          <w:rFonts w:ascii="Garamond" w:eastAsia="Times New Roman" w:hAnsi="Garamond"/>
          <w:sz w:val="22"/>
          <w:szCs w:val="22"/>
          <w:lang w:bidi="he-IL"/>
        </w:rPr>
        <w:t>direction</w:t>
      </w:r>
      <w:r w:rsidR="00284F8D" w:rsidRPr="00C7117E">
        <w:rPr>
          <w:rFonts w:ascii="Garamond" w:eastAsia="Times New Roman" w:hAnsi="Garamond"/>
          <w:sz w:val="22"/>
          <w:szCs w:val="22"/>
          <w:lang w:bidi="he-IL"/>
        </w:rPr>
        <w:t>, we have to begin with… definitions.</w:t>
      </w:r>
    </w:p>
    <w:p w14:paraId="74150D14" w14:textId="3DA374AD" w:rsidR="009A018B" w:rsidRPr="00C7117E" w:rsidRDefault="009A018B" w:rsidP="00C72645">
      <w:pPr>
        <w:spacing w:line="480" w:lineRule="auto"/>
        <w:jc w:val="both"/>
        <w:rPr>
          <w:rFonts w:ascii="Garamond" w:eastAsia="Times New Roman" w:hAnsi="Garamond"/>
          <w:sz w:val="22"/>
          <w:szCs w:val="22"/>
          <w:lang w:bidi="he-IL"/>
        </w:rPr>
      </w:pPr>
      <w:r>
        <w:rPr>
          <w:rFonts w:ascii="Garamond" w:eastAsia="Times New Roman" w:hAnsi="Garamond"/>
          <w:sz w:val="22"/>
          <w:szCs w:val="22"/>
          <w:lang w:bidi="he-IL"/>
        </w:rPr>
        <w:tab/>
        <w:t xml:space="preserve">At the </w:t>
      </w:r>
      <w:r w:rsidR="00567850">
        <w:rPr>
          <w:rFonts w:ascii="Garamond" w:eastAsia="Times New Roman" w:hAnsi="Garamond"/>
          <w:sz w:val="22"/>
          <w:szCs w:val="22"/>
          <w:lang w:bidi="he-IL"/>
        </w:rPr>
        <w:t>opening</w:t>
      </w:r>
      <w:r>
        <w:rPr>
          <w:rFonts w:ascii="Garamond" w:eastAsia="Times New Roman" w:hAnsi="Garamond"/>
          <w:sz w:val="22"/>
          <w:szCs w:val="22"/>
          <w:lang w:bidi="he-IL"/>
        </w:rPr>
        <w:t xml:space="preserve"> of the fifteenth chapter of Part One of the </w:t>
      </w:r>
      <w:proofErr w:type="spellStart"/>
      <w:r w:rsidRPr="009A018B">
        <w:rPr>
          <w:rFonts w:ascii="Garamond" w:eastAsia="Times New Roman" w:hAnsi="Garamond"/>
          <w:i/>
          <w:iCs/>
          <w:sz w:val="22"/>
          <w:szCs w:val="22"/>
          <w:lang w:bidi="he-IL"/>
        </w:rPr>
        <w:t>Lebensgeschichte</w:t>
      </w:r>
      <w:proofErr w:type="spellEnd"/>
      <w:r>
        <w:rPr>
          <w:rFonts w:ascii="Garamond" w:eastAsia="Times New Roman" w:hAnsi="Garamond"/>
          <w:sz w:val="22"/>
          <w:szCs w:val="22"/>
          <w:lang w:bidi="he-IL"/>
        </w:rPr>
        <w:t xml:space="preserve">, Maimon offers the following definition of religion: </w:t>
      </w:r>
    </w:p>
    <w:p w14:paraId="04F217A7" w14:textId="6A4B2D7C" w:rsidR="00C7117E" w:rsidRDefault="009A018B" w:rsidP="00C72645">
      <w:pPr>
        <w:spacing w:line="480" w:lineRule="auto"/>
        <w:ind w:left="432" w:right="288"/>
        <w:jc w:val="both"/>
        <w:rPr>
          <w:rFonts w:ascii="Garamond" w:eastAsia="Times New Roman" w:hAnsi="Garamond" w:cs="Times New Roman"/>
          <w:sz w:val="22"/>
          <w:szCs w:val="22"/>
          <w:lang w:bidi="he-IL"/>
        </w:rPr>
      </w:pPr>
      <w:r w:rsidRPr="009A018B">
        <w:rPr>
          <w:rFonts w:ascii="Garamond" w:eastAsia="Times New Roman" w:hAnsi="Garamond" w:cs="Times New Roman"/>
          <w:i/>
          <w:iCs/>
          <w:sz w:val="22"/>
          <w:szCs w:val="22"/>
          <w:lang w:bidi="he-IL"/>
        </w:rPr>
        <w:t xml:space="preserve">Religion in general </w:t>
      </w:r>
      <w:r w:rsidRPr="009A018B">
        <w:rPr>
          <w:rFonts w:ascii="Garamond" w:eastAsia="Times New Roman" w:hAnsi="Garamond" w:cs="Times New Roman"/>
          <w:sz w:val="22"/>
          <w:szCs w:val="22"/>
          <w:lang w:bidi="he-IL"/>
        </w:rPr>
        <w:t xml:space="preserve">is an expression of the feelings of gratitude, awe, and so forth that stem from </w:t>
      </w:r>
      <w:r w:rsidRPr="00C72645">
        <w:rPr>
          <w:rFonts w:ascii="Garamond" w:eastAsia="Times New Roman" w:hAnsi="Garamond" w:cs="Times New Roman"/>
          <w:sz w:val="22"/>
          <w:szCs w:val="22"/>
          <w:lang w:bidi="he-IL"/>
        </w:rPr>
        <w:t xml:space="preserve">the relationship between our happiness </w:t>
      </w:r>
      <w:r w:rsidRPr="009A018B">
        <w:rPr>
          <w:rFonts w:ascii="Garamond" w:eastAsia="Times New Roman" w:hAnsi="Garamond" w:cs="Times New Roman"/>
          <w:sz w:val="22"/>
          <w:szCs w:val="22"/>
          <w:lang w:bidi="he-IL"/>
        </w:rPr>
        <w:t>and unhappiness</w:t>
      </w:r>
      <w:r w:rsidR="00C72645">
        <w:rPr>
          <w:rFonts w:ascii="Garamond" w:eastAsia="Times New Roman" w:hAnsi="Garamond" w:cs="Times New Roman"/>
          <w:sz w:val="22"/>
          <w:szCs w:val="22"/>
          <w:lang w:bidi="he-IL"/>
        </w:rPr>
        <w:t xml:space="preserve"> </w:t>
      </w:r>
      <w:r w:rsidR="00C72645" w:rsidRPr="00C72645">
        <w:rPr>
          <w:rFonts w:ascii="Garamond" w:eastAsia="Times New Roman" w:hAnsi="Garamond" w:cs="Times New Roman"/>
          <w:sz w:val="22"/>
          <w:szCs w:val="22"/>
          <w:lang w:bidi="he-IL"/>
        </w:rPr>
        <w:t>[</w:t>
      </w:r>
      <w:r w:rsidR="00C72645" w:rsidRPr="009A018B">
        <w:rPr>
          <w:rFonts w:ascii="Garamond" w:eastAsia="Times New Roman" w:hAnsi="Garamond" w:cs="Times New Roman"/>
          <w:i/>
          <w:iCs/>
          <w:sz w:val="22"/>
          <w:szCs w:val="22"/>
          <w:lang w:bidi="he-IL"/>
        </w:rPr>
        <w:t>Wohl</w:t>
      </w:r>
      <w:r w:rsidR="00C72645">
        <w:rPr>
          <w:rFonts w:ascii="Garamond" w:eastAsia="Times New Roman" w:hAnsi="Garamond" w:cs="Times New Roman"/>
          <w:i/>
          <w:iCs/>
          <w:sz w:val="22"/>
          <w:szCs w:val="22"/>
          <w:lang w:bidi="he-IL"/>
        </w:rPr>
        <w:t xml:space="preserve"> und </w:t>
      </w:r>
      <w:proofErr w:type="spellStart"/>
      <w:r w:rsidR="00C72645">
        <w:rPr>
          <w:rFonts w:ascii="Garamond" w:eastAsia="Times New Roman" w:hAnsi="Garamond" w:cs="Times New Roman"/>
          <w:i/>
          <w:iCs/>
          <w:sz w:val="22"/>
          <w:szCs w:val="22"/>
          <w:lang w:bidi="he-IL"/>
        </w:rPr>
        <w:t>Weh</w:t>
      </w:r>
      <w:proofErr w:type="spellEnd"/>
      <w:r w:rsidR="00C72645" w:rsidRPr="009A018B">
        <w:rPr>
          <w:rFonts w:ascii="Garamond" w:eastAsia="Times New Roman" w:hAnsi="Garamond" w:cs="Times New Roman"/>
          <w:sz w:val="22"/>
          <w:szCs w:val="22"/>
          <w:lang w:bidi="he-IL"/>
        </w:rPr>
        <w:t>]</w:t>
      </w:r>
      <w:r w:rsidRPr="009A018B">
        <w:rPr>
          <w:rFonts w:ascii="Garamond" w:eastAsia="Times New Roman" w:hAnsi="Garamond" w:cs="Times New Roman"/>
          <w:sz w:val="22"/>
          <w:szCs w:val="22"/>
          <w:lang w:bidi="he-IL"/>
        </w:rPr>
        <w:t xml:space="preserve">, on the one side, </w:t>
      </w:r>
      <w:r w:rsidRPr="00C72645">
        <w:rPr>
          <w:rFonts w:ascii="Garamond" w:eastAsia="Times New Roman" w:hAnsi="Garamond" w:cs="Times New Roman"/>
          <w:sz w:val="22"/>
          <w:szCs w:val="22"/>
          <w:lang w:bidi="he-IL"/>
        </w:rPr>
        <w:t>and one or more unknown forces</w:t>
      </w:r>
      <w:r w:rsidR="00FE3C64">
        <w:rPr>
          <w:rFonts w:ascii="Garamond" w:eastAsia="Times New Roman" w:hAnsi="Garamond" w:cs="Times New Roman"/>
          <w:sz w:val="22"/>
          <w:szCs w:val="22"/>
          <w:lang w:bidi="he-IL"/>
        </w:rPr>
        <w:t>,</w:t>
      </w:r>
      <w:r w:rsidRPr="00C72645">
        <w:rPr>
          <w:rFonts w:ascii="Garamond" w:eastAsia="Times New Roman" w:hAnsi="Garamond" w:cs="Times New Roman"/>
          <w:sz w:val="22"/>
          <w:szCs w:val="22"/>
          <w:lang w:bidi="he-IL"/>
        </w:rPr>
        <w:t xml:space="preserve"> on the other</w:t>
      </w:r>
      <w:r w:rsidRPr="009A018B">
        <w:rPr>
          <w:rFonts w:ascii="Garamond" w:eastAsia="Times New Roman" w:hAnsi="Garamond" w:cs="Times New Roman"/>
          <w:sz w:val="22"/>
          <w:szCs w:val="22"/>
          <w:lang w:bidi="he-IL"/>
        </w:rPr>
        <w:t xml:space="preserve">. If one looks at how these feelings are expressed only in a general way, ignoring specific expressions, then religion is natural for people. </w:t>
      </w:r>
      <w:r w:rsidRPr="00C72645">
        <w:rPr>
          <w:rFonts w:ascii="Garamond" w:eastAsia="Times New Roman" w:hAnsi="Garamond" w:cs="Times New Roman"/>
          <w:sz w:val="22"/>
          <w:szCs w:val="22"/>
          <w:lang w:bidi="he-IL"/>
        </w:rPr>
        <w:t xml:space="preserve">Many of the phenomena that interest people have unknown causes, but people feel compelled to </w:t>
      </w:r>
      <w:r w:rsidRPr="00C72645">
        <w:rPr>
          <w:rFonts w:ascii="Garamond" w:eastAsia="Times New Roman" w:hAnsi="Garamond" w:cs="Times New Roman"/>
          <w:sz w:val="22"/>
          <w:szCs w:val="22"/>
          <w:lang w:bidi="he-IL"/>
        </w:rPr>
        <w:lastRenderedPageBreak/>
        <w:t>presume causes for these effects</w:t>
      </w:r>
      <w:r w:rsidRPr="009A018B">
        <w:rPr>
          <w:rFonts w:ascii="Garamond" w:eastAsia="Times New Roman" w:hAnsi="Garamond" w:cs="Times New Roman"/>
          <w:sz w:val="22"/>
          <w:szCs w:val="22"/>
          <w:lang w:bidi="he-IL"/>
        </w:rPr>
        <w:t>—this is the generally accepted Principle of Sufficient Reason—and to articulate the feelings that these causes bring forth</w:t>
      </w:r>
      <w:r w:rsidR="00C72645">
        <w:rPr>
          <w:rFonts w:ascii="Garamond" w:eastAsia="Times New Roman" w:hAnsi="Garamond" w:cs="Times New Roman"/>
          <w:sz w:val="22"/>
          <w:szCs w:val="22"/>
          <w:lang w:bidi="he-IL"/>
        </w:rPr>
        <w:t>.</w:t>
      </w:r>
      <w:r w:rsidR="00C72645">
        <w:rPr>
          <w:rStyle w:val="FootnoteReference"/>
          <w:rFonts w:ascii="Garamond" w:eastAsia="Times New Roman" w:hAnsi="Garamond" w:cs="Times New Roman"/>
          <w:sz w:val="22"/>
          <w:szCs w:val="22"/>
          <w:lang w:bidi="he-IL"/>
        </w:rPr>
        <w:footnoteReference w:id="13"/>
      </w:r>
    </w:p>
    <w:p w14:paraId="0692F1D0" w14:textId="70DB8F60" w:rsidR="00C72645" w:rsidRDefault="00C72645" w:rsidP="009A018B">
      <w:pPr>
        <w:spacing w:line="480" w:lineRule="auto"/>
        <w:jc w:val="both"/>
        <w:rPr>
          <w:rFonts w:ascii="Garamond" w:eastAsia="Times New Roman" w:hAnsi="Garamond" w:cs="Times New Roman"/>
          <w:sz w:val="22"/>
          <w:szCs w:val="22"/>
          <w:lang w:bidi="he-IL"/>
        </w:rPr>
      </w:pPr>
      <w:r>
        <w:rPr>
          <w:rFonts w:ascii="Garamond" w:eastAsia="Times New Roman" w:hAnsi="Garamond" w:cs="Times New Roman"/>
          <w:sz w:val="22"/>
          <w:szCs w:val="22"/>
          <w:lang w:bidi="he-IL"/>
        </w:rPr>
        <w:t xml:space="preserve">Notice that per Maimon’s definition, religion is perfectly compatible with reason: its main motivation is </w:t>
      </w:r>
      <w:r w:rsidR="005719D3">
        <w:rPr>
          <w:rFonts w:ascii="Garamond" w:eastAsia="Times New Roman" w:hAnsi="Garamond" w:cs="Times New Roman"/>
          <w:sz w:val="22"/>
          <w:szCs w:val="22"/>
          <w:lang w:bidi="he-IL"/>
        </w:rPr>
        <w:t xml:space="preserve">the </w:t>
      </w:r>
      <w:r w:rsidR="009136BE">
        <w:rPr>
          <w:rFonts w:ascii="Garamond" w:eastAsia="Times New Roman" w:hAnsi="Garamond" w:cs="Times New Roman"/>
          <w:sz w:val="22"/>
          <w:szCs w:val="22"/>
          <w:lang w:bidi="he-IL"/>
        </w:rPr>
        <w:t xml:space="preserve">desire </w:t>
      </w:r>
      <w:r>
        <w:rPr>
          <w:rFonts w:ascii="Garamond" w:eastAsia="Times New Roman" w:hAnsi="Garamond" w:cs="Times New Roman"/>
          <w:sz w:val="22"/>
          <w:szCs w:val="22"/>
          <w:lang w:bidi="he-IL"/>
        </w:rPr>
        <w:t>to trace the causes</w:t>
      </w:r>
      <w:r w:rsidR="007E08DA">
        <w:rPr>
          <w:rFonts w:ascii="Garamond" w:eastAsia="Times New Roman" w:hAnsi="Garamond" w:cs="Times New Roman"/>
          <w:sz w:val="22"/>
          <w:szCs w:val="22"/>
          <w:lang w:bidi="he-IL"/>
        </w:rPr>
        <w:t xml:space="preserve"> of what is significant to our lives, and as such, it is nothing but </w:t>
      </w:r>
      <w:r w:rsidR="009136BE">
        <w:rPr>
          <w:rFonts w:ascii="Garamond" w:eastAsia="Times New Roman" w:hAnsi="Garamond" w:cs="Times New Roman"/>
          <w:sz w:val="22"/>
          <w:szCs w:val="22"/>
          <w:lang w:bidi="he-IL"/>
        </w:rPr>
        <w:t>an employment</w:t>
      </w:r>
      <w:r w:rsidR="007E08DA">
        <w:rPr>
          <w:rFonts w:ascii="Garamond" w:eastAsia="Times New Roman" w:hAnsi="Garamond" w:cs="Times New Roman"/>
          <w:sz w:val="22"/>
          <w:szCs w:val="22"/>
          <w:lang w:bidi="he-IL"/>
        </w:rPr>
        <w:t xml:space="preserve"> </w:t>
      </w:r>
      <w:r w:rsidR="009136BE">
        <w:rPr>
          <w:rFonts w:ascii="Garamond" w:eastAsia="Times New Roman" w:hAnsi="Garamond" w:cs="Times New Roman"/>
          <w:sz w:val="22"/>
          <w:szCs w:val="22"/>
          <w:lang w:bidi="he-IL"/>
        </w:rPr>
        <w:t>of</w:t>
      </w:r>
      <w:r w:rsidR="007E08DA">
        <w:rPr>
          <w:rFonts w:ascii="Garamond" w:eastAsia="Times New Roman" w:hAnsi="Garamond" w:cs="Times New Roman"/>
          <w:sz w:val="22"/>
          <w:szCs w:val="22"/>
          <w:lang w:bidi="he-IL"/>
        </w:rPr>
        <w:t xml:space="preserve"> the Principle of Sufficient Reason.</w:t>
      </w:r>
      <w:r w:rsidR="007E08DA">
        <w:rPr>
          <w:rStyle w:val="FootnoteReference"/>
          <w:rFonts w:ascii="Garamond" w:eastAsia="Times New Roman" w:hAnsi="Garamond" w:cs="Times New Roman"/>
          <w:sz w:val="22"/>
          <w:szCs w:val="22"/>
          <w:lang w:bidi="he-IL"/>
        </w:rPr>
        <w:footnoteReference w:id="14"/>
      </w:r>
    </w:p>
    <w:p w14:paraId="096F16D4" w14:textId="5B390077" w:rsidR="00EA0EB9" w:rsidRPr="00C7117E" w:rsidRDefault="00EA0EB9" w:rsidP="009A018B">
      <w:pPr>
        <w:spacing w:line="480" w:lineRule="auto"/>
        <w:jc w:val="both"/>
        <w:rPr>
          <w:rFonts w:ascii="Garamond" w:eastAsia="Times New Roman" w:hAnsi="Garamond" w:cs="Times New Roman"/>
          <w:sz w:val="22"/>
          <w:szCs w:val="22"/>
          <w:lang w:bidi="he-IL"/>
        </w:rPr>
      </w:pPr>
      <w:r>
        <w:rPr>
          <w:rFonts w:ascii="Garamond" w:eastAsia="Times New Roman" w:hAnsi="Garamond" w:cs="Times New Roman"/>
          <w:sz w:val="22"/>
          <w:szCs w:val="22"/>
          <w:lang w:bidi="he-IL"/>
        </w:rPr>
        <w:tab/>
      </w:r>
      <w:r w:rsidR="00454D78">
        <w:rPr>
          <w:rFonts w:ascii="Garamond" w:eastAsia="Times New Roman" w:hAnsi="Garamond" w:cs="Times New Roman"/>
          <w:sz w:val="22"/>
          <w:szCs w:val="22"/>
          <w:lang w:bidi="he-IL"/>
        </w:rPr>
        <w:t>The search after ultimate causes, claims Maimon, can be pursued in two alternative manners: imaginary and rational. The imaginary path employs analogies and assumes that the cause must resemble its effect. Since the phenomena we experience are diverse, the imaginary path leads us to conclude that the causes of phenomena, just like the phenomena themselves, are</w:t>
      </w:r>
      <w:r w:rsidR="003951D1">
        <w:rPr>
          <w:rFonts w:ascii="Garamond" w:eastAsia="Times New Roman" w:hAnsi="Garamond" w:cs="Times New Roman"/>
          <w:sz w:val="22"/>
          <w:szCs w:val="22"/>
          <w:lang w:bidi="he-IL"/>
        </w:rPr>
        <w:t xml:space="preserve"> diverse. For this reason, </w:t>
      </w:r>
      <w:r w:rsidR="006749E7">
        <w:rPr>
          <w:rFonts w:ascii="Garamond" w:eastAsia="Times New Roman" w:hAnsi="Garamond" w:cs="Times New Roman"/>
          <w:sz w:val="22"/>
          <w:szCs w:val="22"/>
          <w:lang w:bidi="he-IL"/>
        </w:rPr>
        <w:t xml:space="preserve">the </w:t>
      </w:r>
      <w:r w:rsidR="003951D1">
        <w:rPr>
          <w:rFonts w:ascii="Garamond" w:eastAsia="Times New Roman" w:hAnsi="Garamond" w:cs="Times New Roman"/>
          <w:sz w:val="22"/>
          <w:szCs w:val="22"/>
          <w:lang w:bidi="he-IL"/>
        </w:rPr>
        <w:t>imaginary path leads its pursuer to polytheism.</w:t>
      </w:r>
      <w:r w:rsidR="003951D1">
        <w:rPr>
          <w:rStyle w:val="FootnoteReference"/>
          <w:rFonts w:ascii="Garamond" w:eastAsia="Times New Roman" w:hAnsi="Garamond" w:cs="Times New Roman"/>
          <w:sz w:val="22"/>
          <w:szCs w:val="22"/>
          <w:lang w:bidi="he-IL"/>
        </w:rPr>
        <w:footnoteReference w:id="15"/>
      </w:r>
      <w:r w:rsidR="003951D1">
        <w:rPr>
          <w:rFonts w:ascii="Garamond" w:eastAsia="Times New Roman" w:hAnsi="Garamond" w:cs="Times New Roman"/>
          <w:sz w:val="22"/>
          <w:szCs w:val="22"/>
          <w:lang w:bidi="he-IL"/>
        </w:rPr>
        <w:t xml:space="preserve"> The alternative path</w:t>
      </w:r>
      <w:r w:rsidR="00BE17C9">
        <w:rPr>
          <w:rFonts w:ascii="Garamond" w:eastAsia="Times New Roman" w:hAnsi="Garamond" w:cs="Times New Roman"/>
          <w:sz w:val="22"/>
          <w:szCs w:val="22"/>
          <w:lang w:bidi="he-IL"/>
        </w:rPr>
        <w:t>,</w:t>
      </w:r>
      <w:r w:rsidR="003951D1">
        <w:rPr>
          <w:rFonts w:ascii="Garamond" w:eastAsia="Times New Roman" w:hAnsi="Garamond" w:cs="Times New Roman"/>
          <w:sz w:val="22"/>
          <w:szCs w:val="22"/>
          <w:lang w:bidi="he-IL"/>
        </w:rPr>
        <w:t xml:space="preserve"> which Maimon describes as both rational and “the basis of </w:t>
      </w:r>
      <w:r w:rsidR="003951D1" w:rsidRPr="003951D1">
        <w:rPr>
          <w:rFonts w:ascii="Garamond" w:eastAsia="Times New Roman" w:hAnsi="Garamond" w:cs="Times New Roman"/>
          <w:i/>
          <w:iCs/>
          <w:sz w:val="22"/>
          <w:szCs w:val="22"/>
          <w:lang w:bidi="he-IL"/>
        </w:rPr>
        <w:t>true</w:t>
      </w:r>
      <w:r w:rsidR="003951D1">
        <w:rPr>
          <w:rFonts w:ascii="Garamond" w:eastAsia="Times New Roman" w:hAnsi="Garamond" w:cs="Times New Roman"/>
          <w:sz w:val="22"/>
          <w:szCs w:val="22"/>
          <w:lang w:bidi="he-IL"/>
        </w:rPr>
        <w:t xml:space="preserve"> religion,”</w:t>
      </w:r>
      <w:r w:rsidR="003951D1">
        <w:rPr>
          <w:rStyle w:val="FootnoteReference"/>
          <w:rFonts w:ascii="Garamond" w:eastAsia="Times New Roman" w:hAnsi="Garamond" w:cs="Times New Roman"/>
          <w:sz w:val="22"/>
          <w:szCs w:val="22"/>
          <w:lang w:bidi="he-IL"/>
        </w:rPr>
        <w:footnoteReference w:id="16"/>
      </w:r>
      <w:r w:rsidR="003951D1">
        <w:rPr>
          <w:rFonts w:ascii="Garamond" w:eastAsia="Times New Roman" w:hAnsi="Garamond" w:cs="Times New Roman"/>
          <w:sz w:val="22"/>
          <w:szCs w:val="22"/>
          <w:lang w:bidi="he-IL"/>
        </w:rPr>
        <w:t xml:space="preserve"> avoid</w:t>
      </w:r>
      <w:r w:rsidR="00EA6616">
        <w:rPr>
          <w:rFonts w:ascii="Garamond" w:eastAsia="Times New Roman" w:hAnsi="Garamond" w:cs="Times New Roman"/>
          <w:sz w:val="22"/>
          <w:szCs w:val="22"/>
          <w:lang w:bidi="he-IL"/>
        </w:rPr>
        <w:t>s</w:t>
      </w:r>
      <w:r w:rsidR="003951D1">
        <w:rPr>
          <w:rFonts w:ascii="Garamond" w:eastAsia="Times New Roman" w:hAnsi="Garamond" w:cs="Times New Roman"/>
          <w:sz w:val="22"/>
          <w:szCs w:val="22"/>
          <w:lang w:bidi="he-IL"/>
        </w:rPr>
        <w:t xml:space="preserve"> the tendency to project the qualities of the effects on</w:t>
      </w:r>
      <w:r w:rsidR="004C1977">
        <w:rPr>
          <w:rFonts w:ascii="Garamond" w:eastAsia="Times New Roman" w:hAnsi="Garamond" w:cs="Times New Roman"/>
          <w:sz w:val="22"/>
          <w:szCs w:val="22"/>
          <w:lang w:bidi="he-IL"/>
        </w:rPr>
        <w:t>to</w:t>
      </w:r>
      <w:r w:rsidR="003951D1">
        <w:rPr>
          <w:rFonts w:ascii="Garamond" w:eastAsia="Times New Roman" w:hAnsi="Garamond" w:cs="Times New Roman"/>
          <w:sz w:val="22"/>
          <w:szCs w:val="22"/>
          <w:lang w:bidi="he-IL"/>
        </w:rPr>
        <w:t xml:space="preserve"> their causes.</w:t>
      </w:r>
      <w:r w:rsidR="001F1F11">
        <w:rPr>
          <w:rStyle w:val="FootnoteReference"/>
          <w:rFonts w:ascii="Garamond" w:eastAsia="Times New Roman" w:hAnsi="Garamond" w:cs="Times New Roman"/>
          <w:sz w:val="22"/>
          <w:szCs w:val="22"/>
          <w:lang w:bidi="he-IL"/>
        </w:rPr>
        <w:footnoteReference w:id="17"/>
      </w:r>
      <w:r w:rsidR="003951D1">
        <w:rPr>
          <w:rFonts w:ascii="Garamond" w:eastAsia="Times New Roman" w:hAnsi="Garamond" w:cs="Times New Roman"/>
          <w:sz w:val="22"/>
          <w:szCs w:val="22"/>
          <w:lang w:bidi="he-IL"/>
        </w:rPr>
        <w:t xml:space="preserve"> As a result, this form of religion is perfectly content with assuming one ultimate cause as the source of the diversity of phenomena.</w:t>
      </w:r>
      <w:r w:rsidR="003951D1">
        <w:rPr>
          <w:rStyle w:val="FootnoteReference"/>
          <w:rFonts w:ascii="Garamond" w:eastAsia="Times New Roman" w:hAnsi="Garamond" w:cs="Times New Roman"/>
          <w:sz w:val="22"/>
          <w:szCs w:val="22"/>
          <w:lang w:bidi="he-IL"/>
        </w:rPr>
        <w:footnoteReference w:id="18"/>
      </w:r>
      <w:r w:rsidR="003951D1">
        <w:rPr>
          <w:rFonts w:ascii="Garamond" w:eastAsia="Times New Roman" w:hAnsi="Garamond" w:cs="Times New Roman"/>
          <w:sz w:val="22"/>
          <w:szCs w:val="22"/>
          <w:lang w:bidi="he-IL"/>
        </w:rPr>
        <w:t xml:space="preserve"> </w:t>
      </w:r>
    </w:p>
    <w:p w14:paraId="0AD54CC6" w14:textId="34D3B537" w:rsidR="00616A7D" w:rsidRDefault="003951D1" w:rsidP="00616A7D">
      <w:pPr>
        <w:spacing w:line="480" w:lineRule="auto"/>
        <w:jc w:val="both"/>
        <w:rPr>
          <w:rFonts w:ascii="Garamond" w:eastAsia="Times New Roman" w:hAnsi="Garamond" w:cs="Times New Roman"/>
          <w:sz w:val="22"/>
          <w:szCs w:val="22"/>
          <w:lang w:bidi="he-IL"/>
        </w:rPr>
      </w:pPr>
      <w:r>
        <w:rPr>
          <w:rFonts w:ascii="Garamond" w:eastAsia="Times New Roman" w:hAnsi="Garamond" w:cs="Times New Roman"/>
          <w:sz w:val="22"/>
          <w:szCs w:val="22"/>
          <w:lang w:bidi="he-IL"/>
        </w:rPr>
        <w:lastRenderedPageBreak/>
        <w:tab/>
        <w:t>Relying on this sharp dichotomy, Maimon suggests</w:t>
      </w:r>
      <w:r w:rsidR="00616A7D">
        <w:rPr>
          <w:rFonts w:ascii="Garamond" w:eastAsia="Times New Roman" w:hAnsi="Garamond" w:cs="Times New Roman"/>
          <w:sz w:val="22"/>
          <w:szCs w:val="22"/>
          <w:lang w:bidi="he-IL"/>
        </w:rPr>
        <w:t xml:space="preserve"> that the </w:t>
      </w:r>
      <w:r w:rsidR="00616A7D" w:rsidRPr="00616A7D">
        <w:rPr>
          <w:rFonts w:ascii="Garamond" w:eastAsia="Times New Roman" w:hAnsi="Garamond" w:cs="Times New Roman"/>
          <w:sz w:val="22"/>
          <w:szCs w:val="22"/>
          <w:lang w:bidi="he-IL"/>
        </w:rPr>
        <w:t>“</w:t>
      </w:r>
      <w:r w:rsidR="00616A7D">
        <w:rPr>
          <w:rFonts w:ascii="Garamond" w:eastAsia="Times New Roman" w:hAnsi="Garamond" w:cs="Times New Roman"/>
          <w:sz w:val="22"/>
          <w:szCs w:val="22"/>
          <w:lang w:bidi="he-IL"/>
        </w:rPr>
        <w:t>d</w:t>
      </w:r>
      <w:r w:rsidR="00616A7D" w:rsidRPr="00616A7D">
        <w:rPr>
          <w:rFonts w:ascii="Garamond" w:eastAsia="Times New Roman" w:hAnsi="Garamond" w:cs="Times New Roman"/>
          <w:sz w:val="22"/>
          <w:szCs w:val="22"/>
          <w:lang w:bidi="he-IL"/>
        </w:rPr>
        <w:t xml:space="preserve">ifferent philosophical systems of theology are nothing other than </w:t>
      </w:r>
      <w:r w:rsidR="00616A7D" w:rsidRPr="00616A7D">
        <w:rPr>
          <w:rFonts w:ascii="Garamond" w:eastAsia="Times New Roman" w:hAnsi="Garamond" w:cs="Times New Roman"/>
          <w:i/>
          <w:iCs/>
          <w:sz w:val="22"/>
          <w:szCs w:val="22"/>
          <w:lang w:bidi="he-IL"/>
        </w:rPr>
        <w:t>refined extensions</w:t>
      </w:r>
      <w:r w:rsidR="00616A7D" w:rsidRPr="00616A7D">
        <w:rPr>
          <w:rFonts w:ascii="Garamond" w:eastAsia="Times New Roman" w:hAnsi="Garamond" w:cs="Times New Roman"/>
          <w:sz w:val="22"/>
          <w:szCs w:val="22"/>
          <w:lang w:bidi="he-IL"/>
        </w:rPr>
        <w:t xml:space="preserve"> of these different modes of representation.</w:t>
      </w:r>
      <w:r w:rsidR="00616A7D">
        <w:rPr>
          <w:rFonts w:ascii="Garamond" w:eastAsia="Times New Roman" w:hAnsi="Garamond" w:cs="Times New Roman"/>
          <w:sz w:val="22"/>
          <w:szCs w:val="22"/>
          <w:lang w:bidi="he-IL"/>
        </w:rPr>
        <w:t>”</w:t>
      </w:r>
      <w:r w:rsidR="00616A7D">
        <w:rPr>
          <w:rStyle w:val="FootnoteReference"/>
          <w:rFonts w:ascii="Garamond" w:eastAsia="Times New Roman" w:hAnsi="Garamond" w:cs="Times New Roman"/>
          <w:sz w:val="22"/>
          <w:szCs w:val="22"/>
          <w:lang w:bidi="he-IL"/>
        </w:rPr>
        <w:footnoteReference w:id="19"/>
      </w:r>
      <w:r w:rsidR="00616A7D">
        <w:rPr>
          <w:rFonts w:ascii="Garamond" w:eastAsia="Times New Roman" w:hAnsi="Garamond" w:cs="Times New Roman"/>
          <w:sz w:val="22"/>
          <w:szCs w:val="22"/>
          <w:lang w:bidi="he-IL"/>
        </w:rPr>
        <w:t xml:space="preserve"> At this point, Maimon presents his three-sided taxonomy of the systems of theology: Atheism, Spinozism, and in between, </w:t>
      </w:r>
      <w:proofErr w:type="spellStart"/>
      <w:r w:rsidR="00616A7D">
        <w:rPr>
          <w:rFonts w:ascii="Garamond" w:eastAsia="Times New Roman" w:hAnsi="Garamond" w:cs="Times New Roman"/>
          <w:sz w:val="22"/>
          <w:szCs w:val="22"/>
          <w:lang w:bidi="he-IL"/>
        </w:rPr>
        <w:t>Leibnizianism</w:t>
      </w:r>
      <w:proofErr w:type="spellEnd"/>
      <w:r w:rsidR="00616A7D">
        <w:rPr>
          <w:rFonts w:ascii="Garamond" w:eastAsia="Times New Roman" w:hAnsi="Garamond" w:cs="Times New Roman"/>
          <w:sz w:val="22"/>
          <w:szCs w:val="22"/>
          <w:lang w:bidi="he-IL"/>
        </w:rPr>
        <w:t xml:space="preserve">: </w:t>
      </w:r>
    </w:p>
    <w:p w14:paraId="3B13C25A" w14:textId="76A53816" w:rsidR="00C76AD9" w:rsidRDefault="00616A7D" w:rsidP="00616A7D">
      <w:pPr>
        <w:spacing w:line="480" w:lineRule="auto"/>
        <w:ind w:left="432" w:right="288"/>
        <w:jc w:val="both"/>
        <w:rPr>
          <w:rFonts w:ascii="Garamond" w:eastAsia="Times New Roman" w:hAnsi="Garamond" w:cs="Times New Roman"/>
          <w:sz w:val="22"/>
          <w:szCs w:val="22"/>
          <w:rtl/>
          <w:lang w:bidi="he-IL"/>
        </w:rPr>
      </w:pPr>
      <w:r w:rsidRPr="00616A7D">
        <w:rPr>
          <w:rFonts w:ascii="Garamond" w:eastAsia="Times New Roman" w:hAnsi="Garamond" w:cs="Times New Roman"/>
          <w:sz w:val="22"/>
          <w:szCs w:val="22"/>
          <w:lang w:bidi="he-IL"/>
        </w:rPr>
        <w:t xml:space="preserve">The </w:t>
      </w:r>
      <w:r w:rsidRPr="00616A7D">
        <w:rPr>
          <w:rFonts w:ascii="Garamond" w:eastAsia="Times New Roman" w:hAnsi="Garamond" w:cs="Times New Roman"/>
          <w:i/>
          <w:iCs/>
          <w:sz w:val="22"/>
          <w:szCs w:val="22"/>
          <w:lang w:bidi="he-IL"/>
        </w:rPr>
        <w:t>atheist</w:t>
      </w:r>
      <w:r w:rsidRPr="00616A7D">
        <w:rPr>
          <w:rFonts w:ascii="Garamond" w:eastAsia="Times New Roman" w:hAnsi="Garamond" w:cs="Times New Roman"/>
          <w:sz w:val="22"/>
          <w:szCs w:val="22"/>
          <w:lang w:bidi="he-IL"/>
        </w:rPr>
        <w:t xml:space="preserve"> system of theology, if one can call it that, entirely dispenses with the concept of a </w:t>
      </w:r>
      <w:r w:rsidRPr="00616A7D">
        <w:rPr>
          <w:rFonts w:ascii="Garamond" w:eastAsia="Times New Roman" w:hAnsi="Garamond" w:cs="Times New Roman"/>
          <w:i/>
          <w:iCs/>
          <w:sz w:val="22"/>
          <w:szCs w:val="22"/>
          <w:lang w:bidi="he-IL"/>
        </w:rPr>
        <w:t>primary cause</w:t>
      </w:r>
      <w:r w:rsidRPr="00616A7D">
        <w:rPr>
          <w:rFonts w:ascii="Garamond" w:eastAsia="Times New Roman" w:hAnsi="Garamond" w:cs="Times New Roman"/>
          <w:sz w:val="22"/>
          <w:szCs w:val="22"/>
          <w:lang w:bidi="he-IL"/>
        </w:rPr>
        <w:t xml:space="preserve"> </w:t>
      </w:r>
      <w:r>
        <w:rPr>
          <w:rFonts w:ascii="Garamond" w:eastAsia="Times New Roman" w:hAnsi="Garamond" w:cs="Times New Roman"/>
          <w:sz w:val="22"/>
          <w:szCs w:val="22"/>
          <w:lang w:bidi="he-IL"/>
        </w:rPr>
        <w:t>(</w:t>
      </w:r>
      <w:r w:rsidRPr="00616A7D">
        <w:rPr>
          <w:rFonts w:ascii="Garamond" w:eastAsia="Times New Roman" w:hAnsi="Garamond" w:cs="Times New Roman"/>
          <w:sz w:val="22"/>
          <w:szCs w:val="22"/>
          <w:lang w:bidi="he-IL"/>
        </w:rPr>
        <w:t xml:space="preserve">since as a necessary </w:t>
      </w:r>
      <w:r w:rsidRPr="00616A7D">
        <w:rPr>
          <w:rFonts w:ascii="Garamond" w:eastAsia="Times New Roman" w:hAnsi="Garamond" w:cs="Times New Roman"/>
          <w:i/>
          <w:iCs/>
          <w:sz w:val="22"/>
          <w:szCs w:val="22"/>
          <w:lang w:bidi="he-IL"/>
        </w:rPr>
        <w:t>idea of reason</w:t>
      </w:r>
      <w:r w:rsidRPr="00616A7D">
        <w:rPr>
          <w:rFonts w:ascii="Garamond" w:eastAsia="Times New Roman" w:hAnsi="Garamond" w:cs="Times New Roman"/>
          <w:sz w:val="22"/>
          <w:szCs w:val="22"/>
          <w:lang w:bidi="he-IL"/>
        </w:rPr>
        <w:t>, its use is, according to the critical system, only of regulative value</w:t>
      </w:r>
      <w:r w:rsidR="008A0BCC">
        <w:rPr>
          <w:rStyle w:val="FootnoteReference"/>
          <w:rFonts w:ascii="Garamond" w:eastAsia="Times New Roman" w:hAnsi="Garamond" w:cs="Times New Roman"/>
          <w:sz w:val="22"/>
          <w:szCs w:val="22"/>
          <w:lang w:bidi="he-IL"/>
        </w:rPr>
        <w:footnoteReference w:id="20"/>
      </w:r>
      <w:r w:rsidRPr="00616A7D">
        <w:rPr>
          <w:rFonts w:ascii="Garamond" w:eastAsia="Times New Roman" w:hAnsi="Garamond" w:cs="Times New Roman"/>
          <w:sz w:val="22"/>
          <w:szCs w:val="22"/>
          <w:lang w:bidi="he-IL"/>
        </w:rPr>
        <w:t>). All effects are attributed to particular causes, known or unknown. This assumes no connection whatsoever among the different effects, because otherwise the reason for the connection would have to be sought beyond the connection</w:t>
      </w:r>
      <w:r>
        <w:rPr>
          <w:rFonts w:ascii="Garamond" w:eastAsia="Times New Roman" w:hAnsi="Garamond" w:cs="Times New Roman"/>
          <w:sz w:val="22"/>
          <w:szCs w:val="22"/>
          <w:lang w:bidi="he-IL"/>
        </w:rPr>
        <w:t>.</w:t>
      </w:r>
      <w:r>
        <w:rPr>
          <w:rStyle w:val="FootnoteReference"/>
          <w:rFonts w:ascii="Garamond" w:eastAsia="Times New Roman" w:hAnsi="Garamond" w:cs="Times New Roman"/>
          <w:sz w:val="22"/>
          <w:szCs w:val="22"/>
          <w:lang w:bidi="he-IL"/>
        </w:rPr>
        <w:footnoteReference w:id="21"/>
      </w:r>
    </w:p>
    <w:p w14:paraId="51966738" w14:textId="6345370A" w:rsidR="008A0BCC" w:rsidRPr="008A0BCC" w:rsidRDefault="008A0BCC" w:rsidP="00114F8F">
      <w:pPr>
        <w:spacing w:line="480" w:lineRule="auto"/>
        <w:jc w:val="both"/>
        <w:rPr>
          <w:rFonts w:ascii="Garamond" w:hAnsi="Garamond"/>
        </w:rPr>
      </w:pPr>
      <w:r w:rsidRPr="008A0BCC">
        <w:rPr>
          <w:rFonts w:ascii="Garamond" w:hAnsi="Garamond"/>
        </w:rPr>
        <w:t xml:space="preserve">Maimon’s presentation of Kant’s critical philosophy as atheistic </w:t>
      </w:r>
      <w:r>
        <w:rPr>
          <w:rFonts w:ascii="Garamond" w:hAnsi="Garamond"/>
        </w:rPr>
        <w:t>probably</w:t>
      </w:r>
      <w:r w:rsidRPr="008A0BCC">
        <w:rPr>
          <w:rFonts w:ascii="Garamond" w:hAnsi="Garamond"/>
        </w:rPr>
        <w:t xml:space="preserve"> </w:t>
      </w:r>
      <w:r w:rsidR="009136BE">
        <w:rPr>
          <w:rFonts w:ascii="Garamond" w:hAnsi="Garamond"/>
        </w:rPr>
        <w:t>raised quite a few eyebrows</w:t>
      </w:r>
      <w:r w:rsidRPr="008A0BCC">
        <w:rPr>
          <w:rFonts w:ascii="Garamond" w:hAnsi="Garamond"/>
        </w:rPr>
        <w:t xml:space="preserve"> </w:t>
      </w:r>
      <w:r w:rsidR="0038571D">
        <w:rPr>
          <w:rFonts w:ascii="Garamond" w:hAnsi="Garamond"/>
        </w:rPr>
        <w:t>among</w:t>
      </w:r>
      <w:r>
        <w:rPr>
          <w:rFonts w:ascii="Garamond" w:hAnsi="Garamond"/>
        </w:rPr>
        <w:t xml:space="preserve"> his </w:t>
      </w:r>
      <w:r w:rsidRPr="008A0BCC">
        <w:rPr>
          <w:rFonts w:ascii="Garamond" w:hAnsi="Garamond"/>
        </w:rPr>
        <w:t xml:space="preserve">readers (this might have </w:t>
      </w:r>
      <w:r w:rsidR="0038571D">
        <w:rPr>
          <w:rFonts w:ascii="Garamond" w:hAnsi="Garamond"/>
        </w:rPr>
        <w:t xml:space="preserve">also </w:t>
      </w:r>
      <w:r w:rsidRPr="008A0BCC">
        <w:rPr>
          <w:rFonts w:ascii="Garamond" w:hAnsi="Garamond"/>
        </w:rPr>
        <w:t xml:space="preserve">been Maimon’s subtle response to Kant’s insinuation that Maimon </w:t>
      </w:r>
      <w:r w:rsidR="008C08FD">
        <w:rPr>
          <w:rFonts w:ascii="Garamond" w:hAnsi="Garamond"/>
        </w:rPr>
        <w:t>was</w:t>
      </w:r>
      <w:r w:rsidRPr="008A0BCC">
        <w:rPr>
          <w:rFonts w:ascii="Garamond" w:hAnsi="Garamond"/>
        </w:rPr>
        <w:t xml:space="preserve"> a Spinozist</w:t>
      </w:r>
      <w:r w:rsidR="00F45023">
        <w:rPr>
          <w:rFonts w:ascii="Garamond" w:hAnsi="Garamond"/>
        </w:rPr>
        <w:t xml:space="preserve"> </w:t>
      </w:r>
      <w:r w:rsidR="00F45023">
        <w:rPr>
          <w:rStyle w:val="FootnoteReference"/>
          <w:rFonts w:ascii="Garamond" w:hAnsi="Garamond"/>
        </w:rPr>
        <w:footnoteReference w:id="22"/>
      </w:r>
      <w:r w:rsidR="00F45023">
        <w:rPr>
          <w:rFonts w:ascii="Garamond" w:hAnsi="Garamond"/>
        </w:rPr>
        <w:t>)</w:t>
      </w:r>
      <w:r>
        <w:rPr>
          <w:rFonts w:ascii="Garamond" w:hAnsi="Garamond"/>
        </w:rPr>
        <w:t xml:space="preserve">, but what should have been truly astonishing for Maimon’s </w:t>
      </w:r>
      <w:r w:rsidR="0038571D">
        <w:rPr>
          <w:rFonts w:ascii="Garamond" w:hAnsi="Garamond"/>
        </w:rPr>
        <w:t>contemporaries</w:t>
      </w:r>
      <w:r>
        <w:rPr>
          <w:rFonts w:ascii="Garamond" w:hAnsi="Garamond"/>
        </w:rPr>
        <w:t xml:space="preserve"> </w:t>
      </w:r>
      <w:r w:rsidR="008C08FD">
        <w:rPr>
          <w:rFonts w:ascii="Garamond" w:hAnsi="Garamond"/>
        </w:rPr>
        <w:t>was</w:t>
      </w:r>
      <w:r>
        <w:rPr>
          <w:rFonts w:ascii="Garamond" w:hAnsi="Garamond"/>
        </w:rPr>
        <w:t xml:space="preserve"> his insistence that Spinoza – who was widely </w:t>
      </w:r>
      <w:r w:rsidR="00EA6616">
        <w:rPr>
          <w:rFonts w:ascii="Garamond" w:hAnsi="Garamond"/>
        </w:rPr>
        <w:t xml:space="preserve">condemned and </w:t>
      </w:r>
      <w:r>
        <w:rPr>
          <w:rFonts w:ascii="Garamond" w:hAnsi="Garamond"/>
        </w:rPr>
        <w:t>cursed as an atheist throughout the eighteenth century –</w:t>
      </w:r>
      <w:r w:rsidR="00F45023">
        <w:rPr>
          <w:rFonts w:ascii="Garamond" w:hAnsi="Garamond"/>
        </w:rPr>
        <w:t xml:space="preserve"> offered a system that was </w:t>
      </w:r>
      <w:r w:rsidR="002B239B">
        <w:rPr>
          <w:rFonts w:ascii="Garamond" w:hAnsi="Garamond"/>
        </w:rPr>
        <w:t xml:space="preserve">the </w:t>
      </w:r>
      <w:r w:rsidR="00F45023">
        <w:rPr>
          <w:rFonts w:ascii="Garamond" w:hAnsi="Garamond"/>
        </w:rPr>
        <w:t xml:space="preserve">most </w:t>
      </w:r>
      <w:r w:rsidR="00F45023" w:rsidRPr="0038571D">
        <w:rPr>
          <w:rFonts w:ascii="Garamond" w:hAnsi="Garamond"/>
          <w:i/>
          <w:iCs/>
        </w:rPr>
        <w:t>opposed</w:t>
      </w:r>
      <w:r w:rsidR="00F45023">
        <w:rPr>
          <w:rFonts w:ascii="Garamond" w:hAnsi="Garamond"/>
        </w:rPr>
        <w:t xml:space="preserve"> to atheism.</w:t>
      </w:r>
    </w:p>
    <w:p w14:paraId="58B23BDE" w14:textId="4912CF02" w:rsidR="008A0BCC" w:rsidRPr="00F45023" w:rsidRDefault="00F45023" w:rsidP="004E2199">
      <w:pPr>
        <w:spacing w:line="480" w:lineRule="auto"/>
        <w:ind w:left="432" w:right="288"/>
        <w:jc w:val="both"/>
        <w:rPr>
          <w:rFonts w:ascii="Garamond" w:hAnsi="Garamond"/>
        </w:rPr>
      </w:pPr>
      <w:r w:rsidRPr="0038571D">
        <w:rPr>
          <w:rFonts w:ascii="Garamond" w:hAnsi="Garamond"/>
          <w:i/>
          <w:iCs/>
        </w:rPr>
        <w:t>Spinoza’s system</w:t>
      </w:r>
      <w:r w:rsidRPr="00F45023">
        <w:rPr>
          <w:rFonts w:ascii="Garamond" w:hAnsi="Garamond"/>
        </w:rPr>
        <w:t>, by contrast, proceeds from the idea that one and the same substance is the immediate cause of all effects, which should therefore be viewed as predicates of the same subjec</w:t>
      </w:r>
      <w:r w:rsidR="004E2199">
        <w:rPr>
          <w:rFonts w:ascii="Garamond" w:hAnsi="Garamond"/>
        </w:rPr>
        <w:t xml:space="preserve">t. </w:t>
      </w:r>
      <w:r w:rsidR="004E2199" w:rsidRPr="004E2199">
        <w:rPr>
          <w:rFonts w:ascii="Garamond" w:hAnsi="Garamond"/>
          <w:i/>
          <w:iCs/>
        </w:rPr>
        <w:t>Matter and spirit</w:t>
      </w:r>
      <w:r w:rsidR="004E2199" w:rsidRPr="004E2199">
        <w:rPr>
          <w:rFonts w:ascii="Garamond" w:hAnsi="Garamond"/>
        </w:rPr>
        <w:t xml:space="preserve"> are, for Spinoza, one and the same substance, which appears now under this and now under that attribute. This single substance is, </w:t>
      </w:r>
      <w:r w:rsidR="004E2199" w:rsidRPr="004E2199">
        <w:rPr>
          <w:rFonts w:ascii="Garamond" w:hAnsi="Garamond"/>
        </w:rPr>
        <w:lastRenderedPageBreak/>
        <w:t xml:space="preserve">he writes, not only the sole possible self-subsisting Being (independent of all external causes), but also the only one that </w:t>
      </w:r>
      <w:r w:rsidR="004E2199" w:rsidRPr="004E2199">
        <w:rPr>
          <w:rFonts w:ascii="Garamond" w:hAnsi="Garamond"/>
          <w:i/>
          <w:iCs/>
        </w:rPr>
        <w:t>exists solely for itself</w:t>
      </w:r>
      <w:r w:rsidR="004E2199" w:rsidRPr="004E2199">
        <w:rPr>
          <w:rFonts w:ascii="Garamond" w:hAnsi="Garamond"/>
        </w:rPr>
        <w:t xml:space="preserve">, whose modi (these </w:t>
      </w:r>
      <w:r w:rsidR="004E2199">
        <w:rPr>
          <w:rFonts w:ascii="Garamond" w:hAnsi="Garamond"/>
        </w:rPr>
        <w:t>a</w:t>
      </w:r>
      <w:r w:rsidR="004E2199" w:rsidRPr="004E2199">
        <w:rPr>
          <w:rFonts w:ascii="Garamond" w:hAnsi="Garamond"/>
        </w:rPr>
        <w:t>ttributes limited in a particular way) make up all so-called beings except it. Every particular effect in nature is ascribed not to its proximate cause (which is simply a mode), but to the primary cause or substance, which is common to all beings</w:t>
      </w:r>
      <w:r w:rsidR="004E2199">
        <w:rPr>
          <w:rFonts w:ascii="Garamond" w:hAnsi="Garamond"/>
        </w:rPr>
        <w:t>…</w:t>
      </w:r>
      <w:r w:rsidRPr="00F45023">
        <w:rPr>
          <w:rFonts w:ascii="Garamond" w:hAnsi="Garamond"/>
        </w:rPr>
        <w:t xml:space="preserve">It is hard to fathom how Spinoza’s system could have been made out to be atheistic, since the two systems are diametrically opposed. The atheist system denies the existence of God; Spinoza’s denies the existence of the </w:t>
      </w:r>
      <w:r w:rsidRPr="00F45023">
        <w:rPr>
          <w:rFonts w:ascii="Garamond" w:hAnsi="Garamond"/>
          <w:i/>
          <w:iCs/>
        </w:rPr>
        <w:t>world</w:t>
      </w:r>
      <w:r w:rsidRPr="00F45023">
        <w:rPr>
          <w:rFonts w:ascii="Garamond" w:hAnsi="Garamond"/>
        </w:rPr>
        <w:t xml:space="preserve">. Thus, it should really be called </w:t>
      </w:r>
      <w:proofErr w:type="spellStart"/>
      <w:r w:rsidRPr="00F45023">
        <w:rPr>
          <w:rFonts w:ascii="Garamond" w:hAnsi="Garamond"/>
          <w:i/>
          <w:iCs/>
        </w:rPr>
        <w:t>acosmic</w:t>
      </w:r>
      <w:proofErr w:type="spellEnd"/>
      <w:r w:rsidRPr="00F45023">
        <w:rPr>
          <w:rFonts w:ascii="Garamond" w:hAnsi="Garamond"/>
        </w:rPr>
        <w:t>.</w:t>
      </w:r>
      <w:r>
        <w:rPr>
          <w:rStyle w:val="FootnoteReference"/>
          <w:rFonts w:ascii="Garamond" w:hAnsi="Garamond"/>
        </w:rPr>
        <w:footnoteReference w:id="23"/>
      </w:r>
    </w:p>
    <w:p w14:paraId="112A2DB7" w14:textId="0BC02D8B" w:rsidR="008A0BCC" w:rsidRPr="0038571D" w:rsidRDefault="0038571D" w:rsidP="008A0BCC">
      <w:pPr>
        <w:spacing w:line="480" w:lineRule="auto"/>
        <w:jc w:val="both"/>
        <w:rPr>
          <w:rFonts w:ascii="Garamond" w:hAnsi="Garamond"/>
        </w:rPr>
      </w:pPr>
      <w:r w:rsidRPr="0038571D">
        <w:rPr>
          <w:rFonts w:ascii="Garamond" w:hAnsi="Garamond"/>
        </w:rPr>
        <w:t xml:space="preserve">In this passage from the </w:t>
      </w:r>
      <w:proofErr w:type="spellStart"/>
      <w:r w:rsidRPr="0038571D">
        <w:rPr>
          <w:rFonts w:ascii="Garamond" w:hAnsi="Garamond"/>
          <w:i/>
          <w:iCs/>
        </w:rPr>
        <w:t>Lebensgeschichte</w:t>
      </w:r>
      <w:proofErr w:type="spellEnd"/>
      <w:r w:rsidRPr="0038571D">
        <w:rPr>
          <w:rFonts w:ascii="Garamond" w:hAnsi="Garamond"/>
        </w:rPr>
        <w:t>, Maimon coins</w:t>
      </w:r>
      <w:r w:rsidR="00E15971">
        <w:rPr>
          <w:rFonts w:ascii="Garamond" w:hAnsi="Garamond"/>
        </w:rPr>
        <w:t xml:space="preserve"> for the first time</w:t>
      </w:r>
      <w:r w:rsidRPr="0038571D">
        <w:rPr>
          <w:rFonts w:ascii="Garamond" w:hAnsi="Garamond"/>
        </w:rPr>
        <w:t xml:space="preserve"> the term ‘</w:t>
      </w:r>
      <w:proofErr w:type="spellStart"/>
      <w:r w:rsidRPr="0038571D">
        <w:rPr>
          <w:rFonts w:ascii="Garamond" w:hAnsi="Garamond"/>
        </w:rPr>
        <w:t>acosmism</w:t>
      </w:r>
      <w:proofErr w:type="spellEnd"/>
      <w:r w:rsidRPr="0038571D">
        <w:rPr>
          <w:rFonts w:ascii="Garamond" w:hAnsi="Garamond"/>
        </w:rPr>
        <w:t>’</w:t>
      </w:r>
      <w:r w:rsidR="004D4B4E">
        <w:rPr>
          <w:rFonts w:ascii="Garamond" w:hAnsi="Garamond"/>
        </w:rPr>
        <w:t xml:space="preserve">, which </w:t>
      </w:r>
      <w:r w:rsidRPr="0038571D">
        <w:rPr>
          <w:rFonts w:ascii="Garamond" w:hAnsi="Garamond"/>
        </w:rPr>
        <w:t xml:space="preserve">would have a </w:t>
      </w:r>
      <w:r w:rsidR="008458AC">
        <w:rPr>
          <w:rFonts w:ascii="Garamond" w:hAnsi="Garamond"/>
        </w:rPr>
        <w:t xml:space="preserve">decisive </w:t>
      </w:r>
      <w:r w:rsidRPr="0038571D">
        <w:rPr>
          <w:rFonts w:ascii="Garamond" w:hAnsi="Garamond"/>
        </w:rPr>
        <w:t>role in the later reception of Spinoza among the German Idealists.</w:t>
      </w:r>
      <w:r w:rsidR="001E4B80">
        <w:rPr>
          <w:rStyle w:val="FootnoteReference"/>
          <w:rFonts w:ascii="Garamond" w:hAnsi="Garamond"/>
        </w:rPr>
        <w:footnoteReference w:id="24"/>
      </w:r>
      <w:r>
        <w:rPr>
          <w:rFonts w:ascii="Garamond" w:hAnsi="Garamond"/>
        </w:rPr>
        <w:t xml:space="preserve"> The passage also constitutes a crucial turning point in the interpretation of Spinoza wh</w:t>
      </w:r>
      <w:r w:rsidR="00FF4A0C">
        <w:rPr>
          <w:rFonts w:ascii="Garamond" w:hAnsi="Garamond"/>
        </w:rPr>
        <w:t>o</w:t>
      </w:r>
      <w:r>
        <w:rPr>
          <w:rFonts w:ascii="Garamond" w:hAnsi="Garamond"/>
        </w:rPr>
        <w:t xml:space="preserve"> for the first time </w:t>
      </w:r>
      <w:r w:rsidR="00FF4A0C">
        <w:rPr>
          <w:rFonts w:ascii="Garamond" w:hAnsi="Garamond"/>
        </w:rPr>
        <w:t>was</w:t>
      </w:r>
      <w:r>
        <w:rPr>
          <w:rFonts w:ascii="Garamond" w:hAnsi="Garamond"/>
        </w:rPr>
        <w:t xml:space="preserve"> considered as a radical </w:t>
      </w:r>
      <w:r w:rsidRPr="0038571D">
        <w:rPr>
          <w:rFonts w:ascii="Garamond" w:hAnsi="Garamond"/>
          <w:i/>
          <w:iCs/>
        </w:rPr>
        <w:t>religious</w:t>
      </w:r>
      <w:r>
        <w:rPr>
          <w:rFonts w:ascii="Garamond" w:hAnsi="Garamond"/>
        </w:rPr>
        <w:t xml:space="preserve"> thinker (a few years later, Novalis w</w:t>
      </w:r>
      <w:r w:rsidR="00D122B9">
        <w:rPr>
          <w:rFonts w:ascii="Garamond" w:hAnsi="Garamond"/>
        </w:rPr>
        <w:t>ould</w:t>
      </w:r>
      <w:r>
        <w:rPr>
          <w:rFonts w:ascii="Garamond" w:hAnsi="Garamond"/>
        </w:rPr>
        <w:t xml:space="preserve"> speak of Spinoza as a “God intoxicated man”</w:t>
      </w:r>
      <w:r w:rsidR="004E2199">
        <w:rPr>
          <w:rStyle w:val="FootnoteReference"/>
          <w:rFonts w:ascii="Garamond" w:hAnsi="Garamond"/>
        </w:rPr>
        <w:footnoteReference w:id="25"/>
      </w:r>
      <w:r>
        <w:rPr>
          <w:rFonts w:ascii="Garamond" w:hAnsi="Garamond"/>
        </w:rPr>
        <w:t>).</w:t>
      </w:r>
      <w:r w:rsidR="008458AC">
        <w:rPr>
          <w:rFonts w:ascii="Garamond" w:hAnsi="Garamond"/>
        </w:rPr>
        <w:t xml:space="preserve"> Between the atheist and Spinozist “systems of theology,” Maimon placed Leibniz. </w:t>
      </w:r>
    </w:p>
    <w:p w14:paraId="0C9FED44" w14:textId="77777777" w:rsidR="00F45023" w:rsidRDefault="00F45023">
      <w:pPr>
        <w:rPr>
          <w:rFonts w:ascii="Garamond" w:hAnsi="Garamond"/>
          <w:u w:val="single"/>
        </w:rPr>
      </w:pPr>
    </w:p>
    <w:p w14:paraId="51F4F354" w14:textId="77777777" w:rsidR="008458AC" w:rsidRDefault="00F45023" w:rsidP="00F45023">
      <w:pPr>
        <w:spacing w:line="480" w:lineRule="auto"/>
        <w:ind w:left="432" w:right="288"/>
        <w:jc w:val="both"/>
        <w:rPr>
          <w:rFonts w:ascii="Garamond" w:hAnsi="Garamond"/>
        </w:rPr>
      </w:pPr>
      <w:r w:rsidRPr="008458AC">
        <w:rPr>
          <w:rFonts w:ascii="Garamond" w:hAnsi="Garamond"/>
          <w:i/>
          <w:iCs/>
        </w:rPr>
        <w:t>Leibniz’s system</w:t>
      </w:r>
      <w:r w:rsidRPr="00F45023">
        <w:rPr>
          <w:rFonts w:ascii="Garamond" w:hAnsi="Garamond"/>
        </w:rPr>
        <w:t xml:space="preserve"> occupies the middle ground between these two. Here all </w:t>
      </w:r>
      <w:r w:rsidRPr="008458AC">
        <w:rPr>
          <w:rFonts w:ascii="Garamond" w:hAnsi="Garamond"/>
          <w:i/>
          <w:iCs/>
        </w:rPr>
        <w:t>specific phenomena</w:t>
      </w:r>
      <w:r w:rsidRPr="00F45023">
        <w:rPr>
          <w:rFonts w:ascii="Garamond" w:hAnsi="Garamond"/>
        </w:rPr>
        <w:t xml:space="preserve"> are drawn into an immediate relation with </w:t>
      </w:r>
      <w:r w:rsidRPr="008458AC">
        <w:rPr>
          <w:rFonts w:ascii="Garamond" w:hAnsi="Garamond"/>
          <w:i/>
          <w:iCs/>
        </w:rPr>
        <w:t>specific causes</w:t>
      </w:r>
      <w:r w:rsidRPr="00F45023">
        <w:rPr>
          <w:rFonts w:ascii="Garamond" w:hAnsi="Garamond"/>
        </w:rPr>
        <w:t>. But the different effects are conceived of as belonging together within a single system, while the cause of the connections among the variety of things is sought in a Being that is outside the system</w:t>
      </w:r>
      <w:r>
        <w:rPr>
          <w:rFonts w:ascii="Garamond" w:hAnsi="Garamond"/>
        </w:rPr>
        <w:t>.</w:t>
      </w:r>
      <w:r w:rsidR="008458AC">
        <w:rPr>
          <w:rStyle w:val="FootnoteReference"/>
          <w:rFonts w:ascii="Garamond" w:hAnsi="Garamond"/>
        </w:rPr>
        <w:footnoteReference w:id="26"/>
      </w:r>
    </w:p>
    <w:p w14:paraId="3719DD9A" w14:textId="77777777" w:rsidR="00E15971" w:rsidRDefault="00E15971" w:rsidP="00E15971">
      <w:pPr>
        <w:spacing w:line="480" w:lineRule="auto"/>
        <w:jc w:val="both"/>
        <w:rPr>
          <w:rFonts w:ascii="Garamond" w:hAnsi="Garamond"/>
        </w:rPr>
      </w:pPr>
      <w:r>
        <w:rPr>
          <w:rFonts w:ascii="Garamond" w:hAnsi="Garamond"/>
        </w:rPr>
        <w:lastRenderedPageBreak/>
        <w:t xml:space="preserve">One could just imagine the Leibnizians’ response to this suggestion that their pious champion was </w:t>
      </w:r>
      <w:r w:rsidRPr="008458AC">
        <w:rPr>
          <w:rFonts w:ascii="Garamond" w:hAnsi="Garamond"/>
          <w:i/>
          <w:iCs/>
        </w:rPr>
        <w:t>more</w:t>
      </w:r>
      <w:r>
        <w:rPr>
          <w:rFonts w:ascii="Garamond" w:hAnsi="Garamond"/>
        </w:rPr>
        <w:t xml:space="preserve"> atheistic than Spinoza.</w:t>
      </w:r>
    </w:p>
    <w:p w14:paraId="566A1713" w14:textId="1BC71EFA" w:rsidR="00212930" w:rsidRDefault="00E15971" w:rsidP="00E15971">
      <w:pPr>
        <w:spacing w:line="480" w:lineRule="auto"/>
        <w:jc w:val="both"/>
        <w:rPr>
          <w:rFonts w:ascii="Garamond" w:hAnsi="Garamond"/>
        </w:rPr>
      </w:pPr>
      <w:r>
        <w:rPr>
          <w:rFonts w:ascii="Garamond" w:hAnsi="Garamond"/>
        </w:rPr>
        <w:tab/>
      </w:r>
      <w:r w:rsidR="00F81C5F">
        <w:rPr>
          <w:rFonts w:ascii="Garamond" w:hAnsi="Garamond"/>
        </w:rPr>
        <w:t xml:space="preserve">In his </w:t>
      </w:r>
      <w:r w:rsidR="00F81C5F" w:rsidRPr="00F81C5F">
        <w:rPr>
          <w:rFonts w:ascii="Garamond" w:hAnsi="Garamond"/>
          <w:i/>
          <w:iCs/>
        </w:rPr>
        <w:t>Lectures on the History of Philosophy</w:t>
      </w:r>
      <w:r w:rsidR="00F81C5F">
        <w:rPr>
          <w:rFonts w:ascii="Garamond" w:hAnsi="Garamond"/>
        </w:rPr>
        <w:t>, Hegel plagiarize</w:t>
      </w:r>
      <w:r w:rsidR="00666F42">
        <w:rPr>
          <w:rFonts w:ascii="Garamond" w:hAnsi="Garamond"/>
        </w:rPr>
        <w:t>d</w:t>
      </w:r>
      <w:r w:rsidR="00F81C5F">
        <w:rPr>
          <w:rFonts w:ascii="Garamond" w:hAnsi="Garamond"/>
        </w:rPr>
        <w:t xml:space="preserve"> this presentation of the three systems</w:t>
      </w:r>
      <w:r w:rsidR="00860798">
        <w:rPr>
          <w:rFonts w:ascii="Garamond" w:hAnsi="Garamond"/>
        </w:rPr>
        <w:t>.</w:t>
      </w:r>
      <w:r w:rsidR="00F81C5F">
        <w:rPr>
          <w:rStyle w:val="FootnoteReference"/>
          <w:rFonts w:ascii="Garamond" w:hAnsi="Garamond"/>
        </w:rPr>
        <w:footnoteReference w:id="27"/>
      </w:r>
      <w:r w:rsidR="00212930">
        <w:rPr>
          <w:rFonts w:ascii="Garamond" w:hAnsi="Garamond"/>
        </w:rPr>
        <w:t xml:space="preserve"> </w:t>
      </w:r>
      <w:r w:rsidR="00860798">
        <w:rPr>
          <w:rFonts w:ascii="Garamond" w:hAnsi="Garamond"/>
        </w:rPr>
        <w:t>T</w:t>
      </w:r>
      <w:r w:rsidR="00212930">
        <w:rPr>
          <w:rFonts w:ascii="Garamond" w:hAnsi="Garamond"/>
        </w:rPr>
        <w:t xml:space="preserve">hrough Hegel’s </w:t>
      </w:r>
      <w:bookmarkStart w:id="0" w:name="_GoBack"/>
      <w:r w:rsidR="00860798">
        <w:rPr>
          <w:rFonts w:ascii="Garamond" w:hAnsi="Garamond"/>
        </w:rPr>
        <w:t>adaptation</w:t>
      </w:r>
      <w:bookmarkEnd w:id="0"/>
      <w:r w:rsidR="00860798">
        <w:rPr>
          <w:rFonts w:ascii="Garamond" w:hAnsi="Garamond"/>
        </w:rPr>
        <w:t>,</w:t>
      </w:r>
      <w:r w:rsidR="00212930">
        <w:rPr>
          <w:rFonts w:ascii="Garamond" w:hAnsi="Garamond"/>
        </w:rPr>
        <w:t xml:space="preserve"> Maimon’s reading of Spinoza as an acosmist became </w:t>
      </w:r>
      <w:r>
        <w:rPr>
          <w:rFonts w:ascii="Garamond" w:hAnsi="Garamond"/>
        </w:rPr>
        <w:t>widely</w:t>
      </w:r>
      <w:r w:rsidR="00212930">
        <w:rPr>
          <w:rFonts w:ascii="Garamond" w:hAnsi="Garamond"/>
        </w:rPr>
        <w:t xml:space="preserve"> influential.</w:t>
      </w:r>
    </w:p>
    <w:p w14:paraId="6E33403F" w14:textId="77777777" w:rsidR="00212930" w:rsidRDefault="00212930" w:rsidP="00212930">
      <w:pPr>
        <w:spacing w:line="480" w:lineRule="auto"/>
        <w:jc w:val="both"/>
        <w:rPr>
          <w:rFonts w:ascii="Garamond" w:hAnsi="Garamond"/>
        </w:rPr>
      </w:pPr>
      <w:r>
        <w:rPr>
          <w:rFonts w:ascii="Garamond" w:hAnsi="Garamond"/>
        </w:rPr>
        <w:tab/>
        <w:t xml:space="preserve">Immediately after suggesting his typology of the three systems of theology, Maimon turns to distinguish between </w:t>
      </w:r>
      <w:r w:rsidRPr="00212930">
        <w:rPr>
          <w:rFonts w:ascii="Garamond" w:hAnsi="Garamond"/>
          <w:i/>
          <w:iCs/>
        </w:rPr>
        <w:t>positive</w:t>
      </w:r>
      <w:r>
        <w:rPr>
          <w:rFonts w:ascii="Garamond" w:hAnsi="Garamond"/>
        </w:rPr>
        <w:t xml:space="preserve"> and </w:t>
      </w:r>
      <w:r w:rsidRPr="00212930">
        <w:rPr>
          <w:rFonts w:ascii="Garamond" w:hAnsi="Garamond"/>
          <w:i/>
          <w:iCs/>
        </w:rPr>
        <w:t>natural</w:t>
      </w:r>
      <w:r>
        <w:rPr>
          <w:rFonts w:ascii="Garamond" w:hAnsi="Garamond"/>
        </w:rPr>
        <w:t xml:space="preserve"> religions:</w:t>
      </w:r>
    </w:p>
    <w:p w14:paraId="24AA2C8E" w14:textId="77777777" w:rsidR="002336CA" w:rsidRDefault="00212930" w:rsidP="00212930">
      <w:pPr>
        <w:spacing w:line="480" w:lineRule="auto"/>
        <w:ind w:left="432" w:right="288"/>
        <w:jc w:val="both"/>
        <w:rPr>
          <w:rFonts w:ascii="Garamond" w:hAnsi="Garamond"/>
        </w:rPr>
      </w:pPr>
      <w:r w:rsidRPr="00BF6A94">
        <w:rPr>
          <w:rFonts w:ascii="Garamond" w:hAnsi="Garamond"/>
          <w:i/>
          <w:iCs/>
        </w:rPr>
        <w:t>Positive</w:t>
      </w:r>
      <w:r w:rsidRPr="00212930">
        <w:rPr>
          <w:rFonts w:ascii="Garamond" w:hAnsi="Garamond"/>
        </w:rPr>
        <w:t xml:space="preserve"> religion is distinguished from </w:t>
      </w:r>
      <w:r w:rsidRPr="00BF6A94">
        <w:rPr>
          <w:rFonts w:ascii="Garamond" w:hAnsi="Garamond"/>
          <w:i/>
          <w:iCs/>
        </w:rPr>
        <w:t>natural</w:t>
      </w:r>
      <w:r w:rsidRPr="00212930">
        <w:rPr>
          <w:rFonts w:ascii="Garamond" w:hAnsi="Garamond"/>
        </w:rPr>
        <w:t xml:space="preserve"> religion in just the same way positive civic laws are distinguished from natural ones. The latter are those resting on a murky foundation, the result of an internal process, not defined in view of their actual use</w:t>
      </w:r>
      <w:r w:rsidR="00BF6A94">
        <w:rPr>
          <w:rFonts w:ascii="Garamond" w:hAnsi="Garamond"/>
        </w:rPr>
        <w:t xml:space="preserve"> [</w:t>
      </w:r>
      <w:proofErr w:type="spellStart"/>
      <w:r w:rsidR="00BF6A94" w:rsidRPr="00BF6A94">
        <w:rPr>
          <w:rFonts w:ascii="Garamond" w:hAnsi="Garamond"/>
          <w:i/>
          <w:iCs/>
        </w:rPr>
        <w:t>Gebrauch</w:t>
      </w:r>
      <w:proofErr w:type="spellEnd"/>
      <w:r w:rsidR="00BF6A94">
        <w:rPr>
          <w:rFonts w:ascii="Garamond" w:hAnsi="Garamond"/>
        </w:rPr>
        <w:t>]</w:t>
      </w:r>
      <w:r w:rsidRPr="00212930">
        <w:rPr>
          <w:rFonts w:ascii="Garamond" w:hAnsi="Garamond"/>
        </w:rPr>
        <w:t>. The former, by contrast, are given a precise foundation, and they are defined from the start in view of their use.</w:t>
      </w:r>
      <w:r>
        <w:rPr>
          <w:rStyle w:val="FootnoteReference"/>
          <w:rFonts w:ascii="Garamond" w:hAnsi="Garamond"/>
        </w:rPr>
        <w:footnoteReference w:id="28"/>
      </w:r>
    </w:p>
    <w:p w14:paraId="4400D89F" w14:textId="01BBD6D2" w:rsidR="002336CA" w:rsidRDefault="002336CA" w:rsidP="002336CA">
      <w:pPr>
        <w:spacing w:line="480" w:lineRule="auto"/>
        <w:jc w:val="both"/>
        <w:rPr>
          <w:rFonts w:ascii="Garamond" w:hAnsi="Garamond"/>
        </w:rPr>
      </w:pPr>
      <w:r>
        <w:rPr>
          <w:rFonts w:ascii="Garamond" w:hAnsi="Garamond"/>
        </w:rPr>
        <w:t xml:space="preserve">Unlike natural religion, positive religion has clear </w:t>
      </w:r>
      <w:r w:rsidRPr="002336CA">
        <w:rPr>
          <w:rFonts w:ascii="Garamond" w:hAnsi="Garamond"/>
          <w:i/>
          <w:iCs/>
        </w:rPr>
        <w:t>aims</w:t>
      </w:r>
      <w:r>
        <w:rPr>
          <w:rFonts w:ascii="Garamond" w:hAnsi="Garamond"/>
        </w:rPr>
        <w:t xml:space="preserve"> and is not a result of random historical processes. At this point, Maimon </w:t>
      </w:r>
      <w:r w:rsidR="003364A2">
        <w:rPr>
          <w:rFonts w:ascii="Garamond" w:hAnsi="Garamond"/>
        </w:rPr>
        <w:t xml:space="preserve">suggests a further division </w:t>
      </w:r>
      <w:r w:rsidR="003364A2" w:rsidRPr="003364A2">
        <w:rPr>
          <w:rFonts w:ascii="Garamond" w:hAnsi="Garamond"/>
          <w:i/>
          <w:iCs/>
        </w:rPr>
        <w:t>within</w:t>
      </w:r>
      <w:r w:rsidR="003364A2">
        <w:rPr>
          <w:rFonts w:ascii="Garamond" w:hAnsi="Garamond"/>
        </w:rPr>
        <w:t xml:space="preserve"> the category of positive religion:</w:t>
      </w:r>
    </w:p>
    <w:p w14:paraId="20FE6B7A" w14:textId="77777777" w:rsidR="003364A2" w:rsidRDefault="002336CA" w:rsidP="002336CA">
      <w:pPr>
        <w:spacing w:line="480" w:lineRule="auto"/>
        <w:ind w:left="432" w:right="288"/>
        <w:jc w:val="both"/>
        <w:rPr>
          <w:rFonts w:ascii="Garamond" w:hAnsi="Garamond"/>
        </w:rPr>
      </w:pPr>
      <w:r w:rsidRPr="002336CA">
        <w:rPr>
          <w:rFonts w:ascii="Garamond" w:hAnsi="Garamond"/>
        </w:rPr>
        <w:t xml:space="preserve">However, there is an important difference between a </w:t>
      </w:r>
      <w:r w:rsidRPr="002336CA">
        <w:rPr>
          <w:rFonts w:ascii="Garamond" w:hAnsi="Garamond"/>
          <w:i/>
          <w:iCs/>
        </w:rPr>
        <w:t>positive</w:t>
      </w:r>
      <w:r w:rsidRPr="002336CA">
        <w:rPr>
          <w:rFonts w:ascii="Garamond" w:hAnsi="Garamond"/>
        </w:rPr>
        <w:t xml:space="preserve"> religion and a </w:t>
      </w:r>
      <w:r w:rsidRPr="002336CA">
        <w:rPr>
          <w:rFonts w:ascii="Garamond" w:hAnsi="Garamond"/>
          <w:i/>
          <w:iCs/>
        </w:rPr>
        <w:t>political</w:t>
      </w:r>
      <w:r w:rsidRPr="002336CA">
        <w:rPr>
          <w:rFonts w:ascii="Garamond" w:hAnsi="Garamond"/>
        </w:rPr>
        <w:t xml:space="preserve"> religion. The former has </w:t>
      </w:r>
      <w:r w:rsidRPr="002336CA">
        <w:rPr>
          <w:rFonts w:ascii="Garamond" w:hAnsi="Garamond"/>
          <w:i/>
          <w:iCs/>
        </w:rPr>
        <w:t>correcting and defining knowledge precisely as its sole goal</w:t>
      </w:r>
      <w:r w:rsidRPr="002336CA">
        <w:rPr>
          <w:rFonts w:ascii="Garamond" w:hAnsi="Garamond"/>
        </w:rPr>
        <w:t xml:space="preserve">: that is, it </w:t>
      </w:r>
      <w:r w:rsidRPr="005924DD">
        <w:rPr>
          <w:rFonts w:ascii="Garamond" w:hAnsi="Garamond"/>
          <w:u w:val="single"/>
        </w:rPr>
        <w:t>gives instruction with regard to the first cause</w:t>
      </w:r>
      <w:r w:rsidRPr="002336CA">
        <w:rPr>
          <w:rFonts w:ascii="Garamond" w:hAnsi="Garamond"/>
        </w:rPr>
        <w:t xml:space="preserve">. This knowledge is communicated to </w:t>
      </w:r>
      <w:r w:rsidRPr="002336CA">
        <w:rPr>
          <w:rFonts w:ascii="Garamond" w:hAnsi="Garamond"/>
        </w:rPr>
        <w:lastRenderedPageBreak/>
        <w:t>others according to their capabilities; in just the way one has received knowledge oneself</w:t>
      </w:r>
      <w:r w:rsidRPr="003364A2">
        <w:rPr>
          <w:rFonts w:ascii="Garamond" w:hAnsi="Garamond"/>
        </w:rPr>
        <w:t xml:space="preserve">. </w:t>
      </w:r>
      <w:r w:rsidRPr="002336CA">
        <w:rPr>
          <w:rFonts w:ascii="Garamond" w:hAnsi="Garamond"/>
        </w:rPr>
        <w:t xml:space="preserve">The latter, however, has as its main aim </w:t>
      </w:r>
      <w:r w:rsidRPr="002336CA">
        <w:rPr>
          <w:rFonts w:ascii="Garamond" w:hAnsi="Garamond"/>
          <w:i/>
          <w:iCs/>
        </w:rPr>
        <w:t>civic happiness</w:t>
      </w:r>
      <w:r w:rsidR="003364A2">
        <w:rPr>
          <w:rFonts w:ascii="Garamond" w:hAnsi="Garamond"/>
        </w:rPr>
        <w:t>… Every political religion is also positive, though not every positive religion is also political.</w:t>
      </w:r>
      <w:r>
        <w:rPr>
          <w:rStyle w:val="FootnoteReference"/>
          <w:rFonts w:ascii="Garamond" w:hAnsi="Garamond"/>
        </w:rPr>
        <w:footnoteReference w:id="29"/>
      </w:r>
    </w:p>
    <w:p w14:paraId="0FA64A42" w14:textId="0AF30521" w:rsidR="005924DD" w:rsidRDefault="003364A2" w:rsidP="003364A2">
      <w:pPr>
        <w:spacing w:line="480" w:lineRule="auto"/>
        <w:jc w:val="both"/>
        <w:rPr>
          <w:rFonts w:ascii="Garamond" w:hAnsi="Garamond"/>
        </w:rPr>
      </w:pPr>
      <w:r>
        <w:rPr>
          <w:rFonts w:ascii="Garamond" w:hAnsi="Garamond"/>
        </w:rPr>
        <w:t xml:space="preserve">Positive religion which </w:t>
      </w:r>
      <w:r w:rsidR="005924DD">
        <w:rPr>
          <w:rFonts w:ascii="Garamond" w:hAnsi="Garamond"/>
        </w:rPr>
        <w:t xml:space="preserve">is </w:t>
      </w:r>
      <w:r>
        <w:rPr>
          <w:rFonts w:ascii="Garamond" w:hAnsi="Garamond"/>
        </w:rPr>
        <w:t>not political aims at correcting and impart</w:t>
      </w:r>
      <w:r w:rsidR="005924DD">
        <w:rPr>
          <w:rFonts w:ascii="Garamond" w:hAnsi="Garamond"/>
        </w:rPr>
        <w:t>ing</w:t>
      </w:r>
      <w:r>
        <w:rPr>
          <w:rFonts w:ascii="Garamond" w:hAnsi="Garamond"/>
        </w:rPr>
        <w:t xml:space="preserve"> knowledge</w:t>
      </w:r>
      <w:r w:rsidR="003533A1">
        <w:rPr>
          <w:rFonts w:ascii="Garamond" w:hAnsi="Garamond"/>
        </w:rPr>
        <w:t xml:space="preserve"> about the first cause</w:t>
      </w:r>
      <w:r w:rsidR="005924DD">
        <w:rPr>
          <w:rFonts w:ascii="Garamond" w:hAnsi="Garamond"/>
        </w:rPr>
        <w:t xml:space="preserve"> while positive, political</w:t>
      </w:r>
      <w:r w:rsidR="00B43110">
        <w:rPr>
          <w:rFonts w:ascii="Garamond" w:hAnsi="Garamond"/>
        </w:rPr>
        <w:t>,</w:t>
      </w:r>
      <w:r w:rsidR="005924DD">
        <w:rPr>
          <w:rFonts w:ascii="Garamond" w:hAnsi="Garamond"/>
        </w:rPr>
        <w:t xml:space="preserve"> religion aims at the well-being of society. Having thus completed his taxonomy of religions, Maimon is ready to address the role of secrets, or mysteries, in religions.</w:t>
      </w:r>
    </w:p>
    <w:p w14:paraId="1098ECB2" w14:textId="77777777" w:rsidR="005924DD" w:rsidRDefault="005924DD" w:rsidP="003364A2">
      <w:pPr>
        <w:spacing w:line="480" w:lineRule="auto"/>
        <w:jc w:val="both"/>
        <w:rPr>
          <w:rFonts w:ascii="Garamond" w:hAnsi="Garamond"/>
        </w:rPr>
      </w:pPr>
    </w:p>
    <w:p w14:paraId="4485422F" w14:textId="77777777" w:rsidR="003533A1" w:rsidRPr="003533A1" w:rsidRDefault="005924DD" w:rsidP="003364A2">
      <w:pPr>
        <w:spacing w:line="480" w:lineRule="auto"/>
        <w:jc w:val="both"/>
        <w:rPr>
          <w:rFonts w:ascii="Garamond" w:hAnsi="Garamond"/>
          <w:u w:val="single"/>
        </w:rPr>
      </w:pPr>
      <w:r>
        <w:rPr>
          <w:rFonts w:ascii="Garamond" w:hAnsi="Garamond"/>
        </w:rPr>
        <w:tab/>
      </w:r>
      <w:r w:rsidRPr="003533A1">
        <w:rPr>
          <w:rFonts w:ascii="Garamond" w:hAnsi="Garamond"/>
          <w:u w:val="single"/>
        </w:rPr>
        <w:t>Part III: The Smaller and Larger Mysteries of Religion</w:t>
      </w:r>
    </w:p>
    <w:p w14:paraId="5423E95F" w14:textId="77D6A179" w:rsidR="00186938" w:rsidRDefault="00186938" w:rsidP="00186938">
      <w:pPr>
        <w:spacing w:line="480" w:lineRule="auto"/>
        <w:ind w:left="432" w:right="288"/>
        <w:jc w:val="both"/>
        <w:rPr>
          <w:rFonts w:ascii="Garamond" w:hAnsi="Garamond"/>
        </w:rPr>
      </w:pPr>
      <w:r w:rsidRPr="00186938">
        <w:rPr>
          <w:rFonts w:ascii="Garamond" w:hAnsi="Garamond"/>
        </w:rPr>
        <w:t xml:space="preserve">Only </w:t>
      </w:r>
      <w:r w:rsidRPr="00186938">
        <w:rPr>
          <w:rFonts w:ascii="Garamond" w:hAnsi="Garamond"/>
          <w:i/>
          <w:iCs/>
        </w:rPr>
        <w:t>political religions</w:t>
      </w:r>
      <w:r w:rsidRPr="00186938">
        <w:rPr>
          <w:rFonts w:ascii="Garamond" w:hAnsi="Garamond"/>
        </w:rPr>
        <w:t xml:space="preserve"> can have mysteries, which serve as indirect ways of guiding people to a </w:t>
      </w:r>
      <w:r w:rsidRPr="00186938">
        <w:rPr>
          <w:rFonts w:ascii="Garamond" w:hAnsi="Garamond"/>
          <w:i/>
          <w:iCs/>
        </w:rPr>
        <w:t>political</w:t>
      </w:r>
      <w:r w:rsidRPr="00186938">
        <w:rPr>
          <w:rFonts w:ascii="Garamond" w:hAnsi="Garamond"/>
        </w:rPr>
        <w:t xml:space="preserve"> goal. The people are made to believe that this is the best path for reaching their </w:t>
      </w:r>
      <w:r w:rsidRPr="00186938">
        <w:rPr>
          <w:rFonts w:ascii="Garamond" w:hAnsi="Garamond"/>
          <w:i/>
          <w:iCs/>
        </w:rPr>
        <w:t>private goals</w:t>
      </w:r>
      <w:r w:rsidRPr="00186938">
        <w:rPr>
          <w:rFonts w:ascii="Garamond" w:hAnsi="Garamond"/>
        </w:rPr>
        <w:t xml:space="preserve">, when in fact the case may be otherwise. There are </w:t>
      </w:r>
      <w:r w:rsidRPr="00186938">
        <w:rPr>
          <w:rFonts w:ascii="Garamond" w:hAnsi="Garamond"/>
          <w:i/>
          <w:iCs/>
        </w:rPr>
        <w:t>small</w:t>
      </w:r>
      <w:r w:rsidRPr="00186938">
        <w:rPr>
          <w:rFonts w:ascii="Garamond" w:hAnsi="Garamond"/>
        </w:rPr>
        <w:t xml:space="preserve"> and </w:t>
      </w:r>
      <w:r w:rsidRPr="00186938">
        <w:rPr>
          <w:rFonts w:ascii="Garamond" w:hAnsi="Garamond"/>
          <w:i/>
          <w:iCs/>
        </w:rPr>
        <w:t>large mysteries</w:t>
      </w:r>
      <w:r w:rsidRPr="00186938">
        <w:rPr>
          <w:rFonts w:ascii="Garamond" w:hAnsi="Garamond"/>
        </w:rPr>
        <w:t xml:space="preserve"> </w:t>
      </w:r>
      <w:r w:rsidR="00FA2504">
        <w:rPr>
          <w:rFonts w:ascii="Garamond" w:hAnsi="Garamond"/>
        </w:rPr>
        <w:t>[</w:t>
      </w:r>
      <w:proofErr w:type="spellStart"/>
      <w:r w:rsidR="00FA2504" w:rsidRPr="00FA2504">
        <w:rPr>
          <w:rFonts w:ascii="Garamond" w:hAnsi="Garamond"/>
          <w:i/>
          <w:iCs/>
        </w:rPr>
        <w:t>kleine</w:t>
      </w:r>
      <w:proofErr w:type="spellEnd"/>
      <w:r w:rsidR="00FA2504" w:rsidRPr="00FA2504">
        <w:rPr>
          <w:rFonts w:ascii="Garamond" w:hAnsi="Garamond"/>
          <w:i/>
          <w:iCs/>
        </w:rPr>
        <w:t xml:space="preserve"> und </w:t>
      </w:r>
      <w:proofErr w:type="spellStart"/>
      <w:r w:rsidR="00FA2504" w:rsidRPr="00FA2504">
        <w:rPr>
          <w:rFonts w:ascii="Garamond" w:hAnsi="Garamond"/>
          <w:i/>
          <w:iCs/>
        </w:rPr>
        <w:t>große</w:t>
      </w:r>
      <w:proofErr w:type="spellEnd"/>
      <w:r w:rsidR="00FA2504" w:rsidRPr="00FA2504">
        <w:rPr>
          <w:rFonts w:ascii="Garamond" w:hAnsi="Garamond"/>
          <w:i/>
          <w:iCs/>
        </w:rPr>
        <w:t xml:space="preserve"> </w:t>
      </w:r>
      <w:proofErr w:type="spellStart"/>
      <w:r w:rsidR="00FA2504" w:rsidRPr="00FA2504">
        <w:rPr>
          <w:rFonts w:ascii="Garamond" w:hAnsi="Garamond"/>
          <w:i/>
          <w:iCs/>
        </w:rPr>
        <w:t>Mysterien</w:t>
      </w:r>
      <w:proofErr w:type="spellEnd"/>
      <w:r w:rsidR="00FA2504">
        <w:rPr>
          <w:rFonts w:ascii="Garamond" w:hAnsi="Garamond"/>
        </w:rPr>
        <w:t xml:space="preserve">] </w:t>
      </w:r>
      <w:r w:rsidRPr="00186938">
        <w:rPr>
          <w:rFonts w:ascii="Garamond" w:hAnsi="Garamond"/>
        </w:rPr>
        <w:t xml:space="preserve">in political religion: The former consists of </w:t>
      </w:r>
      <w:r w:rsidRPr="00186938">
        <w:rPr>
          <w:rFonts w:ascii="Garamond" w:hAnsi="Garamond"/>
          <w:i/>
          <w:iCs/>
        </w:rPr>
        <w:t>material</w:t>
      </w:r>
      <w:r w:rsidRPr="00186938">
        <w:rPr>
          <w:rFonts w:ascii="Garamond" w:hAnsi="Garamond"/>
        </w:rPr>
        <w:t xml:space="preserve"> knowledge of all particular operations and their relation to each other; the latter consist of knowledge of the purely </w:t>
      </w:r>
      <w:r w:rsidRPr="00186938">
        <w:rPr>
          <w:rFonts w:ascii="Garamond" w:hAnsi="Garamond"/>
          <w:i/>
          <w:iCs/>
        </w:rPr>
        <w:t>formal</w:t>
      </w:r>
      <w:r w:rsidRPr="00186938">
        <w:rPr>
          <w:rFonts w:ascii="Garamond" w:hAnsi="Garamond"/>
        </w:rPr>
        <w:t xml:space="preserve"> or of the end that defines the small secrets. The former represents the embodiment of religious laws; the latter contains the spirit of the laws.</w:t>
      </w:r>
      <w:r>
        <w:rPr>
          <w:rStyle w:val="FootnoteReference"/>
          <w:rFonts w:ascii="Garamond" w:hAnsi="Garamond"/>
        </w:rPr>
        <w:footnoteReference w:id="30"/>
      </w:r>
      <w:r w:rsidRPr="00186938">
        <w:rPr>
          <w:rFonts w:ascii="Garamond" w:hAnsi="Garamond"/>
        </w:rPr>
        <w:t xml:space="preserve"> </w:t>
      </w:r>
    </w:p>
    <w:p w14:paraId="7210D3DC" w14:textId="3DB1A320" w:rsidR="000D232E" w:rsidRDefault="00B43110" w:rsidP="00FA2504">
      <w:pPr>
        <w:spacing w:line="480" w:lineRule="auto"/>
        <w:jc w:val="both"/>
        <w:rPr>
          <w:rFonts w:ascii="Garamond" w:hAnsi="Garamond"/>
        </w:rPr>
      </w:pPr>
      <w:r>
        <w:rPr>
          <w:rFonts w:ascii="Garamond" w:hAnsi="Garamond"/>
        </w:rPr>
        <w:t xml:space="preserve">At first sight, the opening sentence of the excerpt above seems to rule out the possibility </w:t>
      </w:r>
      <w:r w:rsidR="00803E25">
        <w:rPr>
          <w:rFonts w:ascii="Garamond" w:hAnsi="Garamond"/>
        </w:rPr>
        <w:t xml:space="preserve">of religious mysteries other than in political religion. As we shall shortly see, however, </w:t>
      </w:r>
      <w:r w:rsidR="00803E25" w:rsidRPr="00FA2504">
        <w:rPr>
          <w:rFonts w:ascii="Garamond" w:hAnsi="Garamond"/>
          <w:i/>
          <w:iCs/>
        </w:rPr>
        <w:t>civic happiness</w:t>
      </w:r>
      <w:r w:rsidR="00803E25">
        <w:rPr>
          <w:rFonts w:ascii="Garamond" w:hAnsi="Garamond"/>
        </w:rPr>
        <w:t xml:space="preserve"> – which is the end of political religion, and as such constitutes “the large mysteries” – might</w:t>
      </w:r>
      <w:r w:rsidR="00FA2504">
        <w:rPr>
          <w:rFonts w:ascii="Garamond" w:hAnsi="Garamond"/>
        </w:rPr>
        <w:t xml:space="preserve"> be identified with the acquisition of knowledge. When this happens, the distinction </w:t>
      </w:r>
      <w:r w:rsidR="000D232E">
        <w:rPr>
          <w:rFonts w:ascii="Garamond" w:hAnsi="Garamond"/>
        </w:rPr>
        <w:lastRenderedPageBreak/>
        <w:t xml:space="preserve">between </w:t>
      </w:r>
      <w:r w:rsidR="00FA2504">
        <w:rPr>
          <w:rFonts w:ascii="Garamond" w:hAnsi="Garamond"/>
        </w:rPr>
        <w:t>positive non-political, and positive-political, religion is blurred.</w:t>
      </w:r>
      <w:r w:rsidR="000D232E">
        <w:rPr>
          <w:rFonts w:ascii="Garamond" w:hAnsi="Garamond"/>
        </w:rPr>
        <w:t xml:space="preserve"> As an example of such a religion, Maimon points to Judaism:</w:t>
      </w:r>
    </w:p>
    <w:p w14:paraId="35E825DC" w14:textId="33C0B6B6" w:rsidR="00803E25" w:rsidRDefault="000D232E" w:rsidP="000D232E">
      <w:pPr>
        <w:spacing w:line="480" w:lineRule="auto"/>
        <w:ind w:left="432" w:right="288"/>
        <w:jc w:val="both"/>
        <w:rPr>
          <w:rFonts w:ascii="Garamond" w:hAnsi="Garamond"/>
        </w:rPr>
      </w:pPr>
      <w:r w:rsidRPr="000D232E">
        <w:rPr>
          <w:rFonts w:ascii="Garamond" w:hAnsi="Garamond"/>
        </w:rPr>
        <w:t xml:space="preserve">As a positive religion, Judaism differs from paganism in that </w:t>
      </w:r>
      <w:r>
        <w:rPr>
          <w:rFonts w:ascii="Garamond" w:hAnsi="Garamond"/>
        </w:rPr>
        <w:t xml:space="preserve">it </w:t>
      </w:r>
      <w:r w:rsidRPr="000D232E">
        <w:rPr>
          <w:rFonts w:ascii="Garamond" w:hAnsi="Garamond"/>
        </w:rPr>
        <w:t xml:space="preserve">is not a purely political religion, that is, one that pursues society’s interests (as opposed to true knowledge or private interests). Instead, Judaism is, in accordance with the spirit of its author, suited to a </w:t>
      </w:r>
      <w:r w:rsidRPr="000D232E">
        <w:rPr>
          <w:rFonts w:ascii="Garamond" w:hAnsi="Garamond"/>
          <w:i/>
          <w:iCs/>
        </w:rPr>
        <w:t>theocratic</w:t>
      </w:r>
      <w:r w:rsidRPr="000D232E">
        <w:rPr>
          <w:rFonts w:ascii="Garamond" w:hAnsi="Garamond"/>
        </w:rPr>
        <w:t xml:space="preserve"> form of government, which </w:t>
      </w:r>
      <w:r w:rsidRPr="008A2F6E">
        <w:rPr>
          <w:rFonts w:ascii="Garamond" w:hAnsi="Garamond"/>
        </w:rPr>
        <w:t xml:space="preserve">has as its fundamental principle that </w:t>
      </w:r>
      <w:r w:rsidRPr="000D232E">
        <w:rPr>
          <w:rFonts w:ascii="Garamond" w:hAnsi="Garamond"/>
          <w:u w:val="single"/>
        </w:rPr>
        <w:t xml:space="preserve">only a religion grounded in knowledge gained through reason </w:t>
      </w:r>
      <w:r w:rsidR="008A2F6E">
        <w:rPr>
          <w:rFonts w:ascii="Garamond" w:hAnsi="Garamond"/>
          <w:u w:val="single"/>
        </w:rPr>
        <w:t>[</w:t>
      </w:r>
      <w:proofErr w:type="spellStart"/>
      <w:r w:rsidR="008A2F6E" w:rsidRPr="008A2F6E">
        <w:rPr>
          <w:rFonts w:ascii="Garamond" w:hAnsi="Garamond"/>
          <w:i/>
          <w:iCs/>
          <w:u w:val="single"/>
        </w:rPr>
        <w:t>nur</w:t>
      </w:r>
      <w:proofErr w:type="spellEnd"/>
      <w:r w:rsidR="008A2F6E" w:rsidRPr="008A2F6E">
        <w:rPr>
          <w:rFonts w:ascii="Garamond" w:hAnsi="Garamond"/>
          <w:i/>
          <w:iCs/>
          <w:u w:val="single"/>
        </w:rPr>
        <w:t xml:space="preserve"> die </w:t>
      </w:r>
      <w:proofErr w:type="spellStart"/>
      <w:r w:rsidR="008A2F6E" w:rsidRPr="008A2F6E">
        <w:rPr>
          <w:rFonts w:ascii="Garamond" w:hAnsi="Garamond"/>
          <w:i/>
          <w:iCs/>
          <w:u w:val="single"/>
        </w:rPr>
        <w:t>wahre</w:t>
      </w:r>
      <w:proofErr w:type="spellEnd"/>
      <w:r w:rsidR="008A2F6E" w:rsidRPr="008A2F6E">
        <w:rPr>
          <w:rFonts w:ascii="Garamond" w:hAnsi="Garamond"/>
          <w:i/>
          <w:iCs/>
          <w:u w:val="single"/>
        </w:rPr>
        <w:t xml:space="preserve"> auf </w:t>
      </w:r>
      <w:proofErr w:type="spellStart"/>
      <w:r w:rsidR="008A2F6E" w:rsidRPr="008A2F6E">
        <w:rPr>
          <w:rFonts w:ascii="Garamond" w:hAnsi="Garamond"/>
          <w:i/>
          <w:iCs/>
          <w:u w:val="single"/>
        </w:rPr>
        <w:t>Vernufterkenntniß</w:t>
      </w:r>
      <w:proofErr w:type="spellEnd"/>
      <w:r w:rsidR="008A2F6E" w:rsidRPr="008A2F6E">
        <w:rPr>
          <w:rFonts w:ascii="Garamond" w:hAnsi="Garamond"/>
          <w:i/>
          <w:iCs/>
          <w:u w:val="single"/>
        </w:rPr>
        <w:t xml:space="preserve"> </w:t>
      </w:r>
      <w:proofErr w:type="spellStart"/>
      <w:r w:rsidR="008A2F6E" w:rsidRPr="008A2F6E">
        <w:rPr>
          <w:rFonts w:ascii="Garamond" w:hAnsi="Garamond"/>
          <w:i/>
          <w:iCs/>
          <w:u w:val="single"/>
        </w:rPr>
        <w:t>beruhende</w:t>
      </w:r>
      <w:proofErr w:type="spellEnd"/>
      <w:r w:rsidR="008A2F6E">
        <w:rPr>
          <w:rFonts w:ascii="Garamond" w:hAnsi="Garamond"/>
          <w:u w:val="single"/>
        </w:rPr>
        <w:t xml:space="preserve">] </w:t>
      </w:r>
      <w:r w:rsidRPr="000D232E">
        <w:rPr>
          <w:rFonts w:ascii="Garamond" w:hAnsi="Garamond"/>
          <w:u w:val="single"/>
        </w:rPr>
        <w:t>can be compatible with both civic and private interests</w:t>
      </w:r>
      <w:r w:rsidRPr="000D232E">
        <w:rPr>
          <w:rFonts w:ascii="Garamond" w:hAnsi="Garamond"/>
        </w:rPr>
        <w:t xml:space="preserve">. In its </w:t>
      </w:r>
      <w:r w:rsidRPr="000D232E">
        <w:rPr>
          <w:rFonts w:ascii="Garamond" w:hAnsi="Garamond"/>
          <w:i/>
          <w:iCs/>
        </w:rPr>
        <w:t>purest form</w:t>
      </w:r>
      <w:r w:rsidRPr="000D232E">
        <w:rPr>
          <w:rFonts w:ascii="Garamond" w:hAnsi="Garamond"/>
        </w:rPr>
        <w:t xml:space="preserve">, Judaism has no mysteries in the truest sense of the word: not mysteries that, for particular reasons, one does not want to reveal, </w:t>
      </w:r>
      <w:r w:rsidRPr="000D232E">
        <w:rPr>
          <w:rFonts w:ascii="Garamond" w:hAnsi="Garamond"/>
          <w:i/>
          <w:iCs/>
        </w:rPr>
        <w:t>but rather that inherently cannot be revealed to all</w:t>
      </w:r>
      <w:r w:rsidRPr="000D232E">
        <w:rPr>
          <w:rFonts w:ascii="Garamond" w:hAnsi="Garamond"/>
        </w:rPr>
        <w:t>.</w:t>
      </w:r>
      <w:r>
        <w:rPr>
          <w:rStyle w:val="FootnoteReference"/>
          <w:rFonts w:ascii="Garamond" w:hAnsi="Garamond"/>
        </w:rPr>
        <w:footnoteReference w:id="31"/>
      </w:r>
      <w:r>
        <w:rPr>
          <w:rFonts w:ascii="Garamond" w:hAnsi="Garamond"/>
        </w:rPr>
        <w:t xml:space="preserve"> </w:t>
      </w:r>
    </w:p>
    <w:p w14:paraId="133D8F92" w14:textId="352BC0CB" w:rsidR="00D37968" w:rsidRDefault="008A2F6E" w:rsidP="00186938">
      <w:pPr>
        <w:spacing w:line="480" w:lineRule="auto"/>
        <w:jc w:val="both"/>
        <w:rPr>
          <w:rFonts w:ascii="Garamond" w:hAnsi="Garamond"/>
          <w:lang w:bidi="he-IL"/>
        </w:rPr>
      </w:pPr>
      <w:r>
        <w:rPr>
          <w:rFonts w:ascii="Garamond" w:hAnsi="Garamond"/>
        </w:rPr>
        <w:t xml:space="preserve">Political religion, claims Maimon, attempts to </w:t>
      </w:r>
      <w:r>
        <w:rPr>
          <w:rFonts w:ascii="Garamond" w:hAnsi="Garamond"/>
          <w:lang w:bidi="he-IL"/>
        </w:rPr>
        <w:t>harness</w:t>
      </w:r>
      <w:r w:rsidR="00D37968">
        <w:rPr>
          <w:rFonts w:ascii="Garamond" w:hAnsi="Garamond"/>
          <w:lang w:bidi="he-IL"/>
        </w:rPr>
        <w:t xml:space="preserve"> private interest to the service of public interest. In the case of Judaism, the</w:t>
      </w:r>
      <w:r w:rsidR="00985A70">
        <w:rPr>
          <w:rFonts w:ascii="Garamond" w:hAnsi="Garamond"/>
          <w:lang w:bidi="he-IL"/>
        </w:rPr>
        <w:t>re</w:t>
      </w:r>
      <w:r w:rsidR="003F5CB1">
        <w:rPr>
          <w:rFonts w:ascii="Garamond" w:hAnsi="Garamond"/>
          <w:lang w:bidi="he-IL"/>
        </w:rPr>
        <w:t xml:space="preserve"> </w:t>
      </w:r>
      <w:r w:rsidR="00D37968">
        <w:rPr>
          <w:rFonts w:ascii="Garamond" w:hAnsi="Garamond"/>
          <w:lang w:bidi="he-IL"/>
        </w:rPr>
        <w:t xml:space="preserve">is </w:t>
      </w:r>
      <w:r w:rsidR="00985A70">
        <w:rPr>
          <w:rFonts w:ascii="Garamond" w:hAnsi="Garamond"/>
          <w:lang w:bidi="he-IL"/>
        </w:rPr>
        <w:t xml:space="preserve">an </w:t>
      </w:r>
      <w:r w:rsidR="00D37968">
        <w:rPr>
          <w:rFonts w:ascii="Garamond" w:hAnsi="Garamond"/>
          <w:lang w:bidi="he-IL"/>
        </w:rPr>
        <w:t xml:space="preserve">even more ambitious </w:t>
      </w:r>
      <w:r w:rsidR="00985A70">
        <w:rPr>
          <w:rFonts w:ascii="Garamond" w:hAnsi="Garamond"/>
          <w:lang w:bidi="he-IL"/>
        </w:rPr>
        <w:t xml:space="preserve">drive </w:t>
      </w:r>
      <w:r w:rsidR="00D37968">
        <w:rPr>
          <w:rFonts w:ascii="Garamond" w:hAnsi="Garamond"/>
          <w:lang w:bidi="he-IL"/>
        </w:rPr>
        <w:t xml:space="preserve">to unify both private and public intertest with the acquisition of rational knowledge. This rational knowledge – which is the “large mystery” of the Jewish religion – is not a secret in the sense that it is not permitted or </w:t>
      </w:r>
      <w:r w:rsidR="001F36FB">
        <w:rPr>
          <w:rFonts w:ascii="Garamond" w:hAnsi="Garamond"/>
          <w:lang w:bidi="he-IL"/>
        </w:rPr>
        <w:t>that its revelation is not sought after</w:t>
      </w:r>
      <w:r w:rsidR="00DB23E9">
        <w:rPr>
          <w:rFonts w:ascii="Garamond" w:hAnsi="Garamond"/>
          <w:lang w:bidi="he-IL"/>
        </w:rPr>
        <w:t>; it is</w:t>
      </w:r>
      <w:r w:rsidR="00366BA2">
        <w:rPr>
          <w:rFonts w:ascii="Garamond" w:hAnsi="Garamond"/>
          <w:lang w:bidi="he-IL"/>
        </w:rPr>
        <w:t xml:space="preserve"> a secret</w:t>
      </w:r>
      <w:r w:rsidR="00DB23E9">
        <w:rPr>
          <w:rFonts w:ascii="Garamond" w:hAnsi="Garamond"/>
          <w:lang w:bidi="he-IL"/>
        </w:rPr>
        <w:t>, rather,</w:t>
      </w:r>
      <w:r w:rsidR="00366BA2">
        <w:rPr>
          <w:rFonts w:ascii="Garamond" w:hAnsi="Garamond"/>
          <w:lang w:bidi="he-IL"/>
        </w:rPr>
        <w:t xml:space="preserve"> because</w:t>
      </w:r>
      <w:r w:rsidR="001F36FB">
        <w:rPr>
          <w:rFonts w:ascii="Garamond" w:hAnsi="Garamond"/>
          <w:lang w:bidi="he-IL"/>
        </w:rPr>
        <w:t xml:space="preserve"> </w:t>
      </w:r>
      <w:r w:rsidR="00D37968">
        <w:rPr>
          <w:rFonts w:ascii="Garamond" w:hAnsi="Garamond"/>
          <w:lang w:bidi="he-IL"/>
        </w:rPr>
        <w:t xml:space="preserve">its inherent nature </w:t>
      </w:r>
      <w:r w:rsidR="00D37968" w:rsidRPr="00D37968">
        <w:rPr>
          <w:rFonts w:ascii="Garamond" w:hAnsi="Garamond"/>
          <w:i/>
          <w:iCs/>
          <w:lang w:bidi="he-IL"/>
        </w:rPr>
        <w:t>cannot</w:t>
      </w:r>
      <w:r w:rsidR="00D37968">
        <w:rPr>
          <w:rFonts w:ascii="Garamond" w:hAnsi="Garamond"/>
          <w:lang w:bidi="he-IL"/>
        </w:rPr>
        <w:t xml:space="preserve"> be revealed to all.</w:t>
      </w:r>
    </w:p>
    <w:p w14:paraId="437D284E" w14:textId="6A9009B4" w:rsidR="00D37968" w:rsidRDefault="00D37968" w:rsidP="00186938">
      <w:pPr>
        <w:spacing w:line="480" w:lineRule="auto"/>
        <w:jc w:val="both"/>
        <w:rPr>
          <w:rFonts w:ascii="Garamond" w:hAnsi="Garamond"/>
          <w:lang w:bidi="he-IL"/>
        </w:rPr>
      </w:pPr>
      <w:r>
        <w:rPr>
          <w:rFonts w:ascii="Garamond" w:hAnsi="Garamond"/>
          <w:lang w:bidi="he-IL"/>
        </w:rPr>
        <w:tab/>
        <w:t xml:space="preserve">At this point, Maimon’s text breaks and </w:t>
      </w:r>
      <w:r w:rsidR="00367498">
        <w:rPr>
          <w:rFonts w:ascii="Garamond" w:hAnsi="Garamond"/>
          <w:lang w:bidi="he-IL"/>
        </w:rPr>
        <w:t xml:space="preserve">he </w:t>
      </w:r>
      <w:r>
        <w:rPr>
          <w:rFonts w:ascii="Garamond" w:hAnsi="Garamond"/>
          <w:lang w:bidi="he-IL"/>
        </w:rPr>
        <w:t xml:space="preserve">turns to discuss other issues, as if to abide by his own claim that the larger mysteries </w:t>
      </w:r>
      <w:r w:rsidRPr="00D37968">
        <w:rPr>
          <w:rFonts w:ascii="Garamond" w:hAnsi="Garamond"/>
          <w:i/>
          <w:iCs/>
          <w:lang w:bidi="he-IL"/>
        </w:rPr>
        <w:t>cannot</w:t>
      </w:r>
      <w:r>
        <w:rPr>
          <w:rFonts w:ascii="Garamond" w:hAnsi="Garamond"/>
          <w:lang w:bidi="he-IL"/>
        </w:rPr>
        <w:t xml:space="preserve"> be revealed. However, at the very end of the first part of the </w:t>
      </w:r>
      <w:proofErr w:type="spellStart"/>
      <w:r w:rsidRPr="006D1D73">
        <w:rPr>
          <w:rFonts w:ascii="Garamond" w:hAnsi="Garamond"/>
          <w:i/>
          <w:iCs/>
          <w:lang w:bidi="he-IL"/>
        </w:rPr>
        <w:t>Lebensgechichte</w:t>
      </w:r>
      <w:proofErr w:type="spellEnd"/>
      <w:r>
        <w:rPr>
          <w:rFonts w:ascii="Garamond" w:hAnsi="Garamond"/>
          <w:lang w:bidi="he-IL"/>
        </w:rPr>
        <w:t>, Maimon returns to the t</w:t>
      </w:r>
      <w:r w:rsidR="006D1D73">
        <w:rPr>
          <w:rFonts w:ascii="Garamond" w:hAnsi="Garamond"/>
          <w:lang w:bidi="he-IL"/>
        </w:rPr>
        <w:t>opic. He still does not reveal everything, but what he does say is</w:t>
      </w:r>
      <w:r>
        <w:rPr>
          <w:rFonts w:ascii="Garamond" w:hAnsi="Garamond"/>
          <w:lang w:bidi="he-IL"/>
        </w:rPr>
        <w:t xml:space="preserve"> </w:t>
      </w:r>
      <w:r w:rsidR="006D1D73">
        <w:rPr>
          <w:rFonts w:ascii="Garamond" w:hAnsi="Garamond"/>
          <w:lang w:bidi="he-IL"/>
        </w:rPr>
        <w:t>significant.</w:t>
      </w:r>
    </w:p>
    <w:p w14:paraId="75DD6742" w14:textId="5075FFFB" w:rsidR="006D1D73" w:rsidRDefault="006D1D73" w:rsidP="00315056">
      <w:pPr>
        <w:spacing w:line="480" w:lineRule="auto"/>
        <w:ind w:left="432" w:right="288"/>
        <w:jc w:val="both"/>
        <w:rPr>
          <w:rFonts w:ascii="Garamond" w:hAnsi="Garamond"/>
          <w:lang w:bidi="he-IL"/>
        </w:rPr>
      </w:pPr>
      <w:r w:rsidRPr="006D1D73">
        <w:rPr>
          <w:rFonts w:ascii="Garamond" w:hAnsi="Garamond"/>
          <w:lang w:bidi="he-IL"/>
        </w:rPr>
        <w:lastRenderedPageBreak/>
        <w:t xml:space="preserve">The greatest of all the mysteries of the Jewish religion, however, is the name </w:t>
      </w:r>
      <w:proofErr w:type="spellStart"/>
      <w:r w:rsidRPr="006D1D73">
        <w:rPr>
          <w:rFonts w:ascii="Garamond" w:hAnsi="Garamond"/>
          <w:lang w:bidi="he-IL"/>
        </w:rPr>
        <w:t>Jehova</w:t>
      </w:r>
      <w:proofErr w:type="spellEnd"/>
      <w:r w:rsidRPr="006D1D73">
        <w:rPr>
          <w:rFonts w:ascii="Garamond" w:hAnsi="Garamond"/>
          <w:lang w:bidi="he-IL"/>
        </w:rPr>
        <w:t xml:space="preserve">, which expresses </w:t>
      </w:r>
      <w:r w:rsidRPr="006D1D73">
        <w:rPr>
          <w:rFonts w:ascii="Garamond" w:hAnsi="Garamond"/>
          <w:i/>
          <w:iCs/>
          <w:lang w:bidi="he-IL"/>
        </w:rPr>
        <w:t>pure Being</w:t>
      </w:r>
      <w:r w:rsidR="00315056">
        <w:rPr>
          <w:rFonts w:ascii="Garamond" w:hAnsi="Garamond"/>
          <w:i/>
          <w:iCs/>
          <w:lang w:bidi="he-IL"/>
        </w:rPr>
        <w:t xml:space="preserve"> </w:t>
      </w:r>
      <w:r w:rsidR="00315056">
        <w:rPr>
          <w:rFonts w:ascii="Garamond" w:hAnsi="Garamond"/>
          <w:lang w:bidi="he-IL"/>
        </w:rPr>
        <w:t>[</w:t>
      </w:r>
      <w:r w:rsidR="00315056" w:rsidRPr="00315056">
        <w:rPr>
          <w:rFonts w:ascii="Garamond" w:hAnsi="Garamond"/>
          <w:i/>
          <w:iCs/>
          <w:lang w:bidi="he-IL"/>
        </w:rPr>
        <w:t xml:space="preserve">das </w:t>
      </w:r>
      <w:proofErr w:type="spellStart"/>
      <w:r w:rsidR="00315056" w:rsidRPr="00315056">
        <w:rPr>
          <w:rFonts w:ascii="Garamond" w:hAnsi="Garamond"/>
          <w:i/>
          <w:iCs/>
          <w:lang w:bidi="he-IL"/>
        </w:rPr>
        <w:t>bloße</w:t>
      </w:r>
      <w:proofErr w:type="spellEnd"/>
      <w:r w:rsidR="00315056" w:rsidRPr="00315056">
        <w:rPr>
          <w:rFonts w:ascii="Garamond" w:hAnsi="Garamond"/>
          <w:i/>
          <w:iCs/>
          <w:lang w:bidi="he-IL"/>
        </w:rPr>
        <w:t xml:space="preserve"> Dasein</w:t>
      </w:r>
      <w:r w:rsidR="00315056">
        <w:rPr>
          <w:rFonts w:ascii="Garamond" w:hAnsi="Garamond"/>
          <w:lang w:bidi="he-IL"/>
        </w:rPr>
        <w:t>]</w:t>
      </w:r>
      <w:r w:rsidRPr="006D1D73">
        <w:rPr>
          <w:rFonts w:ascii="Garamond" w:hAnsi="Garamond"/>
          <w:lang w:bidi="he-IL"/>
        </w:rPr>
        <w:t xml:space="preserve">, abstracted from any </w:t>
      </w:r>
      <w:r w:rsidRPr="006D1D73">
        <w:rPr>
          <w:rFonts w:ascii="Garamond" w:hAnsi="Garamond"/>
          <w:i/>
          <w:iCs/>
          <w:lang w:bidi="he-IL"/>
        </w:rPr>
        <w:t>particular type of being</w:t>
      </w:r>
      <w:r w:rsidRPr="006D1D73">
        <w:rPr>
          <w:rFonts w:ascii="Garamond" w:hAnsi="Garamond"/>
          <w:lang w:bidi="he-IL"/>
        </w:rPr>
        <w:t xml:space="preserve">, and without which </w:t>
      </w:r>
      <w:r w:rsidRPr="006D1D73">
        <w:rPr>
          <w:rFonts w:ascii="Garamond" w:hAnsi="Garamond"/>
          <w:i/>
          <w:iCs/>
          <w:lang w:bidi="he-IL"/>
        </w:rPr>
        <w:t xml:space="preserve">Being </w:t>
      </w:r>
      <w:r w:rsidR="00315056">
        <w:rPr>
          <w:rFonts w:ascii="Garamond" w:hAnsi="Garamond"/>
          <w:i/>
          <w:iCs/>
          <w:lang w:bidi="he-IL"/>
        </w:rPr>
        <w:t>in general</w:t>
      </w:r>
      <w:r w:rsidRPr="006D1D73">
        <w:rPr>
          <w:rFonts w:ascii="Garamond" w:hAnsi="Garamond"/>
          <w:i/>
          <w:iCs/>
          <w:lang w:bidi="he-IL"/>
        </w:rPr>
        <w:t xml:space="preserve"> </w:t>
      </w:r>
      <w:r w:rsidR="00315056">
        <w:rPr>
          <w:rFonts w:ascii="Garamond" w:hAnsi="Garamond"/>
          <w:lang w:bidi="he-IL"/>
        </w:rPr>
        <w:t>[</w:t>
      </w:r>
      <w:r w:rsidR="00315056" w:rsidRPr="00315056">
        <w:rPr>
          <w:rFonts w:ascii="Garamond" w:hAnsi="Garamond"/>
          <w:i/>
          <w:iCs/>
          <w:lang w:bidi="he-IL"/>
        </w:rPr>
        <w:t xml:space="preserve">Dasein </w:t>
      </w:r>
      <w:proofErr w:type="spellStart"/>
      <w:r w:rsidR="00315056" w:rsidRPr="00315056">
        <w:rPr>
          <w:rFonts w:ascii="Garamond" w:hAnsi="Garamond"/>
          <w:i/>
          <w:iCs/>
          <w:lang w:bidi="he-IL"/>
        </w:rPr>
        <w:t>überhaupt</w:t>
      </w:r>
      <w:proofErr w:type="spellEnd"/>
      <w:r w:rsidR="00315056">
        <w:rPr>
          <w:rFonts w:ascii="Garamond" w:hAnsi="Garamond"/>
          <w:lang w:bidi="he-IL"/>
        </w:rPr>
        <w:t xml:space="preserve">] </w:t>
      </w:r>
      <w:r w:rsidRPr="006D1D73">
        <w:rPr>
          <w:rFonts w:ascii="Garamond" w:hAnsi="Garamond"/>
          <w:lang w:bidi="he-IL"/>
        </w:rPr>
        <w:t>cannot be conceived of at all. The doctrine of the unity of God and the dependence of all other beings on Him—both the possibility and the actuality of other beings—can be completely understood only within a single system. –</w:t>
      </w:r>
      <w:r w:rsidR="00315056">
        <w:rPr>
          <w:rFonts w:ascii="Garamond" w:hAnsi="Garamond"/>
          <w:lang w:bidi="he-IL"/>
        </w:rPr>
        <w:t xml:space="preserve">- </w:t>
      </w:r>
      <w:r>
        <w:rPr>
          <w:rStyle w:val="FootnoteReference"/>
          <w:rFonts w:ascii="Garamond" w:hAnsi="Garamond"/>
          <w:lang w:bidi="he-IL"/>
        </w:rPr>
        <w:footnoteReference w:id="32"/>
      </w:r>
    </w:p>
    <w:p w14:paraId="04100C80" w14:textId="1F136DA3" w:rsidR="00D37968" w:rsidRDefault="00315056" w:rsidP="00315056">
      <w:pPr>
        <w:spacing w:line="480" w:lineRule="auto"/>
        <w:jc w:val="both"/>
        <w:rPr>
          <w:rFonts w:ascii="Garamond" w:hAnsi="Garamond"/>
        </w:rPr>
      </w:pPr>
      <w:r>
        <w:rPr>
          <w:rFonts w:ascii="Garamond" w:hAnsi="Garamond"/>
        </w:rPr>
        <w:t xml:space="preserve">Throughout the </w:t>
      </w:r>
      <w:proofErr w:type="spellStart"/>
      <w:r w:rsidRPr="00315056">
        <w:rPr>
          <w:rFonts w:ascii="Garamond" w:hAnsi="Garamond"/>
          <w:i/>
          <w:iCs/>
        </w:rPr>
        <w:t>Lebensgeschichte</w:t>
      </w:r>
      <w:proofErr w:type="spellEnd"/>
      <w:r>
        <w:rPr>
          <w:rFonts w:ascii="Garamond" w:hAnsi="Garamond"/>
        </w:rPr>
        <w:t>, Maimon uses the dash (“—</w:t>
      </w:r>
      <w:r w:rsidR="0062511A">
        <w:rPr>
          <w:rFonts w:ascii="Garamond" w:hAnsi="Garamond"/>
        </w:rPr>
        <w:t>”</w:t>
      </w:r>
      <w:r>
        <w:rPr>
          <w:rFonts w:ascii="Garamond" w:hAnsi="Garamond"/>
        </w:rPr>
        <w:t>) at the end of a sentence as an indica</w:t>
      </w:r>
      <w:r w:rsidR="00B310B4">
        <w:rPr>
          <w:rFonts w:ascii="Garamond" w:hAnsi="Garamond"/>
        </w:rPr>
        <w:t>tion that at this locus he is addressing issues about which he cannot speak too openly, and as an invitation to the reader</w:t>
      </w:r>
      <w:r>
        <w:rPr>
          <w:rFonts w:ascii="Garamond" w:hAnsi="Garamond"/>
        </w:rPr>
        <w:t xml:space="preserve"> </w:t>
      </w:r>
      <w:r w:rsidR="00B310B4">
        <w:rPr>
          <w:rFonts w:ascii="Garamond" w:hAnsi="Garamond"/>
        </w:rPr>
        <w:t xml:space="preserve">to think of the concealed content. What is then “the single </w:t>
      </w:r>
      <w:r w:rsidR="00B310B4" w:rsidRPr="00B310B4">
        <w:rPr>
          <w:rFonts w:ascii="Garamond" w:hAnsi="Garamond"/>
          <w:i/>
          <w:iCs/>
        </w:rPr>
        <w:t>system</w:t>
      </w:r>
      <w:r w:rsidR="00B310B4">
        <w:rPr>
          <w:rFonts w:ascii="Garamond" w:hAnsi="Garamond"/>
        </w:rPr>
        <w:t xml:space="preserve">” through which </w:t>
      </w:r>
      <w:r w:rsidR="004D6D7E">
        <w:rPr>
          <w:rFonts w:ascii="Garamond" w:hAnsi="Garamond"/>
        </w:rPr>
        <w:t>alone</w:t>
      </w:r>
      <w:r w:rsidR="00B310B4">
        <w:rPr>
          <w:rFonts w:ascii="Garamond" w:hAnsi="Garamond"/>
        </w:rPr>
        <w:t xml:space="preserve"> the meaning of the Tetragrammaton </w:t>
      </w:r>
      <w:r w:rsidR="004D6D7E">
        <w:rPr>
          <w:rFonts w:ascii="Garamond" w:hAnsi="Garamond"/>
        </w:rPr>
        <w:t xml:space="preserve">can </w:t>
      </w:r>
      <w:r w:rsidR="00B310B4">
        <w:rPr>
          <w:rFonts w:ascii="Garamond" w:hAnsi="Garamond"/>
        </w:rPr>
        <w:t>be understood?</w:t>
      </w:r>
    </w:p>
    <w:p w14:paraId="2452E5A1" w14:textId="38B7A8BA" w:rsidR="00B310B4" w:rsidRDefault="00B310B4" w:rsidP="00315056">
      <w:pPr>
        <w:spacing w:line="480" w:lineRule="auto"/>
        <w:jc w:val="both"/>
        <w:rPr>
          <w:rFonts w:ascii="Garamond" w:hAnsi="Garamond"/>
        </w:rPr>
      </w:pPr>
      <w:r>
        <w:rPr>
          <w:rFonts w:ascii="Garamond" w:hAnsi="Garamond"/>
        </w:rPr>
        <w:tab/>
        <w:t>Maimon does not let the reader wonder much about the last question, but in his answer</w:t>
      </w:r>
      <w:r w:rsidR="001E4B80">
        <w:rPr>
          <w:rFonts w:ascii="Garamond" w:hAnsi="Garamond"/>
        </w:rPr>
        <w:t>,</w:t>
      </w:r>
      <w:r>
        <w:rPr>
          <w:rFonts w:ascii="Garamond" w:hAnsi="Garamond"/>
        </w:rPr>
        <w:t xml:space="preserve"> he does not mention any system, let alone the name of Spinoza</w:t>
      </w:r>
      <w:r w:rsidR="00C76FF7">
        <w:rPr>
          <w:rFonts w:ascii="Garamond" w:hAnsi="Garamond"/>
        </w:rPr>
        <w:t xml:space="preserve">, </w:t>
      </w:r>
      <w:proofErr w:type="spellStart"/>
      <w:r w:rsidR="00C76FF7">
        <w:rPr>
          <w:rFonts w:ascii="Garamond" w:hAnsi="Garamond"/>
        </w:rPr>
        <w:t>refer</w:t>
      </w:r>
      <w:r w:rsidR="00211129">
        <w:rPr>
          <w:rFonts w:ascii="Garamond" w:hAnsi="Garamond"/>
        </w:rPr>
        <w:t>ring</w:t>
      </w:r>
      <w:proofErr w:type="spellEnd"/>
      <w:r w:rsidR="00211129">
        <w:rPr>
          <w:rFonts w:ascii="Garamond" w:hAnsi="Garamond"/>
        </w:rPr>
        <w:t xml:space="preserve"> instead</w:t>
      </w:r>
      <w:r w:rsidR="00C76FF7">
        <w:rPr>
          <w:rFonts w:ascii="Garamond" w:hAnsi="Garamond"/>
        </w:rPr>
        <w:t xml:space="preserve"> to the beliefs of… the Talmudists:</w:t>
      </w:r>
    </w:p>
    <w:p w14:paraId="2A5F3ABC" w14:textId="1B8A6461" w:rsidR="00C76FF7" w:rsidRDefault="00C76FF7" w:rsidP="00C76FF7">
      <w:pPr>
        <w:spacing w:line="480" w:lineRule="auto"/>
        <w:ind w:left="432" w:right="288"/>
        <w:jc w:val="both"/>
        <w:rPr>
          <w:rFonts w:ascii="Garamond" w:hAnsi="Garamond"/>
        </w:rPr>
      </w:pPr>
      <w:r w:rsidRPr="00C76FF7">
        <w:rPr>
          <w:rFonts w:ascii="Garamond" w:hAnsi="Garamond"/>
        </w:rPr>
        <w:t xml:space="preserve">For the Talmudists, the name </w:t>
      </w:r>
      <w:proofErr w:type="spellStart"/>
      <w:r w:rsidRPr="00C76FF7">
        <w:rPr>
          <w:rFonts w:ascii="Garamond" w:hAnsi="Garamond"/>
          <w:i/>
          <w:iCs/>
        </w:rPr>
        <w:t>Jehova</w:t>
      </w:r>
      <w:proofErr w:type="spellEnd"/>
      <w:r w:rsidRPr="00C76FF7">
        <w:rPr>
          <w:rFonts w:ascii="Garamond" w:hAnsi="Garamond"/>
        </w:rPr>
        <w:t xml:space="preserve"> means </w:t>
      </w:r>
      <w:proofErr w:type="spellStart"/>
      <w:r w:rsidRPr="00C76FF7">
        <w:rPr>
          <w:rFonts w:ascii="Garamond" w:hAnsi="Garamond"/>
          <w:i/>
          <w:iCs/>
        </w:rPr>
        <w:t>Schem</w:t>
      </w:r>
      <w:proofErr w:type="spellEnd"/>
      <w:r w:rsidRPr="00C76FF7">
        <w:rPr>
          <w:rFonts w:ascii="Garamond" w:hAnsi="Garamond"/>
          <w:i/>
          <w:iCs/>
        </w:rPr>
        <w:t xml:space="preserve"> ha-</w:t>
      </w:r>
      <w:proofErr w:type="spellStart"/>
      <w:r w:rsidRPr="00C76FF7">
        <w:rPr>
          <w:rFonts w:ascii="Garamond" w:hAnsi="Garamond"/>
          <w:i/>
          <w:iCs/>
        </w:rPr>
        <w:t>Ezam</w:t>
      </w:r>
      <w:proofErr w:type="spellEnd"/>
      <w:r w:rsidRPr="00C76FF7">
        <w:rPr>
          <w:rFonts w:ascii="Garamond" w:hAnsi="Garamond"/>
          <w:i/>
          <w:iCs/>
        </w:rPr>
        <w:t xml:space="preserve"> </w:t>
      </w:r>
      <w:r w:rsidRPr="00C76FF7">
        <w:rPr>
          <w:rFonts w:ascii="Garamond" w:hAnsi="Garamond"/>
        </w:rPr>
        <w:t>(</w:t>
      </w:r>
      <w:proofErr w:type="spellStart"/>
      <w:r w:rsidRPr="00C76FF7">
        <w:rPr>
          <w:rFonts w:ascii="Garamond" w:hAnsi="Garamond"/>
          <w:i/>
          <w:iCs/>
        </w:rPr>
        <w:t>nomen</w:t>
      </w:r>
      <w:proofErr w:type="spellEnd"/>
      <w:r w:rsidRPr="00C76FF7">
        <w:rPr>
          <w:rFonts w:ascii="Garamond" w:hAnsi="Garamond"/>
          <w:i/>
          <w:iCs/>
        </w:rPr>
        <w:t xml:space="preserve"> proprium</w:t>
      </w:r>
      <w:r w:rsidRPr="00C76FF7">
        <w:rPr>
          <w:rFonts w:ascii="Garamond" w:hAnsi="Garamond"/>
        </w:rPr>
        <w:t xml:space="preserve">), the name of the Being that God as such is entitled to, without any consideration of His effects. The other names of God are </w:t>
      </w:r>
      <w:r w:rsidRPr="00C76FF7">
        <w:rPr>
          <w:rFonts w:ascii="Garamond" w:hAnsi="Garamond"/>
          <w:i/>
          <w:iCs/>
        </w:rPr>
        <w:t>appellative</w:t>
      </w:r>
      <w:r w:rsidRPr="00C76FF7">
        <w:rPr>
          <w:rFonts w:ascii="Garamond" w:hAnsi="Garamond"/>
        </w:rPr>
        <w:t xml:space="preserve">, expressing characteristics that He has in common with His creatures, although He has them to a greater degree. For example, </w:t>
      </w:r>
      <w:r w:rsidRPr="00C76FF7">
        <w:rPr>
          <w:rFonts w:ascii="Garamond" w:hAnsi="Garamond"/>
          <w:i/>
          <w:iCs/>
        </w:rPr>
        <w:t>Elohim</w:t>
      </w:r>
      <w:r w:rsidRPr="00C76FF7">
        <w:rPr>
          <w:rFonts w:ascii="Garamond" w:hAnsi="Garamond"/>
        </w:rPr>
        <w:t xml:space="preserve"> means a </w:t>
      </w:r>
      <w:r w:rsidRPr="00C76FF7">
        <w:rPr>
          <w:rFonts w:ascii="Garamond" w:hAnsi="Garamond"/>
          <w:i/>
          <w:iCs/>
        </w:rPr>
        <w:t>lord</w:t>
      </w:r>
      <w:r w:rsidRPr="00C76FF7">
        <w:rPr>
          <w:rFonts w:ascii="Garamond" w:hAnsi="Garamond"/>
        </w:rPr>
        <w:t xml:space="preserve">, a </w:t>
      </w:r>
      <w:r w:rsidRPr="00C76FF7">
        <w:rPr>
          <w:rFonts w:ascii="Garamond" w:hAnsi="Garamond"/>
          <w:i/>
          <w:iCs/>
        </w:rPr>
        <w:t>judge</w:t>
      </w:r>
      <w:r w:rsidRPr="00C76FF7">
        <w:rPr>
          <w:rFonts w:ascii="Garamond" w:hAnsi="Garamond"/>
        </w:rPr>
        <w:t>, and so forth. El means a potentate. Adonai is a lord. And so, it is with all the rest.</w:t>
      </w:r>
      <w:r>
        <w:rPr>
          <w:rStyle w:val="FootnoteReference"/>
          <w:rFonts w:ascii="Garamond" w:hAnsi="Garamond"/>
        </w:rPr>
        <w:footnoteReference w:id="33"/>
      </w:r>
    </w:p>
    <w:p w14:paraId="3AA55CC4" w14:textId="33B98B61" w:rsidR="00DA2ED6" w:rsidRDefault="00285B52" w:rsidP="00186938">
      <w:pPr>
        <w:spacing w:line="480" w:lineRule="auto"/>
        <w:jc w:val="both"/>
        <w:rPr>
          <w:rFonts w:ascii="Garamond" w:hAnsi="Garamond"/>
        </w:rPr>
      </w:pPr>
      <w:r>
        <w:rPr>
          <w:rFonts w:ascii="Garamond" w:hAnsi="Garamond"/>
        </w:rPr>
        <w:lastRenderedPageBreak/>
        <w:t>One important text which is clearly in the background of the last excerpt is Maimonides’</w:t>
      </w:r>
      <w:r w:rsidR="00CA38BF">
        <w:rPr>
          <w:rFonts w:ascii="Garamond" w:hAnsi="Garamond"/>
        </w:rPr>
        <w:t>s</w:t>
      </w:r>
      <w:r>
        <w:rPr>
          <w:rFonts w:ascii="Garamond" w:hAnsi="Garamond"/>
        </w:rPr>
        <w:t xml:space="preserve"> discussion of the Tetragrammaton in the </w:t>
      </w:r>
      <w:r w:rsidRPr="00285B52">
        <w:rPr>
          <w:rFonts w:ascii="Garamond" w:hAnsi="Garamond"/>
          <w:i/>
          <w:iCs/>
        </w:rPr>
        <w:t>Guide of the Perplexed</w:t>
      </w:r>
      <w:r>
        <w:rPr>
          <w:rFonts w:ascii="Garamond" w:hAnsi="Garamond"/>
        </w:rPr>
        <w:t>.</w:t>
      </w:r>
      <w:r w:rsidR="00D865BD">
        <w:rPr>
          <w:rStyle w:val="FootnoteReference"/>
          <w:rFonts w:ascii="Garamond" w:hAnsi="Garamond"/>
        </w:rPr>
        <w:footnoteReference w:id="34"/>
      </w:r>
      <w:r>
        <w:rPr>
          <w:rFonts w:ascii="Garamond" w:hAnsi="Garamond"/>
        </w:rPr>
        <w:t xml:space="preserve"> But even more striking is the similarity </w:t>
      </w:r>
      <w:r w:rsidR="00DA2ED6">
        <w:rPr>
          <w:rFonts w:ascii="Garamond" w:hAnsi="Garamond"/>
        </w:rPr>
        <w:t xml:space="preserve">of the excerpt </w:t>
      </w:r>
      <w:r>
        <w:rPr>
          <w:rFonts w:ascii="Garamond" w:hAnsi="Garamond"/>
        </w:rPr>
        <w:t xml:space="preserve">to a passage in Spinoza’s </w:t>
      </w:r>
      <w:r w:rsidRPr="00DA2ED6">
        <w:rPr>
          <w:rFonts w:ascii="Garamond" w:hAnsi="Garamond"/>
          <w:i/>
          <w:iCs/>
        </w:rPr>
        <w:t>Theological Political Treatise</w:t>
      </w:r>
      <w:r>
        <w:rPr>
          <w:rFonts w:ascii="Garamond" w:hAnsi="Garamond"/>
        </w:rPr>
        <w:t xml:space="preserve"> where Spinoza</w:t>
      </w:r>
      <w:r w:rsidR="00DA2ED6">
        <w:rPr>
          <w:rFonts w:ascii="Garamond" w:hAnsi="Garamond"/>
        </w:rPr>
        <w:t>, in a casual manner, endorses the traditional rabbinic interpretation of the Tetragrammaton as denoting God’s essence, i.e., pure existence.</w:t>
      </w:r>
    </w:p>
    <w:p w14:paraId="47D8E272" w14:textId="0A04A0E4" w:rsidR="00DA2ED6" w:rsidRDefault="00DA2ED6" w:rsidP="00DA2ED6">
      <w:pPr>
        <w:spacing w:line="480" w:lineRule="auto"/>
        <w:ind w:left="432" w:right="288"/>
        <w:jc w:val="both"/>
        <w:rPr>
          <w:rFonts w:ascii="Garamond" w:hAnsi="Garamond"/>
        </w:rPr>
      </w:pPr>
      <w:r w:rsidRPr="00DA2ED6">
        <w:rPr>
          <w:rFonts w:ascii="Garamond" w:hAnsi="Garamond"/>
        </w:rPr>
        <w:t>Note that there is no name in Scripture except Yahweh which makes known the absolute essence of God, without relation to created things. And therefore</w:t>
      </w:r>
      <w:r>
        <w:rPr>
          <w:rFonts w:ascii="Garamond" w:hAnsi="Garamond"/>
        </w:rPr>
        <w:t>,</w:t>
      </w:r>
      <w:r w:rsidRPr="00DA2ED6">
        <w:rPr>
          <w:rFonts w:ascii="Garamond" w:hAnsi="Garamond"/>
        </w:rPr>
        <w:t xml:space="preserve"> the Hebrews contend that only this name of God is peculiarly his, the others being common nouns. And </w:t>
      </w:r>
      <w:r w:rsidRPr="00DA2ED6">
        <w:rPr>
          <w:rFonts w:ascii="Garamond" w:hAnsi="Garamond"/>
          <w:i/>
          <w:iCs/>
        </w:rPr>
        <w:t>really</w:t>
      </w:r>
      <w:r w:rsidRPr="00DA2ED6">
        <w:rPr>
          <w:rFonts w:ascii="Garamond" w:hAnsi="Garamond"/>
        </w:rPr>
        <w:t xml:space="preserve"> [</w:t>
      </w:r>
      <w:proofErr w:type="spellStart"/>
      <w:r w:rsidRPr="00DA2ED6">
        <w:rPr>
          <w:rFonts w:ascii="Garamond" w:hAnsi="Garamond"/>
          <w:i/>
          <w:iCs/>
        </w:rPr>
        <w:t>revera</w:t>
      </w:r>
      <w:proofErr w:type="spellEnd"/>
      <w:r w:rsidRPr="00DA2ED6">
        <w:rPr>
          <w:rFonts w:ascii="Garamond" w:hAnsi="Garamond"/>
        </w:rPr>
        <w:t>], the other names of God, whether they are substantives or adjectives, are attributes which belong to God insofar as he is considered in relation to created things or is manifested through them. E.g.,</w:t>
      </w:r>
      <w:r w:rsidRPr="00DA2ED6">
        <w:rPr>
          <w:rFonts w:ascii="Garamond" w:hAnsi="Garamond"/>
          <w:rtl/>
        </w:rPr>
        <w:t xml:space="preserve"> </w:t>
      </w:r>
      <w:r w:rsidRPr="00DA2ED6">
        <w:rPr>
          <w:rFonts w:ascii="Garamond" w:hAnsi="Garamond"/>
          <w:i/>
          <w:iCs/>
        </w:rPr>
        <w:t>El</w:t>
      </w:r>
      <w:r w:rsidRPr="00DA2ED6">
        <w:rPr>
          <w:rFonts w:ascii="Garamond" w:hAnsi="Garamond"/>
        </w:rPr>
        <w:t>, or means nothing</w:t>
      </w:r>
      <w:r w:rsidRPr="00DA2ED6">
        <w:rPr>
          <w:rFonts w:ascii="Garamond" w:hAnsi="Garamond"/>
          <w:rtl/>
        </w:rPr>
        <w:t xml:space="preserve"> </w:t>
      </w:r>
      <w:r w:rsidRPr="00DA2ED6">
        <w:rPr>
          <w:rFonts w:ascii="Garamond" w:hAnsi="Garamond"/>
        </w:rPr>
        <w:t>but “the powerful,” as we know.</w:t>
      </w:r>
      <w:r>
        <w:rPr>
          <w:rStyle w:val="FootnoteReference"/>
          <w:rFonts w:ascii="Garamond" w:hAnsi="Garamond"/>
        </w:rPr>
        <w:footnoteReference w:id="35"/>
      </w:r>
    </w:p>
    <w:p w14:paraId="2BD5D3BF" w14:textId="78D0BC63" w:rsidR="004762DF" w:rsidRDefault="00DA2ED6" w:rsidP="004762DF">
      <w:pPr>
        <w:spacing w:line="480" w:lineRule="auto"/>
        <w:jc w:val="both"/>
        <w:rPr>
          <w:rFonts w:ascii="Garamond" w:hAnsi="Garamond"/>
        </w:rPr>
      </w:pPr>
      <w:r>
        <w:rPr>
          <w:rFonts w:ascii="Garamond" w:hAnsi="Garamond"/>
        </w:rPr>
        <w:t>After mentioning the Hebrews’ claim that only the Tetragrammaton</w:t>
      </w:r>
      <w:r w:rsidR="00540EDA">
        <w:rPr>
          <w:rFonts w:ascii="Garamond" w:hAnsi="Garamond"/>
        </w:rPr>
        <w:t xml:space="preserve"> is a name “peculiar to God,” Spinoza could have moved to another issue, but instead he briefly notes that “</w:t>
      </w:r>
      <w:proofErr w:type="spellStart"/>
      <w:r w:rsidR="00540EDA" w:rsidRPr="00540EDA">
        <w:rPr>
          <w:rFonts w:ascii="Garamond" w:hAnsi="Garamond"/>
          <w:i/>
          <w:iCs/>
        </w:rPr>
        <w:t>revera</w:t>
      </w:r>
      <w:proofErr w:type="spellEnd"/>
      <w:r w:rsidR="00540EDA">
        <w:rPr>
          <w:rFonts w:ascii="Garamond" w:hAnsi="Garamond"/>
        </w:rPr>
        <w:t xml:space="preserve">” (i.e., really) the Hebrews’ claim is </w:t>
      </w:r>
      <w:r w:rsidR="00540EDA" w:rsidRPr="006B2776">
        <w:rPr>
          <w:rFonts w:ascii="Garamond" w:hAnsi="Garamond"/>
          <w:i/>
          <w:iCs/>
        </w:rPr>
        <w:t>correct</w:t>
      </w:r>
      <w:r w:rsidR="00540EDA">
        <w:rPr>
          <w:rFonts w:ascii="Garamond" w:hAnsi="Garamond"/>
        </w:rPr>
        <w:t xml:space="preserve">. </w:t>
      </w:r>
      <w:r w:rsidR="004762DF">
        <w:rPr>
          <w:rFonts w:ascii="Garamond" w:hAnsi="Garamond"/>
        </w:rPr>
        <w:t>The assertion that only t</w:t>
      </w:r>
      <w:r w:rsidR="00540EDA">
        <w:rPr>
          <w:rFonts w:ascii="Garamond" w:hAnsi="Garamond"/>
        </w:rPr>
        <w:t xml:space="preserve">he Tetragrammaton </w:t>
      </w:r>
      <w:r w:rsidR="004762DF">
        <w:rPr>
          <w:rFonts w:ascii="Garamond" w:hAnsi="Garamond"/>
        </w:rPr>
        <w:t>–</w:t>
      </w:r>
    </w:p>
    <w:p w14:paraId="355CAFE8" w14:textId="609DEF8D" w:rsidR="00540EDA" w:rsidRDefault="00540EDA" w:rsidP="004762DF">
      <w:pPr>
        <w:spacing w:line="480" w:lineRule="auto"/>
        <w:jc w:val="both"/>
        <w:rPr>
          <w:rFonts w:ascii="Garamond" w:hAnsi="Garamond"/>
        </w:rPr>
      </w:pPr>
      <w:r>
        <w:rPr>
          <w:rFonts w:ascii="Garamond" w:hAnsi="Garamond"/>
        </w:rPr>
        <w:t>which is derived from the Hebrew verb “</w:t>
      </w:r>
      <w:r w:rsidR="00430CA6" w:rsidRPr="004762DF">
        <w:rPr>
          <w:rFonts w:asciiTheme="majorBidi" w:hAnsiTheme="majorBidi" w:cstheme="majorBidi"/>
          <w:rtl/>
          <w:lang w:bidi="he-IL"/>
        </w:rPr>
        <w:t>הווה</w:t>
      </w:r>
      <w:r>
        <w:rPr>
          <w:rFonts w:ascii="Garamond" w:hAnsi="Garamond"/>
        </w:rPr>
        <w:t xml:space="preserve">” </w:t>
      </w:r>
      <w:r w:rsidR="004762DF">
        <w:rPr>
          <w:rFonts w:ascii="Garamond" w:hAnsi="Garamond"/>
        </w:rPr>
        <w:t xml:space="preserve">i.e., </w:t>
      </w:r>
      <w:r w:rsidRPr="004762DF">
        <w:rPr>
          <w:rFonts w:ascii="Garamond" w:hAnsi="Garamond"/>
          <w:i/>
          <w:iCs/>
        </w:rPr>
        <w:t>to be</w:t>
      </w:r>
      <w:r w:rsidR="004762DF">
        <w:rPr>
          <w:rFonts w:ascii="Garamond" w:hAnsi="Garamond"/>
        </w:rPr>
        <w:t xml:space="preserve"> – denotes God’s essence,</w:t>
      </w:r>
      <w:r>
        <w:rPr>
          <w:rFonts w:ascii="Garamond" w:hAnsi="Garamond"/>
        </w:rPr>
        <w:t xml:space="preserve"> fits perfectly Spinoza</w:t>
      </w:r>
      <w:r w:rsidR="00430CA6">
        <w:rPr>
          <w:rFonts w:ascii="Garamond" w:hAnsi="Garamond"/>
          <w:lang w:bidi="he-IL"/>
        </w:rPr>
        <w:t>’s view</w:t>
      </w:r>
      <w:r>
        <w:rPr>
          <w:rFonts w:ascii="Garamond" w:hAnsi="Garamond"/>
        </w:rPr>
        <w:t xml:space="preserve"> of God</w:t>
      </w:r>
      <w:r w:rsidR="00430CA6">
        <w:rPr>
          <w:rFonts w:ascii="Garamond" w:hAnsi="Garamond"/>
        </w:rPr>
        <w:t>’s essence as being nothing over and above</w:t>
      </w:r>
      <w:r>
        <w:rPr>
          <w:rFonts w:ascii="Garamond" w:hAnsi="Garamond"/>
        </w:rPr>
        <w:t xml:space="preserve"> pure existence.</w:t>
      </w:r>
      <w:r>
        <w:rPr>
          <w:rStyle w:val="FootnoteReference"/>
          <w:rFonts w:ascii="Garamond" w:hAnsi="Garamond"/>
        </w:rPr>
        <w:footnoteReference w:id="36"/>
      </w:r>
    </w:p>
    <w:p w14:paraId="62D8A2C1" w14:textId="77777777" w:rsidR="00142E86" w:rsidRDefault="00540EDA" w:rsidP="00DA2ED6">
      <w:pPr>
        <w:spacing w:line="480" w:lineRule="auto"/>
        <w:jc w:val="both"/>
        <w:rPr>
          <w:rFonts w:ascii="Garamond" w:hAnsi="Garamond"/>
        </w:rPr>
      </w:pPr>
      <w:r>
        <w:rPr>
          <w:rFonts w:ascii="Garamond" w:hAnsi="Garamond"/>
        </w:rPr>
        <w:lastRenderedPageBreak/>
        <w:tab/>
        <w:t xml:space="preserve">The similarity between Maimon’s </w:t>
      </w:r>
      <w:r w:rsidR="00430CA6">
        <w:rPr>
          <w:rFonts w:ascii="Garamond" w:hAnsi="Garamond"/>
        </w:rPr>
        <w:t xml:space="preserve">and Spinoza’s </w:t>
      </w:r>
      <w:r>
        <w:rPr>
          <w:rFonts w:ascii="Garamond" w:hAnsi="Garamond"/>
        </w:rPr>
        <w:t>discussion</w:t>
      </w:r>
      <w:r w:rsidR="00430CA6">
        <w:rPr>
          <w:rFonts w:ascii="Garamond" w:hAnsi="Garamond"/>
        </w:rPr>
        <w:t>s</w:t>
      </w:r>
      <w:r>
        <w:rPr>
          <w:rFonts w:ascii="Garamond" w:hAnsi="Garamond"/>
        </w:rPr>
        <w:t xml:space="preserve"> of the Te</w:t>
      </w:r>
      <w:r w:rsidR="00430CA6">
        <w:rPr>
          <w:rFonts w:ascii="Garamond" w:hAnsi="Garamond"/>
        </w:rPr>
        <w:t>tragrammaton strengthens our suspicion that the “the single system” which Maimon identifies with the “largest mysteries of Judaism” is nothing but Spinoza’s system</w:t>
      </w:r>
      <w:r w:rsidR="00142E86">
        <w:rPr>
          <w:rFonts w:ascii="Garamond" w:hAnsi="Garamond"/>
        </w:rPr>
        <w:t>. In such a case, it would seem that for Maimon, the deepest and most ineffable secret of Judaism is nothing but Spinoza’s acosmism, i.e., the assertion that only God truly exists.</w:t>
      </w:r>
    </w:p>
    <w:p w14:paraId="6EB88D1C" w14:textId="780F6823" w:rsidR="00C427CA" w:rsidRDefault="00142E86" w:rsidP="00DA2ED6">
      <w:pPr>
        <w:spacing w:line="480" w:lineRule="auto"/>
        <w:jc w:val="both"/>
        <w:rPr>
          <w:rFonts w:ascii="Garamond" w:hAnsi="Garamond"/>
        </w:rPr>
      </w:pPr>
      <w:r>
        <w:rPr>
          <w:rFonts w:ascii="Garamond" w:hAnsi="Garamond"/>
        </w:rPr>
        <w:tab/>
        <w:t xml:space="preserve">At this point, we can observe in sharp relief the opposition Maimon draws between the esotericism of paganism (and, if you wish, </w:t>
      </w:r>
      <w:proofErr w:type="spellStart"/>
      <w:r>
        <w:rPr>
          <w:rFonts w:ascii="Garamond" w:hAnsi="Garamond"/>
        </w:rPr>
        <w:t>Straussianism</w:t>
      </w:r>
      <w:proofErr w:type="spellEnd"/>
      <w:r>
        <w:rPr>
          <w:rFonts w:ascii="Garamond" w:hAnsi="Garamond"/>
        </w:rPr>
        <w:t>), and the esotericism</w:t>
      </w:r>
      <w:r w:rsidR="00C9472C">
        <w:rPr>
          <w:rFonts w:ascii="Garamond" w:hAnsi="Garamond"/>
        </w:rPr>
        <w:t xml:space="preserve"> that</w:t>
      </w:r>
      <w:r>
        <w:rPr>
          <w:rFonts w:ascii="Garamond" w:hAnsi="Garamond"/>
        </w:rPr>
        <w:t xml:space="preserve"> Maimon ascribes to Judaism.</w:t>
      </w:r>
    </w:p>
    <w:p w14:paraId="23B32C18" w14:textId="77777777" w:rsidR="00C427CA" w:rsidRDefault="00C427CA" w:rsidP="00C427CA">
      <w:pPr>
        <w:spacing w:line="480" w:lineRule="auto"/>
        <w:ind w:left="432" w:right="288"/>
        <w:jc w:val="both"/>
        <w:rPr>
          <w:rFonts w:ascii="Garamond" w:hAnsi="Garamond"/>
        </w:rPr>
      </w:pPr>
      <w:r w:rsidRPr="00C427CA">
        <w:rPr>
          <w:rFonts w:ascii="Garamond" w:hAnsi="Garamond"/>
        </w:rPr>
        <w:t xml:space="preserve">There can also be religious mysteries consisting of the knowledge that this religion, as an enlightened person understands it, has no mysteries at all. </w:t>
      </w:r>
      <w:r w:rsidRPr="00EF5ECC">
        <w:rPr>
          <w:rFonts w:ascii="Garamond" w:hAnsi="Garamond"/>
          <w:i/>
          <w:iCs/>
        </w:rPr>
        <w:t>Such knowledge can either go with an effort to gradually disabuse the people of mysteries and suppress the so-called minor mysteries by revealing the major ones, or, in contrast, with an effort to maintain the small mysteries among the people by making preservation of the minor mysteries a purpose of the major ones. In the spirit of its creator, Judaism is of the former type</w:t>
      </w:r>
      <w:r w:rsidRPr="00C427CA">
        <w:rPr>
          <w:rFonts w:ascii="Garamond" w:hAnsi="Garamond"/>
        </w:rPr>
        <w:t>.</w:t>
      </w:r>
      <w:r>
        <w:rPr>
          <w:rStyle w:val="FootnoteReference"/>
          <w:rFonts w:ascii="Garamond" w:hAnsi="Garamond"/>
        </w:rPr>
        <w:footnoteReference w:id="37"/>
      </w:r>
      <w:r w:rsidRPr="00C427CA">
        <w:rPr>
          <w:rFonts w:ascii="Garamond" w:hAnsi="Garamond"/>
        </w:rPr>
        <w:t xml:space="preserve"> </w:t>
      </w:r>
    </w:p>
    <w:p w14:paraId="038D5CFF" w14:textId="7AD8137A" w:rsidR="00C427CA" w:rsidRDefault="004762DF" w:rsidP="00C427CA">
      <w:pPr>
        <w:spacing w:line="480" w:lineRule="auto"/>
        <w:jc w:val="both"/>
        <w:rPr>
          <w:rFonts w:ascii="Garamond" w:hAnsi="Garamond"/>
        </w:rPr>
      </w:pPr>
      <w:r>
        <w:rPr>
          <w:rFonts w:ascii="Garamond" w:hAnsi="Garamond"/>
        </w:rPr>
        <w:t>Paganism</w:t>
      </w:r>
      <w:r w:rsidR="009920C5">
        <w:rPr>
          <w:rFonts w:ascii="Garamond" w:hAnsi="Garamond"/>
        </w:rPr>
        <w:t xml:space="preserve"> subordinates the larger mysteries to the smaller mysteries by suggesting that the smaller mysteries (i.e., the various religious rituals) are </w:t>
      </w:r>
      <w:r w:rsidR="009049D8">
        <w:rPr>
          <w:rFonts w:ascii="Garamond" w:hAnsi="Garamond"/>
        </w:rPr>
        <w:t xml:space="preserve">themselves </w:t>
      </w:r>
      <w:r w:rsidR="009920C5">
        <w:rPr>
          <w:rFonts w:ascii="Garamond" w:hAnsi="Garamond"/>
        </w:rPr>
        <w:t xml:space="preserve">the ultimate ends of religion. </w:t>
      </w:r>
      <w:r w:rsidR="009049D8">
        <w:rPr>
          <w:rFonts w:ascii="Garamond" w:hAnsi="Garamond"/>
        </w:rPr>
        <w:t>Moreover, for Maimon, paganism and atheism share much in common since both assert the irreducible reality of plurality and deny the existence of one cause behind all phenomena.</w:t>
      </w:r>
      <w:r w:rsidR="009049D8">
        <w:rPr>
          <w:rStyle w:val="FootnoteReference"/>
          <w:rFonts w:ascii="Garamond" w:hAnsi="Garamond"/>
        </w:rPr>
        <w:footnoteReference w:id="38"/>
      </w:r>
      <w:r w:rsidR="009049D8">
        <w:rPr>
          <w:rFonts w:ascii="Garamond" w:hAnsi="Garamond"/>
        </w:rPr>
        <w:t xml:space="preserve"> With respect to religious secrets, paganism and atheism </w:t>
      </w:r>
      <w:r w:rsidR="0018469A">
        <w:rPr>
          <w:rFonts w:ascii="Garamond" w:hAnsi="Garamond"/>
        </w:rPr>
        <w:t xml:space="preserve">both deny </w:t>
      </w:r>
      <w:r w:rsidR="009049D8">
        <w:rPr>
          <w:rFonts w:ascii="Garamond" w:hAnsi="Garamond"/>
        </w:rPr>
        <w:t>that behind the small mysteries of religious ritual</w:t>
      </w:r>
      <w:r w:rsidR="00F634E5">
        <w:rPr>
          <w:rFonts w:ascii="Garamond" w:hAnsi="Garamond"/>
        </w:rPr>
        <w:t>s</w:t>
      </w:r>
      <w:r w:rsidR="009049D8">
        <w:rPr>
          <w:rFonts w:ascii="Garamond" w:hAnsi="Garamond"/>
        </w:rPr>
        <w:t xml:space="preserve"> stand</w:t>
      </w:r>
      <w:r w:rsidR="00150A02">
        <w:rPr>
          <w:rFonts w:ascii="Garamond" w:hAnsi="Garamond"/>
        </w:rPr>
        <w:t>s</w:t>
      </w:r>
      <w:r w:rsidR="009049D8">
        <w:rPr>
          <w:rFonts w:ascii="Garamond" w:hAnsi="Garamond"/>
        </w:rPr>
        <w:t xml:space="preserve"> the in</w:t>
      </w:r>
      <w:r w:rsidR="00EF5ECC">
        <w:rPr>
          <w:rFonts w:ascii="Garamond" w:hAnsi="Garamond"/>
        </w:rPr>
        <w:t>e</w:t>
      </w:r>
      <w:r w:rsidR="009049D8">
        <w:rPr>
          <w:rFonts w:ascii="Garamond" w:hAnsi="Garamond"/>
        </w:rPr>
        <w:t>ffable secret of</w:t>
      </w:r>
      <w:r w:rsidR="00EF5ECC">
        <w:rPr>
          <w:rFonts w:ascii="Garamond" w:hAnsi="Garamond"/>
        </w:rPr>
        <w:t xml:space="preserve"> Spinozistic </w:t>
      </w:r>
      <w:proofErr w:type="spellStart"/>
      <w:r w:rsidR="00EF5ECC">
        <w:rPr>
          <w:rFonts w:ascii="Garamond" w:hAnsi="Garamond"/>
        </w:rPr>
        <w:t>acosmism</w:t>
      </w:r>
      <w:proofErr w:type="spellEnd"/>
      <w:r w:rsidR="00EF5ECC">
        <w:rPr>
          <w:rFonts w:ascii="Garamond" w:hAnsi="Garamond"/>
        </w:rPr>
        <w:t>. But it is precisely this last secret</w:t>
      </w:r>
      <w:r w:rsidR="00140713">
        <w:rPr>
          <w:rFonts w:ascii="Garamond" w:hAnsi="Garamond"/>
        </w:rPr>
        <w:t>, claims Maimon,</w:t>
      </w:r>
      <w:r w:rsidR="00EF5ECC">
        <w:rPr>
          <w:rFonts w:ascii="Garamond" w:hAnsi="Garamond"/>
        </w:rPr>
        <w:t xml:space="preserve"> which is </w:t>
      </w:r>
      <w:r w:rsidR="00315238">
        <w:rPr>
          <w:rFonts w:ascii="Garamond" w:hAnsi="Garamond"/>
        </w:rPr>
        <w:t xml:space="preserve">the </w:t>
      </w:r>
      <w:r w:rsidR="00EF5ECC">
        <w:rPr>
          <w:rFonts w:ascii="Garamond" w:hAnsi="Garamond"/>
        </w:rPr>
        <w:t>ultimate end of the Jewish religion.</w:t>
      </w:r>
      <w:r w:rsidR="009049D8">
        <w:rPr>
          <w:rFonts w:ascii="Garamond" w:hAnsi="Garamond"/>
        </w:rPr>
        <w:t xml:space="preserve"> </w:t>
      </w:r>
    </w:p>
    <w:p w14:paraId="56D940D6" w14:textId="4C030607" w:rsidR="00C427CA" w:rsidRDefault="00EF5ECC" w:rsidP="00315238">
      <w:pPr>
        <w:spacing w:line="480" w:lineRule="auto"/>
        <w:jc w:val="both"/>
        <w:rPr>
          <w:rFonts w:ascii="Garamond" w:hAnsi="Garamond"/>
        </w:rPr>
      </w:pPr>
      <w:r>
        <w:rPr>
          <w:rFonts w:ascii="Garamond" w:hAnsi="Garamond"/>
        </w:rPr>
        <w:lastRenderedPageBreak/>
        <w:tab/>
        <w:t>Immediately following the previous excerpt, Maimon continue</w:t>
      </w:r>
      <w:r w:rsidR="00140713">
        <w:rPr>
          <w:rFonts w:ascii="Garamond" w:hAnsi="Garamond"/>
        </w:rPr>
        <w:t>s</w:t>
      </w:r>
      <w:r>
        <w:rPr>
          <w:rFonts w:ascii="Garamond" w:hAnsi="Garamond"/>
        </w:rPr>
        <w:t xml:space="preserve"> his analysis of the purpose </w:t>
      </w:r>
      <w:r w:rsidR="00315238">
        <w:rPr>
          <w:rFonts w:ascii="Garamond" w:hAnsi="Garamond"/>
        </w:rPr>
        <w:t>and</w:t>
      </w:r>
      <w:r>
        <w:rPr>
          <w:rFonts w:ascii="Garamond" w:hAnsi="Garamond"/>
        </w:rPr>
        <w:t xml:space="preserve"> mysteries of Judaism, as opposed to those of</w:t>
      </w:r>
      <w:r w:rsidR="00315238">
        <w:rPr>
          <w:rFonts w:ascii="Garamond" w:hAnsi="Garamond"/>
        </w:rPr>
        <w:t xml:space="preserve"> paganism.</w:t>
      </w:r>
      <w:r>
        <w:rPr>
          <w:rFonts w:ascii="Garamond" w:hAnsi="Garamond"/>
        </w:rPr>
        <w:t xml:space="preserve">  </w:t>
      </w:r>
    </w:p>
    <w:p w14:paraId="4D335E82" w14:textId="77777777" w:rsidR="00A34180" w:rsidRDefault="00C427CA" w:rsidP="00C427CA">
      <w:pPr>
        <w:spacing w:line="480" w:lineRule="auto"/>
        <w:ind w:left="432" w:right="288"/>
        <w:jc w:val="both"/>
        <w:rPr>
          <w:rFonts w:ascii="Garamond" w:hAnsi="Garamond"/>
        </w:rPr>
      </w:pPr>
      <w:r w:rsidRPr="00C427CA">
        <w:rPr>
          <w:rFonts w:ascii="Garamond" w:hAnsi="Garamond"/>
        </w:rPr>
        <w:t xml:space="preserve">Both Moses and the prophets who followed him unfailingly stressed that external ceremonies are not the purpose of religion; </w:t>
      </w:r>
      <w:r w:rsidRPr="00315238">
        <w:rPr>
          <w:rFonts w:ascii="Garamond" w:hAnsi="Garamond"/>
          <w:i/>
          <w:iCs/>
        </w:rPr>
        <w:t>its purpose, rather, is knowledge of the true God as the single ineffable cause of all things</w:t>
      </w:r>
      <w:r w:rsidRPr="00315238">
        <w:rPr>
          <w:rFonts w:ascii="Garamond" w:hAnsi="Garamond"/>
        </w:rPr>
        <w:t xml:space="preserve"> </w:t>
      </w:r>
      <w:r w:rsidRPr="00C427CA">
        <w:rPr>
          <w:rFonts w:ascii="Garamond" w:hAnsi="Garamond"/>
        </w:rPr>
        <w:t xml:space="preserve">and the exercise of virtue according to the mandates of reason. Pagan religions, by contrast, show obvious signs of being of the second type. Still, I am not inclined to believe, as some are, that everything is intentionally set up in Paganism to be deceptive. I believe that the founders of these religions were in many cases </w:t>
      </w:r>
      <w:r w:rsidRPr="00C427CA">
        <w:rPr>
          <w:rFonts w:ascii="Garamond" w:hAnsi="Garamond"/>
          <w:i/>
          <w:iCs/>
        </w:rPr>
        <w:t>deceived deceivers.</w:t>
      </w:r>
      <w:r w:rsidR="00315238">
        <w:rPr>
          <w:rStyle w:val="FootnoteReference"/>
          <w:rFonts w:ascii="Garamond" w:hAnsi="Garamond"/>
          <w:i/>
          <w:iCs/>
        </w:rPr>
        <w:footnoteReference w:id="39"/>
      </w:r>
      <w:r w:rsidRPr="00C427CA">
        <w:rPr>
          <w:rFonts w:ascii="Garamond" w:hAnsi="Garamond"/>
        </w:rPr>
        <w:t xml:space="preserve"> </w:t>
      </w:r>
    </w:p>
    <w:p w14:paraId="70F5AC83" w14:textId="77777777" w:rsidR="00A34180" w:rsidRDefault="00A34180" w:rsidP="00C427CA">
      <w:pPr>
        <w:spacing w:line="480" w:lineRule="auto"/>
        <w:ind w:left="432" w:right="288"/>
        <w:jc w:val="both"/>
        <w:rPr>
          <w:rFonts w:ascii="Garamond" w:hAnsi="Garamond"/>
        </w:rPr>
      </w:pPr>
    </w:p>
    <w:p w14:paraId="7963BF8A" w14:textId="7E2EBF44" w:rsidR="00A34180" w:rsidRPr="00A34180" w:rsidRDefault="00223CC5" w:rsidP="00A34180">
      <w:pPr>
        <w:spacing w:line="480" w:lineRule="auto"/>
        <w:jc w:val="both"/>
        <w:rPr>
          <w:rFonts w:ascii="Garamond" w:hAnsi="Garamond"/>
          <w:u w:val="single"/>
        </w:rPr>
      </w:pPr>
      <w:r w:rsidRPr="00223CC5">
        <w:rPr>
          <w:rFonts w:ascii="Garamond" w:hAnsi="Garamond"/>
        </w:rPr>
        <w:tab/>
      </w:r>
      <w:r w:rsidR="00A34180" w:rsidRPr="00A34180">
        <w:rPr>
          <w:rFonts w:ascii="Garamond" w:hAnsi="Garamond"/>
          <w:u w:val="single"/>
        </w:rPr>
        <w:t xml:space="preserve">Conclusion </w:t>
      </w:r>
    </w:p>
    <w:p w14:paraId="36ECA45E" w14:textId="21D55693" w:rsidR="00D0548B" w:rsidRDefault="00114F8F" w:rsidP="00D0548B">
      <w:pPr>
        <w:spacing w:line="480" w:lineRule="auto"/>
        <w:jc w:val="both"/>
        <w:rPr>
          <w:rFonts w:ascii="Garamond" w:hAnsi="Garamond"/>
        </w:rPr>
      </w:pPr>
      <w:r>
        <w:rPr>
          <w:rFonts w:ascii="Garamond" w:hAnsi="Garamond"/>
        </w:rPr>
        <w:tab/>
        <w:t>In an earlier work</w:t>
      </w:r>
      <w:r w:rsidR="00981D57">
        <w:rPr>
          <w:rFonts w:ascii="Garamond" w:hAnsi="Garamond"/>
        </w:rPr>
        <w:t>,</w:t>
      </w:r>
      <w:r>
        <w:rPr>
          <w:rFonts w:ascii="Garamond" w:hAnsi="Garamond"/>
        </w:rPr>
        <w:t xml:space="preserve"> I have shown that Maimon identified Spinoza’s philosophy with the Kabbalah.</w:t>
      </w:r>
      <w:r w:rsidR="003D7F60">
        <w:rPr>
          <w:rStyle w:val="FootnoteReference"/>
          <w:rFonts w:ascii="Garamond" w:hAnsi="Garamond"/>
        </w:rPr>
        <w:footnoteReference w:id="40"/>
      </w:r>
      <w:r>
        <w:rPr>
          <w:rFonts w:ascii="Garamond" w:hAnsi="Garamond"/>
        </w:rPr>
        <w:t xml:space="preserve"> </w:t>
      </w:r>
      <w:r w:rsidR="003D7F60">
        <w:rPr>
          <w:rFonts w:ascii="Garamond" w:hAnsi="Garamond"/>
        </w:rPr>
        <w:t xml:space="preserve">Such an identification </w:t>
      </w:r>
      <w:r w:rsidR="005D03A6">
        <w:rPr>
          <w:rFonts w:ascii="Garamond" w:hAnsi="Garamond"/>
        </w:rPr>
        <w:t>was</w:t>
      </w:r>
      <w:r w:rsidR="005E0ABC">
        <w:rPr>
          <w:rFonts w:ascii="Garamond" w:hAnsi="Garamond"/>
        </w:rPr>
        <w:t xml:space="preserve"> already</w:t>
      </w:r>
      <w:r w:rsidR="003D7F60">
        <w:rPr>
          <w:rFonts w:ascii="Garamond" w:hAnsi="Garamond"/>
        </w:rPr>
        <w:t xml:space="preserve"> suggested by Georg Wachter almost a century before Maimon.</w:t>
      </w:r>
      <w:r w:rsidR="00981D57">
        <w:rPr>
          <w:rStyle w:val="FootnoteReference"/>
          <w:rFonts w:ascii="Garamond" w:hAnsi="Garamond"/>
        </w:rPr>
        <w:footnoteReference w:id="41"/>
      </w:r>
      <w:r w:rsidR="003D7F60">
        <w:rPr>
          <w:rFonts w:ascii="Garamond" w:hAnsi="Garamond"/>
        </w:rPr>
        <w:t xml:space="preserve"> However, unlike Wachter, Maimon had a deep and extensive knowledge of Kabbalistic writings in their original languages of Hebrew and Aramaic. In fact, in his early years, Maimon himself was an up-and-coming Kabbalist, and we still </w:t>
      </w:r>
      <w:r w:rsidR="00981D57">
        <w:rPr>
          <w:rFonts w:ascii="Garamond" w:hAnsi="Garamond"/>
        </w:rPr>
        <w:t>possess</w:t>
      </w:r>
      <w:r w:rsidR="003D7F60">
        <w:rPr>
          <w:rFonts w:ascii="Garamond" w:hAnsi="Garamond"/>
        </w:rPr>
        <w:t xml:space="preserve"> his early Kabbalistic manuscripts.</w:t>
      </w:r>
      <w:r w:rsidR="00981D57">
        <w:rPr>
          <w:rStyle w:val="FootnoteReference"/>
          <w:rFonts w:ascii="Garamond" w:hAnsi="Garamond"/>
        </w:rPr>
        <w:footnoteReference w:id="42"/>
      </w:r>
      <w:r w:rsidR="00B969B2">
        <w:rPr>
          <w:rFonts w:ascii="Garamond" w:hAnsi="Garamond"/>
        </w:rPr>
        <w:t xml:space="preserve"> </w:t>
      </w:r>
      <w:r w:rsidR="00D0548B">
        <w:rPr>
          <w:rFonts w:ascii="Garamond" w:hAnsi="Garamond"/>
        </w:rPr>
        <w:t xml:space="preserve">The fact that Maimon – whose knowledge of the Kabbalah </w:t>
      </w:r>
      <w:r w:rsidR="00D0548B">
        <w:rPr>
          <w:rFonts w:ascii="Garamond" w:hAnsi="Garamond"/>
        </w:rPr>
        <w:lastRenderedPageBreak/>
        <w:t>was quite intimate – strongly associated Spinoza and the Kabbalah is significant, and I suspect that Maimon’s view of Spinoza’s acosmism as the greatest secret of the Jewish religion had</w:t>
      </w:r>
      <w:r w:rsidR="007657E4">
        <w:rPr>
          <w:rFonts w:ascii="Garamond" w:hAnsi="Garamond"/>
        </w:rPr>
        <w:t xml:space="preserve"> a </w:t>
      </w:r>
      <w:r w:rsidR="00D0548B">
        <w:rPr>
          <w:rFonts w:ascii="Garamond" w:hAnsi="Garamond"/>
        </w:rPr>
        <w:t xml:space="preserve"> non-negligible role in the subsequent reception pf Spinoza’s philosophy as Jewish (in spite of Spinoza’s expulsion from the Amsterdam Portuguese-Jewish community).</w:t>
      </w:r>
    </w:p>
    <w:p w14:paraId="4567AF3B" w14:textId="182D9137" w:rsidR="00D0548B" w:rsidRDefault="00D0548B" w:rsidP="007C0090">
      <w:pPr>
        <w:spacing w:line="480" w:lineRule="auto"/>
        <w:jc w:val="both"/>
        <w:rPr>
          <w:rFonts w:ascii="Garamond" w:hAnsi="Garamond"/>
        </w:rPr>
      </w:pPr>
      <w:r>
        <w:rPr>
          <w:rFonts w:ascii="Garamond" w:hAnsi="Garamond"/>
        </w:rPr>
        <w:tab/>
        <w:t xml:space="preserve">Maimon’s political theology has little in common with Schmitt’s and in many </w:t>
      </w:r>
      <w:proofErr w:type="gramStart"/>
      <w:r>
        <w:rPr>
          <w:rFonts w:ascii="Garamond" w:hAnsi="Garamond"/>
        </w:rPr>
        <w:t>ways</w:t>
      </w:r>
      <w:proofErr w:type="gramEnd"/>
      <w:r>
        <w:rPr>
          <w:rFonts w:ascii="Garamond" w:hAnsi="Garamond"/>
        </w:rPr>
        <w:t xml:space="preserve"> it is diametrically opposed to Strauss’</w:t>
      </w:r>
      <w:r w:rsidR="001D5585">
        <w:rPr>
          <w:rFonts w:ascii="Garamond" w:hAnsi="Garamond"/>
        </w:rPr>
        <w:t>s</w:t>
      </w:r>
      <w:r>
        <w:rPr>
          <w:rFonts w:ascii="Garamond" w:hAnsi="Garamond"/>
        </w:rPr>
        <w:t>.</w:t>
      </w:r>
      <w:r w:rsidR="007C0090">
        <w:rPr>
          <w:rFonts w:ascii="Garamond" w:hAnsi="Garamond"/>
        </w:rPr>
        <w:t xml:space="preserve"> While Strauss followed Jacobi in assuming that strict rationalism leads to atheism, Maimon – and</w:t>
      </w:r>
      <w:r w:rsidR="00DD7A0F">
        <w:rPr>
          <w:rFonts w:ascii="Garamond" w:hAnsi="Garamond"/>
        </w:rPr>
        <w:t>,</w:t>
      </w:r>
      <w:r w:rsidR="007C0090">
        <w:rPr>
          <w:rFonts w:ascii="Garamond" w:hAnsi="Garamond"/>
        </w:rPr>
        <w:t xml:space="preserve"> arguably, Spinoza as well </w:t>
      </w:r>
      <w:r w:rsidR="00F634E5">
        <w:rPr>
          <w:rStyle w:val="FootnoteReference"/>
          <w:rFonts w:ascii="Garamond" w:hAnsi="Garamond"/>
        </w:rPr>
        <w:footnoteReference w:id="43"/>
      </w:r>
      <w:r w:rsidR="007C0090">
        <w:rPr>
          <w:rFonts w:ascii="Garamond" w:hAnsi="Garamond"/>
        </w:rPr>
        <w:t>– w</w:t>
      </w:r>
      <w:r w:rsidR="00DD7A0F">
        <w:rPr>
          <w:rFonts w:ascii="Garamond" w:hAnsi="Garamond"/>
        </w:rPr>
        <w:t>as</w:t>
      </w:r>
      <w:r w:rsidR="007C0090">
        <w:rPr>
          <w:rFonts w:ascii="Garamond" w:hAnsi="Garamond"/>
        </w:rPr>
        <w:t xml:space="preserve"> essentially aligned with Maimonides’</w:t>
      </w:r>
      <w:r w:rsidR="000A0FDD">
        <w:rPr>
          <w:rFonts w:ascii="Garamond" w:hAnsi="Garamond"/>
        </w:rPr>
        <w:t>s</w:t>
      </w:r>
      <w:r w:rsidR="007C0090">
        <w:rPr>
          <w:rFonts w:ascii="Garamond" w:hAnsi="Garamond"/>
        </w:rPr>
        <w:t xml:space="preserve"> vehement attack on anthropomorphic religion</w:t>
      </w:r>
      <w:r w:rsidR="008F5D8B">
        <w:rPr>
          <w:rFonts w:ascii="Garamond" w:hAnsi="Garamond"/>
        </w:rPr>
        <w:t>. A</w:t>
      </w:r>
      <w:r w:rsidR="007C0090">
        <w:rPr>
          <w:rFonts w:ascii="Garamond" w:hAnsi="Garamond"/>
        </w:rPr>
        <w:t xml:space="preserve">t bottom, </w:t>
      </w:r>
      <w:r w:rsidR="005A3F48">
        <w:rPr>
          <w:rFonts w:ascii="Garamond" w:hAnsi="Garamond"/>
        </w:rPr>
        <w:t>though</w:t>
      </w:r>
      <w:r w:rsidR="008F5D8B">
        <w:rPr>
          <w:rFonts w:ascii="Garamond" w:hAnsi="Garamond"/>
        </w:rPr>
        <w:t xml:space="preserve">, </w:t>
      </w:r>
      <w:r w:rsidR="00424223">
        <w:rPr>
          <w:rFonts w:ascii="Garamond" w:hAnsi="Garamond"/>
        </w:rPr>
        <w:t>this</w:t>
      </w:r>
      <w:r w:rsidR="007C0090">
        <w:rPr>
          <w:rFonts w:ascii="Garamond" w:hAnsi="Garamond"/>
        </w:rPr>
        <w:t xml:space="preserve"> attack</w:t>
      </w:r>
      <w:r w:rsidR="005A3F48">
        <w:rPr>
          <w:rFonts w:ascii="Garamond" w:hAnsi="Garamond"/>
        </w:rPr>
        <w:t xml:space="preserve"> was</w:t>
      </w:r>
      <w:r w:rsidR="007C0090">
        <w:rPr>
          <w:rFonts w:ascii="Garamond" w:hAnsi="Garamond"/>
        </w:rPr>
        <w:t xml:space="preserve"> in the name</w:t>
      </w:r>
      <w:r w:rsidR="00E12758">
        <w:rPr>
          <w:rFonts w:ascii="Garamond" w:hAnsi="Garamond"/>
        </w:rPr>
        <w:t xml:space="preserve"> of the single ineffable ground of all things.</w:t>
      </w:r>
    </w:p>
    <w:p w14:paraId="53BD7CAB" w14:textId="77777777" w:rsidR="007C0090" w:rsidRDefault="007C0090" w:rsidP="007C0090">
      <w:pPr>
        <w:spacing w:line="480" w:lineRule="auto"/>
        <w:jc w:val="both"/>
        <w:rPr>
          <w:rFonts w:ascii="Garamond" w:hAnsi="Garamond"/>
        </w:rPr>
      </w:pPr>
    </w:p>
    <w:p w14:paraId="1F952B15" w14:textId="2B947546" w:rsidR="003533A1" w:rsidRPr="00186938" w:rsidRDefault="003533A1" w:rsidP="00A34180">
      <w:pPr>
        <w:spacing w:line="480" w:lineRule="auto"/>
        <w:jc w:val="both"/>
        <w:rPr>
          <w:rFonts w:ascii="Garamond" w:hAnsi="Garamond"/>
        </w:rPr>
      </w:pPr>
      <w:r w:rsidRPr="00186938">
        <w:rPr>
          <w:rFonts w:ascii="Garamond" w:hAnsi="Garamond"/>
        </w:rPr>
        <w:br w:type="page"/>
      </w:r>
    </w:p>
    <w:p w14:paraId="350A8A2B" w14:textId="1A288579" w:rsidR="00917DF7" w:rsidRPr="00E86DC0" w:rsidRDefault="00917DF7" w:rsidP="002A1BB5">
      <w:pPr>
        <w:spacing w:line="480" w:lineRule="auto"/>
        <w:jc w:val="both"/>
        <w:rPr>
          <w:rFonts w:ascii="Garamond" w:hAnsi="Garamond"/>
          <w:u w:val="single"/>
        </w:rPr>
      </w:pPr>
      <w:r w:rsidRPr="00E86DC0">
        <w:rPr>
          <w:rFonts w:ascii="Garamond" w:hAnsi="Garamond"/>
          <w:u w:val="single"/>
        </w:rPr>
        <w:lastRenderedPageBreak/>
        <w:t>Bibliography</w:t>
      </w:r>
    </w:p>
    <w:p w14:paraId="6BD51339" w14:textId="14990EB5" w:rsidR="008F0666" w:rsidRDefault="008F0666" w:rsidP="008F0666">
      <w:pPr>
        <w:spacing w:line="480" w:lineRule="auto"/>
        <w:jc w:val="both"/>
        <w:rPr>
          <w:rFonts w:ascii="Garamond" w:hAnsi="Garamond"/>
        </w:rPr>
      </w:pPr>
      <w:bookmarkStart w:id="1" w:name="Ref_143"/>
      <w:r w:rsidRPr="008F0666">
        <w:rPr>
          <w:rFonts w:ascii="Garamond" w:hAnsi="Garamond"/>
        </w:rPr>
        <w:t>Harvey, Warren Zev</w:t>
      </w:r>
      <w:r>
        <w:rPr>
          <w:rFonts w:ascii="Garamond" w:hAnsi="Garamond"/>
        </w:rPr>
        <w:t>.</w:t>
      </w:r>
      <w:r w:rsidRPr="008F0666">
        <w:rPr>
          <w:rFonts w:ascii="Garamond" w:hAnsi="Garamond"/>
        </w:rPr>
        <w:t xml:space="preserve"> </w:t>
      </w:r>
      <w:r>
        <w:rPr>
          <w:rFonts w:ascii="Garamond" w:hAnsi="Garamond"/>
        </w:rPr>
        <w:t>“</w:t>
      </w:r>
      <w:r w:rsidRPr="008F0666">
        <w:rPr>
          <w:rFonts w:ascii="Garamond" w:hAnsi="Garamond"/>
        </w:rPr>
        <w:t xml:space="preserve">How to Begin to Study Strauss' 'How to Begin to Study the </w:t>
      </w:r>
      <w:r w:rsidRPr="008F0666">
        <w:rPr>
          <w:rFonts w:ascii="Garamond" w:hAnsi="Garamond"/>
          <w:i/>
          <w:iCs/>
        </w:rPr>
        <w:t>Guide of the Perplexed</w:t>
      </w:r>
      <w:r w:rsidRPr="008F0666">
        <w:rPr>
          <w:rFonts w:ascii="Garamond" w:hAnsi="Garamond"/>
        </w:rPr>
        <w:t xml:space="preserve">,'" in Charles H. </w:t>
      </w:r>
      <w:proofErr w:type="spellStart"/>
      <w:r w:rsidRPr="008F0666">
        <w:rPr>
          <w:rFonts w:ascii="Garamond" w:hAnsi="Garamond"/>
        </w:rPr>
        <w:t>Manekin</w:t>
      </w:r>
      <w:proofErr w:type="spellEnd"/>
      <w:r w:rsidRPr="008F0666">
        <w:rPr>
          <w:rFonts w:ascii="Garamond" w:hAnsi="Garamond"/>
        </w:rPr>
        <w:t xml:space="preserve"> and Daniel Davies, eds., </w:t>
      </w:r>
      <w:r w:rsidRPr="008F0666">
        <w:rPr>
          <w:rFonts w:ascii="Garamond" w:hAnsi="Garamond"/>
          <w:i/>
          <w:iCs/>
        </w:rPr>
        <w:t>Interpreting Maimonides</w:t>
      </w:r>
      <w:r w:rsidRPr="008F0666">
        <w:rPr>
          <w:rFonts w:ascii="Garamond" w:hAnsi="Garamond"/>
        </w:rPr>
        <w:t>, Cambridge: Cambridge University Press, 2019, 228-246.</w:t>
      </w:r>
    </w:p>
    <w:p w14:paraId="5C17E4C5" w14:textId="53FB5412" w:rsidR="008F0666" w:rsidRDefault="00F81C5F" w:rsidP="008F0666">
      <w:pPr>
        <w:spacing w:line="480" w:lineRule="auto"/>
        <w:jc w:val="both"/>
        <w:rPr>
          <w:rFonts w:ascii="Garamond" w:hAnsi="Garamond"/>
        </w:rPr>
      </w:pPr>
      <w:r w:rsidRPr="00F81C5F">
        <w:rPr>
          <w:rFonts w:ascii="Garamond" w:hAnsi="Garamond"/>
        </w:rPr>
        <w:t>Hegel,</w:t>
      </w:r>
      <w:r w:rsidR="00212930">
        <w:rPr>
          <w:rFonts w:ascii="Garamond" w:hAnsi="Garamond"/>
        </w:rPr>
        <w:t xml:space="preserve"> G.W.F.</w:t>
      </w:r>
      <w:r w:rsidRPr="00F81C5F">
        <w:rPr>
          <w:rFonts w:ascii="Garamond" w:hAnsi="Garamond"/>
        </w:rPr>
        <w:t xml:space="preserve"> </w:t>
      </w:r>
      <w:proofErr w:type="spellStart"/>
      <w:r w:rsidRPr="00212930">
        <w:rPr>
          <w:rFonts w:ascii="Garamond" w:hAnsi="Garamond"/>
          <w:i/>
          <w:iCs/>
        </w:rPr>
        <w:t>Vorlesungen</w:t>
      </w:r>
      <w:proofErr w:type="spellEnd"/>
      <w:r w:rsidRPr="00212930">
        <w:rPr>
          <w:rFonts w:ascii="Garamond" w:hAnsi="Garamond"/>
          <w:i/>
          <w:iCs/>
        </w:rPr>
        <w:t xml:space="preserve"> </w:t>
      </w:r>
      <w:proofErr w:type="spellStart"/>
      <w:r w:rsidRPr="00212930">
        <w:rPr>
          <w:rFonts w:ascii="Garamond" w:hAnsi="Garamond"/>
          <w:i/>
          <w:iCs/>
        </w:rPr>
        <w:t>u</w:t>
      </w:r>
      <w:r w:rsidRPr="00212930">
        <w:rPr>
          <w:rFonts w:ascii="Times New Roman" w:hAnsi="Times New Roman" w:cs="Times New Roman"/>
          <w:i/>
          <w:iCs/>
        </w:rPr>
        <w:t>̈</w:t>
      </w:r>
      <w:r w:rsidRPr="00212930">
        <w:rPr>
          <w:rFonts w:ascii="Garamond" w:hAnsi="Garamond"/>
          <w:i/>
          <w:iCs/>
        </w:rPr>
        <w:t>ber</w:t>
      </w:r>
      <w:proofErr w:type="spellEnd"/>
      <w:r w:rsidRPr="00212930">
        <w:rPr>
          <w:rFonts w:ascii="Garamond" w:hAnsi="Garamond"/>
          <w:i/>
          <w:iCs/>
        </w:rPr>
        <w:t xml:space="preserve"> die </w:t>
      </w:r>
      <w:proofErr w:type="spellStart"/>
      <w:r w:rsidRPr="00212930">
        <w:rPr>
          <w:rFonts w:ascii="Garamond" w:hAnsi="Garamond"/>
          <w:i/>
          <w:iCs/>
        </w:rPr>
        <w:t>Geschichte</w:t>
      </w:r>
      <w:proofErr w:type="spellEnd"/>
      <w:r w:rsidRPr="00212930">
        <w:rPr>
          <w:rFonts w:ascii="Garamond" w:hAnsi="Garamond"/>
          <w:i/>
          <w:iCs/>
        </w:rPr>
        <w:t xml:space="preserve"> der Philosophie</w:t>
      </w:r>
      <w:r w:rsidR="00212930">
        <w:rPr>
          <w:rFonts w:ascii="Garamond" w:hAnsi="Garamond"/>
        </w:rPr>
        <w:t>. E</w:t>
      </w:r>
      <w:r w:rsidRPr="00F81C5F">
        <w:rPr>
          <w:rFonts w:ascii="Garamond" w:hAnsi="Garamond"/>
        </w:rPr>
        <w:t>d. Eva Moldenhauer and Karl Markus</w:t>
      </w:r>
      <w:r>
        <w:rPr>
          <w:rFonts w:ascii="Garamond" w:hAnsi="Garamond"/>
        </w:rPr>
        <w:t xml:space="preserve"> </w:t>
      </w:r>
      <w:r w:rsidRPr="00F81C5F">
        <w:rPr>
          <w:rFonts w:ascii="Garamond" w:hAnsi="Garamond"/>
        </w:rPr>
        <w:t>Michel</w:t>
      </w:r>
      <w:r w:rsidR="00212930">
        <w:rPr>
          <w:rFonts w:ascii="Garamond" w:hAnsi="Garamond"/>
        </w:rPr>
        <w:t>.</w:t>
      </w:r>
      <w:r w:rsidRPr="00F81C5F">
        <w:rPr>
          <w:rFonts w:ascii="Garamond" w:hAnsi="Garamond"/>
        </w:rPr>
        <w:t xml:space="preserve"> Frankfurt </w:t>
      </w:r>
      <w:proofErr w:type="spellStart"/>
      <w:r w:rsidRPr="00F81C5F">
        <w:rPr>
          <w:rFonts w:ascii="Garamond" w:hAnsi="Garamond"/>
        </w:rPr>
        <w:t>a.M.</w:t>
      </w:r>
      <w:proofErr w:type="spellEnd"/>
      <w:r w:rsidRPr="00F81C5F">
        <w:rPr>
          <w:rFonts w:ascii="Garamond" w:hAnsi="Garamond"/>
        </w:rPr>
        <w:t xml:space="preserve">: </w:t>
      </w:r>
      <w:proofErr w:type="spellStart"/>
      <w:r w:rsidRPr="00F81C5F">
        <w:rPr>
          <w:rFonts w:ascii="Garamond" w:hAnsi="Garamond"/>
        </w:rPr>
        <w:t>Suhrkamp</w:t>
      </w:r>
      <w:proofErr w:type="spellEnd"/>
      <w:r w:rsidRPr="00F81C5F">
        <w:rPr>
          <w:rFonts w:ascii="Garamond" w:hAnsi="Garamond"/>
        </w:rPr>
        <w:t>, 1986</w:t>
      </w:r>
      <w:r w:rsidR="00212930">
        <w:rPr>
          <w:rFonts w:ascii="Garamond" w:hAnsi="Garamond"/>
        </w:rPr>
        <w:t>.</w:t>
      </w:r>
    </w:p>
    <w:p w14:paraId="2DC37A79" w14:textId="2D445D50" w:rsidR="00B969B2" w:rsidRDefault="00B969B2" w:rsidP="00F81C5F">
      <w:pPr>
        <w:spacing w:line="480" w:lineRule="auto"/>
        <w:jc w:val="both"/>
        <w:rPr>
          <w:rFonts w:ascii="Garamond" w:hAnsi="Garamond"/>
        </w:rPr>
      </w:pPr>
      <w:proofErr w:type="spellStart"/>
      <w:r>
        <w:rPr>
          <w:rFonts w:ascii="Garamond" w:hAnsi="Garamond"/>
        </w:rPr>
        <w:t>Idel</w:t>
      </w:r>
      <w:proofErr w:type="spellEnd"/>
      <w:r>
        <w:rPr>
          <w:rFonts w:ascii="Garamond" w:hAnsi="Garamond"/>
        </w:rPr>
        <w:t xml:space="preserve">, Moshe. “Solomon Maimon and the Kabbalah.” </w:t>
      </w:r>
      <w:r w:rsidRPr="00B969B2">
        <w:rPr>
          <w:rFonts w:ascii="Garamond" w:hAnsi="Garamond"/>
          <w:i/>
          <w:iCs/>
        </w:rPr>
        <w:t>Kabbalah 28</w:t>
      </w:r>
      <w:r>
        <w:rPr>
          <w:rFonts w:ascii="Garamond" w:hAnsi="Garamond"/>
        </w:rPr>
        <w:t xml:space="preserve"> (2012): 67-105.</w:t>
      </w:r>
    </w:p>
    <w:p w14:paraId="7359CA44" w14:textId="642A8B75" w:rsidR="00BD34F5" w:rsidRDefault="00BD34F5" w:rsidP="00BD34F5">
      <w:pPr>
        <w:spacing w:line="480" w:lineRule="auto"/>
        <w:jc w:val="both"/>
        <w:rPr>
          <w:rFonts w:ascii="Garamond" w:hAnsi="Garamond"/>
        </w:rPr>
      </w:pPr>
      <w:r w:rsidRPr="009F4EB1">
        <w:rPr>
          <w:rFonts w:ascii="Garamond" w:hAnsi="Garamond"/>
        </w:rPr>
        <w:t xml:space="preserve">Kant, Immanuel. </w:t>
      </w:r>
      <w:r w:rsidRPr="009F4EB1">
        <w:rPr>
          <w:rFonts w:ascii="Garamond" w:hAnsi="Garamond"/>
          <w:i/>
        </w:rPr>
        <w:t>Critique of Pure Reason</w:t>
      </w:r>
      <w:r w:rsidRPr="009F4EB1">
        <w:rPr>
          <w:rFonts w:ascii="Garamond" w:hAnsi="Garamond"/>
        </w:rPr>
        <w:t>. Translated by Paul Guyer and Allen W. Wood. Cambridge, UK: Cambridge University Press, 1998.</w:t>
      </w:r>
      <w:bookmarkEnd w:id="1"/>
    </w:p>
    <w:p w14:paraId="391EF6C2" w14:textId="107E200D" w:rsidR="00BD34F5" w:rsidRPr="00BD34F5" w:rsidRDefault="00BD34F5" w:rsidP="00BD34F5">
      <w:pPr>
        <w:spacing w:line="480" w:lineRule="auto"/>
        <w:jc w:val="both"/>
        <w:rPr>
          <w:rFonts w:ascii="Garamond" w:hAnsi="Garamond"/>
        </w:rPr>
      </w:pPr>
      <w:r w:rsidRPr="002A1BB5">
        <w:rPr>
          <w:rFonts w:ascii="Garamond" w:hAnsi="Garamond"/>
          <w:i/>
          <w:iCs/>
        </w:rPr>
        <w:t>———.</w:t>
      </w:r>
      <w:r>
        <w:rPr>
          <w:rFonts w:ascii="Garamond" w:hAnsi="Garamond"/>
          <w:i/>
          <w:iCs/>
        </w:rPr>
        <w:t xml:space="preserve"> </w:t>
      </w:r>
      <w:r w:rsidRPr="00EA6616">
        <w:rPr>
          <w:rFonts w:ascii="Garamond" w:hAnsi="Garamond"/>
          <w:i/>
          <w:iCs/>
        </w:rPr>
        <w:t>Correspondence</w:t>
      </w:r>
      <w:r>
        <w:rPr>
          <w:rFonts w:ascii="Garamond" w:hAnsi="Garamond"/>
        </w:rPr>
        <w:t xml:space="preserve">. </w:t>
      </w:r>
      <w:r w:rsidR="00EA6616">
        <w:rPr>
          <w:rFonts w:ascii="Garamond" w:hAnsi="Garamond"/>
        </w:rPr>
        <w:t xml:space="preserve">Translated and edited by Arnulf </w:t>
      </w:r>
      <w:proofErr w:type="spellStart"/>
      <w:r w:rsidR="00EA6616">
        <w:rPr>
          <w:rFonts w:ascii="Garamond" w:hAnsi="Garamond"/>
        </w:rPr>
        <w:t>Zeig</w:t>
      </w:r>
      <w:proofErr w:type="spellEnd"/>
      <w:r w:rsidR="00EA6616">
        <w:rPr>
          <w:rFonts w:ascii="Garamond" w:hAnsi="Garamond"/>
        </w:rPr>
        <w:t>. Cambridge: Cambridge University Press, 1999.</w:t>
      </w:r>
    </w:p>
    <w:p w14:paraId="14F51560" w14:textId="6B2AECBD" w:rsidR="0068635E" w:rsidRDefault="0068635E" w:rsidP="0068635E">
      <w:pPr>
        <w:spacing w:line="480" w:lineRule="auto"/>
        <w:jc w:val="both"/>
        <w:rPr>
          <w:rFonts w:ascii="Garamond" w:hAnsi="Garamond"/>
          <w:iCs/>
        </w:rPr>
      </w:pPr>
      <w:r w:rsidRPr="0068635E">
        <w:rPr>
          <w:rFonts w:ascii="Garamond" w:hAnsi="Garamond"/>
          <w:iCs/>
        </w:rPr>
        <w:t xml:space="preserve">Kraemer, Joel L. “The Medieval Arabic Enlightenment” in Steven B. Smith (ed.), </w:t>
      </w:r>
      <w:r w:rsidRPr="0068635E">
        <w:rPr>
          <w:rFonts w:ascii="Garamond" w:hAnsi="Garamond"/>
          <w:i/>
        </w:rPr>
        <w:t>Cambridge Companion to Strauss</w:t>
      </w:r>
      <w:r w:rsidRPr="0068635E">
        <w:rPr>
          <w:rFonts w:ascii="Garamond" w:hAnsi="Garamond"/>
          <w:iCs/>
        </w:rPr>
        <w:t>. Cambridge: Cambridge University Press, 2009, 137-170.</w:t>
      </w:r>
    </w:p>
    <w:p w14:paraId="68C8F011" w14:textId="1E58C897" w:rsidR="00981D57" w:rsidRPr="0068635E" w:rsidRDefault="00981D57" w:rsidP="00981D57">
      <w:pPr>
        <w:spacing w:line="480" w:lineRule="auto"/>
        <w:jc w:val="both"/>
        <w:rPr>
          <w:rFonts w:ascii="Garamond" w:hAnsi="Garamond"/>
          <w:iCs/>
        </w:rPr>
      </w:pPr>
      <w:proofErr w:type="spellStart"/>
      <w:r w:rsidRPr="00981D57">
        <w:rPr>
          <w:rFonts w:ascii="Garamond" w:hAnsi="Garamond"/>
          <w:iCs/>
        </w:rPr>
        <w:t>Lærke</w:t>
      </w:r>
      <w:proofErr w:type="spellEnd"/>
      <w:r w:rsidRPr="00981D57">
        <w:rPr>
          <w:rFonts w:ascii="Garamond" w:hAnsi="Garamond"/>
          <w:iCs/>
        </w:rPr>
        <w:t>, M</w:t>
      </w:r>
      <w:r>
        <w:rPr>
          <w:rFonts w:ascii="Garamond" w:hAnsi="Garamond"/>
          <w:iCs/>
        </w:rPr>
        <w:t>ogens</w:t>
      </w:r>
      <w:r w:rsidRPr="00981D57">
        <w:rPr>
          <w:rFonts w:ascii="Garamond" w:hAnsi="Garamond"/>
          <w:iCs/>
        </w:rPr>
        <w:t xml:space="preserve">. 2021. </w:t>
      </w:r>
      <w:r>
        <w:rPr>
          <w:rFonts w:ascii="Garamond" w:hAnsi="Garamond"/>
          <w:iCs/>
        </w:rPr>
        <w:t>“</w:t>
      </w:r>
      <w:r w:rsidRPr="00981D57">
        <w:rPr>
          <w:rFonts w:ascii="Garamond" w:hAnsi="Garamond"/>
          <w:iCs/>
        </w:rPr>
        <w:t>Spinozism, Kabbalism, and Idealism from Johann Georg Wachter to Moses Mendelssohn.</w:t>
      </w:r>
      <w:r>
        <w:rPr>
          <w:rFonts w:ascii="Garamond" w:hAnsi="Garamond"/>
          <w:iCs/>
        </w:rPr>
        <w:t>”</w:t>
      </w:r>
      <w:r w:rsidRPr="00981D57">
        <w:rPr>
          <w:rFonts w:ascii="Garamond" w:hAnsi="Garamond"/>
          <w:iCs/>
        </w:rPr>
        <w:t xml:space="preserve"> </w:t>
      </w:r>
      <w:r w:rsidRPr="00981D57">
        <w:rPr>
          <w:rFonts w:ascii="Garamond" w:hAnsi="Garamond"/>
          <w:i/>
          <w:iCs/>
        </w:rPr>
        <w:t>Journal of Modern Philosophy</w:t>
      </w:r>
      <w:r w:rsidRPr="00981D57">
        <w:rPr>
          <w:rFonts w:ascii="Garamond" w:hAnsi="Garamond"/>
          <w:iCs/>
        </w:rPr>
        <w:t xml:space="preserve"> </w:t>
      </w:r>
      <w:r w:rsidRPr="00981D57">
        <w:rPr>
          <w:rFonts w:ascii="Garamond" w:hAnsi="Garamond"/>
          <w:i/>
        </w:rPr>
        <w:t>3</w:t>
      </w:r>
      <w:r>
        <w:rPr>
          <w:rFonts w:ascii="Garamond" w:hAnsi="Garamond"/>
          <w:iCs/>
        </w:rPr>
        <w:t>: 2021.</w:t>
      </w:r>
    </w:p>
    <w:p w14:paraId="19515131" w14:textId="1F979327" w:rsidR="00161BC7" w:rsidRDefault="002A1BB5" w:rsidP="002A1BB5">
      <w:pPr>
        <w:spacing w:line="480" w:lineRule="auto"/>
        <w:jc w:val="both"/>
        <w:rPr>
          <w:rFonts w:ascii="Garamond" w:hAnsi="Garamond"/>
          <w:lang w:val="de-DE"/>
        </w:rPr>
      </w:pPr>
      <w:r w:rsidRPr="002A1BB5">
        <w:rPr>
          <w:rFonts w:ascii="Garamond" w:hAnsi="Garamond"/>
          <w:lang w:val="de-DE"/>
        </w:rPr>
        <w:t>Maimon, Salomon.</w:t>
      </w:r>
      <w:r w:rsidR="00161BC7">
        <w:rPr>
          <w:rFonts w:ascii="Garamond" w:hAnsi="Garamond"/>
          <w:lang w:val="de-DE"/>
        </w:rPr>
        <w:t xml:space="preserve"> </w:t>
      </w:r>
      <w:r w:rsidR="00161BC7" w:rsidRPr="006773C5">
        <w:rPr>
          <w:rFonts w:ascii="Garamond" w:hAnsi="Garamond"/>
          <w:i/>
          <w:iCs/>
          <w:lang w:val="de-DE"/>
        </w:rPr>
        <w:t>Lebensgeschichte</w:t>
      </w:r>
      <w:r w:rsidR="00161BC7">
        <w:rPr>
          <w:rFonts w:ascii="Garamond" w:hAnsi="Garamond"/>
          <w:lang w:val="de-DE"/>
        </w:rPr>
        <w:t>. In zwei Theilen. Berlin: Friedrich Vieweg</w:t>
      </w:r>
      <w:r w:rsidR="006773C5">
        <w:rPr>
          <w:rFonts w:ascii="Garamond" w:hAnsi="Garamond"/>
          <w:lang w:val="de-DE"/>
        </w:rPr>
        <w:t>, 1792-3.</w:t>
      </w:r>
    </w:p>
    <w:p w14:paraId="10140485" w14:textId="16B08D8D" w:rsidR="002A1BB5" w:rsidRPr="002A1BB5" w:rsidRDefault="00F409BE" w:rsidP="002A1BB5">
      <w:pPr>
        <w:spacing w:line="480" w:lineRule="auto"/>
        <w:jc w:val="both"/>
        <w:rPr>
          <w:rFonts w:ascii="Garamond" w:hAnsi="Garamond"/>
        </w:rPr>
      </w:pPr>
      <w:r w:rsidRPr="002A1BB5">
        <w:rPr>
          <w:rFonts w:ascii="Garamond" w:hAnsi="Garamond"/>
          <w:i/>
          <w:iCs/>
        </w:rPr>
        <w:t>———.</w:t>
      </w:r>
      <w:r w:rsidR="002A1BB5" w:rsidRPr="002A1BB5">
        <w:rPr>
          <w:rFonts w:ascii="Garamond" w:hAnsi="Garamond"/>
          <w:lang w:val="de-DE"/>
        </w:rPr>
        <w:t xml:space="preserve"> </w:t>
      </w:r>
      <w:r w:rsidR="002A1BB5" w:rsidRPr="002A1BB5">
        <w:rPr>
          <w:rFonts w:ascii="Garamond" w:hAnsi="Garamond"/>
          <w:i/>
          <w:lang w:val="de-DE"/>
        </w:rPr>
        <w:t xml:space="preserve">Gesammelte Werke </w:t>
      </w:r>
      <w:r w:rsidR="002A1BB5" w:rsidRPr="002A1BB5">
        <w:rPr>
          <w:rFonts w:ascii="Garamond" w:hAnsi="Garamond"/>
          <w:lang w:val="de-DE"/>
        </w:rPr>
        <w:t>[</w:t>
      </w:r>
      <w:r w:rsidR="00B55E66">
        <w:rPr>
          <w:rFonts w:ascii="Garamond" w:hAnsi="Garamond"/>
          <w:lang w:val="de-DE"/>
        </w:rPr>
        <w:t>=</w:t>
      </w:r>
      <w:r w:rsidR="002A1BB5" w:rsidRPr="002A1BB5">
        <w:rPr>
          <w:rFonts w:ascii="Garamond" w:hAnsi="Garamond"/>
          <w:lang w:val="de-DE"/>
        </w:rPr>
        <w:t xml:space="preserve">GW], 7 vols. </w:t>
      </w:r>
      <w:r w:rsidR="002A1BB5" w:rsidRPr="002A1BB5">
        <w:rPr>
          <w:rFonts w:ascii="Garamond" w:hAnsi="Garamond"/>
        </w:rPr>
        <w:t>Edited by Valerio Verra. Hildesheim:</w:t>
      </w:r>
    </w:p>
    <w:p w14:paraId="6AFE19E9" w14:textId="77777777" w:rsidR="002A1BB5" w:rsidRPr="002A1BB5" w:rsidRDefault="002A1BB5" w:rsidP="002A1BB5">
      <w:pPr>
        <w:spacing w:line="480" w:lineRule="auto"/>
        <w:jc w:val="both"/>
        <w:rPr>
          <w:rFonts w:ascii="Garamond" w:hAnsi="Garamond"/>
        </w:rPr>
      </w:pPr>
      <w:r w:rsidRPr="002A1BB5">
        <w:rPr>
          <w:rFonts w:ascii="Garamond" w:hAnsi="Garamond"/>
        </w:rPr>
        <w:t>Olms, 1965–1976.</w:t>
      </w:r>
    </w:p>
    <w:p w14:paraId="31A785C2" w14:textId="4CEF280E" w:rsidR="002A1BB5" w:rsidRDefault="002A1BB5" w:rsidP="002A1BB5">
      <w:pPr>
        <w:spacing w:line="480" w:lineRule="auto"/>
        <w:jc w:val="both"/>
        <w:rPr>
          <w:rFonts w:ascii="Garamond" w:hAnsi="Garamond"/>
          <w:iCs/>
        </w:rPr>
      </w:pPr>
      <w:r w:rsidRPr="002A1BB5">
        <w:rPr>
          <w:rFonts w:ascii="Garamond" w:hAnsi="Garamond"/>
          <w:i/>
          <w:iCs/>
        </w:rPr>
        <w:t>———. Autobiography</w:t>
      </w:r>
      <w:r w:rsidRPr="002A1BB5">
        <w:rPr>
          <w:rFonts w:ascii="Garamond" w:hAnsi="Garamond"/>
          <w:iCs/>
        </w:rPr>
        <w:t xml:space="preserve">. Translated by Paul </w:t>
      </w:r>
      <w:proofErr w:type="spellStart"/>
      <w:r w:rsidRPr="002A1BB5">
        <w:rPr>
          <w:rFonts w:ascii="Garamond" w:hAnsi="Garamond"/>
          <w:iCs/>
        </w:rPr>
        <w:t>Reitter</w:t>
      </w:r>
      <w:proofErr w:type="spellEnd"/>
      <w:r w:rsidRPr="002A1BB5">
        <w:rPr>
          <w:rFonts w:ascii="Garamond" w:hAnsi="Garamond"/>
          <w:iCs/>
        </w:rPr>
        <w:t>, edited by Yitzhak Y. Melamed and</w:t>
      </w:r>
      <w:r w:rsidR="00522739">
        <w:rPr>
          <w:rFonts w:ascii="Garamond" w:hAnsi="Garamond"/>
          <w:iCs/>
        </w:rPr>
        <w:t xml:space="preserve"> </w:t>
      </w:r>
      <w:r w:rsidRPr="002A1BB5">
        <w:rPr>
          <w:rFonts w:ascii="Garamond" w:hAnsi="Garamond"/>
          <w:iCs/>
        </w:rPr>
        <w:t xml:space="preserve">Abraham P. </w:t>
      </w:r>
      <w:proofErr w:type="spellStart"/>
      <w:r w:rsidRPr="002A1BB5">
        <w:rPr>
          <w:rFonts w:ascii="Garamond" w:hAnsi="Garamond"/>
          <w:iCs/>
        </w:rPr>
        <w:t>Socher</w:t>
      </w:r>
      <w:proofErr w:type="spellEnd"/>
      <w:r w:rsidRPr="002A1BB5">
        <w:rPr>
          <w:rFonts w:ascii="Garamond" w:hAnsi="Garamond"/>
          <w:iCs/>
        </w:rPr>
        <w:t xml:space="preserve">. Princeton: Princeton University Press, </w:t>
      </w:r>
      <w:r>
        <w:rPr>
          <w:rFonts w:ascii="Garamond" w:hAnsi="Garamond"/>
          <w:iCs/>
        </w:rPr>
        <w:t>2018.</w:t>
      </w:r>
    </w:p>
    <w:p w14:paraId="0DE087AB" w14:textId="2B398253" w:rsidR="00FB7FDA" w:rsidRPr="00FB7FDA" w:rsidRDefault="00FB7FDA" w:rsidP="00FB7FDA">
      <w:pPr>
        <w:spacing w:line="480" w:lineRule="auto"/>
        <w:jc w:val="both"/>
        <w:rPr>
          <w:rFonts w:ascii="Garamond" w:hAnsi="Garamond"/>
          <w:i/>
          <w:iCs/>
        </w:rPr>
      </w:pPr>
      <w:r w:rsidRPr="00FB7FDA">
        <w:rPr>
          <w:rFonts w:ascii="Garamond" w:hAnsi="Garamond"/>
          <w:iCs/>
        </w:rPr>
        <w:t xml:space="preserve">Maimonides, Moses. </w:t>
      </w:r>
      <w:r w:rsidRPr="00FB7FDA">
        <w:rPr>
          <w:rFonts w:ascii="Garamond" w:hAnsi="Garamond"/>
          <w:i/>
          <w:iCs/>
        </w:rPr>
        <w:t>The Guide of the Perplexed</w:t>
      </w:r>
      <w:r w:rsidRPr="00FB7FDA">
        <w:rPr>
          <w:rFonts w:ascii="Garamond" w:hAnsi="Garamond"/>
          <w:iCs/>
        </w:rPr>
        <w:t xml:space="preserve">. Translated by </w:t>
      </w:r>
      <w:proofErr w:type="spellStart"/>
      <w:r w:rsidRPr="00FB7FDA">
        <w:rPr>
          <w:rFonts w:ascii="Garamond" w:hAnsi="Garamond"/>
          <w:iCs/>
        </w:rPr>
        <w:t>Shlomo</w:t>
      </w:r>
      <w:proofErr w:type="spellEnd"/>
      <w:r w:rsidRPr="00FB7FDA">
        <w:rPr>
          <w:rFonts w:ascii="Garamond" w:hAnsi="Garamond"/>
          <w:iCs/>
        </w:rPr>
        <w:t xml:space="preserve"> Pines. 2 vols. Chicago: University of Chicago Press, 1963.</w:t>
      </w:r>
    </w:p>
    <w:p w14:paraId="44729CE6" w14:textId="5BA2F479" w:rsidR="00F409BE" w:rsidRDefault="00F409BE" w:rsidP="00F409BE">
      <w:pPr>
        <w:spacing w:line="480" w:lineRule="auto"/>
        <w:jc w:val="both"/>
        <w:rPr>
          <w:rFonts w:ascii="Garamond" w:hAnsi="Garamond"/>
        </w:rPr>
      </w:pPr>
      <w:r>
        <w:rPr>
          <w:rFonts w:ascii="Garamond" w:hAnsi="Garamond"/>
        </w:rPr>
        <w:t xml:space="preserve">Melamed, Yitzhak Y., </w:t>
      </w:r>
      <w:r w:rsidRPr="00F409BE">
        <w:rPr>
          <w:rFonts w:ascii="Garamond" w:hAnsi="Garamond"/>
        </w:rPr>
        <w:t xml:space="preserve">“Salomon Maimon and the Rise of Spinozism in German Idealism,” </w:t>
      </w:r>
      <w:r w:rsidRPr="00F409BE">
        <w:rPr>
          <w:rFonts w:ascii="Garamond" w:hAnsi="Garamond"/>
          <w:i/>
          <w:iCs/>
        </w:rPr>
        <w:t>Journal of the History of Philosophy 42</w:t>
      </w:r>
      <w:r w:rsidRPr="00F409BE">
        <w:rPr>
          <w:rFonts w:ascii="Garamond" w:hAnsi="Garamond"/>
        </w:rPr>
        <w:t xml:space="preserve"> (2004), 67-96.</w:t>
      </w:r>
    </w:p>
    <w:p w14:paraId="5A7E0362" w14:textId="48F2F019" w:rsidR="001E4B80" w:rsidRDefault="001E4B80" w:rsidP="001E4B80">
      <w:pPr>
        <w:spacing w:line="480" w:lineRule="auto"/>
        <w:jc w:val="both"/>
        <w:rPr>
          <w:rFonts w:ascii="Garamond" w:hAnsi="Garamond"/>
        </w:rPr>
      </w:pPr>
      <w:r w:rsidRPr="00FB7FDA">
        <w:rPr>
          <w:rFonts w:ascii="Garamond" w:hAnsi="Garamond"/>
          <w:i/>
          <w:iCs/>
        </w:rPr>
        <w:lastRenderedPageBreak/>
        <w:t>———.</w:t>
      </w:r>
      <w:r w:rsidRPr="001E4B80">
        <w:rPr>
          <w:rFonts w:ascii="Garamond" w:hAnsi="Garamond"/>
        </w:rPr>
        <w:t xml:space="preserve"> “Acosmism or Weak Individuals? Hegel, Spinoza, and the Reality of the Finite”, </w:t>
      </w:r>
      <w:r w:rsidRPr="001E4B80">
        <w:rPr>
          <w:rFonts w:ascii="Garamond" w:hAnsi="Garamond"/>
          <w:i/>
          <w:iCs/>
        </w:rPr>
        <w:t>Journal of the History of Philosophy 48</w:t>
      </w:r>
      <w:r w:rsidRPr="001E4B80">
        <w:rPr>
          <w:rFonts w:ascii="Garamond" w:hAnsi="Garamond"/>
        </w:rPr>
        <w:t xml:space="preserve"> (2010), 77-92.</w:t>
      </w:r>
    </w:p>
    <w:p w14:paraId="5F3163BF" w14:textId="205322E2" w:rsidR="00FB7FDA" w:rsidRDefault="00FB7FDA" w:rsidP="00FB7FDA">
      <w:pPr>
        <w:spacing w:line="480" w:lineRule="auto"/>
        <w:jc w:val="both"/>
        <w:rPr>
          <w:rFonts w:ascii="Garamond" w:hAnsi="Garamond"/>
        </w:rPr>
      </w:pPr>
      <w:r w:rsidRPr="00FB7FDA">
        <w:rPr>
          <w:rFonts w:ascii="Garamond" w:hAnsi="Garamond"/>
          <w:i/>
          <w:iCs/>
        </w:rPr>
        <w:t>———.</w:t>
      </w:r>
      <w:r w:rsidRPr="00FB7FDA">
        <w:rPr>
          <w:rFonts w:ascii="Garamond" w:hAnsi="Garamond"/>
        </w:rPr>
        <w:t xml:space="preserve"> “Spinoza’s Deification of Existence”,</w:t>
      </w:r>
      <w:r w:rsidRPr="00FB7FDA">
        <w:rPr>
          <w:rFonts w:ascii="Garamond" w:hAnsi="Garamond"/>
          <w:i/>
          <w:iCs/>
        </w:rPr>
        <w:t xml:space="preserve"> Oxford Studies in Early Modern Philosophy </w:t>
      </w:r>
      <w:r w:rsidRPr="00FB7FDA">
        <w:rPr>
          <w:rFonts w:ascii="Garamond" w:hAnsi="Garamond"/>
        </w:rPr>
        <w:t>6 (2012)</w:t>
      </w:r>
      <w:r w:rsidRPr="00FB7FDA">
        <w:rPr>
          <w:rFonts w:ascii="Garamond" w:hAnsi="Garamond"/>
          <w:i/>
        </w:rPr>
        <w:t xml:space="preserve">, </w:t>
      </w:r>
      <w:r w:rsidRPr="00FB7FDA">
        <w:rPr>
          <w:rFonts w:ascii="Garamond" w:hAnsi="Garamond"/>
        </w:rPr>
        <w:t>75-104.</w:t>
      </w:r>
    </w:p>
    <w:p w14:paraId="2F552D87" w14:textId="0F4925DE" w:rsidR="00522739" w:rsidRDefault="00522739" w:rsidP="00522739">
      <w:pPr>
        <w:spacing w:line="480" w:lineRule="auto"/>
        <w:jc w:val="both"/>
        <w:rPr>
          <w:rFonts w:ascii="Garamond" w:hAnsi="Garamond"/>
        </w:rPr>
      </w:pPr>
      <w:r w:rsidRPr="002A1BB5">
        <w:rPr>
          <w:rFonts w:ascii="Garamond" w:hAnsi="Garamond"/>
          <w:i/>
          <w:iCs/>
        </w:rPr>
        <w:t xml:space="preserve">———. </w:t>
      </w:r>
      <w:r w:rsidRPr="00522739">
        <w:rPr>
          <w:rFonts w:ascii="Garamond" w:hAnsi="Garamond"/>
        </w:rPr>
        <w:t xml:space="preserve">“Mendelssohn, Maimon, and Spinoza on Ex-Communication and Toleration: Dispelling Three Enlightenment Fairytales” in </w:t>
      </w:r>
      <w:r w:rsidRPr="00522739">
        <w:rPr>
          <w:rFonts w:ascii="Garamond" w:hAnsi="Garamond"/>
          <w:i/>
        </w:rPr>
        <w:t>Moses Mendelssohn: Enlightenment, Religion, Politics, Nationalism</w:t>
      </w:r>
      <w:r w:rsidRPr="00522739">
        <w:rPr>
          <w:rFonts w:ascii="Garamond" w:hAnsi="Garamond"/>
        </w:rPr>
        <w:t xml:space="preserve">, eds. </w:t>
      </w:r>
      <w:proofErr w:type="spellStart"/>
      <w:r w:rsidRPr="00522739">
        <w:rPr>
          <w:rFonts w:ascii="Garamond" w:hAnsi="Garamond"/>
        </w:rPr>
        <w:t>Michah</w:t>
      </w:r>
      <w:proofErr w:type="spellEnd"/>
      <w:r w:rsidRPr="00522739">
        <w:rPr>
          <w:rFonts w:ascii="Garamond" w:hAnsi="Garamond"/>
        </w:rPr>
        <w:t xml:space="preserve"> Gottlieb and Charles </w:t>
      </w:r>
      <w:proofErr w:type="spellStart"/>
      <w:r w:rsidRPr="00522739">
        <w:rPr>
          <w:rFonts w:ascii="Garamond" w:hAnsi="Garamond"/>
        </w:rPr>
        <w:t>Manekin</w:t>
      </w:r>
      <w:proofErr w:type="spellEnd"/>
      <w:r w:rsidRPr="00522739">
        <w:rPr>
          <w:rFonts w:ascii="Garamond" w:hAnsi="Garamond"/>
        </w:rPr>
        <w:t xml:space="preserve"> (College Park: University of Maryland Press, 2016), 49-60.</w:t>
      </w:r>
    </w:p>
    <w:p w14:paraId="043E708C" w14:textId="17D0B4E2" w:rsidR="0068635E" w:rsidRDefault="0068635E" w:rsidP="000429BF">
      <w:pPr>
        <w:spacing w:line="480" w:lineRule="auto"/>
        <w:jc w:val="both"/>
        <w:rPr>
          <w:rFonts w:ascii="Garamond" w:hAnsi="Garamond"/>
        </w:rPr>
      </w:pPr>
      <w:r w:rsidRPr="0068635E">
        <w:rPr>
          <w:rFonts w:ascii="Garamond" w:hAnsi="Garamond"/>
          <w:i/>
          <w:iCs/>
        </w:rPr>
        <w:t>———.</w:t>
      </w:r>
      <w:r>
        <w:rPr>
          <w:rFonts w:ascii="Garamond" w:hAnsi="Garamond"/>
          <w:i/>
          <w:iCs/>
        </w:rPr>
        <w:t xml:space="preserve"> </w:t>
      </w:r>
      <w:r w:rsidRPr="000429BF">
        <w:rPr>
          <w:rFonts w:ascii="Garamond" w:hAnsi="Garamond"/>
        </w:rPr>
        <w:t xml:space="preserve">“Spinoza’s ‘Atheism,’ the </w:t>
      </w:r>
      <w:r w:rsidRPr="000429BF">
        <w:rPr>
          <w:rFonts w:ascii="Garamond" w:hAnsi="Garamond"/>
          <w:i/>
          <w:iCs/>
        </w:rPr>
        <w:t>Ethics</w:t>
      </w:r>
      <w:r w:rsidRPr="000429BF">
        <w:rPr>
          <w:rFonts w:ascii="Garamond" w:hAnsi="Garamond"/>
        </w:rPr>
        <w:t xml:space="preserve"> and the TTP” in Daniel Garber (ed.)</w:t>
      </w:r>
      <w:r w:rsidRPr="0068635E">
        <w:rPr>
          <w:rFonts w:ascii="Garamond" w:hAnsi="Garamond"/>
          <w:i/>
          <w:iCs/>
        </w:rPr>
        <w:t xml:space="preserve">, Spinoza: Reason, Religion, Politics: The Relation Between the Ethics and the Tractatus Theologico-Politicus. </w:t>
      </w:r>
      <w:r w:rsidRPr="000429BF">
        <w:rPr>
          <w:rFonts w:ascii="Garamond" w:hAnsi="Garamond"/>
        </w:rPr>
        <w:t>Oxford: Oxford University Press, forthcoming.</w:t>
      </w:r>
    </w:p>
    <w:p w14:paraId="3CB7FD5F" w14:textId="3F30238B" w:rsidR="001F1F11" w:rsidRPr="000429BF" w:rsidRDefault="001F1F11" w:rsidP="001F1F11">
      <w:pPr>
        <w:spacing w:line="480" w:lineRule="auto"/>
        <w:jc w:val="both"/>
        <w:rPr>
          <w:rFonts w:ascii="Garamond" w:hAnsi="Garamond"/>
        </w:rPr>
      </w:pPr>
      <w:r w:rsidRPr="001F1F11">
        <w:rPr>
          <w:rFonts w:ascii="Garamond" w:hAnsi="Garamond"/>
        </w:rPr>
        <w:t xml:space="preserve">Melamed, Yitzhak Y. and Martin Lin, </w:t>
      </w:r>
      <w:r>
        <w:rPr>
          <w:rFonts w:ascii="Garamond" w:hAnsi="Garamond"/>
        </w:rPr>
        <w:t>“</w:t>
      </w:r>
      <w:r w:rsidRPr="001F1F11">
        <w:rPr>
          <w:rFonts w:ascii="Garamond" w:hAnsi="Garamond"/>
        </w:rPr>
        <w:t>Principle of Sufficient Reason</w:t>
      </w:r>
      <w:r>
        <w:rPr>
          <w:rFonts w:ascii="Garamond" w:hAnsi="Garamond"/>
        </w:rPr>
        <w:t>,”</w:t>
      </w:r>
      <w:r w:rsidRPr="001F1F11">
        <w:rPr>
          <w:rFonts w:ascii="Garamond" w:hAnsi="Garamond"/>
        </w:rPr>
        <w:t xml:space="preserve"> </w:t>
      </w:r>
      <w:r w:rsidRPr="001F1F11">
        <w:rPr>
          <w:rFonts w:ascii="Garamond" w:hAnsi="Garamond"/>
          <w:i/>
          <w:iCs/>
        </w:rPr>
        <w:t xml:space="preserve">The Stanford Encyclopedia of Philosophy </w:t>
      </w:r>
      <w:r w:rsidRPr="001F1F11">
        <w:rPr>
          <w:rFonts w:ascii="Garamond" w:hAnsi="Garamond"/>
        </w:rPr>
        <w:t xml:space="preserve">(Summer 2021 Edition), Edward N. </w:t>
      </w:r>
      <w:proofErr w:type="spellStart"/>
      <w:r w:rsidRPr="001F1F11">
        <w:rPr>
          <w:rFonts w:ascii="Garamond" w:hAnsi="Garamond"/>
        </w:rPr>
        <w:t>Zalta</w:t>
      </w:r>
      <w:proofErr w:type="spellEnd"/>
      <w:r w:rsidRPr="001F1F11">
        <w:rPr>
          <w:rFonts w:ascii="Garamond" w:hAnsi="Garamond"/>
        </w:rPr>
        <w:t> (ed.), URL = &lt;https://plato.stanford.edu/archives/sum2021/entries/sufficient-reason/&gt;.</w:t>
      </w:r>
    </w:p>
    <w:p w14:paraId="2E2B5929" w14:textId="3F00DE2A" w:rsidR="00B55E66" w:rsidRPr="008352BA" w:rsidRDefault="00B55E66" w:rsidP="00B55E66">
      <w:pPr>
        <w:spacing w:line="480" w:lineRule="auto"/>
        <w:jc w:val="both"/>
        <w:rPr>
          <w:rFonts w:ascii="Garamond" w:hAnsi="Garamond" w:cs="Times New Roman"/>
          <w:iCs/>
          <w:lang w:bidi="he-IL"/>
        </w:rPr>
      </w:pPr>
      <w:r w:rsidRPr="008352BA">
        <w:rPr>
          <w:rFonts w:ascii="Garamond" w:hAnsi="Garamond" w:cs="Times New Roman"/>
          <w:iCs/>
          <w:lang w:bidi="he-IL"/>
        </w:rPr>
        <w:t>Spinoza,</w:t>
      </w:r>
      <w:r>
        <w:rPr>
          <w:rFonts w:ascii="Garamond" w:hAnsi="Garamond" w:cs="Times New Roman"/>
          <w:iCs/>
          <w:lang w:bidi="he-IL"/>
        </w:rPr>
        <w:t xml:space="preserve"> Benedict.</w:t>
      </w:r>
      <w:r w:rsidRPr="008352BA">
        <w:rPr>
          <w:rFonts w:ascii="Garamond" w:hAnsi="Garamond" w:cs="Times New Roman"/>
          <w:iCs/>
          <w:lang w:bidi="he-IL"/>
        </w:rPr>
        <w:t xml:space="preserve"> </w:t>
      </w:r>
      <w:r w:rsidRPr="008352BA">
        <w:rPr>
          <w:rFonts w:ascii="Garamond" w:hAnsi="Garamond" w:cs="Times New Roman"/>
          <w:i/>
          <w:iCs/>
          <w:lang w:bidi="he-IL"/>
        </w:rPr>
        <w:t>Opera</w:t>
      </w:r>
      <w:r w:rsidRPr="008352BA">
        <w:rPr>
          <w:rFonts w:ascii="Garamond" w:hAnsi="Garamond" w:cs="Times New Roman"/>
          <w:iCs/>
          <w:lang w:bidi="he-IL"/>
        </w:rPr>
        <w:t>. 4 volumes.  Edited by Carl Gebhardt. Heidelberg: Carl Winter, 1925.</w:t>
      </w:r>
    </w:p>
    <w:p w14:paraId="500847BF" w14:textId="3C95F608" w:rsidR="00B55E66" w:rsidRDefault="00B55E66" w:rsidP="00B55E66">
      <w:pPr>
        <w:spacing w:line="480" w:lineRule="auto"/>
        <w:jc w:val="both"/>
        <w:rPr>
          <w:rFonts w:ascii="Garamond" w:hAnsi="Garamond" w:cs="Times New Roman"/>
          <w:iCs/>
          <w:lang w:val="en-GB" w:bidi="he-IL"/>
        </w:rPr>
      </w:pPr>
      <w:r w:rsidRPr="008352BA">
        <w:rPr>
          <w:rFonts w:ascii="Garamond" w:hAnsi="Garamond" w:cs="Times New Roman"/>
          <w:iCs/>
          <w:lang w:bidi="he-IL"/>
        </w:rPr>
        <w:t xml:space="preserve">_______. </w:t>
      </w:r>
      <w:r w:rsidRPr="008352BA">
        <w:rPr>
          <w:rFonts w:ascii="Garamond" w:hAnsi="Garamond" w:cs="Times New Roman"/>
          <w:i/>
          <w:iCs/>
          <w:lang w:val="en-GB" w:bidi="he-IL"/>
        </w:rPr>
        <w:t>The Collected Works of Spinoza</w:t>
      </w:r>
      <w:r w:rsidRPr="008352BA">
        <w:rPr>
          <w:rFonts w:ascii="Garamond" w:hAnsi="Garamond" w:cs="Times New Roman"/>
          <w:iCs/>
          <w:lang w:val="en-GB" w:bidi="he-IL"/>
        </w:rPr>
        <w:t>.</w:t>
      </w:r>
      <w:r>
        <w:rPr>
          <w:rFonts w:ascii="Garamond" w:hAnsi="Garamond" w:cs="Times New Roman"/>
          <w:iCs/>
          <w:lang w:val="en-GB" w:bidi="he-IL"/>
        </w:rPr>
        <w:t xml:space="preserve"> 2 vols.</w:t>
      </w:r>
      <w:r w:rsidRPr="008352BA">
        <w:rPr>
          <w:rFonts w:ascii="Garamond" w:hAnsi="Garamond" w:cs="Times New Roman"/>
          <w:iCs/>
          <w:lang w:val="en-GB" w:bidi="he-IL"/>
        </w:rPr>
        <w:t xml:space="preserve"> Ed. and tr. Edwin Curley, Princeton, NJ: Princeton University Press, 1985</w:t>
      </w:r>
      <w:r>
        <w:rPr>
          <w:rFonts w:ascii="Garamond" w:hAnsi="Garamond" w:cs="Times New Roman"/>
          <w:iCs/>
          <w:lang w:val="en-GB" w:bidi="he-IL"/>
        </w:rPr>
        <w:t>-2016</w:t>
      </w:r>
      <w:r w:rsidRPr="008352BA">
        <w:rPr>
          <w:rFonts w:ascii="Garamond" w:hAnsi="Garamond" w:cs="Times New Roman"/>
          <w:iCs/>
          <w:lang w:val="en-GB" w:bidi="he-IL"/>
        </w:rPr>
        <w:t>.</w:t>
      </w:r>
    </w:p>
    <w:p w14:paraId="55B5E696" w14:textId="77777777" w:rsidR="0068635E" w:rsidRPr="0068635E" w:rsidRDefault="0068635E" w:rsidP="0068635E">
      <w:pPr>
        <w:spacing w:line="480" w:lineRule="auto"/>
        <w:jc w:val="both"/>
        <w:rPr>
          <w:rFonts w:ascii="Garamond" w:hAnsi="Garamond" w:cs="Times New Roman"/>
          <w:iCs/>
          <w:lang w:bidi="he-IL"/>
        </w:rPr>
      </w:pPr>
      <w:r w:rsidRPr="0068635E">
        <w:rPr>
          <w:rFonts w:ascii="Garamond" w:hAnsi="Garamond" w:cs="Times New Roman"/>
          <w:iCs/>
          <w:lang w:bidi="he-IL"/>
        </w:rPr>
        <w:t xml:space="preserve">Strauss, Leo. </w:t>
      </w:r>
      <w:r w:rsidRPr="0068635E">
        <w:rPr>
          <w:rFonts w:ascii="Garamond" w:hAnsi="Garamond" w:cs="Times New Roman"/>
          <w:i/>
          <w:iCs/>
          <w:lang w:bidi="he-IL"/>
        </w:rPr>
        <w:t>Spinoza’s Critique of Religion</w:t>
      </w:r>
      <w:r w:rsidRPr="0068635E">
        <w:rPr>
          <w:rFonts w:ascii="Garamond" w:hAnsi="Garamond" w:cs="Times New Roman"/>
          <w:iCs/>
          <w:lang w:bidi="he-IL"/>
        </w:rPr>
        <w:t xml:space="preserve">. New York: </w:t>
      </w:r>
      <w:proofErr w:type="spellStart"/>
      <w:r w:rsidRPr="0068635E">
        <w:rPr>
          <w:rFonts w:ascii="Garamond" w:hAnsi="Garamond" w:cs="Times New Roman"/>
          <w:iCs/>
          <w:lang w:bidi="he-IL"/>
        </w:rPr>
        <w:t>Schocken</w:t>
      </w:r>
      <w:proofErr w:type="spellEnd"/>
      <w:r w:rsidRPr="0068635E">
        <w:rPr>
          <w:rFonts w:ascii="Garamond" w:hAnsi="Garamond" w:cs="Times New Roman"/>
          <w:iCs/>
          <w:lang w:bidi="he-IL"/>
        </w:rPr>
        <w:t>, 1982.</w:t>
      </w:r>
    </w:p>
    <w:p w14:paraId="3F2DA52C" w14:textId="3AAD4137" w:rsidR="008F0666" w:rsidRDefault="0068635E" w:rsidP="008F0666">
      <w:pPr>
        <w:spacing w:line="480" w:lineRule="auto"/>
        <w:jc w:val="both"/>
        <w:rPr>
          <w:rFonts w:ascii="Garamond" w:hAnsi="Garamond" w:cs="Times New Roman"/>
          <w:iCs/>
          <w:lang w:bidi="he-IL"/>
        </w:rPr>
      </w:pPr>
      <w:r w:rsidRPr="0068635E">
        <w:rPr>
          <w:rFonts w:ascii="Garamond" w:hAnsi="Garamond" w:cs="Times New Roman"/>
          <w:iCs/>
          <w:lang w:bidi="he-IL"/>
        </w:rPr>
        <w:t xml:space="preserve">_______. </w:t>
      </w:r>
      <w:r w:rsidRPr="0068635E">
        <w:rPr>
          <w:rFonts w:ascii="Garamond" w:hAnsi="Garamond" w:cs="Times New Roman"/>
          <w:i/>
          <w:iCs/>
          <w:lang w:bidi="he-IL"/>
        </w:rPr>
        <w:t>Persecution and the Art of Writing</w:t>
      </w:r>
      <w:r w:rsidRPr="0068635E">
        <w:rPr>
          <w:rFonts w:ascii="Garamond" w:hAnsi="Garamond" w:cs="Times New Roman"/>
          <w:iCs/>
          <w:lang w:bidi="he-IL"/>
        </w:rPr>
        <w:t>. Chicago: University of Chicago Press, 1988.</w:t>
      </w:r>
    </w:p>
    <w:p w14:paraId="23ABB4E5" w14:textId="50414CF4" w:rsidR="008F0666" w:rsidRPr="0068635E" w:rsidRDefault="008F0666" w:rsidP="008F0666">
      <w:pPr>
        <w:spacing w:line="480" w:lineRule="auto"/>
        <w:jc w:val="both"/>
        <w:rPr>
          <w:rFonts w:ascii="Garamond" w:hAnsi="Garamond" w:cs="Times New Roman"/>
          <w:iCs/>
          <w:lang w:bidi="he-IL"/>
        </w:rPr>
      </w:pPr>
      <w:r w:rsidRPr="0068635E">
        <w:rPr>
          <w:rFonts w:ascii="Garamond" w:hAnsi="Garamond" w:cs="Times New Roman"/>
          <w:iCs/>
          <w:lang w:bidi="he-IL"/>
        </w:rPr>
        <w:t xml:space="preserve">_______. </w:t>
      </w:r>
      <w:r w:rsidRPr="008F0666">
        <w:rPr>
          <w:rFonts w:ascii="Garamond" w:hAnsi="Garamond" w:cs="Times New Roman"/>
          <w:i/>
          <w:iCs/>
          <w:lang w:bidi="he-IL"/>
        </w:rPr>
        <w:t>Philosophy and Law</w:t>
      </w:r>
      <w:r>
        <w:rPr>
          <w:rFonts w:ascii="Garamond" w:hAnsi="Garamond" w:cs="Times New Roman"/>
          <w:iCs/>
          <w:lang w:bidi="he-IL"/>
        </w:rPr>
        <w:t>.</w:t>
      </w:r>
      <w:r w:rsidRPr="008F0666">
        <w:rPr>
          <w:rFonts w:ascii="Garamond" w:hAnsi="Garamond" w:cs="Times New Roman"/>
          <w:iCs/>
          <w:lang w:bidi="he-IL"/>
        </w:rPr>
        <w:t xml:space="preserve"> </w:t>
      </w:r>
      <w:r>
        <w:rPr>
          <w:rFonts w:ascii="Garamond" w:hAnsi="Garamond" w:cs="Times New Roman"/>
          <w:iCs/>
          <w:lang w:bidi="he-IL"/>
        </w:rPr>
        <w:t>T</w:t>
      </w:r>
      <w:r w:rsidRPr="008F0666">
        <w:rPr>
          <w:rFonts w:ascii="Garamond" w:hAnsi="Garamond" w:cs="Times New Roman"/>
          <w:iCs/>
          <w:lang w:bidi="he-IL"/>
        </w:rPr>
        <w:t xml:space="preserve">rans. </w:t>
      </w:r>
      <w:r w:rsidR="006749E7">
        <w:rPr>
          <w:rFonts w:ascii="Garamond" w:hAnsi="Garamond" w:cs="Times New Roman"/>
          <w:iCs/>
          <w:lang w:bidi="he-IL"/>
        </w:rPr>
        <w:t>Fred Baumann</w:t>
      </w:r>
      <w:r>
        <w:rPr>
          <w:rFonts w:ascii="Garamond" w:hAnsi="Garamond" w:cs="Times New Roman"/>
          <w:iCs/>
          <w:lang w:bidi="he-IL"/>
        </w:rPr>
        <w:t>.</w:t>
      </w:r>
      <w:r w:rsidRPr="008F0666">
        <w:rPr>
          <w:rFonts w:ascii="Garamond" w:hAnsi="Garamond" w:cs="Times New Roman"/>
          <w:iCs/>
          <w:lang w:bidi="he-IL"/>
        </w:rPr>
        <w:t xml:space="preserve"> </w:t>
      </w:r>
      <w:r w:rsidR="006749E7">
        <w:rPr>
          <w:rFonts w:ascii="Garamond" w:hAnsi="Garamond" w:cs="Times New Roman"/>
          <w:iCs/>
          <w:lang w:bidi="he-IL"/>
        </w:rPr>
        <w:t>Philadelphia</w:t>
      </w:r>
      <w:r w:rsidRPr="008F0666">
        <w:rPr>
          <w:rFonts w:ascii="Garamond" w:hAnsi="Garamond" w:cs="Times New Roman"/>
          <w:iCs/>
          <w:lang w:bidi="he-IL"/>
        </w:rPr>
        <w:t xml:space="preserve">: </w:t>
      </w:r>
      <w:r w:rsidR="006749E7">
        <w:rPr>
          <w:rFonts w:ascii="Garamond" w:hAnsi="Garamond" w:cs="Times New Roman"/>
          <w:iCs/>
          <w:lang w:bidi="he-IL"/>
        </w:rPr>
        <w:t>Jewish Publication Society</w:t>
      </w:r>
      <w:r w:rsidRPr="008F0666">
        <w:rPr>
          <w:rFonts w:ascii="Garamond" w:hAnsi="Garamond" w:cs="Times New Roman"/>
          <w:iCs/>
          <w:lang w:bidi="he-IL"/>
        </w:rPr>
        <w:t>, 1</w:t>
      </w:r>
      <w:r w:rsidR="006749E7">
        <w:rPr>
          <w:rFonts w:ascii="Garamond" w:hAnsi="Garamond" w:cs="Times New Roman"/>
          <w:iCs/>
          <w:lang w:bidi="he-IL"/>
        </w:rPr>
        <w:t>987</w:t>
      </w:r>
      <w:r w:rsidRPr="008F0666">
        <w:rPr>
          <w:rFonts w:ascii="Garamond" w:hAnsi="Garamond" w:cs="Times New Roman"/>
          <w:iCs/>
          <w:lang w:bidi="he-IL"/>
        </w:rPr>
        <w:t>.</w:t>
      </w:r>
    </w:p>
    <w:p w14:paraId="0ADD30FA" w14:textId="3549D878" w:rsidR="005302A8" w:rsidRPr="004E2199" w:rsidRDefault="004E2199" w:rsidP="004E2199">
      <w:pPr>
        <w:spacing w:line="480" w:lineRule="auto"/>
        <w:jc w:val="both"/>
        <w:rPr>
          <w:rFonts w:ascii="Garamond" w:hAnsi="Garamond" w:cs="Times New Roman"/>
          <w:iCs/>
          <w:lang w:val="en-GB" w:bidi="he-IL"/>
        </w:rPr>
      </w:pPr>
      <w:r w:rsidRPr="004E2199">
        <w:rPr>
          <w:rFonts w:ascii="Garamond" w:hAnsi="Garamond" w:cs="Times New Roman"/>
          <w:iCs/>
          <w:lang w:val="en-GB" w:bidi="he-IL"/>
        </w:rPr>
        <w:t>von Hardenberg</w:t>
      </w:r>
      <w:r>
        <w:rPr>
          <w:rFonts w:ascii="Garamond" w:hAnsi="Garamond" w:cs="Times New Roman"/>
          <w:iCs/>
          <w:lang w:val="en-GB" w:bidi="he-IL"/>
        </w:rPr>
        <w:t>,</w:t>
      </w:r>
      <w:r w:rsidRPr="004E2199">
        <w:rPr>
          <w:rFonts w:ascii="Garamond" w:hAnsi="Garamond" w:cs="Times New Roman"/>
          <w:iCs/>
          <w:lang w:val="en-GB" w:bidi="he-IL"/>
        </w:rPr>
        <w:t xml:space="preserve"> Georg Friedrich Philipp</w:t>
      </w:r>
      <w:r>
        <w:rPr>
          <w:rFonts w:ascii="Garamond" w:hAnsi="Garamond" w:cs="Times New Roman"/>
          <w:iCs/>
          <w:lang w:val="en-GB" w:bidi="he-IL"/>
        </w:rPr>
        <w:t xml:space="preserve">. </w:t>
      </w:r>
      <w:r w:rsidRPr="008458AC">
        <w:rPr>
          <w:rFonts w:ascii="Garamond" w:hAnsi="Garamond"/>
          <w:i/>
          <w:iCs/>
        </w:rPr>
        <w:t xml:space="preserve">Novalis </w:t>
      </w:r>
      <w:proofErr w:type="spellStart"/>
      <w:r w:rsidRPr="008458AC">
        <w:rPr>
          <w:rFonts w:ascii="Garamond" w:hAnsi="Garamond"/>
          <w:i/>
          <w:iCs/>
        </w:rPr>
        <w:t>Schriften</w:t>
      </w:r>
      <w:proofErr w:type="spellEnd"/>
      <w:r w:rsidRPr="004E2199">
        <w:rPr>
          <w:rFonts w:ascii="Garamond" w:hAnsi="Garamond"/>
        </w:rPr>
        <w:t xml:space="preserve">, Richard Samuel, Hans Joachim </w:t>
      </w:r>
      <w:proofErr w:type="spellStart"/>
      <w:r w:rsidRPr="004E2199">
        <w:rPr>
          <w:rFonts w:ascii="Garamond" w:hAnsi="Garamond"/>
        </w:rPr>
        <w:t>Mähl</w:t>
      </w:r>
      <w:proofErr w:type="spellEnd"/>
      <w:r w:rsidRPr="004E2199">
        <w:rPr>
          <w:rFonts w:ascii="Garamond" w:hAnsi="Garamond"/>
        </w:rPr>
        <w:t>, and Gertrud Schulz, eds. Stuttgart:</w:t>
      </w:r>
      <w:r>
        <w:rPr>
          <w:rFonts w:ascii="Garamond" w:hAnsi="Garamond" w:cs="Times New Roman"/>
          <w:iCs/>
          <w:lang w:val="en-GB" w:bidi="he-IL"/>
        </w:rPr>
        <w:t xml:space="preserve"> </w:t>
      </w:r>
      <w:proofErr w:type="spellStart"/>
      <w:r w:rsidRPr="004E2199">
        <w:rPr>
          <w:rFonts w:ascii="Garamond" w:hAnsi="Garamond"/>
        </w:rPr>
        <w:t>Kohlhammer</w:t>
      </w:r>
      <w:proofErr w:type="spellEnd"/>
      <w:r w:rsidRPr="004E2199">
        <w:rPr>
          <w:rFonts w:ascii="Garamond" w:hAnsi="Garamond"/>
        </w:rPr>
        <w:t>, 1960–1988</w:t>
      </w:r>
      <w:r>
        <w:rPr>
          <w:rFonts w:ascii="Garamond" w:hAnsi="Garamond"/>
        </w:rPr>
        <w:t>.</w:t>
      </w:r>
    </w:p>
    <w:p w14:paraId="5ADCFF69" w14:textId="6B3F3AEE" w:rsidR="00CC0935" w:rsidRPr="00850DC3" w:rsidRDefault="00CC0935" w:rsidP="002A1BB5">
      <w:pPr>
        <w:spacing w:line="480" w:lineRule="auto"/>
        <w:rPr>
          <w:rFonts w:ascii="Garamond" w:hAnsi="Garamond"/>
        </w:rPr>
      </w:pPr>
    </w:p>
    <w:sectPr w:rsidR="00CC0935" w:rsidRPr="00850DC3" w:rsidSect="001173C1">
      <w:footerReference w:type="even" r:id="rId11"/>
      <w:footerReference w:type="default" r:id="rId12"/>
      <w:pgSz w:w="1224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D74" w16cex:dateUtc="2022-04-05T20:31:00Z"/>
  <w16cex:commentExtensible w16cex:durableId="25F6F042" w16cex:dateUtc="2022-04-05T20:43:00Z"/>
  <w16cex:commentExtensible w16cex:durableId="25F6F14B" w16cex:dateUtc="2022-04-05T20:48:00Z"/>
  <w16cex:commentExtensible w16cex:durableId="25F6F1D5" w16cex:dateUtc="2022-04-05T20:50:00Z"/>
  <w16cex:commentExtensible w16cex:durableId="25F6F4B2" w16cex:dateUtc="2022-04-05T21:02:00Z"/>
  <w16cex:commentExtensible w16cex:durableId="25F701D8" w16cex:dateUtc="2022-04-05T21: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B058" w14:textId="77777777" w:rsidR="002E46AB" w:rsidRDefault="002E46AB" w:rsidP="00762410">
      <w:r>
        <w:separator/>
      </w:r>
    </w:p>
  </w:endnote>
  <w:endnote w:type="continuationSeparator" w:id="0">
    <w:p w14:paraId="2D999A9E" w14:textId="77777777" w:rsidR="002E46AB" w:rsidRDefault="002E46AB" w:rsidP="0076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3842714"/>
      <w:docPartObj>
        <w:docPartGallery w:val="Page Numbers (Bottom of Page)"/>
        <w:docPartUnique/>
      </w:docPartObj>
    </w:sdtPr>
    <w:sdtEndPr>
      <w:rPr>
        <w:rStyle w:val="PageNumber"/>
      </w:rPr>
    </w:sdtEndPr>
    <w:sdtContent>
      <w:p w14:paraId="293CDC62" w14:textId="7C41F1E3" w:rsidR="00917DF7" w:rsidRDefault="00917DF7" w:rsidP="00ED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05F18" w14:textId="77777777" w:rsidR="00917DF7" w:rsidRDefault="00917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3820413"/>
      <w:docPartObj>
        <w:docPartGallery w:val="Page Numbers (Bottom of Page)"/>
        <w:docPartUnique/>
      </w:docPartObj>
    </w:sdtPr>
    <w:sdtEndPr>
      <w:rPr>
        <w:rStyle w:val="PageNumber"/>
      </w:rPr>
    </w:sdtEndPr>
    <w:sdtContent>
      <w:p w14:paraId="53092037" w14:textId="67E7B41C" w:rsidR="00917DF7" w:rsidRDefault="00917DF7" w:rsidP="00ED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AEC54" w14:textId="77777777" w:rsidR="00917DF7" w:rsidRDefault="00917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DB57" w14:textId="77777777" w:rsidR="002E46AB" w:rsidRDefault="002E46AB" w:rsidP="00762410">
      <w:r>
        <w:separator/>
      </w:r>
    </w:p>
  </w:footnote>
  <w:footnote w:type="continuationSeparator" w:id="0">
    <w:p w14:paraId="0A210BA8" w14:textId="77777777" w:rsidR="002E46AB" w:rsidRDefault="002E46AB" w:rsidP="00762410">
      <w:r>
        <w:continuationSeparator/>
      </w:r>
    </w:p>
  </w:footnote>
  <w:footnote w:id="1">
    <w:p w14:paraId="16DD6896" w14:textId="7582C31B" w:rsidR="00D00BB0" w:rsidRPr="00D00BB0" w:rsidRDefault="00D00BB0" w:rsidP="00D00BB0">
      <w:pPr>
        <w:pStyle w:val="FootnoteText"/>
        <w:spacing w:line="480" w:lineRule="auto"/>
        <w:jc w:val="both"/>
        <w:rPr>
          <w:rFonts w:ascii="Garamond" w:hAnsi="Garamond"/>
          <w:sz w:val="22"/>
          <w:szCs w:val="22"/>
        </w:rPr>
      </w:pPr>
      <w:r w:rsidRPr="00D00BB0">
        <w:rPr>
          <w:rStyle w:val="FootnoteReference"/>
          <w:rFonts w:ascii="Garamond" w:hAnsi="Garamond"/>
          <w:sz w:val="22"/>
          <w:szCs w:val="22"/>
        </w:rPr>
        <w:footnoteRef/>
      </w:r>
      <w:r w:rsidRPr="00D00BB0">
        <w:rPr>
          <w:rFonts w:ascii="Garamond" w:hAnsi="Garamond"/>
          <w:sz w:val="22"/>
          <w:szCs w:val="22"/>
        </w:rPr>
        <w:t xml:space="preserve"> Spinoza, </w:t>
      </w:r>
      <w:r w:rsidRPr="00D00BB0">
        <w:rPr>
          <w:rFonts w:ascii="Garamond" w:hAnsi="Garamond"/>
          <w:i/>
          <w:iCs/>
          <w:sz w:val="22"/>
          <w:szCs w:val="22"/>
        </w:rPr>
        <w:t>Theological Political Treatise</w:t>
      </w:r>
      <w:r w:rsidRPr="00D00BB0">
        <w:rPr>
          <w:rFonts w:ascii="Garamond" w:hAnsi="Garamond"/>
          <w:sz w:val="22"/>
          <w:szCs w:val="22"/>
        </w:rPr>
        <w:t xml:space="preserve">, </w:t>
      </w:r>
      <w:r w:rsidR="00223CC5">
        <w:rPr>
          <w:rFonts w:ascii="Garamond" w:hAnsi="Garamond"/>
          <w:sz w:val="22"/>
          <w:szCs w:val="22"/>
        </w:rPr>
        <w:t>Ch. 4 §6</w:t>
      </w:r>
      <w:r w:rsidRPr="00D00BB0">
        <w:rPr>
          <w:rFonts w:ascii="Garamond" w:hAnsi="Garamond"/>
          <w:sz w:val="22"/>
          <w:szCs w:val="22"/>
        </w:rPr>
        <w:t>| III/</w:t>
      </w:r>
      <w:r w:rsidR="00223CC5">
        <w:rPr>
          <w:rFonts w:ascii="Garamond" w:hAnsi="Garamond"/>
          <w:sz w:val="22"/>
          <w:szCs w:val="22"/>
        </w:rPr>
        <w:t>59</w:t>
      </w:r>
      <w:r w:rsidRPr="00D00BB0">
        <w:rPr>
          <w:rFonts w:ascii="Garamond" w:hAnsi="Garamond"/>
          <w:sz w:val="22"/>
          <w:szCs w:val="22"/>
        </w:rPr>
        <w:t>/</w:t>
      </w:r>
      <w:r w:rsidR="00223CC5">
        <w:rPr>
          <w:rFonts w:ascii="Garamond" w:hAnsi="Garamond"/>
          <w:sz w:val="22"/>
          <w:szCs w:val="22"/>
        </w:rPr>
        <w:t>1</w:t>
      </w:r>
      <w:r w:rsidRPr="00D00BB0">
        <w:rPr>
          <w:rFonts w:ascii="Garamond" w:hAnsi="Garamond"/>
          <w:sz w:val="22"/>
          <w:szCs w:val="22"/>
        </w:rPr>
        <w:t>.</w:t>
      </w:r>
      <w:r w:rsidR="00F766FC">
        <w:rPr>
          <w:rFonts w:ascii="Garamond" w:hAnsi="Garamond"/>
          <w:sz w:val="22"/>
          <w:szCs w:val="22"/>
        </w:rPr>
        <w:t xml:space="preserve"> I am indebted to Zach </w:t>
      </w:r>
      <w:proofErr w:type="spellStart"/>
      <w:r w:rsidR="00F766FC">
        <w:rPr>
          <w:rFonts w:ascii="Garamond" w:hAnsi="Garamond"/>
          <w:sz w:val="22"/>
          <w:szCs w:val="22"/>
        </w:rPr>
        <w:t>Gartenberg</w:t>
      </w:r>
      <w:proofErr w:type="spellEnd"/>
      <w:r w:rsidR="00F766FC">
        <w:rPr>
          <w:rFonts w:ascii="Garamond" w:hAnsi="Garamond"/>
          <w:sz w:val="22"/>
          <w:szCs w:val="22"/>
        </w:rPr>
        <w:t xml:space="preserve"> for his astute comments on an earlier draft of this chapter.</w:t>
      </w:r>
    </w:p>
  </w:footnote>
  <w:footnote w:id="2">
    <w:p w14:paraId="08F7A2CC" w14:textId="4FB9B0AC" w:rsidR="00860798" w:rsidRPr="00860798" w:rsidRDefault="00860798" w:rsidP="00860798">
      <w:pPr>
        <w:pStyle w:val="FootnoteText"/>
        <w:spacing w:line="480" w:lineRule="auto"/>
        <w:jc w:val="both"/>
        <w:rPr>
          <w:rFonts w:ascii="Garamond" w:hAnsi="Garamond"/>
          <w:iCs/>
          <w:sz w:val="22"/>
          <w:szCs w:val="22"/>
        </w:rPr>
      </w:pPr>
      <w:r w:rsidRPr="00860798">
        <w:rPr>
          <w:rStyle w:val="FootnoteReference"/>
          <w:rFonts w:ascii="Garamond" w:hAnsi="Garamond"/>
          <w:sz w:val="22"/>
          <w:szCs w:val="22"/>
        </w:rPr>
        <w:footnoteRef/>
      </w:r>
      <w:r w:rsidRPr="00860798">
        <w:rPr>
          <w:rFonts w:ascii="Garamond" w:hAnsi="Garamond"/>
          <w:sz w:val="22"/>
          <w:szCs w:val="22"/>
        </w:rPr>
        <w:t xml:space="preserve"> </w:t>
      </w:r>
      <w:r w:rsidRPr="00860798">
        <w:rPr>
          <w:rFonts w:ascii="Garamond" w:hAnsi="Garamond"/>
          <w:iCs/>
          <w:sz w:val="22"/>
          <w:szCs w:val="22"/>
        </w:rPr>
        <w:t xml:space="preserve">I am not a fan of Carl Schmitt. I find his 1922 </w:t>
      </w:r>
      <w:proofErr w:type="spellStart"/>
      <w:r w:rsidRPr="00860798">
        <w:rPr>
          <w:rFonts w:ascii="Garamond" w:hAnsi="Garamond"/>
          <w:i/>
          <w:sz w:val="22"/>
          <w:szCs w:val="22"/>
        </w:rPr>
        <w:t>Politische</w:t>
      </w:r>
      <w:proofErr w:type="spellEnd"/>
      <w:r w:rsidRPr="00860798">
        <w:rPr>
          <w:rFonts w:ascii="Garamond" w:hAnsi="Garamond"/>
          <w:i/>
          <w:sz w:val="22"/>
          <w:szCs w:val="22"/>
        </w:rPr>
        <w:t xml:space="preserve"> </w:t>
      </w:r>
      <w:proofErr w:type="spellStart"/>
      <w:r w:rsidRPr="00860798">
        <w:rPr>
          <w:rFonts w:ascii="Garamond" w:hAnsi="Garamond"/>
          <w:i/>
          <w:sz w:val="22"/>
          <w:szCs w:val="22"/>
        </w:rPr>
        <w:t>Theologie</w:t>
      </w:r>
      <w:proofErr w:type="spellEnd"/>
      <w:r w:rsidRPr="00860798">
        <w:rPr>
          <w:rFonts w:ascii="Garamond" w:hAnsi="Garamond"/>
          <w:iCs/>
          <w:sz w:val="22"/>
          <w:szCs w:val="22"/>
        </w:rPr>
        <w:t xml:space="preserve"> boring and mostly dull, and the few genuine philosophical insights this tract contains seem to me to pale in comparison with the richness and boldness gleaming on almost every page of Spinoza’s </w:t>
      </w:r>
      <w:r w:rsidRPr="00860798">
        <w:rPr>
          <w:rFonts w:ascii="Garamond" w:hAnsi="Garamond"/>
          <w:i/>
          <w:sz w:val="22"/>
          <w:szCs w:val="22"/>
        </w:rPr>
        <w:t>Tractatus Theologico Politicus</w:t>
      </w:r>
      <w:r w:rsidRPr="00860798">
        <w:rPr>
          <w:rFonts w:ascii="Garamond" w:hAnsi="Garamond"/>
          <w:iCs/>
          <w:sz w:val="22"/>
          <w:szCs w:val="22"/>
        </w:rPr>
        <w:t xml:space="preserve">. Moreover, unlike some in the Critical Theory crowd, I do not feel any need or desire to embrace </w:t>
      </w:r>
      <w:proofErr w:type="spellStart"/>
      <w:r w:rsidRPr="00860798">
        <w:rPr>
          <w:rFonts w:ascii="Garamond" w:hAnsi="Garamond"/>
          <w:i/>
          <w:sz w:val="22"/>
          <w:szCs w:val="22"/>
        </w:rPr>
        <w:t>echt</w:t>
      </w:r>
      <w:proofErr w:type="spellEnd"/>
      <w:r w:rsidRPr="00860798">
        <w:rPr>
          <w:rFonts w:ascii="Garamond" w:hAnsi="Garamond"/>
          <w:iCs/>
          <w:sz w:val="22"/>
          <w:szCs w:val="22"/>
        </w:rPr>
        <w:t xml:space="preserve"> Nazis, such as Schmitt and Heidegger, in order to establish my credentials as an “open” thinker. Alas, I am not open, but really closed, to Nazi thinking: “Let not my being be counted in their assembly” (Gen. 49:6).</w:t>
      </w:r>
    </w:p>
    <w:p w14:paraId="595CA7AE" w14:textId="21BB9293" w:rsidR="00860798" w:rsidRPr="00860798" w:rsidRDefault="00860798" w:rsidP="00860798">
      <w:pPr>
        <w:pStyle w:val="FootnoteText"/>
        <w:spacing w:line="480" w:lineRule="auto"/>
        <w:jc w:val="both"/>
        <w:rPr>
          <w:rFonts w:ascii="Garamond" w:hAnsi="Garamond"/>
          <w:iCs/>
          <w:sz w:val="22"/>
          <w:szCs w:val="22"/>
        </w:rPr>
      </w:pPr>
      <w:r w:rsidRPr="00860798">
        <w:rPr>
          <w:rFonts w:ascii="Garamond" w:hAnsi="Garamond"/>
          <w:iCs/>
          <w:sz w:val="22"/>
          <w:szCs w:val="22"/>
        </w:rPr>
        <w:tab/>
        <w:t>I am also not particularly excited about obscurantist writing which establishes its credentials as a “theoretical text” by conscientiously peppering every single page with mandatory stock expressions such as: “as X said” (seven or eight times a page at least), “the Subject” (the same), “the Sovereign” (five or six times is enough), “state of emergency” (three times a page?) and “political theology” (the more the merrier). I leave this kind of charlatanry and authority games to others. And yet, this chapter is still about: political theology.</w:t>
      </w:r>
    </w:p>
  </w:footnote>
  <w:footnote w:id="3">
    <w:p w14:paraId="159A259D" w14:textId="4B83A9D1" w:rsidR="00161BC7" w:rsidRPr="00161BC7" w:rsidRDefault="00161BC7" w:rsidP="00161BC7">
      <w:pPr>
        <w:pStyle w:val="FootnoteText"/>
        <w:spacing w:line="480" w:lineRule="auto"/>
        <w:jc w:val="both"/>
        <w:rPr>
          <w:rFonts w:ascii="Garamond" w:hAnsi="Garamond"/>
          <w:sz w:val="22"/>
          <w:szCs w:val="22"/>
        </w:rPr>
      </w:pPr>
      <w:r w:rsidRPr="00161BC7">
        <w:rPr>
          <w:rStyle w:val="FootnoteReference"/>
          <w:rFonts w:ascii="Garamond" w:hAnsi="Garamond"/>
          <w:sz w:val="22"/>
          <w:szCs w:val="22"/>
        </w:rPr>
        <w:footnoteRef/>
      </w:r>
      <w:r w:rsidRPr="00161BC7">
        <w:rPr>
          <w:rFonts w:ascii="Garamond" w:hAnsi="Garamond"/>
          <w:sz w:val="22"/>
          <w:szCs w:val="22"/>
        </w:rPr>
        <w:t xml:space="preserve"> Maimon, </w:t>
      </w:r>
      <w:r w:rsidRPr="00161BC7">
        <w:rPr>
          <w:rFonts w:ascii="Garamond" w:hAnsi="Garamond"/>
          <w:i/>
          <w:iCs/>
          <w:sz w:val="22"/>
          <w:szCs w:val="22"/>
        </w:rPr>
        <w:t>Autobiography</w:t>
      </w:r>
      <w:r w:rsidRPr="00161BC7">
        <w:rPr>
          <w:rFonts w:ascii="Garamond" w:hAnsi="Garamond"/>
          <w:sz w:val="22"/>
          <w:szCs w:val="22"/>
        </w:rPr>
        <w:t xml:space="preserve">, 104| </w:t>
      </w:r>
      <w:proofErr w:type="spellStart"/>
      <w:r w:rsidRPr="00161BC7">
        <w:rPr>
          <w:rFonts w:ascii="Garamond" w:hAnsi="Garamond"/>
          <w:i/>
          <w:iCs/>
          <w:sz w:val="22"/>
          <w:szCs w:val="22"/>
        </w:rPr>
        <w:t>Lebensgeschichte</w:t>
      </w:r>
      <w:proofErr w:type="spellEnd"/>
      <w:r w:rsidRPr="00161BC7">
        <w:rPr>
          <w:rFonts w:ascii="Garamond" w:hAnsi="Garamond"/>
          <w:sz w:val="22"/>
          <w:szCs w:val="22"/>
        </w:rPr>
        <w:t xml:space="preserve">, </w:t>
      </w:r>
      <w:r w:rsidR="0073132D">
        <w:rPr>
          <w:rFonts w:ascii="Garamond" w:hAnsi="Garamond"/>
          <w:sz w:val="22"/>
          <w:szCs w:val="22"/>
        </w:rPr>
        <w:t>Part</w:t>
      </w:r>
      <w:r w:rsidRPr="00161BC7">
        <w:rPr>
          <w:rFonts w:ascii="Garamond" w:hAnsi="Garamond"/>
          <w:sz w:val="22"/>
          <w:szCs w:val="22"/>
        </w:rPr>
        <w:t xml:space="preserve"> </w:t>
      </w:r>
      <w:r w:rsidR="0073132D">
        <w:rPr>
          <w:rFonts w:ascii="Garamond" w:hAnsi="Garamond"/>
          <w:sz w:val="22"/>
          <w:szCs w:val="22"/>
        </w:rPr>
        <w:t>I</w:t>
      </w:r>
      <w:r w:rsidRPr="00161BC7">
        <w:rPr>
          <w:rFonts w:ascii="Garamond" w:hAnsi="Garamond"/>
          <w:sz w:val="22"/>
          <w:szCs w:val="22"/>
        </w:rPr>
        <w:t>, Ch. 20, 251.</w:t>
      </w:r>
      <w:r w:rsidR="006773C5">
        <w:rPr>
          <w:rFonts w:ascii="Garamond" w:hAnsi="Garamond"/>
          <w:sz w:val="22"/>
          <w:szCs w:val="22"/>
        </w:rPr>
        <w:t xml:space="preserve"> Maimon’s </w:t>
      </w:r>
      <w:proofErr w:type="spellStart"/>
      <w:r w:rsidR="006773C5" w:rsidRPr="006773C5">
        <w:rPr>
          <w:rFonts w:ascii="Garamond" w:hAnsi="Garamond"/>
          <w:i/>
          <w:iCs/>
          <w:sz w:val="22"/>
          <w:szCs w:val="22"/>
        </w:rPr>
        <w:t>Lebensgechichte</w:t>
      </w:r>
      <w:proofErr w:type="spellEnd"/>
      <w:r w:rsidR="006773C5">
        <w:rPr>
          <w:rFonts w:ascii="Garamond" w:hAnsi="Garamond"/>
          <w:sz w:val="22"/>
          <w:szCs w:val="22"/>
        </w:rPr>
        <w:t xml:space="preserve"> is reproduced as Band I of his </w:t>
      </w:r>
      <w:proofErr w:type="spellStart"/>
      <w:r w:rsidR="006773C5" w:rsidRPr="006773C5">
        <w:rPr>
          <w:rFonts w:ascii="Garamond" w:hAnsi="Garamond"/>
          <w:i/>
          <w:iCs/>
          <w:sz w:val="22"/>
          <w:szCs w:val="22"/>
        </w:rPr>
        <w:t>Gesammelte</w:t>
      </w:r>
      <w:proofErr w:type="spellEnd"/>
      <w:r w:rsidR="006773C5" w:rsidRPr="006773C5">
        <w:rPr>
          <w:rFonts w:ascii="Garamond" w:hAnsi="Garamond"/>
          <w:i/>
          <w:iCs/>
          <w:sz w:val="22"/>
          <w:szCs w:val="22"/>
        </w:rPr>
        <w:t xml:space="preserve"> Werke</w:t>
      </w:r>
      <w:r w:rsidR="006773C5">
        <w:rPr>
          <w:rFonts w:ascii="Garamond" w:hAnsi="Garamond"/>
          <w:sz w:val="22"/>
          <w:szCs w:val="22"/>
        </w:rPr>
        <w:t>.</w:t>
      </w:r>
    </w:p>
  </w:footnote>
  <w:footnote w:id="4">
    <w:p w14:paraId="3E9904C4" w14:textId="008B3A0D" w:rsidR="00FE3C64" w:rsidRPr="00FE3C64" w:rsidRDefault="00FE3C64" w:rsidP="00FE3C64">
      <w:pPr>
        <w:pStyle w:val="FootnoteText"/>
        <w:spacing w:line="480" w:lineRule="auto"/>
        <w:jc w:val="both"/>
        <w:rPr>
          <w:rFonts w:ascii="Garamond" w:hAnsi="Garamond"/>
          <w:sz w:val="22"/>
          <w:szCs w:val="22"/>
        </w:rPr>
      </w:pPr>
      <w:r w:rsidRPr="00FE3C64">
        <w:rPr>
          <w:rStyle w:val="FootnoteReference"/>
          <w:rFonts w:ascii="Garamond" w:hAnsi="Garamond"/>
          <w:sz w:val="22"/>
          <w:szCs w:val="22"/>
        </w:rPr>
        <w:footnoteRef/>
      </w:r>
      <w:r w:rsidRPr="00FE3C64">
        <w:rPr>
          <w:rFonts w:ascii="Garamond" w:hAnsi="Garamond"/>
          <w:sz w:val="22"/>
          <w:szCs w:val="22"/>
        </w:rPr>
        <w:t xml:space="preserve"> On the readership of the </w:t>
      </w:r>
      <w:proofErr w:type="spellStart"/>
      <w:r w:rsidRPr="00FE3C64">
        <w:rPr>
          <w:rFonts w:ascii="Garamond" w:hAnsi="Garamond"/>
          <w:i/>
          <w:iCs/>
          <w:sz w:val="22"/>
          <w:szCs w:val="22"/>
        </w:rPr>
        <w:t>Lebensgeschichte</w:t>
      </w:r>
      <w:proofErr w:type="spellEnd"/>
      <w:r w:rsidRPr="00FE3C64">
        <w:rPr>
          <w:rFonts w:ascii="Garamond" w:hAnsi="Garamond"/>
          <w:sz w:val="22"/>
          <w:szCs w:val="22"/>
        </w:rPr>
        <w:t xml:space="preserve">, see Melamed and </w:t>
      </w:r>
      <w:proofErr w:type="spellStart"/>
      <w:r w:rsidRPr="00FE3C64">
        <w:rPr>
          <w:rFonts w:ascii="Garamond" w:hAnsi="Garamond"/>
          <w:sz w:val="22"/>
          <w:szCs w:val="22"/>
        </w:rPr>
        <w:t>Socher’s</w:t>
      </w:r>
      <w:proofErr w:type="spellEnd"/>
      <w:r w:rsidRPr="00FE3C64">
        <w:rPr>
          <w:rFonts w:ascii="Garamond" w:hAnsi="Garamond"/>
          <w:sz w:val="22"/>
          <w:szCs w:val="22"/>
        </w:rPr>
        <w:t xml:space="preserve"> editorial introduction to Maimon, </w:t>
      </w:r>
      <w:r w:rsidRPr="00FE3C64">
        <w:rPr>
          <w:rFonts w:ascii="Garamond" w:hAnsi="Garamond"/>
          <w:i/>
          <w:iCs/>
          <w:sz w:val="22"/>
          <w:szCs w:val="22"/>
        </w:rPr>
        <w:t>Autobiography</w:t>
      </w:r>
      <w:r w:rsidRPr="00FE3C64">
        <w:rPr>
          <w:rFonts w:ascii="Garamond" w:hAnsi="Garamond"/>
          <w:sz w:val="22"/>
          <w:szCs w:val="22"/>
        </w:rPr>
        <w:t>, xiii-xiv.</w:t>
      </w:r>
    </w:p>
  </w:footnote>
  <w:footnote w:id="5">
    <w:p w14:paraId="3ADFCBD4" w14:textId="67FCE59B" w:rsidR="005976F0" w:rsidRPr="0073132D" w:rsidRDefault="005976F0" w:rsidP="0073132D">
      <w:pPr>
        <w:pStyle w:val="FootnoteText"/>
        <w:spacing w:line="480" w:lineRule="auto"/>
        <w:jc w:val="both"/>
        <w:rPr>
          <w:rFonts w:ascii="Garamond" w:hAnsi="Garamond"/>
          <w:sz w:val="22"/>
          <w:szCs w:val="22"/>
        </w:rPr>
      </w:pPr>
      <w:r w:rsidRPr="0073132D">
        <w:rPr>
          <w:rStyle w:val="FootnoteReference"/>
          <w:rFonts w:ascii="Garamond" w:hAnsi="Garamond"/>
          <w:sz w:val="22"/>
          <w:szCs w:val="22"/>
        </w:rPr>
        <w:footnoteRef/>
      </w:r>
      <w:r w:rsidRPr="0073132D">
        <w:rPr>
          <w:rFonts w:ascii="Garamond" w:hAnsi="Garamond"/>
          <w:sz w:val="22"/>
          <w:szCs w:val="22"/>
        </w:rPr>
        <w:t xml:space="preserve"> Some chapters of the book appeared earlier in the </w:t>
      </w:r>
      <w:proofErr w:type="spellStart"/>
      <w:r w:rsidRPr="0073132D">
        <w:rPr>
          <w:rFonts w:ascii="Garamond" w:hAnsi="Garamond"/>
          <w:i/>
          <w:iCs/>
          <w:sz w:val="22"/>
          <w:szCs w:val="22"/>
        </w:rPr>
        <w:t>Magazin</w:t>
      </w:r>
      <w:proofErr w:type="spellEnd"/>
      <w:r w:rsidRPr="0073132D">
        <w:rPr>
          <w:rFonts w:ascii="Garamond" w:hAnsi="Garamond"/>
          <w:i/>
          <w:iCs/>
          <w:sz w:val="22"/>
          <w:szCs w:val="22"/>
        </w:rPr>
        <w:t xml:space="preserve"> </w:t>
      </w:r>
      <w:proofErr w:type="spellStart"/>
      <w:r w:rsidRPr="0073132D">
        <w:rPr>
          <w:rFonts w:ascii="Garamond" w:hAnsi="Garamond"/>
          <w:i/>
          <w:iCs/>
          <w:sz w:val="22"/>
          <w:szCs w:val="22"/>
        </w:rPr>
        <w:t>zur</w:t>
      </w:r>
      <w:proofErr w:type="spellEnd"/>
      <w:r w:rsidRPr="0073132D">
        <w:rPr>
          <w:rFonts w:ascii="Garamond" w:hAnsi="Garamond"/>
          <w:i/>
          <w:iCs/>
          <w:sz w:val="22"/>
          <w:szCs w:val="22"/>
        </w:rPr>
        <w:t xml:space="preserve"> </w:t>
      </w:r>
      <w:proofErr w:type="spellStart"/>
      <w:r w:rsidRPr="0073132D">
        <w:rPr>
          <w:rFonts w:ascii="Garamond" w:hAnsi="Garamond"/>
          <w:i/>
          <w:iCs/>
          <w:sz w:val="22"/>
          <w:szCs w:val="22"/>
        </w:rPr>
        <w:t>Erfahrungsseelenkunde</w:t>
      </w:r>
      <w:proofErr w:type="spellEnd"/>
      <w:r w:rsidRPr="0073132D">
        <w:rPr>
          <w:rFonts w:ascii="Garamond" w:hAnsi="Garamond"/>
          <w:sz w:val="22"/>
          <w:szCs w:val="22"/>
        </w:rPr>
        <w:t xml:space="preserve">. In its latest period, the </w:t>
      </w:r>
      <w:proofErr w:type="spellStart"/>
      <w:r w:rsidRPr="0073132D">
        <w:rPr>
          <w:rFonts w:ascii="Garamond" w:hAnsi="Garamond"/>
          <w:i/>
          <w:iCs/>
          <w:sz w:val="22"/>
          <w:szCs w:val="22"/>
        </w:rPr>
        <w:t>Magazin</w:t>
      </w:r>
      <w:proofErr w:type="spellEnd"/>
      <w:r w:rsidRPr="0073132D">
        <w:rPr>
          <w:rFonts w:ascii="Garamond" w:hAnsi="Garamond"/>
          <w:sz w:val="22"/>
          <w:szCs w:val="22"/>
        </w:rPr>
        <w:t xml:space="preserve"> </w:t>
      </w:r>
      <w:r w:rsidR="0073132D" w:rsidRPr="0073132D">
        <w:rPr>
          <w:rFonts w:ascii="Garamond" w:hAnsi="Garamond"/>
          <w:sz w:val="22"/>
          <w:szCs w:val="22"/>
        </w:rPr>
        <w:t xml:space="preserve">was edited jointly by Maimon and </w:t>
      </w:r>
      <w:r w:rsidRPr="0073132D">
        <w:rPr>
          <w:rFonts w:ascii="Garamond" w:hAnsi="Garamond"/>
          <w:sz w:val="22"/>
          <w:szCs w:val="22"/>
        </w:rPr>
        <w:t>K.P. Moritz.</w:t>
      </w:r>
    </w:p>
  </w:footnote>
  <w:footnote w:id="6">
    <w:p w14:paraId="3FA6650E" w14:textId="783EBAF8" w:rsidR="0073132D" w:rsidRPr="00201BA1" w:rsidRDefault="0073132D" w:rsidP="00201BA1">
      <w:pPr>
        <w:pStyle w:val="FootnoteText"/>
        <w:spacing w:line="480" w:lineRule="auto"/>
        <w:jc w:val="both"/>
        <w:rPr>
          <w:rFonts w:ascii="Garamond" w:hAnsi="Garamond"/>
          <w:sz w:val="22"/>
          <w:szCs w:val="22"/>
        </w:rPr>
      </w:pPr>
      <w:r w:rsidRPr="00201BA1">
        <w:rPr>
          <w:rStyle w:val="FootnoteReference"/>
          <w:rFonts w:ascii="Garamond" w:hAnsi="Garamond"/>
          <w:sz w:val="22"/>
          <w:szCs w:val="22"/>
        </w:rPr>
        <w:footnoteRef/>
      </w:r>
      <w:r w:rsidRPr="00201BA1">
        <w:rPr>
          <w:rFonts w:ascii="Garamond" w:hAnsi="Garamond"/>
          <w:sz w:val="22"/>
          <w:szCs w:val="22"/>
        </w:rPr>
        <w:t xml:space="preserve"> Maimon, </w:t>
      </w:r>
      <w:r w:rsidRPr="00201BA1">
        <w:rPr>
          <w:rFonts w:ascii="Garamond" w:hAnsi="Garamond"/>
          <w:i/>
          <w:iCs/>
          <w:sz w:val="22"/>
          <w:szCs w:val="22"/>
        </w:rPr>
        <w:t>Autobiography</w:t>
      </w:r>
      <w:r w:rsidRPr="00201BA1">
        <w:rPr>
          <w:rFonts w:ascii="Garamond" w:hAnsi="Garamond"/>
          <w:sz w:val="22"/>
          <w:szCs w:val="22"/>
        </w:rPr>
        <w:t>, 133|</w:t>
      </w:r>
      <w:r w:rsidRPr="00201BA1">
        <w:rPr>
          <w:rFonts w:ascii="Garamond" w:hAnsi="Garamond"/>
          <w:i/>
          <w:iCs/>
          <w:sz w:val="22"/>
          <w:szCs w:val="22"/>
        </w:rPr>
        <w:t>Lebensgeschichte</w:t>
      </w:r>
      <w:r w:rsidRPr="00201BA1">
        <w:rPr>
          <w:rFonts w:ascii="Garamond" w:hAnsi="Garamond"/>
          <w:sz w:val="22"/>
          <w:szCs w:val="22"/>
        </w:rPr>
        <w:t>, Part II, Ch. 1, 15. Italics in origin. Underlining mine.</w:t>
      </w:r>
    </w:p>
  </w:footnote>
  <w:footnote w:id="7">
    <w:p w14:paraId="7EDEE450" w14:textId="7D92A2DD" w:rsidR="00201BA1" w:rsidRPr="00201BA1" w:rsidRDefault="00201BA1" w:rsidP="00736E24">
      <w:pPr>
        <w:pStyle w:val="FootnoteText"/>
        <w:spacing w:line="480" w:lineRule="auto"/>
        <w:jc w:val="both"/>
        <w:rPr>
          <w:rFonts w:ascii="Garamond" w:hAnsi="Garamond"/>
          <w:sz w:val="22"/>
          <w:szCs w:val="22"/>
        </w:rPr>
      </w:pPr>
      <w:r w:rsidRPr="00201BA1">
        <w:rPr>
          <w:rStyle w:val="FootnoteReference"/>
          <w:rFonts w:ascii="Garamond" w:hAnsi="Garamond"/>
          <w:sz w:val="22"/>
          <w:szCs w:val="22"/>
        </w:rPr>
        <w:footnoteRef/>
      </w:r>
      <w:r w:rsidRPr="00201BA1">
        <w:rPr>
          <w:rFonts w:ascii="Garamond" w:hAnsi="Garamond"/>
          <w:sz w:val="22"/>
          <w:szCs w:val="22"/>
        </w:rPr>
        <w:t xml:space="preserve"> The clarity of these ten chapters stands in sharp contrast to Maimon’s typical style of writing philosophy</w:t>
      </w:r>
      <w:r w:rsidR="00B169ED">
        <w:rPr>
          <w:rFonts w:ascii="Garamond" w:hAnsi="Garamond"/>
          <w:sz w:val="22"/>
          <w:szCs w:val="22"/>
        </w:rPr>
        <w:t>,</w:t>
      </w:r>
      <w:r w:rsidRPr="00201BA1">
        <w:rPr>
          <w:rFonts w:ascii="Garamond" w:hAnsi="Garamond"/>
          <w:sz w:val="22"/>
          <w:szCs w:val="22"/>
        </w:rPr>
        <w:t xml:space="preserve"> which is not easy to decipher.</w:t>
      </w:r>
    </w:p>
  </w:footnote>
  <w:footnote w:id="8">
    <w:p w14:paraId="31E0FA5F" w14:textId="302F02EB" w:rsidR="00736E24" w:rsidRPr="00736E24" w:rsidRDefault="00736E24" w:rsidP="00736E24">
      <w:pPr>
        <w:pStyle w:val="FootnoteText"/>
        <w:spacing w:line="480" w:lineRule="auto"/>
        <w:jc w:val="both"/>
        <w:rPr>
          <w:rFonts w:ascii="Garamond" w:hAnsi="Garamond"/>
          <w:sz w:val="22"/>
          <w:szCs w:val="22"/>
        </w:rPr>
      </w:pPr>
      <w:r w:rsidRPr="00736E24">
        <w:rPr>
          <w:rStyle w:val="FootnoteReference"/>
          <w:rFonts w:ascii="Garamond" w:hAnsi="Garamond"/>
          <w:sz w:val="22"/>
          <w:szCs w:val="22"/>
        </w:rPr>
        <w:footnoteRef/>
      </w:r>
      <w:r w:rsidRPr="00736E24">
        <w:rPr>
          <w:rFonts w:ascii="Garamond" w:hAnsi="Garamond"/>
          <w:sz w:val="22"/>
          <w:szCs w:val="22"/>
        </w:rPr>
        <w:t xml:space="preserve"> This disturbing disrespect of the literary integrity of the </w:t>
      </w:r>
      <w:r>
        <w:rPr>
          <w:rFonts w:ascii="Garamond" w:hAnsi="Garamond"/>
          <w:sz w:val="22"/>
          <w:szCs w:val="22"/>
        </w:rPr>
        <w:t>work</w:t>
      </w:r>
      <w:r w:rsidRPr="00736E24">
        <w:rPr>
          <w:rFonts w:ascii="Garamond" w:hAnsi="Garamond"/>
          <w:sz w:val="22"/>
          <w:szCs w:val="22"/>
        </w:rPr>
        <w:t xml:space="preserve"> seems to stem – at least in part –</w:t>
      </w:r>
    </w:p>
    <w:p w14:paraId="7740D1A7" w14:textId="171CD617" w:rsidR="00736E24" w:rsidRDefault="00736E24" w:rsidP="00736E24">
      <w:pPr>
        <w:pStyle w:val="FootnoteText"/>
        <w:spacing w:line="480" w:lineRule="auto"/>
        <w:jc w:val="both"/>
      </w:pPr>
      <w:r w:rsidRPr="00736E24">
        <w:rPr>
          <w:rFonts w:ascii="Garamond" w:hAnsi="Garamond"/>
          <w:sz w:val="22"/>
          <w:szCs w:val="22"/>
        </w:rPr>
        <w:t xml:space="preserve">from the common </w:t>
      </w:r>
      <w:r>
        <w:rPr>
          <w:rFonts w:ascii="Garamond" w:hAnsi="Garamond"/>
          <w:sz w:val="22"/>
          <w:szCs w:val="22"/>
        </w:rPr>
        <w:t>attitude toward</w:t>
      </w:r>
      <w:r w:rsidRPr="00736E24">
        <w:rPr>
          <w:rFonts w:ascii="Garamond" w:hAnsi="Garamond"/>
          <w:sz w:val="22"/>
          <w:szCs w:val="22"/>
        </w:rPr>
        <w:t xml:space="preserve"> Maimon as an </w:t>
      </w:r>
      <w:proofErr w:type="spellStart"/>
      <w:r w:rsidRPr="00736E24">
        <w:rPr>
          <w:rFonts w:ascii="Garamond" w:hAnsi="Garamond"/>
          <w:i/>
          <w:iCs/>
          <w:sz w:val="22"/>
          <w:szCs w:val="22"/>
        </w:rPr>
        <w:t>Ostjude</w:t>
      </w:r>
      <w:proofErr w:type="spellEnd"/>
      <w:r w:rsidRPr="00736E24">
        <w:rPr>
          <w:rFonts w:ascii="Garamond" w:hAnsi="Garamond"/>
          <w:sz w:val="22"/>
          <w:szCs w:val="22"/>
        </w:rPr>
        <w:t xml:space="preserve"> whose </w:t>
      </w:r>
      <w:r>
        <w:rPr>
          <w:rFonts w:ascii="Garamond" w:hAnsi="Garamond"/>
          <w:sz w:val="22"/>
          <w:szCs w:val="22"/>
        </w:rPr>
        <w:t>“</w:t>
      </w:r>
      <w:r w:rsidRPr="00736E24">
        <w:rPr>
          <w:rFonts w:ascii="Garamond" w:hAnsi="Garamond"/>
          <w:sz w:val="22"/>
          <w:szCs w:val="22"/>
        </w:rPr>
        <w:t>inferior</w:t>
      </w:r>
      <w:r>
        <w:rPr>
          <w:rFonts w:ascii="Garamond" w:hAnsi="Garamond"/>
          <w:sz w:val="22"/>
          <w:szCs w:val="22"/>
        </w:rPr>
        <w:t>”</w:t>
      </w:r>
      <w:r w:rsidRPr="00736E24">
        <w:rPr>
          <w:rFonts w:ascii="Garamond" w:hAnsi="Garamond"/>
          <w:sz w:val="22"/>
          <w:szCs w:val="22"/>
        </w:rPr>
        <w:t xml:space="preserve"> culture does not deserve </w:t>
      </w:r>
      <w:r>
        <w:rPr>
          <w:rFonts w:ascii="Garamond" w:hAnsi="Garamond"/>
          <w:sz w:val="22"/>
          <w:szCs w:val="22"/>
        </w:rPr>
        <w:t xml:space="preserve">either </w:t>
      </w:r>
      <w:r w:rsidRPr="00736E24">
        <w:rPr>
          <w:rFonts w:ascii="Garamond" w:hAnsi="Garamond"/>
          <w:sz w:val="22"/>
          <w:szCs w:val="22"/>
        </w:rPr>
        <w:t xml:space="preserve">recognition </w:t>
      </w:r>
      <w:r>
        <w:rPr>
          <w:rFonts w:ascii="Garamond" w:hAnsi="Garamond"/>
          <w:sz w:val="22"/>
          <w:szCs w:val="22"/>
        </w:rPr>
        <w:t>or</w:t>
      </w:r>
      <w:r w:rsidRPr="00736E24">
        <w:rPr>
          <w:rFonts w:ascii="Garamond" w:hAnsi="Garamond"/>
          <w:sz w:val="22"/>
          <w:szCs w:val="22"/>
        </w:rPr>
        <w:t xml:space="preserve"> respect.</w:t>
      </w:r>
    </w:p>
  </w:footnote>
  <w:footnote w:id="9">
    <w:p w14:paraId="092FC4AC" w14:textId="7E53987A" w:rsidR="007213B8" w:rsidRPr="00F409BE" w:rsidRDefault="007213B8" w:rsidP="00F409BE">
      <w:pPr>
        <w:pStyle w:val="FootnoteText"/>
        <w:spacing w:line="480" w:lineRule="auto"/>
        <w:jc w:val="both"/>
        <w:rPr>
          <w:rFonts w:ascii="Garamond" w:hAnsi="Garamond"/>
          <w:sz w:val="22"/>
          <w:szCs w:val="22"/>
        </w:rPr>
      </w:pPr>
      <w:r w:rsidRPr="00F409BE">
        <w:rPr>
          <w:rStyle w:val="FootnoteReference"/>
          <w:rFonts w:ascii="Garamond" w:hAnsi="Garamond"/>
          <w:sz w:val="22"/>
          <w:szCs w:val="22"/>
        </w:rPr>
        <w:footnoteRef/>
      </w:r>
      <w:r w:rsidRPr="00F409BE">
        <w:rPr>
          <w:rFonts w:ascii="Garamond" w:hAnsi="Garamond"/>
          <w:sz w:val="22"/>
          <w:szCs w:val="22"/>
        </w:rPr>
        <w:t xml:space="preserve"> Maimon, </w:t>
      </w:r>
      <w:r w:rsidRPr="00F409BE">
        <w:rPr>
          <w:rFonts w:ascii="Garamond" w:hAnsi="Garamond"/>
          <w:i/>
          <w:iCs/>
          <w:sz w:val="22"/>
          <w:szCs w:val="22"/>
        </w:rPr>
        <w:t>Autobiography</w:t>
      </w:r>
      <w:r w:rsidRPr="00F409BE">
        <w:rPr>
          <w:rFonts w:ascii="Garamond" w:hAnsi="Garamond"/>
          <w:sz w:val="22"/>
          <w:szCs w:val="22"/>
        </w:rPr>
        <w:t xml:space="preserve">, 133| </w:t>
      </w:r>
      <w:proofErr w:type="spellStart"/>
      <w:r w:rsidRPr="00F409BE">
        <w:rPr>
          <w:rFonts w:ascii="Garamond" w:hAnsi="Garamond"/>
          <w:i/>
          <w:iCs/>
          <w:sz w:val="22"/>
          <w:szCs w:val="22"/>
        </w:rPr>
        <w:t>Lebensgeschichte</w:t>
      </w:r>
      <w:proofErr w:type="spellEnd"/>
      <w:r w:rsidRPr="00F409BE">
        <w:rPr>
          <w:rFonts w:ascii="Garamond" w:hAnsi="Garamond"/>
          <w:sz w:val="22"/>
          <w:szCs w:val="22"/>
        </w:rPr>
        <w:t>, Part II, Ch. 1, 15. Italics in origin</w:t>
      </w:r>
      <w:r w:rsidR="007275E0">
        <w:rPr>
          <w:rFonts w:ascii="Garamond" w:hAnsi="Garamond"/>
          <w:sz w:val="22"/>
          <w:szCs w:val="22"/>
        </w:rPr>
        <w:t>al</w:t>
      </w:r>
      <w:r w:rsidRPr="00F409BE">
        <w:rPr>
          <w:rFonts w:ascii="Garamond" w:hAnsi="Garamond"/>
          <w:sz w:val="22"/>
          <w:szCs w:val="22"/>
        </w:rPr>
        <w:t>.</w:t>
      </w:r>
    </w:p>
  </w:footnote>
  <w:footnote w:id="10">
    <w:p w14:paraId="355A5B0A" w14:textId="4741E659" w:rsidR="000E681B" w:rsidRDefault="000E681B" w:rsidP="00522739">
      <w:pPr>
        <w:pStyle w:val="FootnoteText"/>
        <w:spacing w:line="480" w:lineRule="auto"/>
        <w:jc w:val="both"/>
      </w:pPr>
      <w:r w:rsidRPr="00F409BE">
        <w:rPr>
          <w:rStyle w:val="FootnoteReference"/>
          <w:rFonts w:ascii="Garamond" w:hAnsi="Garamond"/>
          <w:sz w:val="22"/>
          <w:szCs w:val="22"/>
        </w:rPr>
        <w:footnoteRef/>
      </w:r>
      <w:r w:rsidRPr="00F409BE">
        <w:rPr>
          <w:rFonts w:ascii="Garamond" w:hAnsi="Garamond"/>
          <w:sz w:val="22"/>
          <w:szCs w:val="22"/>
        </w:rPr>
        <w:t xml:space="preserve"> Maimon, </w:t>
      </w:r>
      <w:r w:rsidRPr="00F409BE">
        <w:rPr>
          <w:rFonts w:ascii="Garamond" w:hAnsi="Garamond"/>
          <w:i/>
          <w:iCs/>
          <w:sz w:val="22"/>
          <w:szCs w:val="22"/>
        </w:rPr>
        <w:t>Autobiography</w:t>
      </w:r>
      <w:r w:rsidRPr="00F409BE">
        <w:rPr>
          <w:rFonts w:ascii="Garamond" w:hAnsi="Garamond"/>
          <w:sz w:val="22"/>
          <w:szCs w:val="22"/>
        </w:rPr>
        <w:t xml:space="preserve">, </w:t>
      </w:r>
      <w:r w:rsidR="00522739">
        <w:rPr>
          <w:rFonts w:ascii="Garamond" w:hAnsi="Garamond"/>
          <w:sz w:val="22"/>
          <w:szCs w:val="22"/>
        </w:rPr>
        <w:t>197</w:t>
      </w:r>
      <w:r w:rsidRPr="00F409BE">
        <w:rPr>
          <w:rFonts w:ascii="Garamond" w:hAnsi="Garamond"/>
          <w:sz w:val="22"/>
          <w:szCs w:val="22"/>
        </w:rPr>
        <w:t xml:space="preserve">| </w:t>
      </w:r>
      <w:proofErr w:type="spellStart"/>
      <w:r w:rsidRPr="00F409BE">
        <w:rPr>
          <w:rFonts w:ascii="Garamond" w:hAnsi="Garamond"/>
          <w:i/>
          <w:iCs/>
          <w:sz w:val="22"/>
          <w:szCs w:val="22"/>
        </w:rPr>
        <w:t>Lebensgeschichte</w:t>
      </w:r>
      <w:proofErr w:type="spellEnd"/>
      <w:r w:rsidRPr="00F409BE">
        <w:rPr>
          <w:rFonts w:ascii="Garamond" w:hAnsi="Garamond"/>
          <w:sz w:val="22"/>
          <w:szCs w:val="22"/>
        </w:rPr>
        <w:t>, Part</w:t>
      </w:r>
      <w:r w:rsidR="00522739">
        <w:rPr>
          <w:rFonts w:ascii="Garamond" w:hAnsi="Garamond"/>
          <w:sz w:val="22"/>
          <w:szCs w:val="22"/>
        </w:rPr>
        <w:t xml:space="preserve"> II, Ch. 11, 166. </w:t>
      </w:r>
      <w:r w:rsidR="0033005B">
        <w:rPr>
          <w:rFonts w:ascii="Garamond" w:hAnsi="Garamond"/>
          <w:sz w:val="22"/>
          <w:szCs w:val="22"/>
        </w:rPr>
        <w:t>For more on Maimon’s criticism of Mendelssohn as hypocrite, see</w:t>
      </w:r>
      <w:r w:rsidR="00522739">
        <w:rPr>
          <w:rFonts w:ascii="Garamond" w:hAnsi="Garamond"/>
          <w:sz w:val="22"/>
          <w:szCs w:val="22"/>
        </w:rPr>
        <w:t xml:space="preserve"> my “</w:t>
      </w:r>
      <w:r w:rsidR="00522739" w:rsidRPr="00522739">
        <w:rPr>
          <w:rFonts w:ascii="Garamond" w:hAnsi="Garamond"/>
          <w:sz w:val="22"/>
          <w:szCs w:val="22"/>
        </w:rPr>
        <w:t>Salomon Maimon and the Rise of Spinozism in German Idealism</w:t>
      </w:r>
      <w:r w:rsidR="00522739">
        <w:rPr>
          <w:rFonts w:ascii="Garamond" w:hAnsi="Garamond"/>
          <w:sz w:val="22"/>
          <w:szCs w:val="22"/>
        </w:rPr>
        <w:t>,” 68-73, and “</w:t>
      </w:r>
      <w:r w:rsidR="00522739" w:rsidRPr="00522739">
        <w:rPr>
          <w:rFonts w:ascii="Garamond" w:hAnsi="Garamond"/>
          <w:sz w:val="22"/>
          <w:szCs w:val="22"/>
        </w:rPr>
        <w:t>Mendelssohn, Maimon, and Spinoza on Ex-Communication and Toleration</w:t>
      </w:r>
      <w:r w:rsidR="00522739">
        <w:rPr>
          <w:rFonts w:ascii="Garamond" w:hAnsi="Garamond"/>
          <w:sz w:val="22"/>
          <w:szCs w:val="22"/>
        </w:rPr>
        <w:t>,” 56-7.</w:t>
      </w:r>
    </w:p>
  </w:footnote>
  <w:footnote w:id="11">
    <w:p w14:paraId="3D4AFF00" w14:textId="400CA321" w:rsidR="00E16F68" w:rsidRPr="00E16F68" w:rsidRDefault="00E16F68" w:rsidP="00E16F68">
      <w:pPr>
        <w:pStyle w:val="FootnoteText"/>
        <w:spacing w:line="480" w:lineRule="auto"/>
        <w:jc w:val="both"/>
        <w:rPr>
          <w:rFonts w:ascii="Garamond" w:hAnsi="Garamond"/>
          <w:sz w:val="22"/>
          <w:szCs w:val="22"/>
        </w:rPr>
      </w:pPr>
      <w:r w:rsidRPr="00E16F68">
        <w:rPr>
          <w:rStyle w:val="FootnoteReference"/>
          <w:rFonts w:ascii="Garamond" w:hAnsi="Garamond"/>
          <w:sz w:val="22"/>
          <w:szCs w:val="22"/>
        </w:rPr>
        <w:footnoteRef/>
      </w:r>
      <w:r w:rsidRPr="00E16F68">
        <w:rPr>
          <w:rFonts w:ascii="Garamond" w:hAnsi="Garamond"/>
          <w:sz w:val="22"/>
          <w:szCs w:val="22"/>
        </w:rPr>
        <w:t xml:space="preserve"> On Strauss’</w:t>
      </w:r>
      <w:r w:rsidR="00B30ABB">
        <w:rPr>
          <w:rFonts w:ascii="Garamond" w:hAnsi="Garamond"/>
          <w:sz w:val="22"/>
          <w:szCs w:val="22"/>
        </w:rPr>
        <w:t>s</w:t>
      </w:r>
      <w:r w:rsidRPr="00E16F68">
        <w:rPr>
          <w:rFonts w:ascii="Garamond" w:hAnsi="Garamond"/>
          <w:sz w:val="22"/>
          <w:szCs w:val="22"/>
        </w:rPr>
        <w:t xml:space="preserve"> atheism, see </w:t>
      </w:r>
      <w:r w:rsidR="00C3506F">
        <w:rPr>
          <w:rFonts w:ascii="Garamond" w:hAnsi="Garamond" w:cstheme="majorBidi"/>
          <w:sz w:val="22"/>
          <w:szCs w:val="22"/>
          <w:shd w:val="clear" w:color="auto" w:fill="FFFFFF"/>
        </w:rPr>
        <w:t xml:space="preserve">his introduction to </w:t>
      </w:r>
      <w:r w:rsidR="00C3506F" w:rsidRPr="00C3506F">
        <w:rPr>
          <w:rFonts w:ascii="Garamond" w:hAnsi="Garamond" w:cstheme="majorBidi"/>
          <w:i/>
          <w:iCs/>
          <w:sz w:val="22"/>
          <w:szCs w:val="22"/>
          <w:shd w:val="clear" w:color="auto" w:fill="FFFFFF"/>
        </w:rPr>
        <w:t>Philosophy and Law</w:t>
      </w:r>
      <w:r w:rsidR="006749E7">
        <w:rPr>
          <w:rFonts w:ascii="Garamond" w:hAnsi="Garamond" w:cstheme="majorBidi"/>
          <w:sz w:val="22"/>
          <w:szCs w:val="22"/>
          <w:shd w:val="clear" w:color="auto" w:fill="FFFFFF"/>
        </w:rPr>
        <w:t>, 18-19</w:t>
      </w:r>
      <w:r w:rsidR="008F0666">
        <w:rPr>
          <w:rFonts w:ascii="Garamond" w:hAnsi="Garamond" w:cstheme="majorBidi"/>
          <w:sz w:val="22"/>
          <w:szCs w:val="22"/>
          <w:shd w:val="clear" w:color="auto" w:fill="FFFFFF"/>
        </w:rPr>
        <w:t xml:space="preserve"> According to Harvey, Strauss moderated his view in his late years. See Harvey, “How to Study Strauss.”</w:t>
      </w:r>
    </w:p>
  </w:footnote>
  <w:footnote w:id="12">
    <w:p w14:paraId="64028A83" w14:textId="3FDB1170" w:rsidR="0068635E" w:rsidRPr="0068635E" w:rsidRDefault="0068635E" w:rsidP="0068635E">
      <w:pPr>
        <w:pStyle w:val="FootnoteText"/>
        <w:spacing w:line="480" w:lineRule="auto"/>
        <w:jc w:val="both"/>
        <w:rPr>
          <w:rFonts w:ascii="Garamond" w:hAnsi="Garamond"/>
          <w:sz w:val="22"/>
          <w:szCs w:val="22"/>
        </w:rPr>
      </w:pPr>
      <w:r w:rsidRPr="0068635E">
        <w:rPr>
          <w:rStyle w:val="FootnoteReference"/>
          <w:rFonts w:ascii="Garamond" w:hAnsi="Garamond"/>
          <w:sz w:val="22"/>
          <w:szCs w:val="22"/>
        </w:rPr>
        <w:footnoteRef/>
      </w:r>
      <w:r w:rsidRPr="0068635E">
        <w:rPr>
          <w:rFonts w:ascii="Garamond" w:hAnsi="Garamond"/>
          <w:sz w:val="22"/>
          <w:szCs w:val="22"/>
        </w:rPr>
        <w:t xml:space="preserve"> </w:t>
      </w:r>
      <w:r w:rsidRPr="00A0219F">
        <w:rPr>
          <w:rFonts w:ascii="Garamond" w:hAnsi="Garamond" w:cstheme="majorBidi"/>
          <w:sz w:val="22"/>
          <w:szCs w:val="22"/>
          <w:shd w:val="clear" w:color="auto" w:fill="FFFFFF"/>
        </w:rPr>
        <w:t>On Maimonides’</w:t>
      </w:r>
      <w:r w:rsidR="00B30ABB">
        <w:rPr>
          <w:rFonts w:ascii="Garamond" w:hAnsi="Garamond" w:cstheme="majorBidi"/>
          <w:sz w:val="22"/>
          <w:szCs w:val="22"/>
          <w:shd w:val="clear" w:color="auto" w:fill="FFFFFF"/>
        </w:rPr>
        <w:t>s</w:t>
      </w:r>
      <w:r w:rsidRPr="00A0219F">
        <w:rPr>
          <w:rFonts w:ascii="Garamond" w:hAnsi="Garamond" w:cstheme="majorBidi"/>
          <w:sz w:val="22"/>
          <w:szCs w:val="22"/>
          <w:shd w:val="clear" w:color="auto" w:fill="FFFFFF"/>
        </w:rPr>
        <w:t xml:space="preserve"> atheism per Strauss, see Kremer, “Medieval Arabic Enlightenment,” 138.</w:t>
      </w:r>
      <w:r>
        <w:rPr>
          <w:rFonts w:ascii="Garamond" w:hAnsi="Garamond" w:cstheme="majorBidi"/>
          <w:sz w:val="22"/>
          <w:szCs w:val="22"/>
          <w:shd w:val="clear" w:color="auto" w:fill="FFFFFF"/>
        </w:rPr>
        <w:t xml:space="preserve"> For Strauss’</w:t>
      </w:r>
      <w:r w:rsidR="00B30ABB">
        <w:rPr>
          <w:rFonts w:ascii="Garamond" w:hAnsi="Garamond" w:cstheme="majorBidi"/>
          <w:sz w:val="22"/>
          <w:szCs w:val="22"/>
          <w:shd w:val="clear" w:color="auto" w:fill="FFFFFF"/>
        </w:rPr>
        <w:t>s</w:t>
      </w:r>
      <w:r>
        <w:rPr>
          <w:rFonts w:ascii="Garamond" w:hAnsi="Garamond" w:cstheme="majorBidi"/>
          <w:sz w:val="22"/>
          <w:szCs w:val="22"/>
          <w:shd w:val="clear" w:color="auto" w:fill="FFFFFF"/>
        </w:rPr>
        <w:t xml:space="preserve"> view of Spinoza as atheist, see</w:t>
      </w:r>
      <w:r>
        <w:rPr>
          <w:rFonts w:ascii="Garamond" w:hAnsi="Garamond"/>
          <w:sz w:val="22"/>
          <w:szCs w:val="22"/>
        </w:rPr>
        <w:t xml:space="preserve"> </w:t>
      </w:r>
      <w:r w:rsidRPr="0068635E">
        <w:rPr>
          <w:rFonts w:ascii="Garamond" w:hAnsi="Garamond"/>
          <w:sz w:val="22"/>
          <w:szCs w:val="22"/>
        </w:rPr>
        <w:t xml:space="preserve">Strauss, </w:t>
      </w:r>
      <w:r w:rsidRPr="0068635E">
        <w:rPr>
          <w:rFonts w:ascii="Garamond" w:hAnsi="Garamond"/>
          <w:i/>
          <w:iCs/>
          <w:sz w:val="22"/>
          <w:szCs w:val="22"/>
        </w:rPr>
        <w:t>Spinoza’s Critique of Religion</w:t>
      </w:r>
      <w:r w:rsidRPr="0068635E">
        <w:rPr>
          <w:rFonts w:ascii="Garamond" w:hAnsi="Garamond"/>
          <w:sz w:val="22"/>
          <w:szCs w:val="22"/>
        </w:rPr>
        <w:t xml:space="preserve">, 30, and </w:t>
      </w:r>
      <w:r w:rsidRPr="0068635E">
        <w:rPr>
          <w:rFonts w:ascii="Garamond" w:hAnsi="Garamond"/>
          <w:i/>
          <w:iCs/>
          <w:sz w:val="22"/>
          <w:szCs w:val="22"/>
        </w:rPr>
        <w:t>Persecution</w:t>
      </w:r>
      <w:r w:rsidRPr="0068635E">
        <w:rPr>
          <w:rFonts w:ascii="Garamond" w:hAnsi="Garamond"/>
          <w:sz w:val="22"/>
          <w:szCs w:val="22"/>
        </w:rPr>
        <w:t>, 189</w:t>
      </w:r>
      <w:r>
        <w:rPr>
          <w:rFonts w:ascii="Garamond" w:hAnsi="Garamond"/>
          <w:sz w:val="22"/>
          <w:szCs w:val="22"/>
        </w:rPr>
        <w:t xml:space="preserve">. Cf. my </w:t>
      </w:r>
      <w:r w:rsidRPr="0068635E">
        <w:rPr>
          <w:rFonts w:ascii="Garamond" w:hAnsi="Garamond"/>
          <w:sz w:val="22"/>
          <w:szCs w:val="22"/>
        </w:rPr>
        <w:t xml:space="preserve">“Spinoza’s ‘Atheism’, the </w:t>
      </w:r>
      <w:r w:rsidRPr="0068635E">
        <w:rPr>
          <w:rFonts w:ascii="Garamond" w:hAnsi="Garamond"/>
          <w:i/>
          <w:iCs/>
          <w:sz w:val="22"/>
          <w:szCs w:val="22"/>
        </w:rPr>
        <w:t>Ethics</w:t>
      </w:r>
      <w:r w:rsidRPr="0068635E">
        <w:rPr>
          <w:rFonts w:ascii="Garamond" w:hAnsi="Garamond"/>
          <w:sz w:val="22"/>
          <w:szCs w:val="22"/>
        </w:rPr>
        <w:t xml:space="preserve"> and the TTP”.</w:t>
      </w:r>
    </w:p>
  </w:footnote>
  <w:footnote w:id="13">
    <w:p w14:paraId="412D4ACE" w14:textId="58BD4D26" w:rsidR="00C72645" w:rsidRPr="00C72645" w:rsidRDefault="00C72645" w:rsidP="00114F8F">
      <w:pPr>
        <w:pStyle w:val="FootnoteText"/>
        <w:spacing w:line="480" w:lineRule="auto"/>
        <w:jc w:val="both"/>
        <w:rPr>
          <w:rFonts w:ascii="Garamond" w:hAnsi="Garamond"/>
          <w:sz w:val="22"/>
          <w:szCs w:val="22"/>
        </w:rPr>
      </w:pPr>
      <w:r w:rsidRPr="00C72645">
        <w:rPr>
          <w:rStyle w:val="FootnoteReference"/>
          <w:rFonts w:ascii="Garamond" w:hAnsi="Garamond"/>
          <w:sz w:val="22"/>
          <w:szCs w:val="22"/>
        </w:rPr>
        <w:footnoteRef/>
      </w:r>
      <w:r w:rsidRPr="00C72645">
        <w:rPr>
          <w:rFonts w:ascii="Garamond" w:hAnsi="Garamond"/>
          <w:sz w:val="22"/>
          <w:szCs w:val="22"/>
        </w:rPr>
        <w:t xml:space="preserve"> Maimon, </w:t>
      </w:r>
      <w:r w:rsidRPr="00C72645">
        <w:rPr>
          <w:rFonts w:ascii="Garamond" w:hAnsi="Garamond"/>
          <w:i/>
          <w:iCs/>
          <w:sz w:val="22"/>
          <w:szCs w:val="22"/>
        </w:rPr>
        <w:t>Autobiography</w:t>
      </w:r>
      <w:r w:rsidRPr="00C72645">
        <w:rPr>
          <w:rFonts w:ascii="Garamond" w:hAnsi="Garamond"/>
          <w:sz w:val="22"/>
          <w:szCs w:val="22"/>
        </w:rPr>
        <w:t xml:space="preserve">, 62| </w:t>
      </w:r>
      <w:proofErr w:type="spellStart"/>
      <w:r w:rsidRPr="00C72645">
        <w:rPr>
          <w:rFonts w:ascii="Garamond" w:hAnsi="Garamond"/>
          <w:i/>
          <w:iCs/>
          <w:sz w:val="22"/>
          <w:szCs w:val="22"/>
        </w:rPr>
        <w:t>Lebensgeschichte</w:t>
      </w:r>
      <w:proofErr w:type="spellEnd"/>
      <w:r w:rsidRPr="00C72645">
        <w:rPr>
          <w:rFonts w:ascii="Garamond" w:hAnsi="Garamond"/>
          <w:sz w:val="22"/>
          <w:szCs w:val="22"/>
        </w:rPr>
        <w:t>, Part I, Ch. 15, 150-1.</w:t>
      </w:r>
    </w:p>
  </w:footnote>
  <w:footnote w:id="14">
    <w:p w14:paraId="04940C0C" w14:textId="743A552E" w:rsidR="007E08DA" w:rsidRPr="007E08DA" w:rsidRDefault="007E08DA" w:rsidP="00114F8F">
      <w:pPr>
        <w:pStyle w:val="FootnoteText"/>
        <w:spacing w:line="480" w:lineRule="auto"/>
        <w:jc w:val="both"/>
        <w:rPr>
          <w:rFonts w:ascii="Garamond" w:hAnsi="Garamond"/>
          <w:sz w:val="22"/>
          <w:szCs w:val="22"/>
        </w:rPr>
      </w:pPr>
      <w:r w:rsidRPr="007E08DA">
        <w:rPr>
          <w:rStyle w:val="FootnoteReference"/>
          <w:rFonts w:ascii="Garamond" w:hAnsi="Garamond"/>
          <w:sz w:val="22"/>
          <w:szCs w:val="22"/>
        </w:rPr>
        <w:footnoteRef/>
      </w:r>
      <w:r w:rsidRPr="007E08DA">
        <w:rPr>
          <w:rFonts w:ascii="Garamond" w:hAnsi="Garamond"/>
          <w:sz w:val="22"/>
          <w:szCs w:val="22"/>
        </w:rPr>
        <w:t xml:space="preserve"> Maimon was a proponent of an unrestricted version of the Principle of Sufficient Reason. Other than </w:t>
      </w:r>
      <w:r w:rsidR="00940E87">
        <w:rPr>
          <w:rFonts w:ascii="Garamond" w:hAnsi="Garamond"/>
          <w:sz w:val="22"/>
          <w:szCs w:val="22"/>
        </w:rPr>
        <w:t xml:space="preserve">in </w:t>
      </w:r>
      <w:r w:rsidRPr="007E08DA">
        <w:rPr>
          <w:rFonts w:ascii="Garamond" w:hAnsi="Garamond"/>
          <w:sz w:val="22"/>
          <w:szCs w:val="22"/>
        </w:rPr>
        <w:t xml:space="preserve">Leibniz and Wolff, it is hard to find </w:t>
      </w:r>
      <w:r w:rsidR="00724797">
        <w:rPr>
          <w:rFonts w:ascii="Garamond" w:hAnsi="Garamond"/>
          <w:sz w:val="22"/>
          <w:szCs w:val="22"/>
        </w:rPr>
        <w:t xml:space="preserve">references to this principle as frequent and </w:t>
      </w:r>
      <w:r w:rsidR="00B141D4">
        <w:rPr>
          <w:rFonts w:ascii="Garamond" w:hAnsi="Garamond"/>
          <w:sz w:val="22"/>
          <w:szCs w:val="22"/>
        </w:rPr>
        <w:t xml:space="preserve">explicit as </w:t>
      </w:r>
      <w:r w:rsidR="006B1610">
        <w:rPr>
          <w:rFonts w:ascii="Garamond" w:hAnsi="Garamond"/>
          <w:sz w:val="22"/>
          <w:szCs w:val="22"/>
        </w:rPr>
        <w:t xml:space="preserve">they are </w:t>
      </w:r>
      <w:r w:rsidR="00B141D4">
        <w:rPr>
          <w:rFonts w:ascii="Garamond" w:hAnsi="Garamond"/>
          <w:sz w:val="22"/>
          <w:szCs w:val="22"/>
        </w:rPr>
        <w:t>in Maimon’s writings</w:t>
      </w:r>
      <w:r w:rsidRPr="007E08DA">
        <w:rPr>
          <w:rFonts w:ascii="Garamond" w:hAnsi="Garamond"/>
          <w:sz w:val="22"/>
          <w:szCs w:val="22"/>
        </w:rPr>
        <w:t xml:space="preserve">. </w:t>
      </w:r>
      <w:r w:rsidR="00E15971">
        <w:rPr>
          <w:rFonts w:ascii="Garamond" w:hAnsi="Garamond"/>
          <w:sz w:val="22"/>
          <w:szCs w:val="22"/>
        </w:rPr>
        <w:t>On Maimon’s employment of the Principle of Sufficient Reason, see Melamed and Lin, “The Principle of Sufficient Reason,” §5</w:t>
      </w:r>
      <w:r w:rsidRPr="007E08DA">
        <w:rPr>
          <w:rFonts w:ascii="Garamond" w:hAnsi="Garamond"/>
          <w:sz w:val="22"/>
          <w:szCs w:val="22"/>
        </w:rPr>
        <w:t xml:space="preserve"> </w:t>
      </w:r>
    </w:p>
  </w:footnote>
  <w:footnote w:id="15">
    <w:p w14:paraId="061C8D18" w14:textId="1B6AE9A3" w:rsidR="003951D1" w:rsidRPr="003951D1" w:rsidRDefault="003951D1" w:rsidP="00114F8F">
      <w:pPr>
        <w:pStyle w:val="FootnoteText"/>
        <w:spacing w:line="480" w:lineRule="auto"/>
        <w:rPr>
          <w:rFonts w:ascii="Garamond" w:hAnsi="Garamond"/>
          <w:sz w:val="22"/>
          <w:szCs w:val="22"/>
        </w:rPr>
      </w:pPr>
      <w:r w:rsidRPr="003951D1">
        <w:rPr>
          <w:rStyle w:val="FootnoteReference"/>
          <w:rFonts w:ascii="Garamond" w:hAnsi="Garamond"/>
          <w:sz w:val="22"/>
          <w:szCs w:val="22"/>
        </w:rPr>
        <w:footnoteRef/>
      </w:r>
      <w:r w:rsidRPr="003951D1">
        <w:rPr>
          <w:rFonts w:ascii="Garamond" w:hAnsi="Garamond"/>
          <w:sz w:val="22"/>
          <w:szCs w:val="22"/>
        </w:rPr>
        <w:t xml:space="preserve"> Maimon, </w:t>
      </w:r>
      <w:r w:rsidRPr="003951D1">
        <w:rPr>
          <w:rFonts w:ascii="Garamond" w:hAnsi="Garamond"/>
          <w:i/>
          <w:iCs/>
          <w:sz w:val="22"/>
          <w:szCs w:val="22"/>
        </w:rPr>
        <w:t>Autobiography</w:t>
      </w:r>
      <w:r w:rsidRPr="003951D1">
        <w:rPr>
          <w:rFonts w:ascii="Garamond" w:hAnsi="Garamond"/>
          <w:sz w:val="22"/>
          <w:szCs w:val="22"/>
        </w:rPr>
        <w:t xml:space="preserve">, 62-3| </w:t>
      </w:r>
      <w:proofErr w:type="spellStart"/>
      <w:r w:rsidRPr="003951D1">
        <w:rPr>
          <w:rFonts w:ascii="Garamond" w:hAnsi="Garamond"/>
          <w:i/>
          <w:iCs/>
          <w:sz w:val="22"/>
          <w:szCs w:val="22"/>
        </w:rPr>
        <w:t>Lebensgeschichte</w:t>
      </w:r>
      <w:proofErr w:type="spellEnd"/>
      <w:r w:rsidRPr="003951D1">
        <w:rPr>
          <w:rFonts w:ascii="Garamond" w:hAnsi="Garamond"/>
          <w:sz w:val="22"/>
          <w:szCs w:val="22"/>
        </w:rPr>
        <w:t>, Part I, Ch. 15, 151-2.</w:t>
      </w:r>
    </w:p>
  </w:footnote>
  <w:footnote w:id="16">
    <w:p w14:paraId="71E58CE2" w14:textId="15EABF0D" w:rsidR="003951D1" w:rsidRPr="003951D1" w:rsidRDefault="003951D1" w:rsidP="00114F8F">
      <w:pPr>
        <w:pStyle w:val="FootnoteText"/>
        <w:spacing w:line="480" w:lineRule="auto"/>
        <w:jc w:val="both"/>
        <w:rPr>
          <w:rFonts w:ascii="Garamond" w:hAnsi="Garamond"/>
          <w:sz w:val="22"/>
          <w:szCs w:val="22"/>
        </w:rPr>
      </w:pPr>
      <w:r w:rsidRPr="003951D1">
        <w:rPr>
          <w:rStyle w:val="FootnoteReference"/>
          <w:rFonts w:ascii="Garamond" w:hAnsi="Garamond"/>
          <w:sz w:val="22"/>
          <w:szCs w:val="22"/>
        </w:rPr>
        <w:footnoteRef/>
      </w:r>
      <w:r w:rsidRPr="003951D1">
        <w:rPr>
          <w:rFonts w:ascii="Garamond" w:hAnsi="Garamond"/>
          <w:sz w:val="22"/>
          <w:szCs w:val="22"/>
        </w:rPr>
        <w:t xml:space="preserve"> Maimon, </w:t>
      </w:r>
      <w:r w:rsidRPr="003951D1">
        <w:rPr>
          <w:rFonts w:ascii="Garamond" w:hAnsi="Garamond"/>
          <w:i/>
          <w:iCs/>
          <w:sz w:val="22"/>
          <w:szCs w:val="22"/>
        </w:rPr>
        <w:t>Autobiography</w:t>
      </w:r>
      <w:r w:rsidRPr="003951D1">
        <w:rPr>
          <w:rFonts w:ascii="Garamond" w:hAnsi="Garamond"/>
          <w:sz w:val="22"/>
          <w:szCs w:val="22"/>
        </w:rPr>
        <w:t xml:space="preserve">, 63| </w:t>
      </w:r>
      <w:proofErr w:type="spellStart"/>
      <w:r w:rsidRPr="003951D1">
        <w:rPr>
          <w:rFonts w:ascii="Garamond" w:hAnsi="Garamond"/>
          <w:i/>
          <w:iCs/>
          <w:sz w:val="22"/>
          <w:szCs w:val="22"/>
        </w:rPr>
        <w:t>Lebensgeschichte</w:t>
      </w:r>
      <w:proofErr w:type="spellEnd"/>
      <w:r w:rsidRPr="003951D1">
        <w:rPr>
          <w:rFonts w:ascii="Garamond" w:hAnsi="Garamond"/>
          <w:sz w:val="22"/>
          <w:szCs w:val="22"/>
        </w:rPr>
        <w:t>, Part I, Ch. 15, 152.</w:t>
      </w:r>
    </w:p>
  </w:footnote>
  <w:footnote w:id="17">
    <w:p w14:paraId="6A875929" w14:textId="2C70CE4C" w:rsidR="001F1F11" w:rsidRPr="001F1F11" w:rsidRDefault="001F1F11" w:rsidP="001F1F11">
      <w:pPr>
        <w:pStyle w:val="FootnoteText"/>
        <w:spacing w:line="480" w:lineRule="auto"/>
        <w:jc w:val="both"/>
        <w:rPr>
          <w:rFonts w:ascii="Garamond" w:hAnsi="Garamond"/>
          <w:sz w:val="22"/>
          <w:szCs w:val="22"/>
        </w:rPr>
      </w:pPr>
      <w:r w:rsidRPr="001F1F11">
        <w:rPr>
          <w:rStyle w:val="FootnoteReference"/>
          <w:rFonts w:ascii="Garamond" w:hAnsi="Garamond"/>
          <w:sz w:val="22"/>
          <w:szCs w:val="22"/>
        </w:rPr>
        <w:footnoteRef/>
      </w:r>
      <w:r w:rsidRPr="001F1F11">
        <w:rPr>
          <w:rFonts w:ascii="Garamond" w:hAnsi="Garamond"/>
          <w:sz w:val="22"/>
          <w:szCs w:val="22"/>
        </w:rPr>
        <w:t xml:space="preserve"> Against this claim of Maimon, one could argue that</w:t>
      </w:r>
      <w:r>
        <w:rPr>
          <w:rFonts w:ascii="Garamond" w:hAnsi="Garamond"/>
          <w:sz w:val="22"/>
          <w:szCs w:val="22"/>
        </w:rPr>
        <w:t xml:space="preserve"> the homogeneity of causation is well motivated by the </w:t>
      </w:r>
      <w:r w:rsidRPr="001F1F11">
        <w:rPr>
          <w:rFonts w:ascii="Garamond" w:hAnsi="Garamond"/>
          <w:sz w:val="22"/>
          <w:szCs w:val="22"/>
        </w:rPr>
        <w:t>scholastic maxim</w:t>
      </w:r>
      <w:r w:rsidR="00732A0C">
        <w:rPr>
          <w:rFonts w:ascii="Garamond" w:hAnsi="Garamond"/>
          <w:sz w:val="22"/>
          <w:szCs w:val="22"/>
        </w:rPr>
        <w:t>,</w:t>
      </w:r>
      <w:r w:rsidRPr="001F1F11">
        <w:rPr>
          <w:rFonts w:ascii="Garamond" w:hAnsi="Garamond"/>
          <w:sz w:val="22"/>
          <w:szCs w:val="22"/>
        </w:rPr>
        <w:t xml:space="preserve"> “</w:t>
      </w:r>
      <w:r w:rsidRPr="001F1F11">
        <w:rPr>
          <w:rFonts w:ascii="Garamond" w:hAnsi="Garamond"/>
          <w:i/>
          <w:iCs/>
          <w:sz w:val="22"/>
          <w:szCs w:val="22"/>
        </w:rPr>
        <w:t xml:space="preserve">nemo </w:t>
      </w:r>
      <w:proofErr w:type="spellStart"/>
      <w:r w:rsidRPr="001F1F11">
        <w:rPr>
          <w:rFonts w:ascii="Garamond" w:hAnsi="Garamond"/>
          <w:i/>
          <w:iCs/>
          <w:sz w:val="22"/>
          <w:szCs w:val="22"/>
        </w:rPr>
        <w:t>dat</w:t>
      </w:r>
      <w:proofErr w:type="spellEnd"/>
      <w:r w:rsidRPr="001F1F11">
        <w:rPr>
          <w:rFonts w:ascii="Garamond" w:hAnsi="Garamond"/>
          <w:i/>
          <w:iCs/>
          <w:sz w:val="22"/>
          <w:szCs w:val="22"/>
        </w:rPr>
        <w:t xml:space="preserve"> quod non </w:t>
      </w:r>
      <w:proofErr w:type="spellStart"/>
      <w:r w:rsidRPr="001F1F11">
        <w:rPr>
          <w:rFonts w:ascii="Garamond" w:hAnsi="Garamond"/>
          <w:i/>
          <w:iCs/>
          <w:sz w:val="22"/>
          <w:szCs w:val="22"/>
        </w:rPr>
        <w:t>habet</w:t>
      </w:r>
      <w:proofErr w:type="spellEnd"/>
      <w:r w:rsidRPr="001F1F11">
        <w:rPr>
          <w:rFonts w:ascii="Garamond" w:hAnsi="Garamond"/>
          <w:sz w:val="22"/>
          <w:szCs w:val="22"/>
        </w:rPr>
        <w:t xml:space="preserve"> (nothing can give to another that which it does not have itself)”</w:t>
      </w:r>
      <w:r>
        <w:rPr>
          <w:rFonts w:ascii="Garamond" w:hAnsi="Garamond"/>
          <w:sz w:val="22"/>
          <w:szCs w:val="22"/>
        </w:rPr>
        <w:t xml:space="preserve"> – a maxim that is closely related to the principle of sufficient reason.</w:t>
      </w:r>
    </w:p>
  </w:footnote>
  <w:footnote w:id="18">
    <w:p w14:paraId="1E4BB83C" w14:textId="56E7CE86" w:rsidR="003951D1" w:rsidRDefault="003951D1" w:rsidP="00114F8F">
      <w:pPr>
        <w:pStyle w:val="FootnoteText"/>
        <w:spacing w:line="480" w:lineRule="auto"/>
        <w:jc w:val="both"/>
      </w:pPr>
      <w:r w:rsidRPr="003951D1">
        <w:rPr>
          <w:rStyle w:val="FootnoteReference"/>
          <w:rFonts w:ascii="Garamond" w:hAnsi="Garamond"/>
          <w:sz w:val="22"/>
          <w:szCs w:val="22"/>
        </w:rPr>
        <w:footnoteRef/>
      </w:r>
      <w:r w:rsidRPr="003951D1">
        <w:rPr>
          <w:rFonts w:ascii="Garamond" w:hAnsi="Garamond"/>
          <w:sz w:val="22"/>
          <w:szCs w:val="22"/>
        </w:rPr>
        <w:t xml:space="preserve"> Maimon, </w:t>
      </w:r>
      <w:r w:rsidRPr="003951D1">
        <w:rPr>
          <w:rFonts w:ascii="Garamond" w:hAnsi="Garamond"/>
          <w:i/>
          <w:iCs/>
          <w:sz w:val="22"/>
          <w:szCs w:val="22"/>
        </w:rPr>
        <w:t>Autobiography</w:t>
      </w:r>
      <w:r w:rsidRPr="003951D1">
        <w:rPr>
          <w:rFonts w:ascii="Garamond" w:hAnsi="Garamond"/>
          <w:sz w:val="22"/>
          <w:szCs w:val="22"/>
        </w:rPr>
        <w:t xml:space="preserve">, 62-3| </w:t>
      </w:r>
      <w:proofErr w:type="spellStart"/>
      <w:r w:rsidRPr="003951D1">
        <w:rPr>
          <w:rFonts w:ascii="Garamond" w:hAnsi="Garamond"/>
          <w:i/>
          <w:iCs/>
          <w:sz w:val="22"/>
          <w:szCs w:val="22"/>
        </w:rPr>
        <w:t>Lebensgeschichte</w:t>
      </w:r>
      <w:proofErr w:type="spellEnd"/>
      <w:r w:rsidRPr="003951D1">
        <w:rPr>
          <w:rFonts w:ascii="Garamond" w:hAnsi="Garamond"/>
          <w:sz w:val="22"/>
          <w:szCs w:val="22"/>
        </w:rPr>
        <w:t>, Part I, Ch. 15, 151-2.</w:t>
      </w:r>
    </w:p>
  </w:footnote>
  <w:footnote w:id="19">
    <w:p w14:paraId="1E99C6FB" w14:textId="42F6B5BA" w:rsidR="00616A7D" w:rsidRPr="00616A7D" w:rsidRDefault="00616A7D" w:rsidP="00114F8F">
      <w:pPr>
        <w:pStyle w:val="FootnoteText"/>
        <w:spacing w:line="480" w:lineRule="auto"/>
        <w:jc w:val="both"/>
        <w:rPr>
          <w:rFonts w:ascii="Garamond" w:hAnsi="Garamond"/>
          <w:sz w:val="22"/>
          <w:szCs w:val="22"/>
        </w:rPr>
      </w:pPr>
      <w:r w:rsidRPr="00616A7D">
        <w:rPr>
          <w:rStyle w:val="FootnoteReference"/>
          <w:rFonts w:ascii="Garamond" w:hAnsi="Garamond"/>
          <w:sz w:val="22"/>
          <w:szCs w:val="22"/>
        </w:rPr>
        <w:footnoteRef/>
      </w:r>
      <w:r w:rsidRPr="00616A7D">
        <w:rPr>
          <w:rFonts w:ascii="Garamond" w:hAnsi="Garamond"/>
          <w:sz w:val="22"/>
          <w:szCs w:val="22"/>
        </w:rPr>
        <w:t xml:space="preserve"> Maimon, </w:t>
      </w:r>
      <w:r w:rsidRPr="00616A7D">
        <w:rPr>
          <w:rFonts w:ascii="Garamond" w:hAnsi="Garamond"/>
          <w:i/>
          <w:iCs/>
          <w:sz w:val="22"/>
          <w:szCs w:val="22"/>
        </w:rPr>
        <w:t>Autobiography</w:t>
      </w:r>
      <w:r w:rsidRPr="00616A7D">
        <w:rPr>
          <w:rFonts w:ascii="Garamond" w:hAnsi="Garamond"/>
          <w:sz w:val="22"/>
          <w:szCs w:val="22"/>
        </w:rPr>
        <w:t xml:space="preserve">, 63| </w:t>
      </w:r>
      <w:proofErr w:type="spellStart"/>
      <w:r w:rsidRPr="00616A7D">
        <w:rPr>
          <w:rFonts w:ascii="Garamond" w:hAnsi="Garamond"/>
          <w:i/>
          <w:iCs/>
          <w:sz w:val="22"/>
          <w:szCs w:val="22"/>
        </w:rPr>
        <w:t>Lebensgeschichte</w:t>
      </w:r>
      <w:proofErr w:type="spellEnd"/>
      <w:r w:rsidRPr="00616A7D">
        <w:rPr>
          <w:rFonts w:ascii="Garamond" w:hAnsi="Garamond"/>
          <w:sz w:val="22"/>
          <w:szCs w:val="22"/>
        </w:rPr>
        <w:t>, Part I, Ch. 15, 152.</w:t>
      </w:r>
      <w:r>
        <w:rPr>
          <w:rFonts w:ascii="Garamond" w:hAnsi="Garamond"/>
          <w:sz w:val="22"/>
          <w:szCs w:val="22"/>
        </w:rPr>
        <w:t xml:space="preserve"> Italics in origin</w:t>
      </w:r>
      <w:r w:rsidR="00B05037">
        <w:rPr>
          <w:rFonts w:ascii="Garamond" w:hAnsi="Garamond"/>
          <w:sz w:val="22"/>
          <w:szCs w:val="22"/>
        </w:rPr>
        <w:t>al</w:t>
      </w:r>
      <w:r>
        <w:rPr>
          <w:rFonts w:ascii="Garamond" w:hAnsi="Garamond"/>
          <w:sz w:val="22"/>
          <w:szCs w:val="22"/>
        </w:rPr>
        <w:t>.</w:t>
      </w:r>
    </w:p>
  </w:footnote>
  <w:footnote w:id="20">
    <w:p w14:paraId="3B658F5D" w14:textId="4982B5DF" w:rsidR="008A0BCC" w:rsidRPr="008A0BCC" w:rsidRDefault="008A0BCC" w:rsidP="008A0BCC">
      <w:pPr>
        <w:pStyle w:val="FootnoteText"/>
        <w:spacing w:line="480" w:lineRule="auto"/>
        <w:jc w:val="both"/>
        <w:rPr>
          <w:rFonts w:ascii="Garamond" w:hAnsi="Garamond"/>
          <w:sz w:val="22"/>
          <w:szCs w:val="22"/>
        </w:rPr>
      </w:pPr>
      <w:r w:rsidRPr="008A0BCC">
        <w:rPr>
          <w:rStyle w:val="FootnoteReference"/>
          <w:rFonts w:ascii="Garamond" w:hAnsi="Garamond"/>
          <w:sz w:val="22"/>
          <w:szCs w:val="22"/>
        </w:rPr>
        <w:footnoteRef/>
      </w:r>
      <w:r w:rsidRPr="008A0BCC">
        <w:rPr>
          <w:rFonts w:ascii="Garamond" w:hAnsi="Garamond"/>
          <w:sz w:val="22"/>
          <w:szCs w:val="22"/>
        </w:rPr>
        <w:t xml:space="preserve"> For Kant’s view of the first cause as a mere regulative idea of reason, see his </w:t>
      </w:r>
      <w:r w:rsidRPr="008A0BCC">
        <w:rPr>
          <w:rFonts w:ascii="Garamond" w:hAnsi="Garamond"/>
          <w:i/>
          <w:iCs/>
          <w:sz w:val="22"/>
          <w:szCs w:val="22"/>
        </w:rPr>
        <w:t>Critique of Pure Reason</w:t>
      </w:r>
      <w:r w:rsidRPr="008A0BCC">
        <w:rPr>
          <w:rFonts w:ascii="Garamond" w:hAnsi="Garamond"/>
          <w:sz w:val="22"/>
          <w:szCs w:val="22"/>
        </w:rPr>
        <w:t>, A671.</w:t>
      </w:r>
    </w:p>
  </w:footnote>
  <w:footnote w:id="21">
    <w:p w14:paraId="73F56AAB" w14:textId="48EC0636" w:rsidR="00616A7D" w:rsidRDefault="00616A7D" w:rsidP="00616A7D">
      <w:pPr>
        <w:pStyle w:val="FootnoteText"/>
        <w:spacing w:line="480" w:lineRule="auto"/>
        <w:jc w:val="both"/>
      </w:pPr>
      <w:r w:rsidRPr="00616A7D">
        <w:rPr>
          <w:rStyle w:val="FootnoteReference"/>
          <w:rFonts w:ascii="Garamond" w:hAnsi="Garamond"/>
          <w:sz w:val="22"/>
          <w:szCs w:val="22"/>
        </w:rPr>
        <w:footnoteRef/>
      </w:r>
      <w:r w:rsidRPr="00616A7D">
        <w:rPr>
          <w:rFonts w:ascii="Garamond" w:hAnsi="Garamond"/>
          <w:sz w:val="22"/>
          <w:szCs w:val="22"/>
        </w:rPr>
        <w:t xml:space="preserve"> Maimon, </w:t>
      </w:r>
      <w:r w:rsidRPr="00616A7D">
        <w:rPr>
          <w:rFonts w:ascii="Garamond" w:hAnsi="Garamond"/>
          <w:i/>
          <w:iCs/>
          <w:sz w:val="22"/>
          <w:szCs w:val="22"/>
        </w:rPr>
        <w:t>Autobiography</w:t>
      </w:r>
      <w:r w:rsidRPr="00616A7D">
        <w:rPr>
          <w:rFonts w:ascii="Garamond" w:hAnsi="Garamond"/>
          <w:sz w:val="22"/>
          <w:szCs w:val="22"/>
        </w:rPr>
        <w:t xml:space="preserve">, 63| </w:t>
      </w:r>
      <w:proofErr w:type="spellStart"/>
      <w:r w:rsidRPr="00616A7D">
        <w:rPr>
          <w:rFonts w:ascii="Garamond" w:hAnsi="Garamond"/>
          <w:i/>
          <w:iCs/>
          <w:sz w:val="22"/>
          <w:szCs w:val="22"/>
        </w:rPr>
        <w:t>Lebensgeschichte</w:t>
      </w:r>
      <w:proofErr w:type="spellEnd"/>
      <w:r w:rsidRPr="00616A7D">
        <w:rPr>
          <w:rFonts w:ascii="Garamond" w:hAnsi="Garamond"/>
          <w:sz w:val="22"/>
          <w:szCs w:val="22"/>
        </w:rPr>
        <w:t>, Part I, Ch. 15, 152-3.</w:t>
      </w:r>
      <w:r>
        <w:rPr>
          <w:rFonts w:ascii="Garamond" w:hAnsi="Garamond"/>
          <w:sz w:val="22"/>
          <w:szCs w:val="22"/>
        </w:rPr>
        <w:t xml:space="preserve"> Italics in origin</w:t>
      </w:r>
      <w:r w:rsidR="00B05037">
        <w:rPr>
          <w:rFonts w:ascii="Garamond" w:hAnsi="Garamond"/>
          <w:sz w:val="22"/>
          <w:szCs w:val="22"/>
        </w:rPr>
        <w:t>al</w:t>
      </w:r>
      <w:r>
        <w:rPr>
          <w:rFonts w:ascii="Garamond" w:hAnsi="Garamond"/>
          <w:sz w:val="22"/>
          <w:szCs w:val="22"/>
        </w:rPr>
        <w:t>.</w:t>
      </w:r>
    </w:p>
  </w:footnote>
  <w:footnote w:id="22">
    <w:p w14:paraId="7638FABD" w14:textId="289FDFBF" w:rsidR="00F45023" w:rsidRPr="00F45023" w:rsidRDefault="00F45023" w:rsidP="00F45023">
      <w:pPr>
        <w:pStyle w:val="FootnoteText"/>
        <w:spacing w:line="480" w:lineRule="auto"/>
        <w:jc w:val="both"/>
        <w:rPr>
          <w:rFonts w:ascii="Garamond" w:hAnsi="Garamond"/>
          <w:sz w:val="22"/>
          <w:szCs w:val="22"/>
        </w:rPr>
      </w:pPr>
      <w:r w:rsidRPr="00F45023">
        <w:rPr>
          <w:rStyle w:val="FootnoteReference"/>
          <w:rFonts w:ascii="Garamond" w:hAnsi="Garamond"/>
          <w:sz w:val="22"/>
          <w:szCs w:val="22"/>
        </w:rPr>
        <w:footnoteRef/>
      </w:r>
      <w:r w:rsidRPr="00F45023">
        <w:rPr>
          <w:rFonts w:ascii="Garamond" w:hAnsi="Garamond"/>
          <w:sz w:val="22"/>
          <w:szCs w:val="22"/>
        </w:rPr>
        <w:t xml:space="preserve"> See Kant’s Letter to </w:t>
      </w:r>
      <w:proofErr w:type="spellStart"/>
      <w:r w:rsidRPr="00F45023">
        <w:rPr>
          <w:rFonts w:ascii="Garamond" w:hAnsi="Garamond"/>
          <w:sz w:val="22"/>
          <w:szCs w:val="22"/>
        </w:rPr>
        <w:t>Herz</w:t>
      </w:r>
      <w:proofErr w:type="spellEnd"/>
      <w:r w:rsidR="00EA6616">
        <w:rPr>
          <w:rFonts w:ascii="Garamond" w:hAnsi="Garamond"/>
          <w:sz w:val="22"/>
          <w:szCs w:val="22"/>
        </w:rPr>
        <w:t xml:space="preserve"> of May 26</w:t>
      </w:r>
      <w:r w:rsidR="00EA6616" w:rsidRPr="00EA6616">
        <w:rPr>
          <w:rFonts w:ascii="Garamond" w:hAnsi="Garamond"/>
          <w:sz w:val="22"/>
          <w:szCs w:val="22"/>
          <w:vertAlign w:val="superscript"/>
        </w:rPr>
        <w:t>th</w:t>
      </w:r>
      <w:r w:rsidR="00EA6616">
        <w:rPr>
          <w:rFonts w:ascii="Garamond" w:hAnsi="Garamond"/>
          <w:sz w:val="22"/>
          <w:szCs w:val="22"/>
        </w:rPr>
        <w:t>, 1789</w:t>
      </w:r>
      <w:r w:rsidRPr="00F45023">
        <w:rPr>
          <w:rFonts w:ascii="Garamond" w:hAnsi="Garamond"/>
          <w:sz w:val="22"/>
          <w:szCs w:val="22"/>
        </w:rPr>
        <w:t xml:space="preserve"> (Ak. 11:50).</w:t>
      </w:r>
    </w:p>
  </w:footnote>
  <w:footnote w:id="23">
    <w:p w14:paraId="3D630FCF" w14:textId="688CCBE9" w:rsidR="00F45023" w:rsidRPr="004E2199" w:rsidRDefault="00F45023" w:rsidP="004E2199">
      <w:pPr>
        <w:pStyle w:val="FootnoteText"/>
        <w:spacing w:line="480" w:lineRule="auto"/>
        <w:jc w:val="both"/>
        <w:rPr>
          <w:rFonts w:ascii="Garamond" w:hAnsi="Garamond"/>
          <w:sz w:val="22"/>
          <w:szCs w:val="22"/>
        </w:rPr>
      </w:pPr>
      <w:r w:rsidRPr="004E2199">
        <w:rPr>
          <w:rStyle w:val="FootnoteReference"/>
          <w:rFonts w:ascii="Garamond" w:hAnsi="Garamond"/>
          <w:sz w:val="22"/>
          <w:szCs w:val="22"/>
        </w:rPr>
        <w:footnoteRef/>
      </w:r>
      <w:r w:rsidRPr="004E2199">
        <w:rPr>
          <w:rFonts w:ascii="Garamond" w:hAnsi="Garamond"/>
          <w:sz w:val="22"/>
          <w:szCs w:val="22"/>
        </w:rPr>
        <w:t xml:space="preserve"> Maimon, </w:t>
      </w:r>
      <w:r w:rsidRPr="004E2199">
        <w:rPr>
          <w:rFonts w:ascii="Garamond" w:hAnsi="Garamond"/>
          <w:i/>
          <w:iCs/>
          <w:sz w:val="22"/>
          <w:szCs w:val="22"/>
        </w:rPr>
        <w:t>Autobiography</w:t>
      </w:r>
      <w:r w:rsidRPr="004E2199">
        <w:rPr>
          <w:rFonts w:ascii="Garamond" w:hAnsi="Garamond"/>
          <w:sz w:val="22"/>
          <w:szCs w:val="22"/>
        </w:rPr>
        <w:t xml:space="preserve">, 63-4 </w:t>
      </w:r>
      <w:proofErr w:type="spellStart"/>
      <w:r w:rsidRPr="004E2199">
        <w:rPr>
          <w:rFonts w:ascii="Garamond" w:hAnsi="Garamond"/>
          <w:i/>
          <w:iCs/>
          <w:sz w:val="22"/>
          <w:szCs w:val="22"/>
        </w:rPr>
        <w:t>Lebensgeschichte</w:t>
      </w:r>
      <w:proofErr w:type="spellEnd"/>
      <w:r w:rsidRPr="004E2199">
        <w:rPr>
          <w:rFonts w:ascii="Garamond" w:hAnsi="Garamond"/>
          <w:sz w:val="22"/>
          <w:szCs w:val="22"/>
        </w:rPr>
        <w:t>, Part I, Ch. 15, 153-4. Italics in origin</w:t>
      </w:r>
      <w:r w:rsidR="007275E0">
        <w:rPr>
          <w:rFonts w:ascii="Garamond" w:hAnsi="Garamond"/>
          <w:sz w:val="22"/>
          <w:szCs w:val="22"/>
        </w:rPr>
        <w:t>al</w:t>
      </w:r>
      <w:r w:rsidRPr="004E2199">
        <w:rPr>
          <w:rFonts w:ascii="Garamond" w:hAnsi="Garamond"/>
          <w:sz w:val="22"/>
          <w:szCs w:val="22"/>
        </w:rPr>
        <w:t>.</w:t>
      </w:r>
    </w:p>
  </w:footnote>
  <w:footnote w:id="24">
    <w:p w14:paraId="71B5E3F1" w14:textId="24A8CE9F" w:rsidR="001E4B80" w:rsidRPr="001E4B80" w:rsidRDefault="001E4B80" w:rsidP="001E4B80">
      <w:pPr>
        <w:pStyle w:val="FootnoteText"/>
        <w:spacing w:line="480" w:lineRule="auto"/>
        <w:jc w:val="both"/>
        <w:rPr>
          <w:rFonts w:ascii="Garamond" w:hAnsi="Garamond"/>
          <w:sz w:val="22"/>
          <w:szCs w:val="22"/>
        </w:rPr>
      </w:pPr>
      <w:r w:rsidRPr="001E4B80">
        <w:rPr>
          <w:rStyle w:val="FootnoteReference"/>
          <w:rFonts w:ascii="Garamond" w:hAnsi="Garamond"/>
          <w:sz w:val="22"/>
          <w:szCs w:val="22"/>
        </w:rPr>
        <w:footnoteRef/>
      </w:r>
      <w:r w:rsidRPr="001E4B80">
        <w:rPr>
          <w:rFonts w:ascii="Garamond" w:hAnsi="Garamond"/>
          <w:sz w:val="22"/>
          <w:szCs w:val="22"/>
        </w:rPr>
        <w:t xml:space="preserve"> See my “Acosmism or Weak Individuals.”</w:t>
      </w:r>
    </w:p>
  </w:footnote>
  <w:footnote w:id="25">
    <w:p w14:paraId="7FA8F631" w14:textId="3E34541E" w:rsidR="004E2199" w:rsidRDefault="004E2199" w:rsidP="004E2199">
      <w:pPr>
        <w:pStyle w:val="FootnoteText"/>
        <w:spacing w:line="480" w:lineRule="auto"/>
        <w:jc w:val="both"/>
      </w:pPr>
      <w:r w:rsidRPr="004E2199">
        <w:rPr>
          <w:rStyle w:val="FootnoteReference"/>
          <w:rFonts w:ascii="Garamond" w:hAnsi="Garamond"/>
          <w:sz w:val="22"/>
          <w:szCs w:val="22"/>
        </w:rPr>
        <w:footnoteRef/>
      </w:r>
      <w:r w:rsidRPr="004E2199">
        <w:rPr>
          <w:rFonts w:ascii="Garamond" w:hAnsi="Garamond"/>
          <w:sz w:val="22"/>
          <w:szCs w:val="22"/>
        </w:rPr>
        <w:t xml:space="preserve"> </w:t>
      </w:r>
      <w:r w:rsidRPr="004E2199">
        <w:rPr>
          <w:rFonts w:ascii="Garamond" w:hAnsi="Garamond"/>
          <w:i/>
          <w:iCs/>
          <w:sz w:val="22"/>
          <w:szCs w:val="22"/>
        </w:rPr>
        <w:t xml:space="preserve">Novalis </w:t>
      </w:r>
      <w:proofErr w:type="spellStart"/>
      <w:r w:rsidRPr="004E2199">
        <w:rPr>
          <w:rFonts w:ascii="Garamond" w:hAnsi="Garamond"/>
          <w:i/>
          <w:iCs/>
          <w:sz w:val="22"/>
          <w:szCs w:val="22"/>
        </w:rPr>
        <w:t>Schriften</w:t>
      </w:r>
      <w:proofErr w:type="spellEnd"/>
      <w:r w:rsidRPr="004E2199">
        <w:rPr>
          <w:rFonts w:ascii="Garamond" w:hAnsi="Garamond"/>
          <w:sz w:val="22"/>
          <w:szCs w:val="22"/>
        </w:rPr>
        <w:t>, vol. III, 651.</w:t>
      </w:r>
    </w:p>
  </w:footnote>
  <w:footnote w:id="26">
    <w:p w14:paraId="2E18C87B" w14:textId="1379F580" w:rsidR="008458AC" w:rsidRPr="008458AC" w:rsidRDefault="008458AC" w:rsidP="008458AC">
      <w:pPr>
        <w:pStyle w:val="FootnoteText"/>
        <w:spacing w:line="480" w:lineRule="auto"/>
        <w:jc w:val="both"/>
        <w:rPr>
          <w:rFonts w:ascii="Garamond" w:hAnsi="Garamond"/>
          <w:sz w:val="22"/>
          <w:szCs w:val="22"/>
        </w:rPr>
      </w:pPr>
      <w:r w:rsidRPr="008458AC">
        <w:rPr>
          <w:rStyle w:val="FootnoteReference"/>
          <w:rFonts w:ascii="Garamond" w:hAnsi="Garamond"/>
          <w:sz w:val="22"/>
          <w:szCs w:val="22"/>
        </w:rPr>
        <w:footnoteRef/>
      </w:r>
      <w:r w:rsidRPr="008458AC">
        <w:rPr>
          <w:rFonts w:ascii="Garamond" w:hAnsi="Garamond"/>
          <w:sz w:val="22"/>
          <w:szCs w:val="22"/>
        </w:rPr>
        <w:t xml:space="preserve"> Maimon, </w:t>
      </w:r>
      <w:r w:rsidRPr="008458AC">
        <w:rPr>
          <w:rFonts w:ascii="Garamond" w:hAnsi="Garamond"/>
          <w:i/>
          <w:iCs/>
          <w:sz w:val="22"/>
          <w:szCs w:val="22"/>
        </w:rPr>
        <w:t>Autobiography</w:t>
      </w:r>
      <w:r w:rsidRPr="008458AC">
        <w:rPr>
          <w:rFonts w:ascii="Garamond" w:hAnsi="Garamond"/>
          <w:sz w:val="22"/>
          <w:szCs w:val="22"/>
        </w:rPr>
        <w:t xml:space="preserve">, 64 </w:t>
      </w:r>
      <w:proofErr w:type="spellStart"/>
      <w:r w:rsidRPr="008458AC">
        <w:rPr>
          <w:rFonts w:ascii="Garamond" w:hAnsi="Garamond"/>
          <w:i/>
          <w:iCs/>
          <w:sz w:val="22"/>
          <w:szCs w:val="22"/>
        </w:rPr>
        <w:t>Lebensgeschichte</w:t>
      </w:r>
      <w:proofErr w:type="spellEnd"/>
      <w:r w:rsidRPr="008458AC">
        <w:rPr>
          <w:rFonts w:ascii="Garamond" w:hAnsi="Garamond"/>
          <w:sz w:val="22"/>
          <w:szCs w:val="22"/>
        </w:rPr>
        <w:t>, Part I, Ch. 15, 154-5. Italics in origin</w:t>
      </w:r>
      <w:r w:rsidR="007275E0">
        <w:rPr>
          <w:rFonts w:ascii="Garamond" w:hAnsi="Garamond"/>
          <w:sz w:val="22"/>
          <w:szCs w:val="22"/>
        </w:rPr>
        <w:t>al</w:t>
      </w:r>
      <w:r w:rsidRPr="008458AC">
        <w:rPr>
          <w:rFonts w:ascii="Garamond" w:hAnsi="Garamond"/>
          <w:sz w:val="22"/>
          <w:szCs w:val="22"/>
        </w:rPr>
        <w:t>.</w:t>
      </w:r>
    </w:p>
  </w:footnote>
  <w:footnote w:id="27">
    <w:p w14:paraId="4ECD99E3" w14:textId="050ABBF2" w:rsidR="00F81C5F" w:rsidRPr="00F81C5F" w:rsidRDefault="00F81C5F" w:rsidP="00F81C5F">
      <w:pPr>
        <w:pStyle w:val="FootnoteText"/>
        <w:spacing w:line="480" w:lineRule="auto"/>
        <w:jc w:val="both"/>
        <w:rPr>
          <w:rFonts w:ascii="Garamond" w:hAnsi="Garamond"/>
          <w:sz w:val="22"/>
          <w:szCs w:val="22"/>
        </w:rPr>
      </w:pPr>
      <w:r w:rsidRPr="00F81C5F">
        <w:rPr>
          <w:rStyle w:val="FootnoteReference"/>
          <w:rFonts w:ascii="Garamond" w:hAnsi="Garamond"/>
          <w:sz w:val="22"/>
          <w:szCs w:val="22"/>
        </w:rPr>
        <w:footnoteRef/>
      </w:r>
      <w:r w:rsidRPr="00F81C5F">
        <w:rPr>
          <w:rFonts w:ascii="Garamond" w:hAnsi="Garamond"/>
          <w:sz w:val="22"/>
          <w:szCs w:val="22"/>
        </w:rPr>
        <w:t xml:space="preserve"> Hegel, </w:t>
      </w:r>
      <w:proofErr w:type="spellStart"/>
      <w:r w:rsidRPr="00F81C5F">
        <w:rPr>
          <w:rFonts w:ascii="Garamond" w:hAnsi="Garamond"/>
          <w:i/>
          <w:iCs/>
          <w:sz w:val="22"/>
          <w:szCs w:val="22"/>
        </w:rPr>
        <w:t>Vorlesungen</w:t>
      </w:r>
      <w:proofErr w:type="spellEnd"/>
      <w:r w:rsidRPr="00F81C5F">
        <w:rPr>
          <w:rFonts w:ascii="Garamond" w:hAnsi="Garamond"/>
          <w:i/>
          <w:iCs/>
          <w:sz w:val="22"/>
          <w:szCs w:val="22"/>
        </w:rPr>
        <w:t xml:space="preserve"> </w:t>
      </w:r>
      <w:proofErr w:type="spellStart"/>
      <w:r w:rsidRPr="00F81C5F">
        <w:rPr>
          <w:rFonts w:ascii="Garamond" w:hAnsi="Garamond"/>
          <w:i/>
          <w:iCs/>
          <w:sz w:val="22"/>
          <w:szCs w:val="22"/>
        </w:rPr>
        <w:t>u</w:t>
      </w:r>
      <w:r w:rsidRPr="00F81C5F">
        <w:rPr>
          <w:rFonts w:ascii="Times New Roman" w:hAnsi="Times New Roman" w:cs="Times New Roman"/>
          <w:i/>
          <w:iCs/>
          <w:sz w:val="22"/>
          <w:szCs w:val="22"/>
        </w:rPr>
        <w:t>̈</w:t>
      </w:r>
      <w:r w:rsidRPr="00F81C5F">
        <w:rPr>
          <w:rFonts w:ascii="Garamond" w:hAnsi="Garamond"/>
          <w:i/>
          <w:iCs/>
          <w:sz w:val="22"/>
          <w:szCs w:val="22"/>
        </w:rPr>
        <w:t>ber</w:t>
      </w:r>
      <w:proofErr w:type="spellEnd"/>
      <w:r w:rsidRPr="00F81C5F">
        <w:rPr>
          <w:rFonts w:ascii="Garamond" w:hAnsi="Garamond"/>
          <w:i/>
          <w:iCs/>
          <w:sz w:val="22"/>
          <w:szCs w:val="22"/>
        </w:rPr>
        <w:t xml:space="preserve"> die </w:t>
      </w:r>
      <w:proofErr w:type="spellStart"/>
      <w:r w:rsidRPr="00F81C5F">
        <w:rPr>
          <w:rFonts w:ascii="Garamond" w:hAnsi="Garamond"/>
          <w:i/>
          <w:iCs/>
          <w:sz w:val="22"/>
          <w:szCs w:val="22"/>
        </w:rPr>
        <w:t>Geschichte</w:t>
      </w:r>
      <w:proofErr w:type="spellEnd"/>
      <w:r w:rsidRPr="00F81C5F">
        <w:rPr>
          <w:rFonts w:ascii="Garamond" w:hAnsi="Garamond"/>
          <w:i/>
          <w:iCs/>
          <w:sz w:val="22"/>
          <w:szCs w:val="22"/>
        </w:rPr>
        <w:t xml:space="preserve"> der Philosophie</w:t>
      </w:r>
      <w:r w:rsidRPr="00F81C5F">
        <w:rPr>
          <w:rFonts w:ascii="Garamond" w:hAnsi="Garamond"/>
          <w:sz w:val="22"/>
          <w:szCs w:val="22"/>
        </w:rPr>
        <w:t xml:space="preserve"> III, 162–63.</w:t>
      </w:r>
      <w:r>
        <w:rPr>
          <w:rFonts w:ascii="Garamond" w:hAnsi="Garamond"/>
          <w:sz w:val="22"/>
          <w:szCs w:val="22"/>
        </w:rPr>
        <w:t xml:space="preserve"> Cf. my “Salomon Maimon and the Rise </w:t>
      </w:r>
      <w:r w:rsidR="00114F8F">
        <w:rPr>
          <w:rFonts w:ascii="Garamond" w:hAnsi="Garamond"/>
          <w:sz w:val="22"/>
          <w:szCs w:val="22"/>
        </w:rPr>
        <w:t>o</w:t>
      </w:r>
      <w:r>
        <w:rPr>
          <w:rFonts w:ascii="Garamond" w:hAnsi="Garamond"/>
          <w:sz w:val="22"/>
          <w:szCs w:val="22"/>
        </w:rPr>
        <w:t xml:space="preserve">f Spinozism in German Idealism,” 94-6. Hegel had a copy of Maimon’s </w:t>
      </w:r>
      <w:proofErr w:type="spellStart"/>
      <w:r w:rsidRPr="00F81C5F">
        <w:rPr>
          <w:rFonts w:ascii="Garamond" w:hAnsi="Garamond"/>
          <w:i/>
          <w:iCs/>
          <w:sz w:val="22"/>
          <w:szCs w:val="22"/>
        </w:rPr>
        <w:t>Lebensgeschichte</w:t>
      </w:r>
      <w:proofErr w:type="spellEnd"/>
      <w:r>
        <w:rPr>
          <w:rFonts w:ascii="Garamond" w:hAnsi="Garamond"/>
          <w:sz w:val="22"/>
          <w:szCs w:val="22"/>
        </w:rPr>
        <w:t xml:space="preserve"> in his personal library (I am indebted to Jason Yonover for drawing my attention to this</w:t>
      </w:r>
      <w:r w:rsidR="00114F8F">
        <w:rPr>
          <w:rFonts w:ascii="Garamond" w:hAnsi="Garamond"/>
          <w:sz w:val="22"/>
          <w:szCs w:val="22"/>
        </w:rPr>
        <w:t xml:space="preserve"> point</w:t>
      </w:r>
      <w:r>
        <w:rPr>
          <w:rFonts w:ascii="Garamond" w:hAnsi="Garamond"/>
          <w:sz w:val="22"/>
          <w:szCs w:val="22"/>
        </w:rPr>
        <w:t xml:space="preserve">). </w:t>
      </w:r>
      <w:r w:rsidR="00212930">
        <w:rPr>
          <w:rFonts w:ascii="Garamond" w:hAnsi="Garamond"/>
          <w:sz w:val="22"/>
          <w:szCs w:val="22"/>
        </w:rPr>
        <w:t xml:space="preserve">In order to keep the record straight, let me note that Maimon </w:t>
      </w:r>
      <w:r w:rsidR="00114F8F">
        <w:rPr>
          <w:rFonts w:ascii="Garamond" w:hAnsi="Garamond"/>
          <w:sz w:val="22"/>
          <w:szCs w:val="22"/>
        </w:rPr>
        <w:t>too</w:t>
      </w:r>
      <w:r w:rsidR="00212930">
        <w:rPr>
          <w:rFonts w:ascii="Garamond" w:hAnsi="Garamond"/>
          <w:sz w:val="22"/>
          <w:szCs w:val="22"/>
        </w:rPr>
        <w:t xml:space="preserve"> engaged in plagiarism quite commonly.</w:t>
      </w:r>
    </w:p>
  </w:footnote>
  <w:footnote w:id="28">
    <w:p w14:paraId="2FEA7163" w14:textId="0B75ED68" w:rsidR="00212930" w:rsidRPr="00BF6A94" w:rsidRDefault="00212930" w:rsidP="00BF6A94">
      <w:pPr>
        <w:pStyle w:val="FootnoteText"/>
        <w:spacing w:line="480" w:lineRule="auto"/>
        <w:jc w:val="both"/>
        <w:rPr>
          <w:rFonts w:ascii="Garamond" w:hAnsi="Garamond"/>
          <w:sz w:val="22"/>
          <w:szCs w:val="22"/>
        </w:rPr>
      </w:pPr>
      <w:r w:rsidRPr="00BF6A94">
        <w:rPr>
          <w:rStyle w:val="FootnoteReference"/>
          <w:rFonts w:ascii="Garamond" w:hAnsi="Garamond"/>
          <w:sz w:val="22"/>
          <w:szCs w:val="22"/>
        </w:rPr>
        <w:footnoteRef/>
      </w:r>
      <w:r w:rsidRPr="00BF6A94">
        <w:rPr>
          <w:rFonts w:ascii="Garamond" w:hAnsi="Garamond"/>
          <w:sz w:val="22"/>
          <w:szCs w:val="22"/>
        </w:rPr>
        <w:t xml:space="preserve"> Maimon, </w:t>
      </w:r>
      <w:r w:rsidRPr="00BF6A94">
        <w:rPr>
          <w:rFonts w:ascii="Garamond" w:hAnsi="Garamond"/>
          <w:i/>
          <w:iCs/>
          <w:sz w:val="22"/>
          <w:szCs w:val="22"/>
        </w:rPr>
        <w:t>Autobiography</w:t>
      </w:r>
      <w:r w:rsidRPr="00BF6A94">
        <w:rPr>
          <w:rFonts w:ascii="Garamond" w:hAnsi="Garamond"/>
          <w:sz w:val="22"/>
          <w:szCs w:val="22"/>
        </w:rPr>
        <w:t>, 64</w:t>
      </w:r>
      <w:r w:rsidR="00BF6A94" w:rsidRPr="00BF6A94">
        <w:rPr>
          <w:rFonts w:ascii="Garamond" w:hAnsi="Garamond"/>
          <w:sz w:val="22"/>
          <w:szCs w:val="22"/>
        </w:rPr>
        <w:t>-5.</w:t>
      </w:r>
      <w:r w:rsidRPr="00BF6A94">
        <w:rPr>
          <w:rFonts w:ascii="Garamond" w:hAnsi="Garamond"/>
          <w:sz w:val="22"/>
          <w:szCs w:val="22"/>
        </w:rPr>
        <w:t xml:space="preserve"> </w:t>
      </w:r>
      <w:proofErr w:type="spellStart"/>
      <w:r w:rsidRPr="00BF6A94">
        <w:rPr>
          <w:rFonts w:ascii="Garamond" w:hAnsi="Garamond"/>
          <w:i/>
          <w:iCs/>
          <w:sz w:val="22"/>
          <w:szCs w:val="22"/>
        </w:rPr>
        <w:t>Lebensgeschichte</w:t>
      </w:r>
      <w:proofErr w:type="spellEnd"/>
      <w:r w:rsidRPr="00BF6A94">
        <w:rPr>
          <w:rFonts w:ascii="Garamond" w:hAnsi="Garamond"/>
          <w:sz w:val="22"/>
          <w:szCs w:val="22"/>
        </w:rPr>
        <w:t>, Part I, Ch. 15, 155. Italics in origin</w:t>
      </w:r>
      <w:r w:rsidR="007264B0">
        <w:rPr>
          <w:rFonts w:ascii="Garamond" w:hAnsi="Garamond"/>
          <w:sz w:val="22"/>
          <w:szCs w:val="22"/>
        </w:rPr>
        <w:t>al</w:t>
      </w:r>
      <w:r w:rsidRPr="00BF6A94">
        <w:rPr>
          <w:rFonts w:ascii="Garamond" w:hAnsi="Garamond"/>
          <w:sz w:val="22"/>
          <w:szCs w:val="22"/>
        </w:rPr>
        <w:t>.</w:t>
      </w:r>
    </w:p>
  </w:footnote>
  <w:footnote w:id="29">
    <w:p w14:paraId="088308D0" w14:textId="0A53202E" w:rsidR="002336CA" w:rsidRPr="002336CA" w:rsidRDefault="002336CA" w:rsidP="002336CA">
      <w:pPr>
        <w:pStyle w:val="FootnoteText"/>
        <w:spacing w:line="480" w:lineRule="auto"/>
        <w:jc w:val="both"/>
        <w:rPr>
          <w:rFonts w:ascii="Garamond" w:hAnsi="Garamond"/>
          <w:sz w:val="22"/>
          <w:szCs w:val="22"/>
        </w:rPr>
      </w:pPr>
      <w:r w:rsidRPr="002336CA">
        <w:rPr>
          <w:rStyle w:val="FootnoteReference"/>
          <w:rFonts w:ascii="Garamond" w:hAnsi="Garamond"/>
          <w:sz w:val="22"/>
          <w:szCs w:val="22"/>
        </w:rPr>
        <w:footnoteRef/>
      </w:r>
      <w:r w:rsidRPr="002336CA">
        <w:rPr>
          <w:rFonts w:ascii="Garamond" w:hAnsi="Garamond"/>
          <w:sz w:val="22"/>
          <w:szCs w:val="22"/>
        </w:rPr>
        <w:t xml:space="preserve"> Maimon, </w:t>
      </w:r>
      <w:r w:rsidRPr="002336CA">
        <w:rPr>
          <w:rFonts w:ascii="Garamond" w:hAnsi="Garamond"/>
          <w:i/>
          <w:iCs/>
          <w:sz w:val="22"/>
          <w:szCs w:val="22"/>
        </w:rPr>
        <w:t>Autobiography</w:t>
      </w:r>
      <w:r w:rsidRPr="002336CA">
        <w:rPr>
          <w:rFonts w:ascii="Garamond" w:hAnsi="Garamond"/>
          <w:sz w:val="22"/>
          <w:szCs w:val="22"/>
        </w:rPr>
        <w:t xml:space="preserve">, 65. </w:t>
      </w:r>
      <w:proofErr w:type="spellStart"/>
      <w:r w:rsidRPr="002336CA">
        <w:rPr>
          <w:rFonts w:ascii="Garamond" w:hAnsi="Garamond"/>
          <w:i/>
          <w:iCs/>
          <w:sz w:val="22"/>
          <w:szCs w:val="22"/>
        </w:rPr>
        <w:t>Lebensgeschichte</w:t>
      </w:r>
      <w:proofErr w:type="spellEnd"/>
      <w:r w:rsidRPr="002336CA">
        <w:rPr>
          <w:rFonts w:ascii="Garamond" w:hAnsi="Garamond"/>
          <w:sz w:val="22"/>
          <w:szCs w:val="22"/>
        </w:rPr>
        <w:t>, Part I, Ch. 15, 155. Italics in origin</w:t>
      </w:r>
      <w:r w:rsidR="007264B0">
        <w:rPr>
          <w:rFonts w:ascii="Garamond" w:hAnsi="Garamond"/>
          <w:sz w:val="22"/>
          <w:szCs w:val="22"/>
        </w:rPr>
        <w:t>al</w:t>
      </w:r>
      <w:r w:rsidRPr="002336CA">
        <w:rPr>
          <w:rFonts w:ascii="Garamond" w:hAnsi="Garamond"/>
          <w:sz w:val="22"/>
          <w:szCs w:val="22"/>
        </w:rPr>
        <w:t>.</w:t>
      </w:r>
      <w:r w:rsidR="003533A1">
        <w:rPr>
          <w:rFonts w:ascii="Garamond" w:hAnsi="Garamond"/>
          <w:sz w:val="22"/>
          <w:szCs w:val="22"/>
        </w:rPr>
        <w:t xml:space="preserve"> Underlining added.</w:t>
      </w:r>
    </w:p>
  </w:footnote>
  <w:footnote w:id="30">
    <w:p w14:paraId="4350DB3B" w14:textId="08C712AE" w:rsidR="00186938" w:rsidRPr="000D232E" w:rsidRDefault="00186938" w:rsidP="000D232E">
      <w:pPr>
        <w:pStyle w:val="FootnoteText"/>
        <w:spacing w:line="480" w:lineRule="auto"/>
        <w:jc w:val="both"/>
        <w:rPr>
          <w:rFonts w:ascii="Garamond" w:hAnsi="Garamond"/>
          <w:sz w:val="22"/>
          <w:szCs w:val="22"/>
        </w:rPr>
      </w:pPr>
      <w:r w:rsidRPr="000D232E">
        <w:rPr>
          <w:rStyle w:val="FootnoteReference"/>
          <w:rFonts w:ascii="Garamond" w:hAnsi="Garamond"/>
          <w:sz w:val="22"/>
          <w:szCs w:val="22"/>
        </w:rPr>
        <w:footnoteRef/>
      </w:r>
      <w:r w:rsidRPr="000D232E">
        <w:rPr>
          <w:rFonts w:ascii="Garamond" w:hAnsi="Garamond"/>
          <w:sz w:val="22"/>
          <w:szCs w:val="22"/>
        </w:rPr>
        <w:t xml:space="preserve"> Maimon, </w:t>
      </w:r>
      <w:r w:rsidRPr="000D232E">
        <w:rPr>
          <w:rFonts w:ascii="Garamond" w:hAnsi="Garamond"/>
          <w:i/>
          <w:iCs/>
          <w:sz w:val="22"/>
          <w:szCs w:val="22"/>
        </w:rPr>
        <w:t>Autobiography</w:t>
      </w:r>
      <w:r w:rsidRPr="000D232E">
        <w:rPr>
          <w:rFonts w:ascii="Garamond" w:hAnsi="Garamond"/>
          <w:sz w:val="22"/>
          <w:szCs w:val="22"/>
        </w:rPr>
        <w:t xml:space="preserve">, 65. </w:t>
      </w:r>
      <w:proofErr w:type="spellStart"/>
      <w:r w:rsidRPr="000D232E">
        <w:rPr>
          <w:rFonts w:ascii="Garamond" w:hAnsi="Garamond"/>
          <w:i/>
          <w:iCs/>
          <w:sz w:val="22"/>
          <w:szCs w:val="22"/>
        </w:rPr>
        <w:t>Lebensgeschichte</w:t>
      </w:r>
      <w:proofErr w:type="spellEnd"/>
      <w:r w:rsidRPr="000D232E">
        <w:rPr>
          <w:rFonts w:ascii="Garamond" w:hAnsi="Garamond"/>
          <w:sz w:val="22"/>
          <w:szCs w:val="22"/>
        </w:rPr>
        <w:t>, Part I, Ch. 15, 156-7. Italics in origin</w:t>
      </w:r>
      <w:r w:rsidR="00824BE7">
        <w:rPr>
          <w:rFonts w:ascii="Garamond" w:hAnsi="Garamond"/>
          <w:sz w:val="22"/>
          <w:szCs w:val="22"/>
        </w:rPr>
        <w:t>al</w:t>
      </w:r>
      <w:r w:rsidRPr="000D232E">
        <w:rPr>
          <w:rFonts w:ascii="Garamond" w:hAnsi="Garamond"/>
          <w:sz w:val="22"/>
          <w:szCs w:val="22"/>
        </w:rPr>
        <w:t>.</w:t>
      </w:r>
    </w:p>
  </w:footnote>
  <w:footnote w:id="31">
    <w:p w14:paraId="40CF2D28" w14:textId="581FD583" w:rsidR="000D232E" w:rsidRDefault="000D232E" w:rsidP="000D232E">
      <w:pPr>
        <w:pStyle w:val="FootnoteText"/>
        <w:spacing w:line="480" w:lineRule="auto"/>
        <w:jc w:val="both"/>
      </w:pPr>
      <w:r w:rsidRPr="000D232E">
        <w:rPr>
          <w:rStyle w:val="FootnoteReference"/>
          <w:rFonts w:ascii="Garamond" w:hAnsi="Garamond"/>
          <w:sz w:val="22"/>
          <w:szCs w:val="22"/>
        </w:rPr>
        <w:footnoteRef/>
      </w:r>
      <w:r w:rsidRPr="000D232E">
        <w:rPr>
          <w:rFonts w:ascii="Garamond" w:hAnsi="Garamond"/>
          <w:sz w:val="22"/>
          <w:szCs w:val="22"/>
        </w:rPr>
        <w:t xml:space="preserve"> Maimon, </w:t>
      </w:r>
      <w:r w:rsidRPr="000D232E">
        <w:rPr>
          <w:rFonts w:ascii="Garamond" w:hAnsi="Garamond"/>
          <w:i/>
          <w:iCs/>
          <w:sz w:val="22"/>
          <w:szCs w:val="22"/>
        </w:rPr>
        <w:t>Autobiography</w:t>
      </w:r>
      <w:r w:rsidRPr="000D232E">
        <w:rPr>
          <w:rFonts w:ascii="Garamond" w:hAnsi="Garamond"/>
          <w:sz w:val="22"/>
          <w:szCs w:val="22"/>
        </w:rPr>
        <w:t xml:space="preserve">, 66. </w:t>
      </w:r>
      <w:proofErr w:type="spellStart"/>
      <w:r w:rsidRPr="000D232E">
        <w:rPr>
          <w:rFonts w:ascii="Garamond" w:hAnsi="Garamond"/>
          <w:i/>
          <w:iCs/>
          <w:sz w:val="22"/>
          <w:szCs w:val="22"/>
        </w:rPr>
        <w:t>Lebensgeschichte</w:t>
      </w:r>
      <w:proofErr w:type="spellEnd"/>
      <w:r w:rsidRPr="000D232E">
        <w:rPr>
          <w:rFonts w:ascii="Garamond" w:hAnsi="Garamond"/>
          <w:sz w:val="22"/>
          <w:szCs w:val="22"/>
        </w:rPr>
        <w:t>, Part I, Ch. 15, 158-9. Italics in origin</w:t>
      </w:r>
      <w:r w:rsidR="000D0099">
        <w:rPr>
          <w:rFonts w:ascii="Garamond" w:hAnsi="Garamond"/>
          <w:sz w:val="22"/>
          <w:szCs w:val="22"/>
        </w:rPr>
        <w:t>al</w:t>
      </w:r>
      <w:r w:rsidRPr="000D232E">
        <w:rPr>
          <w:rFonts w:ascii="Garamond" w:hAnsi="Garamond"/>
          <w:sz w:val="22"/>
          <w:szCs w:val="22"/>
        </w:rPr>
        <w:t>. Underlining added.</w:t>
      </w:r>
    </w:p>
  </w:footnote>
  <w:footnote w:id="32">
    <w:p w14:paraId="2CA4FAD1" w14:textId="65837D0F" w:rsidR="006D1D73" w:rsidRPr="006D1D73" w:rsidRDefault="006D1D73" w:rsidP="006D1D73">
      <w:pPr>
        <w:pStyle w:val="FootnoteText"/>
        <w:spacing w:line="480" w:lineRule="auto"/>
        <w:jc w:val="both"/>
        <w:rPr>
          <w:rFonts w:ascii="Garamond" w:hAnsi="Garamond"/>
          <w:sz w:val="22"/>
          <w:szCs w:val="22"/>
        </w:rPr>
      </w:pPr>
      <w:r w:rsidRPr="006D1D73">
        <w:rPr>
          <w:rStyle w:val="FootnoteReference"/>
          <w:rFonts w:ascii="Garamond" w:hAnsi="Garamond"/>
          <w:sz w:val="22"/>
          <w:szCs w:val="22"/>
        </w:rPr>
        <w:footnoteRef/>
      </w:r>
      <w:r w:rsidRPr="006D1D73">
        <w:rPr>
          <w:rFonts w:ascii="Garamond" w:hAnsi="Garamond"/>
          <w:sz w:val="22"/>
          <w:szCs w:val="22"/>
        </w:rPr>
        <w:t xml:space="preserve"> Maimon, </w:t>
      </w:r>
      <w:r w:rsidRPr="006D1D73">
        <w:rPr>
          <w:rFonts w:ascii="Garamond" w:hAnsi="Garamond"/>
          <w:i/>
          <w:iCs/>
          <w:sz w:val="22"/>
          <w:szCs w:val="22"/>
        </w:rPr>
        <w:t>Autobiography</w:t>
      </w:r>
      <w:r w:rsidRPr="006D1D73">
        <w:rPr>
          <w:rFonts w:ascii="Garamond" w:hAnsi="Garamond"/>
          <w:sz w:val="22"/>
          <w:szCs w:val="22"/>
        </w:rPr>
        <w:t xml:space="preserve">, 104. </w:t>
      </w:r>
      <w:proofErr w:type="spellStart"/>
      <w:r w:rsidRPr="006D1D73">
        <w:rPr>
          <w:rFonts w:ascii="Garamond" w:hAnsi="Garamond"/>
          <w:i/>
          <w:iCs/>
          <w:sz w:val="22"/>
          <w:szCs w:val="22"/>
        </w:rPr>
        <w:t>Lebensgeschichte</w:t>
      </w:r>
      <w:proofErr w:type="spellEnd"/>
      <w:r w:rsidRPr="006D1D73">
        <w:rPr>
          <w:rFonts w:ascii="Garamond" w:hAnsi="Garamond"/>
          <w:sz w:val="22"/>
          <w:szCs w:val="22"/>
        </w:rPr>
        <w:t xml:space="preserve">, Part I, Ch. 20, </w:t>
      </w:r>
      <w:r w:rsidR="00315056">
        <w:rPr>
          <w:rFonts w:ascii="Garamond" w:hAnsi="Garamond"/>
          <w:sz w:val="22"/>
          <w:szCs w:val="22"/>
        </w:rPr>
        <w:t>251</w:t>
      </w:r>
      <w:r w:rsidRPr="006D1D73">
        <w:rPr>
          <w:rFonts w:ascii="Garamond" w:hAnsi="Garamond"/>
          <w:sz w:val="22"/>
          <w:szCs w:val="22"/>
        </w:rPr>
        <w:t>. Italics in origin</w:t>
      </w:r>
      <w:r w:rsidR="000D0099">
        <w:rPr>
          <w:rFonts w:ascii="Garamond" w:hAnsi="Garamond"/>
          <w:sz w:val="22"/>
          <w:szCs w:val="22"/>
        </w:rPr>
        <w:t>al</w:t>
      </w:r>
      <w:r w:rsidRPr="006D1D73">
        <w:rPr>
          <w:rFonts w:ascii="Garamond" w:hAnsi="Garamond"/>
          <w:sz w:val="22"/>
          <w:szCs w:val="22"/>
        </w:rPr>
        <w:t>.</w:t>
      </w:r>
    </w:p>
  </w:footnote>
  <w:footnote w:id="33">
    <w:p w14:paraId="2739AC97" w14:textId="3B4B3A77" w:rsidR="00C76FF7" w:rsidRPr="00DA2ED6" w:rsidRDefault="00C76FF7" w:rsidP="00DA2ED6">
      <w:pPr>
        <w:pStyle w:val="FootnoteText"/>
        <w:spacing w:line="480" w:lineRule="auto"/>
        <w:jc w:val="both"/>
        <w:rPr>
          <w:rFonts w:ascii="Garamond" w:hAnsi="Garamond"/>
          <w:sz w:val="22"/>
          <w:szCs w:val="22"/>
        </w:rPr>
      </w:pPr>
      <w:r w:rsidRPr="00DA2ED6">
        <w:rPr>
          <w:rStyle w:val="FootnoteReference"/>
          <w:rFonts w:ascii="Garamond" w:hAnsi="Garamond"/>
          <w:sz w:val="22"/>
          <w:szCs w:val="22"/>
        </w:rPr>
        <w:footnoteRef/>
      </w:r>
      <w:r w:rsidRPr="00DA2ED6">
        <w:rPr>
          <w:rFonts w:ascii="Garamond" w:hAnsi="Garamond"/>
          <w:sz w:val="22"/>
          <w:szCs w:val="22"/>
        </w:rPr>
        <w:t xml:space="preserve"> Maimon, </w:t>
      </w:r>
      <w:r w:rsidRPr="00DA2ED6">
        <w:rPr>
          <w:rFonts w:ascii="Garamond" w:hAnsi="Garamond"/>
          <w:i/>
          <w:iCs/>
          <w:sz w:val="22"/>
          <w:szCs w:val="22"/>
        </w:rPr>
        <w:t>Autobiography</w:t>
      </w:r>
      <w:r w:rsidRPr="00DA2ED6">
        <w:rPr>
          <w:rFonts w:ascii="Garamond" w:hAnsi="Garamond"/>
          <w:sz w:val="22"/>
          <w:szCs w:val="22"/>
        </w:rPr>
        <w:t xml:space="preserve">, 253. </w:t>
      </w:r>
      <w:proofErr w:type="spellStart"/>
      <w:r w:rsidRPr="00DA2ED6">
        <w:rPr>
          <w:rFonts w:ascii="Garamond" w:hAnsi="Garamond"/>
          <w:i/>
          <w:iCs/>
          <w:sz w:val="22"/>
          <w:szCs w:val="22"/>
        </w:rPr>
        <w:t>Lebensgeschichte</w:t>
      </w:r>
      <w:proofErr w:type="spellEnd"/>
      <w:r w:rsidRPr="00DA2ED6">
        <w:rPr>
          <w:rFonts w:ascii="Garamond" w:hAnsi="Garamond"/>
          <w:sz w:val="22"/>
          <w:szCs w:val="22"/>
        </w:rPr>
        <w:t>, Part I, Ch. 20, 251. Italics in origin</w:t>
      </w:r>
      <w:r w:rsidR="000D0099">
        <w:rPr>
          <w:rFonts w:ascii="Garamond" w:hAnsi="Garamond"/>
          <w:sz w:val="22"/>
          <w:szCs w:val="22"/>
        </w:rPr>
        <w:t>al</w:t>
      </w:r>
      <w:r w:rsidRPr="00DA2ED6">
        <w:rPr>
          <w:rFonts w:ascii="Garamond" w:hAnsi="Garamond"/>
          <w:sz w:val="22"/>
          <w:szCs w:val="22"/>
        </w:rPr>
        <w:t>.</w:t>
      </w:r>
    </w:p>
  </w:footnote>
  <w:footnote w:id="34">
    <w:p w14:paraId="5BB0017C" w14:textId="2E635B39" w:rsidR="00D865BD" w:rsidRDefault="00D865BD" w:rsidP="00DA2ED6">
      <w:pPr>
        <w:pStyle w:val="FootnoteText"/>
        <w:spacing w:line="480" w:lineRule="auto"/>
        <w:jc w:val="both"/>
      </w:pPr>
      <w:r w:rsidRPr="00DA2ED6">
        <w:rPr>
          <w:rStyle w:val="FootnoteReference"/>
          <w:rFonts w:ascii="Garamond" w:hAnsi="Garamond"/>
          <w:sz w:val="22"/>
          <w:szCs w:val="22"/>
        </w:rPr>
        <w:footnoteRef/>
      </w:r>
      <w:r w:rsidRPr="00DA2ED6">
        <w:rPr>
          <w:rFonts w:ascii="Garamond" w:hAnsi="Garamond"/>
          <w:sz w:val="22"/>
          <w:szCs w:val="22"/>
        </w:rPr>
        <w:t xml:space="preserve"> </w:t>
      </w:r>
      <w:r w:rsidR="00FB7FDA" w:rsidRPr="00DA2ED6">
        <w:rPr>
          <w:rFonts w:ascii="Garamond" w:hAnsi="Garamond"/>
          <w:sz w:val="22"/>
          <w:szCs w:val="22"/>
        </w:rPr>
        <w:t xml:space="preserve">See, Maimonides, </w:t>
      </w:r>
      <w:r w:rsidR="00FB7FDA" w:rsidRPr="00DA2ED6">
        <w:rPr>
          <w:rFonts w:ascii="Garamond" w:hAnsi="Garamond"/>
          <w:i/>
          <w:iCs/>
          <w:sz w:val="22"/>
          <w:szCs w:val="22"/>
        </w:rPr>
        <w:t>Guide of the Perplexed</w:t>
      </w:r>
      <w:r w:rsidR="00DA2ED6" w:rsidRPr="00DA2ED6">
        <w:rPr>
          <w:rFonts w:ascii="Garamond" w:hAnsi="Garamond"/>
          <w:sz w:val="22"/>
          <w:szCs w:val="22"/>
        </w:rPr>
        <w:t>,</w:t>
      </w:r>
      <w:r w:rsidR="00FB7FDA" w:rsidRPr="00DA2ED6">
        <w:rPr>
          <w:rFonts w:ascii="Garamond" w:hAnsi="Garamond"/>
          <w:sz w:val="22"/>
          <w:szCs w:val="22"/>
        </w:rPr>
        <w:t xml:space="preserve"> I 61</w:t>
      </w:r>
      <w:r w:rsidR="00F86AD4" w:rsidRPr="00DA2ED6">
        <w:rPr>
          <w:rFonts w:ascii="Garamond" w:hAnsi="Garamond"/>
          <w:sz w:val="22"/>
          <w:szCs w:val="22"/>
        </w:rPr>
        <w:t xml:space="preserve"> (Pines</w:t>
      </w:r>
      <w:r w:rsidR="00DA2ED6" w:rsidRPr="00DA2ED6">
        <w:rPr>
          <w:rFonts w:ascii="Garamond" w:hAnsi="Garamond"/>
          <w:sz w:val="22"/>
          <w:szCs w:val="22"/>
        </w:rPr>
        <w:t xml:space="preserve"> 147).</w:t>
      </w:r>
    </w:p>
  </w:footnote>
  <w:footnote w:id="35">
    <w:p w14:paraId="5879E12A" w14:textId="09D798FC" w:rsidR="00DA2ED6" w:rsidRPr="00DA2ED6" w:rsidRDefault="00DA2ED6" w:rsidP="00DA2ED6">
      <w:pPr>
        <w:pStyle w:val="FootnoteText"/>
        <w:spacing w:line="480" w:lineRule="auto"/>
        <w:jc w:val="both"/>
        <w:rPr>
          <w:rFonts w:ascii="Garamond" w:hAnsi="Garamond"/>
          <w:sz w:val="22"/>
          <w:szCs w:val="22"/>
        </w:rPr>
      </w:pPr>
      <w:r w:rsidRPr="00DA2ED6">
        <w:rPr>
          <w:rStyle w:val="FootnoteReference"/>
          <w:rFonts w:ascii="Garamond" w:hAnsi="Garamond"/>
          <w:sz w:val="22"/>
          <w:szCs w:val="22"/>
        </w:rPr>
        <w:footnoteRef/>
      </w:r>
      <w:r w:rsidRPr="00DA2ED6">
        <w:rPr>
          <w:rFonts w:ascii="Garamond" w:hAnsi="Garamond"/>
          <w:sz w:val="22"/>
          <w:szCs w:val="22"/>
        </w:rPr>
        <w:t xml:space="preserve"> TTP Ch. 13| III</w:t>
      </w:r>
      <w:r>
        <w:rPr>
          <w:rFonts w:ascii="Garamond" w:hAnsi="Garamond"/>
          <w:sz w:val="22"/>
          <w:szCs w:val="22"/>
        </w:rPr>
        <w:t>/</w:t>
      </w:r>
      <w:r w:rsidRPr="00DA2ED6">
        <w:rPr>
          <w:rFonts w:ascii="Garamond" w:hAnsi="Garamond"/>
          <w:sz w:val="22"/>
          <w:szCs w:val="22"/>
        </w:rPr>
        <w:t>169/8-15.</w:t>
      </w:r>
    </w:p>
  </w:footnote>
  <w:footnote w:id="36">
    <w:p w14:paraId="2C10A704" w14:textId="464EC48F" w:rsidR="00540EDA" w:rsidRPr="00540EDA" w:rsidRDefault="00540EDA" w:rsidP="00540EDA">
      <w:pPr>
        <w:pStyle w:val="FootnoteText"/>
        <w:spacing w:line="480" w:lineRule="auto"/>
        <w:jc w:val="both"/>
        <w:rPr>
          <w:rFonts w:ascii="Garamond" w:hAnsi="Garamond"/>
          <w:sz w:val="22"/>
          <w:szCs w:val="22"/>
        </w:rPr>
      </w:pPr>
      <w:r w:rsidRPr="00540EDA">
        <w:rPr>
          <w:rStyle w:val="FootnoteReference"/>
          <w:rFonts w:ascii="Garamond" w:hAnsi="Garamond"/>
          <w:sz w:val="22"/>
          <w:szCs w:val="22"/>
        </w:rPr>
        <w:footnoteRef/>
      </w:r>
      <w:r w:rsidRPr="00540EDA">
        <w:rPr>
          <w:rFonts w:ascii="Garamond" w:hAnsi="Garamond"/>
          <w:sz w:val="22"/>
          <w:szCs w:val="22"/>
        </w:rPr>
        <w:t xml:space="preserve"> See Spinoza’s </w:t>
      </w:r>
      <w:r w:rsidRPr="00540EDA">
        <w:rPr>
          <w:rFonts w:ascii="Garamond" w:hAnsi="Garamond"/>
          <w:i/>
          <w:iCs/>
          <w:sz w:val="22"/>
          <w:szCs w:val="22"/>
        </w:rPr>
        <w:t>Ethics</w:t>
      </w:r>
      <w:r w:rsidRPr="00540EDA">
        <w:rPr>
          <w:rFonts w:ascii="Garamond" w:hAnsi="Garamond"/>
          <w:sz w:val="22"/>
          <w:szCs w:val="22"/>
        </w:rPr>
        <w:t xml:space="preserve">, Part I, Proposition 20: “God’s essence and his existence are one and the same.” For a detailed discussion of the TTP passage and of Spinoza’s identification of God’s essence and existence, see my “Spinoza’s Deification of Existence.” </w:t>
      </w:r>
    </w:p>
  </w:footnote>
  <w:footnote w:id="37">
    <w:p w14:paraId="6EA1871D" w14:textId="57C146C9" w:rsidR="00C427CA" w:rsidRPr="00223CC5" w:rsidRDefault="00C427CA" w:rsidP="00223CC5">
      <w:pPr>
        <w:pStyle w:val="FootnoteText"/>
        <w:spacing w:line="480" w:lineRule="auto"/>
        <w:jc w:val="both"/>
        <w:rPr>
          <w:rFonts w:ascii="Garamond" w:hAnsi="Garamond"/>
          <w:sz w:val="22"/>
          <w:szCs w:val="22"/>
        </w:rPr>
      </w:pPr>
      <w:r w:rsidRPr="00223CC5">
        <w:rPr>
          <w:rStyle w:val="FootnoteReference"/>
          <w:rFonts w:ascii="Garamond" w:hAnsi="Garamond"/>
          <w:sz w:val="22"/>
          <w:szCs w:val="22"/>
        </w:rPr>
        <w:footnoteRef/>
      </w:r>
      <w:r w:rsidRPr="00223CC5">
        <w:rPr>
          <w:rFonts w:ascii="Garamond" w:hAnsi="Garamond"/>
          <w:sz w:val="22"/>
          <w:szCs w:val="22"/>
        </w:rPr>
        <w:t xml:space="preserve"> Maimon, </w:t>
      </w:r>
      <w:r w:rsidRPr="00223CC5">
        <w:rPr>
          <w:rFonts w:ascii="Garamond" w:hAnsi="Garamond"/>
          <w:i/>
          <w:iCs/>
          <w:sz w:val="22"/>
          <w:szCs w:val="22"/>
        </w:rPr>
        <w:t>Autobiography</w:t>
      </w:r>
      <w:r w:rsidRPr="00223CC5">
        <w:rPr>
          <w:rFonts w:ascii="Garamond" w:hAnsi="Garamond"/>
          <w:sz w:val="22"/>
          <w:szCs w:val="22"/>
        </w:rPr>
        <w:t xml:space="preserve">, 106. </w:t>
      </w:r>
      <w:proofErr w:type="spellStart"/>
      <w:r w:rsidRPr="00223CC5">
        <w:rPr>
          <w:rFonts w:ascii="Garamond" w:hAnsi="Garamond"/>
          <w:i/>
          <w:iCs/>
          <w:sz w:val="22"/>
          <w:szCs w:val="22"/>
        </w:rPr>
        <w:t>Lebensgeschichte</w:t>
      </w:r>
      <w:proofErr w:type="spellEnd"/>
      <w:r w:rsidRPr="00223CC5">
        <w:rPr>
          <w:rFonts w:ascii="Garamond" w:hAnsi="Garamond"/>
          <w:sz w:val="22"/>
          <w:szCs w:val="22"/>
        </w:rPr>
        <w:t>, Part I, Ch. 20, 254.</w:t>
      </w:r>
      <w:r w:rsidR="00EF5ECC" w:rsidRPr="00223CC5">
        <w:rPr>
          <w:rFonts w:ascii="Garamond" w:hAnsi="Garamond"/>
          <w:sz w:val="22"/>
          <w:szCs w:val="22"/>
        </w:rPr>
        <w:t xml:space="preserve"> Italics</w:t>
      </w:r>
      <w:r w:rsidRPr="00223CC5">
        <w:rPr>
          <w:rFonts w:ascii="Garamond" w:hAnsi="Garamond"/>
          <w:sz w:val="22"/>
          <w:szCs w:val="22"/>
        </w:rPr>
        <w:t xml:space="preserve"> added.</w:t>
      </w:r>
    </w:p>
  </w:footnote>
  <w:footnote w:id="38">
    <w:p w14:paraId="4A7D7073" w14:textId="3BD707E3" w:rsidR="009049D8" w:rsidRPr="009049D8" w:rsidRDefault="009049D8" w:rsidP="00223CC5">
      <w:pPr>
        <w:pStyle w:val="FootnoteText"/>
        <w:spacing w:line="480" w:lineRule="auto"/>
        <w:jc w:val="both"/>
        <w:rPr>
          <w:rFonts w:ascii="Garamond" w:hAnsi="Garamond"/>
          <w:sz w:val="22"/>
          <w:szCs w:val="22"/>
        </w:rPr>
      </w:pPr>
      <w:r w:rsidRPr="00223CC5">
        <w:rPr>
          <w:rStyle w:val="FootnoteReference"/>
          <w:rFonts w:ascii="Garamond" w:hAnsi="Garamond"/>
          <w:sz w:val="22"/>
          <w:szCs w:val="22"/>
        </w:rPr>
        <w:footnoteRef/>
      </w:r>
      <w:r w:rsidRPr="00223CC5">
        <w:rPr>
          <w:rFonts w:ascii="Garamond" w:hAnsi="Garamond"/>
          <w:sz w:val="22"/>
          <w:szCs w:val="22"/>
        </w:rPr>
        <w:t xml:space="preserve"> Maimon, </w:t>
      </w:r>
      <w:r w:rsidRPr="00223CC5">
        <w:rPr>
          <w:rFonts w:ascii="Garamond" w:hAnsi="Garamond"/>
          <w:i/>
          <w:iCs/>
          <w:sz w:val="22"/>
          <w:szCs w:val="22"/>
        </w:rPr>
        <w:t>Autobiography</w:t>
      </w:r>
      <w:r w:rsidRPr="00223CC5">
        <w:rPr>
          <w:rFonts w:ascii="Garamond" w:hAnsi="Garamond"/>
          <w:sz w:val="22"/>
          <w:szCs w:val="22"/>
        </w:rPr>
        <w:t xml:space="preserve">, 63. </w:t>
      </w:r>
      <w:proofErr w:type="spellStart"/>
      <w:r w:rsidRPr="00223CC5">
        <w:rPr>
          <w:rFonts w:ascii="Garamond" w:hAnsi="Garamond"/>
          <w:i/>
          <w:iCs/>
          <w:sz w:val="22"/>
          <w:szCs w:val="22"/>
        </w:rPr>
        <w:t>Lebensgeschichte</w:t>
      </w:r>
      <w:proofErr w:type="spellEnd"/>
      <w:r w:rsidRPr="00223CC5">
        <w:rPr>
          <w:rFonts w:ascii="Garamond" w:hAnsi="Garamond"/>
          <w:sz w:val="22"/>
          <w:szCs w:val="22"/>
        </w:rPr>
        <w:t>, Part I, Ch. 15, 152-3.</w:t>
      </w:r>
    </w:p>
  </w:footnote>
  <w:footnote w:id="39">
    <w:p w14:paraId="6EAFF2F7" w14:textId="1E93188F" w:rsidR="00315238" w:rsidRPr="00315238" w:rsidRDefault="00315238" w:rsidP="00315238">
      <w:pPr>
        <w:pStyle w:val="FootnoteText"/>
        <w:spacing w:line="480" w:lineRule="auto"/>
        <w:jc w:val="both"/>
        <w:rPr>
          <w:rFonts w:ascii="Garamond" w:hAnsi="Garamond"/>
          <w:sz w:val="22"/>
          <w:szCs w:val="22"/>
        </w:rPr>
      </w:pPr>
      <w:r w:rsidRPr="00315238">
        <w:rPr>
          <w:rStyle w:val="FootnoteReference"/>
          <w:rFonts w:ascii="Garamond" w:hAnsi="Garamond"/>
          <w:sz w:val="22"/>
          <w:szCs w:val="22"/>
        </w:rPr>
        <w:footnoteRef/>
      </w:r>
      <w:r w:rsidRPr="00315238">
        <w:rPr>
          <w:rFonts w:ascii="Garamond" w:hAnsi="Garamond"/>
          <w:sz w:val="22"/>
          <w:szCs w:val="22"/>
        </w:rPr>
        <w:t xml:space="preserve"> Maimon, </w:t>
      </w:r>
      <w:r w:rsidRPr="00315238">
        <w:rPr>
          <w:rFonts w:ascii="Garamond" w:hAnsi="Garamond"/>
          <w:i/>
          <w:iCs/>
          <w:sz w:val="22"/>
          <w:szCs w:val="22"/>
        </w:rPr>
        <w:t>Autobiography</w:t>
      </w:r>
      <w:r w:rsidRPr="00315238">
        <w:rPr>
          <w:rFonts w:ascii="Garamond" w:hAnsi="Garamond"/>
          <w:sz w:val="22"/>
          <w:szCs w:val="22"/>
        </w:rPr>
        <w:t xml:space="preserve">, 106. </w:t>
      </w:r>
      <w:proofErr w:type="spellStart"/>
      <w:r w:rsidRPr="00315238">
        <w:rPr>
          <w:rFonts w:ascii="Garamond" w:hAnsi="Garamond"/>
          <w:i/>
          <w:iCs/>
          <w:sz w:val="22"/>
          <w:szCs w:val="22"/>
        </w:rPr>
        <w:t>Lebensgeschichte</w:t>
      </w:r>
      <w:proofErr w:type="spellEnd"/>
      <w:r w:rsidRPr="00315238">
        <w:rPr>
          <w:rFonts w:ascii="Garamond" w:hAnsi="Garamond"/>
          <w:sz w:val="22"/>
          <w:szCs w:val="22"/>
        </w:rPr>
        <w:t>, Part I, Ch. 20, 254-5. Italics added.</w:t>
      </w:r>
    </w:p>
  </w:footnote>
  <w:footnote w:id="40">
    <w:p w14:paraId="510CBC38" w14:textId="2C0003F3" w:rsidR="003D7F60" w:rsidRPr="00981D57" w:rsidRDefault="003D7F60" w:rsidP="00981D57">
      <w:pPr>
        <w:pStyle w:val="FootnoteText"/>
        <w:spacing w:line="480" w:lineRule="auto"/>
        <w:jc w:val="both"/>
        <w:rPr>
          <w:rFonts w:ascii="Garamond" w:hAnsi="Garamond"/>
          <w:sz w:val="22"/>
          <w:szCs w:val="22"/>
        </w:rPr>
      </w:pPr>
      <w:r w:rsidRPr="00981D57">
        <w:rPr>
          <w:rStyle w:val="FootnoteReference"/>
          <w:rFonts w:ascii="Garamond" w:hAnsi="Garamond"/>
          <w:sz w:val="22"/>
          <w:szCs w:val="22"/>
        </w:rPr>
        <w:footnoteRef/>
      </w:r>
      <w:r w:rsidRPr="00981D57">
        <w:rPr>
          <w:rFonts w:ascii="Garamond" w:hAnsi="Garamond"/>
          <w:sz w:val="22"/>
          <w:szCs w:val="22"/>
        </w:rPr>
        <w:t xml:space="preserve"> “The Kabbalah is, in fact, nothing other than an extension of Spinozism” (Maimon, </w:t>
      </w:r>
      <w:r w:rsidRPr="00981D57">
        <w:rPr>
          <w:rFonts w:ascii="Garamond" w:hAnsi="Garamond"/>
          <w:i/>
          <w:iCs/>
          <w:sz w:val="22"/>
          <w:szCs w:val="22"/>
        </w:rPr>
        <w:t>Autobiography</w:t>
      </w:r>
      <w:r w:rsidRPr="00981D57">
        <w:rPr>
          <w:rFonts w:ascii="Garamond" w:hAnsi="Garamond"/>
          <w:sz w:val="22"/>
          <w:szCs w:val="22"/>
        </w:rPr>
        <w:t xml:space="preserve">, 58. </w:t>
      </w:r>
      <w:proofErr w:type="spellStart"/>
      <w:r w:rsidRPr="00981D57">
        <w:rPr>
          <w:rFonts w:ascii="Garamond" w:hAnsi="Garamond"/>
          <w:i/>
          <w:iCs/>
          <w:sz w:val="22"/>
          <w:szCs w:val="22"/>
        </w:rPr>
        <w:t>Lebensgeschichte</w:t>
      </w:r>
      <w:proofErr w:type="spellEnd"/>
      <w:r w:rsidRPr="00981D57">
        <w:rPr>
          <w:rFonts w:ascii="Garamond" w:hAnsi="Garamond"/>
          <w:sz w:val="22"/>
          <w:szCs w:val="22"/>
        </w:rPr>
        <w:t xml:space="preserve">, Part I, Ch. 14, 141). For a detailed discussion of this issue, see my </w:t>
      </w:r>
      <w:r w:rsidR="00981D57" w:rsidRPr="00981D57">
        <w:rPr>
          <w:rFonts w:ascii="Garamond" w:hAnsi="Garamond"/>
          <w:sz w:val="22"/>
          <w:szCs w:val="22"/>
        </w:rPr>
        <w:t>“Salomon Maimon and the Rise of Spinozism in German Idealism.”</w:t>
      </w:r>
    </w:p>
  </w:footnote>
  <w:footnote w:id="41">
    <w:p w14:paraId="19348282" w14:textId="29A64828" w:rsidR="00981D57" w:rsidRPr="00981D57" w:rsidRDefault="00981D57" w:rsidP="00981D57">
      <w:pPr>
        <w:pStyle w:val="FootnoteText"/>
        <w:spacing w:line="480" w:lineRule="auto"/>
        <w:jc w:val="both"/>
        <w:rPr>
          <w:rFonts w:ascii="Garamond" w:hAnsi="Garamond"/>
          <w:sz w:val="22"/>
          <w:szCs w:val="22"/>
        </w:rPr>
      </w:pPr>
      <w:r w:rsidRPr="00981D57">
        <w:rPr>
          <w:rStyle w:val="FootnoteReference"/>
          <w:rFonts w:ascii="Garamond" w:hAnsi="Garamond"/>
          <w:sz w:val="22"/>
          <w:szCs w:val="22"/>
        </w:rPr>
        <w:footnoteRef/>
      </w:r>
      <w:r w:rsidRPr="00981D57">
        <w:rPr>
          <w:rFonts w:ascii="Garamond" w:hAnsi="Garamond"/>
          <w:sz w:val="22"/>
          <w:szCs w:val="22"/>
        </w:rPr>
        <w:t xml:space="preserve"> On Wachter’s claims, see </w:t>
      </w:r>
      <w:proofErr w:type="spellStart"/>
      <w:r w:rsidRPr="00981D57">
        <w:rPr>
          <w:rFonts w:ascii="Garamond" w:hAnsi="Garamond"/>
          <w:sz w:val="22"/>
          <w:szCs w:val="22"/>
        </w:rPr>
        <w:t>Laerke</w:t>
      </w:r>
      <w:proofErr w:type="spellEnd"/>
      <w:r w:rsidRPr="00981D57">
        <w:rPr>
          <w:rFonts w:ascii="Garamond" w:hAnsi="Garamond"/>
          <w:sz w:val="22"/>
          <w:szCs w:val="22"/>
        </w:rPr>
        <w:t xml:space="preserve">, “Spinozism, </w:t>
      </w:r>
      <w:proofErr w:type="spellStart"/>
      <w:r w:rsidRPr="00981D57">
        <w:rPr>
          <w:rFonts w:ascii="Garamond" w:hAnsi="Garamond"/>
          <w:sz w:val="22"/>
          <w:szCs w:val="22"/>
        </w:rPr>
        <w:t>Kabbalism</w:t>
      </w:r>
      <w:proofErr w:type="spellEnd"/>
      <w:r w:rsidRPr="00981D57">
        <w:rPr>
          <w:rFonts w:ascii="Garamond" w:hAnsi="Garamond"/>
          <w:sz w:val="22"/>
          <w:szCs w:val="22"/>
        </w:rPr>
        <w:t>, and Idealism.”</w:t>
      </w:r>
    </w:p>
  </w:footnote>
  <w:footnote w:id="42">
    <w:p w14:paraId="0E3435B9" w14:textId="0D0FFCA9" w:rsidR="00981D57" w:rsidRPr="00B969B2" w:rsidRDefault="00981D57" w:rsidP="00B969B2">
      <w:pPr>
        <w:pStyle w:val="FootnoteText"/>
        <w:spacing w:line="480" w:lineRule="auto"/>
        <w:jc w:val="both"/>
        <w:rPr>
          <w:rFonts w:ascii="Garamond" w:hAnsi="Garamond"/>
          <w:sz w:val="22"/>
          <w:szCs w:val="22"/>
        </w:rPr>
      </w:pPr>
      <w:r w:rsidRPr="00B969B2">
        <w:rPr>
          <w:rStyle w:val="FootnoteReference"/>
          <w:rFonts w:ascii="Garamond" w:hAnsi="Garamond"/>
          <w:sz w:val="22"/>
          <w:szCs w:val="22"/>
        </w:rPr>
        <w:footnoteRef/>
      </w:r>
      <w:r w:rsidRPr="00B969B2">
        <w:rPr>
          <w:rFonts w:ascii="Garamond" w:hAnsi="Garamond"/>
          <w:sz w:val="22"/>
          <w:szCs w:val="22"/>
        </w:rPr>
        <w:t xml:space="preserve"> One of the five parts of </w:t>
      </w:r>
      <w:r w:rsidR="00B969B2" w:rsidRPr="00B969B2">
        <w:rPr>
          <w:rFonts w:ascii="Garamond" w:hAnsi="Garamond"/>
          <w:sz w:val="22"/>
          <w:szCs w:val="22"/>
        </w:rPr>
        <w:t xml:space="preserve">Maimon’s early </w:t>
      </w:r>
      <w:r w:rsidRPr="00B969B2">
        <w:rPr>
          <w:rFonts w:ascii="Garamond" w:hAnsi="Garamond"/>
          <w:i/>
          <w:iCs/>
          <w:sz w:val="22"/>
          <w:szCs w:val="22"/>
        </w:rPr>
        <w:t>Hesheq Shelomo</w:t>
      </w:r>
      <w:r w:rsidRPr="00B969B2">
        <w:rPr>
          <w:rFonts w:ascii="Garamond" w:hAnsi="Garamond"/>
          <w:sz w:val="22"/>
          <w:szCs w:val="22"/>
        </w:rPr>
        <w:t xml:space="preserve"> (M</w:t>
      </w:r>
      <w:r w:rsidR="00B969B2" w:rsidRPr="00B969B2">
        <w:rPr>
          <w:rFonts w:ascii="Garamond" w:hAnsi="Garamond"/>
          <w:sz w:val="22"/>
          <w:szCs w:val="22"/>
        </w:rPr>
        <w:t xml:space="preserve">S 806426 at the National Library in Jerusalem) is </w:t>
      </w:r>
      <w:r w:rsidR="00B969B2" w:rsidRPr="00B969B2">
        <w:rPr>
          <w:rFonts w:ascii="Garamond" w:hAnsi="Garamond"/>
          <w:i/>
          <w:iCs/>
          <w:sz w:val="22"/>
          <w:szCs w:val="22"/>
        </w:rPr>
        <w:t>Ma`ase Livnat ha-Sapir</w:t>
      </w:r>
      <w:r w:rsidR="00B969B2" w:rsidRPr="00B969B2">
        <w:rPr>
          <w:rFonts w:ascii="Garamond" w:hAnsi="Garamond"/>
          <w:sz w:val="22"/>
          <w:szCs w:val="22"/>
        </w:rPr>
        <w:t xml:space="preserve"> which is essentially a Kabb</w:t>
      </w:r>
      <w:r w:rsidR="00B969B2">
        <w:rPr>
          <w:rFonts w:ascii="Garamond" w:hAnsi="Garamond"/>
          <w:sz w:val="22"/>
          <w:szCs w:val="22"/>
        </w:rPr>
        <w:t>a</w:t>
      </w:r>
      <w:r w:rsidR="00B969B2" w:rsidRPr="00B969B2">
        <w:rPr>
          <w:rFonts w:ascii="Garamond" w:hAnsi="Garamond"/>
          <w:sz w:val="22"/>
          <w:szCs w:val="22"/>
        </w:rPr>
        <w:t xml:space="preserve">listic work. Other parts of </w:t>
      </w:r>
      <w:r w:rsidR="00B969B2" w:rsidRPr="00B969B2">
        <w:rPr>
          <w:rFonts w:ascii="Garamond" w:hAnsi="Garamond"/>
          <w:i/>
          <w:iCs/>
          <w:sz w:val="22"/>
          <w:szCs w:val="22"/>
        </w:rPr>
        <w:t>Hesheq Shelomo</w:t>
      </w:r>
      <w:r w:rsidR="00B969B2" w:rsidRPr="00B969B2">
        <w:rPr>
          <w:rFonts w:ascii="Garamond" w:hAnsi="Garamond"/>
          <w:sz w:val="22"/>
          <w:szCs w:val="22"/>
        </w:rPr>
        <w:t xml:space="preserve"> also contain substantial engagement with the Kabbalah. Cf. </w:t>
      </w:r>
      <w:proofErr w:type="spellStart"/>
      <w:r w:rsidR="00B969B2" w:rsidRPr="00B969B2">
        <w:rPr>
          <w:rFonts w:ascii="Garamond" w:hAnsi="Garamond"/>
          <w:sz w:val="22"/>
          <w:szCs w:val="22"/>
        </w:rPr>
        <w:t>Idel</w:t>
      </w:r>
      <w:proofErr w:type="spellEnd"/>
      <w:r w:rsidR="00B969B2" w:rsidRPr="00B969B2">
        <w:rPr>
          <w:rFonts w:ascii="Garamond" w:hAnsi="Garamond"/>
          <w:sz w:val="22"/>
          <w:szCs w:val="22"/>
        </w:rPr>
        <w:t xml:space="preserve">, “On Solomon Maimon and </w:t>
      </w:r>
      <w:r w:rsidR="00B969B2">
        <w:rPr>
          <w:rFonts w:ascii="Garamond" w:hAnsi="Garamond"/>
          <w:sz w:val="22"/>
          <w:szCs w:val="22"/>
        </w:rPr>
        <w:t>the K</w:t>
      </w:r>
      <w:r w:rsidR="00B969B2" w:rsidRPr="00B969B2">
        <w:rPr>
          <w:rFonts w:ascii="Garamond" w:hAnsi="Garamond"/>
          <w:sz w:val="22"/>
          <w:szCs w:val="22"/>
        </w:rPr>
        <w:t xml:space="preserve">abbalah.” </w:t>
      </w:r>
    </w:p>
  </w:footnote>
  <w:footnote w:id="43">
    <w:p w14:paraId="4C514990" w14:textId="310D9FB4" w:rsidR="00F634E5" w:rsidRPr="00F634E5" w:rsidRDefault="00F634E5" w:rsidP="00F634E5">
      <w:pPr>
        <w:pStyle w:val="FootnoteText"/>
        <w:spacing w:line="480" w:lineRule="auto"/>
        <w:jc w:val="both"/>
        <w:rPr>
          <w:rFonts w:ascii="Garamond" w:hAnsi="Garamond"/>
          <w:sz w:val="22"/>
          <w:szCs w:val="22"/>
        </w:rPr>
      </w:pPr>
      <w:r w:rsidRPr="00F634E5">
        <w:rPr>
          <w:rStyle w:val="FootnoteReference"/>
          <w:rFonts w:ascii="Garamond" w:hAnsi="Garamond"/>
          <w:sz w:val="22"/>
          <w:szCs w:val="22"/>
        </w:rPr>
        <w:footnoteRef/>
      </w:r>
      <w:r w:rsidRPr="00F634E5">
        <w:rPr>
          <w:rFonts w:ascii="Garamond" w:hAnsi="Garamond"/>
          <w:sz w:val="22"/>
          <w:szCs w:val="22"/>
        </w:rPr>
        <w:t xml:space="preserve"> See my “Spinoza’s Atheism.”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990"/>
    <w:multiLevelType w:val="hybridMultilevel"/>
    <w:tmpl w:val="05806FDC"/>
    <w:lvl w:ilvl="0" w:tplc="D876D90E">
      <w:start w:val="1"/>
      <w:numFmt w:val="bullet"/>
      <w:lvlText w:val="•"/>
      <w:lvlJc w:val="left"/>
      <w:pPr>
        <w:tabs>
          <w:tab w:val="num" w:pos="720"/>
        </w:tabs>
        <w:ind w:left="720" w:hanging="360"/>
      </w:pPr>
      <w:rPr>
        <w:rFonts w:ascii="Arial" w:hAnsi="Arial" w:hint="default"/>
      </w:rPr>
    </w:lvl>
    <w:lvl w:ilvl="1" w:tplc="7400A3B2" w:tentative="1">
      <w:start w:val="1"/>
      <w:numFmt w:val="bullet"/>
      <w:lvlText w:val="•"/>
      <w:lvlJc w:val="left"/>
      <w:pPr>
        <w:tabs>
          <w:tab w:val="num" w:pos="1440"/>
        </w:tabs>
        <w:ind w:left="1440" w:hanging="360"/>
      </w:pPr>
      <w:rPr>
        <w:rFonts w:ascii="Arial" w:hAnsi="Arial" w:hint="default"/>
      </w:rPr>
    </w:lvl>
    <w:lvl w:ilvl="2" w:tplc="75025EB0" w:tentative="1">
      <w:start w:val="1"/>
      <w:numFmt w:val="bullet"/>
      <w:lvlText w:val="•"/>
      <w:lvlJc w:val="left"/>
      <w:pPr>
        <w:tabs>
          <w:tab w:val="num" w:pos="2160"/>
        </w:tabs>
        <w:ind w:left="2160" w:hanging="360"/>
      </w:pPr>
      <w:rPr>
        <w:rFonts w:ascii="Arial" w:hAnsi="Arial" w:hint="default"/>
      </w:rPr>
    </w:lvl>
    <w:lvl w:ilvl="3" w:tplc="F8FEB7D4" w:tentative="1">
      <w:start w:val="1"/>
      <w:numFmt w:val="bullet"/>
      <w:lvlText w:val="•"/>
      <w:lvlJc w:val="left"/>
      <w:pPr>
        <w:tabs>
          <w:tab w:val="num" w:pos="2880"/>
        </w:tabs>
        <w:ind w:left="2880" w:hanging="360"/>
      </w:pPr>
      <w:rPr>
        <w:rFonts w:ascii="Arial" w:hAnsi="Arial" w:hint="default"/>
      </w:rPr>
    </w:lvl>
    <w:lvl w:ilvl="4" w:tplc="D6C62988" w:tentative="1">
      <w:start w:val="1"/>
      <w:numFmt w:val="bullet"/>
      <w:lvlText w:val="•"/>
      <w:lvlJc w:val="left"/>
      <w:pPr>
        <w:tabs>
          <w:tab w:val="num" w:pos="3600"/>
        </w:tabs>
        <w:ind w:left="3600" w:hanging="360"/>
      </w:pPr>
      <w:rPr>
        <w:rFonts w:ascii="Arial" w:hAnsi="Arial" w:hint="default"/>
      </w:rPr>
    </w:lvl>
    <w:lvl w:ilvl="5" w:tplc="C9A68D5E" w:tentative="1">
      <w:start w:val="1"/>
      <w:numFmt w:val="bullet"/>
      <w:lvlText w:val="•"/>
      <w:lvlJc w:val="left"/>
      <w:pPr>
        <w:tabs>
          <w:tab w:val="num" w:pos="4320"/>
        </w:tabs>
        <w:ind w:left="4320" w:hanging="360"/>
      </w:pPr>
      <w:rPr>
        <w:rFonts w:ascii="Arial" w:hAnsi="Arial" w:hint="default"/>
      </w:rPr>
    </w:lvl>
    <w:lvl w:ilvl="6" w:tplc="B11627EE" w:tentative="1">
      <w:start w:val="1"/>
      <w:numFmt w:val="bullet"/>
      <w:lvlText w:val="•"/>
      <w:lvlJc w:val="left"/>
      <w:pPr>
        <w:tabs>
          <w:tab w:val="num" w:pos="5040"/>
        </w:tabs>
        <w:ind w:left="5040" w:hanging="360"/>
      </w:pPr>
      <w:rPr>
        <w:rFonts w:ascii="Arial" w:hAnsi="Arial" w:hint="default"/>
      </w:rPr>
    </w:lvl>
    <w:lvl w:ilvl="7" w:tplc="494C3636" w:tentative="1">
      <w:start w:val="1"/>
      <w:numFmt w:val="bullet"/>
      <w:lvlText w:val="•"/>
      <w:lvlJc w:val="left"/>
      <w:pPr>
        <w:tabs>
          <w:tab w:val="num" w:pos="5760"/>
        </w:tabs>
        <w:ind w:left="5760" w:hanging="360"/>
      </w:pPr>
      <w:rPr>
        <w:rFonts w:ascii="Arial" w:hAnsi="Arial" w:hint="default"/>
      </w:rPr>
    </w:lvl>
    <w:lvl w:ilvl="8" w:tplc="26BA12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0449B0"/>
    <w:multiLevelType w:val="hybridMultilevel"/>
    <w:tmpl w:val="A732968E"/>
    <w:lvl w:ilvl="0" w:tplc="96DCE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F3E43"/>
    <w:multiLevelType w:val="hybridMultilevel"/>
    <w:tmpl w:val="A4A02206"/>
    <w:lvl w:ilvl="0" w:tplc="8482FB16">
      <w:start w:val="1"/>
      <w:numFmt w:val="bullet"/>
      <w:lvlText w:val="•"/>
      <w:lvlJc w:val="left"/>
      <w:pPr>
        <w:tabs>
          <w:tab w:val="num" w:pos="720"/>
        </w:tabs>
        <w:ind w:left="720" w:hanging="360"/>
      </w:pPr>
      <w:rPr>
        <w:rFonts w:ascii="Arial" w:hAnsi="Arial" w:hint="default"/>
      </w:rPr>
    </w:lvl>
    <w:lvl w:ilvl="1" w:tplc="428EC1B6" w:tentative="1">
      <w:start w:val="1"/>
      <w:numFmt w:val="bullet"/>
      <w:lvlText w:val="•"/>
      <w:lvlJc w:val="left"/>
      <w:pPr>
        <w:tabs>
          <w:tab w:val="num" w:pos="1440"/>
        </w:tabs>
        <w:ind w:left="1440" w:hanging="360"/>
      </w:pPr>
      <w:rPr>
        <w:rFonts w:ascii="Arial" w:hAnsi="Arial" w:hint="default"/>
      </w:rPr>
    </w:lvl>
    <w:lvl w:ilvl="2" w:tplc="171E3472" w:tentative="1">
      <w:start w:val="1"/>
      <w:numFmt w:val="bullet"/>
      <w:lvlText w:val="•"/>
      <w:lvlJc w:val="left"/>
      <w:pPr>
        <w:tabs>
          <w:tab w:val="num" w:pos="2160"/>
        </w:tabs>
        <w:ind w:left="2160" w:hanging="360"/>
      </w:pPr>
      <w:rPr>
        <w:rFonts w:ascii="Arial" w:hAnsi="Arial" w:hint="default"/>
      </w:rPr>
    </w:lvl>
    <w:lvl w:ilvl="3" w:tplc="5622EA7E" w:tentative="1">
      <w:start w:val="1"/>
      <w:numFmt w:val="bullet"/>
      <w:lvlText w:val="•"/>
      <w:lvlJc w:val="left"/>
      <w:pPr>
        <w:tabs>
          <w:tab w:val="num" w:pos="2880"/>
        </w:tabs>
        <w:ind w:left="2880" w:hanging="360"/>
      </w:pPr>
      <w:rPr>
        <w:rFonts w:ascii="Arial" w:hAnsi="Arial" w:hint="default"/>
      </w:rPr>
    </w:lvl>
    <w:lvl w:ilvl="4" w:tplc="A23C46A6" w:tentative="1">
      <w:start w:val="1"/>
      <w:numFmt w:val="bullet"/>
      <w:lvlText w:val="•"/>
      <w:lvlJc w:val="left"/>
      <w:pPr>
        <w:tabs>
          <w:tab w:val="num" w:pos="3600"/>
        </w:tabs>
        <w:ind w:left="3600" w:hanging="360"/>
      </w:pPr>
      <w:rPr>
        <w:rFonts w:ascii="Arial" w:hAnsi="Arial" w:hint="default"/>
      </w:rPr>
    </w:lvl>
    <w:lvl w:ilvl="5" w:tplc="A620874A" w:tentative="1">
      <w:start w:val="1"/>
      <w:numFmt w:val="bullet"/>
      <w:lvlText w:val="•"/>
      <w:lvlJc w:val="left"/>
      <w:pPr>
        <w:tabs>
          <w:tab w:val="num" w:pos="4320"/>
        </w:tabs>
        <w:ind w:left="4320" w:hanging="360"/>
      </w:pPr>
      <w:rPr>
        <w:rFonts w:ascii="Arial" w:hAnsi="Arial" w:hint="default"/>
      </w:rPr>
    </w:lvl>
    <w:lvl w:ilvl="6" w:tplc="ABC4E9F4" w:tentative="1">
      <w:start w:val="1"/>
      <w:numFmt w:val="bullet"/>
      <w:lvlText w:val="•"/>
      <w:lvlJc w:val="left"/>
      <w:pPr>
        <w:tabs>
          <w:tab w:val="num" w:pos="5040"/>
        </w:tabs>
        <w:ind w:left="5040" w:hanging="360"/>
      </w:pPr>
      <w:rPr>
        <w:rFonts w:ascii="Arial" w:hAnsi="Arial" w:hint="default"/>
      </w:rPr>
    </w:lvl>
    <w:lvl w:ilvl="7" w:tplc="EEB405EC" w:tentative="1">
      <w:start w:val="1"/>
      <w:numFmt w:val="bullet"/>
      <w:lvlText w:val="•"/>
      <w:lvlJc w:val="left"/>
      <w:pPr>
        <w:tabs>
          <w:tab w:val="num" w:pos="5760"/>
        </w:tabs>
        <w:ind w:left="5760" w:hanging="360"/>
      </w:pPr>
      <w:rPr>
        <w:rFonts w:ascii="Arial" w:hAnsi="Arial" w:hint="default"/>
      </w:rPr>
    </w:lvl>
    <w:lvl w:ilvl="8" w:tplc="74ECF4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730474"/>
    <w:multiLevelType w:val="hybridMultilevel"/>
    <w:tmpl w:val="EAF68212"/>
    <w:lvl w:ilvl="0" w:tplc="8E302E18">
      <w:start w:val="1"/>
      <w:numFmt w:val="bullet"/>
      <w:lvlText w:val="•"/>
      <w:lvlJc w:val="left"/>
      <w:pPr>
        <w:tabs>
          <w:tab w:val="num" w:pos="720"/>
        </w:tabs>
        <w:ind w:left="720" w:hanging="360"/>
      </w:pPr>
      <w:rPr>
        <w:rFonts w:ascii="Arial" w:hAnsi="Arial" w:hint="default"/>
      </w:rPr>
    </w:lvl>
    <w:lvl w:ilvl="1" w:tplc="A8CC3920" w:tentative="1">
      <w:start w:val="1"/>
      <w:numFmt w:val="bullet"/>
      <w:lvlText w:val="•"/>
      <w:lvlJc w:val="left"/>
      <w:pPr>
        <w:tabs>
          <w:tab w:val="num" w:pos="1440"/>
        </w:tabs>
        <w:ind w:left="1440" w:hanging="360"/>
      </w:pPr>
      <w:rPr>
        <w:rFonts w:ascii="Arial" w:hAnsi="Arial" w:hint="default"/>
      </w:rPr>
    </w:lvl>
    <w:lvl w:ilvl="2" w:tplc="F3A80830" w:tentative="1">
      <w:start w:val="1"/>
      <w:numFmt w:val="bullet"/>
      <w:lvlText w:val="•"/>
      <w:lvlJc w:val="left"/>
      <w:pPr>
        <w:tabs>
          <w:tab w:val="num" w:pos="2160"/>
        </w:tabs>
        <w:ind w:left="2160" w:hanging="360"/>
      </w:pPr>
      <w:rPr>
        <w:rFonts w:ascii="Arial" w:hAnsi="Arial" w:hint="default"/>
      </w:rPr>
    </w:lvl>
    <w:lvl w:ilvl="3" w:tplc="9926BC30" w:tentative="1">
      <w:start w:val="1"/>
      <w:numFmt w:val="bullet"/>
      <w:lvlText w:val="•"/>
      <w:lvlJc w:val="left"/>
      <w:pPr>
        <w:tabs>
          <w:tab w:val="num" w:pos="2880"/>
        </w:tabs>
        <w:ind w:left="2880" w:hanging="360"/>
      </w:pPr>
      <w:rPr>
        <w:rFonts w:ascii="Arial" w:hAnsi="Arial" w:hint="default"/>
      </w:rPr>
    </w:lvl>
    <w:lvl w:ilvl="4" w:tplc="F59E3FBC" w:tentative="1">
      <w:start w:val="1"/>
      <w:numFmt w:val="bullet"/>
      <w:lvlText w:val="•"/>
      <w:lvlJc w:val="left"/>
      <w:pPr>
        <w:tabs>
          <w:tab w:val="num" w:pos="3600"/>
        </w:tabs>
        <w:ind w:left="3600" w:hanging="360"/>
      </w:pPr>
      <w:rPr>
        <w:rFonts w:ascii="Arial" w:hAnsi="Arial" w:hint="default"/>
      </w:rPr>
    </w:lvl>
    <w:lvl w:ilvl="5" w:tplc="85FEFFD0" w:tentative="1">
      <w:start w:val="1"/>
      <w:numFmt w:val="bullet"/>
      <w:lvlText w:val="•"/>
      <w:lvlJc w:val="left"/>
      <w:pPr>
        <w:tabs>
          <w:tab w:val="num" w:pos="4320"/>
        </w:tabs>
        <w:ind w:left="4320" w:hanging="360"/>
      </w:pPr>
      <w:rPr>
        <w:rFonts w:ascii="Arial" w:hAnsi="Arial" w:hint="default"/>
      </w:rPr>
    </w:lvl>
    <w:lvl w:ilvl="6" w:tplc="635883A0" w:tentative="1">
      <w:start w:val="1"/>
      <w:numFmt w:val="bullet"/>
      <w:lvlText w:val="•"/>
      <w:lvlJc w:val="left"/>
      <w:pPr>
        <w:tabs>
          <w:tab w:val="num" w:pos="5040"/>
        </w:tabs>
        <w:ind w:left="5040" w:hanging="360"/>
      </w:pPr>
      <w:rPr>
        <w:rFonts w:ascii="Arial" w:hAnsi="Arial" w:hint="default"/>
      </w:rPr>
    </w:lvl>
    <w:lvl w:ilvl="7" w:tplc="F9BE928E" w:tentative="1">
      <w:start w:val="1"/>
      <w:numFmt w:val="bullet"/>
      <w:lvlText w:val="•"/>
      <w:lvlJc w:val="left"/>
      <w:pPr>
        <w:tabs>
          <w:tab w:val="num" w:pos="5760"/>
        </w:tabs>
        <w:ind w:left="5760" w:hanging="360"/>
      </w:pPr>
      <w:rPr>
        <w:rFonts w:ascii="Arial" w:hAnsi="Arial" w:hint="default"/>
      </w:rPr>
    </w:lvl>
    <w:lvl w:ilvl="8" w:tplc="E51E37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E17DD5"/>
    <w:multiLevelType w:val="hybridMultilevel"/>
    <w:tmpl w:val="7442AAB8"/>
    <w:lvl w:ilvl="0" w:tplc="FB00D098">
      <w:start w:val="1"/>
      <w:numFmt w:val="bullet"/>
      <w:lvlText w:val="•"/>
      <w:lvlJc w:val="left"/>
      <w:pPr>
        <w:tabs>
          <w:tab w:val="num" w:pos="720"/>
        </w:tabs>
        <w:ind w:left="720" w:hanging="360"/>
      </w:pPr>
      <w:rPr>
        <w:rFonts w:ascii="Arial" w:hAnsi="Arial" w:hint="default"/>
      </w:rPr>
    </w:lvl>
    <w:lvl w:ilvl="1" w:tplc="CFFA2482" w:tentative="1">
      <w:start w:val="1"/>
      <w:numFmt w:val="bullet"/>
      <w:lvlText w:val="•"/>
      <w:lvlJc w:val="left"/>
      <w:pPr>
        <w:tabs>
          <w:tab w:val="num" w:pos="1440"/>
        </w:tabs>
        <w:ind w:left="1440" w:hanging="360"/>
      </w:pPr>
      <w:rPr>
        <w:rFonts w:ascii="Arial" w:hAnsi="Arial" w:hint="default"/>
      </w:rPr>
    </w:lvl>
    <w:lvl w:ilvl="2" w:tplc="1BDAFF32" w:tentative="1">
      <w:start w:val="1"/>
      <w:numFmt w:val="bullet"/>
      <w:lvlText w:val="•"/>
      <w:lvlJc w:val="left"/>
      <w:pPr>
        <w:tabs>
          <w:tab w:val="num" w:pos="2160"/>
        </w:tabs>
        <w:ind w:left="2160" w:hanging="360"/>
      </w:pPr>
      <w:rPr>
        <w:rFonts w:ascii="Arial" w:hAnsi="Arial" w:hint="default"/>
      </w:rPr>
    </w:lvl>
    <w:lvl w:ilvl="3" w:tplc="C5B8A104" w:tentative="1">
      <w:start w:val="1"/>
      <w:numFmt w:val="bullet"/>
      <w:lvlText w:val="•"/>
      <w:lvlJc w:val="left"/>
      <w:pPr>
        <w:tabs>
          <w:tab w:val="num" w:pos="2880"/>
        </w:tabs>
        <w:ind w:left="2880" w:hanging="360"/>
      </w:pPr>
      <w:rPr>
        <w:rFonts w:ascii="Arial" w:hAnsi="Arial" w:hint="default"/>
      </w:rPr>
    </w:lvl>
    <w:lvl w:ilvl="4" w:tplc="7DD86706" w:tentative="1">
      <w:start w:val="1"/>
      <w:numFmt w:val="bullet"/>
      <w:lvlText w:val="•"/>
      <w:lvlJc w:val="left"/>
      <w:pPr>
        <w:tabs>
          <w:tab w:val="num" w:pos="3600"/>
        </w:tabs>
        <w:ind w:left="3600" w:hanging="360"/>
      </w:pPr>
      <w:rPr>
        <w:rFonts w:ascii="Arial" w:hAnsi="Arial" w:hint="default"/>
      </w:rPr>
    </w:lvl>
    <w:lvl w:ilvl="5" w:tplc="C5807A30" w:tentative="1">
      <w:start w:val="1"/>
      <w:numFmt w:val="bullet"/>
      <w:lvlText w:val="•"/>
      <w:lvlJc w:val="left"/>
      <w:pPr>
        <w:tabs>
          <w:tab w:val="num" w:pos="4320"/>
        </w:tabs>
        <w:ind w:left="4320" w:hanging="360"/>
      </w:pPr>
      <w:rPr>
        <w:rFonts w:ascii="Arial" w:hAnsi="Arial" w:hint="default"/>
      </w:rPr>
    </w:lvl>
    <w:lvl w:ilvl="6" w:tplc="27207BD4" w:tentative="1">
      <w:start w:val="1"/>
      <w:numFmt w:val="bullet"/>
      <w:lvlText w:val="•"/>
      <w:lvlJc w:val="left"/>
      <w:pPr>
        <w:tabs>
          <w:tab w:val="num" w:pos="5040"/>
        </w:tabs>
        <w:ind w:left="5040" w:hanging="360"/>
      </w:pPr>
      <w:rPr>
        <w:rFonts w:ascii="Arial" w:hAnsi="Arial" w:hint="default"/>
      </w:rPr>
    </w:lvl>
    <w:lvl w:ilvl="7" w:tplc="DDACA584" w:tentative="1">
      <w:start w:val="1"/>
      <w:numFmt w:val="bullet"/>
      <w:lvlText w:val="•"/>
      <w:lvlJc w:val="left"/>
      <w:pPr>
        <w:tabs>
          <w:tab w:val="num" w:pos="5760"/>
        </w:tabs>
        <w:ind w:left="5760" w:hanging="360"/>
      </w:pPr>
      <w:rPr>
        <w:rFonts w:ascii="Arial" w:hAnsi="Arial" w:hint="default"/>
      </w:rPr>
    </w:lvl>
    <w:lvl w:ilvl="8" w:tplc="279296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A2445C"/>
    <w:multiLevelType w:val="hybridMultilevel"/>
    <w:tmpl w:val="7248A8E2"/>
    <w:lvl w:ilvl="0" w:tplc="5BE4B144">
      <w:start w:val="1"/>
      <w:numFmt w:val="bullet"/>
      <w:lvlText w:val="•"/>
      <w:lvlJc w:val="left"/>
      <w:pPr>
        <w:tabs>
          <w:tab w:val="num" w:pos="720"/>
        </w:tabs>
        <w:ind w:left="720" w:hanging="360"/>
      </w:pPr>
      <w:rPr>
        <w:rFonts w:ascii="Arial" w:hAnsi="Arial" w:hint="default"/>
      </w:rPr>
    </w:lvl>
    <w:lvl w:ilvl="1" w:tplc="E9D2E50E" w:tentative="1">
      <w:start w:val="1"/>
      <w:numFmt w:val="bullet"/>
      <w:lvlText w:val="•"/>
      <w:lvlJc w:val="left"/>
      <w:pPr>
        <w:tabs>
          <w:tab w:val="num" w:pos="1440"/>
        </w:tabs>
        <w:ind w:left="1440" w:hanging="360"/>
      </w:pPr>
      <w:rPr>
        <w:rFonts w:ascii="Arial" w:hAnsi="Arial" w:hint="default"/>
      </w:rPr>
    </w:lvl>
    <w:lvl w:ilvl="2" w:tplc="EDD6E450" w:tentative="1">
      <w:start w:val="1"/>
      <w:numFmt w:val="bullet"/>
      <w:lvlText w:val="•"/>
      <w:lvlJc w:val="left"/>
      <w:pPr>
        <w:tabs>
          <w:tab w:val="num" w:pos="2160"/>
        </w:tabs>
        <w:ind w:left="2160" w:hanging="360"/>
      </w:pPr>
      <w:rPr>
        <w:rFonts w:ascii="Arial" w:hAnsi="Arial" w:hint="default"/>
      </w:rPr>
    </w:lvl>
    <w:lvl w:ilvl="3" w:tplc="7EF26F88" w:tentative="1">
      <w:start w:val="1"/>
      <w:numFmt w:val="bullet"/>
      <w:lvlText w:val="•"/>
      <w:lvlJc w:val="left"/>
      <w:pPr>
        <w:tabs>
          <w:tab w:val="num" w:pos="2880"/>
        </w:tabs>
        <w:ind w:left="2880" w:hanging="360"/>
      </w:pPr>
      <w:rPr>
        <w:rFonts w:ascii="Arial" w:hAnsi="Arial" w:hint="default"/>
      </w:rPr>
    </w:lvl>
    <w:lvl w:ilvl="4" w:tplc="2A7E7A16" w:tentative="1">
      <w:start w:val="1"/>
      <w:numFmt w:val="bullet"/>
      <w:lvlText w:val="•"/>
      <w:lvlJc w:val="left"/>
      <w:pPr>
        <w:tabs>
          <w:tab w:val="num" w:pos="3600"/>
        </w:tabs>
        <w:ind w:left="3600" w:hanging="360"/>
      </w:pPr>
      <w:rPr>
        <w:rFonts w:ascii="Arial" w:hAnsi="Arial" w:hint="default"/>
      </w:rPr>
    </w:lvl>
    <w:lvl w:ilvl="5" w:tplc="3C8C2220" w:tentative="1">
      <w:start w:val="1"/>
      <w:numFmt w:val="bullet"/>
      <w:lvlText w:val="•"/>
      <w:lvlJc w:val="left"/>
      <w:pPr>
        <w:tabs>
          <w:tab w:val="num" w:pos="4320"/>
        </w:tabs>
        <w:ind w:left="4320" w:hanging="360"/>
      </w:pPr>
      <w:rPr>
        <w:rFonts w:ascii="Arial" w:hAnsi="Arial" w:hint="default"/>
      </w:rPr>
    </w:lvl>
    <w:lvl w:ilvl="6" w:tplc="7626FC44" w:tentative="1">
      <w:start w:val="1"/>
      <w:numFmt w:val="bullet"/>
      <w:lvlText w:val="•"/>
      <w:lvlJc w:val="left"/>
      <w:pPr>
        <w:tabs>
          <w:tab w:val="num" w:pos="5040"/>
        </w:tabs>
        <w:ind w:left="5040" w:hanging="360"/>
      </w:pPr>
      <w:rPr>
        <w:rFonts w:ascii="Arial" w:hAnsi="Arial" w:hint="default"/>
      </w:rPr>
    </w:lvl>
    <w:lvl w:ilvl="7" w:tplc="884E89D6" w:tentative="1">
      <w:start w:val="1"/>
      <w:numFmt w:val="bullet"/>
      <w:lvlText w:val="•"/>
      <w:lvlJc w:val="left"/>
      <w:pPr>
        <w:tabs>
          <w:tab w:val="num" w:pos="5760"/>
        </w:tabs>
        <w:ind w:left="5760" w:hanging="360"/>
      </w:pPr>
      <w:rPr>
        <w:rFonts w:ascii="Arial" w:hAnsi="Arial" w:hint="default"/>
      </w:rPr>
    </w:lvl>
    <w:lvl w:ilvl="8" w:tplc="6D2E102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8"/>
    <w:rsid w:val="00003B18"/>
    <w:rsid w:val="000150A1"/>
    <w:rsid w:val="000217E1"/>
    <w:rsid w:val="00024CD4"/>
    <w:rsid w:val="00031426"/>
    <w:rsid w:val="00034BA0"/>
    <w:rsid w:val="00034FE5"/>
    <w:rsid w:val="000429BF"/>
    <w:rsid w:val="00054930"/>
    <w:rsid w:val="00056CA0"/>
    <w:rsid w:val="00056D65"/>
    <w:rsid w:val="000574BD"/>
    <w:rsid w:val="000601DD"/>
    <w:rsid w:val="000843D7"/>
    <w:rsid w:val="00091651"/>
    <w:rsid w:val="00094EA8"/>
    <w:rsid w:val="000A06CA"/>
    <w:rsid w:val="000A0FDD"/>
    <w:rsid w:val="000A44EC"/>
    <w:rsid w:val="000C08A3"/>
    <w:rsid w:val="000C4CB8"/>
    <w:rsid w:val="000C578A"/>
    <w:rsid w:val="000D0099"/>
    <w:rsid w:val="000D1832"/>
    <w:rsid w:val="000D1DD1"/>
    <w:rsid w:val="000D232E"/>
    <w:rsid w:val="000E681B"/>
    <w:rsid w:val="000F05AB"/>
    <w:rsid w:val="000F321C"/>
    <w:rsid w:val="00114F8F"/>
    <w:rsid w:val="001154EE"/>
    <w:rsid w:val="001321B7"/>
    <w:rsid w:val="00135FE0"/>
    <w:rsid w:val="00137556"/>
    <w:rsid w:val="00140713"/>
    <w:rsid w:val="00142E86"/>
    <w:rsid w:val="00144DC3"/>
    <w:rsid w:val="0014748A"/>
    <w:rsid w:val="00150A02"/>
    <w:rsid w:val="00155168"/>
    <w:rsid w:val="001611D2"/>
    <w:rsid w:val="00161BC7"/>
    <w:rsid w:val="00164BA3"/>
    <w:rsid w:val="00166B89"/>
    <w:rsid w:val="00177644"/>
    <w:rsid w:val="0018469A"/>
    <w:rsid w:val="00186938"/>
    <w:rsid w:val="00187337"/>
    <w:rsid w:val="00194BE7"/>
    <w:rsid w:val="00197ABB"/>
    <w:rsid w:val="001A45BF"/>
    <w:rsid w:val="001A6178"/>
    <w:rsid w:val="001B201C"/>
    <w:rsid w:val="001C0A9F"/>
    <w:rsid w:val="001C3929"/>
    <w:rsid w:val="001D5585"/>
    <w:rsid w:val="001E2282"/>
    <w:rsid w:val="001E4B80"/>
    <w:rsid w:val="001F000E"/>
    <w:rsid w:val="001F1F11"/>
    <w:rsid w:val="001F36FB"/>
    <w:rsid w:val="00201BA1"/>
    <w:rsid w:val="00207950"/>
    <w:rsid w:val="00211129"/>
    <w:rsid w:val="00212343"/>
    <w:rsid w:val="00212930"/>
    <w:rsid w:val="00213B8B"/>
    <w:rsid w:val="0021770B"/>
    <w:rsid w:val="0022039B"/>
    <w:rsid w:val="00223CC5"/>
    <w:rsid w:val="002336CA"/>
    <w:rsid w:val="0024125C"/>
    <w:rsid w:val="002447B4"/>
    <w:rsid w:val="00244E1F"/>
    <w:rsid w:val="00245FF5"/>
    <w:rsid w:val="00255910"/>
    <w:rsid w:val="00261A9A"/>
    <w:rsid w:val="002800ED"/>
    <w:rsid w:val="002806CC"/>
    <w:rsid w:val="00280C31"/>
    <w:rsid w:val="00284F8D"/>
    <w:rsid w:val="00285B52"/>
    <w:rsid w:val="00294C66"/>
    <w:rsid w:val="002A1BB5"/>
    <w:rsid w:val="002A2C42"/>
    <w:rsid w:val="002A3174"/>
    <w:rsid w:val="002A47B5"/>
    <w:rsid w:val="002B239B"/>
    <w:rsid w:val="002B791F"/>
    <w:rsid w:val="002D5432"/>
    <w:rsid w:val="002D76D1"/>
    <w:rsid w:val="002E46AB"/>
    <w:rsid w:val="002E46B8"/>
    <w:rsid w:val="002F48FE"/>
    <w:rsid w:val="00301171"/>
    <w:rsid w:val="00303C0C"/>
    <w:rsid w:val="00313674"/>
    <w:rsid w:val="00315056"/>
    <w:rsid w:val="00315238"/>
    <w:rsid w:val="003174C7"/>
    <w:rsid w:val="00321D00"/>
    <w:rsid w:val="00324330"/>
    <w:rsid w:val="0033005B"/>
    <w:rsid w:val="003311EB"/>
    <w:rsid w:val="003364A2"/>
    <w:rsid w:val="0033762F"/>
    <w:rsid w:val="00345C24"/>
    <w:rsid w:val="00350101"/>
    <w:rsid w:val="003533A1"/>
    <w:rsid w:val="0035667E"/>
    <w:rsid w:val="003575A4"/>
    <w:rsid w:val="003625EC"/>
    <w:rsid w:val="00366BA2"/>
    <w:rsid w:val="00367498"/>
    <w:rsid w:val="0038004E"/>
    <w:rsid w:val="003818EA"/>
    <w:rsid w:val="0038571D"/>
    <w:rsid w:val="00392972"/>
    <w:rsid w:val="003951D1"/>
    <w:rsid w:val="003A6057"/>
    <w:rsid w:val="003A68EF"/>
    <w:rsid w:val="003A6B41"/>
    <w:rsid w:val="003B6126"/>
    <w:rsid w:val="003B6E58"/>
    <w:rsid w:val="003C2AFE"/>
    <w:rsid w:val="003C73D8"/>
    <w:rsid w:val="003D20A6"/>
    <w:rsid w:val="003D36E4"/>
    <w:rsid w:val="003D5FCE"/>
    <w:rsid w:val="003D6378"/>
    <w:rsid w:val="003D7F60"/>
    <w:rsid w:val="003E08E3"/>
    <w:rsid w:val="003E135F"/>
    <w:rsid w:val="003E6579"/>
    <w:rsid w:val="003F0752"/>
    <w:rsid w:val="003F1B1D"/>
    <w:rsid w:val="003F5CB1"/>
    <w:rsid w:val="00400EA1"/>
    <w:rsid w:val="00417825"/>
    <w:rsid w:val="00421ECD"/>
    <w:rsid w:val="00422B41"/>
    <w:rsid w:val="00424223"/>
    <w:rsid w:val="00430CA6"/>
    <w:rsid w:val="00437CC2"/>
    <w:rsid w:val="00440A00"/>
    <w:rsid w:val="00441681"/>
    <w:rsid w:val="004468C6"/>
    <w:rsid w:val="00451E09"/>
    <w:rsid w:val="00452F4C"/>
    <w:rsid w:val="004537DD"/>
    <w:rsid w:val="00453E71"/>
    <w:rsid w:val="00454880"/>
    <w:rsid w:val="00454D78"/>
    <w:rsid w:val="00461478"/>
    <w:rsid w:val="00461CD2"/>
    <w:rsid w:val="00462712"/>
    <w:rsid w:val="00470174"/>
    <w:rsid w:val="00470B95"/>
    <w:rsid w:val="004762DF"/>
    <w:rsid w:val="00481A51"/>
    <w:rsid w:val="004972C1"/>
    <w:rsid w:val="004B3845"/>
    <w:rsid w:val="004B6358"/>
    <w:rsid w:val="004C17EA"/>
    <w:rsid w:val="004C1977"/>
    <w:rsid w:val="004D1104"/>
    <w:rsid w:val="004D4B4E"/>
    <w:rsid w:val="004D686D"/>
    <w:rsid w:val="004D6D7E"/>
    <w:rsid w:val="004E2199"/>
    <w:rsid w:val="004F0D16"/>
    <w:rsid w:val="005171D2"/>
    <w:rsid w:val="0051778D"/>
    <w:rsid w:val="00522739"/>
    <w:rsid w:val="005302A8"/>
    <w:rsid w:val="00536EEC"/>
    <w:rsid w:val="00540EDA"/>
    <w:rsid w:val="00543E9B"/>
    <w:rsid w:val="00555BA7"/>
    <w:rsid w:val="00562948"/>
    <w:rsid w:val="00562AA4"/>
    <w:rsid w:val="005671EB"/>
    <w:rsid w:val="00567850"/>
    <w:rsid w:val="00570CA8"/>
    <w:rsid w:val="005719D3"/>
    <w:rsid w:val="00573CA0"/>
    <w:rsid w:val="005924DD"/>
    <w:rsid w:val="005976F0"/>
    <w:rsid w:val="005A3F48"/>
    <w:rsid w:val="005A6F18"/>
    <w:rsid w:val="005B21D7"/>
    <w:rsid w:val="005C319C"/>
    <w:rsid w:val="005D03A6"/>
    <w:rsid w:val="005D7C53"/>
    <w:rsid w:val="005E0ABC"/>
    <w:rsid w:val="005E3E8F"/>
    <w:rsid w:val="005E5462"/>
    <w:rsid w:val="005E63F1"/>
    <w:rsid w:val="005E79E6"/>
    <w:rsid w:val="005F0601"/>
    <w:rsid w:val="005F4680"/>
    <w:rsid w:val="0060099F"/>
    <w:rsid w:val="00606891"/>
    <w:rsid w:val="00610E10"/>
    <w:rsid w:val="00614DAB"/>
    <w:rsid w:val="0061624A"/>
    <w:rsid w:val="00616A7D"/>
    <w:rsid w:val="00621E63"/>
    <w:rsid w:val="00622A7F"/>
    <w:rsid w:val="00623A64"/>
    <w:rsid w:val="0062511A"/>
    <w:rsid w:val="00635701"/>
    <w:rsid w:val="0063757B"/>
    <w:rsid w:val="00640C0B"/>
    <w:rsid w:val="0064385D"/>
    <w:rsid w:val="006604E2"/>
    <w:rsid w:val="006608F1"/>
    <w:rsid w:val="00662BD5"/>
    <w:rsid w:val="00662CC7"/>
    <w:rsid w:val="00665103"/>
    <w:rsid w:val="00666F42"/>
    <w:rsid w:val="00671926"/>
    <w:rsid w:val="006749E7"/>
    <w:rsid w:val="006770ED"/>
    <w:rsid w:val="006773C5"/>
    <w:rsid w:val="00683A13"/>
    <w:rsid w:val="00685AA9"/>
    <w:rsid w:val="0068635E"/>
    <w:rsid w:val="00690537"/>
    <w:rsid w:val="006A1B4D"/>
    <w:rsid w:val="006B033E"/>
    <w:rsid w:val="006B1610"/>
    <w:rsid w:val="006B1692"/>
    <w:rsid w:val="006B2776"/>
    <w:rsid w:val="006B34BA"/>
    <w:rsid w:val="006B75CE"/>
    <w:rsid w:val="006C35D5"/>
    <w:rsid w:val="006D1D73"/>
    <w:rsid w:val="006D6063"/>
    <w:rsid w:val="006E312F"/>
    <w:rsid w:val="006E4F30"/>
    <w:rsid w:val="006E6C8E"/>
    <w:rsid w:val="006F0107"/>
    <w:rsid w:val="006F0A6B"/>
    <w:rsid w:val="006F2F3D"/>
    <w:rsid w:val="006F3DEB"/>
    <w:rsid w:val="007213B8"/>
    <w:rsid w:val="007231B8"/>
    <w:rsid w:val="00724797"/>
    <w:rsid w:val="007264B0"/>
    <w:rsid w:val="007275E0"/>
    <w:rsid w:val="0073132D"/>
    <w:rsid w:val="00732A0C"/>
    <w:rsid w:val="00736E24"/>
    <w:rsid w:val="00744928"/>
    <w:rsid w:val="00751827"/>
    <w:rsid w:val="00753422"/>
    <w:rsid w:val="0075786B"/>
    <w:rsid w:val="00762410"/>
    <w:rsid w:val="007657E4"/>
    <w:rsid w:val="00772510"/>
    <w:rsid w:val="0078211E"/>
    <w:rsid w:val="00786266"/>
    <w:rsid w:val="0078646E"/>
    <w:rsid w:val="00787B91"/>
    <w:rsid w:val="00795E21"/>
    <w:rsid w:val="007A0B1D"/>
    <w:rsid w:val="007B202B"/>
    <w:rsid w:val="007B5035"/>
    <w:rsid w:val="007B5FFD"/>
    <w:rsid w:val="007C0090"/>
    <w:rsid w:val="007C2330"/>
    <w:rsid w:val="007D6C21"/>
    <w:rsid w:val="007E08DA"/>
    <w:rsid w:val="007F02AB"/>
    <w:rsid w:val="007F580C"/>
    <w:rsid w:val="00803E25"/>
    <w:rsid w:val="00806B47"/>
    <w:rsid w:val="00807208"/>
    <w:rsid w:val="00810215"/>
    <w:rsid w:val="008119AE"/>
    <w:rsid w:val="00812565"/>
    <w:rsid w:val="00816246"/>
    <w:rsid w:val="00822234"/>
    <w:rsid w:val="0082333F"/>
    <w:rsid w:val="00824BE7"/>
    <w:rsid w:val="008458AC"/>
    <w:rsid w:val="00850DC3"/>
    <w:rsid w:val="00853021"/>
    <w:rsid w:val="0085562A"/>
    <w:rsid w:val="00860798"/>
    <w:rsid w:val="00872367"/>
    <w:rsid w:val="008749C5"/>
    <w:rsid w:val="00876FD1"/>
    <w:rsid w:val="00877A74"/>
    <w:rsid w:val="0088570C"/>
    <w:rsid w:val="0089129F"/>
    <w:rsid w:val="008A0BCC"/>
    <w:rsid w:val="008A2F6E"/>
    <w:rsid w:val="008A2F7D"/>
    <w:rsid w:val="008A72B6"/>
    <w:rsid w:val="008C08FD"/>
    <w:rsid w:val="008C1E2A"/>
    <w:rsid w:val="008C1F27"/>
    <w:rsid w:val="008D1031"/>
    <w:rsid w:val="008D1B83"/>
    <w:rsid w:val="008D2BAB"/>
    <w:rsid w:val="008D363E"/>
    <w:rsid w:val="008E247A"/>
    <w:rsid w:val="008E3307"/>
    <w:rsid w:val="008E347C"/>
    <w:rsid w:val="008F0666"/>
    <w:rsid w:val="008F104B"/>
    <w:rsid w:val="008F4672"/>
    <w:rsid w:val="008F5D8B"/>
    <w:rsid w:val="009041D7"/>
    <w:rsid w:val="009049D8"/>
    <w:rsid w:val="00906BBC"/>
    <w:rsid w:val="00912B07"/>
    <w:rsid w:val="009136BE"/>
    <w:rsid w:val="0091446F"/>
    <w:rsid w:val="00917DF7"/>
    <w:rsid w:val="00937312"/>
    <w:rsid w:val="00940E87"/>
    <w:rsid w:val="009431AC"/>
    <w:rsid w:val="00944A62"/>
    <w:rsid w:val="00956D76"/>
    <w:rsid w:val="00961352"/>
    <w:rsid w:val="00967C4F"/>
    <w:rsid w:val="0097550C"/>
    <w:rsid w:val="009806DE"/>
    <w:rsid w:val="00981D57"/>
    <w:rsid w:val="00985A70"/>
    <w:rsid w:val="009920C5"/>
    <w:rsid w:val="0099388F"/>
    <w:rsid w:val="009A018B"/>
    <w:rsid w:val="009A0F02"/>
    <w:rsid w:val="009B6567"/>
    <w:rsid w:val="009C34BD"/>
    <w:rsid w:val="009D281C"/>
    <w:rsid w:val="009D46E9"/>
    <w:rsid w:val="009E6EEE"/>
    <w:rsid w:val="009F6527"/>
    <w:rsid w:val="00A00429"/>
    <w:rsid w:val="00A0747A"/>
    <w:rsid w:val="00A22A6C"/>
    <w:rsid w:val="00A34180"/>
    <w:rsid w:val="00A35B1E"/>
    <w:rsid w:val="00A46B2D"/>
    <w:rsid w:val="00A52843"/>
    <w:rsid w:val="00A6161C"/>
    <w:rsid w:val="00A71AE3"/>
    <w:rsid w:val="00A72927"/>
    <w:rsid w:val="00A91C6D"/>
    <w:rsid w:val="00AA2D52"/>
    <w:rsid w:val="00AA376D"/>
    <w:rsid w:val="00AB0B66"/>
    <w:rsid w:val="00AB3BE5"/>
    <w:rsid w:val="00AB7B18"/>
    <w:rsid w:val="00AB7C19"/>
    <w:rsid w:val="00AC13CA"/>
    <w:rsid w:val="00AC2F25"/>
    <w:rsid w:val="00AC7DEE"/>
    <w:rsid w:val="00AF0836"/>
    <w:rsid w:val="00B05037"/>
    <w:rsid w:val="00B0738F"/>
    <w:rsid w:val="00B141D4"/>
    <w:rsid w:val="00B169ED"/>
    <w:rsid w:val="00B16AE3"/>
    <w:rsid w:val="00B20FC2"/>
    <w:rsid w:val="00B30ABB"/>
    <w:rsid w:val="00B310B4"/>
    <w:rsid w:val="00B34088"/>
    <w:rsid w:val="00B43110"/>
    <w:rsid w:val="00B55E66"/>
    <w:rsid w:val="00B70145"/>
    <w:rsid w:val="00B731B4"/>
    <w:rsid w:val="00B74185"/>
    <w:rsid w:val="00B969B2"/>
    <w:rsid w:val="00BA14AC"/>
    <w:rsid w:val="00BA3B16"/>
    <w:rsid w:val="00BA56BE"/>
    <w:rsid w:val="00BA7EBC"/>
    <w:rsid w:val="00BB00BC"/>
    <w:rsid w:val="00BB0CBE"/>
    <w:rsid w:val="00BB2A93"/>
    <w:rsid w:val="00BB2D40"/>
    <w:rsid w:val="00BB53CD"/>
    <w:rsid w:val="00BC1138"/>
    <w:rsid w:val="00BD0AEF"/>
    <w:rsid w:val="00BD34F5"/>
    <w:rsid w:val="00BE17C9"/>
    <w:rsid w:val="00BF4A9B"/>
    <w:rsid w:val="00BF6A94"/>
    <w:rsid w:val="00C14C4A"/>
    <w:rsid w:val="00C227D3"/>
    <w:rsid w:val="00C3506F"/>
    <w:rsid w:val="00C427CA"/>
    <w:rsid w:val="00C4511C"/>
    <w:rsid w:val="00C47977"/>
    <w:rsid w:val="00C47DFE"/>
    <w:rsid w:val="00C55F11"/>
    <w:rsid w:val="00C5651C"/>
    <w:rsid w:val="00C56A1F"/>
    <w:rsid w:val="00C703A0"/>
    <w:rsid w:val="00C7117E"/>
    <w:rsid w:val="00C72645"/>
    <w:rsid w:val="00C76AD9"/>
    <w:rsid w:val="00C76FF7"/>
    <w:rsid w:val="00C849BA"/>
    <w:rsid w:val="00C85DD4"/>
    <w:rsid w:val="00C91671"/>
    <w:rsid w:val="00C92FBF"/>
    <w:rsid w:val="00C9472C"/>
    <w:rsid w:val="00C94991"/>
    <w:rsid w:val="00C94F9F"/>
    <w:rsid w:val="00CA38BF"/>
    <w:rsid w:val="00CA6AA0"/>
    <w:rsid w:val="00CA6C33"/>
    <w:rsid w:val="00CA7366"/>
    <w:rsid w:val="00CB0F79"/>
    <w:rsid w:val="00CB6898"/>
    <w:rsid w:val="00CC0935"/>
    <w:rsid w:val="00CD3628"/>
    <w:rsid w:val="00CE3B35"/>
    <w:rsid w:val="00CE3E7F"/>
    <w:rsid w:val="00CE4775"/>
    <w:rsid w:val="00CE61E7"/>
    <w:rsid w:val="00CF00A7"/>
    <w:rsid w:val="00CF01A3"/>
    <w:rsid w:val="00D00BB0"/>
    <w:rsid w:val="00D0214B"/>
    <w:rsid w:val="00D039CE"/>
    <w:rsid w:val="00D04F7F"/>
    <w:rsid w:val="00D0548B"/>
    <w:rsid w:val="00D067E8"/>
    <w:rsid w:val="00D122B9"/>
    <w:rsid w:val="00D2550F"/>
    <w:rsid w:val="00D35558"/>
    <w:rsid w:val="00D37968"/>
    <w:rsid w:val="00D41BE1"/>
    <w:rsid w:val="00D547FB"/>
    <w:rsid w:val="00D60BD6"/>
    <w:rsid w:val="00D613B8"/>
    <w:rsid w:val="00D61574"/>
    <w:rsid w:val="00D6430C"/>
    <w:rsid w:val="00D65CA9"/>
    <w:rsid w:val="00D7119B"/>
    <w:rsid w:val="00D73442"/>
    <w:rsid w:val="00D809D0"/>
    <w:rsid w:val="00D81222"/>
    <w:rsid w:val="00D862F7"/>
    <w:rsid w:val="00D865BD"/>
    <w:rsid w:val="00D959B8"/>
    <w:rsid w:val="00D96AD0"/>
    <w:rsid w:val="00DA2ED6"/>
    <w:rsid w:val="00DA6013"/>
    <w:rsid w:val="00DA75F3"/>
    <w:rsid w:val="00DB23E9"/>
    <w:rsid w:val="00DB7E46"/>
    <w:rsid w:val="00DC1359"/>
    <w:rsid w:val="00DC3346"/>
    <w:rsid w:val="00DC5D75"/>
    <w:rsid w:val="00DD1CBC"/>
    <w:rsid w:val="00DD7A0F"/>
    <w:rsid w:val="00DE11B0"/>
    <w:rsid w:val="00DE4D65"/>
    <w:rsid w:val="00DE64EE"/>
    <w:rsid w:val="00DF1D27"/>
    <w:rsid w:val="00E01175"/>
    <w:rsid w:val="00E055A2"/>
    <w:rsid w:val="00E12758"/>
    <w:rsid w:val="00E15971"/>
    <w:rsid w:val="00E16F68"/>
    <w:rsid w:val="00E2458E"/>
    <w:rsid w:val="00E2509F"/>
    <w:rsid w:val="00E34909"/>
    <w:rsid w:val="00E5064A"/>
    <w:rsid w:val="00E558B2"/>
    <w:rsid w:val="00E6393D"/>
    <w:rsid w:val="00E64462"/>
    <w:rsid w:val="00E8011A"/>
    <w:rsid w:val="00E86DC0"/>
    <w:rsid w:val="00E93BD0"/>
    <w:rsid w:val="00E9427F"/>
    <w:rsid w:val="00E946A6"/>
    <w:rsid w:val="00E95D17"/>
    <w:rsid w:val="00EA0EB9"/>
    <w:rsid w:val="00EA37C5"/>
    <w:rsid w:val="00EA49B1"/>
    <w:rsid w:val="00EA6616"/>
    <w:rsid w:val="00EB05A6"/>
    <w:rsid w:val="00ED1001"/>
    <w:rsid w:val="00ED1167"/>
    <w:rsid w:val="00ED786E"/>
    <w:rsid w:val="00EE4405"/>
    <w:rsid w:val="00EF0DBC"/>
    <w:rsid w:val="00EF13D5"/>
    <w:rsid w:val="00EF5ECC"/>
    <w:rsid w:val="00F0023B"/>
    <w:rsid w:val="00F15F29"/>
    <w:rsid w:val="00F17D67"/>
    <w:rsid w:val="00F21D66"/>
    <w:rsid w:val="00F23001"/>
    <w:rsid w:val="00F40874"/>
    <w:rsid w:val="00F409BE"/>
    <w:rsid w:val="00F4450D"/>
    <w:rsid w:val="00F45023"/>
    <w:rsid w:val="00F4554D"/>
    <w:rsid w:val="00F501B4"/>
    <w:rsid w:val="00F63104"/>
    <w:rsid w:val="00F634E5"/>
    <w:rsid w:val="00F63891"/>
    <w:rsid w:val="00F643E9"/>
    <w:rsid w:val="00F65182"/>
    <w:rsid w:val="00F755E6"/>
    <w:rsid w:val="00F766FC"/>
    <w:rsid w:val="00F81C5F"/>
    <w:rsid w:val="00F83C6D"/>
    <w:rsid w:val="00F85E43"/>
    <w:rsid w:val="00F86AD4"/>
    <w:rsid w:val="00F901AF"/>
    <w:rsid w:val="00F937DA"/>
    <w:rsid w:val="00FA107A"/>
    <w:rsid w:val="00FA13C5"/>
    <w:rsid w:val="00FA2504"/>
    <w:rsid w:val="00FA6577"/>
    <w:rsid w:val="00FB4B49"/>
    <w:rsid w:val="00FB5BD7"/>
    <w:rsid w:val="00FB7903"/>
    <w:rsid w:val="00FB7FDA"/>
    <w:rsid w:val="00FC6155"/>
    <w:rsid w:val="00FC718A"/>
    <w:rsid w:val="00FD1250"/>
    <w:rsid w:val="00FE13A6"/>
    <w:rsid w:val="00FE3C64"/>
    <w:rsid w:val="00FE662A"/>
    <w:rsid w:val="00FF4A0C"/>
    <w:rsid w:val="00FF706C"/>
  </w:rsids>
  <m:mathPr>
    <m:mathFont m:val="Cambria Math"/>
    <m:brkBin m:val="before"/>
    <m:brkBinSub m:val="--"/>
    <m:smallFrac m:val="0"/>
    <m:dispDef m:val="0"/>
    <m:lMargin m:val="0"/>
    <m:rMargin m:val="0"/>
    <m:defJc m:val="centerGroup"/>
    <m:wrapRight/>
    <m:intLim m:val="subSup"/>
    <m:naryLim m:val="subSup"/>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2DA7"/>
  <w15:docId w15:val="{9B6A6354-85FD-EF4D-9BFF-B4E7EEDE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C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2927"/>
    <w:pPr>
      <w:widowControl w:val="0"/>
      <w:autoSpaceDE w:val="0"/>
      <w:autoSpaceDN w:val="0"/>
      <w:adjustRightInd w:val="0"/>
      <w:spacing w:before="120" w:line="420" w:lineRule="atLeast"/>
      <w:jc w:val="both"/>
    </w:pPr>
    <w:rPr>
      <w:rFonts w:ascii="Times New Roman" w:eastAsia="Times New Roman" w:hAnsi="Times New Roman" w:cs="Times New Roman"/>
    </w:rPr>
  </w:style>
  <w:style w:type="character" w:customStyle="1" w:styleId="TitleChar">
    <w:name w:val="Title Char"/>
    <w:basedOn w:val="DefaultParagraphFont"/>
    <w:link w:val="Title"/>
    <w:rsid w:val="00A72927"/>
    <w:rPr>
      <w:rFonts w:ascii="Times New Roman" w:eastAsia="Times New Roman" w:hAnsi="Times New Roman" w:cs="Times New Roman"/>
    </w:rPr>
  </w:style>
  <w:style w:type="character" w:styleId="Hyperlink">
    <w:name w:val="Hyperlink"/>
    <w:basedOn w:val="DefaultParagraphFont"/>
    <w:uiPriority w:val="99"/>
    <w:semiHidden/>
    <w:unhideWhenUsed/>
    <w:rsid w:val="002447B4"/>
    <w:rPr>
      <w:color w:val="0000FF"/>
      <w:u w:val="single"/>
    </w:rPr>
  </w:style>
  <w:style w:type="paragraph" w:styleId="FootnoteText">
    <w:name w:val="footnote text"/>
    <w:basedOn w:val="Normal"/>
    <w:link w:val="FootnoteTextChar"/>
    <w:uiPriority w:val="99"/>
    <w:unhideWhenUsed/>
    <w:rsid w:val="00762410"/>
    <w:rPr>
      <w:sz w:val="20"/>
      <w:szCs w:val="20"/>
    </w:rPr>
  </w:style>
  <w:style w:type="character" w:customStyle="1" w:styleId="FootnoteTextChar">
    <w:name w:val="Footnote Text Char"/>
    <w:basedOn w:val="DefaultParagraphFont"/>
    <w:link w:val="FootnoteText"/>
    <w:uiPriority w:val="99"/>
    <w:rsid w:val="00762410"/>
    <w:rPr>
      <w:sz w:val="20"/>
      <w:szCs w:val="20"/>
    </w:rPr>
  </w:style>
  <w:style w:type="character" w:styleId="FootnoteReference">
    <w:name w:val="footnote reference"/>
    <w:basedOn w:val="DefaultParagraphFont"/>
    <w:uiPriority w:val="99"/>
    <w:semiHidden/>
    <w:unhideWhenUsed/>
    <w:rsid w:val="00762410"/>
    <w:rPr>
      <w:vertAlign w:val="superscript"/>
    </w:rPr>
  </w:style>
  <w:style w:type="paragraph" w:styleId="Footer">
    <w:name w:val="footer"/>
    <w:basedOn w:val="Normal"/>
    <w:link w:val="FooterChar"/>
    <w:uiPriority w:val="99"/>
    <w:unhideWhenUsed/>
    <w:rsid w:val="00917DF7"/>
    <w:pPr>
      <w:tabs>
        <w:tab w:val="center" w:pos="4680"/>
        <w:tab w:val="right" w:pos="9360"/>
      </w:tabs>
    </w:pPr>
  </w:style>
  <w:style w:type="character" w:customStyle="1" w:styleId="FooterChar">
    <w:name w:val="Footer Char"/>
    <w:basedOn w:val="DefaultParagraphFont"/>
    <w:link w:val="Footer"/>
    <w:uiPriority w:val="99"/>
    <w:rsid w:val="00917DF7"/>
  </w:style>
  <w:style w:type="character" w:styleId="PageNumber">
    <w:name w:val="page number"/>
    <w:basedOn w:val="DefaultParagraphFont"/>
    <w:uiPriority w:val="99"/>
    <w:semiHidden/>
    <w:unhideWhenUsed/>
    <w:rsid w:val="00917DF7"/>
  </w:style>
  <w:style w:type="character" w:styleId="CommentReference">
    <w:name w:val="annotation reference"/>
    <w:basedOn w:val="DefaultParagraphFont"/>
    <w:uiPriority w:val="99"/>
    <w:semiHidden/>
    <w:unhideWhenUsed/>
    <w:rsid w:val="00F85E43"/>
    <w:rPr>
      <w:sz w:val="16"/>
      <w:szCs w:val="16"/>
    </w:rPr>
  </w:style>
  <w:style w:type="paragraph" w:styleId="CommentText">
    <w:name w:val="annotation text"/>
    <w:basedOn w:val="Normal"/>
    <w:link w:val="CommentTextChar"/>
    <w:uiPriority w:val="99"/>
    <w:semiHidden/>
    <w:unhideWhenUsed/>
    <w:rsid w:val="00F85E43"/>
    <w:rPr>
      <w:sz w:val="20"/>
      <w:szCs w:val="20"/>
    </w:rPr>
  </w:style>
  <w:style w:type="character" w:customStyle="1" w:styleId="CommentTextChar">
    <w:name w:val="Comment Text Char"/>
    <w:basedOn w:val="DefaultParagraphFont"/>
    <w:link w:val="CommentText"/>
    <w:uiPriority w:val="99"/>
    <w:semiHidden/>
    <w:rsid w:val="00F85E43"/>
    <w:rPr>
      <w:sz w:val="20"/>
      <w:szCs w:val="20"/>
    </w:rPr>
  </w:style>
  <w:style w:type="paragraph" w:styleId="CommentSubject">
    <w:name w:val="annotation subject"/>
    <w:basedOn w:val="CommentText"/>
    <w:next w:val="CommentText"/>
    <w:link w:val="CommentSubjectChar"/>
    <w:uiPriority w:val="99"/>
    <w:semiHidden/>
    <w:unhideWhenUsed/>
    <w:rsid w:val="00F85E43"/>
    <w:rPr>
      <w:b/>
      <w:bCs/>
    </w:rPr>
  </w:style>
  <w:style w:type="character" w:customStyle="1" w:styleId="CommentSubjectChar">
    <w:name w:val="Comment Subject Char"/>
    <w:basedOn w:val="CommentTextChar"/>
    <w:link w:val="CommentSubject"/>
    <w:uiPriority w:val="99"/>
    <w:semiHidden/>
    <w:rsid w:val="00F85E43"/>
    <w:rPr>
      <w:b/>
      <w:bCs/>
      <w:sz w:val="20"/>
      <w:szCs w:val="20"/>
    </w:rPr>
  </w:style>
  <w:style w:type="paragraph" w:styleId="BalloonText">
    <w:name w:val="Balloon Text"/>
    <w:basedOn w:val="Normal"/>
    <w:link w:val="BalloonTextChar"/>
    <w:uiPriority w:val="99"/>
    <w:semiHidden/>
    <w:unhideWhenUsed/>
    <w:rsid w:val="005629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2948"/>
    <w:rPr>
      <w:rFonts w:ascii="Times New Roman" w:hAnsi="Times New Roman" w:cs="Times New Roman"/>
      <w:sz w:val="18"/>
      <w:szCs w:val="18"/>
    </w:rPr>
  </w:style>
  <w:style w:type="paragraph" w:styleId="Revision">
    <w:name w:val="Revision"/>
    <w:hidden/>
    <w:uiPriority w:val="99"/>
    <w:semiHidden/>
    <w:rsid w:val="00562948"/>
  </w:style>
  <w:style w:type="paragraph" w:styleId="ListParagraph">
    <w:name w:val="List Paragraph"/>
    <w:basedOn w:val="Normal"/>
    <w:uiPriority w:val="34"/>
    <w:qFormat/>
    <w:rsid w:val="0073132D"/>
    <w:pPr>
      <w:ind w:left="720"/>
      <w:contextualSpacing/>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77">
      <w:bodyDiv w:val="1"/>
      <w:marLeft w:val="0"/>
      <w:marRight w:val="0"/>
      <w:marTop w:val="0"/>
      <w:marBottom w:val="0"/>
      <w:divBdr>
        <w:top w:val="none" w:sz="0" w:space="0" w:color="auto"/>
        <w:left w:val="none" w:sz="0" w:space="0" w:color="auto"/>
        <w:bottom w:val="none" w:sz="0" w:space="0" w:color="auto"/>
        <w:right w:val="none" w:sz="0" w:space="0" w:color="auto"/>
      </w:divBdr>
      <w:divsChild>
        <w:div w:id="2059670960">
          <w:marLeft w:val="360"/>
          <w:marRight w:val="0"/>
          <w:marTop w:val="200"/>
          <w:marBottom w:val="0"/>
          <w:divBdr>
            <w:top w:val="none" w:sz="0" w:space="0" w:color="auto"/>
            <w:left w:val="none" w:sz="0" w:space="0" w:color="auto"/>
            <w:bottom w:val="none" w:sz="0" w:space="0" w:color="auto"/>
            <w:right w:val="none" w:sz="0" w:space="0" w:color="auto"/>
          </w:divBdr>
        </w:div>
      </w:divsChild>
    </w:div>
    <w:div w:id="106775783">
      <w:bodyDiv w:val="1"/>
      <w:marLeft w:val="0"/>
      <w:marRight w:val="0"/>
      <w:marTop w:val="0"/>
      <w:marBottom w:val="0"/>
      <w:divBdr>
        <w:top w:val="none" w:sz="0" w:space="0" w:color="auto"/>
        <w:left w:val="none" w:sz="0" w:space="0" w:color="auto"/>
        <w:bottom w:val="none" w:sz="0" w:space="0" w:color="auto"/>
        <w:right w:val="none" w:sz="0" w:space="0" w:color="auto"/>
      </w:divBdr>
    </w:div>
    <w:div w:id="323972738">
      <w:bodyDiv w:val="1"/>
      <w:marLeft w:val="0"/>
      <w:marRight w:val="0"/>
      <w:marTop w:val="0"/>
      <w:marBottom w:val="0"/>
      <w:divBdr>
        <w:top w:val="none" w:sz="0" w:space="0" w:color="auto"/>
        <w:left w:val="none" w:sz="0" w:space="0" w:color="auto"/>
        <w:bottom w:val="none" w:sz="0" w:space="0" w:color="auto"/>
        <w:right w:val="none" w:sz="0" w:space="0" w:color="auto"/>
      </w:divBdr>
      <w:divsChild>
        <w:div w:id="1255286810">
          <w:marLeft w:val="360"/>
          <w:marRight w:val="0"/>
          <w:marTop w:val="200"/>
          <w:marBottom w:val="0"/>
          <w:divBdr>
            <w:top w:val="none" w:sz="0" w:space="0" w:color="auto"/>
            <w:left w:val="none" w:sz="0" w:space="0" w:color="auto"/>
            <w:bottom w:val="none" w:sz="0" w:space="0" w:color="auto"/>
            <w:right w:val="none" w:sz="0" w:space="0" w:color="auto"/>
          </w:divBdr>
        </w:div>
      </w:divsChild>
    </w:div>
    <w:div w:id="386152358">
      <w:bodyDiv w:val="1"/>
      <w:marLeft w:val="0"/>
      <w:marRight w:val="0"/>
      <w:marTop w:val="0"/>
      <w:marBottom w:val="0"/>
      <w:divBdr>
        <w:top w:val="none" w:sz="0" w:space="0" w:color="auto"/>
        <w:left w:val="none" w:sz="0" w:space="0" w:color="auto"/>
        <w:bottom w:val="none" w:sz="0" w:space="0" w:color="auto"/>
        <w:right w:val="none" w:sz="0" w:space="0" w:color="auto"/>
      </w:divBdr>
    </w:div>
    <w:div w:id="596401768">
      <w:bodyDiv w:val="1"/>
      <w:marLeft w:val="0"/>
      <w:marRight w:val="0"/>
      <w:marTop w:val="0"/>
      <w:marBottom w:val="0"/>
      <w:divBdr>
        <w:top w:val="none" w:sz="0" w:space="0" w:color="auto"/>
        <w:left w:val="none" w:sz="0" w:space="0" w:color="auto"/>
        <w:bottom w:val="none" w:sz="0" w:space="0" w:color="auto"/>
        <w:right w:val="none" w:sz="0" w:space="0" w:color="auto"/>
      </w:divBdr>
      <w:divsChild>
        <w:div w:id="1044133149">
          <w:marLeft w:val="360"/>
          <w:marRight w:val="0"/>
          <w:marTop w:val="200"/>
          <w:marBottom w:val="0"/>
          <w:divBdr>
            <w:top w:val="none" w:sz="0" w:space="0" w:color="auto"/>
            <w:left w:val="none" w:sz="0" w:space="0" w:color="auto"/>
            <w:bottom w:val="none" w:sz="0" w:space="0" w:color="auto"/>
            <w:right w:val="none" w:sz="0" w:space="0" w:color="auto"/>
          </w:divBdr>
        </w:div>
      </w:divsChild>
    </w:div>
    <w:div w:id="717702038">
      <w:bodyDiv w:val="1"/>
      <w:marLeft w:val="0"/>
      <w:marRight w:val="0"/>
      <w:marTop w:val="0"/>
      <w:marBottom w:val="0"/>
      <w:divBdr>
        <w:top w:val="none" w:sz="0" w:space="0" w:color="auto"/>
        <w:left w:val="none" w:sz="0" w:space="0" w:color="auto"/>
        <w:bottom w:val="none" w:sz="0" w:space="0" w:color="auto"/>
        <w:right w:val="none" w:sz="0" w:space="0" w:color="auto"/>
      </w:divBdr>
    </w:div>
    <w:div w:id="1082750934">
      <w:bodyDiv w:val="1"/>
      <w:marLeft w:val="0"/>
      <w:marRight w:val="0"/>
      <w:marTop w:val="0"/>
      <w:marBottom w:val="0"/>
      <w:divBdr>
        <w:top w:val="none" w:sz="0" w:space="0" w:color="auto"/>
        <w:left w:val="none" w:sz="0" w:space="0" w:color="auto"/>
        <w:bottom w:val="none" w:sz="0" w:space="0" w:color="auto"/>
        <w:right w:val="none" w:sz="0" w:space="0" w:color="auto"/>
      </w:divBdr>
    </w:div>
    <w:div w:id="1140804805">
      <w:bodyDiv w:val="1"/>
      <w:marLeft w:val="0"/>
      <w:marRight w:val="0"/>
      <w:marTop w:val="0"/>
      <w:marBottom w:val="0"/>
      <w:divBdr>
        <w:top w:val="none" w:sz="0" w:space="0" w:color="auto"/>
        <w:left w:val="none" w:sz="0" w:space="0" w:color="auto"/>
        <w:bottom w:val="none" w:sz="0" w:space="0" w:color="auto"/>
        <w:right w:val="none" w:sz="0" w:space="0" w:color="auto"/>
      </w:divBdr>
    </w:div>
    <w:div w:id="1180200800">
      <w:bodyDiv w:val="1"/>
      <w:marLeft w:val="0"/>
      <w:marRight w:val="0"/>
      <w:marTop w:val="0"/>
      <w:marBottom w:val="0"/>
      <w:divBdr>
        <w:top w:val="none" w:sz="0" w:space="0" w:color="auto"/>
        <w:left w:val="none" w:sz="0" w:space="0" w:color="auto"/>
        <w:bottom w:val="none" w:sz="0" w:space="0" w:color="auto"/>
        <w:right w:val="none" w:sz="0" w:space="0" w:color="auto"/>
      </w:divBdr>
    </w:div>
    <w:div w:id="1460107930">
      <w:bodyDiv w:val="1"/>
      <w:marLeft w:val="0"/>
      <w:marRight w:val="0"/>
      <w:marTop w:val="0"/>
      <w:marBottom w:val="0"/>
      <w:divBdr>
        <w:top w:val="none" w:sz="0" w:space="0" w:color="auto"/>
        <w:left w:val="none" w:sz="0" w:space="0" w:color="auto"/>
        <w:bottom w:val="none" w:sz="0" w:space="0" w:color="auto"/>
        <w:right w:val="none" w:sz="0" w:space="0" w:color="auto"/>
      </w:divBdr>
    </w:div>
    <w:div w:id="1575432967">
      <w:bodyDiv w:val="1"/>
      <w:marLeft w:val="0"/>
      <w:marRight w:val="0"/>
      <w:marTop w:val="0"/>
      <w:marBottom w:val="0"/>
      <w:divBdr>
        <w:top w:val="none" w:sz="0" w:space="0" w:color="auto"/>
        <w:left w:val="none" w:sz="0" w:space="0" w:color="auto"/>
        <w:bottom w:val="none" w:sz="0" w:space="0" w:color="auto"/>
        <w:right w:val="none" w:sz="0" w:space="0" w:color="auto"/>
      </w:divBdr>
      <w:divsChild>
        <w:div w:id="1459684267">
          <w:marLeft w:val="360"/>
          <w:marRight w:val="0"/>
          <w:marTop w:val="200"/>
          <w:marBottom w:val="0"/>
          <w:divBdr>
            <w:top w:val="none" w:sz="0" w:space="0" w:color="auto"/>
            <w:left w:val="none" w:sz="0" w:space="0" w:color="auto"/>
            <w:bottom w:val="none" w:sz="0" w:space="0" w:color="auto"/>
            <w:right w:val="none" w:sz="0" w:space="0" w:color="auto"/>
          </w:divBdr>
        </w:div>
        <w:div w:id="431978467">
          <w:marLeft w:val="360"/>
          <w:marRight w:val="0"/>
          <w:marTop w:val="200"/>
          <w:marBottom w:val="0"/>
          <w:divBdr>
            <w:top w:val="none" w:sz="0" w:space="0" w:color="auto"/>
            <w:left w:val="none" w:sz="0" w:space="0" w:color="auto"/>
            <w:bottom w:val="none" w:sz="0" w:space="0" w:color="auto"/>
            <w:right w:val="none" w:sz="0" w:space="0" w:color="auto"/>
          </w:divBdr>
        </w:div>
      </w:divsChild>
    </w:div>
    <w:div w:id="1634481613">
      <w:bodyDiv w:val="1"/>
      <w:marLeft w:val="0"/>
      <w:marRight w:val="0"/>
      <w:marTop w:val="0"/>
      <w:marBottom w:val="0"/>
      <w:divBdr>
        <w:top w:val="none" w:sz="0" w:space="0" w:color="auto"/>
        <w:left w:val="none" w:sz="0" w:space="0" w:color="auto"/>
        <w:bottom w:val="none" w:sz="0" w:space="0" w:color="auto"/>
        <w:right w:val="none" w:sz="0" w:space="0" w:color="auto"/>
      </w:divBdr>
    </w:div>
    <w:div w:id="1838957613">
      <w:bodyDiv w:val="1"/>
      <w:marLeft w:val="0"/>
      <w:marRight w:val="0"/>
      <w:marTop w:val="0"/>
      <w:marBottom w:val="0"/>
      <w:divBdr>
        <w:top w:val="none" w:sz="0" w:space="0" w:color="auto"/>
        <w:left w:val="none" w:sz="0" w:space="0" w:color="auto"/>
        <w:bottom w:val="none" w:sz="0" w:space="0" w:color="auto"/>
        <w:right w:val="none" w:sz="0" w:space="0" w:color="auto"/>
      </w:divBdr>
    </w:div>
    <w:div w:id="2097284257">
      <w:bodyDiv w:val="1"/>
      <w:marLeft w:val="0"/>
      <w:marRight w:val="0"/>
      <w:marTop w:val="0"/>
      <w:marBottom w:val="0"/>
      <w:divBdr>
        <w:top w:val="none" w:sz="0" w:space="0" w:color="auto"/>
        <w:left w:val="none" w:sz="0" w:space="0" w:color="auto"/>
        <w:bottom w:val="none" w:sz="0" w:space="0" w:color="auto"/>
        <w:right w:val="none" w:sz="0" w:space="0" w:color="auto"/>
      </w:divBdr>
      <w:divsChild>
        <w:div w:id="751513997">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027FD253380428314A859106AE5E7" ma:contentTypeVersion="11" ma:contentTypeDescription="Create a new document." ma:contentTypeScope="" ma:versionID="2d7d540d1126a0cb57056822daba3ecf">
  <xsd:schema xmlns:xsd="http://www.w3.org/2001/XMLSchema" xmlns:xs="http://www.w3.org/2001/XMLSchema" xmlns:p="http://schemas.microsoft.com/office/2006/metadata/properties" xmlns:ns3="6aa14a02-b2ba-4aa5-a092-adef967c5019" targetNamespace="http://schemas.microsoft.com/office/2006/metadata/properties" ma:root="true" ma:fieldsID="254ae53738d134b25820cab109895e10" ns3:_="">
    <xsd:import namespace="6aa14a02-b2ba-4aa5-a092-adef967c5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4a02-b2ba-4aa5-a092-adef967c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5697-6C22-4FEB-8C0F-606DEBA30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DAB290-7F36-4168-A720-D9C13819C14C}">
  <ds:schemaRefs>
    <ds:schemaRef ds:uri="http://schemas.microsoft.com/sharepoint/v3/contenttype/forms"/>
  </ds:schemaRefs>
</ds:datastoreItem>
</file>

<file path=customXml/itemProps3.xml><?xml version="1.0" encoding="utf-8"?>
<ds:datastoreItem xmlns:ds="http://schemas.openxmlformats.org/officeDocument/2006/customXml" ds:itemID="{59A37253-6AFC-4B45-9DDF-28BCF3CF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14a02-b2ba-4aa5-a092-adef967c5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B2592-7007-854E-822F-2DB54B0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cp:lastModifiedBy>Yitzhak Melamed</cp:lastModifiedBy>
  <cp:revision>4</cp:revision>
  <cp:lastPrinted>2022-04-03T15:46:00Z</cp:lastPrinted>
  <dcterms:created xsi:type="dcterms:W3CDTF">2022-04-05T23:16:00Z</dcterms:created>
  <dcterms:modified xsi:type="dcterms:W3CDTF">2022-04-10T17:59:00Z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0x0101004E2027FD253380428314A859106AE5E7</vt:lpwstr>
  </property>
</Properties>
</file>