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3B1" w:rsidRDefault="00156B85">
      <w:r>
        <w:rPr>
          <w:i/>
        </w:rPr>
        <w:t xml:space="preserve">Philosophy Now </w:t>
      </w:r>
      <w:r>
        <w:t xml:space="preserve">review </w:t>
      </w:r>
    </w:p>
    <w:p w:rsidR="000B27A9" w:rsidRDefault="000B27A9"/>
    <w:p w:rsidR="000B27A9" w:rsidRPr="00C40F5D" w:rsidRDefault="000B27A9" w:rsidP="00BA50CF">
      <w:pPr>
        <w:rPr>
          <w:sz w:val="34"/>
        </w:rPr>
      </w:pPr>
      <w:r w:rsidRPr="00C40F5D">
        <w:rPr>
          <w:i/>
          <w:sz w:val="34"/>
        </w:rPr>
        <w:t>Kant and the Science of Logic: A Historical and Philosophical Reconstruction</w:t>
      </w:r>
      <w:r w:rsidR="00C40F5D" w:rsidRPr="00C40F5D">
        <w:rPr>
          <w:sz w:val="34"/>
        </w:rPr>
        <w:t xml:space="preserve">, by </w:t>
      </w:r>
      <w:proofErr w:type="spellStart"/>
      <w:r w:rsidR="00C40F5D">
        <w:rPr>
          <w:sz w:val="34"/>
        </w:rPr>
        <w:t>Huaping</w:t>
      </w:r>
      <w:proofErr w:type="spellEnd"/>
      <w:r w:rsidR="00C40F5D">
        <w:rPr>
          <w:sz w:val="34"/>
        </w:rPr>
        <w:t xml:space="preserve"> Lu-Adler</w:t>
      </w:r>
      <w:r w:rsidRPr="00C40F5D">
        <w:rPr>
          <w:sz w:val="34"/>
        </w:rPr>
        <w:t xml:space="preserve">  </w:t>
      </w:r>
    </w:p>
    <w:p w:rsidR="00C40F5D" w:rsidRDefault="00C40F5D" w:rsidP="000F6608"/>
    <w:p w:rsidR="00155B87" w:rsidRDefault="000F6608" w:rsidP="000F6608">
      <w:r>
        <w:t xml:space="preserve">It is well known that Immanuel Kant wrote the </w:t>
      </w:r>
      <w:r>
        <w:rPr>
          <w:i/>
        </w:rPr>
        <w:t xml:space="preserve">Critique of Pure Reason </w:t>
      </w:r>
      <w:r>
        <w:t xml:space="preserve">to establish metaphysics as a science.  </w:t>
      </w:r>
      <w:r w:rsidR="00DA4F31">
        <w:t xml:space="preserve">At the outset of the </w:t>
      </w:r>
      <w:r w:rsidR="00DA4F31">
        <w:rPr>
          <w:i/>
        </w:rPr>
        <w:t>Critique</w:t>
      </w:r>
      <w:r w:rsidR="00DA4F31">
        <w:t xml:space="preserve">, Kant considers what this effort might learn from successful examples of scientific inquiry — mentioning logic first of all, which </w:t>
      </w:r>
      <w:r w:rsidR="00B66526">
        <w:t xml:space="preserve">he </w:t>
      </w:r>
      <w:r w:rsidR="00DA4F31">
        <w:t>claims has been a science since the time of Aristotle.  Logic</w:t>
      </w:r>
      <w:r w:rsidR="00A732CA">
        <w:t xml:space="preserve"> </w:t>
      </w:r>
      <w:r w:rsidR="00DA4F31">
        <w:t xml:space="preserve">had a relatively easy time finding the “sure path” of a science, since it deals only with the pure form of thought, abstracting from </w:t>
      </w:r>
      <w:r>
        <w:t>“all objects of knowledge” (</w:t>
      </w:r>
      <w:r w:rsidR="00A732CA">
        <w:rPr>
          <w:i/>
        </w:rPr>
        <w:t>Critique</w:t>
      </w:r>
      <w:r w:rsidR="00A732CA">
        <w:t>,</w:t>
      </w:r>
      <w:r w:rsidR="00A732CA">
        <w:rPr>
          <w:i/>
        </w:rPr>
        <w:t xml:space="preserve"> </w:t>
      </w:r>
      <w:r>
        <w:t xml:space="preserve">Bix).  </w:t>
      </w:r>
      <w:r w:rsidR="00DA4F31">
        <w:t xml:space="preserve">But metaphysics is concerned with matters of fact, and cannot make this abstraction.  </w:t>
      </w:r>
      <w:r w:rsidR="00D52B68">
        <w:t xml:space="preserve">Yet if it is to be a science, its claims about matters of fact must nevertheless </w:t>
      </w:r>
      <w:r w:rsidR="00B66526">
        <w:t xml:space="preserve">hold of necessity.  </w:t>
      </w:r>
      <w:r w:rsidR="006F398A" w:rsidRPr="006F398A">
        <w:t>Thus</w:t>
      </w:r>
      <w:r w:rsidR="006F398A">
        <w:t xml:space="preserve"> the central question of the </w:t>
      </w:r>
      <w:r w:rsidR="006F398A">
        <w:rPr>
          <w:i/>
        </w:rPr>
        <w:t xml:space="preserve">Critique </w:t>
      </w:r>
      <w:r w:rsidR="006F398A">
        <w:t xml:space="preserve">is: how can we legitimately make such claims?  </w:t>
      </w:r>
      <w:r w:rsidR="001A2393">
        <w:t xml:space="preserve">Or in Kant’s terms: </w:t>
      </w:r>
      <w:r w:rsidR="006F398A">
        <w:t xml:space="preserve">How is synthetic </w:t>
      </w:r>
      <w:r w:rsidR="006F398A">
        <w:rPr>
          <w:i/>
        </w:rPr>
        <w:t xml:space="preserve">a priori </w:t>
      </w:r>
      <w:r w:rsidR="006F398A">
        <w:t xml:space="preserve">judging possible?  </w:t>
      </w:r>
    </w:p>
    <w:p w:rsidR="00155B87" w:rsidRDefault="00155B87" w:rsidP="000F6608"/>
    <w:p w:rsidR="007E5E7E" w:rsidRDefault="00155B87" w:rsidP="007E5E7E">
      <w:r>
        <w:t xml:space="preserve">To answer this question, Kant argues that </w:t>
      </w:r>
      <w:r w:rsidR="00A24D4F">
        <w:t xml:space="preserve">there are fundamental concepts of pure understanding (the categories), which are necessary </w:t>
      </w:r>
      <w:r w:rsidR="00F309A9">
        <w:t>conditions of the possibility of expe</w:t>
      </w:r>
      <w:r>
        <w:t xml:space="preserve">rience.  </w:t>
      </w:r>
      <w:r w:rsidR="00A24D4F">
        <w:t xml:space="preserve">To somewhat oversimplify the idea: </w:t>
      </w:r>
      <w:r w:rsidR="00545B72">
        <w:t xml:space="preserve">the ordinary person’s implicit understanding that every event has a cause, </w:t>
      </w:r>
      <w:r w:rsidR="00B66526">
        <w:t xml:space="preserve">or </w:t>
      </w:r>
      <w:r w:rsidR="00545B72">
        <w:t xml:space="preserve">that matter is neither created nor destroyed, is synthetic </w:t>
      </w:r>
      <w:r w:rsidR="00545B72" w:rsidRPr="009023E8">
        <w:rPr>
          <w:i/>
        </w:rPr>
        <w:t>a priori</w:t>
      </w:r>
      <w:r w:rsidR="00545B72">
        <w:t xml:space="preserve"> knowledge.  Kant derives a system of such principles, which are themselves derived from the categories.  He does this in the aftermath of </w:t>
      </w:r>
      <w:r w:rsidR="00A24D4F">
        <w:t xml:space="preserve">a section of the </w:t>
      </w:r>
      <w:r w:rsidR="00A24D4F">
        <w:rPr>
          <w:i/>
        </w:rPr>
        <w:t xml:space="preserve">Critique </w:t>
      </w:r>
      <w:r w:rsidR="00A24D4F">
        <w:t xml:space="preserve">called </w:t>
      </w:r>
      <w:r w:rsidR="00545B72">
        <w:t xml:space="preserve">the Transcendental Deduction, which establishes our epistemic entitlement to synthetic </w:t>
      </w:r>
      <w:r w:rsidR="009023E8" w:rsidRPr="009023E8">
        <w:rPr>
          <w:i/>
        </w:rPr>
        <w:t>a priori</w:t>
      </w:r>
      <w:r w:rsidR="00545B72">
        <w:t xml:space="preserve"> knowledge through the categories.  Most commentary on the </w:t>
      </w:r>
      <w:r w:rsidR="00545B72">
        <w:rPr>
          <w:i/>
        </w:rPr>
        <w:t xml:space="preserve">Critique </w:t>
      </w:r>
      <w:r w:rsidR="00545B72">
        <w:t xml:space="preserve">focuses </w:t>
      </w:r>
      <w:r w:rsidR="007E5E7E">
        <w:t xml:space="preserve">on the Deduction and what follows from it.  </w:t>
      </w:r>
      <w:proofErr w:type="spellStart"/>
      <w:r w:rsidR="007E5E7E">
        <w:t>Huaping</w:t>
      </w:r>
      <w:proofErr w:type="spellEnd"/>
      <w:r w:rsidR="007E5E7E">
        <w:t xml:space="preserve"> Lu-Adler’s interests in her new book, </w:t>
      </w:r>
      <w:r w:rsidR="007E5E7E">
        <w:rPr>
          <w:i/>
        </w:rPr>
        <w:t>Kant and the Science of Logic</w:t>
      </w:r>
      <w:r w:rsidR="007E5E7E">
        <w:t xml:space="preserve">, lie upstream from </w:t>
      </w:r>
      <w:r w:rsidR="00C935ED">
        <w:t xml:space="preserve">these developments: namely, in </w:t>
      </w:r>
      <w:r w:rsidR="007C4B4B">
        <w:t xml:space="preserve">Kant’s </w:t>
      </w:r>
      <w:r w:rsidR="00C935ED">
        <w:t xml:space="preserve">conception of logic as </w:t>
      </w:r>
      <w:r w:rsidR="007C4B4B">
        <w:t xml:space="preserve">a </w:t>
      </w:r>
      <w:r w:rsidR="007E5E7E">
        <w:t>science</w:t>
      </w:r>
      <w:r w:rsidR="00A24D4F">
        <w:t xml:space="preserve">, and his reliance on logic so conceived to develop that </w:t>
      </w:r>
      <w:r w:rsidR="00B66526">
        <w:t xml:space="preserve">system of principles — </w:t>
      </w:r>
      <w:r w:rsidR="00A24D4F">
        <w:t xml:space="preserve">a </w:t>
      </w:r>
      <w:r w:rsidR="007C4B4B">
        <w:t xml:space="preserve">“transcendental logic” </w:t>
      </w:r>
      <w:r w:rsidR="00B66526">
        <w:t xml:space="preserve">— </w:t>
      </w:r>
      <w:r w:rsidR="00C935ED">
        <w:t xml:space="preserve">by which he </w:t>
      </w:r>
      <w:r w:rsidR="00A24D4F">
        <w:t xml:space="preserve">in turn </w:t>
      </w:r>
      <w:r w:rsidR="00C935ED">
        <w:t xml:space="preserve">aims to establish </w:t>
      </w:r>
      <w:r w:rsidR="007C4B4B">
        <w:t>metaphysics as a science</w:t>
      </w:r>
      <w:r w:rsidR="007E5E7E">
        <w:t xml:space="preserve">.  </w:t>
      </w:r>
    </w:p>
    <w:p w:rsidR="007E5E7E" w:rsidRDefault="007E5E7E" w:rsidP="007E5E7E"/>
    <w:p w:rsidR="00AD1ACA" w:rsidRPr="00AE67D3" w:rsidRDefault="00C935ED" w:rsidP="00345696">
      <w:pPr>
        <w:rPr>
          <w:strike/>
        </w:rPr>
      </w:pPr>
      <w:r>
        <w:t xml:space="preserve">Logic, of course, has not stood still </w:t>
      </w:r>
      <w:r w:rsidR="00B66526">
        <w:t xml:space="preserve">since </w:t>
      </w:r>
      <w:r w:rsidR="000F6608">
        <w:t xml:space="preserve">Aristotle.  </w:t>
      </w:r>
      <w:r w:rsidR="00DD29A6">
        <w:t xml:space="preserve">Lu-Adler’s </w:t>
      </w:r>
      <w:r w:rsidR="008A03AC">
        <w:t xml:space="preserve">examination of its history </w:t>
      </w:r>
      <w:r w:rsidR="00B66526">
        <w:t xml:space="preserve">is illuminating and </w:t>
      </w:r>
      <w:r w:rsidR="0050017E">
        <w:t>reasonably focused for her purposes</w:t>
      </w:r>
      <w:r w:rsidR="00F92FB1">
        <w:t>: with it, she provides an immense service to Kant scholars</w:t>
      </w:r>
      <w:r w:rsidR="0050017E">
        <w:t xml:space="preserve">.  She </w:t>
      </w:r>
      <w:r w:rsidR="008A03AC">
        <w:t xml:space="preserve">traces two distinct approaches to logical inquiry that she contends are not intrinsically incompatible with one another, but nonetheless quite different in spirit, and pursued in somewhat different traditions.  </w:t>
      </w:r>
      <w:r w:rsidR="00EF4297">
        <w:t>One — call it Scientific Logic —</w:t>
      </w:r>
      <w:r w:rsidR="00520FBF">
        <w:t xml:space="preserve"> </w:t>
      </w:r>
      <w:r w:rsidR="00EF4297">
        <w:t xml:space="preserve">is primarily occupied with questions about whether logic is a science of its own, with a distinct subject matter, and </w:t>
      </w:r>
      <w:r w:rsidR="00520FBF">
        <w:t xml:space="preserve">how it relates to </w:t>
      </w:r>
      <w:r w:rsidR="00EF4297">
        <w:t xml:space="preserve">other parts of philosophy.  </w:t>
      </w:r>
      <w:r w:rsidR="00345696">
        <w:t>It has roots in Aristotle, was importantly developed by Aquinas</w:t>
      </w:r>
      <w:r w:rsidR="00BF199F">
        <w:t xml:space="preserve"> and other medieval commentators on Aristotle</w:t>
      </w:r>
      <w:r w:rsidR="00345696">
        <w:t xml:space="preserve">, and taken up by the German rationalist tradition of </w:t>
      </w:r>
      <w:r w:rsidR="00520FBF">
        <w:t xml:space="preserve">G.W. </w:t>
      </w:r>
      <w:r w:rsidR="003F6749">
        <w:t>Leibniz and</w:t>
      </w:r>
      <w:r w:rsidR="00345696">
        <w:t xml:space="preserve"> Christian Wolff. </w:t>
      </w:r>
      <w:r w:rsidR="00EF4297">
        <w:t xml:space="preserve">The other — Lu-Adler calls it Logical Humanism — </w:t>
      </w:r>
      <w:r w:rsidR="00654C17">
        <w:t xml:space="preserve">rejects the pursuit of logic for its own sake, and </w:t>
      </w:r>
      <w:r w:rsidR="009648F5">
        <w:t xml:space="preserve">“places the value of logic in its ability to assist us in coping with our own human limitations and pursuing wisdom” (p. 61).  </w:t>
      </w:r>
      <w:r w:rsidR="00345696">
        <w:t xml:space="preserve">To get a sense of the logical humanist tradition at its most colourful, consider </w:t>
      </w:r>
      <w:r w:rsidR="0050017E">
        <w:t xml:space="preserve">Seneca, the later </w:t>
      </w:r>
      <w:r w:rsidR="00345696">
        <w:t>Roman Stoic who derides the eminence of logic in early Stoicism: “Zeno, of our school, offers the following syllogism: ‘Nothing bad is glorious. But death is glorious.  Therefore death is not bad.’  Now, that was a big help! … Do you mean to make me laugh,</w:t>
      </w:r>
      <w:r w:rsidR="009648F5">
        <w:t xml:space="preserve"> just when I’m about to die?” (Seneca, </w:t>
      </w:r>
      <w:r w:rsidR="009648F5">
        <w:rPr>
          <w:i/>
        </w:rPr>
        <w:t>Letters on Ethics</w:t>
      </w:r>
      <w:r w:rsidR="00FD43FB">
        <w:t xml:space="preserve"> 82.9</w:t>
      </w:r>
      <w:r w:rsidR="009648F5">
        <w:t xml:space="preserve">, University of Chicago Press, 2015).  </w:t>
      </w:r>
      <w:r w:rsidR="00AA1990">
        <w:t>F</w:t>
      </w:r>
      <w:r w:rsidR="009648F5">
        <w:t xml:space="preserve">or Lu-Adler the key </w:t>
      </w:r>
      <w:r w:rsidR="00A24D4F">
        <w:t xml:space="preserve">humanist figure in the modern era is </w:t>
      </w:r>
      <w:r w:rsidR="009648F5">
        <w:t xml:space="preserve">John Locke, </w:t>
      </w:r>
      <w:r w:rsidR="00A24D4F">
        <w:t xml:space="preserve">who arguably had some influence on </w:t>
      </w:r>
      <w:r w:rsidR="00AE67D3">
        <w:t xml:space="preserve">Georg Meier, the author of the 1752 </w:t>
      </w:r>
      <w:r w:rsidR="00AE67D3">
        <w:rPr>
          <w:i/>
        </w:rPr>
        <w:t xml:space="preserve">Excerpt from the </w:t>
      </w:r>
      <w:r w:rsidR="000A3E0D">
        <w:rPr>
          <w:i/>
        </w:rPr>
        <w:t xml:space="preserve">Doctrine of Reason </w:t>
      </w:r>
      <w:r w:rsidR="00AE67D3">
        <w:t xml:space="preserve">that served as the textbook for Kant’s logic lectures for </w:t>
      </w:r>
      <w:r w:rsidR="000A3E0D">
        <w:t xml:space="preserve">some </w:t>
      </w:r>
      <w:r w:rsidR="00AE67D3">
        <w:t>forty years</w:t>
      </w:r>
      <w:r w:rsidR="00AA1990">
        <w:t xml:space="preserve">.  </w:t>
      </w:r>
    </w:p>
    <w:p w:rsidR="00AD1ACA" w:rsidRPr="00AE67D3" w:rsidRDefault="00AD1ACA" w:rsidP="00345696">
      <w:pPr>
        <w:rPr>
          <w:strike/>
        </w:rPr>
      </w:pPr>
    </w:p>
    <w:p w:rsidR="00022A4A" w:rsidRDefault="00F92FB1" w:rsidP="00345696">
      <w:r>
        <w:t xml:space="preserve">Lu-Adler </w:t>
      </w:r>
      <w:r w:rsidR="00AD1ACA">
        <w:t>examines Kant’s relation to both traditions</w:t>
      </w:r>
      <w:r w:rsidR="00022A4A">
        <w:t xml:space="preserve">, </w:t>
      </w:r>
      <w:r w:rsidR="00AD0438">
        <w:t xml:space="preserve">arguing that while </w:t>
      </w:r>
      <w:r w:rsidR="00022A4A">
        <w:t xml:space="preserve">Kant is interested in Scientific Logic for </w:t>
      </w:r>
      <w:r w:rsidR="00AD0438">
        <w:t xml:space="preserve">its role in establishing the </w:t>
      </w:r>
      <w:r w:rsidR="00AD0438" w:rsidRPr="00AD0438">
        <w:rPr>
          <w:i/>
        </w:rPr>
        <w:t>Critique</w:t>
      </w:r>
      <w:r w:rsidR="00AD0438" w:rsidRPr="00264416">
        <w:t>’s</w:t>
      </w:r>
      <w:r w:rsidR="00AD0438" w:rsidRPr="00AD0438">
        <w:rPr>
          <w:i/>
        </w:rPr>
        <w:t xml:space="preserve"> </w:t>
      </w:r>
      <w:r w:rsidR="00AD0438">
        <w:t xml:space="preserve">“transcendental logic”, he </w:t>
      </w:r>
      <w:r w:rsidR="00BA50CF">
        <w:t xml:space="preserve">nevertheless </w:t>
      </w:r>
      <w:r w:rsidR="00022A4A">
        <w:lastRenderedPageBreak/>
        <w:t xml:space="preserve">“pays homage to the humanist and Lockean practices of emphasizing certain ethical dimensions of logic” (p. 6).  </w:t>
      </w:r>
      <w:r w:rsidR="00BA50CF">
        <w:t xml:space="preserve">This is certainly true, and </w:t>
      </w:r>
      <w:r w:rsidR="00AD0438">
        <w:t xml:space="preserve">Lu-Adler’s </w:t>
      </w:r>
      <w:r w:rsidR="00E10142">
        <w:t>arguments for these claims provide an eye-opening perspective on the importance of Kant’s philosophy of logic</w:t>
      </w:r>
      <w:r w:rsidR="00BA50CF">
        <w:t xml:space="preserve">.  </w:t>
      </w:r>
      <w:r w:rsidR="00124831">
        <w:t xml:space="preserve">But certain aspects of her story </w:t>
      </w:r>
      <w:r w:rsidR="001F532C">
        <w:t xml:space="preserve">are </w:t>
      </w:r>
      <w:r w:rsidR="00E10142">
        <w:t xml:space="preserve">underdeveloped.  </w:t>
      </w:r>
    </w:p>
    <w:p w:rsidR="00AD0438" w:rsidRDefault="00AD0438" w:rsidP="00345696"/>
    <w:p w:rsidR="003E7017" w:rsidRDefault="005F4D82">
      <w:r>
        <w:t xml:space="preserve">Although Kant wrote the </w:t>
      </w:r>
      <w:r>
        <w:rPr>
          <w:i/>
        </w:rPr>
        <w:t xml:space="preserve">Critique </w:t>
      </w:r>
      <w:r>
        <w:t xml:space="preserve">to show how metaphysics could become a science, he also took the </w:t>
      </w:r>
      <w:r>
        <w:rPr>
          <w:i/>
        </w:rPr>
        <w:t xml:space="preserve">Critique </w:t>
      </w:r>
      <w:r>
        <w:t xml:space="preserve">itself to be a science.  For Kant, a proper science is in effect a closed system: </w:t>
      </w:r>
      <w:r w:rsidR="00C878CA">
        <w:t xml:space="preserve">it gives us complete grasp of a domain — not in its particulars, but through the </w:t>
      </w:r>
      <w:r w:rsidR="00FD43FB">
        <w:t xml:space="preserve">exhaustive </w:t>
      </w:r>
      <w:r w:rsidR="00C878CA">
        <w:t xml:space="preserve">articulation of its </w:t>
      </w:r>
      <w:r w:rsidR="00FD43FB">
        <w:t xml:space="preserve">fundamental </w:t>
      </w:r>
      <w:r>
        <w:t xml:space="preserve">principles.  </w:t>
      </w:r>
      <w:r w:rsidR="00C878CA">
        <w:t xml:space="preserve">A metaphysics of nature is a science </w:t>
      </w:r>
      <w:r w:rsidR="005F0DD9">
        <w:t xml:space="preserve">inasmuch as its principles </w:t>
      </w:r>
      <w:r>
        <w:t xml:space="preserve">spell out what it is to </w:t>
      </w:r>
      <w:r w:rsidR="005F0DD9">
        <w:t>be an object of possible experience, and figure in the domain of nature.</w:t>
      </w:r>
      <w:r>
        <w:t xml:space="preserve">  </w:t>
      </w:r>
      <w:r w:rsidR="00C878CA">
        <w:t xml:space="preserve">The </w:t>
      </w:r>
      <w:r w:rsidR="00C878CA">
        <w:rPr>
          <w:i/>
        </w:rPr>
        <w:t>Critique</w:t>
      </w:r>
      <w:r w:rsidR="00C878CA">
        <w:t xml:space="preserve">’s transcendental logic ostensibly produces such a system of principles.  </w:t>
      </w:r>
      <w:r w:rsidR="003E7017">
        <w:t xml:space="preserve">These principles in turn rest on the categories, which in turn rest on a table of judgments that Kant openly borrows from pure general logic.  </w:t>
      </w:r>
      <w:r w:rsidR="00C11F56">
        <w:t xml:space="preserve">Yet while Kant provides a couple pages of commentary about how the items in the table of judgments relate to one another, he does nothing like demonstrate the </w:t>
      </w:r>
      <w:r w:rsidR="000A3E0D">
        <w:t xml:space="preserve">systematic </w:t>
      </w:r>
      <w:r w:rsidR="00C11F56">
        <w:t xml:space="preserve">completeness of the table.  Nor does he give anything approaching a satisfactory account of the derivation of the categories from the table of judgments.  These are serious problems, since </w:t>
      </w:r>
      <w:r w:rsidR="003E7017">
        <w:t xml:space="preserve">the whole project of securing metaphysics as a science </w:t>
      </w:r>
      <w:r w:rsidR="00264416">
        <w:t xml:space="preserve">ultimately </w:t>
      </w:r>
      <w:r w:rsidR="003E7017">
        <w:t>rests on the completeness of the table of judgments</w:t>
      </w:r>
      <w:r w:rsidR="00977B77">
        <w:t xml:space="preserve"> as a basis for deriving the categories</w:t>
      </w:r>
      <w:r w:rsidR="003E7017">
        <w:t xml:space="preserve">.  </w:t>
      </w:r>
    </w:p>
    <w:p w:rsidR="003E7017" w:rsidRDefault="003E7017"/>
    <w:p w:rsidR="008308E5" w:rsidRDefault="008308E5">
      <w:r>
        <w:t xml:space="preserve">Thus, the set-up of Lu-Adler’s book leads one to hope for a substantial treatment of the issue on which the work of the </w:t>
      </w:r>
      <w:r>
        <w:rPr>
          <w:i/>
        </w:rPr>
        <w:t xml:space="preserve">Critique </w:t>
      </w:r>
      <w:r>
        <w:t>seems, ultimately, to rest: the completeness of the table of judgments as the basis for the derivation of the categories.  Lu-Adler has some account to give on this issue, but she recognises that it may seem underwhelming to some readers (p</w:t>
      </w:r>
      <w:r w:rsidR="00B3263F">
        <w:t>p</w:t>
      </w:r>
      <w:r>
        <w:t>. 188</w:t>
      </w:r>
      <w:r w:rsidR="00B3263F">
        <w:t>, 197</w:t>
      </w:r>
      <w:r>
        <w:t xml:space="preserve">).  The upshot of her response to the completeness problem is, effectively, that arguments must start somewhere.  The only account that we can give of why it is </w:t>
      </w:r>
      <w:r>
        <w:rPr>
          <w:i/>
        </w:rPr>
        <w:t xml:space="preserve">these </w:t>
      </w:r>
      <w:r>
        <w:t xml:space="preserve">categories is their internal coherence in a system, which pure logic helps provide.  Perhaps rightly, she contends that “we can have no insight into whatever ultimate ground might have determined our cognitive faculties”, although we cannot help wanting “to comprehend such a ground” (p.192).  </w:t>
      </w:r>
      <w:r w:rsidR="00B3263F">
        <w:t xml:space="preserve">But </w:t>
      </w:r>
      <w:r w:rsidR="00FD43FB">
        <w:t xml:space="preserve">she </w:t>
      </w:r>
      <w:r w:rsidR="00FD43FB">
        <w:t>scarcely mentions a substantial body of 20</w:t>
      </w:r>
      <w:r w:rsidR="00FD43FB" w:rsidRPr="00977B77">
        <w:rPr>
          <w:vertAlign w:val="superscript"/>
        </w:rPr>
        <w:t>th</w:t>
      </w:r>
      <w:r w:rsidR="00FD43FB">
        <w:t xml:space="preserve">-century German scholarship, beginning with Klaus Reich’s 1932 </w:t>
      </w:r>
      <w:r w:rsidR="00FD43FB">
        <w:rPr>
          <w:i/>
        </w:rPr>
        <w:t>The Completeness of Kant’s Table of Judgments</w:t>
      </w:r>
      <w:r w:rsidR="00FD43FB">
        <w:t>,</w:t>
      </w:r>
      <w:r w:rsidR="00FD43FB">
        <w:rPr>
          <w:i/>
        </w:rPr>
        <w:t xml:space="preserve"> </w:t>
      </w:r>
      <w:r w:rsidR="00FD43FB">
        <w:t xml:space="preserve">which aims </w:t>
      </w:r>
      <w:r w:rsidR="00B3263F">
        <w:t xml:space="preserve">to reconstruct arguments for Kant’s </w:t>
      </w:r>
      <w:r w:rsidR="00FD43FB">
        <w:t xml:space="preserve">contentious completeness </w:t>
      </w:r>
      <w:r w:rsidR="00B3263F">
        <w:t>claims.</w:t>
      </w:r>
      <w:r w:rsidR="00FD43FB">
        <w:t xml:space="preserve">  </w:t>
      </w:r>
      <w:r w:rsidR="00FD43FB">
        <w:t>G</w:t>
      </w:r>
      <w:r>
        <w:t xml:space="preserve">iven that a driving force behind Lu-Adler’s study is to understand the relation of pure general logic to the “transcendental logic” of the </w:t>
      </w:r>
      <w:r>
        <w:rPr>
          <w:i/>
        </w:rPr>
        <w:t xml:space="preserve">Critique </w:t>
      </w:r>
      <w:r>
        <w:t>(p. 6), the work of Reich and others should not have been brushed off as a pointless quest for a Kantian holy grail.</w:t>
      </w:r>
    </w:p>
    <w:p w:rsidR="008308E5" w:rsidRDefault="008308E5"/>
    <w:p w:rsidR="00337943" w:rsidRDefault="00B3263F">
      <w:r>
        <w:t>Finally, m</w:t>
      </w:r>
      <w:r w:rsidR="00124831">
        <w:t>ost of the action in this book concerns Kant’s relation to Scientific Logic, not Logical Humanism.  That perhaps makes sense, given her overarching purposes, and title</w:t>
      </w:r>
      <w:r w:rsidR="0086048E">
        <w:t xml:space="preserve">: </w:t>
      </w:r>
      <w:r w:rsidR="0086048E">
        <w:rPr>
          <w:i/>
        </w:rPr>
        <w:t xml:space="preserve">Kant and the Science of </w:t>
      </w:r>
      <w:r w:rsidR="0086048E" w:rsidRPr="0086048E">
        <w:rPr>
          <w:i/>
        </w:rPr>
        <w:t>Logic</w:t>
      </w:r>
      <w:r w:rsidR="0086048E" w:rsidRPr="0086048E">
        <w:t>.</w:t>
      </w:r>
      <w:r w:rsidR="0086048E">
        <w:rPr>
          <w:i/>
        </w:rPr>
        <w:t xml:space="preserve"> </w:t>
      </w:r>
      <w:r w:rsidR="0086048E">
        <w:t xml:space="preserve"> </w:t>
      </w:r>
      <w:r w:rsidR="001C596E">
        <w:t xml:space="preserve">However, she does advance the substantive thesis that Kant drew an innovative distinction between pure and applied logic, and </w:t>
      </w:r>
      <w:r w:rsidR="007A6B99">
        <w:t xml:space="preserve">through the latter recognised the Humanist program as </w:t>
      </w:r>
      <w:r w:rsidR="001C596E">
        <w:t>a genuine part of logic — alongside,</w:t>
      </w:r>
      <w:r w:rsidR="00551A64">
        <w:t xml:space="preserve"> but separate from, Scientific L</w:t>
      </w:r>
      <w:r w:rsidR="001C596E">
        <w:t xml:space="preserve">ogic (p. 6).  This is an important and corrective insight, since many commentators simply fail to see the evidence of Kant’s interest in, and commitment to, Logical Humanism.  </w:t>
      </w:r>
      <w:r w:rsidR="00060AD3">
        <w:t>Perhaps Kant’s interest in Logical Humanism is a separate story unto itself</w:t>
      </w:r>
      <w:r w:rsidR="001E55AB">
        <w:t xml:space="preserve">.  At any rate, following its </w:t>
      </w:r>
      <w:r w:rsidR="00060AD3">
        <w:t xml:space="preserve">lead would have taken her </w:t>
      </w:r>
      <w:r w:rsidR="001C596E">
        <w:t xml:space="preserve">beyond the ambit of the </w:t>
      </w:r>
      <w:r w:rsidR="001C596E">
        <w:rPr>
          <w:i/>
        </w:rPr>
        <w:t>Critique of Pure Reason</w:t>
      </w:r>
      <w:r w:rsidR="001C596E">
        <w:t xml:space="preserve">, into later works such as the 1790 </w:t>
      </w:r>
      <w:r w:rsidR="001C596E">
        <w:rPr>
          <w:i/>
        </w:rPr>
        <w:t>Critique of Judgment</w:t>
      </w:r>
      <w:r w:rsidR="001C596E">
        <w:t xml:space="preserve"> and 1797 </w:t>
      </w:r>
      <w:r w:rsidR="001C596E">
        <w:rPr>
          <w:i/>
        </w:rPr>
        <w:t>Anthropology from a Pragmatic Point of View</w:t>
      </w:r>
      <w:r w:rsidR="00060AD3">
        <w:t xml:space="preserve">.  </w:t>
      </w:r>
      <w:r w:rsidR="001E55AB">
        <w:t xml:space="preserve">Given her central purposes, she may be </w:t>
      </w:r>
      <w:r w:rsidR="00C00190">
        <w:t xml:space="preserve">perfectly </w:t>
      </w:r>
      <w:r w:rsidR="001E55AB">
        <w:t xml:space="preserve">justified in not going down those roads here.  Nevertheless, the result is that she can at most only acknowledge — and not really examine or explain — the </w:t>
      </w:r>
      <w:r w:rsidR="00060AD3">
        <w:t xml:space="preserve">broader philosophical significance of </w:t>
      </w:r>
      <w:r w:rsidR="00337943">
        <w:t xml:space="preserve">Logical Humanism for Kant. </w:t>
      </w:r>
    </w:p>
    <w:p w:rsidR="00337943" w:rsidRDefault="00337943"/>
    <w:p w:rsidR="00474B81" w:rsidRDefault="00A732CA">
      <w:r>
        <w:t>---------------------</w:t>
      </w:r>
    </w:p>
    <w:p w:rsidR="00474B81" w:rsidRPr="00C40F5D" w:rsidRDefault="00474B81">
      <w:r w:rsidRPr="00C40F5D">
        <w:lastRenderedPageBreak/>
        <w:t xml:space="preserve">Melissa Merritt is Senior Lecturer in philosophy, and Australian Research Council Future Fellow, at the University of New South Wales. </w:t>
      </w:r>
      <w:r w:rsidR="00C40F5D" w:rsidRPr="00C40F5D">
        <w:t xml:space="preserve"> She is the author of </w:t>
      </w:r>
      <w:r w:rsidR="00C40F5D" w:rsidRPr="00C40F5D">
        <w:rPr>
          <w:i/>
        </w:rPr>
        <w:t>Kant on Reflection and Virtue</w:t>
      </w:r>
      <w:r w:rsidR="00C40F5D" w:rsidRPr="00C40F5D">
        <w:t xml:space="preserve">, and </w:t>
      </w:r>
      <w:r w:rsidR="00C40F5D" w:rsidRPr="00C40F5D">
        <w:rPr>
          <w:i/>
        </w:rPr>
        <w:t>The Sublime</w:t>
      </w:r>
      <w:r w:rsidR="00C40F5D" w:rsidRPr="00C40F5D">
        <w:t xml:space="preserve">, both published by Cambridge University Press.  </w:t>
      </w:r>
    </w:p>
    <w:p w:rsidR="000B27A9" w:rsidRDefault="000B27A9"/>
    <w:p w:rsidR="00C40F5D" w:rsidRPr="006F26CA" w:rsidRDefault="00C40F5D" w:rsidP="006F26CA">
      <w:r>
        <w:rPr>
          <w:i/>
        </w:rPr>
        <w:t>Kant and the Science of Logic: A Historical and Philosophical Reconstruction</w:t>
      </w:r>
      <w:r>
        <w:t xml:space="preserve">, by </w:t>
      </w:r>
      <w:proofErr w:type="spellStart"/>
      <w:r>
        <w:t>Huaping</w:t>
      </w:r>
      <w:proofErr w:type="spellEnd"/>
      <w:r>
        <w:t xml:space="preserve"> Lu-Adler, Oxford U</w:t>
      </w:r>
      <w:bookmarkStart w:id="0" w:name="_GoBack"/>
      <w:bookmarkEnd w:id="0"/>
      <w:r>
        <w:t>niversity Press, 2018.  ISBN: 9780190907136</w:t>
      </w:r>
      <w:r w:rsidR="006F26CA">
        <w:rPr>
          <w:rStyle w:val="Emphasis"/>
          <w:rFonts w:ascii="Arial" w:hAnsi="Arial"/>
          <w:sz w:val="21"/>
          <w:szCs w:val="21"/>
        </w:rPr>
        <w:t xml:space="preserve"> </w:t>
      </w:r>
    </w:p>
    <w:sectPr w:rsidR="00C40F5D" w:rsidRPr="006F26C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A9"/>
    <w:rsid w:val="00022A4A"/>
    <w:rsid w:val="00060AD3"/>
    <w:rsid w:val="00071807"/>
    <w:rsid w:val="000A3E0D"/>
    <w:rsid w:val="000B27A9"/>
    <w:rsid w:val="000F6608"/>
    <w:rsid w:val="001000F3"/>
    <w:rsid w:val="00124831"/>
    <w:rsid w:val="001519C7"/>
    <w:rsid w:val="00155B87"/>
    <w:rsid w:val="00156B85"/>
    <w:rsid w:val="001713CF"/>
    <w:rsid w:val="001A2393"/>
    <w:rsid w:val="001C3D75"/>
    <w:rsid w:val="001C596E"/>
    <w:rsid w:val="001D7455"/>
    <w:rsid w:val="001E0D1F"/>
    <w:rsid w:val="001E55AB"/>
    <w:rsid w:val="001F532C"/>
    <w:rsid w:val="00227D0F"/>
    <w:rsid w:val="00256698"/>
    <w:rsid w:val="00264416"/>
    <w:rsid w:val="00287F47"/>
    <w:rsid w:val="002A3AC3"/>
    <w:rsid w:val="002B5360"/>
    <w:rsid w:val="002D213B"/>
    <w:rsid w:val="00337943"/>
    <w:rsid w:val="00345696"/>
    <w:rsid w:val="00380C54"/>
    <w:rsid w:val="003E7017"/>
    <w:rsid w:val="003F6749"/>
    <w:rsid w:val="00471A3B"/>
    <w:rsid w:val="00474B81"/>
    <w:rsid w:val="00475CA6"/>
    <w:rsid w:val="00484E3D"/>
    <w:rsid w:val="0050017E"/>
    <w:rsid w:val="00520FBF"/>
    <w:rsid w:val="005215EC"/>
    <w:rsid w:val="00545B72"/>
    <w:rsid w:val="00551A64"/>
    <w:rsid w:val="00591F0A"/>
    <w:rsid w:val="005F0DD9"/>
    <w:rsid w:val="005F4D82"/>
    <w:rsid w:val="00611891"/>
    <w:rsid w:val="00642487"/>
    <w:rsid w:val="00643AD9"/>
    <w:rsid w:val="00654C17"/>
    <w:rsid w:val="006679D2"/>
    <w:rsid w:val="00697308"/>
    <w:rsid w:val="006F26CA"/>
    <w:rsid w:val="006F398A"/>
    <w:rsid w:val="00752D77"/>
    <w:rsid w:val="00755E98"/>
    <w:rsid w:val="00777FE8"/>
    <w:rsid w:val="00795130"/>
    <w:rsid w:val="007A6B99"/>
    <w:rsid w:val="007C4B4B"/>
    <w:rsid w:val="007E5E7E"/>
    <w:rsid w:val="008005BE"/>
    <w:rsid w:val="008308E5"/>
    <w:rsid w:val="00853A74"/>
    <w:rsid w:val="0086048E"/>
    <w:rsid w:val="00860F79"/>
    <w:rsid w:val="00872090"/>
    <w:rsid w:val="00881A54"/>
    <w:rsid w:val="008A03AC"/>
    <w:rsid w:val="009023E8"/>
    <w:rsid w:val="00933CB4"/>
    <w:rsid w:val="00962A45"/>
    <w:rsid w:val="009648F5"/>
    <w:rsid w:val="00973166"/>
    <w:rsid w:val="00977B77"/>
    <w:rsid w:val="00985680"/>
    <w:rsid w:val="009A2832"/>
    <w:rsid w:val="009C3F43"/>
    <w:rsid w:val="00A21C6A"/>
    <w:rsid w:val="00A24D4F"/>
    <w:rsid w:val="00A732CA"/>
    <w:rsid w:val="00AA1990"/>
    <w:rsid w:val="00AD0438"/>
    <w:rsid w:val="00AD1ACA"/>
    <w:rsid w:val="00AE67D3"/>
    <w:rsid w:val="00B3263F"/>
    <w:rsid w:val="00B66526"/>
    <w:rsid w:val="00B86EE8"/>
    <w:rsid w:val="00BA50CF"/>
    <w:rsid w:val="00BD63FD"/>
    <w:rsid w:val="00BF199F"/>
    <w:rsid w:val="00C00190"/>
    <w:rsid w:val="00C11F56"/>
    <w:rsid w:val="00C20926"/>
    <w:rsid w:val="00C40F5D"/>
    <w:rsid w:val="00C43581"/>
    <w:rsid w:val="00C878CA"/>
    <w:rsid w:val="00C935ED"/>
    <w:rsid w:val="00D104B4"/>
    <w:rsid w:val="00D52B68"/>
    <w:rsid w:val="00D83D1E"/>
    <w:rsid w:val="00D8635C"/>
    <w:rsid w:val="00D91B86"/>
    <w:rsid w:val="00DA4CBD"/>
    <w:rsid w:val="00DA4F31"/>
    <w:rsid w:val="00DC4241"/>
    <w:rsid w:val="00DD29A6"/>
    <w:rsid w:val="00E012B3"/>
    <w:rsid w:val="00E10142"/>
    <w:rsid w:val="00E726E5"/>
    <w:rsid w:val="00EF4297"/>
    <w:rsid w:val="00F309A9"/>
    <w:rsid w:val="00F92FB1"/>
    <w:rsid w:val="00FB53B1"/>
    <w:rsid w:val="00FD4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Arial"/>
        <w:color w:val="000000"/>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40F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Arial"/>
        <w:color w:val="000000"/>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40F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1276</Words>
  <Characters>7275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Lorax</dc:creator>
  <cp:lastModifiedBy>The Lorax</cp:lastModifiedBy>
  <cp:revision>13</cp:revision>
  <dcterms:created xsi:type="dcterms:W3CDTF">2018-11-30T03:42:00Z</dcterms:created>
  <dcterms:modified xsi:type="dcterms:W3CDTF">2018-12-04T03:30:00Z</dcterms:modified>
</cp:coreProperties>
</file>