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A8981" w14:textId="77777777" w:rsidR="00126F6E" w:rsidRDefault="00126F6E" w:rsidP="000E64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E64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Gottfried Achenwall,</w:t>
      </w:r>
      <w:r w:rsidRPr="000E6464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 Natural Law. A </w:t>
      </w:r>
      <w:r w:rsidR="000E6464" w:rsidRPr="000E6464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Translation of the Textbook for Kant’s Lectures on Legal and Political Philosophy</w:t>
      </w:r>
      <w:r w:rsidR="000E64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ed. by Pauline </w:t>
      </w:r>
      <w:proofErr w:type="spellStart"/>
      <w:r w:rsidR="000E64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Kleingeld</w:t>
      </w:r>
      <w:proofErr w:type="spellEnd"/>
      <w:r w:rsidR="000E64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transl. by Corinna </w:t>
      </w:r>
      <w:proofErr w:type="spellStart"/>
      <w:r w:rsidR="000E64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Vermeulen</w:t>
      </w:r>
      <w:proofErr w:type="spellEnd"/>
      <w:r w:rsidR="000E64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with an Introduction by Paul </w:t>
      </w:r>
      <w:proofErr w:type="spellStart"/>
      <w:r w:rsidR="000E64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</w:p>
    <w:p w14:paraId="679A1891" w14:textId="77777777" w:rsidR="000E6464" w:rsidRDefault="000E6464" w:rsidP="000E64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Series: </w:t>
      </w:r>
      <w:r w:rsidRPr="00AD1D12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Kant’s Sources in Translation</w:t>
      </w:r>
    </w:p>
    <w:p w14:paraId="1DAD5283" w14:textId="77777777" w:rsidR="000E6464" w:rsidRDefault="000E6464" w:rsidP="000E64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London: Bloomsbury, 2020</w:t>
      </w:r>
    </w:p>
    <w:p w14:paraId="1D432B48" w14:textId="265DC5E6" w:rsidR="000E6464" w:rsidRPr="00CA7834" w:rsidRDefault="00A50464" w:rsidP="000E64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Pp. xxxvi + 254</w:t>
      </w:r>
    </w:p>
    <w:p w14:paraId="34E02BC5" w14:textId="77777777" w:rsidR="000E6464" w:rsidRPr="00CA7834" w:rsidRDefault="000E6464" w:rsidP="000E64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ISBN: HB: 978-1-3500-2284-3</w:t>
      </w:r>
      <w:r w:rsidR="00AD2367" w:rsidRP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(Hardback</w:t>
      </w:r>
      <w:r w:rsidRP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 </w:t>
      </w:r>
    </w:p>
    <w:p w14:paraId="16FBEA67" w14:textId="77777777" w:rsidR="000E6464" w:rsidRPr="00CA7834" w:rsidRDefault="000E6464" w:rsidP="000E64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595C2FFB" w14:textId="40DC05FB" w:rsidR="002778BE" w:rsidRDefault="0071639E" w:rsidP="002778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7451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</w:t>
      </w:r>
      <w:r w:rsidR="0077451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relevance of the German philosopher, jurist, </w:t>
      </w:r>
      <w:r w:rsidR="009D0C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historian, </w:t>
      </w:r>
      <w:r w:rsidR="0077451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economist, and statistician Gottfried Achenwall</w:t>
      </w:r>
      <w:r w:rsidR="004D1A6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(1719</w:t>
      </w:r>
      <w:r w:rsidR="00CA7834" w:rsidRP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–</w:t>
      </w:r>
      <w:r w:rsidR="004D1A6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1772)</w:t>
      </w:r>
      <w:r w:rsidR="0077451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for the development of Kant’s juridical and political thought is</w:t>
      </w:r>
      <w:r w:rsidR="005802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uncontroversial, but</w:t>
      </w:r>
      <w:r w:rsidR="00AD1D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9577A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access to </w:t>
      </w:r>
      <w:r w:rsidR="00AD1D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Achenwall’s </w:t>
      </w:r>
      <w:r w:rsidR="009577A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work is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often</w:t>
      </w:r>
      <w:r w:rsidR="009577A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impeded by the fact </w:t>
      </w:r>
      <w:r w:rsidR="002E553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that it is written in Latin. The present</w:t>
      </w:r>
      <w:r w:rsidR="002E1C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English</w:t>
      </w:r>
      <w:r w:rsidR="002E553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translation</w:t>
      </w:r>
      <w:r w:rsidR="00DC5B2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the fifth edition of </w:t>
      </w:r>
      <w:proofErr w:type="spellStart"/>
      <w:r w:rsidR="00DC5B2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Achenwall’s</w:t>
      </w:r>
      <w:proofErr w:type="spellEnd"/>
      <w:r w:rsidR="00DC5B2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DC5B21" w:rsidRPr="00DC5B2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Jus </w:t>
      </w:r>
      <w:proofErr w:type="spellStart"/>
      <w:r w:rsidR="00DC5B21" w:rsidRPr="00DC5B2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naturae</w:t>
      </w:r>
      <w:proofErr w:type="spellEnd"/>
      <w:r w:rsidR="00DC5B2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(1763)</w:t>
      </w:r>
      <w:r w:rsidR="005802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by Corinna </w:t>
      </w:r>
      <w:proofErr w:type="spellStart"/>
      <w:r w:rsidR="005802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Vermeulen</w:t>
      </w:r>
      <w:proofErr w:type="spellEnd"/>
      <w:r w:rsidR="005802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edited by Pauline </w:t>
      </w:r>
      <w:proofErr w:type="spellStart"/>
      <w:r w:rsidR="005802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Kleingeld</w:t>
      </w:r>
      <w:proofErr w:type="spellEnd"/>
      <w:r w:rsidR="00DC5B2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5802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introduced by Paul </w:t>
      </w:r>
      <w:proofErr w:type="spellStart"/>
      <w:r w:rsidR="005802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5802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provides a</w:t>
      </w:r>
      <w:r w:rsidR="005802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great</w:t>
      </w:r>
      <w:r w:rsidR="002E1C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opportunity </w:t>
      </w:r>
      <w:r w:rsidR="00600D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for a broader readership </w:t>
      </w:r>
      <w:r w:rsidR="002E1C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 expl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ore </w:t>
      </w:r>
      <w:r w:rsidR="002A0A4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how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Kant bases</w:t>
      </w:r>
      <w:r w:rsidR="00E92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his lectures 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</w:t>
      </w:r>
      <w:r w:rsidR="00E92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Achenwall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’ own account of natural law</w:t>
      </w:r>
      <w:r w:rsidR="000E44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E92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E44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proofErr w:type="spellStart"/>
      <w:r w:rsidR="000E44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eition</w:t>
      </w:r>
      <w:proofErr w:type="spellEnd"/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makes it</w:t>
      </w:r>
      <w:r w:rsidR="004032B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available without </w:t>
      </w:r>
      <w:r w:rsidR="00E92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requirement of </w:t>
      </w:r>
      <w:r w:rsidR="004032B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specific </w:t>
      </w:r>
      <w:r w:rsidR="002E1C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acquaintance with the peculia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rities of the legal Latin of</w:t>
      </w:r>
      <w:r w:rsidR="002E1C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4032B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18th</w:t>
      </w:r>
      <w:r w:rsidR="002E1C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Century German academic </w:t>
      </w:r>
      <w:r w:rsidR="00E92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practice. </w:t>
      </w:r>
      <w:r w:rsidR="00EA171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This </w:t>
      </w:r>
      <w:r w:rsidR="003A1BE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valuable </w:t>
      </w:r>
      <w:r w:rsidR="006826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achievement</w:t>
      </w:r>
      <w:r w:rsidR="00EA171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is </w:t>
      </w:r>
      <w:r w:rsidR="006826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accompanied by</w:t>
      </w:r>
      <w:r w:rsidR="00737B1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detailed Latin-English and English-Latin subject indices, an index of names, and </w:t>
      </w:r>
      <w:r w:rsidR="009C711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9C711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sketch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</w:t>
      </w:r>
      <w:r w:rsidR="00AC57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topical and chronological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4E75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con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cordances </w:t>
      </w:r>
      <w:r w:rsidR="00AC57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between</w:t>
      </w:r>
      <w:r w:rsidR="004E75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Achenwall</w:t>
      </w:r>
      <w:r w:rsidR="008123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’s text</w:t>
      </w:r>
      <w:r w:rsidR="00AC57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4E75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Kant</w:t>
      </w:r>
      <w:r w:rsidR="008123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’s lectures</w:t>
      </w:r>
      <w:r w:rsidR="00AC57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and </w:t>
      </w:r>
      <w:r w:rsidR="004E754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related references in Kant’</w:t>
      </w:r>
      <w:r w:rsidR="00DC5B2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 </w:t>
      </w:r>
      <w:r w:rsidR="00DC5B21" w:rsidRPr="00DC5B2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Reflections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r w:rsidR="004859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latter 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origin</w:t>
      </w:r>
      <w:r w:rsidR="0086778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ally published 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</w:t>
      </w:r>
      <w:r w:rsidR="0086778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2016 in </w:t>
      </w:r>
      <w:r w:rsidR="00867786" w:rsidRPr="000E44BA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Immanuel Kant, </w:t>
      </w:r>
      <w:r w:rsidR="00867786" w:rsidRPr="00867786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Lectures and Drafts </w:t>
      </w:r>
      <w:r w:rsidR="00CA7834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on P</w:t>
      </w:r>
      <w:r w:rsidR="00867786" w:rsidRPr="00867786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olitical Philosophy</w:t>
      </w:r>
      <w:r w:rsidR="00CA783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ed. </w:t>
      </w:r>
      <w:r w:rsidR="00CA7834" w:rsidRP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Frederick Rauscher, trans.</w:t>
      </w:r>
      <w:r w:rsidR="00867786" w:rsidRP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1F0AA7" w:rsidRP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Frederick</w:t>
      </w:r>
      <w:r w:rsidR="00867786" w:rsidRP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Rauscher and Kenneth R. </w:t>
      </w:r>
      <w:proofErr w:type="spellStart"/>
      <w:r w:rsidR="00867786" w:rsidRP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Westphal</w:t>
      </w:r>
      <w:proofErr w:type="spellEnd"/>
      <w:r w:rsidR="00CA7834" w:rsidRP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867786" w:rsidRP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1E7E93" w:rsidRP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1E7E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 focus </w:t>
      </w:r>
      <w:r w:rsidR="000E44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the edition </w:t>
      </w:r>
      <w:r w:rsidR="006351B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on </w:t>
      </w:r>
      <w:r w:rsidR="002B5E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Kant is</w:t>
      </w:r>
      <w:r w:rsidR="001E7E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6351B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ntional</w:t>
      </w:r>
      <w:r w:rsidR="002B5E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due</w:t>
      </w:r>
      <w:r w:rsidR="00E951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the broader scope of the series (</w:t>
      </w:r>
      <w:r w:rsidR="00E95162" w:rsidRPr="00E95162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Kant’s Sources in Transl</w:t>
      </w:r>
      <w:r w:rsidR="00E95162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a</w:t>
      </w:r>
      <w:r w:rsidR="00E95162" w:rsidRPr="00E95162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tion</w:t>
      </w:r>
      <w:r w:rsidR="00E951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In accordance with the goals of this series,</w:t>
      </w:r>
      <w:r w:rsidR="00E9516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7927A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editi</w:t>
      </w:r>
      <w:r w:rsidR="00E74D2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 underlines the significance</w:t>
      </w:r>
      <w:r w:rsidR="001E2E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</w:t>
      </w:r>
      <w:r w:rsidR="007927A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Achenwall </w:t>
      </w:r>
      <w:r w:rsidR="001E2E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 Kant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1E2E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focusing on </w:t>
      </w:r>
      <w:r w:rsidR="001E7E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con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tinuities and discontinuities between</w:t>
      </w:r>
      <w:r w:rsidR="001E7E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4D393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Kant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</w:t>
      </w:r>
      <w:r w:rsidR="001E7E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</w:t>
      </w:r>
      <w:r w:rsidR="004D393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natural law tradition, where Achenwall</w:t>
      </w:r>
      <w:r w:rsidR="001E7E9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’s account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is taken as representative of the latter</w:t>
      </w:r>
      <w:r w:rsidR="006351B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(p. xxii). </w:t>
      </w:r>
      <w:r w:rsidR="003A1BE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But</w:t>
      </w:r>
      <w:r w:rsidR="002B5E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question if</w:t>
      </w:r>
      <w:r w:rsidR="009D0C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2B5E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</w:t>
      </w:r>
      <w:r w:rsidR="00852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what extent</w:t>
      </w:r>
      <w:r w:rsidR="001C243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exactly</w:t>
      </w:r>
      <w:r w:rsidR="009D0C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852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Achenwall’s own account </w:t>
      </w:r>
      <w:r w:rsidR="002B5E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differs</w:t>
      </w:r>
      <w:r w:rsidR="001C243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substantial</w:t>
      </w:r>
      <w:r w:rsidR="002A0A4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ly</w:t>
      </w:r>
      <w:r w:rsidR="002B5E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from</w:t>
      </w:r>
      <w:r w:rsidR="00852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natural law tradition and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852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if</w:t>
      </w:r>
      <w:r w:rsidR="004859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it does, 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why Kant chose</w:t>
      </w:r>
      <w:r w:rsidR="001F0AA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ground his lectures on it</w:t>
      </w:r>
      <w:r w:rsidR="00852C5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is </w:t>
      </w:r>
      <w:r w:rsidR="00E74D2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prudently</w:t>
      </w:r>
      <w:r w:rsidR="002B5E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9D0C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left </w:t>
      </w:r>
      <w:r w:rsidR="002B5EC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open. </w:t>
      </w:r>
      <w:r w:rsidR="00E74D2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E74D2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after</w:t>
      </w:r>
      <w:r w:rsidR="005E5F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all, the task</w:t>
      </w:r>
      <w:r w:rsidR="009D0C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the publication</w:t>
      </w:r>
      <w:r w:rsidR="00E74D2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is to make Kant’s sources available for research</w:t>
      </w:r>
      <w:r w:rsidR="0048596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 well as</w:t>
      </w:r>
      <w:r w:rsidR="00AB34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make explicit </w:t>
      </w:r>
      <w:r w:rsidR="002A0A4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Achenwall’s </w:t>
      </w:r>
      <w:r w:rsidR="00AB34D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relevance for Kant</w:t>
      </w:r>
      <w:r w:rsidR="00E74D2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not to provide the research itself. </w:t>
      </w:r>
    </w:p>
    <w:p w14:paraId="40A9A3B9" w14:textId="7BF2FE67" w:rsidR="00476E2A" w:rsidRDefault="009811FB" w:rsidP="000E44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first preface, by the series’ editors,</w:t>
      </w:r>
      <w:r w:rsidR="00731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introduces the impressive project of the series</w:t>
      </w:r>
      <w:r w:rsidR="002028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</w:t>
      </w:r>
      <w:r w:rsidR="00731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aiming not only “to offer the tools necessary for reconstructing the context of Kant’s thought</w:t>
      </w:r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”</w:t>
      </w:r>
      <w:r w:rsidR="00731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(p. viii) </w:t>
      </w:r>
      <w:r w:rsidR="00731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but also “to give Anglophone scholars a more comprehensive picture of the intellectual world that made possible the German Enlightenment”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(p. ix)</w:t>
      </w:r>
      <w:r w:rsidR="002028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731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second p</w:t>
      </w:r>
      <w:r w:rsidR="00065D8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reface</w:t>
      </w:r>
      <w:r w:rsidR="00476E2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731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by </w:t>
      </w:r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Pauline </w:t>
      </w:r>
      <w:proofErr w:type="spellStart"/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Kleingeld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contends for the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relevance</w:t>
      </w:r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</w:t>
      </w:r>
      <w:proofErr w:type="spellStart"/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Achenwall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text given its</w:t>
      </w:r>
      <w:r w:rsidR="000E44B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importance for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Kant’s lectures on natural law</w:t>
      </w:r>
      <w:r w:rsidR="002028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formative influence on</w:t>
      </w:r>
      <w:r w:rsidR="002028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both</w:t>
      </w:r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Kant’s legal and poli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tical philosophy</w:t>
      </w:r>
      <w:r w:rsidR="002028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Kant’s</w:t>
      </w:r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moral philosophy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 well as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regarding</w:t>
      </w:r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Ac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henwall’s own contribution</w:t>
      </w:r>
      <w:r w:rsidR="008B388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within the history of legal and political </w:t>
      </w:r>
      <w:r w:rsidR="00476E2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philosophy in general.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preface </w:t>
      </w:r>
      <w:r w:rsidR="008B388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also 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gives an explanation for the late interest</w:t>
      </w:r>
      <w:r w:rsidR="00951E5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Kant scholarship</w:t>
      </w:r>
      <w:r w:rsidR="0099366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8B388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r w:rsidR="003D0EA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 a translation of Achenwall </w:t>
      </w:r>
      <w:r w:rsidR="008B388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 </w:t>
      </w:r>
      <w:r w:rsidR="003D0EA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due partly “to the relative obscurity, until very recently, of Kant’s Feyerabend lectures.” </w:t>
      </w:r>
    </w:p>
    <w:p w14:paraId="00296A3F" w14:textId="65C6F4D5" w:rsidR="00AB0B71" w:rsidRDefault="009811FB" w:rsidP="000E44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i</w:t>
      </w:r>
      <w:r w:rsidR="00065D8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ntroduction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065D8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makes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case for how thorough</w:t>
      </w:r>
      <w:r w:rsidR="003E3A9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acquaintance with</w:t>
      </w:r>
      <w:r w:rsidR="005531C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="005531C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Achenwall’s</w:t>
      </w:r>
      <w:proofErr w:type="spellEnd"/>
      <w:r w:rsidR="005531C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text can provide a better understanding of Kant’s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legal and political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theory, especially 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elaborated in the </w:t>
      </w:r>
      <w:r w:rsidRPr="009811FB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Doctrine of Right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="00677A4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After a short biographical sketch </w:t>
      </w:r>
      <w:r w:rsidR="00F735C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</w:t>
      </w:r>
      <w:r w:rsidR="00677A4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Achenwall and a description of the specifics of the six editions of </w:t>
      </w:r>
      <w:r w:rsidR="00677A43" w:rsidRPr="00677A43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Jus </w:t>
      </w:r>
      <w:proofErr w:type="spellStart"/>
      <w:r w:rsidR="00CD221C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natura</w:t>
      </w:r>
      <w:r w:rsidR="00677A43" w:rsidRPr="00677A43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e</w:t>
      </w:r>
      <w:proofErr w:type="spellEnd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CD221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="00CD221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CD221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analyzes the </w:t>
      </w:r>
      <w:r w:rsidR="000D49B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continuities and discontinuities between Achenwall and Kant. </w:t>
      </w:r>
      <w:r w:rsidR="00065D8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First, he compare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 the structure of Achenwall’s </w:t>
      </w:r>
      <w:r w:rsidR="00AB0B71" w:rsidRPr="00AB0B7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Natural L</w:t>
      </w:r>
      <w:r w:rsidR="00065D86" w:rsidRPr="00AB0B7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aw</w:t>
      </w:r>
      <w:r w:rsidR="00065D8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</w:t>
      </w:r>
      <w:r w:rsidR="003861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Kant’s </w:t>
      </w:r>
      <w:r w:rsidR="00386180" w:rsidRPr="00AB0B7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Doctrine</w:t>
      </w:r>
      <w:r w:rsidR="003861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86180" w:rsidRPr="00AB0B7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of</w:t>
      </w:r>
      <w:r w:rsidR="003861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86180" w:rsidRPr="00AB0B7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Right</w:t>
      </w:r>
      <w:r w:rsidR="003861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outlin</w:t>
      </w:r>
      <w:r w:rsidR="00065D8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ing Kant’s reform</w:t>
      </w:r>
      <w:r w:rsidR="00FF71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ulations</w:t>
      </w:r>
      <w:r w:rsidR="00B956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r w:rsidR="0066236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</w:t>
      </w:r>
      <w:r w:rsidR="00FF71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difference between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B956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innate and conditional natural right),</w:t>
      </w:r>
      <w:r w:rsidR="00FF717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additions</w:t>
      </w:r>
      <w:r w:rsidR="00B956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r w:rsidR="0066236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</w:t>
      </w:r>
      <w:r w:rsidR="00B956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cosmopolitan right),</w:t>
      </w:r>
      <w:r w:rsidR="00C337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</w:t>
      </w:r>
      <w:r w:rsidR="00B956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departures (</w:t>
      </w:r>
      <w:r w:rsidR="0066236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with </w:t>
      </w:r>
      <w:r w:rsidR="00B956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distinction between provisional and conclusive natural rights)</w:t>
      </w:r>
      <w:r w:rsidR="00D360A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Achenwall’s text</w:t>
      </w:r>
      <w:r w:rsidR="00B956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="00C337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Second, </w:t>
      </w:r>
      <w:proofErr w:type="spellStart"/>
      <w:r w:rsidR="0033547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C337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commentRangeStart w:id="0"/>
      <w:r w:rsidR="00C337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tries </w:t>
      </w:r>
      <w:commentRangeEnd w:id="0"/>
      <w:r w:rsidR="007D116D">
        <w:rPr>
          <w:rStyle w:val="Kommentarzeichen"/>
        </w:rPr>
        <w:commentReference w:id="0"/>
      </w:r>
      <w:r w:rsidR="00C337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 provide an answer to the general question “What is natural law or natural right, as Achenwall and following him Kant understand it?” 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(p. xix) </w:t>
      </w:r>
      <w:r w:rsidR="008915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order t</w:t>
      </w:r>
      <w:r w:rsidR="003861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 explain the meaning of</w:t>
      </w:r>
      <w:r w:rsidR="008915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(natural) </w:t>
      </w:r>
      <w:r w:rsidR="00891578" w:rsidRPr="00F002D5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law</w:t>
      </w:r>
      <w:r w:rsidR="008915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(natural) </w:t>
      </w:r>
      <w:r w:rsidR="00891578" w:rsidRPr="00F002D5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right</w:t>
      </w:r>
      <w:r w:rsidR="0089157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33547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</w:t>
      </w:r>
      <w:r w:rsidR="00600E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focus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</w:t>
      </w:r>
      <w:r w:rsidR="00600E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on </w:t>
      </w:r>
      <w:proofErr w:type="spellStart"/>
      <w:r w:rsidR="00600E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Achewall’s</w:t>
      </w:r>
      <w:proofErr w:type="spellEnd"/>
      <w:r w:rsidR="0066236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division between </w:t>
      </w:r>
      <w:r w:rsidR="00662367" w:rsidRPr="00A35C36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perfect</w:t>
      </w:r>
      <w:r w:rsidR="0066236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</w:t>
      </w:r>
      <w:r w:rsidR="00662367" w:rsidRPr="00A35C36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imperfect obligation</w:t>
      </w:r>
      <w:r w:rsidR="0066236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where the former implies coercion 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r w:rsidR="0033547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nd the latter </w:t>
      </w:r>
      <w:r w:rsidR="009820F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does </w:t>
      </w:r>
      <w:r w:rsidR="0033547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not. His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conclusion</w:t>
      </w:r>
      <w:r w:rsidR="0033547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is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that</w:t>
      </w:r>
      <w:r w:rsidR="00600E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“</w:t>
      </w:r>
      <w:r w:rsidR="009820F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</w:t>
      </w:r>
      <w:r w:rsidR="009820F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]</w:t>
      </w:r>
      <w:proofErr w:type="spellStart"/>
      <w:r w:rsidR="00600E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atural</w:t>
      </w:r>
      <w:proofErr w:type="spellEnd"/>
      <w:r w:rsidR="00600E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law concerns the coerciv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ely enforced part of moral law</w:t>
      </w:r>
      <w:r w:rsidR="00600E8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”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(p. xx)</w:t>
      </w:r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r w:rsidR="006209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without 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address</w:t>
      </w:r>
      <w:r w:rsidR="009820F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ing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4852D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3547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important 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question</w:t>
      </w:r>
      <w:r w:rsidR="006209E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9820F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distinction bet</w:t>
      </w:r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ween natural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002D5" w:rsidRPr="006209E3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law</w:t>
      </w:r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natural</w:t>
      </w:r>
      <w:r w:rsidR="00F002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002D5" w:rsidRPr="006209E3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right</w:t>
      </w:r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 and that on this point Kant follows the natural law tradition, since this distinction is already in </w:t>
      </w:r>
      <w:proofErr w:type="spellStart"/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Thomasius</w:t>
      </w:r>
      <w:proofErr w:type="spellEnd"/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or even </w:t>
      </w:r>
      <w:r w:rsidR="008D105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</w:t>
      </w:r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Grotius. </w:t>
      </w:r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 the</w:t>
      </w:r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question of what makes natural law “natural”</w:t>
      </w:r>
      <w:r w:rsidR="00055F8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9820F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for </w:t>
      </w:r>
      <w:proofErr w:type="spellStart"/>
      <w:r w:rsidR="00055F8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Achenwall</w:t>
      </w:r>
      <w:proofErr w:type="spellEnd"/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proofErr w:type="spellStart"/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8430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gives a more distinctive answer, which seems to lean on the modern development of the tradition of </w:t>
      </w:r>
      <w:r w:rsidR="00065331" w:rsidRPr="0006533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recta ratio</w:t>
      </w:r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which claims </w:t>
      </w:r>
      <w:r w:rsidR="009820F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</w:t>
      </w:r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difference between </w:t>
      </w:r>
      <w:r w:rsidR="00065331" w:rsidRPr="0006533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human reason</w:t>
      </w:r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</w:t>
      </w:r>
      <w:r w:rsidR="00065331" w:rsidRPr="00065331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divine reason</w:t>
      </w:r>
      <w:r w:rsidR="003861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Although f</w:t>
      </w:r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ollowing Jan </w:t>
      </w:r>
      <w:proofErr w:type="spellStart"/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Schröder’</w:t>
      </w:r>
      <w:r w:rsidR="00DB17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proofErr w:type="spellEnd"/>
      <w:r w:rsidR="00DB17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understanding of natural right as</w:t>
      </w:r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 attempt to develop a complete system from reason alone, </w:t>
      </w:r>
      <w:proofErr w:type="spellStart"/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065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861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claims that natural right has</w:t>
      </w:r>
      <w:r w:rsidR="00DB17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 div</w:t>
      </w:r>
      <w:r w:rsidR="003861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ine foundation. </w:t>
      </w:r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 refers to</w:t>
      </w:r>
      <w:r w:rsidR="00DB17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DB172D" w:rsidRPr="00DB172D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Institutes of Divine Jurisprudence</w:t>
      </w:r>
      <w:r w:rsidR="00863F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where</w:t>
      </w:r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Thomasius</w:t>
      </w:r>
      <w:proofErr w:type="spellEnd"/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follows the</w:t>
      </w:r>
      <w:r w:rsidR="00DB17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origin of human</w:t>
      </w:r>
      <w:r w:rsidR="00863F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reason and</w:t>
      </w:r>
      <w:r w:rsidR="000457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863F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human nature</w:t>
      </w:r>
      <w:r w:rsidR="000457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the divine or natural reason</w:t>
      </w:r>
      <w:r w:rsidR="00DB17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But </w:t>
      </w:r>
      <w:proofErr w:type="spellStart"/>
      <w:r w:rsidR="00DB17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Schröder</w:t>
      </w:r>
      <w:r w:rsidR="00863F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’s</w:t>
      </w:r>
      <w:proofErr w:type="spellEnd"/>
      <w:r w:rsidR="00863F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reference</w:t>
      </w:r>
      <w:r w:rsidR="00DB17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natural right, not natural law</w:t>
      </w:r>
      <w:r w:rsidR="000457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points 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 how</w:t>
      </w:r>
      <w:r w:rsidR="000457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modern philosophy claims </w:t>
      </w:r>
      <w:r w:rsidR="00045774" w:rsidRPr="00045774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natural right</w:t>
      </w:r>
      <w:r w:rsidR="000457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(and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in this respect,</w:t>
      </w:r>
      <w:r w:rsidR="000457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moral theory) as a secular </w:t>
      </w:r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theory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457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without a need for external validation of its normativity even if, considered as a </w:t>
      </w:r>
      <w:r w:rsidR="00045774" w:rsidRPr="00045774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natural law</w:t>
      </w:r>
      <w:r w:rsidR="000457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it is bo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</w:t>
      </w:r>
      <w:r w:rsidR="0004577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nd to a divine origin. </w:t>
      </w:r>
      <w:r w:rsidR="00BD5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Without considering thi</w:t>
      </w:r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s, </w:t>
      </w:r>
      <w:proofErr w:type="spellStart"/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concludes</w:t>
      </w:r>
      <w:r w:rsidR="00BD5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that Kant’s achievement 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is </w:t>
      </w:r>
      <w:r w:rsidR="00BD5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 understand reason without need of external validation, even if </w:t>
      </w:r>
      <w:proofErr w:type="spellStart"/>
      <w:r w:rsidR="00BD5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BD5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BD5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admits that Kant’s position </w:t>
      </w:r>
      <w:r w:rsidR="00156F9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156F9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 </w:t>
      </w:r>
      <w:r w:rsidR="00156F9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certain exten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t,</w:t>
      </w:r>
      <w:r w:rsidR="00BD5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“a radicalization of the tendency of the modern natural law tradition”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(p. xxiii)</w:t>
      </w:r>
      <w:r w:rsidR="00BD5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</w:p>
    <w:p w14:paraId="46FACD7E" w14:textId="4FDDA2D7" w:rsidR="00FF717D" w:rsidRDefault="00156F9C" w:rsidP="000E44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the rest of the introduction,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D660C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goes in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</w:t>
      </w:r>
      <w:r w:rsidR="00D660C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detail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provides</w:t>
      </w:r>
      <w:r w:rsidR="00735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4230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due to </w:t>
      </w:r>
      <w:r w:rsidR="00735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his excellent expertise in Kant,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 solid and clear </w:t>
      </w:r>
      <w:r w:rsidR="00D660C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evaluation of the way in which Kant refines Achenwall’</w:t>
      </w:r>
      <w:r w:rsidR="00735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 theory</w:t>
      </w:r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735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6125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 gives</w:t>
      </w:r>
      <w:r w:rsidR="008B7A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three examples: first, Kant’s reduction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B5C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natural and innat</w:t>
      </w:r>
      <w:r w:rsidR="00D660C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 rights to the right to preserve </w:t>
      </w:r>
      <w:r w:rsidR="003B5C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one’s </w:t>
      </w:r>
      <w:r w:rsidR="00D660C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own freedom</w:t>
      </w:r>
      <w:r w:rsidR="003B5C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</w:t>
      </w:r>
      <w:r w:rsidR="00D660C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8B7A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second, his demand of justification for the necessity of coercion</w:t>
      </w:r>
      <w:r w:rsidR="003B5C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</w:t>
      </w:r>
      <w:r w:rsidR="008B7A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third, his</w:t>
      </w:r>
      <w:r w:rsidR="00735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understanding of marriage (</w:t>
      </w:r>
      <w:r w:rsidR="008B7A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which aims to overcome social hierarchies</w:t>
      </w:r>
      <w:r w:rsidR="00735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8B7A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of the rel</w:t>
      </w:r>
      <w:r w:rsidR="00735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ation between church and state (</w:t>
      </w:r>
      <w:r w:rsidR="008B7A5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which includes mutual independence from each other in order not only 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 secure the liberty of every individual but also to secure the fr</w:t>
      </w:r>
      <w:r w:rsidR="00735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eedom of thought and speech, 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and in this way to enable a society to </w:t>
      </w:r>
      <w:r w:rsidR="003B5C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undergo 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cultural and intellectual development). In all </w:t>
      </w:r>
      <w:r w:rsidR="003B5C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three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regards, </w:t>
      </w:r>
      <w:proofErr w:type="spellStart"/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Guyer</w:t>
      </w:r>
      <w:proofErr w:type="spellEnd"/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shows very convincing</w:t>
      </w:r>
      <w:r w:rsidR="003B5C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ly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how productive </w:t>
      </w:r>
      <w:r w:rsidR="003B5C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Kant’s 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</w:t>
      </w:r>
      <w:r w:rsidR="007359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 with Achenwall’s text was for </w:t>
      </w:r>
      <w:r w:rsidR="003B5C5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his 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own theory. </w:t>
      </w:r>
    </w:p>
    <w:p w14:paraId="2A4BF8BC" w14:textId="1CAB89E4" w:rsidR="00644AD2" w:rsidRDefault="00BD5375" w:rsidP="000E44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="00521D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following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part of the edition is the impressive t</w:t>
      </w:r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ranslation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Achenwall’</w:t>
      </w:r>
      <w:r w:rsidR="00E43BD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text by Corinna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Vermeulen</w:t>
      </w:r>
      <w:proofErr w:type="spellEnd"/>
      <w:r w:rsidR="00136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73192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It is accompanied by helpful remarks</w:t>
      </w:r>
      <w:r w:rsidR="00521D0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explaining</w:t>
      </w:r>
      <w:r w:rsidR="00786D6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necessity of some improvements </w:t>
      </w:r>
      <w:r w:rsidR="00085D3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 typography or bibliographical entries given by Achenwall </w:t>
      </w:r>
      <w:r w:rsidR="00615D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 well as </w:t>
      </w:r>
      <w:r w:rsidR="00644AD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how</w:t>
      </w:r>
      <w:r w:rsidR="00615D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Achenwall’s not always very consistent use of technical terms</w:t>
      </w:r>
      <w:r w:rsidR="00644AD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have been dealt with</w:t>
      </w:r>
      <w:r w:rsidR="00615D1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7716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translation </w:t>
      </w:r>
      <w:r w:rsidR="00085D3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includ</w:t>
      </w:r>
      <w:r w:rsidR="00644AD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</w:t>
      </w:r>
      <w:r w:rsidR="007716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corresponding pages in the original editions of part I and part II and the ed</w:t>
      </w:r>
      <w:r w:rsidR="007643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ition of</w:t>
      </w:r>
      <w:r w:rsidR="007716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part </w:t>
      </w:r>
      <w:r w:rsidR="007643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II </w:t>
      </w:r>
      <w:r w:rsidR="007716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published in</w:t>
      </w:r>
      <w:r w:rsidR="007643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volume 19 (1934) of the</w:t>
      </w:r>
      <w:r w:rsidR="007716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="007716F2" w:rsidRPr="00085D3D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Akademie-Ausgabe</w:t>
      </w:r>
      <w:proofErr w:type="spellEnd"/>
      <w:r w:rsidR="00615D1F" w:rsidRPr="00085D3D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 </w:t>
      </w:r>
      <w:r w:rsidR="007716F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of Kant’</w:t>
      </w:r>
      <w:r w:rsidR="007643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 works</w:t>
      </w:r>
      <w:r w:rsidR="00644AD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7643D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is in this way very useful to schola</w:t>
      </w:r>
      <w:r w:rsidR="00085D3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rs working on Achenwall’s text.</w:t>
      </w:r>
    </w:p>
    <w:p w14:paraId="1EAA3A16" w14:textId="4C8C6A2B" w:rsidR="00854AF8" w:rsidRDefault="007643D5" w:rsidP="000E44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following topical and ch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ronological concordance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indexes of names and subjects – Latin-English and English-Latin –</w:t>
      </w:r>
      <w:r w:rsidR="00644AD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complet</w:t>
      </w:r>
      <w:r w:rsidR="00644AD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edition in a sens</w:t>
      </w:r>
      <w:r w:rsidR="00085D3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ible way. The only problem with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concordance is </w:t>
      </w:r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lack of adaptation of the different English translations of the topics in Achenwall’s text and Kant’s lectures</w:t>
      </w:r>
      <w:r w:rsidR="00644AD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on</w:t>
      </w:r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="00A66EAE" w:rsidRPr="00A66EAE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Naturrecht</w:t>
      </w:r>
      <w:proofErr w:type="spellEnd"/>
      <w:r w:rsidR="00A66EAE" w:rsidRPr="00A66EAE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 xml:space="preserve"> </w:t>
      </w:r>
      <w:proofErr w:type="spellStart"/>
      <w:r w:rsidR="00A66EAE" w:rsidRPr="00A66EAE">
        <w:rPr>
          <w:rFonts w:ascii="Times New Roman" w:eastAsia="Times New Roman" w:hAnsi="Times New Roman" w:cs="Times New Roman"/>
          <w:i/>
          <w:sz w:val="24"/>
          <w:szCs w:val="24"/>
          <w:lang w:val="en-US" w:eastAsia="de-DE"/>
        </w:rPr>
        <w:t>Feyerabend</w:t>
      </w:r>
      <w:proofErr w:type="spellEnd"/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While in both of them the </w:t>
      </w:r>
      <w:r w:rsidR="00085D3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original </w:t>
      </w:r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topics</w:t>
      </w:r>
      <w:r w:rsidR="00085D3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are in Latin, it would be useful</w:t>
      </w:r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translate the same terms in Latin with the </w:t>
      </w:r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same </w:t>
      </w:r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terms in English. For example in the last topic of part I, the Latin term in </w:t>
      </w:r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both </w:t>
      </w:r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Ache</w:t>
      </w:r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</w:t>
      </w:r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wall and Kant is </w:t>
      </w:r>
      <w:r w:rsidR="00A66EAE" w:rsidRPr="00085D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e-DE"/>
        </w:rPr>
        <w:t>lites finiendi</w:t>
      </w:r>
      <w:r w:rsidR="008D71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but the Eng</w:t>
      </w:r>
      <w:r w:rsidR="008D71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lish tran</w:t>
      </w:r>
      <w:r w:rsidR="00085D3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slation differs</w:t>
      </w:r>
      <w:r w:rsidR="00A66EA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“The ways to end a dispute” (Achenwall) and “</w:t>
      </w:r>
      <w:r w:rsidR="00854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Of the ways of determining lawsuits” (Kant). Neverthe</w:t>
      </w:r>
      <w:r w:rsidR="008D71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less, this is </w:t>
      </w:r>
      <w:r w:rsidR="00391D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very helpful</w:t>
      </w:r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index</w:t>
      </w:r>
      <w:r w:rsidR="00854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especially in regard to the </w:t>
      </w:r>
      <w:r w:rsidR="00391D6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provided concordance with the </w:t>
      </w:r>
      <w:r w:rsidR="00854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references </w:t>
      </w:r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 </w:t>
      </w:r>
      <w:r w:rsidR="00854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Kant’s reflecti</w:t>
      </w:r>
      <w:r w:rsidR="00085D3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ons on the topics</w:t>
      </w:r>
      <w:r w:rsidR="00854AF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</w:p>
    <w:p w14:paraId="03831345" w14:textId="2E8D3C88" w:rsidR="002778BE" w:rsidRDefault="00391D61" w:rsidP="000E44B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All </w:t>
      </w:r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six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parts of this edition contribute to this really valuable outcome. 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 someone interested 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not only in Kant but also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the history of legal and political philosophy, I would 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like to be instructed more </w:t>
      </w:r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regarding 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specifics of Achenwall’s</w:t>
      </w:r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version of natural law compared to other versions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As Stephan </w:t>
      </w:r>
      <w:proofErr w:type="spellStart"/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Pütt</w:t>
      </w:r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er</w:t>
      </w:r>
      <w:proofErr w:type="spellEnd"/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notes </w:t>
      </w:r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his history of the University of </w:t>
      </w:r>
      <w:proofErr w:type="spellStart"/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Göttingen</w:t>
      </w:r>
      <w:proofErr w:type="spellEnd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(1765 p. 297)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at the same time as </w:t>
      </w:r>
      <w:proofErr w:type="spellStart"/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Achenwall</w:t>
      </w:r>
      <w:proofErr w:type="spellEnd"/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Georg Christian </w:t>
      </w:r>
      <w:proofErr w:type="spellStart"/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Gebauer</w:t>
      </w:r>
      <w:proofErr w:type="spellEnd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(1690-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1773)</w:t>
      </w:r>
      <w:r w:rsidR="007F6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held 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lectures on natural law following 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Nicolaus Hieronymus </w:t>
      </w:r>
      <w:proofErr w:type="spellStart"/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Gundling’s</w:t>
      </w:r>
      <w:proofErr w:type="spellEnd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(1671-1729)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E812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account of natural law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Gustav Bernhard Beck</w:t>
      </w:r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mann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(1720-1783)</w:t>
      </w:r>
      <w:r w:rsidR="0092500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he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ld lectures on natural law fol</w:t>
      </w:r>
      <w:r w:rsidR="00E812C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lowing Christian Wolff’s account</w:t>
      </w:r>
      <w:r w:rsidR="003654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Indeed, this would only serve to underline </w:t>
      </w:r>
      <w:proofErr w:type="spellStart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Achenwall’s</w:t>
      </w:r>
      <w:proofErr w:type="spellEnd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originality by </w:t>
      </w:r>
      <w:proofErr w:type="spellStart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comparsion</w:t>
      </w:r>
      <w:proofErr w:type="spellEnd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in spite of his early reliance on Grotius and </w:t>
      </w:r>
      <w:proofErr w:type="spellStart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Pufendorf</w:t>
      </w:r>
      <w:proofErr w:type="spellEnd"/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It is in any case to be hoped that the present edition will provide a needed stimulus, and not only for Kant scholars, for more research into the development of natural law theory before Kant</w:t>
      </w:r>
      <w:r w:rsid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6A5AE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14:paraId="5686F729" w14:textId="77777777" w:rsidR="003B3534" w:rsidRDefault="003B3534" w:rsidP="003B35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2C4C979" w14:textId="77777777" w:rsidR="003B3534" w:rsidRPr="003B3534" w:rsidRDefault="003B3534" w:rsidP="003B353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B3534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Katerina </w:t>
      </w:r>
      <w:proofErr w:type="spellStart"/>
      <w:r w:rsidRPr="003B3534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Mihaylova</w:t>
      </w:r>
      <w:proofErr w:type="spellEnd"/>
    </w:p>
    <w:p w14:paraId="2271D7D0" w14:textId="77777777" w:rsidR="003B3534" w:rsidRDefault="003B3534" w:rsidP="003B35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Martin-Luther-University Halle-Wittenberg, Seminar for Philosophy</w:t>
      </w:r>
    </w:p>
    <w:p w14:paraId="04710A87" w14:textId="77777777" w:rsidR="003B3534" w:rsidRDefault="003B3534" w:rsidP="003B35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katerina.mihaylova@phil.uni-halle.de</w:t>
      </w:r>
    </w:p>
    <w:p w14:paraId="7FAD86D9" w14:textId="77777777" w:rsidR="006A5AEC" w:rsidRDefault="006A5AEC" w:rsidP="002778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3F1B40AC" w14:textId="77777777" w:rsidR="003B3534" w:rsidRPr="003B3534" w:rsidRDefault="003B3534" w:rsidP="002778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3B3534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References</w:t>
      </w:r>
    </w:p>
    <w:p w14:paraId="057F83FE" w14:textId="4EF58D6D" w:rsidR="00AB0B71" w:rsidRDefault="00AB0B71" w:rsidP="002778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Achenwall</w:t>
      </w:r>
      <w:proofErr w:type="spellEnd"/>
      <w:r w:rsidRP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Gottfried and </w:t>
      </w:r>
      <w:proofErr w:type="spellStart"/>
      <w:r w:rsidRP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Pütter</w:t>
      </w:r>
      <w:proofErr w:type="spellEnd"/>
      <w:r w:rsidRP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Johann S</w:t>
      </w:r>
      <w:bookmarkStart w:id="1" w:name="_GoBack"/>
      <w:bookmarkEnd w:id="1"/>
      <w:r w:rsidRP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tephan. </w:t>
      </w:r>
      <w:r w:rsidRPr="00AB0B7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Anfangsgründe des Naturrechts (Elementa iuris naturae). </w:t>
      </w:r>
      <w:r w:rsidRP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Edited and translated by Jan </w:t>
      </w:r>
      <w:proofErr w:type="spellStart"/>
      <w:r w:rsidRP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Schröder</w:t>
      </w:r>
      <w:proofErr w:type="spellEnd"/>
      <w:r w:rsidRPr="00AB0B7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Frankfurt am Main 1995 [1750].</w:t>
      </w:r>
    </w:p>
    <w:p w14:paraId="138CDA7B" w14:textId="77777777" w:rsidR="006A5AEC" w:rsidRDefault="00D36E90" w:rsidP="002778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4136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Pütter</w:t>
      </w:r>
      <w:proofErr w:type="spellEnd"/>
      <w:r w:rsidRPr="0064136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Johann Stephan. </w:t>
      </w:r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Versuch einer </w:t>
      </w:r>
      <w:proofErr w:type="spellStart"/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accademischen</w:t>
      </w:r>
      <w:proofErr w:type="spellEnd"/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Gelehrten=Geschichte von der Georg=Augustus=Universität zu Göttingen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Göttingen 1765.</w:t>
      </w:r>
    </w:p>
    <w:p w14:paraId="1DA66BEA" w14:textId="77777777" w:rsidR="00D36E90" w:rsidRDefault="00D36E90" w:rsidP="00D36E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36E90">
        <w:rPr>
          <w:rFonts w:ascii="Times New Roman" w:eastAsia="Times New Roman" w:hAnsi="Times New Roman" w:cs="Times New Roman"/>
          <w:sz w:val="24"/>
          <w:szCs w:val="24"/>
          <w:lang w:eastAsia="de-DE"/>
        </w:rPr>
        <w:t>Pütter</w:t>
      </w:r>
      <w:proofErr w:type="spellEnd"/>
      <w:r w:rsidRPr="00D36E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Johann Stephan. </w:t>
      </w:r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Versuch einer </w:t>
      </w:r>
      <w:proofErr w:type="spellStart"/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accademischen</w:t>
      </w:r>
      <w:proofErr w:type="spellEnd"/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Gelehrten=Geschichte von der Georg=Augustus=Universität zu Göttingen. Göttingen. </w:t>
      </w:r>
      <w:proofErr w:type="spellStart"/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Zweyter</w:t>
      </w:r>
      <w:proofErr w:type="spellEnd"/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Theil</w:t>
      </w:r>
      <w:proofErr w:type="spellEnd"/>
      <w:r w:rsidRPr="00D36E9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1765-1788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Göttingen 1788.</w:t>
      </w:r>
    </w:p>
    <w:p w14:paraId="1486B193" w14:textId="77777777" w:rsidR="003B3534" w:rsidRPr="00D36E90" w:rsidRDefault="003B3534" w:rsidP="00D36E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Streidel, Paul. </w:t>
      </w:r>
      <w:r w:rsidRPr="003B353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Naturrecht, Staatswissenschaften und Politisierung bei Gottfried </w:t>
      </w:r>
      <w:proofErr w:type="spellStart"/>
      <w:r w:rsidRPr="003B353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Achenwall</w:t>
      </w:r>
      <w:proofErr w:type="spellEnd"/>
      <w:r w:rsidRPr="003B353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(1719-1772)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Munich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2003. </w:t>
      </w:r>
    </w:p>
    <w:p w14:paraId="0E570569" w14:textId="77777777" w:rsidR="00D36E90" w:rsidRPr="00D36E90" w:rsidRDefault="00D36E90" w:rsidP="002778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D36E90" w:rsidRPr="00D36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a Ezekiel" w:date="2020-08-11T09:55:00Z" w:initials="AE">
    <w:p w14:paraId="31A3DDB2" w14:textId="1B7964A0" w:rsidR="007D116D" w:rsidRPr="000E44BA" w:rsidRDefault="007D116D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0E44BA">
        <w:rPr>
          <w:lang w:val="en-US"/>
        </w:rPr>
        <w:t>I would use „attempt“ – I think „tries“ sounds a bit more like a failed effort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A3DD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E719" w16cex:dateUtc="2020-08-11T01:44:00Z"/>
  <w16cex:commentExtensible w16cex:durableId="22DCE754" w16cex:dateUtc="2020-08-11T01:45:00Z"/>
  <w16cex:commentExtensible w16cex:durableId="22DCE869" w16cex:dateUtc="2020-08-11T01:50:00Z"/>
  <w16cex:commentExtensible w16cex:durableId="22DCE7C0" w16cex:dateUtc="2020-08-11T01:47:00Z"/>
  <w16cex:commentExtensible w16cex:durableId="22DCE815" w16cex:dateUtc="2020-08-11T01:49:00Z"/>
  <w16cex:commentExtensible w16cex:durableId="22DCE8FA" w16cex:dateUtc="2020-08-11T01:52:00Z"/>
  <w16cex:commentExtensible w16cex:durableId="22DCE8D7" w16cex:dateUtc="2020-08-11T01:52:00Z"/>
  <w16cex:commentExtensible w16cex:durableId="22DCE94B" w16cex:dateUtc="2020-08-11T01:54:00Z"/>
  <w16cex:commentExtensible w16cex:durableId="22DCE981" w16cex:dateUtc="2020-08-11T01:55:00Z"/>
  <w16cex:commentExtensible w16cex:durableId="22DCE99E" w16cex:dateUtc="2020-08-11T01:55:00Z"/>
  <w16cex:commentExtensible w16cex:durableId="22DCEA02" w16cex:dateUtc="2020-08-11T01:57:00Z"/>
  <w16cex:commentExtensible w16cex:durableId="22DCEA1E" w16cex:dateUtc="2020-08-11T01:57:00Z"/>
  <w16cex:commentExtensible w16cex:durableId="22DCEA51" w16cex:dateUtc="2020-08-11T01:58:00Z"/>
  <w16cex:commentExtensible w16cex:durableId="22DCEA97" w16cex:dateUtc="2020-08-11T01:59:00Z"/>
  <w16cex:commentExtensible w16cex:durableId="22DCEC19" w16cex:dateUtc="2020-08-11T02:06:00Z"/>
  <w16cex:commentExtensible w16cex:durableId="22DCEBCF" w16cex:dateUtc="2020-08-11T02:05:00Z"/>
  <w16cex:commentExtensible w16cex:durableId="22DCEBD6" w16cex:dateUtc="2020-08-11T02:05:00Z"/>
  <w16cex:commentExtensible w16cex:durableId="22DCEC78" w16cex:dateUtc="2020-08-11T02:07:00Z"/>
  <w16cex:commentExtensible w16cex:durableId="22DCEC83" w16cex:dateUtc="2020-08-11T02:08:00Z"/>
  <w16cex:commentExtensible w16cex:durableId="22DCEC9D" w16cex:dateUtc="2020-08-11T02:08:00Z"/>
  <w16cex:commentExtensible w16cex:durableId="22DCECE5" w16cex:dateUtc="2020-08-11T02:09:00Z"/>
  <w16cex:commentExtensible w16cex:durableId="22DCED2B" w16cex:dateUtc="2020-08-11T02:10:00Z"/>
  <w16cex:commentExtensible w16cex:durableId="22DCED78" w16cex:dateUtc="2020-08-11T02:12:00Z"/>
  <w16cex:commentExtensible w16cex:durableId="22DCEDCD" w16cex:dateUtc="2020-08-11T02:13:00Z"/>
  <w16cex:commentExtensible w16cex:durableId="22DCEDD9" w16cex:dateUtc="2020-08-11T02:13:00Z"/>
  <w16cex:commentExtensible w16cex:durableId="22DCEE20" w16cex:dateUtc="2020-08-11T0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A4D44E" w16cid:durableId="22DCE719"/>
  <w16cid:commentId w16cid:paraId="03718137" w16cid:durableId="22DCE754"/>
  <w16cid:commentId w16cid:paraId="236A95B9" w16cid:durableId="22DCE869"/>
  <w16cid:commentId w16cid:paraId="1D679E46" w16cid:durableId="22DCE7C0"/>
  <w16cid:commentId w16cid:paraId="34C4E763" w16cid:durableId="22DCE815"/>
  <w16cid:commentId w16cid:paraId="418514F7" w16cid:durableId="22DCE8FA"/>
  <w16cid:commentId w16cid:paraId="3951CABE" w16cid:durableId="22DCE8D7"/>
  <w16cid:commentId w16cid:paraId="07937B4F" w16cid:durableId="22DCE94B"/>
  <w16cid:commentId w16cid:paraId="31A3DDB2" w16cid:durableId="22DCE981"/>
  <w16cid:commentId w16cid:paraId="1CC4F89F" w16cid:durableId="22DCE99E"/>
  <w16cid:commentId w16cid:paraId="0C6B9116" w16cid:durableId="22DCEA02"/>
  <w16cid:commentId w16cid:paraId="61D9F812" w16cid:durableId="22DCEA1E"/>
  <w16cid:commentId w16cid:paraId="47CAE010" w16cid:durableId="22DCEA51"/>
  <w16cid:commentId w16cid:paraId="726FFA95" w16cid:durableId="22DCEA97"/>
  <w16cid:commentId w16cid:paraId="4087EF5C" w16cid:durableId="22DCEC19"/>
  <w16cid:commentId w16cid:paraId="5CB5C94B" w16cid:durableId="22DCEBCF"/>
  <w16cid:commentId w16cid:paraId="43714998" w16cid:durableId="22DCEBD6"/>
  <w16cid:commentId w16cid:paraId="57EBC0BD" w16cid:durableId="22DCEC78"/>
  <w16cid:commentId w16cid:paraId="3765636E" w16cid:durableId="22DCEC83"/>
  <w16cid:commentId w16cid:paraId="65B98CB4" w16cid:durableId="22DCEC9D"/>
  <w16cid:commentId w16cid:paraId="1DCCEADF" w16cid:durableId="22DCECE5"/>
  <w16cid:commentId w16cid:paraId="061F22F5" w16cid:durableId="22DCED2B"/>
  <w16cid:commentId w16cid:paraId="60DA0565" w16cid:durableId="22DCED78"/>
  <w16cid:commentId w16cid:paraId="052BE307" w16cid:durableId="22DCEDCD"/>
  <w16cid:commentId w16cid:paraId="7C8505C0" w16cid:durableId="22DCEDD9"/>
  <w16cid:commentId w16cid:paraId="483CEDCC" w16cid:durableId="22DCEE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Ezekiel">
    <w15:presenceInfo w15:providerId="Windows Live" w15:userId="22ddf117a9530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87"/>
    <w:rsid w:val="0000226C"/>
    <w:rsid w:val="00024987"/>
    <w:rsid w:val="00045774"/>
    <w:rsid w:val="00055F8D"/>
    <w:rsid w:val="00065331"/>
    <w:rsid w:val="00065D86"/>
    <w:rsid w:val="00085D3D"/>
    <w:rsid w:val="000D49B4"/>
    <w:rsid w:val="000E44BA"/>
    <w:rsid w:val="000E6464"/>
    <w:rsid w:val="00126F6E"/>
    <w:rsid w:val="00136927"/>
    <w:rsid w:val="00156F9C"/>
    <w:rsid w:val="001C243C"/>
    <w:rsid w:val="001D105A"/>
    <w:rsid w:val="001E0CAA"/>
    <w:rsid w:val="001E2E0B"/>
    <w:rsid w:val="001E7E93"/>
    <w:rsid w:val="001F0AA7"/>
    <w:rsid w:val="0020282F"/>
    <w:rsid w:val="0021253D"/>
    <w:rsid w:val="00275279"/>
    <w:rsid w:val="002778BE"/>
    <w:rsid w:val="002A0A48"/>
    <w:rsid w:val="002B5EC7"/>
    <w:rsid w:val="002D68C4"/>
    <w:rsid w:val="002E1C10"/>
    <w:rsid w:val="002E5537"/>
    <w:rsid w:val="003112E8"/>
    <w:rsid w:val="003316F6"/>
    <w:rsid w:val="0033547E"/>
    <w:rsid w:val="003654CC"/>
    <w:rsid w:val="00386180"/>
    <w:rsid w:val="00391D61"/>
    <w:rsid w:val="003A1BEC"/>
    <w:rsid w:val="003B3534"/>
    <w:rsid w:val="003B5C57"/>
    <w:rsid w:val="003C1567"/>
    <w:rsid w:val="003D0EAA"/>
    <w:rsid w:val="003E3A98"/>
    <w:rsid w:val="0040241A"/>
    <w:rsid w:val="004032BC"/>
    <w:rsid w:val="00417139"/>
    <w:rsid w:val="004230FE"/>
    <w:rsid w:val="00476E2A"/>
    <w:rsid w:val="004852DE"/>
    <w:rsid w:val="00485969"/>
    <w:rsid w:val="004D1A60"/>
    <w:rsid w:val="004D3933"/>
    <w:rsid w:val="004E7549"/>
    <w:rsid w:val="00521D0E"/>
    <w:rsid w:val="005531C5"/>
    <w:rsid w:val="005802B9"/>
    <w:rsid w:val="005E5F2F"/>
    <w:rsid w:val="00600D66"/>
    <w:rsid w:val="00600E8A"/>
    <w:rsid w:val="00612571"/>
    <w:rsid w:val="00615D1F"/>
    <w:rsid w:val="006209E3"/>
    <w:rsid w:val="006351B3"/>
    <w:rsid w:val="00641363"/>
    <w:rsid w:val="00644AD2"/>
    <w:rsid w:val="00662367"/>
    <w:rsid w:val="00677A43"/>
    <w:rsid w:val="00682693"/>
    <w:rsid w:val="006A5AEC"/>
    <w:rsid w:val="0071639E"/>
    <w:rsid w:val="00731927"/>
    <w:rsid w:val="007359F8"/>
    <w:rsid w:val="00737B1B"/>
    <w:rsid w:val="007643D5"/>
    <w:rsid w:val="007716F2"/>
    <w:rsid w:val="0077451E"/>
    <w:rsid w:val="00786D6D"/>
    <w:rsid w:val="007927A0"/>
    <w:rsid w:val="007D116D"/>
    <w:rsid w:val="007F6FE4"/>
    <w:rsid w:val="008123F5"/>
    <w:rsid w:val="008430AF"/>
    <w:rsid w:val="00852C58"/>
    <w:rsid w:val="00854AF8"/>
    <w:rsid w:val="00863FF2"/>
    <w:rsid w:val="00867786"/>
    <w:rsid w:val="0087185D"/>
    <w:rsid w:val="00891578"/>
    <w:rsid w:val="008A1651"/>
    <w:rsid w:val="008B3885"/>
    <w:rsid w:val="008B7A54"/>
    <w:rsid w:val="008D105B"/>
    <w:rsid w:val="008D714B"/>
    <w:rsid w:val="008F7572"/>
    <w:rsid w:val="0092500B"/>
    <w:rsid w:val="00946E7A"/>
    <w:rsid w:val="00951E52"/>
    <w:rsid w:val="009577A7"/>
    <w:rsid w:val="009811FB"/>
    <w:rsid w:val="009820F9"/>
    <w:rsid w:val="00992CEF"/>
    <w:rsid w:val="0099366E"/>
    <w:rsid w:val="009C711E"/>
    <w:rsid w:val="009D0C2D"/>
    <w:rsid w:val="00A35C36"/>
    <w:rsid w:val="00A50464"/>
    <w:rsid w:val="00A66EAE"/>
    <w:rsid w:val="00AB0B71"/>
    <w:rsid w:val="00AB34D7"/>
    <w:rsid w:val="00AC5754"/>
    <w:rsid w:val="00AD1D12"/>
    <w:rsid w:val="00AD2367"/>
    <w:rsid w:val="00B0285E"/>
    <w:rsid w:val="00B52C2D"/>
    <w:rsid w:val="00B95689"/>
    <w:rsid w:val="00BA4D51"/>
    <w:rsid w:val="00BD5375"/>
    <w:rsid w:val="00C3378A"/>
    <w:rsid w:val="00CA7834"/>
    <w:rsid w:val="00CD221C"/>
    <w:rsid w:val="00D360A9"/>
    <w:rsid w:val="00D36E90"/>
    <w:rsid w:val="00D57805"/>
    <w:rsid w:val="00D660CF"/>
    <w:rsid w:val="00D96A7F"/>
    <w:rsid w:val="00DB172D"/>
    <w:rsid w:val="00DB75D1"/>
    <w:rsid w:val="00DC5B21"/>
    <w:rsid w:val="00DD573C"/>
    <w:rsid w:val="00E43BDD"/>
    <w:rsid w:val="00E74D2E"/>
    <w:rsid w:val="00E812C0"/>
    <w:rsid w:val="00E920FE"/>
    <w:rsid w:val="00E95162"/>
    <w:rsid w:val="00EA1087"/>
    <w:rsid w:val="00EA1714"/>
    <w:rsid w:val="00F002D5"/>
    <w:rsid w:val="00F16C9D"/>
    <w:rsid w:val="00F3567A"/>
    <w:rsid w:val="00F735CE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69DB"/>
  <w15:chartTrackingRefBased/>
  <w15:docId w15:val="{AE073FF3-E2A2-4936-BC86-22D5BBCC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A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A4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A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A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A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A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A4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8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</dc:creator>
  <cp:keywords/>
  <dc:description/>
  <cp:lastModifiedBy>Katerina M</cp:lastModifiedBy>
  <cp:revision>4</cp:revision>
  <dcterms:created xsi:type="dcterms:W3CDTF">2020-08-11T13:21:00Z</dcterms:created>
  <dcterms:modified xsi:type="dcterms:W3CDTF">2021-01-18T15:07:00Z</dcterms:modified>
</cp:coreProperties>
</file>