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F6A57" w14:textId="77777777" w:rsidR="00A02670" w:rsidRPr="00D06097" w:rsidRDefault="00A02670" w:rsidP="002A23EE">
      <w:pPr>
        <w:ind w:firstLine="0"/>
        <w:jc w:val="center"/>
        <w:rPr>
          <w:rFonts w:ascii="Palatino Linotype" w:hAnsi="Palatino Linotype"/>
          <w:b/>
          <w:bCs/>
        </w:rPr>
      </w:pPr>
      <w:r w:rsidRPr="00D06097">
        <w:rPr>
          <w:rFonts w:ascii="Palatino Linotype" w:hAnsi="Palatino Linotype"/>
          <w:b/>
          <w:bCs/>
        </w:rPr>
        <w:t xml:space="preserve">Evil and Embodiment: Towards a </w:t>
      </w:r>
      <w:r w:rsidR="00781DF8" w:rsidRPr="00D06097">
        <w:rPr>
          <w:rFonts w:ascii="Palatino Linotype" w:hAnsi="Palatino Linotype"/>
          <w:b/>
          <w:bCs/>
        </w:rPr>
        <w:t>Latter-day</w:t>
      </w:r>
      <w:r w:rsidRPr="00D06097">
        <w:rPr>
          <w:rFonts w:ascii="Palatino Linotype" w:hAnsi="Palatino Linotype"/>
          <w:b/>
          <w:bCs/>
        </w:rPr>
        <w:t xml:space="preserve"> Saint Non-Identity Theodicy</w:t>
      </w:r>
    </w:p>
    <w:p w14:paraId="318F5F4D" w14:textId="77777777" w:rsidR="0088353A" w:rsidRPr="00D06097" w:rsidRDefault="003E297A" w:rsidP="002A23EE">
      <w:pPr>
        <w:ind w:firstLine="0"/>
        <w:jc w:val="center"/>
        <w:rPr>
          <w:rFonts w:ascii="Palatino Linotype" w:hAnsi="Palatino Linotype"/>
          <w:b/>
          <w:bCs/>
        </w:rPr>
      </w:pPr>
      <w:r w:rsidRPr="00D06097">
        <w:rPr>
          <w:rFonts w:ascii="Palatino Linotype" w:hAnsi="Palatino Linotype"/>
          <w:b/>
          <w:bCs/>
        </w:rPr>
        <w:t xml:space="preserve"> </w:t>
      </w:r>
    </w:p>
    <w:p w14:paraId="6447E2B0" w14:textId="77777777" w:rsidR="00A619A5" w:rsidRPr="00D06097" w:rsidRDefault="00A619A5" w:rsidP="002A23EE">
      <w:pPr>
        <w:spacing w:after="0"/>
        <w:rPr>
          <w:rFonts w:ascii="Palatino Linotype" w:hAnsi="Palatino Linotype"/>
        </w:rPr>
      </w:pPr>
    </w:p>
    <w:p w14:paraId="34D07259" w14:textId="77777777" w:rsidR="00A02670" w:rsidRPr="00D06097" w:rsidRDefault="00A02670" w:rsidP="002A23EE">
      <w:pPr>
        <w:pStyle w:val="ListParagraph"/>
        <w:numPr>
          <w:ilvl w:val="0"/>
          <w:numId w:val="2"/>
        </w:numPr>
        <w:rPr>
          <w:rFonts w:ascii="Palatino Linotype" w:hAnsi="Palatino Linotype"/>
          <w:b/>
          <w:bCs/>
        </w:rPr>
      </w:pPr>
      <w:r w:rsidRPr="00D06097">
        <w:rPr>
          <w:rFonts w:ascii="Palatino Linotype" w:hAnsi="Palatino Linotype"/>
          <w:b/>
          <w:bCs/>
        </w:rPr>
        <w:t>Introduction</w:t>
      </w:r>
    </w:p>
    <w:p w14:paraId="487BB7B4" w14:textId="77777777" w:rsidR="002E164F" w:rsidRPr="00D06097" w:rsidRDefault="00A02670" w:rsidP="002A23EE">
      <w:pPr>
        <w:rPr>
          <w:rFonts w:ascii="Palatino Linotype" w:hAnsi="Palatino Linotype"/>
        </w:rPr>
      </w:pPr>
      <w:r w:rsidRPr="00D06097">
        <w:rPr>
          <w:rFonts w:ascii="Palatino Linotype" w:hAnsi="Palatino Linotype"/>
        </w:rPr>
        <w:t xml:space="preserve">The longstanding </w:t>
      </w:r>
      <w:r w:rsidR="00781DF8" w:rsidRPr="00D06097">
        <w:rPr>
          <w:rFonts w:ascii="Palatino Linotype" w:hAnsi="Palatino Linotype"/>
        </w:rPr>
        <w:t>Latter-day</w:t>
      </w:r>
      <w:r w:rsidRPr="00D06097">
        <w:rPr>
          <w:rFonts w:ascii="Palatino Linotype" w:hAnsi="Palatino Linotype"/>
        </w:rPr>
        <w:t xml:space="preserve"> Saint approach to theodicy involves revising, in some strong degree, the attribution of omnipotence to God. In fact, the dominant approach, advanced by </w:t>
      </w:r>
      <w:r w:rsidR="00781DF8" w:rsidRPr="00D06097">
        <w:rPr>
          <w:rFonts w:ascii="Palatino Linotype" w:hAnsi="Palatino Linotype"/>
        </w:rPr>
        <w:t>Latter-day</w:t>
      </w:r>
      <w:r w:rsidRPr="00D06097">
        <w:rPr>
          <w:rFonts w:ascii="Palatino Linotype" w:hAnsi="Palatino Linotype"/>
        </w:rPr>
        <w:t xml:space="preserve"> Saint philosophers and theologians can be understood as a strengthening of the modal force of Plantinga’s trans-world depravity thesis. Rather than it being merely possible that every </w:t>
      </w:r>
      <w:r w:rsidR="00D806D3" w:rsidRPr="00D06097">
        <w:rPr>
          <w:rFonts w:ascii="Palatino Linotype" w:hAnsi="Palatino Linotype"/>
        </w:rPr>
        <w:t>created individual</w:t>
      </w:r>
      <w:r w:rsidRPr="00D06097">
        <w:rPr>
          <w:rFonts w:ascii="Palatino Linotype" w:hAnsi="Palatino Linotype"/>
        </w:rPr>
        <w:t xml:space="preserve"> sometimes </w:t>
      </w:r>
      <w:r w:rsidR="00AA661D" w:rsidRPr="00D06097">
        <w:rPr>
          <w:rFonts w:ascii="Palatino Linotype" w:hAnsi="Palatino Linotype"/>
        </w:rPr>
        <w:t xml:space="preserve">freely </w:t>
      </w:r>
      <w:r w:rsidRPr="00D06097">
        <w:rPr>
          <w:rFonts w:ascii="Palatino Linotype" w:hAnsi="Palatino Linotype"/>
        </w:rPr>
        <w:t xml:space="preserve">wills the bad, </w:t>
      </w:r>
      <w:r w:rsidR="00781DF8" w:rsidRPr="00D06097">
        <w:rPr>
          <w:rFonts w:ascii="Palatino Linotype" w:hAnsi="Palatino Linotype"/>
        </w:rPr>
        <w:t>Latter-day</w:t>
      </w:r>
      <w:r w:rsidRPr="00D06097">
        <w:rPr>
          <w:rFonts w:ascii="Palatino Linotype" w:hAnsi="Palatino Linotype"/>
        </w:rPr>
        <w:t xml:space="preserve"> Saint philosophers and theologians have interpreted Joseph Smith as insisting that necessarily, every </w:t>
      </w:r>
      <w:r w:rsidR="00D806D3" w:rsidRPr="00D06097">
        <w:rPr>
          <w:rFonts w:ascii="Palatino Linotype" w:hAnsi="Palatino Linotype"/>
        </w:rPr>
        <w:t xml:space="preserve">created </w:t>
      </w:r>
      <w:r w:rsidRPr="00D06097">
        <w:rPr>
          <w:rFonts w:ascii="Palatino Linotype" w:hAnsi="Palatino Linotype"/>
        </w:rPr>
        <w:t xml:space="preserve">individual </w:t>
      </w:r>
      <w:r w:rsidR="00810919" w:rsidRPr="00D06097">
        <w:rPr>
          <w:rFonts w:ascii="Palatino Linotype" w:hAnsi="Palatino Linotype"/>
        </w:rPr>
        <w:t>sometimes freely wills the bad</w:t>
      </w:r>
      <w:r w:rsidRPr="00D06097">
        <w:rPr>
          <w:rFonts w:ascii="Palatino Linotype" w:hAnsi="Palatino Linotype"/>
        </w:rPr>
        <w:t>.</w:t>
      </w:r>
      <w:r w:rsidRPr="00D06097">
        <w:rPr>
          <w:rStyle w:val="FootnoteReference"/>
          <w:rFonts w:ascii="Palatino Linotype" w:hAnsi="Palatino Linotype"/>
        </w:rPr>
        <w:footnoteReference w:id="1"/>
      </w:r>
      <w:r w:rsidRPr="00D06097">
        <w:rPr>
          <w:rFonts w:ascii="Palatino Linotype" w:hAnsi="Palatino Linotype"/>
        </w:rPr>
        <w:t xml:space="preserve"> This is because we are to understand the natures of the individuals God creates as intrinsically free, disposed to do some evil, and crucially outside of God’s power</w:t>
      </w:r>
      <w:r w:rsidR="00291EE5" w:rsidRPr="00D06097">
        <w:rPr>
          <w:rFonts w:ascii="Palatino Linotype" w:hAnsi="Palatino Linotype"/>
        </w:rPr>
        <w:t xml:space="preserve"> to create</w:t>
      </w:r>
      <w:r w:rsidRPr="00D06097">
        <w:rPr>
          <w:rFonts w:ascii="Palatino Linotype" w:hAnsi="Palatino Linotype"/>
        </w:rPr>
        <w:t>.</w:t>
      </w:r>
      <w:r w:rsidRPr="00D06097">
        <w:rPr>
          <w:rStyle w:val="FootnoteReference"/>
          <w:rFonts w:ascii="Palatino Linotype" w:hAnsi="Palatino Linotype"/>
        </w:rPr>
        <w:footnoteReference w:id="2"/>
      </w:r>
      <w:r w:rsidRPr="00D06097">
        <w:rPr>
          <w:rFonts w:ascii="Palatino Linotype" w:hAnsi="Palatino Linotype"/>
        </w:rPr>
        <w:t xml:space="preserve"> </w:t>
      </w:r>
    </w:p>
    <w:p w14:paraId="3FF20283" w14:textId="207DA07F" w:rsidR="00352A78" w:rsidRPr="00D06097" w:rsidRDefault="002E164F" w:rsidP="002A23EE">
      <w:pPr>
        <w:rPr>
          <w:rFonts w:ascii="Palatino Linotype" w:hAnsi="Palatino Linotype"/>
        </w:rPr>
      </w:pPr>
      <w:r w:rsidRPr="00D06097">
        <w:rPr>
          <w:rFonts w:ascii="Palatino Linotype" w:hAnsi="Palatino Linotype"/>
        </w:rPr>
        <w:t>In this paper we aim to expand the explanatory resources available to Latter-day Saints in the course of addressing the problem of evil by drawing on a different (although we believe complementary) set of theological considerations. In particular, w</w:t>
      </w:r>
      <w:r w:rsidR="00F07501" w:rsidRPr="00D06097">
        <w:rPr>
          <w:rFonts w:ascii="Palatino Linotype" w:hAnsi="Palatino Linotype"/>
        </w:rPr>
        <w:t xml:space="preserve">e will argue that a wide range of </w:t>
      </w:r>
      <w:r w:rsidR="00781DF8" w:rsidRPr="00D06097">
        <w:rPr>
          <w:rFonts w:ascii="Palatino Linotype" w:hAnsi="Palatino Linotype"/>
        </w:rPr>
        <w:t>Latter-day</w:t>
      </w:r>
      <w:r w:rsidR="00F07501" w:rsidRPr="00D06097">
        <w:rPr>
          <w:rFonts w:ascii="Palatino Linotype" w:hAnsi="Palatino Linotype"/>
        </w:rPr>
        <w:t xml:space="preserve"> Saint</w:t>
      </w:r>
      <w:r w:rsidR="009A52CA" w:rsidRPr="00D06097">
        <w:rPr>
          <w:rFonts w:ascii="Palatino Linotype" w:hAnsi="Palatino Linotype"/>
        </w:rPr>
        <w:t xml:space="preserve"> </w:t>
      </w:r>
      <w:r w:rsidR="00A50D1F" w:rsidRPr="00D06097">
        <w:rPr>
          <w:rFonts w:ascii="Palatino Linotype" w:hAnsi="Palatino Linotype"/>
        </w:rPr>
        <w:t xml:space="preserve">theological sources </w:t>
      </w:r>
      <w:r w:rsidR="00F07501" w:rsidRPr="00D06097">
        <w:rPr>
          <w:rFonts w:ascii="Palatino Linotype" w:hAnsi="Palatino Linotype"/>
        </w:rPr>
        <w:t xml:space="preserve">can underwrite a strong version of a soul-making, non-identity theodicy. </w:t>
      </w:r>
      <w:r w:rsidR="00293F69" w:rsidRPr="00D06097">
        <w:rPr>
          <w:rFonts w:ascii="Palatino Linotype" w:hAnsi="Palatino Linotype"/>
        </w:rPr>
        <w:t xml:space="preserve">We argue that </w:t>
      </w:r>
      <w:r w:rsidR="00781DF8" w:rsidRPr="00D06097">
        <w:rPr>
          <w:rFonts w:ascii="Palatino Linotype" w:hAnsi="Palatino Linotype"/>
        </w:rPr>
        <w:t>Latter-day</w:t>
      </w:r>
      <w:r w:rsidR="00293F69" w:rsidRPr="00D06097">
        <w:rPr>
          <w:rFonts w:ascii="Palatino Linotype" w:hAnsi="Palatino Linotype"/>
        </w:rPr>
        <w:t xml:space="preserve"> Saint scripture </w:t>
      </w:r>
      <w:r w:rsidR="000F58BE" w:rsidRPr="00D06097">
        <w:rPr>
          <w:rFonts w:ascii="Palatino Linotype" w:hAnsi="Palatino Linotype"/>
        </w:rPr>
        <w:t xml:space="preserve">and tradition </w:t>
      </w:r>
      <w:r w:rsidR="00293F69" w:rsidRPr="00D06097">
        <w:rPr>
          <w:rFonts w:ascii="Palatino Linotype" w:hAnsi="Palatino Linotype"/>
        </w:rPr>
        <w:t xml:space="preserve">supports both that </w:t>
      </w:r>
      <w:r w:rsidR="00F07501" w:rsidRPr="00D06097">
        <w:rPr>
          <w:rFonts w:ascii="Palatino Linotype" w:hAnsi="Palatino Linotype"/>
        </w:rPr>
        <w:t>God’s creative choices are shaped by a divine view of what is most conducive to the moral and spiritual development of the individuals God creates</w:t>
      </w:r>
      <w:r w:rsidR="00BE3032" w:rsidRPr="00D06097">
        <w:rPr>
          <w:rFonts w:ascii="Palatino Linotype" w:hAnsi="Palatino Linotype"/>
        </w:rPr>
        <w:t>, and</w:t>
      </w:r>
      <w:r w:rsidR="00A50D1F" w:rsidRPr="00D06097">
        <w:rPr>
          <w:rFonts w:ascii="Palatino Linotype" w:hAnsi="Palatino Linotype"/>
        </w:rPr>
        <w:t xml:space="preserve"> that </w:t>
      </w:r>
      <w:r w:rsidR="00293F69" w:rsidRPr="00D06097">
        <w:rPr>
          <w:rFonts w:ascii="Palatino Linotype" w:hAnsi="Palatino Linotype"/>
        </w:rPr>
        <w:t>those</w:t>
      </w:r>
      <w:r w:rsidR="00A50D1F" w:rsidRPr="00D06097">
        <w:rPr>
          <w:rFonts w:ascii="Palatino Linotype" w:hAnsi="Palatino Linotype"/>
        </w:rPr>
        <w:t xml:space="preserve"> creative choices </w:t>
      </w:r>
      <w:r w:rsidR="00293F69" w:rsidRPr="00D06097">
        <w:rPr>
          <w:rFonts w:ascii="Palatino Linotype" w:hAnsi="Palatino Linotype"/>
        </w:rPr>
        <w:t>are</w:t>
      </w:r>
      <w:r w:rsidR="00A50D1F" w:rsidRPr="00D06097">
        <w:rPr>
          <w:rFonts w:ascii="Palatino Linotype" w:hAnsi="Palatino Linotype"/>
        </w:rPr>
        <w:t xml:space="preserve"> shaped by </w:t>
      </w:r>
      <w:r w:rsidR="00293F69" w:rsidRPr="00D06097">
        <w:rPr>
          <w:rFonts w:ascii="Palatino Linotype" w:hAnsi="Palatino Linotype"/>
        </w:rPr>
        <w:t>God’s</w:t>
      </w:r>
      <w:r w:rsidR="00A50D1F" w:rsidRPr="00D06097">
        <w:rPr>
          <w:rFonts w:ascii="Palatino Linotype" w:hAnsi="Palatino Linotype"/>
        </w:rPr>
        <w:t xml:space="preserve"> desire to produce loving union with those particular individuals. However, those whom God creates could not been brought into existence without God’s policy of evil and suffering allowance.</w:t>
      </w:r>
      <w:r w:rsidR="00A50D1F" w:rsidRPr="00D06097">
        <w:rPr>
          <w:rStyle w:val="FootnoteReference"/>
          <w:rFonts w:ascii="Palatino Linotype" w:hAnsi="Palatino Linotype"/>
        </w:rPr>
        <w:footnoteReference w:id="3"/>
      </w:r>
      <w:r w:rsidR="00A50D1F" w:rsidRPr="00D06097">
        <w:rPr>
          <w:rFonts w:ascii="Palatino Linotype" w:hAnsi="Palatino Linotype"/>
        </w:rPr>
        <w:t xml:space="preserve"> </w:t>
      </w:r>
      <w:r w:rsidR="000E325D" w:rsidRPr="00D06097">
        <w:rPr>
          <w:rFonts w:ascii="Palatino Linotype" w:hAnsi="Palatino Linotype"/>
        </w:rPr>
        <w:t>Had God acted to prevent certain kinds of evil, the resulting individuals would be different from (or non-identical to) any individuals God prefers to seek loving union with, viz. those that resulted from permitting the evil’s occurrence</w:t>
      </w:r>
      <w:r w:rsidR="00C90490" w:rsidRPr="00D06097">
        <w:rPr>
          <w:rFonts w:ascii="Palatino Linotype" w:hAnsi="Palatino Linotype"/>
        </w:rPr>
        <w:t xml:space="preserve">. This combination of views demands that the causal history of the world can’t have been </w:t>
      </w:r>
      <w:r w:rsidR="00C90490" w:rsidRPr="00D06097">
        <w:rPr>
          <w:rFonts w:ascii="Palatino Linotype" w:hAnsi="Palatino Linotype"/>
          <w:i/>
          <w:iCs/>
        </w:rPr>
        <w:t>very</w:t>
      </w:r>
      <w:r w:rsidR="00C90490" w:rsidRPr="00D06097">
        <w:rPr>
          <w:rFonts w:ascii="Palatino Linotype" w:hAnsi="Palatino Linotype"/>
        </w:rPr>
        <w:t xml:space="preserve"> different than it actually is in order for God’s soul-making project to succeed in the ways that God desires. </w:t>
      </w:r>
      <w:r w:rsidR="004501D4" w:rsidRPr="00D06097">
        <w:rPr>
          <w:rFonts w:ascii="Palatino Linotype" w:hAnsi="Palatino Linotype"/>
        </w:rPr>
        <w:t xml:space="preserve">Any evil then that contributes to the unfolding of history in a way consonant with God’s preferences about who to bring into existence can be </w:t>
      </w:r>
      <w:r w:rsidR="00116C20" w:rsidRPr="00D06097">
        <w:rPr>
          <w:rFonts w:ascii="Palatino Linotype" w:hAnsi="Palatino Linotype"/>
        </w:rPr>
        <w:t>accounted for</w:t>
      </w:r>
      <w:r w:rsidR="004501D4" w:rsidRPr="00D06097">
        <w:rPr>
          <w:rFonts w:ascii="Palatino Linotype" w:hAnsi="Palatino Linotype"/>
        </w:rPr>
        <w:t xml:space="preserve">, even evils of the very worst kind. </w:t>
      </w:r>
    </w:p>
    <w:p w14:paraId="42572937" w14:textId="77777777" w:rsidR="004501D4" w:rsidRPr="00D06097" w:rsidRDefault="004501D4" w:rsidP="002A23EE">
      <w:pPr>
        <w:rPr>
          <w:rFonts w:ascii="Palatino Linotype" w:hAnsi="Palatino Linotype"/>
        </w:rPr>
      </w:pPr>
      <w:r w:rsidRPr="00D06097">
        <w:rPr>
          <w:rFonts w:ascii="Palatino Linotype" w:hAnsi="Palatino Linotype"/>
        </w:rPr>
        <w:lastRenderedPageBreak/>
        <w:t xml:space="preserve">In </w:t>
      </w:r>
      <w:r w:rsidR="00E630D7" w:rsidRPr="00D06097">
        <w:rPr>
          <w:rFonts w:ascii="Palatino Linotype" w:hAnsi="Palatino Linotype"/>
        </w:rPr>
        <w:t>section 1</w:t>
      </w:r>
      <w:r w:rsidRPr="00D06097">
        <w:rPr>
          <w:rFonts w:ascii="Palatino Linotype" w:hAnsi="Palatino Linotype"/>
        </w:rPr>
        <w:t xml:space="preserve"> of our paper, we offer an account of the metaphysics of persons rooted in </w:t>
      </w:r>
      <w:r w:rsidR="00781DF8" w:rsidRPr="00D06097">
        <w:rPr>
          <w:rFonts w:ascii="Palatino Linotype" w:hAnsi="Palatino Linotype"/>
        </w:rPr>
        <w:t>Latter-day</w:t>
      </w:r>
      <w:r w:rsidRPr="00D06097">
        <w:rPr>
          <w:rFonts w:ascii="Palatino Linotype" w:hAnsi="Palatino Linotype"/>
        </w:rPr>
        <w:t xml:space="preserve"> saint scripture that vindicates the essentiality of origins. Having vindicated the essentiality of origins, we give scriptural support for the claim that </w:t>
      </w:r>
      <w:r w:rsidR="00AB3A3C" w:rsidRPr="00D06097">
        <w:rPr>
          <w:rFonts w:ascii="Palatino Linotype" w:hAnsi="Palatino Linotype"/>
        </w:rPr>
        <w:t xml:space="preserve">prospects for the success of </w:t>
      </w:r>
      <w:r w:rsidRPr="00D06097">
        <w:rPr>
          <w:rFonts w:ascii="Palatino Linotype" w:hAnsi="Palatino Linotype"/>
        </w:rPr>
        <w:t xml:space="preserve">God’s soul </w:t>
      </w:r>
      <w:r w:rsidR="00AB3A3C" w:rsidRPr="00D06097">
        <w:rPr>
          <w:rFonts w:ascii="Palatino Linotype" w:hAnsi="Palatino Linotype"/>
        </w:rPr>
        <w:t xml:space="preserve">making project are bound up in God creating particular persons. We observe that these persons would not have existed were it not for the occurrence of a variety of evils (of even the worst kinds), and we conclude that </w:t>
      </w:r>
      <w:r w:rsidR="00781DF8" w:rsidRPr="00D06097">
        <w:rPr>
          <w:rFonts w:ascii="Palatino Linotype" w:hAnsi="Palatino Linotype"/>
        </w:rPr>
        <w:t>Latter-day</w:t>
      </w:r>
      <w:r w:rsidR="00AB3A3C" w:rsidRPr="00D06097">
        <w:rPr>
          <w:rFonts w:ascii="Palatino Linotype" w:hAnsi="Palatino Linotype"/>
        </w:rPr>
        <w:t xml:space="preserve"> saint theology has the resources to endorse a strong soul-making non-identity theodicy. </w:t>
      </w:r>
    </w:p>
    <w:p w14:paraId="24D503B7" w14:textId="77777777" w:rsidR="00352A78" w:rsidRPr="00D06097" w:rsidRDefault="00AB3A3C" w:rsidP="002A23EE">
      <w:pPr>
        <w:rPr>
          <w:rFonts w:ascii="Palatino Linotype" w:hAnsi="Palatino Linotype"/>
        </w:rPr>
      </w:pPr>
      <w:r w:rsidRPr="00D06097">
        <w:rPr>
          <w:rFonts w:ascii="Palatino Linotype" w:hAnsi="Palatino Linotype"/>
        </w:rPr>
        <w:t xml:space="preserve">In </w:t>
      </w:r>
      <w:r w:rsidR="00E630D7" w:rsidRPr="00D06097">
        <w:rPr>
          <w:rFonts w:ascii="Palatino Linotype" w:hAnsi="Palatino Linotype"/>
        </w:rPr>
        <w:t>section 2</w:t>
      </w:r>
      <w:r w:rsidRPr="00D06097">
        <w:rPr>
          <w:rFonts w:ascii="Palatino Linotype" w:hAnsi="Palatino Linotype"/>
        </w:rPr>
        <w:t xml:space="preserve"> of the paper, </w:t>
      </w:r>
      <w:r w:rsidR="00E630D7" w:rsidRPr="00D06097">
        <w:rPr>
          <w:rFonts w:ascii="Palatino Linotype" w:hAnsi="Palatino Linotype"/>
        </w:rPr>
        <w:t xml:space="preserve">we </w:t>
      </w:r>
      <w:r w:rsidR="00B61020" w:rsidRPr="00D06097">
        <w:rPr>
          <w:rFonts w:ascii="Palatino Linotype" w:hAnsi="Palatino Linotype"/>
        </w:rPr>
        <w:t xml:space="preserve">introduce </w:t>
      </w:r>
      <w:r w:rsidR="00362351" w:rsidRPr="00D06097">
        <w:rPr>
          <w:rFonts w:ascii="Palatino Linotype" w:hAnsi="Palatino Linotype"/>
        </w:rPr>
        <w:t>two</w:t>
      </w:r>
      <w:r w:rsidR="00B61020" w:rsidRPr="00D06097">
        <w:rPr>
          <w:rFonts w:ascii="Palatino Linotype" w:hAnsi="Palatino Linotype"/>
        </w:rPr>
        <w:t xml:space="preserve"> complications for this account rooted in the problem of horrendous evils. First, horrendous evils threaten </w:t>
      </w:r>
      <w:r w:rsidR="00362351" w:rsidRPr="00D06097">
        <w:rPr>
          <w:rFonts w:ascii="Palatino Linotype" w:hAnsi="Palatino Linotype"/>
        </w:rPr>
        <w:t xml:space="preserve">to undermine our confidence that God is good to each created person within the context of their life. </w:t>
      </w:r>
      <w:r w:rsidR="00B61020" w:rsidRPr="00D06097">
        <w:rPr>
          <w:rFonts w:ascii="Palatino Linotype" w:hAnsi="Palatino Linotype"/>
        </w:rPr>
        <w:t xml:space="preserve">And </w:t>
      </w:r>
      <w:r w:rsidR="00362351" w:rsidRPr="00D06097">
        <w:rPr>
          <w:rFonts w:ascii="Palatino Linotype" w:hAnsi="Palatino Linotype"/>
        </w:rPr>
        <w:t>second</w:t>
      </w:r>
      <w:r w:rsidR="00B61020" w:rsidRPr="00D06097">
        <w:rPr>
          <w:rFonts w:ascii="Palatino Linotype" w:hAnsi="Palatino Linotype"/>
        </w:rPr>
        <w:t xml:space="preserve">, horrendous evils </w:t>
      </w:r>
      <w:r w:rsidR="00E630D7" w:rsidRPr="00D06097">
        <w:rPr>
          <w:rFonts w:ascii="Palatino Linotype" w:hAnsi="Palatino Linotype"/>
        </w:rPr>
        <w:t xml:space="preserve">raise concerns about the value of persons whose existence depends on the occurrence of those evils. We may wonder whether those whose existence depends on the occurrence of horrendous evils are valuable enough to motivate God’s allowance of those evils. </w:t>
      </w:r>
      <w:r w:rsidR="00BB4B20" w:rsidRPr="00D06097">
        <w:rPr>
          <w:rFonts w:ascii="Palatino Linotype" w:hAnsi="Palatino Linotype"/>
        </w:rPr>
        <w:t>We take up these concerns and resolve them in section 3 and 4 respectively</w:t>
      </w:r>
      <w:r w:rsidR="002444AC" w:rsidRPr="00D06097">
        <w:rPr>
          <w:rFonts w:ascii="Palatino Linotype" w:hAnsi="Palatino Linotype"/>
        </w:rPr>
        <w:t xml:space="preserve"> by drawing attention to distinctive aspects of </w:t>
      </w:r>
      <w:r w:rsidR="00781DF8" w:rsidRPr="00D06097">
        <w:rPr>
          <w:rFonts w:ascii="Palatino Linotype" w:hAnsi="Palatino Linotype"/>
        </w:rPr>
        <w:t>Latter-day</w:t>
      </w:r>
      <w:r w:rsidR="002444AC" w:rsidRPr="00D06097">
        <w:rPr>
          <w:rFonts w:ascii="Palatino Linotype" w:hAnsi="Palatino Linotype"/>
        </w:rPr>
        <w:t xml:space="preserve"> Saint eschatology. We argue that </w:t>
      </w:r>
      <w:r w:rsidR="00A65163" w:rsidRPr="00D06097">
        <w:rPr>
          <w:rFonts w:ascii="Palatino Linotype" w:hAnsi="Palatino Linotype"/>
        </w:rPr>
        <w:t xml:space="preserve">if we </w:t>
      </w:r>
      <w:r w:rsidR="002444AC" w:rsidRPr="00D06097">
        <w:rPr>
          <w:rFonts w:ascii="Palatino Linotype" w:hAnsi="Palatino Linotype"/>
        </w:rPr>
        <w:t xml:space="preserve">attend to important structural features of a post-mortem, pre-eschatological state called the spirit world, </w:t>
      </w:r>
      <w:r w:rsidR="00781DF8" w:rsidRPr="00D06097">
        <w:rPr>
          <w:rFonts w:ascii="Palatino Linotype" w:hAnsi="Palatino Linotype"/>
        </w:rPr>
        <w:t>Latter-day</w:t>
      </w:r>
      <w:r w:rsidR="002444AC" w:rsidRPr="00D06097">
        <w:rPr>
          <w:rFonts w:ascii="Palatino Linotype" w:hAnsi="Palatino Linotype"/>
        </w:rPr>
        <w:t xml:space="preserve"> Saints </w:t>
      </w:r>
      <w:r w:rsidR="00A65163" w:rsidRPr="00D06097">
        <w:rPr>
          <w:rFonts w:ascii="Palatino Linotype" w:hAnsi="Palatino Linotype"/>
        </w:rPr>
        <w:t>can</w:t>
      </w:r>
      <w:r w:rsidR="002444AC" w:rsidRPr="00D06097">
        <w:rPr>
          <w:rFonts w:ascii="Palatino Linotype" w:hAnsi="Palatino Linotype"/>
        </w:rPr>
        <w:t xml:space="preserve"> ameliorate these concerns about horrendous evils</w:t>
      </w:r>
      <w:r w:rsidR="00BB4B20" w:rsidRPr="00D06097">
        <w:rPr>
          <w:rFonts w:ascii="Palatino Linotype" w:hAnsi="Palatino Linotype"/>
        </w:rPr>
        <w:t xml:space="preserve">. </w:t>
      </w:r>
    </w:p>
    <w:p w14:paraId="1AFC4A11" w14:textId="77777777" w:rsidR="00EC1A5F" w:rsidRPr="00D06097" w:rsidRDefault="00EC1A5F" w:rsidP="002A23EE">
      <w:pPr>
        <w:pStyle w:val="ListParagraph"/>
        <w:ind w:firstLine="0"/>
        <w:rPr>
          <w:rFonts w:ascii="Palatino Linotype" w:hAnsi="Palatino Linotype"/>
          <w:b/>
          <w:bCs/>
        </w:rPr>
      </w:pPr>
    </w:p>
    <w:p w14:paraId="5BB225B2" w14:textId="77777777" w:rsidR="007C6C1B" w:rsidRPr="00D06097" w:rsidRDefault="006115CC" w:rsidP="002A23EE">
      <w:pPr>
        <w:pStyle w:val="ListParagraph"/>
        <w:numPr>
          <w:ilvl w:val="0"/>
          <w:numId w:val="2"/>
        </w:numPr>
        <w:rPr>
          <w:rFonts w:ascii="Palatino Linotype" w:hAnsi="Palatino Linotype"/>
          <w:b/>
          <w:bCs/>
        </w:rPr>
      </w:pPr>
      <w:r w:rsidRPr="00D06097">
        <w:rPr>
          <w:rFonts w:ascii="Palatino Linotype" w:hAnsi="Palatino Linotype"/>
          <w:b/>
          <w:bCs/>
        </w:rPr>
        <w:t xml:space="preserve">Evil, </w:t>
      </w:r>
      <w:r w:rsidR="00EC1A5F" w:rsidRPr="00D06097">
        <w:rPr>
          <w:rFonts w:ascii="Palatino Linotype" w:hAnsi="Palatino Linotype"/>
          <w:b/>
          <w:bCs/>
        </w:rPr>
        <w:t>Embodiment</w:t>
      </w:r>
      <w:r w:rsidRPr="00D06097">
        <w:rPr>
          <w:rFonts w:ascii="Palatino Linotype" w:hAnsi="Palatino Linotype"/>
          <w:b/>
          <w:bCs/>
        </w:rPr>
        <w:t>,</w:t>
      </w:r>
      <w:r w:rsidR="00EC1A5F" w:rsidRPr="00D06097">
        <w:rPr>
          <w:rFonts w:ascii="Palatino Linotype" w:hAnsi="Palatino Linotype"/>
          <w:b/>
          <w:bCs/>
        </w:rPr>
        <w:t xml:space="preserve"> and the Metaphysics of Souls</w:t>
      </w:r>
    </w:p>
    <w:p w14:paraId="5C5D0E5B" w14:textId="77777777" w:rsidR="00EC1A5F" w:rsidRPr="00D06097" w:rsidRDefault="006B3B9A" w:rsidP="002A23EE">
      <w:pPr>
        <w:ind w:firstLine="0"/>
        <w:rPr>
          <w:rFonts w:ascii="Palatino Linotype" w:hAnsi="Palatino Linotype"/>
        </w:rPr>
      </w:pPr>
      <w:r w:rsidRPr="00D06097">
        <w:rPr>
          <w:rFonts w:ascii="Palatino Linotype" w:hAnsi="Palatino Linotype"/>
        </w:rPr>
        <w:t xml:space="preserve">On the </w:t>
      </w:r>
      <w:r w:rsidR="00781DF8" w:rsidRPr="00D06097">
        <w:rPr>
          <w:rFonts w:ascii="Palatino Linotype" w:hAnsi="Palatino Linotype"/>
        </w:rPr>
        <w:t>Latter-day</w:t>
      </w:r>
      <w:r w:rsidRPr="00D06097">
        <w:rPr>
          <w:rFonts w:ascii="Palatino Linotype" w:hAnsi="Palatino Linotype"/>
        </w:rPr>
        <w:t xml:space="preserve"> Saint view, what are now human persons existed (in some respect) as persons prior to their earthly embodiments. These are standardly referred to as </w:t>
      </w:r>
      <w:r w:rsidRPr="00D06097">
        <w:rPr>
          <w:rFonts w:ascii="Palatino Linotype" w:hAnsi="Palatino Linotype"/>
          <w:i/>
          <w:iCs/>
        </w:rPr>
        <w:t>spirits</w:t>
      </w:r>
      <w:r w:rsidRPr="00D06097">
        <w:rPr>
          <w:rFonts w:ascii="Palatino Linotype" w:hAnsi="Palatino Linotype"/>
        </w:rPr>
        <w:t>.</w:t>
      </w:r>
      <w:r w:rsidRPr="00D06097">
        <w:rPr>
          <w:rStyle w:val="FootnoteReference"/>
          <w:rFonts w:ascii="Palatino Linotype" w:hAnsi="Palatino Linotype"/>
        </w:rPr>
        <w:footnoteReference w:id="4"/>
      </w:r>
      <w:r w:rsidRPr="00D06097">
        <w:rPr>
          <w:rFonts w:ascii="Palatino Linotype" w:hAnsi="Palatino Linotype"/>
        </w:rPr>
        <w:t xml:space="preserve"> </w:t>
      </w:r>
      <w:r w:rsidR="002D601C" w:rsidRPr="00D06097">
        <w:rPr>
          <w:rFonts w:ascii="Palatino Linotype" w:hAnsi="Palatino Linotype"/>
        </w:rPr>
        <w:t>Importantly, s</w:t>
      </w:r>
      <w:r w:rsidR="00D953F3" w:rsidRPr="00D06097">
        <w:rPr>
          <w:rFonts w:ascii="Palatino Linotype" w:hAnsi="Palatino Linotype"/>
        </w:rPr>
        <w:t xml:space="preserve">pirits are distinct from </w:t>
      </w:r>
      <w:r w:rsidR="00D953F3" w:rsidRPr="00D06097">
        <w:rPr>
          <w:rFonts w:ascii="Palatino Linotype" w:hAnsi="Palatino Linotype"/>
          <w:i/>
          <w:iCs/>
        </w:rPr>
        <w:t>souls</w:t>
      </w:r>
      <w:r w:rsidR="00D953F3" w:rsidRPr="00D06097">
        <w:rPr>
          <w:rFonts w:ascii="Palatino Linotype" w:hAnsi="Palatino Linotype"/>
        </w:rPr>
        <w:t xml:space="preserve">. Souls, according to </w:t>
      </w:r>
      <w:r w:rsidR="00781DF8" w:rsidRPr="00D06097">
        <w:rPr>
          <w:rFonts w:ascii="Palatino Linotype" w:hAnsi="Palatino Linotype"/>
        </w:rPr>
        <w:t>Latter-day</w:t>
      </w:r>
      <w:r w:rsidR="00D953F3" w:rsidRPr="00D06097">
        <w:rPr>
          <w:rFonts w:ascii="Palatino Linotype" w:hAnsi="Palatino Linotype"/>
        </w:rPr>
        <w:t xml:space="preserve"> Saint scripture, are fusions of spirits and bodies (or the matter constituting a body). </w:t>
      </w:r>
    </w:p>
    <w:p w14:paraId="78FC9A16" w14:textId="77777777" w:rsidR="00D953F3" w:rsidRPr="00D06097" w:rsidRDefault="00D953F3" w:rsidP="002A23EE">
      <w:pPr>
        <w:rPr>
          <w:rFonts w:ascii="Palatino Linotype" w:hAnsi="Palatino Linotype"/>
        </w:rPr>
      </w:pPr>
      <w:r w:rsidRPr="00D06097">
        <w:rPr>
          <w:rFonts w:ascii="Palatino Linotype" w:hAnsi="Palatino Linotype"/>
        </w:rPr>
        <w:tab/>
      </w:r>
      <w:r w:rsidRPr="00D06097">
        <w:rPr>
          <w:rFonts w:ascii="Palatino Linotype" w:hAnsi="Palatino Linotype"/>
          <w:b/>
          <w:bCs/>
        </w:rPr>
        <w:t>D&amp;C 88:15</w:t>
      </w:r>
      <w:r w:rsidRPr="00D06097">
        <w:rPr>
          <w:rFonts w:ascii="Palatino Linotype" w:hAnsi="Palatino Linotype"/>
        </w:rPr>
        <w:t xml:space="preserve"> “And the spirit and the body are the soul of man.”</w:t>
      </w:r>
    </w:p>
    <w:p w14:paraId="0DB046D1" w14:textId="77777777" w:rsidR="00D953F3" w:rsidRPr="00D06097" w:rsidRDefault="00D953F3" w:rsidP="002A23EE">
      <w:pPr>
        <w:ind w:left="720" w:firstLine="0"/>
        <w:rPr>
          <w:rFonts w:ascii="Palatino Linotype" w:hAnsi="Palatino Linotype"/>
        </w:rPr>
      </w:pPr>
      <w:r w:rsidRPr="00D06097">
        <w:rPr>
          <w:rFonts w:ascii="Palatino Linotype" w:hAnsi="Palatino Linotype"/>
          <w:b/>
          <w:bCs/>
        </w:rPr>
        <w:t>Abraham 5:7</w:t>
      </w:r>
      <w:r w:rsidRPr="00D06097">
        <w:rPr>
          <w:rFonts w:ascii="Palatino Linotype" w:hAnsi="Palatino Linotype"/>
        </w:rPr>
        <w:t xml:space="preserve"> “And the Gods formed man from the dust of the ground, and took his spirit (that is, the man’s spirit), and put it into him; and breathed into his nostrils the breath of life, and man became a living soul.</w:t>
      </w:r>
      <w:r w:rsidRPr="00D06097">
        <w:rPr>
          <w:rStyle w:val="FootnoteReference"/>
          <w:rFonts w:ascii="Palatino Linotype" w:hAnsi="Palatino Linotype"/>
        </w:rPr>
        <w:footnoteReference w:id="5"/>
      </w:r>
    </w:p>
    <w:p w14:paraId="3E99671D" w14:textId="77777777" w:rsidR="002D601C" w:rsidRPr="00D06097" w:rsidRDefault="00D953F3" w:rsidP="002A23EE">
      <w:pPr>
        <w:ind w:firstLine="0"/>
        <w:rPr>
          <w:rFonts w:ascii="Palatino Linotype" w:hAnsi="Palatino Linotype"/>
        </w:rPr>
      </w:pPr>
      <w:r w:rsidRPr="00D06097">
        <w:rPr>
          <w:rFonts w:ascii="Palatino Linotype" w:hAnsi="Palatino Linotype"/>
        </w:rPr>
        <w:t>Thus</w:t>
      </w:r>
      <w:r w:rsidR="008F2EF0" w:rsidRPr="00D06097">
        <w:rPr>
          <w:rFonts w:ascii="Palatino Linotype" w:hAnsi="Palatino Linotype"/>
        </w:rPr>
        <w:t>,</w:t>
      </w:r>
      <w:r w:rsidRPr="00D06097">
        <w:rPr>
          <w:rFonts w:ascii="Palatino Linotype" w:hAnsi="Palatino Linotype"/>
        </w:rPr>
        <w:t xml:space="preserve"> embodying a spirit yields a soul. This allows us to individuate souls on the basis of their component parts. A difference in either spirit or body will result in a different fusion of spirit and body, and thus a different soul. So, on the </w:t>
      </w:r>
      <w:r w:rsidR="00781DF8" w:rsidRPr="00D06097">
        <w:rPr>
          <w:rFonts w:ascii="Palatino Linotype" w:hAnsi="Palatino Linotype"/>
        </w:rPr>
        <w:t>Latter-day</w:t>
      </w:r>
      <w:r w:rsidR="008F2EF0" w:rsidRPr="00D06097">
        <w:rPr>
          <w:rFonts w:ascii="Palatino Linotype" w:hAnsi="Palatino Linotype"/>
        </w:rPr>
        <w:t xml:space="preserve"> Saint</w:t>
      </w:r>
      <w:r w:rsidRPr="00D06097">
        <w:rPr>
          <w:rFonts w:ascii="Palatino Linotype" w:hAnsi="Palatino Linotype"/>
        </w:rPr>
        <w:t xml:space="preserve"> view, it is a pre-condition of God making </w:t>
      </w:r>
      <w:r w:rsidRPr="00D06097">
        <w:rPr>
          <w:rFonts w:ascii="Palatino Linotype" w:hAnsi="Palatino Linotype"/>
          <w:i/>
          <w:iCs/>
        </w:rPr>
        <w:t>you</w:t>
      </w:r>
      <w:r w:rsidRPr="00D06097">
        <w:rPr>
          <w:rFonts w:ascii="Palatino Linotype" w:hAnsi="Palatino Linotype"/>
        </w:rPr>
        <w:t xml:space="preserve"> (a particular soul) that God embody your spirit in the particular physical </w:t>
      </w:r>
      <w:r w:rsidRPr="00D06097">
        <w:rPr>
          <w:rFonts w:ascii="Palatino Linotype" w:hAnsi="Palatino Linotype"/>
        </w:rPr>
        <w:lastRenderedPageBreak/>
        <w:t>circumstances that God as a matter of fact has embodied you. Afterall, differences in which sperm fertilizes which egg yields a different body, and so a different soul (and so not you).</w:t>
      </w:r>
      <w:r w:rsidR="002D601C" w:rsidRPr="00D06097">
        <w:rPr>
          <w:rStyle w:val="FootnoteReference"/>
          <w:rFonts w:ascii="Palatino Linotype" w:hAnsi="Palatino Linotype"/>
        </w:rPr>
        <w:footnoteReference w:id="6"/>
      </w:r>
      <w:r w:rsidRPr="00D06097">
        <w:rPr>
          <w:rFonts w:ascii="Palatino Linotype" w:hAnsi="Palatino Linotype"/>
        </w:rPr>
        <w:t xml:space="preserve"> </w:t>
      </w:r>
    </w:p>
    <w:p w14:paraId="1E159D4D" w14:textId="77777777" w:rsidR="008F0166" w:rsidRPr="00D06097" w:rsidRDefault="008F0166" w:rsidP="002A23EE">
      <w:pPr>
        <w:ind w:firstLine="0"/>
        <w:rPr>
          <w:rFonts w:ascii="Palatino Linotype" w:hAnsi="Palatino Linotype"/>
        </w:rPr>
      </w:pPr>
      <w:r w:rsidRPr="00D06097">
        <w:rPr>
          <w:rFonts w:ascii="Palatino Linotype" w:hAnsi="Palatino Linotype"/>
        </w:rPr>
        <w:tab/>
        <w:t xml:space="preserve">Souls, in the sense described above, have a distinctive kind of value. </w:t>
      </w:r>
      <w:r w:rsidR="00781DF8" w:rsidRPr="00D06097">
        <w:rPr>
          <w:rFonts w:ascii="Palatino Linotype" w:hAnsi="Palatino Linotype"/>
        </w:rPr>
        <w:t>Latter-day</w:t>
      </w:r>
      <w:r w:rsidRPr="00D06097">
        <w:rPr>
          <w:rFonts w:ascii="Palatino Linotype" w:hAnsi="Palatino Linotype"/>
        </w:rPr>
        <w:t xml:space="preserve"> Saint scripture explicitly affirms</w:t>
      </w:r>
      <w:r w:rsidR="003C1145" w:rsidRPr="00D06097">
        <w:rPr>
          <w:rFonts w:ascii="Palatino Linotype" w:hAnsi="Palatino Linotype"/>
        </w:rPr>
        <w:t>, for example,</w:t>
      </w:r>
      <w:r w:rsidRPr="00D06097">
        <w:rPr>
          <w:rFonts w:ascii="Palatino Linotype" w:hAnsi="Palatino Linotype"/>
        </w:rPr>
        <w:t xml:space="preserve"> that God structures God’s own existence and planning around the creation and development of souls.</w:t>
      </w:r>
      <w:r w:rsidRPr="00D06097">
        <w:rPr>
          <w:rStyle w:val="FootnoteReference"/>
          <w:rFonts w:ascii="Palatino Linotype" w:hAnsi="Palatino Linotype"/>
        </w:rPr>
        <w:footnoteReference w:id="7"/>
      </w:r>
      <w:r w:rsidRPr="00D06097">
        <w:rPr>
          <w:rFonts w:ascii="Palatino Linotype" w:hAnsi="Palatino Linotype"/>
        </w:rPr>
        <w:t xml:space="preserve"> Given that God values souls in the profound way that God values them, we might ask which souls (of all the possible souls) in particular God desires to make. God desires to make the souls that are appropriate to achieving God’s developmental ends for </w:t>
      </w:r>
      <w:r w:rsidR="004505FA" w:rsidRPr="00D06097">
        <w:rPr>
          <w:rFonts w:ascii="Palatino Linotype" w:hAnsi="Palatino Linotype"/>
        </w:rPr>
        <w:t>the</w:t>
      </w:r>
      <w:r w:rsidRPr="00D06097">
        <w:rPr>
          <w:rFonts w:ascii="Palatino Linotype" w:hAnsi="Palatino Linotype"/>
        </w:rPr>
        <w:t xml:space="preserve"> spirits</w:t>
      </w:r>
      <w:r w:rsidR="004505FA" w:rsidRPr="00D06097">
        <w:rPr>
          <w:rFonts w:ascii="Palatino Linotype" w:hAnsi="Palatino Linotype"/>
        </w:rPr>
        <w:t xml:space="preserve"> so embodied</w:t>
      </w:r>
      <w:r w:rsidRPr="00D06097">
        <w:rPr>
          <w:rFonts w:ascii="Palatino Linotype" w:hAnsi="Palatino Linotype"/>
        </w:rPr>
        <w:t xml:space="preserve">. So, each created soul constitutes what we call a </w:t>
      </w:r>
      <w:r w:rsidRPr="00D06097">
        <w:rPr>
          <w:rFonts w:ascii="Palatino Linotype" w:hAnsi="Palatino Linotype"/>
          <w:i/>
          <w:iCs/>
        </w:rPr>
        <w:t>suitable embodiment</w:t>
      </w:r>
      <w:r w:rsidRPr="00D06097">
        <w:rPr>
          <w:rFonts w:ascii="Palatino Linotype" w:hAnsi="Palatino Linotype"/>
        </w:rPr>
        <w:t xml:space="preserve">. </w:t>
      </w:r>
    </w:p>
    <w:p w14:paraId="3E405DAD" w14:textId="77777777" w:rsidR="008F0166" w:rsidRPr="00D06097" w:rsidRDefault="008F0166" w:rsidP="002A23EE">
      <w:pPr>
        <w:ind w:left="720" w:firstLine="0"/>
        <w:rPr>
          <w:rFonts w:ascii="Palatino Linotype" w:hAnsi="Palatino Linotype"/>
        </w:rPr>
      </w:pPr>
      <w:r w:rsidRPr="00D06097">
        <w:rPr>
          <w:rFonts w:ascii="Palatino Linotype" w:hAnsi="Palatino Linotype"/>
          <w:b/>
          <w:bCs/>
        </w:rPr>
        <w:t>Suitable Embodiment</w:t>
      </w:r>
      <w:r w:rsidRPr="00D06097">
        <w:rPr>
          <w:rFonts w:ascii="Palatino Linotype" w:hAnsi="Palatino Linotype"/>
        </w:rPr>
        <w:t xml:space="preserve">: an embodiment of a spirit appropriate to achieving God’s developmental ends for that very spirit. </w:t>
      </w:r>
    </w:p>
    <w:p w14:paraId="4656935C" w14:textId="77777777" w:rsidR="0069486B" w:rsidRPr="00D06097" w:rsidRDefault="0069486B" w:rsidP="002A23EE">
      <w:pPr>
        <w:rPr>
          <w:rFonts w:ascii="Palatino Linotype" w:hAnsi="Palatino Linotype"/>
        </w:rPr>
      </w:pPr>
      <w:r w:rsidRPr="00D06097">
        <w:rPr>
          <w:rFonts w:ascii="Palatino Linotype" w:hAnsi="Palatino Linotype"/>
        </w:rPr>
        <w:t xml:space="preserve">While it is quite plausible that for many spirits a range of embodiments may be sufficiently suitable, </w:t>
      </w:r>
      <w:r w:rsidR="00781DF8" w:rsidRPr="00D06097">
        <w:rPr>
          <w:rFonts w:ascii="Palatino Linotype" w:hAnsi="Palatino Linotype"/>
        </w:rPr>
        <w:t>Latter-day</w:t>
      </w:r>
      <w:r w:rsidRPr="00D06097">
        <w:rPr>
          <w:rFonts w:ascii="Palatino Linotype" w:hAnsi="Palatino Linotype"/>
        </w:rPr>
        <w:t xml:space="preserve"> Saint scripture is clear that for certain spirits, God has extremely specific plans for their embodiment</w:t>
      </w:r>
      <w:r w:rsidR="00570E39" w:rsidRPr="00D06097">
        <w:rPr>
          <w:rFonts w:ascii="Palatino Linotype" w:hAnsi="Palatino Linotype"/>
        </w:rPr>
        <w:t>s</w:t>
      </w:r>
      <w:r w:rsidRPr="00D06097">
        <w:rPr>
          <w:rFonts w:ascii="Palatino Linotype" w:hAnsi="Palatino Linotype"/>
        </w:rPr>
        <w:t xml:space="preserve">. </w:t>
      </w:r>
      <w:r w:rsidR="00781DF8" w:rsidRPr="00D06097">
        <w:rPr>
          <w:rFonts w:ascii="Palatino Linotype" w:hAnsi="Palatino Linotype"/>
        </w:rPr>
        <w:t>Latter-day</w:t>
      </w:r>
      <w:r w:rsidRPr="00D06097">
        <w:rPr>
          <w:rFonts w:ascii="Palatino Linotype" w:hAnsi="Palatino Linotype"/>
        </w:rPr>
        <w:t xml:space="preserve"> Saint theology is shot through with foreordination claims. Foreordination claims each have the following force. Where </w:t>
      </w:r>
      <w:r w:rsidRPr="00D06097">
        <w:rPr>
          <w:rFonts w:ascii="Palatino Linotype" w:hAnsi="Palatino Linotype"/>
          <w:i/>
          <w:iCs/>
        </w:rPr>
        <w:t>x</w:t>
      </w:r>
      <w:r w:rsidRPr="00D06097">
        <w:rPr>
          <w:rFonts w:ascii="Palatino Linotype" w:hAnsi="Palatino Linotype"/>
        </w:rPr>
        <w:t xml:space="preserve"> ranges over souls:</w:t>
      </w:r>
    </w:p>
    <w:p w14:paraId="025FFE47" w14:textId="77777777" w:rsidR="0069486B" w:rsidRPr="00D06097" w:rsidRDefault="0069486B" w:rsidP="002A23EE">
      <w:pPr>
        <w:ind w:firstLine="720"/>
        <w:rPr>
          <w:rFonts w:ascii="Palatino Linotype" w:hAnsi="Palatino Linotype"/>
        </w:rPr>
      </w:pPr>
      <w:r w:rsidRPr="00D06097">
        <w:rPr>
          <w:rFonts w:ascii="Palatino Linotype" w:hAnsi="Palatino Linotype"/>
          <w:b/>
          <w:bCs/>
        </w:rPr>
        <w:t>Foreordination</w:t>
      </w:r>
      <w:r w:rsidRPr="00D06097">
        <w:rPr>
          <w:rFonts w:ascii="Palatino Linotype" w:hAnsi="Palatino Linotype"/>
        </w:rPr>
        <w:t xml:space="preserve">: if </w:t>
      </w:r>
      <w:r w:rsidRPr="00D06097">
        <w:rPr>
          <w:rFonts w:ascii="Palatino Linotype" w:hAnsi="Palatino Linotype"/>
          <w:i/>
          <w:iCs/>
        </w:rPr>
        <w:t>x</w:t>
      </w:r>
      <w:r w:rsidRPr="00D06097">
        <w:rPr>
          <w:rFonts w:ascii="Palatino Linotype" w:hAnsi="Palatino Linotype"/>
        </w:rPr>
        <w:t xml:space="preserve"> is foreordained to </w:t>
      </w:r>
      <w:r w:rsidRPr="00D06097">
        <w:rPr>
          <w:rFonts w:ascii="Palatino Linotype" w:hAnsi="Palatino Linotype"/>
          <w:i/>
          <w:iCs/>
        </w:rPr>
        <w:t>ϕ</w:t>
      </w:r>
      <w:r w:rsidRPr="00D06097">
        <w:rPr>
          <w:rFonts w:ascii="Palatino Linotype" w:hAnsi="Palatino Linotype"/>
        </w:rPr>
        <w:t>, God plans for the world to be such that x can ϕ</w:t>
      </w:r>
    </w:p>
    <w:p w14:paraId="37AA92B4" w14:textId="77777777" w:rsidR="00B83BFF" w:rsidRPr="00D06097" w:rsidRDefault="0092337D" w:rsidP="0092337D">
      <w:pPr>
        <w:ind w:firstLine="0"/>
        <w:rPr>
          <w:rFonts w:ascii="Palatino Linotype" w:hAnsi="Palatino Linotype"/>
        </w:rPr>
      </w:pPr>
      <w:r w:rsidRPr="00D06097">
        <w:rPr>
          <w:rFonts w:ascii="Palatino Linotype" w:hAnsi="Palatino Linotype"/>
        </w:rPr>
        <w:t xml:space="preserve">It’s important to emphasize that the above principle only licenses an inference to a practical </w:t>
      </w:r>
      <w:r w:rsidRPr="00D06097">
        <w:rPr>
          <w:rFonts w:ascii="Palatino Linotype" w:hAnsi="Palatino Linotype"/>
          <w:i/>
          <w:iCs/>
        </w:rPr>
        <w:t>possibility</w:t>
      </w:r>
      <w:r w:rsidRPr="00D06097">
        <w:rPr>
          <w:rFonts w:ascii="Palatino Linotype" w:hAnsi="Palatino Linotype"/>
        </w:rPr>
        <w:t xml:space="preserve"> rather than an inevitability. So, being foreordained to </w:t>
      </w:r>
      <w:r w:rsidRPr="00D06097">
        <w:rPr>
          <w:rFonts w:ascii="Palatino Linotype" w:hAnsi="Palatino Linotype"/>
          <w:i/>
          <w:iCs/>
        </w:rPr>
        <w:t>ϕ</w:t>
      </w:r>
      <w:r w:rsidRPr="00D06097">
        <w:rPr>
          <w:rFonts w:ascii="Palatino Linotype" w:hAnsi="Palatino Linotype"/>
        </w:rPr>
        <w:t xml:space="preserve"> only commits one to it being practically possible for that soul to </w:t>
      </w:r>
      <w:r w:rsidRPr="00D06097">
        <w:rPr>
          <w:rFonts w:ascii="Palatino Linotype" w:hAnsi="Palatino Linotype"/>
          <w:i/>
          <w:iCs/>
        </w:rPr>
        <w:t>ϕ</w:t>
      </w:r>
      <w:r w:rsidRPr="00D06097">
        <w:rPr>
          <w:rFonts w:ascii="Palatino Linotype" w:hAnsi="Palatino Linotype"/>
        </w:rPr>
        <w:t xml:space="preserve">. </w:t>
      </w:r>
      <w:r w:rsidR="0069486B" w:rsidRPr="00D06097">
        <w:rPr>
          <w:rFonts w:ascii="Palatino Linotype" w:hAnsi="Palatino Linotype"/>
        </w:rPr>
        <w:t xml:space="preserve">A putative foreordination claim then will license the following pattern of reasoning. God can’t have made the world to be such that any particular soul foreordained to some end, can achieve those ends without ensuring that </w:t>
      </w:r>
      <w:r w:rsidR="0069486B" w:rsidRPr="00D06097">
        <w:rPr>
          <w:rFonts w:ascii="Palatino Linotype" w:hAnsi="Palatino Linotype"/>
          <w:i/>
          <w:iCs/>
        </w:rPr>
        <w:t>that very soul</w:t>
      </w:r>
      <w:r w:rsidR="0069486B" w:rsidRPr="00D06097">
        <w:rPr>
          <w:rFonts w:ascii="Palatino Linotype" w:hAnsi="Palatino Linotype"/>
        </w:rPr>
        <w:t xml:space="preserve"> be among the set of actual souls.</w:t>
      </w:r>
      <w:r w:rsidR="00A64DAB" w:rsidRPr="00D06097">
        <w:rPr>
          <w:rFonts w:ascii="Palatino Linotype" w:hAnsi="Palatino Linotype"/>
        </w:rPr>
        <w:t xml:space="preserve"> We then can read off of putative foreordination claims facts about divine preferences motivating the highly specific circumstances of embodiment yielding those particular souls. </w:t>
      </w:r>
      <w:r w:rsidR="00306DEF" w:rsidRPr="00D06097">
        <w:rPr>
          <w:rFonts w:ascii="Palatino Linotype" w:hAnsi="Palatino Linotype"/>
        </w:rPr>
        <w:t>This can be unpacked a bit more clearly by surveying a range of characteristic examples. We focus on three cases in particular, though there are many more. The cases of present interest will be Abraham, Jesus Christ, and Joseph Smith, since these sou</w:t>
      </w:r>
      <w:r w:rsidR="00282BF4" w:rsidRPr="00D06097">
        <w:rPr>
          <w:rFonts w:ascii="Palatino Linotype" w:hAnsi="Palatino Linotype"/>
        </w:rPr>
        <w:t>ls each play a</w:t>
      </w:r>
      <w:r w:rsidR="002F6207" w:rsidRPr="00D06097">
        <w:rPr>
          <w:rFonts w:ascii="Palatino Linotype" w:hAnsi="Palatino Linotype"/>
        </w:rPr>
        <w:t xml:space="preserve">n important </w:t>
      </w:r>
      <w:r w:rsidR="00282BF4" w:rsidRPr="00D06097">
        <w:rPr>
          <w:rFonts w:ascii="Palatino Linotype" w:hAnsi="Palatino Linotype"/>
        </w:rPr>
        <w:t xml:space="preserve">theological role. </w:t>
      </w:r>
      <w:r w:rsidR="00B83BFF" w:rsidRPr="00D06097">
        <w:rPr>
          <w:rFonts w:ascii="Palatino Linotype" w:hAnsi="Palatino Linotype"/>
        </w:rPr>
        <w:t>Concerning Abraham, we find scriptures like the following:</w:t>
      </w:r>
    </w:p>
    <w:p w14:paraId="25CAE3FA" w14:textId="77777777" w:rsidR="0069486B" w:rsidRPr="00D06097" w:rsidRDefault="00B83BFF" w:rsidP="002A23EE">
      <w:pPr>
        <w:ind w:left="720" w:firstLine="0"/>
        <w:rPr>
          <w:rFonts w:ascii="Palatino Linotype" w:hAnsi="Palatino Linotype"/>
        </w:rPr>
      </w:pPr>
      <w:r w:rsidRPr="00D06097">
        <w:rPr>
          <w:rFonts w:ascii="Palatino Linotype" w:hAnsi="Palatino Linotype"/>
          <w:b/>
          <w:bCs/>
        </w:rPr>
        <w:t>Abraham 3:23</w:t>
      </w:r>
      <w:r w:rsidRPr="00D06097">
        <w:rPr>
          <w:rFonts w:ascii="Palatino Linotype" w:hAnsi="Palatino Linotype"/>
        </w:rPr>
        <w:t xml:space="preserve"> “[God] stood among those that were spirits and saw that they were good; and he said unto me, Abraham, thou art one of them; thou </w:t>
      </w:r>
      <w:proofErr w:type="spellStart"/>
      <w:r w:rsidRPr="00D06097">
        <w:rPr>
          <w:rFonts w:ascii="Palatino Linotype" w:hAnsi="Palatino Linotype"/>
        </w:rPr>
        <w:t>wast</w:t>
      </w:r>
      <w:proofErr w:type="spellEnd"/>
      <w:r w:rsidRPr="00D06097">
        <w:rPr>
          <w:rFonts w:ascii="Palatino Linotype" w:hAnsi="Palatino Linotype"/>
        </w:rPr>
        <w:t xml:space="preserve"> chosen before thou </w:t>
      </w:r>
      <w:proofErr w:type="spellStart"/>
      <w:r w:rsidRPr="00D06097">
        <w:rPr>
          <w:rFonts w:ascii="Palatino Linotype" w:hAnsi="Palatino Linotype"/>
        </w:rPr>
        <w:t>wast</w:t>
      </w:r>
      <w:proofErr w:type="spellEnd"/>
      <w:r w:rsidRPr="00D06097">
        <w:rPr>
          <w:rFonts w:ascii="Palatino Linotype" w:hAnsi="Palatino Linotype"/>
        </w:rPr>
        <w:t xml:space="preserve"> born.”</w:t>
      </w:r>
    </w:p>
    <w:p w14:paraId="7398BD77" w14:textId="77777777" w:rsidR="00B83BFF" w:rsidRPr="00D06097" w:rsidRDefault="00B83BFF" w:rsidP="002E5104">
      <w:pPr>
        <w:ind w:firstLine="0"/>
        <w:rPr>
          <w:rFonts w:ascii="Palatino Linotype" w:hAnsi="Palatino Linotype"/>
        </w:rPr>
      </w:pPr>
      <w:r w:rsidRPr="00D06097">
        <w:rPr>
          <w:rFonts w:ascii="Palatino Linotype" w:hAnsi="Palatino Linotype"/>
        </w:rPr>
        <w:t>Concerning Jesus Christ, we find the following:</w:t>
      </w:r>
    </w:p>
    <w:p w14:paraId="45A981A8" w14:textId="77777777" w:rsidR="00B83BFF" w:rsidRPr="00D06097" w:rsidRDefault="00B83BFF" w:rsidP="002A23EE">
      <w:pPr>
        <w:ind w:left="720" w:firstLine="0"/>
        <w:rPr>
          <w:rFonts w:ascii="Palatino Linotype" w:hAnsi="Palatino Linotype"/>
        </w:rPr>
      </w:pPr>
      <w:r w:rsidRPr="00D06097">
        <w:rPr>
          <w:rFonts w:ascii="Palatino Linotype" w:hAnsi="Palatino Linotype"/>
          <w:b/>
          <w:bCs/>
        </w:rPr>
        <w:lastRenderedPageBreak/>
        <w:t xml:space="preserve">1 Peter 1:19-20 </w:t>
      </w:r>
      <w:r w:rsidRPr="00D06097">
        <w:rPr>
          <w:rFonts w:ascii="Palatino Linotype" w:hAnsi="Palatino Linotype"/>
        </w:rPr>
        <w:t>“But with the precious blood of Christ, as of a lamb without blemish and without spot: who verily was foreordained before the foundation of the world, but was manifest in these last times for you.</w:t>
      </w:r>
      <w:r w:rsidR="00835DB8" w:rsidRPr="00D06097">
        <w:rPr>
          <w:rFonts w:ascii="Palatino Linotype" w:hAnsi="Palatino Linotype"/>
        </w:rPr>
        <w:t>”</w:t>
      </w:r>
      <w:r w:rsidRPr="00D06097">
        <w:rPr>
          <w:rFonts w:ascii="Palatino Linotype" w:hAnsi="Palatino Linotype"/>
        </w:rPr>
        <w:t xml:space="preserve"> </w:t>
      </w:r>
    </w:p>
    <w:p w14:paraId="12DFD497" w14:textId="77777777" w:rsidR="00B83BFF" w:rsidRPr="00D06097" w:rsidRDefault="00B83BFF" w:rsidP="002A23EE">
      <w:pPr>
        <w:ind w:left="720" w:firstLine="0"/>
        <w:rPr>
          <w:rFonts w:ascii="Palatino Linotype" w:hAnsi="Palatino Linotype"/>
        </w:rPr>
      </w:pPr>
      <w:r w:rsidRPr="00D06097">
        <w:rPr>
          <w:rFonts w:ascii="Palatino Linotype" w:hAnsi="Palatino Linotype"/>
          <w:b/>
          <w:bCs/>
        </w:rPr>
        <w:t xml:space="preserve">Moses </w:t>
      </w:r>
      <w:r w:rsidR="008B68A6" w:rsidRPr="00D06097">
        <w:rPr>
          <w:rFonts w:ascii="Palatino Linotype" w:hAnsi="Palatino Linotype"/>
          <w:b/>
          <w:bCs/>
        </w:rPr>
        <w:t>5:57</w:t>
      </w:r>
      <w:r w:rsidRPr="00D06097">
        <w:rPr>
          <w:rFonts w:ascii="Palatino Linotype" w:hAnsi="Palatino Linotype"/>
          <w:b/>
          <w:bCs/>
        </w:rPr>
        <w:t xml:space="preserve"> </w:t>
      </w:r>
      <w:r w:rsidRPr="00D06097">
        <w:rPr>
          <w:rFonts w:ascii="Palatino Linotype" w:hAnsi="Palatino Linotype"/>
        </w:rPr>
        <w:t>“</w:t>
      </w:r>
      <w:r w:rsidR="008B68A6" w:rsidRPr="00D06097">
        <w:rPr>
          <w:rFonts w:ascii="Palatino Linotype" w:hAnsi="Palatino Linotype"/>
        </w:rPr>
        <w:t xml:space="preserve">For they would not hearken unto his voice, nor believe on his Only Begotten Son, even him whom he declared should come </w:t>
      </w:r>
      <w:r w:rsidR="008B68A6" w:rsidRPr="00D06097">
        <w:rPr>
          <w:rFonts w:ascii="Palatino Linotype" w:hAnsi="Palatino Linotype"/>
          <w:i/>
          <w:iCs/>
        </w:rPr>
        <w:t>in the meridian of time</w:t>
      </w:r>
      <w:r w:rsidR="008B68A6" w:rsidRPr="00D06097">
        <w:rPr>
          <w:rFonts w:ascii="Palatino Linotype" w:hAnsi="Palatino Linotype"/>
        </w:rPr>
        <w:t>, who was prepared from before the foundation of the world” (emphasis ours).</w:t>
      </w:r>
    </w:p>
    <w:p w14:paraId="2FEB4E11" w14:textId="77777777" w:rsidR="00835DB8" w:rsidRPr="00D06097" w:rsidRDefault="00023752" w:rsidP="002A23EE">
      <w:pPr>
        <w:rPr>
          <w:rFonts w:ascii="Palatino Linotype" w:hAnsi="Palatino Linotype"/>
        </w:rPr>
      </w:pPr>
      <w:r w:rsidRPr="00D06097">
        <w:rPr>
          <w:rFonts w:ascii="Palatino Linotype" w:hAnsi="Palatino Linotype"/>
        </w:rPr>
        <w:t>Foreordination claims concerning Christ abound</w:t>
      </w:r>
      <w:r w:rsidR="00CD1714" w:rsidRPr="00D06097">
        <w:rPr>
          <w:rFonts w:ascii="Palatino Linotype" w:hAnsi="Palatino Linotype"/>
        </w:rPr>
        <w:t xml:space="preserve"> and these</w:t>
      </w:r>
      <w:r w:rsidR="00146E65" w:rsidRPr="00D06097">
        <w:rPr>
          <w:rFonts w:ascii="Palatino Linotype" w:hAnsi="Palatino Linotype"/>
        </w:rPr>
        <w:t xml:space="preserve"> </w:t>
      </w:r>
      <w:r w:rsidR="0042192E" w:rsidRPr="00D06097">
        <w:rPr>
          <w:rFonts w:ascii="Palatino Linotype" w:hAnsi="Palatino Linotype"/>
        </w:rPr>
        <w:t xml:space="preserve">underscore the significance of the genealogy of Jesus. </w:t>
      </w:r>
      <w:r w:rsidR="00B97D15" w:rsidRPr="00D06097">
        <w:rPr>
          <w:rFonts w:ascii="Palatino Linotype" w:hAnsi="Palatino Linotype"/>
        </w:rPr>
        <w:t xml:space="preserve">The genealogy of Jesus is essential to the realization of his actual material origins, which as we’ve seen are particularly significant to his status as </w:t>
      </w:r>
      <w:r w:rsidR="00B97D15" w:rsidRPr="00D06097">
        <w:rPr>
          <w:rFonts w:ascii="Palatino Linotype" w:hAnsi="Palatino Linotype"/>
          <w:i/>
          <w:iCs/>
        </w:rPr>
        <w:t xml:space="preserve">savior </w:t>
      </w:r>
      <w:r w:rsidR="00B97D15" w:rsidRPr="00D06097">
        <w:rPr>
          <w:rFonts w:ascii="Palatino Linotype" w:hAnsi="Palatino Linotype"/>
        </w:rPr>
        <w:t xml:space="preserve">and </w:t>
      </w:r>
      <w:r w:rsidR="00B97D15" w:rsidRPr="00D06097">
        <w:rPr>
          <w:rFonts w:ascii="Palatino Linotype" w:hAnsi="Palatino Linotype"/>
          <w:i/>
          <w:iCs/>
        </w:rPr>
        <w:t>redeemer</w:t>
      </w:r>
      <w:r w:rsidR="00B97D15" w:rsidRPr="00D06097">
        <w:rPr>
          <w:rFonts w:ascii="Palatino Linotype" w:hAnsi="Palatino Linotype"/>
        </w:rPr>
        <w:t>.</w:t>
      </w:r>
      <w:r w:rsidR="00CA2F1D" w:rsidRPr="00D06097">
        <w:rPr>
          <w:rFonts w:ascii="Palatino Linotype" w:hAnsi="Palatino Linotype"/>
        </w:rPr>
        <w:t xml:space="preserve"> Afterall</w:t>
      </w:r>
      <w:r w:rsidR="0058709E" w:rsidRPr="00D06097">
        <w:rPr>
          <w:rFonts w:ascii="Palatino Linotype" w:hAnsi="Palatino Linotype"/>
        </w:rPr>
        <w:t>,</w:t>
      </w:r>
      <w:r w:rsidR="00CA2F1D" w:rsidRPr="00D06097">
        <w:rPr>
          <w:rFonts w:ascii="Palatino Linotype" w:hAnsi="Palatino Linotype"/>
        </w:rPr>
        <w:t xml:space="preserve"> he is to come in the </w:t>
      </w:r>
      <w:r w:rsidR="00CA2F1D" w:rsidRPr="00D06097">
        <w:rPr>
          <w:rFonts w:ascii="Palatino Linotype" w:hAnsi="Palatino Linotype"/>
          <w:i/>
          <w:iCs/>
        </w:rPr>
        <w:t>meridian of time</w:t>
      </w:r>
      <w:r w:rsidR="00CA2F1D" w:rsidRPr="00D06097">
        <w:rPr>
          <w:rFonts w:ascii="Palatino Linotype" w:hAnsi="Palatino Linotype"/>
        </w:rPr>
        <w:t xml:space="preserve"> and that is a particular time, the time of his actual birth.</w:t>
      </w:r>
      <w:r w:rsidR="00B97D15" w:rsidRPr="00D06097">
        <w:rPr>
          <w:rFonts w:ascii="Palatino Linotype" w:hAnsi="Palatino Linotype"/>
        </w:rPr>
        <w:t xml:space="preserve"> So, if Christ is foreordained to </w:t>
      </w:r>
      <w:r w:rsidR="00E6759F" w:rsidRPr="00D06097">
        <w:rPr>
          <w:rFonts w:ascii="Palatino Linotype" w:hAnsi="Palatino Linotype"/>
        </w:rPr>
        <w:t>various ends</w:t>
      </w:r>
      <w:r w:rsidR="005F4801" w:rsidRPr="00D06097">
        <w:rPr>
          <w:rFonts w:ascii="Palatino Linotype" w:hAnsi="Palatino Linotype"/>
        </w:rPr>
        <w:t>—w</w:t>
      </w:r>
      <w:r w:rsidR="00CA2F1D" w:rsidRPr="00D06097">
        <w:rPr>
          <w:rFonts w:ascii="Palatino Linotype" w:hAnsi="Palatino Linotype"/>
        </w:rPr>
        <w:t>ith all that th</w:t>
      </w:r>
      <w:r w:rsidR="00E6759F" w:rsidRPr="00D06097">
        <w:rPr>
          <w:rFonts w:ascii="Palatino Linotype" w:hAnsi="Palatino Linotype"/>
        </w:rPr>
        <w:t>ey</w:t>
      </w:r>
      <w:r w:rsidR="00CA2F1D" w:rsidRPr="00D06097">
        <w:rPr>
          <w:rFonts w:ascii="Palatino Linotype" w:hAnsi="Palatino Linotype"/>
        </w:rPr>
        <w:t xml:space="preserve"> entail</w:t>
      </w:r>
      <w:r w:rsidR="005F4801" w:rsidRPr="00D06097">
        <w:rPr>
          <w:rFonts w:ascii="Palatino Linotype" w:hAnsi="Palatino Linotype"/>
        </w:rPr>
        <w:t>—</w:t>
      </w:r>
      <w:r w:rsidR="00B97D15" w:rsidRPr="00D06097">
        <w:rPr>
          <w:rFonts w:ascii="Palatino Linotype" w:hAnsi="Palatino Linotype"/>
        </w:rPr>
        <w:t>the world has to be such that Christ (here now understood as a particular soul) exists.</w:t>
      </w:r>
    </w:p>
    <w:p w14:paraId="711EB844" w14:textId="77777777" w:rsidR="00B97D15" w:rsidRPr="00D06097" w:rsidRDefault="00B97D15" w:rsidP="002A23EE">
      <w:pPr>
        <w:ind w:firstLine="0"/>
        <w:rPr>
          <w:rFonts w:ascii="Palatino Linotype" w:hAnsi="Palatino Linotype"/>
        </w:rPr>
      </w:pPr>
      <w:r w:rsidRPr="00D06097">
        <w:rPr>
          <w:rFonts w:ascii="Palatino Linotype" w:hAnsi="Palatino Linotype"/>
        </w:rPr>
        <w:tab/>
        <w:t xml:space="preserve">Concerning Joseph Smith, </w:t>
      </w:r>
      <w:r w:rsidR="009819B7" w:rsidRPr="00D06097">
        <w:rPr>
          <w:rFonts w:ascii="Palatino Linotype" w:hAnsi="Palatino Linotype"/>
        </w:rPr>
        <w:t>there are explicit claims made about God planning to bring him into existence in the specific circumstances he as a matter of fact was. One particularly clear and representative expression of this is found in the Discourses of Brigham Young. Br</w:t>
      </w:r>
      <w:r w:rsidRPr="00D06097">
        <w:rPr>
          <w:rFonts w:ascii="Palatino Linotype" w:hAnsi="Palatino Linotype"/>
        </w:rPr>
        <w:t>igham Young states:</w:t>
      </w:r>
    </w:p>
    <w:p w14:paraId="428FFD97" w14:textId="77777777" w:rsidR="009819B7" w:rsidRPr="00D06097" w:rsidRDefault="009819B7" w:rsidP="002A23EE">
      <w:pPr>
        <w:ind w:left="720" w:firstLine="0"/>
        <w:rPr>
          <w:rFonts w:ascii="Palatino Linotype" w:hAnsi="Palatino Linotype"/>
        </w:rPr>
      </w:pPr>
      <w:r w:rsidRPr="00D06097">
        <w:rPr>
          <w:rFonts w:ascii="Palatino Linotype" w:hAnsi="Palatino Linotype"/>
        </w:rPr>
        <w:t xml:space="preserve">“It was decreed in the counsels of eternity, long before the foundations of the earth were laid, that he, Joseph Smith, should be the man, in the last dispensation of this world, to bring forth the word of God to the people, and receive the fulness of the keys and power of the Priesthood of the Son of God. </w:t>
      </w:r>
    </w:p>
    <w:p w14:paraId="2900717C" w14:textId="77777777" w:rsidR="009819B7" w:rsidRPr="00D06097" w:rsidRDefault="009819B7" w:rsidP="002A23EE">
      <w:pPr>
        <w:ind w:left="720" w:firstLine="0"/>
        <w:rPr>
          <w:rFonts w:ascii="Palatino Linotype" w:hAnsi="Palatino Linotype"/>
        </w:rPr>
      </w:pPr>
      <w:r w:rsidRPr="00D06097">
        <w:rPr>
          <w:rFonts w:ascii="Palatino Linotype" w:hAnsi="Palatino Linotype"/>
        </w:rPr>
        <w:t xml:space="preserve">The Lord had his eyes upon him, and upon his father, and upon his father’s father, and upon their </w:t>
      </w:r>
      <w:r w:rsidR="00132A0E" w:rsidRPr="00D06097">
        <w:rPr>
          <w:rFonts w:ascii="Palatino Linotype" w:hAnsi="Palatino Linotype"/>
        </w:rPr>
        <w:t>progenitors</w:t>
      </w:r>
      <w:r w:rsidRPr="00D06097">
        <w:rPr>
          <w:rFonts w:ascii="Palatino Linotype" w:hAnsi="Palatino Linotype"/>
        </w:rPr>
        <w:t xml:space="preserve"> clear back to Abraham, and from Abraham to the flood, from the flood to Enoch, and from Enoch to Adam. He has watched that family and that blood as it has circulated from its fountain to the birth of that man. He was fore-ordained in eternity to preside over this last dispensation (</w:t>
      </w:r>
      <w:r w:rsidRPr="00D06097">
        <w:rPr>
          <w:rFonts w:ascii="Palatino Linotype" w:hAnsi="Palatino Linotype"/>
          <w:i/>
          <w:iCs/>
        </w:rPr>
        <w:t>Discourses of Brigham Young,</w:t>
      </w:r>
      <w:r w:rsidRPr="00D06097">
        <w:rPr>
          <w:rFonts w:ascii="Palatino Linotype" w:hAnsi="Palatino Linotype"/>
        </w:rPr>
        <w:t> 108).”</w:t>
      </w:r>
      <w:r w:rsidRPr="00D06097">
        <w:rPr>
          <w:rStyle w:val="FootnoteReference"/>
          <w:rFonts w:ascii="Palatino Linotype" w:hAnsi="Palatino Linotype"/>
        </w:rPr>
        <w:footnoteReference w:id="8"/>
      </w:r>
    </w:p>
    <w:p w14:paraId="110E5D8B" w14:textId="77777777" w:rsidR="00B97D15" w:rsidRPr="00D06097" w:rsidRDefault="00C45C74" w:rsidP="002A23EE">
      <w:pPr>
        <w:ind w:firstLine="0"/>
        <w:rPr>
          <w:rFonts w:ascii="Palatino Linotype" w:hAnsi="Palatino Linotype"/>
        </w:rPr>
      </w:pPr>
      <w:r w:rsidRPr="00D06097">
        <w:rPr>
          <w:rFonts w:ascii="Palatino Linotype" w:hAnsi="Palatino Linotype"/>
        </w:rPr>
        <w:t xml:space="preserve">What the examples of Abraham, Christ and Joseph Smith illustrate, is that in </w:t>
      </w:r>
      <w:r w:rsidR="00781DF8" w:rsidRPr="00D06097">
        <w:rPr>
          <w:rFonts w:ascii="Palatino Linotype" w:hAnsi="Palatino Linotype"/>
        </w:rPr>
        <w:t>Latter-day</w:t>
      </w:r>
      <w:r w:rsidRPr="00D06097">
        <w:rPr>
          <w:rFonts w:ascii="Palatino Linotype" w:hAnsi="Palatino Linotype"/>
        </w:rPr>
        <w:t xml:space="preserve"> Saint theolog</w:t>
      </w:r>
      <w:r w:rsidR="0058709E" w:rsidRPr="00D06097">
        <w:rPr>
          <w:rFonts w:ascii="Palatino Linotype" w:hAnsi="Palatino Linotype"/>
        </w:rPr>
        <w:t>y</w:t>
      </w:r>
      <w:r w:rsidRPr="00D06097">
        <w:rPr>
          <w:rFonts w:ascii="Palatino Linotype" w:hAnsi="Palatino Linotype"/>
        </w:rPr>
        <w:t xml:space="preserve"> material origins have a central kind of theological significance. In having this central significance, they introduce substantive constraints on the unfolding of history. The causal history of the world can’t have been </w:t>
      </w:r>
      <w:r w:rsidRPr="00D06097">
        <w:rPr>
          <w:rFonts w:ascii="Palatino Linotype" w:hAnsi="Palatino Linotype"/>
          <w:i/>
          <w:iCs/>
        </w:rPr>
        <w:t>very</w:t>
      </w:r>
      <w:r w:rsidRPr="00D06097">
        <w:rPr>
          <w:rFonts w:ascii="Palatino Linotype" w:hAnsi="Palatino Linotype"/>
        </w:rPr>
        <w:t xml:space="preserve"> different than it actually is, else the pre-conditions for the existence of the various souls (e.g., Abraham, Jesus, and Joseph Smith) God has foreordained to certain ends </w:t>
      </w:r>
      <w:r w:rsidR="00CA2F1D" w:rsidRPr="00D06097">
        <w:rPr>
          <w:rFonts w:ascii="Palatino Linotype" w:hAnsi="Palatino Linotype"/>
        </w:rPr>
        <w:t>could</w:t>
      </w:r>
      <w:r w:rsidRPr="00D06097">
        <w:rPr>
          <w:rFonts w:ascii="Palatino Linotype" w:hAnsi="Palatino Linotype"/>
        </w:rPr>
        <w:t xml:space="preserve"> not be met. </w:t>
      </w:r>
      <w:r w:rsidR="00FD76AD" w:rsidRPr="00D06097">
        <w:rPr>
          <w:rFonts w:ascii="Palatino Linotype" w:hAnsi="Palatino Linotype"/>
        </w:rPr>
        <w:t xml:space="preserve">If the history of the world can’t have been </w:t>
      </w:r>
      <w:r w:rsidR="00FD76AD" w:rsidRPr="00D06097">
        <w:rPr>
          <w:rFonts w:ascii="Palatino Linotype" w:hAnsi="Palatino Linotype"/>
          <w:i/>
          <w:iCs/>
        </w:rPr>
        <w:t>very</w:t>
      </w:r>
      <w:r w:rsidR="00FD76AD" w:rsidRPr="00D06097">
        <w:rPr>
          <w:rFonts w:ascii="Palatino Linotype" w:hAnsi="Palatino Linotype"/>
        </w:rPr>
        <w:t xml:space="preserve"> different than it actually is in order for God’s soul-making aims to be appropriately served, then </w:t>
      </w:r>
      <w:r w:rsidR="00781DF8" w:rsidRPr="00D06097">
        <w:rPr>
          <w:rFonts w:ascii="Palatino Linotype" w:hAnsi="Palatino Linotype"/>
        </w:rPr>
        <w:lastRenderedPageBreak/>
        <w:t>Latter-day</w:t>
      </w:r>
      <w:r w:rsidR="00FD76AD" w:rsidRPr="00D06097">
        <w:rPr>
          <w:rFonts w:ascii="Palatino Linotype" w:hAnsi="Palatino Linotype"/>
        </w:rPr>
        <w:t xml:space="preserve"> Saint theology is well positioned to account for a vast range of evils. Any kind of evil or suffering, the occurrence of which contributes to the causal trajectory of the world resulting in </w:t>
      </w:r>
      <w:r w:rsidR="00FD76AD" w:rsidRPr="00D06097">
        <w:rPr>
          <w:rFonts w:ascii="Palatino Linotype" w:hAnsi="Palatino Linotype"/>
          <w:i/>
          <w:iCs/>
        </w:rPr>
        <w:t>you</w:t>
      </w:r>
      <w:r w:rsidR="00FD76AD" w:rsidRPr="00D06097">
        <w:rPr>
          <w:rFonts w:ascii="Palatino Linotype" w:hAnsi="Palatino Linotype"/>
        </w:rPr>
        <w:t xml:space="preserve">, has an immediate kind of justification. God desires to </w:t>
      </w:r>
      <w:r w:rsidR="0092337D" w:rsidRPr="00D06097">
        <w:rPr>
          <w:rFonts w:ascii="Palatino Linotype" w:hAnsi="Palatino Linotype"/>
        </w:rPr>
        <w:t>make</w:t>
      </w:r>
      <w:r w:rsidR="00FD76AD" w:rsidRPr="00D06097">
        <w:rPr>
          <w:rFonts w:ascii="Palatino Linotype" w:hAnsi="Palatino Linotype"/>
        </w:rPr>
        <w:t xml:space="preserve"> you, </w:t>
      </w:r>
      <w:r w:rsidR="0092337D" w:rsidRPr="00D06097">
        <w:rPr>
          <w:rFonts w:ascii="Palatino Linotype" w:hAnsi="Palatino Linotype"/>
        </w:rPr>
        <w:t>a particular</w:t>
      </w:r>
      <w:r w:rsidR="00FD76AD" w:rsidRPr="00D06097">
        <w:rPr>
          <w:rFonts w:ascii="Palatino Linotype" w:hAnsi="Palatino Linotype"/>
        </w:rPr>
        <w:t xml:space="preserve"> soul. Intervening to prevent the evils that causally contribute to the realization of your material origins undermines the realization of (1) what God most profoundly values and (2) what is most suitable for your soul-making journey. </w:t>
      </w:r>
    </w:p>
    <w:p w14:paraId="4A5E1B9E" w14:textId="4570FD8D" w:rsidR="005B05A8" w:rsidRPr="00D06097" w:rsidRDefault="005C7A24" w:rsidP="005B05A8">
      <w:pPr>
        <w:ind w:firstLine="720"/>
        <w:rPr>
          <w:rFonts w:ascii="Palatino Linotype" w:hAnsi="Palatino Linotype"/>
        </w:rPr>
      </w:pPr>
      <w:r w:rsidRPr="00D06097">
        <w:rPr>
          <w:rFonts w:ascii="Palatino Linotype" w:hAnsi="Palatino Linotype"/>
        </w:rPr>
        <w:t>To</w:t>
      </w:r>
      <w:r w:rsidR="00E324B0" w:rsidRPr="00D06097">
        <w:rPr>
          <w:rFonts w:ascii="Palatino Linotype" w:hAnsi="Palatino Linotype"/>
        </w:rPr>
        <w:t xml:space="preserve"> </w:t>
      </w:r>
      <w:r w:rsidRPr="00D06097">
        <w:rPr>
          <w:rFonts w:ascii="Palatino Linotype" w:hAnsi="Palatino Linotype"/>
        </w:rPr>
        <w:t>illustrate the force of this kind of explanation, consider again the genealogy of Jesus. Per the Biblical narrative, Christ descends from David through Solomon.</w:t>
      </w:r>
      <w:r w:rsidRPr="00D06097">
        <w:rPr>
          <w:rStyle w:val="FootnoteReference"/>
          <w:rFonts w:ascii="Palatino Linotype" w:hAnsi="Palatino Linotype"/>
        </w:rPr>
        <w:footnoteReference w:id="9"/>
      </w:r>
      <w:r w:rsidRPr="00D06097">
        <w:rPr>
          <w:rFonts w:ascii="Palatino Linotype" w:hAnsi="Palatino Linotype"/>
        </w:rPr>
        <w:t xml:space="preserve"> </w:t>
      </w:r>
      <w:r w:rsidR="001B2EE7" w:rsidRPr="00D06097">
        <w:rPr>
          <w:rFonts w:ascii="Palatino Linotype" w:hAnsi="Palatino Linotype"/>
        </w:rPr>
        <w:t xml:space="preserve">But the transition from David to Solomon is fraught with evil. David initiated a series of events that led to Bathsheba’s betrothal to himself, an event </w:t>
      </w:r>
      <w:r w:rsidR="005B05A8" w:rsidRPr="00D06097">
        <w:rPr>
          <w:rFonts w:ascii="Palatino Linotype" w:hAnsi="Palatino Linotype"/>
        </w:rPr>
        <w:t>that played a very important role in</w:t>
      </w:r>
      <w:r w:rsidR="001B2EE7" w:rsidRPr="00D06097">
        <w:rPr>
          <w:rFonts w:ascii="Palatino Linotype" w:hAnsi="Palatino Linotype"/>
        </w:rPr>
        <w:t xml:space="preserve"> the realization of Solomon’s material origins, but one that was bound up in a variety of pernicious moral evils.</w:t>
      </w:r>
      <w:r w:rsidR="001B2EE7" w:rsidRPr="00D06097">
        <w:rPr>
          <w:rStyle w:val="FootnoteReference"/>
          <w:rFonts w:ascii="Palatino Linotype" w:hAnsi="Palatino Linotype"/>
        </w:rPr>
        <w:footnoteReference w:id="10"/>
      </w:r>
      <w:r w:rsidR="001B2EE7" w:rsidRPr="00D06097">
        <w:rPr>
          <w:rFonts w:ascii="Palatino Linotype" w:hAnsi="Palatino Linotype"/>
        </w:rPr>
        <w:t xml:space="preserve">  </w:t>
      </w:r>
      <w:r w:rsidR="002F14FC" w:rsidRPr="00D06097">
        <w:rPr>
          <w:rFonts w:ascii="Palatino Linotype" w:hAnsi="Palatino Linotype"/>
        </w:rPr>
        <w:t xml:space="preserve">But Christ’s foreordained existence puts constraints on the unfolding of history. The biblically recounted narrative can’t have been very different than it actually was, else Solomon—and thereby Christ—wouldn’t have come into existence. </w:t>
      </w:r>
      <w:r w:rsidR="005B05A8" w:rsidRPr="00D06097">
        <w:rPr>
          <w:rFonts w:ascii="Palatino Linotype" w:hAnsi="Palatino Linotype"/>
        </w:rPr>
        <w:t xml:space="preserve">We do, however, think it is plausible that Solomon could have come into existence </w:t>
      </w:r>
      <w:r w:rsidR="00180434" w:rsidRPr="00D06097">
        <w:rPr>
          <w:rFonts w:ascii="Palatino Linotype" w:hAnsi="Palatino Linotype"/>
        </w:rPr>
        <w:t>without requiring</w:t>
      </w:r>
      <w:r w:rsidR="005B05A8" w:rsidRPr="00D06097">
        <w:rPr>
          <w:rFonts w:ascii="Palatino Linotype" w:hAnsi="Palatino Linotype"/>
        </w:rPr>
        <w:t xml:space="preserve"> David’s moral evil. For all we know, there is a world where Uriah dies and David marries Bathsheba without the problematic subterfuge and conspiracy. But since the unfolding of history fails to </w:t>
      </w:r>
      <w:r w:rsidR="005B05A8" w:rsidRPr="00D06097">
        <w:rPr>
          <w:rFonts w:ascii="Palatino Linotype" w:hAnsi="Palatino Linotype"/>
          <w:i/>
          <w:iCs/>
        </w:rPr>
        <w:t>undermine</w:t>
      </w:r>
      <w:r w:rsidR="005B05A8" w:rsidRPr="00D06097">
        <w:rPr>
          <w:rFonts w:ascii="Palatino Linotype" w:hAnsi="Palatino Linotype"/>
        </w:rPr>
        <w:t xml:space="preserve"> God’s preferences with respect to which soul’s come into existence, God can tolerate such evil and suffering. This highlights, that on the present approach, whether an act threatens God’s soul-making project </w:t>
      </w:r>
      <w:r w:rsidR="00180434" w:rsidRPr="00D06097">
        <w:rPr>
          <w:rFonts w:ascii="Palatino Linotype" w:hAnsi="Palatino Linotype"/>
        </w:rPr>
        <w:t>by</w:t>
      </w:r>
      <w:r w:rsidR="005B05A8" w:rsidRPr="00D06097">
        <w:rPr>
          <w:rFonts w:ascii="Palatino Linotype" w:hAnsi="Palatino Linotype"/>
        </w:rPr>
        <w:t xml:space="preserve"> jeopardizing particular embodiments </w:t>
      </w:r>
      <w:r w:rsidR="00FD35A2" w:rsidRPr="00D06097">
        <w:rPr>
          <w:rFonts w:ascii="Palatino Linotype" w:hAnsi="Palatino Linotype"/>
        </w:rPr>
        <w:t>partly determines</w:t>
      </w:r>
      <w:r w:rsidR="005B05A8" w:rsidRPr="00D06097">
        <w:rPr>
          <w:rFonts w:ascii="Palatino Linotype" w:hAnsi="Palatino Linotype"/>
        </w:rPr>
        <w:t xml:space="preserve"> God’s policy of evil prevention.</w:t>
      </w:r>
      <w:r w:rsidR="005B05A8" w:rsidRPr="00D06097">
        <w:rPr>
          <w:rStyle w:val="FootnoteReference"/>
          <w:rFonts w:ascii="Palatino Linotype" w:hAnsi="Palatino Linotype"/>
        </w:rPr>
        <w:footnoteReference w:id="11"/>
      </w:r>
      <w:r w:rsidR="005B05A8" w:rsidRPr="00D06097">
        <w:rPr>
          <w:rFonts w:ascii="Palatino Linotype" w:hAnsi="Palatino Linotype"/>
        </w:rPr>
        <w:t xml:space="preserve"> </w:t>
      </w:r>
    </w:p>
    <w:p w14:paraId="53A1E363" w14:textId="16742765" w:rsidR="00DB7A0C" w:rsidRPr="00D06097" w:rsidRDefault="002F14FC" w:rsidP="002A23EE">
      <w:pPr>
        <w:ind w:firstLine="0"/>
        <w:rPr>
          <w:rFonts w:ascii="Palatino Linotype" w:hAnsi="Palatino Linotype"/>
        </w:rPr>
      </w:pPr>
      <w:r w:rsidRPr="00D06097">
        <w:rPr>
          <w:rFonts w:ascii="Palatino Linotype" w:hAnsi="Palatino Linotype"/>
        </w:rPr>
        <w:tab/>
        <w:t xml:space="preserve">This example </w:t>
      </w:r>
      <w:r w:rsidR="005E4CC2" w:rsidRPr="00D06097">
        <w:rPr>
          <w:rFonts w:ascii="Palatino Linotype" w:hAnsi="Palatino Linotype"/>
        </w:rPr>
        <w:t xml:space="preserve">also </w:t>
      </w:r>
      <w:r w:rsidRPr="00D06097">
        <w:rPr>
          <w:rFonts w:ascii="Palatino Linotype" w:hAnsi="Palatino Linotype"/>
        </w:rPr>
        <w:t xml:space="preserve">brings out an important limitation on such an approach to explaining evil. Explanations will only be on offer so long as there are future souls God has foreordained to certain ends. If, as it were, Christ was the last soul God foreordained to any ends, then his existence would be the last interesting constraint on the unfolding of history, and so dramatically limit the account’s prospects for accommodating evil. We’ve seen above compelling reason to think that the </w:t>
      </w:r>
      <w:r w:rsidR="00781DF8" w:rsidRPr="00D06097">
        <w:rPr>
          <w:rFonts w:ascii="Palatino Linotype" w:hAnsi="Palatino Linotype"/>
        </w:rPr>
        <w:t>Latter-day</w:t>
      </w:r>
      <w:r w:rsidRPr="00D06097">
        <w:rPr>
          <w:rFonts w:ascii="Palatino Linotype" w:hAnsi="Palatino Linotype"/>
        </w:rPr>
        <w:t xml:space="preserve"> Saint tradition acknowledges specific divine preferences surrounding Joseph Smith.</w:t>
      </w:r>
      <w:r w:rsidR="007F13A9" w:rsidRPr="00D06097">
        <w:rPr>
          <w:rFonts w:ascii="Palatino Linotype" w:hAnsi="Palatino Linotype"/>
        </w:rPr>
        <w:t xml:space="preserve"> That gets us much more recent constraints on the unfolding of history. But </w:t>
      </w:r>
      <w:r w:rsidR="00551A8A" w:rsidRPr="00D06097">
        <w:rPr>
          <w:rFonts w:ascii="Palatino Linotype" w:hAnsi="Palatino Linotype"/>
        </w:rPr>
        <w:t>are</w:t>
      </w:r>
      <w:r w:rsidR="007F13A9" w:rsidRPr="00D06097">
        <w:rPr>
          <w:rFonts w:ascii="Palatino Linotype" w:hAnsi="Palatino Linotype"/>
        </w:rPr>
        <w:t xml:space="preserve"> there reasonable grounds for thinking that foreordination claims can be usefully projected into the future?</w:t>
      </w:r>
      <w:r w:rsidR="00551A8A" w:rsidRPr="00D06097">
        <w:rPr>
          <w:rFonts w:ascii="Palatino Linotype" w:hAnsi="Palatino Linotype"/>
        </w:rPr>
        <w:t xml:space="preserve"> Afterall, what we really want </w:t>
      </w:r>
      <w:r w:rsidR="00002DA7" w:rsidRPr="00D06097">
        <w:rPr>
          <w:rFonts w:ascii="Palatino Linotype" w:hAnsi="Palatino Linotype"/>
        </w:rPr>
        <w:t>to be</w:t>
      </w:r>
      <w:r w:rsidR="00551A8A" w:rsidRPr="00D06097">
        <w:rPr>
          <w:rFonts w:ascii="Palatino Linotype" w:hAnsi="Palatino Linotype"/>
        </w:rPr>
        <w:t xml:space="preserve"> able to say is what we’ve said above: that any kind of evil or suffering, the occurrence of which contributes to the </w:t>
      </w:r>
      <w:r w:rsidR="00551A8A" w:rsidRPr="00D06097">
        <w:rPr>
          <w:rFonts w:ascii="Palatino Linotype" w:hAnsi="Palatino Linotype"/>
        </w:rPr>
        <w:lastRenderedPageBreak/>
        <w:t xml:space="preserve">causal trajectory of the world resulting in </w:t>
      </w:r>
      <w:r w:rsidR="00551A8A" w:rsidRPr="00D06097">
        <w:rPr>
          <w:rFonts w:ascii="Palatino Linotype" w:hAnsi="Palatino Linotype"/>
          <w:i/>
          <w:iCs/>
        </w:rPr>
        <w:t>you</w:t>
      </w:r>
      <w:r w:rsidR="00551A8A" w:rsidRPr="00D06097">
        <w:rPr>
          <w:rFonts w:ascii="Palatino Linotype" w:hAnsi="Palatino Linotype"/>
        </w:rPr>
        <w:t xml:space="preserve">, is rooted in divine preferences concerning your spirit’s actual embodiment. </w:t>
      </w:r>
    </w:p>
    <w:p w14:paraId="049D1CEB" w14:textId="77777777" w:rsidR="005348C9" w:rsidRPr="00D06097" w:rsidRDefault="005348C9" w:rsidP="002A23EE">
      <w:pPr>
        <w:ind w:firstLine="0"/>
        <w:rPr>
          <w:rFonts w:ascii="Palatino Linotype" w:hAnsi="Palatino Linotype"/>
        </w:rPr>
      </w:pPr>
      <w:r w:rsidRPr="00D06097">
        <w:rPr>
          <w:rFonts w:ascii="Palatino Linotype" w:hAnsi="Palatino Linotype"/>
        </w:rPr>
        <w:tab/>
        <w:t xml:space="preserve">Reasonable grounds abound. D&amp;C 138 explicitly contains the language of certain spirits having their embodiments reserved for the present time. </w:t>
      </w:r>
    </w:p>
    <w:p w14:paraId="1A6B0F95" w14:textId="77777777" w:rsidR="005348C9" w:rsidRPr="00D06097" w:rsidRDefault="005348C9" w:rsidP="00880B82">
      <w:pPr>
        <w:pStyle w:val="verse"/>
        <w:shd w:val="clear" w:color="auto" w:fill="FFFFFF"/>
        <w:spacing w:before="0" w:beforeAutospacing="0" w:after="240" w:afterAutospacing="0" w:line="276" w:lineRule="auto"/>
        <w:ind w:left="720"/>
        <w:textAlignment w:val="baseline"/>
        <w:rPr>
          <w:rFonts w:ascii="Palatino Linotype" w:eastAsiaTheme="minorHAnsi" w:hAnsi="Palatino Linotype" w:cstheme="minorBidi"/>
          <w:sz w:val="22"/>
          <w:szCs w:val="22"/>
        </w:rPr>
      </w:pPr>
      <w:r w:rsidRPr="00D06097">
        <w:rPr>
          <w:rFonts w:ascii="Palatino Linotype" w:hAnsi="Palatino Linotype"/>
          <w:b/>
          <w:bCs/>
        </w:rPr>
        <w:t>D&amp;C 138:53,55–56</w:t>
      </w:r>
      <w:r w:rsidRPr="00D06097">
        <w:rPr>
          <w:rFonts w:ascii="Palatino Linotype" w:hAnsi="Palatino Linotype"/>
        </w:rPr>
        <w:t>: “</w:t>
      </w:r>
      <w:r w:rsidRPr="00D06097">
        <w:rPr>
          <w:rFonts w:ascii="Palatino Linotype" w:hAnsi="Palatino Linotype"/>
          <w:sz w:val="22"/>
          <w:szCs w:val="22"/>
        </w:rPr>
        <w:t xml:space="preserve">The Prophet Joseph Smith, and my father, Hyrum Smith, Brigham </w:t>
      </w:r>
      <w:r w:rsidRPr="00D06097">
        <w:rPr>
          <w:rFonts w:ascii="Palatino Linotype" w:eastAsiaTheme="minorHAnsi" w:hAnsi="Palatino Linotype" w:cstheme="minorBidi"/>
          <w:sz w:val="22"/>
          <w:szCs w:val="22"/>
        </w:rPr>
        <w:t>Young, John Taylor, Wilford Woodruff, and other choice </w:t>
      </w:r>
      <w:hyperlink r:id="rId8" w:anchor="note53a" w:history="1">
        <w:r w:rsidRPr="00D06097">
          <w:rPr>
            <w:rFonts w:ascii="Palatino Linotype" w:eastAsiaTheme="minorHAnsi" w:hAnsi="Palatino Linotype" w:cstheme="minorBidi"/>
            <w:sz w:val="22"/>
            <w:szCs w:val="22"/>
          </w:rPr>
          <w:t>spirits</w:t>
        </w:r>
      </w:hyperlink>
      <w:r w:rsidRPr="00D06097">
        <w:rPr>
          <w:rFonts w:ascii="Palatino Linotype" w:eastAsiaTheme="minorHAnsi" w:hAnsi="Palatino Linotype" w:cstheme="minorBidi"/>
          <w:sz w:val="22"/>
          <w:szCs w:val="22"/>
        </w:rPr>
        <w:t> who were </w:t>
      </w:r>
      <w:hyperlink r:id="rId9" w:anchor="note53b" w:history="1">
        <w:r w:rsidRPr="00D06097">
          <w:rPr>
            <w:rFonts w:ascii="Palatino Linotype" w:eastAsiaTheme="minorHAnsi" w:hAnsi="Palatino Linotype" w:cstheme="minorBidi"/>
            <w:i/>
            <w:iCs/>
            <w:sz w:val="22"/>
            <w:szCs w:val="22"/>
          </w:rPr>
          <w:t>reserved</w:t>
        </w:r>
      </w:hyperlink>
      <w:r w:rsidRPr="00D06097">
        <w:rPr>
          <w:rFonts w:ascii="Palatino Linotype" w:eastAsiaTheme="minorHAnsi" w:hAnsi="Palatino Linotype" w:cstheme="minorBidi"/>
          <w:i/>
          <w:iCs/>
          <w:sz w:val="22"/>
          <w:szCs w:val="22"/>
        </w:rPr>
        <w:t> to come forth in the </w:t>
      </w:r>
      <w:hyperlink r:id="rId10" w:anchor="note53c" w:history="1">
        <w:r w:rsidRPr="00D06097">
          <w:rPr>
            <w:rFonts w:ascii="Palatino Linotype" w:eastAsiaTheme="minorHAnsi" w:hAnsi="Palatino Linotype" w:cstheme="minorBidi"/>
            <w:i/>
            <w:iCs/>
            <w:sz w:val="22"/>
            <w:szCs w:val="22"/>
          </w:rPr>
          <w:t>fulness</w:t>
        </w:r>
      </w:hyperlink>
      <w:r w:rsidRPr="00D06097">
        <w:rPr>
          <w:rFonts w:ascii="Palatino Linotype" w:eastAsiaTheme="minorHAnsi" w:hAnsi="Palatino Linotype" w:cstheme="minorBidi"/>
          <w:i/>
          <w:iCs/>
          <w:sz w:val="22"/>
          <w:szCs w:val="22"/>
        </w:rPr>
        <w:t xml:space="preserve"> of times </w:t>
      </w:r>
      <w:r w:rsidRPr="00D06097">
        <w:rPr>
          <w:rFonts w:ascii="Palatino Linotype" w:eastAsiaTheme="minorHAnsi" w:hAnsi="Palatino Linotype" w:cstheme="minorBidi"/>
          <w:sz w:val="22"/>
          <w:szCs w:val="22"/>
        </w:rPr>
        <w:t>to take part in laying the </w:t>
      </w:r>
      <w:hyperlink r:id="rId11" w:anchor="note53d" w:history="1">
        <w:r w:rsidRPr="00D06097">
          <w:rPr>
            <w:rFonts w:ascii="Palatino Linotype" w:eastAsiaTheme="minorHAnsi" w:hAnsi="Palatino Linotype" w:cstheme="minorBidi"/>
            <w:sz w:val="22"/>
            <w:szCs w:val="22"/>
          </w:rPr>
          <w:t>foundations</w:t>
        </w:r>
      </w:hyperlink>
      <w:r w:rsidRPr="00D06097">
        <w:rPr>
          <w:rFonts w:ascii="Palatino Linotype" w:eastAsiaTheme="minorHAnsi" w:hAnsi="Palatino Linotype" w:cstheme="minorBidi"/>
          <w:sz w:val="22"/>
          <w:szCs w:val="22"/>
        </w:rPr>
        <w:t xml:space="preserve"> of the great </w:t>
      </w:r>
      <w:r w:rsidR="00781DF8" w:rsidRPr="00D06097">
        <w:rPr>
          <w:rFonts w:ascii="Palatino Linotype" w:eastAsiaTheme="minorHAnsi" w:hAnsi="Palatino Linotype" w:cstheme="minorBidi"/>
          <w:sz w:val="22"/>
          <w:szCs w:val="22"/>
        </w:rPr>
        <w:t>Latter-day</w:t>
      </w:r>
      <w:r w:rsidRPr="00D06097">
        <w:rPr>
          <w:rFonts w:ascii="Palatino Linotype" w:eastAsiaTheme="minorHAnsi" w:hAnsi="Palatino Linotype" w:cstheme="minorBidi"/>
          <w:sz w:val="22"/>
          <w:szCs w:val="22"/>
        </w:rPr>
        <w:t xml:space="preserve"> work… I observed that they were also among the </w:t>
      </w:r>
      <w:hyperlink r:id="rId12" w:anchor="note55a" w:history="1">
        <w:r w:rsidRPr="00D06097">
          <w:rPr>
            <w:rFonts w:ascii="Palatino Linotype" w:eastAsiaTheme="minorHAnsi" w:hAnsi="Palatino Linotype" w:cstheme="minorBidi"/>
            <w:sz w:val="22"/>
            <w:szCs w:val="22"/>
          </w:rPr>
          <w:t>noble</w:t>
        </w:r>
      </w:hyperlink>
      <w:r w:rsidRPr="00D06097">
        <w:rPr>
          <w:rFonts w:ascii="Palatino Linotype" w:eastAsiaTheme="minorHAnsi" w:hAnsi="Palatino Linotype" w:cstheme="minorBidi"/>
          <w:sz w:val="22"/>
          <w:szCs w:val="22"/>
        </w:rPr>
        <w:t> and great ones who were </w:t>
      </w:r>
      <w:hyperlink r:id="rId13" w:anchor="note55b" w:history="1">
        <w:r w:rsidRPr="00D06097">
          <w:rPr>
            <w:rFonts w:ascii="Palatino Linotype" w:eastAsiaTheme="minorHAnsi" w:hAnsi="Palatino Linotype" w:cstheme="minorBidi"/>
            <w:sz w:val="22"/>
            <w:szCs w:val="22"/>
          </w:rPr>
          <w:t>chosen</w:t>
        </w:r>
      </w:hyperlink>
      <w:r w:rsidRPr="00D06097">
        <w:rPr>
          <w:rFonts w:ascii="Palatino Linotype" w:eastAsiaTheme="minorHAnsi" w:hAnsi="Palatino Linotype" w:cstheme="minorBidi"/>
          <w:sz w:val="22"/>
          <w:szCs w:val="22"/>
        </w:rPr>
        <w:t> in the beginning to be rulers in the Church of God even before they were born, they, with many others, received their first </w:t>
      </w:r>
      <w:hyperlink r:id="rId14" w:anchor="note56a" w:history="1">
        <w:r w:rsidRPr="00D06097">
          <w:rPr>
            <w:rFonts w:ascii="Palatino Linotype" w:eastAsiaTheme="minorHAnsi" w:hAnsi="Palatino Linotype" w:cstheme="minorBidi"/>
            <w:sz w:val="22"/>
            <w:szCs w:val="22"/>
          </w:rPr>
          <w:t>lessons</w:t>
        </w:r>
      </w:hyperlink>
      <w:r w:rsidRPr="00D06097">
        <w:rPr>
          <w:rFonts w:ascii="Palatino Linotype" w:eastAsiaTheme="minorHAnsi" w:hAnsi="Palatino Linotype" w:cstheme="minorBidi"/>
          <w:sz w:val="22"/>
          <w:szCs w:val="22"/>
        </w:rPr>
        <w:t> in the world of spirits and were </w:t>
      </w:r>
      <w:hyperlink r:id="rId15" w:anchor="note56b" w:history="1">
        <w:r w:rsidRPr="00D06097">
          <w:rPr>
            <w:rFonts w:ascii="Palatino Linotype" w:eastAsiaTheme="minorHAnsi" w:hAnsi="Palatino Linotype" w:cstheme="minorBidi"/>
            <w:i/>
            <w:iCs/>
            <w:sz w:val="22"/>
            <w:szCs w:val="22"/>
          </w:rPr>
          <w:t>prepared</w:t>
        </w:r>
      </w:hyperlink>
      <w:r w:rsidRPr="00D06097">
        <w:rPr>
          <w:rFonts w:ascii="Palatino Linotype" w:eastAsiaTheme="minorHAnsi" w:hAnsi="Palatino Linotype" w:cstheme="minorBidi"/>
          <w:i/>
          <w:iCs/>
          <w:sz w:val="22"/>
          <w:szCs w:val="22"/>
        </w:rPr>
        <w:t> to come forth in the due </w:t>
      </w:r>
      <w:hyperlink r:id="rId16" w:anchor="note56c" w:history="1">
        <w:r w:rsidRPr="00D06097">
          <w:rPr>
            <w:rFonts w:ascii="Palatino Linotype" w:eastAsiaTheme="minorHAnsi" w:hAnsi="Palatino Linotype" w:cstheme="minorBidi"/>
            <w:i/>
            <w:iCs/>
            <w:sz w:val="22"/>
            <w:szCs w:val="22"/>
          </w:rPr>
          <w:t>time</w:t>
        </w:r>
      </w:hyperlink>
      <w:r w:rsidRPr="00D06097">
        <w:rPr>
          <w:rFonts w:ascii="Palatino Linotype" w:eastAsiaTheme="minorHAnsi" w:hAnsi="Palatino Linotype" w:cstheme="minorBidi"/>
          <w:i/>
          <w:iCs/>
          <w:sz w:val="22"/>
          <w:szCs w:val="22"/>
        </w:rPr>
        <w:t> of the Lord</w:t>
      </w:r>
      <w:r w:rsidRPr="00D06097">
        <w:rPr>
          <w:rFonts w:ascii="Palatino Linotype" w:eastAsiaTheme="minorHAnsi" w:hAnsi="Palatino Linotype" w:cstheme="minorBidi"/>
          <w:sz w:val="22"/>
          <w:szCs w:val="22"/>
        </w:rPr>
        <w:t xml:space="preserve"> to labor in his </w:t>
      </w:r>
      <w:hyperlink r:id="rId17" w:anchor="note56d" w:history="1">
        <w:r w:rsidRPr="00D06097">
          <w:rPr>
            <w:rFonts w:ascii="Palatino Linotype" w:eastAsiaTheme="minorHAnsi" w:hAnsi="Palatino Linotype" w:cstheme="minorBidi"/>
            <w:sz w:val="22"/>
            <w:szCs w:val="22"/>
          </w:rPr>
          <w:t>vineyard</w:t>
        </w:r>
      </w:hyperlink>
      <w:r w:rsidRPr="00D06097">
        <w:rPr>
          <w:rFonts w:ascii="Palatino Linotype" w:eastAsiaTheme="minorHAnsi" w:hAnsi="Palatino Linotype" w:cstheme="minorBidi"/>
          <w:sz w:val="22"/>
          <w:szCs w:val="22"/>
        </w:rPr>
        <w:t> for the salvation of the souls of men</w:t>
      </w:r>
      <w:r w:rsidR="00D17C75" w:rsidRPr="00D06097">
        <w:rPr>
          <w:rFonts w:ascii="Palatino Linotype" w:eastAsiaTheme="minorHAnsi" w:hAnsi="Palatino Linotype" w:cstheme="minorBidi"/>
          <w:sz w:val="22"/>
          <w:szCs w:val="22"/>
        </w:rPr>
        <w:t xml:space="preserve"> (emphasis ours)</w:t>
      </w:r>
      <w:r w:rsidRPr="00D06097">
        <w:rPr>
          <w:rFonts w:ascii="Palatino Linotype" w:eastAsiaTheme="minorHAnsi" w:hAnsi="Palatino Linotype" w:cstheme="minorBidi"/>
          <w:sz w:val="22"/>
          <w:szCs w:val="22"/>
        </w:rPr>
        <w:t>.</w:t>
      </w:r>
    </w:p>
    <w:p w14:paraId="1841810D" w14:textId="77777777" w:rsidR="00D17C75" w:rsidRPr="00D06097" w:rsidRDefault="00D17C75" w:rsidP="002A23EE">
      <w:pPr>
        <w:ind w:firstLine="0"/>
        <w:rPr>
          <w:rFonts w:ascii="Palatino Linotype" w:hAnsi="Palatino Linotype"/>
        </w:rPr>
      </w:pPr>
      <w:r w:rsidRPr="00D06097">
        <w:rPr>
          <w:rFonts w:ascii="Palatino Linotype" w:hAnsi="Palatino Linotype"/>
        </w:rPr>
        <w:t>This exact language is frequently deployed in the context of addresses to the church by what the tradition takes to be prophetic (and so theologically authoritative) leaders. See for example Ezra Taft Benson’s 1977 address to the then youth of the church</w:t>
      </w:r>
      <w:r w:rsidRPr="00D06097">
        <w:rPr>
          <w:rStyle w:val="FootnoteReference"/>
          <w:rFonts w:ascii="Palatino Linotype" w:hAnsi="Palatino Linotype"/>
        </w:rPr>
        <w:footnoteReference w:id="12"/>
      </w:r>
      <w:r w:rsidRPr="00D06097">
        <w:rPr>
          <w:rFonts w:ascii="Palatino Linotype" w:hAnsi="Palatino Linotype"/>
        </w:rPr>
        <w:t>:</w:t>
      </w:r>
    </w:p>
    <w:p w14:paraId="240092DC" w14:textId="77777777" w:rsidR="005348C9" w:rsidRPr="00D06097" w:rsidRDefault="00D17C75" w:rsidP="002A23EE">
      <w:pPr>
        <w:ind w:left="720" w:firstLine="0"/>
        <w:rPr>
          <w:rFonts w:ascii="Palatino Linotype" w:hAnsi="Palatino Linotype"/>
        </w:rPr>
      </w:pPr>
      <w:r w:rsidRPr="00D06097">
        <w:rPr>
          <w:rFonts w:ascii="Palatino Linotype" w:hAnsi="Palatino Linotype"/>
        </w:rPr>
        <w:t>“I want to talk to you, the young people of the Church, frankly and honestly… You are not just ordinary young men and young women. You are choice spirits, many of you having been held back in reserve … to come forth in this day, at this time, when the temptations, responsibilities, and opportunities are the very greatest.”</w:t>
      </w:r>
    </w:p>
    <w:p w14:paraId="450ED22C" w14:textId="77777777" w:rsidR="005348C9" w:rsidRPr="00D06097" w:rsidRDefault="00D17C75" w:rsidP="002A23EE">
      <w:pPr>
        <w:ind w:firstLine="0"/>
        <w:rPr>
          <w:rFonts w:ascii="Palatino Linotype" w:hAnsi="Palatino Linotype"/>
        </w:rPr>
      </w:pPr>
      <w:r w:rsidRPr="00D06097">
        <w:rPr>
          <w:rFonts w:ascii="Palatino Linotype" w:hAnsi="Palatino Linotype"/>
        </w:rPr>
        <w:t>As recent as 2018 we find Russell M. Nelson again addressing the youth of the church claim</w:t>
      </w:r>
      <w:r w:rsidR="001A09A6" w:rsidRPr="00D06097">
        <w:rPr>
          <w:rFonts w:ascii="Palatino Linotype" w:hAnsi="Palatino Linotype"/>
        </w:rPr>
        <w:t>ing</w:t>
      </w:r>
      <w:r w:rsidR="001A09A6" w:rsidRPr="00D06097">
        <w:rPr>
          <w:rStyle w:val="FootnoteReference"/>
          <w:rFonts w:ascii="Palatino Linotype" w:hAnsi="Palatino Linotype"/>
        </w:rPr>
        <w:footnoteReference w:id="13"/>
      </w:r>
      <w:r w:rsidRPr="00D06097">
        <w:rPr>
          <w:rFonts w:ascii="Palatino Linotype" w:hAnsi="Palatino Linotype"/>
        </w:rPr>
        <w:t>:</w:t>
      </w:r>
    </w:p>
    <w:p w14:paraId="64A1AA10" w14:textId="77777777" w:rsidR="00D17C75" w:rsidRPr="00D06097" w:rsidRDefault="00D17C75" w:rsidP="002A23EE">
      <w:pPr>
        <w:ind w:left="720" w:firstLine="0"/>
        <w:rPr>
          <w:rFonts w:ascii="Palatino Linotype" w:hAnsi="Palatino Linotype"/>
        </w:rPr>
      </w:pPr>
      <w:r w:rsidRPr="00D06097">
        <w:rPr>
          <w:rFonts w:ascii="Palatino Linotype" w:hAnsi="Palatino Linotype"/>
        </w:rPr>
        <w:t>“My dear extraordinary youth, you were sent to earth at this precise time, the most crucial time in the history of the world, to help gather Israel.”</w:t>
      </w:r>
    </w:p>
    <w:p w14:paraId="29061DFA" w14:textId="0C3D4090" w:rsidR="00D17C75" w:rsidRPr="00D06097" w:rsidRDefault="003D7316" w:rsidP="002A23EE">
      <w:pPr>
        <w:ind w:firstLine="0"/>
        <w:rPr>
          <w:rFonts w:ascii="Palatino Linotype" w:hAnsi="Palatino Linotype"/>
        </w:rPr>
      </w:pPr>
      <w:r w:rsidRPr="00D06097">
        <w:rPr>
          <w:rFonts w:ascii="Palatino Linotype" w:hAnsi="Palatino Linotype"/>
        </w:rPr>
        <w:t xml:space="preserve">Why would a spirit be held in reserve to be embodied in a particular time and for a particular purpose? Because doing so produces certain souls; souls whose existence plays an important role in the broad soul-making project God undertakes with respect to humankind. A divine preference for embodying a spirit in certain circumstances, is (given the identity criteria for souls we enumerated above) just is a preference to bring a certain soul into existence. </w:t>
      </w:r>
      <w:r w:rsidR="001A09A6" w:rsidRPr="00D06097">
        <w:rPr>
          <w:rFonts w:ascii="Palatino Linotype" w:hAnsi="Palatino Linotype"/>
        </w:rPr>
        <w:t xml:space="preserve">This is corroborated by an important </w:t>
      </w:r>
      <w:r w:rsidR="00781DF8" w:rsidRPr="00D06097">
        <w:rPr>
          <w:rFonts w:ascii="Palatino Linotype" w:hAnsi="Palatino Linotype"/>
        </w:rPr>
        <w:t>Latter-day</w:t>
      </w:r>
      <w:r w:rsidR="001A09A6" w:rsidRPr="00D06097">
        <w:rPr>
          <w:rFonts w:ascii="Palatino Linotype" w:hAnsi="Palatino Linotype"/>
        </w:rPr>
        <w:t xml:space="preserve"> Saint religious practice, viz. receiving a patriarchal blessing, which is available to every member of the church. Patriarchal blessings frequently contain claims about what the individuals who receive them were foreordained to do.</w:t>
      </w:r>
      <w:r w:rsidR="001A09A6" w:rsidRPr="00D06097">
        <w:rPr>
          <w:rStyle w:val="FootnoteReference"/>
          <w:rFonts w:ascii="Palatino Linotype" w:hAnsi="Palatino Linotype"/>
        </w:rPr>
        <w:footnoteReference w:id="14"/>
      </w:r>
      <w:r w:rsidR="001A09A6" w:rsidRPr="00D06097">
        <w:rPr>
          <w:rFonts w:ascii="Palatino Linotype" w:hAnsi="Palatino Linotype"/>
        </w:rPr>
        <w:t xml:space="preserve"> All this </w:t>
      </w:r>
      <w:r w:rsidR="001A09A6" w:rsidRPr="00D06097">
        <w:rPr>
          <w:rFonts w:ascii="Palatino Linotype" w:hAnsi="Palatino Linotype"/>
        </w:rPr>
        <w:lastRenderedPageBreak/>
        <w:t xml:space="preserve">taken together, among other things, motivates the following claim found on the official website of the Church of Jesus Christ of </w:t>
      </w:r>
      <w:r w:rsidR="00781DF8" w:rsidRPr="00D06097">
        <w:rPr>
          <w:rFonts w:ascii="Palatino Linotype" w:hAnsi="Palatino Linotype"/>
        </w:rPr>
        <w:t>Latter-day</w:t>
      </w:r>
      <w:r w:rsidR="001A09A6" w:rsidRPr="00D06097">
        <w:rPr>
          <w:rFonts w:ascii="Palatino Linotype" w:hAnsi="Palatino Linotype"/>
        </w:rPr>
        <w:t xml:space="preserve"> Saints:</w:t>
      </w:r>
    </w:p>
    <w:p w14:paraId="6AB8C474" w14:textId="77777777" w:rsidR="001A09A6" w:rsidRPr="00D06097" w:rsidRDefault="001A09A6" w:rsidP="002A23EE">
      <w:pPr>
        <w:ind w:left="720" w:firstLine="0"/>
        <w:rPr>
          <w:rFonts w:ascii="Palatino Linotype" w:hAnsi="Palatino Linotype"/>
        </w:rPr>
      </w:pPr>
      <w:r w:rsidRPr="00D06097">
        <w:rPr>
          <w:rFonts w:ascii="Palatino Linotype" w:hAnsi="Palatino Linotype"/>
        </w:rPr>
        <w:t>“The doctrine of foreordination applies to all members of the Church, not just to the Savior and His prophets.”</w:t>
      </w:r>
      <w:r w:rsidR="00023DE2" w:rsidRPr="00D06097">
        <w:rPr>
          <w:rStyle w:val="FootnoteReference"/>
          <w:rFonts w:ascii="Palatino Linotype" w:hAnsi="Palatino Linotype"/>
        </w:rPr>
        <w:footnoteReference w:id="15"/>
      </w:r>
    </w:p>
    <w:p w14:paraId="4D557EAA" w14:textId="77777777" w:rsidR="001B2EE7" w:rsidRPr="00D06097" w:rsidRDefault="00023DE2" w:rsidP="002A23EE">
      <w:pPr>
        <w:ind w:firstLine="0"/>
        <w:rPr>
          <w:rFonts w:ascii="Palatino Linotype" w:hAnsi="Palatino Linotype"/>
        </w:rPr>
      </w:pPr>
      <w:r w:rsidRPr="00D06097">
        <w:rPr>
          <w:rFonts w:ascii="Palatino Linotype" w:hAnsi="Palatino Linotype"/>
        </w:rPr>
        <w:t xml:space="preserve">So, it is quite reasonable to think that very many presently existing and yet to exist souls are foreordained to various ends, and so introduce substantive constraints on the present unfolding of history. </w:t>
      </w:r>
      <w:r w:rsidR="002A23EE" w:rsidRPr="00D06097">
        <w:rPr>
          <w:rFonts w:ascii="Palatino Linotype" w:hAnsi="Palatino Linotype"/>
        </w:rPr>
        <w:t xml:space="preserve">We conclude that </w:t>
      </w:r>
      <w:r w:rsidR="00781DF8" w:rsidRPr="00D06097">
        <w:rPr>
          <w:rFonts w:ascii="Palatino Linotype" w:hAnsi="Palatino Linotype"/>
        </w:rPr>
        <w:t>Latter-day</w:t>
      </w:r>
      <w:r w:rsidR="002A23EE" w:rsidRPr="00D06097">
        <w:rPr>
          <w:rFonts w:ascii="Palatino Linotype" w:hAnsi="Palatino Linotype"/>
        </w:rPr>
        <w:t xml:space="preserve"> Saint theology is well positioned to maintain that the causal history of the world can’t have been </w:t>
      </w:r>
      <w:r w:rsidR="002A23EE" w:rsidRPr="00D06097">
        <w:rPr>
          <w:rFonts w:ascii="Palatino Linotype" w:hAnsi="Palatino Linotype"/>
          <w:i/>
          <w:iCs/>
        </w:rPr>
        <w:t>very</w:t>
      </w:r>
      <w:r w:rsidR="002A23EE" w:rsidRPr="00D06097">
        <w:rPr>
          <w:rFonts w:ascii="Palatino Linotype" w:hAnsi="Palatino Linotype"/>
        </w:rPr>
        <w:t xml:space="preserve"> different than it actually is (or will be) in order for God’s soul-making project to succeed in the ways that God desires</w:t>
      </w:r>
      <w:r w:rsidR="00B436F6" w:rsidRPr="00D06097">
        <w:rPr>
          <w:rFonts w:ascii="Palatino Linotype" w:hAnsi="Palatino Linotype"/>
        </w:rPr>
        <w:t xml:space="preserve">, and partly accounts for God’s policy of permitting various kinds of evil and suffering. </w:t>
      </w:r>
      <w:r w:rsidR="0092337D" w:rsidRPr="00D06097">
        <w:rPr>
          <w:rFonts w:ascii="Palatino Linotype" w:hAnsi="Palatino Linotype"/>
        </w:rPr>
        <w:t>Thus</w:t>
      </w:r>
      <w:r w:rsidR="0028677C" w:rsidRPr="00D06097">
        <w:rPr>
          <w:rFonts w:ascii="Palatino Linotype" w:hAnsi="Palatino Linotype"/>
        </w:rPr>
        <w:t>,</w:t>
      </w:r>
      <w:r w:rsidR="0092337D" w:rsidRPr="00D06097">
        <w:rPr>
          <w:rFonts w:ascii="Palatino Linotype" w:hAnsi="Palatino Linotype"/>
        </w:rPr>
        <w:t xml:space="preserve"> </w:t>
      </w:r>
      <w:r w:rsidR="00781DF8" w:rsidRPr="00D06097">
        <w:rPr>
          <w:rFonts w:ascii="Palatino Linotype" w:hAnsi="Palatino Linotype"/>
        </w:rPr>
        <w:t>Latter-day</w:t>
      </w:r>
      <w:r w:rsidR="0092337D" w:rsidRPr="00D06097">
        <w:rPr>
          <w:rFonts w:ascii="Palatino Linotype" w:hAnsi="Palatino Linotype"/>
        </w:rPr>
        <w:t xml:space="preserve"> Saints can endorse a robust version of a soul-making non-identity theodicy. </w:t>
      </w:r>
    </w:p>
    <w:p w14:paraId="63E92881" w14:textId="77777777" w:rsidR="0092337D" w:rsidRPr="00D06097" w:rsidRDefault="006115CC" w:rsidP="0092337D">
      <w:pPr>
        <w:pStyle w:val="ListParagraph"/>
        <w:numPr>
          <w:ilvl w:val="0"/>
          <w:numId w:val="2"/>
        </w:numPr>
        <w:rPr>
          <w:rFonts w:ascii="Palatino Linotype" w:hAnsi="Palatino Linotype"/>
          <w:b/>
          <w:bCs/>
        </w:rPr>
      </w:pPr>
      <w:r w:rsidRPr="00D06097">
        <w:rPr>
          <w:rFonts w:ascii="Palatino Linotype" w:hAnsi="Palatino Linotype"/>
          <w:b/>
          <w:bCs/>
        </w:rPr>
        <w:t>Explanatory Goods and Explanatory Woes</w:t>
      </w:r>
      <w:r w:rsidR="0092337D" w:rsidRPr="00D06097">
        <w:rPr>
          <w:rFonts w:ascii="Palatino Linotype" w:hAnsi="Palatino Linotype"/>
          <w:b/>
          <w:bCs/>
        </w:rPr>
        <w:t xml:space="preserve"> of Non-Identity Theodicies</w:t>
      </w:r>
    </w:p>
    <w:p w14:paraId="02C3DA86" w14:textId="77777777" w:rsidR="00FD76AD" w:rsidRPr="00D06097" w:rsidRDefault="0092337D" w:rsidP="000E52F2">
      <w:pPr>
        <w:rPr>
          <w:rFonts w:ascii="Palatino Linotype" w:hAnsi="Palatino Linotype"/>
        </w:rPr>
      </w:pPr>
      <w:r w:rsidRPr="00D06097">
        <w:rPr>
          <w:rFonts w:ascii="Palatino Linotype" w:hAnsi="Palatino Linotype"/>
        </w:rPr>
        <w:t>Non</w:t>
      </w:r>
      <w:r w:rsidR="00FD76AD" w:rsidRPr="00D06097">
        <w:rPr>
          <w:rFonts w:ascii="Palatino Linotype" w:hAnsi="Palatino Linotype"/>
        </w:rPr>
        <w:t xml:space="preserve">-identity theodicies (unlike almost any other approach) are well positioned to account for </w:t>
      </w:r>
      <w:r w:rsidRPr="00D06097">
        <w:rPr>
          <w:rFonts w:ascii="Palatino Linotype" w:hAnsi="Palatino Linotype"/>
        </w:rPr>
        <w:t>even the worst kinds of evil. Any evil, even those of the worst kind, can play an essential role in realizing the origins of some soul God desires to create</w:t>
      </w:r>
      <w:r w:rsidR="000E52F2" w:rsidRPr="00D06097">
        <w:rPr>
          <w:rFonts w:ascii="Palatino Linotype" w:hAnsi="Palatino Linotype"/>
        </w:rPr>
        <w:t xml:space="preserve">; even horrendous evil. </w:t>
      </w:r>
      <w:r w:rsidR="00FD76AD" w:rsidRPr="00D06097">
        <w:rPr>
          <w:rFonts w:ascii="Palatino Linotype" w:hAnsi="Palatino Linotype"/>
        </w:rPr>
        <w:t>We follow Adams in characterizing horrendous evils as morally unproductive life-ruining evils.</w:t>
      </w:r>
      <w:r w:rsidR="00FD76AD" w:rsidRPr="00D06097">
        <w:rPr>
          <w:rStyle w:val="FootnoteReference"/>
          <w:rFonts w:ascii="Palatino Linotype" w:hAnsi="Palatino Linotype"/>
        </w:rPr>
        <w:footnoteReference w:id="16"/>
      </w:r>
      <w:r w:rsidR="00FD76AD" w:rsidRPr="00D06097">
        <w:rPr>
          <w:rFonts w:ascii="Palatino Linotype" w:hAnsi="Palatino Linotype"/>
        </w:rPr>
        <w:t xml:space="preserve"> Non-Identity approaches can point out that horrendous evils play a doubly significant role. </w:t>
      </w:r>
      <w:r w:rsidR="008F05B5" w:rsidRPr="00D06097">
        <w:rPr>
          <w:rFonts w:ascii="Palatino Linotype" w:hAnsi="Palatino Linotype"/>
        </w:rPr>
        <w:t>Central to God’s soul-making project is God’s interest in pursuing loving union with each particular soul. So, the non-identity theorist can maintain (1) that horrendous evil</w:t>
      </w:r>
      <w:r w:rsidR="00FD76AD" w:rsidRPr="00D06097">
        <w:rPr>
          <w:rFonts w:ascii="Palatino Linotype" w:hAnsi="Palatino Linotype"/>
        </w:rPr>
        <w:t xml:space="preserve"> contribute</w:t>
      </w:r>
      <w:r w:rsidR="008F05B5" w:rsidRPr="00D06097">
        <w:rPr>
          <w:rFonts w:ascii="Palatino Linotype" w:hAnsi="Palatino Linotype"/>
        </w:rPr>
        <w:t>s</w:t>
      </w:r>
      <w:r w:rsidR="00FD76AD" w:rsidRPr="00D06097">
        <w:rPr>
          <w:rFonts w:ascii="Palatino Linotype" w:hAnsi="Palatino Linotype"/>
        </w:rPr>
        <w:t xml:space="preserve"> to realizing a world where your soul is a candidate for God to love in the ways God desires to love, and </w:t>
      </w:r>
      <w:r w:rsidR="008F05B5" w:rsidRPr="00D06097">
        <w:rPr>
          <w:rFonts w:ascii="Palatino Linotype" w:hAnsi="Palatino Linotype"/>
        </w:rPr>
        <w:t>(2)</w:t>
      </w:r>
      <w:r w:rsidR="00FD76AD" w:rsidRPr="00D06097">
        <w:rPr>
          <w:rFonts w:ascii="Palatino Linotype" w:hAnsi="Palatino Linotype"/>
        </w:rPr>
        <w:t xml:space="preserve"> </w:t>
      </w:r>
      <w:r w:rsidR="008F05B5" w:rsidRPr="00D06097">
        <w:rPr>
          <w:rFonts w:ascii="Palatino Linotype" w:hAnsi="Palatino Linotype"/>
        </w:rPr>
        <w:t>horrendous evils</w:t>
      </w:r>
      <w:r w:rsidR="00FD76AD" w:rsidRPr="00D06097">
        <w:rPr>
          <w:rFonts w:ascii="Palatino Linotype" w:hAnsi="Palatino Linotype"/>
        </w:rPr>
        <w:t xml:space="preserve"> contribute to the realization of the best possible conditions for that love to be manifest. As Vitale (2020) </w:t>
      </w:r>
      <w:r w:rsidR="002F6955" w:rsidRPr="00D06097">
        <w:rPr>
          <w:rFonts w:ascii="Palatino Linotype" w:hAnsi="Palatino Linotype"/>
        </w:rPr>
        <w:t>observes</w:t>
      </w:r>
    </w:p>
    <w:p w14:paraId="2EA2EB3F" w14:textId="77777777" w:rsidR="00FD76AD" w:rsidRPr="00D06097" w:rsidRDefault="00FD76AD" w:rsidP="002A23EE">
      <w:pPr>
        <w:ind w:left="720" w:firstLine="0"/>
        <w:rPr>
          <w:rFonts w:ascii="Palatino Linotype" w:hAnsi="Palatino Linotype"/>
        </w:rPr>
      </w:pPr>
      <w:r w:rsidRPr="00D06097">
        <w:rPr>
          <w:rFonts w:ascii="Palatino Linotype" w:hAnsi="Palatino Linotype"/>
        </w:rPr>
        <w:t>“</w:t>
      </w:r>
      <w:proofErr w:type="gramStart"/>
      <w:r w:rsidRPr="00D06097">
        <w:rPr>
          <w:rFonts w:ascii="Palatino Linotype" w:hAnsi="Palatino Linotype"/>
        </w:rPr>
        <w:t>love</w:t>
      </w:r>
      <w:proofErr w:type="gramEnd"/>
      <w:r w:rsidRPr="00D06097">
        <w:rPr>
          <w:rFonts w:ascii="Palatino Linotype" w:hAnsi="Palatino Linotype"/>
        </w:rPr>
        <w:t xml:space="preserve"> in its preeminent form includes meaning-makers being willing to risk their whole selves for one another.”</w:t>
      </w:r>
      <w:r w:rsidRPr="00D06097">
        <w:rPr>
          <w:rStyle w:val="FootnoteReference"/>
          <w:rFonts w:ascii="Palatino Linotype" w:hAnsi="Palatino Linotype"/>
        </w:rPr>
        <w:footnoteReference w:id="17"/>
      </w:r>
      <w:r w:rsidRPr="00D06097">
        <w:rPr>
          <w:rFonts w:ascii="Palatino Linotype" w:hAnsi="Palatino Linotype"/>
        </w:rPr>
        <w:t xml:space="preserve"> </w:t>
      </w:r>
    </w:p>
    <w:p w14:paraId="3B279BF1" w14:textId="77777777" w:rsidR="00FD76AD" w:rsidRPr="00D06097" w:rsidRDefault="00FD76AD" w:rsidP="002A23EE">
      <w:pPr>
        <w:ind w:firstLine="0"/>
        <w:rPr>
          <w:rFonts w:ascii="Palatino Linotype" w:hAnsi="Palatino Linotype"/>
        </w:rPr>
      </w:pPr>
      <w:r w:rsidRPr="00D06097">
        <w:rPr>
          <w:rFonts w:ascii="Palatino Linotype" w:hAnsi="Palatino Linotype"/>
        </w:rPr>
        <w:t xml:space="preserve">And a world with the possibility of </w:t>
      </w:r>
      <w:r w:rsidR="008F05B5" w:rsidRPr="00D06097">
        <w:rPr>
          <w:rFonts w:ascii="Palatino Linotype" w:hAnsi="Palatino Linotype"/>
        </w:rPr>
        <w:t xml:space="preserve">horrendous evils (hereafter </w:t>
      </w:r>
      <w:r w:rsidRPr="00D06097">
        <w:rPr>
          <w:rFonts w:ascii="Palatino Linotype" w:hAnsi="Palatino Linotype"/>
        </w:rPr>
        <w:t>horrors</w:t>
      </w:r>
      <w:r w:rsidR="008F05B5" w:rsidRPr="00D06097">
        <w:rPr>
          <w:rFonts w:ascii="Palatino Linotype" w:hAnsi="Palatino Linotype"/>
        </w:rPr>
        <w:t>)</w:t>
      </w:r>
      <w:r w:rsidRPr="00D06097">
        <w:rPr>
          <w:rFonts w:ascii="Palatino Linotype" w:hAnsi="Palatino Linotype"/>
        </w:rPr>
        <w:t xml:space="preserve"> is an essential pre-condition for such a world.</w:t>
      </w:r>
      <w:r w:rsidR="008F05B5" w:rsidRPr="00D06097">
        <w:rPr>
          <w:rStyle w:val="FootnoteReference"/>
          <w:rFonts w:ascii="Palatino Linotype" w:hAnsi="Palatino Linotype"/>
        </w:rPr>
        <w:footnoteReference w:id="18"/>
      </w:r>
      <w:r w:rsidRPr="00D06097">
        <w:rPr>
          <w:rFonts w:ascii="Palatino Linotype" w:hAnsi="Palatino Linotype"/>
        </w:rPr>
        <w:t xml:space="preserve"> So, with respect to even </w:t>
      </w:r>
      <w:r w:rsidR="008F05B5" w:rsidRPr="00D06097">
        <w:rPr>
          <w:rFonts w:ascii="Palatino Linotype" w:hAnsi="Palatino Linotype"/>
        </w:rPr>
        <w:t>horrors</w:t>
      </w:r>
      <w:r w:rsidRPr="00D06097">
        <w:rPr>
          <w:rFonts w:ascii="Palatino Linotype" w:hAnsi="Palatino Linotype"/>
        </w:rPr>
        <w:t>, a non-identity theodicy can account for why they occur, as well as why God might sometimes intervene to prevent a horror, but sometimes not. The distinctive value of the particular souls God desires to love</w:t>
      </w:r>
      <w:r w:rsidR="00E324B0" w:rsidRPr="00D06097">
        <w:rPr>
          <w:rFonts w:ascii="Palatino Linotype" w:hAnsi="Palatino Linotype"/>
        </w:rPr>
        <w:t xml:space="preserve"> and develop</w:t>
      </w:r>
      <w:r w:rsidRPr="00D06097">
        <w:rPr>
          <w:rFonts w:ascii="Palatino Linotype" w:hAnsi="Palatino Linotype"/>
        </w:rPr>
        <w:t xml:space="preserve"> shape God’s decisions to intervene or not. </w:t>
      </w:r>
    </w:p>
    <w:p w14:paraId="7996450A" w14:textId="77777777" w:rsidR="008F05B5" w:rsidRPr="00D06097" w:rsidRDefault="008F05B5" w:rsidP="008F05B5">
      <w:pPr>
        <w:ind w:firstLine="720"/>
        <w:rPr>
          <w:rFonts w:ascii="Palatino Linotype" w:hAnsi="Palatino Linotype"/>
        </w:rPr>
      </w:pPr>
      <w:r w:rsidRPr="00D06097">
        <w:rPr>
          <w:rFonts w:ascii="Palatino Linotype" w:hAnsi="Palatino Linotype"/>
        </w:rPr>
        <w:lastRenderedPageBreak/>
        <w:t>What’s less obvious, is whether non-identity solutions can adequately address what (we agree with Adams is) the deepest concern about horrors. Adams claims that an adequate solution to the problem of horrors should:</w:t>
      </w:r>
    </w:p>
    <w:p w14:paraId="14E37E55" w14:textId="77777777" w:rsidR="008F05B5" w:rsidRPr="00D06097" w:rsidRDefault="008F05B5" w:rsidP="008F05B5">
      <w:pPr>
        <w:ind w:left="720" w:firstLine="0"/>
        <w:rPr>
          <w:rFonts w:ascii="Palatino Linotype" w:hAnsi="Palatino Linotype"/>
        </w:rPr>
      </w:pPr>
      <w:r w:rsidRPr="00D06097">
        <w:rPr>
          <w:rFonts w:ascii="Palatino Linotype" w:hAnsi="Palatino Linotype"/>
        </w:rPr>
        <w:t>“</w:t>
      </w:r>
      <w:proofErr w:type="gramStart"/>
      <w:r w:rsidRPr="00D06097">
        <w:rPr>
          <w:rFonts w:ascii="Palatino Linotype" w:hAnsi="Palatino Linotype"/>
        </w:rPr>
        <w:t>offer</w:t>
      </w:r>
      <w:proofErr w:type="gramEnd"/>
      <w:r w:rsidRPr="00D06097">
        <w:rPr>
          <w:rFonts w:ascii="Palatino Linotype" w:hAnsi="Palatino Linotype"/>
        </w:rPr>
        <w:t xml:space="preserve"> a (logically possible) scenario in which God is </w:t>
      </w:r>
      <w:r w:rsidRPr="00D06097">
        <w:rPr>
          <w:rFonts w:ascii="Palatino Linotype" w:hAnsi="Palatino Linotype"/>
          <w:i/>
          <w:iCs/>
        </w:rPr>
        <w:t>good</w:t>
      </w:r>
      <w:r w:rsidRPr="00D06097">
        <w:rPr>
          <w:rFonts w:ascii="Palatino Linotype" w:hAnsi="Palatino Linotype"/>
        </w:rPr>
        <w:t xml:space="preserve"> to each created person, by ensuring each a life that is a great good to him/her on the whole, and by defeating his/her participation in horrors within the context, not merely of the world as a whole, but of that individual’s life.”</w:t>
      </w:r>
      <w:r w:rsidRPr="00D06097">
        <w:rPr>
          <w:rStyle w:val="FootnoteReference"/>
          <w:rFonts w:ascii="Palatino Linotype" w:hAnsi="Palatino Linotype"/>
        </w:rPr>
        <w:footnoteReference w:id="19"/>
      </w:r>
    </w:p>
    <w:p w14:paraId="7672335B" w14:textId="77777777" w:rsidR="008F05B5" w:rsidRPr="00D06097" w:rsidRDefault="008F05B5" w:rsidP="008F05B5">
      <w:pPr>
        <w:ind w:firstLine="0"/>
        <w:rPr>
          <w:rFonts w:ascii="Palatino Linotype" w:hAnsi="Palatino Linotype"/>
        </w:rPr>
      </w:pPr>
      <w:r w:rsidRPr="00D06097">
        <w:rPr>
          <w:rFonts w:ascii="Palatino Linotype" w:hAnsi="Palatino Linotype"/>
        </w:rPr>
        <w:t xml:space="preserve">This becomes particularly pressing as a concern for </w:t>
      </w:r>
      <w:r w:rsidR="00781DF8" w:rsidRPr="00D06097">
        <w:rPr>
          <w:rFonts w:ascii="Palatino Linotype" w:hAnsi="Palatino Linotype"/>
        </w:rPr>
        <w:t>Latter-day</w:t>
      </w:r>
      <w:r w:rsidRPr="00D06097">
        <w:rPr>
          <w:rFonts w:ascii="Palatino Linotype" w:hAnsi="Palatino Linotype"/>
        </w:rPr>
        <w:t xml:space="preserve"> Saints. </w:t>
      </w:r>
      <w:r w:rsidR="00781DF8" w:rsidRPr="00D06097">
        <w:rPr>
          <w:rFonts w:ascii="Palatino Linotype" w:hAnsi="Palatino Linotype"/>
        </w:rPr>
        <w:t>Latter-day</w:t>
      </w:r>
      <w:r w:rsidRPr="00D06097">
        <w:rPr>
          <w:rFonts w:ascii="Palatino Linotype" w:hAnsi="Palatino Linotype"/>
        </w:rPr>
        <w:t xml:space="preserve"> Saints hold that in the eschaton, God distributes divine goods on the basis of the soul’s eschatological preferences.</w:t>
      </w:r>
      <w:r w:rsidRPr="00D06097">
        <w:rPr>
          <w:rStyle w:val="FootnoteReference"/>
          <w:rFonts w:ascii="Palatino Linotype" w:hAnsi="Palatino Linotype"/>
        </w:rPr>
        <w:footnoteReference w:id="20"/>
      </w:r>
      <w:r w:rsidRPr="00D06097">
        <w:rPr>
          <w:rFonts w:ascii="Palatino Linotype" w:hAnsi="Palatino Linotype"/>
        </w:rPr>
        <w:t xml:space="preserve"> Souls’ eschatological preferences are deeply shaped by the kinds of experiences they undergo. Horrors pose an interesting kind of risk on such a picture. They may </w:t>
      </w:r>
      <w:r w:rsidR="003C23B3" w:rsidRPr="00D06097">
        <w:rPr>
          <w:rFonts w:ascii="Palatino Linotype" w:hAnsi="Palatino Linotype"/>
        </w:rPr>
        <w:t>cause a</w:t>
      </w:r>
      <w:r w:rsidRPr="00D06097">
        <w:rPr>
          <w:rFonts w:ascii="Palatino Linotype" w:hAnsi="Palatino Linotype"/>
        </w:rPr>
        <w:t xml:space="preserve"> soul </w:t>
      </w:r>
      <w:r w:rsidR="003C23B3" w:rsidRPr="00D06097">
        <w:rPr>
          <w:rFonts w:ascii="Palatino Linotype" w:hAnsi="Palatino Linotype"/>
        </w:rPr>
        <w:t xml:space="preserve">to </w:t>
      </w:r>
      <w:r w:rsidRPr="00D06097">
        <w:rPr>
          <w:rFonts w:ascii="Palatino Linotype" w:hAnsi="Palatino Linotype"/>
        </w:rPr>
        <w:t xml:space="preserve">desire disunity rather than unity with God. Characteristic examples include cases of religious trauma; cases like the following (inspired by true events) reported in </w:t>
      </w:r>
      <w:proofErr w:type="spellStart"/>
      <w:r w:rsidRPr="00D06097">
        <w:rPr>
          <w:rFonts w:ascii="Palatino Linotype" w:hAnsi="Palatino Linotype"/>
        </w:rPr>
        <w:t>Panchuk</w:t>
      </w:r>
      <w:proofErr w:type="spellEnd"/>
      <w:r w:rsidRPr="00D06097">
        <w:rPr>
          <w:rFonts w:ascii="Palatino Linotype" w:hAnsi="Palatino Linotype"/>
        </w:rPr>
        <w:t xml:space="preserve"> (2018):</w:t>
      </w:r>
    </w:p>
    <w:p w14:paraId="162917E8" w14:textId="77777777" w:rsidR="008F05B5" w:rsidRPr="00D06097" w:rsidRDefault="008F05B5" w:rsidP="008F05B5">
      <w:pPr>
        <w:ind w:left="720" w:firstLine="0"/>
        <w:rPr>
          <w:rFonts w:ascii="Palatino Linotype" w:hAnsi="Palatino Linotype"/>
        </w:rPr>
      </w:pPr>
      <w:r w:rsidRPr="00D06097">
        <w:rPr>
          <w:rFonts w:ascii="Palatino Linotype" w:hAnsi="Palatino Linotype"/>
        </w:rPr>
        <w:t>“A young child is repeatedly and brutally beaten by her Christian parents. She is told that since God commanded the Israelites to stone their rebellious children, anything they do to her short of that is divinely approved and morally deserved. And she believes them. One night, they lock her out of the house as punishment for some misdeed. Sitting alone, bruised and bleeding, gazing at the stars, the girl has an overwhelming sense of the presence of God—a presence utterly terrifying because she perceives it to be of a being who delights in her suffering.”</w:t>
      </w:r>
      <w:r w:rsidRPr="00D06097">
        <w:rPr>
          <w:rStyle w:val="FootnoteReference"/>
          <w:rFonts w:ascii="Palatino Linotype" w:hAnsi="Palatino Linotype"/>
        </w:rPr>
        <w:footnoteReference w:id="21"/>
      </w:r>
    </w:p>
    <w:p w14:paraId="4186DDD9" w14:textId="77777777" w:rsidR="008F05B5" w:rsidRPr="00D06097" w:rsidRDefault="008F05B5" w:rsidP="008F05B5">
      <w:pPr>
        <w:ind w:firstLine="0"/>
        <w:rPr>
          <w:rFonts w:ascii="Palatino Linotype" w:hAnsi="Palatino Linotype"/>
        </w:rPr>
      </w:pPr>
      <w:r w:rsidRPr="00D06097">
        <w:rPr>
          <w:rFonts w:ascii="Palatino Linotype" w:hAnsi="Palatino Linotype"/>
        </w:rPr>
        <w:t xml:space="preserve">Anyone who regarded God as a being who “delighted in their suffering” would, we take it, desire eschatological goods that included separation from God. </w:t>
      </w:r>
    </w:p>
    <w:p w14:paraId="6DF99B01" w14:textId="77777777" w:rsidR="008F05B5" w:rsidRPr="00D06097" w:rsidRDefault="008F05B5" w:rsidP="008F05B5">
      <w:pPr>
        <w:ind w:firstLine="720"/>
        <w:rPr>
          <w:rFonts w:ascii="Palatino Linotype" w:hAnsi="Palatino Linotype"/>
        </w:rPr>
      </w:pPr>
      <w:r w:rsidRPr="00D06097">
        <w:rPr>
          <w:rFonts w:ascii="Palatino Linotype" w:hAnsi="Palatino Linotype"/>
        </w:rPr>
        <w:t xml:space="preserve">Horrors may also result in a diminished capacity to make meaning for the subject of the horror. Characteristic cases include the kinds of horrors described by Ivan in </w:t>
      </w:r>
      <w:r w:rsidRPr="00D06097">
        <w:rPr>
          <w:rFonts w:ascii="Palatino Linotype" w:hAnsi="Palatino Linotype"/>
          <w:i/>
          <w:iCs/>
        </w:rPr>
        <w:t>The</w:t>
      </w:r>
      <w:r w:rsidRPr="00D06097">
        <w:rPr>
          <w:rFonts w:ascii="Palatino Linotype" w:hAnsi="Palatino Linotype"/>
        </w:rPr>
        <w:t xml:space="preserve"> </w:t>
      </w:r>
      <w:r w:rsidRPr="00D06097">
        <w:rPr>
          <w:rFonts w:ascii="Palatino Linotype" w:hAnsi="Palatino Linotype"/>
          <w:i/>
          <w:iCs/>
        </w:rPr>
        <w:t>Brothers Karamazov</w:t>
      </w:r>
      <w:r w:rsidRPr="00D06097">
        <w:rPr>
          <w:rFonts w:ascii="Palatino Linotype" w:hAnsi="Palatino Linotype"/>
        </w:rPr>
        <w:t>, and cases of torture that have the effect of so degrading the personality and dignity of the individual that they no longer even conceive of themselves as human in important respects.</w:t>
      </w:r>
      <w:r w:rsidRPr="00D06097">
        <w:rPr>
          <w:rStyle w:val="FootnoteReference"/>
          <w:rFonts w:ascii="Palatino Linotype" w:hAnsi="Palatino Linotype"/>
        </w:rPr>
        <w:footnoteReference w:id="22"/>
      </w:r>
      <w:r w:rsidRPr="00D06097">
        <w:rPr>
          <w:rFonts w:ascii="Palatino Linotype" w:hAnsi="Palatino Linotype"/>
        </w:rPr>
        <w:t xml:space="preserve"> Horrors, thus, threaten to undermine God’s ability to make good on the soul-making project he initiates by having given them a </w:t>
      </w:r>
      <w:r w:rsidRPr="00D06097">
        <w:rPr>
          <w:rFonts w:ascii="Palatino Linotype" w:hAnsi="Palatino Linotype"/>
          <w:i/>
          <w:iCs/>
        </w:rPr>
        <w:t>suitable embodiment</w:t>
      </w:r>
      <w:r w:rsidRPr="00D06097">
        <w:rPr>
          <w:rFonts w:ascii="Palatino Linotype" w:hAnsi="Palatino Linotype"/>
        </w:rPr>
        <w:t xml:space="preserve">. In fact, it threatens to undermine the plausibility of them even having been suitably embodied. So, for the </w:t>
      </w:r>
      <w:r w:rsidR="00781DF8" w:rsidRPr="00D06097">
        <w:rPr>
          <w:rFonts w:ascii="Palatino Linotype" w:hAnsi="Palatino Linotype"/>
        </w:rPr>
        <w:t>Latter-day</w:t>
      </w:r>
      <w:r w:rsidR="005D275C" w:rsidRPr="00D06097">
        <w:rPr>
          <w:rFonts w:ascii="Palatino Linotype" w:hAnsi="Palatino Linotype"/>
        </w:rPr>
        <w:t xml:space="preserve"> Saints</w:t>
      </w:r>
      <w:r w:rsidRPr="00D06097">
        <w:rPr>
          <w:rFonts w:ascii="Palatino Linotype" w:hAnsi="Palatino Linotype"/>
        </w:rPr>
        <w:t>, horrors pose two kinds of eschatological risks.</w:t>
      </w:r>
    </w:p>
    <w:p w14:paraId="1BBC7904" w14:textId="77777777" w:rsidR="008F05B5" w:rsidRPr="00D06097" w:rsidRDefault="008F05B5" w:rsidP="008F05B5">
      <w:pPr>
        <w:pStyle w:val="ListParagraph"/>
        <w:numPr>
          <w:ilvl w:val="0"/>
          <w:numId w:val="4"/>
        </w:numPr>
        <w:rPr>
          <w:rFonts w:ascii="Palatino Linotype" w:hAnsi="Palatino Linotype"/>
        </w:rPr>
      </w:pPr>
      <w:r w:rsidRPr="00D06097">
        <w:rPr>
          <w:rFonts w:ascii="Palatino Linotype" w:hAnsi="Palatino Linotype"/>
        </w:rPr>
        <w:lastRenderedPageBreak/>
        <w:t>They threaten to form strong preferences for disunity with God</w:t>
      </w:r>
    </w:p>
    <w:p w14:paraId="287B477A" w14:textId="77777777" w:rsidR="008F05B5" w:rsidRPr="00D06097" w:rsidRDefault="008F05B5" w:rsidP="008F05B5">
      <w:pPr>
        <w:pStyle w:val="ListParagraph"/>
        <w:numPr>
          <w:ilvl w:val="0"/>
          <w:numId w:val="4"/>
        </w:numPr>
        <w:rPr>
          <w:rFonts w:ascii="Palatino Linotype" w:hAnsi="Palatino Linotype"/>
        </w:rPr>
      </w:pPr>
      <w:r w:rsidRPr="00D06097">
        <w:rPr>
          <w:rFonts w:ascii="Palatino Linotype" w:hAnsi="Palatino Linotype"/>
        </w:rPr>
        <w:t xml:space="preserve">They threaten to debilitate the soul to be made in the ways that would enable them to enter into the kind of loving union God desires for them. </w:t>
      </w:r>
    </w:p>
    <w:p w14:paraId="1C71CF91" w14:textId="77777777" w:rsidR="00E324B0" w:rsidRPr="00D06097" w:rsidRDefault="008F05B5" w:rsidP="008F05B5">
      <w:pPr>
        <w:ind w:firstLine="0"/>
        <w:rPr>
          <w:rFonts w:ascii="Palatino Linotype" w:hAnsi="Palatino Linotype"/>
        </w:rPr>
      </w:pPr>
      <w:r w:rsidRPr="00D06097">
        <w:rPr>
          <w:rFonts w:ascii="Palatino Linotype" w:hAnsi="Palatino Linotype"/>
        </w:rPr>
        <w:t xml:space="preserve">Thus, the occurrence of such horrors appears to leave unaddressed Adams’s constraint. What could be worse for </w:t>
      </w:r>
      <w:r w:rsidRPr="00D06097">
        <w:rPr>
          <w:rFonts w:ascii="Palatino Linotype" w:hAnsi="Palatino Linotype"/>
          <w:i/>
          <w:iCs/>
        </w:rPr>
        <w:t>that soul</w:t>
      </w:r>
      <w:r w:rsidRPr="00D06097">
        <w:rPr>
          <w:rFonts w:ascii="Palatino Linotype" w:hAnsi="Palatino Linotype"/>
        </w:rPr>
        <w:t xml:space="preserve"> than to end up either strongly preferring eternal disunity or failing to be able to make the meaning necessary to achieve that unity?</w:t>
      </w:r>
    </w:p>
    <w:p w14:paraId="5534A2A6" w14:textId="77777777" w:rsidR="00D251D5" w:rsidRPr="00D06097" w:rsidRDefault="00F56DEB" w:rsidP="002A23EE">
      <w:pPr>
        <w:ind w:firstLine="0"/>
        <w:rPr>
          <w:rFonts w:ascii="Palatino Linotype" w:hAnsi="Palatino Linotype"/>
        </w:rPr>
      </w:pPr>
      <w:r w:rsidRPr="00D06097">
        <w:rPr>
          <w:rFonts w:ascii="Palatino Linotype" w:hAnsi="Palatino Linotype"/>
        </w:rPr>
        <w:tab/>
      </w:r>
      <w:r w:rsidR="00AE3079" w:rsidRPr="00D06097">
        <w:rPr>
          <w:rFonts w:ascii="Palatino Linotype" w:hAnsi="Palatino Linotype"/>
        </w:rPr>
        <w:t xml:space="preserve">We wish to raise one more difficulty before proceeding. In addition to wondering whether the life of a horror participant is a great good to them, those whose lives depend essentially on the occurrence of various horrors may wonder whether their lives are valuable enough to warrant God’s staying of hand. The descendent of holocaust survivors may well wonder whether their existence was really worth the holocaust, and how God could sensibly justify these horrors by appeal to the value of their existence. </w:t>
      </w:r>
      <w:r w:rsidR="00D251D5" w:rsidRPr="00D06097">
        <w:rPr>
          <w:rFonts w:ascii="Palatino Linotype" w:hAnsi="Palatino Linotype"/>
        </w:rPr>
        <w:t xml:space="preserve">So, a full view should aim to address the question: </w:t>
      </w:r>
    </w:p>
    <w:p w14:paraId="5F50A440" w14:textId="77777777" w:rsidR="00D251D5" w:rsidRPr="00D06097" w:rsidRDefault="00D251D5" w:rsidP="00384249">
      <w:pPr>
        <w:pStyle w:val="ListParagraph"/>
        <w:numPr>
          <w:ilvl w:val="0"/>
          <w:numId w:val="4"/>
        </w:numPr>
        <w:rPr>
          <w:rFonts w:ascii="Palatino Linotype" w:hAnsi="Palatino Linotype"/>
        </w:rPr>
      </w:pPr>
      <w:r w:rsidRPr="00D06097">
        <w:rPr>
          <w:rFonts w:ascii="Palatino Linotype" w:hAnsi="Palatino Linotype"/>
        </w:rPr>
        <w:t xml:space="preserve">“Was my existence really worth the </w:t>
      </w:r>
      <w:r w:rsidR="00384249" w:rsidRPr="00D06097">
        <w:rPr>
          <w:rFonts w:ascii="Palatino Linotype" w:hAnsi="Palatino Linotype"/>
        </w:rPr>
        <w:t>horror</w:t>
      </w:r>
      <w:r w:rsidRPr="00D06097">
        <w:rPr>
          <w:rFonts w:ascii="Palatino Linotype" w:hAnsi="Palatino Linotype"/>
        </w:rPr>
        <w:t>?”</w:t>
      </w:r>
    </w:p>
    <w:p w14:paraId="33BA254F" w14:textId="77777777" w:rsidR="00E324B0" w:rsidRPr="00D06097" w:rsidRDefault="00AE3079" w:rsidP="00DF3A5F">
      <w:pPr>
        <w:spacing w:before="240"/>
        <w:ind w:firstLine="0"/>
        <w:rPr>
          <w:rFonts w:ascii="Palatino Linotype" w:hAnsi="Palatino Linotype"/>
        </w:rPr>
      </w:pPr>
      <w:r w:rsidRPr="00D06097">
        <w:rPr>
          <w:rFonts w:ascii="Palatino Linotype" w:hAnsi="Palatino Linotype"/>
        </w:rPr>
        <w:t xml:space="preserve">We want to emphasize that this is a </w:t>
      </w:r>
      <w:r w:rsidR="00D251D5" w:rsidRPr="00D06097">
        <w:rPr>
          <w:rFonts w:ascii="Palatino Linotype" w:hAnsi="Palatino Linotype"/>
        </w:rPr>
        <w:t>concern</w:t>
      </w:r>
      <w:r w:rsidRPr="00D06097">
        <w:rPr>
          <w:rFonts w:ascii="Palatino Linotype" w:hAnsi="Palatino Linotype"/>
        </w:rPr>
        <w:t xml:space="preserve"> about the source of value that the non-identity solution takes to be the source of moral justification for God’s policy of allowing evil and suffering. </w:t>
      </w:r>
      <w:r w:rsidR="00D251D5" w:rsidRPr="00D06097">
        <w:rPr>
          <w:rFonts w:ascii="Palatino Linotype" w:hAnsi="Palatino Linotype"/>
        </w:rPr>
        <w:t>It is importantly different from the question of whether one can or ought to be grateful (or hold other attitudes) towards the history of events that transpired in the course of bringing them into existence.</w:t>
      </w:r>
      <w:r w:rsidR="00D251D5" w:rsidRPr="00D06097">
        <w:rPr>
          <w:rStyle w:val="FootnoteReference"/>
          <w:rFonts w:ascii="Palatino Linotype" w:hAnsi="Palatino Linotype"/>
        </w:rPr>
        <w:footnoteReference w:id="23"/>
      </w:r>
      <w:r w:rsidR="00D251D5" w:rsidRPr="00D06097">
        <w:rPr>
          <w:rFonts w:ascii="Palatino Linotype" w:hAnsi="Palatino Linotype"/>
        </w:rPr>
        <w:t xml:space="preserve"> </w:t>
      </w:r>
      <w:r w:rsidR="004377E0" w:rsidRPr="00D06097">
        <w:rPr>
          <w:rFonts w:ascii="Palatino Linotype" w:hAnsi="Palatino Linotype"/>
        </w:rPr>
        <w:t xml:space="preserve">So, for the present discussion, we raise as a concern for </w:t>
      </w:r>
      <w:r w:rsidR="00781DF8" w:rsidRPr="00D06097">
        <w:rPr>
          <w:rFonts w:ascii="Palatino Linotype" w:hAnsi="Palatino Linotype"/>
        </w:rPr>
        <w:t>Latter-day</w:t>
      </w:r>
      <w:r w:rsidR="004377E0" w:rsidRPr="00D06097">
        <w:rPr>
          <w:rFonts w:ascii="Palatino Linotype" w:hAnsi="Palatino Linotype"/>
        </w:rPr>
        <w:t xml:space="preserve"> Saint theology to justify a soul’s value in such a way that one might plausibly respond “yes” to (3) presented above. We turn to addressing each of these concerns in the next section. </w:t>
      </w:r>
    </w:p>
    <w:p w14:paraId="07361D6C" w14:textId="77777777" w:rsidR="00064522" w:rsidRPr="00D06097" w:rsidRDefault="00064522" w:rsidP="00064522">
      <w:pPr>
        <w:pStyle w:val="ListParagraph"/>
        <w:ind w:firstLine="0"/>
        <w:rPr>
          <w:rFonts w:ascii="Palatino Linotype" w:hAnsi="Palatino Linotype"/>
          <w:b/>
          <w:bCs/>
        </w:rPr>
      </w:pPr>
    </w:p>
    <w:p w14:paraId="421363EB" w14:textId="77777777" w:rsidR="00DF3A5F" w:rsidRPr="00D06097" w:rsidRDefault="00644E50" w:rsidP="00DF3A5F">
      <w:pPr>
        <w:pStyle w:val="ListParagraph"/>
        <w:numPr>
          <w:ilvl w:val="0"/>
          <w:numId w:val="2"/>
        </w:numPr>
        <w:rPr>
          <w:rFonts w:ascii="Palatino Linotype" w:hAnsi="Palatino Linotype"/>
          <w:b/>
          <w:bCs/>
        </w:rPr>
      </w:pPr>
      <w:r w:rsidRPr="00D06097">
        <w:rPr>
          <w:rFonts w:ascii="Palatino Linotype" w:hAnsi="Palatino Linotype"/>
          <w:b/>
          <w:bCs/>
        </w:rPr>
        <w:t xml:space="preserve">Life in the </w:t>
      </w:r>
      <w:r w:rsidR="00781DF8" w:rsidRPr="00D06097">
        <w:rPr>
          <w:rFonts w:ascii="Palatino Linotype" w:hAnsi="Palatino Linotype"/>
          <w:b/>
          <w:bCs/>
        </w:rPr>
        <w:t>Latter-day</w:t>
      </w:r>
      <w:r w:rsidRPr="00D06097">
        <w:rPr>
          <w:rFonts w:ascii="Palatino Linotype" w:hAnsi="Palatino Linotype"/>
          <w:b/>
          <w:bCs/>
        </w:rPr>
        <w:t xml:space="preserve"> Saint Afterlife</w:t>
      </w:r>
    </w:p>
    <w:p w14:paraId="7CED043C" w14:textId="77777777" w:rsidR="00974360" w:rsidRPr="00D06097" w:rsidRDefault="00781DF8" w:rsidP="00FA7A72">
      <w:pPr>
        <w:pStyle w:val="FootnoteText"/>
        <w:spacing w:after="240" w:line="276" w:lineRule="auto"/>
        <w:rPr>
          <w:rFonts w:ascii="Palatino Linotype" w:hAnsi="Palatino Linotype"/>
          <w:b/>
          <w:bCs/>
          <w:sz w:val="22"/>
          <w:szCs w:val="22"/>
        </w:rPr>
      </w:pPr>
      <w:r w:rsidRPr="00D06097">
        <w:rPr>
          <w:rFonts w:ascii="Palatino Linotype" w:hAnsi="Palatino Linotype"/>
          <w:sz w:val="22"/>
          <w:szCs w:val="22"/>
        </w:rPr>
        <w:t>Latter-day</w:t>
      </w:r>
      <w:r w:rsidR="00584493" w:rsidRPr="00D06097">
        <w:rPr>
          <w:rFonts w:ascii="Palatino Linotype" w:hAnsi="Palatino Linotype"/>
          <w:sz w:val="22"/>
          <w:szCs w:val="22"/>
        </w:rPr>
        <w:t xml:space="preserve"> Saints have a distinctive kind of eschatological view. Whereas on traditional Christian theology, death results in transition to one’s eternal afterlife state, according to </w:t>
      </w:r>
      <w:r w:rsidRPr="00D06097">
        <w:rPr>
          <w:rFonts w:ascii="Palatino Linotype" w:hAnsi="Palatino Linotype"/>
          <w:sz w:val="22"/>
          <w:szCs w:val="22"/>
        </w:rPr>
        <w:t>Latter-day</w:t>
      </w:r>
      <w:r w:rsidR="00584493" w:rsidRPr="00D06097">
        <w:rPr>
          <w:rFonts w:ascii="Palatino Linotype" w:hAnsi="Palatino Linotype"/>
          <w:sz w:val="22"/>
          <w:szCs w:val="22"/>
        </w:rPr>
        <w:t xml:space="preserve"> Saint theology death result in a transition to a transitory afterlife state. </w:t>
      </w:r>
      <w:r w:rsidRPr="00D06097">
        <w:rPr>
          <w:rFonts w:ascii="Palatino Linotype" w:hAnsi="Palatino Linotype"/>
          <w:sz w:val="22"/>
          <w:szCs w:val="22"/>
        </w:rPr>
        <w:t>Latter-day</w:t>
      </w:r>
      <w:r w:rsidR="00584493" w:rsidRPr="00D06097">
        <w:rPr>
          <w:rFonts w:ascii="Palatino Linotype" w:hAnsi="Palatino Linotype"/>
          <w:sz w:val="22"/>
          <w:szCs w:val="22"/>
        </w:rPr>
        <w:t xml:space="preserve"> Saint scripture refers to this transitory state as “the spirit world.”</w:t>
      </w:r>
      <w:r w:rsidR="00584493" w:rsidRPr="00D06097">
        <w:rPr>
          <w:rStyle w:val="FootnoteReference"/>
          <w:rFonts w:ascii="Palatino Linotype" w:hAnsi="Palatino Linotype"/>
          <w:sz w:val="22"/>
          <w:szCs w:val="22"/>
        </w:rPr>
        <w:footnoteReference w:id="24"/>
      </w:r>
      <w:r w:rsidR="00584493" w:rsidRPr="00D06097">
        <w:rPr>
          <w:rFonts w:ascii="Palatino Linotype" w:hAnsi="Palatino Linotype"/>
          <w:sz w:val="22"/>
          <w:szCs w:val="22"/>
        </w:rPr>
        <w:t xml:space="preserve"> The spirit world has interesting features relevant to addressing the concerns raised above. First, those who transition via death to the spirit world, </w:t>
      </w:r>
      <w:r w:rsidR="00F27C03" w:rsidRPr="00D06097">
        <w:rPr>
          <w:rFonts w:ascii="Palatino Linotype" w:hAnsi="Palatino Linotype"/>
          <w:sz w:val="22"/>
          <w:szCs w:val="22"/>
        </w:rPr>
        <w:t xml:space="preserve">are taken to </w:t>
      </w:r>
      <w:r w:rsidR="00584493" w:rsidRPr="00D06097">
        <w:rPr>
          <w:rFonts w:ascii="Palatino Linotype" w:hAnsi="Palatino Linotype"/>
          <w:sz w:val="22"/>
          <w:szCs w:val="22"/>
        </w:rPr>
        <w:t xml:space="preserve">have </w:t>
      </w:r>
      <w:r w:rsidR="000F2906" w:rsidRPr="00D06097">
        <w:rPr>
          <w:rFonts w:ascii="Palatino Linotype" w:hAnsi="Palatino Linotype"/>
          <w:sz w:val="22"/>
          <w:szCs w:val="22"/>
        </w:rPr>
        <w:t>important kinds of</w:t>
      </w:r>
      <w:r w:rsidR="00584493" w:rsidRPr="00D06097">
        <w:rPr>
          <w:rFonts w:ascii="Palatino Linotype" w:hAnsi="Palatino Linotype"/>
          <w:sz w:val="22"/>
          <w:szCs w:val="22"/>
        </w:rPr>
        <w:t xml:space="preserve"> psychological continuity with their pre-deceased selves. Among other things, death itself won’t typically result in an interesting shift in </w:t>
      </w:r>
      <w:r w:rsidR="00584493" w:rsidRPr="00D06097">
        <w:rPr>
          <w:rFonts w:ascii="Palatino Linotype" w:hAnsi="Palatino Linotype"/>
          <w:sz w:val="22"/>
          <w:szCs w:val="22"/>
        </w:rPr>
        <w:lastRenderedPageBreak/>
        <w:t>eschatological preferences (let alone other sorts of attitudes we held while embodied).</w:t>
      </w:r>
      <w:r w:rsidR="00584493" w:rsidRPr="00D06097">
        <w:rPr>
          <w:rStyle w:val="FootnoteReference"/>
          <w:rFonts w:ascii="Palatino Linotype" w:hAnsi="Palatino Linotype"/>
          <w:sz w:val="22"/>
          <w:szCs w:val="22"/>
        </w:rPr>
        <w:footnoteReference w:id="25"/>
      </w:r>
      <w:r w:rsidR="00584493" w:rsidRPr="00D06097">
        <w:rPr>
          <w:rFonts w:ascii="Palatino Linotype" w:hAnsi="Palatino Linotype"/>
          <w:sz w:val="22"/>
          <w:szCs w:val="22"/>
        </w:rPr>
        <w:t xml:space="preserve"> However, it will present conditions suitable for the alteration of those preferences.</w:t>
      </w:r>
      <w:r w:rsidR="00974360" w:rsidRPr="00D06097">
        <w:rPr>
          <w:rFonts w:ascii="Palatino Linotype" w:hAnsi="Palatino Linotype"/>
          <w:sz w:val="22"/>
          <w:szCs w:val="22"/>
        </w:rPr>
        <w:t xml:space="preserve"> </w:t>
      </w:r>
    </w:p>
    <w:p w14:paraId="2BC87825" w14:textId="77777777" w:rsidR="00584493" w:rsidRPr="00D06097" w:rsidRDefault="0028677C" w:rsidP="00584493">
      <w:pPr>
        <w:pStyle w:val="FootnoteText"/>
        <w:spacing w:after="240" w:line="276" w:lineRule="auto"/>
        <w:rPr>
          <w:rFonts w:ascii="Palatino Linotype" w:hAnsi="Palatino Linotype"/>
          <w:sz w:val="22"/>
          <w:szCs w:val="22"/>
        </w:rPr>
      </w:pPr>
      <w:r w:rsidRPr="00D06097">
        <w:rPr>
          <w:rFonts w:ascii="Palatino Linotype" w:hAnsi="Palatino Linotype"/>
          <w:sz w:val="22"/>
          <w:szCs w:val="22"/>
        </w:rPr>
        <w:t xml:space="preserve">According to </w:t>
      </w:r>
      <w:r w:rsidR="00781DF8" w:rsidRPr="00D06097">
        <w:rPr>
          <w:rFonts w:ascii="Palatino Linotype" w:hAnsi="Palatino Linotype"/>
          <w:sz w:val="22"/>
          <w:szCs w:val="22"/>
        </w:rPr>
        <w:t>Latter-day</w:t>
      </w:r>
      <w:r w:rsidRPr="00D06097">
        <w:rPr>
          <w:rFonts w:ascii="Palatino Linotype" w:hAnsi="Palatino Linotype"/>
          <w:sz w:val="22"/>
          <w:szCs w:val="22"/>
        </w:rPr>
        <w:t xml:space="preserve"> Saint scripture, when Christ died, he (like us) transitioned to the spirit world, </w:t>
      </w:r>
      <w:r w:rsidR="00F07B65" w:rsidRPr="00D06097">
        <w:rPr>
          <w:rFonts w:ascii="Palatino Linotype" w:hAnsi="Palatino Linotype"/>
          <w:sz w:val="22"/>
          <w:szCs w:val="22"/>
        </w:rPr>
        <w:t>and</w:t>
      </w:r>
      <w:r w:rsidRPr="00D06097">
        <w:rPr>
          <w:rFonts w:ascii="Palatino Linotype" w:hAnsi="Palatino Linotype"/>
          <w:sz w:val="22"/>
          <w:szCs w:val="22"/>
        </w:rPr>
        <w:t xml:space="preserve"> also established an organization whose aim was the therapeutic rehabilitation of the spirits who died in disunity with him. For example, D&amp;C 138 reports a vision of Joseph F. Smith the content of which was Christ’s establishment of this organization:</w:t>
      </w:r>
    </w:p>
    <w:p w14:paraId="44B5F124" w14:textId="77777777" w:rsidR="00974360" w:rsidRPr="00D06097" w:rsidRDefault="00F07B65" w:rsidP="00974360">
      <w:pPr>
        <w:pStyle w:val="FootnoteText"/>
        <w:spacing w:after="240" w:line="276" w:lineRule="auto"/>
        <w:ind w:left="360" w:firstLine="0"/>
        <w:rPr>
          <w:rFonts w:ascii="Palatino Linotype" w:hAnsi="Palatino Linotype"/>
          <w:sz w:val="22"/>
          <w:szCs w:val="22"/>
        </w:rPr>
      </w:pPr>
      <w:r w:rsidRPr="00D06097">
        <w:rPr>
          <w:rFonts w:ascii="Palatino Linotype" w:hAnsi="Palatino Linotype"/>
          <w:b/>
          <w:bCs/>
          <w:sz w:val="22"/>
          <w:szCs w:val="22"/>
        </w:rPr>
        <w:t xml:space="preserve"> </w:t>
      </w:r>
      <w:r w:rsidRPr="00D06097">
        <w:rPr>
          <w:rFonts w:ascii="Palatino Linotype" w:hAnsi="Palatino Linotype"/>
          <w:sz w:val="22"/>
          <w:szCs w:val="22"/>
        </w:rPr>
        <w:t>“</w:t>
      </w:r>
      <w:r w:rsidR="002D0C48" w:rsidRPr="00D06097">
        <w:rPr>
          <w:rFonts w:ascii="Palatino Linotype" w:hAnsi="Palatino Linotype"/>
          <w:sz w:val="22"/>
          <w:szCs w:val="22"/>
        </w:rPr>
        <w:t>But behold from among the righteous, he organized his forces and appointed messengers, clothed with power and authority, and commissioned them to go forth and carry the light of the gospel to them that were in darkness, even to all the spirits of men; and thus was the gospel preached to the dead. And the chosen messengers went forth to declare the </w:t>
      </w:r>
      <w:hyperlink r:id="rId18" w:anchor="note31a" w:history="1">
        <w:r w:rsidR="002D0C48" w:rsidRPr="00D06097">
          <w:rPr>
            <w:rStyle w:val="Hyperlink"/>
            <w:rFonts w:ascii="Palatino Linotype" w:hAnsi="Palatino Linotype"/>
            <w:color w:val="auto"/>
            <w:sz w:val="22"/>
            <w:szCs w:val="22"/>
            <w:u w:val="none"/>
          </w:rPr>
          <w:t>acceptable</w:t>
        </w:r>
      </w:hyperlink>
      <w:r w:rsidR="002D0C48" w:rsidRPr="00D06097">
        <w:rPr>
          <w:rFonts w:ascii="Palatino Linotype" w:hAnsi="Palatino Linotype"/>
          <w:sz w:val="22"/>
          <w:szCs w:val="22"/>
        </w:rPr>
        <w:t> day of the Lord and proclaim </w:t>
      </w:r>
      <w:hyperlink r:id="rId19" w:anchor="note31b" w:history="1">
        <w:r w:rsidR="002D0C48" w:rsidRPr="00D06097">
          <w:rPr>
            <w:rStyle w:val="Hyperlink"/>
            <w:rFonts w:ascii="Palatino Linotype" w:hAnsi="Palatino Linotype"/>
            <w:color w:val="auto"/>
            <w:sz w:val="22"/>
            <w:szCs w:val="22"/>
            <w:u w:val="none"/>
          </w:rPr>
          <w:t>liberty</w:t>
        </w:r>
      </w:hyperlink>
      <w:r w:rsidR="002D0C48" w:rsidRPr="00D06097">
        <w:rPr>
          <w:rFonts w:ascii="Palatino Linotype" w:hAnsi="Palatino Linotype"/>
          <w:sz w:val="22"/>
          <w:szCs w:val="22"/>
        </w:rPr>
        <w:t> to the captives who were bound.”</w:t>
      </w:r>
      <w:r w:rsidRPr="00D06097">
        <w:rPr>
          <w:rStyle w:val="FootnoteReference"/>
          <w:rFonts w:ascii="Palatino Linotype" w:hAnsi="Palatino Linotype"/>
          <w:sz w:val="22"/>
          <w:szCs w:val="22"/>
        </w:rPr>
        <w:footnoteReference w:id="26"/>
      </w:r>
    </w:p>
    <w:p w14:paraId="12F0D9C8" w14:textId="77777777" w:rsidR="00FA7A72" w:rsidRPr="00D06097" w:rsidRDefault="00FA7A72" w:rsidP="00FA7A72">
      <w:pPr>
        <w:pStyle w:val="FootnoteText"/>
        <w:spacing w:after="240" w:line="276" w:lineRule="auto"/>
        <w:ind w:firstLine="0"/>
        <w:rPr>
          <w:rFonts w:ascii="Palatino Linotype" w:hAnsi="Palatino Linotype"/>
          <w:sz w:val="22"/>
          <w:szCs w:val="22"/>
        </w:rPr>
      </w:pPr>
      <w:r w:rsidRPr="00D06097">
        <w:rPr>
          <w:rFonts w:ascii="Palatino Linotype" w:hAnsi="Palatino Linotype"/>
          <w:sz w:val="22"/>
          <w:szCs w:val="22"/>
        </w:rPr>
        <w:t xml:space="preserve">A hope of therapeutic rehabilitation for the spirits who are not yet in union with Christ, we argue, entails those spirits in the spirit world, regardless of however they were embodied, have the prospects of forming </w:t>
      </w:r>
      <w:r w:rsidR="00B27BCF" w:rsidRPr="00D06097">
        <w:rPr>
          <w:rFonts w:ascii="Palatino Linotype" w:hAnsi="Palatino Linotype"/>
          <w:sz w:val="22"/>
          <w:szCs w:val="22"/>
        </w:rPr>
        <w:t>better</w:t>
      </w:r>
      <w:r w:rsidRPr="00D06097">
        <w:rPr>
          <w:rFonts w:ascii="Palatino Linotype" w:hAnsi="Palatino Linotype"/>
          <w:sz w:val="22"/>
          <w:szCs w:val="22"/>
        </w:rPr>
        <w:t xml:space="preserve"> eschatological preferences. But how? What features </w:t>
      </w:r>
      <w:r w:rsidR="00DF3A5F" w:rsidRPr="00D06097">
        <w:rPr>
          <w:rFonts w:ascii="Palatino Linotype" w:hAnsi="Palatino Linotype"/>
          <w:sz w:val="22"/>
          <w:szCs w:val="22"/>
        </w:rPr>
        <w:t xml:space="preserve">would need to </w:t>
      </w:r>
      <w:r w:rsidRPr="00D06097">
        <w:rPr>
          <w:rFonts w:ascii="Palatino Linotype" w:hAnsi="Palatino Linotype"/>
          <w:sz w:val="22"/>
          <w:szCs w:val="22"/>
        </w:rPr>
        <w:t xml:space="preserve">characterize conditions in the spirit world more generally </w:t>
      </w:r>
      <w:r w:rsidR="00DF3A5F" w:rsidRPr="00D06097">
        <w:rPr>
          <w:rFonts w:ascii="Palatino Linotype" w:hAnsi="Palatino Linotype"/>
          <w:sz w:val="22"/>
          <w:szCs w:val="22"/>
        </w:rPr>
        <w:t>to</w:t>
      </w:r>
      <w:r w:rsidRPr="00D06097">
        <w:rPr>
          <w:rFonts w:ascii="Palatino Linotype" w:hAnsi="Palatino Linotype"/>
          <w:sz w:val="22"/>
          <w:szCs w:val="22"/>
        </w:rPr>
        <w:t xml:space="preserve"> support this kind of rehabilitative optimism? </w:t>
      </w:r>
      <w:r w:rsidR="00DF3A5F" w:rsidRPr="00D06097">
        <w:rPr>
          <w:rFonts w:ascii="Palatino Linotype" w:hAnsi="Palatino Linotype"/>
          <w:sz w:val="22"/>
          <w:szCs w:val="22"/>
        </w:rPr>
        <w:t>W</w:t>
      </w:r>
      <w:r w:rsidRPr="00D06097">
        <w:rPr>
          <w:rFonts w:ascii="Palatino Linotype" w:hAnsi="Palatino Linotype"/>
          <w:sz w:val="22"/>
          <w:szCs w:val="22"/>
        </w:rPr>
        <w:t xml:space="preserve">e </w:t>
      </w:r>
      <w:r w:rsidR="00DF3A5F" w:rsidRPr="00D06097">
        <w:rPr>
          <w:rFonts w:ascii="Palatino Linotype" w:hAnsi="Palatino Linotype"/>
          <w:sz w:val="22"/>
          <w:szCs w:val="22"/>
        </w:rPr>
        <w:t>identify</w:t>
      </w:r>
      <w:r w:rsidRPr="00D06097">
        <w:rPr>
          <w:rFonts w:ascii="Palatino Linotype" w:hAnsi="Palatino Linotype"/>
          <w:sz w:val="22"/>
          <w:szCs w:val="22"/>
        </w:rPr>
        <w:t xml:space="preserve"> </w:t>
      </w:r>
      <w:r w:rsidR="00DF3A5F" w:rsidRPr="00D06097">
        <w:rPr>
          <w:rFonts w:ascii="Palatino Linotype" w:hAnsi="Palatino Linotype"/>
          <w:sz w:val="22"/>
          <w:szCs w:val="22"/>
        </w:rPr>
        <w:t>three</w:t>
      </w:r>
      <w:r w:rsidRPr="00D06097">
        <w:rPr>
          <w:rFonts w:ascii="Palatino Linotype" w:hAnsi="Palatino Linotype"/>
          <w:sz w:val="22"/>
          <w:szCs w:val="22"/>
        </w:rPr>
        <w:t xml:space="preserve"> such conditions:</w:t>
      </w:r>
    </w:p>
    <w:p w14:paraId="3CDF901E" w14:textId="77777777" w:rsidR="00DF3A5F" w:rsidRPr="00D06097" w:rsidRDefault="00DF3A5F" w:rsidP="00DF3A5F">
      <w:pPr>
        <w:pStyle w:val="FootnoteText"/>
        <w:numPr>
          <w:ilvl w:val="0"/>
          <w:numId w:val="7"/>
        </w:numPr>
        <w:spacing w:line="276" w:lineRule="auto"/>
        <w:rPr>
          <w:rFonts w:ascii="Palatino Linotype" w:hAnsi="Palatino Linotype"/>
          <w:sz w:val="22"/>
          <w:szCs w:val="22"/>
        </w:rPr>
      </w:pPr>
      <w:r w:rsidRPr="00D06097">
        <w:rPr>
          <w:rFonts w:ascii="Palatino Linotype" w:hAnsi="Palatino Linotype"/>
          <w:sz w:val="22"/>
          <w:szCs w:val="22"/>
        </w:rPr>
        <w:t>Improved epistemic conditions</w:t>
      </w:r>
    </w:p>
    <w:p w14:paraId="67A8AD28" w14:textId="77777777" w:rsidR="00DF3A5F" w:rsidRPr="00D06097" w:rsidRDefault="00DF3A5F" w:rsidP="00DF3A5F">
      <w:pPr>
        <w:pStyle w:val="FootnoteText"/>
        <w:numPr>
          <w:ilvl w:val="0"/>
          <w:numId w:val="7"/>
        </w:numPr>
        <w:spacing w:line="276" w:lineRule="auto"/>
        <w:rPr>
          <w:rFonts w:ascii="Palatino Linotype" w:hAnsi="Palatino Linotype"/>
          <w:sz w:val="22"/>
          <w:szCs w:val="22"/>
        </w:rPr>
      </w:pPr>
      <w:r w:rsidRPr="00D06097">
        <w:rPr>
          <w:rFonts w:ascii="Palatino Linotype" w:hAnsi="Palatino Linotype"/>
          <w:sz w:val="22"/>
          <w:szCs w:val="22"/>
        </w:rPr>
        <w:t>Preservation of certain kinds of divine distance</w:t>
      </w:r>
    </w:p>
    <w:p w14:paraId="4D07C4B4" w14:textId="77777777" w:rsidR="00DF3A5F" w:rsidRPr="00D06097" w:rsidRDefault="00DF3A5F" w:rsidP="00704F11">
      <w:pPr>
        <w:pStyle w:val="FootnoteText"/>
        <w:numPr>
          <w:ilvl w:val="0"/>
          <w:numId w:val="7"/>
        </w:numPr>
        <w:spacing w:after="240" w:line="276" w:lineRule="auto"/>
        <w:rPr>
          <w:rFonts w:ascii="Palatino Linotype" w:hAnsi="Palatino Linotype"/>
          <w:sz w:val="22"/>
          <w:szCs w:val="22"/>
        </w:rPr>
      </w:pPr>
      <w:r w:rsidRPr="00D06097">
        <w:rPr>
          <w:rFonts w:ascii="Palatino Linotype" w:hAnsi="Palatino Linotype"/>
          <w:sz w:val="22"/>
          <w:szCs w:val="22"/>
        </w:rPr>
        <w:t>Access to the past and present unfolding of history</w:t>
      </w:r>
    </w:p>
    <w:p w14:paraId="3E11F9D1" w14:textId="77777777" w:rsidR="00704F11" w:rsidRPr="00D06097" w:rsidRDefault="00814F54" w:rsidP="000611F0">
      <w:pPr>
        <w:pStyle w:val="FootnoteText"/>
        <w:spacing w:after="240" w:line="276" w:lineRule="auto"/>
        <w:rPr>
          <w:rFonts w:ascii="Palatino Linotype" w:hAnsi="Palatino Linotype"/>
          <w:sz w:val="22"/>
          <w:szCs w:val="22"/>
        </w:rPr>
      </w:pPr>
      <w:r w:rsidRPr="00D06097">
        <w:rPr>
          <w:rFonts w:ascii="Palatino Linotype" w:hAnsi="Palatino Linotype"/>
          <w:sz w:val="22"/>
          <w:szCs w:val="22"/>
        </w:rPr>
        <w:t xml:space="preserve">Improved epistemic conditions are essential if the kinds of evil born of bad theology </w:t>
      </w:r>
      <w:r w:rsidR="005D1AE9" w:rsidRPr="00D06097">
        <w:rPr>
          <w:rFonts w:ascii="Palatino Linotype" w:hAnsi="Palatino Linotype"/>
          <w:sz w:val="22"/>
          <w:szCs w:val="22"/>
        </w:rPr>
        <w:t xml:space="preserve">(or no theology) </w:t>
      </w:r>
      <w:r w:rsidRPr="00D06097">
        <w:rPr>
          <w:rFonts w:ascii="Palatino Linotype" w:hAnsi="Palatino Linotype"/>
          <w:sz w:val="22"/>
          <w:szCs w:val="22"/>
        </w:rPr>
        <w:t xml:space="preserve">are to be addressed. If God truly is a being of love and perfection, someone who experiences God as a being who delights in their suffering cannot </w:t>
      </w:r>
      <w:r w:rsidR="000611F0" w:rsidRPr="00D06097">
        <w:rPr>
          <w:rFonts w:ascii="Palatino Linotype" w:hAnsi="Palatino Linotype"/>
          <w:sz w:val="22"/>
          <w:szCs w:val="22"/>
        </w:rPr>
        <w:t>come to desire union with God</w:t>
      </w:r>
      <w:r w:rsidRPr="00D06097">
        <w:rPr>
          <w:rFonts w:ascii="Palatino Linotype" w:hAnsi="Palatino Linotype"/>
          <w:sz w:val="22"/>
          <w:szCs w:val="22"/>
        </w:rPr>
        <w:t xml:space="preserve"> without better information about the kind of being God </w:t>
      </w:r>
      <w:r w:rsidR="000611F0" w:rsidRPr="00D06097">
        <w:rPr>
          <w:rFonts w:ascii="Palatino Linotype" w:hAnsi="Palatino Linotype"/>
          <w:sz w:val="22"/>
          <w:szCs w:val="22"/>
        </w:rPr>
        <w:t>really</w:t>
      </w:r>
      <w:r w:rsidRPr="00D06097">
        <w:rPr>
          <w:rFonts w:ascii="Palatino Linotype" w:hAnsi="Palatino Linotype"/>
          <w:sz w:val="22"/>
          <w:szCs w:val="22"/>
        </w:rPr>
        <w:t xml:space="preserve"> is—information that is contextualized in a way not subject to pernicious theological manipulation. </w:t>
      </w:r>
      <w:r w:rsidR="005D1AE9" w:rsidRPr="00D06097">
        <w:rPr>
          <w:rFonts w:ascii="Palatino Linotype" w:hAnsi="Palatino Linotype"/>
          <w:sz w:val="22"/>
          <w:szCs w:val="22"/>
        </w:rPr>
        <w:t>But more than just better information is needed. One’s cognitive capacities must be well-positioned to take up th</w:t>
      </w:r>
      <w:r w:rsidR="000611F0" w:rsidRPr="00D06097">
        <w:rPr>
          <w:rFonts w:ascii="Palatino Linotype" w:hAnsi="Palatino Linotype"/>
          <w:sz w:val="22"/>
          <w:szCs w:val="22"/>
        </w:rPr>
        <w:t>at</w:t>
      </w:r>
      <w:r w:rsidR="005D1AE9" w:rsidRPr="00D06097">
        <w:rPr>
          <w:rFonts w:ascii="Palatino Linotype" w:hAnsi="Palatino Linotype"/>
          <w:sz w:val="22"/>
          <w:szCs w:val="22"/>
        </w:rPr>
        <w:t xml:space="preserve"> information. </w:t>
      </w:r>
      <w:r w:rsidR="000611F0" w:rsidRPr="00D06097">
        <w:rPr>
          <w:rFonts w:ascii="Palatino Linotype" w:hAnsi="Palatino Linotype"/>
          <w:sz w:val="22"/>
          <w:szCs w:val="22"/>
        </w:rPr>
        <w:t>This</w:t>
      </w:r>
      <w:r w:rsidR="005D1AE9" w:rsidRPr="00D06097">
        <w:rPr>
          <w:rFonts w:ascii="Palatino Linotype" w:hAnsi="Palatino Linotype"/>
          <w:sz w:val="22"/>
          <w:szCs w:val="22"/>
        </w:rPr>
        <w:t xml:space="preserve"> may </w:t>
      </w:r>
      <w:r w:rsidR="000611F0" w:rsidRPr="00D06097">
        <w:rPr>
          <w:rFonts w:ascii="Palatino Linotype" w:hAnsi="Palatino Linotype"/>
          <w:sz w:val="22"/>
          <w:szCs w:val="22"/>
        </w:rPr>
        <w:t xml:space="preserve">even </w:t>
      </w:r>
      <w:r w:rsidR="005D1AE9" w:rsidRPr="00D06097">
        <w:rPr>
          <w:rFonts w:ascii="Palatino Linotype" w:hAnsi="Palatino Linotype"/>
          <w:sz w:val="22"/>
          <w:szCs w:val="22"/>
        </w:rPr>
        <w:t>demand cognitive resources comparatively better than our present cognitive capacities, given the ongoing struggle our human faculties confront in reckoning with challenging but theologically significant considerations</w:t>
      </w:r>
      <w:r w:rsidR="000611F0" w:rsidRPr="00D06097">
        <w:rPr>
          <w:rFonts w:ascii="Palatino Linotype" w:hAnsi="Palatino Linotype"/>
          <w:sz w:val="22"/>
          <w:szCs w:val="22"/>
        </w:rPr>
        <w:t xml:space="preserve">. </w:t>
      </w:r>
    </w:p>
    <w:p w14:paraId="52A9AB41" w14:textId="77777777" w:rsidR="00C71857" w:rsidRPr="00D06097" w:rsidRDefault="000611F0" w:rsidP="0035468E">
      <w:pPr>
        <w:pStyle w:val="FootnoteText"/>
        <w:spacing w:after="240" w:line="276" w:lineRule="auto"/>
        <w:rPr>
          <w:rFonts w:ascii="Palatino Linotype" w:hAnsi="Palatino Linotype"/>
          <w:sz w:val="22"/>
          <w:szCs w:val="22"/>
        </w:rPr>
      </w:pPr>
      <w:r w:rsidRPr="00D06097">
        <w:rPr>
          <w:rFonts w:ascii="Palatino Linotype" w:hAnsi="Palatino Linotype"/>
          <w:sz w:val="22"/>
          <w:szCs w:val="22"/>
        </w:rPr>
        <w:t xml:space="preserve">Preservation of certain kinds of divine distance are essential if the spirit world is to be </w:t>
      </w:r>
      <w:r w:rsidR="00D22A1D" w:rsidRPr="00D06097">
        <w:rPr>
          <w:rFonts w:ascii="Palatino Linotype" w:hAnsi="Palatino Linotype"/>
          <w:sz w:val="22"/>
          <w:szCs w:val="22"/>
        </w:rPr>
        <w:t xml:space="preserve">therapeutic. </w:t>
      </w:r>
      <w:r w:rsidR="00D22A1D" w:rsidRPr="00D06097">
        <w:rPr>
          <w:rFonts w:ascii="Palatino Linotype" w:eastAsia="Times New Roman" w:hAnsi="Palatino Linotype" w:cs="Times New Roman"/>
          <w:sz w:val="22"/>
          <w:szCs w:val="22"/>
        </w:rPr>
        <w:t>God cannot reconcile with an individual who is hostile to union with him, so long as they resent God. It seems to us that what God can do to help the individual</w:t>
      </w:r>
      <w:r w:rsidR="00D22A1D" w:rsidRPr="00D06097">
        <w:rPr>
          <w:rFonts w:ascii="Palatino Linotype" w:eastAsia="Times New Roman" w:hAnsi="Palatino Linotype" w:cs="Times New Roman"/>
        </w:rPr>
        <w:t xml:space="preserve"> </w:t>
      </w:r>
      <w:r w:rsidR="00D22A1D" w:rsidRPr="00D06097">
        <w:rPr>
          <w:rFonts w:ascii="Palatino Linotype" w:eastAsia="Times New Roman" w:hAnsi="Palatino Linotype" w:cs="Times New Roman"/>
          <w:sz w:val="22"/>
          <w:szCs w:val="22"/>
        </w:rPr>
        <w:t xml:space="preserve">come to see God </w:t>
      </w:r>
      <w:r w:rsidR="00D22A1D" w:rsidRPr="00D06097">
        <w:rPr>
          <w:rFonts w:ascii="Palatino Linotype" w:eastAsia="Times New Roman" w:hAnsi="Palatino Linotype" w:cs="Times New Roman"/>
          <w:sz w:val="22"/>
          <w:szCs w:val="22"/>
        </w:rPr>
        <w:lastRenderedPageBreak/>
        <w:t xml:space="preserve">as good (and thereby desire union with him) rather than an </w:t>
      </w:r>
      <w:r w:rsidR="00D22A1D" w:rsidRPr="00D06097">
        <w:rPr>
          <w:rFonts w:ascii="Palatino Linotype" w:hAnsi="Palatino Linotype"/>
          <w:sz w:val="22"/>
          <w:szCs w:val="22"/>
          <w:shd w:val="clear" w:color="auto" w:fill="FFFFFF"/>
        </w:rPr>
        <w:t xml:space="preserve">appropriate object of resentment is to not force that individual into his presence. </w:t>
      </w:r>
      <w:r w:rsidR="008541ED" w:rsidRPr="00D06097">
        <w:rPr>
          <w:rFonts w:ascii="Palatino Linotype" w:hAnsi="Palatino Linotype"/>
          <w:sz w:val="22"/>
          <w:szCs w:val="22"/>
          <w:shd w:val="clear" w:color="auto" w:fill="FFFFFF"/>
        </w:rPr>
        <w:t>By</w:t>
      </w:r>
      <w:r w:rsidR="00D22A1D" w:rsidRPr="00D06097">
        <w:rPr>
          <w:rFonts w:ascii="Palatino Linotype" w:hAnsi="Palatino Linotype"/>
          <w:sz w:val="22"/>
          <w:szCs w:val="22"/>
          <w:shd w:val="clear" w:color="auto" w:fill="FFFFFF"/>
        </w:rPr>
        <w:t xml:space="preserve"> sending that individual to a place where certain distance is preserved</w:t>
      </w:r>
      <w:r w:rsidR="008541ED" w:rsidRPr="00D06097">
        <w:rPr>
          <w:rFonts w:ascii="Palatino Linotype" w:hAnsi="Palatino Linotype"/>
          <w:sz w:val="22"/>
          <w:szCs w:val="22"/>
          <w:shd w:val="clear" w:color="auto" w:fill="FFFFFF"/>
        </w:rPr>
        <w:t>, God</w:t>
      </w:r>
      <w:r w:rsidR="00D22A1D" w:rsidRPr="00D06097">
        <w:rPr>
          <w:rFonts w:ascii="Palatino Linotype" w:hAnsi="Palatino Linotype"/>
          <w:sz w:val="22"/>
          <w:szCs w:val="22"/>
          <w:shd w:val="clear" w:color="auto" w:fill="FFFFFF"/>
        </w:rPr>
        <w:t xml:space="preserve"> demonstrates his sensitivity</w:t>
      </w:r>
      <w:r w:rsidR="00D22A1D" w:rsidRPr="00D06097">
        <w:rPr>
          <w:rFonts w:ascii="Palatino Linotype" w:hAnsi="Palatino Linotype"/>
          <w:shd w:val="clear" w:color="auto" w:fill="FFFFFF"/>
        </w:rPr>
        <w:t xml:space="preserve"> </w:t>
      </w:r>
      <w:r w:rsidR="00D22A1D" w:rsidRPr="00D06097">
        <w:rPr>
          <w:rFonts w:ascii="Palatino Linotype" w:hAnsi="Palatino Linotype"/>
          <w:sz w:val="22"/>
          <w:szCs w:val="22"/>
          <w:shd w:val="clear" w:color="auto" w:fill="FFFFFF"/>
        </w:rPr>
        <w:t xml:space="preserve">to their </w:t>
      </w:r>
      <w:r w:rsidR="008541ED" w:rsidRPr="00D06097">
        <w:rPr>
          <w:rFonts w:ascii="Palatino Linotype" w:hAnsi="Palatino Linotype"/>
          <w:sz w:val="22"/>
          <w:szCs w:val="22"/>
          <w:shd w:val="clear" w:color="auto" w:fill="FFFFFF"/>
        </w:rPr>
        <w:t>preferences, and thereby engenders a kind of goodness to them</w:t>
      </w:r>
      <w:r w:rsidR="00D22A1D" w:rsidRPr="00D06097">
        <w:rPr>
          <w:rFonts w:ascii="Palatino Linotype" w:hAnsi="Palatino Linotype"/>
          <w:sz w:val="22"/>
          <w:szCs w:val="22"/>
          <w:shd w:val="clear" w:color="auto" w:fill="FFFFFF"/>
        </w:rPr>
        <w:t xml:space="preserve">. </w:t>
      </w:r>
    </w:p>
    <w:p w14:paraId="521BBEC5" w14:textId="77777777" w:rsidR="006E0EFE" w:rsidRPr="00D06097" w:rsidRDefault="0035468E" w:rsidP="00FE7154">
      <w:pPr>
        <w:pStyle w:val="FootnoteText"/>
        <w:spacing w:after="240" w:line="276" w:lineRule="auto"/>
        <w:rPr>
          <w:rFonts w:ascii="Palatino Linotype" w:hAnsi="Palatino Linotype"/>
          <w:sz w:val="22"/>
          <w:szCs w:val="22"/>
        </w:rPr>
      </w:pPr>
      <w:r w:rsidRPr="00D06097">
        <w:rPr>
          <w:rFonts w:ascii="Palatino Linotype" w:hAnsi="Palatino Linotype"/>
          <w:sz w:val="22"/>
          <w:szCs w:val="22"/>
        </w:rPr>
        <w:t xml:space="preserve">Access to the past and present unfolding of history is essential if </w:t>
      </w:r>
      <w:r w:rsidR="006E0EFE" w:rsidRPr="00D06097">
        <w:rPr>
          <w:rFonts w:ascii="Palatino Linotype" w:hAnsi="Palatino Linotype"/>
          <w:sz w:val="22"/>
          <w:szCs w:val="22"/>
        </w:rPr>
        <w:t xml:space="preserve">spirits are to be able to change preferences in light of the reasons why God permitted the relevant kinds of evil and suffering in the first place. Suppose God permitted a horror because it was essential to realizing the material origins of a soul God preferred to exist. By confronting their suffering in a context of what God values and how that constrains God’s policy of intervention, spirits </w:t>
      </w:r>
      <w:r w:rsidR="00645D8B" w:rsidRPr="00D06097">
        <w:rPr>
          <w:rFonts w:ascii="Palatino Linotype" w:hAnsi="Palatino Linotype"/>
          <w:sz w:val="22"/>
          <w:szCs w:val="22"/>
        </w:rPr>
        <w:t xml:space="preserve">come to see their relationship with God, not merely in light of the scope of God’s plan for them, but in the light of the global scope of God’s relationship with humanity. </w:t>
      </w:r>
    </w:p>
    <w:p w14:paraId="0D726376" w14:textId="77777777" w:rsidR="00FE7154" w:rsidRPr="00D06097" w:rsidRDefault="00E9364A" w:rsidP="00FE7154">
      <w:pPr>
        <w:pStyle w:val="FootnoteText"/>
        <w:spacing w:after="240" w:line="276" w:lineRule="auto"/>
        <w:rPr>
          <w:rFonts w:ascii="Palatino Linotype" w:hAnsi="Palatino Linotype"/>
          <w:sz w:val="22"/>
          <w:szCs w:val="22"/>
        </w:rPr>
      </w:pPr>
      <w:r w:rsidRPr="00D06097">
        <w:rPr>
          <w:rFonts w:ascii="Palatino Linotype" w:hAnsi="Palatino Linotype"/>
          <w:sz w:val="22"/>
          <w:szCs w:val="22"/>
        </w:rPr>
        <w:t>Not only do these conditions seem essential for the prospects of eschatological preference shifts, but they also seem to simultaneously generate fertile grounds for making meaning out of the kinds of evil and suffering spirits undergo while embodied. By having significantly improved epistemic resources—including information about the past and present unfolding of history—</w:t>
      </w:r>
      <w:r w:rsidR="00673970" w:rsidRPr="00D06097">
        <w:rPr>
          <w:rFonts w:ascii="Palatino Linotype" w:hAnsi="Palatino Linotype"/>
          <w:sz w:val="22"/>
          <w:szCs w:val="22"/>
        </w:rPr>
        <w:t>one can take a novel view of the significance of the events of one’s life and how that relates to God’s broader soul-making aims with humanity.</w:t>
      </w:r>
      <w:r w:rsidR="00673970" w:rsidRPr="00D06097">
        <w:rPr>
          <w:rStyle w:val="FootnoteReference"/>
          <w:rFonts w:ascii="Palatino Linotype" w:hAnsi="Palatino Linotype"/>
          <w:sz w:val="22"/>
          <w:szCs w:val="22"/>
        </w:rPr>
        <w:footnoteReference w:id="27"/>
      </w:r>
      <w:r w:rsidR="00673970" w:rsidRPr="00D06097">
        <w:rPr>
          <w:rFonts w:ascii="Palatino Linotype" w:hAnsi="Palatino Linotype"/>
          <w:sz w:val="22"/>
          <w:szCs w:val="22"/>
        </w:rPr>
        <w:t xml:space="preserve"> </w:t>
      </w:r>
    </w:p>
    <w:p w14:paraId="785E5BD0" w14:textId="77777777" w:rsidR="00FE7154" w:rsidRPr="00D06097" w:rsidRDefault="00FE7154" w:rsidP="00FE7154">
      <w:pPr>
        <w:pStyle w:val="FootnoteText"/>
        <w:spacing w:after="240" w:line="276" w:lineRule="auto"/>
        <w:rPr>
          <w:rFonts w:ascii="Palatino Linotype" w:hAnsi="Palatino Linotype"/>
          <w:sz w:val="22"/>
          <w:szCs w:val="22"/>
        </w:rPr>
      </w:pPr>
      <w:r w:rsidRPr="00D06097">
        <w:rPr>
          <w:rFonts w:ascii="Palatino Linotype" w:hAnsi="Palatino Linotype"/>
          <w:sz w:val="22"/>
          <w:szCs w:val="22"/>
        </w:rPr>
        <w:t xml:space="preserve">So, how confident can </w:t>
      </w:r>
      <w:r w:rsidR="00781DF8" w:rsidRPr="00D06097">
        <w:rPr>
          <w:rFonts w:ascii="Palatino Linotype" w:hAnsi="Palatino Linotype"/>
          <w:sz w:val="22"/>
          <w:szCs w:val="22"/>
        </w:rPr>
        <w:t>Latter-day</w:t>
      </w:r>
      <w:r w:rsidRPr="00D06097">
        <w:rPr>
          <w:rFonts w:ascii="Palatino Linotype" w:hAnsi="Palatino Linotype"/>
          <w:sz w:val="22"/>
          <w:szCs w:val="22"/>
        </w:rPr>
        <w:t xml:space="preserve"> Saints be that life in the spirit world meets these conditions? Quite Confident. Below we present some motivations. </w:t>
      </w:r>
    </w:p>
    <w:p w14:paraId="56F5325F" w14:textId="77777777" w:rsidR="00FE7154" w:rsidRPr="00D06097" w:rsidRDefault="00FE7154" w:rsidP="00FE7154">
      <w:pPr>
        <w:pStyle w:val="FootnoteText"/>
        <w:numPr>
          <w:ilvl w:val="1"/>
          <w:numId w:val="2"/>
        </w:numPr>
        <w:spacing w:after="240" w:line="276" w:lineRule="auto"/>
        <w:rPr>
          <w:rFonts w:ascii="Palatino Linotype" w:hAnsi="Palatino Linotype"/>
          <w:i/>
          <w:iCs/>
          <w:sz w:val="22"/>
          <w:szCs w:val="22"/>
        </w:rPr>
      </w:pPr>
      <w:r w:rsidRPr="00D06097">
        <w:rPr>
          <w:rFonts w:ascii="Palatino Linotype" w:hAnsi="Palatino Linotype"/>
          <w:i/>
          <w:iCs/>
          <w:sz w:val="22"/>
          <w:szCs w:val="22"/>
        </w:rPr>
        <w:t>Improved epistemic conditions</w:t>
      </w:r>
    </w:p>
    <w:p w14:paraId="179A5170" w14:textId="77777777" w:rsidR="00FE7154" w:rsidRPr="00D06097" w:rsidRDefault="00FE7154" w:rsidP="00FE7154">
      <w:pPr>
        <w:pStyle w:val="FootnoteText"/>
        <w:spacing w:after="240" w:line="276" w:lineRule="auto"/>
        <w:rPr>
          <w:rFonts w:ascii="Palatino Linotype" w:hAnsi="Palatino Linotype"/>
          <w:sz w:val="22"/>
          <w:szCs w:val="22"/>
        </w:rPr>
      </w:pPr>
      <w:r w:rsidRPr="00D06097">
        <w:rPr>
          <w:rFonts w:ascii="Palatino Linotype" w:hAnsi="Palatino Linotype"/>
          <w:sz w:val="22"/>
          <w:szCs w:val="22"/>
        </w:rPr>
        <w:t>Talk of “carry[</w:t>
      </w:r>
      <w:proofErr w:type="spellStart"/>
      <w:r w:rsidRPr="00D06097">
        <w:rPr>
          <w:rFonts w:ascii="Palatino Linotype" w:hAnsi="Palatino Linotype"/>
          <w:sz w:val="22"/>
          <w:szCs w:val="22"/>
        </w:rPr>
        <w:t>ing</w:t>
      </w:r>
      <w:proofErr w:type="spellEnd"/>
      <w:r w:rsidRPr="00D06097">
        <w:rPr>
          <w:rFonts w:ascii="Palatino Linotype" w:hAnsi="Palatino Linotype"/>
          <w:sz w:val="22"/>
          <w:szCs w:val="22"/>
        </w:rPr>
        <w:t>] the light of the gospel to them that were in darkness,” and ”proclaim[</w:t>
      </w:r>
      <w:proofErr w:type="spellStart"/>
      <w:r w:rsidRPr="00D06097">
        <w:rPr>
          <w:rFonts w:ascii="Palatino Linotype" w:hAnsi="Palatino Linotype"/>
          <w:sz w:val="22"/>
          <w:szCs w:val="22"/>
        </w:rPr>
        <w:t>ing</w:t>
      </w:r>
      <w:proofErr w:type="spellEnd"/>
      <w:r w:rsidRPr="00D06097">
        <w:rPr>
          <w:rFonts w:ascii="Palatino Linotype" w:hAnsi="Palatino Linotype"/>
          <w:sz w:val="22"/>
          <w:szCs w:val="22"/>
        </w:rPr>
        <w:t>] </w:t>
      </w:r>
      <w:hyperlink r:id="rId20" w:anchor="note31b" w:history="1">
        <w:r w:rsidRPr="00D06097">
          <w:rPr>
            <w:rStyle w:val="Hyperlink"/>
            <w:rFonts w:ascii="Palatino Linotype" w:hAnsi="Palatino Linotype"/>
            <w:color w:val="auto"/>
            <w:sz w:val="22"/>
            <w:szCs w:val="22"/>
            <w:u w:val="none"/>
          </w:rPr>
          <w:t>liberty</w:t>
        </w:r>
      </w:hyperlink>
      <w:r w:rsidRPr="00D06097">
        <w:rPr>
          <w:rFonts w:ascii="Palatino Linotype" w:hAnsi="Palatino Linotype"/>
          <w:sz w:val="22"/>
          <w:szCs w:val="22"/>
        </w:rPr>
        <w:t> to the captives who were bound” as mentioned previously in D&amp;C 138 clearly signal improved epistemic conditions. This language draws strongly on language that Joseph Smith frequently used to designate poor informational conditions. For example, Joseph Smith says in an often-quoted sermon:</w:t>
      </w:r>
    </w:p>
    <w:p w14:paraId="1632F0E2" w14:textId="77777777" w:rsidR="00FE7154" w:rsidRPr="00D06097" w:rsidRDefault="00FE7154" w:rsidP="00FE7154">
      <w:pPr>
        <w:pStyle w:val="FootnoteText"/>
        <w:spacing w:after="240" w:line="276" w:lineRule="auto"/>
        <w:ind w:left="720" w:firstLine="0"/>
        <w:rPr>
          <w:rFonts w:ascii="Palatino Linotype" w:hAnsi="Palatino Linotype"/>
          <w:sz w:val="22"/>
          <w:szCs w:val="22"/>
        </w:rPr>
      </w:pPr>
      <w:r w:rsidRPr="00D06097">
        <w:rPr>
          <w:rFonts w:ascii="Palatino Linotype" w:hAnsi="Palatino Linotype"/>
          <w:sz w:val="22"/>
          <w:szCs w:val="22"/>
        </w:rPr>
        <w:t>“a man is saved no faster than he gets knowledge, for if he does not get knowledge, he will be brought into captivity…”</w:t>
      </w:r>
      <w:r w:rsidRPr="00D06097">
        <w:rPr>
          <w:rStyle w:val="FootnoteReference"/>
          <w:rFonts w:ascii="Palatino Linotype" w:hAnsi="Palatino Linotype"/>
          <w:sz w:val="22"/>
          <w:szCs w:val="22"/>
        </w:rPr>
        <w:footnoteReference w:id="28"/>
      </w:r>
    </w:p>
    <w:p w14:paraId="3B4FD49C" w14:textId="77777777" w:rsidR="00FE7154" w:rsidRPr="00D06097" w:rsidRDefault="00FE7154" w:rsidP="00FE7154">
      <w:pPr>
        <w:pStyle w:val="FootnoteText"/>
        <w:spacing w:after="240" w:line="276" w:lineRule="auto"/>
        <w:ind w:firstLine="0"/>
        <w:rPr>
          <w:rFonts w:ascii="Palatino Linotype" w:hAnsi="Palatino Linotype"/>
          <w:sz w:val="22"/>
          <w:szCs w:val="22"/>
        </w:rPr>
      </w:pPr>
      <w:r w:rsidRPr="00D06097">
        <w:rPr>
          <w:rFonts w:ascii="Palatino Linotype" w:hAnsi="Palatino Linotype"/>
          <w:sz w:val="22"/>
          <w:szCs w:val="22"/>
        </w:rPr>
        <w:lastRenderedPageBreak/>
        <w:t>Not only is the availability of information relevant to prospects for spiritual rehabilitation improved, so are spirit’s capacities to uptake that information. Consider the following representative claims from Brigham Young and Orson Pratt:</w:t>
      </w:r>
    </w:p>
    <w:p w14:paraId="009C3B98" w14:textId="77777777" w:rsidR="00FE7154" w:rsidRPr="00D06097" w:rsidRDefault="00FE7154" w:rsidP="00FE7154">
      <w:pPr>
        <w:pStyle w:val="FootnoteText"/>
        <w:spacing w:after="240" w:line="276" w:lineRule="auto"/>
        <w:ind w:left="720" w:firstLine="0"/>
        <w:rPr>
          <w:rFonts w:ascii="Palatino Linotype" w:hAnsi="Palatino Linotype"/>
          <w:sz w:val="22"/>
          <w:szCs w:val="22"/>
        </w:rPr>
      </w:pPr>
      <w:r w:rsidRPr="00D06097">
        <w:rPr>
          <w:rFonts w:ascii="Palatino Linotype" w:hAnsi="Palatino Linotype"/>
          <w:sz w:val="22"/>
          <w:szCs w:val="22"/>
        </w:rPr>
        <w:t>“I shall not cease learning while I live, nor when I arrive in the spirit world; but shall there learn with greater facility.</w:t>
      </w:r>
      <w:r w:rsidRPr="00D06097">
        <w:rPr>
          <w:rStyle w:val="FootnoteReference"/>
          <w:rFonts w:ascii="Palatino Linotype" w:hAnsi="Palatino Linotype"/>
          <w:sz w:val="22"/>
          <w:szCs w:val="22"/>
        </w:rPr>
        <w:footnoteReference w:id="29"/>
      </w:r>
      <w:r w:rsidRPr="00D06097">
        <w:rPr>
          <w:rFonts w:ascii="Palatino Linotype" w:hAnsi="Palatino Linotype"/>
          <w:sz w:val="22"/>
          <w:szCs w:val="22"/>
        </w:rPr>
        <w:t xml:space="preserve"> </w:t>
      </w:r>
    </w:p>
    <w:p w14:paraId="04A6DE4F" w14:textId="77777777" w:rsidR="00FE7154" w:rsidRPr="00D06097" w:rsidRDefault="00FE7154" w:rsidP="00FE7154">
      <w:pPr>
        <w:pStyle w:val="FootnoteText"/>
        <w:spacing w:after="240" w:line="276" w:lineRule="auto"/>
        <w:ind w:left="720" w:firstLine="0"/>
        <w:rPr>
          <w:rFonts w:ascii="Palatino Linotype" w:hAnsi="Palatino Linotype"/>
          <w:sz w:val="22"/>
          <w:szCs w:val="22"/>
        </w:rPr>
      </w:pPr>
      <w:r w:rsidRPr="00D06097">
        <w:rPr>
          <w:rFonts w:ascii="Palatino Linotype" w:hAnsi="Palatino Linotype"/>
          <w:sz w:val="22"/>
          <w:szCs w:val="22"/>
        </w:rPr>
        <w:t>“…we shall be freed, in the next world, in a great measure, from these narrow, contracted methods of thinking. … truth, knowledge will rush in from all quarters; it will come in like the light which flows from the sun, penetrating every part, informing the spirit, and giving understanding concerning ten thousand things at the same time; and the mind will be capable of receiving and retaining all.”</w:t>
      </w:r>
      <w:r w:rsidRPr="00D06097">
        <w:rPr>
          <w:rStyle w:val="FootnoteReference"/>
          <w:rFonts w:ascii="Palatino Linotype" w:hAnsi="Palatino Linotype"/>
          <w:sz w:val="22"/>
          <w:szCs w:val="22"/>
        </w:rPr>
        <w:footnoteReference w:id="30"/>
      </w:r>
    </w:p>
    <w:p w14:paraId="10AB36FF" w14:textId="77777777" w:rsidR="00FE7154" w:rsidRPr="00D06097" w:rsidRDefault="00FE7154" w:rsidP="00FE7154">
      <w:pPr>
        <w:pStyle w:val="FootnoteText"/>
        <w:numPr>
          <w:ilvl w:val="1"/>
          <w:numId w:val="2"/>
        </w:numPr>
        <w:spacing w:after="240" w:line="276" w:lineRule="auto"/>
        <w:rPr>
          <w:rFonts w:ascii="Palatino Linotype" w:hAnsi="Palatino Linotype"/>
          <w:i/>
          <w:iCs/>
          <w:sz w:val="22"/>
          <w:szCs w:val="22"/>
        </w:rPr>
      </w:pPr>
      <w:r w:rsidRPr="00D06097">
        <w:rPr>
          <w:rFonts w:ascii="Palatino Linotype" w:hAnsi="Palatino Linotype"/>
          <w:i/>
          <w:iCs/>
          <w:sz w:val="22"/>
          <w:szCs w:val="22"/>
        </w:rPr>
        <w:t>Preservation of certain (crucial) kinds of divine distance</w:t>
      </w:r>
    </w:p>
    <w:p w14:paraId="13699FC0" w14:textId="77777777" w:rsidR="008A6713" w:rsidRPr="00D06097" w:rsidRDefault="00781DF8" w:rsidP="008A6713">
      <w:pPr>
        <w:pStyle w:val="FootnoteText"/>
        <w:spacing w:after="240" w:line="276" w:lineRule="auto"/>
        <w:rPr>
          <w:rFonts w:ascii="Palatino Linotype" w:hAnsi="Palatino Linotype"/>
          <w:sz w:val="22"/>
          <w:szCs w:val="22"/>
        </w:rPr>
      </w:pPr>
      <w:r w:rsidRPr="00D06097">
        <w:rPr>
          <w:rFonts w:ascii="Palatino Linotype" w:hAnsi="Palatino Linotype"/>
          <w:sz w:val="22"/>
          <w:szCs w:val="22"/>
        </w:rPr>
        <w:t>Latter-day</w:t>
      </w:r>
      <w:r w:rsidR="008A6713" w:rsidRPr="00D06097">
        <w:rPr>
          <w:rFonts w:ascii="Palatino Linotype" w:hAnsi="Palatino Linotype"/>
          <w:sz w:val="22"/>
          <w:szCs w:val="22"/>
        </w:rPr>
        <w:t xml:space="preserve"> Saint scripture makes it clear that when Christ visits the spirit world, he does </w:t>
      </w:r>
      <w:r w:rsidR="008A6713" w:rsidRPr="00D06097">
        <w:rPr>
          <w:rFonts w:ascii="Palatino Linotype" w:hAnsi="Palatino Linotype"/>
          <w:i/>
          <w:iCs/>
          <w:sz w:val="22"/>
          <w:szCs w:val="22"/>
        </w:rPr>
        <w:t>not</w:t>
      </w:r>
      <w:r w:rsidR="008A6713" w:rsidRPr="00D06097">
        <w:rPr>
          <w:rFonts w:ascii="Palatino Linotype" w:hAnsi="Palatino Linotype"/>
          <w:sz w:val="22"/>
          <w:szCs w:val="22"/>
        </w:rPr>
        <w:t xml:space="preserve"> personally minister to those disunited with him, on account of their disunity, but instead ministers indirectly through servants deputized to do so on Christ’s behalf. </w:t>
      </w:r>
    </w:p>
    <w:p w14:paraId="56224B6B" w14:textId="77777777" w:rsidR="008A6713" w:rsidRPr="00D06097" w:rsidRDefault="008A6713" w:rsidP="008A6713">
      <w:pPr>
        <w:pStyle w:val="FootnoteText"/>
        <w:spacing w:after="240" w:line="276" w:lineRule="auto"/>
        <w:ind w:left="360" w:firstLine="0"/>
        <w:rPr>
          <w:rFonts w:ascii="Palatino Linotype" w:hAnsi="Palatino Linotype"/>
          <w:sz w:val="22"/>
          <w:szCs w:val="22"/>
        </w:rPr>
      </w:pPr>
      <w:r w:rsidRPr="00D06097">
        <w:rPr>
          <w:rFonts w:ascii="Palatino Linotype" w:hAnsi="Palatino Linotype"/>
          <w:b/>
          <w:bCs/>
          <w:sz w:val="22"/>
          <w:szCs w:val="22"/>
        </w:rPr>
        <w:t>D&amp;C 138:37</w:t>
      </w:r>
      <w:r w:rsidRPr="00D06097">
        <w:rPr>
          <w:rFonts w:ascii="Palatino Linotype" w:hAnsi="Palatino Linotype"/>
          <w:sz w:val="22"/>
          <w:szCs w:val="22"/>
        </w:rPr>
        <w:t xml:space="preserve"> “That they might carry the message of redemption unto all the dead, unto whom </w:t>
      </w:r>
      <w:r w:rsidR="00AA12A9" w:rsidRPr="00D06097">
        <w:rPr>
          <w:rFonts w:ascii="Palatino Linotype" w:hAnsi="Palatino Linotype"/>
          <w:sz w:val="22"/>
          <w:szCs w:val="22"/>
        </w:rPr>
        <w:t>[Christ]</w:t>
      </w:r>
      <w:r w:rsidRPr="00D06097">
        <w:rPr>
          <w:rFonts w:ascii="Palatino Linotype" w:hAnsi="Palatino Linotype"/>
          <w:sz w:val="22"/>
          <w:szCs w:val="22"/>
        </w:rPr>
        <w:t xml:space="preserve"> could not go personally </w:t>
      </w:r>
      <w:proofErr w:type="gramStart"/>
      <w:r w:rsidRPr="00D06097">
        <w:rPr>
          <w:rFonts w:ascii="Palatino Linotype" w:hAnsi="Palatino Linotype"/>
          <w:sz w:val="22"/>
          <w:szCs w:val="22"/>
        </w:rPr>
        <w:t>. . . ”</w:t>
      </w:r>
      <w:proofErr w:type="gramEnd"/>
    </w:p>
    <w:p w14:paraId="7CB41C85" w14:textId="77777777" w:rsidR="00FE7154" w:rsidRPr="00D06097" w:rsidRDefault="00FE7154" w:rsidP="00FE7154">
      <w:pPr>
        <w:pStyle w:val="FootnoteText"/>
        <w:numPr>
          <w:ilvl w:val="1"/>
          <w:numId w:val="2"/>
        </w:numPr>
        <w:spacing w:after="240" w:line="276" w:lineRule="auto"/>
        <w:rPr>
          <w:rFonts w:ascii="Palatino Linotype" w:hAnsi="Palatino Linotype"/>
          <w:i/>
          <w:iCs/>
          <w:sz w:val="22"/>
          <w:szCs w:val="22"/>
        </w:rPr>
      </w:pPr>
      <w:r w:rsidRPr="00D06097">
        <w:rPr>
          <w:rFonts w:ascii="Palatino Linotype" w:hAnsi="Palatino Linotype"/>
          <w:i/>
          <w:iCs/>
          <w:sz w:val="22"/>
          <w:szCs w:val="22"/>
        </w:rPr>
        <w:t>Access to the past and present unfolding of history</w:t>
      </w:r>
    </w:p>
    <w:p w14:paraId="24B705C4" w14:textId="77777777" w:rsidR="005E5F1E" w:rsidRPr="00D06097" w:rsidRDefault="005E5F1E" w:rsidP="00FE7154">
      <w:pPr>
        <w:pStyle w:val="FootnoteText"/>
        <w:spacing w:after="240" w:line="276" w:lineRule="auto"/>
        <w:ind w:firstLine="0"/>
        <w:rPr>
          <w:rFonts w:ascii="Palatino Linotype" w:hAnsi="Palatino Linotype"/>
          <w:sz w:val="22"/>
          <w:szCs w:val="22"/>
        </w:rPr>
      </w:pPr>
      <w:r w:rsidRPr="00D06097">
        <w:rPr>
          <w:rFonts w:ascii="Palatino Linotype" w:hAnsi="Palatino Linotype"/>
          <w:sz w:val="22"/>
          <w:szCs w:val="22"/>
        </w:rPr>
        <w:t xml:space="preserve">In remarks featured in an official church </w:t>
      </w:r>
      <w:r w:rsidR="00AA12A9" w:rsidRPr="00D06097">
        <w:rPr>
          <w:rFonts w:ascii="Palatino Linotype" w:hAnsi="Palatino Linotype"/>
          <w:sz w:val="22"/>
          <w:szCs w:val="22"/>
        </w:rPr>
        <w:t xml:space="preserve">instruction </w:t>
      </w:r>
      <w:r w:rsidRPr="00D06097">
        <w:rPr>
          <w:rFonts w:ascii="Palatino Linotype" w:hAnsi="Palatino Linotype"/>
          <w:sz w:val="22"/>
          <w:szCs w:val="22"/>
        </w:rPr>
        <w:t>manual, Brigham Young states:</w:t>
      </w:r>
    </w:p>
    <w:p w14:paraId="1C64F5F7" w14:textId="77777777" w:rsidR="00FE7154" w:rsidRPr="00D06097" w:rsidRDefault="005E5F1E" w:rsidP="004B3057">
      <w:pPr>
        <w:pStyle w:val="FootnoteText"/>
        <w:spacing w:after="240" w:line="276" w:lineRule="auto"/>
        <w:ind w:left="360" w:firstLine="0"/>
        <w:rPr>
          <w:rFonts w:ascii="Palatino Linotype" w:hAnsi="Palatino Linotype"/>
          <w:sz w:val="22"/>
          <w:szCs w:val="22"/>
        </w:rPr>
      </w:pPr>
      <w:r w:rsidRPr="00D06097">
        <w:rPr>
          <w:rFonts w:ascii="Palatino Linotype" w:hAnsi="Palatino Linotype"/>
          <w:sz w:val="22"/>
          <w:szCs w:val="22"/>
        </w:rPr>
        <w:t>“[Those in the spirit world] move with ease and like lightning</w:t>
      </w:r>
      <w:proofErr w:type="gramStart"/>
      <w:r w:rsidRPr="00D06097">
        <w:rPr>
          <w:rFonts w:ascii="Palatino Linotype" w:hAnsi="Palatino Linotype"/>
          <w:sz w:val="22"/>
          <w:szCs w:val="22"/>
        </w:rPr>
        <w:t>. . . .</w:t>
      </w:r>
      <w:proofErr w:type="gramEnd"/>
      <w:r w:rsidRPr="00D06097">
        <w:rPr>
          <w:rFonts w:ascii="Palatino Linotype" w:hAnsi="Palatino Linotype"/>
          <w:sz w:val="22"/>
          <w:szCs w:val="22"/>
        </w:rPr>
        <w:t xml:space="preserve"> If we want to behold Jerusalem as it was in the days of the Savior; or if we want to see the Garden of Eden as it was when created, there we are, and we see it as it existed spiritually, for it was created first spiritually and then temporally, and spiritually it still remains. And when there we may behold the earth as at the dawn of creation, or we may visit any city we please that exists upon its surface. If we wish to understand how they are living here on these western islands, or in China, we are there; in fact, we are like the light of the morning </w:t>
      </w:r>
      <w:proofErr w:type="gramStart"/>
      <w:r w:rsidRPr="00D06097">
        <w:rPr>
          <w:rFonts w:ascii="Palatino Linotype" w:hAnsi="Palatino Linotype"/>
          <w:sz w:val="22"/>
          <w:szCs w:val="22"/>
        </w:rPr>
        <w:t>. . . .</w:t>
      </w:r>
      <w:proofErr w:type="gramEnd"/>
      <w:r w:rsidRPr="00D06097">
        <w:rPr>
          <w:rFonts w:ascii="Palatino Linotype" w:hAnsi="Palatino Linotype"/>
          <w:sz w:val="22"/>
          <w:szCs w:val="22"/>
        </w:rPr>
        <w:t xml:space="preserve"> When we pass into the spirit world, we shall possess a measure of this power.”</w:t>
      </w:r>
      <w:r w:rsidRPr="00D06097">
        <w:rPr>
          <w:rStyle w:val="FootnoteReference"/>
          <w:rFonts w:ascii="Palatino Linotype" w:hAnsi="Palatino Linotype"/>
          <w:sz w:val="22"/>
          <w:szCs w:val="22"/>
        </w:rPr>
        <w:footnoteReference w:id="31"/>
      </w:r>
      <w:r w:rsidRPr="00D06097">
        <w:rPr>
          <w:rFonts w:ascii="Palatino Linotype" w:hAnsi="Palatino Linotype"/>
          <w:sz w:val="22"/>
          <w:szCs w:val="22"/>
        </w:rPr>
        <w:t xml:space="preserve"> </w:t>
      </w:r>
    </w:p>
    <w:p w14:paraId="683CBC53" w14:textId="77777777" w:rsidR="002402A5" w:rsidRPr="00D06097" w:rsidRDefault="00E9364A" w:rsidP="002402A5">
      <w:pPr>
        <w:pStyle w:val="FootnoteText"/>
        <w:spacing w:line="276" w:lineRule="auto"/>
        <w:ind w:firstLine="0"/>
        <w:rPr>
          <w:rFonts w:ascii="Palatino Linotype" w:hAnsi="Palatino Linotype"/>
          <w:sz w:val="22"/>
          <w:szCs w:val="22"/>
        </w:rPr>
      </w:pPr>
      <w:r w:rsidRPr="00D06097">
        <w:rPr>
          <w:rFonts w:ascii="Palatino Linotype" w:hAnsi="Palatino Linotype"/>
          <w:sz w:val="22"/>
          <w:szCs w:val="22"/>
        </w:rPr>
        <w:lastRenderedPageBreak/>
        <w:t>Since various central aspects of soul-</w:t>
      </w:r>
      <w:r w:rsidR="00FE7154" w:rsidRPr="00D06097">
        <w:rPr>
          <w:rFonts w:ascii="Palatino Linotype" w:hAnsi="Palatino Linotype"/>
          <w:sz w:val="22"/>
          <w:szCs w:val="22"/>
        </w:rPr>
        <w:t>making</w:t>
      </w:r>
      <w:r w:rsidRPr="00D06097">
        <w:rPr>
          <w:rFonts w:ascii="Palatino Linotype" w:hAnsi="Palatino Linotype"/>
          <w:sz w:val="22"/>
          <w:szCs w:val="22"/>
        </w:rPr>
        <w:t xml:space="preserve"> are essential to the formation of </w:t>
      </w:r>
      <w:r w:rsidR="00FE7154" w:rsidRPr="00D06097">
        <w:rPr>
          <w:rFonts w:ascii="Palatino Linotype" w:hAnsi="Palatino Linotype"/>
          <w:sz w:val="22"/>
          <w:szCs w:val="22"/>
        </w:rPr>
        <w:t>good eschatological preference</w:t>
      </w:r>
      <w:r w:rsidR="004E188A" w:rsidRPr="00D06097">
        <w:rPr>
          <w:rFonts w:ascii="Palatino Linotype" w:hAnsi="Palatino Linotype"/>
          <w:sz w:val="22"/>
          <w:szCs w:val="22"/>
        </w:rPr>
        <w:t>s</w:t>
      </w:r>
      <w:r w:rsidRPr="00D06097">
        <w:rPr>
          <w:rFonts w:ascii="Palatino Linotype" w:hAnsi="Palatino Linotype"/>
          <w:sz w:val="22"/>
          <w:szCs w:val="22"/>
        </w:rPr>
        <w:t xml:space="preserve">, </w:t>
      </w:r>
      <w:r w:rsidR="00FE7154" w:rsidRPr="00D06097">
        <w:rPr>
          <w:rFonts w:ascii="Palatino Linotype" w:hAnsi="Palatino Linotype"/>
          <w:sz w:val="22"/>
          <w:szCs w:val="22"/>
        </w:rPr>
        <w:t xml:space="preserve">we can be confident that </w:t>
      </w:r>
      <w:r w:rsidRPr="00D06097">
        <w:rPr>
          <w:rFonts w:ascii="Palatino Linotype" w:hAnsi="Palatino Linotype"/>
          <w:sz w:val="22"/>
          <w:szCs w:val="22"/>
        </w:rPr>
        <w:t xml:space="preserve">there must be meaning-making opportunities available to spirits in the spirit world. Given that spirits can make meaning in the spirit world, it opens up interesting possibilities for thinking about what kinds of embodiments are suitable embodiments. A suitable embodiment need not be appropriate to achieving God’s soul-making ends for that very spirit </w:t>
      </w:r>
      <w:r w:rsidRPr="00D06097">
        <w:rPr>
          <w:rFonts w:ascii="Palatino Linotype" w:hAnsi="Palatino Linotype"/>
          <w:i/>
          <w:iCs/>
          <w:sz w:val="22"/>
          <w:szCs w:val="22"/>
        </w:rPr>
        <w:t>while in the flesh</w:t>
      </w:r>
      <w:r w:rsidRPr="00D06097">
        <w:rPr>
          <w:rFonts w:ascii="Palatino Linotype" w:hAnsi="Palatino Linotype"/>
          <w:sz w:val="22"/>
          <w:szCs w:val="22"/>
        </w:rPr>
        <w:t xml:space="preserve">. In fact, this view opens up horizons in “the context of that individual’s life” for them to make meaning out of the horrors they undergo. Afterall, one special kind of soul-making opportunity that becomes available in the spirit world is </w:t>
      </w:r>
      <w:r w:rsidRPr="00D06097">
        <w:rPr>
          <w:rFonts w:ascii="Palatino Linotype" w:hAnsi="Palatino Linotype"/>
          <w:i/>
          <w:iCs/>
          <w:sz w:val="22"/>
          <w:szCs w:val="22"/>
        </w:rPr>
        <w:t>reckoning with a horrific embodiment</w:t>
      </w:r>
      <w:r w:rsidRPr="00D06097">
        <w:rPr>
          <w:rFonts w:ascii="Palatino Linotype" w:hAnsi="Palatino Linotype"/>
          <w:sz w:val="22"/>
          <w:szCs w:val="22"/>
        </w:rPr>
        <w:t>. And it need not be mystery, but might be wisdom in God for that spirit to become such a soul, since the spirit world provides a site for divine soul-making God most productively could pursue with respect to that spirit.</w:t>
      </w:r>
      <w:r w:rsidR="003006AD" w:rsidRPr="00D06097">
        <w:rPr>
          <w:rFonts w:ascii="Palatino Linotype" w:hAnsi="Palatino Linotype"/>
          <w:sz w:val="22"/>
          <w:szCs w:val="22"/>
        </w:rPr>
        <w:t xml:space="preserve"> We conclude that </w:t>
      </w:r>
      <w:r w:rsidR="00781DF8" w:rsidRPr="00D06097">
        <w:rPr>
          <w:rFonts w:ascii="Palatino Linotype" w:hAnsi="Palatino Linotype"/>
          <w:sz w:val="22"/>
          <w:szCs w:val="22"/>
        </w:rPr>
        <w:t>Latter-day</w:t>
      </w:r>
      <w:r w:rsidR="003006AD" w:rsidRPr="00D06097">
        <w:rPr>
          <w:rFonts w:ascii="Palatino Linotype" w:hAnsi="Palatino Linotype"/>
          <w:sz w:val="22"/>
          <w:szCs w:val="22"/>
        </w:rPr>
        <w:t xml:space="preserve"> Saint theology can muster up to even Adam’s stringent demands on an adequate solution to the problem of horrors. </w:t>
      </w:r>
    </w:p>
    <w:p w14:paraId="7D11B3CF" w14:textId="77777777" w:rsidR="002F35A8" w:rsidRPr="00D06097" w:rsidRDefault="002F35A8" w:rsidP="002402A5">
      <w:pPr>
        <w:pStyle w:val="FootnoteText"/>
        <w:spacing w:line="276" w:lineRule="auto"/>
        <w:ind w:firstLine="0"/>
        <w:rPr>
          <w:rFonts w:ascii="Palatino Linotype" w:hAnsi="Palatino Linotype"/>
          <w:sz w:val="22"/>
          <w:szCs w:val="22"/>
        </w:rPr>
      </w:pPr>
    </w:p>
    <w:p w14:paraId="2B2C0F7A" w14:textId="77777777" w:rsidR="00DF3A5F" w:rsidRPr="00D06097" w:rsidRDefault="001D0457" w:rsidP="002402A5">
      <w:pPr>
        <w:pStyle w:val="FootnoteText"/>
        <w:numPr>
          <w:ilvl w:val="0"/>
          <w:numId w:val="2"/>
        </w:numPr>
        <w:spacing w:line="276" w:lineRule="auto"/>
        <w:rPr>
          <w:rFonts w:ascii="Palatino Linotype" w:hAnsi="Palatino Linotype"/>
          <w:sz w:val="22"/>
          <w:szCs w:val="22"/>
        </w:rPr>
      </w:pPr>
      <w:r w:rsidRPr="00D06097">
        <w:rPr>
          <w:rFonts w:ascii="Palatino Linotype" w:hAnsi="Palatino Linotype"/>
          <w:b/>
          <w:bCs/>
          <w:sz w:val="22"/>
          <w:szCs w:val="22"/>
        </w:rPr>
        <w:t>Lingering Concerns about the Value of Soul</w:t>
      </w:r>
    </w:p>
    <w:p w14:paraId="545A77C9" w14:textId="77777777" w:rsidR="002402A5" w:rsidRPr="00D06097" w:rsidRDefault="002402A5" w:rsidP="002402A5">
      <w:pPr>
        <w:pStyle w:val="FootnoteText"/>
        <w:spacing w:line="276" w:lineRule="auto"/>
        <w:rPr>
          <w:rFonts w:ascii="Palatino Linotype" w:hAnsi="Palatino Linotype"/>
          <w:b/>
          <w:bCs/>
          <w:sz w:val="22"/>
          <w:szCs w:val="22"/>
        </w:rPr>
      </w:pPr>
    </w:p>
    <w:p w14:paraId="2DB24A43" w14:textId="77777777" w:rsidR="00F9095C" w:rsidRPr="00D06097" w:rsidRDefault="00F9095C" w:rsidP="00F9095C">
      <w:pPr>
        <w:ind w:firstLine="0"/>
        <w:rPr>
          <w:rFonts w:ascii="Palatino Linotype" w:hAnsi="Palatino Linotype"/>
        </w:rPr>
      </w:pPr>
      <w:r w:rsidRPr="00D06097">
        <w:rPr>
          <w:rFonts w:ascii="Palatino Linotype" w:hAnsi="Palatino Linotype"/>
        </w:rPr>
        <w:t xml:space="preserve">We’ve shown that </w:t>
      </w:r>
      <w:r w:rsidR="00435202" w:rsidRPr="00D06097">
        <w:rPr>
          <w:rFonts w:ascii="Palatino Linotype" w:hAnsi="Palatino Linotype"/>
        </w:rPr>
        <w:t>there are reasons to be optimistic that the lives of horror participants can be a great good to them. We now turn to the final concern that we will take up at present. T</w:t>
      </w:r>
      <w:r w:rsidRPr="00D06097">
        <w:rPr>
          <w:rFonts w:ascii="Palatino Linotype" w:hAnsi="Palatino Linotype"/>
        </w:rPr>
        <w:t xml:space="preserve">hose whose lives depend essentially on the occurrence of various horrors may wonder whether their lives are valuable enough to warrant God’s staying of hand. </w:t>
      </w:r>
      <w:r w:rsidR="00435202" w:rsidRPr="00D06097">
        <w:rPr>
          <w:rFonts w:ascii="Palatino Linotype" w:hAnsi="Palatino Linotype"/>
        </w:rPr>
        <w:t xml:space="preserve">This section </w:t>
      </w:r>
      <w:r w:rsidRPr="00D06097">
        <w:rPr>
          <w:rFonts w:ascii="Palatino Linotype" w:hAnsi="Palatino Linotype"/>
        </w:rPr>
        <w:t>aim</w:t>
      </w:r>
      <w:r w:rsidR="00435202" w:rsidRPr="00D06097">
        <w:rPr>
          <w:rFonts w:ascii="Palatino Linotype" w:hAnsi="Palatino Linotype"/>
        </w:rPr>
        <w:t xml:space="preserve">s </w:t>
      </w:r>
      <w:r w:rsidRPr="00D06097">
        <w:rPr>
          <w:rFonts w:ascii="Palatino Linotype" w:hAnsi="Palatino Linotype"/>
        </w:rPr>
        <w:t xml:space="preserve">to address the </w:t>
      </w:r>
      <w:r w:rsidR="00435202" w:rsidRPr="00D06097">
        <w:rPr>
          <w:rFonts w:ascii="Palatino Linotype" w:hAnsi="Palatino Linotype"/>
        </w:rPr>
        <w:t xml:space="preserve">following </w:t>
      </w:r>
      <w:r w:rsidRPr="00D06097">
        <w:rPr>
          <w:rFonts w:ascii="Palatino Linotype" w:hAnsi="Palatino Linotype"/>
        </w:rPr>
        <w:t>question</w:t>
      </w:r>
      <w:r w:rsidR="00435202" w:rsidRPr="00D06097">
        <w:rPr>
          <w:rFonts w:ascii="Palatino Linotype" w:hAnsi="Palatino Linotype"/>
        </w:rPr>
        <w:t xml:space="preserve"> such an individual may raise</w:t>
      </w:r>
      <w:r w:rsidRPr="00D06097">
        <w:rPr>
          <w:rFonts w:ascii="Palatino Linotype" w:hAnsi="Palatino Linotype"/>
        </w:rPr>
        <w:t xml:space="preserve">: </w:t>
      </w:r>
    </w:p>
    <w:p w14:paraId="2BD7C9ED" w14:textId="77777777" w:rsidR="00F9095C" w:rsidRPr="00D06097" w:rsidRDefault="00435202" w:rsidP="00435202">
      <w:pPr>
        <w:ind w:left="720" w:firstLine="0"/>
        <w:rPr>
          <w:rFonts w:ascii="Palatino Linotype" w:hAnsi="Palatino Linotype"/>
        </w:rPr>
      </w:pPr>
      <w:r w:rsidRPr="00D06097">
        <w:rPr>
          <w:rFonts w:ascii="Palatino Linotype" w:hAnsi="Palatino Linotype"/>
        </w:rPr>
        <w:t xml:space="preserve">(3) </w:t>
      </w:r>
      <w:r w:rsidR="00F9095C" w:rsidRPr="00D06097">
        <w:rPr>
          <w:rFonts w:ascii="Palatino Linotype" w:hAnsi="Palatino Linotype"/>
        </w:rPr>
        <w:t>“Was my existence really worth the horror?”</w:t>
      </w:r>
    </w:p>
    <w:p w14:paraId="106A5DEB" w14:textId="77777777" w:rsidR="00794294" w:rsidRPr="00D06097" w:rsidRDefault="00794294" w:rsidP="00794294">
      <w:pPr>
        <w:ind w:firstLine="0"/>
        <w:rPr>
          <w:rFonts w:ascii="Palatino Linotype" w:hAnsi="Palatino Linotype"/>
        </w:rPr>
      </w:pPr>
      <w:r w:rsidRPr="00D06097">
        <w:rPr>
          <w:rFonts w:ascii="Palatino Linotype" w:hAnsi="Palatino Linotype"/>
        </w:rPr>
        <w:t>There are various ways that one might try and vindicate a “yes” answer to (3). One may try and articulate various principles that allow for the comparative assessment of the value of souls. On such a view, one may become confident that a soul’s existence was worth the horror if the soul carries sufficient off-setting value, perhaps by virtue of their life containing or making for more of what makes life worth living.</w:t>
      </w:r>
      <w:r w:rsidRPr="00D06097">
        <w:rPr>
          <w:rStyle w:val="FootnoteReference"/>
          <w:rFonts w:ascii="Palatino Linotype" w:hAnsi="Palatino Linotype"/>
        </w:rPr>
        <w:footnoteReference w:id="32"/>
      </w:r>
      <w:r w:rsidRPr="00D06097">
        <w:rPr>
          <w:rFonts w:ascii="Palatino Linotype" w:hAnsi="Palatino Linotype"/>
        </w:rPr>
        <w:t xml:space="preserve"> This may go some of the way towards a general solution, but we are skeptical that it could have anything like a fully general appeal. A view like this would, in the present theological context, naturally try to muster resources to acknowledge the comparatively greater value of Jesus Christ’s existence. But other kinds of comparisons are difficult, if not impossible, to make.</w:t>
      </w:r>
      <w:r w:rsidR="00AA7803" w:rsidRPr="00D06097">
        <w:rPr>
          <w:rStyle w:val="FootnoteReference"/>
          <w:rFonts w:ascii="Palatino Linotype" w:hAnsi="Palatino Linotype"/>
        </w:rPr>
        <w:footnoteReference w:id="33"/>
      </w:r>
      <w:r w:rsidRPr="00D06097">
        <w:rPr>
          <w:rFonts w:ascii="Palatino Linotype" w:hAnsi="Palatino Linotype"/>
        </w:rPr>
        <w:t xml:space="preserve"> Perhaps the existence of Jesus is so valuable that we can say that Solomon’s existence was worth the horror. But what about your life or the life of the </w:t>
      </w:r>
      <w:r w:rsidR="00AA7803" w:rsidRPr="00D06097">
        <w:rPr>
          <w:rFonts w:ascii="Palatino Linotype" w:hAnsi="Palatino Linotype"/>
        </w:rPr>
        <w:t>descendants</w:t>
      </w:r>
      <w:r w:rsidRPr="00D06097">
        <w:rPr>
          <w:rFonts w:ascii="Palatino Linotype" w:hAnsi="Palatino Linotype"/>
        </w:rPr>
        <w:t xml:space="preserve"> of </w:t>
      </w:r>
      <w:r w:rsidR="00AA7803" w:rsidRPr="00D06097">
        <w:rPr>
          <w:rFonts w:ascii="Palatino Linotype" w:hAnsi="Palatino Linotype"/>
        </w:rPr>
        <w:t xml:space="preserve">the holocaust survivors? </w:t>
      </w:r>
      <w:r w:rsidR="00AB7ECA" w:rsidRPr="00D06097">
        <w:rPr>
          <w:rFonts w:ascii="Palatino Linotype" w:hAnsi="Palatino Linotype"/>
        </w:rPr>
        <w:t>We</w:t>
      </w:r>
      <w:r w:rsidR="00AA7803" w:rsidRPr="00D06097">
        <w:rPr>
          <w:rFonts w:ascii="Palatino Linotype" w:hAnsi="Palatino Linotype"/>
        </w:rPr>
        <w:t xml:space="preserve"> think there is reason to be skeptical </w:t>
      </w:r>
      <w:r w:rsidR="000E135D" w:rsidRPr="00D06097">
        <w:rPr>
          <w:rFonts w:ascii="Palatino Linotype" w:hAnsi="Palatino Linotype"/>
        </w:rPr>
        <w:t>that many such lives</w:t>
      </w:r>
      <w:r w:rsidR="00AA7803" w:rsidRPr="00D06097">
        <w:rPr>
          <w:rFonts w:ascii="Palatino Linotype" w:hAnsi="Palatino Linotype"/>
        </w:rPr>
        <w:t xml:space="preserve"> can fare well by way of any plausible principles of comparative value. </w:t>
      </w:r>
    </w:p>
    <w:p w14:paraId="5BA1CB86" w14:textId="77777777" w:rsidR="000E135D" w:rsidRPr="00D06097" w:rsidRDefault="000E135D" w:rsidP="000E135D">
      <w:pPr>
        <w:ind w:firstLine="720"/>
        <w:rPr>
          <w:rFonts w:ascii="Palatino Linotype" w:hAnsi="Palatino Linotype"/>
        </w:rPr>
      </w:pPr>
      <w:r w:rsidRPr="00D06097">
        <w:rPr>
          <w:rFonts w:ascii="Palatino Linotype" w:hAnsi="Palatino Linotype"/>
        </w:rPr>
        <w:lastRenderedPageBreak/>
        <w:t xml:space="preserve">Another approach is to appeal to various features underwriting the permissibility of human procreation in even horrific circumstances. </w:t>
      </w:r>
      <w:r w:rsidR="00AB7ECA" w:rsidRPr="00D06097">
        <w:rPr>
          <w:rFonts w:ascii="Palatino Linotype" w:hAnsi="Palatino Linotype"/>
        </w:rPr>
        <w:t>If, as we may be inclined to think, it is wit</w:t>
      </w:r>
      <w:r w:rsidR="001B0822" w:rsidRPr="00D06097">
        <w:rPr>
          <w:rFonts w:ascii="Palatino Linotype" w:hAnsi="Palatino Linotype"/>
        </w:rPr>
        <w:t>hi</w:t>
      </w:r>
      <w:r w:rsidR="00AB7ECA" w:rsidRPr="00D06097">
        <w:rPr>
          <w:rFonts w:ascii="Palatino Linotype" w:hAnsi="Palatino Linotype"/>
        </w:rPr>
        <w:t>n the moral rights of parents to procreate in such circumstances, we may try to identify what conditions are in place that explain why it is permissible for those parents to procreate. For example, we might point to the ways in which procreating constitutes a good for the parents</w:t>
      </w:r>
      <w:r w:rsidR="003776DE" w:rsidRPr="00D06097">
        <w:rPr>
          <w:rFonts w:ascii="Palatino Linotype" w:hAnsi="Palatino Linotype"/>
        </w:rPr>
        <w:t xml:space="preserve"> (perhaps by introducing the goods of caring for another human life)</w:t>
      </w:r>
      <w:r w:rsidR="00AB7ECA" w:rsidRPr="00D06097">
        <w:rPr>
          <w:rFonts w:ascii="Palatino Linotype" w:hAnsi="Palatino Linotype"/>
        </w:rPr>
        <w:t>,</w:t>
      </w:r>
      <w:r w:rsidR="003776DE" w:rsidRPr="00D06097">
        <w:rPr>
          <w:rFonts w:ascii="Palatino Linotype" w:hAnsi="Palatino Linotype"/>
        </w:rPr>
        <w:t xml:space="preserve"> or that procreating</w:t>
      </w:r>
      <w:r w:rsidR="00AB7ECA" w:rsidRPr="00D06097">
        <w:rPr>
          <w:rFonts w:ascii="Palatino Linotype" w:hAnsi="Palatino Linotype"/>
        </w:rPr>
        <w:t xml:space="preserve"> </w:t>
      </w:r>
      <w:r w:rsidR="00A96B64" w:rsidRPr="00D06097">
        <w:rPr>
          <w:rFonts w:ascii="Palatino Linotype" w:hAnsi="Palatino Linotype"/>
        </w:rPr>
        <w:t>constitutes a broader kind of public good, or that it would produce a life that regarded it as a great good to them</w:t>
      </w:r>
      <w:r w:rsidR="003776DE" w:rsidRPr="00D06097">
        <w:rPr>
          <w:rFonts w:ascii="Palatino Linotype" w:hAnsi="Palatino Linotype"/>
        </w:rPr>
        <w:t>.</w:t>
      </w:r>
      <w:r w:rsidR="003776DE" w:rsidRPr="00D06097">
        <w:rPr>
          <w:rStyle w:val="FootnoteReference"/>
          <w:rFonts w:ascii="Palatino Linotype" w:hAnsi="Palatino Linotype"/>
        </w:rPr>
        <w:footnoteReference w:id="34"/>
      </w:r>
      <w:r w:rsidR="003776DE" w:rsidRPr="00D06097">
        <w:rPr>
          <w:rFonts w:ascii="Palatino Linotype" w:hAnsi="Palatino Linotype"/>
        </w:rPr>
        <w:t xml:space="preserve"> </w:t>
      </w:r>
      <w:r w:rsidR="007264FA" w:rsidRPr="00D06097">
        <w:rPr>
          <w:rFonts w:ascii="Palatino Linotype" w:hAnsi="Palatino Linotype"/>
        </w:rPr>
        <w:t xml:space="preserve">We may then take these conditions underwriting the permissibility of procreation and </w:t>
      </w:r>
      <w:r w:rsidR="001B0822" w:rsidRPr="00D06097">
        <w:rPr>
          <w:rFonts w:ascii="Palatino Linotype" w:hAnsi="Palatino Linotype"/>
        </w:rPr>
        <w:t>argue that they project as conditions that underwrite the permissibility of divine creation. If a human life is valuable enough for their parents to bring it into existence, then it is valuable enough for God to bring it into existence, and so support a verdict that their existence was worth the horrors.</w:t>
      </w:r>
      <w:r w:rsidR="001B0822" w:rsidRPr="00D06097">
        <w:rPr>
          <w:rStyle w:val="FootnoteReference"/>
          <w:rFonts w:ascii="Palatino Linotype" w:hAnsi="Palatino Linotype"/>
        </w:rPr>
        <w:footnoteReference w:id="35"/>
      </w:r>
      <w:r w:rsidR="004451BE" w:rsidRPr="00D06097">
        <w:rPr>
          <w:rFonts w:ascii="Palatino Linotype" w:hAnsi="Palatino Linotype"/>
        </w:rPr>
        <w:t xml:space="preserve"> Th</w:t>
      </w:r>
      <w:r w:rsidR="001B0822" w:rsidRPr="00D06097">
        <w:rPr>
          <w:rFonts w:ascii="Palatino Linotype" w:hAnsi="Palatino Linotype"/>
        </w:rPr>
        <w:t xml:space="preserve">is approach is complicated by </w:t>
      </w:r>
      <w:r w:rsidR="004451BE" w:rsidRPr="00D06097">
        <w:rPr>
          <w:rFonts w:ascii="Palatino Linotype" w:hAnsi="Palatino Linotype"/>
        </w:rPr>
        <w:t>various philosophical pressures to limit the range of permissible procreative acts as well as difficulty in motivating the divine projectability of the sorts of reasons one might invoke to justify human procreative acts.</w:t>
      </w:r>
      <w:r w:rsidR="004451BE" w:rsidRPr="00D06097">
        <w:rPr>
          <w:rStyle w:val="FootnoteReference"/>
          <w:rFonts w:ascii="Palatino Linotype" w:hAnsi="Palatino Linotype"/>
        </w:rPr>
        <w:footnoteReference w:id="36"/>
      </w:r>
      <w:r w:rsidR="004451BE" w:rsidRPr="00D06097">
        <w:rPr>
          <w:rFonts w:ascii="Palatino Linotype" w:hAnsi="Palatino Linotype"/>
        </w:rPr>
        <w:t xml:space="preserve"> </w:t>
      </w:r>
    </w:p>
    <w:p w14:paraId="6909B4A2" w14:textId="77777777" w:rsidR="007A6BBD" w:rsidRPr="00D06097" w:rsidRDefault="00E87947" w:rsidP="000E135D">
      <w:pPr>
        <w:ind w:firstLine="720"/>
        <w:rPr>
          <w:rFonts w:ascii="Palatino Linotype" w:hAnsi="Palatino Linotype"/>
        </w:rPr>
      </w:pPr>
      <w:r w:rsidRPr="00D06097">
        <w:rPr>
          <w:rFonts w:ascii="Palatino Linotype" w:hAnsi="Palatino Linotype"/>
        </w:rPr>
        <w:t>We plan to pursue neither of these approaches. Instead</w:t>
      </w:r>
      <w:r w:rsidR="00AF2A59" w:rsidRPr="00D06097">
        <w:rPr>
          <w:rFonts w:ascii="Palatino Linotype" w:hAnsi="Palatino Linotype"/>
        </w:rPr>
        <w:t>,</w:t>
      </w:r>
      <w:r w:rsidRPr="00D06097">
        <w:rPr>
          <w:rFonts w:ascii="Palatino Linotype" w:hAnsi="Palatino Linotype"/>
        </w:rPr>
        <w:t xml:space="preserve"> we try to provide theological grounds for optimism that the life of one whose conditions of existence are bound up in the occurrence of horrendous evils has a life worth those evils. </w:t>
      </w:r>
      <w:r w:rsidR="007A6BBD" w:rsidRPr="00D06097">
        <w:rPr>
          <w:rFonts w:ascii="Palatino Linotype" w:hAnsi="Palatino Linotype"/>
        </w:rPr>
        <w:t xml:space="preserve">A few theological observations. Souls are valuable to God. This is a banal observation, but what’s striking in </w:t>
      </w:r>
      <w:r w:rsidR="00781DF8" w:rsidRPr="00D06097">
        <w:rPr>
          <w:rFonts w:ascii="Palatino Linotype" w:hAnsi="Palatino Linotype"/>
        </w:rPr>
        <w:t>Latter-day</w:t>
      </w:r>
      <w:r w:rsidR="007A6BBD" w:rsidRPr="00D06097">
        <w:rPr>
          <w:rFonts w:ascii="Palatino Linotype" w:hAnsi="Palatino Linotype"/>
        </w:rPr>
        <w:t xml:space="preserve"> Saint scripture is the sort of evidence God provides for why we should take ourselves to have the kind of superlative value God takes us to have. Consider D&amp;C 18:10-13</w:t>
      </w:r>
    </w:p>
    <w:p w14:paraId="3463ACB4" w14:textId="77777777" w:rsidR="007A6BBD" w:rsidRPr="00D06097" w:rsidRDefault="007A6BBD" w:rsidP="007A6BBD">
      <w:pPr>
        <w:pStyle w:val="wpt7ge"/>
        <w:spacing w:before="0" w:beforeAutospacing="0" w:after="0" w:afterAutospacing="0"/>
        <w:ind w:left="360"/>
        <w:textAlignment w:val="baseline"/>
        <w:rPr>
          <w:rFonts w:ascii="Palatino Linotype" w:hAnsi="Palatino Linotype"/>
          <w:sz w:val="22"/>
          <w:szCs w:val="22"/>
        </w:rPr>
      </w:pPr>
      <w:r w:rsidRPr="00D06097">
        <w:rPr>
          <w:rFonts w:ascii="Palatino Linotype" w:hAnsi="Palatino Linotype"/>
          <w:sz w:val="22"/>
          <w:szCs w:val="22"/>
        </w:rPr>
        <w:t xml:space="preserve">“Remember the worth of souls is great in the sight of God; For, behold, the Lord your Redeemer suffered death in the flesh; wherefore he suffered the pain of all men, that all men might repent and come unto him. And he hath risen again from the dead, that he might bring all men unto him, on conditions of repentance. And how great is his joy in the soul that </w:t>
      </w:r>
      <w:proofErr w:type="spellStart"/>
      <w:r w:rsidRPr="00D06097">
        <w:rPr>
          <w:rFonts w:ascii="Palatino Linotype" w:hAnsi="Palatino Linotype"/>
          <w:sz w:val="22"/>
          <w:szCs w:val="22"/>
        </w:rPr>
        <w:t>repenteth</w:t>
      </w:r>
      <w:proofErr w:type="spellEnd"/>
      <w:r w:rsidRPr="00D06097">
        <w:rPr>
          <w:rFonts w:ascii="Palatino Linotype" w:hAnsi="Palatino Linotype"/>
          <w:sz w:val="22"/>
          <w:szCs w:val="22"/>
        </w:rPr>
        <w:t>!”</w:t>
      </w:r>
    </w:p>
    <w:p w14:paraId="6EE546E9" w14:textId="77777777" w:rsidR="007A6BBD" w:rsidRPr="00D06097" w:rsidRDefault="007A6BBD" w:rsidP="007A6BBD">
      <w:pPr>
        <w:pStyle w:val="wpt7ge"/>
        <w:spacing w:before="0" w:beforeAutospacing="0" w:after="0" w:afterAutospacing="0"/>
        <w:textAlignment w:val="baseline"/>
        <w:rPr>
          <w:rFonts w:ascii="Palatino Linotype" w:hAnsi="Palatino Linotype"/>
          <w:sz w:val="22"/>
          <w:szCs w:val="22"/>
        </w:rPr>
      </w:pPr>
    </w:p>
    <w:p w14:paraId="6CDE4A75" w14:textId="77777777" w:rsidR="007A6BBD" w:rsidRPr="00D06097" w:rsidRDefault="007A6BBD" w:rsidP="007A6BBD">
      <w:pPr>
        <w:pStyle w:val="wpt7ge"/>
        <w:spacing w:before="0" w:beforeAutospacing="0" w:after="0" w:afterAutospacing="0"/>
        <w:textAlignment w:val="baseline"/>
        <w:rPr>
          <w:rFonts w:ascii="Palatino Linotype" w:hAnsi="Palatino Linotype"/>
          <w:sz w:val="22"/>
          <w:szCs w:val="22"/>
        </w:rPr>
      </w:pPr>
      <w:r w:rsidRPr="00D06097">
        <w:rPr>
          <w:rFonts w:ascii="Palatino Linotype" w:hAnsi="Palatino Linotype"/>
          <w:sz w:val="22"/>
          <w:szCs w:val="22"/>
        </w:rPr>
        <w:t xml:space="preserve">What is striking </w:t>
      </w:r>
      <w:r w:rsidR="00AC276E" w:rsidRPr="00D06097">
        <w:rPr>
          <w:rFonts w:ascii="Palatino Linotype" w:hAnsi="Palatino Linotype"/>
          <w:sz w:val="22"/>
          <w:szCs w:val="22"/>
        </w:rPr>
        <w:t>here is that Christ’s suffering “death in the flesh,” Christ’s suffering “the pain of all men” is presented as a reason to accept that the worth of souls is great in God’s view. So, D&amp;C seems to underwrite the following kind of value principle:</w:t>
      </w:r>
    </w:p>
    <w:p w14:paraId="26DB6769" w14:textId="77777777" w:rsidR="00AC276E" w:rsidRPr="00D06097" w:rsidRDefault="00AC276E" w:rsidP="007A6BBD">
      <w:pPr>
        <w:pStyle w:val="wpt7ge"/>
        <w:spacing w:before="0" w:beforeAutospacing="0" w:after="0" w:afterAutospacing="0"/>
        <w:textAlignment w:val="baseline"/>
        <w:rPr>
          <w:rFonts w:ascii="Palatino Linotype" w:hAnsi="Palatino Linotype"/>
          <w:sz w:val="22"/>
          <w:szCs w:val="22"/>
        </w:rPr>
      </w:pPr>
      <w:r w:rsidRPr="00D06097">
        <w:rPr>
          <w:rFonts w:ascii="Palatino Linotype" w:hAnsi="Palatino Linotype"/>
          <w:sz w:val="22"/>
          <w:szCs w:val="22"/>
        </w:rPr>
        <w:tab/>
      </w:r>
    </w:p>
    <w:p w14:paraId="4A1AF931" w14:textId="77777777" w:rsidR="00AF2A59" w:rsidRPr="00D06097" w:rsidRDefault="00AF2A59" w:rsidP="00AC276E">
      <w:pPr>
        <w:pStyle w:val="wpt7ge"/>
        <w:spacing w:before="0" w:beforeAutospacing="0" w:after="0" w:afterAutospacing="0"/>
        <w:ind w:left="720"/>
        <w:textAlignment w:val="baseline"/>
        <w:rPr>
          <w:rFonts w:ascii="Palatino Linotype" w:hAnsi="Palatino Linotype"/>
          <w:sz w:val="22"/>
          <w:szCs w:val="22"/>
        </w:rPr>
      </w:pPr>
      <w:r w:rsidRPr="00D06097">
        <w:rPr>
          <w:rFonts w:ascii="Palatino Linotype" w:hAnsi="Palatino Linotype"/>
          <w:b/>
          <w:bCs/>
          <w:sz w:val="22"/>
          <w:szCs w:val="22"/>
        </w:rPr>
        <w:t>Redemption-to-Creation</w:t>
      </w:r>
      <w:r w:rsidRPr="00D06097">
        <w:rPr>
          <w:rFonts w:ascii="Palatino Linotype" w:hAnsi="Palatino Linotype"/>
          <w:sz w:val="22"/>
          <w:szCs w:val="22"/>
        </w:rPr>
        <w:t>: If a life is valuable enough for God to redeem, it is valuable enough for God to create.</w:t>
      </w:r>
    </w:p>
    <w:p w14:paraId="07D6A2AC" w14:textId="77777777" w:rsidR="001B0822" w:rsidRPr="00D06097" w:rsidRDefault="001B0822" w:rsidP="00AC276E">
      <w:pPr>
        <w:ind w:firstLine="0"/>
        <w:rPr>
          <w:rFonts w:ascii="Palatino Linotype" w:hAnsi="Palatino Linotype"/>
        </w:rPr>
      </w:pPr>
    </w:p>
    <w:p w14:paraId="502B5A1B" w14:textId="77777777" w:rsidR="00595E17" w:rsidRPr="00D06097" w:rsidRDefault="00AC276E" w:rsidP="00AC276E">
      <w:pPr>
        <w:ind w:firstLine="0"/>
        <w:rPr>
          <w:rFonts w:ascii="Palatino Linotype" w:hAnsi="Palatino Linotype"/>
        </w:rPr>
      </w:pPr>
      <w:r w:rsidRPr="00D06097">
        <w:rPr>
          <w:rFonts w:ascii="Palatino Linotype" w:hAnsi="Palatino Linotype"/>
        </w:rPr>
        <w:lastRenderedPageBreak/>
        <w:t>On this view, we should calibrate our judgments about the value of any particular soul in light of the fact that the scope of Christ’s redempt</w:t>
      </w:r>
      <w:r w:rsidR="002D654F" w:rsidRPr="00D06097">
        <w:rPr>
          <w:rFonts w:ascii="Palatino Linotype" w:hAnsi="Palatino Linotype"/>
        </w:rPr>
        <w:t>ion</w:t>
      </w:r>
      <w:r w:rsidRPr="00D06097">
        <w:rPr>
          <w:rFonts w:ascii="Palatino Linotype" w:hAnsi="Palatino Linotype"/>
        </w:rPr>
        <w:t xml:space="preserve"> includes that soul. Why should the fact that Christ’s redempt</w:t>
      </w:r>
      <w:r w:rsidR="002D654F" w:rsidRPr="00D06097">
        <w:rPr>
          <w:rFonts w:ascii="Palatino Linotype" w:hAnsi="Palatino Linotype"/>
        </w:rPr>
        <w:t>ion</w:t>
      </w:r>
      <w:r w:rsidRPr="00D06097">
        <w:rPr>
          <w:rFonts w:ascii="Palatino Linotype" w:hAnsi="Palatino Linotype"/>
        </w:rPr>
        <w:t xml:space="preserve"> include</w:t>
      </w:r>
      <w:r w:rsidR="002D654F" w:rsidRPr="00D06097">
        <w:rPr>
          <w:rFonts w:ascii="Palatino Linotype" w:hAnsi="Palatino Linotype"/>
        </w:rPr>
        <w:t>s</w:t>
      </w:r>
      <w:r w:rsidRPr="00D06097">
        <w:rPr>
          <w:rFonts w:ascii="Palatino Linotype" w:hAnsi="Palatino Linotype"/>
        </w:rPr>
        <w:t xml:space="preserve"> every actually existing (and yet to exist) soul move us to see their value as being such that their existence is worth the horrors? Because of how costly Christ’s </w:t>
      </w:r>
      <w:r w:rsidR="002D654F" w:rsidRPr="00D06097">
        <w:rPr>
          <w:rFonts w:ascii="Palatino Linotype" w:hAnsi="Palatino Linotype"/>
        </w:rPr>
        <w:t>redemption of humanity was</w:t>
      </w:r>
      <w:r w:rsidRPr="00D06097">
        <w:rPr>
          <w:rFonts w:ascii="Palatino Linotype" w:hAnsi="Palatino Linotype"/>
        </w:rPr>
        <w:t xml:space="preserve">. </w:t>
      </w:r>
    </w:p>
    <w:p w14:paraId="2A2C8B70" w14:textId="77777777" w:rsidR="002D654F" w:rsidRPr="00D06097" w:rsidRDefault="002D654F" w:rsidP="00AC276E">
      <w:pPr>
        <w:ind w:firstLine="0"/>
        <w:rPr>
          <w:rFonts w:ascii="Palatino Linotype" w:hAnsi="Palatino Linotype"/>
        </w:rPr>
      </w:pPr>
      <w:r w:rsidRPr="00D06097">
        <w:rPr>
          <w:rFonts w:ascii="Palatino Linotype" w:hAnsi="Palatino Linotype"/>
        </w:rPr>
        <w:tab/>
        <w:t xml:space="preserve">Adams observes forcefully that Christ’s entrance into human history is fraught with participation in horrors. </w:t>
      </w:r>
      <w:r w:rsidR="007454E0" w:rsidRPr="00D06097">
        <w:rPr>
          <w:rFonts w:ascii="Palatino Linotype" w:hAnsi="Palatino Linotype"/>
        </w:rPr>
        <w:t>First, Christ was a victim of horrors. His torture and crucifixion were both gratuitously cruel and given the religious context in which it occurred inhibited the recognition of it as a messianic act.</w:t>
      </w:r>
      <w:r w:rsidR="007454E0" w:rsidRPr="00D06097">
        <w:rPr>
          <w:rStyle w:val="FootnoteReference"/>
          <w:rFonts w:ascii="Palatino Linotype" w:hAnsi="Palatino Linotype"/>
        </w:rPr>
        <w:footnoteReference w:id="37"/>
      </w:r>
      <w:r w:rsidR="007454E0" w:rsidRPr="00D06097">
        <w:rPr>
          <w:rFonts w:ascii="Palatino Linotype" w:hAnsi="Palatino Linotype"/>
        </w:rPr>
        <w:t xml:space="preserve"> Second, Christ’s birth is the occasion for a variety of horrors including Herod’s infanticide.</w:t>
      </w:r>
      <w:r w:rsidR="007454E0" w:rsidRPr="00D06097">
        <w:rPr>
          <w:rStyle w:val="FootnoteReference"/>
          <w:rFonts w:ascii="Palatino Linotype" w:hAnsi="Palatino Linotype"/>
        </w:rPr>
        <w:footnoteReference w:id="38"/>
      </w:r>
      <w:r w:rsidR="007454E0" w:rsidRPr="00D06097">
        <w:rPr>
          <w:rFonts w:ascii="Palatino Linotype" w:hAnsi="Palatino Linotype"/>
        </w:rPr>
        <w:t xml:space="preserve"> Third, Christ’s ministry dissolved deeply rooted religious structures that played a crucial role in the meaning-making of the Jewish people.</w:t>
      </w:r>
      <w:r w:rsidR="007454E0" w:rsidRPr="00D06097">
        <w:rPr>
          <w:rStyle w:val="FootnoteReference"/>
          <w:rFonts w:ascii="Palatino Linotype" w:hAnsi="Palatino Linotype"/>
        </w:rPr>
        <w:footnoteReference w:id="39"/>
      </w:r>
      <w:r w:rsidR="007454E0" w:rsidRPr="00D06097">
        <w:rPr>
          <w:rFonts w:ascii="Palatino Linotype" w:hAnsi="Palatino Linotype"/>
        </w:rPr>
        <w:t xml:space="preserve"> Fourth, </w:t>
      </w:r>
      <w:r w:rsidR="00144EA5" w:rsidRPr="00D06097">
        <w:rPr>
          <w:rFonts w:ascii="Palatino Linotype" w:hAnsi="Palatino Linotype"/>
        </w:rPr>
        <w:t>Christ’s ministry had the effect of turning those who conceived of themselves as most committed to preparing the way for the messiah (e.g., the pharisees and even Judas) into its most dangerous threats. Leading to what she calls “</w:t>
      </w:r>
      <w:r w:rsidR="00144EA5" w:rsidRPr="00D06097">
        <w:rPr>
          <w:rFonts w:ascii="Palatino Linotype" w:hAnsi="Palatino Linotype"/>
          <w:i/>
          <w:iCs/>
        </w:rPr>
        <w:t>prima facie</w:t>
      </w:r>
      <w:r w:rsidR="00144EA5" w:rsidRPr="00D06097">
        <w:rPr>
          <w:rFonts w:ascii="Palatino Linotype" w:hAnsi="Palatino Linotype"/>
        </w:rPr>
        <w:t xml:space="preserve"> ruinous levels of self-betrayal.”</w:t>
      </w:r>
      <w:r w:rsidR="00144EA5" w:rsidRPr="00D06097">
        <w:rPr>
          <w:rStyle w:val="FootnoteReference"/>
          <w:rFonts w:ascii="Palatino Linotype" w:hAnsi="Palatino Linotype"/>
        </w:rPr>
        <w:footnoteReference w:id="40"/>
      </w:r>
      <w:r w:rsidR="00144EA5" w:rsidRPr="00D06097">
        <w:rPr>
          <w:rFonts w:ascii="Palatino Linotype" w:hAnsi="Palatino Linotype"/>
        </w:rPr>
        <w:t xml:space="preserve"> And lastly, Christ’s use of Roman goods and teachings concerning Rome threaten complicity in the pervasive horrors the empire wrought.</w:t>
      </w:r>
      <w:r w:rsidR="00144EA5" w:rsidRPr="00D06097">
        <w:rPr>
          <w:rStyle w:val="FootnoteReference"/>
          <w:rFonts w:ascii="Palatino Linotype" w:hAnsi="Palatino Linotype"/>
        </w:rPr>
        <w:footnoteReference w:id="41"/>
      </w:r>
      <w:r w:rsidR="00144EA5" w:rsidRPr="00D06097">
        <w:rPr>
          <w:rFonts w:ascii="Palatino Linotype" w:hAnsi="Palatino Linotype"/>
        </w:rPr>
        <w:t xml:space="preserve"> </w:t>
      </w:r>
    </w:p>
    <w:p w14:paraId="09EE020F" w14:textId="77777777" w:rsidR="002402A5" w:rsidRPr="00D06097" w:rsidRDefault="00FE293F" w:rsidP="00B5558F">
      <w:pPr>
        <w:ind w:firstLine="0"/>
        <w:rPr>
          <w:rFonts w:ascii="Palatino Linotype" w:hAnsi="Palatino Linotype"/>
          <w:b/>
          <w:bCs/>
        </w:rPr>
      </w:pPr>
      <w:r w:rsidRPr="00D06097">
        <w:rPr>
          <w:rFonts w:ascii="Palatino Linotype" w:hAnsi="Palatino Linotype"/>
        </w:rPr>
        <w:tab/>
        <w:t xml:space="preserve">We are the objects of redemption, and God doesn’t perform acts that are not worth doing. What God offers as an explanation of God’s motivation to perform those redemptive acts, is our worth. But performing those redemptive acts </w:t>
      </w:r>
      <w:r w:rsidR="004501D4" w:rsidRPr="00D06097">
        <w:rPr>
          <w:rFonts w:ascii="Palatino Linotype" w:hAnsi="Palatino Linotype"/>
        </w:rPr>
        <w:t>requires</w:t>
      </w:r>
      <w:r w:rsidRPr="00D06097">
        <w:rPr>
          <w:rFonts w:ascii="Palatino Linotype" w:hAnsi="Palatino Linotype"/>
        </w:rPr>
        <w:t xml:space="preserve"> that God become embodied in a way that both demands the occurrence of a wide range of horrors and inevitably occasions the occurrence of still more. God takes our value to be such that God sees God’s</w:t>
      </w:r>
      <w:r w:rsidR="00A916D3" w:rsidRPr="00D06097">
        <w:rPr>
          <w:rFonts w:ascii="Palatino Linotype" w:hAnsi="Palatino Linotype"/>
        </w:rPr>
        <w:t xml:space="preserve"> embodied</w:t>
      </w:r>
      <w:r w:rsidRPr="00D06097">
        <w:rPr>
          <w:rFonts w:ascii="Palatino Linotype" w:hAnsi="Palatino Linotype"/>
        </w:rPr>
        <w:t xml:space="preserve"> </w:t>
      </w:r>
      <w:r w:rsidR="00A916D3" w:rsidRPr="00D06097">
        <w:rPr>
          <w:rFonts w:ascii="Palatino Linotype" w:hAnsi="Palatino Linotype"/>
        </w:rPr>
        <w:t>existence</w:t>
      </w:r>
      <w:r w:rsidRPr="00D06097">
        <w:rPr>
          <w:rFonts w:ascii="Palatino Linotype" w:hAnsi="Palatino Linotype"/>
        </w:rPr>
        <w:t xml:space="preserve"> </w:t>
      </w:r>
      <w:r w:rsidR="00A916D3" w:rsidRPr="00D06097">
        <w:rPr>
          <w:rFonts w:ascii="Palatino Linotype" w:hAnsi="Palatino Linotype"/>
        </w:rPr>
        <w:t>as</w:t>
      </w:r>
      <w:r w:rsidRPr="00D06097">
        <w:rPr>
          <w:rFonts w:ascii="Palatino Linotype" w:hAnsi="Palatino Linotype"/>
        </w:rPr>
        <w:t xml:space="preserve"> worth the horrors</w:t>
      </w:r>
      <w:r w:rsidR="007F3AA7" w:rsidRPr="00D06097">
        <w:rPr>
          <w:rFonts w:ascii="Palatino Linotype" w:hAnsi="Palatino Linotype"/>
        </w:rPr>
        <w:t xml:space="preserve">. </w:t>
      </w:r>
      <w:r w:rsidR="00A916D3" w:rsidRPr="00D06097">
        <w:rPr>
          <w:rFonts w:ascii="Palatino Linotype" w:hAnsi="Palatino Linotype"/>
        </w:rPr>
        <w:t xml:space="preserve">This provides a ground of hope that </w:t>
      </w:r>
      <w:r w:rsidRPr="00D06097">
        <w:rPr>
          <w:rFonts w:ascii="Palatino Linotype" w:hAnsi="Palatino Linotype"/>
        </w:rPr>
        <w:t>our lives are also worth the horrors</w:t>
      </w:r>
      <w:r w:rsidR="00A916D3" w:rsidRPr="00D06097">
        <w:rPr>
          <w:rFonts w:ascii="Palatino Linotype" w:hAnsi="Palatino Linotype"/>
        </w:rPr>
        <w:t xml:space="preserve">; a hope rooted in the urgency of deferring to the divinely articulated perspective (in both word and deed) of human value. </w:t>
      </w:r>
    </w:p>
    <w:p w14:paraId="0AD1C009" w14:textId="77777777" w:rsidR="002402A5" w:rsidRPr="00D06097" w:rsidRDefault="002402A5" w:rsidP="003266C1">
      <w:pPr>
        <w:pStyle w:val="FootnoteText"/>
        <w:numPr>
          <w:ilvl w:val="0"/>
          <w:numId w:val="2"/>
        </w:numPr>
        <w:spacing w:after="240" w:line="276" w:lineRule="auto"/>
        <w:rPr>
          <w:rFonts w:ascii="Palatino Linotype" w:hAnsi="Palatino Linotype"/>
          <w:sz w:val="22"/>
          <w:szCs w:val="22"/>
        </w:rPr>
      </w:pPr>
      <w:r w:rsidRPr="00D06097">
        <w:rPr>
          <w:rFonts w:ascii="Palatino Linotype" w:hAnsi="Palatino Linotype"/>
          <w:b/>
          <w:bCs/>
          <w:sz w:val="22"/>
          <w:szCs w:val="22"/>
        </w:rPr>
        <w:t>Conclusion</w:t>
      </w:r>
    </w:p>
    <w:p w14:paraId="2BC0D0CB" w14:textId="48672161" w:rsidR="00436666" w:rsidRPr="00D06097" w:rsidRDefault="00B5558F" w:rsidP="00B5558F">
      <w:pPr>
        <w:pStyle w:val="FootnoteText"/>
        <w:spacing w:after="240" w:line="276" w:lineRule="auto"/>
        <w:rPr>
          <w:rFonts w:ascii="Palatino Linotype" w:hAnsi="Palatino Linotype"/>
          <w:sz w:val="22"/>
          <w:szCs w:val="22"/>
        </w:rPr>
      </w:pPr>
      <w:r w:rsidRPr="00D06097">
        <w:rPr>
          <w:rFonts w:ascii="Palatino Linotype" w:hAnsi="Palatino Linotype"/>
          <w:sz w:val="22"/>
          <w:szCs w:val="22"/>
        </w:rPr>
        <w:t xml:space="preserve">The Problem of evil, is among other things, a problem for faith; what grounds can there be for maintaining a confidence in the goodness of God in the face of such pervasive and profound evil. In the face of a concern for faith, one </w:t>
      </w:r>
      <w:r w:rsidR="007F3AA7" w:rsidRPr="00D06097">
        <w:rPr>
          <w:rFonts w:ascii="Palatino Linotype" w:hAnsi="Palatino Linotype"/>
          <w:sz w:val="22"/>
          <w:szCs w:val="22"/>
        </w:rPr>
        <w:t xml:space="preserve">yearns for </w:t>
      </w:r>
      <w:r w:rsidR="003266C1" w:rsidRPr="00D06097">
        <w:rPr>
          <w:rFonts w:ascii="Palatino Linotype" w:hAnsi="Palatino Linotype"/>
          <w:sz w:val="22"/>
          <w:szCs w:val="22"/>
        </w:rPr>
        <w:t xml:space="preserve">a reason rooted in divine testimony, in revelation, rather than in the furthest reaches of modal space. We have found compelling reason rooted in the </w:t>
      </w:r>
      <w:r w:rsidR="00781DF8" w:rsidRPr="00D06097">
        <w:rPr>
          <w:rFonts w:ascii="Palatino Linotype" w:hAnsi="Palatino Linotype"/>
          <w:sz w:val="22"/>
          <w:szCs w:val="22"/>
        </w:rPr>
        <w:t>Latter-day</w:t>
      </w:r>
      <w:r w:rsidR="003266C1" w:rsidRPr="00D06097">
        <w:rPr>
          <w:rFonts w:ascii="Palatino Linotype" w:hAnsi="Palatino Linotype"/>
          <w:sz w:val="22"/>
          <w:szCs w:val="22"/>
        </w:rPr>
        <w:t xml:space="preserve"> saint revelatory tradition for thinking that grounds for faith can be </w:t>
      </w:r>
      <w:r w:rsidR="003266C1" w:rsidRPr="00D06097">
        <w:rPr>
          <w:rFonts w:ascii="Palatino Linotype" w:hAnsi="Palatino Linotype"/>
          <w:sz w:val="22"/>
          <w:szCs w:val="22"/>
        </w:rPr>
        <w:lastRenderedPageBreak/>
        <w:t>preserved even in the face of the most profound kinds of evil; without revising in any capacity any core attribution of perfection to God.</w:t>
      </w:r>
      <w:r w:rsidR="008E5C5D" w:rsidRPr="00D06097">
        <w:rPr>
          <w:rFonts w:ascii="Palatino Linotype" w:hAnsi="Palatino Linotype"/>
          <w:sz w:val="22"/>
          <w:szCs w:val="22"/>
        </w:rPr>
        <w:t xml:space="preserve"> </w:t>
      </w:r>
    </w:p>
    <w:p w14:paraId="1F16C614" w14:textId="48BD3FB3" w:rsidR="00450427" w:rsidRPr="00D06097" w:rsidRDefault="00436666" w:rsidP="00450427">
      <w:pPr>
        <w:rPr>
          <w:rFonts w:ascii="Palatino Linotype" w:hAnsi="Palatino Linotype"/>
        </w:rPr>
      </w:pPr>
      <w:r w:rsidRPr="00D06097">
        <w:rPr>
          <w:rFonts w:ascii="Palatino Linotype" w:hAnsi="Palatino Linotype"/>
        </w:rPr>
        <w:t xml:space="preserve">By combining the traditional virtues of a soul-making non-identity theodicy with a transitory, therapeutic pre-eschatological afterlife state, </w:t>
      </w:r>
      <w:r w:rsidR="00781DF8" w:rsidRPr="00D06097">
        <w:rPr>
          <w:rFonts w:ascii="Palatino Linotype" w:hAnsi="Palatino Linotype"/>
        </w:rPr>
        <w:t>Latter-day</w:t>
      </w:r>
      <w:r w:rsidRPr="00D06097">
        <w:rPr>
          <w:rFonts w:ascii="Palatino Linotype" w:hAnsi="Palatino Linotype"/>
        </w:rPr>
        <w:t xml:space="preserve"> Saints can adequately address the deepest forms of evil and suffering </w:t>
      </w:r>
      <w:proofErr w:type="gramStart"/>
      <w:r w:rsidRPr="00D06097">
        <w:rPr>
          <w:rFonts w:ascii="Palatino Linotype" w:hAnsi="Palatino Linotype"/>
        </w:rPr>
        <w:t>souls</w:t>
      </w:r>
      <w:proofErr w:type="gramEnd"/>
      <w:r w:rsidRPr="00D06097">
        <w:rPr>
          <w:rFonts w:ascii="Palatino Linotype" w:hAnsi="Palatino Linotype"/>
        </w:rPr>
        <w:t xml:space="preserve"> encounter. Moreover, by acknowledging the value of souls reflected in the costly divine redemption of those souls, we find grounds for optimism that any soul whose existence depends on the occurrence of horrors, has sufficient worth to justify bringing them into existence. </w:t>
      </w:r>
      <w:r w:rsidR="00D06097">
        <w:rPr>
          <w:rStyle w:val="FootnoteReference"/>
          <w:rFonts w:ascii="Palatino Linotype" w:hAnsi="Palatino Linotype"/>
        </w:rPr>
        <w:footnoteReference w:id="42"/>
      </w:r>
    </w:p>
    <w:p w14:paraId="386C5E48" w14:textId="77777777" w:rsidR="00930F98" w:rsidRPr="00D06097" w:rsidRDefault="00930F98">
      <w:pPr>
        <w:rPr>
          <w:rFonts w:ascii="Palatino Linotype" w:hAnsi="Palatino Linotype"/>
          <w:b/>
          <w:bCs/>
        </w:rPr>
      </w:pPr>
      <w:r w:rsidRPr="00D06097">
        <w:rPr>
          <w:rFonts w:ascii="Palatino Linotype" w:hAnsi="Palatino Linotype"/>
          <w:b/>
          <w:bCs/>
        </w:rPr>
        <w:br w:type="page"/>
      </w:r>
    </w:p>
    <w:p w14:paraId="3069BD8F" w14:textId="77777777" w:rsidR="00584493" w:rsidRPr="00D06097" w:rsidRDefault="007A0BEA" w:rsidP="00C24FDC">
      <w:pPr>
        <w:jc w:val="center"/>
        <w:rPr>
          <w:rFonts w:ascii="Palatino Linotype" w:hAnsi="Palatino Linotype"/>
          <w:b/>
          <w:bCs/>
        </w:rPr>
      </w:pPr>
      <w:r w:rsidRPr="00D06097">
        <w:rPr>
          <w:rFonts w:ascii="Palatino Linotype" w:hAnsi="Palatino Linotype"/>
          <w:b/>
          <w:bCs/>
        </w:rPr>
        <w:lastRenderedPageBreak/>
        <w:t>References</w:t>
      </w:r>
    </w:p>
    <w:p w14:paraId="6399E2C6" w14:textId="77777777" w:rsidR="007A0BEA" w:rsidRPr="00D06097" w:rsidRDefault="007A0BEA" w:rsidP="007A0BEA">
      <w:pPr>
        <w:pStyle w:val="FootnoteText"/>
        <w:spacing w:after="240" w:line="276" w:lineRule="auto"/>
        <w:ind w:left="360" w:firstLine="0"/>
        <w:jc w:val="center"/>
        <w:rPr>
          <w:rFonts w:ascii="Palatino Linotype" w:hAnsi="Palatino Linotype"/>
          <w:sz w:val="22"/>
          <w:szCs w:val="22"/>
        </w:rPr>
      </w:pPr>
    </w:p>
    <w:p w14:paraId="219DBF3E" w14:textId="77777777" w:rsidR="00C42667" w:rsidRPr="00D06097" w:rsidRDefault="00C42667" w:rsidP="00C42667">
      <w:pPr>
        <w:ind w:hanging="480"/>
        <w:rPr>
          <w:rFonts w:ascii="Palatino Linotype" w:hAnsi="Palatino Linotype"/>
        </w:rPr>
      </w:pPr>
      <w:r w:rsidRPr="00D06097">
        <w:rPr>
          <w:rFonts w:ascii="Palatino Linotype" w:hAnsi="Palatino Linotype"/>
        </w:rPr>
        <w:t xml:space="preserve">Adams, Marilyn McCord. </w:t>
      </w:r>
      <w:r w:rsidRPr="00D06097">
        <w:rPr>
          <w:rFonts w:ascii="Palatino Linotype" w:hAnsi="Palatino Linotype"/>
          <w:i/>
          <w:iCs/>
        </w:rPr>
        <w:t>Christ and Horrors: The Coherence of Christology</w:t>
      </w:r>
      <w:r w:rsidRPr="00D06097">
        <w:rPr>
          <w:rFonts w:ascii="Palatino Linotype" w:hAnsi="Palatino Linotype"/>
        </w:rPr>
        <w:t>. Cambridge University Press, 2006.</w:t>
      </w:r>
    </w:p>
    <w:p w14:paraId="3BBE63EC" w14:textId="77777777" w:rsidR="00C42667" w:rsidRPr="00D06097" w:rsidRDefault="00C42667" w:rsidP="00C42667">
      <w:pPr>
        <w:ind w:hanging="480"/>
        <w:rPr>
          <w:rFonts w:ascii="Palatino Linotype" w:hAnsi="Palatino Linotype"/>
        </w:rPr>
      </w:pPr>
      <w:r w:rsidRPr="00D06097">
        <w:rPr>
          <w:rFonts w:ascii="Palatino Linotype" w:hAnsi="Palatino Linotype"/>
        </w:rPr>
        <w:t xml:space="preserve">———. </w:t>
      </w:r>
      <w:r w:rsidRPr="00D06097">
        <w:rPr>
          <w:rFonts w:ascii="Palatino Linotype" w:hAnsi="Palatino Linotype"/>
          <w:i/>
          <w:iCs/>
        </w:rPr>
        <w:t>Horrendous Evils and the Goodness of God</w:t>
      </w:r>
      <w:r w:rsidRPr="00D06097">
        <w:rPr>
          <w:rFonts w:ascii="Palatino Linotype" w:hAnsi="Palatino Linotype"/>
        </w:rPr>
        <w:t>. Cornell University Press, 1999.</w:t>
      </w:r>
    </w:p>
    <w:p w14:paraId="120C29A2" w14:textId="77777777" w:rsidR="00C42667" w:rsidRPr="00D06097" w:rsidRDefault="00C42667" w:rsidP="00C42667">
      <w:pPr>
        <w:ind w:hanging="480"/>
        <w:rPr>
          <w:rFonts w:ascii="Palatino Linotype" w:hAnsi="Palatino Linotype"/>
        </w:rPr>
      </w:pPr>
      <w:r w:rsidRPr="00D06097">
        <w:rPr>
          <w:rFonts w:ascii="Palatino Linotype" w:hAnsi="Palatino Linotype"/>
        </w:rPr>
        <w:t xml:space="preserve">Adams, Robert Merrihew. “Existence, Self-Interest, and the Problem of Evil.” </w:t>
      </w:r>
      <w:proofErr w:type="spellStart"/>
      <w:r w:rsidRPr="00D06097">
        <w:rPr>
          <w:rFonts w:ascii="Palatino Linotype" w:hAnsi="Palatino Linotype"/>
          <w:i/>
          <w:iCs/>
        </w:rPr>
        <w:t>Noûs</w:t>
      </w:r>
      <w:proofErr w:type="spellEnd"/>
      <w:r w:rsidRPr="00D06097">
        <w:rPr>
          <w:rFonts w:ascii="Palatino Linotype" w:hAnsi="Palatino Linotype"/>
        </w:rPr>
        <w:t xml:space="preserve"> 13, no. 1 (1979): 53–65. </w:t>
      </w:r>
      <w:hyperlink r:id="rId21" w:history="1">
        <w:r w:rsidRPr="00D06097">
          <w:rPr>
            <w:rStyle w:val="Hyperlink"/>
            <w:rFonts w:ascii="Palatino Linotype" w:hAnsi="Palatino Linotype"/>
            <w:color w:val="auto"/>
          </w:rPr>
          <w:t>https://doi.org/10.2307/2214795</w:t>
        </w:r>
      </w:hyperlink>
      <w:r w:rsidRPr="00D06097">
        <w:rPr>
          <w:rFonts w:ascii="Palatino Linotype" w:hAnsi="Palatino Linotype"/>
        </w:rPr>
        <w:t>.</w:t>
      </w:r>
    </w:p>
    <w:p w14:paraId="77A5D79B" w14:textId="77777777" w:rsidR="00C42667" w:rsidRPr="00D06097" w:rsidRDefault="00C42667" w:rsidP="00C42667">
      <w:pPr>
        <w:ind w:hanging="480"/>
        <w:rPr>
          <w:rFonts w:ascii="Palatino Linotype" w:hAnsi="Palatino Linotype"/>
        </w:rPr>
      </w:pPr>
      <w:r w:rsidRPr="00D06097">
        <w:rPr>
          <w:rFonts w:ascii="Palatino Linotype" w:hAnsi="Palatino Linotype"/>
        </w:rPr>
        <w:t xml:space="preserve">Bayles, Michael D. “The Price of Life.” </w:t>
      </w:r>
      <w:r w:rsidRPr="00D06097">
        <w:rPr>
          <w:rFonts w:ascii="Palatino Linotype" w:hAnsi="Palatino Linotype"/>
          <w:i/>
          <w:iCs/>
        </w:rPr>
        <w:t>Ethics</w:t>
      </w:r>
      <w:r w:rsidRPr="00D06097">
        <w:rPr>
          <w:rFonts w:ascii="Palatino Linotype" w:hAnsi="Palatino Linotype"/>
        </w:rPr>
        <w:t xml:space="preserve"> 89, no. 1 (October 1978): 20–34. </w:t>
      </w:r>
      <w:hyperlink r:id="rId22" w:history="1">
        <w:r w:rsidRPr="00D06097">
          <w:rPr>
            <w:rStyle w:val="Hyperlink"/>
            <w:rFonts w:ascii="Palatino Linotype" w:hAnsi="Palatino Linotype"/>
            <w:color w:val="auto"/>
          </w:rPr>
          <w:t>https://doi.org/10.1086/292101</w:t>
        </w:r>
      </w:hyperlink>
      <w:r w:rsidRPr="00D06097">
        <w:rPr>
          <w:rFonts w:ascii="Palatino Linotype" w:hAnsi="Palatino Linotype"/>
        </w:rPr>
        <w:t>.</w:t>
      </w:r>
    </w:p>
    <w:p w14:paraId="304D5882" w14:textId="77777777" w:rsidR="00C42667" w:rsidRPr="00D06097" w:rsidRDefault="00C42667" w:rsidP="00C42667">
      <w:pPr>
        <w:ind w:hanging="480"/>
        <w:rPr>
          <w:rFonts w:ascii="Palatino Linotype" w:hAnsi="Palatino Linotype"/>
        </w:rPr>
      </w:pPr>
      <w:r w:rsidRPr="00D06097">
        <w:rPr>
          <w:rFonts w:ascii="Palatino Linotype" w:hAnsi="Palatino Linotype"/>
        </w:rPr>
        <w:t xml:space="preserve">Benatar, David. </w:t>
      </w:r>
      <w:r w:rsidRPr="00D06097">
        <w:rPr>
          <w:rFonts w:ascii="Palatino Linotype" w:hAnsi="Palatino Linotype"/>
          <w:i/>
          <w:iCs/>
        </w:rPr>
        <w:t>Better Never to Have Been: The Harm of Coming into Existence</w:t>
      </w:r>
      <w:r w:rsidRPr="00D06097">
        <w:rPr>
          <w:rFonts w:ascii="Palatino Linotype" w:hAnsi="Palatino Linotype"/>
        </w:rPr>
        <w:t>. OUP Oxford, 2006.</w:t>
      </w:r>
    </w:p>
    <w:p w14:paraId="22494F2A" w14:textId="77777777" w:rsidR="00C42667" w:rsidRPr="00D06097" w:rsidRDefault="00C42667" w:rsidP="00C42667">
      <w:pPr>
        <w:ind w:hanging="480"/>
        <w:rPr>
          <w:rFonts w:ascii="Palatino Linotype" w:hAnsi="Palatino Linotype"/>
        </w:rPr>
      </w:pPr>
      <w:r w:rsidRPr="00D06097">
        <w:rPr>
          <w:rFonts w:ascii="Palatino Linotype" w:hAnsi="Palatino Linotype"/>
        </w:rPr>
        <w:t xml:space="preserve">———. “The Unbearable Lightness of Bringing into Being.” </w:t>
      </w:r>
      <w:r w:rsidRPr="00D06097">
        <w:rPr>
          <w:rFonts w:ascii="Palatino Linotype" w:hAnsi="Palatino Linotype"/>
          <w:i/>
          <w:iCs/>
        </w:rPr>
        <w:t>Journal of Applied Philosophy</w:t>
      </w:r>
      <w:r w:rsidRPr="00D06097">
        <w:rPr>
          <w:rFonts w:ascii="Palatino Linotype" w:hAnsi="Palatino Linotype"/>
        </w:rPr>
        <w:t xml:space="preserve"> 16, no. 2 (1999): 173–80. </w:t>
      </w:r>
      <w:hyperlink r:id="rId23" w:history="1">
        <w:r w:rsidRPr="00D06097">
          <w:rPr>
            <w:rStyle w:val="Hyperlink"/>
            <w:rFonts w:ascii="Palatino Linotype" w:hAnsi="Palatino Linotype"/>
            <w:color w:val="auto"/>
          </w:rPr>
          <w:t>https://doi.org/10.1111/1468-5930.00119</w:t>
        </w:r>
      </w:hyperlink>
      <w:r w:rsidRPr="00D06097">
        <w:rPr>
          <w:rFonts w:ascii="Palatino Linotype" w:hAnsi="Palatino Linotype"/>
        </w:rPr>
        <w:t>.</w:t>
      </w:r>
    </w:p>
    <w:p w14:paraId="716ED339" w14:textId="77777777" w:rsidR="00FA7E00" w:rsidRPr="00D06097" w:rsidRDefault="00FA7E00" w:rsidP="00FA7E00">
      <w:pPr>
        <w:ind w:hanging="480"/>
        <w:rPr>
          <w:rFonts w:ascii="Palatino Linotype" w:hAnsi="Palatino Linotype"/>
        </w:rPr>
      </w:pPr>
      <w:r w:rsidRPr="00D06097">
        <w:rPr>
          <w:rFonts w:ascii="Palatino Linotype" w:hAnsi="Palatino Linotype"/>
        </w:rPr>
        <w:t xml:space="preserve">Benson, Ezra Taft. “A Message to the Rising Generation.” </w:t>
      </w:r>
      <w:r w:rsidRPr="00D06097">
        <w:rPr>
          <w:rFonts w:ascii="Palatino Linotype" w:hAnsi="Palatino Linotype"/>
          <w:i/>
          <w:iCs/>
        </w:rPr>
        <w:t>Ensign</w:t>
      </w:r>
      <w:r w:rsidRPr="00D06097">
        <w:rPr>
          <w:rFonts w:ascii="Palatino Linotype" w:hAnsi="Palatino Linotype"/>
        </w:rPr>
        <w:t xml:space="preserve">, no. October (1977). </w:t>
      </w:r>
      <w:hyperlink r:id="rId24" w:history="1">
        <w:r w:rsidRPr="00D06097">
          <w:rPr>
            <w:rStyle w:val="Hyperlink"/>
            <w:rFonts w:ascii="Palatino Linotype" w:hAnsi="Palatino Linotype"/>
            <w:color w:val="auto"/>
          </w:rPr>
          <w:t>https://doi.org/, Now https://www.churchofjesuschrist.org/study/general-conference/1977/10/a-message-to-the-rising-generation?lang=eng</w:t>
        </w:r>
      </w:hyperlink>
      <w:r w:rsidRPr="00D06097">
        <w:rPr>
          <w:rFonts w:ascii="Palatino Linotype" w:hAnsi="Palatino Linotype"/>
        </w:rPr>
        <w:t>.</w:t>
      </w:r>
    </w:p>
    <w:p w14:paraId="43AA3129" w14:textId="77777777" w:rsidR="00C42667" w:rsidRPr="00D06097" w:rsidRDefault="00C42667" w:rsidP="00C42667">
      <w:pPr>
        <w:ind w:hanging="480"/>
        <w:rPr>
          <w:rFonts w:ascii="Palatino Linotype" w:hAnsi="Palatino Linotype"/>
        </w:rPr>
      </w:pPr>
      <w:r w:rsidRPr="00D06097">
        <w:rPr>
          <w:rFonts w:ascii="Palatino Linotype" w:hAnsi="Palatino Linotype"/>
        </w:rPr>
        <w:t xml:space="preserve">Brighouse, Harry, and Adam Swift. “Parents’ Rights and the Value of the Family.” </w:t>
      </w:r>
      <w:r w:rsidRPr="00D06097">
        <w:rPr>
          <w:rFonts w:ascii="Palatino Linotype" w:hAnsi="Palatino Linotype"/>
          <w:i/>
          <w:iCs/>
        </w:rPr>
        <w:t>Ethics</w:t>
      </w:r>
      <w:r w:rsidRPr="00D06097">
        <w:rPr>
          <w:rFonts w:ascii="Palatino Linotype" w:hAnsi="Palatino Linotype"/>
        </w:rPr>
        <w:t xml:space="preserve"> 117, no. 1 (October 2006): 80–108. </w:t>
      </w:r>
      <w:hyperlink r:id="rId25" w:history="1">
        <w:r w:rsidRPr="00D06097">
          <w:rPr>
            <w:rStyle w:val="Hyperlink"/>
            <w:rFonts w:ascii="Palatino Linotype" w:hAnsi="Palatino Linotype"/>
            <w:color w:val="auto"/>
          </w:rPr>
          <w:t>https://doi.org/10.1086/508034</w:t>
        </w:r>
      </w:hyperlink>
      <w:r w:rsidRPr="00D06097">
        <w:rPr>
          <w:rFonts w:ascii="Palatino Linotype" w:hAnsi="Palatino Linotype"/>
        </w:rPr>
        <w:t>.</w:t>
      </w:r>
    </w:p>
    <w:p w14:paraId="732CCAAF" w14:textId="59C99358" w:rsidR="00C42667" w:rsidRPr="00D06097" w:rsidRDefault="00C42667" w:rsidP="00C42667">
      <w:pPr>
        <w:ind w:hanging="480"/>
        <w:rPr>
          <w:rFonts w:ascii="Palatino Linotype" w:hAnsi="Palatino Linotype"/>
        </w:rPr>
      </w:pPr>
      <w:proofErr w:type="spellStart"/>
      <w:r w:rsidRPr="00D06097">
        <w:rPr>
          <w:rFonts w:ascii="Palatino Linotype" w:hAnsi="Palatino Linotype"/>
        </w:rPr>
        <w:t>Engster</w:t>
      </w:r>
      <w:proofErr w:type="spellEnd"/>
      <w:r w:rsidRPr="00D06097">
        <w:rPr>
          <w:rFonts w:ascii="Palatino Linotype" w:hAnsi="Palatino Linotype"/>
        </w:rPr>
        <w:t xml:space="preserve">, Daniel. “The Place of Parenting within a Liberal Theory of Justice: The Private Parenting Model, Parental Licenses, or Public Parenting Support?” </w:t>
      </w:r>
      <w:r w:rsidRPr="00D06097">
        <w:rPr>
          <w:rFonts w:ascii="Palatino Linotype" w:hAnsi="Palatino Linotype"/>
          <w:i/>
          <w:iCs/>
        </w:rPr>
        <w:t>Social Theory and Practice</w:t>
      </w:r>
      <w:r w:rsidRPr="00D06097">
        <w:rPr>
          <w:rFonts w:ascii="Palatino Linotype" w:hAnsi="Palatino Linotype"/>
        </w:rPr>
        <w:t xml:space="preserve"> 36, no. 2 (2010): 233–62.</w:t>
      </w:r>
    </w:p>
    <w:p w14:paraId="18687EC8" w14:textId="77777777" w:rsidR="00C42667" w:rsidRPr="00D06097" w:rsidRDefault="00C42667" w:rsidP="00C42667">
      <w:pPr>
        <w:ind w:hanging="480"/>
        <w:rPr>
          <w:rFonts w:ascii="Palatino Linotype" w:hAnsi="Palatino Linotype"/>
        </w:rPr>
      </w:pPr>
      <w:r w:rsidRPr="00D06097">
        <w:rPr>
          <w:rFonts w:ascii="Palatino Linotype" w:hAnsi="Palatino Linotype"/>
        </w:rPr>
        <w:t xml:space="preserve">Faulconer, James, and Susannah Morrison. “The King Follett Discourse: Pinnacle or Peripheral?” </w:t>
      </w:r>
      <w:r w:rsidRPr="00D06097">
        <w:rPr>
          <w:rFonts w:ascii="Palatino Linotype" w:hAnsi="Palatino Linotype"/>
          <w:i/>
          <w:iCs/>
        </w:rPr>
        <w:t>BYU Studies Quarterly</w:t>
      </w:r>
      <w:r w:rsidRPr="00D06097">
        <w:rPr>
          <w:rFonts w:ascii="Palatino Linotype" w:hAnsi="Palatino Linotype"/>
        </w:rPr>
        <w:t xml:space="preserve"> 60, no. 3 (July 1, 2021). </w:t>
      </w:r>
      <w:hyperlink r:id="rId26" w:history="1">
        <w:r w:rsidRPr="00D06097">
          <w:rPr>
            <w:rStyle w:val="Hyperlink"/>
            <w:rFonts w:ascii="Palatino Linotype" w:hAnsi="Palatino Linotype"/>
            <w:color w:val="auto"/>
          </w:rPr>
          <w:t>https://scholarsarchive.byu.edu/byusq/vol60/iss3/8</w:t>
        </w:r>
      </w:hyperlink>
      <w:r w:rsidRPr="00D06097">
        <w:rPr>
          <w:rFonts w:ascii="Palatino Linotype" w:hAnsi="Palatino Linotype"/>
        </w:rPr>
        <w:t>.</w:t>
      </w:r>
    </w:p>
    <w:p w14:paraId="7BD48503" w14:textId="77777777" w:rsidR="00C42667" w:rsidRPr="00D06097" w:rsidRDefault="00C42667" w:rsidP="00C42667">
      <w:pPr>
        <w:ind w:hanging="480"/>
        <w:rPr>
          <w:rFonts w:ascii="Palatino Linotype" w:hAnsi="Palatino Linotype"/>
        </w:rPr>
      </w:pPr>
      <w:r w:rsidRPr="00D06097">
        <w:rPr>
          <w:rFonts w:ascii="Palatino Linotype" w:hAnsi="Palatino Linotype"/>
        </w:rPr>
        <w:t xml:space="preserve">Hasker, William. “On Regretting the Evils of This World.” </w:t>
      </w:r>
      <w:r w:rsidRPr="00D06097">
        <w:rPr>
          <w:rFonts w:ascii="Palatino Linotype" w:hAnsi="Palatino Linotype"/>
          <w:i/>
          <w:iCs/>
        </w:rPr>
        <w:t>The Southern Journal of Philosophy</w:t>
      </w:r>
      <w:r w:rsidRPr="00D06097">
        <w:rPr>
          <w:rFonts w:ascii="Palatino Linotype" w:hAnsi="Palatino Linotype"/>
        </w:rPr>
        <w:t xml:space="preserve"> 19, no. 4 (Winter 1981): 425–37.</w:t>
      </w:r>
    </w:p>
    <w:p w14:paraId="22FFB36F" w14:textId="77777777" w:rsidR="00C42667" w:rsidRPr="00D06097" w:rsidRDefault="00C42667" w:rsidP="00C42667">
      <w:pPr>
        <w:ind w:hanging="480"/>
        <w:rPr>
          <w:rFonts w:ascii="Palatino Linotype" w:hAnsi="Palatino Linotype"/>
        </w:rPr>
      </w:pPr>
      <w:r w:rsidRPr="00D06097">
        <w:rPr>
          <w:rFonts w:ascii="Palatino Linotype" w:hAnsi="Palatino Linotype"/>
        </w:rPr>
        <w:t xml:space="preserve">Journal of Discourses, 26 vols., reported by G. D. Watt et al. (Liverpool: F.D. and S. W. Richards, et al., 1851–1886). (Reprint Salt Lake City: </w:t>
      </w:r>
      <w:proofErr w:type="spellStart"/>
      <w:r w:rsidRPr="00D06097">
        <w:rPr>
          <w:rFonts w:ascii="Palatino Linotype" w:hAnsi="Palatino Linotype"/>
        </w:rPr>
        <w:t>n.p.</w:t>
      </w:r>
      <w:proofErr w:type="spellEnd"/>
      <w:r w:rsidRPr="00D06097">
        <w:rPr>
          <w:rFonts w:ascii="Palatino Linotype" w:hAnsi="Palatino Linotype"/>
        </w:rPr>
        <w:t>, 1974.)</w:t>
      </w:r>
    </w:p>
    <w:p w14:paraId="4693802B" w14:textId="77777777" w:rsidR="00C42667" w:rsidRPr="00D06097" w:rsidRDefault="00C42667" w:rsidP="00C42667">
      <w:pPr>
        <w:ind w:hanging="480"/>
        <w:rPr>
          <w:rFonts w:ascii="Palatino Linotype" w:hAnsi="Palatino Linotype"/>
        </w:rPr>
      </w:pPr>
      <w:r w:rsidRPr="00D06097">
        <w:rPr>
          <w:rFonts w:ascii="Palatino Linotype" w:hAnsi="Palatino Linotype"/>
        </w:rPr>
        <w:t xml:space="preserve">Kahane, Guy. “History and Persons.” </w:t>
      </w:r>
      <w:r w:rsidRPr="00D06097">
        <w:rPr>
          <w:rFonts w:ascii="Palatino Linotype" w:hAnsi="Palatino Linotype"/>
          <w:i/>
          <w:iCs/>
        </w:rPr>
        <w:t>Philosophy and Phenomenological Research</w:t>
      </w:r>
      <w:r w:rsidRPr="00D06097">
        <w:rPr>
          <w:rFonts w:ascii="Palatino Linotype" w:hAnsi="Palatino Linotype"/>
        </w:rPr>
        <w:t xml:space="preserve"> 99, no. 1 (2019): 162–87. </w:t>
      </w:r>
      <w:hyperlink r:id="rId27" w:history="1">
        <w:r w:rsidRPr="00D06097">
          <w:rPr>
            <w:rStyle w:val="Hyperlink"/>
            <w:rFonts w:ascii="Palatino Linotype" w:hAnsi="Palatino Linotype"/>
            <w:color w:val="auto"/>
          </w:rPr>
          <w:t>https://doi.org/10.1111/phpr.12479</w:t>
        </w:r>
      </w:hyperlink>
      <w:r w:rsidRPr="00D06097">
        <w:rPr>
          <w:rFonts w:ascii="Palatino Linotype" w:hAnsi="Palatino Linotype"/>
        </w:rPr>
        <w:t>.</w:t>
      </w:r>
    </w:p>
    <w:p w14:paraId="23A8B91B" w14:textId="77777777" w:rsidR="00C42667" w:rsidRPr="00D06097" w:rsidRDefault="00C42667" w:rsidP="00C42667">
      <w:pPr>
        <w:ind w:hanging="480"/>
        <w:rPr>
          <w:rFonts w:ascii="Palatino Linotype" w:hAnsi="Palatino Linotype"/>
        </w:rPr>
      </w:pPr>
      <w:r w:rsidRPr="00D06097">
        <w:rPr>
          <w:rFonts w:ascii="Palatino Linotype" w:hAnsi="Palatino Linotype"/>
        </w:rPr>
        <w:lastRenderedPageBreak/>
        <w:t xml:space="preserve">———. “Was Evolution Worth It?” </w:t>
      </w:r>
      <w:r w:rsidRPr="00D06097">
        <w:rPr>
          <w:rFonts w:ascii="Palatino Linotype" w:hAnsi="Palatino Linotype"/>
          <w:i/>
          <w:iCs/>
        </w:rPr>
        <w:t>Philosophical Studies</w:t>
      </w:r>
      <w:r w:rsidRPr="00D06097">
        <w:rPr>
          <w:rFonts w:ascii="Palatino Linotype" w:hAnsi="Palatino Linotype"/>
        </w:rPr>
        <w:t xml:space="preserve"> 180, no. 1 (January 1, 2023): 249–71. </w:t>
      </w:r>
      <w:hyperlink r:id="rId28" w:history="1">
        <w:r w:rsidRPr="00D06097">
          <w:rPr>
            <w:rStyle w:val="Hyperlink"/>
            <w:rFonts w:ascii="Palatino Linotype" w:hAnsi="Palatino Linotype"/>
            <w:color w:val="auto"/>
          </w:rPr>
          <w:t>https://doi.org/10.1007/s11098-022-01893-4</w:t>
        </w:r>
      </w:hyperlink>
      <w:r w:rsidRPr="00D06097">
        <w:rPr>
          <w:rFonts w:ascii="Palatino Linotype" w:hAnsi="Palatino Linotype"/>
        </w:rPr>
        <w:t>.</w:t>
      </w:r>
    </w:p>
    <w:p w14:paraId="1AD1FF3A" w14:textId="77777777" w:rsidR="00C42667" w:rsidRPr="00D06097" w:rsidRDefault="00C42667" w:rsidP="00C42667">
      <w:pPr>
        <w:ind w:hanging="480"/>
        <w:rPr>
          <w:rFonts w:ascii="Palatino Linotype" w:hAnsi="Palatino Linotype"/>
        </w:rPr>
      </w:pPr>
      <w:proofErr w:type="spellStart"/>
      <w:r w:rsidRPr="00D06097">
        <w:rPr>
          <w:rFonts w:ascii="Palatino Linotype" w:hAnsi="Palatino Linotype"/>
        </w:rPr>
        <w:t>Kripke</w:t>
      </w:r>
      <w:proofErr w:type="spellEnd"/>
      <w:r w:rsidRPr="00D06097">
        <w:rPr>
          <w:rFonts w:ascii="Palatino Linotype" w:hAnsi="Palatino Linotype"/>
        </w:rPr>
        <w:t xml:space="preserve">, Saul A. </w:t>
      </w:r>
      <w:r w:rsidRPr="00D06097">
        <w:rPr>
          <w:rFonts w:ascii="Palatino Linotype" w:hAnsi="Palatino Linotype"/>
          <w:i/>
          <w:iCs/>
        </w:rPr>
        <w:t>Naming and Necessity</w:t>
      </w:r>
      <w:r w:rsidRPr="00D06097">
        <w:rPr>
          <w:rFonts w:ascii="Palatino Linotype" w:hAnsi="Palatino Linotype"/>
        </w:rPr>
        <w:t>. Harvard University Press, 1980.</w:t>
      </w:r>
    </w:p>
    <w:p w14:paraId="05391350" w14:textId="77777777" w:rsidR="00C42667" w:rsidRPr="00D06097" w:rsidRDefault="00C42667" w:rsidP="00C42667">
      <w:pPr>
        <w:ind w:hanging="480"/>
        <w:rPr>
          <w:rFonts w:ascii="Palatino Linotype" w:hAnsi="Palatino Linotype"/>
        </w:rPr>
      </w:pPr>
      <w:r w:rsidRPr="00D06097">
        <w:rPr>
          <w:rFonts w:ascii="Palatino Linotype" w:hAnsi="Palatino Linotype"/>
        </w:rPr>
        <w:t xml:space="preserve">Marquardt, Michael H. </w:t>
      </w:r>
      <w:r w:rsidRPr="00D06097">
        <w:rPr>
          <w:rFonts w:ascii="Palatino Linotype" w:hAnsi="Palatino Linotype"/>
          <w:i/>
          <w:iCs/>
        </w:rPr>
        <w:t xml:space="preserve">Early Patriarchal Blessings of the Church of Jesus Christ of </w:t>
      </w:r>
      <w:r w:rsidR="00781DF8" w:rsidRPr="00D06097">
        <w:rPr>
          <w:rFonts w:ascii="Palatino Linotype" w:hAnsi="Palatino Linotype"/>
          <w:i/>
          <w:iCs/>
        </w:rPr>
        <w:t>Latter-day</w:t>
      </w:r>
      <w:r w:rsidRPr="00D06097">
        <w:rPr>
          <w:rFonts w:ascii="Palatino Linotype" w:hAnsi="Palatino Linotype"/>
          <w:i/>
          <w:iCs/>
        </w:rPr>
        <w:t xml:space="preserve"> Saints</w:t>
      </w:r>
      <w:r w:rsidRPr="00D06097">
        <w:rPr>
          <w:rFonts w:ascii="Palatino Linotype" w:hAnsi="Palatino Linotype"/>
        </w:rPr>
        <w:t>. Smith-Pettit Foundation, 2007.</w:t>
      </w:r>
    </w:p>
    <w:p w14:paraId="79A6A339" w14:textId="77777777" w:rsidR="00C42667" w:rsidRPr="00D06097" w:rsidRDefault="00C42667" w:rsidP="00C42667">
      <w:pPr>
        <w:ind w:hanging="480"/>
        <w:rPr>
          <w:rFonts w:ascii="Palatino Linotype" w:hAnsi="Palatino Linotype"/>
        </w:rPr>
      </w:pPr>
      <w:r w:rsidRPr="00D06097">
        <w:rPr>
          <w:rFonts w:ascii="Palatino Linotype" w:hAnsi="Palatino Linotype"/>
        </w:rPr>
        <w:t xml:space="preserve">McLaughlan, James M. “The Problem of Evil in Mormon Thought.” In </w:t>
      </w:r>
      <w:r w:rsidRPr="00D06097">
        <w:rPr>
          <w:rFonts w:ascii="Palatino Linotype" w:hAnsi="Palatino Linotype"/>
          <w:i/>
          <w:iCs/>
        </w:rPr>
        <w:t>The Oxford Handbook of Mormonism</w:t>
      </w:r>
      <w:r w:rsidRPr="00D06097">
        <w:rPr>
          <w:rFonts w:ascii="Palatino Linotype" w:hAnsi="Palatino Linotype"/>
        </w:rPr>
        <w:t xml:space="preserve">, edited by Terryl L. Givens and Philip L. Barlow, 0. Oxford University Press, 2015. </w:t>
      </w:r>
      <w:hyperlink r:id="rId29" w:history="1">
        <w:r w:rsidRPr="00D06097">
          <w:rPr>
            <w:rStyle w:val="Hyperlink"/>
            <w:rFonts w:ascii="Palatino Linotype" w:hAnsi="Palatino Linotype"/>
            <w:color w:val="auto"/>
          </w:rPr>
          <w:t>https://doi.org/10.1093/oxfordhb/9780199778362.013.45</w:t>
        </w:r>
      </w:hyperlink>
      <w:r w:rsidRPr="00D06097">
        <w:rPr>
          <w:rFonts w:ascii="Palatino Linotype" w:hAnsi="Palatino Linotype"/>
        </w:rPr>
        <w:t>.</w:t>
      </w:r>
    </w:p>
    <w:p w14:paraId="08D0C6A2" w14:textId="77777777" w:rsidR="00C42667" w:rsidRPr="00D06097" w:rsidRDefault="00C42667" w:rsidP="00C42667">
      <w:pPr>
        <w:ind w:hanging="480"/>
        <w:rPr>
          <w:rFonts w:ascii="Palatino Linotype" w:hAnsi="Palatino Linotype"/>
        </w:rPr>
      </w:pPr>
      <w:r w:rsidRPr="00D06097">
        <w:rPr>
          <w:rFonts w:ascii="Palatino Linotype" w:hAnsi="Palatino Linotype"/>
        </w:rPr>
        <w:t xml:space="preserve">Miller, Taylor-Grey, and Derek Haderlie. “Sider’s Puzzle and the Mormon Afterlife.” </w:t>
      </w:r>
      <w:r w:rsidRPr="00D06097">
        <w:rPr>
          <w:rFonts w:ascii="Palatino Linotype" w:hAnsi="Palatino Linotype"/>
          <w:i/>
          <w:iCs/>
        </w:rPr>
        <w:t>Journal of Analytic Theology</w:t>
      </w:r>
      <w:r w:rsidRPr="00D06097">
        <w:rPr>
          <w:rFonts w:ascii="Palatino Linotype" w:hAnsi="Palatino Linotype"/>
        </w:rPr>
        <w:t xml:space="preserve"> 8 (September 21, 2020): 131–51. </w:t>
      </w:r>
      <w:hyperlink r:id="rId30" w:history="1">
        <w:r w:rsidRPr="00D06097">
          <w:rPr>
            <w:rStyle w:val="Hyperlink"/>
            <w:rFonts w:ascii="Palatino Linotype" w:hAnsi="Palatino Linotype"/>
            <w:color w:val="auto"/>
          </w:rPr>
          <w:t>https://doi.org/10.12978/jat.2020-8.120817070004</w:t>
        </w:r>
      </w:hyperlink>
      <w:r w:rsidRPr="00D06097">
        <w:rPr>
          <w:rFonts w:ascii="Palatino Linotype" w:hAnsi="Palatino Linotype"/>
        </w:rPr>
        <w:t>.</w:t>
      </w:r>
    </w:p>
    <w:p w14:paraId="4C60F151" w14:textId="77777777" w:rsidR="00C42667" w:rsidRPr="00D06097" w:rsidRDefault="00C42667" w:rsidP="00C42667">
      <w:pPr>
        <w:ind w:hanging="480"/>
        <w:rPr>
          <w:rFonts w:ascii="Palatino Linotype" w:hAnsi="Palatino Linotype"/>
        </w:rPr>
      </w:pPr>
      <w:r w:rsidRPr="00D06097">
        <w:rPr>
          <w:rFonts w:ascii="Palatino Linotype" w:hAnsi="Palatino Linotype"/>
        </w:rPr>
        <w:t xml:space="preserve">Millum, Joseph. </w:t>
      </w:r>
      <w:r w:rsidRPr="00D06097">
        <w:rPr>
          <w:rFonts w:ascii="Palatino Linotype" w:hAnsi="Palatino Linotype"/>
          <w:i/>
          <w:iCs/>
        </w:rPr>
        <w:t>The Moral Foundations of Parenthood</w:t>
      </w:r>
      <w:r w:rsidRPr="00D06097">
        <w:rPr>
          <w:rFonts w:ascii="Palatino Linotype" w:hAnsi="Palatino Linotype"/>
        </w:rPr>
        <w:t>. Oxford University Press, 2017.</w:t>
      </w:r>
    </w:p>
    <w:p w14:paraId="3E16A0AB" w14:textId="77777777" w:rsidR="00696F30" w:rsidRPr="00D06097" w:rsidRDefault="00696F30" w:rsidP="00696F30">
      <w:pPr>
        <w:ind w:hanging="480"/>
        <w:rPr>
          <w:rFonts w:ascii="Palatino Linotype" w:hAnsi="Palatino Linotype"/>
        </w:rPr>
      </w:pPr>
      <w:r w:rsidRPr="00D06097">
        <w:rPr>
          <w:rFonts w:ascii="Palatino Linotype" w:hAnsi="Palatino Linotype"/>
        </w:rPr>
        <w:t xml:space="preserve">Nelson, Russell M. “Hope of Israel,” Worldwide Youth Devotional, n.d. </w:t>
      </w:r>
      <w:hyperlink r:id="rId31" w:history="1">
        <w:r w:rsidRPr="00D06097">
          <w:rPr>
            <w:rStyle w:val="Hyperlink"/>
            <w:rFonts w:ascii="Palatino Linotype" w:hAnsi="Palatino Linotype"/>
            <w:color w:val="auto"/>
          </w:rPr>
          <w:t>https://www.churchofjesuschrist.org/study/broadcasts/worldwide-devotional-for-young-adults/2018/06/hope-of-israel?lang=eng</w:t>
        </w:r>
      </w:hyperlink>
      <w:r w:rsidRPr="00D06097">
        <w:rPr>
          <w:rFonts w:ascii="Palatino Linotype" w:hAnsi="Palatino Linotype"/>
        </w:rPr>
        <w:t>.</w:t>
      </w:r>
    </w:p>
    <w:p w14:paraId="051E9DB6" w14:textId="77777777" w:rsidR="00C42667" w:rsidRPr="00D06097" w:rsidRDefault="00C42667" w:rsidP="00C42667">
      <w:pPr>
        <w:ind w:hanging="480"/>
        <w:rPr>
          <w:rFonts w:ascii="Palatino Linotype" w:hAnsi="Palatino Linotype"/>
        </w:rPr>
      </w:pPr>
      <w:proofErr w:type="spellStart"/>
      <w:r w:rsidRPr="00D06097">
        <w:rPr>
          <w:rFonts w:ascii="Palatino Linotype" w:hAnsi="Palatino Linotype"/>
        </w:rPr>
        <w:t>Panchuk</w:t>
      </w:r>
      <w:proofErr w:type="spellEnd"/>
      <w:r w:rsidRPr="00D06097">
        <w:rPr>
          <w:rFonts w:ascii="Palatino Linotype" w:hAnsi="Palatino Linotype"/>
        </w:rPr>
        <w:t xml:space="preserve">, Michelle. “The Shattered Spiritual Self: A Philosophical Exploration of Religious Trauma.” </w:t>
      </w:r>
      <w:r w:rsidRPr="00D06097">
        <w:rPr>
          <w:rFonts w:ascii="Palatino Linotype" w:hAnsi="Palatino Linotype"/>
          <w:i/>
          <w:iCs/>
        </w:rPr>
        <w:t xml:space="preserve">Res </w:t>
      </w:r>
      <w:proofErr w:type="spellStart"/>
      <w:r w:rsidRPr="00D06097">
        <w:rPr>
          <w:rFonts w:ascii="Palatino Linotype" w:hAnsi="Palatino Linotype"/>
          <w:i/>
          <w:iCs/>
        </w:rPr>
        <w:t>Philosophica</w:t>
      </w:r>
      <w:proofErr w:type="spellEnd"/>
      <w:r w:rsidRPr="00D06097">
        <w:rPr>
          <w:rFonts w:ascii="Palatino Linotype" w:hAnsi="Palatino Linotype"/>
        </w:rPr>
        <w:t xml:space="preserve"> 95, no. 3 (September 28, 2018): 505–30. </w:t>
      </w:r>
      <w:hyperlink r:id="rId32" w:history="1">
        <w:r w:rsidRPr="00D06097">
          <w:rPr>
            <w:rStyle w:val="Hyperlink"/>
            <w:rFonts w:ascii="Palatino Linotype" w:hAnsi="Palatino Linotype"/>
            <w:color w:val="auto"/>
          </w:rPr>
          <w:t>https://doi.org/10.11612/resphil.1684</w:t>
        </w:r>
      </w:hyperlink>
      <w:r w:rsidRPr="00D06097">
        <w:rPr>
          <w:rFonts w:ascii="Palatino Linotype" w:hAnsi="Palatino Linotype"/>
        </w:rPr>
        <w:t>.</w:t>
      </w:r>
    </w:p>
    <w:p w14:paraId="0294FD94" w14:textId="77777777" w:rsidR="00C42667" w:rsidRPr="00D06097" w:rsidRDefault="00C42667" w:rsidP="00C42667">
      <w:pPr>
        <w:ind w:hanging="480"/>
        <w:rPr>
          <w:rFonts w:ascii="Palatino Linotype" w:hAnsi="Palatino Linotype"/>
        </w:rPr>
      </w:pPr>
      <w:r w:rsidRPr="00D06097">
        <w:rPr>
          <w:rFonts w:ascii="Palatino Linotype" w:hAnsi="Palatino Linotype"/>
        </w:rPr>
        <w:t xml:space="preserve">Parfit, Derek. “Future People, the Non-Identity Problem, and Person-Affecting Principles.” </w:t>
      </w:r>
      <w:r w:rsidRPr="00D06097">
        <w:rPr>
          <w:rFonts w:ascii="Palatino Linotype" w:hAnsi="Palatino Linotype"/>
          <w:i/>
          <w:iCs/>
        </w:rPr>
        <w:t>Philosophy &amp; Public Affairs</w:t>
      </w:r>
      <w:r w:rsidRPr="00D06097">
        <w:rPr>
          <w:rFonts w:ascii="Palatino Linotype" w:hAnsi="Palatino Linotype"/>
        </w:rPr>
        <w:t xml:space="preserve"> 45, no. 2 (2017): 118–57. </w:t>
      </w:r>
      <w:hyperlink r:id="rId33" w:history="1">
        <w:r w:rsidRPr="00D06097">
          <w:rPr>
            <w:rStyle w:val="Hyperlink"/>
            <w:rFonts w:ascii="Palatino Linotype" w:hAnsi="Palatino Linotype"/>
            <w:color w:val="auto"/>
          </w:rPr>
          <w:t>https://doi.org/10.1111/papa.12088</w:t>
        </w:r>
      </w:hyperlink>
      <w:r w:rsidRPr="00D06097">
        <w:rPr>
          <w:rFonts w:ascii="Palatino Linotype" w:hAnsi="Palatino Linotype"/>
        </w:rPr>
        <w:t>.</w:t>
      </w:r>
    </w:p>
    <w:p w14:paraId="28D0BB8F" w14:textId="77777777" w:rsidR="00C42667" w:rsidRPr="00D06097" w:rsidRDefault="00C42667" w:rsidP="00C42667">
      <w:pPr>
        <w:ind w:hanging="480"/>
        <w:rPr>
          <w:rFonts w:ascii="Palatino Linotype" w:hAnsi="Palatino Linotype"/>
        </w:rPr>
      </w:pPr>
      <w:r w:rsidRPr="00D06097">
        <w:rPr>
          <w:rFonts w:ascii="Palatino Linotype" w:hAnsi="Palatino Linotype"/>
        </w:rPr>
        <w:t xml:space="preserve">———. </w:t>
      </w:r>
      <w:r w:rsidRPr="00D06097">
        <w:rPr>
          <w:rFonts w:ascii="Palatino Linotype" w:hAnsi="Palatino Linotype"/>
          <w:i/>
          <w:iCs/>
        </w:rPr>
        <w:t>Reasons and Persons</w:t>
      </w:r>
      <w:r w:rsidRPr="00D06097">
        <w:rPr>
          <w:rFonts w:ascii="Palatino Linotype" w:hAnsi="Palatino Linotype"/>
        </w:rPr>
        <w:t>. OUP Oxford, 1984.</w:t>
      </w:r>
    </w:p>
    <w:p w14:paraId="6AB8178B" w14:textId="77777777" w:rsidR="00C42667" w:rsidRPr="00D06097" w:rsidRDefault="00C42667" w:rsidP="00C42667">
      <w:pPr>
        <w:ind w:hanging="480"/>
        <w:rPr>
          <w:rFonts w:ascii="Palatino Linotype" w:hAnsi="Palatino Linotype"/>
        </w:rPr>
      </w:pPr>
      <w:r w:rsidRPr="00D06097">
        <w:rPr>
          <w:rFonts w:ascii="Palatino Linotype" w:hAnsi="Palatino Linotype"/>
        </w:rPr>
        <w:t xml:space="preserve">Paulsen, David L. “Joseph Smith and the Problem of Evil.” </w:t>
      </w:r>
      <w:r w:rsidRPr="00D06097">
        <w:rPr>
          <w:rFonts w:ascii="Palatino Linotype" w:hAnsi="Palatino Linotype"/>
          <w:i/>
          <w:iCs/>
        </w:rPr>
        <w:t>Brigham Young University Studies</w:t>
      </w:r>
      <w:r w:rsidRPr="00D06097">
        <w:rPr>
          <w:rFonts w:ascii="Palatino Linotype" w:hAnsi="Palatino Linotype"/>
        </w:rPr>
        <w:t xml:space="preserve"> 39, no. 1 (2000): 53–65.</w:t>
      </w:r>
    </w:p>
    <w:p w14:paraId="336C21FD" w14:textId="77777777" w:rsidR="00C42667" w:rsidRPr="00D06097" w:rsidRDefault="00C42667" w:rsidP="00C42667">
      <w:pPr>
        <w:ind w:hanging="480"/>
        <w:rPr>
          <w:rFonts w:ascii="Palatino Linotype" w:hAnsi="Palatino Linotype"/>
        </w:rPr>
      </w:pPr>
      <w:r w:rsidRPr="00D06097">
        <w:rPr>
          <w:rFonts w:ascii="Palatino Linotype" w:hAnsi="Palatino Linotype"/>
        </w:rPr>
        <w:t xml:space="preserve">Roberts, Brigham Henry. </w:t>
      </w:r>
      <w:r w:rsidRPr="00D06097">
        <w:rPr>
          <w:rFonts w:ascii="Palatino Linotype" w:hAnsi="Palatino Linotype"/>
          <w:i/>
          <w:iCs/>
        </w:rPr>
        <w:t xml:space="preserve">The Mormon Doctrine of Deity: The Roberts-Van Der </w:t>
      </w:r>
      <w:proofErr w:type="spellStart"/>
      <w:r w:rsidRPr="00D06097">
        <w:rPr>
          <w:rFonts w:ascii="Palatino Linotype" w:hAnsi="Palatino Linotype"/>
          <w:i/>
          <w:iCs/>
        </w:rPr>
        <w:t>Donckt</w:t>
      </w:r>
      <w:proofErr w:type="spellEnd"/>
      <w:r w:rsidRPr="00D06097">
        <w:rPr>
          <w:rFonts w:ascii="Palatino Linotype" w:hAnsi="Palatino Linotype"/>
          <w:i/>
          <w:iCs/>
        </w:rPr>
        <w:t xml:space="preserve"> Discussion, to Which Is Added a Discourse, Jesus Christ: The Revelation of God</w:t>
      </w:r>
      <w:r w:rsidRPr="00D06097">
        <w:rPr>
          <w:rFonts w:ascii="Palatino Linotype" w:hAnsi="Palatino Linotype"/>
        </w:rPr>
        <w:t>. Deseret News, 1903.</w:t>
      </w:r>
    </w:p>
    <w:p w14:paraId="5660AF5D" w14:textId="77777777" w:rsidR="00C42667" w:rsidRPr="00D06097" w:rsidRDefault="00C42667" w:rsidP="00C42667">
      <w:pPr>
        <w:ind w:hanging="480"/>
        <w:rPr>
          <w:rFonts w:ascii="Palatino Linotype" w:hAnsi="Palatino Linotype"/>
        </w:rPr>
      </w:pPr>
      <w:r w:rsidRPr="00D06097">
        <w:rPr>
          <w:rFonts w:ascii="Palatino Linotype" w:hAnsi="Palatino Linotype"/>
        </w:rPr>
        <w:t xml:space="preserve">Rohrbaugh, Guy, and Louis </w:t>
      </w:r>
      <w:proofErr w:type="spellStart"/>
      <w:r w:rsidRPr="00D06097">
        <w:rPr>
          <w:rFonts w:ascii="Palatino Linotype" w:hAnsi="Palatino Linotype"/>
        </w:rPr>
        <w:t>deRosset</w:t>
      </w:r>
      <w:proofErr w:type="spellEnd"/>
      <w:r w:rsidRPr="00D06097">
        <w:rPr>
          <w:rFonts w:ascii="Palatino Linotype" w:hAnsi="Palatino Linotype"/>
        </w:rPr>
        <w:t xml:space="preserve">. “A New Route to the Necessity of Origin.” </w:t>
      </w:r>
      <w:proofErr w:type="spellStart"/>
      <w:r w:rsidRPr="00D06097">
        <w:rPr>
          <w:rFonts w:ascii="Palatino Linotype" w:hAnsi="Palatino Linotype"/>
          <w:i/>
          <w:iCs/>
        </w:rPr>
        <w:t>Mind</w:t>
      </w:r>
      <w:proofErr w:type="spellEnd"/>
      <w:r w:rsidRPr="00D06097">
        <w:rPr>
          <w:rFonts w:ascii="Palatino Linotype" w:hAnsi="Palatino Linotype"/>
        </w:rPr>
        <w:t xml:space="preserve"> 113, no. 452 (October 1, 2004): 705–25. </w:t>
      </w:r>
      <w:hyperlink r:id="rId34" w:history="1">
        <w:r w:rsidRPr="00D06097">
          <w:rPr>
            <w:rStyle w:val="Hyperlink"/>
            <w:rFonts w:ascii="Palatino Linotype" w:hAnsi="Palatino Linotype"/>
            <w:color w:val="auto"/>
          </w:rPr>
          <w:t>https://doi.org/10.1093/mind/113.452.705</w:t>
        </w:r>
      </w:hyperlink>
      <w:r w:rsidRPr="00D06097">
        <w:rPr>
          <w:rFonts w:ascii="Palatino Linotype" w:hAnsi="Palatino Linotype"/>
        </w:rPr>
        <w:t>.</w:t>
      </w:r>
    </w:p>
    <w:p w14:paraId="5634756D" w14:textId="77777777" w:rsidR="00C42667" w:rsidRPr="00D06097" w:rsidRDefault="00C42667" w:rsidP="00C42667">
      <w:pPr>
        <w:ind w:hanging="480"/>
        <w:rPr>
          <w:rFonts w:ascii="Palatino Linotype" w:hAnsi="Palatino Linotype"/>
        </w:rPr>
      </w:pPr>
      <w:r w:rsidRPr="00D06097">
        <w:rPr>
          <w:rFonts w:ascii="Palatino Linotype" w:hAnsi="Palatino Linotype"/>
        </w:rPr>
        <w:t xml:space="preserve">Shiffrin, Seana Valentine. “Wrongful life, procreative responsibility, and the significance of harm.” </w:t>
      </w:r>
      <w:r w:rsidRPr="00D06097">
        <w:rPr>
          <w:rFonts w:ascii="Palatino Linotype" w:hAnsi="Palatino Linotype"/>
          <w:i/>
          <w:iCs/>
        </w:rPr>
        <w:t>Legal Theory</w:t>
      </w:r>
      <w:r w:rsidRPr="00D06097">
        <w:rPr>
          <w:rFonts w:ascii="Palatino Linotype" w:hAnsi="Palatino Linotype"/>
        </w:rPr>
        <w:t xml:space="preserve"> 5, no. 2 (1999): 117–48. </w:t>
      </w:r>
      <w:hyperlink r:id="rId35" w:history="1">
        <w:r w:rsidRPr="00D06097">
          <w:rPr>
            <w:rStyle w:val="Hyperlink"/>
            <w:rFonts w:ascii="Palatino Linotype" w:hAnsi="Palatino Linotype"/>
            <w:color w:val="auto"/>
          </w:rPr>
          <w:t>https://doi.org/10.1017/S1352325299052015</w:t>
        </w:r>
      </w:hyperlink>
      <w:r w:rsidRPr="00D06097">
        <w:rPr>
          <w:rFonts w:ascii="Palatino Linotype" w:hAnsi="Palatino Linotype"/>
        </w:rPr>
        <w:t>.</w:t>
      </w:r>
    </w:p>
    <w:p w14:paraId="6D59FA27" w14:textId="77777777" w:rsidR="00D1539D" w:rsidRPr="00D06097" w:rsidRDefault="00D1539D" w:rsidP="00D1539D">
      <w:pPr>
        <w:spacing w:after="0" w:line="240" w:lineRule="auto"/>
        <w:ind w:hanging="480"/>
        <w:rPr>
          <w:rFonts w:ascii="Palatino Linotype" w:eastAsia="Times New Roman" w:hAnsi="Palatino Linotype" w:cs="Times New Roman"/>
          <w14:ligatures w14:val="standardContextual"/>
        </w:rPr>
      </w:pPr>
      <w:r w:rsidRPr="00D06097">
        <w:rPr>
          <w:rFonts w:ascii="Palatino Linotype" w:eastAsia="Times New Roman" w:hAnsi="Palatino Linotype" w:cs="Times New Roman"/>
          <w14:ligatures w14:val="standardContextual"/>
        </w:rPr>
        <w:t xml:space="preserve">Smith, Alex D. </w:t>
      </w:r>
      <w:r w:rsidRPr="00D06097">
        <w:rPr>
          <w:rFonts w:ascii="Palatino Linotype" w:eastAsia="Times New Roman" w:hAnsi="Palatino Linotype" w:cs="Times New Roman"/>
          <w:i/>
          <w:iCs/>
          <w14:ligatures w14:val="standardContextual"/>
        </w:rPr>
        <w:t>The Joseph Smith Papers Documents, Volume 9: December 1841-April 1842</w:t>
      </w:r>
      <w:r w:rsidRPr="00D06097">
        <w:rPr>
          <w:rFonts w:ascii="Palatino Linotype" w:eastAsia="Times New Roman" w:hAnsi="Palatino Linotype" w:cs="Times New Roman"/>
          <w14:ligatures w14:val="standardContextual"/>
        </w:rPr>
        <w:t>. Edited by Christian Heimburger and Christopher James Blythe. Salt Lake City, Utah: The Church Historian’s Press, 2019.</w:t>
      </w:r>
    </w:p>
    <w:p w14:paraId="3589ACFE" w14:textId="49D76A16" w:rsidR="00C42667" w:rsidRPr="00D06097" w:rsidRDefault="00C42667" w:rsidP="00C42667">
      <w:pPr>
        <w:ind w:hanging="480"/>
        <w:rPr>
          <w:rFonts w:ascii="Palatino Linotype" w:hAnsi="Palatino Linotype"/>
        </w:rPr>
      </w:pPr>
      <w:r w:rsidRPr="00D06097">
        <w:rPr>
          <w:rFonts w:ascii="Palatino Linotype" w:hAnsi="Palatino Linotype"/>
        </w:rPr>
        <w:lastRenderedPageBreak/>
        <w:t xml:space="preserve">Stout, Jeffrey. “The Sacred Made Visible.” The Third lecture in “A Light that </w:t>
      </w:r>
      <w:proofErr w:type="spellStart"/>
      <w:r w:rsidRPr="00D06097">
        <w:rPr>
          <w:rFonts w:ascii="Palatino Linotype" w:hAnsi="Palatino Linotype"/>
        </w:rPr>
        <w:t>Shinesi</w:t>
      </w:r>
      <w:proofErr w:type="spellEnd"/>
      <w:r w:rsidRPr="00D06097">
        <w:rPr>
          <w:rFonts w:ascii="Palatino Linotype" w:hAnsi="Palatino Linotype"/>
        </w:rPr>
        <w:t xml:space="preserve"> in Darkness: Evil Egotism, and the Sacred in Film,” Stone Lectures, Princeton Theological Seminary, 2007.</w:t>
      </w:r>
    </w:p>
    <w:p w14:paraId="7DBE504E" w14:textId="77777777" w:rsidR="00C42667" w:rsidRPr="00D06097" w:rsidRDefault="00C42667" w:rsidP="00C42667">
      <w:pPr>
        <w:ind w:hanging="480"/>
        <w:rPr>
          <w:rFonts w:ascii="Palatino Linotype" w:hAnsi="Palatino Linotype"/>
        </w:rPr>
      </w:pPr>
      <w:r w:rsidRPr="00D06097">
        <w:rPr>
          <w:rFonts w:ascii="Palatino Linotype" w:hAnsi="Palatino Linotype"/>
        </w:rPr>
        <w:t xml:space="preserve">Stump, Eleonore. </w:t>
      </w:r>
      <w:r w:rsidRPr="00D06097">
        <w:rPr>
          <w:rFonts w:ascii="Palatino Linotype" w:hAnsi="Palatino Linotype"/>
          <w:i/>
          <w:iCs/>
        </w:rPr>
        <w:t>Wandering in Darkness: Narrative and the Problem of Suffering</w:t>
      </w:r>
      <w:r w:rsidRPr="00D06097">
        <w:rPr>
          <w:rFonts w:ascii="Palatino Linotype" w:hAnsi="Palatino Linotype"/>
        </w:rPr>
        <w:t>. Oxford University Press, 2010.</w:t>
      </w:r>
    </w:p>
    <w:p w14:paraId="084EC48A" w14:textId="77777777" w:rsidR="00F96D66" w:rsidRPr="00D06097" w:rsidRDefault="00C42667" w:rsidP="00F96D66">
      <w:pPr>
        <w:ind w:hanging="480"/>
        <w:rPr>
          <w:rFonts w:ascii="Palatino Linotype" w:hAnsi="Palatino Linotype"/>
        </w:rPr>
      </w:pPr>
      <w:r w:rsidRPr="00D06097">
        <w:rPr>
          <w:rFonts w:ascii="Palatino Linotype" w:hAnsi="Palatino Linotype"/>
        </w:rPr>
        <w:t xml:space="preserve">Vitale, Vince R. </w:t>
      </w:r>
      <w:r w:rsidRPr="00D06097">
        <w:rPr>
          <w:rFonts w:ascii="Palatino Linotype" w:hAnsi="Palatino Linotype"/>
          <w:i/>
          <w:iCs/>
        </w:rPr>
        <w:t>Non-Identity Theodicy: A Grace-Based Response to the Problem of Evil</w:t>
      </w:r>
      <w:r w:rsidRPr="00D06097">
        <w:rPr>
          <w:rFonts w:ascii="Palatino Linotype" w:hAnsi="Palatino Linotype"/>
        </w:rPr>
        <w:t xml:space="preserve">. Oxford University Press, 2020. </w:t>
      </w:r>
      <w:hyperlink r:id="rId36" w:history="1">
        <w:r w:rsidRPr="00D06097">
          <w:rPr>
            <w:rStyle w:val="Hyperlink"/>
            <w:rFonts w:ascii="Palatino Linotype" w:hAnsi="Palatino Linotype"/>
            <w:color w:val="auto"/>
          </w:rPr>
          <w:t>https://doi.org/10.1093/oso/9780198864226.001.0001</w:t>
        </w:r>
      </w:hyperlink>
      <w:r w:rsidRPr="00D06097">
        <w:rPr>
          <w:rFonts w:ascii="Palatino Linotype" w:hAnsi="Palatino Linotype"/>
        </w:rPr>
        <w:t>.</w:t>
      </w:r>
    </w:p>
    <w:p w14:paraId="536CF0E3" w14:textId="4414FC48" w:rsidR="00584493" w:rsidRPr="00D06097" w:rsidRDefault="00F96D66" w:rsidP="00D1539D">
      <w:pPr>
        <w:ind w:hanging="480"/>
        <w:rPr>
          <w:rFonts w:ascii="Palatino Linotype" w:hAnsi="Palatino Linotype"/>
        </w:rPr>
      </w:pPr>
      <w:r w:rsidRPr="00D06097">
        <w:rPr>
          <w:rFonts w:ascii="Palatino Linotype" w:hAnsi="Palatino Linotype"/>
        </w:rPr>
        <w:t>Woolnough, D.R. “Anti-Natalism, Pro-Creation, &amp; The Problem of Evil: A New Fruitful Dilemma” (</w:t>
      </w:r>
      <w:proofErr w:type="spellStart"/>
      <w:r w:rsidRPr="00D06097">
        <w:rPr>
          <w:rFonts w:ascii="Palatino Linotype" w:hAnsi="Palatino Linotype"/>
        </w:rPr>
        <w:t>m.s.</w:t>
      </w:r>
      <w:proofErr w:type="spellEnd"/>
      <w:r w:rsidRPr="00D06097">
        <w:rPr>
          <w:rFonts w:ascii="Palatino Linotype" w:hAnsi="Palatino Linotype"/>
        </w:rPr>
        <w:t>).</w:t>
      </w:r>
    </w:p>
    <w:p w14:paraId="3117DFB0" w14:textId="5827659E" w:rsidR="00D1539D" w:rsidRPr="00D06097" w:rsidRDefault="00D1539D" w:rsidP="00D1539D">
      <w:pPr>
        <w:ind w:hanging="480"/>
        <w:rPr>
          <w:rFonts w:ascii="Palatino Linotype" w:hAnsi="Palatino Linotype" w:cs="Arial"/>
          <w:shd w:val="clear" w:color="auto" w:fill="FFFFFF"/>
        </w:rPr>
      </w:pPr>
      <w:r w:rsidRPr="00D06097">
        <w:rPr>
          <w:rFonts w:ascii="Palatino Linotype" w:hAnsi="Palatino Linotype" w:cs="Arial"/>
          <w:shd w:val="clear" w:color="auto" w:fill="FFFFFF"/>
        </w:rPr>
        <w:t>Young, Brigham. </w:t>
      </w:r>
      <w:r w:rsidRPr="00D06097">
        <w:rPr>
          <w:rFonts w:ascii="Palatino Linotype" w:hAnsi="Palatino Linotype" w:cs="Arial"/>
          <w:i/>
          <w:iCs/>
          <w:shd w:val="clear" w:color="auto" w:fill="FFFFFF"/>
        </w:rPr>
        <w:t>Discourses of Brigham Young.</w:t>
      </w:r>
      <w:r w:rsidRPr="00D06097">
        <w:rPr>
          <w:rFonts w:ascii="Palatino Linotype" w:hAnsi="Palatino Linotype" w:cs="Arial"/>
          <w:shd w:val="clear" w:color="auto" w:fill="FFFFFF"/>
        </w:rPr>
        <w:t xml:space="preserve"> Deseret Book Company, 1925.</w:t>
      </w:r>
    </w:p>
    <w:p w14:paraId="0D2EB374" w14:textId="77777777" w:rsidR="00D1539D" w:rsidRPr="00D06097" w:rsidRDefault="00D1539D" w:rsidP="00D1539D">
      <w:pPr>
        <w:ind w:hanging="480"/>
        <w:rPr>
          <w:rFonts w:ascii="Palatino Linotype" w:hAnsi="Palatino Linotype" w:cs="Arial"/>
          <w:shd w:val="clear" w:color="auto" w:fill="FFFFFF"/>
        </w:rPr>
      </w:pPr>
    </w:p>
    <w:p w14:paraId="4D74A5E6" w14:textId="77777777" w:rsidR="00D1539D" w:rsidRPr="00D06097" w:rsidRDefault="00D1539D" w:rsidP="00D1539D">
      <w:pPr>
        <w:ind w:hanging="480"/>
        <w:rPr>
          <w:rFonts w:ascii="Palatino Linotype" w:hAnsi="Palatino Linotype"/>
        </w:rPr>
      </w:pPr>
    </w:p>
    <w:p w14:paraId="6E1EDD2C" w14:textId="77777777" w:rsidR="00D1539D" w:rsidRPr="00D06097" w:rsidRDefault="00D1539D" w:rsidP="00D1539D">
      <w:pPr>
        <w:ind w:hanging="480"/>
        <w:rPr>
          <w:rFonts w:ascii="Palatino Linotype" w:hAnsi="Palatino Linotype"/>
        </w:rPr>
      </w:pPr>
    </w:p>
    <w:p w14:paraId="15620C49" w14:textId="77777777" w:rsidR="00584493" w:rsidRPr="00D06097" w:rsidRDefault="00584493" w:rsidP="00584493">
      <w:pPr>
        <w:pStyle w:val="FootnoteText"/>
        <w:spacing w:after="240" w:line="276" w:lineRule="auto"/>
        <w:ind w:left="360" w:firstLine="0"/>
        <w:rPr>
          <w:rFonts w:ascii="Palatino Linotype" w:hAnsi="Palatino Linotype"/>
          <w:sz w:val="22"/>
          <w:szCs w:val="22"/>
        </w:rPr>
      </w:pPr>
    </w:p>
    <w:p w14:paraId="6D7DFB7F" w14:textId="77777777" w:rsidR="00584493" w:rsidRPr="00D06097" w:rsidRDefault="00584493" w:rsidP="00584493">
      <w:pPr>
        <w:pStyle w:val="FootnoteText"/>
        <w:spacing w:after="240" w:line="276" w:lineRule="auto"/>
        <w:ind w:left="360" w:firstLine="0"/>
        <w:rPr>
          <w:rFonts w:ascii="Palatino Linotype" w:hAnsi="Palatino Linotype"/>
          <w:sz w:val="22"/>
          <w:szCs w:val="22"/>
        </w:rPr>
      </w:pPr>
    </w:p>
    <w:p w14:paraId="15263312" w14:textId="77777777" w:rsidR="00644E50" w:rsidRPr="00D06097" w:rsidRDefault="00644E50" w:rsidP="00584493">
      <w:pPr>
        <w:ind w:firstLine="0"/>
        <w:rPr>
          <w:rFonts w:ascii="Palatino Linotype" w:hAnsi="Palatino Linotype"/>
        </w:rPr>
      </w:pPr>
    </w:p>
    <w:p w14:paraId="7581FDCC" w14:textId="77777777" w:rsidR="00AE3079" w:rsidRPr="00D06097" w:rsidRDefault="00AE3079" w:rsidP="00584493">
      <w:pPr>
        <w:ind w:firstLine="0"/>
        <w:rPr>
          <w:rFonts w:ascii="Palatino Linotype" w:hAnsi="Palatino Linotype"/>
        </w:rPr>
      </w:pPr>
    </w:p>
    <w:p w14:paraId="16F26729" w14:textId="77777777" w:rsidR="00384249" w:rsidRPr="00D06097" w:rsidRDefault="00384249" w:rsidP="00584493">
      <w:pPr>
        <w:ind w:firstLine="0"/>
        <w:rPr>
          <w:rFonts w:ascii="Palatino Linotype" w:hAnsi="Palatino Linotype"/>
        </w:rPr>
      </w:pPr>
    </w:p>
    <w:p w14:paraId="6C6C40AC" w14:textId="77777777" w:rsidR="00384249" w:rsidRPr="00D06097" w:rsidRDefault="00384249" w:rsidP="00584493">
      <w:pPr>
        <w:ind w:firstLine="0"/>
        <w:rPr>
          <w:rFonts w:ascii="Palatino Linotype" w:hAnsi="Palatino Linotype"/>
        </w:rPr>
      </w:pPr>
    </w:p>
    <w:p w14:paraId="0FF9E9D8" w14:textId="77777777" w:rsidR="006B3B9A" w:rsidRPr="00D06097" w:rsidRDefault="006B3B9A" w:rsidP="002A23EE">
      <w:pPr>
        <w:rPr>
          <w:rFonts w:ascii="Palatino Linotype" w:hAnsi="Palatino Linotype"/>
        </w:rPr>
      </w:pPr>
    </w:p>
    <w:p w14:paraId="018CB18E" w14:textId="77777777" w:rsidR="00EC1A5F" w:rsidRPr="00D06097" w:rsidRDefault="00EC1A5F" w:rsidP="002A23EE">
      <w:pPr>
        <w:pStyle w:val="ListParagraph"/>
        <w:ind w:firstLine="0"/>
        <w:rPr>
          <w:rFonts w:ascii="Palatino Linotype" w:hAnsi="Palatino Linotype"/>
          <w:b/>
          <w:bCs/>
        </w:rPr>
      </w:pPr>
    </w:p>
    <w:p w14:paraId="0D843CE7" w14:textId="77777777" w:rsidR="00C17D84" w:rsidRPr="00D06097" w:rsidRDefault="00C17D84" w:rsidP="002A23EE">
      <w:pPr>
        <w:ind w:firstLine="0"/>
        <w:rPr>
          <w:rFonts w:ascii="Palatino Linotype" w:hAnsi="Palatino Linotype"/>
        </w:rPr>
      </w:pPr>
    </w:p>
    <w:p w14:paraId="252112C2" w14:textId="77777777" w:rsidR="00C17D84" w:rsidRPr="00D06097" w:rsidRDefault="00C17D84" w:rsidP="002A23EE">
      <w:pPr>
        <w:rPr>
          <w:rFonts w:ascii="Palatino Linotype" w:hAnsi="Palatino Linotype"/>
        </w:rPr>
      </w:pPr>
    </w:p>
    <w:p w14:paraId="00D95B3C" w14:textId="77777777" w:rsidR="00FA7E00" w:rsidRPr="00D06097" w:rsidRDefault="00FA7E00" w:rsidP="00FA7E00">
      <w:pPr>
        <w:ind w:hanging="480"/>
      </w:pPr>
    </w:p>
    <w:p w14:paraId="2D8DB1DA" w14:textId="77777777" w:rsidR="00FA7E00" w:rsidRPr="00D06097" w:rsidRDefault="00FA7E00" w:rsidP="00FA7E00">
      <w:pPr>
        <w:ind w:hanging="480"/>
      </w:pPr>
    </w:p>
    <w:sectPr w:rsidR="00FA7E00" w:rsidRPr="00D06097">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EBBC0" w14:textId="77777777" w:rsidR="00994919" w:rsidRDefault="00994919" w:rsidP="00A02670">
      <w:pPr>
        <w:spacing w:after="0" w:line="240" w:lineRule="auto"/>
      </w:pPr>
      <w:r>
        <w:separator/>
      </w:r>
    </w:p>
  </w:endnote>
  <w:endnote w:type="continuationSeparator" w:id="0">
    <w:p w14:paraId="7EE9CA64" w14:textId="77777777" w:rsidR="00994919" w:rsidRDefault="00994919" w:rsidP="00A02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014738"/>
      <w:docPartObj>
        <w:docPartGallery w:val="Page Numbers (Bottom of Page)"/>
        <w:docPartUnique/>
      </w:docPartObj>
    </w:sdtPr>
    <w:sdtEndPr>
      <w:rPr>
        <w:noProof/>
      </w:rPr>
    </w:sdtEndPr>
    <w:sdtContent>
      <w:p w14:paraId="27BBA40F" w14:textId="77777777" w:rsidR="00506BA6" w:rsidRDefault="00506B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91AD49" w14:textId="77777777" w:rsidR="00506BA6" w:rsidRDefault="00506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F127D" w14:textId="77777777" w:rsidR="00994919" w:rsidRDefault="00994919" w:rsidP="00A02670">
      <w:pPr>
        <w:spacing w:after="0" w:line="240" w:lineRule="auto"/>
      </w:pPr>
      <w:r>
        <w:separator/>
      </w:r>
    </w:p>
  </w:footnote>
  <w:footnote w:type="continuationSeparator" w:id="0">
    <w:p w14:paraId="6AFF1E24" w14:textId="77777777" w:rsidR="00994919" w:rsidRDefault="00994919" w:rsidP="00A02670">
      <w:pPr>
        <w:spacing w:after="0" w:line="240" w:lineRule="auto"/>
      </w:pPr>
      <w:r>
        <w:continuationSeparator/>
      </w:r>
    </w:p>
  </w:footnote>
  <w:footnote w:id="1">
    <w:p w14:paraId="68656E0B" w14:textId="77777777" w:rsidR="00A02670" w:rsidRPr="00D06097" w:rsidRDefault="00A02670">
      <w:pPr>
        <w:pStyle w:val="FootnoteText"/>
        <w:rPr>
          <w:rFonts w:ascii="Palatino Linotype" w:hAnsi="Palatino Linotype"/>
          <w:sz w:val="18"/>
          <w:szCs w:val="18"/>
        </w:rPr>
      </w:pPr>
      <w:r w:rsidRPr="00D06097">
        <w:rPr>
          <w:rStyle w:val="FootnoteReference"/>
          <w:rFonts w:ascii="Palatino Linotype" w:hAnsi="Palatino Linotype"/>
          <w:sz w:val="18"/>
          <w:szCs w:val="18"/>
        </w:rPr>
        <w:footnoteRef/>
      </w:r>
      <w:r w:rsidRPr="00D06097">
        <w:rPr>
          <w:rFonts w:ascii="Palatino Linotype" w:hAnsi="Palatino Linotype"/>
          <w:sz w:val="18"/>
          <w:szCs w:val="18"/>
        </w:rPr>
        <w:t xml:space="preserve"> </w:t>
      </w:r>
      <w:r w:rsidR="00291F4C" w:rsidRPr="00D06097">
        <w:rPr>
          <w:rFonts w:ascii="Palatino Linotype" w:hAnsi="Palatino Linotype"/>
          <w:sz w:val="18"/>
          <w:szCs w:val="18"/>
        </w:rPr>
        <w:t xml:space="preserve">See e.g., Paulson [2000] for the canonical presentation of such an argument, and McLaughlan [2015] for discussion of this approach to theodicy in </w:t>
      </w:r>
      <w:r w:rsidR="00781DF8" w:rsidRPr="00D06097">
        <w:rPr>
          <w:rFonts w:ascii="Palatino Linotype" w:hAnsi="Palatino Linotype"/>
          <w:sz w:val="18"/>
          <w:szCs w:val="18"/>
        </w:rPr>
        <w:t>Latter-day</w:t>
      </w:r>
      <w:r w:rsidR="00291F4C" w:rsidRPr="00D06097">
        <w:rPr>
          <w:rFonts w:ascii="Palatino Linotype" w:hAnsi="Palatino Linotype"/>
          <w:sz w:val="18"/>
          <w:szCs w:val="18"/>
        </w:rPr>
        <w:t xml:space="preserve"> Saint thought. </w:t>
      </w:r>
    </w:p>
  </w:footnote>
  <w:footnote w:id="2">
    <w:p w14:paraId="163B8E1D" w14:textId="77777777" w:rsidR="00A02670" w:rsidRPr="00D06097" w:rsidRDefault="00A02670" w:rsidP="00436666">
      <w:pPr>
        <w:pStyle w:val="mixed-citation-compatibility"/>
        <w:shd w:val="clear" w:color="auto" w:fill="FFFFFF"/>
        <w:spacing w:before="0" w:beforeAutospacing="0" w:after="0" w:afterAutospacing="0"/>
        <w:ind w:firstLine="360"/>
        <w:textAlignment w:val="baseline"/>
        <w:rPr>
          <w:rFonts w:ascii="Palatino Linotype" w:hAnsi="Palatino Linotype"/>
          <w:sz w:val="18"/>
          <w:szCs w:val="18"/>
        </w:rPr>
      </w:pPr>
      <w:r w:rsidRPr="00D06097">
        <w:rPr>
          <w:rStyle w:val="FootnoteReference"/>
          <w:rFonts w:ascii="Palatino Linotype" w:hAnsi="Palatino Linotype"/>
          <w:sz w:val="18"/>
          <w:szCs w:val="18"/>
        </w:rPr>
        <w:footnoteRef/>
      </w:r>
      <w:r w:rsidRPr="00D06097">
        <w:rPr>
          <w:rFonts w:ascii="Palatino Linotype" w:hAnsi="Palatino Linotype"/>
          <w:sz w:val="18"/>
          <w:szCs w:val="18"/>
        </w:rPr>
        <w:t xml:space="preserve"> </w:t>
      </w:r>
      <w:r w:rsidR="00291F4C" w:rsidRPr="00D06097">
        <w:rPr>
          <w:rFonts w:ascii="Palatino Linotype" w:hAnsi="Palatino Linotype"/>
          <w:sz w:val="18"/>
          <w:szCs w:val="18"/>
        </w:rPr>
        <w:t xml:space="preserve">This view has its roots in Joseph Smith’s King Follett </w:t>
      </w:r>
      <w:r w:rsidR="00EE2290" w:rsidRPr="00D06097">
        <w:rPr>
          <w:rFonts w:ascii="Palatino Linotype" w:hAnsi="Palatino Linotype"/>
          <w:sz w:val="18"/>
          <w:szCs w:val="18"/>
        </w:rPr>
        <w:t>discourse and is importantly developed in Roberts [1903].</w:t>
      </w:r>
      <w:r w:rsidR="009A52CA" w:rsidRPr="00D06097">
        <w:rPr>
          <w:rFonts w:ascii="Palatino Linotype" w:hAnsi="Palatino Linotype"/>
          <w:sz w:val="18"/>
          <w:szCs w:val="18"/>
        </w:rPr>
        <w:t xml:space="preserve"> For excellent discussion of the theological place of the King Follett discourse in the broader </w:t>
      </w:r>
      <w:r w:rsidR="00781DF8" w:rsidRPr="00D06097">
        <w:rPr>
          <w:rFonts w:ascii="Palatino Linotype" w:hAnsi="Palatino Linotype"/>
          <w:sz w:val="18"/>
          <w:szCs w:val="18"/>
        </w:rPr>
        <w:t>Latter-day</w:t>
      </w:r>
      <w:r w:rsidR="009A52CA" w:rsidRPr="00D06097">
        <w:rPr>
          <w:rFonts w:ascii="Palatino Linotype" w:hAnsi="Palatino Linotype"/>
          <w:sz w:val="18"/>
          <w:szCs w:val="18"/>
        </w:rPr>
        <w:t xml:space="preserve"> Saint theological landscape, see Faulconer [2021].</w:t>
      </w:r>
    </w:p>
  </w:footnote>
  <w:footnote w:id="3">
    <w:p w14:paraId="05C7BA84" w14:textId="77777777" w:rsidR="00A50D1F" w:rsidRPr="00D06097" w:rsidRDefault="00A50D1F">
      <w:pPr>
        <w:pStyle w:val="FootnoteText"/>
        <w:rPr>
          <w:rFonts w:ascii="Palatino Linotype" w:hAnsi="Palatino Linotype"/>
          <w:sz w:val="18"/>
          <w:szCs w:val="18"/>
        </w:rPr>
      </w:pPr>
      <w:r w:rsidRPr="00D06097">
        <w:rPr>
          <w:rStyle w:val="FootnoteReference"/>
          <w:rFonts w:ascii="Palatino Linotype" w:hAnsi="Palatino Linotype"/>
          <w:sz w:val="18"/>
          <w:szCs w:val="18"/>
        </w:rPr>
        <w:footnoteRef/>
      </w:r>
      <w:r w:rsidRPr="00D06097">
        <w:rPr>
          <w:rFonts w:ascii="Palatino Linotype" w:hAnsi="Palatino Linotype"/>
          <w:sz w:val="18"/>
          <w:szCs w:val="18"/>
        </w:rPr>
        <w:t xml:space="preserve"> </w:t>
      </w:r>
      <w:r w:rsidR="00293F69" w:rsidRPr="00D06097">
        <w:rPr>
          <w:rFonts w:ascii="Palatino Linotype" w:hAnsi="Palatino Linotype"/>
          <w:sz w:val="18"/>
          <w:szCs w:val="18"/>
        </w:rPr>
        <w:t>This approach to theodicy has its roots in Leibniz, but s</w:t>
      </w:r>
      <w:r w:rsidR="00BE3032" w:rsidRPr="00D06097">
        <w:rPr>
          <w:rFonts w:ascii="Palatino Linotype" w:hAnsi="Palatino Linotype"/>
          <w:sz w:val="18"/>
          <w:szCs w:val="18"/>
        </w:rPr>
        <w:t xml:space="preserve">ee e.g., </w:t>
      </w:r>
      <w:r w:rsidR="00293F69" w:rsidRPr="00D06097">
        <w:rPr>
          <w:rFonts w:ascii="Palatino Linotype" w:hAnsi="Palatino Linotype"/>
          <w:sz w:val="18"/>
          <w:szCs w:val="18"/>
        </w:rPr>
        <w:t xml:space="preserve">Adams [1979], </w:t>
      </w:r>
      <w:r w:rsidR="00EB1C04" w:rsidRPr="00D06097">
        <w:rPr>
          <w:rFonts w:ascii="Palatino Linotype" w:hAnsi="Palatino Linotype"/>
          <w:sz w:val="18"/>
          <w:szCs w:val="18"/>
        </w:rPr>
        <w:t xml:space="preserve">and </w:t>
      </w:r>
      <w:r w:rsidR="00BE3032" w:rsidRPr="00D06097">
        <w:rPr>
          <w:rFonts w:ascii="Palatino Linotype" w:hAnsi="Palatino Linotype"/>
          <w:sz w:val="18"/>
          <w:szCs w:val="18"/>
        </w:rPr>
        <w:t>Hasker [</w:t>
      </w:r>
      <w:r w:rsidR="00293F69" w:rsidRPr="00D06097">
        <w:rPr>
          <w:rFonts w:ascii="Palatino Linotype" w:hAnsi="Palatino Linotype"/>
          <w:sz w:val="18"/>
          <w:szCs w:val="18"/>
        </w:rPr>
        <w:t xml:space="preserve">1981] for contemporary arguments to this effect. See also Vitale [2020] for a more recent, forceful, and comprehensive defense of this </w:t>
      </w:r>
      <w:r w:rsidR="005D5BF0" w:rsidRPr="00D06097">
        <w:rPr>
          <w:rFonts w:ascii="Palatino Linotype" w:hAnsi="Palatino Linotype"/>
          <w:sz w:val="18"/>
          <w:szCs w:val="18"/>
        </w:rPr>
        <w:t>approach</w:t>
      </w:r>
      <w:r w:rsidR="00293F69" w:rsidRPr="00D06097">
        <w:rPr>
          <w:rFonts w:ascii="Palatino Linotype" w:hAnsi="Palatino Linotype"/>
          <w:sz w:val="18"/>
          <w:szCs w:val="18"/>
        </w:rPr>
        <w:t>.</w:t>
      </w:r>
    </w:p>
  </w:footnote>
  <w:footnote w:id="4">
    <w:p w14:paraId="5A4B1479" w14:textId="77777777" w:rsidR="006B3B9A" w:rsidRPr="00D06097" w:rsidRDefault="006B3B9A">
      <w:pPr>
        <w:pStyle w:val="FootnoteText"/>
        <w:rPr>
          <w:rFonts w:ascii="Palatino Linotype" w:hAnsi="Palatino Linotype"/>
          <w:sz w:val="18"/>
          <w:szCs w:val="18"/>
        </w:rPr>
      </w:pPr>
      <w:r w:rsidRPr="00D06097">
        <w:rPr>
          <w:rStyle w:val="FootnoteReference"/>
          <w:rFonts w:ascii="Palatino Linotype" w:hAnsi="Palatino Linotype"/>
          <w:sz w:val="18"/>
          <w:szCs w:val="18"/>
        </w:rPr>
        <w:footnoteRef/>
      </w:r>
      <w:r w:rsidRPr="00D06097">
        <w:rPr>
          <w:rFonts w:ascii="Palatino Linotype" w:hAnsi="Palatino Linotype"/>
          <w:sz w:val="18"/>
          <w:szCs w:val="18"/>
        </w:rPr>
        <w:t xml:space="preserve"> S</w:t>
      </w:r>
      <w:r w:rsidR="00D953F3" w:rsidRPr="00D06097">
        <w:rPr>
          <w:rFonts w:ascii="Palatino Linotype" w:hAnsi="Palatino Linotype"/>
          <w:sz w:val="18"/>
          <w:szCs w:val="18"/>
        </w:rPr>
        <w:t>criptural uses of the term “spirit” to designate pre-embodied persons include</w:t>
      </w:r>
      <w:r w:rsidRPr="00D06097">
        <w:rPr>
          <w:rFonts w:ascii="Palatino Linotype" w:hAnsi="Palatino Linotype"/>
          <w:sz w:val="18"/>
          <w:szCs w:val="18"/>
        </w:rPr>
        <w:t xml:space="preserve"> </w:t>
      </w:r>
      <w:r w:rsidR="00D953F3" w:rsidRPr="00D06097">
        <w:rPr>
          <w:rFonts w:ascii="Palatino Linotype" w:hAnsi="Palatino Linotype"/>
          <w:sz w:val="18"/>
          <w:szCs w:val="18"/>
        </w:rPr>
        <w:t>Moses 3:4-9, Abraham 3:23.</w:t>
      </w:r>
    </w:p>
  </w:footnote>
  <w:footnote w:id="5">
    <w:p w14:paraId="0D5D3A7B" w14:textId="77777777" w:rsidR="00D953F3" w:rsidRPr="00D06097" w:rsidRDefault="00D953F3">
      <w:pPr>
        <w:pStyle w:val="FootnoteText"/>
        <w:rPr>
          <w:rFonts w:ascii="Palatino Linotype" w:hAnsi="Palatino Linotype"/>
          <w:sz w:val="18"/>
          <w:szCs w:val="18"/>
        </w:rPr>
      </w:pPr>
      <w:r w:rsidRPr="00D06097">
        <w:rPr>
          <w:rStyle w:val="FootnoteReference"/>
          <w:rFonts w:ascii="Palatino Linotype" w:hAnsi="Palatino Linotype"/>
          <w:sz w:val="18"/>
          <w:szCs w:val="18"/>
        </w:rPr>
        <w:footnoteRef/>
      </w:r>
      <w:r w:rsidRPr="00D06097">
        <w:rPr>
          <w:rFonts w:ascii="Palatino Linotype" w:hAnsi="Palatino Linotype"/>
          <w:sz w:val="18"/>
          <w:szCs w:val="18"/>
        </w:rPr>
        <w:t xml:space="preserve"> It is worth observing that in various places the term “soul” is used to designate spirits, but all we aim to point out here is the scriptural distinction between a pre-embodied person and that which results from fusing it with various bits of matter. </w:t>
      </w:r>
    </w:p>
  </w:footnote>
  <w:footnote w:id="6">
    <w:p w14:paraId="4C992FF7" w14:textId="77777777" w:rsidR="002D601C" w:rsidRPr="00D06097" w:rsidRDefault="002D601C">
      <w:pPr>
        <w:pStyle w:val="FootnoteText"/>
        <w:rPr>
          <w:rFonts w:ascii="Palatino Linotype" w:hAnsi="Palatino Linotype"/>
          <w:sz w:val="18"/>
          <w:szCs w:val="18"/>
        </w:rPr>
      </w:pPr>
      <w:r w:rsidRPr="00D06097">
        <w:rPr>
          <w:rStyle w:val="FootnoteReference"/>
          <w:rFonts w:ascii="Palatino Linotype" w:hAnsi="Palatino Linotype"/>
          <w:sz w:val="18"/>
          <w:szCs w:val="18"/>
        </w:rPr>
        <w:footnoteRef/>
      </w:r>
      <w:r w:rsidRPr="00D06097">
        <w:rPr>
          <w:rFonts w:ascii="Palatino Linotype" w:hAnsi="Palatino Linotype"/>
          <w:sz w:val="18"/>
          <w:szCs w:val="18"/>
        </w:rPr>
        <w:t xml:space="preserve"> </w:t>
      </w:r>
      <w:r w:rsidR="00291EE5" w:rsidRPr="00D06097">
        <w:rPr>
          <w:rFonts w:ascii="Palatino Linotype" w:hAnsi="Palatino Linotype"/>
          <w:sz w:val="18"/>
          <w:szCs w:val="18"/>
        </w:rPr>
        <w:t>For arguments in favor of the essentiality of origins see</w:t>
      </w:r>
      <w:r w:rsidRPr="00D06097">
        <w:rPr>
          <w:rFonts w:ascii="Palatino Linotype" w:hAnsi="Palatino Linotype"/>
          <w:sz w:val="18"/>
          <w:szCs w:val="18"/>
        </w:rPr>
        <w:t xml:space="preserve"> </w:t>
      </w:r>
      <w:proofErr w:type="spellStart"/>
      <w:r w:rsidRPr="00D06097">
        <w:rPr>
          <w:rFonts w:ascii="Palatino Linotype" w:hAnsi="Palatino Linotype"/>
          <w:sz w:val="18"/>
          <w:szCs w:val="18"/>
        </w:rPr>
        <w:t>Kripke</w:t>
      </w:r>
      <w:proofErr w:type="spellEnd"/>
      <w:r w:rsidRPr="00D06097">
        <w:rPr>
          <w:rFonts w:ascii="Palatino Linotype" w:hAnsi="Palatino Linotype"/>
          <w:sz w:val="18"/>
          <w:szCs w:val="18"/>
        </w:rPr>
        <w:t xml:space="preserve"> [</w:t>
      </w:r>
      <w:r w:rsidR="00291EE5" w:rsidRPr="00D06097">
        <w:rPr>
          <w:rFonts w:ascii="Palatino Linotype" w:hAnsi="Palatino Linotype"/>
          <w:sz w:val="18"/>
          <w:szCs w:val="18"/>
        </w:rPr>
        <w:t xml:space="preserve">1980], </w:t>
      </w:r>
      <w:r w:rsidRPr="00D06097">
        <w:rPr>
          <w:rFonts w:ascii="Palatino Linotype" w:hAnsi="Palatino Linotype"/>
          <w:sz w:val="18"/>
          <w:szCs w:val="18"/>
        </w:rPr>
        <w:t xml:space="preserve">and </w:t>
      </w:r>
      <w:r w:rsidR="00291EE5" w:rsidRPr="00D06097">
        <w:rPr>
          <w:rFonts w:ascii="Palatino Linotype" w:hAnsi="Palatino Linotype"/>
          <w:sz w:val="18"/>
          <w:szCs w:val="18"/>
        </w:rPr>
        <w:t xml:space="preserve">more recently </w:t>
      </w:r>
      <w:r w:rsidR="005C3C01" w:rsidRPr="00D06097">
        <w:rPr>
          <w:rFonts w:ascii="Palatino Linotype" w:hAnsi="Palatino Linotype"/>
          <w:sz w:val="18"/>
          <w:szCs w:val="18"/>
        </w:rPr>
        <w:t xml:space="preserve">Rohrbaugh and </w:t>
      </w:r>
      <w:proofErr w:type="spellStart"/>
      <w:r w:rsidR="00291EE5" w:rsidRPr="00D06097">
        <w:rPr>
          <w:rFonts w:ascii="Palatino Linotype" w:hAnsi="Palatino Linotype"/>
          <w:sz w:val="18"/>
          <w:szCs w:val="18"/>
        </w:rPr>
        <w:t>deRosset</w:t>
      </w:r>
      <w:proofErr w:type="spellEnd"/>
      <w:r w:rsidRPr="00D06097">
        <w:rPr>
          <w:rFonts w:ascii="Palatino Linotype" w:hAnsi="Palatino Linotype"/>
          <w:sz w:val="18"/>
          <w:szCs w:val="18"/>
        </w:rPr>
        <w:t xml:space="preserve"> [</w:t>
      </w:r>
      <w:r w:rsidR="00291EE5" w:rsidRPr="00D06097">
        <w:rPr>
          <w:rFonts w:ascii="Palatino Linotype" w:hAnsi="Palatino Linotype"/>
          <w:sz w:val="18"/>
          <w:szCs w:val="18"/>
        </w:rPr>
        <w:t>2004</w:t>
      </w:r>
      <w:r w:rsidRPr="00D06097">
        <w:rPr>
          <w:rFonts w:ascii="Palatino Linotype" w:hAnsi="Palatino Linotype"/>
          <w:sz w:val="18"/>
          <w:szCs w:val="18"/>
        </w:rPr>
        <w:t>].</w:t>
      </w:r>
    </w:p>
  </w:footnote>
  <w:footnote w:id="7">
    <w:p w14:paraId="2BD1E1CF" w14:textId="77777777" w:rsidR="008F0166" w:rsidRPr="00D06097" w:rsidRDefault="008F0166" w:rsidP="008F0166">
      <w:pPr>
        <w:pStyle w:val="FootnoteText"/>
        <w:rPr>
          <w:rFonts w:ascii="Palatino Linotype" w:hAnsi="Palatino Linotype"/>
          <w:sz w:val="18"/>
          <w:szCs w:val="18"/>
        </w:rPr>
      </w:pPr>
      <w:r w:rsidRPr="00D06097">
        <w:rPr>
          <w:rStyle w:val="FootnoteReference"/>
          <w:rFonts w:ascii="Palatino Linotype" w:hAnsi="Palatino Linotype"/>
          <w:sz w:val="18"/>
          <w:szCs w:val="18"/>
        </w:rPr>
        <w:footnoteRef/>
      </w:r>
      <w:r w:rsidRPr="00D06097">
        <w:rPr>
          <w:rFonts w:ascii="Palatino Linotype" w:hAnsi="Palatino Linotype"/>
          <w:sz w:val="18"/>
          <w:szCs w:val="18"/>
        </w:rPr>
        <w:t xml:space="preserve"> See e.g., D&amp;C [18:10-18], and Moses [1:39] for some typically clear scriptural expressions of this view. </w:t>
      </w:r>
    </w:p>
  </w:footnote>
  <w:footnote w:id="8">
    <w:p w14:paraId="2DD09C31" w14:textId="77777777" w:rsidR="009819B7" w:rsidRPr="00D06097" w:rsidRDefault="009819B7" w:rsidP="00992BFA">
      <w:pPr>
        <w:pStyle w:val="FootnoteText"/>
        <w:rPr>
          <w:rFonts w:ascii="Palatino Linotype" w:hAnsi="Palatino Linotype"/>
          <w:sz w:val="18"/>
          <w:szCs w:val="18"/>
        </w:rPr>
      </w:pPr>
      <w:r w:rsidRPr="00D06097">
        <w:rPr>
          <w:rStyle w:val="FootnoteReference"/>
          <w:rFonts w:ascii="Palatino Linotype" w:hAnsi="Palatino Linotype"/>
          <w:sz w:val="18"/>
          <w:szCs w:val="18"/>
        </w:rPr>
        <w:footnoteRef/>
      </w:r>
      <w:r w:rsidRPr="00D06097">
        <w:rPr>
          <w:rFonts w:ascii="Palatino Linotype" w:hAnsi="Palatino Linotype"/>
          <w:sz w:val="18"/>
          <w:szCs w:val="18"/>
        </w:rPr>
        <w:t xml:space="preserve"> Scriptural expressions of this sentiment can be found respectively in 2 Nephi 3:6-15</w:t>
      </w:r>
      <w:r w:rsidR="00943F00" w:rsidRPr="00D06097">
        <w:rPr>
          <w:rFonts w:ascii="Palatino Linotype" w:hAnsi="Palatino Linotype"/>
          <w:sz w:val="18"/>
          <w:szCs w:val="18"/>
        </w:rPr>
        <w:t xml:space="preserve">, </w:t>
      </w:r>
      <w:r w:rsidRPr="00D06097">
        <w:rPr>
          <w:rFonts w:ascii="Palatino Linotype" w:hAnsi="Palatino Linotype"/>
          <w:sz w:val="18"/>
          <w:szCs w:val="18"/>
        </w:rPr>
        <w:t>Moses 1:40-41</w:t>
      </w:r>
      <w:r w:rsidR="00943F00" w:rsidRPr="00D06097">
        <w:rPr>
          <w:rFonts w:ascii="Palatino Linotype" w:hAnsi="Palatino Linotype"/>
          <w:sz w:val="18"/>
          <w:szCs w:val="18"/>
        </w:rPr>
        <w:t>, and perhaps most forcefully in D&amp;C 86:8-11</w:t>
      </w:r>
      <w:r w:rsidRPr="00D06097">
        <w:rPr>
          <w:rFonts w:ascii="Palatino Linotype" w:hAnsi="Palatino Linotype"/>
          <w:sz w:val="18"/>
          <w:szCs w:val="18"/>
        </w:rPr>
        <w:t xml:space="preserve">. For other </w:t>
      </w:r>
      <w:r w:rsidR="00765D2E" w:rsidRPr="00D06097">
        <w:rPr>
          <w:rFonts w:ascii="Palatino Linotype" w:hAnsi="Palatino Linotype"/>
          <w:sz w:val="18"/>
          <w:szCs w:val="18"/>
        </w:rPr>
        <w:t>contemporary</w:t>
      </w:r>
      <w:r w:rsidRPr="00D06097">
        <w:rPr>
          <w:rFonts w:ascii="Palatino Linotype" w:hAnsi="Palatino Linotype"/>
          <w:sz w:val="18"/>
          <w:szCs w:val="18"/>
        </w:rPr>
        <w:t xml:space="preserve"> expressions of this sentiment</w:t>
      </w:r>
      <w:r w:rsidR="00765D2E" w:rsidRPr="00D06097">
        <w:rPr>
          <w:rFonts w:ascii="Palatino Linotype" w:hAnsi="Palatino Linotype"/>
          <w:sz w:val="18"/>
          <w:szCs w:val="18"/>
        </w:rPr>
        <w:t xml:space="preserve"> by ecclesiastical authorities</w:t>
      </w:r>
      <w:r w:rsidRPr="00D06097">
        <w:rPr>
          <w:rFonts w:ascii="Palatino Linotype" w:hAnsi="Palatino Linotype"/>
          <w:sz w:val="18"/>
          <w:szCs w:val="18"/>
        </w:rPr>
        <w:t xml:space="preserve">, see also </w:t>
      </w:r>
      <w:r w:rsidR="00765D2E" w:rsidRPr="00D06097">
        <w:rPr>
          <w:rFonts w:ascii="Palatino Linotype" w:hAnsi="Palatino Linotype"/>
          <w:sz w:val="18"/>
          <w:szCs w:val="18"/>
        </w:rPr>
        <w:t>JD 21:316 and JD 24:187.</w:t>
      </w:r>
      <w:r w:rsidR="001755EF" w:rsidRPr="00D06097">
        <w:rPr>
          <w:rFonts w:ascii="Palatino Linotype" w:hAnsi="Palatino Linotype"/>
          <w:sz w:val="18"/>
          <w:szCs w:val="18"/>
        </w:rPr>
        <w:t xml:space="preserve"> Here we adopt the convention of using JD as an abbreviation for </w:t>
      </w:r>
      <w:r w:rsidR="001755EF" w:rsidRPr="00D06097">
        <w:rPr>
          <w:rFonts w:ascii="Palatino Linotype" w:hAnsi="Palatino Linotype"/>
          <w:i/>
          <w:iCs/>
          <w:sz w:val="18"/>
          <w:szCs w:val="18"/>
        </w:rPr>
        <w:t>Journal of Discourses</w:t>
      </w:r>
      <w:r w:rsidR="001755EF" w:rsidRPr="00D06097">
        <w:rPr>
          <w:rFonts w:ascii="Palatino Linotype" w:hAnsi="Palatino Linotype"/>
          <w:sz w:val="18"/>
          <w:szCs w:val="18"/>
        </w:rPr>
        <w:t xml:space="preserve">. </w:t>
      </w:r>
    </w:p>
  </w:footnote>
  <w:footnote w:id="9">
    <w:p w14:paraId="3704BD0C" w14:textId="77777777" w:rsidR="005C7A24" w:rsidRPr="00D06097" w:rsidRDefault="005C7A24">
      <w:pPr>
        <w:pStyle w:val="FootnoteText"/>
        <w:rPr>
          <w:rFonts w:ascii="Palatino Linotype" w:hAnsi="Palatino Linotype"/>
          <w:sz w:val="18"/>
          <w:szCs w:val="18"/>
        </w:rPr>
      </w:pPr>
      <w:r w:rsidRPr="00D06097">
        <w:rPr>
          <w:rStyle w:val="FootnoteReference"/>
          <w:rFonts w:ascii="Palatino Linotype" w:hAnsi="Palatino Linotype"/>
          <w:sz w:val="18"/>
          <w:szCs w:val="18"/>
        </w:rPr>
        <w:footnoteRef/>
      </w:r>
      <w:r w:rsidRPr="00D06097">
        <w:rPr>
          <w:rFonts w:ascii="Palatino Linotype" w:hAnsi="Palatino Linotype"/>
          <w:sz w:val="18"/>
          <w:szCs w:val="18"/>
        </w:rPr>
        <w:t xml:space="preserve"> See e.g., Matthew 1:6. </w:t>
      </w:r>
    </w:p>
  </w:footnote>
  <w:footnote w:id="10">
    <w:p w14:paraId="4BD54682" w14:textId="77777777" w:rsidR="001B2EE7" w:rsidRPr="00D06097" w:rsidRDefault="001B2EE7">
      <w:pPr>
        <w:pStyle w:val="FootnoteText"/>
        <w:rPr>
          <w:rFonts w:ascii="Palatino Linotype" w:hAnsi="Palatino Linotype"/>
          <w:sz w:val="18"/>
          <w:szCs w:val="18"/>
        </w:rPr>
      </w:pPr>
      <w:r w:rsidRPr="00D06097">
        <w:rPr>
          <w:rStyle w:val="FootnoteReference"/>
          <w:rFonts w:ascii="Palatino Linotype" w:hAnsi="Palatino Linotype"/>
          <w:sz w:val="18"/>
          <w:szCs w:val="18"/>
        </w:rPr>
        <w:footnoteRef/>
      </w:r>
      <w:r w:rsidRPr="00D06097">
        <w:rPr>
          <w:rFonts w:ascii="Palatino Linotype" w:hAnsi="Palatino Linotype"/>
          <w:sz w:val="18"/>
          <w:szCs w:val="18"/>
        </w:rPr>
        <w:t xml:space="preserve"> See 2 Samuel 11 and 12. </w:t>
      </w:r>
    </w:p>
  </w:footnote>
  <w:footnote w:id="11">
    <w:p w14:paraId="3EBB8734" w14:textId="0EC37A77" w:rsidR="005B05A8" w:rsidRPr="00D06097" w:rsidRDefault="005B05A8">
      <w:pPr>
        <w:pStyle w:val="FootnoteText"/>
        <w:rPr>
          <w:rFonts w:ascii="Palatino Linotype" w:hAnsi="Palatino Linotype"/>
          <w:color w:val="4472C4" w:themeColor="accent1"/>
          <w:sz w:val="18"/>
          <w:szCs w:val="18"/>
        </w:rPr>
      </w:pPr>
      <w:r w:rsidRPr="00D06097">
        <w:rPr>
          <w:rStyle w:val="FootnoteReference"/>
          <w:rFonts w:ascii="Palatino Linotype" w:hAnsi="Palatino Linotype"/>
          <w:sz w:val="18"/>
          <w:szCs w:val="18"/>
        </w:rPr>
        <w:footnoteRef/>
      </w:r>
      <w:r w:rsidRPr="00D06097">
        <w:rPr>
          <w:rFonts w:ascii="Palatino Linotype" w:hAnsi="Palatino Linotype"/>
          <w:sz w:val="18"/>
          <w:szCs w:val="18"/>
        </w:rPr>
        <w:t xml:space="preserve"> </w:t>
      </w:r>
      <w:r w:rsidRPr="00D06097">
        <w:rPr>
          <w:rFonts w:ascii="Palatino Linotype" w:hAnsi="Palatino Linotype"/>
          <w:color w:val="4472C4" w:themeColor="accent1"/>
          <w:sz w:val="18"/>
          <w:szCs w:val="18"/>
        </w:rPr>
        <w:t xml:space="preserve">This should be of particular interest to Latter-day Saint readers since it is often thought that in so arranging his marriage to Bathsheba David fell from his exaltation (see D&amp;C 132:29). But as we’ve seen above, there is no reason to think that this evil </w:t>
      </w:r>
      <w:r w:rsidRPr="00D06097">
        <w:rPr>
          <w:rFonts w:ascii="Palatino Linotype" w:hAnsi="Palatino Linotype"/>
          <w:i/>
          <w:iCs/>
          <w:color w:val="4472C4" w:themeColor="accent1"/>
          <w:sz w:val="18"/>
          <w:szCs w:val="18"/>
        </w:rPr>
        <w:t>must have occurred</w:t>
      </w:r>
      <w:r w:rsidRPr="00D06097">
        <w:rPr>
          <w:rFonts w:ascii="Palatino Linotype" w:hAnsi="Palatino Linotype"/>
          <w:color w:val="4472C4" w:themeColor="accent1"/>
          <w:sz w:val="18"/>
          <w:szCs w:val="18"/>
        </w:rPr>
        <w:t xml:space="preserve">. Only that given its compatibility with realizing Solomon’s origins, such an evil act could be tolerated. Thanks to an anonymous referee for pressing us to make this point clear as well as to draw attention to the eschatological significance of David’s actions in a Latter-day Saint context. </w:t>
      </w:r>
    </w:p>
  </w:footnote>
  <w:footnote w:id="12">
    <w:p w14:paraId="4FFEB833" w14:textId="77777777" w:rsidR="00D17C75" w:rsidRPr="00D06097" w:rsidRDefault="00D17C75">
      <w:pPr>
        <w:pStyle w:val="FootnoteText"/>
        <w:rPr>
          <w:rFonts w:ascii="Palatino Linotype" w:hAnsi="Palatino Linotype"/>
          <w:sz w:val="18"/>
          <w:szCs w:val="18"/>
        </w:rPr>
      </w:pPr>
      <w:r w:rsidRPr="00D06097">
        <w:rPr>
          <w:rStyle w:val="FootnoteReference"/>
          <w:rFonts w:ascii="Palatino Linotype" w:hAnsi="Palatino Linotype"/>
          <w:sz w:val="18"/>
          <w:szCs w:val="18"/>
        </w:rPr>
        <w:footnoteRef/>
      </w:r>
      <w:r w:rsidRPr="00D06097">
        <w:rPr>
          <w:rFonts w:ascii="Palatino Linotype" w:hAnsi="Palatino Linotype"/>
          <w:sz w:val="18"/>
          <w:szCs w:val="18"/>
        </w:rPr>
        <w:t xml:space="preserve"> </w:t>
      </w:r>
      <w:r w:rsidR="00992BFA" w:rsidRPr="00D06097">
        <w:rPr>
          <w:rFonts w:ascii="Palatino Linotype" w:hAnsi="Palatino Linotype"/>
          <w:sz w:val="18"/>
          <w:szCs w:val="18"/>
        </w:rPr>
        <w:t>Benson,</w:t>
      </w:r>
      <w:r w:rsidRPr="00D06097">
        <w:rPr>
          <w:rFonts w:ascii="Palatino Linotype" w:hAnsi="Palatino Linotype"/>
          <w:sz w:val="18"/>
          <w:szCs w:val="18"/>
        </w:rPr>
        <w:t xml:space="preserve"> </w:t>
      </w:r>
      <w:r w:rsidR="001A09A6" w:rsidRPr="00D06097">
        <w:rPr>
          <w:rFonts w:ascii="Palatino Linotype" w:hAnsi="Palatino Linotype"/>
          <w:sz w:val="18"/>
          <w:szCs w:val="18"/>
        </w:rPr>
        <w:t>“A Message to the rising generation</w:t>
      </w:r>
      <w:r w:rsidR="00992BFA" w:rsidRPr="00D06097">
        <w:rPr>
          <w:rFonts w:ascii="Palatino Linotype" w:hAnsi="Palatino Linotype"/>
          <w:sz w:val="18"/>
          <w:szCs w:val="18"/>
        </w:rPr>
        <w:t>.</w:t>
      </w:r>
      <w:r w:rsidR="001A09A6" w:rsidRPr="00D06097">
        <w:rPr>
          <w:rFonts w:ascii="Palatino Linotype" w:hAnsi="Palatino Linotype"/>
          <w:sz w:val="18"/>
          <w:szCs w:val="18"/>
        </w:rPr>
        <w:t>”</w:t>
      </w:r>
    </w:p>
  </w:footnote>
  <w:footnote w:id="13">
    <w:p w14:paraId="79ED6799" w14:textId="77777777" w:rsidR="001A09A6" w:rsidRPr="00D06097" w:rsidRDefault="001A09A6">
      <w:pPr>
        <w:pStyle w:val="FootnoteText"/>
        <w:rPr>
          <w:rFonts w:ascii="Palatino Linotype" w:hAnsi="Palatino Linotype"/>
          <w:sz w:val="18"/>
          <w:szCs w:val="18"/>
        </w:rPr>
      </w:pPr>
      <w:r w:rsidRPr="00D06097">
        <w:rPr>
          <w:rStyle w:val="FootnoteReference"/>
          <w:rFonts w:ascii="Palatino Linotype" w:hAnsi="Palatino Linotype"/>
          <w:sz w:val="18"/>
          <w:szCs w:val="18"/>
        </w:rPr>
        <w:footnoteRef/>
      </w:r>
      <w:r w:rsidRPr="00D06097">
        <w:rPr>
          <w:rFonts w:ascii="Palatino Linotype" w:hAnsi="Palatino Linotype"/>
          <w:sz w:val="18"/>
          <w:szCs w:val="18"/>
        </w:rPr>
        <w:t xml:space="preserve"> </w:t>
      </w:r>
      <w:r w:rsidR="00992BFA" w:rsidRPr="00D06097">
        <w:rPr>
          <w:rFonts w:ascii="Palatino Linotype" w:hAnsi="Palatino Linotype"/>
          <w:sz w:val="18"/>
          <w:szCs w:val="18"/>
        </w:rPr>
        <w:t>Nelson,</w:t>
      </w:r>
      <w:r w:rsidRPr="00D06097">
        <w:rPr>
          <w:rFonts w:ascii="Palatino Linotype" w:hAnsi="Palatino Linotype"/>
          <w:sz w:val="18"/>
          <w:szCs w:val="18"/>
        </w:rPr>
        <w:t xml:space="preserve"> “You are the hope of Israel</w:t>
      </w:r>
      <w:r w:rsidR="00992BFA" w:rsidRPr="00D06097">
        <w:rPr>
          <w:rFonts w:ascii="Palatino Linotype" w:hAnsi="Palatino Linotype"/>
          <w:sz w:val="18"/>
          <w:szCs w:val="18"/>
        </w:rPr>
        <w:t>.</w:t>
      </w:r>
      <w:r w:rsidRPr="00D06097">
        <w:rPr>
          <w:rFonts w:ascii="Palatino Linotype" w:hAnsi="Palatino Linotype"/>
          <w:sz w:val="18"/>
          <w:szCs w:val="18"/>
        </w:rPr>
        <w:t>”</w:t>
      </w:r>
    </w:p>
  </w:footnote>
  <w:footnote w:id="14">
    <w:p w14:paraId="23AC4814" w14:textId="77777777" w:rsidR="001A09A6" w:rsidRPr="00D06097" w:rsidRDefault="001A09A6">
      <w:pPr>
        <w:pStyle w:val="FootnoteText"/>
        <w:rPr>
          <w:rFonts w:ascii="Palatino Linotype" w:hAnsi="Palatino Linotype"/>
          <w:sz w:val="18"/>
          <w:szCs w:val="18"/>
        </w:rPr>
      </w:pPr>
      <w:r w:rsidRPr="00D06097">
        <w:rPr>
          <w:rStyle w:val="FootnoteReference"/>
          <w:rFonts w:ascii="Palatino Linotype" w:hAnsi="Palatino Linotype"/>
          <w:sz w:val="18"/>
          <w:szCs w:val="18"/>
        </w:rPr>
        <w:footnoteRef/>
      </w:r>
      <w:r w:rsidRPr="00D06097">
        <w:rPr>
          <w:rFonts w:ascii="Palatino Linotype" w:hAnsi="Palatino Linotype"/>
          <w:sz w:val="18"/>
          <w:szCs w:val="18"/>
        </w:rPr>
        <w:t xml:space="preserve"> </w:t>
      </w:r>
      <w:r w:rsidR="00992BFA" w:rsidRPr="00D06097">
        <w:rPr>
          <w:rFonts w:ascii="Palatino Linotype" w:hAnsi="Palatino Linotype"/>
          <w:sz w:val="18"/>
          <w:szCs w:val="18"/>
        </w:rPr>
        <w:t xml:space="preserve">See e.g., Marquardt’s </w:t>
      </w:r>
      <w:r w:rsidR="00992BFA" w:rsidRPr="00D06097">
        <w:rPr>
          <w:rFonts w:ascii="Palatino Linotype" w:hAnsi="Palatino Linotype" w:cs="Arial"/>
          <w:i/>
          <w:iCs/>
          <w:color w:val="222222"/>
          <w:sz w:val="18"/>
          <w:szCs w:val="18"/>
          <w:shd w:val="clear" w:color="auto" w:fill="FFFFFF"/>
        </w:rPr>
        <w:t xml:space="preserve">Early Patriarchal Blessings of the Church of Jesus Christ of </w:t>
      </w:r>
      <w:r w:rsidR="00781DF8" w:rsidRPr="00D06097">
        <w:rPr>
          <w:rFonts w:ascii="Palatino Linotype" w:hAnsi="Palatino Linotype" w:cs="Arial"/>
          <w:i/>
          <w:iCs/>
          <w:color w:val="222222"/>
          <w:sz w:val="18"/>
          <w:szCs w:val="18"/>
          <w:shd w:val="clear" w:color="auto" w:fill="FFFFFF"/>
        </w:rPr>
        <w:t>Latter-day</w:t>
      </w:r>
      <w:r w:rsidR="00992BFA" w:rsidRPr="00D06097">
        <w:rPr>
          <w:rFonts w:ascii="Palatino Linotype" w:hAnsi="Palatino Linotype" w:cs="Arial"/>
          <w:i/>
          <w:iCs/>
          <w:color w:val="222222"/>
          <w:sz w:val="18"/>
          <w:szCs w:val="18"/>
          <w:shd w:val="clear" w:color="auto" w:fill="FFFFFF"/>
        </w:rPr>
        <w:t xml:space="preserve"> Saints</w:t>
      </w:r>
      <w:r w:rsidR="00992BFA" w:rsidRPr="00D06097">
        <w:rPr>
          <w:rFonts w:ascii="Palatino Linotype" w:hAnsi="Palatino Linotype" w:cs="Arial"/>
          <w:color w:val="222222"/>
          <w:sz w:val="18"/>
          <w:szCs w:val="18"/>
          <w:shd w:val="clear" w:color="auto" w:fill="FFFFFF"/>
        </w:rPr>
        <w:t xml:space="preserve"> [200</w:t>
      </w:r>
      <w:r w:rsidR="005C3C01" w:rsidRPr="00D06097">
        <w:rPr>
          <w:rFonts w:ascii="Palatino Linotype" w:hAnsi="Palatino Linotype" w:cs="Arial"/>
          <w:color w:val="222222"/>
          <w:sz w:val="18"/>
          <w:szCs w:val="18"/>
          <w:shd w:val="clear" w:color="auto" w:fill="FFFFFF"/>
        </w:rPr>
        <w:t>7</w:t>
      </w:r>
      <w:r w:rsidR="00992BFA" w:rsidRPr="00D06097">
        <w:rPr>
          <w:rFonts w:ascii="Palatino Linotype" w:hAnsi="Palatino Linotype" w:cs="Arial"/>
          <w:color w:val="222222"/>
          <w:sz w:val="18"/>
          <w:szCs w:val="18"/>
          <w:shd w:val="clear" w:color="auto" w:fill="FFFFFF"/>
        </w:rPr>
        <w:t>].</w:t>
      </w:r>
      <w:r w:rsidRPr="00D06097">
        <w:rPr>
          <w:rFonts w:ascii="Palatino Linotype" w:hAnsi="Palatino Linotype"/>
          <w:sz w:val="18"/>
          <w:szCs w:val="18"/>
        </w:rPr>
        <w:t xml:space="preserve"> </w:t>
      </w:r>
    </w:p>
  </w:footnote>
  <w:footnote w:id="15">
    <w:p w14:paraId="2355E588" w14:textId="77777777" w:rsidR="00023DE2" w:rsidRPr="00D06097" w:rsidRDefault="00023DE2">
      <w:pPr>
        <w:pStyle w:val="FootnoteText"/>
        <w:rPr>
          <w:rFonts w:ascii="Palatino Linotype" w:hAnsi="Palatino Linotype"/>
          <w:sz w:val="18"/>
          <w:szCs w:val="18"/>
        </w:rPr>
      </w:pPr>
      <w:r w:rsidRPr="00D06097">
        <w:rPr>
          <w:rStyle w:val="FootnoteReference"/>
          <w:rFonts w:ascii="Palatino Linotype" w:hAnsi="Palatino Linotype"/>
          <w:sz w:val="18"/>
          <w:szCs w:val="18"/>
        </w:rPr>
        <w:footnoteRef/>
      </w:r>
      <w:r w:rsidRPr="00D06097">
        <w:rPr>
          <w:rFonts w:ascii="Palatino Linotype" w:hAnsi="Palatino Linotype"/>
          <w:sz w:val="18"/>
          <w:szCs w:val="18"/>
        </w:rPr>
        <w:t xml:space="preserve"> </w:t>
      </w:r>
      <w:r w:rsidR="00992BFA" w:rsidRPr="00D06097">
        <w:rPr>
          <w:rFonts w:ascii="Palatino Linotype" w:hAnsi="Palatino Linotype"/>
          <w:sz w:val="18"/>
          <w:szCs w:val="18"/>
        </w:rPr>
        <w:t>https://www.churchofjesuschrist.org/study/manual/gospel-topics/foreordination?lang=eng</w:t>
      </w:r>
      <w:r w:rsidRPr="00D06097">
        <w:rPr>
          <w:rFonts w:ascii="Palatino Linotype" w:hAnsi="Palatino Linotype"/>
          <w:sz w:val="18"/>
          <w:szCs w:val="18"/>
        </w:rPr>
        <w:t xml:space="preserve"> </w:t>
      </w:r>
    </w:p>
  </w:footnote>
  <w:footnote w:id="16">
    <w:p w14:paraId="31536A13" w14:textId="77777777" w:rsidR="00FD76AD" w:rsidRPr="00D06097" w:rsidRDefault="00FD76AD" w:rsidP="00FD76AD">
      <w:pPr>
        <w:pStyle w:val="FootnoteText"/>
        <w:rPr>
          <w:rFonts w:ascii="Palatino Linotype" w:hAnsi="Palatino Linotype"/>
          <w:sz w:val="18"/>
          <w:szCs w:val="18"/>
        </w:rPr>
      </w:pPr>
      <w:r w:rsidRPr="00D06097">
        <w:rPr>
          <w:rStyle w:val="FootnoteReference"/>
          <w:rFonts w:ascii="Palatino Linotype" w:hAnsi="Palatino Linotype"/>
          <w:sz w:val="18"/>
          <w:szCs w:val="18"/>
        </w:rPr>
        <w:footnoteRef/>
      </w:r>
      <w:r w:rsidRPr="00D06097">
        <w:rPr>
          <w:rFonts w:ascii="Palatino Linotype" w:hAnsi="Palatino Linotype"/>
          <w:sz w:val="18"/>
          <w:szCs w:val="18"/>
        </w:rPr>
        <w:t xml:space="preserve"> Adams </w:t>
      </w:r>
      <w:r w:rsidR="00992BFA" w:rsidRPr="00D06097">
        <w:rPr>
          <w:rFonts w:ascii="Palatino Linotype" w:hAnsi="Palatino Linotype"/>
          <w:sz w:val="18"/>
          <w:szCs w:val="18"/>
        </w:rPr>
        <w:t>[</w:t>
      </w:r>
      <w:r w:rsidRPr="00D06097">
        <w:rPr>
          <w:rFonts w:ascii="Palatino Linotype" w:hAnsi="Palatino Linotype"/>
          <w:sz w:val="18"/>
          <w:szCs w:val="18"/>
        </w:rPr>
        <w:t>1999</w:t>
      </w:r>
      <w:r w:rsidR="00992BFA" w:rsidRPr="00D06097">
        <w:rPr>
          <w:rFonts w:ascii="Palatino Linotype" w:hAnsi="Palatino Linotype"/>
          <w:sz w:val="18"/>
          <w:szCs w:val="18"/>
        </w:rPr>
        <w:t>]</w:t>
      </w:r>
      <w:r w:rsidRPr="00D06097">
        <w:rPr>
          <w:rFonts w:ascii="Palatino Linotype" w:hAnsi="Palatino Linotype"/>
          <w:sz w:val="18"/>
          <w:szCs w:val="18"/>
        </w:rPr>
        <w:t xml:space="preserve"> ch.3</w:t>
      </w:r>
    </w:p>
  </w:footnote>
  <w:footnote w:id="17">
    <w:p w14:paraId="6819224F" w14:textId="77777777" w:rsidR="00FD76AD" w:rsidRPr="00D06097" w:rsidRDefault="00FD76AD" w:rsidP="00FD76AD">
      <w:pPr>
        <w:pStyle w:val="FootnoteText"/>
        <w:rPr>
          <w:rFonts w:ascii="Palatino Linotype" w:hAnsi="Palatino Linotype"/>
          <w:sz w:val="18"/>
          <w:szCs w:val="18"/>
        </w:rPr>
      </w:pPr>
      <w:r w:rsidRPr="00D06097">
        <w:rPr>
          <w:rStyle w:val="FootnoteReference"/>
          <w:rFonts w:ascii="Palatino Linotype" w:hAnsi="Palatino Linotype"/>
          <w:sz w:val="18"/>
          <w:szCs w:val="18"/>
        </w:rPr>
        <w:footnoteRef/>
      </w:r>
      <w:r w:rsidRPr="00D06097">
        <w:rPr>
          <w:rFonts w:ascii="Palatino Linotype" w:hAnsi="Palatino Linotype"/>
          <w:sz w:val="18"/>
          <w:szCs w:val="18"/>
        </w:rPr>
        <w:t xml:space="preserve"> See Vitale </w:t>
      </w:r>
      <w:r w:rsidR="00992BFA" w:rsidRPr="00D06097">
        <w:rPr>
          <w:rFonts w:ascii="Palatino Linotype" w:hAnsi="Palatino Linotype"/>
          <w:sz w:val="18"/>
          <w:szCs w:val="18"/>
        </w:rPr>
        <w:t>[</w:t>
      </w:r>
      <w:r w:rsidRPr="00D06097">
        <w:rPr>
          <w:rFonts w:ascii="Palatino Linotype" w:hAnsi="Palatino Linotype"/>
          <w:sz w:val="18"/>
          <w:szCs w:val="18"/>
        </w:rPr>
        <w:t>2020</w:t>
      </w:r>
      <w:r w:rsidR="00992BFA" w:rsidRPr="00D06097">
        <w:rPr>
          <w:rFonts w:ascii="Palatino Linotype" w:hAnsi="Palatino Linotype"/>
          <w:sz w:val="18"/>
          <w:szCs w:val="18"/>
        </w:rPr>
        <w:t>]</w:t>
      </w:r>
      <w:r w:rsidRPr="00D06097">
        <w:rPr>
          <w:rFonts w:ascii="Palatino Linotype" w:hAnsi="Palatino Linotype"/>
          <w:sz w:val="18"/>
          <w:szCs w:val="18"/>
        </w:rPr>
        <w:t xml:space="preserve"> p. 200</w:t>
      </w:r>
    </w:p>
  </w:footnote>
  <w:footnote w:id="18">
    <w:p w14:paraId="27460E83" w14:textId="77777777" w:rsidR="008F05B5" w:rsidRPr="00D06097" w:rsidRDefault="008F05B5">
      <w:pPr>
        <w:pStyle w:val="FootnoteText"/>
        <w:rPr>
          <w:rFonts w:ascii="Palatino Linotype" w:hAnsi="Palatino Linotype"/>
          <w:sz w:val="18"/>
          <w:szCs w:val="18"/>
        </w:rPr>
      </w:pPr>
      <w:r w:rsidRPr="00D06097">
        <w:rPr>
          <w:rStyle w:val="FootnoteReference"/>
          <w:rFonts w:ascii="Palatino Linotype" w:hAnsi="Palatino Linotype"/>
          <w:sz w:val="18"/>
          <w:szCs w:val="18"/>
        </w:rPr>
        <w:footnoteRef/>
      </w:r>
      <w:r w:rsidRPr="00D06097">
        <w:rPr>
          <w:rFonts w:ascii="Palatino Linotype" w:hAnsi="Palatino Linotype"/>
          <w:sz w:val="18"/>
          <w:szCs w:val="18"/>
        </w:rPr>
        <w:t xml:space="preserve"> See e.g., </w:t>
      </w:r>
      <w:r w:rsidR="002F6955" w:rsidRPr="00D06097">
        <w:rPr>
          <w:rFonts w:ascii="Palatino Linotype" w:hAnsi="Palatino Linotype"/>
          <w:sz w:val="18"/>
          <w:szCs w:val="18"/>
        </w:rPr>
        <w:t>Stout [2007] and Vitale [2020] for arguments to this effect</w:t>
      </w:r>
      <w:r w:rsidRPr="00D06097">
        <w:rPr>
          <w:rFonts w:ascii="Palatino Linotype" w:hAnsi="Palatino Linotype"/>
          <w:sz w:val="18"/>
          <w:szCs w:val="18"/>
        </w:rPr>
        <w:t xml:space="preserve">. </w:t>
      </w:r>
    </w:p>
  </w:footnote>
  <w:footnote w:id="19">
    <w:p w14:paraId="45A77AF3" w14:textId="77777777" w:rsidR="008F05B5" w:rsidRPr="00D06097" w:rsidRDefault="008F05B5" w:rsidP="008F05B5">
      <w:pPr>
        <w:pStyle w:val="FootnoteText"/>
        <w:rPr>
          <w:rFonts w:ascii="Palatino Linotype" w:hAnsi="Palatino Linotype"/>
          <w:sz w:val="18"/>
          <w:szCs w:val="18"/>
        </w:rPr>
      </w:pPr>
      <w:r w:rsidRPr="00D06097">
        <w:rPr>
          <w:rStyle w:val="FootnoteReference"/>
          <w:rFonts w:ascii="Palatino Linotype" w:hAnsi="Palatino Linotype"/>
          <w:sz w:val="18"/>
          <w:szCs w:val="18"/>
        </w:rPr>
        <w:footnoteRef/>
      </w:r>
      <w:r w:rsidRPr="00D06097">
        <w:rPr>
          <w:rFonts w:ascii="Palatino Linotype" w:hAnsi="Palatino Linotype"/>
          <w:sz w:val="18"/>
          <w:szCs w:val="18"/>
        </w:rPr>
        <w:t xml:space="preserve"> Adams </w:t>
      </w:r>
      <w:r w:rsidR="00167754" w:rsidRPr="00D06097">
        <w:rPr>
          <w:rFonts w:ascii="Palatino Linotype" w:hAnsi="Palatino Linotype"/>
          <w:sz w:val="18"/>
          <w:szCs w:val="18"/>
        </w:rPr>
        <w:t>[</w:t>
      </w:r>
      <w:r w:rsidRPr="00D06097">
        <w:rPr>
          <w:rFonts w:ascii="Palatino Linotype" w:hAnsi="Palatino Linotype"/>
          <w:sz w:val="18"/>
          <w:szCs w:val="18"/>
        </w:rPr>
        <w:t>1999</w:t>
      </w:r>
      <w:r w:rsidR="00167754" w:rsidRPr="00D06097">
        <w:rPr>
          <w:rFonts w:ascii="Palatino Linotype" w:hAnsi="Palatino Linotype"/>
          <w:sz w:val="18"/>
          <w:szCs w:val="18"/>
        </w:rPr>
        <w:t>]</w:t>
      </w:r>
      <w:r w:rsidRPr="00D06097">
        <w:rPr>
          <w:rFonts w:ascii="Palatino Linotype" w:hAnsi="Palatino Linotype"/>
          <w:sz w:val="18"/>
          <w:szCs w:val="18"/>
        </w:rPr>
        <w:t xml:space="preserve"> p. 55</w:t>
      </w:r>
      <w:r w:rsidR="00F56DEB" w:rsidRPr="00D06097">
        <w:rPr>
          <w:rFonts w:ascii="Palatino Linotype" w:hAnsi="Palatino Linotype"/>
          <w:sz w:val="18"/>
          <w:szCs w:val="18"/>
        </w:rPr>
        <w:t>. See also Adams [2006] p. 226</w:t>
      </w:r>
    </w:p>
  </w:footnote>
  <w:footnote w:id="20">
    <w:p w14:paraId="4524A16E" w14:textId="77777777" w:rsidR="008F05B5" w:rsidRPr="00D06097" w:rsidRDefault="008F05B5" w:rsidP="008F05B5">
      <w:pPr>
        <w:pStyle w:val="FootnoteText"/>
        <w:rPr>
          <w:rFonts w:ascii="Palatino Linotype" w:hAnsi="Palatino Linotype"/>
          <w:sz w:val="18"/>
          <w:szCs w:val="18"/>
        </w:rPr>
      </w:pPr>
      <w:r w:rsidRPr="00D06097">
        <w:rPr>
          <w:rStyle w:val="FootnoteReference"/>
          <w:rFonts w:ascii="Palatino Linotype" w:hAnsi="Palatino Linotype"/>
          <w:sz w:val="18"/>
          <w:szCs w:val="18"/>
        </w:rPr>
        <w:footnoteRef/>
      </w:r>
      <w:r w:rsidRPr="00D06097">
        <w:rPr>
          <w:rFonts w:ascii="Palatino Linotype" w:hAnsi="Palatino Linotype"/>
          <w:sz w:val="18"/>
          <w:szCs w:val="18"/>
        </w:rPr>
        <w:t xml:space="preserve"> See Haderlie and Miller </w:t>
      </w:r>
      <w:r w:rsidR="00167754" w:rsidRPr="00D06097">
        <w:rPr>
          <w:rFonts w:ascii="Palatino Linotype" w:hAnsi="Palatino Linotype"/>
          <w:sz w:val="18"/>
          <w:szCs w:val="18"/>
        </w:rPr>
        <w:t>[</w:t>
      </w:r>
      <w:r w:rsidRPr="00D06097">
        <w:rPr>
          <w:rFonts w:ascii="Palatino Linotype" w:hAnsi="Palatino Linotype"/>
          <w:sz w:val="18"/>
          <w:szCs w:val="18"/>
        </w:rPr>
        <w:t>2020</w:t>
      </w:r>
      <w:r w:rsidR="00167754" w:rsidRPr="00D06097">
        <w:rPr>
          <w:rFonts w:ascii="Palatino Linotype" w:hAnsi="Palatino Linotype"/>
          <w:sz w:val="18"/>
          <w:szCs w:val="18"/>
        </w:rPr>
        <w:t>]</w:t>
      </w:r>
      <w:r w:rsidRPr="00D06097">
        <w:rPr>
          <w:rFonts w:ascii="Palatino Linotype" w:hAnsi="Palatino Linotype"/>
          <w:sz w:val="18"/>
          <w:szCs w:val="18"/>
        </w:rPr>
        <w:t xml:space="preserve"> for discussion and development of this view. </w:t>
      </w:r>
    </w:p>
  </w:footnote>
  <w:footnote w:id="21">
    <w:p w14:paraId="2951DB0B" w14:textId="77777777" w:rsidR="008F05B5" w:rsidRPr="00D06097" w:rsidRDefault="008F05B5" w:rsidP="008F05B5">
      <w:pPr>
        <w:pStyle w:val="FootnoteText"/>
        <w:rPr>
          <w:rFonts w:ascii="Palatino Linotype" w:hAnsi="Palatino Linotype"/>
          <w:sz w:val="18"/>
          <w:szCs w:val="18"/>
        </w:rPr>
      </w:pPr>
      <w:r w:rsidRPr="00D06097">
        <w:rPr>
          <w:rStyle w:val="FootnoteReference"/>
          <w:rFonts w:ascii="Palatino Linotype" w:hAnsi="Palatino Linotype"/>
          <w:sz w:val="18"/>
          <w:szCs w:val="18"/>
        </w:rPr>
        <w:footnoteRef/>
      </w:r>
      <w:r w:rsidRPr="00D06097">
        <w:rPr>
          <w:rFonts w:ascii="Palatino Linotype" w:hAnsi="Palatino Linotype"/>
          <w:sz w:val="18"/>
          <w:szCs w:val="18"/>
        </w:rPr>
        <w:t xml:space="preserve"> </w:t>
      </w:r>
      <w:proofErr w:type="spellStart"/>
      <w:r w:rsidRPr="00D06097">
        <w:rPr>
          <w:rFonts w:ascii="Palatino Linotype" w:hAnsi="Palatino Linotype"/>
          <w:sz w:val="18"/>
          <w:szCs w:val="18"/>
        </w:rPr>
        <w:t>Panchuk</w:t>
      </w:r>
      <w:proofErr w:type="spellEnd"/>
      <w:r w:rsidRPr="00D06097">
        <w:rPr>
          <w:rFonts w:ascii="Palatino Linotype" w:hAnsi="Palatino Linotype"/>
          <w:sz w:val="18"/>
          <w:szCs w:val="18"/>
        </w:rPr>
        <w:t xml:space="preserve"> </w:t>
      </w:r>
      <w:r w:rsidR="00167754" w:rsidRPr="00D06097">
        <w:rPr>
          <w:rFonts w:ascii="Palatino Linotype" w:hAnsi="Palatino Linotype"/>
          <w:sz w:val="18"/>
          <w:szCs w:val="18"/>
        </w:rPr>
        <w:t>[</w:t>
      </w:r>
      <w:r w:rsidRPr="00D06097">
        <w:rPr>
          <w:rFonts w:ascii="Palatino Linotype" w:hAnsi="Palatino Linotype"/>
          <w:sz w:val="18"/>
          <w:szCs w:val="18"/>
        </w:rPr>
        <w:t>2018</w:t>
      </w:r>
      <w:r w:rsidR="00167754" w:rsidRPr="00D06097">
        <w:rPr>
          <w:rFonts w:ascii="Palatino Linotype" w:hAnsi="Palatino Linotype"/>
          <w:sz w:val="18"/>
          <w:szCs w:val="18"/>
        </w:rPr>
        <w:t>]</w:t>
      </w:r>
      <w:r w:rsidRPr="00D06097">
        <w:rPr>
          <w:rFonts w:ascii="Palatino Linotype" w:hAnsi="Palatino Linotype"/>
          <w:sz w:val="18"/>
          <w:szCs w:val="18"/>
        </w:rPr>
        <w:t xml:space="preserve"> p. 514</w:t>
      </w:r>
    </w:p>
  </w:footnote>
  <w:footnote w:id="22">
    <w:p w14:paraId="444D05EB" w14:textId="77777777" w:rsidR="008F05B5" w:rsidRPr="00D06097" w:rsidRDefault="008F05B5" w:rsidP="008F05B5">
      <w:pPr>
        <w:pStyle w:val="FootnoteText"/>
        <w:rPr>
          <w:rFonts w:ascii="Palatino Linotype" w:hAnsi="Palatino Linotype"/>
          <w:sz w:val="18"/>
          <w:szCs w:val="18"/>
        </w:rPr>
      </w:pPr>
      <w:r w:rsidRPr="00D06097">
        <w:rPr>
          <w:rStyle w:val="FootnoteReference"/>
          <w:rFonts w:ascii="Palatino Linotype" w:hAnsi="Palatino Linotype"/>
          <w:sz w:val="18"/>
          <w:szCs w:val="18"/>
        </w:rPr>
        <w:footnoteRef/>
      </w:r>
      <w:r w:rsidRPr="00D06097">
        <w:rPr>
          <w:rFonts w:ascii="Palatino Linotype" w:hAnsi="Palatino Linotype"/>
          <w:sz w:val="18"/>
          <w:szCs w:val="18"/>
        </w:rPr>
        <w:t xml:space="preserve"> For a characteristically brutal (fictional case) see the case of Theon Greyjoy’s torture at the hands of Ramsay Bolton culminating in his acceptance of a new identity </w:t>
      </w:r>
      <w:r w:rsidRPr="00D06097">
        <w:rPr>
          <w:rFonts w:ascii="Palatino Linotype" w:hAnsi="Palatino Linotype"/>
          <w:i/>
          <w:iCs/>
          <w:sz w:val="18"/>
          <w:szCs w:val="18"/>
        </w:rPr>
        <w:t>Reek</w:t>
      </w:r>
      <w:r w:rsidRPr="00D06097">
        <w:rPr>
          <w:rFonts w:ascii="Palatino Linotype" w:hAnsi="Palatino Linotype"/>
          <w:sz w:val="18"/>
          <w:szCs w:val="18"/>
        </w:rPr>
        <w:t xml:space="preserve"> in G.R.R. Martin’s </w:t>
      </w:r>
      <w:r w:rsidRPr="00D06097">
        <w:rPr>
          <w:rFonts w:ascii="Palatino Linotype" w:hAnsi="Palatino Linotype"/>
          <w:i/>
          <w:iCs/>
          <w:sz w:val="18"/>
          <w:szCs w:val="18"/>
        </w:rPr>
        <w:t>Dance of Dragons</w:t>
      </w:r>
      <w:r w:rsidRPr="00D06097">
        <w:rPr>
          <w:rFonts w:ascii="Palatino Linotype" w:hAnsi="Palatino Linotype"/>
          <w:sz w:val="18"/>
          <w:szCs w:val="18"/>
        </w:rPr>
        <w:t xml:space="preserve">. </w:t>
      </w:r>
    </w:p>
  </w:footnote>
  <w:footnote w:id="23">
    <w:p w14:paraId="59E8E8CD" w14:textId="77777777" w:rsidR="00D251D5" w:rsidRPr="00D06097" w:rsidRDefault="00D251D5">
      <w:pPr>
        <w:pStyle w:val="FootnoteText"/>
        <w:rPr>
          <w:rFonts w:ascii="Palatino Linotype" w:hAnsi="Palatino Linotype"/>
          <w:sz w:val="18"/>
          <w:szCs w:val="18"/>
        </w:rPr>
      </w:pPr>
      <w:r w:rsidRPr="00D06097">
        <w:rPr>
          <w:rStyle w:val="FootnoteReference"/>
          <w:rFonts w:ascii="Palatino Linotype" w:hAnsi="Palatino Linotype"/>
          <w:sz w:val="18"/>
          <w:szCs w:val="18"/>
        </w:rPr>
        <w:footnoteRef/>
      </w:r>
      <w:r w:rsidRPr="00D06097">
        <w:rPr>
          <w:rFonts w:ascii="Palatino Linotype" w:hAnsi="Palatino Linotype"/>
          <w:sz w:val="18"/>
          <w:szCs w:val="18"/>
        </w:rPr>
        <w:t xml:space="preserve"> Though for excellent discussion of this and related questions, see Hasker [1981] and Kahane [2019]</w:t>
      </w:r>
      <w:r w:rsidR="003D3F8F" w:rsidRPr="00D06097">
        <w:rPr>
          <w:rFonts w:ascii="Palatino Linotype" w:hAnsi="Palatino Linotype"/>
          <w:sz w:val="18"/>
          <w:szCs w:val="18"/>
        </w:rPr>
        <w:t xml:space="preserve"> and [2022]</w:t>
      </w:r>
      <w:r w:rsidRPr="00D06097">
        <w:rPr>
          <w:rFonts w:ascii="Palatino Linotype" w:hAnsi="Palatino Linotype"/>
          <w:sz w:val="18"/>
          <w:szCs w:val="18"/>
        </w:rPr>
        <w:t>.</w:t>
      </w:r>
    </w:p>
  </w:footnote>
  <w:footnote w:id="24">
    <w:p w14:paraId="5737F7E8" w14:textId="77777777" w:rsidR="00584493" w:rsidRPr="00D06097" w:rsidRDefault="00584493" w:rsidP="00584493">
      <w:pPr>
        <w:pStyle w:val="FootnoteText"/>
        <w:rPr>
          <w:rFonts w:ascii="Palatino Linotype" w:hAnsi="Palatino Linotype"/>
          <w:sz w:val="18"/>
          <w:szCs w:val="18"/>
        </w:rPr>
      </w:pPr>
      <w:r w:rsidRPr="00D06097">
        <w:rPr>
          <w:rStyle w:val="FootnoteReference"/>
          <w:rFonts w:ascii="Palatino Linotype" w:hAnsi="Palatino Linotype"/>
          <w:sz w:val="18"/>
          <w:szCs w:val="18"/>
        </w:rPr>
        <w:footnoteRef/>
      </w:r>
      <w:r w:rsidRPr="00D06097">
        <w:rPr>
          <w:rFonts w:ascii="Palatino Linotype" w:hAnsi="Palatino Linotype"/>
          <w:sz w:val="18"/>
          <w:szCs w:val="18"/>
        </w:rPr>
        <w:t xml:space="preserve"> D&amp;C [138:16] first introduces the langue of “spirit world.” </w:t>
      </w:r>
    </w:p>
  </w:footnote>
  <w:footnote w:id="25">
    <w:p w14:paraId="192E6DA7" w14:textId="77777777" w:rsidR="00584493" w:rsidRPr="00D06097" w:rsidRDefault="00584493" w:rsidP="00584493">
      <w:pPr>
        <w:pStyle w:val="FootnoteText"/>
        <w:rPr>
          <w:rFonts w:ascii="Palatino Linotype" w:hAnsi="Palatino Linotype"/>
          <w:sz w:val="18"/>
          <w:szCs w:val="18"/>
        </w:rPr>
      </w:pPr>
      <w:r w:rsidRPr="00D06097">
        <w:rPr>
          <w:rStyle w:val="FootnoteReference"/>
          <w:rFonts w:ascii="Palatino Linotype" w:hAnsi="Palatino Linotype"/>
          <w:sz w:val="18"/>
          <w:szCs w:val="18"/>
        </w:rPr>
        <w:footnoteRef/>
      </w:r>
      <w:r w:rsidRPr="00D06097">
        <w:rPr>
          <w:rFonts w:ascii="Palatino Linotype" w:hAnsi="Palatino Linotype"/>
          <w:sz w:val="18"/>
          <w:szCs w:val="18"/>
        </w:rPr>
        <w:t xml:space="preserve"> See e.g., Alma [34:34], [40: 7-14, 21], 2 Nephi [9:16] and Mormon [9:14], JD 3:362.</w:t>
      </w:r>
    </w:p>
  </w:footnote>
  <w:footnote w:id="26">
    <w:p w14:paraId="25316880" w14:textId="77777777" w:rsidR="00F07B65" w:rsidRPr="00D06097" w:rsidRDefault="00F07B65">
      <w:pPr>
        <w:pStyle w:val="FootnoteText"/>
        <w:rPr>
          <w:rFonts w:ascii="Palatino Linotype" w:hAnsi="Palatino Linotype"/>
          <w:sz w:val="18"/>
          <w:szCs w:val="18"/>
        </w:rPr>
      </w:pPr>
      <w:r w:rsidRPr="00D06097">
        <w:rPr>
          <w:rStyle w:val="FootnoteReference"/>
          <w:rFonts w:ascii="Palatino Linotype" w:hAnsi="Palatino Linotype"/>
          <w:sz w:val="18"/>
          <w:szCs w:val="18"/>
        </w:rPr>
        <w:footnoteRef/>
      </w:r>
      <w:r w:rsidRPr="00D06097">
        <w:rPr>
          <w:rFonts w:ascii="Palatino Linotype" w:hAnsi="Palatino Linotype"/>
          <w:sz w:val="18"/>
          <w:szCs w:val="18"/>
        </w:rPr>
        <w:t xml:space="preserve"> D&amp;C 138:30–31</w:t>
      </w:r>
    </w:p>
  </w:footnote>
  <w:footnote w:id="27">
    <w:p w14:paraId="7382BF41" w14:textId="77777777" w:rsidR="00673970" w:rsidRPr="00D06097" w:rsidRDefault="00673970" w:rsidP="000B6304">
      <w:pPr>
        <w:pStyle w:val="FootnoteText"/>
        <w:ind w:left="360" w:firstLine="0"/>
        <w:rPr>
          <w:rFonts w:ascii="Palatino Linotype" w:hAnsi="Palatino Linotype"/>
          <w:sz w:val="18"/>
          <w:szCs w:val="18"/>
        </w:rPr>
      </w:pPr>
      <w:r w:rsidRPr="00D06097">
        <w:rPr>
          <w:rStyle w:val="FootnoteReference"/>
          <w:rFonts w:ascii="Palatino Linotype" w:hAnsi="Palatino Linotype"/>
          <w:sz w:val="18"/>
          <w:szCs w:val="18"/>
        </w:rPr>
        <w:footnoteRef/>
      </w:r>
      <w:r w:rsidRPr="00D06097">
        <w:rPr>
          <w:rFonts w:ascii="Palatino Linotype" w:hAnsi="Palatino Linotype"/>
          <w:sz w:val="18"/>
          <w:szCs w:val="18"/>
        </w:rPr>
        <w:t xml:space="preserve"> In particular, it opens up possibilities for persons to appreciate the narrative resolutions—of the sort discussed by Stump </w:t>
      </w:r>
      <w:r w:rsidR="002F6955" w:rsidRPr="00D06097">
        <w:rPr>
          <w:rFonts w:ascii="Palatino Linotype" w:hAnsi="Palatino Linotype"/>
          <w:sz w:val="18"/>
          <w:szCs w:val="18"/>
        </w:rPr>
        <w:t>[</w:t>
      </w:r>
      <w:r w:rsidRPr="00D06097">
        <w:rPr>
          <w:rFonts w:ascii="Palatino Linotype" w:hAnsi="Palatino Linotype"/>
          <w:sz w:val="18"/>
          <w:szCs w:val="18"/>
        </w:rPr>
        <w:t>2010</w:t>
      </w:r>
      <w:r w:rsidR="002F6955" w:rsidRPr="00D06097">
        <w:rPr>
          <w:rFonts w:ascii="Palatino Linotype" w:hAnsi="Palatino Linotype"/>
          <w:sz w:val="18"/>
          <w:szCs w:val="18"/>
        </w:rPr>
        <w:t>]</w:t>
      </w:r>
      <w:r w:rsidRPr="00D06097">
        <w:rPr>
          <w:rFonts w:ascii="Palatino Linotype" w:hAnsi="Palatino Linotype"/>
          <w:sz w:val="18"/>
          <w:szCs w:val="18"/>
        </w:rPr>
        <w:t>—of the evils they experience while embodied.</w:t>
      </w:r>
      <w:r w:rsidR="00F9095C" w:rsidRPr="00D06097">
        <w:rPr>
          <w:rFonts w:ascii="Palatino Linotype" w:hAnsi="Palatino Linotype"/>
          <w:sz w:val="18"/>
          <w:szCs w:val="18"/>
        </w:rPr>
        <w:t xml:space="preserve"> </w:t>
      </w:r>
    </w:p>
  </w:footnote>
  <w:footnote w:id="28">
    <w:p w14:paraId="6084ED9B" w14:textId="0EC2AE2F" w:rsidR="00D1539D" w:rsidRPr="00D06097" w:rsidRDefault="00FE7154" w:rsidP="00FE7154">
      <w:pPr>
        <w:pStyle w:val="FootnoteText"/>
        <w:rPr>
          <w:rFonts w:ascii="Palatino Linotype" w:hAnsi="Palatino Linotype" w:cs="Noto Sans"/>
          <w:i/>
          <w:iCs/>
          <w:color w:val="212225"/>
          <w:sz w:val="18"/>
          <w:szCs w:val="18"/>
          <w:shd w:val="clear" w:color="auto" w:fill="FFFFFF"/>
        </w:rPr>
      </w:pPr>
      <w:r w:rsidRPr="00D06097">
        <w:rPr>
          <w:rStyle w:val="FootnoteReference"/>
          <w:rFonts w:ascii="Palatino Linotype" w:hAnsi="Palatino Linotype"/>
          <w:sz w:val="18"/>
          <w:szCs w:val="18"/>
        </w:rPr>
        <w:footnoteRef/>
      </w:r>
      <w:r w:rsidRPr="00D06097">
        <w:rPr>
          <w:rFonts w:ascii="Palatino Linotype" w:hAnsi="Palatino Linotype"/>
          <w:sz w:val="18"/>
          <w:szCs w:val="18"/>
        </w:rPr>
        <w:t xml:space="preserve"> </w:t>
      </w:r>
      <w:r w:rsidR="00BD38C3" w:rsidRPr="00D06097">
        <w:rPr>
          <w:rFonts w:ascii="Palatino Linotype" w:hAnsi="Palatino Linotype" w:cs="Noto Sans"/>
          <w:color w:val="212225"/>
          <w:sz w:val="18"/>
          <w:szCs w:val="18"/>
          <w:shd w:val="clear" w:color="auto" w:fill="FFFFFF"/>
        </w:rPr>
        <w:t xml:space="preserve">Discourse, 10 April 1842, as Reported by Wilford Woodruff, p. 146, </w:t>
      </w:r>
      <w:r w:rsidR="00BD38C3" w:rsidRPr="00D06097">
        <w:rPr>
          <w:rFonts w:ascii="Palatino Linotype" w:hAnsi="Palatino Linotype" w:cs="Noto Sans"/>
          <w:i/>
          <w:iCs/>
          <w:color w:val="212225"/>
          <w:sz w:val="18"/>
          <w:szCs w:val="18"/>
          <w:shd w:val="clear" w:color="auto" w:fill="FFFFFF"/>
        </w:rPr>
        <w:t>The Joseph Smith</w:t>
      </w:r>
      <w:r w:rsidR="00D1539D" w:rsidRPr="00D06097">
        <w:rPr>
          <w:rFonts w:ascii="Palatino Linotype" w:hAnsi="Palatino Linotype" w:cs="Noto Sans"/>
          <w:i/>
          <w:iCs/>
          <w:color w:val="212225"/>
          <w:sz w:val="18"/>
          <w:szCs w:val="18"/>
          <w:shd w:val="clear" w:color="auto" w:fill="FFFFFF"/>
        </w:rPr>
        <w:t xml:space="preserve"> P</w:t>
      </w:r>
      <w:r w:rsidR="00BD38C3" w:rsidRPr="00D06097">
        <w:rPr>
          <w:rFonts w:ascii="Palatino Linotype" w:hAnsi="Palatino Linotype" w:cs="Noto Sans"/>
          <w:i/>
          <w:iCs/>
          <w:color w:val="212225"/>
          <w:sz w:val="18"/>
          <w:szCs w:val="18"/>
          <w:shd w:val="clear" w:color="auto" w:fill="FFFFFF"/>
        </w:rPr>
        <w:t>apers</w:t>
      </w:r>
    </w:p>
    <w:p w14:paraId="79F008C3" w14:textId="573AEC33" w:rsidR="00FE7154" w:rsidRPr="00D06097" w:rsidRDefault="00D1539D" w:rsidP="00FE7154">
      <w:pPr>
        <w:pStyle w:val="FootnoteText"/>
        <w:rPr>
          <w:rFonts w:ascii="Palatino Linotype" w:hAnsi="Palatino Linotype"/>
          <w:sz w:val="18"/>
          <w:szCs w:val="18"/>
        </w:rPr>
      </w:pPr>
      <w:r w:rsidRPr="00D06097">
        <w:rPr>
          <w:rFonts w:ascii="Palatino Linotype" w:hAnsi="Palatino Linotype" w:cs="Noto Sans"/>
          <w:color w:val="212225"/>
          <w:sz w:val="18"/>
          <w:szCs w:val="18"/>
          <w:shd w:val="clear" w:color="auto" w:fill="FFFFFF"/>
        </w:rPr>
        <w:t>h</w:t>
      </w:r>
      <w:r w:rsidR="00BD38C3" w:rsidRPr="00D06097">
        <w:rPr>
          <w:rFonts w:ascii="Palatino Linotype" w:hAnsi="Palatino Linotype" w:cs="Noto Sans"/>
          <w:color w:val="212225"/>
          <w:sz w:val="18"/>
          <w:szCs w:val="18"/>
          <w:shd w:val="clear" w:color="auto" w:fill="FFFFFF"/>
        </w:rPr>
        <w:t>ttps://www.josephsmithpapers.org/paper-summary/discourse-10-april-1842-as-reported-by-wilford-woodruff/1</w:t>
      </w:r>
    </w:p>
  </w:footnote>
  <w:footnote w:id="29">
    <w:p w14:paraId="088D0D44" w14:textId="77777777" w:rsidR="00FE7154" w:rsidRPr="00D06097" w:rsidRDefault="00FE7154" w:rsidP="00FE7154">
      <w:pPr>
        <w:pStyle w:val="FootnoteText"/>
        <w:rPr>
          <w:rFonts w:ascii="Palatino Linotype" w:hAnsi="Palatino Linotype"/>
          <w:sz w:val="18"/>
          <w:szCs w:val="18"/>
        </w:rPr>
      </w:pPr>
      <w:r w:rsidRPr="00D06097">
        <w:rPr>
          <w:rStyle w:val="FootnoteReference"/>
          <w:rFonts w:ascii="Palatino Linotype" w:hAnsi="Palatino Linotype"/>
          <w:sz w:val="18"/>
          <w:szCs w:val="18"/>
        </w:rPr>
        <w:footnoteRef/>
      </w:r>
      <w:r w:rsidRPr="00D06097">
        <w:rPr>
          <w:rFonts w:ascii="Palatino Linotype" w:hAnsi="Palatino Linotype"/>
          <w:sz w:val="18"/>
          <w:szCs w:val="18"/>
        </w:rPr>
        <w:t xml:space="preserve"> JD 8:6 </w:t>
      </w:r>
    </w:p>
  </w:footnote>
  <w:footnote w:id="30">
    <w:p w14:paraId="264296E3" w14:textId="77777777" w:rsidR="00FE7154" w:rsidRPr="00D06097" w:rsidRDefault="00FE7154" w:rsidP="00FE7154">
      <w:pPr>
        <w:pStyle w:val="FootnoteText"/>
        <w:rPr>
          <w:rFonts w:ascii="Palatino Linotype" w:hAnsi="Palatino Linotype"/>
          <w:sz w:val="18"/>
          <w:szCs w:val="18"/>
        </w:rPr>
      </w:pPr>
      <w:r w:rsidRPr="00D06097">
        <w:rPr>
          <w:rStyle w:val="FootnoteReference"/>
          <w:rFonts w:ascii="Palatino Linotype" w:hAnsi="Palatino Linotype"/>
          <w:sz w:val="18"/>
          <w:szCs w:val="18"/>
        </w:rPr>
        <w:footnoteRef/>
      </w:r>
      <w:r w:rsidRPr="00D06097">
        <w:rPr>
          <w:rFonts w:ascii="Palatino Linotype" w:hAnsi="Palatino Linotype"/>
          <w:sz w:val="18"/>
          <w:szCs w:val="18"/>
        </w:rPr>
        <w:t xml:space="preserve"> JD 2:235</w:t>
      </w:r>
    </w:p>
  </w:footnote>
  <w:footnote w:id="31">
    <w:p w14:paraId="63A34A3F" w14:textId="5562BE27" w:rsidR="005E5F1E" w:rsidRPr="00D06097" w:rsidRDefault="005E5F1E" w:rsidP="005E5F1E">
      <w:pPr>
        <w:pStyle w:val="FootnoteText"/>
        <w:spacing w:after="240" w:line="276" w:lineRule="auto"/>
        <w:ind w:left="360" w:firstLine="0"/>
        <w:rPr>
          <w:rFonts w:ascii="Palatino Linotype" w:hAnsi="Palatino Linotype"/>
          <w:sz w:val="18"/>
          <w:szCs w:val="18"/>
        </w:rPr>
      </w:pPr>
      <w:r w:rsidRPr="00D06097">
        <w:rPr>
          <w:rStyle w:val="FootnoteReference"/>
          <w:rFonts w:ascii="Palatino Linotype" w:hAnsi="Palatino Linotype"/>
          <w:i/>
          <w:iCs/>
          <w:sz w:val="18"/>
          <w:szCs w:val="18"/>
        </w:rPr>
        <w:footnoteRef/>
      </w:r>
      <w:r w:rsidRPr="00D06097">
        <w:rPr>
          <w:rFonts w:ascii="Palatino Linotype" w:hAnsi="Palatino Linotype"/>
          <w:i/>
          <w:iCs/>
          <w:sz w:val="18"/>
          <w:szCs w:val="18"/>
        </w:rPr>
        <w:t xml:space="preserve"> </w:t>
      </w:r>
      <w:r w:rsidR="00D1539D" w:rsidRPr="00D06097">
        <w:rPr>
          <w:rFonts w:ascii="Palatino Linotype" w:hAnsi="Palatino Linotype"/>
          <w:i/>
          <w:iCs/>
          <w:color w:val="1F1F1F"/>
          <w:sz w:val="18"/>
          <w:szCs w:val="18"/>
        </w:rPr>
        <w:t>Discourses of</w:t>
      </w:r>
      <w:r w:rsidRPr="00D06097">
        <w:rPr>
          <w:rFonts w:ascii="Palatino Linotype" w:hAnsi="Palatino Linotype"/>
          <w:i/>
          <w:iCs/>
          <w:color w:val="1F1F1F"/>
          <w:sz w:val="18"/>
          <w:szCs w:val="18"/>
        </w:rPr>
        <w:t xml:space="preserve"> Brigham Young </w:t>
      </w:r>
      <w:r w:rsidR="00D1539D" w:rsidRPr="00D06097">
        <w:rPr>
          <w:rFonts w:ascii="Palatino Linotype" w:hAnsi="Palatino Linotype"/>
          <w:color w:val="1F1F1F"/>
          <w:sz w:val="18"/>
          <w:szCs w:val="18"/>
        </w:rPr>
        <w:t>p. 380</w:t>
      </w:r>
      <w:r w:rsidRPr="00D06097">
        <w:rPr>
          <w:rFonts w:ascii="Palatino Linotype" w:hAnsi="Palatino Linotype"/>
          <w:color w:val="1F1F1F"/>
          <w:sz w:val="18"/>
          <w:szCs w:val="18"/>
        </w:rPr>
        <w:t xml:space="preserve">.  </w:t>
      </w:r>
    </w:p>
    <w:p w14:paraId="0A642D2E" w14:textId="77777777" w:rsidR="005E5F1E" w:rsidRPr="00D06097" w:rsidRDefault="005E5F1E">
      <w:pPr>
        <w:pStyle w:val="FootnoteText"/>
        <w:rPr>
          <w:rFonts w:ascii="Palatino Linotype" w:hAnsi="Palatino Linotype"/>
          <w:sz w:val="18"/>
          <w:szCs w:val="18"/>
        </w:rPr>
      </w:pPr>
    </w:p>
  </w:footnote>
  <w:footnote w:id="32">
    <w:p w14:paraId="4025EC77" w14:textId="77777777" w:rsidR="00794294" w:rsidRPr="00D06097" w:rsidRDefault="00794294">
      <w:pPr>
        <w:pStyle w:val="FootnoteText"/>
        <w:rPr>
          <w:rFonts w:ascii="Palatino Linotype" w:hAnsi="Palatino Linotype"/>
          <w:sz w:val="18"/>
          <w:szCs w:val="18"/>
        </w:rPr>
      </w:pPr>
      <w:r w:rsidRPr="00D06097">
        <w:rPr>
          <w:rStyle w:val="FootnoteReference"/>
          <w:rFonts w:ascii="Palatino Linotype" w:hAnsi="Palatino Linotype"/>
          <w:sz w:val="18"/>
          <w:szCs w:val="18"/>
        </w:rPr>
        <w:footnoteRef/>
      </w:r>
      <w:r w:rsidRPr="00D06097">
        <w:rPr>
          <w:rFonts w:ascii="Palatino Linotype" w:hAnsi="Palatino Linotype"/>
          <w:sz w:val="18"/>
          <w:szCs w:val="18"/>
        </w:rPr>
        <w:t xml:space="preserve"> </w:t>
      </w:r>
      <w:r w:rsidR="00AA7803" w:rsidRPr="00D06097">
        <w:rPr>
          <w:rFonts w:ascii="Palatino Linotype" w:hAnsi="Palatino Linotype"/>
          <w:sz w:val="18"/>
          <w:szCs w:val="18"/>
        </w:rPr>
        <w:t xml:space="preserve">E.g., </w:t>
      </w:r>
      <w:proofErr w:type="spellStart"/>
      <w:r w:rsidR="00AA7803" w:rsidRPr="00D06097">
        <w:rPr>
          <w:rFonts w:ascii="Palatino Linotype" w:hAnsi="Palatino Linotype"/>
          <w:sz w:val="18"/>
          <w:szCs w:val="18"/>
        </w:rPr>
        <w:t>Parfit’s</w:t>
      </w:r>
      <w:proofErr w:type="spellEnd"/>
      <w:r w:rsidR="00AA7803" w:rsidRPr="00D06097">
        <w:rPr>
          <w:rFonts w:ascii="Palatino Linotype" w:hAnsi="Palatino Linotype"/>
          <w:sz w:val="18"/>
          <w:szCs w:val="18"/>
        </w:rPr>
        <w:t xml:space="preserve"> </w:t>
      </w:r>
      <w:r w:rsidR="00773379" w:rsidRPr="00D06097">
        <w:rPr>
          <w:rFonts w:ascii="Palatino Linotype" w:hAnsi="Palatino Linotype"/>
          <w:sz w:val="18"/>
          <w:szCs w:val="18"/>
        </w:rPr>
        <w:t>i</w:t>
      </w:r>
      <w:r w:rsidR="00AA7803" w:rsidRPr="00D06097">
        <w:rPr>
          <w:rFonts w:ascii="Palatino Linotype" w:hAnsi="Palatino Linotype"/>
          <w:sz w:val="18"/>
          <w:szCs w:val="18"/>
        </w:rPr>
        <w:t>mpersonal principles</w:t>
      </w:r>
      <w:r w:rsidRPr="00D06097">
        <w:rPr>
          <w:rFonts w:ascii="Palatino Linotype" w:hAnsi="Palatino Linotype"/>
          <w:sz w:val="18"/>
          <w:szCs w:val="18"/>
        </w:rPr>
        <w:t xml:space="preserve">. </w:t>
      </w:r>
      <w:r w:rsidR="00AA7803" w:rsidRPr="00D06097">
        <w:rPr>
          <w:rFonts w:ascii="Palatino Linotype" w:hAnsi="Palatino Linotype"/>
          <w:sz w:val="18"/>
          <w:szCs w:val="18"/>
        </w:rPr>
        <w:t>See Parfit [1984] and [2017].</w:t>
      </w:r>
    </w:p>
  </w:footnote>
  <w:footnote w:id="33">
    <w:p w14:paraId="09ED7843" w14:textId="77777777" w:rsidR="00AA7803" w:rsidRPr="00D06097" w:rsidRDefault="00AA7803">
      <w:pPr>
        <w:pStyle w:val="FootnoteText"/>
        <w:rPr>
          <w:rFonts w:ascii="Palatino Linotype" w:hAnsi="Palatino Linotype"/>
          <w:sz w:val="18"/>
          <w:szCs w:val="18"/>
        </w:rPr>
      </w:pPr>
      <w:r w:rsidRPr="00D06097">
        <w:rPr>
          <w:rStyle w:val="FootnoteReference"/>
          <w:rFonts w:ascii="Palatino Linotype" w:hAnsi="Palatino Linotype"/>
          <w:sz w:val="18"/>
          <w:szCs w:val="18"/>
        </w:rPr>
        <w:footnoteRef/>
      </w:r>
      <w:r w:rsidRPr="00D06097">
        <w:rPr>
          <w:rFonts w:ascii="Palatino Linotype" w:hAnsi="Palatino Linotype"/>
          <w:sz w:val="18"/>
          <w:szCs w:val="18"/>
        </w:rPr>
        <w:t xml:space="preserve"> See e.g., </w:t>
      </w:r>
      <w:r w:rsidR="000F5843" w:rsidRPr="00D06097">
        <w:rPr>
          <w:rFonts w:ascii="Palatino Linotype" w:hAnsi="Palatino Linotype"/>
          <w:sz w:val="18"/>
          <w:szCs w:val="18"/>
        </w:rPr>
        <w:t>Bayles [1978</w:t>
      </w:r>
      <w:r w:rsidRPr="00D06097">
        <w:rPr>
          <w:rFonts w:ascii="Palatino Linotype" w:hAnsi="Palatino Linotype"/>
          <w:sz w:val="18"/>
          <w:szCs w:val="18"/>
        </w:rPr>
        <w:t xml:space="preserve">] for compelling reasons to think such comparisons in principle cannot be made. </w:t>
      </w:r>
    </w:p>
  </w:footnote>
  <w:footnote w:id="34">
    <w:p w14:paraId="762B4C72" w14:textId="77777777" w:rsidR="003776DE" w:rsidRPr="00D06097" w:rsidRDefault="003776DE">
      <w:pPr>
        <w:pStyle w:val="FootnoteText"/>
        <w:rPr>
          <w:rFonts w:ascii="Palatino Linotype" w:hAnsi="Palatino Linotype"/>
          <w:sz w:val="18"/>
          <w:szCs w:val="18"/>
        </w:rPr>
      </w:pPr>
      <w:r w:rsidRPr="00D06097">
        <w:rPr>
          <w:rStyle w:val="FootnoteReference"/>
          <w:rFonts w:ascii="Palatino Linotype" w:hAnsi="Palatino Linotype"/>
          <w:sz w:val="18"/>
          <w:szCs w:val="18"/>
        </w:rPr>
        <w:footnoteRef/>
      </w:r>
      <w:r w:rsidRPr="00D06097">
        <w:rPr>
          <w:rFonts w:ascii="Palatino Linotype" w:hAnsi="Palatino Linotype"/>
          <w:sz w:val="18"/>
          <w:szCs w:val="18"/>
        </w:rPr>
        <w:t xml:space="preserve"> See Brighouse </w:t>
      </w:r>
      <w:r w:rsidR="00A96B64" w:rsidRPr="00D06097">
        <w:rPr>
          <w:rFonts w:ascii="Palatino Linotype" w:hAnsi="Palatino Linotype"/>
          <w:sz w:val="18"/>
          <w:szCs w:val="18"/>
        </w:rPr>
        <w:t xml:space="preserve">and Swift [2006] for discussion of ways in which it might constitute a good for the parents, and see </w:t>
      </w:r>
      <w:proofErr w:type="spellStart"/>
      <w:r w:rsidR="00A96B64" w:rsidRPr="00D06097">
        <w:rPr>
          <w:rFonts w:ascii="Palatino Linotype" w:hAnsi="Palatino Linotype"/>
          <w:sz w:val="18"/>
          <w:szCs w:val="18"/>
        </w:rPr>
        <w:t>Engster</w:t>
      </w:r>
      <w:proofErr w:type="spellEnd"/>
      <w:r w:rsidR="00A96B64" w:rsidRPr="00D06097">
        <w:rPr>
          <w:rFonts w:ascii="Palatino Linotype" w:hAnsi="Palatino Linotype"/>
          <w:sz w:val="18"/>
          <w:szCs w:val="18"/>
        </w:rPr>
        <w:t xml:space="preserve"> [2010] and Millum [2017] for discussion of ways in which it may constitute a public good, and for discussion of ways in which what and how we value are bound up in the circumstances responsible for our coming into existence see Adams [1987].   </w:t>
      </w:r>
    </w:p>
  </w:footnote>
  <w:footnote w:id="35">
    <w:p w14:paraId="7620B4C3" w14:textId="77777777" w:rsidR="001B0822" w:rsidRPr="00D06097" w:rsidRDefault="001B0822">
      <w:pPr>
        <w:pStyle w:val="FootnoteText"/>
        <w:rPr>
          <w:rFonts w:ascii="Palatino Linotype" w:hAnsi="Palatino Linotype"/>
          <w:sz w:val="18"/>
          <w:szCs w:val="18"/>
        </w:rPr>
      </w:pPr>
      <w:r w:rsidRPr="00D06097">
        <w:rPr>
          <w:rStyle w:val="FootnoteReference"/>
          <w:rFonts w:ascii="Palatino Linotype" w:hAnsi="Palatino Linotype"/>
          <w:sz w:val="18"/>
          <w:szCs w:val="18"/>
        </w:rPr>
        <w:footnoteRef/>
      </w:r>
      <w:r w:rsidRPr="00D06097">
        <w:rPr>
          <w:rFonts w:ascii="Palatino Linotype" w:hAnsi="Palatino Linotype"/>
          <w:sz w:val="18"/>
          <w:szCs w:val="18"/>
        </w:rPr>
        <w:t xml:space="preserve"> For discussion of this kind of strategy see Woolnough (</w:t>
      </w:r>
      <w:proofErr w:type="spellStart"/>
      <w:r w:rsidRPr="00D06097">
        <w:rPr>
          <w:rFonts w:ascii="Palatino Linotype" w:hAnsi="Palatino Linotype"/>
          <w:sz w:val="18"/>
          <w:szCs w:val="18"/>
        </w:rPr>
        <w:t>m.s</w:t>
      </w:r>
      <w:proofErr w:type="spellEnd"/>
      <w:r w:rsidRPr="00D06097">
        <w:rPr>
          <w:rFonts w:ascii="Palatino Linotype" w:hAnsi="Palatino Linotype"/>
          <w:sz w:val="18"/>
          <w:szCs w:val="18"/>
        </w:rPr>
        <w:t xml:space="preserve">) and Vitale [2020] </w:t>
      </w:r>
      <w:proofErr w:type="spellStart"/>
      <w:r w:rsidRPr="00D06097">
        <w:rPr>
          <w:rFonts w:ascii="Palatino Linotype" w:hAnsi="Palatino Linotype"/>
          <w:sz w:val="18"/>
          <w:szCs w:val="18"/>
        </w:rPr>
        <w:t>ch.</w:t>
      </w:r>
      <w:proofErr w:type="spellEnd"/>
      <w:r w:rsidRPr="00D06097">
        <w:rPr>
          <w:rFonts w:ascii="Palatino Linotype" w:hAnsi="Palatino Linotype"/>
          <w:sz w:val="18"/>
          <w:szCs w:val="18"/>
        </w:rPr>
        <w:t xml:space="preserve"> 7.</w:t>
      </w:r>
    </w:p>
  </w:footnote>
  <w:footnote w:id="36">
    <w:p w14:paraId="5FC386B6" w14:textId="77777777" w:rsidR="004451BE" w:rsidRPr="00D06097" w:rsidRDefault="004451BE">
      <w:pPr>
        <w:pStyle w:val="FootnoteText"/>
        <w:rPr>
          <w:rFonts w:ascii="Palatino Linotype" w:hAnsi="Palatino Linotype"/>
          <w:sz w:val="18"/>
          <w:szCs w:val="18"/>
        </w:rPr>
      </w:pPr>
      <w:r w:rsidRPr="00D06097">
        <w:rPr>
          <w:rStyle w:val="FootnoteReference"/>
          <w:rFonts w:ascii="Palatino Linotype" w:hAnsi="Palatino Linotype"/>
          <w:sz w:val="18"/>
          <w:szCs w:val="18"/>
        </w:rPr>
        <w:footnoteRef/>
      </w:r>
      <w:r w:rsidRPr="00D06097">
        <w:rPr>
          <w:rFonts w:ascii="Palatino Linotype" w:hAnsi="Palatino Linotype"/>
          <w:sz w:val="18"/>
          <w:szCs w:val="18"/>
        </w:rPr>
        <w:t xml:space="preserve"> See e.g., Benatar [1999], [2006] and </w:t>
      </w:r>
      <w:proofErr w:type="spellStart"/>
      <w:r w:rsidRPr="00D06097">
        <w:rPr>
          <w:rFonts w:ascii="Palatino Linotype" w:hAnsi="Palatino Linotype"/>
          <w:sz w:val="18"/>
          <w:szCs w:val="18"/>
        </w:rPr>
        <w:t>Schiffrin</w:t>
      </w:r>
      <w:proofErr w:type="spellEnd"/>
      <w:r w:rsidRPr="00D06097">
        <w:rPr>
          <w:rFonts w:ascii="Palatino Linotype" w:hAnsi="Palatino Linotype"/>
          <w:sz w:val="18"/>
          <w:szCs w:val="18"/>
        </w:rPr>
        <w:t xml:space="preserve"> [1999] for an articulation of these sorts of pressures. </w:t>
      </w:r>
    </w:p>
  </w:footnote>
  <w:footnote w:id="37">
    <w:p w14:paraId="6B13E748" w14:textId="77777777" w:rsidR="007454E0" w:rsidRPr="00D06097" w:rsidRDefault="007454E0">
      <w:pPr>
        <w:pStyle w:val="FootnoteText"/>
        <w:rPr>
          <w:rFonts w:ascii="Palatino Linotype" w:hAnsi="Palatino Linotype"/>
          <w:sz w:val="18"/>
          <w:szCs w:val="18"/>
        </w:rPr>
      </w:pPr>
      <w:r w:rsidRPr="00D06097">
        <w:rPr>
          <w:rStyle w:val="FootnoteReference"/>
          <w:rFonts w:ascii="Palatino Linotype" w:hAnsi="Palatino Linotype"/>
          <w:sz w:val="18"/>
          <w:szCs w:val="18"/>
        </w:rPr>
        <w:footnoteRef/>
      </w:r>
      <w:r w:rsidRPr="00D06097">
        <w:rPr>
          <w:rFonts w:ascii="Palatino Linotype" w:hAnsi="Palatino Linotype"/>
          <w:sz w:val="18"/>
          <w:szCs w:val="18"/>
        </w:rPr>
        <w:t xml:space="preserve"> Adams [2006] p.69</w:t>
      </w:r>
    </w:p>
  </w:footnote>
  <w:footnote w:id="38">
    <w:p w14:paraId="759C95F6" w14:textId="77777777" w:rsidR="007454E0" w:rsidRPr="00D06097" w:rsidRDefault="007454E0">
      <w:pPr>
        <w:pStyle w:val="FootnoteText"/>
        <w:rPr>
          <w:rFonts w:ascii="Palatino Linotype" w:hAnsi="Palatino Linotype"/>
          <w:sz w:val="18"/>
          <w:szCs w:val="18"/>
        </w:rPr>
      </w:pPr>
      <w:r w:rsidRPr="00D06097">
        <w:rPr>
          <w:rStyle w:val="FootnoteReference"/>
          <w:rFonts w:ascii="Palatino Linotype" w:hAnsi="Palatino Linotype"/>
          <w:sz w:val="18"/>
          <w:szCs w:val="18"/>
        </w:rPr>
        <w:footnoteRef/>
      </w:r>
      <w:r w:rsidRPr="00D06097">
        <w:rPr>
          <w:rFonts w:ascii="Palatino Linotype" w:hAnsi="Palatino Linotype"/>
          <w:sz w:val="18"/>
          <w:szCs w:val="18"/>
        </w:rPr>
        <w:t xml:space="preserve"> Ibid. p. 69. </w:t>
      </w:r>
    </w:p>
  </w:footnote>
  <w:footnote w:id="39">
    <w:p w14:paraId="1331F249" w14:textId="77777777" w:rsidR="007454E0" w:rsidRPr="00D06097" w:rsidRDefault="007454E0">
      <w:pPr>
        <w:pStyle w:val="FootnoteText"/>
        <w:rPr>
          <w:rFonts w:ascii="Palatino Linotype" w:hAnsi="Palatino Linotype"/>
          <w:sz w:val="18"/>
          <w:szCs w:val="18"/>
        </w:rPr>
      </w:pPr>
      <w:r w:rsidRPr="00D06097">
        <w:rPr>
          <w:rStyle w:val="FootnoteReference"/>
          <w:rFonts w:ascii="Palatino Linotype" w:hAnsi="Palatino Linotype"/>
          <w:sz w:val="18"/>
          <w:szCs w:val="18"/>
        </w:rPr>
        <w:footnoteRef/>
      </w:r>
      <w:r w:rsidRPr="00D06097">
        <w:rPr>
          <w:rFonts w:ascii="Palatino Linotype" w:hAnsi="Palatino Linotype"/>
          <w:sz w:val="18"/>
          <w:szCs w:val="18"/>
        </w:rPr>
        <w:t xml:space="preserve"> Ibid. p. 69–70</w:t>
      </w:r>
    </w:p>
  </w:footnote>
  <w:footnote w:id="40">
    <w:p w14:paraId="7E288DFE" w14:textId="77777777" w:rsidR="00144EA5" w:rsidRPr="00D06097" w:rsidRDefault="00144EA5">
      <w:pPr>
        <w:pStyle w:val="FootnoteText"/>
        <w:rPr>
          <w:rFonts w:ascii="Palatino Linotype" w:hAnsi="Palatino Linotype"/>
          <w:sz w:val="18"/>
          <w:szCs w:val="18"/>
        </w:rPr>
      </w:pPr>
      <w:r w:rsidRPr="00D06097">
        <w:rPr>
          <w:rStyle w:val="FootnoteReference"/>
          <w:rFonts w:ascii="Palatino Linotype" w:hAnsi="Palatino Linotype"/>
          <w:sz w:val="18"/>
          <w:szCs w:val="18"/>
        </w:rPr>
        <w:footnoteRef/>
      </w:r>
      <w:r w:rsidRPr="00D06097">
        <w:rPr>
          <w:rFonts w:ascii="Palatino Linotype" w:hAnsi="Palatino Linotype"/>
          <w:sz w:val="18"/>
          <w:szCs w:val="18"/>
        </w:rPr>
        <w:t xml:space="preserve"> Ibid. p. 70</w:t>
      </w:r>
    </w:p>
  </w:footnote>
  <w:footnote w:id="41">
    <w:p w14:paraId="74DC414E" w14:textId="77777777" w:rsidR="00144EA5" w:rsidRPr="00D06097" w:rsidRDefault="00144EA5">
      <w:pPr>
        <w:pStyle w:val="FootnoteText"/>
        <w:rPr>
          <w:rFonts w:ascii="Palatino Linotype" w:hAnsi="Palatino Linotype"/>
          <w:sz w:val="18"/>
          <w:szCs w:val="18"/>
        </w:rPr>
      </w:pPr>
      <w:r w:rsidRPr="00D06097">
        <w:rPr>
          <w:rStyle w:val="FootnoteReference"/>
          <w:rFonts w:ascii="Palatino Linotype" w:hAnsi="Palatino Linotype"/>
          <w:sz w:val="18"/>
          <w:szCs w:val="18"/>
        </w:rPr>
        <w:footnoteRef/>
      </w:r>
      <w:r w:rsidRPr="00D06097">
        <w:rPr>
          <w:rFonts w:ascii="Palatino Linotype" w:hAnsi="Palatino Linotype"/>
          <w:sz w:val="18"/>
          <w:szCs w:val="18"/>
        </w:rPr>
        <w:t xml:space="preserve"> Ibid. p. 71</w:t>
      </w:r>
    </w:p>
  </w:footnote>
  <w:footnote w:id="42">
    <w:p w14:paraId="1F419CAE" w14:textId="74FA1C8E" w:rsidR="00D06097" w:rsidRPr="00D06097" w:rsidRDefault="00D06097">
      <w:pPr>
        <w:pStyle w:val="FootnoteText"/>
        <w:rPr>
          <w:rFonts w:ascii="Palatino Linotype" w:hAnsi="Palatino Linotype"/>
          <w:sz w:val="18"/>
          <w:szCs w:val="18"/>
        </w:rPr>
      </w:pPr>
      <w:r w:rsidRPr="00D06097">
        <w:rPr>
          <w:rStyle w:val="FootnoteReference"/>
          <w:rFonts w:ascii="Palatino Linotype" w:hAnsi="Palatino Linotype"/>
          <w:sz w:val="18"/>
          <w:szCs w:val="18"/>
        </w:rPr>
        <w:footnoteRef/>
      </w:r>
      <w:r w:rsidRPr="00D06097">
        <w:rPr>
          <w:rFonts w:ascii="Palatino Linotype" w:hAnsi="Palatino Linotype"/>
          <w:sz w:val="18"/>
          <w:szCs w:val="18"/>
        </w:rPr>
        <w:t xml:space="preserve"> Many thanks to the Global Philosophy of Religion Project for accepting an earlier version of this project for presentation at their “The Problem of Evil and Suffering” Conference, and to the conference participants whose constructive feedback helped improve this manuscript. Thanks also to our colleagues in the BYU philosophy department as well as three anonymous referees at Religious Studies.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4BC"/>
    <w:multiLevelType w:val="hybridMultilevel"/>
    <w:tmpl w:val="4E5460CE"/>
    <w:lvl w:ilvl="0" w:tplc="D8F0E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174E71"/>
    <w:multiLevelType w:val="hybridMultilevel"/>
    <w:tmpl w:val="34C86C7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CE97C50"/>
    <w:multiLevelType w:val="hybridMultilevel"/>
    <w:tmpl w:val="1FFA23D6"/>
    <w:lvl w:ilvl="0" w:tplc="2F541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D7188"/>
    <w:multiLevelType w:val="multilevel"/>
    <w:tmpl w:val="7AA0C970"/>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0B36D56"/>
    <w:multiLevelType w:val="hybridMultilevel"/>
    <w:tmpl w:val="34C86C7E"/>
    <w:lvl w:ilvl="0" w:tplc="22384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023CC5"/>
    <w:multiLevelType w:val="hybridMultilevel"/>
    <w:tmpl w:val="BF84C550"/>
    <w:lvl w:ilvl="0" w:tplc="EFD668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C4087F"/>
    <w:multiLevelType w:val="multilevel"/>
    <w:tmpl w:val="2DFA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DD18DD"/>
    <w:multiLevelType w:val="hybridMultilevel"/>
    <w:tmpl w:val="D58607CA"/>
    <w:lvl w:ilvl="0" w:tplc="74A692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6338FB"/>
    <w:multiLevelType w:val="hybridMultilevel"/>
    <w:tmpl w:val="D658A01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8592881">
    <w:abstractNumId w:val="8"/>
  </w:num>
  <w:num w:numId="2" w16cid:durableId="1283341637">
    <w:abstractNumId w:val="3"/>
  </w:num>
  <w:num w:numId="3" w16cid:durableId="518005061">
    <w:abstractNumId w:val="2"/>
  </w:num>
  <w:num w:numId="4" w16cid:durableId="567615184">
    <w:abstractNumId w:val="4"/>
  </w:num>
  <w:num w:numId="5" w16cid:durableId="178395872">
    <w:abstractNumId w:val="7"/>
  </w:num>
  <w:num w:numId="6" w16cid:durableId="1157647494">
    <w:abstractNumId w:val="0"/>
  </w:num>
  <w:num w:numId="7" w16cid:durableId="664666418">
    <w:abstractNumId w:val="5"/>
  </w:num>
  <w:num w:numId="8" w16cid:durableId="478495550">
    <w:abstractNumId w:val="1"/>
  </w:num>
  <w:num w:numId="9" w16cid:durableId="6031513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670"/>
    <w:rsid w:val="00002DA7"/>
    <w:rsid w:val="00023752"/>
    <w:rsid w:val="00023DE2"/>
    <w:rsid w:val="00056147"/>
    <w:rsid w:val="000611F0"/>
    <w:rsid w:val="0006344E"/>
    <w:rsid w:val="00064522"/>
    <w:rsid w:val="00096B79"/>
    <w:rsid w:val="000B6304"/>
    <w:rsid w:val="000E135D"/>
    <w:rsid w:val="000E325D"/>
    <w:rsid w:val="000E52F2"/>
    <w:rsid w:val="000F2906"/>
    <w:rsid w:val="000F5843"/>
    <w:rsid w:val="000F58BE"/>
    <w:rsid w:val="000F652D"/>
    <w:rsid w:val="00116C20"/>
    <w:rsid w:val="00132A0E"/>
    <w:rsid w:val="00144EA5"/>
    <w:rsid w:val="00146E65"/>
    <w:rsid w:val="00167754"/>
    <w:rsid w:val="001755EF"/>
    <w:rsid w:val="00180434"/>
    <w:rsid w:val="00194371"/>
    <w:rsid w:val="001A09A6"/>
    <w:rsid w:val="001B0822"/>
    <w:rsid w:val="001B2EE7"/>
    <w:rsid w:val="001D0457"/>
    <w:rsid w:val="00202D5B"/>
    <w:rsid w:val="00237FA3"/>
    <w:rsid w:val="002402A5"/>
    <w:rsid w:val="002444AC"/>
    <w:rsid w:val="00267D31"/>
    <w:rsid w:val="00282BF4"/>
    <w:rsid w:val="0028677C"/>
    <w:rsid w:val="00291EE5"/>
    <w:rsid w:val="00291F4C"/>
    <w:rsid w:val="00293F69"/>
    <w:rsid w:val="002A23EE"/>
    <w:rsid w:val="002D0C48"/>
    <w:rsid w:val="002D601C"/>
    <w:rsid w:val="002D654F"/>
    <w:rsid w:val="002E164F"/>
    <w:rsid w:val="002E5104"/>
    <w:rsid w:val="002F14FC"/>
    <w:rsid w:val="002F35A8"/>
    <w:rsid w:val="002F6207"/>
    <w:rsid w:val="002F6955"/>
    <w:rsid w:val="002F7F1D"/>
    <w:rsid w:val="003006AD"/>
    <w:rsid w:val="00306DEF"/>
    <w:rsid w:val="003266C1"/>
    <w:rsid w:val="0035019E"/>
    <w:rsid w:val="00352A78"/>
    <w:rsid w:val="0035468E"/>
    <w:rsid w:val="00362351"/>
    <w:rsid w:val="00375F99"/>
    <w:rsid w:val="0037689A"/>
    <w:rsid w:val="003776DE"/>
    <w:rsid w:val="00384249"/>
    <w:rsid w:val="003C1145"/>
    <w:rsid w:val="003C23B3"/>
    <w:rsid w:val="003D3F8F"/>
    <w:rsid w:val="003D7316"/>
    <w:rsid w:val="003E297A"/>
    <w:rsid w:val="00405D77"/>
    <w:rsid w:val="0042192E"/>
    <w:rsid w:val="00435202"/>
    <w:rsid w:val="00435B8C"/>
    <w:rsid w:val="00436666"/>
    <w:rsid w:val="004377E0"/>
    <w:rsid w:val="004451BE"/>
    <w:rsid w:val="004501D4"/>
    <w:rsid w:val="00450427"/>
    <w:rsid w:val="004505FA"/>
    <w:rsid w:val="004B2E8D"/>
    <w:rsid w:val="004B3057"/>
    <w:rsid w:val="004B4711"/>
    <w:rsid w:val="004E188A"/>
    <w:rsid w:val="004E38D3"/>
    <w:rsid w:val="00506BA6"/>
    <w:rsid w:val="005149CE"/>
    <w:rsid w:val="005348C9"/>
    <w:rsid w:val="00545495"/>
    <w:rsid w:val="00551A8A"/>
    <w:rsid w:val="0055212E"/>
    <w:rsid w:val="00570E39"/>
    <w:rsid w:val="00584493"/>
    <w:rsid w:val="0058709E"/>
    <w:rsid w:val="00595E17"/>
    <w:rsid w:val="005B05A8"/>
    <w:rsid w:val="005B731B"/>
    <w:rsid w:val="005C05B6"/>
    <w:rsid w:val="005C3C01"/>
    <w:rsid w:val="005C7A24"/>
    <w:rsid w:val="005D1AE9"/>
    <w:rsid w:val="005D275C"/>
    <w:rsid w:val="005D5BF0"/>
    <w:rsid w:val="005E4CC2"/>
    <w:rsid w:val="005E5F1E"/>
    <w:rsid w:val="005F4801"/>
    <w:rsid w:val="006115CC"/>
    <w:rsid w:val="00620ADF"/>
    <w:rsid w:val="00627B68"/>
    <w:rsid w:val="00631B1A"/>
    <w:rsid w:val="00644E50"/>
    <w:rsid w:val="00645D8B"/>
    <w:rsid w:val="00673970"/>
    <w:rsid w:val="006862D5"/>
    <w:rsid w:val="0069486B"/>
    <w:rsid w:val="00696F30"/>
    <w:rsid w:val="00697966"/>
    <w:rsid w:val="006B3B9A"/>
    <w:rsid w:val="006D1E00"/>
    <w:rsid w:val="006E0EFE"/>
    <w:rsid w:val="006E30EF"/>
    <w:rsid w:val="0070098D"/>
    <w:rsid w:val="00704F11"/>
    <w:rsid w:val="007264FA"/>
    <w:rsid w:val="007454E0"/>
    <w:rsid w:val="00765D2E"/>
    <w:rsid w:val="00773379"/>
    <w:rsid w:val="00781DF8"/>
    <w:rsid w:val="00794294"/>
    <w:rsid w:val="007A0BEA"/>
    <w:rsid w:val="007A6BBD"/>
    <w:rsid w:val="007C6C1B"/>
    <w:rsid w:val="007D72E3"/>
    <w:rsid w:val="007F13A9"/>
    <w:rsid w:val="007F3AA7"/>
    <w:rsid w:val="00810919"/>
    <w:rsid w:val="00814F54"/>
    <w:rsid w:val="00835DB8"/>
    <w:rsid w:val="00840F4D"/>
    <w:rsid w:val="008541ED"/>
    <w:rsid w:val="00875BA9"/>
    <w:rsid w:val="00880B82"/>
    <w:rsid w:val="0088353A"/>
    <w:rsid w:val="008950E9"/>
    <w:rsid w:val="008A6713"/>
    <w:rsid w:val="008B60D4"/>
    <w:rsid w:val="008B68A6"/>
    <w:rsid w:val="008E5C5D"/>
    <w:rsid w:val="008F0166"/>
    <w:rsid w:val="008F0251"/>
    <w:rsid w:val="008F05B5"/>
    <w:rsid w:val="008F2EF0"/>
    <w:rsid w:val="00906532"/>
    <w:rsid w:val="00917AB4"/>
    <w:rsid w:val="0092337D"/>
    <w:rsid w:val="00930F98"/>
    <w:rsid w:val="009429F5"/>
    <w:rsid w:val="00943F00"/>
    <w:rsid w:val="0096458D"/>
    <w:rsid w:val="00974360"/>
    <w:rsid w:val="009819B7"/>
    <w:rsid w:val="00992BFA"/>
    <w:rsid w:val="00994919"/>
    <w:rsid w:val="009A52CA"/>
    <w:rsid w:val="00A02670"/>
    <w:rsid w:val="00A50D1F"/>
    <w:rsid w:val="00A619A5"/>
    <w:rsid w:val="00A64DAB"/>
    <w:rsid w:val="00A65163"/>
    <w:rsid w:val="00A66A45"/>
    <w:rsid w:val="00A74E6F"/>
    <w:rsid w:val="00A916D3"/>
    <w:rsid w:val="00A96B64"/>
    <w:rsid w:val="00AA12A9"/>
    <w:rsid w:val="00AA661D"/>
    <w:rsid w:val="00AA7803"/>
    <w:rsid w:val="00AB389F"/>
    <w:rsid w:val="00AB3A3C"/>
    <w:rsid w:val="00AB7ECA"/>
    <w:rsid w:val="00AC276E"/>
    <w:rsid w:val="00AE3079"/>
    <w:rsid w:val="00AF2A59"/>
    <w:rsid w:val="00B057A0"/>
    <w:rsid w:val="00B27BCF"/>
    <w:rsid w:val="00B436F6"/>
    <w:rsid w:val="00B5558F"/>
    <w:rsid w:val="00B61020"/>
    <w:rsid w:val="00B66A7E"/>
    <w:rsid w:val="00B83BFF"/>
    <w:rsid w:val="00B85377"/>
    <w:rsid w:val="00B97D15"/>
    <w:rsid w:val="00BA7F81"/>
    <w:rsid w:val="00BB4B20"/>
    <w:rsid w:val="00BC767E"/>
    <w:rsid w:val="00BD38C3"/>
    <w:rsid w:val="00BE3032"/>
    <w:rsid w:val="00C125F6"/>
    <w:rsid w:val="00C16392"/>
    <w:rsid w:val="00C17D84"/>
    <w:rsid w:val="00C24FDC"/>
    <w:rsid w:val="00C42667"/>
    <w:rsid w:val="00C45C74"/>
    <w:rsid w:val="00C678B7"/>
    <w:rsid w:val="00C71857"/>
    <w:rsid w:val="00C90490"/>
    <w:rsid w:val="00CA2F1D"/>
    <w:rsid w:val="00CD1714"/>
    <w:rsid w:val="00CD1BE9"/>
    <w:rsid w:val="00D00D7D"/>
    <w:rsid w:val="00D06097"/>
    <w:rsid w:val="00D123FC"/>
    <w:rsid w:val="00D1539D"/>
    <w:rsid w:val="00D17C75"/>
    <w:rsid w:val="00D22A1D"/>
    <w:rsid w:val="00D251D5"/>
    <w:rsid w:val="00D57FCA"/>
    <w:rsid w:val="00D806D3"/>
    <w:rsid w:val="00D953F3"/>
    <w:rsid w:val="00DA0D79"/>
    <w:rsid w:val="00DB7A0C"/>
    <w:rsid w:val="00DD31CE"/>
    <w:rsid w:val="00DF3A5F"/>
    <w:rsid w:val="00E324B0"/>
    <w:rsid w:val="00E630D7"/>
    <w:rsid w:val="00E6759F"/>
    <w:rsid w:val="00E87947"/>
    <w:rsid w:val="00E9364A"/>
    <w:rsid w:val="00EB1C04"/>
    <w:rsid w:val="00EC1A5F"/>
    <w:rsid w:val="00EE2290"/>
    <w:rsid w:val="00EF1E81"/>
    <w:rsid w:val="00F07501"/>
    <w:rsid w:val="00F07B65"/>
    <w:rsid w:val="00F27C03"/>
    <w:rsid w:val="00F56DEB"/>
    <w:rsid w:val="00F61B99"/>
    <w:rsid w:val="00F863C4"/>
    <w:rsid w:val="00F9095C"/>
    <w:rsid w:val="00F96D66"/>
    <w:rsid w:val="00FA5E2A"/>
    <w:rsid w:val="00FA7A72"/>
    <w:rsid w:val="00FA7E00"/>
    <w:rsid w:val="00FD1E4A"/>
    <w:rsid w:val="00FD35A2"/>
    <w:rsid w:val="00FD4EEF"/>
    <w:rsid w:val="00FD76AD"/>
    <w:rsid w:val="00FE293F"/>
    <w:rsid w:val="00FE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8888"/>
  <w15:chartTrackingRefBased/>
  <w15:docId w15:val="{E00C33F0-0638-44A8-8D5D-533F7F89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76"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67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02670"/>
    <w:pPr>
      <w:spacing w:after="0" w:line="240" w:lineRule="auto"/>
    </w:pPr>
    <w:rPr>
      <w:sz w:val="20"/>
      <w:szCs w:val="20"/>
    </w:rPr>
  </w:style>
  <w:style w:type="character" w:customStyle="1" w:styleId="FootnoteTextChar">
    <w:name w:val="Footnote Text Char"/>
    <w:basedOn w:val="DefaultParagraphFont"/>
    <w:link w:val="FootnoteText"/>
    <w:uiPriority w:val="99"/>
    <w:rsid w:val="00A02670"/>
    <w:rPr>
      <w:kern w:val="0"/>
      <w:sz w:val="20"/>
      <w:szCs w:val="20"/>
      <w14:ligatures w14:val="none"/>
    </w:rPr>
  </w:style>
  <w:style w:type="character" w:styleId="FootnoteReference">
    <w:name w:val="footnote reference"/>
    <w:basedOn w:val="DefaultParagraphFont"/>
    <w:uiPriority w:val="99"/>
    <w:semiHidden/>
    <w:unhideWhenUsed/>
    <w:rsid w:val="00A02670"/>
    <w:rPr>
      <w:vertAlign w:val="superscript"/>
    </w:rPr>
  </w:style>
  <w:style w:type="paragraph" w:styleId="ListParagraph">
    <w:name w:val="List Paragraph"/>
    <w:basedOn w:val="Normal"/>
    <w:uiPriority w:val="34"/>
    <w:qFormat/>
    <w:rsid w:val="00A02670"/>
    <w:pPr>
      <w:ind w:left="720"/>
      <w:contextualSpacing/>
    </w:pPr>
  </w:style>
  <w:style w:type="paragraph" w:styleId="NormalWeb">
    <w:name w:val="Normal (Web)"/>
    <w:basedOn w:val="Normal"/>
    <w:uiPriority w:val="99"/>
    <w:semiHidden/>
    <w:unhideWhenUsed/>
    <w:rsid w:val="009819B7"/>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88353A"/>
    <w:rPr>
      <w:i/>
      <w:iCs/>
    </w:rPr>
  </w:style>
  <w:style w:type="character" w:styleId="Hyperlink">
    <w:name w:val="Hyperlink"/>
    <w:basedOn w:val="DefaultParagraphFont"/>
    <w:uiPriority w:val="99"/>
    <w:unhideWhenUsed/>
    <w:rsid w:val="0088353A"/>
    <w:rPr>
      <w:color w:val="0000FF"/>
      <w:u w:val="single"/>
    </w:rPr>
  </w:style>
  <w:style w:type="character" w:styleId="Strong">
    <w:name w:val="Strong"/>
    <w:basedOn w:val="DefaultParagraphFont"/>
    <w:uiPriority w:val="22"/>
    <w:qFormat/>
    <w:rsid w:val="0088353A"/>
    <w:rPr>
      <w:b/>
      <w:bCs/>
    </w:rPr>
  </w:style>
  <w:style w:type="paragraph" w:customStyle="1" w:styleId="verse">
    <w:name w:val="verse"/>
    <w:basedOn w:val="Normal"/>
    <w:rsid w:val="005348C9"/>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verse-number">
    <w:name w:val="verse-number"/>
    <w:basedOn w:val="DefaultParagraphFont"/>
    <w:rsid w:val="005348C9"/>
  </w:style>
  <w:style w:type="paragraph" w:customStyle="1" w:styleId="mixed-citation-compatibility">
    <w:name w:val="mixed-citation-compatibility"/>
    <w:basedOn w:val="Normal"/>
    <w:rsid w:val="00EE2290"/>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name">
    <w:name w:val="name"/>
    <w:basedOn w:val="DefaultParagraphFont"/>
    <w:rsid w:val="00EE2290"/>
  </w:style>
  <w:style w:type="paragraph" w:customStyle="1" w:styleId="wpt7ge">
    <w:name w:val="wpt7ge"/>
    <w:basedOn w:val="Normal"/>
    <w:rsid w:val="007A6BBD"/>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06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BA6"/>
    <w:rPr>
      <w:kern w:val="0"/>
      <w14:ligatures w14:val="none"/>
    </w:rPr>
  </w:style>
  <w:style w:type="paragraph" w:styleId="Footer">
    <w:name w:val="footer"/>
    <w:basedOn w:val="Normal"/>
    <w:link w:val="FooterChar"/>
    <w:uiPriority w:val="99"/>
    <w:unhideWhenUsed/>
    <w:rsid w:val="00506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BA6"/>
    <w:rPr>
      <w:kern w:val="0"/>
      <w14:ligatures w14:val="none"/>
    </w:rPr>
  </w:style>
  <w:style w:type="paragraph" w:customStyle="1" w:styleId="Default">
    <w:name w:val="Default"/>
    <w:rsid w:val="00F96D66"/>
    <w:pPr>
      <w:autoSpaceDE w:val="0"/>
      <w:autoSpaceDN w:val="0"/>
      <w:adjustRightInd w:val="0"/>
      <w:spacing w:after="0" w:line="240" w:lineRule="auto"/>
      <w:ind w:firstLine="0"/>
    </w:pPr>
    <w:rPr>
      <w:rFonts w:ascii="Garamond" w:hAnsi="Garamond" w:cs="Garamond"/>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352">
      <w:bodyDiv w:val="1"/>
      <w:marLeft w:val="0"/>
      <w:marRight w:val="0"/>
      <w:marTop w:val="0"/>
      <w:marBottom w:val="0"/>
      <w:divBdr>
        <w:top w:val="none" w:sz="0" w:space="0" w:color="auto"/>
        <w:left w:val="none" w:sz="0" w:space="0" w:color="auto"/>
        <w:bottom w:val="none" w:sz="0" w:space="0" w:color="auto"/>
        <w:right w:val="none" w:sz="0" w:space="0" w:color="auto"/>
      </w:divBdr>
    </w:div>
    <w:div w:id="124584670">
      <w:bodyDiv w:val="1"/>
      <w:marLeft w:val="0"/>
      <w:marRight w:val="0"/>
      <w:marTop w:val="0"/>
      <w:marBottom w:val="0"/>
      <w:divBdr>
        <w:top w:val="none" w:sz="0" w:space="0" w:color="auto"/>
        <w:left w:val="none" w:sz="0" w:space="0" w:color="auto"/>
        <w:bottom w:val="none" w:sz="0" w:space="0" w:color="auto"/>
        <w:right w:val="none" w:sz="0" w:space="0" w:color="auto"/>
      </w:divBdr>
      <w:divsChild>
        <w:div w:id="1157960699">
          <w:marLeft w:val="480"/>
          <w:marRight w:val="0"/>
          <w:marTop w:val="0"/>
          <w:marBottom w:val="0"/>
          <w:divBdr>
            <w:top w:val="none" w:sz="0" w:space="0" w:color="auto"/>
            <w:left w:val="none" w:sz="0" w:space="0" w:color="auto"/>
            <w:bottom w:val="none" w:sz="0" w:space="0" w:color="auto"/>
            <w:right w:val="none" w:sz="0" w:space="0" w:color="auto"/>
          </w:divBdr>
          <w:divsChild>
            <w:div w:id="2990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4236">
      <w:bodyDiv w:val="1"/>
      <w:marLeft w:val="0"/>
      <w:marRight w:val="0"/>
      <w:marTop w:val="0"/>
      <w:marBottom w:val="0"/>
      <w:divBdr>
        <w:top w:val="none" w:sz="0" w:space="0" w:color="auto"/>
        <w:left w:val="none" w:sz="0" w:space="0" w:color="auto"/>
        <w:bottom w:val="none" w:sz="0" w:space="0" w:color="auto"/>
        <w:right w:val="none" w:sz="0" w:space="0" w:color="auto"/>
      </w:divBdr>
      <w:divsChild>
        <w:div w:id="1676807478">
          <w:marLeft w:val="0"/>
          <w:marRight w:val="0"/>
          <w:marTop w:val="15"/>
          <w:marBottom w:val="0"/>
          <w:divBdr>
            <w:top w:val="single" w:sz="48" w:space="0" w:color="auto"/>
            <w:left w:val="single" w:sz="48" w:space="0" w:color="auto"/>
            <w:bottom w:val="single" w:sz="48" w:space="0" w:color="auto"/>
            <w:right w:val="single" w:sz="48" w:space="0" w:color="auto"/>
          </w:divBdr>
          <w:divsChild>
            <w:div w:id="2257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86471">
      <w:bodyDiv w:val="1"/>
      <w:marLeft w:val="0"/>
      <w:marRight w:val="0"/>
      <w:marTop w:val="0"/>
      <w:marBottom w:val="0"/>
      <w:divBdr>
        <w:top w:val="none" w:sz="0" w:space="0" w:color="auto"/>
        <w:left w:val="none" w:sz="0" w:space="0" w:color="auto"/>
        <w:bottom w:val="none" w:sz="0" w:space="0" w:color="auto"/>
        <w:right w:val="none" w:sz="0" w:space="0" w:color="auto"/>
      </w:divBdr>
      <w:divsChild>
        <w:div w:id="829718000">
          <w:marLeft w:val="480"/>
          <w:marRight w:val="0"/>
          <w:marTop w:val="0"/>
          <w:marBottom w:val="0"/>
          <w:divBdr>
            <w:top w:val="none" w:sz="0" w:space="0" w:color="auto"/>
            <w:left w:val="none" w:sz="0" w:space="0" w:color="auto"/>
            <w:bottom w:val="none" w:sz="0" w:space="0" w:color="auto"/>
            <w:right w:val="none" w:sz="0" w:space="0" w:color="auto"/>
          </w:divBdr>
          <w:divsChild>
            <w:div w:id="116918730">
              <w:marLeft w:val="0"/>
              <w:marRight w:val="0"/>
              <w:marTop w:val="0"/>
              <w:marBottom w:val="0"/>
              <w:divBdr>
                <w:top w:val="none" w:sz="0" w:space="0" w:color="auto"/>
                <w:left w:val="none" w:sz="0" w:space="0" w:color="auto"/>
                <w:bottom w:val="none" w:sz="0" w:space="0" w:color="auto"/>
                <w:right w:val="none" w:sz="0" w:space="0" w:color="auto"/>
              </w:divBdr>
            </w:div>
            <w:div w:id="540896681">
              <w:marLeft w:val="0"/>
              <w:marRight w:val="0"/>
              <w:marTop w:val="0"/>
              <w:marBottom w:val="0"/>
              <w:divBdr>
                <w:top w:val="none" w:sz="0" w:space="0" w:color="auto"/>
                <w:left w:val="none" w:sz="0" w:space="0" w:color="auto"/>
                <w:bottom w:val="none" w:sz="0" w:space="0" w:color="auto"/>
                <w:right w:val="none" w:sz="0" w:space="0" w:color="auto"/>
              </w:divBdr>
            </w:div>
            <w:div w:id="631057648">
              <w:marLeft w:val="0"/>
              <w:marRight w:val="0"/>
              <w:marTop w:val="0"/>
              <w:marBottom w:val="0"/>
              <w:divBdr>
                <w:top w:val="none" w:sz="0" w:space="0" w:color="auto"/>
                <w:left w:val="none" w:sz="0" w:space="0" w:color="auto"/>
                <w:bottom w:val="none" w:sz="0" w:space="0" w:color="auto"/>
                <w:right w:val="none" w:sz="0" w:space="0" w:color="auto"/>
              </w:divBdr>
            </w:div>
            <w:div w:id="2121366941">
              <w:marLeft w:val="0"/>
              <w:marRight w:val="0"/>
              <w:marTop w:val="0"/>
              <w:marBottom w:val="0"/>
              <w:divBdr>
                <w:top w:val="none" w:sz="0" w:space="0" w:color="auto"/>
                <w:left w:val="none" w:sz="0" w:space="0" w:color="auto"/>
                <w:bottom w:val="none" w:sz="0" w:space="0" w:color="auto"/>
                <w:right w:val="none" w:sz="0" w:space="0" w:color="auto"/>
              </w:divBdr>
            </w:div>
            <w:div w:id="581918158">
              <w:marLeft w:val="0"/>
              <w:marRight w:val="0"/>
              <w:marTop w:val="0"/>
              <w:marBottom w:val="0"/>
              <w:divBdr>
                <w:top w:val="none" w:sz="0" w:space="0" w:color="auto"/>
                <w:left w:val="none" w:sz="0" w:space="0" w:color="auto"/>
                <w:bottom w:val="none" w:sz="0" w:space="0" w:color="auto"/>
                <w:right w:val="none" w:sz="0" w:space="0" w:color="auto"/>
              </w:divBdr>
            </w:div>
            <w:div w:id="1445658955">
              <w:marLeft w:val="0"/>
              <w:marRight w:val="0"/>
              <w:marTop w:val="0"/>
              <w:marBottom w:val="0"/>
              <w:divBdr>
                <w:top w:val="none" w:sz="0" w:space="0" w:color="auto"/>
                <w:left w:val="none" w:sz="0" w:space="0" w:color="auto"/>
                <w:bottom w:val="none" w:sz="0" w:space="0" w:color="auto"/>
                <w:right w:val="none" w:sz="0" w:space="0" w:color="auto"/>
              </w:divBdr>
            </w:div>
            <w:div w:id="583686951">
              <w:marLeft w:val="0"/>
              <w:marRight w:val="0"/>
              <w:marTop w:val="0"/>
              <w:marBottom w:val="0"/>
              <w:divBdr>
                <w:top w:val="none" w:sz="0" w:space="0" w:color="auto"/>
                <w:left w:val="none" w:sz="0" w:space="0" w:color="auto"/>
                <w:bottom w:val="none" w:sz="0" w:space="0" w:color="auto"/>
                <w:right w:val="none" w:sz="0" w:space="0" w:color="auto"/>
              </w:divBdr>
            </w:div>
            <w:div w:id="379326198">
              <w:marLeft w:val="0"/>
              <w:marRight w:val="0"/>
              <w:marTop w:val="0"/>
              <w:marBottom w:val="0"/>
              <w:divBdr>
                <w:top w:val="none" w:sz="0" w:space="0" w:color="auto"/>
                <w:left w:val="none" w:sz="0" w:space="0" w:color="auto"/>
                <w:bottom w:val="none" w:sz="0" w:space="0" w:color="auto"/>
                <w:right w:val="none" w:sz="0" w:space="0" w:color="auto"/>
              </w:divBdr>
            </w:div>
            <w:div w:id="16153731">
              <w:marLeft w:val="0"/>
              <w:marRight w:val="0"/>
              <w:marTop w:val="0"/>
              <w:marBottom w:val="0"/>
              <w:divBdr>
                <w:top w:val="none" w:sz="0" w:space="0" w:color="auto"/>
                <w:left w:val="none" w:sz="0" w:space="0" w:color="auto"/>
                <w:bottom w:val="none" w:sz="0" w:space="0" w:color="auto"/>
                <w:right w:val="none" w:sz="0" w:space="0" w:color="auto"/>
              </w:divBdr>
            </w:div>
            <w:div w:id="1690062928">
              <w:marLeft w:val="0"/>
              <w:marRight w:val="0"/>
              <w:marTop w:val="0"/>
              <w:marBottom w:val="0"/>
              <w:divBdr>
                <w:top w:val="none" w:sz="0" w:space="0" w:color="auto"/>
                <w:left w:val="none" w:sz="0" w:space="0" w:color="auto"/>
                <w:bottom w:val="none" w:sz="0" w:space="0" w:color="auto"/>
                <w:right w:val="none" w:sz="0" w:space="0" w:color="auto"/>
              </w:divBdr>
            </w:div>
            <w:div w:id="619537036">
              <w:marLeft w:val="0"/>
              <w:marRight w:val="0"/>
              <w:marTop w:val="0"/>
              <w:marBottom w:val="0"/>
              <w:divBdr>
                <w:top w:val="none" w:sz="0" w:space="0" w:color="auto"/>
                <w:left w:val="none" w:sz="0" w:space="0" w:color="auto"/>
                <w:bottom w:val="none" w:sz="0" w:space="0" w:color="auto"/>
                <w:right w:val="none" w:sz="0" w:space="0" w:color="auto"/>
              </w:divBdr>
            </w:div>
            <w:div w:id="1297683224">
              <w:marLeft w:val="0"/>
              <w:marRight w:val="0"/>
              <w:marTop w:val="0"/>
              <w:marBottom w:val="0"/>
              <w:divBdr>
                <w:top w:val="none" w:sz="0" w:space="0" w:color="auto"/>
                <w:left w:val="none" w:sz="0" w:space="0" w:color="auto"/>
                <w:bottom w:val="none" w:sz="0" w:space="0" w:color="auto"/>
                <w:right w:val="none" w:sz="0" w:space="0" w:color="auto"/>
              </w:divBdr>
            </w:div>
            <w:div w:id="2243721">
              <w:marLeft w:val="0"/>
              <w:marRight w:val="0"/>
              <w:marTop w:val="0"/>
              <w:marBottom w:val="0"/>
              <w:divBdr>
                <w:top w:val="none" w:sz="0" w:space="0" w:color="auto"/>
                <w:left w:val="none" w:sz="0" w:space="0" w:color="auto"/>
                <w:bottom w:val="none" w:sz="0" w:space="0" w:color="auto"/>
                <w:right w:val="none" w:sz="0" w:space="0" w:color="auto"/>
              </w:divBdr>
            </w:div>
            <w:div w:id="1948658238">
              <w:marLeft w:val="0"/>
              <w:marRight w:val="0"/>
              <w:marTop w:val="0"/>
              <w:marBottom w:val="0"/>
              <w:divBdr>
                <w:top w:val="none" w:sz="0" w:space="0" w:color="auto"/>
                <w:left w:val="none" w:sz="0" w:space="0" w:color="auto"/>
                <w:bottom w:val="none" w:sz="0" w:space="0" w:color="auto"/>
                <w:right w:val="none" w:sz="0" w:space="0" w:color="auto"/>
              </w:divBdr>
            </w:div>
            <w:div w:id="634717348">
              <w:marLeft w:val="0"/>
              <w:marRight w:val="0"/>
              <w:marTop w:val="0"/>
              <w:marBottom w:val="0"/>
              <w:divBdr>
                <w:top w:val="none" w:sz="0" w:space="0" w:color="auto"/>
                <w:left w:val="none" w:sz="0" w:space="0" w:color="auto"/>
                <w:bottom w:val="none" w:sz="0" w:space="0" w:color="auto"/>
                <w:right w:val="none" w:sz="0" w:space="0" w:color="auto"/>
              </w:divBdr>
            </w:div>
            <w:div w:id="299382501">
              <w:marLeft w:val="0"/>
              <w:marRight w:val="0"/>
              <w:marTop w:val="0"/>
              <w:marBottom w:val="0"/>
              <w:divBdr>
                <w:top w:val="none" w:sz="0" w:space="0" w:color="auto"/>
                <w:left w:val="none" w:sz="0" w:space="0" w:color="auto"/>
                <w:bottom w:val="none" w:sz="0" w:space="0" w:color="auto"/>
                <w:right w:val="none" w:sz="0" w:space="0" w:color="auto"/>
              </w:divBdr>
            </w:div>
            <w:div w:id="157694101">
              <w:marLeft w:val="0"/>
              <w:marRight w:val="0"/>
              <w:marTop w:val="0"/>
              <w:marBottom w:val="0"/>
              <w:divBdr>
                <w:top w:val="none" w:sz="0" w:space="0" w:color="auto"/>
                <w:left w:val="none" w:sz="0" w:space="0" w:color="auto"/>
                <w:bottom w:val="none" w:sz="0" w:space="0" w:color="auto"/>
                <w:right w:val="none" w:sz="0" w:space="0" w:color="auto"/>
              </w:divBdr>
            </w:div>
            <w:div w:id="1182281690">
              <w:marLeft w:val="0"/>
              <w:marRight w:val="0"/>
              <w:marTop w:val="0"/>
              <w:marBottom w:val="0"/>
              <w:divBdr>
                <w:top w:val="none" w:sz="0" w:space="0" w:color="auto"/>
                <w:left w:val="none" w:sz="0" w:space="0" w:color="auto"/>
                <w:bottom w:val="none" w:sz="0" w:space="0" w:color="auto"/>
                <w:right w:val="none" w:sz="0" w:space="0" w:color="auto"/>
              </w:divBdr>
            </w:div>
            <w:div w:id="1368605489">
              <w:marLeft w:val="0"/>
              <w:marRight w:val="0"/>
              <w:marTop w:val="0"/>
              <w:marBottom w:val="0"/>
              <w:divBdr>
                <w:top w:val="none" w:sz="0" w:space="0" w:color="auto"/>
                <w:left w:val="none" w:sz="0" w:space="0" w:color="auto"/>
                <w:bottom w:val="none" w:sz="0" w:space="0" w:color="auto"/>
                <w:right w:val="none" w:sz="0" w:space="0" w:color="auto"/>
              </w:divBdr>
            </w:div>
            <w:div w:id="1168136890">
              <w:marLeft w:val="0"/>
              <w:marRight w:val="0"/>
              <w:marTop w:val="0"/>
              <w:marBottom w:val="0"/>
              <w:divBdr>
                <w:top w:val="none" w:sz="0" w:space="0" w:color="auto"/>
                <w:left w:val="none" w:sz="0" w:space="0" w:color="auto"/>
                <w:bottom w:val="none" w:sz="0" w:space="0" w:color="auto"/>
                <w:right w:val="none" w:sz="0" w:space="0" w:color="auto"/>
              </w:divBdr>
            </w:div>
            <w:div w:id="925915303">
              <w:marLeft w:val="0"/>
              <w:marRight w:val="0"/>
              <w:marTop w:val="0"/>
              <w:marBottom w:val="0"/>
              <w:divBdr>
                <w:top w:val="none" w:sz="0" w:space="0" w:color="auto"/>
                <w:left w:val="none" w:sz="0" w:space="0" w:color="auto"/>
                <w:bottom w:val="none" w:sz="0" w:space="0" w:color="auto"/>
                <w:right w:val="none" w:sz="0" w:space="0" w:color="auto"/>
              </w:divBdr>
            </w:div>
            <w:div w:id="607353258">
              <w:marLeft w:val="0"/>
              <w:marRight w:val="0"/>
              <w:marTop w:val="0"/>
              <w:marBottom w:val="0"/>
              <w:divBdr>
                <w:top w:val="none" w:sz="0" w:space="0" w:color="auto"/>
                <w:left w:val="none" w:sz="0" w:space="0" w:color="auto"/>
                <w:bottom w:val="none" w:sz="0" w:space="0" w:color="auto"/>
                <w:right w:val="none" w:sz="0" w:space="0" w:color="auto"/>
              </w:divBdr>
            </w:div>
            <w:div w:id="199247338">
              <w:marLeft w:val="0"/>
              <w:marRight w:val="0"/>
              <w:marTop w:val="0"/>
              <w:marBottom w:val="0"/>
              <w:divBdr>
                <w:top w:val="none" w:sz="0" w:space="0" w:color="auto"/>
                <w:left w:val="none" w:sz="0" w:space="0" w:color="auto"/>
                <w:bottom w:val="none" w:sz="0" w:space="0" w:color="auto"/>
                <w:right w:val="none" w:sz="0" w:space="0" w:color="auto"/>
              </w:divBdr>
            </w:div>
            <w:div w:id="1101561659">
              <w:marLeft w:val="0"/>
              <w:marRight w:val="0"/>
              <w:marTop w:val="0"/>
              <w:marBottom w:val="0"/>
              <w:divBdr>
                <w:top w:val="none" w:sz="0" w:space="0" w:color="auto"/>
                <w:left w:val="none" w:sz="0" w:space="0" w:color="auto"/>
                <w:bottom w:val="none" w:sz="0" w:space="0" w:color="auto"/>
                <w:right w:val="none" w:sz="0" w:space="0" w:color="auto"/>
              </w:divBdr>
            </w:div>
            <w:div w:id="884803376">
              <w:marLeft w:val="0"/>
              <w:marRight w:val="0"/>
              <w:marTop w:val="0"/>
              <w:marBottom w:val="0"/>
              <w:divBdr>
                <w:top w:val="none" w:sz="0" w:space="0" w:color="auto"/>
                <w:left w:val="none" w:sz="0" w:space="0" w:color="auto"/>
                <w:bottom w:val="none" w:sz="0" w:space="0" w:color="auto"/>
                <w:right w:val="none" w:sz="0" w:space="0" w:color="auto"/>
              </w:divBdr>
            </w:div>
            <w:div w:id="9169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4627">
      <w:bodyDiv w:val="1"/>
      <w:marLeft w:val="0"/>
      <w:marRight w:val="0"/>
      <w:marTop w:val="0"/>
      <w:marBottom w:val="0"/>
      <w:divBdr>
        <w:top w:val="none" w:sz="0" w:space="0" w:color="auto"/>
        <w:left w:val="none" w:sz="0" w:space="0" w:color="auto"/>
        <w:bottom w:val="none" w:sz="0" w:space="0" w:color="auto"/>
        <w:right w:val="none" w:sz="0" w:space="0" w:color="auto"/>
      </w:divBdr>
      <w:divsChild>
        <w:div w:id="973945754">
          <w:marLeft w:val="480"/>
          <w:marRight w:val="0"/>
          <w:marTop w:val="0"/>
          <w:marBottom w:val="0"/>
          <w:divBdr>
            <w:top w:val="none" w:sz="0" w:space="0" w:color="auto"/>
            <w:left w:val="none" w:sz="0" w:space="0" w:color="auto"/>
            <w:bottom w:val="none" w:sz="0" w:space="0" w:color="auto"/>
            <w:right w:val="none" w:sz="0" w:space="0" w:color="auto"/>
          </w:divBdr>
          <w:divsChild>
            <w:div w:id="8452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99900">
      <w:bodyDiv w:val="1"/>
      <w:marLeft w:val="0"/>
      <w:marRight w:val="0"/>
      <w:marTop w:val="0"/>
      <w:marBottom w:val="0"/>
      <w:divBdr>
        <w:top w:val="none" w:sz="0" w:space="0" w:color="auto"/>
        <w:left w:val="none" w:sz="0" w:space="0" w:color="auto"/>
        <w:bottom w:val="none" w:sz="0" w:space="0" w:color="auto"/>
        <w:right w:val="none" w:sz="0" w:space="0" w:color="auto"/>
      </w:divBdr>
    </w:div>
    <w:div w:id="701828075">
      <w:bodyDiv w:val="1"/>
      <w:marLeft w:val="0"/>
      <w:marRight w:val="0"/>
      <w:marTop w:val="0"/>
      <w:marBottom w:val="0"/>
      <w:divBdr>
        <w:top w:val="none" w:sz="0" w:space="0" w:color="auto"/>
        <w:left w:val="none" w:sz="0" w:space="0" w:color="auto"/>
        <w:bottom w:val="none" w:sz="0" w:space="0" w:color="auto"/>
        <w:right w:val="none" w:sz="0" w:space="0" w:color="auto"/>
      </w:divBdr>
    </w:div>
    <w:div w:id="802118439">
      <w:bodyDiv w:val="1"/>
      <w:marLeft w:val="0"/>
      <w:marRight w:val="0"/>
      <w:marTop w:val="0"/>
      <w:marBottom w:val="0"/>
      <w:divBdr>
        <w:top w:val="none" w:sz="0" w:space="0" w:color="auto"/>
        <w:left w:val="none" w:sz="0" w:space="0" w:color="auto"/>
        <w:bottom w:val="none" w:sz="0" w:space="0" w:color="auto"/>
        <w:right w:val="none" w:sz="0" w:space="0" w:color="auto"/>
      </w:divBdr>
    </w:div>
    <w:div w:id="831338695">
      <w:bodyDiv w:val="1"/>
      <w:marLeft w:val="0"/>
      <w:marRight w:val="0"/>
      <w:marTop w:val="0"/>
      <w:marBottom w:val="0"/>
      <w:divBdr>
        <w:top w:val="none" w:sz="0" w:space="0" w:color="auto"/>
        <w:left w:val="none" w:sz="0" w:space="0" w:color="auto"/>
        <w:bottom w:val="none" w:sz="0" w:space="0" w:color="auto"/>
        <w:right w:val="none" w:sz="0" w:space="0" w:color="auto"/>
      </w:divBdr>
    </w:div>
    <w:div w:id="852112136">
      <w:bodyDiv w:val="1"/>
      <w:marLeft w:val="0"/>
      <w:marRight w:val="0"/>
      <w:marTop w:val="0"/>
      <w:marBottom w:val="0"/>
      <w:divBdr>
        <w:top w:val="none" w:sz="0" w:space="0" w:color="auto"/>
        <w:left w:val="none" w:sz="0" w:space="0" w:color="auto"/>
        <w:bottom w:val="none" w:sz="0" w:space="0" w:color="auto"/>
        <w:right w:val="none" w:sz="0" w:space="0" w:color="auto"/>
      </w:divBdr>
      <w:divsChild>
        <w:div w:id="1183132813">
          <w:marLeft w:val="480"/>
          <w:marRight w:val="0"/>
          <w:marTop w:val="0"/>
          <w:marBottom w:val="0"/>
          <w:divBdr>
            <w:top w:val="none" w:sz="0" w:space="0" w:color="auto"/>
            <w:left w:val="none" w:sz="0" w:space="0" w:color="auto"/>
            <w:bottom w:val="none" w:sz="0" w:space="0" w:color="auto"/>
            <w:right w:val="none" w:sz="0" w:space="0" w:color="auto"/>
          </w:divBdr>
          <w:divsChild>
            <w:div w:id="19166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562">
      <w:bodyDiv w:val="1"/>
      <w:marLeft w:val="0"/>
      <w:marRight w:val="0"/>
      <w:marTop w:val="0"/>
      <w:marBottom w:val="0"/>
      <w:divBdr>
        <w:top w:val="none" w:sz="0" w:space="0" w:color="auto"/>
        <w:left w:val="none" w:sz="0" w:space="0" w:color="auto"/>
        <w:bottom w:val="none" w:sz="0" w:space="0" w:color="auto"/>
        <w:right w:val="none" w:sz="0" w:space="0" w:color="auto"/>
      </w:divBdr>
    </w:div>
    <w:div w:id="1612080525">
      <w:bodyDiv w:val="1"/>
      <w:marLeft w:val="0"/>
      <w:marRight w:val="0"/>
      <w:marTop w:val="0"/>
      <w:marBottom w:val="0"/>
      <w:divBdr>
        <w:top w:val="none" w:sz="0" w:space="0" w:color="auto"/>
        <w:left w:val="none" w:sz="0" w:space="0" w:color="auto"/>
        <w:bottom w:val="none" w:sz="0" w:space="0" w:color="auto"/>
        <w:right w:val="none" w:sz="0" w:space="0" w:color="auto"/>
      </w:divBdr>
    </w:div>
    <w:div w:id="1840920919">
      <w:bodyDiv w:val="1"/>
      <w:marLeft w:val="0"/>
      <w:marRight w:val="0"/>
      <w:marTop w:val="0"/>
      <w:marBottom w:val="0"/>
      <w:divBdr>
        <w:top w:val="none" w:sz="0" w:space="0" w:color="auto"/>
        <w:left w:val="none" w:sz="0" w:space="0" w:color="auto"/>
        <w:bottom w:val="none" w:sz="0" w:space="0" w:color="auto"/>
        <w:right w:val="none" w:sz="0" w:space="0" w:color="auto"/>
      </w:divBdr>
      <w:divsChild>
        <w:div w:id="532160494">
          <w:marLeft w:val="480"/>
          <w:marRight w:val="0"/>
          <w:marTop w:val="0"/>
          <w:marBottom w:val="0"/>
          <w:divBdr>
            <w:top w:val="none" w:sz="0" w:space="0" w:color="auto"/>
            <w:left w:val="none" w:sz="0" w:space="0" w:color="auto"/>
            <w:bottom w:val="none" w:sz="0" w:space="0" w:color="auto"/>
            <w:right w:val="none" w:sz="0" w:space="0" w:color="auto"/>
          </w:divBdr>
          <w:divsChild>
            <w:div w:id="1680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7808">
      <w:bodyDiv w:val="1"/>
      <w:marLeft w:val="0"/>
      <w:marRight w:val="0"/>
      <w:marTop w:val="0"/>
      <w:marBottom w:val="0"/>
      <w:divBdr>
        <w:top w:val="none" w:sz="0" w:space="0" w:color="auto"/>
        <w:left w:val="none" w:sz="0" w:space="0" w:color="auto"/>
        <w:bottom w:val="none" w:sz="0" w:space="0" w:color="auto"/>
        <w:right w:val="none" w:sz="0" w:space="0" w:color="auto"/>
      </w:divBdr>
      <w:divsChild>
        <w:div w:id="794251883">
          <w:marLeft w:val="0"/>
          <w:marRight w:val="0"/>
          <w:marTop w:val="0"/>
          <w:marBottom w:val="0"/>
          <w:divBdr>
            <w:top w:val="none" w:sz="0" w:space="0" w:color="auto"/>
            <w:left w:val="none" w:sz="0" w:space="0" w:color="auto"/>
            <w:bottom w:val="none" w:sz="0" w:space="0" w:color="auto"/>
            <w:right w:val="none" w:sz="0" w:space="0" w:color="auto"/>
          </w:divBdr>
        </w:div>
        <w:div w:id="53046905">
          <w:marLeft w:val="0"/>
          <w:marRight w:val="0"/>
          <w:marTop w:val="0"/>
          <w:marBottom w:val="0"/>
          <w:divBdr>
            <w:top w:val="none" w:sz="0" w:space="0" w:color="auto"/>
            <w:left w:val="none" w:sz="0" w:space="0" w:color="auto"/>
            <w:bottom w:val="none" w:sz="0" w:space="0" w:color="auto"/>
            <w:right w:val="none" w:sz="0" w:space="0" w:color="auto"/>
          </w:divBdr>
        </w:div>
        <w:div w:id="1301574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study/scriptures/dc-testament/dc/138?lang=eng&amp;id=53" TargetMode="External"/><Relationship Id="rId13" Type="http://schemas.openxmlformats.org/officeDocument/2006/relationships/hyperlink" Target="https://www.churchofjesuschrist.org/study/scriptures/dc-testament/dc/138?lang=eng&amp;id=53" TargetMode="External"/><Relationship Id="rId18" Type="http://schemas.openxmlformats.org/officeDocument/2006/relationships/hyperlink" Target="https://www.churchofjesuschrist.org/study/scriptures/dc-testament/dc/138?lang=eng" TargetMode="External"/><Relationship Id="rId26" Type="http://schemas.openxmlformats.org/officeDocument/2006/relationships/hyperlink" Target="https://scholarsarchive.byu.edu/byusq/vol60/iss3/8"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2307/2214795" TargetMode="External"/><Relationship Id="rId34" Type="http://schemas.openxmlformats.org/officeDocument/2006/relationships/hyperlink" Target="https://doi.org/10.1093/mind/113.452.705" TargetMode="External"/><Relationship Id="rId7" Type="http://schemas.openxmlformats.org/officeDocument/2006/relationships/endnotes" Target="endnotes.xml"/><Relationship Id="rId12" Type="http://schemas.openxmlformats.org/officeDocument/2006/relationships/hyperlink" Target="https://www.churchofjesuschrist.org/study/scriptures/dc-testament/dc/138?lang=eng&amp;id=53" TargetMode="External"/><Relationship Id="rId17" Type="http://schemas.openxmlformats.org/officeDocument/2006/relationships/hyperlink" Target="https://www.churchofjesuschrist.org/study/scriptures/dc-testament/dc/138?lang=eng&amp;id=53" TargetMode="External"/><Relationship Id="rId25" Type="http://schemas.openxmlformats.org/officeDocument/2006/relationships/hyperlink" Target="https://doi.org/10.1086/508034" TargetMode="External"/><Relationship Id="rId33" Type="http://schemas.openxmlformats.org/officeDocument/2006/relationships/hyperlink" Target="https://doi.org/10.1111/papa.12088"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hurchofjesuschrist.org/study/scriptures/dc-testament/dc/138?lang=eng&amp;id=53" TargetMode="External"/><Relationship Id="rId20" Type="http://schemas.openxmlformats.org/officeDocument/2006/relationships/hyperlink" Target="https://www.churchofjesuschrist.org/study/scriptures/dc-testament/dc/138?lang=eng" TargetMode="External"/><Relationship Id="rId29" Type="http://schemas.openxmlformats.org/officeDocument/2006/relationships/hyperlink" Target="https://doi.org/10.1093/oxfordhb/9780199778362.013.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jesuschrist.org/study/scriptures/dc-testament/dc/138?lang=eng&amp;id=53" TargetMode="External"/><Relationship Id="rId24" Type="http://schemas.openxmlformats.org/officeDocument/2006/relationships/hyperlink" Target="https://doi.org/,%20Now%20https:/www.churchofjesuschrist.org/study/general-conference/1977/10/a-message-to-the-rising-generation?lang=eng" TargetMode="External"/><Relationship Id="rId32" Type="http://schemas.openxmlformats.org/officeDocument/2006/relationships/hyperlink" Target="https://doi.org/10.11612/resphil.1684"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hurchofjesuschrist.org/study/scriptures/dc-testament/dc/138?lang=eng&amp;id=53" TargetMode="External"/><Relationship Id="rId23" Type="http://schemas.openxmlformats.org/officeDocument/2006/relationships/hyperlink" Target="https://doi.org/10.1111/1468-5930.00119" TargetMode="External"/><Relationship Id="rId28" Type="http://schemas.openxmlformats.org/officeDocument/2006/relationships/hyperlink" Target="https://doi.org/10.1007/s11098-022-01893-4" TargetMode="External"/><Relationship Id="rId36" Type="http://schemas.openxmlformats.org/officeDocument/2006/relationships/hyperlink" Target="https://doi.org/10.1093/oso/9780198864226.001.0001" TargetMode="External"/><Relationship Id="rId10" Type="http://schemas.openxmlformats.org/officeDocument/2006/relationships/hyperlink" Target="https://www.churchofjesuschrist.org/study/scriptures/dc-testament/dc/138?lang=eng&amp;id=53" TargetMode="External"/><Relationship Id="rId19" Type="http://schemas.openxmlformats.org/officeDocument/2006/relationships/hyperlink" Target="https://www.churchofjesuschrist.org/study/scriptures/dc-testament/dc/138?lang=eng" TargetMode="External"/><Relationship Id="rId31" Type="http://schemas.openxmlformats.org/officeDocument/2006/relationships/hyperlink" Target="https://www.churchofjesuschrist.org/study/broadcasts/worldwide-devotional-for-young-adults/2018/06/hope-of-israel?lang=eng" TargetMode="External"/><Relationship Id="rId4" Type="http://schemas.openxmlformats.org/officeDocument/2006/relationships/settings" Target="settings.xml"/><Relationship Id="rId9" Type="http://schemas.openxmlformats.org/officeDocument/2006/relationships/hyperlink" Target="https://www.churchofjesuschrist.org/study/scriptures/dc-testament/dc/138?lang=eng&amp;id=53" TargetMode="External"/><Relationship Id="rId14" Type="http://schemas.openxmlformats.org/officeDocument/2006/relationships/hyperlink" Target="https://www.churchofjesuschrist.org/study/scriptures/dc-testament/dc/138?lang=eng&amp;id=53" TargetMode="External"/><Relationship Id="rId22" Type="http://schemas.openxmlformats.org/officeDocument/2006/relationships/hyperlink" Target="https://doi.org/10.1086/292101" TargetMode="External"/><Relationship Id="rId27" Type="http://schemas.openxmlformats.org/officeDocument/2006/relationships/hyperlink" Target="https://doi.org/10.1111/phpr.12479" TargetMode="External"/><Relationship Id="rId30" Type="http://schemas.openxmlformats.org/officeDocument/2006/relationships/hyperlink" Target="https://doi.org/10.12978/jat.2020-8.120817070004" TargetMode="External"/><Relationship Id="rId35" Type="http://schemas.openxmlformats.org/officeDocument/2006/relationships/hyperlink" Target="https://doi.org/10.1017/S135232529905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2EB13-9BCC-4706-8069-64891ACB9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19</Pages>
  <Words>6819</Words>
  <Characters>38871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miller</dc:creator>
  <cp:keywords/>
  <dc:description/>
  <cp:lastModifiedBy>Alison Miller</cp:lastModifiedBy>
  <cp:revision>12</cp:revision>
  <cp:lastPrinted>2023-05-31T19:11:00Z</cp:lastPrinted>
  <dcterms:created xsi:type="dcterms:W3CDTF">2023-09-05T18:00:00Z</dcterms:created>
  <dcterms:modified xsi:type="dcterms:W3CDTF">2023-10-31T14:48:00Z</dcterms:modified>
</cp:coreProperties>
</file>