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81E0A" w14:textId="03DEFE6A" w:rsidR="00DA191F" w:rsidRDefault="00DA191F" w:rsidP="00DA191F">
      <w:pPr>
        <w:pStyle w:val="Title"/>
      </w:pPr>
      <w:r>
        <w:t>CHAPTER 2</w:t>
      </w:r>
      <w:r w:rsidR="00780EFB">
        <w:t>3</w:t>
      </w:r>
    </w:p>
    <w:p w14:paraId="5B652F23" w14:textId="77777777" w:rsidR="00DA191F" w:rsidRDefault="00DA191F" w:rsidP="00DA191F">
      <w:pPr>
        <w:pStyle w:val="Title"/>
      </w:pPr>
      <w:r>
        <w:t>The Ethics of Measuring Climate Change Impacts</w:t>
      </w:r>
    </w:p>
    <w:p w14:paraId="53CE32D2" w14:textId="77777777" w:rsidR="00DA191F" w:rsidRDefault="00DA191F" w:rsidP="00DA191F"/>
    <w:p w14:paraId="28808BB7" w14:textId="77777777" w:rsidR="00DA191F" w:rsidRDefault="00DA191F" w:rsidP="00DA191F">
      <w:r>
        <w:t>Kian Mintz-Woo</w:t>
      </w:r>
    </w:p>
    <w:p w14:paraId="667CB4C2" w14:textId="77777777" w:rsidR="00DA191F" w:rsidRDefault="00DA191F" w:rsidP="00DA191F">
      <w:pPr>
        <w:pStyle w:val="Affiliation"/>
        <w:numPr>
          <w:ilvl w:val="0"/>
          <w:numId w:val="6"/>
        </w:numPr>
      </w:pPr>
      <w:r>
        <w:t>University Center for Human Values and Princeton School of Public and International Affairs, Princeton University, Princeton, NJ, 08544, UNITED STATES</w:t>
      </w:r>
    </w:p>
    <w:p w14:paraId="592F690A" w14:textId="77777777" w:rsidR="00DA191F" w:rsidRDefault="00DA191F" w:rsidP="00DA191F">
      <w:pPr>
        <w:pStyle w:val="Affiliation"/>
        <w:numPr>
          <w:ilvl w:val="0"/>
          <w:numId w:val="6"/>
        </w:numPr>
      </w:pPr>
      <w:r>
        <w:t xml:space="preserve">Department of Philosophy and Environmental Research Institute, University College Cork, 4 </w:t>
      </w:r>
      <w:proofErr w:type="spellStart"/>
      <w:r>
        <w:t>Elderwood</w:t>
      </w:r>
      <w:proofErr w:type="spellEnd"/>
      <w:r>
        <w:t>, College Road, Cork, IRELAND</w:t>
      </w:r>
    </w:p>
    <w:p w14:paraId="31B64B62" w14:textId="77777777" w:rsidR="00C26978" w:rsidRDefault="00C26978" w:rsidP="00DA191F"/>
    <w:p w14:paraId="0ADD9A6C" w14:textId="42AC456B" w:rsidR="00DA191F" w:rsidRDefault="0094117E" w:rsidP="00DA191F">
      <w:hyperlink r:id="rId8" w:history="1">
        <w:r w:rsidR="0042504C" w:rsidRPr="007834F3">
          <w:rPr>
            <w:rStyle w:val="Hyperlink"/>
            <w:rFonts w:eastAsia="DengXian"/>
          </w:rPr>
          <w:t>kian.mintz-woo@ucc.ie</w:t>
        </w:r>
      </w:hyperlink>
      <w:r w:rsidR="00DA191F">
        <w:t xml:space="preserve"> </w:t>
      </w:r>
    </w:p>
    <w:p w14:paraId="7279E963" w14:textId="77777777" w:rsidR="00DA191F" w:rsidRDefault="00DA191F" w:rsidP="00DA191F"/>
    <w:p w14:paraId="49FB7818" w14:textId="0D9AE266" w:rsidR="00DA191F" w:rsidRDefault="00DA191F" w:rsidP="00DA191F">
      <w:pPr>
        <w:rPr>
          <w:b/>
        </w:rPr>
      </w:pPr>
      <w:r>
        <w:rPr>
          <w:b/>
        </w:rPr>
        <w:t>Abstract</w:t>
      </w:r>
    </w:p>
    <w:p w14:paraId="4F3B17BF" w14:textId="77777777" w:rsidR="00DA191F" w:rsidRDefault="00DA191F" w:rsidP="00DA191F"/>
    <w:p w14:paraId="290ACADD" w14:textId="48AFAF4D" w:rsidR="00DA191F" w:rsidRDefault="00846A26" w:rsidP="00DA191F">
      <w:r>
        <w:t xml:space="preserve">This chapter qualitatively lays out some of the ways that climate change impacts are evaluated in integrated assessment models (IAMs). Putting aside the physical representations of these models, it first discusses some key social or structural assumptions, such as the damage functions and the way growth is modelled. Second, it turns to the moral assumptions, including parameters associated with intertemporal evaluation and interpersonal inequality aversion, but also assumptions in population ethics about how different-sized populations are compared and </w:t>
      </w:r>
      <w:r w:rsidR="006F5078">
        <w:t xml:space="preserve">how we think about distributing goods across </w:t>
      </w:r>
      <w:r w:rsidR="00F2255A">
        <w:t>or</w:t>
      </w:r>
      <w:r w:rsidR="006F5078">
        <w:t xml:space="preserve"> within times</w:t>
      </w:r>
      <w:r>
        <w:t xml:space="preserve">. The intention is to </w:t>
      </w:r>
      <w:r w:rsidR="007D2C34">
        <w:t>survey</w:t>
      </w:r>
      <w:r>
        <w:t xml:space="preserve"> the morally important assumptions that go into estimates of the social cost of carbon, the costs of carbon dioxide to society.</w:t>
      </w:r>
    </w:p>
    <w:p w14:paraId="1E1536E9" w14:textId="77777777" w:rsidR="00DA191F" w:rsidRDefault="00DA191F" w:rsidP="00DA191F"/>
    <w:p w14:paraId="2EE84C15" w14:textId="3B179BD3" w:rsidR="00DA191F" w:rsidRDefault="00DA191F" w:rsidP="00DA191F">
      <w:r>
        <w:rPr>
          <w:b/>
        </w:rPr>
        <w:t>Keywords:</w:t>
      </w:r>
      <w:r>
        <w:t xml:space="preserve"> </w:t>
      </w:r>
      <w:r w:rsidR="00985BBC">
        <w:t>climate change, climate ethics, climate impacts, integrated assessment models, mitigation, social cost of carbon, philosophy of economics</w:t>
      </w:r>
    </w:p>
    <w:p w14:paraId="5545BEED" w14:textId="77777777" w:rsidR="00DA191F" w:rsidRDefault="00DA191F" w:rsidP="00DA191F"/>
    <w:p w14:paraId="6FBA5B64" w14:textId="77777777" w:rsidR="00DA191F" w:rsidRDefault="00DA191F" w:rsidP="00DA191F">
      <w:pPr>
        <w:pStyle w:val="Heading1"/>
      </w:pPr>
      <w:r w:rsidRPr="00D972B4">
        <w:t>Introduction</w:t>
      </w:r>
    </w:p>
    <w:p w14:paraId="5B510E9A" w14:textId="77777777" w:rsidR="00DA191F" w:rsidRDefault="00DA191F" w:rsidP="00DA191F">
      <w:r>
        <w:t xml:space="preserve">On the one hand, estimating the economic costs of climate impacts involves physical, social, and moral uncertainties, making estimation difficult and sensitive to assumptions. On the other hand, without estimates of those costs to guide policy, we would be adrift with respect to optimal policy choice. In particular, if trying to generate the appropriate balance of costs and benefits from marginal emissions, we need some estimates of the effects that those emissions will cause. </w:t>
      </w:r>
    </w:p>
    <w:p w14:paraId="4FAA0CC6" w14:textId="77777777" w:rsidR="00DA191F" w:rsidRDefault="00DA191F" w:rsidP="00DA191F"/>
    <w:p w14:paraId="49B8F82C" w14:textId="57675889" w:rsidR="00DA191F" w:rsidRDefault="00DA191F" w:rsidP="00DA191F">
      <w:r>
        <w:t xml:space="preserve">There are ways around requiring estimates of these economic costs. Instead of the more comprehensive </w:t>
      </w:r>
      <w:r w:rsidRPr="00CC0A39">
        <w:rPr>
          <w:i/>
          <w:iCs/>
        </w:rPr>
        <w:t>cost-benefit analysis</w:t>
      </w:r>
      <w:r>
        <w:t xml:space="preserve"> (CBA), we could adopt </w:t>
      </w:r>
      <w:r w:rsidRPr="00CC0A39">
        <w:rPr>
          <w:i/>
          <w:iCs/>
        </w:rPr>
        <w:t>cost-effectiveness analysis</w:t>
      </w:r>
      <w:r>
        <w:t xml:space="preserve"> (CEA), where we adopt some exogenously given intended target (e.g. from a political decision-maker), and the question is how to most inexpensively reach that target. For instance, we might think that it is important to get to net-zero greenhouse gas emissions by 2050, and the question is just how to get there with least cost (CEA) instead of whether, all things considered, that is the optimal or appropriate target (CBA)</w:t>
      </w:r>
      <w:r w:rsidR="003B55C6">
        <w:t xml:space="preserve"> </w:t>
      </w:r>
      <w:r w:rsidR="003B55C6">
        <w:fldChar w:fldCharType="begin"/>
      </w:r>
      <w:r w:rsidR="003B55C6">
        <w:instrText xml:space="preserve"> REF _Ref53701514 \r \h </w:instrText>
      </w:r>
      <w:r w:rsidR="003B55C6">
        <w:fldChar w:fldCharType="separate"/>
      </w:r>
      <w:r w:rsidR="003B55C6">
        <w:t>[1]</w:t>
      </w:r>
      <w:r w:rsidR="003B55C6">
        <w:fldChar w:fldCharType="end"/>
      </w:r>
      <w:r>
        <w:t>.</w:t>
      </w:r>
    </w:p>
    <w:p w14:paraId="58158D92" w14:textId="77777777" w:rsidR="00DA191F" w:rsidRDefault="00DA191F" w:rsidP="00DA191F"/>
    <w:p w14:paraId="4DE4EEDB" w14:textId="01B0B5DC" w:rsidR="00DA191F" w:rsidRDefault="00DA191F" w:rsidP="00DA191F">
      <w:r>
        <w:t>However, this is insufficient for more ambitious intentions such as if the goal is to internalize the climate externality from emissions</w:t>
      </w:r>
      <w:r w:rsidR="003B55C6">
        <w:t xml:space="preserve"> </w:t>
      </w:r>
      <w:r w:rsidR="003B55C6">
        <w:fldChar w:fldCharType="begin"/>
      </w:r>
      <w:r w:rsidR="003B55C6">
        <w:instrText xml:space="preserve"> REF _Ref53701643 \r \h </w:instrText>
      </w:r>
      <w:r w:rsidR="003B55C6">
        <w:fldChar w:fldCharType="separate"/>
      </w:r>
      <w:r w:rsidR="003B55C6">
        <w:t>[2]</w:t>
      </w:r>
      <w:r w:rsidR="003B55C6">
        <w:fldChar w:fldCharType="end"/>
      </w:r>
      <w:r>
        <w:t xml:space="preserve">. For instance, if we wish to introduce optimal carbon taxes, this will require estimates of the economic costs of these climate impacts. Carbon </w:t>
      </w:r>
      <w:r w:rsidR="007D2C34">
        <w:t xml:space="preserve">taxes </w:t>
      </w:r>
      <w:r w:rsidR="00184CF4">
        <w:t xml:space="preserve">are influential, and also </w:t>
      </w:r>
      <w:r>
        <w:t>interact with other conditions and circumstances</w:t>
      </w:r>
      <w:r w:rsidR="00184CF4">
        <w:t xml:space="preserve"> (e.g. </w:t>
      </w:r>
      <w:r>
        <w:t>including the coronavirus disease 2019 (COVID-19) context</w:t>
      </w:r>
      <w:r w:rsidR="003B55C6">
        <w:t xml:space="preserve"> </w:t>
      </w:r>
      <w:r w:rsidR="003B55C6">
        <w:fldChar w:fldCharType="begin"/>
      </w:r>
      <w:r w:rsidR="003B55C6">
        <w:instrText xml:space="preserve"> REF _Ref53701770 \r \h </w:instrText>
      </w:r>
      <w:r w:rsidR="003B55C6">
        <w:fldChar w:fldCharType="separate"/>
      </w:r>
      <w:r w:rsidR="003B55C6">
        <w:t>[3]</w:t>
      </w:r>
      <w:r w:rsidR="003B55C6">
        <w:fldChar w:fldCharType="end"/>
      </w:r>
      <w:r>
        <w:t>.</w:t>
      </w:r>
    </w:p>
    <w:p w14:paraId="62AC3913" w14:textId="77777777" w:rsidR="00DA191F" w:rsidRDefault="00DA191F" w:rsidP="00DA191F"/>
    <w:p w14:paraId="04166EDD" w14:textId="42F8B922" w:rsidR="00DA191F" w:rsidRDefault="00DA191F" w:rsidP="00DA191F">
      <w:r>
        <w:lastRenderedPageBreak/>
        <w:t xml:space="preserve">The primary economic concept for these costs is the </w:t>
      </w:r>
      <w:r w:rsidRPr="00CC0A39">
        <w:rPr>
          <w:i/>
          <w:iCs/>
        </w:rPr>
        <w:t>social cost of carbon</w:t>
      </w:r>
      <w:r>
        <w:t xml:space="preserve"> (SCC), which is an estimate of the cost to society of a marginal ton of CO</w:t>
      </w:r>
      <w:r w:rsidRPr="00835941">
        <w:rPr>
          <w:vertAlign w:val="subscript"/>
        </w:rPr>
        <w:t>2</w:t>
      </w:r>
      <w:r>
        <w:t xml:space="preserve"> (i.e. the SCC is usually expressed in terms of USD/tCO</w:t>
      </w:r>
      <w:r w:rsidRPr="00835941">
        <w:rPr>
          <w:vertAlign w:val="subscript"/>
        </w:rPr>
        <w:t>2</w:t>
      </w:r>
      <w:r>
        <w:t>)</w:t>
      </w:r>
      <w:r w:rsidR="003B55C6">
        <w:t xml:space="preserve"> </w:t>
      </w:r>
      <w:r w:rsidR="003B55C6">
        <w:fldChar w:fldCharType="begin"/>
      </w:r>
      <w:r w:rsidR="003B55C6">
        <w:instrText xml:space="preserve"> REF _Ref53701824 \r \h </w:instrText>
      </w:r>
      <w:r w:rsidR="003B55C6">
        <w:fldChar w:fldCharType="separate"/>
      </w:r>
      <w:r w:rsidR="003B55C6">
        <w:t>[4]</w:t>
      </w:r>
      <w:r w:rsidR="003B55C6">
        <w:fldChar w:fldCharType="end"/>
      </w:r>
      <w:r>
        <w:t>.</w:t>
      </w:r>
    </w:p>
    <w:p w14:paraId="6BA7C968" w14:textId="77777777" w:rsidR="00DA191F" w:rsidRDefault="00DA191F" w:rsidP="00DA191F"/>
    <w:p w14:paraId="1EE692AB" w14:textId="56DF3E94" w:rsidR="00DA191F" w:rsidRDefault="00DA191F" w:rsidP="00DA191F">
      <w:r>
        <w:t xml:space="preserve">One of the key tools used to estimate the SCC are </w:t>
      </w:r>
      <w:r w:rsidRPr="00CC0A39">
        <w:rPr>
          <w:i/>
          <w:iCs/>
        </w:rPr>
        <w:t>integrated assessment models</w:t>
      </w:r>
      <w:r>
        <w:t xml:space="preserve"> (IAMs) which combine simple climate modules with simple economic modules. For concreteness, this chapter will focus on models similar to </w:t>
      </w:r>
      <w:r w:rsidRPr="0027279D">
        <w:rPr>
          <w:i/>
          <w:iCs/>
        </w:rPr>
        <w:t>DICE-2016R2</w:t>
      </w:r>
      <w:r>
        <w:t xml:space="preserve"> (DICE stands for “</w:t>
      </w:r>
      <w:r w:rsidRPr="0027279D">
        <w:t>Dynamic Integrated Climate-Economy</w:t>
      </w:r>
      <w:r>
        <w:t>”) models</w:t>
      </w:r>
      <w:r w:rsidR="003B55C6">
        <w:t xml:space="preserve"> </w:t>
      </w:r>
      <w:r w:rsidR="003B55C6">
        <w:fldChar w:fldCharType="begin"/>
      </w:r>
      <w:r w:rsidR="003B55C6">
        <w:instrText xml:space="preserve"> REF _Ref53701985 \r \h </w:instrText>
      </w:r>
      <w:r w:rsidR="003B55C6">
        <w:fldChar w:fldCharType="separate"/>
      </w:r>
      <w:r w:rsidR="003B55C6">
        <w:t>[5]</w:t>
      </w:r>
      <w:r w:rsidR="003B55C6">
        <w:fldChar w:fldCharType="end"/>
      </w:r>
      <w:r>
        <w:t xml:space="preserve"> but, as the discussion here is more methodological than quantitative, they apply to many similar models</w:t>
      </w:r>
      <w:r w:rsidR="00370968">
        <w:t xml:space="preserve"> </w:t>
      </w:r>
      <w:r w:rsidR="00370968">
        <w:fldChar w:fldCharType="begin"/>
      </w:r>
      <w:r w:rsidR="00370968">
        <w:instrText xml:space="preserve"> REF _Ref53702071 \r \h </w:instrText>
      </w:r>
      <w:r w:rsidR="00370968">
        <w:fldChar w:fldCharType="separate"/>
      </w:r>
      <w:r w:rsidR="00370968">
        <w:t>[6]</w:t>
      </w:r>
      <w:r w:rsidR="00370968">
        <w:fldChar w:fldCharType="end"/>
      </w:r>
      <w:r>
        <w:t>.</w:t>
      </w:r>
    </w:p>
    <w:p w14:paraId="0E957594" w14:textId="77777777" w:rsidR="00DA191F" w:rsidRDefault="00DA191F" w:rsidP="00DA191F"/>
    <w:p w14:paraId="16CC5EDF" w14:textId="1D506ADE" w:rsidR="00DA191F" w:rsidRDefault="00DA191F" w:rsidP="00DA191F">
      <w:r>
        <w:t xml:space="preserve">To start with, we can set aside the physical components of these models. They are </w:t>
      </w:r>
      <w:r w:rsidR="007D2C34">
        <w:t>relatively</w:t>
      </w:r>
      <w:r>
        <w:t xml:space="preserve"> simple</w:t>
      </w:r>
      <w:r w:rsidR="007D2C34">
        <w:t>:</w:t>
      </w:r>
      <w:r w:rsidR="00184CF4">
        <w:t xml:space="preserve"> an atmospheric stock of CO</w:t>
      </w:r>
      <w:r w:rsidR="00184CF4" w:rsidRPr="00184CF4">
        <w:rPr>
          <w:vertAlign w:val="subscript"/>
        </w:rPr>
        <w:t>2</w:t>
      </w:r>
      <w:r w:rsidR="00184CF4">
        <w:t xml:space="preserve"> drives temperatures and CO</w:t>
      </w:r>
      <w:r w:rsidR="00184CF4" w:rsidRPr="00184CF4">
        <w:rPr>
          <w:vertAlign w:val="subscript"/>
        </w:rPr>
        <w:t>2</w:t>
      </w:r>
      <w:r w:rsidR="00184CF4">
        <w:t xml:space="preserve"> decays as it settles through ocean layers</w:t>
      </w:r>
      <w:r w:rsidR="00370968">
        <w:t xml:space="preserve"> </w:t>
      </w:r>
      <w:r w:rsidR="00370968">
        <w:fldChar w:fldCharType="begin"/>
      </w:r>
      <w:r w:rsidR="00370968">
        <w:instrText xml:space="preserve"> REF _Ref53702123 \r \h </w:instrText>
      </w:r>
      <w:r w:rsidR="00370968">
        <w:fldChar w:fldCharType="separate"/>
      </w:r>
      <w:r w:rsidR="00370968">
        <w:t>[7]</w:t>
      </w:r>
      <w:r w:rsidR="00370968">
        <w:fldChar w:fldCharType="end"/>
      </w:r>
      <w:r>
        <w:t xml:space="preserve">. The issues </w:t>
      </w:r>
      <w:r w:rsidR="00184CF4">
        <w:t xml:space="preserve">of interest here </w:t>
      </w:r>
      <w:r>
        <w:t xml:space="preserve">arise in the </w:t>
      </w:r>
      <w:r w:rsidR="0044574F">
        <w:t>factual</w:t>
      </w:r>
      <w:r>
        <w:t xml:space="preserve"> and moral assumptions. Section </w:t>
      </w:r>
      <w:r>
        <w:fldChar w:fldCharType="begin"/>
      </w:r>
      <w:r>
        <w:instrText xml:space="preserve"> REF _Ref52291583 \r \h </w:instrText>
      </w:r>
      <w:r>
        <w:fldChar w:fldCharType="separate"/>
      </w:r>
      <w:r>
        <w:t>2</w:t>
      </w:r>
      <w:r>
        <w:fldChar w:fldCharType="end"/>
      </w:r>
      <w:r>
        <w:t xml:space="preserve"> discusses several key </w:t>
      </w:r>
      <w:r w:rsidR="0044574F">
        <w:t>factual</w:t>
      </w:r>
      <w:r>
        <w:t xml:space="preserve"> assumptions pertaining to the economics. Here, </w:t>
      </w:r>
      <w:r w:rsidR="00184CF4">
        <w:t>‘</w:t>
      </w:r>
      <w:r w:rsidR="0044574F">
        <w:t>factual</w:t>
      </w:r>
      <w:r>
        <w:t xml:space="preserve"> assumptions</w:t>
      </w:r>
      <w:r w:rsidR="00184CF4">
        <w:t>’</w:t>
      </w:r>
      <w:r>
        <w:t xml:space="preserve"> means economic phenomena that are in principle observable without moral evaluation. Section </w:t>
      </w:r>
      <w:r>
        <w:fldChar w:fldCharType="begin"/>
      </w:r>
      <w:r>
        <w:instrText xml:space="preserve"> REF _Ref52291671 \r \h </w:instrText>
      </w:r>
      <w:r>
        <w:fldChar w:fldCharType="separate"/>
      </w:r>
      <w:r>
        <w:t>3</w:t>
      </w:r>
      <w:r>
        <w:fldChar w:fldCharType="end"/>
      </w:r>
      <w:r>
        <w:t xml:space="preserve"> discusses the moral assumptions which have to do with how the states of the model are valued, where this can be subject to, inter alia, how wide the scope of evaluation is (</w:t>
      </w:r>
      <w:r w:rsidR="00EE0412">
        <w:t xml:space="preserve">e.g. </w:t>
      </w:r>
      <w:r>
        <w:t>does it consider regional/national or international</w:t>
      </w:r>
      <w:r w:rsidR="00EE0412">
        <w:t xml:space="preserve"> impacts</w:t>
      </w:r>
      <w:r>
        <w:t xml:space="preserve">) or how future impacts are to be traded off against current ones. Section </w:t>
      </w:r>
      <w:r>
        <w:fldChar w:fldCharType="begin"/>
      </w:r>
      <w:r>
        <w:instrText xml:space="preserve"> REF _Ref52291792 \r \h </w:instrText>
      </w:r>
      <w:r>
        <w:fldChar w:fldCharType="separate"/>
      </w:r>
      <w:r>
        <w:t>4</w:t>
      </w:r>
      <w:r>
        <w:fldChar w:fldCharType="end"/>
      </w:r>
      <w:r>
        <w:t xml:space="preserve"> concludes with an overview of the moral importance of considering modelling assumptions.</w:t>
      </w:r>
    </w:p>
    <w:p w14:paraId="39605C04" w14:textId="77777777" w:rsidR="00DA191F" w:rsidRDefault="00DA191F" w:rsidP="00DA191F"/>
    <w:p w14:paraId="40B6D879" w14:textId="574BC186" w:rsidR="00DA191F" w:rsidRDefault="0044574F" w:rsidP="00DA191F">
      <w:pPr>
        <w:pStyle w:val="Heading1"/>
      </w:pPr>
      <w:bookmarkStart w:id="0" w:name="_Ref52291583"/>
      <w:r>
        <w:t>Factual</w:t>
      </w:r>
      <w:r w:rsidR="00DA191F">
        <w:t xml:space="preserve"> Assumptions</w:t>
      </w:r>
      <w:bookmarkEnd w:id="0"/>
    </w:p>
    <w:p w14:paraId="419B7DB0" w14:textId="728A13B4" w:rsidR="00DA191F" w:rsidRDefault="00DA191F" w:rsidP="00DA191F">
      <w:r>
        <w:t xml:space="preserve">This </w:t>
      </w:r>
      <w:r w:rsidR="00E52596">
        <w:t>S</w:t>
      </w:r>
      <w:r>
        <w:t>ection address</w:t>
      </w:r>
      <w:r w:rsidR="00184CF4">
        <w:t>es</w:t>
      </w:r>
      <w:r>
        <w:t xml:space="preserve"> several key structural economic assumptions, identifying them as </w:t>
      </w:r>
      <w:r w:rsidR="0044574F">
        <w:t>factual</w:t>
      </w:r>
      <w:r>
        <w:t xml:space="preserve"> (or non-moral) because they are in principle observable</w:t>
      </w:r>
      <w:r w:rsidR="0044574F">
        <w:t xml:space="preserve"> </w:t>
      </w:r>
      <w:r>
        <w:t>given sufficient macroeconomic or population information. Th</w:t>
      </w:r>
      <w:r w:rsidR="0044574F">
        <w:t>e</w:t>
      </w:r>
      <w:r>
        <w:t xml:space="preserve"> difference </w:t>
      </w:r>
      <w:r w:rsidR="0044574F">
        <w:t xml:space="preserve">between considerations in this and the next </w:t>
      </w:r>
      <w:r w:rsidR="00E52596">
        <w:t>S</w:t>
      </w:r>
      <w:r w:rsidR="0044574F">
        <w:t xml:space="preserve">ection </w:t>
      </w:r>
      <w:r>
        <w:t>is sometimes expressed as the difference between positive and normative economics, or between descriptive and prescriptive economics, where the former is meant to be based on observed values and the latter involves moral judgment</w:t>
      </w:r>
      <w:r w:rsidR="00370968">
        <w:t xml:space="preserve"> </w:t>
      </w:r>
      <w:r w:rsidR="00370968">
        <w:fldChar w:fldCharType="begin"/>
      </w:r>
      <w:r w:rsidR="00370968">
        <w:instrText xml:space="preserve"> REF _Ref53702215 \r \h </w:instrText>
      </w:r>
      <w:r w:rsidR="00370968">
        <w:fldChar w:fldCharType="separate"/>
      </w:r>
      <w:r w:rsidR="00370968">
        <w:t>[8]</w:t>
      </w:r>
      <w:r w:rsidR="00370968">
        <w:fldChar w:fldCharType="end"/>
      </w:r>
      <w:r w:rsidR="00370968">
        <w:fldChar w:fldCharType="begin"/>
      </w:r>
      <w:r w:rsidR="00370968">
        <w:instrText xml:space="preserve"> REF _Ref53702218 \r \h </w:instrText>
      </w:r>
      <w:r w:rsidR="00370968">
        <w:fldChar w:fldCharType="separate"/>
      </w:r>
      <w:r w:rsidR="00370968">
        <w:t>[9]</w:t>
      </w:r>
      <w:r w:rsidR="00370968">
        <w:fldChar w:fldCharType="end"/>
      </w:r>
      <w:r>
        <w:t xml:space="preserve">. For instance, we can observe that the mean member of a population saves at a particular rate which implies a certain level of discounting or care about long-term consumption </w:t>
      </w:r>
      <w:proofErr w:type="spellStart"/>
      <w:r>
        <w:t>behaviour</w:t>
      </w:r>
      <w:proofErr w:type="spellEnd"/>
      <w:r>
        <w:t xml:space="preserve">, but for prescriptive or normative purposes that does not settle the </w:t>
      </w:r>
      <w:r w:rsidR="00184CF4">
        <w:t xml:space="preserve">normative </w:t>
      </w:r>
      <w:r>
        <w:t xml:space="preserve">question of how society </w:t>
      </w:r>
      <w:r w:rsidRPr="0008005C">
        <w:rPr>
          <w:i/>
          <w:iCs/>
        </w:rPr>
        <w:t>should</w:t>
      </w:r>
      <w:r>
        <w:t xml:space="preserve"> or </w:t>
      </w:r>
      <w:r w:rsidRPr="0008005C">
        <w:rPr>
          <w:i/>
          <w:iCs/>
        </w:rPr>
        <w:t>ought</w:t>
      </w:r>
      <w:r>
        <w:t xml:space="preserve"> to consider the future</w:t>
      </w:r>
      <w:r w:rsidR="00370968">
        <w:t xml:space="preserve"> </w:t>
      </w:r>
      <w:r w:rsidR="00370968">
        <w:fldChar w:fldCharType="begin"/>
      </w:r>
      <w:r w:rsidR="00370968">
        <w:instrText xml:space="preserve"> REF _Ref53702279 \r \h </w:instrText>
      </w:r>
      <w:r w:rsidR="00370968">
        <w:fldChar w:fldCharType="separate"/>
      </w:r>
      <w:r w:rsidR="00370968">
        <w:t>[10]</w:t>
      </w:r>
      <w:r w:rsidR="00370968">
        <w:fldChar w:fldCharType="end"/>
      </w:r>
      <w:r w:rsidR="00370968">
        <w:fldChar w:fldCharType="begin"/>
      </w:r>
      <w:r w:rsidR="00370968">
        <w:instrText xml:space="preserve"> REF _Ref53702285 \r \h </w:instrText>
      </w:r>
      <w:r w:rsidR="00370968">
        <w:fldChar w:fldCharType="separate"/>
      </w:r>
      <w:r w:rsidR="00370968">
        <w:t>[11]</w:t>
      </w:r>
      <w:r w:rsidR="00370968">
        <w:fldChar w:fldCharType="end"/>
      </w:r>
      <w:r>
        <w:t>.</w:t>
      </w:r>
    </w:p>
    <w:p w14:paraId="053199B7" w14:textId="77777777" w:rsidR="00DA191F" w:rsidRDefault="00DA191F" w:rsidP="00DA191F"/>
    <w:p w14:paraId="5AE2AD9D" w14:textId="2770F0BC" w:rsidR="00DA191F" w:rsidRDefault="00DA191F" w:rsidP="00DA191F">
      <w:r>
        <w:t xml:space="preserve">The assumptions in this </w:t>
      </w:r>
      <w:r w:rsidR="00184CF4">
        <w:t>S</w:t>
      </w:r>
      <w:r>
        <w:t xml:space="preserve">ection are not normative or prescriptive in this sense; they are in principle observable in an unproblematic way. That is not to say that they are </w:t>
      </w:r>
      <w:r w:rsidRPr="00184CF4">
        <w:rPr>
          <w:i/>
          <w:iCs/>
        </w:rPr>
        <w:t>easy</w:t>
      </w:r>
      <w:r>
        <w:t xml:space="preserve"> to observe. It may be that it will take a long time either to </w:t>
      </w:r>
      <w:proofErr w:type="spellStart"/>
      <w:r>
        <w:t>analyse</w:t>
      </w:r>
      <w:proofErr w:type="spellEnd"/>
      <w:r>
        <w:t xml:space="preserve"> or to collect the relevant information. For instance, with damage functions about responsiveness to climate change we may have to make decisions before we have observed the relevant harms and before we are able to base the damage functional forms on observed data. However, it is still </w:t>
      </w:r>
      <w:r w:rsidR="00687201">
        <w:t>factual</w:t>
      </w:r>
      <w:r>
        <w:t xml:space="preserve"> in the sense adverted here because afterwards if we had sufficient data, we could in principle observe the impact of various mean surface temperatures on consumption and production</w:t>
      </w:r>
      <w:r w:rsidR="00184CF4">
        <w:t>—and we could do so</w:t>
      </w:r>
      <w:r>
        <w:t xml:space="preserve"> without making moral judgments.</w:t>
      </w:r>
    </w:p>
    <w:p w14:paraId="452B395A" w14:textId="77777777" w:rsidR="00DA191F" w:rsidRDefault="00DA191F" w:rsidP="00DA191F"/>
    <w:p w14:paraId="28D14FED" w14:textId="6CCF617E" w:rsidR="00184CF4" w:rsidRDefault="00DA191F" w:rsidP="00DA191F">
      <w:r>
        <w:t xml:space="preserve">The structural assumptions discussed here are as follows: </w:t>
      </w:r>
    </w:p>
    <w:p w14:paraId="6ADC0DE4" w14:textId="77777777" w:rsidR="00184CF4" w:rsidRDefault="00184CF4" w:rsidP="00DA191F"/>
    <w:p w14:paraId="736DEDA2" w14:textId="77777777" w:rsidR="00184CF4" w:rsidRDefault="00DA191F" w:rsidP="00184CF4">
      <w:pPr>
        <w:pStyle w:val="ListParagraph"/>
        <w:numPr>
          <w:ilvl w:val="0"/>
          <w:numId w:val="8"/>
        </w:numPr>
      </w:pPr>
      <w:r>
        <w:t xml:space="preserve">consumption—its measurement and homogeneity; </w:t>
      </w:r>
    </w:p>
    <w:p w14:paraId="1C7FEA01" w14:textId="77777777" w:rsidR="00184CF4" w:rsidRDefault="00DA191F" w:rsidP="00184CF4">
      <w:pPr>
        <w:pStyle w:val="ListParagraph"/>
        <w:numPr>
          <w:ilvl w:val="0"/>
          <w:numId w:val="8"/>
        </w:numPr>
      </w:pPr>
      <w:r>
        <w:lastRenderedPageBreak/>
        <w:t xml:space="preserve">equality of consumption—the distribution of consumption and ways of relaxing this assumption; </w:t>
      </w:r>
    </w:p>
    <w:p w14:paraId="77ED8CEB" w14:textId="19AED30A" w:rsidR="00184CF4" w:rsidRDefault="00DA191F" w:rsidP="00BC1A02">
      <w:pPr>
        <w:pStyle w:val="ListParagraph"/>
        <w:numPr>
          <w:ilvl w:val="0"/>
          <w:numId w:val="8"/>
        </w:numPr>
      </w:pPr>
      <w:r>
        <w:t xml:space="preserve">endogenous versus exogenous growth—the total factor productivity growth </w:t>
      </w:r>
      <w:r w:rsidR="00184CF4">
        <w:t>and climate impacts on it</w:t>
      </w:r>
      <w:r>
        <w:t xml:space="preserve">; </w:t>
      </w:r>
      <w:r w:rsidR="00184CF4">
        <w:t>and</w:t>
      </w:r>
      <w:r>
        <w:t xml:space="preserve"> </w:t>
      </w:r>
    </w:p>
    <w:p w14:paraId="2643F8F4" w14:textId="0870DCB3" w:rsidR="00DA191F" w:rsidRDefault="00DA191F" w:rsidP="00184CF4">
      <w:pPr>
        <w:pStyle w:val="ListParagraph"/>
        <w:numPr>
          <w:ilvl w:val="0"/>
          <w:numId w:val="8"/>
        </w:numPr>
      </w:pPr>
      <w:r>
        <w:t>damage functions—the functional form of various damage functions.</w:t>
      </w:r>
    </w:p>
    <w:p w14:paraId="18B27884" w14:textId="77777777" w:rsidR="00DA191F" w:rsidRPr="00FC04B0" w:rsidRDefault="00DA191F" w:rsidP="00DA191F"/>
    <w:p w14:paraId="11C62B8F" w14:textId="77777777" w:rsidR="00DA191F" w:rsidRDefault="00DA191F" w:rsidP="00780EFB">
      <w:pPr>
        <w:pStyle w:val="Heading2"/>
      </w:pPr>
      <w:r>
        <w:t>Consumption</w:t>
      </w:r>
    </w:p>
    <w:p w14:paraId="7A81CAFD" w14:textId="26748627" w:rsidR="00DA191F" w:rsidRDefault="00DA191F" w:rsidP="00DA191F">
      <w:r>
        <w:t xml:space="preserve">One key structural assumption in most models is that all costs and benefits to the public at large </w:t>
      </w:r>
      <w:r w:rsidR="00184CF4">
        <w:t>are</w:t>
      </w:r>
      <w:r>
        <w:t xml:space="preserve"> expressed in terms of consumption equivalents. Whatever goods and services are being demanded, there is a homogenous good which we call </w:t>
      </w:r>
      <w:r w:rsidRPr="00CC0A39">
        <w:rPr>
          <w:i/>
          <w:iCs/>
        </w:rPr>
        <w:t>consumption</w:t>
      </w:r>
      <w:r>
        <w:t xml:space="preserve"> (usually represented </w:t>
      </w:r>
      <w:r>
        <w:rPr>
          <w:i/>
          <w:iCs/>
        </w:rPr>
        <w:t>c</w:t>
      </w:r>
      <w:r>
        <w:t xml:space="preserve">) that it can be converted into. </w:t>
      </w:r>
      <w:r w:rsidR="00D12855">
        <w:t xml:space="preserve">This is necessary because climate impacts are not directly expressed in currency; the SCCs require the assumption that those impacts can be expressed in monetary equivalents. </w:t>
      </w:r>
      <w:r>
        <w:t>In practice, consumption can be measured or estimated by using a financial currency like dollars which are fungible and can be used to purchase goods of various types.</w:t>
      </w:r>
    </w:p>
    <w:p w14:paraId="60553508" w14:textId="77777777" w:rsidR="00DA191F" w:rsidRDefault="00DA191F" w:rsidP="00DA191F"/>
    <w:p w14:paraId="3FE06E1D" w14:textId="77777777" w:rsidR="00DA191F" w:rsidRDefault="00DA191F" w:rsidP="00DA191F">
      <w:r>
        <w:t xml:space="preserve">Some environmental theorists reject this assumption. They point out that some of the systems affected by climate change, like wetlands and tropical forests, provide </w:t>
      </w:r>
      <w:r w:rsidRPr="00CC0A39">
        <w:rPr>
          <w:i/>
          <w:iCs/>
        </w:rPr>
        <w:t>ecosystem services</w:t>
      </w:r>
      <w:r>
        <w:t>, or contributions of the natural world to goods people value. These ecosystem services, they worry, are either (</w:t>
      </w:r>
      <w:proofErr w:type="spellStart"/>
      <w:r>
        <w:t>i</w:t>
      </w:r>
      <w:proofErr w:type="spellEnd"/>
      <w:r>
        <w:t>) difficult to price in markets, and thus to convert into consumption via financial currency, especially when they are taken to have intrinsic value; or (ii) difficult to exchange for other forms of consumption in principle.</w:t>
      </w:r>
    </w:p>
    <w:p w14:paraId="1FED3231" w14:textId="77777777" w:rsidR="00DA191F" w:rsidRDefault="00DA191F" w:rsidP="00DA191F"/>
    <w:p w14:paraId="69AB4B9A" w14:textId="5B9C0143" w:rsidR="00DA191F" w:rsidRDefault="00DA191F" w:rsidP="00DA191F">
      <w:r>
        <w:t>In terms of the first difficulty, pricing goods, it is correct that ecosystem services are rarely priced in markets, and if reflected in market prices, usually indirectly. However, familiar valuation methods from economics can be used even for environmental and ecosystem services, ranging from adjusted market prices (where market prices are adjusted for distortions); production function methods (where the ecosystem service is taken to be an input to a production function and valued according to its effect on output); revealed preference methods (where some choices are observed and valuations inferred from the selections made); and stated preference methods (where choices are posited and valuers indicate their preferences in surveys)</w:t>
      </w:r>
      <w:r w:rsidR="0022378B">
        <w:t xml:space="preserve"> </w:t>
      </w:r>
      <w:r w:rsidR="0022378B">
        <w:fldChar w:fldCharType="begin"/>
      </w:r>
      <w:r w:rsidR="0022378B">
        <w:instrText xml:space="preserve"> REF _Ref53702703 \r \h </w:instrText>
      </w:r>
      <w:r w:rsidR="0022378B">
        <w:fldChar w:fldCharType="separate"/>
      </w:r>
      <w:r w:rsidR="0022378B">
        <w:t>[12]</w:t>
      </w:r>
      <w:r w:rsidR="0022378B">
        <w:fldChar w:fldCharType="end"/>
      </w:r>
      <w:r>
        <w:t>.</w:t>
      </w:r>
    </w:p>
    <w:p w14:paraId="6B804FEC" w14:textId="77777777" w:rsidR="00DA191F" w:rsidRDefault="00DA191F" w:rsidP="00DA191F"/>
    <w:p w14:paraId="3487100A" w14:textId="1E816943" w:rsidR="00DA191F" w:rsidRDefault="00DA191F" w:rsidP="00DA191F">
      <w:r>
        <w:t>In terms of the second difficulty, substitutability, it is true that there are limited substitution options for some ecosystem services. However, this is standardly accommodated by positing rapidly increasing marginal value as the services are reduced or degraded</w:t>
      </w:r>
      <w:r w:rsidR="0022378B">
        <w:t xml:space="preserve"> </w:t>
      </w:r>
      <w:r w:rsidR="0022378B">
        <w:fldChar w:fldCharType="begin"/>
      </w:r>
      <w:r w:rsidR="0022378B">
        <w:instrText xml:space="preserve"> REF _Ref53702703 \r \h </w:instrText>
      </w:r>
      <w:r w:rsidR="0022378B">
        <w:fldChar w:fldCharType="separate"/>
      </w:r>
      <w:r w:rsidR="0022378B">
        <w:t>[12]</w:t>
      </w:r>
      <w:r w:rsidR="0022378B">
        <w:fldChar w:fldCharType="end"/>
      </w:r>
      <w:r>
        <w:t xml:space="preserve">. However, some believe this is not enough. They distinguish between weak and strong sustainability, where </w:t>
      </w:r>
      <w:r w:rsidRPr="004A2CE9">
        <w:rPr>
          <w:i/>
          <w:iCs/>
        </w:rPr>
        <w:t>weak sustainability</w:t>
      </w:r>
      <w:r>
        <w:t xml:space="preserve"> indicates that we can</w:t>
      </w:r>
      <w:r w:rsidR="00687201">
        <w:t xml:space="preserve"> in principle</w:t>
      </w:r>
      <w:r>
        <w:t xml:space="preserve"> substitute between consumption and natural capital providing ecosystem services and </w:t>
      </w:r>
      <w:r w:rsidRPr="004A2CE9">
        <w:rPr>
          <w:i/>
          <w:iCs/>
        </w:rPr>
        <w:t>strong sustainability</w:t>
      </w:r>
      <w:r>
        <w:t xml:space="preserve"> indicates that the damages to ecosystems and services are </w:t>
      </w:r>
      <w:r w:rsidR="00687201">
        <w:t xml:space="preserve">in principle </w:t>
      </w:r>
      <w:r>
        <w:t>not substitutable with respect to other types of consumption (</w:t>
      </w:r>
      <w:r w:rsidR="00687201">
        <w:t xml:space="preserve">e.g. </w:t>
      </w:r>
      <w:r w:rsidR="0022378B">
        <w:t xml:space="preserve">Norton </w:t>
      </w:r>
      <w:r>
        <w:t>distinguishes between ‘natural capital’ and ‘human built capital’</w:t>
      </w:r>
      <w:r w:rsidR="0022378B">
        <w:t xml:space="preserve"> </w:t>
      </w:r>
      <w:r w:rsidR="0022378B">
        <w:fldChar w:fldCharType="begin"/>
      </w:r>
      <w:r w:rsidR="0022378B">
        <w:instrText xml:space="preserve"> REF _Ref53702996 \r \h </w:instrText>
      </w:r>
      <w:r w:rsidR="0022378B">
        <w:fldChar w:fldCharType="separate"/>
      </w:r>
      <w:r w:rsidR="0022378B">
        <w:t>[13]</w:t>
      </w:r>
      <w:r w:rsidR="0022378B">
        <w:fldChar w:fldCharType="end"/>
      </w:r>
      <w:r>
        <w:t xml:space="preserve">). Doing so requires more than simply thinking some ecosystem services are very valuable; it requires the stronger claim that without some (minimal) level of ecosystem services, there can be no meaningful type of well-being, regardless of the level of human built capital. Intuitively, there is no level of human consumption that can make up for degraded natural capital. An influential economic analysis which distinguish between human built capital and environmental capital finds that this distinction </w:t>
      </w:r>
      <w:r w:rsidR="00687201">
        <w:t xml:space="preserve">can </w:t>
      </w:r>
      <w:r>
        <w:t>greatly increase the SCC</w:t>
      </w:r>
      <w:r w:rsidR="0022378B">
        <w:t xml:space="preserve"> </w:t>
      </w:r>
      <w:r w:rsidR="0022378B">
        <w:fldChar w:fldCharType="begin"/>
      </w:r>
      <w:r w:rsidR="0022378B">
        <w:instrText xml:space="preserve"> REF _Ref53703061 \r \h </w:instrText>
      </w:r>
      <w:r w:rsidR="0022378B">
        <w:fldChar w:fldCharType="separate"/>
      </w:r>
      <w:r w:rsidR="0022378B">
        <w:t>[14]</w:t>
      </w:r>
      <w:r w:rsidR="0022378B">
        <w:fldChar w:fldCharType="end"/>
      </w:r>
      <w:r>
        <w:t>.</w:t>
      </w:r>
    </w:p>
    <w:p w14:paraId="5E8EB7BE" w14:textId="77777777" w:rsidR="00DA191F" w:rsidRPr="00D530AD" w:rsidRDefault="00DA191F" w:rsidP="00DA191F"/>
    <w:p w14:paraId="242BEA7D" w14:textId="77777777" w:rsidR="00DA191F" w:rsidRDefault="00DA191F" w:rsidP="00DA191F">
      <w:pPr>
        <w:pStyle w:val="Heading2"/>
      </w:pPr>
      <w:r>
        <w:lastRenderedPageBreak/>
        <w:t>Equal per capita consumption</w:t>
      </w:r>
    </w:p>
    <w:p w14:paraId="43CF778E" w14:textId="0218A9E3" w:rsidR="00DA191F" w:rsidRDefault="00DA191F" w:rsidP="00DA191F">
      <w:r>
        <w:t xml:space="preserve">Even granting that we can measure the climate impacts in terms of a single homogenous good, </w:t>
      </w:r>
      <w:r w:rsidR="00184CF4">
        <w:t xml:space="preserve">which we call consumption, </w:t>
      </w:r>
      <w:r>
        <w:t xml:space="preserve">many IAMs further simplify by assuming that the good is spread evenly, or that we are considering a representative median agent, or that the world is represented by a single homogenous region. </w:t>
      </w:r>
      <w:r w:rsidR="00184CF4">
        <w:t xml:space="preserve">All of these ways of simplifying avoid the actual heterogeneity of consumption. </w:t>
      </w:r>
      <w:r>
        <w:t>Taking a representative agent which effectively ignores this heterogeneity may appear to be a worrying structural assumption.</w:t>
      </w:r>
    </w:p>
    <w:p w14:paraId="092A5AA1" w14:textId="77777777" w:rsidR="00DA191F" w:rsidRDefault="00DA191F" w:rsidP="00DA191F"/>
    <w:p w14:paraId="38E39660" w14:textId="63BD07EC" w:rsidR="00DA191F" w:rsidRDefault="00DA191F" w:rsidP="00DA191F">
      <w:r>
        <w:t xml:space="preserve">There is an important reason that equal per capita consumption is assumed. First, each agent has a utility function which translates consumption to utility. If consumption can be </w:t>
      </w:r>
      <w:proofErr w:type="spellStart"/>
      <w:r>
        <w:t>costlessly</w:t>
      </w:r>
      <w:proofErr w:type="spellEnd"/>
      <w:r>
        <w:t xml:space="preserve"> shared and utility functions are identical (both </w:t>
      </w:r>
      <w:proofErr w:type="spellStart"/>
      <w:r>
        <w:t>idealising</w:t>
      </w:r>
      <w:proofErr w:type="spellEnd"/>
      <w:r>
        <w:t xml:space="preserve"> assumptions), then the </w:t>
      </w:r>
      <w:r w:rsidR="00863074">
        <w:t>most preferable</w:t>
      </w:r>
      <w:r>
        <w:t xml:space="preserve"> distribution of consumption is a uniform distribution. Subsection </w:t>
      </w:r>
      <w:r>
        <w:fldChar w:fldCharType="begin"/>
      </w:r>
      <w:r>
        <w:instrText xml:space="preserve"> REF _Ref52288697 \r \h </w:instrText>
      </w:r>
      <w:r>
        <w:fldChar w:fldCharType="separate"/>
      </w:r>
      <w:r>
        <w:t>24.3.4</w:t>
      </w:r>
      <w:r>
        <w:fldChar w:fldCharType="end"/>
      </w:r>
      <w:r>
        <w:t xml:space="preserve"> expands on these utility functions, which are key moral assumptions in the model.</w:t>
      </w:r>
    </w:p>
    <w:p w14:paraId="0E0CAA15" w14:textId="77777777" w:rsidR="00DA191F" w:rsidRDefault="00DA191F" w:rsidP="00DA191F"/>
    <w:p w14:paraId="16E5ACDE" w14:textId="77777777" w:rsidR="00DA191F" w:rsidRDefault="00DA191F" w:rsidP="00DA191F">
      <w:r>
        <w:t>Given these identical agents and uniform consumption distributions, it is more tractable computationally to have a single region with a single agent. However, this assumption can and has been relaxed. This assumption can be relaxed by taking an outcome which is equivalently valued to the uniform distribution, or by making the model itself more complex.</w:t>
      </w:r>
    </w:p>
    <w:p w14:paraId="04256DD6" w14:textId="77777777" w:rsidR="00DA191F" w:rsidRDefault="00DA191F" w:rsidP="00DA191F"/>
    <w:p w14:paraId="2AF34C29" w14:textId="57141D77" w:rsidR="00DA191F" w:rsidRDefault="00DA191F" w:rsidP="00DA191F">
      <w:r>
        <w:t>The first option is straightforward. For any given heterogenous consumption in a population, we can find the hypothetical level of perfectly equally distributed consumption that would match it in value. This hypothetical level is the ‘equally distributed equivalent’ (EDE) (e.g.</w:t>
      </w:r>
      <w:r w:rsidR="0022378B">
        <w:t xml:space="preserve"> </w:t>
      </w:r>
      <w:r w:rsidR="0022378B">
        <w:rPr>
          <w:highlight w:val="yellow"/>
        </w:rPr>
        <w:fldChar w:fldCharType="begin"/>
      </w:r>
      <w:r w:rsidR="0022378B">
        <w:instrText xml:space="preserve"> REF _Ref53701824 \r \h </w:instrText>
      </w:r>
      <w:r w:rsidR="0022378B">
        <w:rPr>
          <w:highlight w:val="yellow"/>
        </w:rPr>
      </w:r>
      <w:r w:rsidR="0022378B">
        <w:rPr>
          <w:highlight w:val="yellow"/>
        </w:rPr>
        <w:fldChar w:fldCharType="separate"/>
      </w:r>
      <w:r w:rsidR="0022378B">
        <w:t>[4]</w:t>
      </w:r>
      <w:r w:rsidR="0022378B">
        <w:rPr>
          <w:highlight w:val="yellow"/>
        </w:rPr>
        <w:fldChar w:fldCharType="end"/>
      </w:r>
      <w:r>
        <w:t>). In this manner, working with a homogenous population can be thought of as the proxy for all of the heterogenous distributions</w:t>
      </w:r>
      <w:r w:rsidR="00DA2ABE">
        <w:t xml:space="preserve"> taken to be equivalent by the </w:t>
      </w:r>
      <w:r w:rsidR="00432C2B">
        <w:t xml:space="preserve">objective function which represents the goals of the model (sometimes a </w:t>
      </w:r>
      <w:r w:rsidR="00DA2ABE">
        <w:t>social welfare or value function</w:t>
      </w:r>
      <w:r w:rsidR="00432C2B">
        <w:t>)</w:t>
      </w:r>
      <w:r>
        <w:t>.</w:t>
      </w:r>
    </w:p>
    <w:p w14:paraId="52BD9B2F" w14:textId="77777777" w:rsidR="00DA191F" w:rsidRDefault="00DA191F" w:rsidP="00DA191F"/>
    <w:p w14:paraId="4EF72F31" w14:textId="297D0F90" w:rsidR="00DA191F" w:rsidRDefault="00DA191F" w:rsidP="00DA191F">
      <w:r>
        <w:t>The second option is to explicitly model regional or spatial inequality. First, the DICE model, which uses a single world region, also has a ‘regional’ counterpart called RICE</w:t>
      </w:r>
      <w:r w:rsidR="0022378B">
        <w:t xml:space="preserve"> </w:t>
      </w:r>
      <w:r w:rsidR="0022378B">
        <w:fldChar w:fldCharType="begin"/>
      </w:r>
      <w:r w:rsidR="0022378B">
        <w:instrText xml:space="preserve"> REF _Ref53703146 \r \h </w:instrText>
      </w:r>
      <w:r w:rsidR="0022378B">
        <w:fldChar w:fldCharType="separate"/>
      </w:r>
      <w:r w:rsidR="0022378B">
        <w:t>[15]</w:t>
      </w:r>
      <w:r w:rsidR="0022378B">
        <w:fldChar w:fldCharType="end"/>
      </w:r>
      <w:r>
        <w:t>. Second, we can add greater regional heterogeneity by having various income levels within regions, yielding a ‘nested inequality’ counterparts of DICE called NICE</w:t>
      </w:r>
      <w:r w:rsidR="0022378B">
        <w:t xml:space="preserve"> </w:t>
      </w:r>
      <w:r w:rsidR="0022378B">
        <w:fldChar w:fldCharType="begin"/>
      </w:r>
      <w:r w:rsidR="0022378B">
        <w:instrText xml:space="preserve"> REF _Ref53703232 \r \h </w:instrText>
      </w:r>
      <w:r w:rsidR="0022378B">
        <w:fldChar w:fldCharType="separate"/>
      </w:r>
      <w:r w:rsidR="0022378B">
        <w:t>[16]</w:t>
      </w:r>
      <w:r w:rsidR="0022378B">
        <w:fldChar w:fldCharType="end"/>
      </w:r>
      <w:r w:rsidR="0022378B">
        <w:t xml:space="preserve"> </w:t>
      </w:r>
      <w:r w:rsidR="0022378B">
        <w:fldChar w:fldCharType="begin"/>
      </w:r>
      <w:r w:rsidR="0022378B">
        <w:instrText xml:space="preserve"> REF _Ref53703233 \r \h </w:instrText>
      </w:r>
      <w:r w:rsidR="0022378B">
        <w:fldChar w:fldCharType="separate"/>
      </w:r>
      <w:r w:rsidR="0022378B">
        <w:t>[17]</w:t>
      </w:r>
      <w:r w:rsidR="0022378B">
        <w:fldChar w:fldCharType="end"/>
      </w:r>
      <w:r>
        <w:t xml:space="preserve">. The </w:t>
      </w:r>
      <w:r w:rsidR="00432C2B">
        <w:t xml:space="preserve">NICE </w:t>
      </w:r>
      <w:r>
        <w:t xml:space="preserve">authors find that, if we are averse to inequality, that points both </w:t>
      </w:r>
      <w:r w:rsidRPr="00432C2B">
        <w:rPr>
          <w:i/>
          <w:iCs/>
        </w:rPr>
        <w:t>against</w:t>
      </w:r>
      <w:r>
        <w:t xml:space="preserve"> sending resources to the (presumably richer) future and </w:t>
      </w:r>
      <w:r w:rsidR="00432C2B" w:rsidRPr="00432C2B">
        <w:rPr>
          <w:i/>
          <w:iCs/>
        </w:rPr>
        <w:t>for</w:t>
      </w:r>
      <w:r>
        <w:t xml:space="preserve"> sending resources to those worse-off in the future who, on heterogenous models, may be poor like the present poor even </w:t>
      </w:r>
      <w:r w:rsidR="00432C2B">
        <w:t>when</w:t>
      </w:r>
      <w:r>
        <w:t xml:space="preserve"> mean consumption has risen in the future.</w:t>
      </w:r>
      <w:r w:rsidR="00BC1A02">
        <w:t xml:space="preserve"> But the extent of these effects depends on whether the climate damages are proportional to wealth or more or less than proportional. Both are plausible; it could be that having greater wealth means that you have more and more valuable capital at risk to various extreme events or it could be that having greater wealth means having greater adaptive and protective capacity so that more capital is shielded from climate impacts.</w:t>
      </w:r>
    </w:p>
    <w:p w14:paraId="7BDA51D3" w14:textId="77777777" w:rsidR="00DA191F" w:rsidRDefault="00DA191F" w:rsidP="00DA191F"/>
    <w:p w14:paraId="0182027E" w14:textId="77777777" w:rsidR="00DA191F" w:rsidRDefault="00DA191F" w:rsidP="00DA191F">
      <w:r>
        <w:t>The key point is that, while many climate IAMs are highly simplified, the structural assumptions that yield their simplifications can be relaxed with more data and computing power. With more heterogenous populations, we can have more complex policy analysis but also more realistic outcomes to evaluate.</w:t>
      </w:r>
    </w:p>
    <w:p w14:paraId="73A6528B" w14:textId="77777777" w:rsidR="00DA191F" w:rsidRDefault="00DA191F" w:rsidP="00DA191F"/>
    <w:p w14:paraId="4EB9963B" w14:textId="77777777" w:rsidR="00DA191F" w:rsidRDefault="00DA191F" w:rsidP="00DA191F">
      <w:pPr>
        <w:pStyle w:val="Heading2"/>
      </w:pPr>
      <w:r>
        <w:lastRenderedPageBreak/>
        <w:t>Endogenous versus exogenous growth</w:t>
      </w:r>
    </w:p>
    <w:p w14:paraId="40C544DA" w14:textId="18B25314" w:rsidR="00DA191F" w:rsidRDefault="00DA191F" w:rsidP="00DA191F">
      <w:r>
        <w:t xml:space="preserve">In IAMs like DICE, growth </w:t>
      </w:r>
      <w:r w:rsidR="00432C2B">
        <w:t xml:space="preserve">of consumption </w:t>
      </w:r>
      <w:r>
        <w:t xml:space="preserve">is given by a combination of exogenous factors that exponentially increase total production. These factors are the number of producers, or </w:t>
      </w:r>
      <w:proofErr w:type="spellStart"/>
      <w:r>
        <w:t>labour</w:t>
      </w:r>
      <w:proofErr w:type="spellEnd"/>
      <w:r>
        <w:t xml:space="preserve">, and an (assumed) increasing productivity for any given level of </w:t>
      </w:r>
      <w:proofErr w:type="spellStart"/>
      <w:r>
        <w:t>labour</w:t>
      </w:r>
      <w:proofErr w:type="spellEnd"/>
      <w:r>
        <w:t xml:space="preserve"> and capital. A key assumption in the standard models is that the growth is exogenous, meaning that its increase is mostly independent of the other parameters involved in production. (Mostly, because damage in a year can lead to losses in future productivity by, for instance, reducing the amount of savings. But this is a relatively indirect mechanism for climate impacts to harm growth prospects.)</w:t>
      </w:r>
    </w:p>
    <w:p w14:paraId="6AEF3CDA" w14:textId="77777777" w:rsidR="00DA191F" w:rsidRDefault="00DA191F" w:rsidP="00DA191F"/>
    <w:p w14:paraId="1B821271" w14:textId="74D4CA07" w:rsidR="00DA191F" w:rsidRDefault="00F1468A" w:rsidP="003B12AD">
      <w:r>
        <w:t>In response to this</w:t>
      </w:r>
      <w:r w:rsidR="00DA191F">
        <w:t>, Dietz and Stern suggest an extension of DICE which incorporates endogenous growth by expanding the ways that climate impacts could harm growth</w:t>
      </w:r>
      <w:r w:rsidR="0022378B">
        <w:t xml:space="preserve"> </w:t>
      </w:r>
      <w:r w:rsidR="0022378B">
        <w:fldChar w:fldCharType="begin"/>
      </w:r>
      <w:r w:rsidR="0022378B">
        <w:instrText xml:space="preserve"> REF _Ref53702123 \r \h </w:instrText>
      </w:r>
      <w:r w:rsidR="0022378B">
        <w:fldChar w:fldCharType="separate"/>
      </w:r>
      <w:r w:rsidR="0022378B">
        <w:t>[7]</w:t>
      </w:r>
      <w:r w:rsidR="0022378B">
        <w:fldChar w:fldCharType="end"/>
      </w:r>
      <w:r w:rsidR="00DA191F">
        <w:t xml:space="preserve">. First, </w:t>
      </w:r>
      <w:r w:rsidR="00B414D7">
        <w:t xml:space="preserve">they suggest that it </w:t>
      </w:r>
      <w:r w:rsidR="00DA191F">
        <w:t>could either reduce the capital stock, via mechanisms like loss of built environment in the face of coastal incursion</w:t>
      </w:r>
      <w:r w:rsidR="00B414D7">
        <w:t xml:space="preserve">, or could </w:t>
      </w:r>
      <w:r w:rsidR="00DA191F">
        <w:t xml:space="preserve">reduce the productivity of capital, via mechanisms like poorer infrastructure performance in changing environmental conditions. </w:t>
      </w:r>
      <w:r w:rsidR="003B12AD">
        <w:t xml:space="preserve">Second, </w:t>
      </w:r>
      <w:r w:rsidR="00B414D7">
        <w:t>they suggest that climate impacts</w:t>
      </w:r>
      <w:r w:rsidR="003B12AD">
        <w:t xml:space="preserve"> could reduce the total factor productivity. In other words, given the same capital and </w:t>
      </w:r>
      <w:proofErr w:type="spellStart"/>
      <w:r w:rsidR="003B12AD">
        <w:t>labour</w:t>
      </w:r>
      <w:proofErr w:type="spellEnd"/>
      <w:r w:rsidR="003B12AD">
        <w:t xml:space="preserve"> inputs in subsequent periods, you have less production. For instance, in a warming climate, </w:t>
      </w:r>
      <w:r w:rsidR="00031583">
        <w:t xml:space="preserve">people may be uncomfortable and move more slowly leading to </w:t>
      </w:r>
      <w:r w:rsidR="003B12AD">
        <w:t xml:space="preserve">less </w:t>
      </w:r>
      <w:r w:rsidR="00B414D7">
        <w:t xml:space="preserve">productive </w:t>
      </w:r>
      <w:r w:rsidR="003B12AD">
        <w:t>economic activity.</w:t>
      </w:r>
    </w:p>
    <w:p w14:paraId="03C58DB7" w14:textId="4CDA6339" w:rsidR="003B12AD" w:rsidRDefault="003B12AD" w:rsidP="003B12AD"/>
    <w:p w14:paraId="680A3B0F" w14:textId="75BA3503" w:rsidR="00DA191F" w:rsidRPr="00227AB9" w:rsidRDefault="00B01853" w:rsidP="00DA191F">
      <w:r>
        <w:t>Stern pointed out that modelling growth as endogenous in climate context makes the downside risk much greater</w:t>
      </w:r>
      <w:r w:rsidR="004A3D3D">
        <w:t xml:space="preserve"> </w:t>
      </w:r>
      <w:r w:rsidR="004A3D3D">
        <w:fldChar w:fldCharType="begin"/>
      </w:r>
      <w:r w:rsidR="004A3D3D">
        <w:instrText xml:space="preserve"> REF _Ref53703345 \r \h </w:instrText>
      </w:r>
      <w:r w:rsidR="004A3D3D">
        <w:fldChar w:fldCharType="separate"/>
      </w:r>
      <w:r w:rsidR="004A3D3D">
        <w:t>[18]</w:t>
      </w:r>
      <w:r w:rsidR="004A3D3D">
        <w:fldChar w:fldCharType="end"/>
      </w:r>
      <w:r>
        <w:t>. If there are ways that climate could damage the trajectory of economic activity, that is much worse than having annual climate costs, since a single hit to productivity permanently damages growth whereas the annual climate costs are each temporary.</w:t>
      </w:r>
    </w:p>
    <w:p w14:paraId="1532FF0A" w14:textId="77777777" w:rsidR="00B01853" w:rsidRPr="00B01853" w:rsidRDefault="00B01853" w:rsidP="00B01853"/>
    <w:p w14:paraId="584359A6" w14:textId="77777777" w:rsidR="00DA191F" w:rsidRPr="00CF7B7F" w:rsidRDefault="00DA191F" w:rsidP="00DA191F">
      <w:pPr>
        <w:pStyle w:val="Heading2"/>
      </w:pPr>
      <w:r>
        <w:t>Damage functions</w:t>
      </w:r>
    </w:p>
    <w:p w14:paraId="2AD30F72" w14:textId="2E8E8227" w:rsidR="00DA191F" w:rsidRDefault="00DA191F" w:rsidP="00DA191F">
      <w:r>
        <w:t xml:space="preserve">One of the most difficult structural assumptions involve the functional form and calibration of damage functions. Almost by definition, climate changed impacts will be unlike those previously observed so extrapolation is highly uncertain. Some economists, like Robert </w:t>
      </w:r>
      <w:proofErr w:type="spellStart"/>
      <w:r>
        <w:t>Pindyck</w:t>
      </w:r>
      <w:proofErr w:type="spellEnd"/>
      <w:r>
        <w:t xml:space="preserve"> claim that the damage functions are so indefensible empirically or theoretically that they should be viewed as little more than crude guesses</w:t>
      </w:r>
      <w:r w:rsidR="004A3D3D">
        <w:t xml:space="preserve"> </w:t>
      </w:r>
      <w:r w:rsidR="004A3D3D">
        <w:fldChar w:fldCharType="begin"/>
      </w:r>
      <w:r w:rsidR="004A3D3D">
        <w:instrText xml:space="preserve"> REF _Ref53703446 \r \h </w:instrText>
      </w:r>
      <w:r w:rsidR="004A3D3D">
        <w:fldChar w:fldCharType="separate"/>
      </w:r>
      <w:r w:rsidR="004A3D3D">
        <w:t>[19]</w:t>
      </w:r>
      <w:r w:rsidR="004A3D3D">
        <w:fldChar w:fldCharType="end"/>
      </w:r>
      <w:r w:rsidR="004A3D3D">
        <w:t xml:space="preserve"> </w:t>
      </w:r>
      <w:r w:rsidR="004A3D3D">
        <w:fldChar w:fldCharType="begin"/>
      </w:r>
      <w:r w:rsidR="004A3D3D">
        <w:instrText xml:space="preserve"> REF _Ref53703449 \r \h </w:instrText>
      </w:r>
      <w:r w:rsidR="004A3D3D">
        <w:fldChar w:fldCharType="separate"/>
      </w:r>
      <w:r w:rsidR="004A3D3D">
        <w:t>[20]</w:t>
      </w:r>
      <w:r w:rsidR="004A3D3D">
        <w:fldChar w:fldCharType="end"/>
      </w:r>
      <w:r>
        <w:t>. This is exacerbated by the limited incentives for improving damage functions in IAMs.</w:t>
      </w:r>
      <w:r w:rsidRPr="00D11EDE">
        <w:t xml:space="preserve"> </w:t>
      </w:r>
      <w:r>
        <w:t xml:space="preserve">Indeed, </w:t>
      </w:r>
      <w:r w:rsidR="00970152">
        <w:t xml:space="preserve">for related reasons, </w:t>
      </w:r>
      <w:r>
        <w:t>Nordhaus designated the damage functions ‘placeholders subject to further research’</w:t>
      </w:r>
      <w:r w:rsidR="004A3D3D">
        <w:t xml:space="preserve"> </w:t>
      </w:r>
      <w:r w:rsidR="004A3D3D">
        <w:fldChar w:fldCharType="begin"/>
      </w:r>
      <w:r w:rsidR="004A3D3D">
        <w:instrText xml:space="preserve"> REF _Ref53703693 \r \h </w:instrText>
      </w:r>
      <w:r w:rsidR="004A3D3D">
        <w:fldChar w:fldCharType="separate"/>
      </w:r>
      <w:r w:rsidR="004A3D3D">
        <w:t>[21]</w:t>
      </w:r>
      <w:r w:rsidR="004A3D3D">
        <w:fldChar w:fldCharType="end"/>
      </w:r>
      <w:r>
        <w:t>.</w:t>
      </w:r>
    </w:p>
    <w:p w14:paraId="7E044F98" w14:textId="77777777" w:rsidR="00DA191F" w:rsidRDefault="00DA191F" w:rsidP="00DA191F"/>
    <w:p w14:paraId="066E697E" w14:textId="00495D98" w:rsidR="00DA191F" w:rsidRDefault="00DA191F" w:rsidP="00DA191F">
      <w:r>
        <w:t>The standard reduced form damage function in DICE is</w:t>
      </w:r>
      <w:r w:rsidR="003D606D">
        <w:t xml:space="preserve"> </w:t>
      </w:r>
      <w:r w:rsidR="00AC03B9">
        <w:t>quadratic</w:t>
      </w:r>
      <w:r w:rsidR="003D606D">
        <w:t>:</w:t>
      </w:r>
    </w:p>
    <w:p w14:paraId="54D1B035" w14:textId="77777777" w:rsidR="00DA191F" w:rsidRDefault="00DA191F" w:rsidP="00DA191F"/>
    <w:p w14:paraId="1B56CF3A" w14:textId="635446DB" w:rsidR="00031583" w:rsidRPr="00031583" w:rsidRDefault="0094117E" w:rsidP="00031583">
      <m:oMathPara>
        <m:oMath>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
                <m:sSubPr>
                  <m:ctrlPr>
                    <w:rPr>
                      <w:rFonts w:ascii="Cambria Math" w:hAnsi="Cambria Math"/>
                    </w:rPr>
                  </m:ctrlPr>
                </m:sSubPr>
                <m:e>
                  <m:r>
                    <m:rPr>
                      <m:sty m:val="p"/>
                    </m:rPr>
                    <w:rPr>
                      <w:rFonts w:ascii="Cambria Math" w:hAnsi="Cambria Math"/>
                    </w:rPr>
                    <m:t>π</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π</m:t>
                  </m:r>
                </m:e>
                <m:sub>
                  <m:r>
                    <w:rPr>
                      <w:rFonts w:ascii="Cambria Math" w:hAnsi="Cambria Math"/>
                    </w:rPr>
                    <m:t>2</m:t>
                  </m:r>
                </m:sub>
              </m:sSub>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t</m:t>
                  </m:r>
                </m:sub>
                <m:sup>
                  <m:r>
                    <m:rPr>
                      <m:sty m:val="p"/>
                    </m:rPr>
                    <w:rPr>
                      <w:rFonts w:ascii="Cambria Math" w:hAnsi="Cambria Math"/>
                    </w:rPr>
                    <m:t>2</m:t>
                  </m:r>
                </m:sup>
              </m:sSubSup>
            </m:den>
          </m:f>
        </m:oMath>
      </m:oMathPara>
    </w:p>
    <w:p w14:paraId="537843F9" w14:textId="77777777" w:rsidR="003D606D" w:rsidRDefault="003D606D" w:rsidP="00DA191F"/>
    <w:p w14:paraId="2095E3AF" w14:textId="0DF929F4" w:rsidR="00DA191F" w:rsidRPr="00A12F1D" w:rsidRDefault="00031583" w:rsidP="00DA191F">
      <w:r>
        <w:t xml:space="preserve">where </w:t>
      </w:r>
      <m:oMath>
        <m:sSub>
          <m:sSubPr>
            <m:ctrlPr>
              <w:rPr>
                <w:rFonts w:ascii="Cambria Math" w:hAnsi="Cambria Math"/>
                <w:i/>
              </w:rPr>
            </m:ctrlPr>
          </m:sSubPr>
          <m:e>
            <m:r>
              <w:rPr>
                <w:rFonts w:ascii="Cambria Math" w:hAnsi="Cambria Math"/>
              </w:rPr>
              <m:t>D</m:t>
            </m:r>
          </m:e>
          <m:sub>
            <m:r>
              <w:rPr>
                <w:rFonts w:ascii="Cambria Math" w:hAnsi="Cambria Math"/>
              </w:rPr>
              <m:t>t</m:t>
            </m:r>
          </m:sub>
        </m:sSub>
      </m:oMath>
      <w:r>
        <w:t xml:space="preserve"> is the damage at time </w:t>
      </w:r>
      <m:oMath>
        <m:r>
          <w:rPr>
            <w:rFonts w:ascii="Cambria Math" w:hAnsi="Cambria Math"/>
          </w:rPr>
          <m:t>t</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t</m:t>
            </m:r>
          </m:sub>
        </m:sSub>
      </m:oMath>
      <w:r>
        <w:t xml:space="preserve"> is the global mean temperature at time </w:t>
      </w:r>
      <m:oMath>
        <m:r>
          <w:rPr>
            <w:rFonts w:ascii="Cambria Math" w:hAnsi="Cambria Math"/>
          </w:rPr>
          <m:t>t</m:t>
        </m:r>
      </m:oMath>
      <w:r>
        <w:t xml:space="preserve">. The parameters </w:t>
      </w:r>
      <m:oMath>
        <m:sSub>
          <m:sSubPr>
            <m:ctrlPr>
              <w:rPr>
                <w:rFonts w:ascii="Cambria Math" w:hAnsi="Cambria Math"/>
                <w:i/>
              </w:rPr>
            </m:ctrlPr>
          </m:sSubPr>
          <m:e>
            <m:r>
              <w:rPr>
                <w:rFonts w:ascii="Cambria Math" w:hAnsi="Cambria Math"/>
              </w:rPr>
              <m:t>π</m:t>
            </m:r>
            <m:ctrlPr>
              <w:rPr>
                <w:rFonts w:ascii="Cambria Math" w:hAnsi="Cambria Math"/>
              </w:rPr>
            </m:ctrlP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π</m:t>
            </m:r>
            <m:ctrlPr>
              <w:rPr>
                <w:rFonts w:ascii="Cambria Math" w:hAnsi="Cambria Math"/>
              </w:rPr>
            </m:ctrlPr>
          </m:e>
          <m:sub>
            <m:r>
              <w:rPr>
                <w:rFonts w:ascii="Cambria Math" w:hAnsi="Cambria Math"/>
              </w:rPr>
              <m:t>2</m:t>
            </m:r>
          </m:sub>
        </m:sSub>
      </m:oMath>
      <w:r>
        <w:t xml:space="preserve"> </w:t>
      </w:r>
      <w:r w:rsidR="00DA191F">
        <w:t>are estimated by fitting the damage function to various expected costs at particular temperatures.</w:t>
      </w:r>
      <w:r w:rsidR="00A12F1D">
        <w:t xml:space="preserve"> However, since observed temperatures have not varied outside of a range of </w:t>
      </w:r>
      <m:oMath>
        <m:r>
          <w:rPr>
            <w:rFonts w:ascii="Cambria Math" w:hAnsi="Cambria Math"/>
          </w:rPr>
          <m:t>2°</m:t>
        </m:r>
      </m:oMath>
      <w:r w:rsidR="00A12F1D">
        <w:t>C for millennia, this fitting is highly speculative. Furthermore, even if points at low temperatures are correct, they underdetermine the functional form beyond those temperatures.</w:t>
      </w:r>
    </w:p>
    <w:p w14:paraId="314C6181" w14:textId="77777777" w:rsidR="00DA191F" w:rsidRDefault="00DA191F" w:rsidP="00DA191F"/>
    <w:p w14:paraId="5A455CCA" w14:textId="771C48DD" w:rsidR="00DA191F" w:rsidRDefault="00846A26" w:rsidP="00DA191F">
      <w:r>
        <w:t>Recent alternative</w:t>
      </w:r>
      <w:r w:rsidR="00970152">
        <w:t xml:space="preserve"> ways of estimating the effects of temperature rise</w:t>
      </w:r>
      <w:r>
        <w:t xml:space="preserve"> have </w:t>
      </w:r>
      <w:r w:rsidR="00970152">
        <w:t>drawn</w:t>
      </w:r>
      <w:r>
        <w:t xml:space="preserve"> on large datasets of </w:t>
      </w:r>
      <w:r w:rsidRPr="00846A26">
        <w:rPr>
          <w:i/>
          <w:iCs/>
        </w:rPr>
        <w:t>local</w:t>
      </w:r>
      <w:r>
        <w:t xml:space="preserve"> climate anomalies to distinguish potential effects on human </w:t>
      </w:r>
      <w:proofErr w:type="spellStart"/>
      <w:r>
        <w:t>behaviour</w:t>
      </w:r>
      <w:proofErr w:type="spellEnd"/>
      <w:r>
        <w:t xml:space="preserve"> and </w:t>
      </w:r>
      <w:r>
        <w:lastRenderedPageBreak/>
        <w:t xml:space="preserve">macroeconomic variables. These </w:t>
      </w:r>
      <w:r w:rsidR="00DA191F">
        <w:t xml:space="preserve">new empirical techniques </w:t>
      </w:r>
      <w:r>
        <w:t>might be more successful than the discussions of the functional forms of damages</w:t>
      </w:r>
      <w:r w:rsidR="00DA191F">
        <w:t xml:space="preserve">. For instance, </w:t>
      </w:r>
      <w:r w:rsidR="004A3D3D">
        <w:t xml:space="preserve">we can </w:t>
      </w:r>
      <w:r w:rsidR="00DA191F">
        <w:t>run statistical analyses on large-n samples</w:t>
      </w:r>
      <w:r w:rsidR="00D94D36">
        <w:t xml:space="preserve"> </w:t>
      </w:r>
      <w:r w:rsidR="00D94D36">
        <w:fldChar w:fldCharType="begin"/>
      </w:r>
      <w:r w:rsidR="00D94D36">
        <w:instrText xml:space="preserve"> REF _Ref53704062 \r \h </w:instrText>
      </w:r>
      <w:r w:rsidR="00D94D36">
        <w:fldChar w:fldCharType="separate"/>
      </w:r>
      <w:r w:rsidR="00D94D36">
        <w:t>[22]</w:t>
      </w:r>
      <w:r w:rsidR="00D94D36">
        <w:fldChar w:fldCharType="end"/>
      </w:r>
      <w:r w:rsidR="00D94D36">
        <w:t xml:space="preserve"> </w:t>
      </w:r>
      <w:r w:rsidR="00D94D36">
        <w:fldChar w:fldCharType="begin"/>
      </w:r>
      <w:r w:rsidR="00D94D36">
        <w:instrText xml:space="preserve"> REF _Ref53704067 \r \h </w:instrText>
      </w:r>
      <w:r w:rsidR="00D94D36">
        <w:fldChar w:fldCharType="separate"/>
      </w:r>
      <w:r w:rsidR="00D94D36">
        <w:t>[23]</w:t>
      </w:r>
      <w:r w:rsidR="00D94D36">
        <w:fldChar w:fldCharType="end"/>
      </w:r>
      <w:r w:rsidR="00D94D36">
        <w:t xml:space="preserve"> </w:t>
      </w:r>
      <w:r w:rsidR="00D94D36">
        <w:fldChar w:fldCharType="begin"/>
      </w:r>
      <w:r w:rsidR="00D94D36">
        <w:instrText xml:space="preserve"> REF _Ref53704069 \r \h </w:instrText>
      </w:r>
      <w:r w:rsidR="00D94D36">
        <w:fldChar w:fldCharType="separate"/>
      </w:r>
      <w:r w:rsidR="00D94D36">
        <w:t>[24]</w:t>
      </w:r>
      <w:r w:rsidR="00D94D36">
        <w:fldChar w:fldCharType="end"/>
      </w:r>
      <w:r w:rsidR="00DA191F">
        <w:t xml:space="preserve">. By comparing longitudinally (comparisons within regions) as opposed to cross-sectionally (comparisons across regions), it is easier to avoid cultural and other factors that might lead to spurious correlations. Roughly speaking, the idea is that by looking at the same regions over longer historical periods, we have a large number of data points which we can analyze in terms of the deviation from historical norms and index to social outcomes of interest (whether </w:t>
      </w:r>
      <w:r>
        <w:t xml:space="preserve">social outcomes like violent conflict or </w:t>
      </w:r>
      <w:r w:rsidR="00DA191F">
        <w:t xml:space="preserve">macroeconomic factors like productivity). They find various relationships, but several of them are roughly u-shaped, in that deviations both colder and warmer from the mean correlate with increases in the social outcomes of interest, e.g. increased conflict both when it is colder and warmer than average. Of course, even these new methods run up against the predictive limitations of data when future weather is far outside the norm; in these cases, there are fewer historical cases and more uncertainty. Assuming the climate continues to warm, these limits </w:t>
      </w:r>
      <w:r>
        <w:t xml:space="preserve">on observation </w:t>
      </w:r>
      <w:r w:rsidR="00DA191F">
        <w:t>matter.</w:t>
      </w:r>
    </w:p>
    <w:p w14:paraId="3205A3CD" w14:textId="77777777" w:rsidR="00DA191F" w:rsidRDefault="00DA191F" w:rsidP="00DA191F"/>
    <w:p w14:paraId="1D69B0F6" w14:textId="569F4C80" w:rsidR="00DA191F" w:rsidRDefault="00DA191F" w:rsidP="00DA191F">
      <w:r>
        <w:t xml:space="preserve">These ways of estimating the damages from climate impacts help address the structural assumptions involved in damage functions. While more drastic changes in climate will outrun the </w:t>
      </w:r>
      <w:r w:rsidR="00846A26">
        <w:t>observed weather events</w:t>
      </w:r>
      <w:r w:rsidR="00BC1A02">
        <w:t xml:space="preserve">, it is certainly the case that </w:t>
      </w:r>
      <w:r w:rsidR="00293386">
        <w:t>it has remained difficult to improve and calibrate these damage functions.</w:t>
      </w:r>
    </w:p>
    <w:p w14:paraId="3846A876" w14:textId="09B9882B" w:rsidR="00C710AE" w:rsidRDefault="00C710AE" w:rsidP="00DA191F"/>
    <w:p w14:paraId="2DA9902C" w14:textId="4CB56058" w:rsidR="00C710AE" w:rsidRDefault="00C710AE" w:rsidP="00DA191F">
      <w:r>
        <w:t>Having introduced some important factual or structural assumptions, we can now turn to the moral assumptions.</w:t>
      </w:r>
    </w:p>
    <w:p w14:paraId="7AB69DC3" w14:textId="77777777" w:rsidR="00DA191F" w:rsidRDefault="00DA191F" w:rsidP="00DA191F"/>
    <w:p w14:paraId="4ACF3E38" w14:textId="13244990" w:rsidR="00DA191F" w:rsidRDefault="00DA191F" w:rsidP="00DA191F">
      <w:pPr>
        <w:pStyle w:val="Heading1"/>
      </w:pPr>
      <w:bookmarkStart w:id="1" w:name="_Ref52291671"/>
      <w:r>
        <w:t>Moral Assumptions</w:t>
      </w:r>
      <w:bookmarkEnd w:id="1"/>
    </w:p>
    <w:p w14:paraId="7226D5C7" w14:textId="6033A2B9" w:rsidR="00D94D36" w:rsidRDefault="00D94D36" w:rsidP="00D94D36">
      <w:r>
        <w:t>This Section discusses moral assumptions and introduces arguments for various choices. The primary intentions are to give a sense of the variety of moral assumptions that are taken for granted in SSC estimates and to introduce some alternatives to the standard assumptions.</w:t>
      </w:r>
    </w:p>
    <w:p w14:paraId="099723D3" w14:textId="77777777" w:rsidR="00D94D36" w:rsidRPr="00D94D36" w:rsidRDefault="00D94D36" w:rsidP="00D94D36"/>
    <w:p w14:paraId="0B92D844" w14:textId="5374BC21" w:rsidR="00DA191F" w:rsidRDefault="00DA191F" w:rsidP="00DA191F">
      <w:pPr>
        <w:pStyle w:val="Heading2"/>
      </w:pPr>
      <w:r>
        <w:t xml:space="preserve">Utilitarianism </w:t>
      </w:r>
      <w:r w:rsidR="00BC1A02">
        <w:t>versus other moral theories</w:t>
      </w:r>
    </w:p>
    <w:p w14:paraId="1B7F6E17" w14:textId="6987E55C" w:rsidR="00DA191F" w:rsidRDefault="00DA191F" w:rsidP="00DA191F">
      <w:r>
        <w:t xml:space="preserve">The most </w:t>
      </w:r>
      <w:r w:rsidR="00293386">
        <w:t>prominent</w:t>
      </w:r>
      <w:r>
        <w:t xml:space="preserve"> moral assumption in calculating the cost of climate impacts is </w:t>
      </w:r>
      <w:r w:rsidR="009409EB">
        <w:t>the</w:t>
      </w:r>
      <w:r>
        <w:t xml:space="preserve"> moral theory </w:t>
      </w:r>
      <w:r w:rsidR="009409EB">
        <w:t>adopted</w:t>
      </w:r>
      <w:r>
        <w:t>. DICE is implicitly</w:t>
      </w:r>
      <w:r w:rsidR="006B31FB">
        <w:t xml:space="preserve"> committed to</w:t>
      </w:r>
      <w:r>
        <w:t xml:space="preserve"> </w:t>
      </w:r>
      <w:r w:rsidRPr="00C96A7C">
        <w:rPr>
          <w:i/>
          <w:iCs/>
        </w:rPr>
        <w:t>(total) discounted utilitarian</w:t>
      </w:r>
      <w:r w:rsidR="006B31FB">
        <w:rPr>
          <w:i/>
          <w:iCs/>
        </w:rPr>
        <w:t>ism</w:t>
      </w:r>
      <w:r w:rsidR="00C96A7C">
        <w:t xml:space="preserve">, a particular </w:t>
      </w:r>
      <w:r w:rsidR="006A23BF">
        <w:t>member</w:t>
      </w:r>
      <w:r w:rsidR="00C96A7C">
        <w:t xml:space="preserve"> of the family of theories called </w:t>
      </w:r>
      <w:r w:rsidR="00C96A7C" w:rsidRPr="00C96A7C">
        <w:rPr>
          <w:i/>
          <w:iCs/>
        </w:rPr>
        <w:t>consequentialist</w:t>
      </w:r>
      <w:r>
        <w:t xml:space="preserve">. </w:t>
      </w:r>
      <w:r w:rsidR="00C96A7C">
        <w:t>Total discounted utilitarianism</w:t>
      </w:r>
      <w:r>
        <w:t xml:space="preserve"> means that </w:t>
      </w:r>
      <w:r w:rsidR="00C96A7C">
        <w:t xml:space="preserve">evaluation of actions </w:t>
      </w:r>
      <w:r>
        <w:t xml:space="preserve">is </w:t>
      </w:r>
      <w:r w:rsidR="00C96A7C">
        <w:t>conducted solely</w:t>
      </w:r>
      <w:r>
        <w:t xml:space="preserve"> in terms of outcomes</w:t>
      </w:r>
      <w:r w:rsidR="00C96A7C">
        <w:t xml:space="preserve"> (consequentialism)</w:t>
      </w:r>
      <w:r>
        <w:t xml:space="preserve">, the value of </w:t>
      </w:r>
      <w:r w:rsidR="00E1514D">
        <w:t xml:space="preserve">those </w:t>
      </w:r>
      <w:r>
        <w:t>outcomes is governed by the sum of utility (</w:t>
      </w:r>
      <w:r w:rsidR="00FD1B72">
        <w:t>where utility</w:t>
      </w:r>
      <w:r>
        <w:t xml:space="preserve"> is a</w:t>
      </w:r>
      <w:r w:rsidR="00FD1B72">
        <w:t xml:space="preserve">n increasing </w:t>
      </w:r>
      <w:r>
        <w:t>function of consumption)</w:t>
      </w:r>
      <w:r w:rsidR="00970152">
        <w:t xml:space="preserve"> (total)</w:t>
      </w:r>
      <w:r>
        <w:t>, all the utilities at a time are valued equally</w:t>
      </w:r>
      <w:r w:rsidR="00970152">
        <w:t xml:space="preserve"> (utilitarianism)</w:t>
      </w:r>
      <w:r>
        <w:t>, but future utility is discounted to generate a net present value</w:t>
      </w:r>
      <w:r w:rsidR="00970152">
        <w:t xml:space="preserve"> (discounted)</w:t>
      </w:r>
      <w:r>
        <w:t>. All of these assumptions can be relaxed.</w:t>
      </w:r>
      <w:r w:rsidR="00DF6D1F">
        <w:t xml:space="preserve"> For our purposes, we can </w:t>
      </w:r>
      <w:r w:rsidR="00BC552C">
        <w:t>be agnostic between</w:t>
      </w:r>
      <w:r w:rsidR="00DF6D1F">
        <w:t xml:space="preserve"> various different interpretations of utility, but the classical interpretations are pleasure and satisfaction of preferences</w:t>
      </w:r>
      <w:r w:rsidR="00FD1B72">
        <w:t>, with the latter having been especially influential in economics</w:t>
      </w:r>
      <w:r w:rsidR="00DF6D1F">
        <w:t>.</w:t>
      </w:r>
    </w:p>
    <w:p w14:paraId="02AF237A" w14:textId="77777777" w:rsidR="00DA191F" w:rsidRDefault="00DA191F" w:rsidP="00DA191F"/>
    <w:p w14:paraId="13F0BEDD" w14:textId="181B5B6C" w:rsidR="00DA191F" w:rsidRDefault="00DA191F" w:rsidP="00DA191F">
      <w:r>
        <w:t xml:space="preserve">A moral theory that does not evaluate actions purely in terms of outcomes is </w:t>
      </w:r>
      <w:r w:rsidRPr="008D6E86">
        <w:rPr>
          <w:i/>
          <w:iCs/>
        </w:rPr>
        <w:t>deontological</w:t>
      </w:r>
      <w:r>
        <w:t>. For these theories, some actions are ruled out as morally impermissible because</w:t>
      </w:r>
      <w:r w:rsidR="00356A19">
        <w:t>, for instance,</w:t>
      </w:r>
      <w:r>
        <w:t xml:space="preserve"> they violate rights or side-constraints. </w:t>
      </w:r>
      <w:r w:rsidR="00356A19">
        <w:t xml:space="preserve">That means that </w:t>
      </w:r>
      <w:r>
        <w:t xml:space="preserve">an action could have very positive consequences overall but might involve sacrificing or killing an innocent; deontological theories will rule out this type of action </w:t>
      </w:r>
      <w:r w:rsidR="008D6E86">
        <w:t xml:space="preserve">as immoral or impermissible </w:t>
      </w:r>
      <w:r>
        <w:t>regardless of the consequences</w:t>
      </w:r>
      <w:r w:rsidR="008D6E86">
        <w:t xml:space="preserve"> (or perhaps the consequences are weighted very lightly or only relevant in terms of tie-breaking)</w:t>
      </w:r>
      <w:r>
        <w:t>.</w:t>
      </w:r>
      <w:r w:rsidR="008D6E86">
        <w:t xml:space="preserve"> In </w:t>
      </w:r>
      <w:r w:rsidR="008D6E86">
        <w:lastRenderedPageBreak/>
        <w:t>the context of climate economics, if we are considering actions that might be side-</w:t>
      </w:r>
      <w:r w:rsidR="00022E81">
        <w:t>constraints</w:t>
      </w:r>
      <w:r w:rsidR="008D6E86">
        <w:t xml:space="preserve"> which cannot be violated, then IAMs and similar tools are unnecessary. We could model this by increasing the social cost of such actions to very high finite values or infinite values, but these options introduce further complexities having to do with comparing risk with large finite or infinite disvalues</w:t>
      </w:r>
      <w:r w:rsidR="00EC3045">
        <w:t xml:space="preserve"> </w:t>
      </w:r>
      <w:r w:rsidR="00EC3045">
        <w:fldChar w:fldCharType="begin"/>
      </w:r>
      <w:r w:rsidR="00EC3045">
        <w:instrText xml:space="preserve"> REF _Ref53704244 \r \h </w:instrText>
      </w:r>
      <w:r w:rsidR="00EC3045">
        <w:fldChar w:fldCharType="separate"/>
      </w:r>
      <w:r w:rsidR="00EC3045">
        <w:t>[25]</w:t>
      </w:r>
      <w:r w:rsidR="00EC3045">
        <w:fldChar w:fldCharType="end"/>
      </w:r>
      <w:r w:rsidR="008D6E86">
        <w:t>.</w:t>
      </w:r>
      <w:r w:rsidR="00356A19">
        <w:t xml:space="preserve"> Alternatively, we can have a two-step procedure where an act is first checked for its permissibility and then subjected to CBA.</w:t>
      </w:r>
    </w:p>
    <w:p w14:paraId="527F42CB" w14:textId="77777777" w:rsidR="008D6E86" w:rsidRDefault="008D6E86" w:rsidP="00DA191F"/>
    <w:p w14:paraId="742834E0" w14:textId="3B508C79" w:rsidR="00970152" w:rsidRDefault="00D25A7F" w:rsidP="00DA191F">
      <w:r>
        <w:t xml:space="preserve">Setting </w:t>
      </w:r>
      <w:r w:rsidR="008D6E86">
        <w:t xml:space="preserve">such deontological side-constraints to the side, we have </w:t>
      </w:r>
      <w:r w:rsidR="008D6E86" w:rsidRPr="008D6E86">
        <w:rPr>
          <w:i/>
          <w:iCs/>
        </w:rPr>
        <w:t>consequentialist</w:t>
      </w:r>
      <w:r w:rsidR="008D6E86">
        <w:t xml:space="preserve"> theories which evaluate actions purely in terms of outcomes, whether actual or expected. </w:t>
      </w:r>
      <w:r w:rsidR="00EA4C32">
        <w:t xml:space="preserve">The most common class of consequentialist theories evaluate actions purely </w:t>
      </w:r>
      <w:r w:rsidR="008D6E86">
        <w:t xml:space="preserve">by considering outcomes in terms of utility. </w:t>
      </w:r>
      <w:r w:rsidR="00970152">
        <w:t xml:space="preserve">If the utilities at a time are </w:t>
      </w:r>
      <w:r w:rsidR="008D6E86">
        <w:t>unweighted</w:t>
      </w:r>
      <w:r w:rsidR="008D6E86" w:rsidRPr="008D6E86">
        <w:t xml:space="preserve"> </w:t>
      </w:r>
      <w:r w:rsidR="008D6E86">
        <w:t xml:space="preserve">in the evaluation, then we have </w:t>
      </w:r>
      <w:r w:rsidR="008D6E86" w:rsidRPr="00EA4C32">
        <w:rPr>
          <w:i/>
          <w:iCs/>
        </w:rPr>
        <w:t>utilitarianism</w:t>
      </w:r>
      <w:r w:rsidR="008D6E86">
        <w:t xml:space="preserve">. If they are </w:t>
      </w:r>
      <w:r w:rsidR="00970152">
        <w:t xml:space="preserve">weighted, then we have </w:t>
      </w:r>
      <w:r w:rsidR="008D6E86">
        <w:t xml:space="preserve">one of several </w:t>
      </w:r>
      <w:r w:rsidR="00970152">
        <w:t>variation</w:t>
      </w:r>
      <w:r w:rsidR="008D6E86">
        <w:t>s</w:t>
      </w:r>
      <w:r w:rsidR="00970152">
        <w:t xml:space="preserve"> on utilitarianism. </w:t>
      </w:r>
      <w:r w:rsidR="008D6E86">
        <w:t xml:space="preserve">Before considering utilitarianism, we can consider </w:t>
      </w:r>
      <w:r w:rsidR="00970152">
        <w:t xml:space="preserve">two particular ways of weighting utilities </w:t>
      </w:r>
      <w:r w:rsidR="008D6E86">
        <w:t xml:space="preserve">which </w:t>
      </w:r>
      <w:r w:rsidR="00970152">
        <w:t xml:space="preserve">are of </w:t>
      </w:r>
      <w:r w:rsidR="00F446D1">
        <w:t>especial</w:t>
      </w:r>
      <w:r w:rsidR="00970152">
        <w:t xml:space="preserve"> interest</w:t>
      </w:r>
      <w:r w:rsidR="008D6E86">
        <w:t xml:space="preserve"> in climate economics. The first </w:t>
      </w:r>
      <w:r w:rsidR="00970152">
        <w:t xml:space="preserve">because it is commonly done and the </w:t>
      </w:r>
      <w:r w:rsidR="008D6E86">
        <w:t>second</w:t>
      </w:r>
      <w:r w:rsidR="00970152">
        <w:t xml:space="preserve"> because it yields an interesting class of moral theories. The first is </w:t>
      </w:r>
      <w:proofErr w:type="spellStart"/>
      <w:r w:rsidR="00970152" w:rsidRPr="008D6E86">
        <w:rPr>
          <w:i/>
          <w:iCs/>
        </w:rPr>
        <w:t>Negishi</w:t>
      </w:r>
      <w:proofErr w:type="spellEnd"/>
      <w:r w:rsidR="00970152" w:rsidRPr="008D6E86">
        <w:rPr>
          <w:i/>
          <w:iCs/>
        </w:rPr>
        <w:t xml:space="preserve"> weighting</w:t>
      </w:r>
      <w:r w:rsidR="00970152">
        <w:t xml:space="preserve">, where </w:t>
      </w:r>
      <w:r w:rsidR="008D6E86">
        <w:t>subpopulations</w:t>
      </w:r>
      <w:r w:rsidR="00970152">
        <w:t xml:space="preserve"> are weighted in such a way that the weights are proportional to the inverse of the marginal utility meaning that the </w:t>
      </w:r>
      <w:proofErr w:type="spellStart"/>
      <w:r w:rsidR="008D6E86">
        <w:t>subpopulational</w:t>
      </w:r>
      <w:proofErr w:type="spellEnd"/>
      <w:r w:rsidR="00970152">
        <w:t xml:space="preserve"> distribution of consumption is optimal, regardless of </w:t>
      </w:r>
      <w:r w:rsidR="00DF6D1F">
        <w:t>the shape or pattern of distribution</w:t>
      </w:r>
      <w:r w:rsidR="00970152">
        <w:t xml:space="preserve"> (e.g.</w:t>
      </w:r>
      <w:r w:rsidR="00EC3045">
        <w:t xml:space="preserve"> </w:t>
      </w:r>
      <w:r w:rsidR="00EC3045">
        <w:fldChar w:fldCharType="begin"/>
      </w:r>
      <w:r w:rsidR="00EC3045">
        <w:instrText xml:space="preserve"> REF _Ref53704409 \r \h </w:instrText>
      </w:r>
      <w:r w:rsidR="00EC3045">
        <w:fldChar w:fldCharType="separate"/>
      </w:r>
      <w:r w:rsidR="00EC3045">
        <w:t>[26]</w:t>
      </w:r>
      <w:r w:rsidR="00EC3045">
        <w:fldChar w:fldCharType="end"/>
      </w:r>
      <w:r w:rsidR="00970152">
        <w:t>). The ostensive purpose of this is to remove moral evaluation of extant distributions</w:t>
      </w:r>
      <w:r w:rsidR="00DF6D1F">
        <w:t>, yielding some type of value-freedom</w:t>
      </w:r>
      <w:r w:rsidR="00EC3045">
        <w:t xml:space="preserve"> </w:t>
      </w:r>
      <w:r w:rsidR="00EC3045">
        <w:fldChar w:fldCharType="begin"/>
      </w:r>
      <w:r w:rsidR="00EC3045">
        <w:instrText xml:space="preserve"> REF _Ref53701824 \r \h </w:instrText>
      </w:r>
      <w:r w:rsidR="00EC3045">
        <w:fldChar w:fldCharType="separate"/>
      </w:r>
      <w:r w:rsidR="00EC3045">
        <w:t>[4]</w:t>
      </w:r>
      <w:r w:rsidR="00EC3045">
        <w:fldChar w:fldCharType="end"/>
      </w:r>
      <w:r w:rsidR="00DF6D1F">
        <w:t xml:space="preserve">, but of course </w:t>
      </w:r>
      <w:proofErr w:type="spellStart"/>
      <w:r w:rsidR="008D6E86">
        <w:t>Negishi</w:t>
      </w:r>
      <w:proofErr w:type="spellEnd"/>
      <w:r w:rsidR="008D6E86">
        <w:t xml:space="preserve"> weighting</w:t>
      </w:r>
      <w:r w:rsidR="00DF6D1F">
        <w:t xml:space="preserve"> introduces its own value-judgments: current distributions</w:t>
      </w:r>
      <w:r w:rsidR="008D6E86">
        <w:t>, whatever they are,</w:t>
      </w:r>
      <w:r w:rsidR="00DF6D1F">
        <w:t xml:space="preserve"> are </w:t>
      </w:r>
      <w:r w:rsidR="008D6E86">
        <w:t xml:space="preserve">taken to be </w:t>
      </w:r>
      <w:r w:rsidR="00DF6D1F">
        <w:t xml:space="preserve">morally justifiable (at least from </w:t>
      </w:r>
      <w:r w:rsidR="00EA4C32">
        <w:t>the</w:t>
      </w:r>
      <w:r w:rsidR="00DF6D1F">
        <w:t xml:space="preserve"> </w:t>
      </w:r>
      <w:proofErr w:type="spellStart"/>
      <w:r w:rsidR="00DF6D1F">
        <w:t>optimising</w:t>
      </w:r>
      <w:proofErr w:type="spellEnd"/>
      <w:r w:rsidR="00DF6D1F">
        <w:t xml:space="preserve"> utilitarian perspective). </w:t>
      </w:r>
    </w:p>
    <w:p w14:paraId="3211567D" w14:textId="5E2FC29D" w:rsidR="00DF6D1F" w:rsidRDefault="00DF6D1F" w:rsidP="00DA191F"/>
    <w:p w14:paraId="6949ECA1" w14:textId="53C592A7" w:rsidR="00DF6D1F" w:rsidRDefault="00DF6D1F" w:rsidP="00DA191F">
      <w:r>
        <w:t xml:space="preserve">The second </w:t>
      </w:r>
      <w:r w:rsidR="008D6E86">
        <w:t xml:space="preserve">variation </w:t>
      </w:r>
      <w:r w:rsidR="00EA4C32">
        <w:t>for</w:t>
      </w:r>
      <w:r w:rsidR="008D6E86">
        <w:t xml:space="preserve"> weighting utility </w:t>
      </w:r>
      <w:r>
        <w:t xml:space="preserve">is </w:t>
      </w:r>
      <w:r w:rsidR="004D552B">
        <w:t>where</w:t>
      </w:r>
      <w:r w:rsidR="0000602B">
        <w:t xml:space="preserve"> those with lower utility are weighed more heavily. </w:t>
      </w:r>
      <w:r w:rsidR="00C96A7C">
        <w:t xml:space="preserve">This yields some form of </w:t>
      </w:r>
      <w:r w:rsidR="00C96A7C" w:rsidRPr="00EA4C32">
        <w:rPr>
          <w:i/>
          <w:iCs/>
        </w:rPr>
        <w:t>prioritarianism</w:t>
      </w:r>
      <w:r w:rsidR="00C96A7C">
        <w:t xml:space="preserve">, </w:t>
      </w:r>
      <w:r w:rsidR="004D552B">
        <w:t xml:space="preserve">since </w:t>
      </w:r>
      <w:r w:rsidR="00C96A7C">
        <w:t xml:space="preserve">(moral) priority is given to those who have less utility. In </w:t>
      </w:r>
      <w:r w:rsidR="00C96A7C" w:rsidRPr="00C96A7C">
        <w:rPr>
          <w:i/>
          <w:iCs/>
        </w:rPr>
        <w:t>deterministic</w:t>
      </w:r>
      <w:r w:rsidR="00C96A7C">
        <w:t xml:space="preserve"> contexts (where the outcome is known or correctly believed conditional on actions chosen), this can be difficult to distinguish from utilitarianism, since </w:t>
      </w:r>
      <w:r w:rsidR="00022E81">
        <w:t>utilitarians</w:t>
      </w:r>
      <w:r w:rsidR="00C96A7C">
        <w:t xml:space="preserve"> already give priority to those with less consumption (which we can take to indicate financial means), so </w:t>
      </w:r>
      <w:r w:rsidR="004D552B">
        <w:t>prioritarianism just</w:t>
      </w:r>
      <w:r w:rsidR="00C96A7C">
        <w:t xml:space="preserve"> indicates that there is another weighting on top of the </w:t>
      </w:r>
      <w:r w:rsidR="004D552B">
        <w:t>utilitarian one</w:t>
      </w:r>
      <w:r w:rsidR="00C96A7C">
        <w:t xml:space="preserve">. </w:t>
      </w:r>
      <w:r w:rsidR="0007633F">
        <w:t>In these contexts, there is an additional moral question: not only do we need to determine the elasticity of marginal utility of consumption (</w:t>
      </w:r>
      <w:r w:rsidR="003909E4">
        <w:t xml:space="preserve">discussed in </w:t>
      </w:r>
      <w:r w:rsidR="0007633F">
        <w:t xml:space="preserve">Subsection </w:t>
      </w:r>
      <w:r w:rsidR="003909E4">
        <w:fldChar w:fldCharType="begin"/>
      </w:r>
      <w:r w:rsidR="003909E4">
        <w:instrText xml:space="preserve"> REF _Ref52288697 \r \h </w:instrText>
      </w:r>
      <w:r w:rsidR="003909E4">
        <w:fldChar w:fldCharType="separate"/>
      </w:r>
      <w:r w:rsidR="003909E4">
        <w:t>23.3.3</w:t>
      </w:r>
      <w:r w:rsidR="003909E4">
        <w:fldChar w:fldCharType="end"/>
      </w:r>
      <w:r w:rsidR="003909E4">
        <w:t>), but we also need to determine the degree of priority of those at a lower level of utility</w:t>
      </w:r>
      <w:r w:rsidR="00EC3045">
        <w:t xml:space="preserve"> </w:t>
      </w:r>
      <w:r w:rsidR="00EC3045">
        <w:fldChar w:fldCharType="begin"/>
      </w:r>
      <w:r w:rsidR="00EC3045">
        <w:instrText xml:space="preserve"> REF _Ref53704509 \r \h </w:instrText>
      </w:r>
      <w:r w:rsidR="00EC3045">
        <w:fldChar w:fldCharType="separate"/>
      </w:r>
      <w:r w:rsidR="00EC3045">
        <w:t>[27]</w:t>
      </w:r>
      <w:r w:rsidR="00EC3045">
        <w:fldChar w:fldCharType="end"/>
      </w:r>
      <w:r w:rsidR="00EC3045">
        <w:t xml:space="preserve"> </w:t>
      </w:r>
      <w:r w:rsidR="00EC3045">
        <w:fldChar w:fldCharType="begin"/>
      </w:r>
      <w:r w:rsidR="00EC3045">
        <w:instrText xml:space="preserve"> REF _Ref53704514 \r \h </w:instrText>
      </w:r>
      <w:r w:rsidR="00EC3045">
        <w:fldChar w:fldCharType="separate"/>
      </w:r>
      <w:r w:rsidR="00EC3045">
        <w:t>[28]</w:t>
      </w:r>
      <w:r w:rsidR="00EC3045">
        <w:fldChar w:fldCharType="end"/>
      </w:r>
      <w:r w:rsidR="003909E4">
        <w:t>.</w:t>
      </w:r>
    </w:p>
    <w:p w14:paraId="15D6D8F7" w14:textId="77777777" w:rsidR="00DA191F" w:rsidRDefault="00DA191F" w:rsidP="00DA191F"/>
    <w:p w14:paraId="621E92DD" w14:textId="6C7BD524" w:rsidR="00E52596" w:rsidRDefault="003909E4" w:rsidP="00DA191F">
      <w:r>
        <w:t xml:space="preserve">If we do not weight the utility, then all utility </w:t>
      </w:r>
      <w:r w:rsidR="00EA4C32">
        <w:t xml:space="preserve">is valued </w:t>
      </w:r>
      <w:r>
        <w:t xml:space="preserve">equally (e.g. regardless of who it accrues to). This yields </w:t>
      </w:r>
      <w:r w:rsidRPr="003909E4">
        <w:rPr>
          <w:i/>
          <w:iCs/>
        </w:rPr>
        <w:t>utilitarianism</w:t>
      </w:r>
      <w:r>
        <w:t xml:space="preserve">. Note that valuing all utility equally does not imply—and under normal assumptions </w:t>
      </w:r>
      <w:r w:rsidRPr="003909E4">
        <w:t>rejects</w:t>
      </w:r>
      <w:r>
        <w:t xml:space="preserve">—the claim that all </w:t>
      </w:r>
      <w:r w:rsidRPr="00E52596">
        <w:rPr>
          <w:i/>
          <w:iCs/>
        </w:rPr>
        <w:t>consumption</w:t>
      </w:r>
      <w:r>
        <w:t xml:space="preserve"> is valued equally. That is because it is assumed that marginal consumption generates greater utility when it is given to those with lower initial consumption. This chapter takes the degree of this effect to be a moral issue about how much we are averse to consumption inequality in society</w:t>
      </w:r>
      <w:r w:rsidR="00E52596">
        <w:t xml:space="preserve">, and is discussed in Subsection </w:t>
      </w:r>
      <w:r w:rsidR="00E52596">
        <w:fldChar w:fldCharType="begin"/>
      </w:r>
      <w:r w:rsidR="00E52596">
        <w:instrText xml:space="preserve"> REF _Ref52288697 \r \h </w:instrText>
      </w:r>
      <w:r w:rsidR="00E52596">
        <w:fldChar w:fldCharType="separate"/>
      </w:r>
      <w:r w:rsidR="00E52596">
        <w:t>23.3.3</w:t>
      </w:r>
      <w:r w:rsidR="00E52596">
        <w:fldChar w:fldCharType="end"/>
      </w:r>
      <w:r>
        <w:t>.</w:t>
      </w:r>
    </w:p>
    <w:p w14:paraId="5A16F800" w14:textId="77777777" w:rsidR="00E52596" w:rsidRDefault="00E52596" w:rsidP="00DA191F"/>
    <w:p w14:paraId="6E4E3A71" w14:textId="26939799" w:rsidR="00DA191F" w:rsidRDefault="003909E4" w:rsidP="00DA191F">
      <w:r>
        <w:t>However, even if we take all the simultaneous (</w:t>
      </w:r>
      <w:proofErr w:type="spellStart"/>
      <w:r>
        <w:t>intratemporal</w:t>
      </w:r>
      <w:proofErr w:type="spellEnd"/>
      <w:r>
        <w:t xml:space="preserve">) utility to be equally valuable, it does not follow that we weight future (intertemporal) utility to be equally valuable. If we do take it all equally, we have </w:t>
      </w:r>
      <w:r w:rsidRPr="003909E4">
        <w:rPr>
          <w:i/>
          <w:iCs/>
        </w:rPr>
        <w:t>total (undiscounted) utilitarianism</w:t>
      </w:r>
      <w:r>
        <w:t xml:space="preserve">. If we weight future utility less when evaluating outcomes, then we have </w:t>
      </w:r>
      <w:r w:rsidRPr="003909E4">
        <w:rPr>
          <w:i/>
          <w:iCs/>
        </w:rPr>
        <w:t>total discounted utilitarianism</w:t>
      </w:r>
      <w:r>
        <w:t xml:space="preserve">. The next </w:t>
      </w:r>
      <w:r w:rsidR="00E52596">
        <w:t>S</w:t>
      </w:r>
      <w:r>
        <w:t>ubsection discusses reasons for both of these positions.</w:t>
      </w:r>
    </w:p>
    <w:p w14:paraId="0B9CE2CD" w14:textId="77777777" w:rsidR="00F512B9" w:rsidRPr="00F512B9" w:rsidRDefault="00F512B9" w:rsidP="00F512B9"/>
    <w:p w14:paraId="65FB8E0C" w14:textId="77777777" w:rsidR="00DA191F" w:rsidRDefault="00DA191F" w:rsidP="00DA191F">
      <w:pPr>
        <w:pStyle w:val="Heading2"/>
      </w:pPr>
      <w:r>
        <w:lastRenderedPageBreak/>
        <w:t>Time preference/discounting</w:t>
      </w:r>
    </w:p>
    <w:p w14:paraId="7E855D50" w14:textId="14E64CF5" w:rsidR="00DA191F" w:rsidRDefault="00DA191F" w:rsidP="00DA191F">
      <w:r>
        <w:t xml:space="preserve">One of the most highly debated moral assumptions in IAMs arises out of the discounting problem, that is </w:t>
      </w:r>
      <w:r w:rsidRPr="005320F3">
        <w:t xml:space="preserve">the issue </w:t>
      </w:r>
      <w:r>
        <w:t>of</w:t>
      </w:r>
      <w:r w:rsidRPr="005320F3">
        <w:t xml:space="preserve"> how (future) costs and benefits are </w:t>
      </w:r>
      <w:r>
        <w:t>‘</w:t>
      </w:r>
      <w:r w:rsidRPr="005320F3">
        <w:t>discounted</w:t>
      </w:r>
      <w:r>
        <w:t>’</w:t>
      </w:r>
      <w:r w:rsidRPr="005320F3">
        <w:t xml:space="preserve"> to make them comparable in present terms</w:t>
      </w:r>
      <w:r>
        <w:t xml:space="preserve"> (</w:t>
      </w:r>
      <w:r w:rsidR="009D53F9">
        <w:t>overviews include</w:t>
      </w:r>
      <w:r w:rsidR="00AE1B81">
        <w:t xml:space="preserve"> </w:t>
      </w:r>
      <w:r w:rsidR="00AE1B81">
        <w:fldChar w:fldCharType="begin"/>
      </w:r>
      <w:r w:rsidR="00AE1B81">
        <w:instrText xml:space="preserve"> REF _Ref53704848 \r \h </w:instrText>
      </w:r>
      <w:r w:rsidR="00AE1B81">
        <w:fldChar w:fldCharType="separate"/>
      </w:r>
      <w:r w:rsidR="00AE1B81">
        <w:t>[29]</w:t>
      </w:r>
      <w:r w:rsidR="00AE1B81">
        <w:fldChar w:fldCharType="end"/>
      </w:r>
      <w:r w:rsidR="00AE1B81">
        <w:t xml:space="preserve">, </w:t>
      </w:r>
      <w:r w:rsidR="00AE1B81">
        <w:fldChar w:fldCharType="begin"/>
      </w:r>
      <w:r w:rsidR="00AE1B81">
        <w:instrText xml:space="preserve"> REF _Ref53704850 \r \h </w:instrText>
      </w:r>
      <w:r w:rsidR="00AE1B81">
        <w:fldChar w:fldCharType="separate"/>
      </w:r>
      <w:r w:rsidR="00AE1B81">
        <w:t>[30]</w:t>
      </w:r>
      <w:r w:rsidR="00AE1B81">
        <w:fldChar w:fldCharType="end"/>
      </w:r>
      <w:r w:rsidR="00AE1B81">
        <w:t xml:space="preserve">, </w:t>
      </w:r>
      <w:r w:rsidR="00AE1B81">
        <w:fldChar w:fldCharType="begin"/>
      </w:r>
      <w:r w:rsidR="00AE1B81">
        <w:instrText xml:space="preserve"> REF _Ref53704851 \r \h </w:instrText>
      </w:r>
      <w:r w:rsidR="00AE1B81">
        <w:fldChar w:fldCharType="separate"/>
      </w:r>
      <w:r w:rsidR="00AE1B81">
        <w:t>[31]</w:t>
      </w:r>
      <w:r w:rsidR="00AE1B81">
        <w:fldChar w:fldCharType="end"/>
      </w:r>
      <w:r w:rsidR="00AE1B81">
        <w:t xml:space="preserve"> and </w:t>
      </w:r>
      <w:r w:rsidR="00AE1B81">
        <w:fldChar w:fldCharType="begin"/>
      </w:r>
      <w:r w:rsidR="00AE1B81">
        <w:instrText xml:space="preserve"> REF _Ref53704852 \r \h </w:instrText>
      </w:r>
      <w:r w:rsidR="00AE1B81">
        <w:fldChar w:fldCharType="separate"/>
      </w:r>
      <w:r w:rsidR="00AE1B81">
        <w:t>[32]</w:t>
      </w:r>
      <w:r w:rsidR="00AE1B81">
        <w:fldChar w:fldCharType="end"/>
      </w:r>
      <w:r w:rsidR="00C1722B">
        <w:t>, which this Subsection draws on</w:t>
      </w:r>
      <w:r>
        <w:t xml:space="preserve">). </w:t>
      </w:r>
    </w:p>
    <w:p w14:paraId="5D59C909" w14:textId="77777777" w:rsidR="00DA191F" w:rsidRDefault="00DA191F" w:rsidP="00DA191F"/>
    <w:p w14:paraId="58824B97" w14:textId="116C9BA0" w:rsidR="00DA191F" w:rsidRDefault="00DA191F" w:rsidP="00DA191F">
      <w:r>
        <w:t xml:space="preserve">One important </w:t>
      </w:r>
      <w:r w:rsidR="00925772">
        <w:t xml:space="preserve">point to </w:t>
      </w:r>
      <w:proofErr w:type="spellStart"/>
      <w:r w:rsidR="00925772">
        <w:t>recognise</w:t>
      </w:r>
      <w:proofErr w:type="spellEnd"/>
      <w:r>
        <w:t xml:space="preserve"> is that economists tend to talk about discounting in impure, or consumption terms, since they are concerned with more observable and measurable units whereas philosophers tend to talk about discounting in pure, or utility/welfare terms, since they are concerned with the morally relevant units and consumption is not intrinsically valuable. This has led to some confusion in ethical discussions, as discounting in pure and impure terms are not directly comparable.</w:t>
      </w:r>
      <w:r w:rsidR="00C1722B">
        <w:t xml:space="preserve"> This is especially challenging in contexts where ‘the discount rate’ is </w:t>
      </w:r>
      <w:r w:rsidR="00925772">
        <w:t xml:space="preserve">ambiguously </w:t>
      </w:r>
      <w:r w:rsidR="00C1722B">
        <w:t>invoked.</w:t>
      </w:r>
    </w:p>
    <w:p w14:paraId="0DF3042B" w14:textId="3EF3A3E3" w:rsidR="00C1722B" w:rsidRDefault="00C1722B" w:rsidP="00DA191F"/>
    <w:p w14:paraId="11B93F2C" w14:textId="7D74749A" w:rsidR="00DB59BF" w:rsidRDefault="00C1722B" w:rsidP="00C1722B">
      <w:r>
        <w:t>The key to time preference in standard IAMs is the Ramsey Rule</w:t>
      </w:r>
      <w:r w:rsidR="000F7896">
        <w:t xml:space="preserve"> </w:t>
      </w:r>
      <w:r w:rsidR="000F7896">
        <w:fldChar w:fldCharType="begin"/>
      </w:r>
      <w:r w:rsidR="000F7896">
        <w:instrText xml:space="preserve"> REF _Ref53705025 \r \h </w:instrText>
      </w:r>
      <w:r w:rsidR="000F7896">
        <w:fldChar w:fldCharType="separate"/>
      </w:r>
      <w:r w:rsidR="000F7896">
        <w:t>[33]</w:t>
      </w:r>
      <w:r w:rsidR="000F7896">
        <w:fldChar w:fldCharType="end"/>
      </w:r>
      <w:r w:rsidR="000F7896">
        <w:t xml:space="preserve"> </w:t>
      </w:r>
      <w:r w:rsidR="000F7896">
        <w:fldChar w:fldCharType="begin"/>
      </w:r>
      <w:r w:rsidR="000F7896">
        <w:instrText xml:space="preserve"> REF _Ref53705026 \r \h </w:instrText>
      </w:r>
      <w:r w:rsidR="000F7896">
        <w:fldChar w:fldCharType="separate"/>
      </w:r>
      <w:r w:rsidR="000F7896">
        <w:t>[34]</w:t>
      </w:r>
      <w:r w:rsidR="000F7896">
        <w:fldChar w:fldCharType="end"/>
      </w:r>
      <w:r>
        <w:t xml:space="preserve">. The Ramsey Rule involves discounting in terms of the consumption of individuals. It governs the optimal consumption path </w:t>
      </w:r>
      <w:r w:rsidR="00842E30">
        <w:t>given some common assumptions</w:t>
      </w:r>
      <w:r w:rsidR="00DB59BF">
        <w:t>—and is technically an approximation</w:t>
      </w:r>
      <w:r>
        <w:t xml:space="preserve">. It can be stated in a very compact form which relates the social discount rate </w:t>
      </w:r>
      <m:oMath>
        <m:r>
          <w:rPr>
            <w:rFonts w:ascii="Cambria Math" w:hAnsi="Cambria Math"/>
          </w:rPr>
          <m:t>r</m:t>
        </m:r>
      </m:oMath>
      <w:r>
        <w:t xml:space="preserve"> on the left-hand side to what is sometimes called the social rate of time preference on the right-hand side. </w:t>
      </w:r>
    </w:p>
    <w:p w14:paraId="7CF059C5" w14:textId="77777777" w:rsidR="00DB59BF" w:rsidRDefault="00DB59BF" w:rsidP="00C1722B"/>
    <w:p w14:paraId="28FEA3BE" w14:textId="0AB92C97" w:rsidR="00C1722B" w:rsidRDefault="00C1722B" w:rsidP="00C1722B">
      <w:r>
        <w:t xml:space="preserve">The social rate of time preference is the sum of the pure rate of time preference (the Greek letter </w:t>
      </w:r>
      <w:bookmarkStart w:id="2" w:name="OLE_LINK3"/>
      <w:bookmarkStart w:id="3" w:name="OLE_LINK4"/>
      <m:oMath>
        <m:r>
          <w:rPr>
            <w:rFonts w:ascii="Cambria Math" w:hAnsi="Cambria Math"/>
          </w:rPr>
          <m:t>δ</m:t>
        </m:r>
      </m:oMath>
      <w:bookmarkEnd w:id="2"/>
      <w:bookmarkEnd w:id="3"/>
      <w:r>
        <w:t xml:space="preserve">, “delta”) and a term which is the product of the growth rate of consumption </w:t>
      </w:r>
      <m:oMath>
        <m:r>
          <w:rPr>
            <w:rFonts w:ascii="Cambria Math" w:hAnsi="Cambria Math"/>
          </w:rPr>
          <m:t>g</m:t>
        </m:r>
      </m:oMath>
      <w:r>
        <w:t xml:space="preserve"> and the elasticity of marginal utility of consumption (the Greek letter </w:t>
      </w:r>
      <m:oMath>
        <m:r>
          <w:rPr>
            <w:rFonts w:ascii="Cambria Math" w:hAnsi="Cambria Math"/>
          </w:rPr>
          <m:t>η</m:t>
        </m:r>
      </m:oMath>
      <w:r>
        <w:t xml:space="preserve">, “eta”), which is discussed at greater length in the following Subsection </w:t>
      </w:r>
      <w:r>
        <w:fldChar w:fldCharType="begin"/>
      </w:r>
      <w:r>
        <w:instrText xml:space="preserve"> REF _Ref52288697 \r \h </w:instrText>
      </w:r>
      <w:r>
        <w:fldChar w:fldCharType="separate"/>
      </w:r>
      <w:r>
        <w:t>23.3.3</w:t>
      </w:r>
      <w:r>
        <w:fldChar w:fldCharType="end"/>
      </w:r>
      <w:r>
        <w:t>:</w:t>
      </w:r>
    </w:p>
    <w:p w14:paraId="4BDC7807" w14:textId="77777777" w:rsidR="00C1722B" w:rsidRDefault="00C1722B" w:rsidP="00C1722B"/>
    <w:p w14:paraId="63F593BC" w14:textId="31861942" w:rsidR="00C1722B" w:rsidRDefault="00C1722B" w:rsidP="00C1722B">
      <m:oMathPara>
        <m:oMath>
          <m:r>
            <w:rPr>
              <w:rFonts w:ascii="Cambria Math" w:hAnsi="Cambria Math"/>
            </w:rPr>
            <m:t>r=δ+(η×g)</m:t>
          </m:r>
        </m:oMath>
      </m:oMathPara>
    </w:p>
    <w:p w14:paraId="5F31826A" w14:textId="77777777" w:rsidR="00C1722B" w:rsidRDefault="00C1722B" w:rsidP="00C1722B"/>
    <w:p w14:paraId="4FBBCD67" w14:textId="38E57ED6" w:rsidR="00C1722B" w:rsidRDefault="00C1722B" w:rsidP="00DA191F">
      <w:r>
        <w:t>Intuitively, discounting of consumption depends on both pure discounting, that is, factors which are not particular to consumption but time itself (or things correlated with time) (</w:t>
      </w:r>
      <m:oMath>
        <m:r>
          <w:rPr>
            <w:rFonts w:ascii="Cambria Math" w:hAnsi="Cambria Math"/>
          </w:rPr>
          <m:t>δ</m:t>
        </m:r>
      </m:oMath>
      <w:r>
        <w:t>) and the diminishing marginal value of consumption as consumption grows (</w:t>
      </w:r>
      <m:oMath>
        <m:r>
          <w:rPr>
            <w:rFonts w:ascii="Cambria Math" w:hAnsi="Cambria Math"/>
          </w:rPr>
          <m:t>η×g</m:t>
        </m:r>
      </m:oMath>
      <w:r>
        <w:t xml:space="preserve">).  It may also helpful to think of pure discounting as discounting applied in the pure units of utility or welfare, i.e. as a utility discount rate. To give a sense of potential values, </w:t>
      </w:r>
      <m:oMath>
        <m:r>
          <w:rPr>
            <w:rFonts w:ascii="Cambria Math" w:hAnsi="Cambria Math"/>
          </w:rPr>
          <m:t>δ</m:t>
        </m:r>
      </m:oMath>
      <w:r>
        <w:t xml:space="preserve"> is usually taken to be between 0 and 0.015 (i.e. 0 to 1.5% per year); </w:t>
      </w:r>
      <w:bookmarkStart w:id="4" w:name="OLE_LINK1"/>
      <w:bookmarkStart w:id="5" w:name="OLE_LINK2"/>
      <m:oMath>
        <m:r>
          <w:rPr>
            <w:rFonts w:ascii="Cambria Math" w:hAnsi="Cambria Math"/>
          </w:rPr>
          <m:t>η</m:t>
        </m:r>
      </m:oMath>
      <w:bookmarkEnd w:id="4"/>
      <w:bookmarkEnd w:id="5"/>
      <w:r>
        <w:t xml:space="preserve"> is usually taken to be anywhere between 0.5 and 4; and g is usually taken to be between 0.01 and 0.03 (i.e. 1 to 3% per year).</w:t>
      </w:r>
    </w:p>
    <w:p w14:paraId="573FAECF" w14:textId="77777777" w:rsidR="00DB59BF" w:rsidRDefault="00DB59BF" w:rsidP="00DA191F"/>
    <w:p w14:paraId="5BB54780" w14:textId="5F8E96C8" w:rsidR="00C1722B" w:rsidRPr="00C47198" w:rsidRDefault="00C1722B" w:rsidP="00DA191F">
      <w:r>
        <w:t xml:space="preserve">There are two morally interesting questions regarding discounting. The first is what arguments can be adduced for a positive </w:t>
      </w:r>
      <m:oMath>
        <m:r>
          <w:rPr>
            <w:rFonts w:ascii="Cambria Math" w:hAnsi="Cambria Math"/>
          </w:rPr>
          <m:t>δ</m:t>
        </m:r>
      </m:oMath>
      <w:r w:rsidR="00C47198">
        <w:t xml:space="preserve"> and whether any of these are convincing</w:t>
      </w:r>
      <w:r>
        <w:t xml:space="preserve">; the second is what </w:t>
      </w:r>
      <w:r w:rsidR="00C47198">
        <w:t xml:space="preserve">the role of </w:t>
      </w:r>
      <m:oMath>
        <m:r>
          <w:rPr>
            <w:rFonts w:ascii="Cambria Math" w:hAnsi="Cambria Math"/>
          </w:rPr>
          <m:t>η</m:t>
        </m:r>
      </m:oMath>
      <w:r w:rsidR="00C47198">
        <w:t xml:space="preserve"> is and how it should be determined. The first of these is discussed </w:t>
      </w:r>
      <w:r w:rsidR="009A4668">
        <w:t>in this Subsection</w:t>
      </w:r>
      <w:r w:rsidR="00C47198">
        <w:t xml:space="preserve">; the second in the following </w:t>
      </w:r>
      <w:r w:rsidR="009A4668">
        <w:t>S</w:t>
      </w:r>
      <w:r w:rsidR="00C47198">
        <w:t>ubsection. Here, the growth rate</w:t>
      </w:r>
      <w:r w:rsidR="00AD2370">
        <w:t xml:space="preserve"> of consumption</w:t>
      </w:r>
      <w:r w:rsidR="00C47198">
        <w:t xml:space="preserve"> </w:t>
      </w:r>
      <m:oMath>
        <m:r>
          <w:rPr>
            <w:rFonts w:ascii="Cambria Math" w:hAnsi="Cambria Math"/>
          </w:rPr>
          <m:t>g</m:t>
        </m:r>
      </m:oMath>
      <w:r w:rsidR="00C47198">
        <w:t xml:space="preserve"> can be set aside, because its value is </w:t>
      </w:r>
      <w:r w:rsidR="00AD2370">
        <w:t>factual</w:t>
      </w:r>
      <w:r w:rsidR="00C47198">
        <w:t xml:space="preserve"> or non-moral in the sense that if we have sufficient macroeconomic data about consumption patterns, we do not need to make moral judgments to indicate at what rate consumption grows.</w:t>
      </w:r>
    </w:p>
    <w:p w14:paraId="0DE534DC" w14:textId="77777777" w:rsidR="00C1722B" w:rsidRDefault="00C1722B" w:rsidP="00DA191F"/>
    <w:p w14:paraId="5FE6D26E" w14:textId="2A98962C" w:rsidR="00DA191F" w:rsidRDefault="009D53F9" w:rsidP="00DA191F">
      <w:r>
        <w:t>While the vast majority of moral philosophers think that pure time preference is immoral (indeed, the creator of the optimal savings</w:t>
      </w:r>
      <w:r w:rsidR="005A28AE">
        <w:t xml:space="preserve"> approach</w:t>
      </w:r>
      <w:r>
        <w:t xml:space="preserve"> </w:t>
      </w:r>
      <w:r w:rsidR="00670E19">
        <w:t xml:space="preserve">advocated a zero rate of pure time preference </w:t>
      </w:r>
      <w:r>
        <w:t>Ramsey</w:t>
      </w:r>
      <w:r w:rsidR="000F7896">
        <w:t xml:space="preserve"> </w:t>
      </w:r>
      <w:r w:rsidR="000F7896">
        <w:fldChar w:fldCharType="begin"/>
      </w:r>
      <w:r w:rsidR="000F7896">
        <w:instrText xml:space="preserve"> REF _Ref53705154 \r \h </w:instrText>
      </w:r>
      <w:r w:rsidR="000F7896">
        <w:fldChar w:fldCharType="separate"/>
      </w:r>
      <w:r w:rsidR="000F7896">
        <w:t>[35]</w:t>
      </w:r>
      <w:r w:rsidR="000F7896">
        <w:fldChar w:fldCharType="end"/>
      </w:r>
      <w:r w:rsidR="00670E19">
        <w:t>)</w:t>
      </w:r>
      <w:r>
        <w:t>, there are notable dissenters.</w:t>
      </w:r>
      <w:r w:rsidR="006F5078">
        <w:t xml:space="preserve"> The common view amongst philosophers </w:t>
      </w:r>
      <w:r w:rsidR="006F5078">
        <w:lastRenderedPageBreak/>
        <w:t>is that the IAMs are utilitarian (or at least consequentialist) and utilitarianism is committed to impartial increase in utility. Impartiality requires treating utility at different times equally so pure discounting is immoral</w:t>
      </w:r>
      <w:r w:rsidR="000F7896">
        <w:t xml:space="preserve"> </w:t>
      </w:r>
      <w:r w:rsidR="000F7896">
        <w:fldChar w:fldCharType="begin"/>
      </w:r>
      <w:r w:rsidR="000F7896">
        <w:instrText xml:space="preserve"> REF _Ref53702279 \r \h </w:instrText>
      </w:r>
      <w:r w:rsidR="000F7896">
        <w:fldChar w:fldCharType="separate"/>
      </w:r>
      <w:r w:rsidR="000F7896">
        <w:t>[10]</w:t>
      </w:r>
      <w:r w:rsidR="000F7896">
        <w:fldChar w:fldCharType="end"/>
      </w:r>
      <w:r w:rsidR="000F7896">
        <w:t xml:space="preserve"> </w:t>
      </w:r>
      <w:r w:rsidR="000F7896">
        <w:fldChar w:fldCharType="begin"/>
      </w:r>
      <w:r w:rsidR="000F7896">
        <w:instrText xml:space="preserve"> REF _Ref53704851 \r \h </w:instrText>
      </w:r>
      <w:r w:rsidR="000F7896">
        <w:fldChar w:fldCharType="separate"/>
      </w:r>
      <w:r w:rsidR="000F7896">
        <w:t>[31]</w:t>
      </w:r>
      <w:r w:rsidR="000F7896">
        <w:fldChar w:fldCharType="end"/>
      </w:r>
      <w:r w:rsidR="006F5078">
        <w:t xml:space="preserve">. Here, I will discuss </w:t>
      </w:r>
      <w:r w:rsidR="004D2693">
        <w:t>two</w:t>
      </w:r>
      <w:r w:rsidR="006F5078">
        <w:t xml:space="preserve"> reasons for questioning the common view.</w:t>
      </w:r>
    </w:p>
    <w:p w14:paraId="04101DFC" w14:textId="795B0CD5" w:rsidR="006F5078" w:rsidRDefault="006F5078" w:rsidP="00DA191F"/>
    <w:p w14:paraId="350841BD" w14:textId="6C4F587C" w:rsidR="006F5078" w:rsidRDefault="006F5078" w:rsidP="00DA191F">
      <w:r>
        <w:t>First, we might think that our connections to those further away are weaker, and</w:t>
      </w:r>
      <w:r w:rsidR="005E630F">
        <w:t xml:space="preserve"> Arrow argues that</w:t>
      </w:r>
      <w:r>
        <w:t xml:space="preserve"> it is reasonable to </w:t>
      </w:r>
      <w:r w:rsidR="00FD248B">
        <w:t>consider them less heavily since we have ‘agent-</w:t>
      </w:r>
      <w:proofErr w:type="spellStart"/>
      <w:r w:rsidR="00FD248B">
        <w:t>centred</w:t>
      </w:r>
      <w:proofErr w:type="spellEnd"/>
      <w:r w:rsidR="00FD248B">
        <w:t xml:space="preserve"> prerogatives’ to weight them less</w:t>
      </w:r>
      <w:r w:rsidR="005E630F">
        <w:t xml:space="preserve"> </w:t>
      </w:r>
      <w:r w:rsidR="005E630F">
        <w:fldChar w:fldCharType="begin"/>
      </w:r>
      <w:r w:rsidR="005E630F">
        <w:instrText xml:space="preserve"> REF _Ref53706732 \r \h </w:instrText>
      </w:r>
      <w:r w:rsidR="005E630F">
        <w:fldChar w:fldCharType="separate"/>
      </w:r>
      <w:r w:rsidR="005E630F">
        <w:t>[36]</w:t>
      </w:r>
      <w:r w:rsidR="005E630F">
        <w:fldChar w:fldCharType="end"/>
      </w:r>
      <w:r w:rsidR="005E630F">
        <w:t xml:space="preserve">, drawing on </w:t>
      </w:r>
      <w:r w:rsidR="005E630F">
        <w:fldChar w:fldCharType="begin"/>
      </w:r>
      <w:r w:rsidR="005E630F">
        <w:instrText xml:space="preserve"> REF _Ref53706748 \r \h </w:instrText>
      </w:r>
      <w:r w:rsidR="005E630F">
        <w:fldChar w:fldCharType="separate"/>
      </w:r>
      <w:r w:rsidR="005E630F">
        <w:t>[37]</w:t>
      </w:r>
      <w:r w:rsidR="005E630F">
        <w:fldChar w:fldCharType="end"/>
      </w:r>
      <w:r w:rsidR="00FD248B">
        <w:t xml:space="preserve">. This is a </w:t>
      </w:r>
      <w:r w:rsidR="00FD248B" w:rsidRPr="00FD248B">
        <w:rPr>
          <w:i/>
          <w:iCs/>
        </w:rPr>
        <w:t>permission</w:t>
      </w:r>
      <w:r w:rsidR="00FD248B">
        <w:t xml:space="preserve">; we are allowed to count them less according to this view since we are able to </w:t>
      </w:r>
      <w:proofErr w:type="spellStart"/>
      <w:r w:rsidR="00FD248B">
        <w:t>prioritise</w:t>
      </w:r>
      <w:proofErr w:type="spellEnd"/>
      <w:r w:rsidR="00FD248B">
        <w:t xml:space="preserve"> our own connections and projects. Arrow </w:t>
      </w:r>
      <w:r w:rsidR="005E630F">
        <w:t>claims</w:t>
      </w:r>
      <w:r w:rsidR="00FD248B">
        <w:t xml:space="preserve"> that this arises because the cost to our own connections and projects would be overwhelming </w:t>
      </w:r>
      <w:r w:rsidR="005F2B67">
        <w:t xml:space="preserve">or overdemanding </w:t>
      </w:r>
      <w:r w:rsidR="00FD248B">
        <w:t>if we did not have a positive pure time preference</w:t>
      </w:r>
      <w:r w:rsidR="00F87EA8">
        <w:t>.</w:t>
      </w:r>
    </w:p>
    <w:p w14:paraId="4DAE468B" w14:textId="31D53117" w:rsidR="00FD248B" w:rsidRDefault="00FD248B" w:rsidP="00DA191F"/>
    <w:p w14:paraId="5AC91D17" w14:textId="373E0DD9" w:rsidR="00FD248B" w:rsidRDefault="00FD248B" w:rsidP="00DA191F">
      <w:r>
        <w:t xml:space="preserve">Second, we might </w:t>
      </w:r>
      <w:r w:rsidR="00022E81">
        <w:t xml:space="preserve">distinguish between the present value of the future from the eventual value </w:t>
      </w:r>
      <w:r w:rsidR="005E630F">
        <w:fldChar w:fldCharType="begin"/>
      </w:r>
      <w:r w:rsidR="005E630F">
        <w:instrText xml:space="preserve"> REF _Ref53706859 \r \h </w:instrText>
      </w:r>
      <w:r w:rsidR="005E630F">
        <w:fldChar w:fldCharType="separate"/>
      </w:r>
      <w:r w:rsidR="005E630F">
        <w:t>[38]</w:t>
      </w:r>
      <w:r w:rsidR="005E630F">
        <w:fldChar w:fldCharType="end"/>
      </w:r>
      <w:r w:rsidR="00022E81">
        <w:t xml:space="preserve"> and </w:t>
      </w:r>
      <w:proofErr w:type="spellStart"/>
      <w:r w:rsidR="00022E81">
        <w:t>emphasise</w:t>
      </w:r>
      <w:proofErr w:type="spellEnd"/>
      <w:r w:rsidR="00022E81">
        <w:t xml:space="preserve"> that there are important differences between the future as viewed from the present and at that point. </w:t>
      </w:r>
      <w:r w:rsidR="005F2B67">
        <w:t xml:space="preserve">As indicated before, positive values of </w:t>
      </w:r>
      <m:oMath>
        <m:r>
          <w:rPr>
            <w:rFonts w:ascii="Cambria Math" w:hAnsi="Cambria Math"/>
          </w:rPr>
          <m:t>δ</m:t>
        </m:r>
      </m:oMath>
      <w:r w:rsidR="005F2B67">
        <w:t xml:space="preserve"> can be justified for considerations that grow with time. In this vein, one important difference between the present and the future is that </w:t>
      </w:r>
      <w:r w:rsidR="00022E81">
        <w:t xml:space="preserve">the future is </w:t>
      </w:r>
      <w:r w:rsidR="00022E81" w:rsidRPr="008857A9">
        <w:rPr>
          <w:i/>
          <w:iCs/>
        </w:rPr>
        <w:t>uncertain</w:t>
      </w:r>
      <w:r w:rsidR="00022E81">
        <w:t xml:space="preserve"> relative to the present and, insofar as that uncertainty grows in a predictable manner, that gives a principled reason for discounting in pure terms </w:t>
      </w:r>
      <w:r w:rsidR="008857A9">
        <w:t>as a way of introducing that uncertainty</w:t>
      </w:r>
      <w:r w:rsidR="005E630F">
        <w:t xml:space="preserve"> </w:t>
      </w:r>
      <w:r w:rsidR="005E630F">
        <w:fldChar w:fldCharType="begin"/>
      </w:r>
      <w:r w:rsidR="005E630F">
        <w:instrText xml:space="preserve"> REF _Ref53706891 \r \h </w:instrText>
      </w:r>
      <w:r w:rsidR="005E630F">
        <w:fldChar w:fldCharType="separate"/>
      </w:r>
      <w:r w:rsidR="005E630F">
        <w:t>[39]</w:t>
      </w:r>
      <w:r w:rsidR="005E630F">
        <w:fldChar w:fldCharType="end"/>
      </w:r>
      <w:r w:rsidR="00022E81">
        <w:t>.</w:t>
      </w:r>
      <w:r w:rsidR="004D2693">
        <w:t xml:space="preserve"> </w:t>
      </w:r>
    </w:p>
    <w:p w14:paraId="3523A8DE" w14:textId="77777777" w:rsidR="00DA191F" w:rsidRDefault="00DA191F" w:rsidP="00DA191F"/>
    <w:p w14:paraId="34121D7F" w14:textId="77777777" w:rsidR="00DA191F" w:rsidRDefault="00DA191F" w:rsidP="00DA191F">
      <w:pPr>
        <w:pStyle w:val="Heading2"/>
      </w:pPr>
      <w:bookmarkStart w:id="6" w:name="_Ref52288697"/>
      <w:r>
        <w:t>Elasticity of marginal utility of consumption</w:t>
      </w:r>
      <w:bookmarkEnd w:id="6"/>
    </w:p>
    <w:p w14:paraId="36026A9A" w14:textId="7CAC7411" w:rsidR="00DA191F" w:rsidRDefault="00DA191F" w:rsidP="00DA191F">
      <w:r>
        <w:t xml:space="preserve">The next </w:t>
      </w:r>
      <w:r w:rsidR="004E4484">
        <w:t>moral</w:t>
      </w:r>
      <w:r>
        <w:t xml:space="preserve"> assumption involves the conversion of consumption into something morally relevant like welfare or utility (which we can take as synonymous). </w:t>
      </w:r>
      <w:r w:rsidR="00D12855">
        <w:t xml:space="preserve">The parameter that governs this conversion, the </w:t>
      </w:r>
      <w:r w:rsidR="00D12855" w:rsidRPr="00D12855">
        <w:rPr>
          <w:i/>
          <w:iCs/>
        </w:rPr>
        <w:t>elasticity of marginal utility of consumption</w:t>
      </w:r>
      <w:r w:rsidR="00D12855">
        <w:t xml:space="preserve">, tells us how utility increases in percentage terms given a percent increase in consumption. This is a key parameter </w:t>
      </w:r>
      <w:proofErr w:type="spellStart"/>
      <w:r w:rsidR="00D12855">
        <w:t>characterising</w:t>
      </w:r>
      <w:proofErr w:type="spellEnd"/>
      <w:r w:rsidR="00D12855">
        <w:t xml:space="preserve"> </w:t>
      </w:r>
      <w:r w:rsidR="00D12855" w:rsidRPr="00D12855">
        <w:rPr>
          <w:i/>
          <w:iCs/>
        </w:rPr>
        <w:t>individual utility functions</w:t>
      </w:r>
      <w:r w:rsidR="00D12855">
        <w:t>.</w:t>
      </w:r>
    </w:p>
    <w:p w14:paraId="6F8E1A1A" w14:textId="398C5C25" w:rsidR="00D12855" w:rsidRDefault="00D12855" w:rsidP="00DA191F"/>
    <w:p w14:paraId="58B7C54A" w14:textId="304FDD64" w:rsidR="00D12855" w:rsidRDefault="00D12855" w:rsidP="00DA191F">
      <w:r>
        <w:t xml:space="preserve">It is standard to assume that marginal consumption, or equal small additions of consumption, yield decreasing utility (i.e. the function has a positive first derivative or is increasing, but a negative second derivative or increases at a diminishing rate). In IAMs this parameter can reflect multiple considerations, all of which have moral importance, but we will focus on two especially relevant. The first is inequality aversion, where the evaluator is averse to a given unit of consumption being distributed to someone who has greater consumption compared to less consumption. The second is risk aversion, where the evaluator is averse to a given unit of consumption being distributed to an outcome </w:t>
      </w:r>
      <w:r w:rsidR="00A227B7">
        <w:t xml:space="preserve">with </w:t>
      </w:r>
      <w:r>
        <w:t xml:space="preserve">greater consumption compared to an outcome </w:t>
      </w:r>
      <w:r w:rsidR="00A227B7">
        <w:t>with less consumption.</w:t>
      </w:r>
    </w:p>
    <w:p w14:paraId="02ECFF67" w14:textId="590EBD20" w:rsidR="004E4484" w:rsidRDefault="004E4484" w:rsidP="00DA191F"/>
    <w:p w14:paraId="257A6300" w14:textId="4605F88C" w:rsidR="004E4484" w:rsidRDefault="004E4484" w:rsidP="00DA191F">
      <w:r>
        <w:t xml:space="preserve">While we can observe individual’s risk aversion and inequality aversion within their own lives, this assumption is moral because there is no moral reason to privilege observed risk aversion and inequality aversion. A slightly different way of expressing the same idea is that </w:t>
      </w:r>
      <w:r w:rsidR="00DB7B95">
        <w:t>observing how people trade-off between various goods in their own lives gives us no guidance about how to trade-off between various goods across different people</w:t>
      </w:r>
      <w:r w:rsidR="005E630F">
        <w:t xml:space="preserve"> </w:t>
      </w:r>
      <w:r w:rsidR="005E630F">
        <w:fldChar w:fldCharType="begin"/>
      </w:r>
      <w:r w:rsidR="005E630F">
        <w:instrText xml:space="preserve"> REF _Ref53705025 \r \h </w:instrText>
      </w:r>
      <w:r w:rsidR="005E630F">
        <w:fldChar w:fldCharType="separate"/>
      </w:r>
      <w:r w:rsidR="005E630F">
        <w:t>[33]</w:t>
      </w:r>
      <w:r w:rsidR="005E630F">
        <w:fldChar w:fldCharType="end"/>
      </w:r>
      <w:r w:rsidR="00DB7B95">
        <w:t>.</w:t>
      </w:r>
    </w:p>
    <w:p w14:paraId="15C06B24" w14:textId="77777777" w:rsidR="00DA191F" w:rsidRPr="005320F3" w:rsidRDefault="00DA191F" w:rsidP="00DA191F"/>
    <w:p w14:paraId="11DB0BB6" w14:textId="77777777" w:rsidR="00DA191F" w:rsidRDefault="00DA191F" w:rsidP="00DA191F">
      <w:pPr>
        <w:pStyle w:val="Heading2"/>
      </w:pPr>
      <w:r>
        <w:t>Population ethics</w:t>
      </w:r>
    </w:p>
    <w:p w14:paraId="70934713" w14:textId="3DF6E3AE" w:rsidR="00F512B9" w:rsidRDefault="002764B9" w:rsidP="00F512B9">
      <w:r>
        <w:t>One branch of formal ethics involves the comparison of various populations</w:t>
      </w:r>
      <w:r w:rsidR="005E630F">
        <w:t xml:space="preserve"> </w:t>
      </w:r>
      <w:r w:rsidR="005E630F">
        <w:fldChar w:fldCharType="begin"/>
      </w:r>
      <w:r w:rsidR="005E630F">
        <w:instrText xml:space="preserve"> REF _Ref53706966 \r \h </w:instrText>
      </w:r>
      <w:r w:rsidR="005E630F">
        <w:fldChar w:fldCharType="separate"/>
      </w:r>
      <w:r w:rsidR="005E630F">
        <w:t>[40]</w:t>
      </w:r>
      <w:r w:rsidR="005E630F">
        <w:fldChar w:fldCharType="end"/>
      </w:r>
      <w:r>
        <w:t xml:space="preserve">. While this is called population ethics, or population axiology, the moral issues are not about optimal </w:t>
      </w:r>
      <w:r>
        <w:lastRenderedPageBreak/>
        <w:t xml:space="preserve">population size or number of children, but the comparison of population outcomes. These outcomes may vary in size but also in which individuals are taken to be identical (i.e. the same individual) across the outcomes. Intuitively, </w:t>
      </w:r>
      <w:r w:rsidR="000963D7">
        <w:t>there is an important moral difference when outcomes involve substituting a person with another who has greater utility (say) compared to if someone improves the utility of one person from one outcome to another.</w:t>
      </w:r>
    </w:p>
    <w:p w14:paraId="4261C030" w14:textId="3B16C97B" w:rsidR="000963D7" w:rsidRDefault="000963D7" w:rsidP="00F512B9"/>
    <w:p w14:paraId="743C3791" w14:textId="1386525E" w:rsidR="000963D7" w:rsidRDefault="000963D7" w:rsidP="00F512B9">
      <w:r>
        <w:t xml:space="preserve">In </w:t>
      </w:r>
      <w:r w:rsidR="001F4BDF">
        <w:t xml:space="preserve">the </w:t>
      </w:r>
      <w:r>
        <w:t>context</w:t>
      </w:r>
      <w:r w:rsidR="001F4BDF">
        <w:t xml:space="preserve"> of the SCC</w:t>
      </w:r>
      <w:r>
        <w:t xml:space="preserve">, we can lay out two versions of utilitarianism depending on different population ethics assumptions and see that the change </w:t>
      </w:r>
      <w:r w:rsidR="001F4BDF">
        <w:t xml:space="preserve">can have </w:t>
      </w:r>
      <w:r>
        <w:t xml:space="preserve">significant effects. </w:t>
      </w:r>
      <w:r w:rsidR="008C4295">
        <w:t xml:space="preserve">The standard form of utilitarianism assumed in IAMs is </w:t>
      </w:r>
      <w:r w:rsidR="008C4295" w:rsidRPr="008C4295">
        <w:rPr>
          <w:i/>
          <w:iCs/>
        </w:rPr>
        <w:t>total utilitarianism</w:t>
      </w:r>
      <w:r w:rsidR="008C4295">
        <w:t xml:space="preserve"> (or ‘</w:t>
      </w:r>
      <w:r w:rsidR="008C4295" w:rsidRPr="008C4295">
        <w:rPr>
          <w:i/>
          <w:iCs/>
        </w:rPr>
        <w:t>totalism</w:t>
      </w:r>
      <w:r w:rsidR="008C4295">
        <w:t xml:space="preserve">’), where the evaluation of an outcome is the sum total of utility across all agents in that outcome. The most influential alternative is </w:t>
      </w:r>
      <w:r w:rsidR="008C4295">
        <w:rPr>
          <w:i/>
          <w:iCs/>
        </w:rPr>
        <w:t>average utilitarianism</w:t>
      </w:r>
      <w:r w:rsidR="008C4295">
        <w:t xml:space="preserve"> (or ‘</w:t>
      </w:r>
      <w:proofErr w:type="spellStart"/>
      <w:r w:rsidR="008C4295">
        <w:rPr>
          <w:i/>
          <w:iCs/>
        </w:rPr>
        <w:t>averagism</w:t>
      </w:r>
      <w:proofErr w:type="spellEnd"/>
      <w:r w:rsidR="008C4295">
        <w:t>’), where the evaluation of an outcome is the average (mean) utility across all agents in that outcome.</w:t>
      </w:r>
    </w:p>
    <w:p w14:paraId="2312AB9A" w14:textId="1E4E096A" w:rsidR="008C4295" w:rsidRDefault="008C4295" w:rsidP="00F512B9"/>
    <w:p w14:paraId="32CBF283" w14:textId="6585A823" w:rsidR="008C4295" w:rsidRDefault="008C4295" w:rsidP="00F512B9">
      <w:r>
        <w:t>While there are many alternative theories in population ethics</w:t>
      </w:r>
      <w:r w:rsidR="005E630F">
        <w:t xml:space="preserve"> </w:t>
      </w:r>
      <w:r w:rsidR="005E630F">
        <w:fldChar w:fldCharType="begin"/>
      </w:r>
      <w:r w:rsidR="005E630F">
        <w:instrText xml:space="preserve"> REF _Ref53706966 \r \h </w:instrText>
      </w:r>
      <w:r w:rsidR="005E630F">
        <w:fldChar w:fldCharType="separate"/>
      </w:r>
      <w:r w:rsidR="005E630F">
        <w:t>[40]</w:t>
      </w:r>
      <w:r w:rsidR="005E630F">
        <w:fldChar w:fldCharType="end"/>
      </w:r>
      <w:r>
        <w:t xml:space="preserve">, the distinction between total and average utilitarianism is already highly significant. </w:t>
      </w:r>
      <w:proofErr w:type="spellStart"/>
      <w:r>
        <w:t>Scovronick</w:t>
      </w:r>
      <w:proofErr w:type="spellEnd"/>
      <w:r>
        <w:t xml:space="preserve"> and colleagues found that </w:t>
      </w:r>
      <w:r w:rsidR="00903502">
        <w:t>the choice between these theories can have as much impact on the SCC as different positions on the discounting problem</w:t>
      </w:r>
      <w:r w:rsidR="005E630F">
        <w:t xml:space="preserve"> </w:t>
      </w:r>
      <w:r w:rsidR="005E630F">
        <w:fldChar w:fldCharType="begin"/>
      </w:r>
      <w:r w:rsidR="005E630F">
        <w:instrText xml:space="preserve"> REF _Ref53707032 \r \h </w:instrText>
      </w:r>
      <w:r w:rsidR="005E630F">
        <w:fldChar w:fldCharType="separate"/>
      </w:r>
      <w:r w:rsidR="005E630F">
        <w:t>[41]</w:t>
      </w:r>
      <w:r w:rsidR="005E630F">
        <w:fldChar w:fldCharType="end"/>
      </w:r>
      <w:r w:rsidR="00903502">
        <w:t>. More precisely, with a larger population, increases in temperature are relatively worse under total utilitarianism than average utilitarianism, since climate impacts lower the average more slowly than they affect the total value of the outcome, especially when the population is large in expectation.</w:t>
      </w:r>
    </w:p>
    <w:p w14:paraId="2B28C058" w14:textId="5567AF95" w:rsidR="00903502" w:rsidRDefault="00903502" w:rsidP="00F512B9"/>
    <w:p w14:paraId="05C7C924" w14:textId="521C7108" w:rsidR="00903502" w:rsidRPr="008C4295" w:rsidRDefault="00903502" w:rsidP="00F512B9">
      <w:r>
        <w:t>While this comparison between two theories in population ethics gives us some understanding of the moral assumptions, there are many more theories that could be adopted with a wide array of potential impacts on estimates of the SCC.</w:t>
      </w:r>
    </w:p>
    <w:p w14:paraId="1F3A7B89" w14:textId="77777777" w:rsidR="002764B9" w:rsidRPr="00DE1D88" w:rsidRDefault="002764B9" w:rsidP="00F512B9"/>
    <w:p w14:paraId="5D1A9112" w14:textId="77777777" w:rsidR="00F512B9" w:rsidRDefault="00F512B9" w:rsidP="00F512B9">
      <w:pPr>
        <w:pStyle w:val="Heading2"/>
      </w:pPr>
      <w:r>
        <w:t>Scope of morality</w:t>
      </w:r>
    </w:p>
    <w:p w14:paraId="5F3C5267" w14:textId="37D2F452" w:rsidR="00F512B9" w:rsidRDefault="00F512B9" w:rsidP="00F512B9">
      <w:r>
        <w:t xml:space="preserve">Philosophers </w:t>
      </w:r>
      <w:r w:rsidR="004D2693">
        <w:t xml:space="preserve">often </w:t>
      </w:r>
      <w:r>
        <w:t xml:space="preserve">use the term ‘scope’ to indicate the range of morally considerable beings. This is a morally important </w:t>
      </w:r>
      <w:r w:rsidR="004D2693">
        <w:t xml:space="preserve">assumption </w:t>
      </w:r>
      <w:r>
        <w:t xml:space="preserve">that is easy to overlook. This Subsection will consider whether the scope should be regional/national (‘domestic’) or global; the next Subsection will consider whether the scope should be broadened beyond human beings to other sentient or other beings. This subsection draws heavily on work done in </w:t>
      </w:r>
      <w:proofErr w:type="spellStart"/>
      <w:r>
        <w:t>Mintz</w:t>
      </w:r>
      <w:proofErr w:type="spellEnd"/>
      <w:r>
        <w:t xml:space="preserve">-Woo </w:t>
      </w:r>
      <w:r w:rsidR="00113F21">
        <w:fldChar w:fldCharType="begin"/>
      </w:r>
      <w:r w:rsidR="00113F21">
        <w:instrText xml:space="preserve"> REF _Ref53707126 \r \h </w:instrText>
      </w:r>
      <w:r w:rsidR="00113F21">
        <w:fldChar w:fldCharType="separate"/>
      </w:r>
      <w:r w:rsidR="00113F21">
        <w:t>[42]</w:t>
      </w:r>
      <w:r w:rsidR="00113F21">
        <w:fldChar w:fldCharType="end"/>
      </w:r>
      <w:r>
        <w:t>.</w:t>
      </w:r>
    </w:p>
    <w:p w14:paraId="60F05E4D" w14:textId="005E9AD3" w:rsidR="00F512B9" w:rsidRDefault="00F512B9" w:rsidP="00F512B9"/>
    <w:p w14:paraId="325BF683" w14:textId="32F3B56C" w:rsidR="00F512B9" w:rsidRDefault="00F512B9" w:rsidP="00F512B9">
      <w:r>
        <w:t>In March 2017, the Trump administration issued an Executive Order (EO) on Promoting Energy Independence and Economic Growth. Among other things, the EO limits the SCC to only the expected domestic impacts, as opposed to the global impacts.</w:t>
      </w:r>
    </w:p>
    <w:p w14:paraId="4FD21FB7" w14:textId="77777777" w:rsidR="00F512B9" w:rsidRDefault="00F512B9" w:rsidP="00F512B9"/>
    <w:p w14:paraId="0D0CD9E2" w14:textId="27184A69" w:rsidR="00F512B9" w:rsidRDefault="00F512B9" w:rsidP="00F512B9">
      <w:r>
        <w:t xml:space="preserve">While the choice between domestic or global SCCs may appear arcane, here are two reasons to think otherwise. First, the actual impact of this rule change is significant. Since greenhouse gases are long-lived and disperse freely in the atmosphere, the effects of that marginal ton fall on many different countries in a highly varied manner; restricting the effects to any single country ignores international impacts, resulting to a lower SCC. Second, it acts as synecdoche for the broader orientation of the Trump administration. The question that the administration poses is whether nationals should care about foreigners. </w:t>
      </w:r>
    </w:p>
    <w:p w14:paraId="06B7CF22" w14:textId="77777777" w:rsidR="00F512B9" w:rsidRDefault="00F512B9" w:rsidP="00F512B9"/>
    <w:p w14:paraId="410F61DB" w14:textId="3E1EE2E7" w:rsidR="00F512B9" w:rsidRDefault="00F512B9" w:rsidP="00F512B9">
      <w:r>
        <w:t xml:space="preserve">The morally interesting puzzle is why, as the Obama administration and others contended, carbon regulatory analysis should appeal to (at least some) global costs and benefits, but not </w:t>
      </w:r>
      <w:r>
        <w:lastRenderedPageBreak/>
        <w:t>analyses of other targets of regulation</w:t>
      </w:r>
      <w:r w:rsidR="00113F21">
        <w:t xml:space="preserve"> </w:t>
      </w:r>
      <w:r w:rsidR="00113F21">
        <w:fldChar w:fldCharType="begin"/>
      </w:r>
      <w:r w:rsidR="00113F21">
        <w:instrText xml:space="preserve"> REF _Ref53707194 \r \h </w:instrText>
      </w:r>
      <w:r w:rsidR="00113F21">
        <w:fldChar w:fldCharType="separate"/>
      </w:r>
      <w:r w:rsidR="00113F21">
        <w:t>[43]</w:t>
      </w:r>
      <w:r w:rsidR="00113F21">
        <w:fldChar w:fldCharType="end"/>
      </w:r>
      <w:r>
        <w:t>. Other potential targets include, but are not limited to, terrorism, illegal drugs and infectious diseases</w:t>
      </w:r>
      <w:r w:rsidR="00113F21">
        <w:t xml:space="preserve"> </w:t>
      </w:r>
      <w:r w:rsidR="00113F21">
        <w:fldChar w:fldCharType="begin"/>
      </w:r>
      <w:r w:rsidR="00113F21">
        <w:instrText xml:space="preserve"> REF _Ref53707222 \r \h </w:instrText>
      </w:r>
      <w:r w:rsidR="00113F21">
        <w:fldChar w:fldCharType="separate"/>
      </w:r>
      <w:r w:rsidR="00113F21">
        <w:t>[44]</w:t>
      </w:r>
      <w:r w:rsidR="00113F21">
        <w:fldChar w:fldCharType="end"/>
      </w:r>
      <w:r>
        <w:t xml:space="preserve">. This is on its face surprising; what could be so special about the SCC when typical US regulatory impact analyses only consider domestic impacts? </w:t>
      </w:r>
    </w:p>
    <w:p w14:paraId="7DF8930F" w14:textId="77777777" w:rsidR="00F512B9" w:rsidRDefault="00F512B9" w:rsidP="00F512B9"/>
    <w:p w14:paraId="486644E1" w14:textId="4C367DA4" w:rsidR="00F512B9" w:rsidRDefault="00F512B9" w:rsidP="00F512B9">
      <w:r>
        <w:t>This Subsection offers the following response to this moral puzzle, based on reinforcing norms in the face of commons tragedies with observable responses. The relevant fact about carbon is that its negative effects are predominantly global and not domestic. In this sense, considering only domestic impacts would greatly bias or distort estimates of the SCC.</w:t>
      </w:r>
    </w:p>
    <w:p w14:paraId="617EDE95" w14:textId="5B2DEA72" w:rsidR="00D05F25" w:rsidRDefault="00D05F25" w:rsidP="00F512B9"/>
    <w:p w14:paraId="0B87FBF9" w14:textId="4C43B316" w:rsidR="00D05F25" w:rsidRDefault="001060A8" w:rsidP="00F512B9">
      <w:r>
        <w:t>We can see setting domestic and global SCCs as a form of defecting or cooperating, since each time a country considers only domestic impacts, it will under-reduce relative to the social optimum and since the optimal outcome for all is that every country considers global impacts. However, climate change is different from other commons problems in two especially important aspects.</w:t>
      </w:r>
    </w:p>
    <w:p w14:paraId="5C3A434F" w14:textId="42351241" w:rsidR="001060A8" w:rsidRDefault="001060A8" w:rsidP="00F512B9"/>
    <w:p w14:paraId="090A1851" w14:textId="6DCD933B" w:rsidR="001060A8" w:rsidRDefault="001060A8" w:rsidP="00F512B9">
      <w:r>
        <w:t>First, it is iterated, meaning that instead of a one-off decision, countries can respond to observed decisions of others. Second, those decisions are observable, meaning that we can see whether countries adopt global or domestic SCCs.</w:t>
      </w:r>
    </w:p>
    <w:p w14:paraId="02963C78" w14:textId="589A68C9" w:rsidR="001060A8" w:rsidRDefault="001060A8" w:rsidP="00F512B9"/>
    <w:p w14:paraId="36B2D2C5" w14:textId="3A69002E" w:rsidR="001060A8" w:rsidRDefault="001060A8" w:rsidP="00F512B9">
      <w:r>
        <w:t>In fact, countries which have instituted SCCs have in almost all cases introduced ones with values that are greater than they would be if they included only domestic impacts (</w:t>
      </w:r>
      <w:r w:rsidR="00113F21">
        <w:fldChar w:fldCharType="begin"/>
      </w:r>
      <w:r w:rsidR="00113F21">
        <w:instrText xml:space="preserve"> REF _Ref53707364 \r \h </w:instrText>
      </w:r>
      <w:r w:rsidR="00113F21">
        <w:fldChar w:fldCharType="separate"/>
      </w:r>
      <w:r w:rsidR="00113F21">
        <w:t>[45]</w:t>
      </w:r>
      <w:r w:rsidR="00113F21">
        <w:fldChar w:fldCharType="end"/>
      </w:r>
      <w:r w:rsidR="00113F21">
        <w:t>,</w:t>
      </w:r>
      <w:r>
        <w:t xml:space="preserve"> Appendix B).</w:t>
      </w:r>
    </w:p>
    <w:p w14:paraId="21F1BF9E" w14:textId="5250E43E" w:rsidR="001060A8" w:rsidRDefault="001060A8" w:rsidP="00F512B9"/>
    <w:p w14:paraId="0451022F" w14:textId="306333F3" w:rsidR="001060A8" w:rsidRDefault="001060A8" w:rsidP="00F512B9">
      <w:r>
        <w:t xml:space="preserve">In this context, a moral argument in </w:t>
      </w:r>
      <w:proofErr w:type="spellStart"/>
      <w:r>
        <w:t>favour</w:t>
      </w:r>
      <w:proofErr w:type="spellEnd"/>
      <w:r>
        <w:t xml:space="preserve"> of continuing to adopt global SCCs lies in the minimal principle that, when facing iterated commons problems where other members are known to be cooperating, in order to generate and reinforce cooperative norms, one also ought to cooperate. This is minimal, since it does not require that one cooperate first. It is also weaker than moral claims made in the literature that, in light of financial capacity and historical emissions, countries like the United States morally ought to </w:t>
      </w:r>
      <w:r w:rsidRPr="001060A8">
        <w:rPr>
          <w:i/>
          <w:iCs/>
        </w:rPr>
        <w:t>lead</w:t>
      </w:r>
      <w:r>
        <w:t xml:space="preserve"> with respect to climate action</w:t>
      </w:r>
      <w:r w:rsidR="00113F21">
        <w:t xml:space="preserve"> </w:t>
      </w:r>
      <w:r w:rsidR="00113F21">
        <w:fldChar w:fldCharType="begin"/>
      </w:r>
      <w:r w:rsidR="00113F21">
        <w:instrText xml:space="preserve"> REF _Ref53707488 \r \h </w:instrText>
      </w:r>
      <w:r w:rsidR="00113F21">
        <w:fldChar w:fldCharType="separate"/>
      </w:r>
      <w:r w:rsidR="00113F21">
        <w:t>[46]</w:t>
      </w:r>
      <w:r w:rsidR="00113F21">
        <w:fldChar w:fldCharType="end"/>
      </w:r>
      <w:r w:rsidR="00113F21">
        <w:t xml:space="preserve"> </w:t>
      </w:r>
      <w:r w:rsidR="00113F21">
        <w:fldChar w:fldCharType="begin"/>
      </w:r>
      <w:r w:rsidR="00113F21">
        <w:instrText xml:space="preserve"> REF _Ref53707491 \r \h </w:instrText>
      </w:r>
      <w:r w:rsidR="00113F21">
        <w:fldChar w:fldCharType="separate"/>
      </w:r>
      <w:r w:rsidR="00113F21">
        <w:t>[47]</w:t>
      </w:r>
      <w:r w:rsidR="00113F21">
        <w:fldChar w:fldCharType="end"/>
      </w:r>
      <w:r>
        <w:t>. If we accept this minimal principle, then the SCC should reflect global climate impacts.</w:t>
      </w:r>
    </w:p>
    <w:p w14:paraId="2BED4F2E" w14:textId="4A0360FE" w:rsidR="002075EA" w:rsidRDefault="002075EA" w:rsidP="00F512B9"/>
    <w:p w14:paraId="7326530F" w14:textId="17B7222B" w:rsidR="002075EA" w:rsidRDefault="002075EA" w:rsidP="002075EA">
      <w:pPr>
        <w:pStyle w:val="Heading2"/>
      </w:pPr>
      <w:r>
        <w:t>Anthropocentrism</w:t>
      </w:r>
    </w:p>
    <w:p w14:paraId="5171088E" w14:textId="6D81A374" w:rsidR="002075EA" w:rsidRDefault="004177A4" w:rsidP="002075EA">
      <w:r>
        <w:t xml:space="preserve">The next moral scope assumption is the restriction to human beings’ utility. </w:t>
      </w:r>
      <w:r w:rsidR="00D554CE">
        <w:t>Existing SCC estimates rarely include non-human impacts, but in principle we might adopt several views that would support their inclusion.</w:t>
      </w:r>
    </w:p>
    <w:p w14:paraId="6D5EDC60" w14:textId="6B395059" w:rsidR="00D554CE" w:rsidRDefault="00D554CE" w:rsidP="002075EA"/>
    <w:p w14:paraId="5AEEB5D1" w14:textId="518013E7" w:rsidR="00752930" w:rsidRDefault="00D554CE" w:rsidP="002075EA">
      <w:r>
        <w:t>It is worth distinguishing three categories of moral worth as discussed by environmental ethicists</w:t>
      </w:r>
      <w:r w:rsidR="000A19E0">
        <w:t xml:space="preserve"> </w:t>
      </w:r>
      <w:r w:rsidR="000A19E0">
        <w:fldChar w:fldCharType="begin"/>
      </w:r>
      <w:r w:rsidR="000A19E0">
        <w:instrText xml:space="preserve"> REF _Ref53707676 \r \h </w:instrText>
      </w:r>
      <w:r w:rsidR="000A19E0">
        <w:fldChar w:fldCharType="separate"/>
      </w:r>
      <w:r w:rsidR="000A19E0">
        <w:t>[48]</w:t>
      </w:r>
      <w:r w:rsidR="000A19E0">
        <w:fldChar w:fldCharType="end"/>
      </w:r>
      <w:r w:rsidR="000A19E0">
        <w:t xml:space="preserve"> </w:t>
      </w:r>
      <w:r w:rsidR="000A19E0">
        <w:fldChar w:fldCharType="begin"/>
      </w:r>
      <w:r w:rsidR="000A19E0">
        <w:instrText xml:space="preserve"> REF _Ref53707677 \r \h </w:instrText>
      </w:r>
      <w:r w:rsidR="000A19E0">
        <w:fldChar w:fldCharType="separate"/>
      </w:r>
      <w:r w:rsidR="000A19E0">
        <w:t>[49]</w:t>
      </w:r>
      <w:r w:rsidR="000A19E0">
        <w:fldChar w:fldCharType="end"/>
      </w:r>
      <w:r>
        <w:t xml:space="preserve">. </w:t>
      </w:r>
      <w:r w:rsidR="00752930">
        <w:t xml:space="preserve">We start with </w:t>
      </w:r>
      <w:r w:rsidR="00752930" w:rsidRPr="00752930">
        <w:rPr>
          <w:i/>
          <w:iCs/>
        </w:rPr>
        <w:t>anthropocentrism</w:t>
      </w:r>
      <w:r w:rsidR="00752930">
        <w:t xml:space="preserve">, the view that only human beings are morally considerable, as this is the default assumption in these types of economic contexts. </w:t>
      </w:r>
    </w:p>
    <w:p w14:paraId="3798EADD" w14:textId="77777777" w:rsidR="00752930" w:rsidRDefault="00752930" w:rsidP="002075EA"/>
    <w:p w14:paraId="10CC61BE" w14:textId="71ABEA84" w:rsidR="00D554CE" w:rsidRDefault="00752930" w:rsidP="002075EA">
      <w:r>
        <w:t>Singer forcefully argued that anthropocentrism was too narrow, since we can take experiences or preferences to be the morally relevant objects, and human beings are not the only beings with experiences or preferences</w:t>
      </w:r>
      <w:r w:rsidR="00157277">
        <w:t xml:space="preserve"> </w:t>
      </w:r>
      <w:r w:rsidR="00157277">
        <w:fldChar w:fldCharType="begin"/>
      </w:r>
      <w:r w:rsidR="00157277">
        <w:instrText xml:space="preserve"> REF _Ref53707781 \r \h </w:instrText>
      </w:r>
      <w:r w:rsidR="00157277">
        <w:fldChar w:fldCharType="separate"/>
      </w:r>
      <w:r w:rsidR="00157277">
        <w:t>[50]</w:t>
      </w:r>
      <w:r w:rsidR="00157277">
        <w:fldChar w:fldCharType="end"/>
      </w:r>
      <w:r>
        <w:t xml:space="preserve">. This justifies </w:t>
      </w:r>
      <w:proofErr w:type="spellStart"/>
      <w:r>
        <w:rPr>
          <w:i/>
          <w:iCs/>
        </w:rPr>
        <w:t>sentientism</w:t>
      </w:r>
      <w:proofErr w:type="spellEnd"/>
      <w:r>
        <w:t xml:space="preserve">, the view that any beings with the relevant experiential states are morally considerable. Singer’s version of </w:t>
      </w:r>
      <w:proofErr w:type="spellStart"/>
      <w:r>
        <w:t>sentientism</w:t>
      </w:r>
      <w:proofErr w:type="spellEnd"/>
      <w:r>
        <w:t xml:space="preserve"> is the view </w:t>
      </w:r>
      <w:r>
        <w:lastRenderedPageBreak/>
        <w:t>that all interests matter equally, and only and all beings that can experience pain or pleasure thereby have interests.</w:t>
      </w:r>
    </w:p>
    <w:p w14:paraId="53C704D1" w14:textId="1510B6EC" w:rsidR="00752930" w:rsidRDefault="00752930" w:rsidP="002075EA"/>
    <w:p w14:paraId="3D462BEA" w14:textId="6872F8DE" w:rsidR="00752930" w:rsidRDefault="00752930" w:rsidP="002075EA">
      <w:proofErr w:type="spellStart"/>
      <w:r>
        <w:t>Goodpaster</w:t>
      </w:r>
      <w:proofErr w:type="spellEnd"/>
      <w:r>
        <w:t xml:space="preserve"> argued that Singer’s view was itself too narrow, since, he suggested, experiences are not morally considerable by themselves, since sentience is an adaptive capacity of living organisms to improve their fitness</w:t>
      </w:r>
      <w:r w:rsidR="00157277">
        <w:t xml:space="preserve"> </w:t>
      </w:r>
      <w:r w:rsidR="00157277">
        <w:fldChar w:fldCharType="begin"/>
      </w:r>
      <w:r w:rsidR="00157277">
        <w:instrText xml:space="preserve"> REF _Ref53707812 \r \h </w:instrText>
      </w:r>
      <w:r w:rsidR="00157277">
        <w:fldChar w:fldCharType="separate"/>
      </w:r>
      <w:r w:rsidR="00157277">
        <w:t>[51]</w:t>
      </w:r>
      <w:r w:rsidR="00157277">
        <w:fldChar w:fldCharType="end"/>
      </w:r>
      <w:r>
        <w:t xml:space="preserve">. This suggests, </w:t>
      </w:r>
      <w:proofErr w:type="spellStart"/>
      <w:r>
        <w:t>Goodpaster</w:t>
      </w:r>
      <w:proofErr w:type="spellEnd"/>
      <w:r>
        <w:t xml:space="preserve"> claims, that sentience cannot be of moral importance itself as it is there to support something else, which presumably is of moral importance. </w:t>
      </w:r>
      <w:proofErr w:type="spellStart"/>
      <w:r>
        <w:t>Goodpaster</w:t>
      </w:r>
      <w:proofErr w:type="spellEnd"/>
      <w:r>
        <w:t xml:space="preserve"> concluded that the only non-arbitrary designation is every living being, whether sentient or not (e.g. including both flora and fauna).</w:t>
      </w:r>
    </w:p>
    <w:p w14:paraId="669B3CC9" w14:textId="6C77CBE6" w:rsidR="00752930" w:rsidRDefault="00752930" w:rsidP="002075EA"/>
    <w:p w14:paraId="2FD776AE" w14:textId="54F9092A" w:rsidR="00BF7749" w:rsidRPr="00752930" w:rsidRDefault="00752930" w:rsidP="002075EA">
      <w:r>
        <w:t xml:space="preserve">Both extensions beyond human beings for a SCC would involve radical changes to estimating SCCs. However, drawing on the discussion on </w:t>
      </w:r>
      <w:r w:rsidR="00BF7749">
        <w:t>ecosystem service valuation, there are multiple standard ways of coming to value goods not priced in markets</w:t>
      </w:r>
      <w:r w:rsidR="00157277">
        <w:t xml:space="preserve"> </w:t>
      </w:r>
      <w:r w:rsidR="00157277">
        <w:fldChar w:fldCharType="begin"/>
      </w:r>
      <w:r w:rsidR="00157277">
        <w:instrText xml:space="preserve"> REF _Ref53702703 \r \h </w:instrText>
      </w:r>
      <w:r w:rsidR="00157277">
        <w:fldChar w:fldCharType="separate"/>
      </w:r>
      <w:r w:rsidR="00157277">
        <w:t>[12]</w:t>
      </w:r>
      <w:r w:rsidR="00157277">
        <w:fldChar w:fldCharType="end"/>
      </w:r>
      <w:r w:rsidR="00BF7749">
        <w:t xml:space="preserve">. Each of these would require some assumptions about what is taken to be of (equal) moral importance. However, most of these methods appeal to human estimations of those values. For instance, contingent valuation of ecosystems requires people to estimate the worth </w:t>
      </w:r>
      <w:r w:rsidR="00BF7749" w:rsidRPr="00BF7749">
        <w:rPr>
          <w:i/>
          <w:iCs/>
        </w:rPr>
        <w:t>to them</w:t>
      </w:r>
      <w:r w:rsidR="00BF7749">
        <w:t xml:space="preserve"> of various types of ecosystems and their services. Trying to get beyond human valuation is more challenging. For instance, adopting Singer’s consideration of equal interests would require some way of estimating and comparing the interests of non-humans while adopting </w:t>
      </w:r>
      <w:proofErr w:type="spellStart"/>
      <w:r w:rsidR="00BF7749">
        <w:t>Goodpaster’s</w:t>
      </w:r>
      <w:proofErr w:type="spellEnd"/>
      <w:r w:rsidR="00BF7749">
        <w:t xml:space="preserve"> view would require all living beings to be comparable in some way. One way, for instance, that this could be attempted is via lost biomass where the relevant unit is living matter. While this moral assumption is still in the process of being </w:t>
      </w:r>
      <w:r w:rsidR="003C111A">
        <w:t>discussed</w:t>
      </w:r>
      <w:r w:rsidR="00157277">
        <w:t xml:space="preserve"> </w:t>
      </w:r>
      <w:r w:rsidR="00157277">
        <w:fldChar w:fldCharType="begin"/>
      </w:r>
      <w:r w:rsidR="00157277">
        <w:instrText xml:space="preserve"> REF _Ref53707998 \r \h </w:instrText>
      </w:r>
      <w:r w:rsidR="00157277">
        <w:fldChar w:fldCharType="separate"/>
      </w:r>
      <w:r w:rsidR="00157277">
        <w:t>[52]</w:t>
      </w:r>
      <w:r w:rsidR="00157277">
        <w:fldChar w:fldCharType="end"/>
      </w:r>
      <w:r w:rsidR="00157277">
        <w:t xml:space="preserve"> </w:t>
      </w:r>
      <w:r w:rsidR="00157277">
        <w:fldChar w:fldCharType="begin"/>
      </w:r>
      <w:r w:rsidR="00157277">
        <w:instrText xml:space="preserve"> REF _Ref53708000 \r \h </w:instrText>
      </w:r>
      <w:r w:rsidR="00157277">
        <w:fldChar w:fldCharType="separate"/>
      </w:r>
      <w:r w:rsidR="00157277">
        <w:t>[53]</w:t>
      </w:r>
      <w:r w:rsidR="00157277">
        <w:fldChar w:fldCharType="end"/>
      </w:r>
      <w:r w:rsidR="003C111A">
        <w:t xml:space="preserve">, </w:t>
      </w:r>
      <w:proofErr w:type="spellStart"/>
      <w:r w:rsidR="003C111A">
        <w:t>recognising</w:t>
      </w:r>
      <w:proofErr w:type="spellEnd"/>
      <w:r w:rsidR="003C111A">
        <w:t xml:space="preserve"> this </w:t>
      </w:r>
      <w:r w:rsidR="00541AF1">
        <w:t xml:space="preserve">as a </w:t>
      </w:r>
      <w:r w:rsidR="003C111A">
        <w:t xml:space="preserve">moral assumption is the first step to incorporating it into the SCC. </w:t>
      </w:r>
    </w:p>
    <w:p w14:paraId="6A1547EA" w14:textId="77777777" w:rsidR="00DA191F" w:rsidRPr="00D972B4" w:rsidRDefault="00DA191F" w:rsidP="00DA191F"/>
    <w:p w14:paraId="4D74D9E3" w14:textId="77777777" w:rsidR="00DA191F" w:rsidRDefault="00DA191F" w:rsidP="00DA191F">
      <w:pPr>
        <w:pStyle w:val="Heading1"/>
      </w:pPr>
      <w:bookmarkStart w:id="7" w:name="_Ref52291792"/>
      <w:r>
        <w:t xml:space="preserve"> </w:t>
      </w:r>
      <w:bookmarkEnd w:id="7"/>
      <w:r>
        <w:t>Conclusion</w:t>
      </w:r>
    </w:p>
    <w:p w14:paraId="16D7B94D" w14:textId="77777777" w:rsidR="00DA191F" w:rsidRDefault="00DA191F" w:rsidP="00DA191F"/>
    <w:p w14:paraId="6CEC7EA9" w14:textId="63CF2A61" w:rsidR="00DA191F" w:rsidRPr="00561563" w:rsidRDefault="00EB43EA" w:rsidP="00DA191F">
      <w:r>
        <w:t xml:space="preserve">When we are presented with the economic costs of a climate policy, a </w:t>
      </w:r>
      <w:r w:rsidR="009536BB">
        <w:t>figure given</w:t>
      </w:r>
      <w:r>
        <w:t xml:space="preserve"> in financial terms can appear value-free. The purpose of this chapter was to draw attention to the variety of assumptions that are needed to generate these estimates. This is not to say that these estimates should be rejected or not included in our policy evaluations. Instead, it is to say that the choices that we make in terms of both moral and non-moral assumptions can have great impact on the choices of polices that society adopts. For that reason, we should consider our assumptions carefully and </w:t>
      </w:r>
      <w:r w:rsidR="007E0798">
        <w:t>adopt</w:t>
      </w:r>
      <w:r>
        <w:t xml:space="preserve"> them </w:t>
      </w:r>
      <w:r w:rsidR="007E0798">
        <w:t xml:space="preserve">carefully </w:t>
      </w:r>
      <w:r>
        <w:t>with an eye towards the long term.</w:t>
      </w:r>
    </w:p>
    <w:p w14:paraId="47C4025E" w14:textId="77777777" w:rsidR="00DA191F" w:rsidRDefault="00DA191F" w:rsidP="00DA191F"/>
    <w:p w14:paraId="459BBC6B" w14:textId="77777777" w:rsidR="00DA191F" w:rsidRDefault="00DA191F" w:rsidP="00DA191F">
      <w:pPr>
        <w:pStyle w:val="Heading1"/>
      </w:pPr>
      <w:r>
        <w:t>References</w:t>
      </w:r>
    </w:p>
    <w:p w14:paraId="029840C6" w14:textId="77777777" w:rsidR="00DA191F" w:rsidRDefault="00DA191F" w:rsidP="00DA191F"/>
    <w:p w14:paraId="0D0D05BE" w14:textId="4ABE1441" w:rsidR="007046C5" w:rsidRDefault="003B55C6" w:rsidP="003B55C6">
      <w:pPr>
        <w:pStyle w:val="References"/>
      </w:pPr>
      <w:bookmarkStart w:id="8" w:name="_Ref53701514"/>
      <w:r w:rsidRPr="003B55C6">
        <w:t xml:space="preserve">Kaufman, N., Barron, A. R., Krawczyk, W., </w:t>
      </w:r>
      <w:proofErr w:type="spellStart"/>
      <w:r w:rsidRPr="003B55C6">
        <w:t>Marsters</w:t>
      </w:r>
      <w:proofErr w:type="spellEnd"/>
      <w:r w:rsidRPr="003B55C6">
        <w:t xml:space="preserve">, P., &amp; </w:t>
      </w:r>
      <w:proofErr w:type="spellStart"/>
      <w:r w:rsidRPr="003B55C6">
        <w:t>McJeon</w:t>
      </w:r>
      <w:proofErr w:type="spellEnd"/>
      <w:r w:rsidRPr="003B55C6">
        <w:t xml:space="preserve">, H. (2020) A near-term to net zero alternative to the social cost of carbon for setting carbon prices. </w:t>
      </w:r>
      <w:r w:rsidRPr="003B55C6">
        <w:rPr>
          <w:i/>
          <w:iCs/>
        </w:rPr>
        <w:t>Nature Climate Change</w:t>
      </w:r>
      <w:r w:rsidRPr="003B55C6">
        <w:t xml:space="preserve">, 1–10. </w:t>
      </w:r>
      <w:hyperlink r:id="rId9" w:history="1">
        <w:r w:rsidRPr="007834F3">
          <w:rPr>
            <w:rStyle w:val="Hyperlink"/>
          </w:rPr>
          <w:t>http://doi.org/10.1038/s41558-020-0880-3</w:t>
        </w:r>
      </w:hyperlink>
      <w:bookmarkEnd w:id="8"/>
    </w:p>
    <w:p w14:paraId="44421859" w14:textId="039BB153" w:rsidR="003B55C6" w:rsidRDefault="003B55C6" w:rsidP="003B55C6">
      <w:pPr>
        <w:pStyle w:val="References"/>
      </w:pPr>
      <w:bookmarkStart w:id="9" w:name="_Ref53701643"/>
      <w:r>
        <w:t xml:space="preserve">Mintz-Woo, K., and Leroux, J. (forthcoming) What do climate change winners owe, and to whom? </w:t>
      </w:r>
      <w:r>
        <w:rPr>
          <w:i/>
          <w:iCs/>
        </w:rPr>
        <w:t>Economics and Philosophy</w:t>
      </w:r>
      <w:r>
        <w:t>.</w:t>
      </w:r>
      <w:bookmarkEnd w:id="9"/>
    </w:p>
    <w:p w14:paraId="06EE6458" w14:textId="5F475A8F" w:rsidR="003B55C6" w:rsidRDefault="003B55C6" w:rsidP="003B55C6">
      <w:pPr>
        <w:pStyle w:val="References"/>
      </w:pPr>
      <w:bookmarkStart w:id="10" w:name="_Ref53701770"/>
      <w:r>
        <w:t xml:space="preserve">Mintz-Woo, K., </w:t>
      </w:r>
      <w:proofErr w:type="spellStart"/>
      <w:r>
        <w:t>Dennig</w:t>
      </w:r>
      <w:proofErr w:type="spellEnd"/>
      <w:r>
        <w:t xml:space="preserve">, F., Liu, H., and </w:t>
      </w:r>
      <w:proofErr w:type="spellStart"/>
      <w:r>
        <w:t>Schinko</w:t>
      </w:r>
      <w:proofErr w:type="spellEnd"/>
      <w:r>
        <w:t xml:space="preserve">, T. (forthcoming) Carbon pricing and COVID-19. </w:t>
      </w:r>
      <w:r>
        <w:rPr>
          <w:i/>
          <w:iCs/>
        </w:rPr>
        <w:t>Climate Policy</w:t>
      </w:r>
      <w:r>
        <w:t>.</w:t>
      </w:r>
      <w:bookmarkEnd w:id="10"/>
    </w:p>
    <w:p w14:paraId="4F69FD62" w14:textId="4B101B9B" w:rsidR="003B55C6" w:rsidRDefault="003B55C6" w:rsidP="003B55C6">
      <w:pPr>
        <w:pStyle w:val="References"/>
      </w:pPr>
      <w:bookmarkStart w:id="11" w:name="_Ref53701824"/>
      <w:proofErr w:type="spellStart"/>
      <w:r w:rsidRPr="003B55C6">
        <w:t>Fleurbaey</w:t>
      </w:r>
      <w:proofErr w:type="spellEnd"/>
      <w:r w:rsidRPr="003B55C6">
        <w:t xml:space="preserve">, M., </w:t>
      </w:r>
      <w:proofErr w:type="spellStart"/>
      <w:r w:rsidRPr="003B55C6">
        <w:t>Ferranna</w:t>
      </w:r>
      <w:proofErr w:type="spellEnd"/>
      <w:r w:rsidRPr="003B55C6">
        <w:t xml:space="preserve">, M., </w:t>
      </w:r>
      <w:proofErr w:type="spellStart"/>
      <w:r w:rsidRPr="003B55C6">
        <w:t>Budolfson</w:t>
      </w:r>
      <w:proofErr w:type="spellEnd"/>
      <w:r w:rsidRPr="003B55C6">
        <w:t xml:space="preserve">, M. B., </w:t>
      </w:r>
      <w:proofErr w:type="spellStart"/>
      <w:r w:rsidRPr="003B55C6">
        <w:t>Dennig</w:t>
      </w:r>
      <w:proofErr w:type="spellEnd"/>
      <w:r w:rsidRPr="003B55C6">
        <w:t xml:space="preserve">, F., Mintz-Woo, K., Socolow, R. H., et al. (2019) The Social Cost of Carbon: Valuing Inequality, Risk, and Population for Climate Policy. </w:t>
      </w:r>
      <w:r w:rsidRPr="003B55C6">
        <w:rPr>
          <w:i/>
          <w:iCs/>
        </w:rPr>
        <w:t>The Monist</w:t>
      </w:r>
      <w:r w:rsidRPr="003B55C6">
        <w:t xml:space="preserve">, 102(1), 84–109. </w:t>
      </w:r>
      <w:hyperlink r:id="rId10" w:history="1">
        <w:r w:rsidRPr="007834F3">
          <w:rPr>
            <w:rStyle w:val="Hyperlink"/>
          </w:rPr>
          <w:t>http://doi.org/10.1093/monist/ony023</w:t>
        </w:r>
      </w:hyperlink>
      <w:bookmarkEnd w:id="11"/>
      <w:r>
        <w:t xml:space="preserve"> </w:t>
      </w:r>
    </w:p>
    <w:p w14:paraId="43FFD882" w14:textId="2B5E9019" w:rsidR="003B55C6" w:rsidRDefault="003B55C6" w:rsidP="003B55C6">
      <w:pPr>
        <w:pStyle w:val="References"/>
      </w:pPr>
      <w:bookmarkStart w:id="12" w:name="_Ref53701985"/>
      <w:r w:rsidRPr="003B55C6">
        <w:lastRenderedPageBreak/>
        <w:t xml:space="preserve">Nordhaus, W. D. (2018) Projections and Uncertainties about Climate Change in an Era of Minimal Climate Policies. </w:t>
      </w:r>
      <w:r w:rsidRPr="003B55C6">
        <w:rPr>
          <w:i/>
          <w:iCs/>
        </w:rPr>
        <w:t>American Economic Journal: Economic Policy</w:t>
      </w:r>
      <w:r w:rsidRPr="003B55C6">
        <w:t xml:space="preserve">, </w:t>
      </w:r>
      <w:r w:rsidRPr="004A3D3D">
        <w:rPr>
          <w:i/>
          <w:iCs/>
        </w:rPr>
        <w:t>10</w:t>
      </w:r>
      <w:r w:rsidRPr="003B55C6">
        <w:t xml:space="preserve">(3), 333–360. </w:t>
      </w:r>
      <w:hyperlink r:id="rId11" w:history="1">
        <w:r w:rsidRPr="007834F3">
          <w:rPr>
            <w:rStyle w:val="Hyperlink"/>
          </w:rPr>
          <w:t>http://doi.org/10.1257/pol.20170046</w:t>
        </w:r>
      </w:hyperlink>
      <w:bookmarkEnd w:id="12"/>
      <w:r>
        <w:t xml:space="preserve"> </w:t>
      </w:r>
    </w:p>
    <w:p w14:paraId="65CAD55D" w14:textId="4D708968" w:rsidR="003B55C6" w:rsidRDefault="00370968" w:rsidP="003B55C6">
      <w:pPr>
        <w:pStyle w:val="References"/>
      </w:pPr>
      <w:bookmarkStart w:id="13" w:name="_Ref53702071"/>
      <w:r w:rsidRPr="00370968">
        <w:t xml:space="preserve">Nordhaus, W. D. (2018) Evolution of modeling of the economics of global warming: changes in the DICE model, 1992–2017. </w:t>
      </w:r>
      <w:r w:rsidRPr="00370968">
        <w:rPr>
          <w:i/>
          <w:iCs/>
        </w:rPr>
        <w:t>Climatic Change</w:t>
      </w:r>
      <w:r w:rsidRPr="00370968">
        <w:t xml:space="preserve">, </w:t>
      </w:r>
      <w:r w:rsidRPr="00370968">
        <w:rPr>
          <w:i/>
          <w:iCs/>
        </w:rPr>
        <w:t>148</w:t>
      </w:r>
      <w:r w:rsidRPr="00370968">
        <w:t xml:space="preserve">(4), 623–640. </w:t>
      </w:r>
      <w:hyperlink r:id="rId12" w:history="1">
        <w:r w:rsidRPr="007834F3">
          <w:rPr>
            <w:rStyle w:val="Hyperlink"/>
          </w:rPr>
          <w:t>http://doi.org/10.1007/s10584-018-2218-y</w:t>
        </w:r>
      </w:hyperlink>
      <w:bookmarkEnd w:id="13"/>
      <w:r>
        <w:t xml:space="preserve"> </w:t>
      </w:r>
    </w:p>
    <w:p w14:paraId="71544C38" w14:textId="312080B8" w:rsidR="00370968" w:rsidRDefault="00370968" w:rsidP="003B55C6">
      <w:pPr>
        <w:pStyle w:val="References"/>
      </w:pPr>
      <w:bookmarkStart w:id="14" w:name="_Ref53702123"/>
      <w:r w:rsidRPr="00370968">
        <w:t xml:space="preserve">Dietz, S., &amp; Stern, N. (2015) Endogenous Growth, Convexity of Damage and Climate Risk: How Nordhaus' Framework Supports Deep Cuts in Carbon Emissions. </w:t>
      </w:r>
      <w:r w:rsidRPr="00370968">
        <w:rPr>
          <w:i/>
          <w:iCs/>
        </w:rPr>
        <w:t>The Economic Journal</w:t>
      </w:r>
      <w:r w:rsidRPr="00370968">
        <w:t xml:space="preserve">, </w:t>
      </w:r>
      <w:r w:rsidRPr="00370968">
        <w:rPr>
          <w:i/>
          <w:iCs/>
        </w:rPr>
        <w:t>125</w:t>
      </w:r>
      <w:r w:rsidRPr="00370968">
        <w:t xml:space="preserve">(583), 574–620. </w:t>
      </w:r>
      <w:hyperlink r:id="rId13" w:history="1">
        <w:r w:rsidRPr="007834F3">
          <w:rPr>
            <w:rStyle w:val="Hyperlink"/>
          </w:rPr>
          <w:t>http://doi.org/10.1111/ecoj.12188</w:t>
        </w:r>
      </w:hyperlink>
      <w:bookmarkEnd w:id="14"/>
      <w:r>
        <w:t xml:space="preserve"> </w:t>
      </w:r>
    </w:p>
    <w:p w14:paraId="46F6E3EB" w14:textId="69DF3299" w:rsidR="00370968" w:rsidRDefault="00370968" w:rsidP="003B55C6">
      <w:pPr>
        <w:pStyle w:val="References"/>
      </w:pPr>
      <w:bookmarkStart w:id="15" w:name="_Ref53702215"/>
      <w:r w:rsidRPr="00370968">
        <w:t xml:space="preserve">Arrow, K. J., Cline, W., Maler, K., </w:t>
      </w:r>
      <w:proofErr w:type="spellStart"/>
      <w:r w:rsidRPr="00370968">
        <w:t>Munasinghe</w:t>
      </w:r>
      <w:proofErr w:type="spellEnd"/>
      <w:r w:rsidRPr="00370968">
        <w:t xml:space="preserve">, M., </w:t>
      </w:r>
      <w:proofErr w:type="spellStart"/>
      <w:r w:rsidRPr="00370968">
        <w:t>Squiteri</w:t>
      </w:r>
      <w:proofErr w:type="spellEnd"/>
      <w:r w:rsidRPr="00370968">
        <w:t xml:space="preserve">, R., &amp; Stiglitz, J. (1996) Intertemporal equity, discounting, and economic efficiency. </w:t>
      </w:r>
      <w:r w:rsidRPr="00370968">
        <w:rPr>
          <w:i/>
          <w:iCs/>
        </w:rPr>
        <w:t>In</w:t>
      </w:r>
      <w:r w:rsidRPr="00370968">
        <w:t xml:space="preserve"> </w:t>
      </w:r>
      <w:r>
        <w:t>“</w:t>
      </w:r>
      <w:r w:rsidRPr="00370968">
        <w:t>Climate Change Second Assessment Report</w:t>
      </w:r>
      <w:r>
        <w:t>”</w:t>
      </w:r>
      <w:r w:rsidRPr="00370968">
        <w:t xml:space="preserve"> </w:t>
      </w:r>
      <w:r>
        <w:t>(</w:t>
      </w:r>
      <w:r w:rsidRPr="00370968">
        <w:t>Intergovernmental Panel on Climate Change</w:t>
      </w:r>
      <w:r>
        <w:t>,</w:t>
      </w:r>
      <w:r w:rsidRPr="00370968">
        <w:t xml:space="preserve"> Ed.), pp. 125–144</w:t>
      </w:r>
      <w:r>
        <w:t>, Cambridge University Press, Cambridge UK</w:t>
      </w:r>
      <w:r w:rsidRPr="00370968">
        <w:t>.</w:t>
      </w:r>
      <w:bookmarkEnd w:id="15"/>
    </w:p>
    <w:p w14:paraId="7BEE9D7B" w14:textId="6ECF5580" w:rsidR="00370968" w:rsidRDefault="00370968" w:rsidP="003B55C6">
      <w:pPr>
        <w:pStyle w:val="References"/>
      </w:pPr>
      <w:bookmarkStart w:id="16" w:name="_Ref53702218"/>
      <w:r w:rsidRPr="00370968">
        <w:t xml:space="preserve">Manne, A. S. (1995) The Rate of Time Preference. </w:t>
      </w:r>
      <w:r w:rsidRPr="00370968">
        <w:rPr>
          <w:i/>
          <w:iCs/>
        </w:rPr>
        <w:t>Energy Policy</w:t>
      </w:r>
      <w:r w:rsidRPr="00370968">
        <w:t xml:space="preserve">, </w:t>
      </w:r>
      <w:r w:rsidRPr="00370968">
        <w:rPr>
          <w:i/>
          <w:iCs/>
        </w:rPr>
        <w:t>23</w:t>
      </w:r>
      <w:r w:rsidRPr="00370968">
        <w:t xml:space="preserve">(4/5), 391–394. </w:t>
      </w:r>
      <w:hyperlink r:id="rId14" w:history="1">
        <w:r w:rsidRPr="007834F3">
          <w:rPr>
            <w:rStyle w:val="Hyperlink"/>
          </w:rPr>
          <w:t>http://doi.org/10.1016/0301-4215(95)90163-2</w:t>
        </w:r>
      </w:hyperlink>
      <w:bookmarkEnd w:id="16"/>
      <w:r>
        <w:t xml:space="preserve"> </w:t>
      </w:r>
    </w:p>
    <w:p w14:paraId="23100BCF" w14:textId="511BECD1" w:rsidR="00370968" w:rsidRDefault="00370968" w:rsidP="003B55C6">
      <w:pPr>
        <w:pStyle w:val="References"/>
      </w:pPr>
      <w:bookmarkStart w:id="17" w:name="_Ref53702279"/>
      <w:r w:rsidRPr="00370968">
        <w:t xml:space="preserve">Broome, J. (1994) Discounting the Future. </w:t>
      </w:r>
      <w:r w:rsidRPr="00370968">
        <w:rPr>
          <w:i/>
          <w:iCs/>
        </w:rPr>
        <w:t>Philosophy and Public Affairs</w:t>
      </w:r>
      <w:r w:rsidRPr="00370968">
        <w:t xml:space="preserve">, </w:t>
      </w:r>
      <w:r w:rsidRPr="00370968">
        <w:rPr>
          <w:i/>
          <w:iCs/>
        </w:rPr>
        <w:t>23</w:t>
      </w:r>
      <w:r w:rsidRPr="00370968">
        <w:t xml:space="preserve">(2), 128–156. </w:t>
      </w:r>
      <w:hyperlink r:id="rId15" w:history="1">
        <w:r w:rsidRPr="007834F3">
          <w:rPr>
            <w:rStyle w:val="Hyperlink"/>
          </w:rPr>
          <w:t>http://doi.org/10.1111/j.1088-4963.1994.tb00008.x</w:t>
        </w:r>
      </w:hyperlink>
      <w:bookmarkEnd w:id="17"/>
    </w:p>
    <w:p w14:paraId="18FFA354" w14:textId="0408651E" w:rsidR="00370968" w:rsidRDefault="00370968" w:rsidP="003B55C6">
      <w:pPr>
        <w:pStyle w:val="References"/>
      </w:pPr>
      <w:bookmarkStart w:id="18" w:name="_Ref53702285"/>
      <w:r w:rsidRPr="00370968">
        <w:t xml:space="preserve">Broome, J. (2008) The ethics of climate change. </w:t>
      </w:r>
      <w:r w:rsidRPr="00370968">
        <w:rPr>
          <w:i/>
          <w:iCs/>
        </w:rPr>
        <w:t>Scientific American</w:t>
      </w:r>
      <w:r w:rsidRPr="00370968">
        <w:t xml:space="preserve">, </w:t>
      </w:r>
      <w:r w:rsidRPr="00370968">
        <w:rPr>
          <w:i/>
          <w:iCs/>
        </w:rPr>
        <w:t>298</w:t>
      </w:r>
      <w:r w:rsidRPr="00370968">
        <w:t xml:space="preserve">(6), 96–100, 102. </w:t>
      </w:r>
      <w:hyperlink r:id="rId16" w:history="1">
        <w:r w:rsidRPr="007834F3">
          <w:rPr>
            <w:rStyle w:val="Hyperlink"/>
          </w:rPr>
          <w:t>http://doi.org/10.1038/scientificamerican0608-96</w:t>
        </w:r>
      </w:hyperlink>
      <w:bookmarkEnd w:id="18"/>
    </w:p>
    <w:p w14:paraId="5EC4A540" w14:textId="48BF1347" w:rsidR="00370968" w:rsidRDefault="00370968" w:rsidP="003B55C6">
      <w:pPr>
        <w:pStyle w:val="References"/>
      </w:pPr>
      <w:bookmarkStart w:id="19" w:name="_Ref53702703"/>
      <w:r>
        <w:t xml:space="preserve">Atkinson, G., Bateman, I. J., and </w:t>
      </w:r>
      <w:proofErr w:type="spellStart"/>
      <w:r>
        <w:t>Mourato</w:t>
      </w:r>
      <w:proofErr w:type="spellEnd"/>
      <w:r>
        <w:t xml:space="preserve">, S. (2014) Valuing ecosystem services and biodiversity. </w:t>
      </w:r>
      <w:r>
        <w:rPr>
          <w:i/>
          <w:iCs/>
        </w:rPr>
        <w:t>In</w:t>
      </w:r>
      <w:r>
        <w:t xml:space="preserve"> “Nature in the Balance: The economics of biodiversity” (Helm, D. and Hepburn, C. Eds.), pp. 101</w:t>
      </w:r>
      <w:r w:rsidR="0022378B" w:rsidRPr="00370968">
        <w:t>–</w:t>
      </w:r>
      <w:r>
        <w:t>125</w:t>
      </w:r>
      <w:r w:rsidR="0022378B">
        <w:t>, Oxford University Press, Oxford.</w:t>
      </w:r>
      <w:bookmarkEnd w:id="19"/>
    </w:p>
    <w:p w14:paraId="65536022" w14:textId="16C4EA81" w:rsidR="0022378B" w:rsidRDefault="0022378B" w:rsidP="003B55C6">
      <w:pPr>
        <w:pStyle w:val="References"/>
      </w:pPr>
      <w:bookmarkStart w:id="20" w:name="_Ref53702996"/>
      <w:r>
        <w:t>Norton, B. G. (2005) “Sustainability: A philosophy of adaptive ecosystem management,” University of Chicago Press, Chicago.</w:t>
      </w:r>
      <w:bookmarkEnd w:id="20"/>
    </w:p>
    <w:p w14:paraId="1B65070B" w14:textId="65B000C9" w:rsidR="0022378B" w:rsidRDefault="0022378B" w:rsidP="003B55C6">
      <w:pPr>
        <w:pStyle w:val="References"/>
      </w:pPr>
      <w:bookmarkStart w:id="21" w:name="_Ref53703061"/>
      <w:r w:rsidRPr="0022378B">
        <w:t xml:space="preserve">Sterner, T., &amp; Persson, U. M. (2008) An even sterner review: Introducing relative prices into the discounting debate. </w:t>
      </w:r>
      <w:r w:rsidRPr="0022378B">
        <w:rPr>
          <w:i/>
          <w:iCs/>
        </w:rPr>
        <w:t>Review of Environmental Economics and Policy</w:t>
      </w:r>
      <w:r w:rsidRPr="0022378B">
        <w:t xml:space="preserve">, </w:t>
      </w:r>
      <w:r w:rsidRPr="0022378B">
        <w:rPr>
          <w:i/>
          <w:iCs/>
        </w:rPr>
        <w:t>2</w:t>
      </w:r>
      <w:r w:rsidRPr="0022378B">
        <w:t xml:space="preserve">(1), 61–76. </w:t>
      </w:r>
      <w:hyperlink r:id="rId17" w:history="1">
        <w:r w:rsidRPr="007834F3">
          <w:rPr>
            <w:rStyle w:val="Hyperlink"/>
          </w:rPr>
          <w:t>http://doi.org/10.1093/reep/rem024</w:t>
        </w:r>
      </w:hyperlink>
      <w:bookmarkEnd w:id="21"/>
      <w:r>
        <w:t xml:space="preserve"> </w:t>
      </w:r>
    </w:p>
    <w:p w14:paraId="2C1B09DE" w14:textId="4B736643" w:rsidR="0022378B" w:rsidRDefault="0022378B" w:rsidP="003B55C6">
      <w:pPr>
        <w:pStyle w:val="References"/>
      </w:pPr>
      <w:bookmarkStart w:id="22" w:name="_Ref53703146"/>
      <w:r w:rsidRPr="0022378B">
        <w:t xml:space="preserve">Nordhaus, W. D., &amp; Yang, Z. (1996) A Regional Dynamic General-Equilibrium Model of Alternative Climate-Change Strategies. </w:t>
      </w:r>
      <w:r w:rsidRPr="0022378B">
        <w:rPr>
          <w:i/>
          <w:iCs/>
        </w:rPr>
        <w:t>The American Economic Review</w:t>
      </w:r>
      <w:r w:rsidRPr="0022378B">
        <w:t xml:space="preserve">, </w:t>
      </w:r>
      <w:r w:rsidRPr="0022378B">
        <w:rPr>
          <w:i/>
          <w:iCs/>
        </w:rPr>
        <w:t>86</w:t>
      </w:r>
      <w:r w:rsidRPr="0022378B">
        <w:t xml:space="preserve">(4), 741–765. </w:t>
      </w:r>
      <w:hyperlink r:id="rId18" w:history="1">
        <w:r w:rsidRPr="007834F3">
          <w:rPr>
            <w:rStyle w:val="Hyperlink"/>
          </w:rPr>
          <w:t>https://www.jstor.org/stable/2118303</w:t>
        </w:r>
      </w:hyperlink>
      <w:bookmarkEnd w:id="22"/>
      <w:r>
        <w:t xml:space="preserve"> </w:t>
      </w:r>
    </w:p>
    <w:p w14:paraId="2526EBD0" w14:textId="2BA3CAB3" w:rsidR="0022378B" w:rsidRDefault="0022378B" w:rsidP="003B55C6">
      <w:pPr>
        <w:pStyle w:val="References"/>
      </w:pPr>
      <w:bookmarkStart w:id="23" w:name="_Ref53703232"/>
      <w:proofErr w:type="spellStart"/>
      <w:r w:rsidRPr="0022378B">
        <w:t>Dennig</w:t>
      </w:r>
      <w:proofErr w:type="spellEnd"/>
      <w:r w:rsidRPr="0022378B">
        <w:t xml:space="preserve">, F., </w:t>
      </w:r>
      <w:proofErr w:type="spellStart"/>
      <w:r w:rsidRPr="0022378B">
        <w:t>Budolfson</w:t>
      </w:r>
      <w:proofErr w:type="spellEnd"/>
      <w:r w:rsidRPr="0022378B">
        <w:t xml:space="preserve">, M. B., </w:t>
      </w:r>
      <w:proofErr w:type="spellStart"/>
      <w:r w:rsidRPr="0022378B">
        <w:t>Fleurbaey</w:t>
      </w:r>
      <w:proofErr w:type="spellEnd"/>
      <w:r w:rsidRPr="0022378B">
        <w:t xml:space="preserve">, M., Siebert, A., &amp; Socolow, R. H. (2015) Inequality, climate impacts on the future poor, and carbon prices. </w:t>
      </w:r>
      <w:r w:rsidRPr="0022378B">
        <w:rPr>
          <w:i/>
          <w:iCs/>
        </w:rPr>
        <w:t>Proceedings of the National Academy of Sciences of the United States of America</w:t>
      </w:r>
      <w:r w:rsidRPr="0022378B">
        <w:t xml:space="preserve">, </w:t>
      </w:r>
      <w:r w:rsidRPr="0022378B">
        <w:rPr>
          <w:i/>
          <w:iCs/>
        </w:rPr>
        <w:t>112</w:t>
      </w:r>
      <w:r w:rsidRPr="0022378B">
        <w:t xml:space="preserve">(52), 15827–15832. </w:t>
      </w:r>
      <w:hyperlink r:id="rId19" w:history="1">
        <w:r w:rsidRPr="007834F3">
          <w:rPr>
            <w:rStyle w:val="Hyperlink"/>
          </w:rPr>
          <w:t>http://doi.org/10.1073/pnas.1513967112</w:t>
        </w:r>
      </w:hyperlink>
      <w:bookmarkEnd w:id="23"/>
      <w:r>
        <w:t xml:space="preserve"> </w:t>
      </w:r>
    </w:p>
    <w:p w14:paraId="2FCE8D0D" w14:textId="0DCAB7F3" w:rsidR="0022378B" w:rsidRDefault="0022378B" w:rsidP="003B55C6">
      <w:pPr>
        <w:pStyle w:val="References"/>
      </w:pPr>
      <w:bookmarkStart w:id="24" w:name="_Ref53703233"/>
      <w:proofErr w:type="spellStart"/>
      <w:r w:rsidRPr="0022378B">
        <w:t>Budolfson</w:t>
      </w:r>
      <w:proofErr w:type="spellEnd"/>
      <w:r w:rsidRPr="0022378B">
        <w:t xml:space="preserve">, M. B., </w:t>
      </w:r>
      <w:proofErr w:type="spellStart"/>
      <w:r w:rsidRPr="0022378B">
        <w:t>Dennig</w:t>
      </w:r>
      <w:proofErr w:type="spellEnd"/>
      <w:r w:rsidRPr="0022378B">
        <w:t xml:space="preserve">, F., </w:t>
      </w:r>
      <w:proofErr w:type="spellStart"/>
      <w:r w:rsidRPr="0022378B">
        <w:t>Fleurbaey</w:t>
      </w:r>
      <w:proofErr w:type="spellEnd"/>
      <w:r w:rsidRPr="0022378B">
        <w:t xml:space="preserve">, M., Siebert, A., &amp; Socolow, R. H. (2017) The comparative importance for optimal climate policy of discounting, inequalities and catastrophes. </w:t>
      </w:r>
      <w:r w:rsidRPr="0022378B">
        <w:rPr>
          <w:i/>
          <w:iCs/>
        </w:rPr>
        <w:t>Climatic Change</w:t>
      </w:r>
      <w:r w:rsidRPr="0022378B">
        <w:t xml:space="preserve">, </w:t>
      </w:r>
      <w:r w:rsidRPr="0022378B">
        <w:rPr>
          <w:i/>
          <w:iCs/>
        </w:rPr>
        <w:t>15</w:t>
      </w:r>
      <w:r w:rsidRPr="0022378B">
        <w:t xml:space="preserve">(3-4), 481–494. </w:t>
      </w:r>
      <w:hyperlink r:id="rId20" w:history="1">
        <w:r w:rsidRPr="007834F3">
          <w:rPr>
            <w:rStyle w:val="Hyperlink"/>
          </w:rPr>
          <w:t>http://doi.org/10.1007/s10584-017-2094-x</w:t>
        </w:r>
      </w:hyperlink>
      <w:bookmarkEnd w:id="24"/>
      <w:r>
        <w:t xml:space="preserve"> </w:t>
      </w:r>
    </w:p>
    <w:p w14:paraId="34FF9DED" w14:textId="0390AA68" w:rsidR="0022378B" w:rsidRDefault="0022378B" w:rsidP="003B55C6">
      <w:pPr>
        <w:pStyle w:val="References"/>
      </w:pPr>
      <w:bookmarkStart w:id="25" w:name="_Ref53703345"/>
      <w:r>
        <w:t xml:space="preserve">Stern, N. (2015) “Why are we waiting?” </w:t>
      </w:r>
      <w:r w:rsidR="004A3D3D">
        <w:t>MIT Press, Cambridge, Mass.</w:t>
      </w:r>
      <w:bookmarkEnd w:id="25"/>
    </w:p>
    <w:p w14:paraId="5FE61273" w14:textId="3225AFDC" w:rsidR="004A3D3D" w:rsidRDefault="004A3D3D" w:rsidP="003B55C6">
      <w:pPr>
        <w:pStyle w:val="References"/>
      </w:pPr>
      <w:bookmarkStart w:id="26" w:name="_Ref53703446"/>
      <w:proofErr w:type="spellStart"/>
      <w:r w:rsidRPr="004A3D3D">
        <w:t>Pindyck</w:t>
      </w:r>
      <w:proofErr w:type="spellEnd"/>
      <w:r w:rsidRPr="004A3D3D">
        <w:t xml:space="preserve">, R. S. (2013) Climate Change Policy: What Do the Models Tell Us? </w:t>
      </w:r>
      <w:r w:rsidRPr="004A3D3D">
        <w:rPr>
          <w:i/>
          <w:iCs/>
        </w:rPr>
        <w:t>Journal of Economic Literature</w:t>
      </w:r>
      <w:r w:rsidRPr="004A3D3D">
        <w:t xml:space="preserve">, </w:t>
      </w:r>
      <w:r w:rsidRPr="004A3D3D">
        <w:rPr>
          <w:i/>
          <w:iCs/>
        </w:rPr>
        <w:t>51</w:t>
      </w:r>
      <w:r w:rsidRPr="004A3D3D">
        <w:t xml:space="preserve">(3), 860–872. </w:t>
      </w:r>
      <w:hyperlink r:id="rId21" w:history="1">
        <w:r w:rsidRPr="007834F3">
          <w:rPr>
            <w:rStyle w:val="Hyperlink"/>
          </w:rPr>
          <w:t>http://doi.org/10.1257/jel.51.3.860</w:t>
        </w:r>
      </w:hyperlink>
      <w:bookmarkEnd w:id="26"/>
      <w:r>
        <w:t xml:space="preserve"> </w:t>
      </w:r>
    </w:p>
    <w:p w14:paraId="3AD2F27A" w14:textId="6AD85A0B" w:rsidR="004A3D3D" w:rsidRDefault="004A3D3D" w:rsidP="003B55C6">
      <w:pPr>
        <w:pStyle w:val="References"/>
      </w:pPr>
      <w:bookmarkStart w:id="27" w:name="_Ref53703449"/>
      <w:proofErr w:type="spellStart"/>
      <w:r w:rsidRPr="004A3D3D">
        <w:t>Pindyck</w:t>
      </w:r>
      <w:proofErr w:type="spellEnd"/>
      <w:r w:rsidRPr="004A3D3D">
        <w:t xml:space="preserve">, R. S. (2017) The use and misuse of models for climate policy. </w:t>
      </w:r>
      <w:r w:rsidRPr="004A3D3D">
        <w:rPr>
          <w:i/>
          <w:iCs/>
        </w:rPr>
        <w:t>Review of Environmental Economics and Policy</w:t>
      </w:r>
      <w:r w:rsidRPr="004A3D3D">
        <w:t xml:space="preserve">, </w:t>
      </w:r>
      <w:r w:rsidRPr="004A3D3D">
        <w:rPr>
          <w:i/>
          <w:iCs/>
        </w:rPr>
        <w:t>11</w:t>
      </w:r>
      <w:r w:rsidRPr="004A3D3D">
        <w:t xml:space="preserve">(1), 100–114. </w:t>
      </w:r>
      <w:hyperlink r:id="rId22" w:history="1">
        <w:r w:rsidRPr="007834F3">
          <w:rPr>
            <w:rStyle w:val="Hyperlink"/>
          </w:rPr>
          <w:t>http://doi.org/10.1093/reep/rew012</w:t>
        </w:r>
      </w:hyperlink>
      <w:bookmarkEnd w:id="27"/>
      <w:r>
        <w:t xml:space="preserve"> </w:t>
      </w:r>
    </w:p>
    <w:p w14:paraId="1C9DF86C" w14:textId="5A9A8D8E" w:rsidR="004A3D3D" w:rsidRDefault="004A3D3D" w:rsidP="003B55C6">
      <w:pPr>
        <w:pStyle w:val="References"/>
      </w:pPr>
      <w:bookmarkStart w:id="28" w:name="_Ref53703693"/>
      <w:r w:rsidRPr="004A3D3D">
        <w:t xml:space="preserve">Stern, N. (2013) The Structure of Economic Modeling of the Potential Impacts of Climate Change: Grafting Gross Underestimation of Risk onto Already Narrow Science </w:t>
      </w:r>
      <w:r w:rsidRPr="004A3D3D">
        <w:lastRenderedPageBreak/>
        <w:t xml:space="preserve">Models. </w:t>
      </w:r>
      <w:r w:rsidRPr="004A3D3D">
        <w:rPr>
          <w:i/>
          <w:iCs/>
        </w:rPr>
        <w:t>Journal of Economic Literature</w:t>
      </w:r>
      <w:r w:rsidRPr="004A3D3D">
        <w:t xml:space="preserve">, </w:t>
      </w:r>
      <w:r w:rsidRPr="004A3D3D">
        <w:rPr>
          <w:i/>
          <w:iCs/>
        </w:rPr>
        <w:t>51</w:t>
      </w:r>
      <w:r w:rsidRPr="004A3D3D">
        <w:t xml:space="preserve">(3), 838–859. </w:t>
      </w:r>
      <w:hyperlink r:id="rId23" w:history="1">
        <w:r w:rsidRPr="007834F3">
          <w:rPr>
            <w:rStyle w:val="Hyperlink"/>
          </w:rPr>
          <w:t>http://doi.org/10.1257/jel.51.3.838</w:t>
        </w:r>
      </w:hyperlink>
      <w:bookmarkEnd w:id="28"/>
      <w:r>
        <w:t xml:space="preserve"> </w:t>
      </w:r>
    </w:p>
    <w:p w14:paraId="76357326" w14:textId="4A42CB46" w:rsidR="004A3D3D" w:rsidRDefault="004A3D3D" w:rsidP="004A3D3D">
      <w:pPr>
        <w:pStyle w:val="References"/>
      </w:pPr>
      <w:bookmarkStart w:id="29" w:name="_Ref53704062"/>
      <w:r w:rsidRPr="004A3D3D">
        <w:t xml:space="preserve">Burke, M., Hsiang, S. M., &amp; Miguel, E. (2015) Global non-linear effect of temperature on economic production. </w:t>
      </w:r>
      <w:r w:rsidRPr="004A3D3D">
        <w:rPr>
          <w:i/>
          <w:iCs/>
        </w:rPr>
        <w:t>Nature</w:t>
      </w:r>
      <w:r w:rsidRPr="004A3D3D">
        <w:t xml:space="preserve">, </w:t>
      </w:r>
      <w:r w:rsidRPr="004A3D3D">
        <w:rPr>
          <w:i/>
          <w:iCs/>
        </w:rPr>
        <w:t>527</w:t>
      </w:r>
      <w:r w:rsidRPr="004A3D3D">
        <w:t xml:space="preserve">(7577), 235–239. </w:t>
      </w:r>
      <w:hyperlink r:id="rId24" w:history="1">
        <w:r w:rsidRPr="007834F3">
          <w:rPr>
            <w:rStyle w:val="Hyperlink"/>
          </w:rPr>
          <w:t>http://doi.org/10.1038/nature15725</w:t>
        </w:r>
      </w:hyperlink>
      <w:bookmarkEnd w:id="29"/>
      <w:r>
        <w:t xml:space="preserve"> </w:t>
      </w:r>
    </w:p>
    <w:p w14:paraId="003D49BF" w14:textId="4135185A" w:rsidR="004A3D3D" w:rsidRDefault="009604A7" w:rsidP="004A3D3D">
      <w:pPr>
        <w:pStyle w:val="References"/>
      </w:pPr>
      <w:bookmarkStart w:id="30" w:name="_Ref53704067"/>
      <w:r w:rsidRPr="009604A7">
        <w:t xml:space="preserve">Carleton, T. A., &amp; Hsiang, S. M. (2016) Social and economic impacts of climate. </w:t>
      </w:r>
      <w:r w:rsidRPr="009604A7">
        <w:rPr>
          <w:i/>
          <w:iCs/>
        </w:rPr>
        <w:t>Science</w:t>
      </w:r>
      <w:r w:rsidRPr="009604A7">
        <w:t xml:space="preserve">, </w:t>
      </w:r>
      <w:r w:rsidRPr="009604A7">
        <w:rPr>
          <w:i/>
          <w:iCs/>
        </w:rPr>
        <w:t>353</w:t>
      </w:r>
      <w:r w:rsidRPr="009604A7">
        <w:t xml:space="preserve">(6304), aad9837–aad9837. </w:t>
      </w:r>
      <w:hyperlink r:id="rId25" w:history="1">
        <w:r w:rsidRPr="007834F3">
          <w:rPr>
            <w:rStyle w:val="Hyperlink"/>
          </w:rPr>
          <w:t>http://doi.org/10.1126/science.aad9837</w:t>
        </w:r>
      </w:hyperlink>
      <w:bookmarkEnd w:id="30"/>
      <w:r>
        <w:t xml:space="preserve"> </w:t>
      </w:r>
    </w:p>
    <w:p w14:paraId="2CF3FD74" w14:textId="7763A057" w:rsidR="00D94D36" w:rsidRDefault="00D94D36" w:rsidP="004A3D3D">
      <w:pPr>
        <w:pStyle w:val="References"/>
      </w:pPr>
      <w:bookmarkStart w:id="31" w:name="_Ref53704069"/>
      <w:r w:rsidRPr="00D94D36">
        <w:t xml:space="preserve">Hsiang, S. M., Kopp, R., </w:t>
      </w:r>
      <w:proofErr w:type="spellStart"/>
      <w:r w:rsidRPr="00D94D36">
        <w:t>Jina</w:t>
      </w:r>
      <w:proofErr w:type="spellEnd"/>
      <w:r w:rsidRPr="00D94D36">
        <w:t xml:space="preserve">, A., Rising, J., Delgado, M., Mohan, S., et al. (2017) Estimating economic damage from climate change in the United States. </w:t>
      </w:r>
      <w:r w:rsidRPr="00D94D36">
        <w:rPr>
          <w:i/>
          <w:iCs/>
        </w:rPr>
        <w:t>Science</w:t>
      </w:r>
      <w:r w:rsidRPr="00D94D36">
        <w:t xml:space="preserve">, </w:t>
      </w:r>
      <w:r w:rsidRPr="00D94D36">
        <w:rPr>
          <w:i/>
          <w:iCs/>
        </w:rPr>
        <w:t>356</w:t>
      </w:r>
      <w:r w:rsidRPr="00D94D36">
        <w:t xml:space="preserve">(6345), 1362–1369. </w:t>
      </w:r>
      <w:hyperlink r:id="rId26" w:history="1">
        <w:r w:rsidRPr="007834F3">
          <w:rPr>
            <w:rStyle w:val="Hyperlink"/>
          </w:rPr>
          <w:t>http://doi.org/10.1126/science.aal4369</w:t>
        </w:r>
      </w:hyperlink>
      <w:bookmarkEnd w:id="31"/>
      <w:r>
        <w:t xml:space="preserve"> </w:t>
      </w:r>
    </w:p>
    <w:p w14:paraId="5B1E58E0" w14:textId="2C489407" w:rsidR="00EC3045" w:rsidRDefault="00EC3045" w:rsidP="004A3D3D">
      <w:pPr>
        <w:pStyle w:val="References"/>
      </w:pPr>
      <w:bookmarkStart w:id="32" w:name="_Ref53704244"/>
      <w:r w:rsidRPr="00EC3045">
        <w:t xml:space="preserve">Jackson, F., &amp; Smith, M. (2006) Absolutist moral theories and uncertainty. </w:t>
      </w:r>
      <w:r w:rsidRPr="00EC3045">
        <w:rPr>
          <w:i/>
          <w:iCs/>
        </w:rPr>
        <w:t>The Journal of Philosophy</w:t>
      </w:r>
      <w:r w:rsidRPr="00EC3045">
        <w:t xml:space="preserve">, </w:t>
      </w:r>
      <w:r w:rsidRPr="00EC3045">
        <w:rPr>
          <w:i/>
          <w:iCs/>
        </w:rPr>
        <w:t>103</w:t>
      </w:r>
      <w:r w:rsidRPr="00EC3045">
        <w:t>(6), 267–283.</w:t>
      </w:r>
      <w:r>
        <w:t xml:space="preserve"> </w:t>
      </w:r>
      <w:hyperlink r:id="rId27" w:history="1">
        <w:r w:rsidRPr="007834F3">
          <w:rPr>
            <w:rStyle w:val="Hyperlink"/>
          </w:rPr>
          <w:t>http://www.jstor.org/stable/20619943</w:t>
        </w:r>
      </w:hyperlink>
      <w:bookmarkEnd w:id="32"/>
      <w:r>
        <w:t xml:space="preserve"> </w:t>
      </w:r>
    </w:p>
    <w:p w14:paraId="02BE9C8B" w14:textId="1C29DBFF" w:rsidR="00EC3045" w:rsidRDefault="00EC3045" w:rsidP="004A3D3D">
      <w:pPr>
        <w:pStyle w:val="References"/>
      </w:pPr>
      <w:bookmarkStart w:id="33" w:name="_Ref53704409"/>
      <w:r>
        <w:t>Nordhaus, W. (2008) “A question of balance,” Yale University Press, New Haven.</w:t>
      </w:r>
      <w:bookmarkEnd w:id="33"/>
    </w:p>
    <w:p w14:paraId="0CE98E8C" w14:textId="440B149A" w:rsidR="00EC3045" w:rsidRDefault="00EC3045" w:rsidP="004A3D3D">
      <w:pPr>
        <w:pStyle w:val="References"/>
      </w:pPr>
      <w:bookmarkStart w:id="34" w:name="_Ref53704509"/>
      <w:r w:rsidRPr="00EC3045">
        <w:t xml:space="preserve">Adler, M. D., &amp; </w:t>
      </w:r>
      <w:proofErr w:type="spellStart"/>
      <w:r w:rsidRPr="00EC3045">
        <w:t>Treich</w:t>
      </w:r>
      <w:proofErr w:type="spellEnd"/>
      <w:r w:rsidRPr="00EC3045">
        <w:t xml:space="preserve">, N. (2015) Prioritarianism and Climate Change. </w:t>
      </w:r>
      <w:r w:rsidRPr="00EC3045">
        <w:rPr>
          <w:i/>
          <w:iCs/>
        </w:rPr>
        <w:t>Environmental and Resource Economics</w:t>
      </w:r>
      <w:r w:rsidRPr="00EC3045">
        <w:t xml:space="preserve">, </w:t>
      </w:r>
      <w:r w:rsidRPr="00EC3045">
        <w:rPr>
          <w:i/>
          <w:iCs/>
        </w:rPr>
        <w:t>62</w:t>
      </w:r>
      <w:r w:rsidRPr="00EC3045">
        <w:t xml:space="preserve">(2), 279–308. </w:t>
      </w:r>
      <w:hyperlink r:id="rId28" w:history="1">
        <w:r w:rsidRPr="007834F3">
          <w:rPr>
            <w:rStyle w:val="Hyperlink"/>
          </w:rPr>
          <w:t>http://doi.org/10.1007/s10640-015-9960-7</w:t>
        </w:r>
      </w:hyperlink>
      <w:bookmarkEnd w:id="34"/>
      <w:r>
        <w:t xml:space="preserve"> </w:t>
      </w:r>
    </w:p>
    <w:p w14:paraId="78224078" w14:textId="5D97FA2A" w:rsidR="00EC3045" w:rsidRDefault="00EC3045" w:rsidP="004A3D3D">
      <w:pPr>
        <w:pStyle w:val="References"/>
      </w:pPr>
      <w:bookmarkStart w:id="35" w:name="_Ref53704514"/>
      <w:r w:rsidRPr="00EC3045">
        <w:t xml:space="preserve">Adler, M. D., </w:t>
      </w:r>
      <w:proofErr w:type="spellStart"/>
      <w:r w:rsidRPr="00EC3045">
        <w:t>Anthoff</w:t>
      </w:r>
      <w:proofErr w:type="spellEnd"/>
      <w:r w:rsidRPr="00EC3045">
        <w:t xml:space="preserve">, D., </w:t>
      </w:r>
      <w:proofErr w:type="spellStart"/>
      <w:r w:rsidRPr="00EC3045">
        <w:t>Bosetti</w:t>
      </w:r>
      <w:proofErr w:type="spellEnd"/>
      <w:r w:rsidRPr="00EC3045">
        <w:t xml:space="preserve">, V., Garner, G., Keller, K., &amp; </w:t>
      </w:r>
      <w:proofErr w:type="spellStart"/>
      <w:r w:rsidRPr="00EC3045">
        <w:t>Treich</w:t>
      </w:r>
      <w:proofErr w:type="spellEnd"/>
      <w:r w:rsidRPr="00EC3045">
        <w:t xml:space="preserve">, N. (2017) Priority for the worse-off and the social cost of carbon. </w:t>
      </w:r>
      <w:r w:rsidRPr="00EC3045">
        <w:rPr>
          <w:i/>
          <w:iCs/>
        </w:rPr>
        <w:t>Nature Climate Change</w:t>
      </w:r>
      <w:r w:rsidRPr="00EC3045">
        <w:t xml:space="preserve">, </w:t>
      </w:r>
      <w:r w:rsidRPr="00EC3045">
        <w:rPr>
          <w:i/>
          <w:iCs/>
        </w:rPr>
        <w:t>7</w:t>
      </w:r>
      <w:r w:rsidRPr="00EC3045">
        <w:t xml:space="preserve">(6), 443–449. </w:t>
      </w:r>
      <w:hyperlink r:id="rId29" w:history="1">
        <w:r w:rsidRPr="007834F3">
          <w:rPr>
            <w:rStyle w:val="Hyperlink"/>
          </w:rPr>
          <w:t>http://doi.org/10.1007/s10584-010-9967-6</w:t>
        </w:r>
      </w:hyperlink>
      <w:bookmarkEnd w:id="35"/>
      <w:r>
        <w:t xml:space="preserve"> </w:t>
      </w:r>
    </w:p>
    <w:p w14:paraId="2A6513DF" w14:textId="20FF63A2" w:rsidR="00EC3045" w:rsidRDefault="00EC3045" w:rsidP="004A3D3D">
      <w:pPr>
        <w:pStyle w:val="References"/>
      </w:pPr>
      <w:bookmarkStart w:id="36" w:name="_Ref53704848"/>
      <w:proofErr w:type="spellStart"/>
      <w:r w:rsidRPr="00EC3045">
        <w:t>Gollier</w:t>
      </w:r>
      <w:proofErr w:type="spellEnd"/>
      <w:r w:rsidRPr="00EC3045">
        <w:t xml:space="preserve">, C. (2012) </w:t>
      </w:r>
      <w:r>
        <w:t xml:space="preserve">The </w:t>
      </w:r>
      <w:r w:rsidRPr="00EC3045">
        <w:t xml:space="preserve">Debate on Discounting: Reconciling Positivists and Ethicists. </w:t>
      </w:r>
      <w:r w:rsidRPr="00EC3045">
        <w:rPr>
          <w:i/>
          <w:iCs/>
        </w:rPr>
        <w:t>Chi J Int'l L</w:t>
      </w:r>
      <w:r w:rsidRPr="00EC3045">
        <w:t xml:space="preserve">, </w:t>
      </w:r>
      <w:r w:rsidRPr="00EC3045">
        <w:rPr>
          <w:i/>
          <w:iCs/>
        </w:rPr>
        <w:t>13</w:t>
      </w:r>
      <w:r w:rsidRPr="00EC3045">
        <w:t>(2), 549–564.</w:t>
      </w:r>
      <w:r>
        <w:t xml:space="preserve"> </w:t>
      </w:r>
      <w:hyperlink r:id="rId30" w:history="1">
        <w:r w:rsidRPr="007834F3">
          <w:rPr>
            <w:rStyle w:val="Hyperlink"/>
          </w:rPr>
          <w:t>http://heinonline.org/hol-cgi-bin/get_pdf.cgi?handle=hein.journals/cjil13&amp;section=26</w:t>
        </w:r>
      </w:hyperlink>
      <w:bookmarkEnd w:id="36"/>
      <w:r>
        <w:t xml:space="preserve"> </w:t>
      </w:r>
    </w:p>
    <w:p w14:paraId="0300815F" w14:textId="0D5FC70F" w:rsidR="00EC3045" w:rsidRDefault="00AE1B81" w:rsidP="004A3D3D">
      <w:pPr>
        <w:pStyle w:val="References"/>
      </w:pPr>
      <w:bookmarkStart w:id="37" w:name="_Ref53704850"/>
      <w:r w:rsidRPr="00AE1B81">
        <w:t xml:space="preserve">Davidson, M. D. (2015) Climate change and the ethics of discounting. </w:t>
      </w:r>
      <w:r w:rsidRPr="00AE1B81">
        <w:rPr>
          <w:i/>
          <w:iCs/>
        </w:rPr>
        <w:t>Wiley Interdisciplinary Reviews: Climate Change</w:t>
      </w:r>
      <w:r w:rsidRPr="00AE1B81">
        <w:t xml:space="preserve">, </w:t>
      </w:r>
      <w:r w:rsidRPr="00AE1B81">
        <w:rPr>
          <w:i/>
          <w:iCs/>
        </w:rPr>
        <w:t>6</w:t>
      </w:r>
      <w:r w:rsidRPr="00AE1B81">
        <w:t xml:space="preserve">(4), 401–412. </w:t>
      </w:r>
      <w:hyperlink r:id="rId31" w:history="1">
        <w:r w:rsidRPr="007834F3">
          <w:rPr>
            <w:rStyle w:val="Hyperlink"/>
          </w:rPr>
          <w:t>http://doi.org/10.1002/wcc.347</w:t>
        </w:r>
      </w:hyperlink>
      <w:bookmarkEnd w:id="37"/>
      <w:r>
        <w:t xml:space="preserve"> </w:t>
      </w:r>
    </w:p>
    <w:p w14:paraId="4E2570A8" w14:textId="65676409" w:rsidR="00AE1B81" w:rsidRDefault="00AE1B81" w:rsidP="004A3D3D">
      <w:pPr>
        <w:pStyle w:val="References"/>
      </w:pPr>
      <w:bookmarkStart w:id="38" w:name="_Ref53704851"/>
      <w:r w:rsidRPr="00AE1B81">
        <w:t xml:space="preserve">Greaves, H. (2017) Discounting for Public Policy: A Survey. </w:t>
      </w:r>
      <w:r w:rsidRPr="00AE1B81">
        <w:rPr>
          <w:i/>
          <w:iCs/>
        </w:rPr>
        <w:t>Economics and Philosophy</w:t>
      </w:r>
      <w:r w:rsidRPr="00AE1B81">
        <w:t xml:space="preserve">, </w:t>
      </w:r>
      <w:r w:rsidRPr="00AE1B81">
        <w:rPr>
          <w:i/>
          <w:iCs/>
        </w:rPr>
        <w:t>33</w:t>
      </w:r>
      <w:r w:rsidRPr="00AE1B81">
        <w:t xml:space="preserve">(3), 391–339. </w:t>
      </w:r>
      <w:hyperlink r:id="rId32" w:history="1">
        <w:r w:rsidRPr="007834F3">
          <w:rPr>
            <w:rStyle w:val="Hyperlink"/>
          </w:rPr>
          <w:t>http://doi.org/10.1017/S0266267117000062</w:t>
        </w:r>
      </w:hyperlink>
      <w:bookmarkEnd w:id="38"/>
      <w:r>
        <w:t xml:space="preserve"> </w:t>
      </w:r>
    </w:p>
    <w:p w14:paraId="4A759B6A" w14:textId="2F670A71" w:rsidR="00AE1B81" w:rsidRDefault="00AE1B81" w:rsidP="004A3D3D">
      <w:pPr>
        <w:pStyle w:val="References"/>
      </w:pPr>
      <w:bookmarkStart w:id="39" w:name="_Ref53704852"/>
      <w:r>
        <w:t xml:space="preserve">Mintz-Woo, K. (forthcoming) A philosopher’s guide to discounting. </w:t>
      </w:r>
      <w:r>
        <w:rPr>
          <w:i/>
          <w:iCs/>
        </w:rPr>
        <w:t>In</w:t>
      </w:r>
      <w:r>
        <w:t xml:space="preserve"> “Philosophy and Climate Change” (</w:t>
      </w:r>
      <w:proofErr w:type="spellStart"/>
      <w:r>
        <w:t>Budolfson</w:t>
      </w:r>
      <w:proofErr w:type="spellEnd"/>
      <w:r>
        <w:t>, M., McPherson, T. and Plunkett, D. Eds.), Oxford University Press, Oxford.</w:t>
      </w:r>
      <w:bookmarkEnd w:id="39"/>
    </w:p>
    <w:p w14:paraId="1F086CEA" w14:textId="11DC7FDA" w:rsidR="00AE1B81" w:rsidRDefault="000F7896" w:rsidP="004A3D3D">
      <w:pPr>
        <w:pStyle w:val="References"/>
      </w:pPr>
      <w:bookmarkStart w:id="40" w:name="_Ref53705025"/>
      <w:r w:rsidRPr="000F7896">
        <w:t xml:space="preserve">Dasgupta, P. (2008) Discounting climate change. </w:t>
      </w:r>
      <w:r w:rsidRPr="000F7896">
        <w:rPr>
          <w:i/>
          <w:iCs/>
        </w:rPr>
        <w:t>Journal of Risk and Uncertainty</w:t>
      </w:r>
      <w:r w:rsidRPr="000F7896">
        <w:t xml:space="preserve">, </w:t>
      </w:r>
      <w:r w:rsidRPr="000F7896">
        <w:rPr>
          <w:i/>
          <w:iCs/>
        </w:rPr>
        <w:t>37</w:t>
      </w:r>
      <w:r w:rsidRPr="000F7896">
        <w:t xml:space="preserve">(2), 141–169. </w:t>
      </w:r>
      <w:hyperlink r:id="rId33" w:history="1">
        <w:r w:rsidRPr="007834F3">
          <w:rPr>
            <w:rStyle w:val="Hyperlink"/>
          </w:rPr>
          <w:t>http://doi.org/10.1007/s11166-008-9049-6</w:t>
        </w:r>
      </w:hyperlink>
      <w:bookmarkEnd w:id="40"/>
      <w:r>
        <w:t xml:space="preserve"> </w:t>
      </w:r>
    </w:p>
    <w:p w14:paraId="53218C3C" w14:textId="77AA2736" w:rsidR="000F7896" w:rsidRDefault="000F7896" w:rsidP="004A3D3D">
      <w:pPr>
        <w:pStyle w:val="References"/>
      </w:pPr>
      <w:bookmarkStart w:id="41" w:name="_Ref53705026"/>
      <w:proofErr w:type="spellStart"/>
      <w:r w:rsidRPr="000F7896">
        <w:t>Goulder</w:t>
      </w:r>
      <w:proofErr w:type="spellEnd"/>
      <w:r w:rsidRPr="000F7896">
        <w:t xml:space="preserve">, L. H., &amp; Williams, R. C. (2012) The Choice of Discount Rate for Climate Change Policy Evaluation. </w:t>
      </w:r>
      <w:r w:rsidRPr="000F7896">
        <w:rPr>
          <w:i/>
          <w:iCs/>
        </w:rPr>
        <w:t>Climate Change Economics</w:t>
      </w:r>
      <w:r w:rsidRPr="000F7896">
        <w:t xml:space="preserve">, </w:t>
      </w:r>
      <w:r w:rsidRPr="000F7896">
        <w:rPr>
          <w:i/>
          <w:iCs/>
        </w:rPr>
        <w:t>03</w:t>
      </w:r>
      <w:r w:rsidRPr="000F7896">
        <w:t xml:space="preserve">(04), 1250024. </w:t>
      </w:r>
      <w:hyperlink r:id="rId34" w:history="1">
        <w:r w:rsidRPr="007834F3">
          <w:rPr>
            <w:rStyle w:val="Hyperlink"/>
          </w:rPr>
          <w:t>http://doi.org/10.1142/S2010007812500248</w:t>
        </w:r>
      </w:hyperlink>
      <w:bookmarkEnd w:id="41"/>
      <w:r>
        <w:t xml:space="preserve"> </w:t>
      </w:r>
    </w:p>
    <w:p w14:paraId="55AF38C7" w14:textId="628EF0F6" w:rsidR="000F7896" w:rsidRDefault="000F7896" w:rsidP="004A3D3D">
      <w:pPr>
        <w:pStyle w:val="References"/>
      </w:pPr>
      <w:bookmarkStart w:id="42" w:name="_Ref53705154"/>
      <w:r w:rsidRPr="000F7896">
        <w:t xml:space="preserve">Ramsey, F. P. (1928) A mathematical theory of saving. </w:t>
      </w:r>
      <w:r w:rsidRPr="000F7896">
        <w:rPr>
          <w:i/>
          <w:iCs/>
        </w:rPr>
        <w:t>The Economic Journal</w:t>
      </w:r>
      <w:r w:rsidRPr="000F7896">
        <w:t xml:space="preserve">, </w:t>
      </w:r>
      <w:r w:rsidRPr="000F7896">
        <w:rPr>
          <w:i/>
          <w:iCs/>
        </w:rPr>
        <w:t>38</w:t>
      </w:r>
      <w:r w:rsidRPr="000F7896">
        <w:t xml:space="preserve">(152), 543–559. </w:t>
      </w:r>
      <w:hyperlink r:id="rId35" w:history="1">
        <w:r w:rsidRPr="007834F3">
          <w:rPr>
            <w:rStyle w:val="Hyperlink"/>
          </w:rPr>
          <w:t>http://doi.org/10.1111/ecoj.12229</w:t>
        </w:r>
      </w:hyperlink>
      <w:bookmarkEnd w:id="42"/>
      <w:r>
        <w:t xml:space="preserve"> </w:t>
      </w:r>
    </w:p>
    <w:p w14:paraId="20BEF55F" w14:textId="78616092" w:rsidR="005E0B87" w:rsidRDefault="005E630F" w:rsidP="004A3D3D">
      <w:pPr>
        <w:pStyle w:val="References"/>
      </w:pPr>
      <w:bookmarkStart w:id="43" w:name="_Ref53706732"/>
      <w:r>
        <w:t xml:space="preserve">Arrow, K. (1999) Discounting, morality, and gaming. </w:t>
      </w:r>
      <w:r>
        <w:rPr>
          <w:i/>
          <w:iCs/>
        </w:rPr>
        <w:t>In</w:t>
      </w:r>
      <w:r>
        <w:t xml:space="preserve"> “Discounting and Intergenerational Equity” (Portnoy, P. R. and </w:t>
      </w:r>
      <w:proofErr w:type="spellStart"/>
      <w:r>
        <w:t>Weyant</w:t>
      </w:r>
      <w:proofErr w:type="spellEnd"/>
      <w:r>
        <w:t>, J. P.), pp. 12</w:t>
      </w:r>
      <w:r w:rsidRPr="000F7896">
        <w:t>–</w:t>
      </w:r>
      <w:r>
        <w:t>22, Resources for the Future, New York.</w:t>
      </w:r>
      <w:bookmarkEnd w:id="43"/>
    </w:p>
    <w:p w14:paraId="4AC2C5F6" w14:textId="43AF6343" w:rsidR="005E630F" w:rsidRDefault="005E630F" w:rsidP="004A3D3D">
      <w:pPr>
        <w:pStyle w:val="References"/>
      </w:pPr>
      <w:bookmarkStart w:id="44" w:name="_Ref53706748"/>
      <w:r>
        <w:t>Scheffler, S (1994) “The rejection of consequentialism: A philosophical investigation of the considerations underlying rival moral conceptions,” Oxford University Press, Oxford.</w:t>
      </w:r>
      <w:bookmarkEnd w:id="44"/>
    </w:p>
    <w:p w14:paraId="3A7FD543" w14:textId="10CAA0B6" w:rsidR="005E630F" w:rsidRDefault="005E630F" w:rsidP="004A3D3D">
      <w:pPr>
        <w:pStyle w:val="References"/>
      </w:pPr>
      <w:bookmarkStart w:id="45" w:name="_Ref53706859"/>
      <w:r w:rsidRPr="005E630F">
        <w:t xml:space="preserve">Heath, J. (2017) Climate ethics: justifying a positive social time preference. </w:t>
      </w:r>
      <w:r w:rsidRPr="005E630F">
        <w:rPr>
          <w:i/>
          <w:iCs/>
        </w:rPr>
        <w:t>Journal of Moral Philosophy</w:t>
      </w:r>
      <w:r w:rsidRPr="005E630F">
        <w:t xml:space="preserve">, </w:t>
      </w:r>
      <w:r w:rsidRPr="005E630F">
        <w:rPr>
          <w:i/>
          <w:iCs/>
        </w:rPr>
        <w:t>14</w:t>
      </w:r>
      <w:r w:rsidRPr="005E630F">
        <w:t xml:space="preserve">(4), 435–462. </w:t>
      </w:r>
      <w:hyperlink r:id="rId36" w:history="1">
        <w:r w:rsidRPr="007834F3">
          <w:rPr>
            <w:rStyle w:val="Hyperlink"/>
          </w:rPr>
          <w:t>http://doi.org/10.1163/17455243-46810051</w:t>
        </w:r>
      </w:hyperlink>
      <w:bookmarkEnd w:id="45"/>
      <w:r>
        <w:t xml:space="preserve"> </w:t>
      </w:r>
    </w:p>
    <w:p w14:paraId="4884104D" w14:textId="17CBE74B" w:rsidR="005E630F" w:rsidRDefault="005E630F" w:rsidP="004A3D3D">
      <w:pPr>
        <w:pStyle w:val="References"/>
      </w:pPr>
      <w:bookmarkStart w:id="46" w:name="_Ref53706891"/>
      <w:r w:rsidRPr="005E630F">
        <w:t xml:space="preserve">Mintz-Woo, K. (2019) Principled Utility Discounting Under Risk. </w:t>
      </w:r>
      <w:r w:rsidRPr="005E630F">
        <w:rPr>
          <w:i/>
          <w:iCs/>
        </w:rPr>
        <w:t>Moral Philosophy and Politics</w:t>
      </w:r>
      <w:r w:rsidRPr="005E630F">
        <w:t xml:space="preserve">, </w:t>
      </w:r>
      <w:r w:rsidRPr="005E630F">
        <w:rPr>
          <w:i/>
          <w:iCs/>
        </w:rPr>
        <w:t>6</w:t>
      </w:r>
      <w:r w:rsidRPr="005E630F">
        <w:t xml:space="preserve">(1), 89–112. </w:t>
      </w:r>
      <w:hyperlink r:id="rId37" w:history="1">
        <w:r w:rsidRPr="007834F3">
          <w:rPr>
            <w:rStyle w:val="Hyperlink"/>
          </w:rPr>
          <w:t>http://doi.org/10.1515/mopp-2018-0060</w:t>
        </w:r>
      </w:hyperlink>
      <w:bookmarkEnd w:id="46"/>
      <w:r>
        <w:t xml:space="preserve"> </w:t>
      </w:r>
    </w:p>
    <w:p w14:paraId="0474F8A6" w14:textId="6841191C" w:rsidR="005E630F" w:rsidRDefault="005E630F" w:rsidP="004A3D3D">
      <w:pPr>
        <w:pStyle w:val="References"/>
      </w:pPr>
      <w:bookmarkStart w:id="47" w:name="_Ref53706966"/>
      <w:r w:rsidRPr="005E630F">
        <w:lastRenderedPageBreak/>
        <w:t xml:space="preserve">Greaves, H. (2017) Population axiology. </w:t>
      </w:r>
      <w:r w:rsidRPr="005E630F">
        <w:rPr>
          <w:i/>
          <w:iCs/>
        </w:rPr>
        <w:t>Philosophy Compass</w:t>
      </w:r>
      <w:r w:rsidRPr="005E630F">
        <w:t xml:space="preserve">, </w:t>
      </w:r>
      <w:r w:rsidRPr="005E630F">
        <w:rPr>
          <w:i/>
          <w:iCs/>
        </w:rPr>
        <w:t>12</w:t>
      </w:r>
      <w:r w:rsidRPr="005E630F">
        <w:t xml:space="preserve">(11). </w:t>
      </w:r>
      <w:hyperlink r:id="rId38" w:history="1">
        <w:r w:rsidRPr="007834F3">
          <w:rPr>
            <w:rStyle w:val="Hyperlink"/>
          </w:rPr>
          <w:t>http://doi.org/10.1111/phc3.12442</w:t>
        </w:r>
      </w:hyperlink>
      <w:bookmarkEnd w:id="47"/>
    </w:p>
    <w:p w14:paraId="22D57A59" w14:textId="53904498" w:rsidR="005E630F" w:rsidRDefault="005E630F" w:rsidP="004A3D3D">
      <w:pPr>
        <w:pStyle w:val="References"/>
      </w:pPr>
      <w:bookmarkStart w:id="48" w:name="_Ref53707032"/>
      <w:proofErr w:type="spellStart"/>
      <w:r w:rsidRPr="005E630F">
        <w:t>Scovronick</w:t>
      </w:r>
      <w:proofErr w:type="spellEnd"/>
      <w:r w:rsidRPr="005E630F">
        <w:t xml:space="preserve">, N., </w:t>
      </w:r>
      <w:proofErr w:type="spellStart"/>
      <w:r w:rsidRPr="005E630F">
        <w:t>Budolfson</w:t>
      </w:r>
      <w:proofErr w:type="spellEnd"/>
      <w:r w:rsidRPr="005E630F">
        <w:t xml:space="preserve">, M. B., </w:t>
      </w:r>
      <w:proofErr w:type="spellStart"/>
      <w:r w:rsidRPr="005E630F">
        <w:t>Dennig</w:t>
      </w:r>
      <w:proofErr w:type="spellEnd"/>
      <w:r w:rsidRPr="005E630F">
        <w:t xml:space="preserve">, F., </w:t>
      </w:r>
      <w:proofErr w:type="spellStart"/>
      <w:r w:rsidRPr="005E630F">
        <w:t>Fleurbaey</w:t>
      </w:r>
      <w:proofErr w:type="spellEnd"/>
      <w:r w:rsidRPr="005E630F">
        <w:t xml:space="preserve">, M., Siebert, A., Socolow, R. H., et al. (2017) Impact of population growth and population ethics on climate change mitigation policy. </w:t>
      </w:r>
      <w:r w:rsidRPr="005E630F">
        <w:rPr>
          <w:i/>
          <w:iCs/>
        </w:rPr>
        <w:t>Proceedings of the National Academy of Sciences of the United States of America</w:t>
      </w:r>
      <w:r w:rsidRPr="005E630F">
        <w:t xml:space="preserve">, </w:t>
      </w:r>
      <w:r w:rsidRPr="005E630F">
        <w:rPr>
          <w:i/>
          <w:iCs/>
        </w:rPr>
        <w:t>114</w:t>
      </w:r>
      <w:r w:rsidRPr="005E630F">
        <w:t xml:space="preserve">(46), 12338–12343. </w:t>
      </w:r>
      <w:hyperlink r:id="rId39" w:history="1">
        <w:r w:rsidRPr="007834F3">
          <w:rPr>
            <w:rStyle w:val="Hyperlink"/>
          </w:rPr>
          <w:t>http://doi.org/10.1073/pnas.1618308114</w:t>
        </w:r>
      </w:hyperlink>
      <w:bookmarkEnd w:id="48"/>
      <w:r>
        <w:t xml:space="preserve"> </w:t>
      </w:r>
    </w:p>
    <w:p w14:paraId="60A45B0D" w14:textId="4A83BC96" w:rsidR="005E630F" w:rsidRDefault="005E630F" w:rsidP="004A3D3D">
      <w:pPr>
        <w:pStyle w:val="References"/>
      </w:pPr>
      <w:bookmarkStart w:id="49" w:name="_Ref53707126"/>
      <w:r w:rsidRPr="005E630F">
        <w:t xml:space="preserve">Mintz-Woo, K. (2018) Two Moral Arguments for a Global Social Cost of Carbon. </w:t>
      </w:r>
      <w:r w:rsidRPr="005E630F">
        <w:rPr>
          <w:i/>
          <w:iCs/>
        </w:rPr>
        <w:t>Ethics, Policy &amp; Environment</w:t>
      </w:r>
      <w:r w:rsidRPr="005E630F">
        <w:t xml:space="preserve">, </w:t>
      </w:r>
      <w:r w:rsidRPr="005E630F">
        <w:rPr>
          <w:i/>
          <w:iCs/>
        </w:rPr>
        <w:t>21</w:t>
      </w:r>
      <w:r w:rsidRPr="005E630F">
        <w:t xml:space="preserve">(1), 60–63. </w:t>
      </w:r>
      <w:hyperlink r:id="rId40" w:history="1">
        <w:r w:rsidR="00113F21" w:rsidRPr="007834F3">
          <w:rPr>
            <w:rStyle w:val="Hyperlink"/>
          </w:rPr>
          <w:t>http://doi.org/10.1080/21550085.2018.1448038</w:t>
        </w:r>
      </w:hyperlink>
      <w:bookmarkEnd w:id="49"/>
      <w:r w:rsidR="00113F21">
        <w:t xml:space="preserve"> </w:t>
      </w:r>
    </w:p>
    <w:p w14:paraId="3AE6A3DA" w14:textId="2F32913F" w:rsidR="00113F21" w:rsidRDefault="00113F21" w:rsidP="004A3D3D">
      <w:pPr>
        <w:pStyle w:val="References"/>
      </w:pPr>
      <w:bookmarkStart w:id="50" w:name="_Ref53707194"/>
      <w:r w:rsidRPr="00113F21">
        <w:t xml:space="preserve">Gayer, T., &amp; </w:t>
      </w:r>
      <w:proofErr w:type="spellStart"/>
      <w:r w:rsidRPr="00113F21">
        <w:t>Viscusi</w:t>
      </w:r>
      <w:proofErr w:type="spellEnd"/>
      <w:r w:rsidRPr="00113F21">
        <w:t xml:space="preserve">, W. K. (2016) Determining the Proper Scope of Climate Change Policy Benefits in U.S. Regulatory Analyses: Domestic versus Global Approaches. </w:t>
      </w:r>
      <w:r w:rsidRPr="00113F21">
        <w:rPr>
          <w:i/>
          <w:iCs/>
        </w:rPr>
        <w:t>Review of Environmental Economics and Policy</w:t>
      </w:r>
      <w:r w:rsidRPr="00113F21">
        <w:t xml:space="preserve">, </w:t>
      </w:r>
      <w:r w:rsidRPr="00113F21">
        <w:rPr>
          <w:i/>
          <w:iCs/>
        </w:rPr>
        <w:t>10</w:t>
      </w:r>
      <w:r w:rsidRPr="00113F21">
        <w:t xml:space="preserve">(2), 245–263. </w:t>
      </w:r>
      <w:hyperlink r:id="rId41" w:history="1">
        <w:r w:rsidRPr="007834F3">
          <w:rPr>
            <w:rStyle w:val="Hyperlink"/>
          </w:rPr>
          <w:t>http://doi.org/10.1093/reep/rew002</w:t>
        </w:r>
      </w:hyperlink>
      <w:bookmarkEnd w:id="50"/>
      <w:r>
        <w:t xml:space="preserve"> </w:t>
      </w:r>
    </w:p>
    <w:p w14:paraId="41FAE8F7" w14:textId="41F37D9A" w:rsidR="00113F21" w:rsidRDefault="00113F21" w:rsidP="004A3D3D">
      <w:pPr>
        <w:pStyle w:val="References"/>
      </w:pPr>
      <w:bookmarkStart w:id="51" w:name="_Ref53707222"/>
      <w:r w:rsidRPr="00113F21">
        <w:t xml:space="preserve">Gayer, T., &amp; </w:t>
      </w:r>
      <w:proofErr w:type="spellStart"/>
      <w:r w:rsidRPr="00113F21">
        <w:t>Viscusi</w:t>
      </w:r>
      <w:proofErr w:type="spellEnd"/>
      <w:r w:rsidRPr="00113F21">
        <w:t xml:space="preserve">, W. K. (2017) Letter—The Social Cost of Carbon: Maintaining the Integrity of Economic Analysis—A Response to </w:t>
      </w:r>
      <w:proofErr w:type="spellStart"/>
      <w:r w:rsidRPr="00113F21">
        <w:t>Revesz</w:t>
      </w:r>
      <w:proofErr w:type="spellEnd"/>
      <w:r w:rsidRPr="00113F21">
        <w:t xml:space="preserve"> et al. (2017). </w:t>
      </w:r>
      <w:r w:rsidRPr="00113F21">
        <w:rPr>
          <w:i/>
          <w:iCs/>
        </w:rPr>
        <w:t>Review of Environmental Economics and Policy</w:t>
      </w:r>
      <w:r w:rsidRPr="00113F21">
        <w:t xml:space="preserve">, </w:t>
      </w:r>
      <w:r w:rsidRPr="00113F21">
        <w:rPr>
          <w:i/>
          <w:iCs/>
        </w:rPr>
        <w:t>11</w:t>
      </w:r>
      <w:r w:rsidRPr="00113F21">
        <w:t xml:space="preserve">(1), 174–175. </w:t>
      </w:r>
      <w:hyperlink r:id="rId42" w:history="1">
        <w:r w:rsidRPr="007834F3">
          <w:rPr>
            <w:rStyle w:val="Hyperlink"/>
          </w:rPr>
          <w:t>http://doi.org/10.1093/reep/rew021</w:t>
        </w:r>
      </w:hyperlink>
      <w:bookmarkEnd w:id="51"/>
      <w:r>
        <w:t xml:space="preserve"> </w:t>
      </w:r>
    </w:p>
    <w:p w14:paraId="352653F0" w14:textId="1977E22D" w:rsidR="00113F21" w:rsidRDefault="00113F21" w:rsidP="004A3D3D">
      <w:pPr>
        <w:pStyle w:val="References"/>
      </w:pPr>
      <w:bookmarkStart w:id="52" w:name="_Ref53707364"/>
      <w:r w:rsidRPr="00113F21">
        <w:t xml:space="preserve">Howard, P. H., &amp; Schwartz, J. A. (2017) Think Global: International Reciprocity as Justification for a Global Social Cost of Carbon. </w:t>
      </w:r>
      <w:r w:rsidRPr="00113F21">
        <w:rPr>
          <w:i/>
          <w:iCs/>
        </w:rPr>
        <w:t>Columbia Journal of Environmental Law</w:t>
      </w:r>
      <w:r w:rsidRPr="00113F21">
        <w:t xml:space="preserve">, </w:t>
      </w:r>
      <w:r w:rsidRPr="00113F21">
        <w:rPr>
          <w:i/>
          <w:iCs/>
        </w:rPr>
        <w:t>42</w:t>
      </w:r>
      <w:r w:rsidRPr="00113F21">
        <w:t>(Symposium Issue), 203–294.</w:t>
      </w:r>
      <w:bookmarkEnd w:id="52"/>
      <w:r>
        <w:t xml:space="preserve"> </w:t>
      </w:r>
    </w:p>
    <w:p w14:paraId="272C8D79" w14:textId="7290E5D7" w:rsidR="00113F21" w:rsidRDefault="00113F21" w:rsidP="004A3D3D">
      <w:pPr>
        <w:pStyle w:val="References"/>
      </w:pPr>
      <w:bookmarkStart w:id="53" w:name="_Ref53707488"/>
      <w:proofErr w:type="spellStart"/>
      <w:r w:rsidRPr="00113F21">
        <w:t>Maltais</w:t>
      </w:r>
      <w:proofErr w:type="spellEnd"/>
      <w:r w:rsidRPr="00113F21">
        <w:t xml:space="preserve">, A. (2014) Failing International Climate Politics and the Fairness of Going First. </w:t>
      </w:r>
      <w:r w:rsidRPr="00113F21">
        <w:rPr>
          <w:i/>
          <w:iCs/>
        </w:rPr>
        <w:t>Political Studies</w:t>
      </w:r>
      <w:r w:rsidRPr="00113F21">
        <w:t xml:space="preserve">, </w:t>
      </w:r>
      <w:r w:rsidRPr="00113F21">
        <w:rPr>
          <w:i/>
          <w:iCs/>
        </w:rPr>
        <w:t>62</w:t>
      </w:r>
      <w:r w:rsidRPr="00113F21">
        <w:t xml:space="preserve">(3), 618–633. </w:t>
      </w:r>
      <w:hyperlink r:id="rId43" w:history="1">
        <w:r w:rsidRPr="007834F3">
          <w:rPr>
            <w:rStyle w:val="Hyperlink"/>
          </w:rPr>
          <w:t>http://doi.org/10.1080/14747730500377156</w:t>
        </w:r>
      </w:hyperlink>
      <w:bookmarkEnd w:id="53"/>
      <w:r>
        <w:t xml:space="preserve"> </w:t>
      </w:r>
    </w:p>
    <w:p w14:paraId="3BCE548E" w14:textId="5B5BE2C4" w:rsidR="00113F21" w:rsidRDefault="00113F21" w:rsidP="004A3D3D">
      <w:pPr>
        <w:pStyle w:val="References"/>
      </w:pPr>
      <w:bookmarkStart w:id="54" w:name="_Ref53707491"/>
      <w:r w:rsidRPr="00113F21">
        <w:t xml:space="preserve">Shue, H. (2011) Face Reality? After </w:t>
      </w:r>
      <w:proofErr w:type="gramStart"/>
      <w:r w:rsidRPr="00113F21">
        <w:t>You!—</w:t>
      </w:r>
      <w:proofErr w:type="gramEnd"/>
      <w:r w:rsidRPr="00113F21">
        <w:t xml:space="preserve">A Call for Leadership on Climate Change. </w:t>
      </w:r>
      <w:r w:rsidRPr="00113F21">
        <w:rPr>
          <w:i/>
          <w:iCs/>
        </w:rPr>
        <w:t>Ethics &amp; International Affairs</w:t>
      </w:r>
      <w:r w:rsidRPr="00113F21">
        <w:t xml:space="preserve">, </w:t>
      </w:r>
      <w:r w:rsidRPr="00113F21">
        <w:rPr>
          <w:i/>
          <w:iCs/>
        </w:rPr>
        <w:t>25</w:t>
      </w:r>
      <w:r w:rsidRPr="00113F21">
        <w:t xml:space="preserve">(1), 17–26. </w:t>
      </w:r>
      <w:hyperlink r:id="rId44" w:history="1">
        <w:r w:rsidRPr="007834F3">
          <w:rPr>
            <w:rStyle w:val="Hyperlink"/>
          </w:rPr>
          <w:t>http://doi.org/10.1017/S0892679410000055</w:t>
        </w:r>
      </w:hyperlink>
      <w:bookmarkEnd w:id="54"/>
      <w:r>
        <w:t xml:space="preserve"> </w:t>
      </w:r>
    </w:p>
    <w:p w14:paraId="2D0BAFBC" w14:textId="6F1750F1" w:rsidR="000A19E0" w:rsidRDefault="000A19E0" w:rsidP="004A3D3D">
      <w:pPr>
        <w:pStyle w:val="References"/>
      </w:pPr>
      <w:bookmarkStart w:id="55" w:name="_Ref53707676"/>
      <w:r w:rsidRPr="000A19E0">
        <w:t xml:space="preserve">Jamieson, D. (2009) The Value of Nature. </w:t>
      </w:r>
      <w:r w:rsidRPr="000A19E0">
        <w:rPr>
          <w:i/>
          <w:iCs/>
        </w:rPr>
        <w:t>In</w:t>
      </w:r>
      <w:r w:rsidRPr="000A19E0">
        <w:t xml:space="preserve"> </w:t>
      </w:r>
      <w:r>
        <w:t>“</w:t>
      </w:r>
      <w:r w:rsidRPr="000A19E0">
        <w:t>Ethics and the Environment</w:t>
      </w:r>
      <w:r>
        <w:t>,”</w:t>
      </w:r>
      <w:r w:rsidRPr="000A19E0">
        <w:t xml:space="preserve"> pp. 145–180</w:t>
      </w:r>
      <w:r>
        <w:t>,</w:t>
      </w:r>
      <w:r w:rsidRPr="000A19E0">
        <w:t xml:space="preserve"> Cambridge University Press</w:t>
      </w:r>
      <w:r>
        <w:t>, Cambridge</w:t>
      </w:r>
      <w:r w:rsidRPr="000A19E0">
        <w:t xml:space="preserve">. </w:t>
      </w:r>
      <w:hyperlink r:id="rId45" w:history="1">
        <w:r w:rsidRPr="007834F3">
          <w:rPr>
            <w:rStyle w:val="Hyperlink"/>
          </w:rPr>
          <w:t>http://doi.org/10.1017/CBO9780511806186.007</w:t>
        </w:r>
      </w:hyperlink>
      <w:bookmarkEnd w:id="55"/>
      <w:r>
        <w:t xml:space="preserve"> </w:t>
      </w:r>
    </w:p>
    <w:p w14:paraId="6C892249" w14:textId="39885BE9" w:rsidR="000A19E0" w:rsidRDefault="000A19E0" w:rsidP="004A3D3D">
      <w:pPr>
        <w:pStyle w:val="References"/>
      </w:pPr>
      <w:bookmarkStart w:id="56" w:name="_Ref53707677"/>
      <w:r w:rsidRPr="000A19E0">
        <w:t xml:space="preserve">Pepper, A. (2018) Delimiting Justice: Animal, Vegetable, Ecosystem? </w:t>
      </w:r>
      <w:r w:rsidRPr="000A19E0">
        <w:rPr>
          <w:i/>
          <w:iCs/>
        </w:rPr>
        <w:t xml:space="preserve">Les Ateliers De </w:t>
      </w:r>
      <w:proofErr w:type="spellStart"/>
      <w:r w:rsidRPr="000A19E0">
        <w:rPr>
          <w:i/>
          <w:iCs/>
        </w:rPr>
        <w:t>L'éthique</w:t>
      </w:r>
      <w:proofErr w:type="spellEnd"/>
      <w:r w:rsidRPr="000A19E0">
        <w:t xml:space="preserve">, </w:t>
      </w:r>
      <w:r w:rsidRPr="000A19E0">
        <w:rPr>
          <w:i/>
          <w:iCs/>
        </w:rPr>
        <w:t>13</w:t>
      </w:r>
      <w:r w:rsidRPr="000A19E0">
        <w:t xml:space="preserve">(1), 210–230. </w:t>
      </w:r>
      <w:hyperlink r:id="rId46" w:history="1">
        <w:r w:rsidRPr="007834F3">
          <w:rPr>
            <w:rStyle w:val="Hyperlink"/>
          </w:rPr>
          <w:t>http://doi.org/10.7202/1055125ar</w:t>
        </w:r>
      </w:hyperlink>
      <w:bookmarkEnd w:id="56"/>
      <w:r>
        <w:t xml:space="preserve"> </w:t>
      </w:r>
    </w:p>
    <w:p w14:paraId="3F3ACF10" w14:textId="6B50AE81" w:rsidR="000A19E0" w:rsidRDefault="000A19E0" w:rsidP="004A3D3D">
      <w:pPr>
        <w:pStyle w:val="References"/>
      </w:pPr>
      <w:bookmarkStart w:id="57" w:name="_Ref53707781"/>
      <w:r>
        <w:t>Singer, P. (</w:t>
      </w:r>
      <w:r w:rsidR="00157277">
        <w:t>2011) “Practical Ethics: Third Edition.” Cambridge University Press, Cambridge.</w:t>
      </w:r>
      <w:bookmarkEnd w:id="57"/>
    </w:p>
    <w:p w14:paraId="11438214" w14:textId="336BDF78" w:rsidR="00157277" w:rsidRDefault="00157277" w:rsidP="004A3D3D">
      <w:pPr>
        <w:pStyle w:val="References"/>
      </w:pPr>
      <w:bookmarkStart w:id="58" w:name="_Ref53707812"/>
      <w:proofErr w:type="spellStart"/>
      <w:r w:rsidRPr="00157277">
        <w:t>Goodpaster</w:t>
      </w:r>
      <w:proofErr w:type="spellEnd"/>
      <w:r w:rsidRPr="00157277">
        <w:t xml:space="preserve">, K. E. (1978) On Being Morally Considerable. </w:t>
      </w:r>
      <w:r w:rsidRPr="00157277">
        <w:rPr>
          <w:i/>
          <w:iCs/>
        </w:rPr>
        <w:t>The Journal of Philosophy</w:t>
      </w:r>
      <w:r w:rsidRPr="00157277">
        <w:t xml:space="preserve">, </w:t>
      </w:r>
      <w:r w:rsidRPr="00157277">
        <w:rPr>
          <w:i/>
          <w:iCs/>
        </w:rPr>
        <w:t>75</w:t>
      </w:r>
      <w:r w:rsidRPr="00157277">
        <w:t xml:space="preserve">(6), 308–325. </w:t>
      </w:r>
      <w:hyperlink r:id="rId47" w:history="1">
        <w:r w:rsidRPr="007834F3">
          <w:rPr>
            <w:rStyle w:val="Hyperlink"/>
          </w:rPr>
          <w:t>http://doi.org/10.2307/2025709</w:t>
        </w:r>
      </w:hyperlink>
      <w:bookmarkEnd w:id="58"/>
      <w:r>
        <w:t xml:space="preserve"> </w:t>
      </w:r>
    </w:p>
    <w:p w14:paraId="4C68D523" w14:textId="73A4C5A4" w:rsidR="00157277" w:rsidRDefault="00157277" w:rsidP="004A3D3D">
      <w:pPr>
        <w:pStyle w:val="References"/>
      </w:pPr>
      <w:bookmarkStart w:id="59" w:name="_Ref53707998"/>
      <w:r w:rsidRPr="00157277">
        <w:t xml:space="preserve">McShane, K. (2018). Why Animal Welfare Is Not Biodiversity, Ecosystem Services, or Human Welfare. </w:t>
      </w:r>
      <w:r w:rsidRPr="00157277">
        <w:rPr>
          <w:i/>
          <w:iCs/>
        </w:rPr>
        <w:t xml:space="preserve">Les Ateliers De </w:t>
      </w:r>
      <w:proofErr w:type="spellStart"/>
      <w:r w:rsidRPr="00157277">
        <w:rPr>
          <w:i/>
          <w:iCs/>
        </w:rPr>
        <w:t>L'éthique</w:t>
      </w:r>
      <w:proofErr w:type="spellEnd"/>
      <w:r w:rsidRPr="00157277">
        <w:t xml:space="preserve">, </w:t>
      </w:r>
      <w:r w:rsidRPr="00157277">
        <w:rPr>
          <w:i/>
          <w:iCs/>
        </w:rPr>
        <w:t>13</w:t>
      </w:r>
      <w:r w:rsidRPr="00157277">
        <w:t xml:space="preserve">(1), 43–64. </w:t>
      </w:r>
      <w:hyperlink r:id="rId48" w:history="1">
        <w:r w:rsidRPr="007834F3">
          <w:rPr>
            <w:rStyle w:val="Hyperlink"/>
          </w:rPr>
          <w:t>http://doi.org/10.7202/1055117ar</w:t>
        </w:r>
      </w:hyperlink>
      <w:bookmarkEnd w:id="59"/>
      <w:r>
        <w:t xml:space="preserve"> </w:t>
      </w:r>
    </w:p>
    <w:p w14:paraId="133F235C" w14:textId="5D07CC1B" w:rsidR="00157277" w:rsidRDefault="00157277" w:rsidP="00157277">
      <w:pPr>
        <w:pStyle w:val="References"/>
      </w:pPr>
      <w:bookmarkStart w:id="60" w:name="_Ref53708000"/>
      <w:r>
        <w:t>Sebo</w:t>
      </w:r>
      <w:r w:rsidRPr="00157277">
        <w:t xml:space="preserve">, </w:t>
      </w:r>
      <w:r>
        <w:t>J</w:t>
      </w:r>
      <w:r w:rsidRPr="00157277">
        <w:t>. (forthcoming) A</w:t>
      </w:r>
      <w:r>
        <w:t>nimals and climate change</w:t>
      </w:r>
      <w:r w:rsidRPr="00157277">
        <w:t xml:space="preserve">. </w:t>
      </w:r>
      <w:r w:rsidRPr="00157277">
        <w:rPr>
          <w:i/>
          <w:iCs/>
        </w:rPr>
        <w:t>In</w:t>
      </w:r>
      <w:r w:rsidRPr="00157277">
        <w:t xml:space="preserve"> “Philosophy and Climate Change” (</w:t>
      </w:r>
      <w:proofErr w:type="spellStart"/>
      <w:r w:rsidRPr="00157277">
        <w:t>Budolfson</w:t>
      </w:r>
      <w:proofErr w:type="spellEnd"/>
      <w:r w:rsidRPr="00157277">
        <w:t>, M., McPherson, T. and Plunkett, D. Eds.), Oxford University Press, Oxford.</w:t>
      </w:r>
      <w:bookmarkEnd w:id="60"/>
    </w:p>
    <w:sectPr w:rsidR="00157277">
      <w:footerReference w:type="even" r:id="rId49"/>
      <w:footerReference w:type="default" r:id="rId5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4A1D6" w14:textId="77777777" w:rsidR="0094117E" w:rsidRDefault="0094117E">
      <w:r>
        <w:separator/>
      </w:r>
    </w:p>
  </w:endnote>
  <w:endnote w:type="continuationSeparator" w:id="0">
    <w:p w14:paraId="526909BC" w14:textId="77777777" w:rsidR="0094117E" w:rsidRDefault="0094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F3A8C" w14:textId="77777777" w:rsidR="005E630F" w:rsidRDefault="005E630F" w:rsidP="003B55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BA5E3FF" w14:textId="77777777" w:rsidR="005E630F" w:rsidRDefault="005E630F" w:rsidP="003B55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F282" w14:textId="77777777" w:rsidR="005E630F" w:rsidRDefault="005E630F" w:rsidP="003B55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7A0D89" w14:textId="77777777" w:rsidR="005E630F" w:rsidRDefault="005E630F" w:rsidP="003B55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5A1F9" w14:textId="77777777" w:rsidR="0094117E" w:rsidRDefault="0094117E">
      <w:r>
        <w:separator/>
      </w:r>
    </w:p>
  </w:footnote>
  <w:footnote w:type="continuationSeparator" w:id="0">
    <w:p w14:paraId="4D3EFC46" w14:textId="77777777" w:rsidR="0094117E" w:rsidRDefault="0094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8F6"/>
    <w:multiLevelType w:val="hybridMultilevel"/>
    <w:tmpl w:val="240C6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D20DE"/>
    <w:multiLevelType w:val="multilevel"/>
    <w:tmpl w:val="991070C0"/>
    <w:lvl w:ilvl="0">
      <w:start w:val="1"/>
      <w:numFmt w:val="decimal"/>
      <w:lvlText w:val="%1"/>
      <w:lvlJc w:val="left"/>
      <w:pPr>
        <w:ind w:left="432" w:hanging="432"/>
      </w:pPr>
      <w:rPr>
        <w:rFonts w:hint="default"/>
      </w:rPr>
    </w:lvl>
    <w:lvl w:ilvl="1">
      <w:start w:val="1"/>
      <w:numFmt w:val="decimal"/>
      <w:lvlText w:val="24.%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7784729"/>
    <w:multiLevelType w:val="hybridMultilevel"/>
    <w:tmpl w:val="F0127FDA"/>
    <w:lvl w:ilvl="0" w:tplc="58BA2F46">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45473"/>
    <w:multiLevelType w:val="multilevel"/>
    <w:tmpl w:val="2FCE4704"/>
    <w:lvl w:ilvl="0">
      <w:start w:val="1"/>
      <w:numFmt w:val="decimal"/>
      <w:pStyle w:val="Heading1"/>
      <w:lvlText w:val="23.%1"/>
      <w:lvlJc w:val="left"/>
      <w:pPr>
        <w:ind w:left="432" w:hanging="432"/>
      </w:pPr>
      <w:rPr>
        <w:rFonts w:hint="default"/>
      </w:rPr>
    </w:lvl>
    <w:lvl w:ilvl="1">
      <w:start w:val="1"/>
      <w:numFmt w:val="decimal"/>
      <w:pStyle w:val="Heading2"/>
      <w:lvlText w:val="23.%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6145ADD"/>
    <w:multiLevelType w:val="multilevel"/>
    <w:tmpl w:val="488A30F8"/>
    <w:lvl w:ilvl="0">
      <w:start w:val="1"/>
      <w:numFmt w:val="decimal"/>
      <w:lvlText w:val="%1"/>
      <w:lvlJc w:val="left"/>
      <w:pPr>
        <w:ind w:left="432" w:hanging="432"/>
      </w:pPr>
      <w:rPr>
        <w:rFonts w:hint="default"/>
      </w:rPr>
    </w:lvl>
    <w:lvl w:ilvl="1">
      <w:start w:val="1"/>
      <w:numFmt w:val="decimal"/>
      <w:lvlText w:val="23.%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A7F4FDA"/>
    <w:multiLevelType w:val="singleLevel"/>
    <w:tmpl w:val="FBB0272C"/>
    <w:lvl w:ilvl="0">
      <w:start w:val="1"/>
      <w:numFmt w:val="decimal"/>
      <w:lvlText w:val="%1."/>
      <w:lvlJc w:val="left"/>
      <w:pPr>
        <w:tabs>
          <w:tab w:val="num" w:pos="720"/>
        </w:tabs>
        <w:ind w:left="720" w:hanging="720"/>
      </w:pPr>
    </w:lvl>
  </w:abstractNum>
  <w:abstractNum w:abstractNumId="6" w15:restartNumberingAfterBreak="0">
    <w:nsid w:val="404F4DEF"/>
    <w:multiLevelType w:val="hybridMultilevel"/>
    <w:tmpl w:val="411405CA"/>
    <w:lvl w:ilvl="0" w:tplc="6570D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459BE"/>
    <w:multiLevelType w:val="hybridMultilevel"/>
    <w:tmpl w:val="BC2A142E"/>
    <w:lvl w:ilvl="0" w:tplc="D8FCBA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56BFD"/>
    <w:multiLevelType w:val="hybridMultilevel"/>
    <w:tmpl w:val="A40C0BBE"/>
    <w:lvl w:ilvl="0" w:tplc="EE0E12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D5E7B"/>
    <w:multiLevelType w:val="multilevel"/>
    <w:tmpl w:val="D816604E"/>
    <w:lvl w:ilvl="0">
      <w:start w:val="1"/>
      <w:numFmt w:val="decimal"/>
      <w:lvlText w:val="24.%1"/>
      <w:lvlJc w:val="left"/>
      <w:pPr>
        <w:ind w:left="360" w:hanging="360"/>
      </w:pPr>
      <w:rPr>
        <w:rFonts w:hint="default"/>
      </w:rPr>
    </w:lvl>
    <w:lvl w:ilvl="1">
      <w:start w:val="1"/>
      <w:numFmt w:val="decimal"/>
      <w:lvlText w:val="24.2.%2"/>
      <w:lvlJc w:val="left"/>
      <w:pPr>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DCC676C"/>
    <w:multiLevelType w:val="singleLevel"/>
    <w:tmpl w:val="7D0A864E"/>
    <w:lvl w:ilvl="0">
      <w:start w:val="1"/>
      <w:numFmt w:val="decimal"/>
      <w:pStyle w:val="References"/>
      <w:lvlText w:val="[%1]"/>
      <w:lvlJc w:val="left"/>
      <w:pPr>
        <w:tabs>
          <w:tab w:val="num" w:pos="720"/>
        </w:tabs>
        <w:ind w:left="720" w:hanging="720"/>
      </w:pPr>
    </w:lvl>
  </w:abstractNum>
  <w:abstractNum w:abstractNumId="11" w15:restartNumberingAfterBreak="0">
    <w:nsid w:val="76CC368D"/>
    <w:multiLevelType w:val="multilevel"/>
    <w:tmpl w:val="659A5CA8"/>
    <w:lvl w:ilvl="0">
      <w:start w:val="1"/>
      <w:numFmt w:val="decimal"/>
      <w:lvlText w:val="24.%1"/>
      <w:lvlJc w:val="left"/>
      <w:pPr>
        <w:ind w:left="360" w:hanging="360"/>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3"/>
  </w:num>
  <w:num w:numId="3">
    <w:abstractNumId w:val="10"/>
  </w:num>
  <w:num w:numId="4">
    <w:abstractNumId w:val="2"/>
  </w:num>
  <w:num w:numId="5">
    <w:abstractNumId w:val="11"/>
  </w:num>
  <w:num w:numId="6">
    <w:abstractNumId w:val="8"/>
  </w:num>
  <w:num w:numId="7">
    <w:abstractNumId w:val="9"/>
  </w:num>
  <w:num w:numId="8">
    <w:abstractNumId w:val="0"/>
  </w:num>
  <w:num w:numId="9">
    <w:abstractNumId w:val="1"/>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1F"/>
    <w:rsid w:val="0000602B"/>
    <w:rsid w:val="00022E81"/>
    <w:rsid w:val="00031583"/>
    <w:rsid w:val="00055A81"/>
    <w:rsid w:val="0007633F"/>
    <w:rsid w:val="000963D7"/>
    <w:rsid w:val="000A19E0"/>
    <w:rsid w:val="000C4D8F"/>
    <w:rsid w:val="000F7896"/>
    <w:rsid w:val="001060A8"/>
    <w:rsid w:val="00113F21"/>
    <w:rsid w:val="00157277"/>
    <w:rsid w:val="00184CF4"/>
    <w:rsid w:val="001F4BDF"/>
    <w:rsid w:val="002075EA"/>
    <w:rsid w:val="0022378B"/>
    <w:rsid w:val="00232EEE"/>
    <w:rsid w:val="00274958"/>
    <w:rsid w:val="002764B9"/>
    <w:rsid w:val="00293386"/>
    <w:rsid w:val="00356A19"/>
    <w:rsid w:val="00370968"/>
    <w:rsid w:val="003909E4"/>
    <w:rsid w:val="003B12AD"/>
    <w:rsid w:val="003B55C6"/>
    <w:rsid w:val="003C111A"/>
    <w:rsid w:val="003D606D"/>
    <w:rsid w:val="004177A4"/>
    <w:rsid w:val="0042504C"/>
    <w:rsid w:val="00432C2B"/>
    <w:rsid w:val="0044574F"/>
    <w:rsid w:val="004A3D3D"/>
    <w:rsid w:val="004D2693"/>
    <w:rsid w:val="004D552B"/>
    <w:rsid w:val="004E4484"/>
    <w:rsid w:val="00541AF1"/>
    <w:rsid w:val="005A28AE"/>
    <w:rsid w:val="005D67A2"/>
    <w:rsid w:val="005E0B87"/>
    <w:rsid w:val="005E630F"/>
    <w:rsid w:val="005F2B67"/>
    <w:rsid w:val="00670E19"/>
    <w:rsid w:val="00687201"/>
    <w:rsid w:val="006A23BF"/>
    <w:rsid w:val="006B31FB"/>
    <w:rsid w:val="006F5078"/>
    <w:rsid w:val="007046C5"/>
    <w:rsid w:val="00752930"/>
    <w:rsid w:val="00771A6E"/>
    <w:rsid w:val="00780EFB"/>
    <w:rsid w:val="007D2C34"/>
    <w:rsid w:val="007E0798"/>
    <w:rsid w:val="00842E30"/>
    <w:rsid w:val="00846A26"/>
    <w:rsid w:val="00863074"/>
    <w:rsid w:val="008857A9"/>
    <w:rsid w:val="008949FC"/>
    <w:rsid w:val="008C4295"/>
    <w:rsid w:val="008D6E86"/>
    <w:rsid w:val="00903502"/>
    <w:rsid w:val="00925772"/>
    <w:rsid w:val="009359B5"/>
    <w:rsid w:val="009409EB"/>
    <w:rsid w:val="0094117E"/>
    <w:rsid w:val="009536BB"/>
    <w:rsid w:val="009604A7"/>
    <w:rsid w:val="00970152"/>
    <w:rsid w:val="00985BBC"/>
    <w:rsid w:val="009A4668"/>
    <w:rsid w:val="009B1946"/>
    <w:rsid w:val="009D53F9"/>
    <w:rsid w:val="00A03009"/>
    <w:rsid w:val="00A12F1D"/>
    <w:rsid w:val="00A227B7"/>
    <w:rsid w:val="00AC03B9"/>
    <w:rsid w:val="00AD2370"/>
    <w:rsid w:val="00AE1B81"/>
    <w:rsid w:val="00B01853"/>
    <w:rsid w:val="00B414D7"/>
    <w:rsid w:val="00BC1A02"/>
    <w:rsid w:val="00BC552C"/>
    <w:rsid w:val="00BF7749"/>
    <w:rsid w:val="00C1722B"/>
    <w:rsid w:val="00C26978"/>
    <w:rsid w:val="00C47198"/>
    <w:rsid w:val="00C710AE"/>
    <w:rsid w:val="00C96A7C"/>
    <w:rsid w:val="00CE1B65"/>
    <w:rsid w:val="00D05F25"/>
    <w:rsid w:val="00D12855"/>
    <w:rsid w:val="00D256CF"/>
    <w:rsid w:val="00D25A7F"/>
    <w:rsid w:val="00D554CE"/>
    <w:rsid w:val="00D85FF7"/>
    <w:rsid w:val="00D94D36"/>
    <w:rsid w:val="00DA191F"/>
    <w:rsid w:val="00DA2ABE"/>
    <w:rsid w:val="00DB59BF"/>
    <w:rsid w:val="00DB7B95"/>
    <w:rsid w:val="00DF6D1F"/>
    <w:rsid w:val="00E005A3"/>
    <w:rsid w:val="00E02D02"/>
    <w:rsid w:val="00E1514D"/>
    <w:rsid w:val="00E52596"/>
    <w:rsid w:val="00E7028D"/>
    <w:rsid w:val="00EA4C32"/>
    <w:rsid w:val="00EB43EA"/>
    <w:rsid w:val="00EC3045"/>
    <w:rsid w:val="00EE0412"/>
    <w:rsid w:val="00F1468A"/>
    <w:rsid w:val="00F2255A"/>
    <w:rsid w:val="00F446D1"/>
    <w:rsid w:val="00F512B9"/>
    <w:rsid w:val="00F87EA8"/>
    <w:rsid w:val="00FD1B72"/>
    <w:rsid w:val="00FD248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15D1"/>
  <w15:chartTrackingRefBased/>
  <w15:docId w15:val="{23F5584B-98B0-F048-802A-2EA58A00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1F"/>
    <w:rPr>
      <w:rFonts w:ascii="Times New Roman" w:eastAsia="Times New Roman" w:hAnsi="Times New Roman" w:cs="Times New Roman"/>
      <w:szCs w:val="20"/>
      <w:lang w:val="en-US" w:eastAsia="en-US"/>
    </w:rPr>
  </w:style>
  <w:style w:type="paragraph" w:styleId="Heading1">
    <w:name w:val="heading 1"/>
    <w:basedOn w:val="Normal"/>
    <w:next w:val="Normal"/>
    <w:link w:val="Heading1Char"/>
    <w:qFormat/>
    <w:rsid w:val="00780EFB"/>
    <w:pPr>
      <w:keepNext/>
      <w:numPr>
        <w:numId w:val="2"/>
      </w:numPr>
      <w:outlineLvl w:val="0"/>
    </w:pPr>
    <w:rPr>
      <w:b/>
    </w:rPr>
  </w:style>
  <w:style w:type="paragraph" w:styleId="Heading2">
    <w:name w:val="heading 2"/>
    <w:basedOn w:val="Normal"/>
    <w:next w:val="Normal"/>
    <w:link w:val="Heading2Char"/>
    <w:qFormat/>
    <w:rsid w:val="00780EFB"/>
    <w:pPr>
      <w:keepNext/>
      <w:numPr>
        <w:ilvl w:val="1"/>
        <w:numId w:val="2"/>
      </w:numPr>
      <w:outlineLvl w:val="1"/>
    </w:pPr>
    <w:rPr>
      <w:i/>
    </w:rPr>
  </w:style>
  <w:style w:type="paragraph" w:styleId="Heading3">
    <w:name w:val="heading 3"/>
    <w:basedOn w:val="Normal"/>
    <w:next w:val="Normal"/>
    <w:link w:val="Heading3Char"/>
    <w:qFormat/>
    <w:rsid w:val="00780EFB"/>
    <w:pPr>
      <w:keepNext/>
      <w:numPr>
        <w:ilvl w:val="2"/>
        <w:numId w:val="2"/>
      </w:numPr>
      <w:outlineLvl w:val="2"/>
    </w:pPr>
  </w:style>
  <w:style w:type="paragraph" w:styleId="Heading4">
    <w:name w:val="heading 4"/>
    <w:basedOn w:val="Normal"/>
    <w:next w:val="Normal"/>
    <w:link w:val="Heading4Char"/>
    <w:qFormat/>
    <w:rsid w:val="00780EFB"/>
    <w:pPr>
      <w:keepNext/>
      <w:numPr>
        <w:ilvl w:val="3"/>
        <w:numId w:val="2"/>
      </w:numPr>
      <w:outlineLvl w:val="3"/>
    </w:pPr>
    <w:rPr>
      <w:b/>
    </w:rPr>
  </w:style>
  <w:style w:type="paragraph" w:styleId="Heading5">
    <w:name w:val="heading 5"/>
    <w:basedOn w:val="Normal"/>
    <w:next w:val="Normal"/>
    <w:link w:val="Heading5Char"/>
    <w:uiPriority w:val="9"/>
    <w:semiHidden/>
    <w:unhideWhenUsed/>
    <w:qFormat/>
    <w:rsid w:val="00780EFB"/>
    <w:pPr>
      <w:numPr>
        <w:ilvl w:val="4"/>
        <w:numId w:val="2"/>
      </w:numPr>
      <w:spacing w:before="240" w:after="60"/>
      <w:outlineLvl w:val="4"/>
    </w:pPr>
    <w:rPr>
      <w:rFonts w:ascii="Calibri" w:eastAsia="DengXian" w:hAnsi="Calibri"/>
      <w:b/>
      <w:bCs/>
      <w:i/>
      <w:iCs/>
      <w:sz w:val="26"/>
      <w:szCs w:val="26"/>
    </w:rPr>
  </w:style>
  <w:style w:type="paragraph" w:styleId="Heading6">
    <w:name w:val="heading 6"/>
    <w:basedOn w:val="Normal"/>
    <w:next w:val="Normal"/>
    <w:link w:val="Heading6Char"/>
    <w:uiPriority w:val="9"/>
    <w:semiHidden/>
    <w:unhideWhenUsed/>
    <w:qFormat/>
    <w:rsid w:val="00780EFB"/>
    <w:pPr>
      <w:numPr>
        <w:ilvl w:val="5"/>
        <w:numId w:val="2"/>
      </w:numPr>
      <w:spacing w:before="240" w:after="60"/>
      <w:outlineLvl w:val="5"/>
    </w:pPr>
    <w:rPr>
      <w:rFonts w:ascii="Calibri" w:eastAsia="DengXian" w:hAnsi="Calibri"/>
      <w:b/>
      <w:bCs/>
      <w:sz w:val="22"/>
      <w:szCs w:val="22"/>
    </w:rPr>
  </w:style>
  <w:style w:type="paragraph" w:styleId="Heading7">
    <w:name w:val="heading 7"/>
    <w:basedOn w:val="Normal"/>
    <w:next w:val="Normal"/>
    <w:link w:val="Heading7Char"/>
    <w:uiPriority w:val="9"/>
    <w:semiHidden/>
    <w:unhideWhenUsed/>
    <w:qFormat/>
    <w:rsid w:val="00780EFB"/>
    <w:pPr>
      <w:numPr>
        <w:ilvl w:val="6"/>
        <w:numId w:val="2"/>
      </w:numPr>
      <w:spacing w:before="240" w:after="60"/>
      <w:outlineLvl w:val="6"/>
    </w:pPr>
    <w:rPr>
      <w:rFonts w:ascii="Calibri" w:eastAsia="DengXian" w:hAnsi="Calibri"/>
      <w:szCs w:val="24"/>
    </w:rPr>
  </w:style>
  <w:style w:type="paragraph" w:styleId="Heading8">
    <w:name w:val="heading 8"/>
    <w:basedOn w:val="Normal"/>
    <w:next w:val="Normal"/>
    <w:link w:val="Heading8Char"/>
    <w:uiPriority w:val="9"/>
    <w:semiHidden/>
    <w:unhideWhenUsed/>
    <w:qFormat/>
    <w:rsid w:val="00780EFB"/>
    <w:pPr>
      <w:numPr>
        <w:ilvl w:val="7"/>
        <w:numId w:val="2"/>
      </w:numPr>
      <w:spacing w:before="240" w:after="60"/>
      <w:outlineLvl w:val="7"/>
    </w:pPr>
    <w:rPr>
      <w:rFonts w:ascii="Calibri" w:eastAsia="DengXian" w:hAnsi="Calibri"/>
      <w:i/>
      <w:iCs/>
      <w:szCs w:val="24"/>
    </w:rPr>
  </w:style>
  <w:style w:type="paragraph" w:styleId="Heading9">
    <w:name w:val="heading 9"/>
    <w:basedOn w:val="Normal"/>
    <w:next w:val="Normal"/>
    <w:link w:val="Heading9Char"/>
    <w:uiPriority w:val="9"/>
    <w:semiHidden/>
    <w:unhideWhenUsed/>
    <w:qFormat/>
    <w:rsid w:val="00780EFB"/>
    <w:pPr>
      <w:numPr>
        <w:ilvl w:val="8"/>
        <w:numId w:val="2"/>
      </w:numPr>
      <w:spacing w:before="240" w:after="60"/>
      <w:outlineLvl w:val="8"/>
    </w:pPr>
    <w:rPr>
      <w:rFonts w:ascii="Calibri Light" w:eastAsia="DengXian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Cited">
    <w:name w:val="Works Cited"/>
    <w:basedOn w:val="Normal"/>
    <w:qFormat/>
    <w:rsid w:val="00232EEE"/>
    <w:pPr>
      <w:spacing w:before="40" w:line="259" w:lineRule="auto"/>
      <w:ind w:left="720" w:hanging="720"/>
    </w:pPr>
    <w:rPr>
      <w:sz w:val="22"/>
      <w:szCs w:val="22"/>
      <w:lang w:val="en-GB"/>
    </w:rPr>
  </w:style>
  <w:style w:type="character" w:customStyle="1" w:styleId="Heading1Char">
    <w:name w:val="Heading 1 Char"/>
    <w:basedOn w:val="DefaultParagraphFont"/>
    <w:link w:val="Heading1"/>
    <w:rsid w:val="00DA191F"/>
    <w:rPr>
      <w:rFonts w:ascii="Times New Roman" w:eastAsia="Times New Roman" w:hAnsi="Times New Roman" w:cs="Times New Roman"/>
      <w:b/>
      <w:szCs w:val="20"/>
      <w:lang w:val="en-US" w:eastAsia="en-US"/>
    </w:rPr>
  </w:style>
  <w:style w:type="character" w:customStyle="1" w:styleId="Heading2Char">
    <w:name w:val="Heading 2 Char"/>
    <w:basedOn w:val="DefaultParagraphFont"/>
    <w:link w:val="Heading2"/>
    <w:rsid w:val="00DA191F"/>
    <w:rPr>
      <w:rFonts w:ascii="Times New Roman" w:eastAsia="Times New Roman" w:hAnsi="Times New Roman" w:cs="Times New Roman"/>
      <w:i/>
      <w:szCs w:val="20"/>
      <w:lang w:val="en-US" w:eastAsia="en-US"/>
    </w:rPr>
  </w:style>
  <w:style w:type="character" w:customStyle="1" w:styleId="Heading3Char">
    <w:name w:val="Heading 3 Char"/>
    <w:basedOn w:val="DefaultParagraphFont"/>
    <w:link w:val="Heading3"/>
    <w:rsid w:val="00DA191F"/>
    <w:rPr>
      <w:rFonts w:ascii="Times New Roman" w:eastAsia="Times New Roman" w:hAnsi="Times New Roman" w:cs="Times New Roman"/>
      <w:szCs w:val="20"/>
      <w:lang w:val="en-US" w:eastAsia="en-US"/>
    </w:rPr>
  </w:style>
  <w:style w:type="character" w:customStyle="1" w:styleId="Heading4Char">
    <w:name w:val="Heading 4 Char"/>
    <w:basedOn w:val="DefaultParagraphFont"/>
    <w:link w:val="Heading4"/>
    <w:rsid w:val="00DA191F"/>
    <w:rPr>
      <w:rFonts w:ascii="Times New Roman" w:eastAsia="Times New Roman" w:hAnsi="Times New Roman" w:cs="Times New Roman"/>
      <w:b/>
      <w:szCs w:val="20"/>
      <w:lang w:val="en-US" w:eastAsia="en-US"/>
    </w:rPr>
  </w:style>
  <w:style w:type="character" w:customStyle="1" w:styleId="Heading5Char">
    <w:name w:val="Heading 5 Char"/>
    <w:basedOn w:val="DefaultParagraphFont"/>
    <w:link w:val="Heading5"/>
    <w:uiPriority w:val="9"/>
    <w:semiHidden/>
    <w:rsid w:val="00DA191F"/>
    <w:rPr>
      <w:rFonts w:ascii="Calibri" w:eastAsia="DengXi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DA191F"/>
    <w:rPr>
      <w:rFonts w:ascii="Calibri" w:eastAsia="DengXi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DA191F"/>
    <w:rPr>
      <w:rFonts w:ascii="Calibri" w:eastAsia="DengXian" w:hAnsi="Calibri" w:cs="Times New Roman"/>
      <w:lang w:val="en-US" w:eastAsia="en-US"/>
    </w:rPr>
  </w:style>
  <w:style w:type="character" w:customStyle="1" w:styleId="Heading8Char">
    <w:name w:val="Heading 8 Char"/>
    <w:basedOn w:val="DefaultParagraphFont"/>
    <w:link w:val="Heading8"/>
    <w:uiPriority w:val="9"/>
    <w:semiHidden/>
    <w:rsid w:val="00DA191F"/>
    <w:rPr>
      <w:rFonts w:ascii="Calibri" w:eastAsia="DengXian" w:hAnsi="Calibri" w:cs="Times New Roman"/>
      <w:i/>
      <w:iCs/>
      <w:lang w:val="en-US" w:eastAsia="en-US"/>
    </w:rPr>
  </w:style>
  <w:style w:type="character" w:customStyle="1" w:styleId="Heading9Char">
    <w:name w:val="Heading 9 Char"/>
    <w:basedOn w:val="DefaultParagraphFont"/>
    <w:link w:val="Heading9"/>
    <w:uiPriority w:val="9"/>
    <w:semiHidden/>
    <w:rsid w:val="00DA191F"/>
    <w:rPr>
      <w:rFonts w:ascii="Calibri Light" w:eastAsia="DengXian Light" w:hAnsi="Calibri Light" w:cs="Times New Roman"/>
      <w:sz w:val="22"/>
      <w:szCs w:val="22"/>
      <w:lang w:val="en-US" w:eastAsia="en-US"/>
    </w:rPr>
  </w:style>
  <w:style w:type="paragraph" w:styleId="BalloonText">
    <w:name w:val="Balloon Text"/>
    <w:basedOn w:val="Normal"/>
    <w:link w:val="BalloonTextChar"/>
    <w:uiPriority w:val="99"/>
    <w:semiHidden/>
    <w:unhideWhenUsed/>
    <w:rsid w:val="00DA191F"/>
    <w:rPr>
      <w:rFonts w:ascii="Tahoma" w:hAnsi="Tahoma" w:cs="Tahoma"/>
      <w:sz w:val="16"/>
      <w:szCs w:val="16"/>
    </w:rPr>
  </w:style>
  <w:style w:type="character" w:customStyle="1" w:styleId="BalloonTextChar">
    <w:name w:val="Balloon Text Char"/>
    <w:basedOn w:val="DefaultParagraphFont"/>
    <w:link w:val="BalloonText"/>
    <w:uiPriority w:val="99"/>
    <w:semiHidden/>
    <w:rsid w:val="00DA191F"/>
    <w:rPr>
      <w:rFonts w:ascii="Tahoma" w:eastAsia="Times New Roman" w:hAnsi="Tahoma" w:cs="Tahoma"/>
      <w:sz w:val="16"/>
      <w:szCs w:val="16"/>
      <w:lang w:val="en-US" w:eastAsia="en-US"/>
    </w:rPr>
  </w:style>
  <w:style w:type="paragraph" w:styleId="Title">
    <w:name w:val="Title"/>
    <w:basedOn w:val="Normal"/>
    <w:link w:val="TitleChar"/>
    <w:qFormat/>
    <w:rsid w:val="00DA191F"/>
    <w:pPr>
      <w:outlineLvl w:val="0"/>
    </w:pPr>
    <w:rPr>
      <w:b/>
      <w:sz w:val="28"/>
    </w:rPr>
  </w:style>
  <w:style w:type="character" w:customStyle="1" w:styleId="TitleChar">
    <w:name w:val="Title Char"/>
    <w:basedOn w:val="DefaultParagraphFont"/>
    <w:link w:val="Title"/>
    <w:rsid w:val="00DA191F"/>
    <w:rPr>
      <w:rFonts w:ascii="Times New Roman" w:eastAsia="Times New Roman" w:hAnsi="Times New Roman" w:cs="Times New Roman"/>
      <w:b/>
      <w:sz w:val="28"/>
      <w:szCs w:val="20"/>
      <w:lang w:val="en-US" w:eastAsia="en-US"/>
    </w:rPr>
  </w:style>
  <w:style w:type="paragraph" w:customStyle="1" w:styleId="Affiliation">
    <w:name w:val="Affiliation"/>
    <w:basedOn w:val="Normal"/>
    <w:rsid w:val="00DA191F"/>
    <w:rPr>
      <w:i/>
      <w:sz w:val="20"/>
    </w:rPr>
  </w:style>
  <w:style w:type="paragraph" w:customStyle="1" w:styleId="References">
    <w:name w:val="References"/>
    <w:basedOn w:val="Normal"/>
    <w:rsid w:val="00DA191F"/>
    <w:pPr>
      <w:numPr>
        <w:numId w:val="3"/>
      </w:numPr>
    </w:pPr>
  </w:style>
  <w:style w:type="paragraph" w:customStyle="1" w:styleId="Equation">
    <w:name w:val="Equation"/>
    <w:basedOn w:val="Normal"/>
    <w:rsid w:val="00DA191F"/>
    <w:pPr>
      <w:tabs>
        <w:tab w:val="right" w:pos="9360"/>
      </w:tabs>
    </w:pPr>
  </w:style>
  <w:style w:type="character" w:styleId="Hyperlink">
    <w:name w:val="Hyperlink"/>
    <w:uiPriority w:val="99"/>
    <w:unhideWhenUsed/>
    <w:rsid w:val="00DA191F"/>
    <w:rPr>
      <w:color w:val="0000FF"/>
      <w:u w:val="single"/>
    </w:rPr>
  </w:style>
  <w:style w:type="character" w:styleId="UnresolvedMention">
    <w:name w:val="Unresolved Mention"/>
    <w:uiPriority w:val="99"/>
    <w:semiHidden/>
    <w:unhideWhenUsed/>
    <w:rsid w:val="00DA191F"/>
    <w:rPr>
      <w:color w:val="605E5C"/>
      <w:shd w:val="clear" w:color="auto" w:fill="E1DFDD"/>
    </w:rPr>
  </w:style>
  <w:style w:type="paragraph" w:styleId="Footer">
    <w:name w:val="footer"/>
    <w:basedOn w:val="Normal"/>
    <w:link w:val="FooterChar"/>
    <w:uiPriority w:val="99"/>
    <w:unhideWhenUsed/>
    <w:rsid w:val="00DA191F"/>
    <w:pPr>
      <w:tabs>
        <w:tab w:val="center" w:pos="4680"/>
        <w:tab w:val="right" w:pos="9360"/>
      </w:tabs>
    </w:pPr>
  </w:style>
  <w:style w:type="character" w:customStyle="1" w:styleId="FooterChar">
    <w:name w:val="Footer Char"/>
    <w:basedOn w:val="DefaultParagraphFont"/>
    <w:link w:val="Footer"/>
    <w:uiPriority w:val="99"/>
    <w:rsid w:val="00DA191F"/>
    <w:rPr>
      <w:rFonts w:ascii="Times New Roman" w:eastAsia="Times New Roman" w:hAnsi="Times New Roman" w:cs="Times New Roman"/>
      <w:szCs w:val="20"/>
      <w:lang w:val="en-US" w:eastAsia="en-US"/>
    </w:rPr>
  </w:style>
  <w:style w:type="character" w:styleId="PageNumber">
    <w:name w:val="page number"/>
    <w:basedOn w:val="DefaultParagraphFont"/>
    <w:uiPriority w:val="99"/>
    <w:semiHidden/>
    <w:unhideWhenUsed/>
    <w:rsid w:val="00DA191F"/>
  </w:style>
  <w:style w:type="paragraph" w:styleId="ListParagraph">
    <w:name w:val="List Paragraph"/>
    <w:basedOn w:val="Normal"/>
    <w:uiPriority w:val="34"/>
    <w:qFormat/>
    <w:rsid w:val="00184CF4"/>
    <w:pPr>
      <w:ind w:left="720"/>
      <w:contextualSpacing/>
    </w:pPr>
  </w:style>
  <w:style w:type="character" w:styleId="PlaceholderText">
    <w:name w:val="Placeholder Text"/>
    <w:basedOn w:val="DefaultParagraphFont"/>
    <w:uiPriority w:val="99"/>
    <w:semiHidden/>
    <w:rsid w:val="000315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1111/ecoj.12188" TargetMode="External"/><Relationship Id="rId18" Type="http://schemas.openxmlformats.org/officeDocument/2006/relationships/hyperlink" Target="https://www.jstor.org/stable/2118303" TargetMode="External"/><Relationship Id="rId26" Type="http://schemas.openxmlformats.org/officeDocument/2006/relationships/hyperlink" Target="http://doi.org/10.1126/science.aal4369" TargetMode="External"/><Relationship Id="rId39" Type="http://schemas.openxmlformats.org/officeDocument/2006/relationships/hyperlink" Target="http://doi.org/10.1073/pnas.1618308114" TargetMode="External"/><Relationship Id="rId21" Type="http://schemas.openxmlformats.org/officeDocument/2006/relationships/hyperlink" Target="http://doi.org/10.1257/jel.51.3.860" TargetMode="External"/><Relationship Id="rId34" Type="http://schemas.openxmlformats.org/officeDocument/2006/relationships/hyperlink" Target="http://doi.org/10.1142/S2010007812500248" TargetMode="External"/><Relationship Id="rId42" Type="http://schemas.openxmlformats.org/officeDocument/2006/relationships/hyperlink" Target="http://doi.org/10.1093/reep/rew021" TargetMode="External"/><Relationship Id="rId47" Type="http://schemas.openxmlformats.org/officeDocument/2006/relationships/hyperlink" Target="http://doi.org/10.2307/2025709"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i.org/10.1038/scientificamerican0608-96" TargetMode="External"/><Relationship Id="rId29" Type="http://schemas.openxmlformats.org/officeDocument/2006/relationships/hyperlink" Target="http://doi.org/10.1007/s10584-010-9967-6" TargetMode="External"/><Relationship Id="rId11" Type="http://schemas.openxmlformats.org/officeDocument/2006/relationships/hyperlink" Target="http://doi.org/10.1257/pol.20170046" TargetMode="External"/><Relationship Id="rId24" Type="http://schemas.openxmlformats.org/officeDocument/2006/relationships/hyperlink" Target="http://doi.org/10.1038/nature15725" TargetMode="External"/><Relationship Id="rId32" Type="http://schemas.openxmlformats.org/officeDocument/2006/relationships/hyperlink" Target="http://doi.org/10.1017/S0266267117000062" TargetMode="External"/><Relationship Id="rId37" Type="http://schemas.openxmlformats.org/officeDocument/2006/relationships/hyperlink" Target="http://doi.org/10.1515/mopp-2018-0060" TargetMode="External"/><Relationship Id="rId40" Type="http://schemas.openxmlformats.org/officeDocument/2006/relationships/hyperlink" Target="http://doi.org/10.1080/21550085.2018.1448038" TargetMode="External"/><Relationship Id="rId45" Type="http://schemas.openxmlformats.org/officeDocument/2006/relationships/hyperlink" Target="http://doi.org/10.1017/CBO9780511806186.007" TargetMode="External"/><Relationship Id="rId5" Type="http://schemas.openxmlformats.org/officeDocument/2006/relationships/webSettings" Target="webSettings.xml"/><Relationship Id="rId15" Type="http://schemas.openxmlformats.org/officeDocument/2006/relationships/hyperlink" Target="http://doi.org/10.1111/j.1088-4963.1994.tb00008.x" TargetMode="External"/><Relationship Id="rId23" Type="http://schemas.openxmlformats.org/officeDocument/2006/relationships/hyperlink" Target="http://doi.org/10.1257/jel.51.3.838" TargetMode="External"/><Relationship Id="rId28" Type="http://schemas.openxmlformats.org/officeDocument/2006/relationships/hyperlink" Target="http://doi.org/10.1007/s10640-015-9960-7" TargetMode="External"/><Relationship Id="rId36" Type="http://schemas.openxmlformats.org/officeDocument/2006/relationships/hyperlink" Target="http://doi.org/10.1163/17455243-46810051" TargetMode="External"/><Relationship Id="rId49" Type="http://schemas.openxmlformats.org/officeDocument/2006/relationships/footer" Target="footer1.xml"/><Relationship Id="rId10" Type="http://schemas.openxmlformats.org/officeDocument/2006/relationships/hyperlink" Target="http://doi.org/10.1093/monist/ony023" TargetMode="External"/><Relationship Id="rId19" Type="http://schemas.openxmlformats.org/officeDocument/2006/relationships/hyperlink" Target="http://doi.org/10.1073/pnas.1513967112" TargetMode="External"/><Relationship Id="rId31" Type="http://schemas.openxmlformats.org/officeDocument/2006/relationships/hyperlink" Target="http://doi.org/10.1002/wcc.347" TargetMode="External"/><Relationship Id="rId44" Type="http://schemas.openxmlformats.org/officeDocument/2006/relationships/hyperlink" Target="http://doi.org/10.1017/S089267941000005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i.org/10.1038/s41558-020-0880-3" TargetMode="External"/><Relationship Id="rId14" Type="http://schemas.openxmlformats.org/officeDocument/2006/relationships/hyperlink" Target="http://doi.org/10.1016/0301-4215(95)90163-2" TargetMode="External"/><Relationship Id="rId22" Type="http://schemas.openxmlformats.org/officeDocument/2006/relationships/hyperlink" Target="http://doi.org/10.1093/reep/rew012" TargetMode="External"/><Relationship Id="rId27" Type="http://schemas.openxmlformats.org/officeDocument/2006/relationships/hyperlink" Target="http://www.jstor.org/stable/20619943" TargetMode="External"/><Relationship Id="rId30" Type="http://schemas.openxmlformats.org/officeDocument/2006/relationships/hyperlink" Target="http://heinonline.org/hol-cgi-bin/get_pdf.cgi?handle=hein.journals/cjil13&amp;section=26" TargetMode="External"/><Relationship Id="rId35" Type="http://schemas.openxmlformats.org/officeDocument/2006/relationships/hyperlink" Target="http://doi.org/10.1111/ecoj.12229" TargetMode="External"/><Relationship Id="rId43" Type="http://schemas.openxmlformats.org/officeDocument/2006/relationships/hyperlink" Target="http://doi.org/10.1080/14747730500377156" TargetMode="External"/><Relationship Id="rId48" Type="http://schemas.openxmlformats.org/officeDocument/2006/relationships/hyperlink" Target="http://doi.org/10.7202/1055117ar" TargetMode="External"/><Relationship Id="rId8" Type="http://schemas.openxmlformats.org/officeDocument/2006/relationships/hyperlink" Target="mailto:kian.mintz-woo@ucc.ie"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i.org/10.1007/s10584-018-2218-y" TargetMode="External"/><Relationship Id="rId17" Type="http://schemas.openxmlformats.org/officeDocument/2006/relationships/hyperlink" Target="http://doi.org/10.1093/reep/rem024" TargetMode="External"/><Relationship Id="rId25" Type="http://schemas.openxmlformats.org/officeDocument/2006/relationships/hyperlink" Target="http://doi.org/10.1126/science.aad9837" TargetMode="External"/><Relationship Id="rId33" Type="http://schemas.openxmlformats.org/officeDocument/2006/relationships/hyperlink" Target="http://doi.org/10.1007/s11166-008-9049-6" TargetMode="External"/><Relationship Id="rId38" Type="http://schemas.openxmlformats.org/officeDocument/2006/relationships/hyperlink" Target="http://doi.org/10.1111/phc3.12442" TargetMode="External"/><Relationship Id="rId46" Type="http://schemas.openxmlformats.org/officeDocument/2006/relationships/hyperlink" Target="http://doi.org/10.7202/1055125ar" TargetMode="External"/><Relationship Id="rId20" Type="http://schemas.openxmlformats.org/officeDocument/2006/relationships/hyperlink" Target="http://doi.org/10.1007/s10584-017-2094-x" TargetMode="External"/><Relationship Id="rId41" Type="http://schemas.openxmlformats.org/officeDocument/2006/relationships/hyperlink" Target="http://doi.org/10.1093/reep/rew0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0676-03A7-9348-BF14-CDF1E892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7875</Words>
  <Characters>44893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 MW</dc:creator>
  <cp:keywords/>
  <dc:description/>
  <cp:lastModifiedBy>User</cp:lastModifiedBy>
  <cp:revision>70</cp:revision>
  <dcterms:created xsi:type="dcterms:W3CDTF">2020-09-29T20:19:00Z</dcterms:created>
  <dcterms:modified xsi:type="dcterms:W3CDTF">2020-10-18T12:52:00Z</dcterms:modified>
</cp:coreProperties>
</file>