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1F57A" w14:textId="1AC4AA65" w:rsidR="00AC166E" w:rsidRDefault="008122E3">
      <w:pPr>
        <w:spacing w:before="240" w:after="120"/>
        <w:ind w:right="-6"/>
        <w:rPr>
          <w:rFonts w:ascii="Times New Roman" w:eastAsia="Verdana" w:hAnsi="Times New Roman" w:cs="Verdana"/>
          <w:b/>
          <w:bCs/>
          <w:sz w:val="28"/>
          <w:szCs w:val="28"/>
        </w:rPr>
      </w:pPr>
      <w:r>
        <w:rPr>
          <w:rFonts w:ascii="Times New Roman" w:eastAsia="Verdana" w:hAnsi="Times New Roman" w:cs="Verdana"/>
          <w:b/>
          <w:bCs/>
          <w:sz w:val="28"/>
          <w:szCs w:val="28"/>
        </w:rPr>
        <w:t xml:space="preserve">Differential impact of opt-in, opt-out policies on deceased organ donation rates: a mixed </w:t>
      </w:r>
      <w:r>
        <w:rPr>
          <w:rFonts w:ascii="Times New Roman" w:eastAsia="Verdana" w:hAnsi="Times New Roman" w:cs="Verdana"/>
          <w:b/>
          <w:bCs/>
          <w:sz w:val="28"/>
          <w:szCs w:val="28"/>
        </w:rPr>
        <w:t>conceptual</w:t>
      </w:r>
      <w:r>
        <w:rPr>
          <w:rFonts w:ascii="Times New Roman" w:eastAsia="Verdana" w:hAnsi="Times New Roman" w:cs="Verdana"/>
          <w:b/>
          <w:bCs/>
          <w:sz w:val="28"/>
          <w:szCs w:val="28"/>
        </w:rPr>
        <w:t xml:space="preserve"> and empirical study</w:t>
      </w:r>
    </w:p>
    <w:p w14:paraId="14B2F5C1" w14:textId="77777777" w:rsidR="00AC166E" w:rsidRPr="001D1CB8" w:rsidRDefault="008122E3">
      <w:pPr>
        <w:spacing w:before="240" w:after="120"/>
        <w:ind w:right="-6"/>
        <w:rPr>
          <w:rFonts w:ascii="Times New Roman" w:hAnsi="Times New Roman"/>
          <w:lang w:val="es-ES"/>
        </w:rPr>
      </w:pPr>
      <w:r w:rsidRPr="001D1CB8">
        <w:rPr>
          <w:rFonts w:ascii="Times New Roman" w:eastAsia="Verdana" w:hAnsi="Times New Roman" w:cs="Verdana"/>
          <w:sz w:val="28"/>
          <w:szCs w:val="28"/>
          <w:lang w:val="es-ES"/>
        </w:rPr>
        <w:t>Molina-Pérez, Alberto</w:t>
      </w:r>
      <w:r w:rsidRPr="001D1CB8">
        <w:rPr>
          <w:rFonts w:ascii="Times New Roman" w:eastAsia="Verdana" w:hAnsi="Times New Roman" w:cs="Verdana"/>
          <w:position w:val="7"/>
          <w:szCs w:val="28"/>
          <w:lang w:val="es-ES"/>
        </w:rPr>
        <w:t>1,2,3</w:t>
      </w:r>
      <w:r w:rsidRPr="001D1CB8">
        <w:rPr>
          <w:rFonts w:ascii="Times New Roman" w:eastAsia="Verdana" w:hAnsi="Times New Roman" w:cs="Verdana"/>
          <w:sz w:val="32"/>
          <w:szCs w:val="28"/>
          <w:lang w:val="es-ES"/>
        </w:rPr>
        <w:t>*</w:t>
      </w:r>
      <w:r w:rsidRPr="001D1CB8">
        <w:rPr>
          <w:rFonts w:ascii="Times New Roman" w:eastAsia="Verdana" w:hAnsi="Times New Roman" w:cs="Verdana"/>
          <w:sz w:val="28"/>
          <w:szCs w:val="28"/>
          <w:lang w:val="es-ES"/>
        </w:rPr>
        <w:t>; Rodríguez-Arias, David</w:t>
      </w:r>
      <w:r w:rsidRPr="001D1CB8">
        <w:rPr>
          <w:rFonts w:ascii="Times New Roman" w:eastAsia="Verdana" w:hAnsi="Times New Roman" w:cs="Verdana"/>
          <w:position w:val="7"/>
          <w:szCs w:val="28"/>
          <w:lang w:val="es-ES"/>
        </w:rPr>
        <w:t>2,3</w:t>
      </w:r>
      <w:r w:rsidRPr="001D1CB8">
        <w:rPr>
          <w:rFonts w:ascii="Times New Roman" w:eastAsia="Verdana" w:hAnsi="Times New Roman" w:cs="Verdana"/>
          <w:sz w:val="28"/>
          <w:szCs w:val="28"/>
          <w:lang w:val="es-ES"/>
        </w:rPr>
        <w:t>; Delgado, Janet</w:t>
      </w:r>
      <w:r w:rsidRPr="001D1CB8">
        <w:rPr>
          <w:rFonts w:ascii="Times New Roman" w:eastAsia="Verdana" w:hAnsi="Times New Roman" w:cs="Verdana"/>
          <w:kern w:val="0"/>
          <w:position w:val="7"/>
          <w:szCs w:val="28"/>
          <w:lang w:val="es-ES"/>
        </w:rPr>
        <w:t>2,3</w:t>
      </w:r>
    </w:p>
    <w:p w14:paraId="308ABBF1" w14:textId="77777777" w:rsidR="00AC166E" w:rsidRPr="001D1CB8" w:rsidRDefault="00AC166E">
      <w:pPr>
        <w:ind w:right="-6"/>
        <w:rPr>
          <w:rFonts w:ascii="Times New Roman" w:eastAsia="Verdana" w:hAnsi="Times New Roman" w:cs="Verdana"/>
          <w:sz w:val="28"/>
          <w:szCs w:val="28"/>
          <w:lang w:val="es-ES"/>
        </w:rPr>
      </w:pPr>
    </w:p>
    <w:p w14:paraId="5558CED3" w14:textId="77777777" w:rsidR="00AC166E" w:rsidRDefault="008122E3">
      <w:pPr>
        <w:ind w:right="-6"/>
        <w:rPr>
          <w:rFonts w:ascii="Times New Roman" w:hAnsi="Times New Roman"/>
          <w:sz w:val="22"/>
          <w:szCs w:val="22"/>
        </w:rPr>
      </w:pPr>
      <w:r>
        <w:rPr>
          <w:rFonts w:ascii="Times New Roman" w:eastAsia="Verdana" w:hAnsi="Times New Roman" w:cs="Verdana"/>
          <w:position w:val="6"/>
          <w:sz w:val="22"/>
          <w:szCs w:val="22"/>
        </w:rPr>
        <w:t>1</w:t>
      </w:r>
      <w:r>
        <w:rPr>
          <w:rFonts w:ascii="Times New Roman" w:eastAsia="Verdana" w:hAnsi="Times New Roman" w:cs="Verdana"/>
          <w:sz w:val="22"/>
          <w:szCs w:val="22"/>
        </w:rPr>
        <w:t xml:space="preserve"> Institute for Advanced Social Studies, Spanish National Research Council, Spain.</w:t>
      </w:r>
    </w:p>
    <w:p w14:paraId="4B0354AC" w14:textId="77777777" w:rsidR="00AC166E" w:rsidRDefault="008122E3">
      <w:pPr>
        <w:ind w:right="-6"/>
        <w:rPr>
          <w:rFonts w:ascii="Times New Roman" w:hAnsi="Times New Roman"/>
          <w:sz w:val="22"/>
          <w:szCs w:val="22"/>
        </w:rPr>
      </w:pPr>
      <w:r>
        <w:rPr>
          <w:rFonts w:ascii="Times New Roman" w:eastAsia="Verdana" w:hAnsi="Times New Roman" w:cs="Verdana"/>
          <w:position w:val="6"/>
          <w:sz w:val="22"/>
          <w:szCs w:val="22"/>
        </w:rPr>
        <w:t>2</w:t>
      </w:r>
      <w:r>
        <w:rPr>
          <w:rFonts w:ascii="Times New Roman" w:eastAsia="Verdana" w:hAnsi="Times New Roman" w:cs="Verdana"/>
          <w:sz w:val="22"/>
          <w:szCs w:val="22"/>
        </w:rPr>
        <w:t xml:space="preserve"> Department of Philosophy 1, Faculty of Philosophy, University of Granada, Spain. </w:t>
      </w:r>
    </w:p>
    <w:p w14:paraId="59D42EBD" w14:textId="77777777" w:rsidR="00AC166E" w:rsidRDefault="008122E3">
      <w:pPr>
        <w:ind w:right="-6"/>
        <w:rPr>
          <w:rFonts w:ascii="Times New Roman" w:hAnsi="Times New Roman"/>
          <w:sz w:val="22"/>
          <w:szCs w:val="22"/>
        </w:rPr>
      </w:pPr>
      <w:r>
        <w:rPr>
          <w:rFonts w:ascii="Times New Roman" w:eastAsia="Verdana" w:hAnsi="Times New Roman" w:cs="Verdana"/>
          <w:position w:val="6"/>
          <w:sz w:val="22"/>
          <w:szCs w:val="22"/>
        </w:rPr>
        <w:t>3</w:t>
      </w:r>
      <w:r>
        <w:rPr>
          <w:rFonts w:ascii="Times New Roman" w:eastAsia="Verdana" w:hAnsi="Times New Roman" w:cs="Verdana"/>
          <w:sz w:val="22"/>
          <w:szCs w:val="22"/>
        </w:rPr>
        <w:t xml:space="preserve"> Public Issues working group, ELPAT-ESOT, Padova, Italy.</w:t>
      </w:r>
    </w:p>
    <w:p w14:paraId="3C11E3D9" w14:textId="77777777" w:rsidR="00AC166E" w:rsidRDefault="00AC166E">
      <w:pPr>
        <w:ind w:right="-6"/>
        <w:rPr>
          <w:rFonts w:ascii="Times New Roman" w:eastAsia="Verdana" w:hAnsi="Times New Roman" w:cs="Verdana"/>
          <w:sz w:val="22"/>
          <w:szCs w:val="22"/>
        </w:rPr>
      </w:pPr>
    </w:p>
    <w:p w14:paraId="155ED7D9" w14:textId="77777777" w:rsidR="00AC166E" w:rsidRDefault="008122E3">
      <w:pPr>
        <w:ind w:right="-6"/>
      </w:pPr>
      <w:r>
        <w:rPr>
          <w:rFonts w:ascii="Times New Roman" w:eastAsia="Verdana" w:hAnsi="Times New Roman" w:cs="Verdana"/>
          <w:position w:val="6"/>
          <w:sz w:val="22"/>
          <w:szCs w:val="22"/>
        </w:rPr>
        <w:t xml:space="preserve">* </w:t>
      </w:r>
      <w:r>
        <w:rPr>
          <w:rFonts w:ascii="Times New Roman" w:eastAsia="Verdana" w:hAnsi="Times New Roman" w:cs="Verdana"/>
          <w:sz w:val="22"/>
          <w:szCs w:val="22"/>
        </w:rPr>
        <w:t xml:space="preserve">Corresponding author contact information: </w:t>
      </w:r>
      <w:r>
        <w:rPr>
          <w:rStyle w:val="EnlacedeInternet"/>
          <w:rFonts w:ascii="Times New Roman" w:eastAsia="Verdana" w:hAnsi="Times New Roman" w:cs="Verdana"/>
          <w:sz w:val="22"/>
          <w:szCs w:val="22"/>
        </w:rPr>
        <w:t>amolina@iesa.csic.es</w:t>
      </w:r>
    </w:p>
    <w:p w14:paraId="728B5567" w14:textId="77777777" w:rsidR="00AC166E" w:rsidRPr="001D1CB8" w:rsidRDefault="008122E3">
      <w:pPr>
        <w:ind w:right="-6"/>
        <w:rPr>
          <w:rFonts w:ascii="Times New Roman" w:eastAsia="Verdana" w:hAnsi="Times New Roman" w:cs="Verdana"/>
          <w:sz w:val="22"/>
          <w:szCs w:val="22"/>
          <w:lang w:val="es-ES"/>
        </w:rPr>
      </w:pPr>
      <w:r w:rsidRPr="001D1CB8">
        <w:rPr>
          <w:rFonts w:ascii="Times New Roman" w:eastAsia="Verdana" w:hAnsi="Times New Roman" w:cs="Verdana"/>
          <w:sz w:val="22"/>
          <w:szCs w:val="22"/>
          <w:lang w:val="es-ES"/>
        </w:rPr>
        <w:t xml:space="preserve">Alberto Molina Pérez, Instituto de Estudios Sociales Avanzados (IESA-CSIC), Plaza Campo Santo de los Mártires, 7, 14004 Córdoba, </w:t>
      </w:r>
      <w:proofErr w:type="spellStart"/>
      <w:r w:rsidRPr="001D1CB8">
        <w:rPr>
          <w:rFonts w:ascii="Times New Roman" w:eastAsia="Verdana" w:hAnsi="Times New Roman" w:cs="Verdana"/>
          <w:sz w:val="22"/>
          <w:szCs w:val="22"/>
          <w:lang w:val="es-ES"/>
        </w:rPr>
        <w:t>Spain</w:t>
      </w:r>
      <w:proofErr w:type="spellEnd"/>
    </w:p>
    <w:p w14:paraId="66584BBF" w14:textId="77777777" w:rsidR="00AC166E" w:rsidRPr="001D1CB8" w:rsidRDefault="00AC166E">
      <w:pPr>
        <w:ind w:right="-6"/>
        <w:rPr>
          <w:rFonts w:eastAsia="Verdana" w:cs="Verdana"/>
          <w:sz w:val="22"/>
          <w:szCs w:val="22"/>
          <w:lang w:val="es-ES"/>
        </w:rPr>
      </w:pPr>
    </w:p>
    <w:p w14:paraId="645EDDFD" w14:textId="77777777" w:rsidR="00AC166E" w:rsidRDefault="008122E3">
      <w:pPr>
        <w:pStyle w:val="Ttulo1"/>
        <w:numPr>
          <w:ilvl w:val="0"/>
          <w:numId w:val="2"/>
        </w:numPr>
        <w:tabs>
          <w:tab w:val="left" w:pos="0"/>
        </w:tabs>
        <w:rPr>
          <w:rFonts w:eastAsia="Arial" w:cs="Arial"/>
        </w:rPr>
      </w:pPr>
      <w:r>
        <w:rPr>
          <w:rFonts w:eastAsia="Arial" w:cs="Arial"/>
        </w:rPr>
        <w:t>Abstract</w:t>
      </w:r>
    </w:p>
    <w:p w14:paraId="26771990" w14:textId="05C99B8B" w:rsidR="00AC166E" w:rsidRDefault="008122E3">
      <w:pPr>
        <w:pStyle w:val="Textoindependiente"/>
        <w:spacing w:after="113" w:line="360" w:lineRule="auto"/>
        <w:ind w:firstLine="0"/>
      </w:pPr>
      <w:r>
        <w:rPr>
          <w:b/>
          <w:bCs/>
        </w:rPr>
        <w:t xml:space="preserve">Objectives: </w:t>
      </w:r>
      <w:r>
        <w:t>To increase post-mortem organ donati</w:t>
      </w:r>
      <w:r>
        <w:t xml:space="preserve">on rates, several countries are adopting an opt-out (presumed consent) policy, meaning that individuals are deemed donors unless they expressly refused so. Although opt-out countries tend to have higher donation rates, there is no conclusive evidence that </w:t>
      </w:r>
      <w:r>
        <w:t xml:space="preserve">this is caused by the policy itself. The main objective of this study is to better assess the direct impact of consent policy defaults </w:t>
      </w:r>
      <w:r>
        <w:rPr>
          <w:i/>
          <w:iCs/>
        </w:rPr>
        <w:t>per se</w:t>
      </w:r>
      <w:r>
        <w:t xml:space="preserve"> on deceased organ recovery rates when considering the role of the family in the decision-making process. This stud</w:t>
      </w:r>
      <w:r>
        <w:t xml:space="preserve">y does not </w:t>
      </w:r>
      <w:proofErr w:type="gramStart"/>
      <w:r>
        <w:t>take into account</w:t>
      </w:r>
      <w:proofErr w:type="gramEnd"/>
      <w:r>
        <w:t xml:space="preserve"> any indirect effects of defaults, such as potential psychological and behavioural effects on individuals and their relatives. </w:t>
      </w:r>
      <w:r>
        <w:rPr>
          <w:b/>
          <w:bCs/>
        </w:rPr>
        <w:t>Design:</w:t>
      </w:r>
      <w:r>
        <w:t xml:space="preserve"> Based on previous work regarding consent policies, we created a </w:t>
      </w:r>
      <w:r>
        <w:t>con</w:t>
      </w:r>
      <w:r>
        <w:t xml:space="preserve">ceptual </w:t>
      </w:r>
      <w:r>
        <w:t>model of the decis</w:t>
      </w:r>
      <w:r>
        <w:t>ion-making process for deceased organ recovery that included any scenario that could be directly influenced by opt-in or opt-out policies. We then applied this model to internationally published data of the consent process to determine how frequently polic</w:t>
      </w:r>
      <w:r>
        <w:t xml:space="preserve">y defaults could apply. </w:t>
      </w:r>
      <w:r>
        <w:rPr>
          <w:b/>
          <w:bCs/>
        </w:rPr>
        <w:t>Main outcome measures:</w:t>
      </w:r>
      <w:r>
        <w:t xml:space="preserve"> We measure the direct impact </w:t>
      </w:r>
      <w:r>
        <w:t>that</w:t>
      </w:r>
      <w:r>
        <w:t xml:space="preserve"> opt-in and opt-out policies have </w:t>
      </w:r>
      <w:r>
        <w:rPr>
          <w:i/>
          <w:iCs/>
        </w:rPr>
        <w:t>per se</w:t>
      </w:r>
      <w:r>
        <w:t xml:space="preserve"> on </w:t>
      </w:r>
      <w:r>
        <w:t>deceased</w:t>
      </w:r>
      <w:r>
        <w:t xml:space="preserve"> organ recovery. </w:t>
      </w:r>
      <w:r>
        <w:rPr>
          <w:b/>
          <w:bCs/>
        </w:rPr>
        <w:t>Results:</w:t>
      </w:r>
      <w:r>
        <w:t xml:space="preserve"> </w:t>
      </w:r>
      <w:r>
        <w:t>Our analysis shows that o</w:t>
      </w:r>
      <w:r>
        <w:t>pt-in and opt-out have strictly identical outcomes in eight out of nine s</w:t>
      </w:r>
      <w:r>
        <w:t xml:space="preserve">ituations. They only differ when neither the deceased nor the family have expressed a preference and defaults therefore apply. </w:t>
      </w:r>
      <w:r>
        <w:t>T</w:t>
      </w:r>
      <w:r>
        <w:t>he direct impact of consent policy defaults is typically circumscribed to a range of 0% to 5% of all opportunities for organ rec</w:t>
      </w:r>
      <w:r>
        <w:t xml:space="preserve">overy. </w:t>
      </w:r>
      <w:r>
        <w:rPr>
          <w:rFonts w:eastAsia="Calibri" w:cs="Calibri"/>
          <w:kern w:val="0"/>
        </w:rPr>
        <w:t xml:space="preserve">Our study also shows that the intervention of the family </w:t>
      </w:r>
      <w:r>
        <w:rPr>
          <w:rFonts w:eastAsia="Calibri" w:cs="Calibri"/>
          <w:kern w:val="0"/>
        </w:rPr>
        <w:t>improves</w:t>
      </w:r>
      <w:r>
        <w:rPr>
          <w:rFonts w:eastAsia="Calibri" w:cs="Calibri"/>
          <w:kern w:val="0"/>
        </w:rPr>
        <w:t xml:space="preserve"> organ retrieval under opt-in but hinders it under opt-out.</w:t>
      </w:r>
      <w:r>
        <w:t xml:space="preserve"> </w:t>
      </w:r>
      <w:r>
        <w:rPr>
          <w:b/>
          <w:bCs/>
        </w:rPr>
        <w:t>Conclusions:</w:t>
      </w:r>
      <w:r>
        <w:t xml:space="preserve"> This study may warn policy makers that, by emphasizing the need to introduce presumed consent to increase organ recovery rates, they might be overestimating the influence of the default and underestimating the power granted to </w:t>
      </w:r>
      <w:r>
        <w:t>families</w:t>
      </w:r>
      <w:r>
        <w:t>.</w:t>
      </w:r>
      <w:r>
        <w:br w:type="page"/>
      </w:r>
    </w:p>
    <w:tbl>
      <w:tblPr>
        <w:tblW w:w="9029" w:type="dxa"/>
        <w:tblInd w:w="-11" w:type="dxa"/>
        <w:tblLayout w:type="fixed"/>
        <w:tblCellMar>
          <w:top w:w="100" w:type="dxa"/>
          <w:left w:w="100" w:type="dxa"/>
          <w:bottom w:w="100" w:type="dxa"/>
          <w:right w:w="100" w:type="dxa"/>
        </w:tblCellMar>
        <w:tblLook w:val="0000" w:firstRow="0" w:lastRow="0" w:firstColumn="0" w:lastColumn="0" w:noHBand="0" w:noVBand="0"/>
      </w:tblPr>
      <w:tblGrid>
        <w:gridCol w:w="9029"/>
      </w:tblGrid>
      <w:tr w:rsidR="00AC166E" w14:paraId="021BFB03" w14:textId="77777777">
        <w:tc>
          <w:tcPr>
            <w:tcW w:w="9029" w:type="dxa"/>
            <w:tcBorders>
              <w:top w:val="single" w:sz="8" w:space="0" w:color="000000"/>
              <w:left w:val="single" w:sz="8" w:space="0" w:color="000000"/>
              <w:bottom w:val="single" w:sz="8" w:space="0" w:color="000000"/>
              <w:right w:val="single" w:sz="8" w:space="0" w:color="000000"/>
            </w:tcBorders>
          </w:tcPr>
          <w:p w14:paraId="421C7D4F" w14:textId="77777777" w:rsidR="00AC166E" w:rsidRDefault="008122E3">
            <w:pPr>
              <w:pStyle w:val="Ttulo2"/>
              <w:pageBreakBefore/>
              <w:widowControl w:val="0"/>
              <w:spacing w:before="283" w:after="57" w:line="240" w:lineRule="auto"/>
            </w:pPr>
            <w:r>
              <w:lastRenderedPageBreak/>
              <w:t>Strengt</w:t>
            </w:r>
            <w:r>
              <w:t>hs and limitations of this study</w:t>
            </w:r>
          </w:p>
          <w:p w14:paraId="5A000AED" w14:textId="77777777" w:rsidR="00AC166E" w:rsidRDefault="008122E3">
            <w:pPr>
              <w:pStyle w:val="Textoindependiente"/>
              <w:widowControl w:val="0"/>
              <w:numPr>
                <w:ilvl w:val="0"/>
                <w:numId w:val="3"/>
              </w:numPr>
              <w:spacing w:before="113" w:after="113" w:line="240" w:lineRule="auto"/>
            </w:pPr>
            <w:r>
              <w:t>We used a mixed methods approach combining conceptual analysis and empirical data to estimate the potential impact of consent policies in a novel manner.</w:t>
            </w:r>
          </w:p>
          <w:p w14:paraId="4EB00E06" w14:textId="77777777" w:rsidR="00AC166E" w:rsidRDefault="008122E3">
            <w:pPr>
              <w:pStyle w:val="Textoindependiente"/>
              <w:widowControl w:val="0"/>
              <w:numPr>
                <w:ilvl w:val="0"/>
                <w:numId w:val="3"/>
              </w:numPr>
              <w:spacing w:before="113" w:after="113" w:line="240" w:lineRule="auto"/>
            </w:pPr>
            <w:r>
              <w:t>We compared the result of the decision-making process under opt-in an</w:t>
            </w:r>
            <w:r>
              <w:t>d opt-out in nine different situations determined by the preferences of the deceased, the preferences of the family, and the default.</w:t>
            </w:r>
          </w:p>
          <w:p w14:paraId="5316D38C" w14:textId="77777777" w:rsidR="00AC166E" w:rsidRDefault="008122E3">
            <w:pPr>
              <w:pStyle w:val="Textoindependiente"/>
              <w:widowControl w:val="0"/>
              <w:numPr>
                <w:ilvl w:val="0"/>
                <w:numId w:val="3"/>
              </w:numPr>
              <w:spacing w:before="113" w:after="113" w:line="240" w:lineRule="auto"/>
            </w:pPr>
            <w:r>
              <w:t>We obtained data from 21 countries in the five continents.</w:t>
            </w:r>
          </w:p>
          <w:p w14:paraId="2DBE73C2" w14:textId="77777777" w:rsidR="00AC166E" w:rsidRDefault="008122E3">
            <w:pPr>
              <w:pStyle w:val="Textoindependiente"/>
              <w:widowControl w:val="0"/>
              <w:numPr>
                <w:ilvl w:val="0"/>
                <w:numId w:val="3"/>
              </w:numPr>
              <w:tabs>
                <w:tab w:val="clear" w:pos="720"/>
                <w:tab w:val="left" w:pos="0"/>
              </w:tabs>
              <w:spacing w:before="113" w:after="113" w:line="240" w:lineRule="auto"/>
            </w:pPr>
            <w:r>
              <w:t xml:space="preserve">The study considers only the direct effect of opt-out on organ retrieval rates, but not its potential indirect effects, such as psychological and behavioural effects. </w:t>
            </w:r>
          </w:p>
          <w:p w14:paraId="7E6BA167" w14:textId="77777777" w:rsidR="00AC166E" w:rsidRDefault="008122E3">
            <w:pPr>
              <w:pStyle w:val="Textoindependiente"/>
              <w:widowControl w:val="0"/>
              <w:numPr>
                <w:ilvl w:val="0"/>
                <w:numId w:val="3"/>
              </w:numPr>
              <w:tabs>
                <w:tab w:val="clear" w:pos="720"/>
                <w:tab w:val="left" w:pos="0"/>
              </w:tabs>
              <w:spacing w:before="113" w:after="113" w:line="240" w:lineRule="auto"/>
            </w:pPr>
            <w:r>
              <w:rPr>
                <w:rFonts w:eastAsia="Calibri" w:cs="Calibri"/>
                <w:kern w:val="0"/>
              </w:rPr>
              <w:t xml:space="preserve">The main limitation of the study is the heterogeneity of sources, sample sizes and time </w:t>
            </w:r>
            <w:r>
              <w:rPr>
                <w:rFonts w:eastAsia="Calibri" w:cs="Calibri"/>
                <w:kern w:val="0"/>
              </w:rPr>
              <w:t>periods for the data collected.</w:t>
            </w:r>
          </w:p>
        </w:tc>
      </w:tr>
    </w:tbl>
    <w:p w14:paraId="067948AF" w14:textId="77777777" w:rsidR="00AC166E" w:rsidRDefault="00AC166E">
      <w:pPr>
        <w:rPr>
          <w:rFonts w:ascii="Times New Roman" w:hAnsi="Times New Roman"/>
        </w:rPr>
      </w:pPr>
    </w:p>
    <w:p w14:paraId="75E60397" w14:textId="77777777" w:rsidR="00AC166E" w:rsidRDefault="00AC166E">
      <w:pPr>
        <w:pStyle w:val="Ttulo1"/>
        <w:spacing w:before="240" w:after="120"/>
        <w:ind w:right="-6"/>
        <w:rPr>
          <w:rFonts w:ascii="Times New Roman" w:eastAsia="Verdana" w:hAnsi="Times New Roman" w:cs="Verdana"/>
          <w:szCs w:val="28"/>
        </w:rPr>
      </w:pPr>
    </w:p>
    <w:p w14:paraId="1424BA86" w14:textId="77777777" w:rsidR="00AC166E" w:rsidRDefault="008122E3">
      <w:pPr>
        <w:pStyle w:val="Textoindependiente"/>
      </w:pPr>
      <w:r>
        <w:br w:type="page"/>
      </w:r>
    </w:p>
    <w:p w14:paraId="601468FD" w14:textId="77777777" w:rsidR="00AC166E" w:rsidRDefault="008122E3">
      <w:pPr>
        <w:pStyle w:val="Ttulo1"/>
      </w:pPr>
      <w:r>
        <w:lastRenderedPageBreak/>
        <w:t>Introduction</w:t>
      </w:r>
    </w:p>
    <w:p w14:paraId="0A0CA89A" w14:textId="2260D57A" w:rsidR="00AC166E" w:rsidRDefault="008122E3">
      <w:pPr>
        <w:pStyle w:val="Textoindependiente"/>
      </w:pPr>
      <w:r>
        <w:t>There is an international trend to move from explicit consent (opt-in) to presumed consent (opt-out) policies for deceased organ retrieval: Chile (2010), Finland (2010), Greece (2013), Uruguay (2013), Wales</w:t>
      </w:r>
      <w:r>
        <w:t xml:space="preserve"> (2015), Colombia (2016), Iceland (2019), the Netherlands (2020), England (2020), Scotland (202</w:t>
      </w:r>
      <w:r>
        <w:t>1</w:t>
      </w:r>
      <w:r>
        <w:t xml:space="preserve">), </w:t>
      </w:r>
      <w:r>
        <w:t>the province of Nova Scotia in Canada (2021)</w:t>
      </w:r>
      <w:r>
        <w:t>, and Switzerland (2022)</w:t>
      </w:r>
      <w:r>
        <w:t xml:space="preserve"> have implemented opt-out policies in recent years. Australia, De</w:t>
      </w:r>
      <w:r>
        <w:t xml:space="preserve">nmark, Germany, Israel, Romania, and several states in the USA have been discussing this as </w:t>
      </w:r>
      <w:proofErr w:type="gramStart"/>
      <w:r>
        <w:t>well[</w:t>
      </w:r>
      <w:proofErr w:type="gramEnd"/>
      <w:r>
        <w:t>1].</w:t>
      </w:r>
    </w:p>
    <w:p w14:paraId="22ACC4A2" w14:textId="77777777" w:rsidR="00AC166E" w:rsidRDefault="008122E3">
      <w:pPr>
        <w:pStyle w:val="Textoindependiente"/>
      </w:pPr>
      <w:r>
        <w:t xml:space="preserve">Some studies suggest that presumed consent laws contribute to increased organ donor </w:t>
      </w:r>
      <w:proofErr w:type="gramStart"/>
      <w:r>
        <w:t>rates</w:t>
      </w:r>
      <w:r>
        <w:t>[</w:t>
      </w:r>
      <w:proofErr w:type="gramEnd"/>
      <w:r>
        <w:t>2–7]</w:t>
      </w:r>
      <w:r>
        <w:t>, while</w:t>
      </w:r>
      <w:r>
        <w:t xml:space="preserve"> others dispute this claim</w:t>
      </w:r>
      <w:r>
        <w:t>[8–13]</w:t>
      </w:r>
      <w:r>
        <w:t>. Research reviews wit</w:t>
      </w:r>
      <w:r>
        <w:t xml:space="preserve">hin this field point out an association between presumed consent legislation and higher organ recovery rates, but they also warn against the assumption that the introduction of presumed consent legislation </w:t>
      </w:r>
      <w:r>
        <w:rPr>
          <w:i/>
          <w:iCs/>
        </w:rPr>
        <w:t>per se</w:t>
      </w:r>
      <w:r>
        <w:t xml:space="preserve"> is its sole </w:t>
      </w:r>
      <w:proofErr w:type="gramStart"/>
      <w:r>
        <w:t>cause</w:t>
      </w:r>
      <w:r>
        <w:t>[</w:t>
      </w:r>
      <w:proofErr w:type="gramEnd"/>
      <w:r>
        <w:t>14–17]</w:t>
      </w:r>
      <w:r>
        <w:t>.  International ev</w:t>
      </w:r>
      <w:r>
        <w:t xml:space="preserve">idence tends to show that opt-out systems can be effective as part of a wider package of measures, but the body of evidence that opt-out legislation in isolation causes increases in organ donation rates lacks robustness and is </w:t>
      </w:r>
      <w:proofErr w:type="gramStart"/>
      <w:r>
        <w:t>sparse[</w:t>
      </w:r>
      <w:proofErr w:type="gramEnd"/>
      <w:r>
        <w:t xml:space="preserve">18]. Consent policies </w:t>
      </w:r>
      <w:r>
        <w:t xml:space="preserve">may, in fact, be just one factor among many, with infrastructure or organisational changes producing greater gains than legislative change </w:t>
      </w:r>
      <w:proofErr w:type="gramStart"/>
      <w:r>
        <w:t>alone[</w:t>
      </w:r>
      <w:proofErr w:type="gramEnd"/>
      <w:r>
        <w:t xml:space="preserve">19,20]. The role families are allowed to play in the process of organ retrieval decision-making may be another </w:t>
      </w:r>
      <w:r>
        <w:t xml:space="preserve">factor tempering the effectiveness of presumed consent </w:t>
      </w:r>
      <w:proofErr w:type="gramStart"/>
      <w:r>
        <w:t>policies</w:t>
      </w:r>
      <w:r>
        <w:t>[</w:t>
      </w:r>
      <w:proofErr w:type="gramEnd"/>
      <w:r>
        <w:t>9,21–23]</w:t>
      </w:r>
      <w:r>
        <w:t xml:space="preserve">. </w:t>
      </w:r>
    </w:p>
    <w:p w14:paraId="59004687" w14:textId="77777777" w:rsidR="00AC166E" w:rsidRDefault="008122E3">
      <w:pPr>
        <w:pStyle w:val="Textoindependiente"/>
      </w:pPr>
      <w:r>
        <w:t xml:space="preserve">To measure the potential impact of legislative change </w:t>
      </w:r>
      <w:r>
        <w:rPr>
          <w:i/>
          <w:iCs/>
        </w:rPr>
        <w:t>by itself</w:t>
      </w:r>
      <w:r>
        <w:t>, in isolation of other measures, it is important to distinguish between consent policies’ direct and indirect effects. Opt-out policies can be conceived as behavioural nudges: non-coercive means aimed at fostering specific behaviours to promote beneficial</w:t>
      </w:r>
      <w:r>
        <w:t xml:space="preserve"> </w:t>
      </w:r>
      <w:proofErr w:type="gramStart"/>
      <w:r>
        <w:t>outcomes[</w:t>
      </w:r>
      <w:proofErr w:type="gramEnd"/>
      <w:r>
        <w:t xml:space="preserve">24,25]. By setting organ donation as the default and taking advantage of people’s tendency to prefer the </w:t>
      </w:r>
      <w:r>
        <w:rPr>
          <w:i/>
          <w:iCs/>
        </w:rPr>
        <w:t>status quo</w:t>
      </w:r>
      <w:r>
        <w:t xml:space="preserve"> (i.e. their propensity to stick with the current state of affairs or choose default options), opt-out policies aim to foster highe</w:t>
      </w:r>
      <w:r>
        <w:t xml:space="preserve">r rates of organ donors. The underlying assumption for moving towards opt-out is that the default would almost automatically </w:t>
      </w:r>
      <w:r>
        <w:lastRenderedPageBreak/>
        <w:t xml:space="preserve">turn those who are undecided or unconcerned about organ donation into actual </w:t>
      </w:r>
      <w:proofErr w:type="gramStart"/>
      <w:r>
        <w:t>donors[</w:t>
      </w:r>
      <w:proofErr w:type="gramEnd"/>
      <w:r>
        <w:t>26,27]. This is what we call a direct effect of</w:t>
      </w:r>
      <w:r>
        <w:t xml:space="preserve"> the consent policy.</w:t>
      </w:r>
    </w:p>
    <w:p w14:paraId="7A9E9469" w14:textId="77777777" w:rsidR="00AC166E" w:rsidRDefault="008122E3">
      <w:pPr>
        <w:pStyle w:val="Textoindependiente"/>
      </w:pPr>
      <w:r>
        <w:t>Changing the legal default donor status from non-donor under opt-in to donor under opt-out can have multiple indirect or secondary effects. For example, it may enable the initiation of organ preservation measures before ascertaining th</w:t>
      </w:r>
      <w:r>
        <w:t>e deceased’s preferences or obtaining the authorisation of the family. This could explain the higher prevalence of uncontrolled donation after circulatory arrest protocols—which require expeditious organ preservation measures—in opt-out countries as compar</w:t>
      </w:r>
      <w:r>
        <w:t xml:space="preserve">ed to opt-in </w:t>
      </w:r>
      <w:proofErr w:type="gramStart"/>
      <w:r>
        <w:t>countries[</w:t>
      </w:r>
      <w:proofErr w:type="gramEnd"/>
      <w:r>
        <w:t xml:space="preserve">28,29]. Other indirect effects are psychological and behavioural, such as increasing people’s awareness and conversations within families about organ donation, influencing the meaning they assign to donating or not </w:t>
      </w:r>
      <w:proofErr w:type="gramStart"/>
      <w:r>
        <w:t>donating[</w:t>
      </w:r>
      <w:proofErr w:type="gramEnd"/>
      <w:r>
        <w:t>30], alte</w:t>
      </w:r>
      <w:r>
        <w:t>ring their registration behaviour[31,32], fostering professionals to identify and refer potential donors and approach their relatives when the deceased failed to register any preference, and changing the conversation between health professionals and relati</w:t>
      </w:r>
      <w:r>
        <w:t>ves[6,33]. In Wales, an increase in family authorisation rates could be explained by such indirect factors, including increased societal concern about organ scarcity, growing confidence of families in healthcare professionals, and specialist nurses’ traini</w:t>
      </w:r>
      <w:r>
        <w:t xml:space="preserve">ng and familiarity with the </w:t>
      </w:r>
      <w:proofErr w:type="gramStart"/>
      <w:r>
        <w:t>legislation[</w:t>
      </w:r>
      <w:proofErr w:type="gramEnd"/>
      <w:r>
        <w:t xml:space="preserve">34]. However, </w:t>
      </w:r>
      <w:r>
        <w:t>t</w:t>
      </w:r>
      <w:r>
        <w:t xml:space="preserve">he introduction of </w:t>
      </w:r>
      <w:r>
        <w:t>opt-out</w:t>
      </w:r>
      <w:r>
        <w:t xml:space="preserve"> legislation can </w:t>
      </w:r>
      <w:r>
        <w:t>also</w:t>
      </w:r>
      <w:r>
        <w:t xml:space="preserve"> have negative effects, such as the lone wolf </w:t>
      </w:r>
      <w:proofErr w:type="gramStart"/>
      <w:r>
        <w:t>effect[</w:t>
      </w:r>
      <w:proofErr w:type="gramEnd"/>
      <w:r>
        <w:t>35], lower incentives for living donation[36], heightened reactance arising from perceptions of unwar</w:t>
      </w:r>
      <w:r>
        <w:t>ranted government control[37], or even backlash, as it occurred in Chile and Brazil[38,39]. In sum, although there is a vast body of empirical literature on the indirect effects of consent policy defaults, overall the available evidence is often conflictin</w:t>
      </w:r>
      <w:r>
        <w:t xml:space="preserve">g and </w:t>
      </w:r>
      <w:proofErr w:type="gramStart"/>
      <w:r>
        <w:t>inconclusive[</w:t>
      </w:r>
      <w:proofErr w:type="gramEnd"/>
      <w:r>
        <w:t>15,17].</w:t>
      </w:r>
    </w:p>
    <w:p w14:paraId="30B08B83" w14:textId="0DAD1537" w:rsidR="00AC166E" w:rsidRDefault="008122E3">
      <w:pPr>
        <w:pStyle w:val="Textoindependiente"/>
      </w:pPr>
      <w:r>
        <w:t xml:space="preserve">In this article, we aim to determine the direct effects of consent policies </w:t>
      </w:r>
      <w:r>
        <w:rPr>
          <w:i/>
          <w:iCs/>
        </w:rPr>
        <w:t>per se</w:t>
      </w:r>
      <w:r>
        <w:t>, in isolation of other measures and country-specific confounding factors. To do so, we focus on the outcome of the decision-making process as dete</w:t>
      </w:r>
      <w:r>
        <w:t xml:space="preserve">rmined solely by the preferences of the deceased, the preferences of the family, and the default. First, we </w:t>
      </w:r>
      <w:r>
        <w:t>propose</w:t>
      </w:r>
      <w:r>
        <w:t xml:space="preserve"> </w:t>
      </w:r>
      <w:r>
        <w:t>a conceptual model showing</w:t>
      </w:r>
      <w:r>
        <w:t xml:space="preserve"> the differential impact </w:t>
      </w:r>
      <w:r>
        <w:lastRenderedPageBreak/>
        <w:t xml:space="preserve">that opt-in and opt-out policies can have </w:t>
      </w:r>
      <w:r>
        <w:rPr>
          <w:i/>
          <w:iCs/>
        </w:rPr>
        <w:t>per se</w:t>
      </w:r>
      <w:r>
        <w:t xml:space="preserve"> on organ r</w:t>
      </w:r>
      <w:r>
        <w:t xml:space="preserve">ecovery rates, i.e. regardless of the country in which they are implemented. Then, we provide </w:t>
      </w:r>
      <w:r>
        <w:t>empirical</w:t>
      </w:r>
      <w:r>
        <w:t xml:space="preserve"> evidence for </w:t>
      </w:r>
      <w:r>
        <w:t>the model</w:t>
      </w:r>
      <w:r>
        <w:t xml:space="preserve"> based on comprehensive data from </w:t>
      </w:r>
      <w:r>
        <w:t>six</w:t>
      </w:r>
      <w:r>
        <w:t xml:space="preserve"> European nations and partial data from </w:t>
      </w:r>
      <w:r>
        <w:t>16</w:t>
      </w:r>
      <w:r>
        <w:t xml:space="preserve"> other countr</w:t>
      </w:r>
      <w:r>
        <w:t xml:space="preserve">ies worldwide. Finally, </w:t>
      </w:r>
      <w:r>
        <w:t xml:space="preserve">based on available data on deceased and family preferences, </w:t>
      </w:r>
      <w:r>
        <w:t>we estimate how changing</w:t>
      </w:r>
      <w:r>
        <w:t xml:space="preserve"> the default and role of family</w:t>
      </w:r>
      <w:r>
        <w:t xml:space="preserve">, </w:t>
      </w:r>
      <w:r>
        <w:rPr>
          <w:i/>
          <w:iCs/>
        </w:rPr>
        <w:t>ceteris paribus</w:t>
      </w:r>
      <w:r>
        <w:t>, can</w:t>
      </w:r>
      <w:r>
        <w:t xml:space="preserve"> directly</w:t>
      </w:r>
      <w:r>
        <w:t xml:space="preserve"> affect </w:t>
      </w:r>
      <w:r>
        <w:t>retrieval rates</w:t>
      </w:r>
      <w:r>
        <w:t>.</w:t>
      </w:r>
    </w:p>
    <w:p w14:paraId="7FE4F4BB" w14:textId="77777777" w:rsidR="00AC166E" w:rsidRDefault="008122E3">
      <w:pPr>
        <w:pStyle w:val="Ttulo1"/>
        <w:numPr>
          <w:ilvl w:val="0"/>
          <w:numId w:val="2"/>
        </w:numPr>
      </w:pPr>
      <w:r>
        <w:t>Methods</w:t>
      </w:r>
    </w:p>
    <w:p w14:paraId="0D8DA977" w14:textId="77777777" w:rsidR="00AC166E" w:rsidRDefault="008122E3">
      <w:pPr>
        <w:pStyle w:val="Textoindependiente"/>
      </w:pPr>
      <w:r>
        <w:t xml:space="preserve">The development of the research question and outcome measure was informed by the results of a systematic review on public knowledge and attitudes towards consent policies for organ </w:t>
      </w:r>
      <w:proofErr w:type="gramStart"/>
      <w:r>
        <w:t>donation[</w:t>
      </w:r>
      <w:proofErr w:type="gramEnd"/>
      <w:r>
        <w:t xml:space="preserve">40] and by a conceptual framework of the role of family </w:t>
      </w:r>
      <w:r>
        <w:t xml:space="preserve">in organ retrieval decision-making[41]. </w:t>
      </w:r>
      <w:r>
        <w:t>The r</w:t>
      </w:r>
      <w:r>
        <w:t>eview’s results suggested, on the one hand, that people's awareness of the consent model is lower in opt-out countries than in opt-in countries, which raises ethical concerns with regard to the respect of indivi</w:t>
      </w:r>
      <w:r>
        <w:t>dual autonomy, and, on the other hand, that despite the general tendency in Europe and elsewhere to move from opt-in to opt-out policies, a majority of the public tend to prefer opt-in and mandatory choice to opt-out when two or more options are offered. T</w:t>
      </w:r>
      <w:r>
        <w:t>he framework’s results suggested that there is no significant difference between opt-in and opt-out policies when family preferences are considered.</w:t>
      </w:r>
    </w:p>
    <w:p w14:paraId="0EAAF3B4" w14:textId="441397B4" w:rsidR="00AC166E" w:rsidRDefault="008122E3">
      <w:pPr>
        <w:pStyle w:val="Ttulo2"/>
      </w:pPr>
      <w:r>
        <w:t xml:space="preserve">Conceptual </w:t>
      </w:r>
      <w:r>
        <w:t>model</w:t>
      </w:r>
    </w:p>
    <w:p w14:paraId="4F540014" w14:textId="71DEE015" w:rsidR="00AC166E" w:rsidRDefault="008122E3">
      <w:pPr>
        <w:pStyle w:val="Textoindependiente"/>
      </w:pPr>
      <w:r>
        <w:t xml:space="preserve">We used </w:t>
      </w:r>
      <w:r>
        <w:t>the following</w:t>
      </w:r>
      <w:r>
        <w:t xml:space="preserve"> </w:t>
      </w:r>
      <w:r>
        <w:t>conceptual model</w:t>
      </w:r>
      <w:r>
        <w:t xml:space="preserve"> to assess </w:t>
      </w:r>
      <w:r>
        <w:t>how</w:t>
      </w:r>
      <w:r>
        <w:t xml:space="preserve"> consent policies can impact organ retrieval rates. This </w:t>
      </w:r>
      <w:r>
        <w:t>model</w:t>
      </w:r>
      <w:r>
        <w:t xml:space="preserve"> allows for an examination of the consent policies </w:t>
      </w:r>
      <w:r>
        <w:rPr>
          <w:i/>
        </w:rPr>
        <w:t>per se</w:t>
      </w:r>
      <w:r>
        <w:t>, regardless of country-specific confounding factors such as organisation and infrastructures, professionals’ training, incentive</w:t>
      </w:r>
      <w:r>
        <w:t>s, media campaigns, cultural backgrounds, etc.</w:t>
      </w:r>
    </w:p>
    <w:p w14:paraId="6493E83D" w14:textId="77777777" w:rsidR="00AC166E" w:rsidRDefault="008122E3">
      <w:pPr>
        <w:pStyle w:val="Textoindependiente"/>
      </w:pPr>
      <w:r>
        <w:t xml:space="preserve">First, we broke down consent policies into their core </w:t>
      </w:r>
      <w:proofErr w:type="gramStart"/>
      <w:r>
        <w:t>components[</w:t>
      </w:r>
      <w:proofErr w:type="gramEnd"/>
      <w:r>
        <w:t>42]. As their name suggests, opt-in and opt-out policies are relative to individual preferences. This is the first element to consider. Organs m</w:t>
      </w:r>
      <w:r>
        <w:t xml:space="preserve">ay be retrieved when people expressed their consent as </w:t>
      </w:r>
      <w:r>
        <w:rPr>
          <w:i/>
        </w:rPr>
        <w:t>post-mortem</w:t>
      </w:r>
      <w:r>
        <w:t xml:space="preserve"> organ </w:t>
      </w:r>
      <w:r>
        <w:lastRenderedPageBreak/>
        <w:t>donors (opt-in) and they may not be retrieved when people expressed their refusal (opt-out). In some countries, such as Germany and the Netherlands, individuals can also choose to del</w:t>
      </w:r>
      <w:r>
        <w:t>egate the decision to their relatives or a designated proxy. This introduces family preferences as a second element to consider. Indeed, whether the deceased’s organs are recovered or not may eventually depend on the next-of-kin’s attitudes towards donatio</w:t>
      </w:r>
      <w:r>
        <w:t>n. The third element is the default option set by each policy when no preferences have been expressed whatsoever. In such circumstances, organs can nevertheless be retrieved under opt-out, based on presumed consent, whilst they cannot be retrieved under op</w:t>
      </w:r>
      <w:r>
        <w:t xml:space="preserve">t-in. </w:t>
      </w:r>
    </w:p>
    <w:p w14:paraId="1941585C" w14:textId="77777777" w:rsidR="00AC166E" w:rsidRDefault="008122E3">
      <w:pPr>
        <w:pStyle w:val="Textoindependiente"/>
      </w:pPr>
      <w:r>
        <w:t>The procedures deemed valid to express a preference regarding organ donation are also an important part of consent policies. These procedures may include consent and/or refusal registries, organ donor cards, living wills and other written documents,</w:t>
      </w:r>
      <w:r>
        <w:t xml:space="preserve"> as well as conversations with relatives.  Although some of these procedures </w:t>
      </w:r>
      <w:r>
        <w:t>can</w:t>
      </w:r>
      <w:r>
        <w:t xml:space="preserve"> exist in a given country, they may be inconsequential as long as </w:t>
      </w:r>
      <w:r>
        <w:t>people are unfamiliar with them</w:t>
      </w:r>
      <w:r>
        <w:t xml:space="preserve">. For example, in France, the refusal register is by law the main procedure to </w:t>
      </w:r>
      <w:r>
        <w:t>express a decision, but less than 0.5% of the total population were listed in it by 2017[43]. For the sake of simplicity, considering the diversity and varying degrees of use of these procedures, we decided not to include them in our analysis. In the follo</w:t>
      </w:r>
      <w:r>
        <w:t xml:space="preserve">wing analysis, we will consider the preferences of individuals and relatives, and the role they play under each policy, regardless of the means by which these preferences can be expressed in any given country. </w:t>
      </w:r>
    </w:p>
    <w:p w14:paraId="7AE77FFC" w14:textId="77777777" w:rsidR="00AC166E" w:rsidRDefault="008122E3">
      <w:pPr>
        <w:pStyle w:val="Textoindependiente"/>
      </w:pPr>
      <w:r>
        <w:t>Secondly, based on the aforementioned core components of opt-in and opt-out (individual preferences, family preferences, and defaults), we identified all the situations where the retrieval outcome depends on individual and/or family preferences or the lack</w:t>
      </w:r>
      <w:r>
        <w:t xml:space="preserve"> </w:t>
      </w:r>
      <w:proofErr w:type="gramStart"/>
      <w:r>
        <w:t>thereof[</w:t>
      </w:r>
      <w:proofErr w:type="gramEnd"/>
      <w:r>
        <w:t xml:space="preserve">42]. When relatives’ preferences are </w:t>
      </w:r>
      <w:r>
        <w:rPr>
          <w:i/>
        </w:rPr>
        <w:t>not</w:t>
      </w:r>
      <w:r>
        <w:t xml:space="preserve"> </w:t>
      </w:r>
      <w:proofErr w:type="gramStart"/>
      <w:r>
        <w:t>taken into account</w:t>
      </w:r>
      <w:proofErr w:type="gramEnd"/>
      <w:r>
        <w:t xml:space="preserve">, only three possible situations arise, as the deceased person </w:t>
      </w:r>
      <w:r>
        <w:rPr>
          <w:rFonts w:eastAsia="Calibri" w:cs="Calibri"/>
        </w:rPr>
        <w:t>may have either: (</w:t>
      </w:r>
      <w:r>
        <w:rPr>
          <w:rFonts w:eastAsia="Calibri" w:cs="Calibri"/>
          <w:i/>
        </w:rPr>
        <w:t>A</w:t>
      </w:r>
      <w:r>
        <w:rPr>
          <w:rFonts w:eastAsia="Calibri" w:cs="Calibri"/>
        </w:rPr>
        <w:t>)</w:t>
      </w:r>
      <w:r>
        <w:rPr>
          <w:rFonts w:eastAsia="Calibri" w:cs="Calibri"/>
        </w:rPr>
        <w:t> </w:t>
      </w:r>
      <w:r>
        <w:rPr>
          <w:rFonts w:eastAsia="Calibri" w:cs="Calibri"/>
        </w:rPr>
        <w:t>expressed their consent to donate; (</w:t>
      </w:r>
      <w:r>
        <w:rPr>
          <w:rFonts w:eastAsia="Calibri" w:cs="Calibri"/>
          <w:i/>
        </w:rPr>
        <w:t>B</w:t>
      </w:r>
      <w:r>
        <w:rPr>
          <w:rFonts w:eastAsia="Calibri" w:cs="Calibri"/>
        </w:rPr>
        <w:t>)</w:t>
      </w:r>
      <w:r>
        <w:rPr>
          <w:rFonts w:eastAsia="Calibri" w:cs="Calibri"/>
        </w:rPr>
        <w:t> </w:t>
      </w:r>
      <w:r>
        <w:rPr>
          <w:rFonts w:eastAsia="Calibri" w:cs="Calibri"/>
        </w:rPr>
        <w:t>expressed their refusal to donate; or (</w:t>
      </w:r>
      <w:r>
        <w:rPr>
          <w:rFonts w:eastAsia="Calibri" w:cs="Calibri"/>
          <w:i/>
        </w:rPr>
        <w:t>C</w:t>
      </w:r>
      <w:r>
        <w:rPr>
          <w:rFonts w:eastAsia="Calibri" w:cs="Calibri"/>
        </w:rPr>
        <w:t>)</w:t>
      </w:r>
      <w:r>
        <w:rPr>
          <w:rFonts w:eastAsia="Calibri" w:cs="Calibri"/>
        </w:rPr>
        <w:t> </w:t>
      </w:r>
      <w:r>
        <w:rPr>
          <w:rFonts w:eastAsia="Calibri" w:cs="Calibri"/>
        </w:rPr>
        <w:t xml:space="preserve">failed to express any decision regarding donation, in which case the default applies. When relatives </w:t>
      </w:r>
      <w:r>
        <w:rPr>
          <w:rFonts w:eastAsia="Calibri" w:cs="Calibri"/>
          <w:i/>
        </w:rPr>
        <w:t>are</w:t>
      </w:r>
      <w:r>
        <w:rPr>
          <w:rFonts w:eastAsia="Calibri" w:cs="Calibri"/>
        </w:rPr>
        <w:t xml:space="preserve"> consulted, their own preferences regarding the recovery of organs from their loved </w:t>
      </w:r>
      <w:r>
        <w:rPr>
          <w:rFonts w:eastAsia="Calibri" w:cs="Calibri"/>
        </w:rPr>
        <w:lastRenderedPageBreak/>
        <w:t>ones may be either (</w:t>
      </w:r>
      <w:r>
        <w:rPr>
          <w:rFonts w:eastAsia="Calibri" w:cs="Calibri"/>
          <w:i/>
        </w:rPr>
        <w:t>a</w:t>
      </w:r>
      <w:r>
        <w:rPr>
          <w:rFonts w:eastAsia="Calibri" w:cs="Calibri"/>
        </w:rPr>
        <w:t>)</w:t>
      </w:r>
      <w:r>
        <w:rPr>
          <w:rFonts w:eastAsia="Calibri" w:cs="Calibri"/>
        </w:rPr>
        <w:t> </w:t>
      </w:r>
      <w:r>
        <w:rPr>
          <w:rFonts w:eastAsia="Calibri" w:cs="Calibri"/>
        </w:rPr>
        <w:t>favourable, (</w:t>
      </w:r>
      <w:r>
        <w:rPr>
          <w:rFonts w:eastAsia="Calibri" w:cs="Calibri"/>
          <w:i/>
        </w:rPr>
        <w:t>b</w:t>
      </w:r>
      <w:r>
        <w:rPr>
          <w:rFonts w:eastAsia="Calibri" w:cs="Calibri"/>
        </w:rPr>
        <w:t>)</w:t>
      </w:r>
      <w:r>
        <w:rPr>
          <w:rFonts w:eastAsia="Calibri" w:cs="Calibri"/>
        </w:rPr>
        <w:t> </w:t>
      </w:r>
      <w:r>
        <w:rPr>
          <w:rFonts w:eastAsia="Calibri" w:cs="Calibri"/>
        </w:rPr>
        <w:t>unfavourable, or (</w:t>
      </w:r>
      <w:r>
        <w:rPr>
          <w:rFonts w:eastAsia="Calibri" w:cs="Calibri"/>
          <w:i/>
        </w:rPr>
        <w:t>c</w:t>
      </w:r>
      <w:r>
        <w:rPr>
          <w:rFonts w:eastAsia="Calibri" w:cs="Calibri"/>
        </w:rPr>
        <w:t>) unknown.</w:t>
      </w:r>
      <w:r>
        <w:rPr>
          <w:rFonts w:eastAsia="Calibri" w:cs="Calibri"/>
        </w:rPr>
        <w:t xml:space="preserve"> The combination of the preferences of the deceased and those of the family thus creates a total of nine (3x3=9) situations (</w:t>
      </w:r>
      <w:r>
        <w:rPr>
          <w:rFonts w:eastAsia="Calibri" w:cs="Calibri"/>
        </w:rPr>
        <w:t>Table</w:t>
      </w:r>
      <w:r>
        <w:rPr>
          <w:rFonts w:eastAsia="Calibri" w:cs="Calibri"/>
        </w:rPr>
        <w:t xml:space="preserve"> 1).</w:t>
      </w:r>
    </w:p>
    <w:p w14:paraId="1E25DA17" w14:textId="77777777" w:rsidR="00AC166E" w:rsidRDefault="00AC166E">
      <w:pPr>
        <w:pStyle w:val="Textoindependiente"/>
        <w:rPr>
          <w:rFonts w:eastAsia="Calibri" w:cs="Calibri"/>
        </w:rPr>
      </w:pPr>
    </w:p>
    <w:p w14:paraId="2D2C5B6E" w14:textId="77777777" w:rsidR="00AC166E" w:rsidRDefault="008122E3">
      <w:pPr>
        <w:widowControl w:val="0"/>
        <w:spacing w:line="276" w:lineRule="auto"/>
      </w:pPr>
      <w:r>
        <w:rPr>
          <w:rFonts w:eastAsia="Calibri" w:cs="Calibri"/>
          <w:sz w:val="20"/>
        </w:rPr>
        <w:t xml:space="preserve">Table 1. </w:t>
      </w:r>
      <w:r>
        <w:rPr>
          <w:rFonts w:eastAsia="Calibri" w:cs="Calibri"/>
          <w:b/>
          <w:i/>
          <w:sz w:val="20"/>
          <w:szCs w:val="20"/>
        </w:rPr>
        <w:t>Consent-related situations that affect the retrieval outcome under both opt-in and opt-out policies</w:t>
      </w:r>
    </w:p>
    <w:tbl>
      <w:tblPr>
        <w:tblW w:w="9642" w:type="dxa"/>
        <w:tblLayout w:type="fixed"/>
        <w:tblCellMar>
          <w:top w:w="55" w:type="dxa"/>
          <w:left w:w="55" w:type="dxa"/>
          <w:bottom w:w="55" w:type="dxa"/>
          <w:right w:w="55" w:type="dxa"/>
        </w:tblCellMar>
        <w:tblLook w:val="0000" w:firstRow="0" w:lastRow="0" w:firstColumn="0" w:lastColumn="0" w:noHBand="0" w:noVBand="0"/>
      </w:tblPr>
      <w:tblGrid>
        <w:gridCol w:w="1242"/>
        <w:gridCol w:w="1368"/>
        <w:gridCol w:w="2344"/>
        <w:gridCol w:w="2344"/>
        <w:gridCol w:w="2344"/>
      </w:tblGrid>
      <w:tr w:rsidR="00AC166E" w14:paraId="5B87647E" w14:textId="77777777">
        <w:tc>
          <w:tcPr>
            <w:tcW w:w="2610" w:type="dxa"/>
            <w:gridSpan w:val="2"/>
            <w:vMerge w:val="restart"/>
            <w:tcBorders>
              <w:top w:val="single" w:sz="4" w:space="0" w:color="000000"/>
            </w:tcBorders>
            <w:vAlign w:val="center"/>
          </w:tcPr>
          <w:p w14:paraId="19BC51D9" w14:textId="77777777" w:rsidR="00AC166E" w:rsidRDefault="00AC166E">
            <w:pPr>
              <w:pStyle w:val="Contenidodelatabla"/>
              <w:widowControl w:val="0"/>
              <w:spacing w:before="57" w:after="57" w:line="240" w:lineRule="auto"/>
              <w:rPr>
                <w:rFonts w:ascii="Times New Roman" w:hAnsi="Times New Roman"/>
              </w:rPr>
            </w:pPr>
          </w:p>
        </w:tc>
        <w:tc>
          <w:tcPr>
            <w:tcW w:w="7032" w:type="dxa"/>
            <w:gridSpan w:val="3"/>
            <w:tcBorders>
              <w:top w:val="single" w:sz="4" w:space="0" w:color="000000"/>
              <w:left w:val="dotted" w:sz="2" w:space="0" w:color="000000"/>
            </w:tcBorders>
            <w:vAlign w:val="center"/>
          </w:tcPr>
          <w:p w14:paraId="689C9EDD" w14:textId="77777777" w:rsidR="00AC166E" w:rsidRDefault="008122E3">
            <w:pPr>
              <w:pStyle w:val="Contenidodelatabla"/>
              <w:widowControl w:val="0"/>
              <w:spacing w:before="57" w:after="57" w:line="240" w:lineRule="auto"/>
              <w:jc w:val="center"/>
              <w:rPr>
                <w:rFonts w:ascii="Times New Roman" w:hAnsi="Times New Roman"/>
                <w:b/>
                <w:bCs/>
              </w:rPr>
            </w:pPr>
            <w:r>
              <w:rPr>
                <w:rFonts w:ascii="Times New Roman" w:hAnsi="Times New Roman"/>
                <w:b/>
                <w:bCs/>
              </w:rPr>
              <w:t>Family pre</w:t>
            </w:r>
            <w:r>
              <w:rPr>
                <w:rFonts w:ascii="Times New Roman" w:hAnsi="Times New Roman"/>
                <w:b/>
                <w:bCs/>
              </w:rPr>
              <w:t>ferences</w:t>
            </w:r>
          </w:p>
        </w:tc>
      </w:tr>
      <w:tr w:rsidR="00AC166E" w14:paraId="030EA376" w14:textId="77777777">
        <w:tc>
          <w:tcPr>
            <w:tcW w:w="2610" w:type="dxa"/>
            <w:gridSpan w:val="2"/>
            <w:vMerge/>
            <w:tcBorders>
              <w:top w:val="single" w:sz="4" w:space="0" w:color="000000"/>
            </w:tcBorders>
            <w:vAlign w:val="center"/>
          </w:tcPr>
          <w:p w14:paraId="7427184D" w14:textId="77777777" w:rsidR="00AC166E" w:rsidRDefault="00AC166E">
            <w:pPr>
              <w:widowControl w:val="0"/>
            </w:pPr>
          </w:p>
        </w:tc>
        <w:tc>
          <w:tcPr>
            <w:tcW w:w="2344" w:type="dxa"/>
            <w:tcBorders>
              <w:left w:val="dotted" w:sz="2" w:space="0" w:color="000000"/>
              <w:bottom w:val="dotted" w:sz="2" w:space="0" w:color="000000"/>
            </w:tcBorders>
            <w:vAlign w:val="center"/>
          </w:tcPr>
          <w:p w14:paraId="1ADC3CB5" w14:textId="77777777" w:rsidR="00AC166E" w:rsidRDefault="008122E3">
            <w:pPr>
              <w:pStyle w:val="Contenidodelatabla"/>
              <w:widowControl w:val="0"/>
              <w:spacing w:before="57" w:after="57" w:line="240" w:lineRule="auto"/>
              <w:jc w:val="center"/>
              <w:rPr>
                <w:rFonts w:ascii="Times New Roman" w:hAnsi="Times New Roman"/>
                <w:b/>
                <w:bCs/>
              </w:rPr>
            </w:pPr>
            <w:r>
              <w:rPr>
                <w:rFonts w:ascii="Times New Roman" w:hAnsi="Times New Roman"/>
                <w:b/>
                <w:bCs/>
              </w:rPr>
              <w:t>a) Favourable</w:t>
            </w:r>
          </w:p>
        </w:tc>
        <w:tc>
          <w:tcPr>
            <w:tcW w:w="2344" w:type="dxa"/>
            <w:tcBorders>
              <w:bottom w:val="dotted" w:sz="2" w:space="0" w:color="000000"/>
            </w:tcBorders>
            <w:vAlign w:val="center"/>
          </w:tcPr>
          <w:p w14:paraId="0E11B39D" w14:textId="77777777" w:rsidR="00AC166E" w:rsidRDefault="008122E3">
            <w:pPr>
              <w:pStyle w:val="Contenidodelatabla"/>
              <w:widowControl w:val="0"/>
              <w:spacing w:before="57" w:after="57" w:line="240" w:lineRule="auto"/>
              <w:jc w:val="center"/>
              <w:rPr>
                <w:rFonts w:ascii="Times New Roman" w:hAnsi="Times New Roman"/>
                <w:b/>
                <w:bCs/>
              </w:rPr>
            </w:pPr>
            <w:r>
              <w:rPr>
                <w:rFonts w:ascii="Times New Roman" w:hAnsi="Times New Roman"/>
                <w:b/>
                <w:bCs/>
              </w:rPr>
              <w:t>b) Unfavourable</w:t>
            </w:r>
          </w:p>
        </w:tc>
        <w:tc>
          <w:tcPr>
            <w:tcW w:w="2344" w:type="dxa"/>
            <w:tcBorders>
              <w:bottom w:val="dotted" w:sz="2" w:space="0" w:color="000000"/>
            </w:tcBorders>
            <w:vAlign w:val="center"/>
          </w:tcPr>
          <w:p w14:paraId="582448ED" w14:textId="77777777" w:rsidR="00AC166E" w:rsidRDefault="008122E3">
            <w:pPr>
              <w:pStyle w:val="Contenidodelatabla"/>
              <w:widowControl w:val="0"/>
              <w:spacing w:before="57" w:after="57" w:line="240" w:lineRule="auto"/>
              <w:jc w:val="center"/>
              <w:rPr>
                <w:rFonts w:ascii="Times New Roman" w:hAnsi="Times New Roman"/>
                <w:b/>
                <w:bCs/>
              </w:rPr>
            </w:pPr>
            <w:r>
              <w:rPr>
                <w:rFonts w:ascii="Times New Roman" w:hAnsi="Times New Roman"/>
                <w:b/>
                <w:bCs/>
              </w:rPr>
              <w:t>c) Unknown</w:t>
            </w:r>
          </w:p>
        </w:tc>
      </w:tr>
      <w:tr w:rsidR="00AC166E" w14:paraId="7D3507C9" w14:textId="77777777">
        <w:tc>
          <w:tcPr>
            <w:tcW w:w="1242" w:type="dxa"/>
            <w:vMerge w:val="restart"/>
            <w:tcBorders>
              <w:bottom w:val="single" w:sz="4" w:space="0" w:color="000000"/>
            </w:tcBorders>
            <w:vAlign w:val="center"/>
          </w:tcPr>
          <w:p w14:paraId="63A1A6E7" w14:textId="77777777" w:rsidR="00AC166E" w:rsidRDefault="008122E3">
            <w:pPr>
              <w:pStyle w:val="Contenidodelatabla"/>
              <w:widowControl w:val="0"/>
              <w:spacing w:before="57" w:after="57" w:line="240" w:lineRule="auto"/>
              <w:rPr>
                <w:rFonts w:ascii="Times New Roman" w:hAnsi="Times New Roman"/>
                <w:b/>
                <w:bCs/>
              </w:rPr>
            </w:pPr>
            <w:r>
              <w:rPr>
                <w:rFonts w:ascii="Times New Roman" w:hAnsi="Times New Roman"/>
                <w:b/>
                <w:bCs/>
              </w:rPr>
              <w:t>Deceased’s preferences</w:t>
            </w:r>
          </w:p>
        </w:tc>
        <w:tc>
          <w:tcPr>
            <w:tcW w:w="1368" w:type="dxa"/>
            <w:vAlign w:val="center"/>
          </w:tcPr>
          <w:p w14:paraId="4B8CDF3C" w14:textId="77777777" w:rsidR="00AC166E" w:rsidRDefault="008122E3">
            <w:pPr>
              <w:pStyle w:val="Contenidodelatabla"/>
              <w:widowControl w:val="0"/>
              <w:spacing w:before="57" w:after="57" w:line="240" w:lineRule="auto"/>
              <w:rPr>
                <w:rFonts w:ascii="Times New Roman" w:hAnsi="Times New Roman"/>
                <w:b/>
                <w:bCs/>
              </w:rPr>
            </w:pPr>
            <w:r>
              <w:rPr>
                <w:rFonts w:ascii="Times New Roman" w:hAnsi="Times New Roman"/>
                <w:b/>
                <w:bCs/>
              </w:rPr>
              <w:t>A) Consent</w:t>
            </w:r>
          </w:p>
        </w:tc>
        <w:tc>
          <w:tcPr>
            <w:tcW w:w="2344" w:type="dxa"/>
            <w:tcBorders>
              <w:left w:val="dotted" w:sz="2" w:space="0" w:color="000000"/>
            </w:tcBorders>
            <w:vAlign w:val="center"/>
          </w:tcPr>
          <w:p w14:paraId="765CE02D" w14:textId="77777777" w:rsidR="00AC166E" w:rsidRDefault="008122E3">
            <w:pPr>
              <w:pStyle w:val="Contenidodelatabla"/>
              <w:widowControl w:val="0"/>
              <w:spacing w:before="57" w:after="57" w:line="240" w:lineRule="auto"/>
              <w:jc w:val="center"/>
              <w:rPr>
                <w:rFonts w:ascii="Times New Roman" w:hAnsi="Times New Roman"/>
              </w:rPr>
            </w:pPr>
            <w:r>
              <w:rPr>
                <w:rFonts w:ascii="Times New Roman" w:hAnsi="Times New Roman"/>
              </w:rPr>
              <w:t>Agreement in favour</w:t>
            </w:r>
          </w:p>
        </w:tc>
        <w:tc>
          <w:tcPr>
            <w:tcW w:w="2344" w:type="dxa"/>
            <w:vAlign w:val="center"/>
          </w:tcPr>
          <w:p w14:paraId="64112751" w14:textId="77777777" w:rsidR="00AC166E" w:rsidRDefault="008122E3">
            <w:pPr>
              <w:pStyle w:val="Contenidodelatabla"/>
              <w:widowControl w:val="0"/>
              <w:spacing w:before="57" w:after="57" w:line="240" w:lineRule="auto"/>
              <w:jc w:val="center"/>
              <w:rPr>
                <w:rFonts w:ascii="Times New Roman" w:hAnsi="Times New Roman"/>
              </w:rPr>
            </w:pPr>
            <w:r>
              <w:rPr>
                <w:rFonts w:ascii="Times New Roman" w:hAnsi="Times New Roman"/>
              </w:rPr>
              <w:t>Conflicting preferences</w:t>
            </w:r>
          </w:p>
        </w:tc>
        <w:tc>
          <w:tcPr>
            <w:tcW w:w="2344" w:type="dxa"/>
            <w:vAlign w:val="center"/>
          </w:tcPr>
          <w:p w14:paraId="011E29C4" w14:textId="77777777" w:rsidR="00AC166E" w:rsidRDefault="008122E3">
            <w:pPr>
              <w:pStyle w:val="Contenidodelatabla"/>
              <w:widowControl w:val="0"/>
              <w:spacing w:before="57" w:after="57" w:line="240" w:lineRule="auto"/>
              <w:jc w:val="center"/>
              <w:rPr>
                <w:rFonts w:ascii="Times New Roman" w:hAnsi="Times New Roman"/>
              </w:rPr>
            </w:pPr>
            <w:r>
              <w:rPr>
                <w:rFonts w:ascii="Times New Roman" w:hAnsi="Times New Roman"/>
              </w:rPr>
              <w:t xml:space="preserve">Deceased’s consent </w:t>
            </w:r>
          </w:p>
        </w:tc>
      </w:tr>
      <w:tr w:rsidR="00AC166E" w14:paraId="29BEAFD8" w14:textId="77777777">
        <w:tc>
          <w:tcPr>
            <w:tcW w:w="1242" w:type="dxa"/>
            <w:vMerge/>
            <w:tcBorders>
              <w:bottom w:val="single" w:sz="4" w:space="0" w:color="000000"/>
            </w:tcBorders>
            <w:vAlign w:val="center"/>
          </w:tcPr>
          <w:p w14:paraId="7678A413" w14:textId="77777777" w:rsidR="00AC166E" w:rsidRDefault="00AC166E">
            <w:pPr>
              <w:widowControl w:val="0"/>
            </w:pPr>
          </w:p>
        </w:tc>
        <w:tc>
          <w:tcPr>
            <w:tcW w:w="1368" w:type="dxa"/>
            <w:vAlign w:val="center"/>
          </w:tcPr>
          <w:p w14:paraId="0D3B749A" w14:textId="77777777" w:rsidR="00AC166E" w:rsidRDefault="008122E3">
            <w:pPr>
              <w:pStyle w:val="Contenidodelatabla"/>
              <w:widowControl w:val="0"/>
              <w:spacing w:before="57" w:after="57" w:line="240" w:lineRule="auto"/>
              <w:rPr>
                <w:rFonts w:ascii="Times New Roman" w:hAnsi="Times New Roman"/>
                <w:b/>
                <w:bCs/>
              </w:rPr>
            </w:pPr>
            <w:r>
              <w:rPr>
                <w:rFonts w:ascii="Times New Roman" w:hAnsi="Times New Roman"/>
                <w:b/>
                <w:bCs/>
              </w:rPr>
              <w:t>B) Refusal</w:t>
            </w:r>
          </w:p>
        </w:tc>
        <w:tc>
          <w:tcPr>
            <w:tcW w:w="2344" w:type="dxa"/>
            <w:tcBorders>
              <w:left w:val="dotted" w:sz="2" w:space="0" w:color="000000"/>
            </w:tcBorders>
            <w:vAlign w:val="center"/>
          </w:tcPr>
          <w:p w14:paraId="3CF4E9A0" w14:textId="77777777" w:rsidR="00AC166E" w:rsidRDefault="008122E3">
            <w:pPr>
              <w:pStyle w:val="Contenidodelatabla"/>
              <w:widowControl w:val="0"/>
              <w:spacing w:before="57" w:after="57" w:line="240" w:lineRule="auto"/>
              <w:jc w:val="center"/>
              <w:rPr>
                <w:rFonts w:ascii="Times New Roman" w:hAnsi="Times New Roman"/>
              </w:rPr>
            </w:pPr>
            <w:r>
              <w:rPr>
                <w:rFonts w:ascii="Times New Roman" w:hAnsi="Times New Roman"/>
              </w:rPr>
              <w:t>Conflicting preferences</w:t>
            </w:r>
          </w:p>
        </w:tc>
        <w:tc>
          <w:tcPr>
            <w:tcW w:w="2344" w:type="dxa"/>
            <w:vAlign w:val="center"/>
          </w:tcPr>
          <w:p w14:paraId="1AB36303" w14:textId="77777777" w:rsidR="00AC166E" w:rsidRDefault="008122E3">
            <w:pPr>
              <w:pStyle w:val="Contenidodelatabla"/>
              <w:widowControl w:val="0"/>
              <w:spacing w:before="57" w:after="57" w:line="240" w:lineRule="auto"/>
              <w:jc w:val="center"/>
              <w:rPr>
                <w:rFonts w:ascii="Times New Roman" w:hAnsi="Times New Roman"/>
              </w:rPr>
            </w:pPr>
            <w:r>
              <w:rPr>
                <w:rFonts w:ascii="Times New Roman" w:hAnsi="Times New Roman"/>
              </w:rPr>
              <w:t>Agreement against</w:t>
            </w:r>
          </w:p>
        </w:tc>
        <w:tc>
          <w:tcPr>
            <w:tcW w:w="2344" w:type="dxa"/>
            <w:vAlign w:val="center"/>
          </w:tcPr>
          <w:p w14:paraId="6EEA334B" w14:textId="77777777" w:rsidR="00AC166E" w:rsidRDefault="008122E3">
            <w:pPr>
              <w:pStyle w:val="Contenidodelatabla"/>
              <w:widowControl w:val="0"/>
              <w:spacing w:before="57" w:after="57" w:line="240" w:lineRule="auto"/>
              <w:jc w:val="center"/>
              <w:rPr>
                <w:rFonts w:ascii="Times New Roman" w:hAnsi="Times New Roman"/>
              </w:rPr>
            </w:pPr>
            <w:r>
              <w:rPr>
                <w:rFonts w:ascii="Times New Roman" w:hAnsi="Times New Roman"/>
              </w:rPr>
              <w:t xml:space="preserve">Deceased’s </w:t>
            </w:r>
            <w:r>
              <w:rPr>
                <w:rFonts w:ascii="Times New Roman" w:hAnsi="Times New Roman"/>
              </w:rPr>
              <w:t>refusal</w:t>
            </w:r>
          </w:p>
        </w:tc>
      </w:tr>
      <w:tr w:rsidR="00AC166E" w14:paraId="3B863D00" w14:textId="77777777">
        <w:tc>
          <w:tcPr>
            <w:tcW w:w="1242" w:type="dxa"/>
            <w:vMerge/>
            <w:tcBorders>
              <w:bottom w:val="single" w:sz="4" w:space="0" w:color="000000"/>
            </w:tcBorders>
            <w:vAlign w:val="center"/>
          </w:tcPr>
          <w:p w14:paraId="136CC504" w14:textId="77777777" w:rsidR="00AC166E" w:rsidRDefault="00AC166E">
            <w:pPr>
              <w:widowControl w:val="0"/>
            </w:pPr>
          </w:p>
        </w:tc>
        <w:tc>
          <w:tcPr>
            <w:tcW w:w="1368" w:type="dxa"/>
            <w:tcBorders>
              <w:bottom w:val="single" w:sz="4" w:space="0" w:color="000000"/>
            </w:tcBorders>
            <w:vAlign w:val="center"/>
          </w:tcPr>
          <w:p w14:paraId="4ECEF23C" w14:textId="77777777" w:rsidR="00AC166E" w:rsidRDefault="008122E3">
            <w:pPr>
              <w:pStyle w:val="Contenidodelatabla"/>
              <w:widowControl w:val="0"/>
              <w:spacing w:before="57" w:after="57" w:line="240" w:lineRule="auto"/>
              <w:rPr>
                <w:rFonts w:ascii="Times New Roman" w:hAnsi="Times New Roman"/>
                <w:b/>
                <w:bCs/>
              </w:rPr>
            </w:pPr>
            <w:r>
              <w:rPr>
                <w:rFonts w:ascii="Times New Roman" w:hAnsi="Times New Roman"/>
                <w:b/>
                <w:bCs/>
              </w:rPr>
              <w:t>C) Unknown</w:t>
            </w:r>
          </w:p>
        </w:tc>
        <w:tc>
          <w:tcPr>
            <w:tcW w:w="2344" w:type="dxa"/>
            <w:tcBorders>
              <w:left w:val="dotted" w:sz="2" w:space="0" w:color="000000"/>
              <w:bottom w:val="single" w:sz="4" w:space="0" w:color="000000"/>
            </w:tcBorders>
            <w:vAlign w:val="center"/>
          </w:tcPr>
          <w:p w14:paraId="742FC215" w14:textId="77777777" w:rsidR="00AC166E" w:rsidRDefault="008122E3">
            <w:pPr>
              <w:pStyle w:val="Contenidodelatabla"/>
              <w:widowControl w:val="0"/>
              <w:spacing w:before="57" w:after="57" w:line="240" w:lineRule="auto"/>
              <w:jc w:val="center"/>
              <w:rPr>
                <w:rFonts w:ascii="Times New Roman" w:hAnsi="Times New Roman"/>
              </w:rPr>
            </w:pPr>
            <w:r>
              <w:rPr>
                <w:rFonts w:ascii="Times New Roman" w:hAnsi="Times New Roman"/>
              </w:rPr>
              <w:t xml:space="preserve">Family </w:t>
            </w:r>
            <w:r>
              <w:rPr>
                <w:rFonts w:ascii="Times New Roman" w:hAnsi="Times New Roman"/>
              </w:rPr>
              <w:t>authorisation</w:t>
            </w:r>
          </w:p>
        </w:tc>
        <w:tc>
          <w:tcPr>
            <w:tcW w:w="2344" w:type="dxa"/>
            <w:tcBorders>
              <w:bottom w:val="single" w:sz="4" w:space="0" w:color="000000"/>
            </w:tcBorders>
            <w:vAlign w:val="center"/>
          </w:tcPr>
          <w:p w14:paraId="67359B1C" w14:textId="77777777" w:rsidR="00AC166E" w:rsidRDefault="008122E3">
            <w:pPr>
              <w:pStyle w:val="Contenidodelatabla"/>
              <w:widowControl w:val="0"/>
              <w:spacing w:before="57" w:after="57" w:line="240" w:lineRule="auto"/>
              <w:jc w:val="center"/>
              <w:rPr>
                <w:rFonts w:ascii="Times New Roman" w:hAnsi="Times New Roman"/>
              </w:rPr>
            </w:pPr>
            <w:r>
              <w:rPr>
                <w:rFonts w:ascii="Times New Roman" w:hAnsi="Times New Roman"/>
              </w:rPr>
              <w:t>Family opposition</w:t>
            </w:r>
          </w:p>
        </w:tc>
        <w:tc>
          <w:tcPr>
            <w:tcW w:w="2344" w:type="dxa"/>
            <w:tcBorders>
              <w:bottom w:val="single" w:sz="4" w:space="0" w:color="000000"/>
            </w:tcBorders>
            <w:vAlign w:val="center"/>
          </w:tcPr>
          <w:p w14:paraId="0E8C6834" w14:textId="77777777" w:rsidR="00AC166E" w:rsidRDefault="008122E3">
            <w:pPr>
              <w:pStyle w:val="Contenidodelatabla"/>
              <w:widowControl w:val="0"/>
              <w:spacing w:before="57" w:after="57" w:line="240" w:lineRule="auto"/>
              <w:jc w:val="center"/>
              <w:rPr>
                <w:rFonts w:ascii="Times New Roman" w:hAnsi="Times New Roman"/>
              </w:rPr>
            </w:pPr>
            <w:r>
              <w:rPr>
                <w:rFonts w:ascii="Times New Roman" w:hAnsi="Times New Roman"/>
              </w:rPr>
              <w:t>Default applies</w:t>
            </w:r>
          </w:p>
        </w:tc>
      </w:tr>
    </w:tbl>
    <w:p w14:paraId="27DF05FD" w14:textId="77777777" w:rsidR="00AC166E" w:rsidRDefault="00AC166E">
      <w:pPr>
        <w:pStyle w:val="Textoindependiente"/>
        <w:rPr>
          <w:rFonts w:eastAsia="Calibri" w:cs="Calibri"/>
        </w:rPr>
      </w:pPr>
    </w:p>
    <w:p w14:paraId="31F57E59" w14:textId="77777777" w:rsidR="00AC166E" w:rsidRDefault="00AC166E">
      <w:pPr>
        <w:pStyle w:val="Textoindependiente"/>
      </w:pPr>
    </w:p>
    <w:p w14:paraId="31FCE217" w14:textId="77777777" w:rsidR="00AC166E" w:rsidRDefault="008122E3">
      <w:pPr>
        <w:pStyle w:val="Textoindependiente"/>
      </w:pPr>
      <w:r>
        <w:t>Thirdly, we compared the outcomes of opt-in and opt-out policies in these nine situations. For example, whenever the deceased expressed their willingness to donate (</w:t>
      </w:r>
      <w:r>
        <w:rPr>
          <w:i/>
          <w:iCs/>
        </w:rPr>
        <w:t>A</w:t>
      </w:r>
      <w:r>
        <w:t xml:space="preserve">) and the family also expressed their </w:t>
      </w:r>
      <w:r>
        <w:t>authorisation (</w:t>
      </w:r>
      <w:r>
        <w:rPr>
          <w:i/>
          <w:iCs/>
        </w:rPr>
        <w:t>a</w:t>
      </w:r>
      <w:r>
        <w:t>), organ recovery is most likely to proceed in either opt-in and opt-out policies. This way, by comparing the two policies in each and every scenario, the identification of the situations producing the same retrieval outcome under both poli</w:t>
      </w:r>
      <w:r>
        <w:t xml:space="preserve">cies and those producing variable outcomes is straightforward. This allowed us to evaluate the relative impact of opt-in and opt-out policies </w:t>
      </w:r>
      <w:r>
        <w:rPr>
          <w:i/>
        </w:rPr>
        <w:t>per se</w:t>
      </w:r>
      <w:r>
        <w:t>, regardless of the country-specific confounding factors where these policies are implemented.</w:t>
      </w:r>
    </w:p>
    <w:p w14:paraId="4D7A6A51" w14:textId="77777777" w:rsidR="00AC166E" w:rsidRDefault="008122E3">
      <w:pPr>
        <w:pStyle w:val="Ttulo2"/>
      </w:pPr>
      <w:r>
        <w:t>Review of the</w:t>
      </w:r>
      <w:r>
        <w:t xml:space="preserve"> empirical data available</w:t>
      </w:r>
    </w:p>
    <w:p w14:paraId="6C4D76B8" w14:textId="0E476E15" w:rsidR="00AC166E" w:rsidRDefault="008122E3">
      <w:pPr>
        <w:spacing w:line="480" w:lineRule="auto"/>
        <w:ind w:firstLine="454"/>
      </w:pPr>
      <w:r>
        <w:rPr>
          <w:rFonts w:ascii="Times New Roman" w:eastAsia="Times New Roman" w:hAnsi="Times New Roman" w:cs="Times New Roman"/>
        </w:rPr>
        <w:t>We sought empirical data t</w:t>
      </w:r>
      <w:r>
        <w:rPr>
          <w:rFonts w:ascii="Times New Roman" w:eastAsia="Times New Roman" w:hAnsi="Times New Roman" w:cs="Times New Roman"/>
          <w:color w:val="000000"/>
        </w:rPr>
        <w:t xml:space="preserve">o </w:t>
      </w:r>
      <w:r>
        <w:rPr>
          <w:rFonts w:ascii="Times New Roman" w:eastAsia="Times New Roman" w:hAnsi="Times New Roman" w:cs="Times New Roman"/>
        </w:rPr>
        <w:t>confront</w:t>
      </w:r>
      <w:r>
        <w:rPr>
          <w:rFonts w:ascii="Times New Roman" w:eastAsia="Times New Roman" w:hAnsi="Times New Roman" w:cs="Times New Roman"/>
          <w:color w:val="000000"/>
        </w:rPr>
        <w:t xml:space="preserve"> our </w:t>
      </w:r>
      <w:r>
        <w:rPr>
          <w:rFonts w:ascii="Times New Roman" w:eastAsia="Times New Roman" w:hAnsi="Times New Roman" w:cs="Times New Roman"/>
          <w:color w:val="000000"/>
        </w:rPr>
        <w:t>conceptual model</w:t>
      </w:r>
      <w:r>
        <w:rPr>
          <w:rFonts w:ascii="Times New Roman" w:eastAsia="Times New Roman" w:hAnsi="Times New Roman" w:cs="Times New Roman"/>
          <w:color w:val="000000"/>
        </w:rPr>
        <w:t xml:space="preserve"> with real-world national figures. </w:t>
      </w:r>
    </w:p>
    <w:p w14:paraId="72D0741E" w14:textId="6556D732" w:rsidR="00AC166E" w:rsidRDefault="008122E3">
      <w:pPr>
        <w:spacing w:line="480" w:lineRule="auto"/>
        <w:ind w:firstLine="454"/>
      </w:pPr>
      <w:r>
        <w:rPr>
          <w:rFonts w:ascii="Times New Roman" w:eastAsia="Times New Roman" w:hAnsi="Times New Roman" w:cs="Times New Roman"/>
          <w:i/>
        </w:rPr>
        <w:t>Eligibility criteria</w:t>
      </w:r>
      <w:r>
        <w:rPr>
          <w:rFonts w:ascii="Times New Roman" w:eastAsia="Times New Roman" w:hAnsi="Times New Roman" w:cs="Times New Roman"/>
        </w:rPr>
        <w:t>. Openly available data, from peer-reviewed articles or grey literature reports from official sources (governments, transplant organisations), from any country, without language restrictions, published in the last ten to fifteen years, reporting the expres</w:t>
      </w:r>
      <w:r>
        <w:rPr>
          <w:rFonts w:ascii="Times New Roman" w:eastAsia="Times New Roman" w:hAnsi="Times New Roman" w:cs="Times New Roman"/>
        </w:rPr>
        <w:t xml:space="preserve">sion of preferences or the lack thereof, from either the deceased person or their relatives, in all cases of potential/eligible </w:t>
      </w:r>
      <w:r>
        <w:rPr>
          <w:rFonts w:ascii="Times New Roman" w:eastAsia="Times New Roman" w:hAnsi="Times New Roman" w:cs="Times New Roman"/>
        </w:rPr>
        <w:lastRenderedPageBreak/>
        <w:t>deceased donors. Studies were eligible when the data reported were detailed enough to determine the relative frequency of the si</w:t>
      </w:r>
      <w:r>
        <w:rPr>
          <w:rFonts w:ascii="Times New Roman" w:eastAsia="Times New Roman" w:hAnsi="Times New Roman" w:cs="Times New Roman"/>
        </w:rPr>
        <w:t xml:space="preserve">tuation where defaults apply according to our </w:t>
      </w:r>
      <w:r>
        <w:rPr>
          <w:rFonts w:ascii="Times New Roman" w:eastAsia="Times New Roman" w:hAnsi="Times New Roman" w:cs="Times New Roman"/>
        </w:rPr>
        <w:t>conceptual</w:t>
      </w:r>
      <w:r>
        <w:rPr>
          <w:rFonts w:ascii="Times New Roman" w:eastAsia="Times New Roman" w:hAnsi="Times New Roman" w:cs="Times New Roman"/>
        </w:rPr>
        <w:t xml:space="preserve"> model, that is, when both the deceased’s preferences and the family’s preferences are unknown (Table 1, situation </w:t>
      </w:r>
      <w:r>
        <w:rPr>
          <w:rFonts w:ascii="Times New Roman" w:eastAsia="Times New Roman" w:hAnsi="Times New Roman" w:cs="Times New Roman"/>
          <w:i/>
        </w:rPr>
        <w:t>Cc</w:t>
      </w:r>
      <w:r>
        <w:rPr>
          <w:rFonts w:ascii="Times New Roman" w:eastAsia="Times New Roman" w:hAnsi="Times New Roman" w:cs="Times New Roman"/>
        </w:rPr>
        <w:t>). Studies were ineligible when the data for this outcome of interest wer</w:t>
      </w:r>
      <w:r>
        <w:rPr>
          <w:rFonts w:ascii="Times New Roman" w:eastAsia="Times New Roman" w:hAnsi="Times New Roman" w:cs="Times New Roman"/>
        </w:rPr>
        <w:t>e not reported or could not be determined using the reported data.</w:t>
      </w:r>
    </w:p>
    <w:p w14:paraId="420385BB" w14:textId="77777777" w:rsidR="00AC166E" w:rsidRDefault="008122E3">
      <w:pPr>
        <w:spacing w:line="480" w:lineRule="auto"/>
        <w:ind w:firstLine="454"/>
      </w:pPr>
      <w:r>
        <w:rPr>
          <w:rFonts w:ascii="Times New Roman" w:eastAsia="Times New Roman" w:hAnsi="Times New Roman" w:cs="Times New Roman"/>
          <w:i/>
        </w:rPr>
        <w:t>Information sources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We searched </w:t>
      </w:r>
      <w:r>
        <w:rPr>
          <w:rFonts w:ascii="Times New Roman" w:eastAsia="Times New Roman" w:hAnsi="Times New Roman" w:cs="Times New Roman"/>
        </w:rPr>
        <w:t>the</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Pubmed</w:t>
      </w:r>
      <w:proofErr w:type="spellEnd"/>
      <w:r>
        <w:rPr>
          <w:rFonts w:ascii="Times New Roman" w:eastAsia="Times New Roman" w:hAnsi="Times New Roman" w:cs="Times New Roman"/>
        </w:rPr>
        <w:t xml:space="preserve"> and</w:t>
      </w:r>
      <w:r>
        <w:rPr>
          <w:rFonts w:ascii="Times New Roman" w:eastAsia="Times New Roman" w:hAnsi="Times New Roman" w:cs="Times New Roman"/>
          <w:color w:val="000000"/>
        </w:rPr>
        <w:t xml:space="preserve"> Google Scholar databases, and the ResearchGate platform, from Au</w:t>
      </w:r>
      <w:r>
        <w:rPr>
          <w:rFonts w:ascii="Times New Roman" w:eastAsia="Times New Roman" w:hAnsi="Times New Roman" w:cs="Times New Roman"/>
        </w:rPr>
        <w:t>gust 2020 to February 2021.</w:t>
      </w:r>
      <w:r>
        <w:rPr>
          <w:rFonts w:ascii="Times New Roman" w:eastAsia="Times New Roman" w:hAnsi="Times New Roman" w:cs="Times New Roman"/>
          <w:color w:val="000000"/>
        </w:rPr>
        <w:t xml:space="preserve"> </w:t>
      </w:r>
      <w:r>
        <w:rPr>
          <w:rFonts w:ascii="Times New Roman" w:eastAsia="Times New Roman" w:hAnsi="Times New Roman" w:cs="Times New Roman"/>
        </w:rPr>
        <w:t>W</w:t>
      </w:r>
      <w:r>
        <w:rPr>
          <w:rFonts w:ascii="Times New Roman" w:eastAsia="Times New Roman" w:hAnsi="Times New Roman" w:cs="Times New Roman"/>
          <w:color w:val="000000"/>
        </w:rPr>
        <w:t xml:space="preserve">e also used Google’s search engine </w:t>
      </w:r>
      <w:r>
        <w:rPr>
          <w:rFonts w:ascii="Times New Roman" w:eastAsia="Times New Roman" w:hAnsi="Times New Roman" w:cs="Times New Roman"/>
        </w:rPr>
        <w:t>to find and c</w:t>
      </w:r>
      <w:r>
        <w:rPr>
          <w:rFonts w:ascii="Times New Roman" w:eastAsia="Times New Roman" w:hAnsi="Times New Roman" w:cs="Times New Roman"/>
        </w:rPr>
        <w:t>onsult</w:t>
      </w:r>
      <w:r>
        <w:rPr>
          <w:rFonts w:ascii="Times New Roman" w:eastAsia="Times New Roman" w:hAnsi="Times New Roman" w:cs="Times New Roman"/>
          <w:color w:val="000000"/>
        </w:rPr>
        <w:t xml:space="preserve"> the websites of ministries of health and national transplant organisations, when available. </w:t>
      </w:r>
      <w:r>
        <w:rPr>
          <w:rFonts w:ascii="Times New Roman" w:eastAsia="Times New Roman" w:hAnsi="Times New Roman" w:cs="Times New Roman"/>
        </w:rPr>
        <w:t>The search for data ended in February 2021, although we continued to examine some reports after that date, especially from Austria and Denmark.</w:t>
      </w:r>
    </w:p>
    <w:p w14:paraId="1C2E20E4" w14:textId="77777777" w:rsidR="00AC166E" w:rsidRDefault="008122E3">
      <w:pPr>
        <w:spacing w:line="480" w:lineRule="auto"/>
        <w:ind w:firstLine="454"/>
      </w:pPr>
      <w:r>
        <w:rPr>
          <w:rFonts w:ascii="Times New Roman" w:eastAsia="Times New Roman" w:hAnsi="Times New Roman" w:cs="Times New Roman"/>
          <w:i/>
        </w:rPr>
        <w:t>Search strate</w:t>
      </w:r>
      <w:r>
        <w:rPr>
          <w:rFonts w:ascii="Times New Roman" w:eastAsia="Times New Roman" w:hAnsi="Times New Roman" w:cs="Times New Roman"/>
          <w:i/>
        </w:rPr>
        <w:t>gy</w:t>
      </w:r>
      <w:r>
        <w:rPr>
          <w:rFonts w:ascii="Times New Roman" w:eastAsia="Times New Roman" w:hAnsi="Times New Roman" w:cs="Times New Roman"/>
        </w:rPr>
        <w:t xml:space="preserve">. We used the following sequences of English terms to search Google Scholar, </w:t>
      </w:r>
      <w:proofErr w:type="spellStart"/>
      <w:r>
        <w:rPr>
          <w:rFonts w:ascii="Times New Roman" w:eastAsia="Times New Roman" w:hAnsi="Times New Roman" w:cs="Times New Roman"/>
        </w:rPr>
        <w:t>Pubmed</w:t>
      </w:r>
      <w:proofErr w:type="spellEnd"/>
      <w:r>
        <w:rPr>
          <w:rFonts w:ascii="Times New Roman" w:eastAsia="Times New Roman" w:hAnsi="Times New Roman" w:cs="Times New Roman"/>
        </w:rPr>
        <w:t xml:space="preserve">, and ResearchGate: </w:t>
      </w:r>
      <w:r>
        <w:rPr>
          <w:rFonts w:ascii="Times New Roman" w:eastAsia="Times New Roman" w:hAnsi="Times New Roman" w:cs="Times New Roman"/>
          <w:i/>
        </w:rPr>
        <w:t>potential donor(s)</w:t>
      </w:r>
      <w:r>
        <w:rPr>
          <w:rFonts w:ascii="Times New Roman" w:eastAsia="Times New Roman" w:hAnsi="Times New Roman" w:cs="Times New Roman"/>
        </w:rPr>
        <w:t xml:space="preserve">, </w:t>
      </w:r>
      <w:r>
        <w:rPr>
          <w:rFonts w:ascii="Times New Roman" w:eastAsia="Times New Roman" w:hAnsi="Times New Roman" w:cs="Times New Roman"/>
          <w:i/>
        </w:rPr>
        <w:t>potential organ donor(s)</w:t>
      </w:r>
      <w:r>
        <w:rPr>
          <w:rFonts w:ascii="Times New Roman" w:eastAsia="Times New Roman" w:hAnsi="Times New Roman" w:cs="Times New Roman"/>
        </w:rPr>
        <w:t xml:space="preserve">, </w:t>
      </w:r>
      <w:r>
        <w:rPr>
          <w:rFonts w:ascii="Times New Roman" w:eastAsia="Times New Roman" w:hAnsi="Times New Roman" w:cs="Times New Roman"/>
          <w:i/>
        </w:rPr>
        <w:t>organ donor audit</w:t>
      </w:r>
      <w:r>
        <w:rPr>
          <w:rFonts w:ascii="Times New Roman" w:eastAsia="Times New Roman" w:hAnsi="Times New Roman" w:cs="Times New Roman"/>
        </w:rPr>
        <w:t xml:space="preserve">, </w:t>
      </w:r>
      <w:r>
        <w:rPr>
          <w:rFonts w:ascii="Times New Roman" w:eastAsia="Times New Roman" w:hAnsi="Times New Roman" w:cs="Times New Roman"/>
          <w:i/>
        </w:rPr>
        <w:t>potential organ donation</w:t>
      </w:r>
      <w:r>
        <w:rPr>
          <w:rFonts w:ascii="Times New Roman" w:eastAsia="Times New Roman" w:hAnsi="Times New Roman" w:cs="Times New Roman"/>
        </w:rPr>
        <w:t xml:space="preserve">, </w:t>
      </w:r>
      <w:r>
        <w:rPr>
          <w:rFonts w:ascii="Times New Roman" w:eastAsia="Times New Roman" w:hAnsi="Times New Roman" w:cs="Times New Roman"/>
          <w:i/>
        </w:rPr>
        <w:t>organ donation activity</w:t>
      </w:r>
      <w:r>
        <w:rPr>
          <w:rFonts w:ascii="Times New Roman" w:eastAsia="Times New Roman" w:hAnsi="Times New Roman" w:cs="Times New Roman"/>
        </w:rPr>
        <w:t xml:space="preserve">, </w:t>
      </w:r>
      <w:r>
        <w:rPr>
          <w:rFonts w:ascii="Times New Roman" w:eastAsia="Times New Roman" w:hAnsi="Times New Roman" w:cs="Times New Roman"/>
          <w:i/>
        </w:rPr>
        <w:t>organ donation referral</w:t>
      </w:r>
      <w:r>
        <w:rPr>
          <w:rFonts w:ascii="Times New Roman" w:eastAsia="Times New Roman" w:hAnsi="Times New Roman" w:cs="Times New Roman"/>
        </w:rPr>
        <w:t xml:space="preserve">, </w:t>
      </w:r>
      <w:r>
        <w:rPr>
          <w:rFonts w:ascii="Times New Roman" w:eastAsia="Times New Roman" w:hAnsi="Times New Roman" w:cs="Times New Roman"/>
          <w:i/>
        </w:rPr>
        <w:t>organ dona</w:t>
      </w:r>
      <w:r>
        <w:rPr>
          <w:rFonts w:ascii="Times New Roman" w:eastAsia="Times New Roman" w:hAnsi="Times New Roman" w:cs="Times New Roman"/>
          <w:i/>
        </w:rPr>
        <w:t>tion statistics</w:t>
      </w:r>
      <w:r>
        <w:rPr>
          <w:rFonts w:ascii="Times New Roman" w:eastAsia="Times New Roman" w:hAnsi="Times New Roman" w:cs="Times New Roman"/>
        </w:rPr>
        <w:t xml:space="preserve">, </w:t>
      </w:r>
      <w:r>
        <w:rPr>
          <w:rFonts w:ascii="Times New Roman" w:eastAsia="Times New Roman" w:hAnsi="Times New Roman" w:cs="Times New Roman"/>
          <w:i/>
        </w:rPr>
        <w:t>organ transplantation statistics</w:t>
      </w:r>
      <w:r>
        <w:rPr>
          <w:rFonts w:ascii="Times New Roman" w:eastAsia="Times New Roman" w:hAnsi="Times New Roman" w:cs="Times New Roman"/>
        </w:rPr>
        <w:t>. We also used the corresponding sequences of terms in French and in Spanish (e.g. “</w:t>
      </w:r>
      <w:proofErr w:type="spellStart"/>
      <w:r>
        <w:rPr>
          <w:rFonts w:ascii="Times New Roman" w:eastAsia="Times New Roman" w:hAnsi="Times New Roman" w:cs="Times New Roman"/>
        </w:rPr>
        <w:t>statistiques</w:t>
      </w:r>
      <w:proofErr w:type="spellEnd"/>
      <w:r>
        <w:rPr>
          <w:rFonts w:ascii="Times New Roman" w:eastAsia="Times New Roman" w:hAnsi="Times New Roman" w:cs="Times New Roman"/>
        </w:rPr>
        <w:t xml:space="preserve"> don </w:t>
      </w:r>
      <w:proofErr w:type="spellStart"/>
      <w:r>
        <w:rPr>
          <w:rFonts w:ascii="Times New Roman" w:eastAsia="Times New Roman" w:hAnsi="Times New Roman" w:cs="Times New Roman"/>
        </w:rPr>
        <w:t>organes</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estadísticas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donación</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órganos</w:t>
      </w:r>
      <w:proofErr w:type="spellEnd"/>
      <w:r>
        <w:rPr>
          <w:rFonts w:ascii="Times New Roman" w:eastAsia="Times New Roman" w:hAnsi="Times New Roman" w:cs="Times New Roman"/>
        </w:rPr>
        <w:t xml:space="preserve">”). In addition, in the case of </w:t>
      </w:r>
      <w:proofErr w:type="spellStart"/>
      <w:r>
        <w:rPr>
          <w:rFonts w:ascii="Times New Roman" w:eastAsia="Times New Roman" w:hAnsi="Times New Roman" w:cs="Times New Roman"/>
        </w:rPr>
        <w:t>Pubmed</w:t>
      </w:r>
      <w:proofErr w:type="spellEnd"/>
      <w:r>
        <w:rPr>
          <w:rFonts w:ascii="Times New Roman" w:eastAsia="Times New Roman" w:hAnsi="Times New Roman" w:cs="Times New Roman"/>
        </w:rPr>
        <w:t xml:space="preserve">, we searched the </w:t>
      </w:r>
      <w:proofErr w:type="spellStart"/>
      <w:r>
        <w:rPr>
          <w:rFonts w:ascii="Times New Roman" w:eastAsia="Times New Roman" w:hAnsi="Times New Roman" w:cs="Times New Roman"/>
        </w:rPr>
        <w:t>MeSH</w:t>
      </w:r>
      <w:proofErr w:type="spellEnd"/>
      <w:r>
        <w:rPr>
          <w:rFonts w:ascii="Times New Roman" w:eastAsia="Times New Roman" w:hAnsi="Times New Roman" w:cs="Times New Roman"/>
        </w:rPr>
        <w:t xml:space="preserve"> te</w:t>
      </w:r>
      <w:r>
        <w:rPr>
          <w:rFonts w:ascii="Times New Roman" w:eastAsia="Times New Roman" w:hAnsi="Times New Roman" w:cs="Times New Roman"/>
        </w:rPr>
        <w:t xml:space="preserve">rms: “Tissue and Organ Procurement/statistics and numerical data” and “Organ Transplantation/statistics and numerical data” in combination with country names. </w:t>
      </w:r>
    </w:p>
    <w:p w14:paraId="30B08905" w14:textId="77777777" w:rsidR="00AC166E" w:rsidRDefault="008122E3">
      <w:pPr>
        <w:spacing w:line="480" w:lineRule="auto"/>
        <w:ind w:firstLine="454"/>
      </w:pPr>
      <w:r>
        <w:rPr>
          <w:rFonts w:ascii="Times New Roman" w:eastAsia="Times New Roman" w:hAnsi="Times New Roman" w:cs="Times New Roman"/>
          <w:i/>
        </w:rPr>
        <w:t>Selection process, data extraction and quality assessment.</w:t>
      </w:r>
      <w:r>
        <w:rPr>
          <w:rFonts w:ascii="Times New Roman" w:eastAsia="Times New Roman" w:hAnsi="Times New Roman" w:cs="Times New Roman"/>
        </w:rPr>
        <w:t xml:space="preserve"> One reviewer screened and collected d</w:t>
      </w:r>
      <w:r>
        <w:rPr>
          <w:rFonts w:ascii="Times New Roman" w:eastAsia="Times New Roman" w:hAnsi="Times New Roman" w:cs="Times New Roman"/>
        </w:rPr>
        <w:t>ata from each report. We contacted national officials and researchers to help us locate relevant data from their respective countries, if any, and also to clarify or confirm the information we had collected. To determine the eligibility of some reports, we</w:t>
      </w:r>
      <w:r>
        <w:rPr>
          <w:rFonts w:ascii="Times New Roman" w:eastAsia="Times New Roman" w:hAnsi="Times New Roman" w:cs="Times New Roman"/>
        </w:rPr>
        <w:t xml:space="preserve"> used automated translation tools (e.g. Google Translate) and solicited help from native colleagues. </w:t>
      </w:r>
      <w:r>
        <w:rPr>
          <w:rFonts w:ascii="Times New Roman" w:eastAsia="Times New Roman" w:hAnsi="Times New Roman" w:cs="Times New Roman"/>
          <w:color w:val="000000"/>
        </w:rPr>
        <w:t xml:space="preserve">To ensure accuracy, we contacted representatives of health ministries and national transplant organisations for clarifications or for confirmation of our findings. Evidence for the Netherlands, the United Kingdom, and Denmark </w:t>
      </w:r>
      <w:r>
        <w:rPr>
          <w:rFonts w:ascii="Times New Roman" w:eastAsia="Times New Roman" w:hAnsi="Times New Roman" w:cs="Times New Roman"/>
          <w:color w:val="000000"/>
        </w:rPr>
        <w:lastRenderedPageBreak/>
        <w:t>have been double-checked and c</w:t>
      </w:r>
      <w:r>
        <w:rPr>
          <w:rFonts w:ascii="Times New Roman" w:eastAsia="Times New Roman" w:hAnsi="Times New Roman" w:cs="Times New Roman"/>
          <w:color w:val="000000"/>
        </w:rPr>
        <w:t xml:space="preserve">onfirmed through personal communications with the </w:t>
      </w:r>
      <w:proofErr w:type="spellStart"/>
      <w:r>
        <w:rPr>
          <w:rFonts w:ascii="Times New Roman" w:eastAsia="Times New Roman" w:hAnsi="Times New Roman" w:cs="Times New Roman"/>
          <w:i/>
          <w:color w:val="000000"/>
        </w:rPr>
        <w:t>Nederlandse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Transplantatie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Stichting</w:t>
      </w:r>
      <w:proofErr w:type="spellEnd"/>
      <w:r>
        <w:rPr>
          <w:rFonts w:ascii="Times New Roman" w:eastAsia="Times New Roman" w:hAnsi="Times New Roman" w:cs="Times New Roman"/>
          <w:color w:val="000000"/>
        </w:rPr>
        <w:t xml:space="preserve"> (NTS), the National Health Service (NHS), and the </w:t>
      </w:r>
      <w:r>
        <w:rPr>
          <w:rFonts w:ascii="Times New Roman" w:eastAsia="Times New Roman" w:hAnsi="Times New Roman" w:cs="Times New Roman"/>
          <w:i/>
          <w:color w:val="000000"/>
        </w:rPr>
        <w:t xml:space="preserve">Dansk </w:t>
      </w:r>
      <w:proofErr w:type="spellStart"/>
      <w:r>
        <w:rPr>
          <w:rFonts w:ascii="Times New Roman" w:eastAsia="Times New Roman" w:hAnsi="Times New Roman" w:cs="Times New Roman"/>
          <w:i/>
          <w:color w:val="000000"/>
        </w:rPr>
        <w:t>Center</w:t>
      </w:r>
      <w:proofErr w:type="spellEnd"/>
      <w:r>
        <w:rPr>
          <w:rFonts w:ascii="Times New Roman" w:eastAsia="Times New Roman" w:hAnsi="Times New Roman" w:cs="Times New Roman"/>
          <w:i/>
          <w:color w:val="000000"/>
        </w:rPr>
        <w:t xml:space="preserve"> for </w:t>
      </w:r>
      <w:proofErr w:type="spellStart"/>
      <w:r>
        <w:rPr>
          <w:rFonts w:ascii="Times New Roman" w:eastAsia="Times New Roman" w:hAnsi="Times New Roman" w:cs="Times New Roman"/>
          <w:i/>
          <w:color w:val="000000"/>
        </w:rPr>
        <w:t>Organ</w:t>
      </w:r>
      <w:r>
        <w:rPr>
          <w:rFonts w:ascii="Times New Roman" w:eastAsia="Times New Roman" w:hAnsi="Times New Roman" w:cs="Times New Roman"/>
          <w:i/>
          <w:color w:val="000000"/>
          <w:sz w:val="22"/>
          <w:szCs w:val="22"/>
        </w:rPr>
        <w:t>d</w:t>
      </w:r>
      <w:r>
        <w:rPr>
          <w:rFonts w:ascii="Times New Roman" w:eastAsia="Times New Roman" w:hAnsi="Times New Roman" w:cs="Times New Roman"/>
          <w:i/>
          <w:color w:val="000000"/>
        </w:rPr>
        <w:t>onation</w:t>
      </w:r>
      <w:proofErr w:type="spellEnd"/>
      <w:r>
        <w:rPr>
          <w:rFonts w:ascii="Times New Roman" w:eastAsia="Times New Roman" w:hAnsi="Times New Roman" w:cs="Times New Roman"/>
          <w:color w:val="000000"/>
        </w:rPr>
        <w:t xml:space="preserve">, respectively. Evidence for Germany </w:t>
      </w:r>
      <w:r>
        <w:rPr>
          <w:rFonts w:ascii="Times New Roman" w:eastAsia="Times New Roman" w:hAnsi="Times New Roman" w:cs="Times New Roman"/>
        </w:rPr>
        <w:t>has</w:t>
      </w:r>
      <w:r>
        <w:rPr>
          <w:rFonts w:ascii="Times New Roman" w:eastAsia="Times New Roman" w:hAnsi="Times New Roman" w:cs="Times New Roman"/>
          <w:color w:val="000000"/>
        </w:rPr>
        <w:t xml:space="preserve"> been checked with the assistance of German resea</w:t>
      </w:r>
      <w:r>
        <w:rPr>
          <w:rFonts w:ascii="Times New Roman" w:eastAsia="Times New Roman" w:hAnsi="Times New Roman" w:cs="Times New Roman"/>
          <w:color w:val="000000"/>
        </w:rPr>
        <w:t xml:space="preserve">rchers on organ donation. In a few instances, when no written source of information was available, we contacted the heads of national transplant organisations and other officials for comments. </w:t>
      </w:r>
    </w:p>
    <w:p w14:paraId="7F855583" w14:textId="4F8A8283" w:rsidR="00AC166E" w:rsidRDefault="008122E3">
      <w:pPr>
        <w:spacing w:line="480" w:lineRule="auto"/>
        <w:ind w:firstLine="454"/>
      </w:pPr>
      <w:r>
        <w:rPr>
          <w:rFonts w:ascii="Times New Roman" w:eastAsia="Times New Roman" w:hAnsi="Times New Roman" w:cs="Times New Roman"/>
          <w:i/>
        </w:rPr>
        <w:t>Risk of bias</w:t>
      </w:r>
      <w:r>
        <w:rPr>
          <w:rFonts w:ascii="Times New Roman" w:eastAsia="Times New Roman" w:hAnsi="Times New Roman" w:cs="Times New Roman"/>
        </w:rPr>
        <w:t>. To limit potential bias caused by country-specif</w:t>
      </w:r>
      <w:r>
        <w:rPr>
          <w:rFonts w:ascii="Times New Roman" w:eastAsia="Times New Roman" w:hAnsi="Times New Roman" w:cs="Times New Roman"/>
        </w:rPr>
        <w:t>ic characteristics, such as religious and cultural background, population size, income per capita, health expenditure, and organ donation and transplantation systems, our search specifically targeted—but was not restricted to—a broad range of countries wit</w:t>
      </w:r>
      <w:r>
        <w:rPr>
          <w:rFonts w:ascii="Times New Roman" w:eastAsia="Times New Roman" w:hAnsi="Times New Roman" w:cs="Times New Roman"/>
        </w:rPr>
        <w:t xml:space="preserve">h very diverse characteristics from all continents (except Antarctica) and all of the continental subregions devised by the United Nations </w:t>
      </w:r>
      <w:proofErr w:type="spellStart"/>
      <w:r>
        <w:rPr>
          <w:rFonts w:ascii="Times New Roman" w:eastAsia="Times New Roman" w:hAnsi="Times New Roman" w:cs="Times New Roman"/>
        </w:rPr>
        <w:t>geoscheme</w:t>
      </w:r>
      <w:proofErr w:type="spellEnd"/>
      <w:r>
        <w:rPr>
          <w:rFonts w:ascii="Times New Roman" w:eastAsia="Times New Roman" w:hAnsi="Times New Roman" w:cs="Times New Roman"/>
        </w:rPr>
        <w:t xml:space="preserve">—except for Melanesia, Micronesia, and </w:t>
      </w:r>
      <w:proofErr w:type="spellStart"/>
      <w:r>
        <w:rPr>
          <w:rFonts w:ascii="Times New Roman" w:eastAsia="Times New Roman" w:hAnsi="Times New Roman" w:cs="Times New Roman"/>
        </w:rPr>
        <w:t>Polinesia</w:t>
      </w:r>
      <w:proofErr w:type="spellEnd"/>
      <w:r>
        <w:rPr>
          <w:rFonts w:ascii="Times New Roman" w:eastAsia="Times New Roman" w:hAnsi="Times New Roman" w:cs="Times New Roman"/>
        </w:rPr>
        <w:t xml:space="preserve"> because no deceased organ donation has been reported there.</w:t>
      </w:r>
      <w:r>
        <w:rPr>
          <w:rFonts w:ascii="Times New Roman" w:eastAsia="Times New Roman" w:hAnsi="Times New Roman" w:cs="Times New Roman"/>
        </w:rPr>
        <w:t xml:space="preserve"> This list includes the following 56 countries: Algeria, Argentina, Australia, Austria, Belarus, Belgium, Brazil, Canada, Chile, Colombia, Cuba, Croatia, Czech Republic, Denmark, Ecuador, Egypt, Estonia, Finland, France, Germany, Greece, Hong Kong, Hungary</w:t>
      </w:r>
      <w:r>
        <w:rPr>
          <w:rFonts w:ascii="Times New Roman" w:eastAsia="Times New Roman" w:hAnsi="Times New Roman" w:cs="Times New Roman"/>
        </w:rPr>
        <w:t>, Iceland, India, Iran, Ireland, Israel, Italy, Japan, Kazakhstan, Kenya, Lithuania, Malaysia, Mexico, the Netherlands, New Zealand, Nigeria, the Philippines, Poland, Portugal, Romania, Saudi Arabia, Singapore, Slovenia, South Africa, South Korea, Spain, S</w:t>
      </w:r>
      <w:r>
        <w:rPr>
          <w:rFonts w:ascii="Times New Roman" w:eastAsia="Times New Roman" w:hAnsi="Times New Roman" w:cs="Times New Roman"/>
        </w:rPr>
        <w:t xml:space="preserve">weden, Switzerland, Thailand, </w:t>
      </w:r>
      <w:proofErr w:type="spellStart"/>
      <w:r>
        <w:rPr>
          <w:rFonts w:ascii="Times New Roman" w:eastAsia="Times New Roman" w:hAnsi="Times New Roman" w:cs="Times New Roman"/>
        </w:rPr>
        <w:t>Türkiye</w:t>
      </w:r>
      <w:proofErr w:type="spellEnd"/>
      <w:r>
        <w:rPr>
          <w:rFonts w:ascii="Times New Roman" w:eastAsia="Times New Roman" w:hAnsi="Times New Roman" w:cs="Times New Roman"/>
        </w:rPr>
        <w:t>, the United Kingdom (in general) and Wales (in particular), the United States, and Uruguay. The countries in this list represent more than two-thirds of the 70+ countries having reported any deceased organ donati</w:t>
      </w:r>
      <w:r>
        <w:rPr>
          <w:rFonts w:ascii="Times New Roman" w:eastAsia="Times New Roman" w:hAnsi="Times New Roman" w:cs="Times New Roman"/>
        </w:rPr>
        <w:t>on activity to either the World Health Organisation’s Global Observatory on Donation and Transplantation (</w:t>
      </w:r>
      <w:hyperlink r:id="rId7">
        <w:r>
          <w:rPr>
            <w:rFonts w:ascii="Times New Roman" w:eastAsia="Times New Roman" w:hAnsi="Times New Roman" w:cs="Times New Roman"/>
            <w:color w:val="1155CC"/>
            <w:u w:val="single"/>
          </w:rPr>
          <w:t>GODT</w:t>
        </w:r>
      </w:hyperlink>
      <w:r>
        <w:rPr>
          <w:rFonts w:ascii="Times New Roman" w:eastAsia="Times New Roman" w:hAnsi="Times New Roman" w:cs="Times New Roman"/>
        </w:rPr>
        <w:t>) or to the International Registry in Organ Donation and Transplantation (</w:t>
      </w:r>
      <w:proofErr w:type="spellStart"/>
      <w:r>
        <w:fldChar w:fldCharType="begin"/>
      </w:r>
      <w:r>
        <w:instrText xml:space="preserve"> HYPERLINK "</w:instrText>
      </w:r>
      <w:r>
        <w:instrText xml:space="preserve">https://www.irodat.org/" \h </w:instrText>
      </w:r>
      <w:r>
        <w:fldChar w:fldCharType="separate"/>
      </w:r>
      <w:r>
        <w:rPr>
          <w:rFonts w:ascii="Times New Roman" w:eastAsia="Times New Roman" w:hAnsi="Times New Roman" w:cs="Times New Roman"/>
          <w:color w:val="1155CC"/>
          <w:u w:val="single"/>
        </w:rPr>
        <w:t>IRODaT</w:t>
      </w:r>
      <w:proofErr w:type="spellEnd"/>
      <w:r>
        <w:rPr>
          <w:rFonts w:ascii="Times New Roman" w:eastAsia="Times New Roman" w:hAnsi="Times New Roman" w:cs="Times New Roman"/>
          <w:color w:val="1155CC"/>
          <w:u w:val="single"/>
        </w:rPr>
        <w:fldChar w:fldCharType="end"/>
      </w:r>
      <w:r>
        <w:rPr>
          <w:rFonts w:ascii="Times New Roman" w:eastAsia="Times New Roman" w:hAnsi="Times New Roman" w:cs="Times New Roman"/>
        </w:rPr>
        <w:t>).</w:t>
      </w:r>
    </w:p>
    <w:p w14:paraId="392E747B" w14:textId="77777777" w:rsidR="00AC166E" w:rsidRDefault="008122E3">
      <w:pPr>
        <w:spacing w:line="480" w:lineRule="auto"/>
        <w:ind w:firstLine="454"/>
        <w:rPr>
          <w:rFonts w:ascii="Times New Roman" w:eastAsia="Times New Roman" w:hAnsi="Times New Roman" w:cs="Times New Roman"/>
          <w:color w:val="000000"/>
        </w:rPr>
      </w:pPr>
      <w:r>
        <w:rPr>
          <w:rFonts w:ascii="Times New Roman" w:eastAsia="Times New Roman" w:hAnsi="Times New Roman" w:cs="Times New Roman"/>
          <w:color w:val="000000"/>
        </w:rPr>
        <w:t>More detailed information about the sources and methods is available in a Supplementary File.</w:t>
      </w:r>
    </w:p>
    <w:p w14:paraId="4637701E" w14:textId="77777777" w:rsidR="00AC166E" w:rsidRDefault="008122E3">
      <w:pPr>
        <w:pStyle w:val="Ttulo2"/>
      </w:pPr>
      <w:r>
        <w:lastRenderedPageBreak/>
        <w:t>Patient and Public Involvement</w:t>
      </w:r>
    </w:p>
    <w:p w14:paraId="57D51C25" w14:textId="77777777" w:rsidR="00AC166E" w:rsidRDefault="008122E3">
      <w:pPr>
        <w:pStyle w:val="Textoindependiente"/>
      </w:pPr>
      <w:r>
        <w:t>No patient involved.</w:t>
      </w:r>
    </w:p>
    <w:p w14:paraId="25A58AD7" w14:textId="77777777" w:rsidR="00AC166E" w:rsidRDefault="008122E3">
      <w:pPr>
        <w:pStyle w:val="Ttulo1"/>
        <w:numPr>
          <w:ilvl w:val="0"/>
          <w:numId w:val="2"/>
        </w:numPr>
        <w:tabs>
          <w:tab w:val="left" w:pos="0"/>
        </w:tabs>
      </w:pPr>
      <w:r>
        <w:t>Results</w:t>
      </w:r>
    </w:p>
    <w:p w14:paraId="5ACC13F3" w14:textId="0FBDC445" w:rsidR="00AC166E" w:rsidRDefault="008122E3">
      <w:pPr>
        <w:pStyle w:val="Ttulo2"/>
      </w:pPr>
      <w:r>
        <w:t>Model results</w:t>
      </w:r>
    </w:p>
    <w:p w14:paraId="622633CE" w14:textId="77777777" w:rsidR="00AC166E" w:rsidRDefault="008122E3">
      <w:pPr>
        <w:pStyle w:val="Textoindependiente"/>
      </w:pPr>
      <w:r>
        <w:t xml:space="preserve">The three core components of </w:t>
      </w:r>
      <w:r>
        <w:t>consent policies that influence the outcome of the decision-making process (organ retrieval or non-retrieval) are: (</w:t>
      </w:r>
      <w:proofErr w:type="spellStart"/>
      <w:r>
        <w:t>i</w:t>
      </w:r>
      <w:proofErr w:type="spellEnd"/>
      <w:r>
        <w:t>) the deceased’s expressed preferences, if any; (ii) the next-of-kin’s preferences, if any; and (iii) the default option set by each policy</w:t>
      </w:r>
      <w:r>
        <w:t>.</w:t>
      </w:r>
    </w:p>
    <w:p w14:paraId="6E9E6091" w14:textId="77777777" w:rsidR="00AC166E" w:rsidRDefault="008122E3">
      <w:pPr>
        <w:pStyle w:val="Textoindependiente"/>
      </w:pPr>
      <w:r>
        <w:t xml:space="preserve">When family preferences are </w:t>
      </w:r>
      <w:r>
        <w:rPr>
          <w:i/>
          <w:iCs/>
        </w:rPr>
        <w:t>not</w:t>
      </w:r>
      <w:r>
        <w:t xml:space="preserve"> </w:t>
      </w:r>
      <w:proofErr w:type="gramStart"/>
      <w:r>
        <w:t>taken into account</w:t>
      </w:r>
      <w:proofErr w:type="gramEnd"/>
      <w:r>
        <w:t xml:space="preserve">, a side-by-side comparison of opt-in and opt-out policies shows that they have identical retrieval outcomes in two out of three situations, that is, whenever the deceased had either consented or refused </w:t>
      </w:r>
      <w:r>
        <w:t xml:space="preserve">organ donation (Table </w:t>
      </w:r>
      <w:r>
        <w:t>2</w:t>
      </w:r>
      <w:r>
        <w:t>). These two policies only differ in one situation: when the deceased person failed to express any decision and the default therefore applies. In this situation, the absence of an explicit consent precludes organ retrieval under opt-</w:t>
      </w:r>
      <w:r>
        <w:t>in while the absence of an explicit refusal allows it under opt-out.</w:t>
      </w:r>
    </w:p>
    <w:p w14:paraId="4CEB88BF" w14:textId="77777777" w:rsidR="00AC166E" w:rsidRDefault="008122E3">
      <w:pPr>
        <w:pStyle w:val="Textoindependiente"/>
      </w:pPr>
      <w:r>
        <w:t xml:space="preserve">When </w:t>
      </w:r>
      <w:r>
        <w:rPr>
          <w:i/>
          <w:iCs/>
        </w:rPr>
        <w:t>both</w:t>
      </w:r>
      <w:r>
        <w:t xml:space="preserve"> the individual and the family preferences are </w:t>
      </w:r>
      <w:proofErr w:type="gramStart"/>
      <w:r>
        <w:t>taken into account</w:t>
      </w:r>
      <w:proofErr w:type="gramEnd"/>
      <w:r>
        <w:t xml:space="preserve">, a side-by-side comparison of opt-in and opt-out policies shows these policies having </w:t>
      </w:r>
      <w:r>
        <w:t>rigorously</w:t>
      </w:r>
      <w:r>
        <w:t xml:space="preserve"> identical outco</w:t>
      </w:r>
      <w:r>
        <w:t xml:space="preserve">mes in eight situations out of nine (Table </w:t>
      </w:r>
      <w:r>
        <w:t>3</w:t>
      </w:r>
      <w:r>
        <w:t>). The sole situation when these policies make a difference is when their defaults apply, that is, when the preferences of both the deceased and their family remain unknown to the medical team.</w:t>
      </w:r>
    </w:p>
    <w:p w14:paraId="02E9DAC9" w14:textId="77777777" w:rsidR="00AC166E" w:rsidRDefault="008122E3">
      <w:pPr>
        <w:pStyle w:val="Ttulodelatabla"/>
      </w:pPr>
      <w:r>
        <w:rPr>
          <w:rFonts w:eastAsia="Calibri" w:cs="Calibri"/>
        </w:rPr>
        <w:t xml:space="preserve">Table 2. </w:t>
      </w:r>
      <w:r>
        <w:rPr>
          <w:rFonts w:eastAsia="Calibri" w:cs="Calibri"/>
          <w:i/>
          <w:szCs w:val="20"/>
        </w:rPr>
        <w:t xml:space="preserve">Outcome </w:t>
      </w:r>
      <w:r>
        <w:rPr>
          <w:rFonts w:eastAsia="Calibri" w:cs="Calibri"/>
          <w:i/>
          <w:szCs w:val="20"/>
        </w:rPr>
        <w:t>(organ retrieval vs non-retrieval) from organ recovery decision-making based on the deceased’s decision and the model of consent.</w:t>
      </w:r>
    </w:p>
    <w:tbl>
      <w:tblPr>
        <w:tblW w:w="9635" w:type="dxa"/>
        <w:tblLayout w:type="fixed"/>
        <w:tblCellMar>
          <w:left w:w="0" w:type="dxa"/>
          <w:right w:w="0" w:type="dxa"/>
        </w:tblCellMar>
        <w:tblLook w:val="0000" w:firstRow="0" w:lastRow="0" w:firstColumn="0" w:lastColumn="0" w:noHBand="0" w:noVBand="0"/>
      </w:tblPr>
      <w:tblGrid>
        <w:gridCol w:w="1869"/>
        <w:gridCol w:w="2589"/>
        <w:gridCol w:w="2589"/>
        <w:gridCol w:w="2588"/>
      </w:tblGrid>
      <w:tr w:rsidR="00AC166E" w14:paraId="0CCD720E" w14:textId="77777777">
        <w:trPr>
          <w:trHeight w:val="397"/>
        </w:trPr>
        <w:tc>
          <w:tcPr>
            <w:tcW w:w="1868" w:type="dxa"/>
            <w:tcBorders>
              <w:top w:val="single" w:sz="2" w:space="0" w:color="000000"/>
              <w:bottom w:val="dotted" w:sz="2" w:space="0" w:color="000000"/>
            </w:tcBorders>
            <w:vAlign w:val="center"/>
          </w:tcPr>
          <w:p w14:paraId="607B0ADD" w14:textId="77777777" w:rsidR="00AC166E" w:rsidRDefault="008122E3">
            <w:pPr>
              <w:pStyle w:val="Contenidodelatabla"/>
              <w:widowControl w:val="0"/>
              <w:spacing w:line="276" w:lineRule="auto"/>
              <w:rPr>
                <w:rFonts w:ascii="Calibri" w:hAnsi="Calibri"/>
                <w:b/>
                <w:bCs/>
                <w:szCs w:val="20"/>
              </w:rPr>
            </w:pPr>
            <w:r>
              <w:rPr>
                <w:rFonts w:ascii="Calibri" w:hAnsi="Calibri"/>
                <w:b/>
                <w:bCs/>
                <w:szCs w:val="20"/>
              </w:rPr>
              <w:t>Deceased’s decision</w:t>
            </w:r>
          </w:p>
        </w:tc>
        <w:tc>
          <w:tcPr>
            <w:tcW w:w="2589" w:type="dxa"/>
            <w:tcBorders>
              <w:top w:val="single" w:sz="2" w:space="0" w:color="000000"/>
              <w:bottom w:val="dotted" w:sz="2" w:space="0" w:color="000000"/>
            </w:tcBorders>
            <w:vAlign w:val="center"/>
          </w:tcPr>
          <w:p w14:paraId="6B5CA2D1" w14:textId="77777777" w:rsidR="00AC166E" w:rsidRDefault="008122E3">
            <w:pPr>
              <w:pStyle w:val="Contenidodelatabla"/>
              <w:widowControl w:val="0"/>
              <w:spacing w:line="276" w:lineRule="auto"/>
              <w:jc w:val="center"/>
              <w:rPr>
                <w:rFonts w:ascii="Calibri" w:hAnsi="Calibri"/>
                <w:b/>
                <w:bCs/>
                <w:szCs w:val="20"/>
              </w:rPr>
            </w:pPr>
            <w:r>
              <w:rPr>
                <w:rFonts w:ascii="Calibri" w:hAnsi="Calibri"/>
                <w:b/>
                <w:bCs/>
                <w:szCs w:val="20"/>
              </w:rPr>
              <w:t>Consent</w:t>
            </w:r>
          </w:p>
        </w:tc>
        <w:tc>
          <w:tcPr>
            <w:tcW w:w="2589" w:type="dxa"/>
            <w:tcBorders>
              <w:top w:val="single" w:sz="2" w:space="0" w:color="000000"/>
              <w:bottom w:val="dotted" w:sz="2" w:space="0" w:color="000000"/>
            </w:tcBorders>
            <w:vAlign w:val="center"/>
          </w:tcPr>
          <w:p w14:paraId="5BDF174C" w14:textId="77777777" w:rsidR="00AC166E" w:rsidRDefault="008122E3">
            <w:pPr>
              <w:pStyle w:val="Contenidodelatabla"/>
              <w:widowControl w:val="0"/>
              <w:spacing w:line="276" w:lineRule="auto"/>
              <w:jc w:val="center"/>
              <w:rPr>
                <w:rFonts w:ascii="Calibri" w:hAnsi="Calibri"/>
                <w:b/>
                <w:bCs/>
                <w:szCs w:val="20"/>
              </w:rPr>
            </w:pPr>
            <w:r>
              <w:rPr>
                <w:rFonts w:ascii="Calibri" w:hAnsi="Calibri"/>
                <w:b/>
                <w:bCs/>
                <w:szCs w:val="20"/>
              </w:rPr>
              <w:t>Refusal</w:t>
            </w:r>
          </w:p>
        </w:tc>
        <w:tc>
          <w:tcPr>
            <w:tcW w:w="2588" w:type="dxa"/>
            <w:tcBorders>
              <w:top w:val="single" w:sz="2" w:space="0" w:color="000000"/>
              <w:bottom w:val="dotted" w:sz="2" w:space="0" w:color="000000"/>
            </w:tcBorders>
            <w:shd w:val="clear" w:color="auto" w:fill="FFF5CE"/>
            <w:vAlign w:val="center"/>
          </w:tcPr>
          <w:p w14:paraId="188DA3B1" w14:textId="77777777" w:rsidR="00AC166E" w:rsidRDefault="008122E3">
            <w:pPr>
              <w:pStyle w:val="Contenidodelatabla"/>
              <w:widowControl w:val="0"/>
              <w:spacing w:line="276" w:lineRule="auto"/>
              <w:jc w:val="center"/>
              <w:rPr>
                <w:rFonts w:ascii="Calibri" w:hAnsi="Calibri"/>
                <w:b/>
                <w:bCs/>
                <w:szCs w:val="20"/>
              </w:rPr>
            </w:pPr>
            <w:r>
              <w:rPr>
                <w:rFonts w:ascii="Calibri" w:hAnsi="Calibri"/>
                <w:b/>
                <w:bCs/>
                <w:szCs w:val="20"/>
              </w:rPr>
              <w:t>Unknown</w:t>
            </w:r>
          </w:p>
        </w:tc>
      </w:tr>
      <w:tr w:rsidR="00AC166E" w14:paraId="136BF2A6" w14:textId="77777777">
        <w:trPr>
          <w:trHeight w:val="283"/>
        </w:trPr>
        <w:tc>
          <w:tcPr>
            <w:tcW w:w="1868" w:type="dxa"/>
            <w:tcBorders>
              <w:top w:val="dotted" w:sz="2" w:space="0" w:color="000000"/>
            </w:tcBorders>
            <w:vAlign w:val="center"/>
          </w:tcPr>
          <w:p w14:paraId="409D31C4" w14:textId="77777777" w:rsidR="00AC166E" w:rsidRDefault="008122E3">
            <w:pPr>
              <w:pStyle w:val="Contenidodelatabla"/>
              <w:widowControl w:val="0"/>
              <w:spacing w:line="276" w:lineRule="auto"/>
              <w:rPr>
                <w:rFonts w:ascii="Calibri" w:hAnsi="Calibri"/>
                <w:b/>
                <w:bCs/>
                <w:szCs w:val="20"/>
              </w:rPr>
            </w:pPr>
            <w:r>
              <w:rPr>
                <w:rFonts w:ascii="Calibri" w:hAnsi="Calibri"/>
                <w:b/>
                <w:bCs/>
                <w:szCs w:val="20"/>
              </w:rPr>
              <w:t>Opt-in</w:t>
            </w:r>
          </w:p>
        </w:tc>
        <w:tc>
          <w:tcPr>
            <w:tcW w:w="2589" w:type="dxa"/>
            <w:tcBorders>
              <w:top w:val="dotted" w:sz="2" w:space="0" w:color="000000"/>
            </w:tcBorders>
            <w:vAlign w:val="center"/>
          </w:tcPr>
          <w:p w14:paraId="698B0C42" w14:textId="77777777" w:rsidR="00AC166E" w:rsidRDefault="008122E3">
            <w:pPr>
              <w:widowControl w:val="0"/>
              <w:spacing w:line="276" w:lineRule="auto"/>
              <w:jc w:val="center"/>
              <w:rPr>
                <w:rFonts w:ascii="Menlo Regular" w:eastAsia="Calibri" w:hAnsi="Menlo Regular" w:cs="Menlo Regular"/>
                <w:color w:val="6AA84F"/>
                <w:sz w:val="20"/>
                <w:szCs w:val="16"/>
              </w:rPr>
            </w:pPr>
            <w:r>
              <w:rPr>
                <w:rFonts w:ascii="Menlo Regular" w:eastAsia="Calibri" w:hAnsi="Menlo Regular" w:cs="Menlo Regular"/>
                <w:color w:val="6AA84F"/>
                <w:sz w:val="20"/>
                <w:szCs w:val="16"/>
              </w:rPr>
              <w:t>✔</w:t>
            </w:r>
          </w:p>
        </w:tc>
        <w:tc>
          <w:tcPr>
            <w:tcW w:w="2589" w:type="dxa"/>
            <w:tcBorders>
              <w:top w:val="dotted" w:sz="2" w:space="0" w:color="000000"/>
            </w:tcBorders>
            <w:vAlign w:val="center"/>
          </w:tcPr>
          <w:p w14:paraId="16623AF0" w14:textId="77777777" w:rsidR="00AC166E" w:rsidRDefault="008122E3">
            <w:pPr>
              <w:widowControl w:val="0"/>
              <w:spacing w:line="276" w:lineRule="auto"/>
              <w:jc w:val="center"/>
              <w:rPr>
                <w:rFonts w:ascii="Menlo Regular" w:eastAsia="Calibri" w:hAnsi="Menlo Regular" w:cs="Menlo Regular"/>
                <w:color w:val="FF0000"/>
                <w:sz w:val="20"/>
              </w:rPr>
            </w:pPr>
            <w:r>
              <w:rPr>
                <w:rFonts w:ascii="Menlo Regular" w:eastAsia="Calibri" w:hAnsi="Menlo Regular" w:cs="Menlo Regular"/>
                <w:color w:val="FF0000"/>
                <w:sz w:val="20"/>
              </w:rPr>
              <w:t>✗</w:t>
            </w:r>
          </w:p>
        </w:tc>
        <w:tc>
          <w:tcPr>
            <w:tcW w:w="2588" w:type="dxa"/>
            <w:tcBorders>
              <w:top w:val="dotted" w:sz="2" w:space="0" w:color="000000"/>
            </w:tcBorders>
            <w:shd w:val="clear" w:color="auto" w:fill="FFF5CE"/>
            <w:vAlign w:val="center"/>
          </w:tcPr>
          <w:p w14:paraId="517BBF6F" w14:textId="77777777" w:rsidR="00AC166E" w:rsidRDefault="008122E3">
            <w:pPr>
              <w:widowControl w:val="0"/>
              <w:spacing w:line="276" w:lineRule="auto"/>
              <w:jc w:val="center"/>
              <w:rPr>
                <w:rFonts w:ascii="Menlo Regular" w:eastAsia="Calibri" w:hAnsi="Menlo Regular" w:cs="Menlo Regular"/>
                <w:color w:val="FF0000"/>
                <w:sz w:val="20"/>
              </w:rPr>
            </w:pPr>
            <w:r>
              <w:rPr>
                <w:rFonts w:ascii="Menlo Regular" w:eastAsia="Calibri" w:hAnsi="Menlo Regular" w:cs="Menlo Regular"/>
                <w:color w:val="FF0000"/>
                <w:sz w:val="20"/>
              </w:rPr>
              <w:t>✗</w:t>
            </w:r>
          </w:p>
        </w:tc>
      </w:tr>
      <w:tr w:rsidR="00AC166E" w14:paraId="70845A8F" w14:textId="77777777">
        <w:trPr>
          <w:trHeight w:val="283"/>
        </w:trPr>
        <w:tc>
          <w:tcPr>
            <w:tcW w:w="1868" w:type="dxa"/>
            <w:tcBorders>
              <w:bottom w:val="single" w:sz="2" w:space="0" w:color="000000"/>
            </w:tcBorders>
            <w:vAlign w:val="center"/>
          </w:tcPr>
          <w:p w14:paraId="2F487E4E" w14:textId="77777777" w:rsidR="00AC166E" w:rsidRDefault="008122E3">
            <w:pPr>
              <w:pStyle w:val="Contenidodelatabla"/>
              <w:widowControl w:val="0"/>
              <w:spacing w:line="276" w:lineRule="auto"/>
              <w:rPr>
                <w:rFonts w:ascii="Calibri" w:hAnsi="Calibri"/>
                <w:b/>
                <w:bCs/>
                <w:szCs w:val="20"/>
              </w:rPr>
            </w:pPr>
            <w:r>
              <w:rPr>
                <w:rFonts w:ascii="Calibri" w:hAnsi="Calibri"/>
                <w:b/>
                <w:bCs/>
                <w:szCs w:val="20"/>
              </w:rPr>
              <w:t>Opt-out</w:t>
            </w:r>
          </w:p>
        </w:tc>
        <w:tc>
          <w:tcPr>
            <w:tcW w:w="2589" w:type="dxa"/>
            <w:tcBorders>
              <w:bottom w:val="single" w:sz="2" w:space="0" w:color="000000"/>
            </w:tcBorders>
            <w:vAlign w:val="center"/>
          </w:tcPr>
          <w:p w14:paraId="0B22526D" w14:textId="77777777" w:rsidR="00AC166E" w:rsidRDefault="008122E3">
            <w:pPr>
              <w:widowControl w:val="0"/>
              <w:spacing w:line="276" w:lineRule="auto"/>
              <w:jc w:val="center"/>
              <w:rPr>
                <w:rFonts w:ascii="Menlo Regular" w:eastAsia="Calibri" w:hAnsi="Menlo Regular" w:cs="Menlo Regular"/>
                <w:color w:val="6AA84F"/>
                <w:sz w:val="20"/>
                <w:szCs w:val="16"/>
              </w:rPr>
            </w:pPr>
            <w:r>
              <w:rPr>
                <w:rFonts w:ascii="Menlo Regular" w:eastAsia="Calibri" w:hAnsi="Menlo Regular" w:cs="Menlo Regular"/>
                <w:color w:val="6AA84F"/>
                <w:sz w:val="20"/>
                <w:szCs w:val="16"/>
              </w:rPr>
              <w:t>✔</w:t>
            </w:r>
          </w:p>
        </w:tc>
        <w:tc>
          <w:tcPr>
            <w:tcW w:w="2589" w:type="dxa"/>
            <w:tcBorders>
              <w:bottom w:val="single" w:sz="2" w:space="0" w:color="000000"/>
            </w:tcBorders>
            <w:vAlign w:val="center"/>
          </w:tcPr>
          <w:p w14:paraId="3EC0DC24" w14:textId="77777777" w:rsidR="00AC166E" w:rsidRDefault="008122E3">
            <w:pPr>
              <w:widowControl w:val="0"/>
              <w:spacing w:line="276" w:lineRule="auto"/>
              <w:jc w:val="center"/>
              <w:rPr>
                <w:rFonts w:ascii="Menlo Regular" w:eastAsia="Calibri" w:hAnsi="Menlo Regular" w:cs="Menlo Regular"/>
                <w:color w:val="FF0000"/>
                <w:sz w:val="20"/>
              </w:rPr>
            </w:pPr>
            <w:r>
              <w:rPr>
                <w:rFonts w:ascii="Menlo Regular" w:eastAsia="Calibri" w:hAnsi="Menlo Regular" w:cs="Menlo Regular"/>
                <w:color w:val="FF0000"/>
                <w:sz w:val="20"/>
              </w:rPr>
              <w:t>✗</w:t>
            </w:r>
          </w:p>
        </w:tc>
        <w:tc>
          <w:tcPr>
            <w:tcW w:w="2588" w:type="dxa"/>
            <w:tcBorders>
              <w:bottom w:val="single" w:sz="2" w:space="0" w:color="000000"/>
            </w:tcBorders>
            <w:shd w:val="clear" w:color="auto" w:fill="FFF5CE"/>
            <w:vAlign w:val="center"/>
          </w:tcPr>
          <w:p w14:paraId="07CA21EE" w14:textId="77777777" w:rsidR="00AC166E" w:rsidRDefault="008122E3">
            <w:pPr>
              <w:widowControl w:val="0"/>
              <w:spacing w:line="276" w:lineRule="auto"/>
              <w:jc w:val="center"/>
              <w:rPr>
                <w:rFonts w:ascii="Menlo Regular" w:eastAsia="Calibri" w:hAnsi="Menlo Regular" w:cs="Menlo Regular"/>
                <w:color w:val="6AA84F"/>
                <w:sz w:val="20"/>
                <w:szCs w:val="16"/>
              </w:rPr>
            </w:pPr>
            <w:r>
              <w:rPr>
                <w:rFonts w:ascii="Menlo Regular" w:eastAsia="Calibri" w:hAnsi="Menlo Regular" w:cs="Menlo Regular"/>
                <w:color w:val="6AA84F"/>
                <w:sz w:val="20"/>
                <w:szCs w:val="16"/>
              </w:rPr>
              <w:t>✔</w:t>
            </w:r>
          </w:p>
        </w:tc>
      </w:tr>
    </w:tbl>
    <w:p w14:paraId="20931B82" w14:textId="77777777" w:rsidR="00AC166E" w:rsidRDefault="00AC166E">
      <w:pPr>
        <w:jc w:val="center"/>
      </w:pPr>
    </w:p>
    <w:p w14:paraId="469311EF" w14:textId="77777777" w:rsidR="00AC166E" w:rsidRDefault="00AC166E">
      <w:pPr>
        <w:pStyle w:val="Ttulodelatabla"/>
      </w:pPr>
    </w:p>
    <w:p w14:paraId="1323D126" w14:textId="77777777" w:rsidR="00AC166E" w:rsidRDefault="00AC166E">
      <w:pPr>
        <w:pStyle w:val="Ttulodelatabla"/>
      </w:pPr>
    </w:p>
    <w:p w14:paraId="601B51AE" w14:textId="77777777" w:rsidR="00AC166E" w:rsidRDefault="00AC166E">
      <w:pPr>
        <w:pStyle w:val="Ttulodelatabla"/>
      </w:pPr>
    </w:p>
    <w:p w14:paraId="131966DE" w14:textId="77777777" w:rsidR="00AC166E" w:rsidRDefault="00AC166E">
      <w:pPr>
        <w:pStyle w:val="Ttulodelatabla"/>
      </w:pPr>
    </w:p>
    <w:p w14:paraId="508C0047" w14:textId="77777777" w:rsidR="00AC166E" w:rsidRDefault="008122E3">
      <w:pPr>
        <w:pStyle w:val="Ttulodelatabla"/>
      </w:pPr>
      <w:r>
        <w:rPr>
          <w:rFonts w:eastAsia="Calibri" w:cs="Calibri"/>
        </w:rPr>
        <w:lastRenderedPageBreak/>
        <w:t xml:space="preserve">Table 3. </w:t>
      </w:r>
      <w:r>
        <w:rPr>
          <w:rFonts w:eastAsia="Calibri" w:cs="Calibri"/>
          <w:i/>
          <w:szCs w:val="20"/>
        </w:rPr>
        <w:t xml:space="preserve">Outcome (organ retrieval vs </w:t>
      </w:r>
      <w:r>
        <w:rPr>
          <w:rFonts w:eastAsia="Calibri" w:cs="Calibri"/>
          <w:i/>
          <w:szCs w:val="20"/>
        </w:rPr>
        <w:t>non-retrieval) from organ recovery decision-making based on the deceased’s decision, family attitudes, and the model of consent.</w:t>
      </w:r>
    </w:p>
    <w:tbl>
      <w:tblPr>
        <w:tblW w:w="9635" w:type="dxa"/>
        <w:tblLayout w:type="fixed"/>
        <w:tblCellMar>
          <w:left w:w="0" w:type="dxa"/>
          <w:right w:w="2" w:type="dxa"/>
        </w:tblCellMar>
        <w:tblLook w:val="0000" w:firstRow="0" w:lastRow="0" w:firstColumn="0" w:lastColumn="0" w:noHBand="0" w:noVBand="0"/>
      </w:tblPr>
      <w:tblGrid>
        <w:gridCol w:w="1869"/>
        <w:gridCol w:w="861"/>
        <w:gridCol w:w="863"/>
        <w:gridCol w:w="865"/>
        <w:gridCol w:w="863"/>
        <w:gridCol w:w="861"/>
        <w:gridCol w:w="865"/>
        <w:gridCol w:w="863"/>
        <w:gridCol w:w="861"/>
        <w:gridCol w:w="864"/>
      </w:tblGrid>
      <w:tr w:rsidR="00AC166E" w14:paraId="7E14BDEC" w14:textId="77777777">
        <w:trPr>
          <w:trHeight w:val="397"/>
        </w:trPr>
        <w:tc>
          <w:tcPr>
            <w:tcW w:w="1868" w:type="dxa"/>
            <w:tcBorders>
              <w:top w:val="single" w:sz="2" w:space="0" w:color="000000"/>
              <w:bottom w:val="dotted" w:sz="2" w:space="0" w:color="000000"/>
              <w:right w:val="dotted" w:sz="2" w:space="0" w:color="000000"/>
            </w:tcBorders>
            <w:vAlign w:val="center"/>
          </w:tcPr>
          <w:p w14:paraId="25F39563" w14:textId="77777777" w:rsidR="00AC166E" w:rsidRDefault="008122E3">
            <w:pPr>
              <w:pStyle w:val="Contenidodelatabla"/>
              <w:widowControl w:val="0"/>
              <w:spacing w:line="276" w:lineRule="auto"/>
              <w:rPr>
                <w:rFonts w:ascii="Calibri" w:hAnsi="Calibri"/>
                <w:b/>
                <w:bCs/>
                <w:szCs w:val="20"/>
              </w:rPr>
            </w:pPr>
            <w:r>
              <w:rPr>
                <w:rFonts w:ascii="Calibri" w:hAnsi="Calibri"/>
                <w:b/>
                <w:bCs/>
                <w:szCs w:val="20"/>
              </w:rPr>
              <w:t>Deceased’s decision</w:t>
            </w:r>
          </w:p>
        </w:tc>
        <w:tc>
          <w:tcPr>
            <w:tcW w:w="2589" w:type="dxa"/>
            <w:gridSpan w:val="3"/>
            <w:tcBorders>
              <w:top w:val="single" w:sz="2" w:space="0" w:color="000000"/>
              <w:left w:val="dotted" w:sz="2" w:space="0" w:color="000000"/>
              <w:bottom w:val="dotted" w:sz="2" w:space="0" w:color="000000"/>
              <w:right w:val="dotted" w:sz="2" w:space="0" w:color="000000"/>
            </w:tcBorders>
            <w:vAlign w:val="center"/>
          </w:tcPr>
          <w:p w14:paraId="0CB6B888" w14:textId="77777777" w:rsidR="00AC166E" w:rsidRDefault="008122E3">
            <w:pPr>
              <w:pStyle w:val="Contenidodelatabla"/>
              <w:widowControl w:val="0"/>
              <w:spacing w:line="276" w:lineRule="auto"/>
              <w:jc w:val="center"/>
              <w:rPr>
                <w:rFonts w:ascii="Calibri" w:hAnsi="Calibri"/>
                <w:b/>
                <w:bCs/>
                <w:szCs w:val="20"/>
              </w:rPr>
            </w:pPr>
            <w:r>
              <w:rPr>
                <w:rFonts w:ascii="Calibri" w:hAnsi="Calibri"/>
                <w:b/>
                <w:bCs/>
                <w:szCs w:val="20"/>
              </w:rPr>
              <w:t>Consent</w:t>
            </w:r>
          </w:p>
        </w:tc>
        <w:tc>
          <w:tcPr>
            <w:tcW w:w="2589" w:type="dxa"/>
            <w:gridSpan w:val="3"/>
            <w:tcBorders>
              <w:top w:val="single" w:sz="2" w:space="0" w:color="000000"/>
              <w:left w:val="dotted" w:sz="2" w:space="0" w:color="000000"/>
              <w:bottom w:val="dotted" w:sz="2" w:space="0" w:color="000000"/>
              <w:right w:val="dotted" w:sz="2" w:space="0" w:color="000000"/>
            </w:tcBorders>
            <w:vAlign w:val="center"/>
          </w:tcPr>
          <w:p w14:paraId="58D1EA68" w14:textId="77777777" w:rsidR="00AC166E" w:rsidRDefault="008122E3">
            <w:pPr>
              <w:pStyle w:val="Contenidodelatabla"/>
              <w:widowControl w:val="0"/>
              <w:spacing w:line="276" w:lineRule="auto"/>
              <w:jc w:val="center"/>
              <w:rPr>
                <w:rFonts w:ascii="Calibri" w:hAnsi="Calibri"/>
                <w:b/>
                <w:bCs/>
                <w:szCs w:val="20"/>
              </w:rPr>
            </w:pPr>
            <w:r>
              <w:rPr>
                <w:rFonts w:ascii="Calibri" w:hAnsi="Calibri"/>
                <w:b/>
                <w:bCs/>
                <w:szCs w:val="20"/>
              </w:rPr>
              <w:t>Refusal</w:t>
            </w:r>
          </w:p>
        </w:tc>
        <w:tc>
          <w:tcPr>
            <w:tcW w:w="2588" w:type="dxa"/>
            <w:gridSpan w:val="3"/>
            <w:tcBorders>
              <w:top w:val="single" w:sz="2" w:space="0" w:color="000000"/>
              <w:left w:val="dotted" w:sz="2" w:space="0" w:color="000000"/>
              <w:bottom w:val="dotted" w:sz="2" w:space="0" w:color="000000"/>
            </w:tcBorders>
            <w:shd w:val="clear" w:color="auto" w:fill="FFF5CE"/>
            <w:vAlign w:val="center"/>
          </w:tcPr>
          <w:p w14:paraId="081A900B" w14:textId="77777777" w:rsidR="00AC166E" w:rsidRDefault="008122E3">
            <w:pPr>
              <w:pStyle w:val="Contenidodelatabla"/>
              <w:widowControl w:val="0"/>
              <w:spacing w:line="276" w:lineRule="auto"/>
              <w:jc w:val="center"/>
              <w:rPr>
                <w:rFonts w:ascii="Calibri" w:hAnsi="Calibri"/>
                <w:b/>
                <w:bCs/>
                <w:szCs w:val="20"/>
              </w:rPr>
            </w:pPr>
            <w:r>
              <w:rPr>
                <w:rFonts w:ascii="Calibri" w:hAnsi="Calibri"/>
                <w:b/>
                <w:bCs/>
                <w:szCs w:val="20"/>
              </w:rPr>
              <w:t>Unknown</w:t>
            </w:r>
          </w:p>
        </w:tc>
      </w:tr>
      <w:tr w:rsidR="00AC166E" w14:paraId="122BD365" w14:textId="77777777">
        <w:trPr>
          <w:trHeight w:val="567"/>
        </w:trPr>
        <w:tc>
          <w:tcPr>
            <w:tcW w:w="1868" w:type="dxa"/>
            <w:tcBorders>
              <w:top w:val="dotted" w:sz="2" w:space="0" w:color="000000"/>
              <w:bottom w:val="dotted" w:sz="2" w:space="0" w:color="000000"/>
              <w:right w:val="dotted" w:sz="2" w:space="0" w:color="000000"/>
            </w:tcBorders>
            <w:vAlign w:val="center"/>
          </w:tcPr>
          <w:p w14:paraId="7CC71552" w14:textId="77777777" w:rsidR="00AC166E" w:rsidRDefault="008122E3">
            <w:pPr>
              <w:pStyle w:val="Contenidodelatabla"/>
              <w:widowControl w:val="0"/>
              <w:spacing w:line="276" w:lineRule="auto"/>
              <w:rPr>
                <w:rFonts w:ascii="Calibri" w:hAnsi="Calibri"/>
                <w:b/>
                <w:bCs/>
                <w:szCs w:val="20"/>
              </w:rPr>
            </w:pPr>
            <w:r>
              <w:rPr>
                <w:rFonts w:ascii="Calibri" w:hAnsi="Calibri"/>
                <w:b/>
                <w:bCs/>
                <w:szCs w:val="20"/>
              </w:rPr>
              <w:t>Family preferences</w:t>
            </w:r>
          </w:p>
        </w:tc>
        <w:tc>
          <w:tcPr>
            <w:tcW w:w="861" w:type="dxa"/>
            <w:tcBorders>
              <w:top w:val="dotted" w:sz="2" w:space="0" w:color="000000"/>
              <w:left w:val="dotted" w:sz="2" w:space="0" w:color="000000"/>
              <w:bottom w:val="dotted" w:sz="2" w:space="0" w:color="000000"/>
            </w:tcBorders>
            <w:vAlign w:val="center"/>
          </w:tcPr>
          <w:p w14:paraId="7C89DE1A" w14:textId="77777777" w:rsidR="00AC166E" w:rsidRDefault="008122E3">
            <w:pPr>
              <w:pStyle w:val="Contenidodelatabla"/>
              <w:widowControl w:val="0"/>
              <w:spacing w:line="276" w:lineRule="auto"/>
              <w:jc w:val="center"/>
              <w:rPr>
                <w:rFonts w:ascii="Calibri" w:hAnsi="Calibri"/>
                <w:b/>
                <w:bCs/>
              </w:rPr>
            </w:pPr>
            <w:r>
              <w:rPr>
                <w:rFonts w:ascii="Calibri" w:hAnsi="Calibri"/>
                <w:b/>
                <w:bCs/>
              </w:rPr>
              <w:t>In favour</w:t>
            </w:r>
          </w:p>
        </w:tc>
        <w:tc>
          <w:tcPr>
            <w:tcW w:w="863" w:type="dxa"/>
            <w:tcBorders>
              <w:top w:val="dotted" w:sz="2" w:space="0" w:color="000000"/>
              <w:bottom w:val="dotted" w:sz="2" w:space="0" w:color="000000"/>
            </w:tcBorders>
            <w:vAlign w:val="center"/>
          </w:tcPr>
          <w:p w14:paraId="501A7A43" w14:textId="77777777" w:rsidR="00AC166E" w:rsidRDefault="008122E3">
            <w:pPr>
              <w:pStyle w:val="Contenidodelatabla"/>
              <w:widowControl w:val="0"/>
              <w:spacing w:line="276" w:lineRule="auto"/>
              <w:jc w:val="center"/>
              <w:rPr>
                <w:rFonts w:ascii="Calibri" w:hAnsi="Calibri"/>
                <w:b/>
                <w:bCs/>
              </w:rPr>
            </w:pPr>
            <w:r>
              <w:rPr>
                <w:rFonts w:ascii="Calibri" w:hAnsi="Calibri"/>
                <w:b/>
                <w:bCs/>
              </w:rPr>
              <w:t>Against</w:t>
            </w:r>
          </w:p>
        </w:tc>
        <w:tc>
          <w:tcPr>
            <w:tcW w:w="865" w:type="dxa"/>
            <w:tcBorders>
              <w:top w:val="dotted" w:sz="2" w:space="0" w:color="000000"/>
              <w:bottom w:val="dotted" w:sz="2" w:space="0" w:color="000000"/>
              <w:right w:val="dotted" w:sz="2" w:space="0" w:color="000000"/>
            </w:tcBorders>
            <w:vAlign w:val="center"/>
          </w:tcPr>
          <w:p w14:paraId="22D14F0F" w14:textId="77777777" w:rsidR="00AC166E" w:rsidRDefault="008122E3">
            <w:pPr>
              <w:pStyle w:val="Contenidodelatabla"/>
              <w:widowControl w:val="0"/>
              <w:spacing w:line="276" w:lineRule="auto"/>
              <w:jc w:val="center"/>
              <w:rPr>
                <w:rFonts w:ascii="Calibri" w:hAnsi="Calibri"/>
                <w:b/>
                <w:bCs/>
              </w:rPr>
            </w:pPr>
            <w:r>
              <w:rPr>
                <w:rFonts w:ascii="Calibri" w:hAnsi="Calibri"/>
                <w:b/>
                <w:bCs/>
              </w:rPr>
              <w:t>Unknown</w:t>
            </w:r>
          </w:p>
        </w:tc>
        <w:tc>
          <w:tcPr>
            <w:tcW w:w="863" w:type="dxa"/>
            <w:tcBorders>
              <w:top w:val="dotted" w:sz="2" w:space="0" w:color="000000"/>
              <w:left w:val="dotted" w:sz="2" w:space="0" w:color="000000"/>
              <w:bottom w:val="dotted" w:sz="2" w:space="0" w:color="000000"/>
            </w:tcBorders>
            <w:vAlign w:val="center"/>
          </w:tcPr>
          <w:p w14:paraId="52D2A972" w14:textId="77777777" w:rsidR="00AC166E" w:rsidRDefault="008122E3">
            <w:pPr>
              <w:pStyle w:val="Contenidodelatabla"/>
              <w:widowControl w:val="0"/>
              <w:spacing w:line="276" w:lineRule="auto"/>
              <w:jc w:val="center"/>
              <w:rPr>
                <w:rFonts w:ascii="Calibri" w:hAnsi="Calibri"/>
                <w:b/>
                <w:bCs/>
              </w:rPr>
            </w:pPr>
            <w:r>
              <w:rPr>
                <w:rFonts w:ascii="Calibri" w:hAnsi="Calibri"/>
                <w:b/>
                <w:bCs/>
              </w:rPr>
              <w:t>In favour</w:t>
            </w:r>
          </w:p>
        </w:tc>
        <w:tc>
          <w:tcPr>
            <w:tcW w:w="861" w:type="dxa"/>
            <w:tcBorders>
              <w:top w:val="dotted" w:sz="2" w:space="0" w:color="000000"/>
              <w:bottom w:val="dotted" w:sz="2" w:space="0" w:color="000000"/>
            </w:tcBorders>
            <w:vAlign w:val="center"/>
          </w:tcPr>
          <w:p w14:paraId="76BB60B0" w14:textId="77777777" w:rsidR="00AC166E" w:rsidRDefault="008122E3">
            <w:pPr>
              <w:pStyle w:val="Contenidodelatabla"/>
              <w:widowControl w:val="0"/>
              <w:spacing w:line="276" w:lineRule="auto"/>
              <w:jc w:val="center"/>
              <w:rPr>
                <w:rFonts w:ascii="Calibri" w:hAnsi="Calibri"/>
                <w:b/>
                <w:bCs/>
              </w:rPr>
            </w:pPr>
            <w:r>
              <w:rPr>
                <w:rFonts w:ascii="Calibri" w:hAnsi="Calibri"/>
                <w:b/>
                <w:bCs/>
              </w:rPr>
              <w:t>Against</w:t>
            </w:r>
          </w:p>
        </w:tc>
        <w:tc>
          <w:tcPr>
            <w:tcW w:w="865" w:type="dxa"/>
            <w:tcBorders>
              <w:top w:val="dotted" w:sz="2" w:space="0" w:color="000000"/>
              <w:bottom w:val="dotted" w:sz="2" w:space="0" w:color="000000"/>
              <w:right w:val="dotted" w:sz="2" w:space="0" w:color="000000"/>
            </w:tcBorders>
            <w:vAlign w:val="center"/>
          </w:tcPr>
          <w:p w14:paraId="0D793DD2" w14:textId="77777777" w:rsidR="00AC166E" w:rsidRDefault="008122E3">
            <w:pPr>
              <w:pStyle w:val="Contenidodelatabla"/>
              <w:widowControl w:val="0"/>
              <w:spacing w:line="276" w:lineRule="auto"/>
              <w:jc w:val="center"/>
              <w:rPr>
                <w:rFonts w:ascii="Calibri" w:hAnsi="Calibri"/>
                <w:b/>
                <w:bCs/>
              </w:rPr>
            </w:pPr>
            <w:r>
              <w:rPr>
                <w:rFonts w:ascii="Calibri" w:hAnsi="Calibri"/>
                <w:b/>
                <w:bCs/>
              </w:rPr>
              <w:t>Unknown</w:t>
            </w:r>
          </w:p>
        </w:tc>
        <w:tc>
          <w:tcPr>
            <w:tcW w:w="863" w:type="dxa"/>
            <w:tcBorders>
              <w:top w:val="dotted" w:sz="2" w:space="0" w:color="000000"/>
              <w:left w:val="dotted" w:sz="2" w:space="0" w:color="000000"/>
              <w:bottom w:val="dotted" w:sz="2" w:space="0" w:color="000000"/>
            </w:tcBorders>
            <w:vAlign w:val="center"/>
          </w:tcPr>
          <w:p w14:paraId="7F455AC1" w14:textId="77777777" w:rsidR="00AC166E" w:rsidRDefault="008122E3">
            <w:pPr>
              <w:pStyle w:val="Contenidodelatabla"/>
              <w:widowControl w:val="0"/>
              <w:spacing w:line="276" w:lineRule="auto"/>
              <w:jc w:val="center"/>
              <w:rPr>
                <w:rFonts w:ascii="Calibri" w:hAnsi="Calibri"/>
                <w:b/>
                <w:bCs/>
              </w:rPr>
            </w:pPr>
            <w:r>
              <w:rPr>
                <w:rFonts w:ascii="Calibri" w:hAnsi="Calibri"/>
                <w:b/>
                <w:bCs/>
              </w:rPr>
              <w:t>In favour</w:t>
            </w:r>
          </w:p>
        </w:tc>
        <w:tc>
          <w:tcPr>
            <w:tcW w:w="861" w:type="dxa"/>
            <w:tcBorders>
              <w:top w:val="dotted" w:sz="2" w:space="0" w:color="000000"/>
              <w:bottom w:val="dotted" w:sz="2" w:space="0" w:color="000000"/>
            </w:tcBorders>
            <w:vAlign w:val="center"/>
          </w:tcPr>
          <w:p w14:paraId="22B7AA88" w14:textId="77777777" w:rsidR="00AC166E" w:rsidRDefault="008122E3">
            <w:pPr>
              <w:pStyle w:val="Contenidodelatabla"/>
              <w:widowControl w:val="0"/>
              <w:spacing w:line="276" w:lineRule="auto"/>
              <w:jc w:val="center"/>
              <w:rPr>
                <w:rFonts w:ascii="Calibri" w:hAnsi="Calibri"/>
                <w:b/>
                <w:bCs/>
              </w:rPr>
            </w:pPr>
            <w:r>
              <w:rPr>
                <w:rFonts w:ascii="Calibri" w:hAnsi="Calibri"/>
                <w:b/>
                <w:bCs/>
              </w:rPr>
              <w:t>Against</w:t>
            </w:r>
          </w:p>
        </w:tc>
        <w:tc>
          <w:tcPr>
            <w:tcW w:w="864" w:type="dxa"/>
            <w:tcBorders>
              <w:top w:val="dotted" w:sz="2" w:space="0" w:color="000000"/>
              <w:bottom w:val="dotted" w:sz="2" w:space="0" w:color="000000"/>
            </w:tcBorders>
            <w:shd w:val="clear" w:color="auto" w:fill="FFF5CE"/>
            <w:vAlign w:val="center"/>
          </w:tcPr>
          <w:p w14:paraId="7B15E62A" w14:textId="77777777" w:rsidR="00AC166E" w:rsidRDefault="008122E3">
            <w:pPr>
              <w:pStyle w:val="Contenidodelatabla"/>
              <w:widowControl w:val="0"/>
              <w:spacing w:line="276" w:lineRule="auto"/>
              <w:jc w:val="center"/>
              <w:rPr>
                <w:rFonts w:ascii="Calibri" w:hAnsi="Calibri"/>
                <w:b/>
                <w:bCs/>
              </w:rPr>
            </w:pPr>
            <w:r>
              <w:rPr>
                <w:rFonts w:ascii="Calibri" w:hAnsi="Calibri"/>
                <w:b/>
                <w:bCs/>
              </w:rPr>
              <w:t>Unknown</w:t>
            </w:r>
          </w:p>
        </w:tc>
      </w:tr>
      <w:tr w:rsidR="00AC166E" w14:paraId="3A97A100" w14:textId="77777777">
        <w:trPr>
          <w:trHeight w:val="283"/>
        </w:trPr>
        <w:tc>
          <w:tcPr>
            <w:tcW w:w="1868" w:type="dxa"/>
            <w:tcBorders>
              <w:top w:val="dotted" w:sz="2" w:space="0" w:color="000000"/>
              <w:right w:val="dotted" w:sz="2" w:space="0" w:color="000000"/>
            </w:tcBorders>
            <w:vAlign w:val="center"/>
          </w:tcPr>
          <w:p w14:paraId="3659802A" w14:textId="77777777" w:rsidR="00AC166E" w:rsidRDefault="008122E3">
            <w:pPr>
              <w:pStyle w:val="Contenidodelatabla"/>
              <w:widowControl w:val="0"/>
              <w:spacing w:line="276" w:lineRule="auto"/>
              <w:rPr>
                <w:rFonts w:ascii="Calibri" w:hAnsi="Calibri"/>
                <w:b/>
                <w:bCs/>
                <w:szCs w:val="20"/>
              </w:rPr>
            </w:pPr>
            <w:r>
              <w:rPr>
                <w:rFonts w:ascii="Calibri" w:hAnsi="Calibri"/>
                <w:b/>
                <w:bCs/>
                <w:szCs w:val="20"/>
              </w:rPr>
              <w:t>Opt-in</w:t>
            </w:r>
          </w:p>
        </w:tc>
        <w:tc>
          <w:tcPr>
            <w:tcW w:w="861" w:type="dxa"/>
            <w:tcBorders>
              <w:top w:val="dotted" w:sz="2" w:space="0" w:color="000000"/>
              <w:left w:val="dotted" w:sz="2" w:space="0" w:color="000000"/>
            </w:tcBorders>
            <w:vAlign w:val="center"/>
          </w:tcPr>
          <w:p w14:paraId="2296A71F" w14:textId="77777777" w:rsidR="00AC166E" w:rsidRDefault="008122E3">
            <w:pPr>
              <w:widowControl w:val="0"/>
              <w:spacing w:line="276" w:lineRule="auto"/>
              <w:jc w:val="center"/>
              <w:rPr>
                <w:rFonts w:ascii="Menlo Regular" w:eastAsia="Calibri" w:hAnsi="Menlo Regular" w:cs="Menlo Regular"/>
                <w:color w:val="6AA84F"/>
                <w:sz w:val="20"/>
                <w:szCs w:val="16"/>
              </w:rPr>
            </w:pPr>
            <w:r>
              <w:rPr>
                <w:rFonts w:ascii="Menlo Regular" w:eastAsia="Calibri" w:hAnsi="Menlo Regular" w:cs="Menlo Regular"/>
                <w:color w:val="6AA84F"/>
                <w:sz w:val="20"/>
                <w:szCs w:val="16"/>
              </w:rPr>
              <w:t>✔</w:t>
            </w:r>
          </w:p>
        </w:tc>
        <w:tc>
          <w:tcPr>
            <w:tcW w:w="863" w:type="dxa"/>
            <w:tcBorders>
              <w:top w:val="dotted" w:sz="2" w:space="0" w:color="000000"/>
            </w:tcBorders>
            <w:vAlign w:val="center"/>
          </w:tcPr>
          <w:p w14:paraId="08961E44" w14:textId="77777777" w:rsidR="00AC166E" w:rsidRDefault="008122E3">
            <w:pPr>
              <w:widowControl w:val="0"/>
              <w:spacing w:line="276" w:lineRule="auto"/>
              <w:jc w:val="center"/>
            </w:pPr>
            <w:r>
              <w:rPr>
                <w:rFonts w:ascii="Menlo Regular" w:eastAsia="Calibri" w:hAnsi="Menlo Regular" w:cs="Menlo Regular"/>
                <w:color w:val="6AA84F"/>
                <w:sz w:val="20"/>
                <w:szCs w:val="16"/>
              </w:rPr>
              <w:t>✔</w:t>
            </w:r>
            <w:r>
              <w:rPr>
                <w:rFonts w:ascii="Calibri" w:eastAsia="Calibri" w:hAnsi="Calibri" w:cs="Calibri"/>
                <w:color w:val="6AA84F"/>
                <w:sz w:val="20"/>
                <w:szCs w:val="16"/>
              </w:rPr>
              <w:t xml:space="preserve"> </w:t>
            </w:r>
            <w:r>
              <w:rPr>
                <w:rFonts w:ascii="Calibri" w:eastAsia="Calibri" w:hAnsi="Calibri" w:cs="Calibri"/>
                <w:sz w:val="20"/>
              </w:rPr>
              <w:t>or</w:t>
            </w:r>
            <w:r>
              <w:rPr>
                <w:rFonts w:ascii="Calibri" w:eastAsia="Calibri" w:hAnsi="Calibri" w:cs="Calibri"/>
                <w:color w:val="FF0000"/>
                <w:sz w:val="20"/>
              </w:rPr>
              <w:t xml:space="preserve"> </w:t>
            </w:r>
            <w:r>
              <w:rPr>
                <w:rFonts w:ascii="Menlo Regular" w:eastAsia="Calibri" w:hAnsi="Menlo Regular" w:cs="Menlo Regular"/>
                <w:color w:val="FF0000"/>
                <w:sz w:val="20"/>
              </w:rPr>
              <w:t>✗</w:t>
            </w:r>
          </w:p>
        </w:tc>
        <w:tc>
          <w:tcPr>
            <w:tcW w:w="865" w:type="dxa"/>
            <w:tcBorders>
              <w:top w:val="dotted" w:sz="2" w:space="0" w:color="000000"/>
              <w:right w:val="dotted" w:sz="2" w:space="0" w:color="000000"/>
            </w:tcBorders>
            <w:vAlign w:val="center"/>
          </w:tcPr>
          <w:p w14:paraId="0213CD8E" w14:textId="77777777" w:rsidR="00AC166E" w:rsidRDefault="008122E3">
            <w:pPr>
              <w:widowControl w:val="0"/>
              <w:spacing w:line="276" w:lineRule="auto"/>
              <w:jc w:val="center"/>
              <w:rPr>
                <w:rFonts w:ascii="Menlo Regular" w:eastAsia="Calibri" w:hAnsi="Menlo Regular" w:cs="Menlo Regular"/>
                <w:color w:val="6AA84F"/>
                <w:sz w:val="20"/>
                <w:szCs w:val="16"/>
              </w:rPr>
            </w:pPr>
            <w:r>
              <w:rPr>
                <w:rFonts w:ascii="Menlo Regular" w:eastAsia="Calibri" w:hAnsi="Menlo Regular" w:cs="Menlo Regular"/>
                <w:color w:val="6AA84F"/>
                <w:sz w:val="20"/>
                <w:szCs w:val="16"/>
              </w:rPr>
              <w:t>✔</w:t>
            </w:r>
          </w:p>
        </w:tc>
        <w:tc>
          <w:tcPr>
            <w:tcW w:w="863" w:type="dxa"/>
            <w:tcBorders>
              <w:top w:val="dotted" w:sz="2" w:space="0" w:color="000000"/>
              <w:left w:val="dotted" w:sz="2" w:space="0" w:color="000000"/>
            </w:tcBorders>
            <w:vAlign w:val="center"/>
          </w:tcPr>
          <w:p w14:paraId="4CC17290" w14:textId="77777777" w:rsidR="00AC166E" w:rsidRDefault="008122E3">
            <w:pPr>
              <w:widowControl w:val="0"/>
              <w:spacing w:line="276" w:lineRule="auto"/>
              <w:jc w:val="center"/>
              <w:rPr>
                <w:rFonts w:ascii="Menlo Regular" w:eastAsia="Calibri" w:hAnsi="Menlo Regular" w:cs="Menlo Regular"/>
                <w:color w:val="FF0000"/>
                <w:sz w:val="20"/>
              </w:rPr>
            </w:pPr>
            <w:r>
              <w:rPr>
                <w:rFonts w:ascii="Menlo Regular" w:eastAsia="Calibri" w:hAnsi="Menlo Regular" w:cs="Menlo Regular"/>
                <w:color w:val="FF0000"/>
                <w:sz w:val="20"/>
              </w:rPr>
              <w:t>✗</w:t>
            </w:r>
          </w:p>
        </w:tc>
        <w:tc>
          <w:tcPr>
            <w:tcW w:w="861" w:type="dxa"/>
            <w:tcBorders>
              <w:top w:val="dotted" w:sz="2" w:space="0" w:color="000000"/>
            </w:tcBorders>
            <w:vAlign w:val="center"/>
          </w:tcPr>
          <w:p w14:paraId="3454DE13" w14:textId="77777777" w:rsidR="00AC166E" w:rsidRDefault="008122E3">
            <w:pPr>
              <w:widowControl w:val="0"/>
              <w:spacing w:line="276" w:lineRule="auto"/>
              <w:jc w:val="center"/>
              <w:rPr>
                <w:rFonts w:ascii="Menlo Regular" w:eastAsia="Calibri" w:hAnsi="Menlo Regular" w:cs="Menlo Regular"/>
                <w:color w:val="FF0000"/>
                <w:sz w:val="20"/>
              </w:rPr>
            </w:pPr>
            <w:r>
              <w:rPr>
                <w:rFonts w:ascii="Menlo Regular" w:eastAsia="Calibri" w:hAnsi="Menlo Regular" w:cs="Menlo Regular"/>
                <w:color w:val="FF0000"/>
                <w:sz w:val="20"/>
              </w:rPr>
              <w:t>✗</w:t>
            </w:r>
          </w:p>
        </w:tc>
        <w:tc>
          <w:tcPr>
            <w:tcW w:w="865" w:type="dxa"/>
            <w:tcBorders>
              <w:top w:val="dotted" w:sz="2" w:space="0" w:color="000000"/>
              <w:right w:val="dotted" w:sz="2" w:space="0" w:color="000000"/>
            </w:tcBorders>
            <w:vAlign w:val="center"/>
          </w:tcPr>
          <w:p w14:paraId="36D84EA0" w14:textId="77777777" w:rsidR="00AC166E" w:rsidRDefault="008122E3">
            <w:pPr>
              <w:widowControl w:val="0"/>
              <w:spacing w:line="276" w:lineRule="auto"/>
              <w:jc w:val="center"/>
              <w:rPr>
                <w:rFonts w:ascii="Menlo Regular" w:eastAsia="Calibri" w:hAnsi="Menlo Regular" w:cs="Menlo Regular"/>
                <w:color w:val="FF0000"/>
                <w:sz w:val="20"/>
              </w:rPr>
            </w:pPr>
            <w:r>
              <w:rPr>
                <w:rFonts w:ascii="Menlo Regular" w:eastAsia="Calibri" w:hAnsi="Menlo Regular" w:cs="Menlo Regular"/>
                <w:color w:val="FF0000"/>
                <w:sz w:val="20"/>
              </w:rPr>
              <w:t>✗</w:t>
            </w:r>
          </w:p>
        </w:tc>
        <w:tc>
          <w:tcPr>
            <w:tcW w:w="863" w:type="dxa"/>
            <w:tcBorders>
              <w:top w:val="dotted" w:sz="2" w:space="0" w:color="000000"/>
              <w:left w:val="dotted" w:sz="2" w:space="0" w:color="000000"/>
            </w:tcBorders>
            <w:vAlign w:val="center"/>
          </w:tcPr>
          <w:p w14:paraId="234D3428" w14:textId="77777777" w:rsidR="00AC166E" w:rsidRDefault="008122E3">
            <w:pPr>
              <w:widowControl w:val="0"/>
              <w:spacing w:line="276" w:lineRule="auto"/>
              <w:jc w:val="center"/>
              <w:rPr>
                <w:rFonts w:ascii="Menlo Regular" w:eastAsia="Calibri" w:hAnsi="Menlo Regular" w:cs="Menlo Regular"/>
                <w:color w:val="6AA84F"/>
                <w:sz w:val="20"/>
                <w:szCs w:val="16"/>
              </w:rPr>
            </w:pPr>
            <w:r>
              <w:rPr>
                <w:rFonts w:ascii="Menlo Regular" w:eastAsia="Calibri" w:hAnsi="Menlo Regular" w:cs="Menlo Regular"/>
                <w:color w:val="6AA84F"/>
                <w:sz w:val="20"/>
                <w:szCs w:val="16"/>
              </w:rPr>
              <w:t>✔</w:t>
            </w:r>
          </w:p>
        </w:tc>
        <w:tc>
          <w:tcPr>
            <w:tcW w:w="861" w:type="dxa"/>
            <w:tcBorders>
              <w:top w:val="dotted" w:sz="2" w:space="0" w:color="000000"/>
            </w:tcBorders>
            <w:vAlign w:val="center"/>
          </w:tcPr>
          <w:p w14:paraId="63D6A8D0" w14:textId="77777777" w:rsidR="00AC166E" w:rsidRDefault="008122E3">
            <w:pPr>
              <w:widowControl w:val="0"/>
              <w:spacing w:line="276" w:lineRule="auto"/>
              <w:jc w:val="center"/>
              <w:rPr>
                <w:rFonts w:ascii="Menlo Regular" w:eastAsia="Calibri" w:hAnsi="Menlo Regular" w:cs="Menlo Regular"/>
                <w:color w:val="FF0000"/>
                <w:sz w:val="20"/>
              </w:rPr>
            </w:pPr>
            <w:r>
              <w:rPr>
                <w:rFonts w:ascii="Menlo Regular" w:eastAsia="Calibri" w:hAnsi="Menlo Regular" w:cs="Menlo Regular"/>
                <w:color w:val="FF0000"/>
                <w:sz w:val="20"/>
              </w:rPr>
              <w:t>✗</w:t>
            </w:r>
          </w:p>
        </w:tc>
        <w:tc>
          <w:tcPr>
            <w:tcW w:w="864" w:type="dxa"/>
            <w:tcBorders>
              <w:top w:val="dotted" w:sz="2" w:space="0" w:color="000000"/>
            </w:tcBorders>
            <w:shd w:val="clear" w:color="auto" w:fill="FFF5CE"/>
            <w:vAlign w:val="center"/>
          </w:tcPr>
          <w:p w14:paraId="3D171BF0" w14:textId="77777777" w:rsidR="00AC166E" w:rsidRDefault="008122E3">
            <w:pPr>
              <w:widowControl w:val="0"/>
              <w:spacing w:line="276" w:lineRule="auto"/>
              <w:jc w:val="center"/>
              <w:rPr>
                <w:rFonts w:ascii="Menlo Regular" w:eastAsia="Calibri" w:hAnsi="Menlo Regular" w:cs="Menlo Regular"/>
                <w:color w:val="FF0000"/>
                <w:sz w:val="20"/>
              </w:rPr>
            </w:pPr>
            <w:r>
              <w:rPr>
                <w:rFonts w:ascii="Menlo Regular" w:eastAsia="Calibri" w:hAnsi="Menlo Regular" w:cs="Menlo Regular"/>
                <w:color w:val="FF0000"/>
                <w:sz w:val="20"/>
              </w:rPr>
              <w:t>✗</w:t>
            </w:r>
          </w:p>
        </w:tc>
      </w:tr>
      <w:tr w:rsidR="00AC166E" w14:paraId="4CC9AD65" w14:textId="77777777">
        <w:trPr>
          <w:trHeight w:val="283"/>
        </w:trPr>
        <w:tc>
          <w:tcPr>
            <w:tcW w:w="1868" w:type="dxa"/>
            <w:tcBorders>
              <w:bottom w:val="single" w:sz="2" w:space="0" w:color="000000"/>
              <w:right w:val="dotted" w:sz="2" w:space="0" w:color="000000"/>
            </w:tcBorders>
            <w:vAlign w:val="center"/>
          </w:tcPr>
          <w:p w14:paraId="66085C88" w14:textId="77777777" w:rsidR="00AC166E" w:rsidRDefault="008122E3">
            <w:pPr>
              <w:pStyle w:val="Contenidodelatabla"/>
              <w:widowControl w:val="0"/>
              <w:spacing w:line="276" w:lineRule="auto"/>
              <w:rPr>
                <w:rFonts w:ascii="Calibri" w:hAnsi="Calibri"/>
                <w:b/>
                <w:bCs/>
                <w:szCs w:val="20"/>
              </w:rPr>
            </w:pPr>
            <w:r>
              <w:rPr>
                <w:rFonts w:ascii="Calibri" w:hAnsi="Calibri"/>
                <w:b/>
                <w:bCs/>
                <w:szCs w:val="20"/>
              </w:rPr>
              <w:t>Opt-out</w:t>
            </w:r>
          </w:p>
        </w:tc>
        <w:tc>
          <w:tcPr>
            <w:tcW w:w="861" w:type="dxa"/>
            <w:tcBorders>
              <w:left w:val="dotted" w:sz="2" w:space="0" w:color="000000"/>
              <w:bottom w:val="single" w:sz="2" w:space="0" w:color="000000"/>
            </w:tcBorders>
            <w:vAlign w:val="center"/>
          </w:tcPr>
          <w:p w14:paraId="69D2BDF2" w14:textId="77777777" w:rsidR="00AC166E" w:rsidRDefault="008122E3">
            <w:pPr>
              <w:widowControl w:val="0"/>
              <w:spacing w:line="276" w:lineRule="auto"/>
              <w:jc w:val="center"/>
              <w:rPr>
                <w:rFonts w:ascii="Menlo Regular" w:eastAsia="Calibri" w:hAnsi="Menlo Regular" w:cs="Menlo Regular"/>
                <w:color w:val="6AA84F"/>
                <w:sz w:val="20"/>
                <w:szCs w:val="16"/>
              </w:rPr>
            </w:pPr>
            <w:r>
              <w:rPr>
                <w:rFonts w:ascii="Menlo Regular" w:eastAsia="Calibri" w:hAnsi="Menlo Regular" w:cs="Menlo Regular"/>
                <w:color w:val="6AA84F"/>
                <w:sz w:val="20"/>
                <w:szCs w:val="16"/>
              </w:rPr>
              <w:t>✔</w:t>
            </w:r>
          </w:p>
        </w:tc>
        <w:tc>
          <w:tcPr>
            <w:tcW w:w="863" w:type="dxa"/>
            <w:tcBorders>
              <w:bottom w:val="single" w:sz="2" w:space="0" w:color="000000"/>
            </w:tcBorders>
            <w:vAlign w:val="center"/>
          </w:tcPr>
          <w:p w14:paraId="54CDE65F" w14:textId="77777777" w:rsidR="00AC166E" w:rsidRDefault="008122E3">
            <w:pPr>
              <w:widowControl w:val="0"/>
              <w:spacing w:line="276" w:lineRule="auto"/>
              <w:jc w:val="center"/>
            </w:pPr>
            <w:r>
              <w:rPr>
                <w:rFonts w:ascii="Menlo Regular" w:eastAsia="Calibri" w:hAnsi="Menlo Regular" w:cs="Menlo Regular"/>
                <w:color w:val="6AA84F"/>
                <w:sz w:val="20"/>
                <w:szCs w:val="16"/>
              </w:rPr>
              <w:t>✔</w:t>
            </w:r>
            <w:r>
              <w:rPr>
                <w:rFonts w:ascii="Calibri" w:eastAsia="Calibri" w:hAnsi="Calibri" w:cs="Calibri"/>
                <w:color w:val="6AA84F"/>
                <w:sz w:val="20"/>
                <w:szCs w:val="20"/>
              </w:rPr>
              <w:t xml:space="preserve"> </w:t>
            </w:r>
            <w:r>
              <w:rPr>
                <w:rFonts w:ascii="Calibri" w:eastAsia="Calibri" w:hAnsi="Calibri" w:cs="Calibri"/>
                <w:sz w:val="20"/>
                <w:szCs w:val="20"/>
              </w:rPr>
              <w:t>or</w:t>
            </w:r>
            <w:r>
              <w:rPr>
                <w:rFonts w:ascii="Calibri" w:eastAsia="Calibri" w:hAnsi="Calibri" w:cs="Calibri"/>
                <w:color w:val="FF0000"/>
                <w:sz w:val="20"/>
                <w:szCs w:val="20"/>
              </w:rPr>
              <w:t xml:space="preserve"> </w:t>
            </w:r>
            <w:r>
              <w:rPr>
                <w:rFonts w:ascii="Menlo Regular" w:eastAsia="Calibri" w:hAnsi="Menlo Regular" w:cs="Menlo Regular"/>
                <w:color w:val="FF0000"/>
                <w:sz w:val="20"/>
              </w:rPr>
              <w:t>✗</w:t>
            </w:r>
          </w:p>
        </w:tc>
        <w:tc>
          <w:tcPr>
            <w:tcW w:w="865" w:type="dxa"/>
            <w:tcBorders>
              <w:bottom w:val="single" w:sz="2" w:space="0" w:color="000000"/>
              <w:right w:val="dotted" w:sz="2" w:space="0" w:color="000000"/>
            </w:tcBorders>
            <w:vAlign w:val="center"/>
          </w:tcPr>
          <w:p w14:paraId="7A0BB535" w14:textId="77777777" w:rsidR="00AC166E" w:rsidRDefault="008122E3">
            <w:pPr>
              <w:widowControl w:val="0"/>
              <w:spacing w:line="276" w:lineRule="auto"/>
              <w:jc w:val="center"/>
              <w:rPr>
                <w:rFonts w:ascii="Menlo Regular" w:eastAsia="Calibri" w:hAnsi="Menlo Regular" w:cs="Menlo Regular"/>
                <w:color w:val="6AA84F"/>
                <w:sz w:val="20"/>
                <w:szCs w:val="16"/>
              </w:rPr>
            </w:pPr>
            <w:r>
              <w:rPr>
                <w:rFonts w:ascii="Menlo Regular" w:eastAsia="Calibri" w:hAnsi="Menlo Regular" w:cs="Menlo Regular"/>
                <w:color w:val="6AA84F"/>
                <w:sz w:val="20"/>
                <w:szCs w:val="16"/>
              </w:rPr>
              <w:t>✔</w:t>
            </w:r>
          </w:p>
        </w:tc>
        <w:tc>
          <w:tcPr>
            <w:tcW w:w="863" w:type="dxa"/>
            <w:tcBorders>
              <w:left w:val="dotted" w:sz="2" w:space="0" w:color="000000"/>
              <w:bottom w:val="single" w:sz="2" w:space="0" w:color="000000"/>
            </w:tcBorders>
            <w:vAlign w:val="center"/>
          </w:tcPr>
          <w:p w14:paraId="2E33A545" w14:textId="77777777" w:rsidR="00AC166E" w:rsidRDefault="008122E3">
            <w:pPr>
              <w:widowControl w:val="0"/>
              <w:spacing w:line="276" w:lineRule="auto"/>
              <w:jc w:val="center"/>
              <w:rPr>
                <w:rFonts w:ascii="Menlo Regular" w:eastAsia="Calibri" w:hAnsi="Menlo Regular" w:cs="Menlo Regular"/>
                <w:color w:val="FF0000"/>
                <w:sz w:val="20"/>
              </w:rPr>
            </w:pPr>
            <w:r>
              <w:rPr>
                <w:rFonts w:ascii="Menlo Regular" w:eastAsia="Calibri" w:hAnsi="Menlo Regular" w:cs="Menlo Regular"/>
                <w:color w:val="FF0000"/>
                <w:sz w:val="20"/>
              </w:rPr>
              <w:t>✗</w:t>
            </w:r>
          </w:p>
        </w:tc>
        <w:tc>
          <w:tcPr>
            <w:tcW w:w="861" w:type="dxa"/>
            <w:tcBorders>
              <w:bottom w:val="single" w:sz="2" w:space="0" w:color="000000"/>
            </w:tcBorders>
            <w:vAlign w:val="center"/>
          </w:tcPr>
          <w:p w14:paraId="0E581B04" w14:textId="77777777" w:rsidR="00AC166E" w:rsidRDefault="008122E3">
            <w:pPr>
              <w:widowControl w:val="0"/>
              <w:spacing w:line="276" w:lineRule="auto"/>
              <w:jc w:val="center"/>
              <w:rPr>
                <w:rFonts w:ascii="Menlo Regular" w:eastAsia="Calibri" w:hAnsi="Menlo Regular" w:cs="Menlo Regular"/>
                <w:color w:val="FF0000"/>
                <w:sz w:val="20"/>
              </w:rPr>
            </w:pPr>
            <w:r>
              <w:rPr>
                <w:rFonts w:ascii="Menlo Regular" w:eastAsia="Calibri" w:hAnsi="Menlo Regular" w:cs="Menlo Regular"/>
                <w:color w:val="FF0000"/>
                <w:sz w:val="20"/>
              </w:rPr>
              <w:t>✗</w:t>
            </w:r>
          </w:p>
        </w:tc>
        <w:tc>
          <w:tcPr>
            <w:tcW w:w="865" w:type="dxa"/>
            <w:tcBorders>
              <w:bottom w:val="single" w:sz="2" w:space="0" w:color="000000"/>
              <w:right w:val="dotted" w:sz="2" w:space="0" w:color="000000"/>
            </w:tcBorders>
            <w:vAlign w:val="center"/>
          </w:tcPr>
          <w:p w14:paraId="65111ED9" w14:textId="77777777" w:rsidR="00AC166E" w:rsidRDefault="008122E3">
            <w:pPr>
              <w:widowControl w:val="0"/>
              <w:spacing w:line="276" w:lineRule="auto"/>
              <w:jc w:val="center"/>
              <w:rPr>
                <w:rFonts w:ascii="Menlo Regular" w:eastAsia="Calibri" w:hAnsi="Menlo Regular" w:cs="Menlo Regular"/>
                <w:color w:val="FF0000"/>
                <w:sz w:val="20"/>
              </w:rPr>
            </w:pPr>
            <w:r>
              <w:rPr>
                <w:rFonts w:ascii="Menlo Regular" w:eastAsia="Calibri" w:hAnsi="Menlo Regular" w:cs="Menlo Regular"/>
                <w:color w:val="FF0000"/>
                <w:sz w:val="20"/>
              </w:rPr>
              <w:t>✗</w:t>
            </w:r>
          </w:p>
        </w:tc>
        <w:tc>
          <w:tcPr>
            <w:tcW w:w="863" w:type="dxa"/>
            <w:tcBorders>
              <w:left w:val="dotted" w:sz="2" w:space="0" w:color="000000"/>
              <w:bottom w:val="single" w:sz="2" w:space="0" w:color="000000"/>
            </w:tcBorders>
            <w:vAlign w:val="center"/>
          </w:tcPr>
          <w:p w14:paraId="5CD96616" w14:textId="77777777" w:rsidR="00AC166E" w:rsidRDefault="008122E3">
            <w:pPr>
              <w:widowControl w:val="0"/>
              <w:spacing w:line="276" w:lineRule="auto"/>
              <w:jc w:val="center"/>
              <w:rPr>
                <w:rFonts w:ascii="Menlo Regular" w:eastAsia="Calibri" w:hAnsi="Menlo Regular" w:cs="Menlo Regular"/>
                <w:color w:val="6AA84F"/>
                <w:sz w:val="20"/>
                <w:szCs w:val="16"/>
              </w:rPr>
            </w:pPr>
            <w:r>
              <w:rPr>
                <w:rFonts w:ascii="Menlo Regular" w:eastAsia="Calibri" w:hAnsi="Menlo Regular" w:cs="Menlo Regular"/>
                <w:color w:val="6AA84F"/>
                <w:sz w:val="20"/>
                <w:szCs w:val="16"/>
              </w:rPr>
              <w:t>✔</w:t>
            </w:r>
          </w:p>
        </w:tc>
        <w:tc>
          <w:tcPr>
            <w:tcW w:w="861" w:type="dxa"/>
            <w:tcBorders>
              <w:bottom w:val="single" w:sz="2" w:space="0" w:color="000000"/>
            </w:tcBorders>
            <w:vAlign w:val="center"/>
          </w:tcPr>
          <w:p w14:paraId="1B2E527B" w14:textId="77777777" w:rsidR="00AC166E" w:rsidRDefault="008122E3">
            <w:pPr>
              <w:widowControl w:val="0"/>
              <w:spacing w:line="276" w:lineRule="auto"/>
              <w:jc w:val="center"/>
              <w:rPr>
                <w:rFonts w:ascii="Menlo Regular" w:eastAsia="Calibri" w:hAnsi="Menlo Regular" w:cs="Menlo Regular"/>
                <w:color w:val="FF0000"/>
                <w:sz w:val="20"/>
              </w:rPr>
            </w:pPr>
            <w:r>
              <w:rPr>
                <w:rFonts w:ascii="Menlo Regular" w:eastAsia="Calibri" w:hAnsi="Menlo Regular" w:cs="Menlo Regular"/>
                <w:color w:val="FF0000"/>
                <w:sz w:val="20"/>
              </w:rPr>
              <w:t>✗</w:t>
            </w:r>
          </w:p>
        </w:tc>
        <w:tc>
          <w:tcPr>
            <w:tcW w:w="864" w:type="dxa"/>
            <w:tcBorders>
              <w:bottom w:val="single" w:sz="2" w:space="0" w:color="000000"/>
            </w:tcBorders>
            <w:shd w:val="clear" w:color="auto" w:fill="FFF5CE"/>
            <w:vAlign w:val="center"/>
          </w:tcPr>
          <w:p w14:paraId="5B1EEF28" w14:textId="77777777" w:rsidR="00AC166E" w:rsidRDefault="008122E3">
            <w:pPr>
              <w:widowControl w:val="0"/>
              <w:spacing w:line="276" w:lineRule="auto"/>
              <w:jc w:val="center"/>
              <w:rPr>
                <w:rFonts w:ascii="Menlo Regular" w:eastAsia="Calibri" w:hAnsi="Menlo Regular" w:cs="Menlo Regular"/>
                <w:color w:val="6AA84F"/>
                <w:sz w:val="20"/>
                <w:szCs w:val="16"/>
              </w:rPr>
            </w:pPr>
            <w:r>
              <w:rPr>
                <w:rFonts w:ascii="Menlo Regular" w:eastAsia="Calibri" w:hAnsi="Menlo Regular" w:cs="Menlo Regular"/>
                <w:color w:val="6AA84F"/>
                <w:sz w:val="20"/>
                <w:szCs w:val="16"/>
              </w:rPr>
              <w:t>✔</w:t>
            </w:r>
          </w:p>
        </w:tc>
      </w:tr>
    </w:tbl>
    <w:p w14:paraId="700DC9B0" w14:textId="77777777" w:rsidR="00AC166E" w:rsidRDefault="00AC166E">
      <w:pPr>
        <w:tabs>
          <w:tab w:val="left" w:pos="0"/>
        </w:tabs>
        <w:rPr>
          <w:rFonts w:eastAsia="Calibri" w:cs="Calibri"/>
          <w:i/>
          <w:sz w:val="20"/>
          <w:szCs w:val="20"/>
        </w:rPr>
      </w:pPr>
    </w:p>
    <w:p w14:paraId="5BFF6883" w14:textId="77777777" w:rsidR="00AC166E" w:rsidRDefault="008122E3">
      <w:pPr>
        <w:pStyle w:val="Descripcin"/>
      </w:pPr>
      <w:r>
        <w:rPr>
          <w:rFonts w:eastAsia="Calibri" w:cs="Calibri"/>
          <w:sz w:val="20"/>
          <w:szCs w:val="20"/>
        </w:rPr>
        <w:t>Check-marks (</w:t>
      </w:r>
      <w:r>
        <w:rPr>
          <w:rFonts w:ascii="Menlo Regular" w:eastAsia="Calibri" w:hAnsi="Menlo Regular" w:cs="Menlo Regular"/>
          <w:color w:val="6AA84F"/>
          <w:sz w:val="16"/>
          <w:szCs w:val="16"/>
        </w:rPr>
        <w:t>✔</w:t>
      </w:r>
      <w:r>
        <w:rPr>
          <w:rFonts w:eastAsia="Calibri" w:cs="Calibri"/>
          <w:sz w:val="20"/>
          <w:szCs w:val="20"/>
        </w:rPr>
        <w:t>) mean that organs may be retrieved; X marks (</w:t>
      </w:r>
      <w:r>
        <w:rPr>
          <w:rFonts w:ascii="Menlo Regular" w:eastAsia="Calibri" w:hAnsi="Menlo Regular" w:cs="Menlo Regular"/>
          <w:color w:val="FF0000"/>
          <w:sz w:val="20"/>
          <w:szCs w:val="20"/>
        </w:rPr>
        <w:t>✗</w:t>
      </w:r>
      <w:r>
        <w:rPr>
          <w:rFonts w:eastAsia="Calibri" w:cs="Calibri"/>
          <w:sz w:val="20"/>
          <w:szCs w:val="20"/>
        </w:rPr>
        <w:t>) mean that organs may not be retrieved. When the deceased had consented, organs will likely be retrieved unless the family objects, this being the case for both policies. If the family is against organ retrieval, the likely outcome under opt-in and opt-ou</w:t>
      </w:r>
      <w:r>
        <w:rPr>
          <w:rFonts w:eastAsia="Calibri" w:cs="Calibri"/>
          <w:sz w:val="20"/>
          <w:szCs w:val="20"/>
        </w:rPr>
        <w:t>t will depend on whether the family is allowed to overrule (veto) the deceased’s consent. When the deceased had refused to donate, organ retrieval is unlikely to proceed under any circumstances (regardless of family preferences or the default rule), as thi</w:t>
      </w:r>
      <w:r>
        <w:rPr>
          <w:rFonts w:eastAsia="Calibri" w:cs="Calibri"/>
          <w:sz w:val="20"/>
          <w:szCs w:val="20"/>
        </w:rPr>
        <w:t xml:space="preserve">s would be contrary to the ethical principles of organ retrieval and transplantation </w:t>
      </w:r>
      <w:r>
        <w:rPr>
          <w:rFonts w:eastAsia="Calibri" w:cs="Calibri"/>
          <w:position w:val="5"/>
          <w:sz w:val="16"/>
          <w:szCs w:val="20"/>
        </w:rPr>
        <w:t>28</w:t>
      </w:r>
      <w:r>
        <w:rPr>
          <w:rFonts w:eastAsia="Calibri" w:cs="Calibri"/>
          <w:sz w:val="20"/>
          <w:szCs w:val="20"/>
        </w:rPr>
        <w:t>. Finally, when the deceased had failed to express any preference, there is no difference between opt-in and opt-out whether the family authorises or opposes organ retri</w:t>
      </w:r>
      <w:r>
        <w:rPr>
          <w:rFonts w:eastAsia="Calibri" w:cs="Calibri"/>
          <w:sz w:val="20"/>
          <w:szCs w:val="20"/>
        </w:rPr>
        <w:t xml:space="preserve">eval: in both cases, the expressed preferences of the family will be respected. The only situation where consent policies actually differ in their outcome is when both the preferences of the deceased and those of the family are unknown. Family preferences </w:t>
      </w:r>
      <w:r>
        <w:rPr>
          <w:rFonts w:eastAsia="Calibri" w:cs="Calibri"/>
          <w:sz w:val="20"/>
          <w:szCs w:val="20"/>
        </w:rPr>
        <w:t>can be unknown to the medical team in the following circumstances: the deceased had no remaining family or close friends to be consulted, they may have not been contacted in time or may be too emotionally distressed to be consulted about organ recovery, or</w:t>
      </w:r>
      <w:r>
        <w:rPr>
          <w:rFonts w:eastAsia="Calibri" w:cs="Calibri"/>
          <w:sz w:val="20"/>
          <w:szCs w:val="20"/>
        </w:rPr>
        <w:t xml:space="preserve"> they could hold conflicting views on the matter.</w:t>
      </w:r>
    </w:p>
    <w:p w14:paraId="705941ED" w14:textId="77777777" w:rsidR="00AC166E" w:rsidRDefault="00AC166E">
      <w:pPr>
        <w:tabs>
          <w:tab w:val="left" w:pos="0"/>
        </w:tabs>
        <w:rPr>
          <w:rFonts w:eastAsia="Calibri" w:cs="Calibri"/>
          <w:i/>
          <w:sz w:val="20"/>
          <w:szCs w:val="20"/>
        </w:rPr>
      </w:pPr>
    </w:p>
    <w:p w14:paraId="2B432739" w14:textId="0E421C98" w:rsidR="00AC166E" w:rsidRDefault="008122E3">
      <w:pPr>
        <w:pStyle w:val="Textoindependiente"/>
      </w:pPr>
      <w:r>
        <w:t>According to this conceptual model, when comparing the outcomes of each situation in the tables above</w:t>
      </w:r>
      <w:r>
        <w:t>,</w:t>
      </w:r>
      <w:r>
        <w:t xml:space="preserve"> the differential impact of opt-in and opt-out policies is entirely determined by the default, which </w:t>
      </w:r>
      <w:r>
        <w:t xml:space="preserve">only </w:t>
      </w:r>
      <w:r>
        <w:t>applies</w:t>
      </w:r>
      <w:r>
        <w:t xml:space="preserve"> when preferences have </w:t>
      </w:r>
      <w:r>
        <w:rPr>
          <w:i/>
          <w:iCs/>
        </w:rPr>
        <w:t>not</w:t>
      </w:r>
      <w:r>
        <w:t xml:space="preserve"> been expressed. This does not exclude the existence of a differential impact of consent policies based on indir</w:t>
      </w:r>
      <w:r>
        <w:t>ect effects, such as the meaning assigned to the act of donating or not donating, people’s registration behaviour, or family authorisation rates. But whether and to what extent these indirect effects can increase organ recovery rates may depend on continge</w:t>
      </w:r>
      <w:r>
        <w:t xml:space="preserve">nt factors that vary from country to country or population to population, including religious and cultural backgrounds, public attitudes towards the donation and transplantation system, health professionals’ training, etc. </w:t>
      </w:r>
    </w:p>
    <w:p w14:paraId="4A446E94" w14:textId="77777777" w:rsidR="00AC166E" w:rsidRDefault="008122E3">
      <w:pPr>
        <w:pStyle w:val="Ttulo2"/>
      </w:pPr>
      <w:r>
        <w:t>Empirical evidence</w:t>
      </w:r>
    </w:p>
    <w:p w14:paraId="3E52F86F" w14:textId="77777777" w:rsidR="00AC166E" w:rsidRDefault="008122E3">
      <w:pPr>
        <w:pStyle w:val="Textoindependiente"/>
      </w:pPr>
      <w:r>
        <w:t>We obtained</w:t>
      </w:r>
      <w:r>
        <w:t xml:space="preserve"> r</w:t>
      </w:r>
      <w:r>
        <w:t xml:space="preserve">elevant empirical data </w:t>
      </w:r>
      <w:r>
        <w:t>from</w:t>
      </w:r>
      <w:r>
        <w:t xml:space="preserve"> 21 countries </w:t>
      </w:r>
      <w:r>
        <w:t>in the five continents</w:t>
      </w:r>
      <w:r>
        <w:t xml:space="preserve">. Considering the diversity of sources and varying quality of the data, we classified the evidence obtained in two tiers: confirmatory evidence and additional supporting evidence. </w:t>
      </w:r>
      <w:r>
        <w:rPr>
          <w:i/>
          <w:iCs/>
        </w:rPr>
        <w:t xml:space="preserve">Confirmatory </w:t>
      </w:r>
      <w:r>
        <w:rPr>
          <w:i/>
          <w:iCs/>
        </w:rPr>
        <w:t>evidence</w:t>
      </w:r>
      <w:r>
        <w:t xml:space="preserve"> includes comprehensive statistics from either government backed official reports or retrospective studies. </w:t>
      </w:r>
      <w:r>
        <w:rPr>
          <w:i/>
          <w:iCs/>
        </w:rPr>
        <w:lastRenderedPageBreak/>
        <w:t>Additional supporting evidence</w:t>
      </w:r>
      <w:r>
        <w:t xml:space="preserve"> includes partial statistics from official reports and </w:t>
      </w:r>
      <w:r>
        <w:t>retrospective</w:t>
      </w:r>
      <w:r>
        <w:t xml:space="preserve"> studies.</w:t>
      </w:r>
    </w:p>
    <w:p w14:paraId="10119DE8" w14:textId="77777777" w:rsidR="00AC166E" w:rsidRDefault="008122E3">
      <w:pPr>
        <w:pStyle w:val="Textoindependiente"/>
      </w:pPr>
      <w:r>
        <w:rPr>
          <w:i/>
          <w:iCs/>
        </w:rPr>
        <w:t>Confirmatory evidence.</w:t>
      </w:r>
      <w:r>
        <w:t xml:space="preserve"> We found </w:t>
      </w:r>
      <w:r>
        <w:t>comprehensive nationwide statistics from official sources in Denmark, Germany, the Netherlands, and the United Kingdom, and from peer reviewed retrospective studies in Sweden and Wales. In addition, we found comprehensive statistics from a retrospective st</w:t>
      </w:r>
      <w:r>
        <w:t>udy of all patients who died at one of the largest hospitals in Denmark between 2000-2003 and 2007-2010. Our findings show that, when families intervene, the situation where defaults apply according to our analysis—i.e. when both individual and family pref</w:t>
      </w:r>
      <w:r>
        <w:t xml:space="preserve">erences are unknown—is limited to a range of 0% to 4% of all organ retrieval opportunities, based on the available empirical data from these six countries (Table </w:t>
      </w:r>
      <w:r>
        <w:t>4</w:t>
      </w:r>
      <w:r>
        <w:t xml:space="preserve">; </w:t>
      </w:r>
      <w:r>
        <w:rPr>
          <w:rFonts w:eastAsia="Calibri" w:cs="Calibri"/>
          <w:kern w:val="0"/>
        </w:rPr>
        <w:t>see supplementary file for more detailed information about the data, sources, and methodolo</w:t>
      </w:r>
      <w:r>
        <w:rPr>
          <w:rFonts w:eastAsia="Calibri" w:cs="Calibri"/>
          <w:kern w:val="0"/>
        </w:rPr>
        <w:t>gy</w:t>
      </w:r>
      <w:r>
        <w:t xml:space="preserve">). </w:t>
      </w:r>
    </w:p>
    <w:p w14:paraId="0EE3901F" w14:textId="77777777" w:rsidR="00AC166E" w:rsidRDefault="00AC166E">
      <w:pPr>
        <w:pStyle w:val="Textoindependiente"/>
      </w:pPr>
    </w:p>
    <w:p w14:paraId="4B1CA9A3" w14:textId="77777777" w:rsidR="00AC166E" w:rsidRDefault="008122E3">
      <w:pPr>
        <w:pStyle w:val="Ttulodelatabla"/>
      </w:pPr>
      <w:r>
        <w:rPr>
          <w:rFonts w:eastAsia="Calibri" w:cs="Calibri"/>
          <w:kern w:val="0"/>
          <w:szCs w:val="22"/>
        </w:rPr>
        <w:t xml:space="preserve">Table </w:t>
      </w:r>
      <w:r>
        <w:rPr>
          <w:rFonts w:ascii="Times New Roman" w:eastAsia="Calibri" w:hAnsi="Times New Roman" w:cs="Calibri"/>
          <w:kern w:val="0"/>
          <w:szCs w:val="22"/>
        </w:rPr>
        <w:t>4</w:t>
      </w:r>
      <w:r>
        <w:rPr>
          <w:rFonts w:eastAsia="Calibri" w:cs="Calibri"/>
        </w:rPr>
        <w:t xml:space="preserve">. </w:t>
      </w:r>
      <w:r>
        <w:rPr>
          <w:rFonts w:eastAsia="Calibri" w:cs="Calibri"/>
          <w:i/>
          <w:szCs w:val="20"/>
        </w:rPr>
        <w:t xml:space="preserve">Actual frequency of each scenario among potential organ donor cases when both the deceased’s decision and the family’s preferences are considered in Denmark, Germany, the Netherlands (NL), Sweden, the United Kingdom at large (UK) and Wales </w:t>
      </w:r>
      <w:r>
        <w:rPr>
          <w:rFonts w:eastAsia="Calibri" w:cs="Calibri"/>
          <w:i/>
          <w:szCs w:val="20"/>
        </w:rPr>
        <w:t>in particular.</w:t>
      </w:r>
    </w:p>
    <w:tbl>
      <w:tblPr>
        <w:tblW w:w="9642" w:type="dxa"/>
        <w:tblLayout w:type="fixed"/>
        <w:tblCellMar>
          <w:left w:w="0" w:type="dxa"/>
          <w:right w:w="2" w:type="dxa"/>
        </w:tblCellMar>
        <w:tblLook w:val="0000" w:firstRow="0" w:lastRow="0" w:firstColumn="0" w:lastColumn="0" w:noHBand="0" w:noVBand="0"/>
      </w:tblPr>
      <w:tblGrid>
        <w:gridCol w:w="909"/>
        <w:gridCol w:w="842"/>
        <w:gridCol w:w="879"/>
        <w:gridCol w:w="874"/>
        <w:gridCol w:w="878"/>
        <w:gridCol w:w="875"/>
        <w:gridCol w:w="878"/>
        <w:gridCol w:w="874"/>
        <w:gridCol w:w="878"/>
        <w:gridCol w:w="874"/>
        <w:gridCol w:w="881"/>
      </w:tblGrid>
      <w:tr w:rsidR="00AC166E" w14:paraId="05101ADC" w14:textId="77777777">
        <w:trPr>
          <w:trHeight w:val="397"/>
        </w:trPr>
        <w:tc>
          <w:tcPr>
            <w:tcW w:w="1750" w:type="dxa"/>
            <w:gridSpan w:val="2"/>
            <w:tcBorders>
              <w:top w:val="single" w:sz="2" w:space="0" w:color="000000"/>
              <w:bottom w:val="dotted" w:sz="2" w:space="0" w:color="000000"/>
              <w:right w:val="dotted" w:sz="2" w:space="0" w:color="000000"/>
            </w:tcBorders>
            <w:vAlign w:val="center"/>
          </w:tcPr>
          <w:p w14:paraId="25A4AAC8" w14:textId="77777777" w:rsidR="00AC166E" w:rsidRDefault="008122E3">
            <w:pPr>
              <w:pStyle w:val="Contenidodelatabla"/>
              <w:widowControl w:val="0"/>
              <w:spacing w:line="276" w:lineRule="auto"/>
              <w:rPr>
                <w:rFonts w:ascii="Calibri" w:hAnsi="Calibri"/>
                <w:b/>
                <w:bCs/>
                <w:szCs w:val="20"/>
              </w:rPr>
            </w:pPr>
            <w:r>
              <w:rPr>
                <w:rFonts w:ascii="Calibri" w:hAnsi="Calibri"/>
                <w:b/>
                <w:bCs/>
                <w:szCs w:val="20"/>
              </w:rPr>
              <w:t>Deceased’s decision</w:t>
            </w:r>
          </w:p>
        </w:tc>
        <w:tc>
          <w:tcPr>
            <w:tcW w:w="2630" w:type="dxa"/>
            <w:gridSpan w:val="3"/>
            <w:tcBorders>
              <w:top w:val="single" w:sz="2" w:space="0" w:color="000000"/>
              <w:left w:val="dotted" w:sz="2" w:space="0" w:color="000000"/>
              <w:bottom w:val="dotted" w:sz="2" w:space="0" w:color="000000"/>
            </w:tcBorders>
            <w:vAlign w:val="center"/>
          </w:tcPr>
          <w:p w14:paraId="393888F5" w14:textId="77777777" w:rsidR="00AC166E" w:rsidRDefault="008122E3">
            <w:pPr>
              <w:pStyle w:val="Contenidodelatabla"/>
              <w:widowControl w:val="0"/>
              <w:spacing w:line="276" w:lineRule="auto"/>
              <w:jc w:val="center"/>
              <w:rPr>
                <w:rFonts w:ascii="Calibri" w:hAnsi="Calibri"/>
                <w:b/>
                <w:bCs/>
              </w:rPr>
            </w:pPr>
            <w:r>
              <w:rPr>
                <w:rFonts w:ascii="Calibri" w:hAnsi="Calibri"/>
                <w:b/>
                <w:bCs/>
              </w:rPr>
              <w:t>Consent</w:t>
            </w:r>
          </w:p>
        </w:tc>
        <w:tc>
          <w:tcPr>
            <w:tcW w:w="2627" w:type="dxa"/>
            <w:gridSpan w:val="3"/>
            <w:tcBorders>
              <w:top w:val="single" w:sz="2" w:space="0" w:color="000000"/>
              <w:bottom w:val="dotted" w:sz="2" w:space="0" w:color="000000"/>
            </w:tcBorders>
            <w:vAlign w:val="center"/>
          </w:tcPr>
          <w:p w14:paraId="48EAF1B9" w14:textId="77777777" w:rsidR="00AC166E" w:rsidRDefault="008122E3">
            <w:pPr>
              <w:pStyle w:val="Contenidodelatabla"/>
              <w:widowControl w:val="0"/>
              <w:spacing w:line="276" w:lineRule="auto"/>
              <w:jc w:val="center"/>
              <w:rPr>
                <w:rFonts w:ascii="Calibri" w:hAnsi="Calibri"/>
                <w:b/>
                <w:bCs/>
              </w:rPr>
            </w:pPr>
            <w:r>
              <w:rPr>
                <w:rFonts w:ascii="Calibri" w:hAnsi="Calibri"/>
                <w:b/>
                <w:bCs/>
              </w:rPr>
              <w:t>Refusal</w:t>
            </w:r>
          </w:p>
        </w:tc>
        <w:tc>
          <w:tcPr>
            <w:tcW w:w="2633" w:type="dxa"/>
            <w:gridSpan w:val="3"/>
            <w:tcBorders>
              <w:top w:val="single" w:sz="2" w:space="0" w:color="000000"/>
              <w:bottom w:val="dotted" w:sz="2" w:space="0" w:color="000000"/>
            </w:tcBorders>
            <w:shd w:val="clear" w:color="auto" w:fill="FFF5CE"/>
            <w:vAlign w:val="center"/>
          </w:tcPr>
          <w:p w14:paraId="7848346C" w14:textId="77777777" w:rsidR="00AC166E" w:rsidRDefault="008122E3">
            <w:pPr>
              <w:pStyle w:val="Contenidodelatabla"/>
              <w:widowControl w:val="0"/>
              <w:spacing w:line="276" w:lineRule="auto"/>
              <w:jc w:val="center"/>
              <w:rPr>
                <w:rFonts w:ascii="Calibri" w:hAnsi="Calibri"/>
                <w:b/>
                <w:bCs/>
              </w:rPr>
            </w:pPr>
            <w:r>
              <w:rPr>
                <w:rFonts w:ascii="Calibri" w:hAnsi="Calibri"/>
                <w:b/>
                <w:bCs/>
              </w:rPr>
              <w:t>Unknown</w:t>
            </w:r>
          </w:p>
        </w:tc>
      </w:tr>
      <w:tr w:rsidR="00AC166E" w14:paraId="0F6419DF" w14:textId="77777777">
        <w:trPr>
          <w:trHeight w:val="397"/>
        </w:trPr>
        <w:tc>
          <w:tcPr>
            <w:tcW w:w="1750" w:type="dxa"/>
            <w:gridSpan w:val="2"/>
            <w:tcBorders>
              <w:top w:val="dotted" w:sz="2" w:space="0" w:color="000000"/>
              <w:bottom w:val="dotted" w:sz="2" w:space="0" w:color="000000"/>
              <w:right w:val="dotted" w:sz="2" w:space="0" w:color="000000"/>
            </w:tcBorders>
            <w:vAlign w:val="center"/>
          </w:tcPr>
          <w:p w14:paraId="55E314B4" w14:textId="77777777" w:rsidR="00AC166E" w:rsidRDefault="008122E3">
            <w:pPr>
              <w:pStyle w:val="Contenidodelatabla"/>
              <w:widowControl w:val="0"/>
              <w:spacing w:line="276" w:lineRule="auto"/>
              <w:rPr>
                <w:rFonts w:ascii="Calibri" w:hAnsi="Calibri"/>
                <w:b/>
                <w:bCs/>
                <w:szCs w:val="20"/>
              </w:rPr>
            </w:pPr>
            <w:r>
              <w:rPr>
                <w:rFonts w:ascii="Calibri" w:hAnsi="Calibri"/>
                <w:b/>
                <w:bCs/>
                <w:szCs w:val="20"/>
              </w:rPr>
              <w:t>Family preferences</w:t>
            </w:r>
          </w:p>
        </w:tc>
        <w:tc>
          <w:tcPr>
            <w:tcW w:w="878" w:type="dxa"/>
            <w:tcBorders>
              <w:top w:val="dotted" w:sz="2" w:space="0" w:color="000000"/>
              <w:left w:val="dotted" w:sz="2" w:space="0" w:color="000000"/>
              <w:bottom w:val="dotted" w:sz="2" w:space="0" w:color="000000"/>
            </w:tcBorders>
            <w:vAlign w:val="center"/>
          </w:tcPr>
          <w:p w14:paraId="039E32BB" w14:textId="77777777" w:rsidR="00AC166E" w:rsidRDefault="008122E3">
            <w:pPr>
              <w:pStyle w:val="Contenidodelatabla"/>
              <w:widowControl w:val="0"/>
              <w:spacing w:line="276" w:lineRule="auto"/>
              <w:jc w:val="center"/>
              <w:rPr>
                <w:rFonts w:ascii="Calibri" w:hAnsi="Calibri"/>
                <w:b/>
                <w:bCs/>
              </w:rPr>
            </w:pPr>
            <w:r>
              <w:rPr>
                <w:rFonts w:ascii="Calibri" w:hAnsi="Calibri"/>
                <w:b/>
                <w:bCs/>
              </w:rPr>
              <w:t>In favour</w:t>
            </w:r>
          </w:p>
        </w:tc>
        <w:tc>
          <w:tcPr>
            <w:tcW w:w="874" w:type="dxa"/>
            <w:tcBorders>
              <w:top w:val="dotted" w:sz="2" w:space="0" w:color="000000"/>
              <w:bottom w:val="dotted" w:sz="2" w:space="0" w:color="000000"/>
            </w:tcBorders>
            <w:vAlign w:val="center"/>
          </w:tcPr>
          <w:p w14:paraId="670CF4A4" w14:textId="77777777" w:rsidR="00AC166E" w:rsidRDefault="008122E3">
            <w:pPr>
              <w:pStyle w:val="Contenidodelatabla"/>
              <w:widowControl w:val="0"/>
              <w:spacing w:line="276" w:lineRule="auto"/>
              <w:jc w:val="center"/>
              <w:rPr>
                <w:rFonts w:ascii="Calibri" w:hAnsi="Calibri"/>
                <w:b/>
                <w:bCs/>
              </w:rPr>
            </w:pPr>
            <w:r>
              <w:rPr>
                <w:rFonts w:ascii="Calibri" w:hAnsi="Calibri"/>
                <w:b/>
                <w:bCs/>
              </w:rPr>
              <w:t>Against</w:t>
            </w:r>
          </w:p>
        </w:tc>
        <w:tc>
          <w:tcPr>
            <w:tcW w:w="878" w:type="dxa"/>
            <w:tcBorders>
              <w:top w:val="dotted" w:sz="2" w:space="0" w:color="000000"/>
              <w:bottom w:val="dotted" w:sz="2" w:space="0" w:color="000000"/>
              <w:right w:val="dotted" w:sz="2" w:space="0" w:color="000000"/>
            </w:tcBorders>
            <w:vAlign w:val="center"/>
          </w:tcPr>
          <w:p w14:paraId="77122712" w14:textId="77777777" w:rsidR="00AC166E" w:rsidRDefault="008122E3">
            <w:pPr>
              <w:pStyle w:val="Contenidodelatabla"/>
              <w:widowControl w:val="0"/>
              <w:spacing w:line="276" w:lineRule="auto"/>
              <w:jc w:val="center"/>
              <w:rPr>
                <w:rFonts w:ascii="Calibri" w:hAnsi="Calibri"/>
                <w:b/>
                <w:bCs/>
              </w:rPr>
            </w:pPr>
            <w:r>
              <w:rPr>
                <w:rFonts w:ascii="Calibri" w:hAnsi="Calibri"/>
                <w:b/>
                <w:bCs/>
              </w:rPr>
              <w:t>Unknown</w:t>
            </w:r>
          </w:p>
        </w:tc>
        <w:tc>
          <w:tcPr>
            <w:tcW w:w="875" w:type="dxa"/>
            <w:tcBorders>
              <w:top w:val="dotted" w:sz="2" w:space="0" w:color="000000"/>
              <w:left w:val="dotted" w:sz="2" w:space="0" w:color="000000"/>
              <w:bottom w:val="dotted" w:sz="2" w:space="0" w:color="000000"/>
            </w:tcBorders>
            <w:vAlign w:val="center"/>
          </w:tcPr>
          <w:p w14:paraId="0E71C22C" w14:textId="77777777" w:rsidR="00AC166E" w:rsidRDefault="008122E3">
            <w:pPr>
              <w:pStyle w:val="Contenidodelatabla"/>
              <w:widowControl w:val="0"/>
              <w:spacing w:line="276" w:lineRule="auto"/>
              <w:jc w:val="center"/>
              <w:rPr>
                <w:rFonts w:ascii="Calibri" w:hAnsi="Calibri"/>
                <w:b/>
                <w:bCs/>
              </w:rPr>
            </w:pPr>
            <w:r>
              <w:rPr>
                <w:rFonts w:ascii="Calibri" w:hAnsi="Calibri"/>
                <w:b/>
                <w:bCs/>
              </w:rPr>
              <w:t>In favour</w:t>
            </w:r>
          </w:p>
        </w:tc>
        <w:tc>
          <w:tcPr>
            <w:tcW w:w="878" w:type="dxa"/>
            <w:tcBorders>
              <w:top w:val="dotted" w:sz="2" w:space="0" w:color="000000"/>
              <w:bottom w:val="dotted" w:sz="2" w:space="0" w:color="000000"/>
            </w:tcBorders>
            <w:vAlign w:val="center"/>
          </w:tcPr>
          <w:p w14:paraId="3D32C35D" w14:textId="77777777" w:rsidR="00AC166E" w:rsidRDefault="008122E3">
            <w:pPr>
              <w:pStyle w:val="Contenidodelatabla"/>
              <w:widowControl w:val="0"/>
              <w:spacing w:line="276" w:lineRule="auto"/>
              <w:jc w:val="center"/>
              <w:rPr>
                <w:rFonts w:ascii="Calibri" w:hAnsi="Calibri"/>
                <w:b/>
                <w:bCs/>
              </w:rPr>
            </w:pPr>
            <w:r>
              <w:rPr>
                <w:rFonts w:ascii="Calibri" w:hAnsi="Calibri"/>
                <w:b/>
                <w:bCs/>
              </w:rPr>
              <w:t>Against</w:t>
            </w:r>
          </w:p>
        </w:tc>
        <w:tc>
          <w:tcPr>
            <w:tcW w:w="874" w:type="dxa"/>
            <w:tcBorders>
              <w:top w:val="dotted" w:sz="2" w:space="0" w:color="000000"/>
              <w:bottom w:val="dotted" w:sz="2" w:space="0" w:color="000000"/>
              <w:right w:val="dotted" w:sz="2" w:space="0" w:color="000000"/>
            </w:tcBorders>
            <w:vAlign w:val="center"/>
          </w:tcPr>
          <w:p w14:paraId="5F7D9529" w14:textId="77777777" w:rsidR="00AC166E" w:rsidRDefault="008122E3">
            <w:pPr>
              <w:pStyle w:val="Contenidodelatabla"/>
              <w:widowControl w:val="0"/>
              <w:spacing w:line="276" w:lineRule="auto"/>
              <w:jc w:val="center"/>
              <w:rPr>
                <w:rFonts w:ascii="Calibri" w:hAnsi="Calibri"/>
                <w:b/>
                <w:bCs/>
              </w:rPr>
            </w:pPr>
            <w:r>
              <w:rPr>
                <w:rFonts w:ascii="Calibri" w:hAnsi="Calibri"/>
                <w:b/>
                <w:bCs/>
              </w:rPr>
              <w:t>Unknown</w:t>
            </w:r>
          </w:p>
        </w:tc>
        <w:tc>
          <w:tcPr>
            <w:tcW w:w="878" w:type="dxa"/>
            <w:tcBorders>
              <w:top w:val="dotted" w:sz="2" w:space="0" w:color="000000"/>
              <w:left w:val="dotted" w:sz="2" w:space="0" w:color="000000"/>
              <w:bottom w:val="dotted" w:sz="2" w:space="0" w:color="000000"/>
            </w:tcBorders>
            <w:vAlign w:val="center"/>
          </w:tcPr>
          <w:p w14:paraId="6FD01F95" w14:textId="77777777" w:rsidR="00AC166E" w:rsidRDefault="008122E3">
            <w:pPr>
              <w:pStyle w:val="Contenidodelatabla"/>
              <w:widowControl w:val="0"/>
              <w:spacing w:line="276" w:lineRule="auto"/>
              <w:jc w:val="center"/>
              <w:rPr>
                <w:rFonts w:ascii="Calibri" w:hAnsi="Calibri"/>
                <w:b/>
                <w:bCs/>
              </w:rPr>
            </w:pPr>
            <w:r>
              <w:rPr>
                <w:rFonts w:ascii="Calibri" w:hAnsi="Calibri"/>
                <w:b/>
                <w:bCs/>
              </w:rPr>
              <w:t>In favour</w:t>
            </w:r>
          </w:p>
        </w:tc>
        <w:tc>
          <w:tcPr>
            <w:tcW w:w="874" w:type="dxa"/>
            <w:tcBorders>
              <w:top w:val="dotted" w:sz="2" w:space="0" w:color="000000"/>
              <w:bottom w:val="dotted" w:sz="2" w:space="0" w:color="000000"/>
            </w:tcBorders>
            <w:vAlign w:val="center"/>
          </w:tcPr>
          <w:p w14:paraId="1E58813B" w14:textId="77777777" w:rsidR="00AC166E" w:rsidRDefault="008122E3">
            <w:pPr>
              <w:pStyle w:val="Contenidodelatabla"/>
              <w:widowControl w:val="0"/>
              <w:spacing w:line="276" w:lineRule="auto"/>
              <w:jc w:val="center"/>
              <w:rPr>
                <w:rFonts w:ascii="Calibri" w:hAnsi="Calibri"/>
                <w:b/>
                <w:bCs/>
              </w:rPr>
            </w:pPr>
            <w:r>
              <w:rPr>
                <w:rFonts w:ascii="Calibri" w:hAnsi="Calibri"/>
                <w:b/>
                <w:bCs/>
              </w:rPr>
              <w:t>Against</w:t>
            </w:r>
          </w:p>
        </w:tc>
        <w:tc>
          <w:tcPr>
            <w:tcW w:w="881" w:type="dxa"/>
            <w:tcBorders>
              <w:top w:val="dotted" w:sz="2" w:space="0" w:color="000000"/>
              <w:bottom w:val="dotted" w:sz="2" w:space="0" w:color="000000"/>
            </w:tcBorders>
            <w:shd w:val="clear" w:color="auto" w:fill="FFF5CE"/>
            <w:vAlign w:val="center"/>
          </w:tcPr>
          <w:p w14:paraId="44626FB4" w14:textId="77777777" w:rsidR="00AC166E" w:rsidRDefault="008122E3">
            <w:pPr>
              <w:pStyle w:val="Contenidodelatabla"/>
              <w:widowControl w:val="0"/>
              <w:spacing w:line="276" w:lineRule="auto"/>
              <w:jc w:val="center"/>
              <w:rPr>
                <w:rFonts w:ascii="Calibri" w:hAnsi="Calibri"/>
                <w:b/>
                <w:bCs/>
              </w:rPr>
            </w:pPr>
            <w:r>
              <w:rPr>
                <w:rFonts w:ascii="Calibri" w:hAnsi="Calibri"/>
                <w:b/>
                <w:bCs/>
              </w:rPr>
              <w:t>Unknown</w:t>
            </w:r>
          </w:p>
        </w:tc>
      </w:tr>
      <w:tr w:rsidR="00AC166E" w14:paraId="3220B1BD" w14:textId="77777777">
        <w:tc>
          <w:tcPr>
            <w:tcW w:w="908" w:type="dxa"/>
            <w:tcBorders>
              <w:top w:val="dotted" w:sz="2" w:space="0" w:color="000000"/>
            </w:tcBorders>
          </w:tcPr>
          <w:p w14:paraId="0E412C73" w14:textId="77777777" w:rsidR="00AC166E" w:rsidRDefault="008122E3">
            <w:pPr>
              <w:pStyle w:val="Contenidodelatabla"/>
              <w:widowControl w:val="0"/>
              <w:spacing w:line="276" w:lineRule="auto"/>
              <w:rPr>
                <w:rFonts w:ascii="Calibri" w:hAnsi="Calibri"/>
                <w:b/>
                <w:bCs/>
              </w:rPr>
            </w:pPr>
            <w:r>
              <w:rPr>
                <w:rFonts w:ascii="Calibri" w:hAnsi="Calibri"/>
                <w:b/>
                <w:bCs/>
              </w:rPr>
              <w:t>Denmark</w:t>
            </w:r>
          </w:p>
        </w:tc>
        <w:tc>
          <w:tcPr>
            <w:tcW w:w="842" w:type="dxa"/>
            <w:tcBorders>
              <w:top w:val="dotted" w:sz="2" w:space="0" w:color="000000"/>
              <w:right w:val="dotted" w:sz="2" w:space="0" w:color="000000"/>
            </w:tcBorders>
          </w:tcPr>
          <w:p w14:paraId="7552E03C" w14:textId="77777777" w:rsidR="00AC166E" w:rsidRDefault="008122E3">
            <w:pPr>
              <w:pStyle w:val="Contenidodelatabla"/>
              <w:widowControl w:val="0"/>
              <w:spacing w:line="276" w:lineRule="auto"/>
              <w:rPr>
                <w:rFonts w:ascii="Calibri" w:hAnsi="Calibri"/>
              </w:rPr>
            </w:pPr>
            <w:r>
              <w:rPr>
                <w:rFonts w:ascii="Calibri" w:hAnsi="Calibri"/>
              </w:rPr>
              <w:t>Opt-in</w:t>
            </w:r>
          </w:p>
          <w:p w14:paraId="0771614D" w14:textId="77777777" w:rsidR="00AC166E" w:rsidRDefault="008122E3">
            <w:pPr>
              <w:pStyle w:val="Contenidodelatabla"/>
              <w:widowControl w:val="0"/>
              <w:spacing w:line="276" w:lineRule="auto"/>
              <w:rPr>
                <w:rFonts w:ascii="Calibri" w:hAnsi="Calibri"/>
              </w:rPr>
            </w:pPr>
            <w:r>
              <w:rPr>
                <w:rFonts w:ascii="Calibri" w:hAnsi="Calibri"/>
              </w:rPr>
              <w:t>N=235</w:t>
            </w:r>
            <w:r>
              <w:rPr>
                <w:rFonts w:ascii="Calibri" w:hAnsi="Calibri"/>
                <w:vertAlign w:val="superscript"/>
              </w:rPr>
              <w:t>a</w:t>
            </w:r>
          </w:p>
        </w:tc>
        <w:tc>
          <w:tcPr>
            <w:tcW w:w="879" w:type="dxa"/>
            <w:tcBorders>
              <w:top w:val="dotted" w:sz="2" w:space="0" w:color="000000"/>
              <w:left w:val="dotted" w:sz="2" w:space="0" w:color="000000"/>
            </w:tcBorders>
            <w:vAlign w:val="center"/>
          </w:tcPr>
          <w:p w14:paraId="23AE720F"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3" w:type="dxa"/>
            <w:tcBorders>
              <w:top w:val="dotted" w:sz="2" w:space="0" w:color="000000"/>
            </w:tcBorders>
            <w:vAlign w:val="center"/>
          </w:tcPr>
          <w:p w14:paraId="765A6DEE"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8" w:type="dxa"/>
            <w:tcBorders>
              <w:top w:val="dotted" w:sz="2" w:space="0" w:color="000000"/>
              <w:right w:val="dotted" w:sz="2" w:space="0" w:color="000000"/>
            </w:tcBorders>
            <w:vAlign w:val="center"/>
          </w:tcPr>
          <w:p w14:paraId="0638446B" w14:textId="77777777" w:rsidR="00AC166E" w:rsidRDefault="008122E3">
            <w:pPr>
              <w:pStyle w:val="Contenidodelatabla"/>
              <w:widowControl w:val="0"/>
              <w:spacing w:line="276" w:lineRule="auto"/>
              <w:jc w:val="center"/>
              <w:rPr>
                <w:rFonts w:ascii="Calibri" w:hAnsi="Calibri"/>
              </w:rPr>
            </w:pPr>
            <w:r>
              <w:rPr>
                <w:rFonts w:ascii="Calibri" w:hAnsi="Calibri"/>
              </w:rPr>
              <w:t>6</w:t>
            </w:r>
            <w:r>
              <w:rPr>
                <w:rFonts w:ascii="Calibri" w:hAnsi="Calibri"/>
              </w:rPr>
              <w:t> </w:t>
            </w:r>
            <w:r>
              <w:rPr>
                <w:rFonts w:ascii="Calibri" w:hAnsi="Calibri"/>
              </w:rPr>
              <w:t>%</w:t>
            </w:r>
            <w:r>
              <w:rPr>
                <w:rFonts w:ascii="Calibri" w:hAnsi="Calibri"/>
                <w:vertAlign w:val="superscript"/>
              </w:rPr>
              <w:t>h</w:t>
            </w:r>
          </w:p>
        </w:tc>
        <w:tc>
          <w:tcPr>
            <w:tcW w:w="875" w:type="dxa"/>
            <w:tcBorders>
              <w:top w:val="dotted" w:sz="2" w:space="0" w:color="000000"/>
              <w:left w:val="dotted" w:sz="2" w:space="0" w:color="000000"/>
            </w:tcBorders>
            <w:vAlign w:val="center"/>
          </w:tcPr>
          <w:p w14:paraId="37A56136"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8" w:type="dxa"/>
            <w:tcBorders>
              <w:top w:val="dotted" w:sz="2" w:space="0" w:color="000000"/>
            </w:tcBorders>
            <w:vAlign w:val="center"/>
          </w:tcPr>
          <w:p w14:paraId="5E8F3220"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4" w:type="dxa"/>
            <w:tcBorders>
              <w:top w:val="dotted" w:sz="2" w:space="0" w:color="000000"/>
              <w:right w:val="dotted" w:sz="2" w:space="0" w:color="000000"/>
            </w:tcBorders>
            <w:vAlign w:val="center"/>
          </w:tcPr>
          <w:p w14:paraId="3682E9D7" w14:textId="77777777" w:rsidR="00AC166E" w:rsidRDefault="008122E3">
            <w:pPr>
              <w:pStyle w:val="Contenidodelatabla"/>
              <w:widowControl w:val="0"/>
              <w:spacing w:line="276" w:lineRule="auto"/>
              <w:jc w:val="center"/>
              <w:rPr>
                <w:rFonts w:ascii="Calibri" w:hAnsi="Calibri"/>
              </w:rPr>
            </w:pPr>
            <w:r>
              <w:rPr>
                <w:rFonts w:ascii="Calibri" w:hAnsi="Calibri"/>
              </w:rPr>
              <w:t>8 </w:t>
            </w:r>
            <w:r>
              <w:rPr>
                <w:rFonts w:ascii="Calibri" w:hAnsi="Calibri"/>
              </w:rPr>
              <w:t>%</w:t>
            </w:r>
            <w:r>
              <w:rPr>
                <w:rFonts w:ascii="Calibri" w:hAnsi="Calibri"/>
                <w:vertAlign w:val="superscript"/>
              </w:rPr>
              <w:t>h</w:t>
            </w:r>
          </w:p>
        </w:tc>
        <w:tc>
          <w:tcPr>
            <w:tcW w:w="878" w:type="dxa"/>
            <w:tcBorders>
              <w:top w:val="dotted" w:sz="2" w:space="0" w:color="000000"/>
              <w:left w:val="dotted" w:sz="2" w:space="0" w:color="000000"/>
            </w:tcBorders>
            <w:vAlign w:val="center"/>
          </w:tcPr>
          <w:p w14:paraId="5751AC61" w14:textId="77777777" w:rsidR="00AC166E" w:rsidRDefault="008122E3">
            <w:pPr>
              <w:pStyle w:val="Contenidodelatabla"/>
              <w:widowControl w:val="0"/>
              <w:spacing w:line="276" w:lineRule="auto"/>
              <w:jc w:val="center"/>
              <w:rPr>
                <w:rFonts w:ascii="Calibri" w:hAnsi="Calibri"/>
              </w:rPr>
            </w:pPr>
            <w:r>
              <w:rPr>
                <w:rFonts w:ascii="Calibri" w:hAnsi="Calibri"/>
              </w:rPr>
              <w:t>3</w:t>
            </w:r>
            <w:r>
              <w:rPr>
                <w:rFonts w:ascii="Calibri" w:hAnsi="Calibri"/>
              </w:rPr>
              <w:t>2</w:t>
            </w:r>
            <w:r>
              <w:rPr>
                <w:rFonts w:ascii="Calibri" w:hAnsi="Calibri"/>
              </w:rPr>
              <w:t> </w:t>
            </w:r>
            <w:r>
              <w:rPr>
                <w:rFonts w:ascii="Calibri" w:hAnsi="Calibri"/>
              </w:rPr>
              <w:t>%</w:t>
            </w:r>
          </w:p>
        </w:tc>
        <w:tc>
          <w:tcPr>
            <w:tcW w:w="874" w:type="dxa"/>
            <w:tcBorders>
              <w:top w:val="dotted" w:sz="2" w:space="0" w:color="000000"/>
            </w:tcBorders>
            <w:vAlign w:val="center"/>
          </w:tcPr>
          <w:p w14:paraId="734EE5D1" w14:textId="77777777" w:rsidR="00AC166E" w:rsidRDefault="008122E3">
            <w:pPr>
              <w:pStyle w:val="Contenidodelatabla"/>
              <w:widowControl w:val="0"/>
              <w:spacing w:line="276" w:lineRule="auto"/>
              <w:jc w:val="center"/>
              <w:rPr>
                <w:rFonts w:ascii="Calibri" w:hAnsi="Calibri"/>
              </w:rPr>
            </w:pPr>
            <w:r>
              <w:rPr>
                <w:rFonts w:ascii="Calibri" w:hAnsi="Calibri"/>
              </w:rPr>
              <w:t>51 </w:t>
            </w:r>
            <w:r>
              <w:rPr>
                <w:rFonts w:ascii="Calibri" w:hAnsi="Calibri"/>
              </w:rPr>
              <w:t>%</w:t>
            </w:r>
          </w:p>
        </w:tc>
        <w:tc>
          <w:tcPr>
            <w:tcW w:w="881" w:type="dxa"/>
            <w:tcBorders>
              <w:top w:val="dotted" w:sz="2" w:space="0" w:color="000000"/>
            </w:tcBorders>
            <w:shd w:val="clear" w:color="auto" w:fill="FFF5CE"/>
            <w:vAlign w:val="center"/>
          </w:tcPr>
          <w:p w14:paraId="34D3884D" w14:textId="77777777" w:rsidR="00AC166E" w:rsidRDefault="008122E3">
            <w:pPr>
              <w:pStyle w:val="Contenidodelatabla"/>
              <w:widowControl w:val="0"/>
              <w:spacing w:line="276" w:lineRule="auto"/>
              <w:jc w:val="center"/>
              <w:rPr>
                <w:rFonts w:ascii="Calibri" w:hAnsi="Calibri"/>
              </w:rPr>
            </w:pPr>
            <w:r>
              <w:rPr>
                <w:rFonts w:ascii="Calibri" w:hAnsi="Calibri"/>
              </w:rPr>
              <w:t>3 </w:t>
            </w:r>
            <w:r>
              <w:rPr>
                <w:rFonts w:ascii="Calibri" w:hAnsi="Calibri"/>
              </w:rPr>
              <w:t>%</w:t>
            </w:r>
          </w:p>
        </w:tc>
      </w:tr>
      <w:tr w:rsidR="00AC166E" w14:paraId="7393B500" w14:textId="77777777">
        <w:tc>
          <w:tcPr>
            <w:tcW w:w="908" w:type="dxa"/>
          </w:tcPr>
          <w:p w14:paraId="2B4F693E" w14:textId="77777777" w:rsidR="00AC166E" w:rsidRDefault="00AC166E">
            <w:pPr>
              <w:pStyle w:val="Contenidodelatabla"/>
              <w:widowControl w:val="0"/>
              <w:spacing w:line="276" w:lineRule="auto"/>
              <w:rPr>
                <w:rFonts w:ascii="Calibri" w:hAnsi="Calibri"/>
                <w:b/>
                <w:bCs/>
              </w:rPr>
            </w:pPr>
          </w:p>
        </w:tc>
        <w:tc>
          <w:tcPr>
            <w:tcW w:w="842" w:type="dxa"/>
            <w:tcBorders>
              <w:right w:val="dotted" w:sz="2" w:space="0" w:color="000000"/>
            </w:tcBorders>
          </w:tcPr>
          <w:p w14:paraId="2085313D" w14:textId="77777777" w:rsidR="00AC166E" w:rsidRDefault="008122E3">
            <w:pPr>
              <w:pStyle w:val="Contenidodelatabla"/>
              <w:widowControl w:val="0"/>
              <w:spacing w:line="276" w:lineRule="auto"/>
              <w:rPr>
                <w:rFonts w:ascii="Calibri" w:hAnsi="Calibri"/>
              </w:rPr>
            </w:pPr>
            <w:r>
              <w:rPr>
                <w:rFonts w:ascii="Calibri" w:hAnsi="Calibri"/>
              </w:rPr>
              <w:t>N=163</w:t>
            </w:r>
            <w:r>
              <w:rPr>
                <w:rFonts w:ascii="Calibri" w:hAnsi="Calibri"/>
                <w:vertAlign w:val="superscript"/>
              </w:rPr>
              <w:t>b</w:t>
            </w:r>
          </w:p>
        </w:tc>
        <w:tc>
          <w:tcPr>
            <w:tcW w:w="879" w:type="dxa"/>
            <w:tcBorders>
              <w:left w:val="dotted" w:sz="2" w:space="0" w:color="000000"/>
            </w:tcBorders>
            <w:vAlign w:val="center"/>
          </w:tcPr>
          <w:p w14:paraId="30BEB01A" w14:textId="77777777" w:rsidR="00AC166E" w:rsidRDefault="008122E3">
            <w:pPr>
              <w:pStyle w:val="Contenidodelatabla"/>
              <w:widowControl w:val="0"/>
              <w:spacing w:line="276" w:lineRule="auto"/>
              <w:jc w:val="center"/>
              <w:rPr>
                <w:rFonts w:ascii="Calibri" w:hAnsi="Calibri"/>
              </w:rPr>
            </w:pPr>
            <w:r>
              <w:rPr>
                <w:rFonts w:ascii="Calibri" w:hAnsi="Calibri"/>
              </w:rPr>
              <w:t>n/a</w:t>
            </w:r>
            <w:r>
              <w:rPr>
                <w:rFonts w:ascii="Calibri" w:hAnsi="Calibri"/>
                <w:vertAlign w:val="superscript"/>
              </w:rPr>
              <w:t>i</w:t>
            </w:r>
          </w:p>
        </w:tc>
        <w:tc>
          <w:tcPr>
            <w:tcW w:w="873" w:type="dxa"/>
            <w:vAlign w:val="center"/>
          </w:tcPr>
          <w:p w14:paraId="1E769F1A" w14:textId="77777777" w:rsidR="00AC166E" w:rsidRDefault="008122E3">
            <w:pPr>
              <w:pStyle w:val="Contenidodelatabla"/>
              <w:widowControl w:val="0"/>
              <w:spacing w:line="276" w:lineRule="auto"/>
              <w:jc w:val="center"/>
              <w:rPr>
                <w:rFonts w:ascii="Calibri" w:hAnsi="Calibri"/>
              </w:rPr>
            </w:pPr>
            <w:r>
              <w:rPr>
                <w:rFonts w:ascii="Calibri" w:hAnsi="Calibri"/>
              </w:rPr>
              <w:t>2</w:t>
            </w:r>
            <w:r>
              <w:rPr>
                <w:rFonts w:ascii="Calibri" w:hAnsi="Calibri"/>
              </w:rPr>
              <w:t> %</w:t>
            </w:r>
          </w:p>
        </w:tc>
        <w:tc>
          <w:tcPr>
            <w:tcW w:w="878" w:type="dxa"/>
            <w:tcBorders>
              <w:right w:val="dotted" w:sz="2" w:space="0" w:color="000000"/>
            </w:tcBorders>
            <w:vAlign w:val="center"/>
          </w:tcPr>
          <w:p w14:paraId="47C27120" w14:textId="77777777" w:rsidR="00AC166E" w:rsidRDefault="008122E3">
            <w:pPr>
              <w:pStyle w:val="Contenidodelatabla"/>
              <w:widowControl w:val="0"/>
              <w:spacing w:line="276" w:lineRule="auto"/>
              <w:jc w:val="center"/>
              <w:rPr>
                <w:rFonts w:ascii="Calibri" w:hAnsi="Calibri"/>
              </w:rPr>
            </w:pPr>
            <w:r>
              <w:rPr>
                <w:rFonts w:ascii="Calibri" w:hAnsi="Calibri"/>
              </w:rPr>
              <w:t>n/a</w:t>
            </w:r>
            <w:r>
              <w:rPr>
                <w:rFonts w:ascii="Calibri" w:hAnsi="Calibri"/>
                <w:vertAlign w:val="superscript"/>
              </w:rPr>
              <w:t>i</w:t>
            </w:r>
          </w:p>
        </w:tc>
        <w:tc>
          <w:tcPr>
            <w:tcW w:w="875" w:type="dxa"/>
            <w:tcBorders>
              <w:left w:val="dotted" w:sz="2" w:space="0" w:color="000000"/>
            </w:tcBorders>
            <w:vAlign w:val="center"/>
          </w:tcPr>
          <w:p w14:paraId="097AB9D0"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8" w:type="dxa"/>
            <w:vAlign w:val="center"/>
          </w:tcPr>
          <w:p w14:paraId="4437043A"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4" w:type="dxa"/>
            <w:tcBorders>
              <w:right w:val="dotted" w:sz="2" w:space="0" w:color="000000"/>
            </w:tcBorders>
            <w:vAlign w:val="center"/>
          </w:tcPr>
          <w:p w14:paraId="0DAA1099" w14:textId="77777777" w:rsidR="00AC166E" w:rsidRDefault="008122E3">
            <w:pPr>
              <w:pStyle w:val="Contenidodelatabla"/>
              <w:widowControl w:val="0"/>
              <w:spacing w:line="276" w:lineRule="auto"/>
              <w:jc w:val="center"/>
              <w:rPr>
                <w:rFonts w:ascii="Calibri" w:hAnsi="Calibri"/>
              </w:rPr>
            </w:pPr>
            <w:r>
              <w:rPr>
                <w:rFonts w:ascii="Calibri" w:hAnsi="Calibri"/>
              </w:rPr>
              <w:t>7</w:t>
            </w:r>
            <w:r>
              <w:rPr>
                <w:rFonts w:ascii="Calibri" w:hAnsi="Calibri"/>
              </w:rPr>
              <w:t> %</w:t>
            </w:r>
            <w:r>
              <w:rPr>
                <w:rFonts w:ascii="Calibri" w:hAnsi="Calibri"/>
                <w:vertAlign w:val="superscript"/>
              </w:rPr>
              <w:t>h</w:t>
            </w:r>
          </w:p>
        </w:tc>
        <w:tc>
          <w:tcPr>
            <w:tcW w:w="878" w:type="dxa"/>
            <w:tcBorders>
              <w:left w:val="dotted" w:sz="2" w:space="0" w:color="000000"/>
            </w:tcBorders>
            <w:vAlign w:val="center"/>
          </w:tcPr>
          <w:p w14:paraId="504B63CB" w14:textId="77777777" w:rsidR="00AC166E" w:rsidRDefault="008122E3">
            <w:pPr>
              <w:pStyle w:val="Contenidodelatabla"/>
              <w:widowControl w:val="0"/>
              <w:spacing w:line="276" w:lineRule="auto"/>
              <w:jc w:val="center"/>
              <w:rPr>
                <w:rFonts w:ascii="Calibri" w:hAnsi="Calibri"/>
              </w:rPr>
            </w:pPr>
            <w:r>
              <w:rPr>
                <w:rFonts w:ascii="Calibri" w:hAnsi="Calibri"/>
              </w:rPr>
              <w:t>61</w:t>
            </w:r>
            <w:r>
              <w:rPr>
                <w:rFonts w:ascii="Calibri" w:hAnsi="Calibri"/>
              </w:rPr>
              <w:t> %</w:t>
            </w:r>
            <w:proofErr w:type="spellStart"/>
            <w:r>
              <w:rPr>
                <w:rFonts w:ascii="Calibri" w:hAnsi="Calibri"/>
                <w:vertAlign w:val="superscript"/>
              </w:rPr>
              <w:t>i</w:t>
            </w:r>
            <w:proofErr w:type="spellEnd"/>
          </w:p>
        </w:tc>
        <w:tc>
          <w:tcPr>
            <w:tcW w:w="874" w:type="dxa"/>
            <w:vAlign w:val="center"/>
          </w:tcPr>
          <w:p w14:paraId="77405502" w14:textId="77777777" w:rsidR="00AC166E" w:rsidRDefault="008122E3">
            <w:pPr>
              <w:pStyle w:val="Contenidodelatabla"/>
              <w:widowControl w:val="0"/>
              <w:spacing w:line="276" w:lineRule="auto"/>
              <w:jc w:val="center"/>
              <w:rPr>
                <w:rFonts w:ascii="Calibri" w:hAnsi="Calibri"/>
              </w:rPr>
            </w:pPr>
            <w:r>
              <w:rPr>
                <w:rFonts w:ascii="Calibri" w:hAnsi="Calibri"/>
              </w:rPr>
              <w:t>29</w:t>
            </w:r>
            <w:r>
              <w:rPr>
                <w:rFonts w:ascii="Calibri" w:hAnsi="Calibri"/>
              </w:rPr>
              <w:t> %</w:t>
            </w:r>
          </w:p>
        </w:tc>
        <w:tc>
          <w:tcPr>
            <w:tcW w:w="881" w:type="dxa"/>
            <w:shd w:val="clear" w:color="auto" w:fill="FFF5CE"/>
            <w:vAlign w:val="center"/>
          </w:tcPr>
          <w:p w14:paraId="7A0A2E00" w14:textId="77777777" w:rsidR="00AC166E" w:rsidRDefault="008122E3">
            <w:pPr>
              <w:pStyle w:val="Contenidodelatabla"/>
              <w:widowControl w:val="0"/>
              <w:spacing w:line="276" w:lineRule="auto"/>
              <w:jc w:val="center"/>
              <w:rPr>
                <w:rFonts w:ascii="Calibri" w:hAnsi="Calibri"/>
              </w:rPr>
            </w:pPr>
            <w:r>
              <w:rPr>
                <w:rFonts w:ascii="Calibri" w:hAnsi="Calibri"/>
              </w:rPr>
              <w:t>1</w:t>
            </w:r>
            <w:r>
              <w:rPr>
                <w:rFonts w:ascii="Calibri" w:hAnsi="Calibri"/>
              </w:rPr>
              <w:t> %</w:t>
            </w:r>
          </w:p>
        </w:tc>
      </w:tr>
      <w:tr w:rsidR="00AC166E" w14:paraId="3035B7EC" w14:textId="77777777">
        <w:tc>
          <w:tcPr>
            <w:tcW w:w="908" w:type="dxa"/>
          </w:tcPr>
          <w:p w14:paraId="0493BCB6" w14:textId="77777777" w:rsidR="00AC166E" w:rsidRDefault="008122E3">
            <w:pPr>
              <w:pStyle w:val="Contenidodelatabla"/>
              <w:widowControl w:val="0"/>
              <w:spacing w:line="276" w:lineRule="auto"/>
              <w:rPr>
                <w:rFonts w:ascii="Calibri" w:hAnsi="Calibri"/>
                <w:b/>
                <w:bCs/>
              </w:rPr>
            </w:pPr>
            <w:r>
              <w:rPr>
                <w:rFonts w:ascii="Calibri" w:hAnsi="Calibri"/>
                <w:b/>
                <w:bCs/>
              </w:rPr>
              <w:t>Germany</w:t>
            </w:r>
          </w:p>
        </w:tc>
        <w:tc>
          <w:tcPr>
            <w:tcW w:w="842" w:type="dxa"/>
            <w:tcBorders>
              <w:right w:val="dotted" w:sz="2" w:space="0" w:color="000000"/>
            </w:tcBorders>
          </w:tcPr>
          <w:p w14:paraId="32BB4166" w14:textId="77777777" w:rsidR="00AC166E" w:rsidRDefault="008122E3">
            <w:pPr>
              <w:pStyle w:val="Contenidodelatabla"/>
              <w:widowControl w:val="0"/>
              <w:spacing w:line="276" w:lineRule="auto"/>
              <w:rPr>
                <w:rFonts w:ascii="Calibri" w:hAnsi="Calibri"/>
              </w:rPr>
            </w:pPr>
            <w:r>
              <w:rPr>
                <w:rFonts w:ascii="Calibri" w:hAnsi="Calibri"/>
              </w:rPr>
              <w:t>Opt-in</w:t>
            </w:r>
          </w:p>
          <w:p w14:paraId="54C8B122" w14:textId="77777777" w:rsidR="00AC166E" w:rsidRDefault="008122E3">
            <w:pPr>
              <w:pStyle w:val="Contenidodelatabla"/>
              <w:widowControl w:val="0"/>
              <w:spacing w:line="276" w:lineRule="auto"/>
              <w:rPr>
                <w:rFonts w:ascii="Calibri" w:hAnsi="Calibri"/>
              </w:rPr>
            </w:pPr>
            <w:r>
              <w:rPr>
                <w:rFonts w:ascii="Calibri" w:hAnsi="Calibri"/>
              </w:rPr>
              <w:t>N=1,399</w:t>
            </w:r>
            <w:r>
              <w:rPr>
                <w:rFonts w:ascii="Calibri" w:hAnsi="Calibri"/>
                <w:vertAlign w:val="superscript"/>
              </w:rPr>
              <w:t>c</w:t>
            </w:r>
          </w:p>
        </w:tc>
        <w:tc>
          <w:tcPr>
            <w:tcW w:w="879" w:type="dxa"/>
            <w:tcBorders>
              <w:left w:val="dotted" w:sz="2" w:space="0" w:color="000000"/>
            </w:tcBorders>
            <w:vAlign w:val="center"/>
          </w:tcPr>
          <w:p w14:paraId="32403F57"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3" w:type="dxa"/>
            <w:vAlign w:val="center"/>
          </w:tcPr>
          <w:p w14:paraId="65CACC36"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8" w:type="dxa"/>
            <w:tcBorders>
              <w:right w:val="dotted" w:sz="2" w:space="0" w:color="000000"/>
            </w:tcBorders>
            <w:vAlign w:val="center"/>
          </w:tcPr>
          <w:p w14:paraId="30092B21" w14:textId="77777777" w:rsidR="00AC166E" w:rsidRDefault="008122E3">
            <w:pPr>
              <w:pStyle w:val="Contenidodelatabla"/>
              <w:widowControl w:val="0"/>
              <w:spacing w:line="276" w:lineRule="auto"/>
              <w:jc w:val="center"/>
              <w:rPr>
                <w:rFonts w:ascii="Calibri" w:hAnsi="Calibri"/>
              </w:rPr>
            </w:pPr>
            <w:r>
              <w:rPr>
                <w:rFonts w:ascii="Calibri" w:hAnsi="Calibri"/>
              </w:rPr>
              <w:t>32</w:t>
            </w:r>
            <w:r>
              <w:rPr>
                <w:rFonts w:ascii="Calibri" w:hAnsi="Calibri"/>
              </w:rPr>
              <w:t> </w:t>
            </w:r>
            <w:r>
              <w:rPr>
                <w:rFonts w:ascii="Calibri" w:hAnsi="Calibri"/>
              </w:rPr>
              <w:t>%</w:t>
            </w:r>
            <w:r>
              <w:rPr>
                <w:rFonts w:ascii="Calibri" w:hAnsi="Calibri"/>
                <w:vertAlign w:val="superscript"/>
              </w:rPr>
              <w:t>j</w:t>
            </w:r>
          </w:p>
        </w:tc>
        <w:tc>
          <w:tcPr>
            <w:tcW w:w="875" w:type="dxa"/>
            <w:tcBorders>
              <w:left w:val="dotted" w:sz="2" w:space="0" w:color="000000"/>
            </w:tcBorders>
            <w:vAlign w:val="center"/>
          </w:tcPr>
          <w:p w14:paraId="6AC85FF6"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8" w:type="dxa"/>
            <w:vAlign w:val="center"/>
          </w:tcPr>
          <w:p w14:paraId="24164B71"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4" w:type="dxa"/>
            <w:tcBorders>
              <w:right w:val="dotted" w:sz="2" w:space="0" w:color="000000"/>
            </w:tcBorders>
            <w:vAlign w:val="center"/>
          </w:tcPr>
          <w:p w14:paraId="0658F742" w14:textId="77777777" w:rsidR="00AC166E" w:rsidRDefault="008122E3">
            <w:pPr>
              <w:pStyle w:val="Contenidodelatabla"/>
              <w:widowControl w:val="0"/>
              <w:spacing w:line="276" w:lineRule="auto"/>
              <w:jc w:val="center"/>
              <w:rPr>
                <w:rFonts w:ascii="Calibri" w:hAnsi="Calibri"/>
              </w:rPr>
            </w:pPr>
            <w:r>
              <w:rPr>
                <w:rFonts w:ascii="Calibri" w:hAnsi="Calibri"/>
              </w:rPr>
              <w:t>9 %</w:t>
            </w:r>
            <w:r>
              <w:rPr>
                <w:rFonts w:ascii="Calibri" w:hAnsi="Calibri"/>
                <w:vertAlign w:val="superscript"/>
              </w:rPr>
              <w:t>j</w:t>
            </w:r>
          </w:p>
        </w:tc>
        <w:tc>
          <w:tcPr>
            <w:tcW w:w="878" w:type="dxa"/>
            <w:tcBorders>
              <w:left w:val="dotted" w:sz="2" w:space="0" w:color="000000"/>
            </w:tcBorders>
            <w:vAlign w:val="center"/>
          </w:tcPr>
          <w:p w14:paraId="1E126436" w14:textId="77777777" w:rsidR="00AC166E" w:rsidRDefault="008122E3">
            <w:pPr>
              <w:pStyle w:val="Contenidodelatabla"/>
              <w:widowControl w:val="0"/>
              <w:spacing w:line="276" w:lineRule="auto"/>
              <w:jc w:val="center"/>
              <w:rPr>
                <w:rFonts w:ascii="Calibri" w:hAnsi="Calibri"/>
              </w:rPr>
            </w:pPr>
            <w:r>
              <w:rPr>
                <w:rFonts w:ascii="Calibri" w:hAnsi="Calibri"/>
              </w:rPr>
              <w:t>42</w:t>
            </w:r>
            <w:r>
              <w:rPr>
                <w:rFonts w:ascii="Calibri" w:hAnsi="Calibri"/>
              </w:rPr>
              <w:t> </w:t>
            </w:r>
            <w:r>
              <w:rPr>
                <w:rFonts w:ascii="Calibri" w:hAnsi="Calibri"/>
              </w:rPr>
              <w:t>%</w:t>
            </w:r>
          </w:p>
        </w:tc>
        <w:tc>
          <w:tcPr>
            <w:tcW w:w="874" w:type="dxa"/>
            <w:vAlign w:val="center"/>
          </w:tcPr>
          <w:p w14:paraId="429B3F2A" w14:textId="77777777" w:rsidR="00AC166E" w:rsidRDefault="008122E3">
            <w:pPr>
              <w:pStyle w:val="Contenidodelatabla"/>
              <w:widowControl w:val="0"/>
              <w:spacing w:line="276" w:lineRule="auto"/>
              <w:jc w:val="center"/>
              <w:rPr>
                <w:rFonts w:ascii="Calibri" w:hAnsi="Calibri"/>
              </w:rPr>
            </w:pPr>
            <w:r>
              <w:rPr>
                <w:rFonts w:ascii="Calibri" w:hAnsi="Calibri"/>
              </w:rPr>
              <w:t>16</w:t>
            </w:r>
            <w:r>
              <w:rPr>
                <w:rFonts w:ascii="Calibri" w:hAnsi="Calibri"/>
              </w:rPr>
              <w:t> </w:t>
            </w:r>
            <w:r>
              <w:rPr>
                <w:rFonts w:ascii="Calibri" w:hAnsi="Calibri"/>
              </w:rPr>
              <w:t>%</w:t>
            </w:r>
          </w:p>
        </w:tc>
        <w:tc>
          <w:tcPr>
            <w:tcW w:w="881" w:type="dxa"/>
            <w:shd w:val="clear" w:color="auto" w:fill="FFF5CE"/>
            <w:vAlign w:val="center"/>
          </w:tcPr>
          <w:p w14:paraId="58D2F60A" w14:textId="77777777" w:rsidR="00AC166E" w:rsidRDefault="008122E3">
            <w:pPr>
              <w:pStyle w:val="Contenidodelatabla"/>
              <w:widowControl w:val="0"/>
              <w:spacing w:line="276" w:lineRule="auto"/>
              <w:jc w:val="center"/>
              <w:rPr>
                <w:rFonts w:ascii="Calibri" w:hAnsi="Calibri"/>
              </w:rPr>
            </w:pPr>
            <w:r>
              <w:rPr>
                <w:rFonts w:ascii="Calibri" w:hAnsi="Calibri"/>
              </w:rPr>
              <w:t>2</w:t>
            </w:r>
            <w:r>
              <w:rPr>
                <w:rFonts w:ascii="Calibri" w:hAnsi="Calibri"/>
              </w:rPr>
              <w:t> </w:t>
            </w:r>
            <w:r>
              <w:rPr>
                <w:rFonts w:ascii="Calibri" w:hAnsi="Calibri"/>
              </w:rPr>
              <w:t>%</w:t>
            </w:r>
          </w:p>
        </w:tc>
      </w:tr>
      <w:tr w:rsidR="00AC166E" w14:paraId="2E8D2D3C" w14:textId="77777777">
        <w:tc>
          <w:tcPr>
            <w:tcW w:w="908" w:type="dxa"/>
          </w:tcPr>
          <w:p w14:paraId="17DDADDB" w14:textId="77777777" w:rsidR="00AC166E" w:rsidRDefault="008122E3">
            <w:pPr>
              <w:pStyle w:val="Contenidodelatabla"/>
              <w:widowControl w:val="0"/>
              <w:spacing w:line="276" w:lineRule="auto"/>
              <w:rPr>
                <w:rFonts w:ascii="Calibri" w:hAnsi="Calibri"/>
                <w:b/>
                <w:bCs/>
              </w:rPr>
            </w:pPr>
            <w:r>
              <w:rPr>
                <w:rFonts w:ascii="Calibri" w:hAnsi="Calibri"/>
                <w:b/>
                <w:bCs/>
              </w:rPr>
              <w:t>NL</w:t>
            </w:r>
          </w:p>
        </w:tc>
        <w:tc>
          <w:tcPr>
            <w:tcW w:w="842" w:type="dxa"/>
            <w:tcBorders>
              <w:right w:val="dotted" w:sz="2" w:space="0" w:color="000000"/>
            </w:tcBorders>
          </w:tcPr>
          <w:p w14:paraId="2E636B39" w14:textId="77777777" w:rsidR="00AC166E" w:rsidRDefault="008122E3">
            <w:pPr>
              <w:pStyle w:val="Contenidodelatabla"/>
              <w:widowControl w:val="0"/>
              <w:spacing w:line="276" w:lineRule="auto"/>
              <w:rPr>
                <w:rFonts w:ascii="Calibri" w:hAnsi="Calibri"/>
              </w:rPr>
            </w:pPr>
            <w:r>
              <w:rPr>
                <w:rFonts w:ascii="Calibri" w:hAnsi="Calibri"/>
              </w:rPr>
              <w:t>Opt-in*</w:t>
            </w:r>
          </w:p>
          <w:p w14:paraId="37153A2E" w14:textId="77777777" w:rsidR="00AC166E" w:rsidRDefault="008122E3">
            <w:pPr>
              <w:pStyle w:val="Contenidodelatabla"/>
              <w:widowControl w:val="0"/>
              <w:spacing w:line="276" w:lineRule="auto"/>
              <w:rPr>
                <w:rFonts w:ascii="Calibri" w:hAnsi="Calibri"/>
              </w:rPr>
            </w:pPr>
            <w:r>
              <w:rPr>
                <w:rFonts w:ascii="Calibri" w:hAnsi="Calibri"/>
              </w:rPr>
              <w:t>N=1,039</w:t>
            </w:r>
            <w:r>
              <w:rPr>
                <w:rFonts w:ascii="Calibri" w:hAnsi="Calibri"/>
                <w:vertAlign w:val="superscript"/>
              </w:rPr>
              <w:t>d</w:t>
            </w:r>
          </w:p>
        </w:tc>
        <w:tc>
          <w:tcPr>
            <w:tcW w:w="879" w:type="dxa"/>
            <w:tcBorders>
              <w:left w:val="dotted" w:sz="2" w:space="0" w:color="000000"/>
            </w:tcBorders>
            <w:vAlign w:val="center"/>
          </w:tcPr>
          <w:p w14:paraId="4465D3B2" w14:textId="77777777" w:rsidR="00AC166E" w:rsidRDefault="008122E3">
            <w:pPr>
              <w:pStyle w:val="Contenidodelatabla"/>
              <w:widowControl w:val="0"/>
              <w:spacing w:line="276" w:lineRule="auto"/>
              <w:jc w:val="center"/>
              <w:rPr>
                <w:rFonts w:ascii="Calibri" w:hAnsi="Calibri"/>
              </w:rPr>
            </w:pPr>
            <w:r>
              <w:rPr>
                <w:rFonts w:ascii="Calibri" w:hAnsi="Calibri"/>
              </w:rPr>
              <w:t>19</w:t>
            </w:r>
            <w:r>
              <w:rPr>
                <w:rFonts w:ascii="Calibri" w:hAnsi="Calibri"/>
              </w:rPr>
              <w:t> </w:t>
            </w:r>
            <w:r>
              <w:rPr>
                <w:rFonts w:ascii="Calibri" w:hAnsi="Calibri"/>
              </w:rPr>
              <w:t>%</w:t>
            </w:r>
          </w:p>
        </w:tc>
        <w:tc>
          <w:tcPr>
            <w:tcW w:w="873" w:type="dxa"/>
            <w:vAlign w:val="center"/>
          </w:tcPr>
          <w:p w14:paraId="11773D77" w14:textId="77777777" w:rsidR="00AC166E" w:rsidRDefault="008122E3">
            <w:pPr>
              <w:pStyle w:val="Contenidodelatabla"/>
              <w:widowControl w:val="0"/>
              <w:spacing w:line="276" w:lineRule="auto"/>
              <w:jc w:val="center"/>
              <w:rPr>
                <w:rFonts w:ascii="Calibri" w:hAnsi="Calibri"/>
              </w:rPr>
            </w:pPr>
            <w:r>
              <w:rPr>
                <w:rFonts w:ascii="Calibri" w:hAnsi="Calibri"/>
              </w:rPr>
              <w:t>3</w:t>
            </w:r>
            <w:r>
              <w:rPr>
                <w:rFonts w:ascii="Calibri" w:hAnsi="Calibri"/>
              </w:rPr>
              <w:t> </w:t>
            </w:r>
            <w:r>
              <w:rPr>
                <w:rFonts w:ascii="Calibri" w:hAnsi="Calibri"/>
              </w:rPr>
              <w:t>%</w:t>
            </w:r>
          </w:p>
        </w:tc>
        <w:tc>
          <w:tcPr>
            <w:tcW w:w="878" w:type="dxa"/>
            <w:tcBorders>
              <w:right w:val="dotted" w:sz="2" w:space="0" w:color="000000"/>
            </w:tcBorders>
            <w:vAlign w:val="center"/>
          </w:tcPr>
          <w:p w14:paraId="267DC3FE" w14:textId="77777777" w:rsidR="00AC166E" w:rsidRDefault="008122E3">
            <w:pPr>
              <w:pStyle w:val="Contenidodelatabla"/>
              <w:widowControl w:val="0"/>
              <w:spacing w:line="276" w:lineRule="auto"/>
              <w:jc w:val="center"/>
              <w:rPr>
                <w:rFonts w:ascii="Calibri" w:hAnsi="Calibri"/>
              </w:rPr>
            </w:pPr>
            <w:r>
              <w:rPr>
                <w:rFonts w:ascii="Calibri" w:hAnsi="Calibri"/>
              </w:rPr>
              <w:t>0</w:t>
            </w:r>
            <w:r>
              <w:rPr>
                <w:rFonts w:ascii="Calibri" w:hAnsi="Calibri"/>
              </w:rPr>
              <w:t> </w:t>
            </w:r>
            <w:r>
              <w:rPr>
                <w:rFonts w:ascii="Calibri" w:hAnsi="Calibri"/>
              </w:rPr>
              <w:t>%</w:t>
            </w:r>
          </w:p>
        </w:tc>
        <w:tc>
          <w:tcPr>
            <w:tcW w:w="875" w:type="dxa"/>
            <w:tcBorders>
              <w:left w:val="dotted" w:sz="2" w:space="0" w:color="000000"/>
            </w:tcBorders>
            <w:vAlign w:val="center"/>
          </w:tcPr>
          <w:p w14:paraId="41D49EDF"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8" w:type="dxa"/>
            <w:vAlign w:val="center"/>
          </w:tcPr>
          <w:p w14:paraId="14DFA250" w14:textId="77777777" w:rsidR="00AC166E" w:rsidRDefault="008122E3">
            <w:pPr>
              <w:pStyle w:val="Contenidodelatabla"/>
              <w:widowControl w:val="0"/>
              <w:spacing w:line="276" w:lineRule="auto"/>
              <w:jc w:val="center"/>
              <w:rPr>
                <w:rFonts w:ascii="Calibri" w:hAnsi="Calibri"/>
              </w:rPr>
            </w:pPr>
            <w:r>
              <w:rPr>
                <w:rFonts w:ascii="Calibri" w:hAnsi="Calibri"/>
              </w:rPr>
              <w:t>0 %</w:t>
            </w:r>
          </w:p>
        </w:tc>
        <w:tc>
          <w:tcPr>
            <w:tcW w:w="874" w:type="dxa"/>
            <w:tcBorders>
              <w:right w:val="dotted" w:sz="2" w:space="0" w:color="000000"/>
            </w:tcBorders>
            <w:vAlign w:val="center"/>
          </w:tcPr>
          <w:p w14:paraId="62628D9C" w14:textId="77777777" w:rsidR="00AC166E" w:rsidRDefault="008122E3">
            <w:pPr>
              <w:pStyle w:val="Contenidodelatabla"/>
              <w:widowControl w:val="0"/>
              <w:spacing w:line="276" w:lineRule="auto"/>
              <w:jc w:val="center"/>
              <w:rPr>
                <w:rFonts w:ascii="Calibri" w:hAnsi="Calibri"/>
              </w:rPr>
            </w:pPr>
            <w:r>
              <w:rPr>
                <w:rFonts w:ascii="Calibri" w:hAnsi="Calibri"/>
              </w:rPr>
              <w:t>15 %</w:t>
            </w:r>
          </w:p>
        </w:tc>
        <w:tc>
          <w:tcPr>
            <w:tcW w:w="878" w:type="dxa"/>
            <w:tcBorders>
              <w:left w:val="dotted" w:sz="2" w:space="0" w:color="000000"/>
            </w:tcBorders>
            <w:vAlign w:val="center"/>
          </w:tcPr>
          <w:p w14:paraId="79DF7C80" w14:textId="77777777" w:rsidR="00AC166E" w:rsidRDefault="008122E3">
            <w:pPr>
              <w:pStyle w:val="Contenidodelatabla"/>
              <w:widowControl w:val="0"/>
              <w:spacing w:line="276" w:lineRule="auto"/>
              <w:jc w:val="center"/>
              <w:rPr>
                <w:rFonts w:ascii="Calibri" w:hAnsi="Calibri"/>
              </w:rPr>
            </w:pPr>
            <w:r>
              <w:rPr>
                <w:rFonts w:ascii="Calibri" w:hAnsi="Calibri"/>
              </w:rPr>
              <w:t>16</w:t>
            </w:r>
            <w:r>
              <w:rPr>
                <w:rFonts w:ascii="Calibri" w:hAnsi="Calibri"/>
              </w:rPr>
              <w:t> </w:t>
            </w:r>
            <w:r>
              <w:rPr>
                <w:rFonts w:ascii="Calibri" w:hAnsi="Calibri"/>
              </w:rPr>
              <w:t>%</w:t>
            </w:r>
          </w:p>
        </w:tc>
        <w:tc>
          <w:tcPr>
            <w:tcW w:w="874" w:type="dxa"/>
            <w:vAlign w:val="center"/>
          </w:tcPr>
          <w:p w14:paraId="0DB82ABF" w14:textId="77777777" w:rsidR="00AC166E" w:rsidRDefault="008122E3">
            <w:pPr>
              <w:pStyle w:val="Contenidodelatabla"/>
              <w:widowControl w:val="0"/>
              <w:spacing w:line="276" w:lineRule="auto"/>
              <w:jc w:val="center"/>
              <w:rPr>
                <w:rFonts w:ascii="Calibri" w:hAnsi="Calibri"/>
              </w:rPr>
            </w:pPr>
            <w:r>
              <w:rPr>
                <w:rFonts w:ascii="Calibri" w:hAnsi="Calibri"/>
              </w:rPr>
              <w:t>43</w:t>
            </w:r>
            <w:r>
              <w:rPr>
                <w:rFonts w:ascii="Calibri" w:hAnsi="Calibri"/>
              </w:rPr>
              <w:t> </w:t>
            </w:r>
            <w:r>
              <w:rPr>
                <w:rFonts w:ascii="Calibri" w:hAnsi="Calibri"/>
              </w:rPr>
              <w:t>%</w:t>
            </w:r>
          </w:p>
        </w:tc>
        <w:tc>
          <w:tcPr>
            <w:tcW w:w="881" w:type="dxa"/>
            <w:shd w:val="clear" w:color="auto" w:fill="FFF5CE"/>
            <w:vAlign w:val="center"/>
          </w:tcPr>
          <w:p w14:paraId="6D4C98C2" w14:textId="77777777" w:rsidR="00AC166E" w:rsidRDefault="008122E3">
            <w:pPr>
              <w:pStyle w:val="Contenidodelatabla"/>
              <w:widowControl w:val="0"/>
              <w:spacing w:line="276" w:lineRule="auto"/>
              <w:jc w:val="center"/>
              <w:rPr>
                <w:rFonts w:ascii="Calibri" w:hAnsi="Calibri"/>
              </w:rPr>
            </w:pPr>
            <w:r>
              <w:rPr>
                <w:rFonts w:ascii="Calibri" w:hAnsi="Calibri"/>
              </w:rPr>
              <w:t>4</w:t>
            </w:r>
            <w:r>
              <w:rPr>
                <w:rFonts w:ascii="Calibri" w:hAnsi="Calibri"/>
              </w:rPr>
              <w:t> </w:t>
            </w:r>
            <w:r>
              <w:rPr>
                <w:rFonts w:ascii="Calibri" w:hAnsi="Calibri"/>
              </w:rPr>
              <w:t>%</w:t>
            </w:r>
          </w:p>
        </w:tc>
      </w:tr>
      <w:tr w:rsidR="00AC166E" w14:paraId="2FE2954D" w14:textId="77777777">
        <w:tc>
          <w:tcPr>
            <w:tcW w:w="908" w:type="dxa"/>
          </w:tcPr>
          <w:p w14:paraId="790D19DB" w14:textId="77777777" w:rsidR="00AC166E" w:rsidRDefault="008122E3">
            <w:pPr>
              <w:pStyle w:val="Contenidodelatabla"/>
              <w:widowControl w:val="0"/>
              <w:spacing w:line="276" w:lineRule="auto"/>
              <w:rPr>
                <w:rFonts w:ascii="Calibri" w:hAnsi="Calibri"/>
                <w:b/>
                <w:bCs/>
              </w:rPr>
            </w:pPr>
            <w:r>
              <w:rPr>
                <w:rFonts w:ascii="Calibri" w:hAnsi="Calibri"/>
                <w:b/>
                <w:bCs/>
              </w:rPr>
              <w:t>Sweden</w:t>
            </w:r>
          </w:p>
        </w:tc>
        <w:tc>
          <w:tcPr>
            <w:tcW w:w="842" w:type="dxa"/>
            <w:tcBorders>
              <w:right w:val="dotted" w:sz="2" w:space="0" w:color="000000"/>
            </w:tcBorders>
          </w:tcPr>
          <w:p w14:paraId="06A5D635" w14:textId="77777777" w:rsidR="00AC166E" w:rsidRDefault="008122E3">
            <w:pPr>
              <w:pStyle w:val="Contenidodelatabla"/>
              <w:widowControl w:val="0"/>
              <w:spacing w:line="276" w:lineRule="auto"/>
              <w:rPr>
                <w:rFonts w:ascii="Calibri" w:hAnsi="Calibri"/>
              </w:rPr>
            </w:pPr>
            <w:r>
              <w:rPr>
                <w:rFonts w:ascii="Calibri" w:hAnsi="Calibri"/>
              </w:rPr>
              <w:t>Opt-out</w:t>
            </w:r>
          </w:p>
          <w:p w14:paraId="2317553F" w14:textId="77777777" w:rsidR="00AC166E" w:rsidRDefault="008122E3">
            <w:pPr>
              <w:pStyle w:val="Contenidodelatabla"/>
              <w:widowControl w:val="0"/>
              <w:spacing w:line="276" w:lineRule="auto"/>
              <w:rPr>
                <w:rFonts w:ascii="Calibri" w:hAnsi="Calibri"/>
              </w:rPr>
            </w:pPr>
            <w:r>
              <w:rPr>
                <w:rFonts w:ascii="Calibri" w:hAnsi="Calibri"/>
              </w:rPr>
              <w:t>N=1,275</w:t>
            </w:r>
            <w:r>
              <w:rPr>
                <w:rFonts w:ascii="Calibri" w:hAnsi="Calibri"/>
                <w:vertAlign w:val="superscript"/>
              </w:rPr>
              <w:t>e</w:t>
            </w:r>
          </w:p>
        </w:tc>
        <w:tc>
          <w:tcPr>
            <w:tcW w:w="879" w:type="dxa"/>
            <w:tcBorders>
              <w:left w:val="dotted" w:sz="2" w:space="0" w:color="000000"/>
            </w:tcBorders>
            <w:vAlign w:val="center"/>
          </w:tcPr>
          <w:p w14:paraId="512E08E2"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3" w:type="dxa"/>
            <w:vAlign w:val="center"/>
          </w:tcPr>
          <w:p w14:paraId="6E17AC60" w14:textId="77777777" w:rsidR="00AC166E" w:rsidRDefault="008122E3">
            <w:pPr>
              <w:pStyle w:val="Contenidodelatabla"/>
              <w:widowControl w:val="0"/>
              <w:spacing w:line="276" w:lineRule="auto"/>
              <w:jc w:val="center"/>
              <w:rPr>
                <w:rFonts w:ascii="Calibri" w:hAnsi="Calibri"/>
              </w:rPr>
            </w:pPr>
            <w:r>
              <w:rPr>
                <w:rFonts w:ascii="Calibri" w:hAnsi="Calibri"/>
              </w:rPr>
              <w:t>0</w:t>
            </w:r>
            <w:r>
              <w:rPr>
                <w:rFonts w:ascii="Calibri" w:hAnsi="Calibri"/>
              </w:rPr>
              <w:t> </w:t>
            </w:r>
            <w:r>
              <w:rPr>
                <w:rFonts w:ascii="Calibri" w:hAnsi="Calibri"/>
              </w:rPr>
              <w:t>%</w:t>
            </w:r>
          </w:p>
        </w:tc>
        <w:tc>
          <w:tcPr>
            <w:tcW w:w="878" w:type="dxa"/>
            <w:tcBorders>
              <w:right w:val="dotted" w:sz="2" w:space="0" w:color="000000"/>
            </w:tcBorders>
            <w:vAlign w:val="center"/>
          </w:tcPr>
          <w:p w14:paraId="1D3CDCC2" w14:textId="77777777" w:rsidR="00AC166E" w:rsidRDefault="008122E3">
            <w:pPr>
              <w:pStyle w:val="Contenidodelatabla"/>
              <w:widowControl w:val="0"/>
              <w:spacing w:line="276" w:lineRule="auto"/>
              <w:jc w:val="center"/>
              <w:rPr>
                <w:rFonts w:ascii="Calibri" w:hAnsi="Calibri"/>
              </w:rPr>
            </w:pPr>
            <w:r>
              <w:rPr>
                <w:rFonts w:ascii="Calibri" w:hAnsi="Calibri"/>
              </w:rPr>
              <w:t>35</w:t>
            </w:r>
            <w:r>
              <w:rPr>
                <w:rFonts w:ascii="Calibri" w:hAnsi="Calibri"/>
              </w:rPr>
              <w:t> </w:t>
            </w:r>
            <w:r>
              <w:rPr>
                <w:rFonts w:ascii="Calibri" w:hAnsi="Calibri"/>
              </w:rPr>
              <w:t>%</w:t>
            </w:r>
            <w:r>
              <w:rPr>
                <w:rFonts w:ascii="Calibri" w:hAnsi="Calibri"/>
                <w:vertAlign w:val="superscript"/>
              </w:rPr>
              <w:t>h</w:t>
            </w:r>
          </w:p>
        </w:tc>
        <w:tc>
          <w:tcPr>
            <w:tcW w:w="875" w:type="dxa"/>
            <w:tcBorders>
              <w:left w:val="dotted" w:sz="2" w:space="0" w:color="000000"/>
            </w:tcBorders>
            <w:vAlign w:val="center"/>
          </w:tcPr>
          <w:p w14:paraId="42EDB7F2"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8" w:type="dxa"/>
            <w:vAlign w:val="center"/>
          </w:tcPr>
          <w:p w14:paraId="34B6A4F8"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4" w:type="dxa"/>
            <w:tcBorders>
              <w:right w:val="dotted" w:sz="2" w:space="0" w:color="000000"/>
            </w:tcBorders>
            <w:vAlign w:val="center"/>
          </w:tcPr>
          <w:p w14:paraId="5DE380B4" w14:textId="77777777" w:rsidR="00AC166E" w:rsidRDefault="008122E3">
            <w:pPr>
              <w:pStyle w:val="Contenidodelatabla"/>
              <w:widowControl w:val="0"/>
              <w:spacing w:line="276" w:lineRule="auto"/>
              <w:jc w:val="center"/>
              <w:rPr>
                <w:rFonts w:ascii="Calibri" w:hAnsi="Calibri"/>
              </w:rPr>
            </w:pPr>
            <w:r>
              <w:rPr>
                <w:rFonts w:ascii="Calibri" w:hAnsi="Calibri"/>
              </w:rPr>
              <w:t>14 %</w:t>
            </w:r>
            <w:r>
              <w:rPr>
                <w:rFonts w:ascii="Calibri" w:hAnsi="Calibri"/>
                <w:vertAlign w:val="superscript"/>
              </w:rPr>
              <w:t>h</w:t>
            </w:r>
          </w:p>
        </w:tc>
        <w:tc>
          <w:tcPr>
            <w:tcW w:w="878" w:type="dxa"/>
            <w:tcBorders>
              <w:left w:val="dotted" w:sz="2" w:space="0" w:color="000000"/>
            </w:tcBorders>
            <w:vAlign w:val="center"/>
          </w:tcPr>
          <w:p w14:paraId="7BCD6595" w14:textId="77777777" w:rsidR="00AC166E" w:rsidRDefault="008122E3">
            <w:pPr>
              <w:pStyle w:val="Contenidodelatabla"/>
              <w:widowControl w:val="0"/>
              <w:spacing w:line="276" w:lineRule="auto"/>
              <w:jc w:val="center"/>
              <w:rPr>
                <w:rFonts w:ascii="Calibri" w:hAnsi="Calibri"/>
              </w:rPr>
            </w:pPr>
            <w:r>
              <w:rPr>
                <w:rFonts w:ascii="Calibri" w:hAnsi="Calibri"/>
              </w:rPr>
              <w:t>36</w:t>
            </w:r>
            <w:r>
              <w:rPr>
                <w:rFonts w:ascii="Calibri" w:hAnsi="Calibri"/>
              </w:rPr>
              <w:t> </w:t>
            </w:r>
            <w:r>
              <w:rPr>
                <w:rFonts w:ascii="Calibri" w:hAnsi="Calibri"/>
              </w:rPr>
              <w:t>%</w:t>
            </w:r>
          </w:p>
        </w:tc>
        <w:tc>
          <w:tcPr>
            <w:tcW w:w="874" w:type="dxa"/>
            <w:vAlign w:val="center"/>
          </w:tcPr>
          <w:p w14:paraId="11BF106C" w14:textId="77777777" w:rsidR="00AC166E" w:rsidRDefault="008122E3">
            <w:pPr>
              <w:pStyle w:val="Contenidodelatabla"/>
              <w:widowControl w:val="0"/>
              <w:spacing w:line="276" w:lineRule="auto"/>
              <w:jc w:val="center"/>
              <w:rPr>
                <w:rFonts w:ascii="Calibri" w:hAnsi="Calibri"/>
              </w:rPr>
            </w:pPr>
            <w:r>
              <w:rPr>
                <w:rFonts w:ascii="Calibri" w:hAnsi="Calibri"/>
              </w:rPr>
              <w:t>14</w:t>
            </w:r>
            <w:r>
              <w:rPr>
                <w:rFonts w:ascii="Calibri" w:hAnsi="Calibri"/>
              </w:rPr>
              <w:t> </w:t>
            </w:r>
            <w:r>
              <w:rPr>
                <w:rFonts w:ascii="Calibri" w:hAnsi="Calibri"/>
              </w:rPr>
              <w:t>%</w:t>
            </w:r>
          </w:p>
        </w:tc>
        <w:tc>
          <w:tcPr>
            <w:tcW w:w="881" w:type="dxa"/>
            <w:shd w:val="clear" w:color="auto" w:fill="FFF5CE"/>
            <w:vAlign w:val="center"/>
          </w:tcPr>
          <w:p w14:paraId="69E5CC7C" w14:textId="77777777" w:rsidR="00AC166E" w:rsidRDefault="008122E3">
            <w:pPr>
              <w:pStyle w:val="Contenidodelatabla"/>
              <w:widowControl w:val="0"/>
              <w:spacing w:line="276" w:lineRule="auto"/>
              <w:jc w:val="center"/>
              <w:rPr>
                <w:rFonts w:ascii="Calibri" w:hAnsi="Calibri"/>
              </w:rPr>
            </w:pPr>
            <w:r>
              <w:rPr>
                <w:rFonts w:ascii="Calibri" w:hAnsi="Calibri"/>
              </w:rPr>
              <w:t>2</w:t>
            </w:r>
            <w:r>
              <w:rPr>
                <w:rFonts w:ascii="Calibri" w:hAnsi="Calibri"/>
              </w:rPr>
              <w:t> </w:t>
            </w:r>
            <w:r>
              <w:rPr>
                <w:rFonts w:ascii="Calibri" w:hAnsi="Calibri"/>
              </w:rPr>
              <w:t>%</w:t>
            </w:r>
          </w:p>
        </w:tc>
      </w:tr>
      <w:tr w:rsidR="00AC166E" w14:paraId="583474B9" w14:textId="77777777">
        <w:tc>
          <w:tcPr>
            <w:tcW w:w="908" w:type="dxa"/>
          </w:tcPr>
          <w:p w14:paraId="2286862A" w14:textId="77777777" w:rsidR="00AC166E" w:rsidRDefault="008122E3">
            <w:pPr>
              <w:pStyle w:val="Contenidodelatabla"/>
              <w:widowControl w:val="0"/>
              <w:spacing w:line="276" w:lineRule="auto"/>
              <w:rPr>
                <w:rFonts w:ascii="Calibri" w:hAnsi="Calibri"/>
                <w:b/>
                <w:bCs/>
              </w:rPr>
            </w:pPr>
            <w:r>
              <w:rPr>
                <w:rFonts w:ascii="Calibri" w:hAnsi="Calibri"/>
                <w:b/>
                <w:bCs/>
              </w:rPr>
              <w:t>UK</w:t>
            </w:r>
          </w:p>
        </w:tc>
        <w:tc>
          <w:tcPr>
            <w:tcW w:w="842" w:type="dxa"/>
            <w:tcBorders>
              <w:right w:val="dotted" w:sz="2" w:space="0" w:color="000000"/>
            </w:tcBorders>
          </w:tcPr>
          <w:p w14:paraId="1DD5AEE9" w14:textId="77777777" w:rsidR="00AC166E" w:rsidRDefault="008122E3">
            <w:pPr>
              <w:pStyle w:val="Contenidodelatabla"/>
              <w:widowControl w:val="0"/>
              <w:spacing w:line="276" w:lineRule="auto"/>
              <w:rPr>
                <w:rFonts w:ascii="Calibri" w:hAnsi="Calibri"/>
              </w:rPr>
            </w:pPr>
            <w:r>
              <w:rPr>
                <w:rFonts w:ascii="Calibri" w:hAnsi="Calibri"/>
              </w:rPr>
              <w:t>Opt-in*</w:t>
            </w:r>
          </w:p>
          <w:p w14:paraId="29A3D638" w14:textId="77777777" w:rsidR="00AC166E" w:rsidRDefault="008122E3">
            <w:pPr>
              <w:pStyle w:val="Contenidodelatabla"/>
              <w:widowControl w:val="0"/>
              <w:spacing w:line="276" w:lineRule="auto"/>
              <w:rPr>
                <w:rFonts w:ascii="Calibri" w:hAnsi="Calibri"/>
              </w:rPr>
            </w:pPr>
            <w:r>
              <w:rPr>
                <w:rFonts w:ascii="Calibri" w:hAnsi="Calibri"/>
              </w:rPr>
              <w:t>N=1,542</w:t>
            </w:r>
            <w:r>
              <w:rPr>
                <w:rFonts w:ascii="Calibri" w:hAnsi="Calibri"/>
                <w:vertAlign w:val="superscript"/>
              </w:rPr>
              <w:t>f</w:t>
            </w:r>
          </w:p>
        </w:tc>
        <w:tc>
          <w:tcPr>
            <w:tcW w:w="879" w:type="dxa"/>
            <w:tcBorders>
              <w:left w:val="dotted" w:sz="2" w:space="0" w:color="000000"/>
            </w:tcBorders>
            <w:vAlign w:val="center"/>
          </w:tcPr>
          <w:p w14:paraId="0D5DF751" w14:textId="77777777" w:rsidR="00AC166E" w:rsidRDefault="008122E3">
            <w:pPr>
              <w:pStyle w:val="Contenidodelatabla"/>
              <w:widowControl w:val="0"/>
              <w:spacing w:line="276" w:lineRule="auto"/>
              <w:jc w:val="center"/>
              <w:rPr>
                <w:rFonts w:ascii="Calibri" w:hAnsi="Calibri"/>
              </w:rPr>
            </w:pPr>
            <w:r>
              <w:rPr>
                <w:rFonts w:ascii="Calibri" w:hAnsi="Calibri"/>
              </w:rPr>
              <w:t>37</w:t>
            </w:r>
            <w:r>
              <w:rPr>
                <w:rFonts w:ascii="Calibri" w:hAnsi="Calibri"/>
              </w:rPr>
              <w:t> </w:t>
            </w:r>
            <w:r>
              <w:rPr>
                <w:rFonts w:ascii="Calibri" w:hAnsi="Calibri"/>
              </w:rPr>
              <w:t>%</w:t>
            </w:r>
          </w:p>
        </w:tc>
        <w:tc>
          <w:tcPr>
            <w:tcW w:w="873" w:type="dxa"/>
            <w:vAlign w:val="center"/>
          </w:tcPr>
          <w:p w14:paraId="68E59126" w14:textId="77777777" w:rsidR="00AC166E" w:rsidRDefault="008122E3">
            <w:pPr>
              <w:pStyle w:val="Contenidodelatabla"/>
              <w:widowControl w:val="0"/>
              <w:spacing w:line="276" w:lineRule="auto"/>
              <w:jc w:val="center"/>
              <w:rPr>
                <w:rFonts w:ascii="Calibri" w:hAnsi="Calibri"/>
              </w:rPr>
            </w:pPr>
            <w:r>
              <w:rPr>
                <w:rFonts w:ascii="Calibri" w:hAnsi="Calibri"/>
              </w:rPr>
              <w:t>2</w:t>
            </w:r>
            <w:r>
              <w:rPr>
                <w:rFonts w:ascii="Calibri" w:hAnsi="Calibri"/>
              </w:rPr>
              <w:t> </w:t>
            </w:r>
            <w:r>
              <w:rPr>
                <w:rFonts w:ascii="Calibri" w:hAnsi="Calibri"/>
              </w:rPr>
              <w:t>%</w:t>
            </w:r>
          </w:p>
        </w:tc>
        <w:tc>
          <w:tcPr>
            <w:tcW w:w="878" w:type="dxa"/>
            <w:tcBorders>
              <w:right w:val="dotted" w:sz="2" w:space="0" w:color="000000"/>
            </w:tcBorders>
            <w:vAlign w:val="center"/>
          </w:tcPr>
          <w:p w14:paraId="49FE5DE2" w14:textId="77777777" w:rsidR="00AC166E" w:rsidRDefault="008122E3">
            <w:pPr>
              <w:pStyle w:val="Contenidodelatabla"/>
              <w:widowControl w:val="0"/>
              <w:spacing w:line="276" w:lineRule="auto"/>
              <w:jc w:val="center"/>
              <w:rPr>
                <w:rFonts w:ascii="Calibri" w:hAnsi="Calibri"/>
              </w:rPr>
            </w:pPr>
            <w:r>
              <w:rPr>
                <w:rFonts w:ascii="Calibri" w:hAnsi="Calibri"/>
              </w:rPr>
              <w:t>0-1</w:t>
            </w:r>
            <w:r>
              <w:rPr>
                <w:rFonts w:ascii="Calibri" w:hAnsi="Calibri"/>
              </w:rPr>
              <w:t> </w:t>
            </w:r>
            <w:r>
              <w:rPr>
                <w:rFonts w:ascii="Calibri" w:hAnsi="Calibri"/>
              </w:rPr>
              <w:t>%</w:t>
            </w:r>
          </w:p>
        </w:tc>
        <w:tc>
          <w:tcPr>
            <w:tcW w:w="875" w:type="dxa"/>
            <w:tcBorders>
              <w:left w:val="dotted" w:sz="2" w:space="0" w:color="000000"/>
            </w:tcBorders>
            <w:vAlign w:val="center"/>
          </w:tcPr>
          <w:p w14:paraId="3E648357"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8" w:type="dxa"/>
            <w:vAlign w:val="center"/>
          </w:tcPr>
          <w:p w14:paraId="310F6B16" w14:textId="77777777" w:rsidR="00AC166E" w:rsidRDefault="008122E3">
            <w:pPr>
              <w:pStyle w:val="Contenidodelatabla"/>
              <w:widowControl w:val="0"/>
              <w:spacing w:line="276" w:lineRule="auto"/>
              <w:jc w:val="center"/>
              <w:rPr>
                <w:rFonts w:ascii="Calibri" w:hAnsi="Calibri"/>
              </w:rPr>
            </w:pPr>
            <w:r>
              <w:rPr>
                <w:rFonts w:ascii="Calibri" w:hAnsi="Calibri"/>
              </w:rPr>
              <w:t>5 %</w:t>
            </w:r>
          </w:p>
        </w:tc>
        <w:tc>
          <w:tcPr>
            <w:tcW w:w="874" w:type="dxa"/>
            <w:tcBorders>
              <w:right w:val="dotted" w:sz="2" w:space="0" w:color="000000"/>
            </w:tcBorders>
            <w:vAlign w:val="center"/>
          </w:tcPr>
          <w:p w14:paraId="378BF399" w14:textId="77777777" w:rsidR="00AC166E" w:rsidRDefault="008122E3">
            <w:pPr>
              <w:pStyle w:val="Contenidodelatabla"/>
              <w:widowControl w:val="0"/>
              <w:spacing w:line="276" w:lineRule="auto"/>
              <w:jc w:val="center"/>
              <w:rPr>
                <w:rFonts w:ascii="Calibri" w:hAnsi="Calibri"/>
              </w:rPr>
            </w:pPr>
            <w:r>
              <w:rPr>
                <w:rFonts w:ascii="Calibri" w:hAnsi="Calibri"/>
              </w:rPr>
              <w:t>0 %</w:t>
            </w:r>
          </w:p>
        </w:tc>
        <w:tc>
          <w:tcPr>
            <w:tcW w:w="878" w:type="dxa"/>
            <w:tcBorders>
              <w:left w:val="dotted" w:sz="2" w:space="0" w:color="000000"/>
            </w:tcBorders>
            <w:vAlign w:val="center"/>
          </w:tcPr>
          <w:p w14:paraId="0F0D0ECD" w14:textId="77777777" w:rsidR="00AC166E" w:rsidRDefault="008122E3">
            <w:pPr>
              <w:pStyle w:val="Contenidodelatabla"/>
              <w:widowControl w:val="0"/>
              <w:spacing w:line="276" w:lineRule="auto"/>
              <w:jc w:val="center"/>
              <w:rPr>
                <w:rFonts w:ascii="Calibri" w:hAnsi="Calibri"/>
              </w:rPr>
            </w:pPr>
            <w:r>
              <w:rPr>
                <w:rFonts w:ascii="Calibri" w:hAnsi="Calibri"/>
              </w:rPr>
              <w:t>33</w:t>
            </w:r>
            <w:r>
              <w:rPr>
                <w:rFonts w:ascii="Calibri" w:hAnsi="Calibri"/>
              </w:rPr>
              <w:t> </w:t>
            </w:r>
            <w:r>
              <w:rPr>
                <w:rFonts w:ascii="Calibri" w:hAnsi="Calibri"/>
              </w:rPr>
              <w:t>%</w:t>
            </w:r>
          </w:p>
        </w:tc>
        <w:tc>
          <w:tcPr>
            <w:tcW w:w="874" w:type="dxa"/>
            <w:vAlign w:val="center"/>
          </w:tcPr>
          <w:p w14:paraId="02FD7643" w14:textId="77777777" w:rsidR="00AC166E" w:rsidRDefault="008122E3">
            <w:pPr>
              <w:pStyle w:val="Contenidodelatabla"/>
              <w:widowControl w:val="0"/>
              <w:spacing w:line="276" w:lineRule="auto"/>
              <w:jc w:val="center"/>
              <w:rPr>
                <w:rFonts w:ascii="Calibri" w:hAnsi="Calibri"/>
              </w:rPr>
            </w:pPr>
            <w:r>
              <w:rPr>
                <w:rFonts w:ascii="Calibri" w:hAnsi="Calibri"/>
              </w:rPr>
              <w:t>20 </w:t>
            </w:r>
            <w:r>
              <w:rPr>
                <w:rFonts w:ascii="Calibri" w:hAnsi="Calibri"/>
              </w:rPr>
              <w:t>%</w:t>
            </w:r>
          </w:p>
        </w:tc>
        <w:tc>
          <w:tcPr>
            <w:tcW w:w="881" w:type="dxa"/>
            <w:shd w:val="clear" w:color="auto" w:fill="FFF5CE"/>
            <w:vAlign w:val="center"/>
          </w:tcPr>
          <w:p w14:paraId="50AEAD20" w14:textId="77777777" w:rsidR="00AC166E" w:rsidRDefault="008122E3">
            <w:pPr>
              <w:pStyle w:val="Contenidodelatabla"/>
              <w:widowControl w:val="0"/>
              <w:spacing w:line="276" w:lineRule="auto"/>
              <w:jc w:val="center"/>
              <w:rPr>
                <w:rFonts w:ascii="Calibri" w:hAnsi="Calibri"/>
              </w:rPr>
            </w:pPr>
            <w:r>
              <w:rPr>
                <w:rFonts w:ascii="Calibri" w:hAnsi="Calibri"/>
              </w:rPr>
              <w:t>0-2 </w:t>
            </w:r>
            <w:r>
              <w:rPr>
                <w:rFonts w:ascii="Calibri" w:hAnsi="Calibri"/>
              </w:rPr>
              <w:t>%</w:t>
            </w:r>
          </w:p>
        </w:tc>
      </w:tr>
      <w:tr w:rsidR="00AC166E" w14:paraId="10FB5840" w14:textId="77777777">
        <w:tc>
          <w:tcPr>
            <w:tcW w:w="908" w:type="dxa"/>
            <w:tcBorders>
              <w:bottom w:val="single" w:sz="2" w:space="0" w:color="000000"/>
            </w:tcBorders>
          </w:tcPr>
          <w:p w14:paraId="6F6ED4B7" w14:textId="77777777" w:rsidR="00AC166E" w:rsidRDefault="008122E3">
            <w:pPr>
              <w:pStyle w:val="Contenidodelatabla"/>
              <w:widowControl w:val="0"/>
              <w:spacing w:line="276" w:lineRule="auto"/>
              <w:rPr>
                <w:rFonts w:ascii="Calibri" w:hAnsi="Calibri"/>
                <w:b/>
                <w:bCs/>
              </w:rPr>
            </w:pPr>
            <w:r>
              <w:rPr>
                <w:rFonts w:ascii="Calibri" w:hAnsi="Calibri"/>
                <w:b/>
                <w:bCs/>
              </w:rPr>
              <w:t>Wales</w:t>
            </w:r>
          </w:p>
        </w:tc>
        <w:tc>
          <w:tcPr>
            <w:tcW w:w="842" w:type="dxa"/>
            <w:tcBorders>
              <w:bottom w:val="single" w:sz="2" w:space="0" w:color="000000"/>
              <w:right w:val="dotted" w:sz="2" w:space="0" w:color="000000"/>
            </w:tcBorders>
          </w:tcPr>
          <w:p w14:paraId="09E365D2" w14:textId="77777777" w:rsidR="00AC166E" w:rsidRDefault="008122E3">
            <w:pPr>
              <w:pStyle w:val="Contenidodelatabla"/>
              <w:widowControl w:val="0"/>
              <w:spacing w:line="276" w:lineRule="auto"/>
              <w:rPr>
                <w:rFonts w:ascii="Calibri" w:hAnsi="Calibri"/>
              </w:rPr>
            </w:pPr>
            <w:r>
              <w:rPr>
                <w:rFonts w:ascii="Calibri" w:hAnsi="Calibri"/>
              </w:rPr>
              <w:t>Opt-out</w:t>
            </w:r>
          </w:p>
          <w:p w14:paraId="73C5EE25" w14:textId="77777777" w:rsidR="00AC166E" w:rsidRDefault="008122E3">
            <w:pPr>
              <w:pStyle w:val="Contenidodelatabla"/>
              <w:widowControl w:val="0"/>
              <w:spacing w:line="276" w:lineRule="auto"/>
              <w:rPr>
                <w:rFonts w:ascii="Calibri" w:hAnsi="Calibri"/>
              </w:rPr>
            </w:pPr>
            <w:r>
              <w:rPr>
                <w:rFonts w:ascii="Calibri" w:hAnsi="Calibri"/>
              </w:rPr>
              <w:t>N=182</w:t>
            </w:r>
            <w:r>
              <w:rPr>
                <w:rFonts w:ascii="Calibri" w:hAnsi="Calibri"/>
                <w:vertAlign w:val="superscript"/>
              </w:rPr>
              <w:t>g</w:t>
            </w:r>
          </w:p>
        </w:tc>
        <w:tc>
          <w:tcPr>
            <w:tcW w:w="879" w:type="dxa"/>
            <w:tcBorders>
              <w:left w:val="dotted" w:sz="2" w:space="0" w:color="000000"/>
              <w:bottom w:val="single" w:sz="2" w:space="0" w:color="000000"/>
            </w:tcBorders>
            <w:vAlign w:val="center"/>
          </w:tcPr>
          <w:p w14:paraId="0B4DFEE0" w14:textId="77777777" w:rsidR="00AC166E" w:rsidRDefault="008122E3">
            <w:pPr>
              <w:pStyle w:val="Contenidodelatabla"/>
              <w:widowControl w:val="0"/>
              <w:spacing w:line="276" w:lineRule="auto"/>
              <w:jc w:val="center"/>
              <w:rPr>
                <w:rFonts w:ascii="Calibri" w:hAnsi="Calibri"/>
              </w:rPr>
            </w:pPr>
            <w:r>
              <w:rPr>
                <w:rFonts w:ascii="Calibri" w:hAnsi="Calibri"/>
              </w:rPr>
              <w:t>49</w:t>
            </w:r>
            <w:r>
              <w:rPr>
                <w:rFonts w:ascii="Calibri" w:hAnsi="Calibri"/>
              </w:rPr>
              <w:t> </w:t>
            </w:r>
            <w:r>
              <w:rPr>
                <w:rFonts w:ascii="Calibri" w:hAnsi="Calibri"/>
              </w:rPr>
              <w:t>%</w:t>
            </w:r>
          </w:p>
        </w:tc>
        <w:tc>
          <w:tcPr>
            <w:tcW w:w="873" w:type="dxa"/>
            <w:tcBorders>
              <w:bottom w:val="single" w:sz="2" w:space="0" w:color="000000"/>
            </w:tcBorders>
            <w:vAlign w:val="center"/>
          </w:tcPr>
          <w:p w14:paraId="4A378D8C" w14:textId="77777777" w:rsidR="00AC166E" w:rsidRDefault="008122E3">
            <w:pPr>
              <w:pStyle w:val="Contenidodelatabla"/>
              <w:widowControl w:val="0"/>
              <w:spacing w:line="276" w:lineRule="auto"/>
              <w:jc w:val="center"/>
              <w:rPr>
                <w:rFonts w:ascii="Calibri" w:hAnsi="Calibri"/>
              </w:rPr>
            </w:pPr>
            <w:r>
              <w:rPr>
                <w:rFonts w:ascii="Calibri" w:hAnsi="Calibri"/>
              </w:rPr>
              <w:t>7</w:t>
            </w:r>
            <w:r>
              <w:rPr>
                <w:rFonts w:ascii="Calibri" w:hAnsi="Calibri"/>
              </w:rPr>
              <w:t> </w:t>
            </w:r>
            <w:r>
              <w:rPr>
                <w:rFonts w:ascii="Calibri" w:hAnsi="Calibri"/>
              </w:rPr>
              <w:t>%</w:t>
            </w:r>
          </w:p>
        </w:tc>
        <w:tc>
          <w:tcPr>
            <w:tcW w:w="878" w:type="dxa"/>
            <w:tcBorders>
              <w:bottom w:val="single" w:sz="2" w:space="0" w:color="000000"/>
              <w:right w:val="dotted" w:sz="2" w:space="0" w:color="000000"/>
            </w:tcBorders>
            <w:vAlign w:val="center"/>
          </w:tcPr>
          <w:p w14:paraId="503E1A36" w14:textId="77777777" w:rsidR="00AC166E" w:rsidRDefault="008122E3">
            <w:pPr>
              <w:pStyle w:val="Contenidodelatabla"/>
              <w:widowControl w:val="0"/>
              <w:spacing w:line="276" w:lineRule="auto"/>
              <w:jc w:val="center"/>
              <w:rPr>
                <w:rFonts w:ascii="Calibri" w:hAnsi="Calibri"/>
              </w:rPr>
            </w:pPr>
            <w:r>
              <w:rPr>
                <w:rFonts w:ascii="Calibri" w:hAnsi="Calibri"/>
              </w:rPr>
              <w:t>0</w:t>
            </w:r>
            <w:r>
              <w:rPr>
                <w:rFonts w:ascii="Calibri" w:hAnsi="Calibri"/>
              </w:rPr>
              <w:t> </w:t>
            </w:r>
            <w:r>
              <w:rPr>
                <w:rFonts w:ascii="Calibri" w:hAnsi="Calibri"/>
              </w:rPr>
              <w:t>%</w:t>
            </w:r>
          </w:p>
        </w:tc>
        <w:tc>
          <w:tcPr>
            <w:tcW w:w="875" w:type="dxa"/>
            <w:tcBorders>
              <w:left w:val="dotted" w:sz="2" w:space="0" w:color="000000"/>
              <w:bottom w:val="single" w:sz="2" w:space="0" w:color="000000"/>
            </w:tcBorders>
            <w:vAlign w:val="center"/>
          </w:tcPr>
          <w:p w14:paraId="79806819" w14:textId="77777777" w:rsidR="00AC166E" w:rsidRDefault="008122E3">
            <w:pPr>
              <w:pStyle w:val="Contenidodelatabla"/>
              <w:widowControl w:val="0"/>
              <w:spacing w:line="276" w:lineRule="auto"/>
              <w:jc w:val="center"/>
              <w:rPr>
                <w:rFonts w:ascii="Calibri" w:hAnsi="Calibri"/>
              </w:rPr>
            </w:pPr>
            <w:r>
              <w:rPr>
                <w:rFonts w:ascii="Calibri" w:hAnsi="Calibri"/>
              </w:rPr>
              <w:t>n/a</w:t>
            </w:r>
          </w:p>
        </w:tc>
        <w:tc>
          <w:tcPr>
            <w:tcW w:w="878" w:type="dxa"/>
            <w:tcBorders>
              <w:bottom w:val="single" w:sz="2" w:space="0" w:color="000000"/>
            </w:tcBorders>
            <w:vAlign w:val="center"/>
          </w:tcPr>
          <w:p w14:paraId="4E268928" w14:textId="77777777" w:rsidR="00AC166E" w:rsidRDefault="008122E3">
            <w:pPr>
              <w:pStyle w:val="Contenidodelatabla"/>
              <w:widowControl w:val="0"/>
              <w:spacing w:line="276" w:lineRule="auto"/>
              <w:jc w:val="center"/>
              <w:rPr>
                <w:rFonts w:ascii="Calibri" w:hAnsi="Calibri"/>
              </w:rPr>
            </w:pPr>
            <w:r>
              <w:rPr>
                <w:rFonts w:ascii="Calibri" w:hAnsi="Calibri"/>
              </w:rPr>
              <w:t>19 %</w:t>
            </w:r>
          </w:p>
        </w:tc>
        <w:tc>
          <w:tcPr>
            <w:tcW w:w="874" w:type="dxa"/>
            <w:tcBorders>
              <w:bottom w:val="single" w:sz="2" w:space="0" w:color="000000"/>
              <w:right w:val="dotted" w:sz="2" w:space="0" w:color="000000"/>
            </w:tcBorders>
            <w:vAlign w:val="center"/>
          </w:tcPr>
          <w:p w14:paraId="3768A9F6" w14:textId="77777777" w:rsidR="00AC166E" w:rsidRDefault="008122E3">
            <w:pPr>
              <w:pStyle w:val="Contenidodelatabla"/>
              <w:widowControl w:val="0"/>
              <w:spacing w:line="276" w:lineRule="auto"/>
              <w:jc w:val="center"/>
              <w:rPr>
                <w:rFonts w:ascii="Calibri" w:hAnsi="Calibri"/>
              </w:rPr>
            </w:pPr>
            <w:r>
              <w:rPr>
                <w:rFonts w:ascii="Calibri" w:hAnsi="Calibri"/>
              </w:rPr>
              <w:t>0 %</w:t>
            </w:r>
          </w:p>
        </w:tc>
        <w:tc>
          <w:tcPr>
            <w:tcW w:w="878" w:type="dxa"/>
            <w:tcBorders>
              <w:left w:val="dotted" w:sz="2" w:space="0" w:color="000000"/>
              <w:bottom w:val="single" w:sz="2" w:space="0" w:color="000000"/>
            </w:tcBorders>
            <w:vAlign w:val="center"/>
          </w:tcPr>
          <w:p w14:paraId="454D0175" w14:textId="77777777" w:rsidR="00AC166E" w:rsidRDefault="008122E3">
            <w:pPr>
              <w:pStyle w:val="Contenidodelatabla"/>
              <w:widowControl w:val="0"/>
              <w:spacing w:line="276" w:lineRule="auto"/>
              <w:jc w:val="center"/>
              <w:rPr>
                <w:rFonts w:ascii="Calibri" w:hAnsi="Calibri"/>
              </w:rPr>
            </w:pPr>
            <w:r>
              <w:rPr>
                <w:rFonts w:ascii="Calibri" w:hAnsi="Calibri"/>
              </w:rPr>
              <w:t>15</w:t>
            </w:r>
            <w:r>
              <w:rPr>
                <w:rFonts w:ascii="Calibri" w:hAnsi="Calibri"/>
              </w:rPr>
              <w:t> </w:t>
            </w:r>
            <w:r>
              <w:rPr>
                <w:rFonts w:ascii="Calibri" w:hAnsi="Calibri"/>
              </w:rPr>
              <w:t>%</w:t>
            </w:r>
          </w:p>
        </w:tc>
        <w:tc>
          <w:tcPr>
            <w:tcW w:w="874" w:type="dxa"/>
            <w:tcBorders>
              <w:bottom w:val="single" w:sz="2" w:space="0" w:color="000000"/>
            </w:tcBorders>
            <w:vAlign w:val="center"/>
          </w:tcPr>
          <w:p w14:paraId="363DBD19" w14:textId="77777777" w:rsidR="00AC166E" w:rsidRDefault="008122E3">
            <w:pPr>
              <w:pStyle w:val="Contenidodelatabla"/>
              <w:widowControl w:val="0"/>
              <w:spacing w:line="276" w:lineRule="auto"/>
              <w:jc w:val="center"/>
              <w:rPr>
                <w:rFonts w:ascii="Calibri" w:hAnsi="Calibri"/>
              </w:rPr>
            </w:pPr>
            <w:r>
              <w:rPr>
                <w:rFonts w:ascii="Calibri" w:hAnsi="Calibri"/>
              </w:rPr>
              <w:t>10</w:t>
            </w:r>
            <w:r>
              <w:rPr>
                <w:rFonts w:ascii="Calibri" w:hAnsi="Calibri"/>
              </w:rPr>
              <w:t> </w:t>
            </w:r>
            <w:r>
              <w:rPr>
                <w:rFonts w:ascii="Calibri" w:hAnsi="Calibri"/>
              </w:rPr>
              <w:t>%</w:t>
            </w:r>
          </w:p>
        </w:tc>
        <w:tc>
          <w:tcPr>
            <w:tcW w:w="881" w:type="dxa"/>
            <w:tcBorders>
              <w:bottom w:val="single" w:sz="2" w:space="0" w:color="000000"/>
            </w:tcBorders>
            <w:shd w:val="clear" w:color="auto" w:fill="FFF5CE"/>
            <w:vAlign w:val="center"/>
          </w:tcPr>
          <w:p w14:paraId="798C2884" w14:textId="77777777" w:rsidR="00AC166E" w:rsidRDefault="008122E3">
            <w:pPr>
              <w:pStyle w:val="Contenidodelatabla"/>
              <w:widowControl w:val="0"/>
              <w:spacing w:line="276" w:lineRule="auto"/>
              <w:jc w:val="center"/>
              <w:rPr>
                <w:rFonts w:ascii="Calibri" w:hAnsi="Calibri"/>
              </w:rPr>
            </w:pPr>
            <w:r>
              <w:rPr>
                <w:rFonts w:ascii="Calibri" w:hAnsi="Calibri"/>
              </w:rPr>
              <w:t>0</w:t>
            </w:r>
            <w:r>
              <w:rPr>
                <w:rFonts w:ascii="Calibri" w:hAnsi="Calibri"/>
              </w:rPr>
              <w:t> </w:t>
            </w:r>
            <w:r>
              <w:rPr>
                <w:rFonts w:ascii="Calibri" w:hAnsi="Calibri"/>
              </w:rPr>
              <w:t>%</w:t>
            </w:r>
          </w:p>
        </w:tc>
      </w:tr>
    </w:tbl>
    <w:p w14:paraId="15755250" w14:textId="77777777" w:rsidR="00AC166E" w:rsidRDefault="00AC166E">
      <w:pPr>
        <w:pStyle w:val="Descripcin"/>
        <w:spacing w:before="0" w:after="0"/>
      </w:pPr>
    </w:p>
    <w:p w14:paraId="50E39057" w14:textId="77777777" w:rsidR="00AC166E" w:rsidRDefault="008122E3">
      <w:pPr>
        <w:pStyle w:val="Descripcin"/>
        <w:spacing w:before="0" w:after="0"/>
      </w:pPr>
      <w:r>
        <w:t xml:space="preserve">Each row corresponds to one possible scenario that combines the deceased’s decision </w:t>
      </w:r>
      <w:r>
        <w:t>(consent, refusal, or unknown) and the family’s preferences (in favour, against, or unknown). The frequency of each scenario is indicated as a proportion of the total number of cases of potential organ donors in each country. For instance, out of 1,039 cas</w:t>
      </w:r>
      <w:r>
        <w:t xml:space="preserve">es of potential organ donors in the Netherlands in 2018, 16% of these cases correspond to the situation where the deceased’s decision was unknown and the </w:t>
      </w:r>
      <w:r>
        <w:lastRenderedPageBreak/>
        <w:t>family authorised the removal of organs, 43% correspond to the situation where the deceased’s decision</w:t>
      </w:r>
      <w:r>
        <w:t xml:space="preserve"> was unknown and family opposed recovering the organs, and 4% correspond to the scenario where both the deceased’s and the family’s decisions were unknown. These figures show how potential </w:t>
      </w:r>
      <w:proofErr w:type="gramStart"/>
      <w:r>
        <w:t>donors</w:t>
      </w:r>
      <w:proofErr w:type="gramEnd"/>
      <w:r>
        <w:t xml:space="preserve"> cases are distributed among the nine possible scenarios. Bec</w:t>
      </w:r>
      <w:r>
        <w:t>ause some potential donors do not become effective donors, the official percentages of organ retrieval/non-retrieval in each country may differ slightly from those displayed in this table. See the additional file for further details.</w:t>
      </w:r>
    </w:p>
    <w:p w14:paraId="45254C2C" w14:textId="77777777" w:rsidR="00AC166E" w:rsidRDefault="008122E3">
      <w:pPr>
        <w:pStyle w:val="Descripcin"/>
        <w:spacing w:before="0" w:after="0"/>
      </w:pPr>
      <w:r>
        <w:rPr>
          <w:sz w:val="21"/>
        </w:rPr>
        <w:t>*</w:t>
      </w:r>
      <w:r>
        <w:t xml:space="preserve"> The Netherlands, England, and Scotland implemented an opt-out system in 2020.</w:t>
      </w:r>
    </w:p>
    <w:p w14:paraId="42E80369" w14:textId="77777777" w:rsidR="00AC166E" w:rsidRDefault="008122E3">
      <w:pPr>
        <w:pStyle w:val="Descripcin"/>
        <w:spacing w:before="0" w:after="0"/>
      </w:pPr>
      <w:r>
        <w:rPr>
          <w:vertAlign w:val="superscript"/>
        </w:rPr>
        <w:t>a</w:t>
      </w:r>
      <w:r>
        <w:t xml:space="preserve"> Potential donors in a single hospital over two periods of 3.5 years each (2000-2003, 2007-2010</w:t>
      </w:r>
      <w:proofErr w:type="gramStart"/>
      <w:r>
        <w:t>).</w:t>
      </w:r>
      <w:r>
        <w:rPr>
          <w:rFonts w:eastAsia="Calibri" w:cs="Calibri"/>
          <w:sz w:val="20"/>
          <w:szCs w:val="20"/>
        </w:rPr>
        <w:t>[</w:t>
      </w:r>
      <w:proofErr w:type="gramEnd"/>
      <w:r>
        <w:rPr>
          <w:rFonts w:eastAsia="Calibri" w:cs="Calibri"/>
          <w:sz w:val="20"/>
          <w:szCs w:val="20"/>
        </w:rPr>
        <w:t>44]</w:t>
      </w:r>
    </w:p>
    <w:p w14:paraId="59D79B4D" w14:textId="77777777" w:rsidR="00AC166E" w:rsidRDefault="008122E3">
      <w:pPr>
        <w:pStyle w:val="Descripcin"/>
        <w:spacing w:before="0" w:after="0"/>
      </w:pPr>
      <w:r>
        <w:rPr>
          <w:rFonts w:eastAsia="Calibri" w:cs="Calibri"/>
          <w:sz w:val="21"/>
          <w:szCs w:val="21"/>
          <w:vertAlign w:val="superscript"/>
        </w:rPr>
        <w:t>b</w:t>
      </w:r>
      <w:r>
        <w:rPr>
          <w:rFonts w:eastAsia="Calibri" w:cs="Calibri"/>
          <w:sz w:val="21"/>
          <w:szCs w:val="21"/>
        </w:rPr>
        <w:t xml:space="preserve"> Potential donors nationwide in </w:t>
      </w:r>
      <w:proofErr w:type="gramStart"/>
      <w:r>
        <w:rPr>
          <w:rFonts w:eastAsia="Calibri" w:cs="Calibri"/>
          <w:sz w:val="21"/>
          <w:szCs w:val="21"/>
        </w:rPr>
        <w:t>2020.[</w:t>
      </w:r>
      <w:proofErr w:type="gramEnd"/>
      <w:r>
        <w:rPr>
          <w:rFonts w:eastAsia="Calibri" w:cs="Calibri"/>
          <w:sz w:val="21"/>
          <w:szCs w:val="21"/>
        </w:rPr>
        <w:t>45]</w:t>
      </w:r>
    </w:p>
    <w:p w14:paraId="3F6DAFBD" w14:textId="77777777" w:rsidR="00AC166E" w:rsidRDefault="008122E3">
      <w:pPr>
        <w:pStyle w:val="Descripcin"/>
        <w:spacing w:before="0" w:after="0"/>
      </w:pPr>
      <w:r>
        <w:rPr>
          <w:vertAlign w:val="superscript"/>
        </w:rPr>
        <w:t>c</w:t>
      </w:r>
      <w:r>
        <w:t xml:space="preserve"> Potential donors after the de</w:t>
      </w:r>
      <w:r>
        <w:t xml:space="preserve">termination of death in </w:t>
      </w:r>
      <w:proofErr w:type="gramStart"/>
      <w:r>
        <w:t>2018.</w:t>
      </w:r>
      <w:r>
        <w:rPr>
          <w:rFonts w:eastAsia="Calibri" w:cs="Calibri"/>
          <w:sz w:val="20"/>
          <w:szCs w:val="20"/>
        </w:rPr>
        <w:t>[</w:t>
      </w:r>
      <w:proofErr w:type="gramEnd"/>
      <w:r>
        <w:rPr>
          <w:rFonts w:eastAsia="Calibri" w:cs="Calibri"/>
          <w:sz w:val="20"/>
          <w:szCs w:val="20"/>
        </w:rPr>
        <w:t>46]</w:t>
      </w:r>
    </w:p>
    <w:p w14:paraId="6DFBCC89" w14:textId="77777777" w:rsidR="00AC166E" w:rsidRDefault="008122E3">
      <w:pPr>
        <w:pStyle w:val="Descripcin"/>
        <w:spacing w:before="0" w:after="0"/>
      </w:pPr>
      <w:r>
        <w:rPr>
          <w:vertAlign w:val="superscript"/>
        </w:rPr>
        <w:t>d</w:t>
      </w:r>
      <w:r>
        <w:t xml:space="preserve"> Potential donors in </w:t>
      </w:r>
      <w:proofErr w:type="gramStart"/>
      <w:r>
        <w:t>2018.</w:t>
      </w:r>
      <w:r>
        <w:rPr>
          <w:rFonts w:eastAsia="Calibri" w:cs="Calibri"/>
          <w:sz w:val="20"/>
          <w:szCs w:val="20"/>
        </w:rPr>
        <w:t>[</w:t>
      </w:r>
      <w:proofErr w:type="gramEnd"/>
      <w:r>
        <w:rPr>
          <w:rFonts w:eastAsia="Calibri" w:cs="Calibri"/>
          <w:sz w:val="20"/>
          <w:szCs w:val="20"/>
        </w:rPr>
        <w:t>47]</w:t>
      </w:r>
    </w:p>
    <w:p w14:paraId="6FE28CAB" w14:textId="77777777" w:rsidR="00AC166E" w:rsidRDefault="008122E3">
      <w:pPr>
        <w:pStyle w:val="Descripcin"/>
        <w:spacing w:before="0" w:after="0"/>
      </w:pPr>
      <w:r>
        <w:rPr>
          <w:vertAlign w:val="superscript"/>
        </w:rPr>
        <w:t>e</w:t>
      </w:r>
      <w:r>
        <w:t xml:space="preserve"> Eligible organ donors from 2009 to </w:t>
      </w:r>
      <w:proofErr w:type="gramStart"/>
      <w:r>
        <w:t>2014.</w:t>
      </w:r>
      <w:r>
        <w:rPr>
          <w:rFonts w:eastAsia="Calibri" w:cs="Calibri"/>
          <w:sz w:val="20"/>
          <w:szCs w:val="20"/>
        </w:rPr>
        <w:t>[</w:t>
      </w:r>
      <w:proofErr w:type="gramEnd"/>
      <w:r>
        <w:rPr>
          <w:rFonts w:eastAsia="Calibri" w:cs="Calibri"/>
          <w:sz w:val="20"/>
          <w:szCs w:val="20"/>
        </w:rPr>
        <w:t>48]</w:t>
      </w:r>
    </w:p>
    <w:p w14:paraId="613B6159" w14:textId="77777777" w:rsidR="00AC166E" w:rsidRDefault="008122E3">
      <w:pPr>
        <w:pStyle w:val="Descripcin"/>
        <w:spacing w:before="0" w:after="0"/>
      </w:pPr>
      <w:r>
        <w:rPr>
          <w:vertAlign w:val="superscript"/>
        </w:rPr>
        <w:t>f</w:t>
      </w:r>
      <w:r>
        <w:t xml:space="preserve"> Potential donors after brain death (DBD) alone, from 1 April 2018 to 31 March 2019, in the UK at large (including Wales</w:t>
      </w:r>
      <w:proofErr w:type="gramStart"/>
      <w:r>
        <w:t>).</w:t>
      </w:r>
      <w:r>
        <w:rPr>
          <w:rFonts w:eastAsia="Calibri" w:cs="Calibri"/>
          <w:sz w:val="20"/>
          <w:szCs w:val="20"/>
        </w:rPr>
        <w:t>[</w:t>
      </w:r>
      <w:proofErr w:type="gramEnd"/>
      <w:r>
        <w:rPr>
          <w:rFonts w:eastAsia="Calibri" w:cs="Calibri"/>
          <w:sz w:val="20"/>
          <w:szCs w:val="20"/>
        </w:rPr>
        <w:t>49]</w:t>
      </w:r>
    </w:p>
    <w:p w14:paraId="3E127C75" w14:textId="77777777" w:rsidR="00AC166E" w:rsidRDefault="008122E3">
      <w:pPr>
        <w:pStyle w:val="Descripcin"/>
        <w:spacing w:before="0" w:after="0"/>
      </w:pPr>
      <w:r>
        <w:rPr>
          <w:vertAlign w:val="superscript"/>
        </w:rPr>
        <w:t>g</w:t>
      </w:r>
      <w:r>
        <w:t xml:space="preserve"> Potential don</w:t>
      </w:r>
      <w:r>
        <w:t xml:space="preserve">ors from December 2015 to February </w:t>
      </w:r>
      <w:proofErr w:type="gramStart"/>
      <w:r>
        <w:t>2016.</w:t>
      </w:r>
      <w:r>
        <w:rPr>
          <w:rFonts w:eastAsia="Calibri" w:cs="Calibri"/>
          <w:sz w:val="20"/>
          <w:szCs w:val="20"/>
        </w:rPr>
        <w:t>[</w:t>
      </w:r>
      <w:proofErr w:type="gramEnd"/>
      <w:r>
        <w:rPr>
          <w:rFonts w:eastAsia="Calibri" w:cs="Calibri"/>
          <w:sz w:val="20"/>
          <w:szCs w:val="20"/>
        </w:rPr>
        <w:t>50]</w:t>
      </w:r>
    </w:p>
    <w:p w14:paraId="663D6846" w14:textId="77777777" w:rsidR="00AC166E" w:rsidRDefault="008122E3">
      <w:pPr>
        <w:pStyle w:val="Descripcin"/>
        <w:spacing w:before="0" w:after="0"/>
      </w:pPr>
      <w:r>
        <w:rPr>
          <w:vertAlign w:val="superscript"/>
        </w:rPr>
        <w:t>h</w:t>
      </w:r>
      <w:r>
        <w:t xml:space="preserve"> Detailed family preferences data when the deceased had consented or refused is not available and is reported here as unknown.</w:t>
      </w:r>
    </w:p>
    <w:p w14:paraId="5CD6221D" w14:textId="77777777" w:rsidR="00AC166E" w:rsidRDefault="008122E3">
      <w:pPr>
        <w:pStyle w:val="Descripcin"/>
        <w:spacing w:before="0" w:after="0"/>
      </w:pPr>
      <w:proofErr w:type="spellStart"/>
      <w:r>
        <w:rPr>
          <w:vertAlign w:val="superscript"/>
        </w:rPr>
        <w:t>i</w:t>
      </w:r>
      <w:proofErr w:type="spellEnd"/>
      <w:r>
        <w:t xml:space="preserve"> </w:t>
      </w:r>
      <w:proofErr w:type="gramStart"/>
      <w:r>
        <w:t>In</w:t>
      </w:r>
      <w:proofErr w:type="gramEnd"/>
      <w:r>
        <w:t xml:space="preserve"> all cases of actual donors, we have not been able to determine the proportion </w:t>
      </w:r>
      <w:r>
        <w:t>of individuals who had registered their consent, i.e. whether organ recovery could proceed based on the deceased’s consent (first and third columns) or on family’s authorisation (seventh column). All these cases (61%) are reported here as if the deceased’s</w:t>
      </w:r>
      <w:r>
        <w:t xml:space="preserve"> wishes were unknown and the family had authorised, but an unknown proportion of them should appear as cases of consent from the deceased.</w:t>
      </w:r>
    </w:p>
    <w:p w14:paraId="1DE7A6D4" w14:textId="77777777" w:rsidR="00AC166E" w:rsidRDefault="008122E3">
      <w:pPr>
        <w:pStyle w:val="Descripcin"/>
        <w:spacing w:before="0" w:after="0"/>
      </w:pPr>
      <w:r>
        <w:rPr>
          <w:vertAlign w:val="superscript"/>
        </w:rPr>
        <w:t>j</w:t>
      </w:r>
      <w:r>
        <w:t xml:space="preserve"> In Germany, according to DSO officials, when the deceased has expressly consented or refused organ donation, the op</w:t>
      </w:r>
      <w:r>
        <w:t>inion of the family is almost always known (personal communication). However, as the family is not allowed to authorise or oppose the recovery of organs, and the percentages of families who would support or oppose organ recovery in these circumstances is n</w:t>
      </w:r>
      <w:r>
        <w:t>ot available, all these cases are reported as unknown.</w:t>
      </w:r>
    </w:p>
    <w:p w14:paraId="5AF7C2E5" w14:textId="77777777" w:rsidR="00AC166E" w:rsidRDefault="00AC166E">
      <w:pPr>
        <w:pStyle w:val="Textoindependiente"/>
      </w:pPr>
    </w:p>
    <w:p w14:paraId="6DFCA7A7" w14:textId="77777777" w:rsidR="00AC166E" w:rsidRDefault="00AC166E"/>
    <w:p w14:paraId="10B8910E" w14:textId="235E2270" w:rsidR="00AC166E" w:rsidRDefault="008122E3">
      <w:pPr>
        <w:pStyle w:val="Textoindependiente"/>
      </w:pPr>
      <w:r>
        <w:rPr>
          <w:i/>
          <w:iCs/>
        </w:rPr>
        <w:t>Additional supporting evidence.</w:t>
      </w:r>
      <w:r>
        <w:t xml:space="preserve"> We found partial statistics </w:t>
      </w:r>
      <w:r>
        <w:t>from</w:t>
      </w:r>
      <w:r>
        <w:t xml:space="preserve"> </w:t>
      </w:r>
      <w:r>
        <w:t>16</w:t>
      </w:r>
      <w:r>
        <w:t> </w:t>
      </w:r>
      <w:r>
        <w:t>countries regarding the situation where policy defaults apply according to our analysis. In particular, we found nationwide stati</w:t>
      </w:r>
      <w:r>
        <w:t>stics from official sources in Belgium, Chile, Colombia, Ireland, Spain</w:t>
      </w:r>
      <w:r>
        <w:t>, Sweden</w:t>
      </w:r>
      <w:r>
        <w:t xml:space="preserve">, and Switzerland. We also found retrospective studies, mostly from a single hospital and varying periods of time, in Australia, Brazil, Finland, France, Hong Kong, South Africa, South Korea, Spain, </w:t>
      </w:r>
      <w:proofErr w:type="spellStart"/>
      <w:r>
        <w:t>T</w:t>
      </w:r>
      <w:r>
        <w:t>ürkiye</w:t>
      </w:r>
      <w:proofErr w:type="spellEnd"/>
      <w:r>
        <w:t xml:space="preserve">, and the United States. </w:t>
      </w:r>
      <w:r>
        <w:rPr>
          <w:rFonts w:eastAsia="Calibri" w:cs="Calibri"/>
          <w:kern w:val="0"/>
        </w:rPr>
        <w:t>In addition, we obt</w:t>
      </w:r>
      <w:r>
        <w:rPr>
          <w:rFonts w:eastAsia="Calibri" w:cs="Calibri"/>
          <w:kern w:val="0"/>
        </w:rPr>
        <w:t xml:space="preserve">ained </w:t>
      </w:r>
      <w:r>
        <w:rPr>
          <w:rFonts w:eastAsia="Calibri" w:cs="Calibri"/>
          <w:kern w:val="0"/>
        </w:rPr>
        <w:t>informal comments and assessments</w:t>
      </w:r>
      <w:r>
        <w:rPr>
          <w:rFonts w:eastAsia="Calibri" w:cs="Calibri"/>
          <w:kern w:val="0"/>
        </w:rPr>
        <w:t xml:space="preserve"> through personal communication with officials from Belgium, Colombia, Denmark, Finland, France, South Korea, and Spain. </w:t>
      </w:r>
      <w:r>
        <w:t>M</w:t>
      </w:r>
      <w:r>
        <w:rPr>
          <w:rFonts w:eastAsia="Calibri" w:cs="Calibri"/>
          <w:kern w:val="0"/>
        </w:rPr>
        <w:t>ore detailed information about the data, sources, and methodology is available in the Supplemen</w:t>
      </w:r>
      <w:r>
        <w:rPr>
          <w:rFonts w:eastAsia="Calibri" w:cs="Calibri"/>
          <w:kern w:val="0"/>
        </w:rPr>
        <w:t>tary file.</w:t>
      </w:r>
    </w:p>
    <w:p w14:paraId="13A18268" w14:textId="4B070D22" w:rsidR="00AC166E" w:rsidRDefault="008122E3">
      <w:pPr>
        <w:pStyle w:val="Textoindependiente"/>
      </w:pPr>
      <w:r>
        <w:lastRenderedPageBreak/>
        <w:t>R</w:t>
      </w:r>
      <w:r>
        <w:t xml:space="preserve">esults suggest that the potential differential impact of opt-in and opt-out policies, according to our analysis, is limited to a range of 0% to </w:t>
      </w:r>
      <w:r>
        <w:t>2</w:t>
      </w:r>
      <w:r>
        <w:t xml:space="preserve">% of all retrieval opportunities in </w:t>
      </w:r>
      <w:r>
        <w:t>six</w:t>
      </w:r>
      <w:r>
        <w:t xml:space="preserve"> countries (Australia, </w:t>
      </w:r>
      <w:r>
        <w:t>Chile, Colombia, Finlan</w:t>
      </w:r>
      <w:r>
        <w:t xml:space="preserve">d, South Korea, and Spain), to a range of 3% to 5% in </w:t>
      </w:r>
      <w:r>
        <w:t>six</w:t>
      </w:r>
      <w:r>
        <w:t xml:space="preserve"> countries (</w:t>
      </w:r>
      <w:r>
        <w:t xml:space="preserve">Belgium, </w:t>
      </w:r>
      <w:r>
        <w:t xml:space="preserve">France, Hong Kong, Switzerland, </w:t>
      </w:r>
      <w:proofErr w:type="spellStart"/>
      <w:r>
        <w:t>Türkiye</w:t>
      </w:r>
      <w:proofErr w:type="spellEnd"/>
      <w:r>
        <w:t xml:space="preserve">, and the United States), and to more than 5% in </w:t>
      </w:r>
      <w:r>
        <w:t>three</w:t>
      </w:r>
      <w:r>
        <w:t xml:space="preserve"> countries (Brazil</w:t>
      </w:r>
      <w:r>
        <w:t>,</w:t>
      </w:r>
      <w:r>
        <w:t xml:space="preserve"> South Africa</w:t>
      </w:r>
      <w:r>
        <w:t>, and Sweden</w:t>
      </w:r>
      <w:r>
        <w:t xml:space="preserve">). </w:t>
      </w:r>
      <w:r>
        <w:rPr>
          <w:rFonts w:eastAsia="Calibri" w:cs="Calibri"/>
          <w:kern w:val="0"/>
        </w:rPr>
        <w:t xml:space="preserve">These results coming </w:t>
      </w:r>
      <w:r>
        <w:rPr>
          <w:rFonts w:eastAsia="Calibri" w:cs="Calibri"/>
          <w:kern w:val="0"/>
        </w:rPr>
        <w:t>from a wide variety of countries are consistent with those detailed in Table 4.</w:t>
      </w:r>
    </w:p>
    <w:p w14:paraId="36148BBA" w14:textId="77777777" w:rsidR="00AC166E" w:rsidRDefault="008122E3">
      <w:pPr>
        <w:pStyle w:val="Ttulo2"/>
      </w:pPr>
      <w:r>
        <w:t>Estimation</w:t>
      </w:r>
      <w:r>
        <w:t xml:space="preserve"> of potential retrieval rates under different policies in six countries</w:t>
      </w:r>
    </w:p>
    <w:p w14:paraId="4D411E09" w14:textId="77777777" w:rsidR="00AC166E" w:rsidRDefault="008122E3">
      <w:pPr>
        <w:pStyle w:val="Textoindependiente"/>
        <w:rPr>
          <w:rFonts w:eastAsia="Calibri" w:cs="Calibri"/>
          <w:kern w:val="0"/>
        </w:rPr>
      </w:pPr>
      <w:r>
        <w:rPr>
          <w:rFonts w:eastAsia="Calibri" w:cs="Calibri"/>
          <w:kern w:val="0"/>
        </w:rPr>
        <w:t xml:space="preserve">To better assess the relative impact of the family’s intervention in each consent system, </w:t>
      </w:r>
      <w:r>
        <w:rPr>
          <w:rFonts w:eastAsia="Calibri" w:cs="Calibri"/>
          <w:kern w:val="0"/>
        </w:rPr>
        <w:t xml:space="preserve">all </w:t>
      </w:r>
      <w:r>
        <w:rPr>
          <w:rFonts w:eastAsia="Calibri" w:cs="Calibri"/>
          <w:kern w:val="0"/>
        </w:rPr>
        <w:t xml:space="preserve">other things being equal, </w:t>
      </w:r>
      <w:r>
        <w:rPr>
          <w:rFonts w:eastAsia="Calibri" w:cs="Calibri"/>
          <w:kern w:val="0"/>
        </w:rPr>
        <w:t>we estimated the potential for organ retrieval in four distinct scenarios (Fig. 1). On the one hand (left), we considered opt-in and opt-out policies based on the deceased’s wishes alone, without any family intervention. On the ot</w:t>
      </w:r>
      <w:r>
        <w:rPr>
          <w:rFonts w:eastAsia="Calibri" w:cs="Calibri"/>
          <w:kern w:val="0"/>
        </w:rPr>
        <w:t>her hand (right), we considered opt-in and opt-out policies based on both the deceased’s and the family’s wishes. In other words, for each reviewed country, we estimated the potential for organ retrieval if the policy in place in that country was: (α) opt-</w:t>
      </w:r>
      <w:r>
        <w:rPr>
          <w:rFonts w:eastAsia="Calibri" w:cs="Calibri"/>
          <w:kern w:val="0"/>
        </w:rPr>
        <w:t xml:space="preserve">in and deceased’s wishes alone; (β) opt-out and deceased’s wishes alone; (γ) opt-in with family intervention; and (δ) opt-out with family intervention (see the supplementary file for more information about the data and methodology). </w:t>
      </w:r>
    </w:p>
    <w:p w14:paraId="562A1357" w14:textId="77777777" w:rsidR="00AC166E" w:rsidRDefault="00AC166E">
      <w:pPr>
        <w:pStyle w:val="Textoindependiente"/>
        <w:rPr>
          <w:rFonts w:eastAsia="Calibri" w:cs="Calibri"/>
          <w:kern w:val="0"/>
        </w:rPr>
      </w:pPr>
    </w:p>
    <w:p w14:paraId="2734C2CE" w14:textId="77777777" w:rsidR="00AC166E" w:rsidRDefault="008122E3">
      <w:pPr>
        <w:jc w:val="center"/>
        <w:rPr>
          <w:rFonts w:ascii="Arial" w:hAnsi="Arial"/>
        </w:rPr>
      </w:pPr>
      <w:r>
        <w:rPr>
          <w:rFonts w:ascii="Arial" w:hAnsi="Arial"/>
        </w:rPr>
        <w:t>FIGURE 1 HERE</w:t>
      </w:r>
    </w:p>
    <w:p w14:paraId="2E221647" w14:textId="77777777" w:rsidR="00AC166E" w:rsidRDefault="00AC166E">
      <w:pPr>
        <w:pStyle w:val="Textoindependiente"/>
        <w:rPr>
          <w:rFonts w:eastAsia="Calibri" w:cs="Calibri"/>
          <w:kern w:val="0"/>
        </w:rPr>
      </w:pPr>
    </w:p>
    <w:p w14:paraId="6CBD7988" w14:textId="77777777" w:rsidR="00AC166E" w:rsidRDefault="008122E3">
      <w:pPr>
        <w:pStyle w:val="Textoindependiente"/>
        <w:rPr>
          <w:rFonts w:eastAsia="Calibri" w:cs="Calibri"/>
          <w:kern w:val="0"/>
        </w:rPr>
      </w:pPr>
      <w:r>
        <w:rPr>
          <w:rFonts w:eastAsia="Calibri" w:cs="Calibri"/>
          <w:kern w:val="0"/>
        </w:rPr>
        <w:t>The es</w:t>
      </w:r>
      <w:r>
        <w:rPr>
          <w:rFonts w:eastAsia="Calibri" w:cs="Calibri"/>
          <w:kern w:val="0"/>
        </w:rPr>
        <w:t>timated potential retrieval rates in these four scenarios, according to our analysis of defaults, suggest that individual consent policies only make a significant difference when family preferences are disregarded. In this case, moving from opt-in to opt-o</w:t>
      </w:r>
      <w:r>
        <w:rPr>
          <w:rFonts w:eastAsia="Calibri" w:cs="Calibri"/>
          <w:kern w:val="0"/>
        </w:rPr>
        <w:t xml:space="preserve">ut may dramatically increase the number of potential donors from which organs can be retrieved (left bars). However, when families are allowed to intervene and their own preferences are taken into consideration, then the potential retrieval outcomes under </w:t>
      </w:r>
      <w:r>
        <w:rPr>
          <w:rFonts w:eastAsia="Calibri" w:cs="Calibri"/>
          <w:kern w:val="0"/>
        </w:rPr>
        <w:t>opt-out are just a little higher than under opt-in (right bars).</w:t>
      </w:r>
      <w:r>
        <w:rPr>
          <w:rFonts w:eastAsia="Calibri" w:cs="Calibri"/>
          <w:kern w:val="0"/>
        </w:rPr>
        <w:t xml:space="preserve"> </w:t>
      </w:r>
      <w:r>
        <w:rPr>
          <w:rFonts w:eastAsia="Calibri" w:cs="Calibri"/>
          <w:kern w:val="0"/>
        </w:rPr>
        <w:t xml:space="preserve">Here, </w:t>
      </w:r>
      <w:r>
        <w:rPr>
          <w:rFonts w:eastAsia="Calibri" w:cs="Calibri"/>
          <w:kern w:val="0"/>
        </w:rPr>
        <w:lastRenderedPageBreak/>
        <w:t>we only consider the direct effects of a change in policy, all other things being equal, and not the indirect effects that a change in policy would most certainly entail.</w:t>
      </w:r>
    </w:p>
    <w:p w14:paraId="3BEC4B25" w14:textId="77777777" w:rsidR="00AC166E" w:rsidRDefault="008122E3">
      <w:pPr>
        <w:pStyle w:val="Ttulo1"/>
        <w:numPr>
          <w:ilvl w:val="0"/>
          <w:numId w:val="2"/>
        </w:numPr>
        <w:tabs>
          <w:tab w:val="left" w:pos="0"/>
        </w:tabs>
      </w:pPr>
      <w:r>
        <w:t>Discussion</w:t>
      </w:r>
    </w:p>
    <w:p w14:paraId="730BA447" w14:textId="77777777" w:rsidR="00AC166E" w:rsidRDefault="008122E3">
      <w:pPr>
        <w:pStyle w:val="Textoindependiente"/>
        <w:tabs>
          <w:tab w:val="left" w:pos="0"/>
        </w:tabs>
      </w:pPr>
      <w:r>
        <w:rPr>
          <w:rFonts w:eastAsia="Calibri" w:cs="Calibri"/>
          <w:kern w:val="0"/>
        </w:rPr>
        <w:t>Our</w:t>
      </w:r>
      <w:r>
        <w:rPr>
          <w:rFonts w:eastAsia="Calibri" w:cs="Calibri"/>
          <w:kern w:val="0"/>
        </w:rPr>
        <w:t xml:space="preserve"> analysis of the core components of consent policies (individual preferences, family preferences, and defaults) shows</w:t>
      </w:r>
      <w:r>
        <w:rPr>
          <w:rFonts w:eastAsia="Calibri" w:cs="Calibri"/>
          <w:kern w:val="0"/>
        </w:rPr>
        <w:t xml:space="preserve"> that </w:t>
      </w:r>
      <w:r>
        <w:rPr>
          <w:rFonts w:eastAsia="Calibri" w:cs="Calibri"/>
          <w:kern w:val="0"/>
        </w:rPr>
        <w:t>opt-in and opt-out</w:t>
      </w:r>
      <w:r>
        <w:rPr>
          <w:rFonts w:eastAsia="Calibri" w:cs="Calibri"/>
          <w:kern w:val="0"/>
        </w:rPr>
        <w:t xml:space="preserve"> models perform identically in all but one situation, i.e. when preferences have not been expressed and therefore d</w:t>
      </w:r>
      <w:r>
        <w:rPr>
          <w:rFonts w:eastAsia="Calibri" w:cs="Calibri"/>
          <w:kern w:val="0"/>
        </w:rPr>
        <w:t xml:space="preserve">efaults apply. </w:t>
      </w:r>
      <w:r>
        <w:rPr>
          <w:rFonts w:eastAsia="Calibri" w:cs="Calibri"/>
          <w:kern w:val="0"/>
        </w:rPr>
        <w:t>It is t</w:t>
      </w:r>
      <w:r>
        <w:rPr>
          <w:rFonts w:eastAsia="Calibri" w:cs="Calibri"/>
          <w:kern w:val="0"/>
        </w:rPr>
        <w:t xml:space="preserve">he frequency of this particular situation that </w:t>
      </w:r>
      <w:r>
        <w:rPr>
          <w:rFonts w:eastAsia="Calibri" w:cs="Calibri"/>
          <w:kern w:val="0"/>
        </w:rPr>
        <w:t xml:space="preserve">determines the direct </w:t>
      </w:r>
      <w:r>
        <w:rPr>
          <w:rFonts w:eastAsia="Calibri" w:cs="Calibri"/>
          <w:kern w:val="0"/>
        </w:rPr>
        <w:t xml:space="preserve">impact of consent policies </w:t>
      </w:r>
      <w:r>
        <w:rPr>
          <w:rFonts w:eastAsia="Calibri" w:cs="Calibri"/>
          <w:i/>
          <w:iCs/>
          <w:kern w:val="0"/>
        </w:rPr>
        <w:t>per se</w:t>
      </w:r>
      <w:r>
        <w:rPr>
          <w:rFonts w:eastAsia="Calibri" w:cs="Calibri"/>
          <w:kern w:val="0"/>
        </w:rPr>
        <w:t xml:space="preserve">, in isolation of other measures and indirect effects, on organ recovery rates. </w:t>
      </w:r>
    </w:p>
    <w:p w14:paraId="20AA2FD5" w14:textId="77777777" w:rsidR="00AC166E" w:rsidRDefault="008122E3">
      <w:pPr>
        <w:pStyle w:val="Textoindependiente"/>
        <w:tabs>
          <w:tab w:val="left" w:pos="0"/>
        </w:tabs>
      </w:pPr>
      <w:r w:rsidRPr="001D1CB8">
        <w:rPr>
          <w:rFonts w:eastAsia="Calibri" w:cs="Calibri"/>
          <w:i/>
          <w:iCs/>
          <w:kern w:val="0"/>
        </w:rPr>
        <w:t>If only the preferences of the deceased person were</w:t>
      </w:r>
      <w:r w:rsidRPr="001D1CB8">
        <w:rPr>
          <w:rFonts w:eastAsia="Calibri" w:cs="Calibri"/>
          <w:i/>
          <w:iCs/>
          <w:kern w:val="0"/>
        </w:rPr>
        <w:t xml:space="preserve"> </w:t>
      </w:r>
      <w:proofErr w:type="gramStart"/>
      <w:r w:rsidRPr="001D1CB8">
        <w:rPr>
          <w:rFonts w:eastAsia="Calibri" w:cs="Calibri"/>
          <w:i/>
          <w:iCs/>
          <w:kern w:val="0"/>
        </w:rPr>
        <w:t>taken into account</w:t>
      </w:r>
      <w:proofErr w:type="gramEnd"/>
      <w:r>
        <w:rPr>
          <w:rFonts w:eastAsia="Calibri" w:cs="Calibri"/>
          <w:kern w:val="0"/>
        </w:rPr>
        <w:t xml:space="preserve">, the opt-out would allow the recovery of organs </w:t>
      </w:r>
      <w:r>
        <w:rPr>
          <w:rFonts w:eastAsia="Calibri" w:cs="Calibri"/>
          <w:kern w:val="0"/>
        </w:rPr>
        <w:t>from</w:t>
      </w:r>
      <w:r>
        <w:rPr>
          <w:rFonts w:eastAsia="Calibri" w:cs="Calibri"/>
          <w:kern w:val="0"/>
        </w:rPr>
        <w:t xml:space="preserve"> all individuals who </w:t>
      </w:r>
      <w:r>
        <w:rPr>
          <w:rFonts w:eastAsia="Calibri" w:cs="Calibri"/>
          <w:kern w:val="0"/>
        </w:rPr>
        <w:t>have</w:t>
      </w:r>
      <w:r>
        <w:rPr>
          <w:rFonts w:eastAsia="Calibri" w:cs="Calibri"/>
          <w:kern w:val="0"/>
        </w:rPr>
        <w:t xml:space="preserve"> expressed no preference, while the opt-in would prevent it. Depending on how often this situation would happen in a given </w:t>
      </w:r>
      <w:r>
        <w:rPr>
          <w:rFonts w:eastAsia="Calibri" w:cs="Calibri"/>
          <w:kern w:val="0"/>
        </w:rPr>
        <w:t>country</w:t>
      </w:r>
      <w:r>
        <w:rPr>
          <w:rFonts w:eastAsia="Calibri" w:cs="Calibri"/>
          <w:kern w:val="0"/>
        </w:rPr>
        <w:t xml:space="preserve">, switching from opt-in to </w:t>
      </w:r>
      <w:r>
        <w:rPr>
          <w:rFonts w:eastAsia="Calibri" w:cs="Calibri"/>
          <w:kern w:val="0"/>
        </w:rPr>
        <w:t>opt-out could dramatically increase organ recovery rates</w:t>
      </w:r>
      <w:r>
        <w:rPr>
          <w:rFonts w:eastAsia="Calibri" w:cs="Calibri"/>
          <w:kern w:val="0"/>
        </w:rPr>
        <w:t xml:space="preserve">. </w:t>
      </w:r>
    </w:p>
    <w:p w14:paraId="3BF9B18E" w14:textId="688FB0CF" w:rsidR="00AC166E" w:rsidRDefault="008122E3">
      <w:pPr>
        <w:pStyle w:val="Textoindependiente"/>
        <w:tabs>
          <w:tab w:val="left" w:pos="0"/>
        </w:tabs>
      </w:pPr>
      <w:r>
        <w:rPr>
          <w:rFonts w:eastAsia="Calibri" w:cs="Calibri"/>
          <w:kern w:val="0"/>
        </w:rPr>
        <w:t xml:space="preserve">However, </w:t>
      </w:r>
      <w:r>
        <w:rPr>
          <w:rFonts w:eastAsia="Calibri" w:cs="Calibri"/>
          <w:kern w:val="0"/>
        </w:rPr>
        <w:t>there are few countries</w:t>
      </w:r>
      <w:r>
        <w:rPr>
          <w:rFonts w:eastAsia="Calibri" w:cs="Calibri"/>
          <w:kern w:val="0"/>
        </w:rPr>
        <w:t xml:space="preserve"> in the world where only the preferences of the deceased person are </w:t>
      </w:r>
      <w:proofErr w:type="gramStart"/>
      <w:r>
        <w:rPr>
          <w:rFonts w:eastAsia="Calibri" w:cs="Calibri"/>
          <w:kern w:val="0"/>
        </w:rPr>
        <w:t>considered</w:t>
      </w:r>
      <w:r>
        <w:rPr>
          <w:rFonts w:eastAsia="Calibri" w:cs="Calibri"/>
          <w:kern w:val="0"/>
        </w:rPr>
        <w:t>[</w:t>
      </w:r>
      <w:proofErr w:type="gramEnd"/>
      <w:r>
        <w:rPr>
          <w:rFonts w:eastAsia="Calibri" w:cs="Calibri"/>
          <w:kern w:val="0"/>
        </w:rPr>
        <w:t>3,21,41,51</w:t>
      </w:r>
      <w:r>
        <w:t>–53]</w:t>
      </w:r>
      <w:r>
        <w:rPr>
          <w:rFonts w:eastAsia="Calibri" w:cs="Calibri"/>
          <w:kern w:val="0"/>
        </w:rPr>
        <w:t xml:space="preserve">. </w:t>
      </w:r>
      <w:r>
        <w:rPr>
          <w:rFonts w:eastAsia="Calibri" w:cs="Calibri"/>
          <w:kern w:val="0"/>
        </w:rPr>
        <w:t>On the contrary, m</w:t>
      </w:r>
      <w:r>
        <w:rPr>
          <w:rFonts w:eastAsia="Calibri" w:cs="Calibri"/>
          <w:kern w:val="0"/>
        </w:rPr>
        <w:t>ost opt-in and opt-out countries worldwide allow th</w:t>
      </w:r>
      <w:r>
        <w:rPr>
          <w:rFonts w:eastAsia="Calibri" w:cs="Calibri"/>
          <w:kern w:val="0"/>
        </w:rPr>
        <w:t xml:space="preserve">e family, either </w:t>
      </w:r>
      <w:r>
        <w:rPr>
          <w:rFonts w:eastAsia="Calibri" w:cs="Calibri"/>
          <w:i/>
          <w:iCs/>
          <w:kern w:val="0"/>
        </w:rPr>
        <w:t>de jure</w:t>
      </w:r>
      <w:r>
        <w:rPr>
          <w:rFonts w:eastAsia="Calibri" w:cs="Calibri"/>
          <w:kern w:val="0"/>
        </w:rPr>
        <w:t xml:space="preserve"> or </w:t>
      </w:r>
      <w:r>
        <w:rPr>
          <w:rFonts w:eastAsia="Calibri" w:cs="Calibri"/>
          <w:i/>
          <w:iCs/>
          <w:kern w:val="0"/>
        </w:rPr>
        <w:t>de facto</w:t>
      </w:r>
      <w:r>
        <w:rPr>
          <w:rFonts w:eastAsia="Calibri" w:cs="Calibri"/>
          <w:kern w:val="0"/>
        </w:rPr>
        <w:t xml:space="preserve">, to make a decision when the deceased had not, and even to overrule the deceased’s consent to donate (cf. Supplementary </w:t>
      </w:r>
      <w:proofErr w:type="gramStart"/>
      <w:r>
        <w:rPr>
          <w:rFonts w:eastAsia="Calibri" w:cs="Calibri"/>
          <w:kern w:val="0"/>
        </w:rPr>
        <w:t>file)[</w:t>
      </w:r>
      <w:proofErr w:type="gramEnd"/>
      <w:r>
        <w:rPr>
          <w:rFonts w:eastAsia="Calibri" w:cs="Calibri"/>
          <w:kern w:val="0"/>
        </w:rPr>
        <w:t xml:space="preserve">9,41,53]. </w:t>
      </w:r>
    </w:p>
    <w:p w14:paraId="751D70BF" w14:textId="7B785AC3" w:rsidR="00AC166E" w:rsidRDefault="008122E3">
      <w:pPr>
        <w:pStyle w:val="Textoindependiente"/>
        <w:tabs>
          <w:tab w:val="left" w:pos="0"/>
        </w:tabs>
      </w:pPr>
      <w:r w:rsidRPr="001D1CB8">
        <w:rPr>
          <w:rFonts w:eastAsia="Calibri" w:cs="Calibri"/>
          <w:i/>
          <w:iCs/>
          <w:kern w:val="0"/>
        </w:rPr>
        <w:t xml:space="preserve">If both the preferences of the deceased and those of the family are </w:t>
      </w:r>
      <w:proofErr w:type="gramStart"/>
      <w:r w:rsidRPr="001D1CB8">
        <w:rPr>
          <w:rFonts w:eastAsia="Calibri" w:cs="Calibri"/>
          <w:i/>
          <w:iCs/>
          <w:kern w:val="0"/>
        </w:rPr>
        <w:t>taken into acc</w:t>
      </w:r>
      <w:r w:rsidRPr="001D1CB8">
        <w:rPr>
          <w:rFonts w:eastAsia="Calibri" w:cs="Calibri"/>
          <w:i/>
          <w:iCs/>
          <w:kern w:val="0"/>
        </w:rPr>
        <w:t>ount</w:t>
      </w:r>
      <w:proofErr w:type="gramEnd"/>
      <w:r>
        <w:rPr>
          <w:rFonts w:eastAsia="Calibri" w:cs="Calibri"/>
          <w:kern w:val="0"/>
        </w:rPr>
        <w:t xml:space="preserve">, then the opt-out enables </w:t>
      </w:r>
      <w:r>
        <w:rPr>
          <w:rFonts w:eastAsia="Calibri" w:cs="Calibri"/>
          <w:kern w:val="0"/>
        </w:rPr>
        <w:t>the</w:t>
      </w:r>
      <w:r>
        <w:rPr>
          <w:rFonts w:eastAsia="Calibri" w:cs="Calibri"/>
          <w:kern w:val="0"/>
        </w:rPr>
        <w:t xml:space="preserve"> recovery of organs when both individual and </w:t>
      </w:r>
      <w:r>
        <w:rPr>
          <w:rFonts w:eastAsia="Calibri" w:cs="Calibri"/>
          <w:kern w:val="0"/>
        </w:rPr>
        <w:t>family</w:t>
      </w:r>
      <w:r>
        <w:rPr>
          <w:rFonts w:eastAsia="Calibri" w:cs="Calibri"/>
          <w:kern w:val="0"/>
        </w:rPr>
        <w:t xml:space="preserve"> preferences are unknown to the medical team. This is obviously a less frequent situation. Based on empirical data, if any </w:t>
      </w:r>
      <w:r>
        <w:rPr>
          <w:rFonts w:eastAsia="Calibri" w:cs="Calibri"/>
          <w:kern w:val="0"/>
        </w:rPr>
        <w:t>of the reviewed</w:t>
      </w:r>
      <w:r>
        <w:rPr>
          <w:rFonts w:eastAsia="Calibri" w:cs="Calibri"/>
          <w:kern w:val="0"/>
        </w:rPr>
        <w:t xml:space="preserve"> opt-in countr</w:t>
      </w:r>
      <w:r>
        <w:rPr>
          <w:rFonts w:eastAsia="Calibri" w:cs="Calibri"/>
          <w:kern w:val="0"/>
        </w:rPr>
        <w:t>ies</w:t>
      </w:r>
      <w:r>
        <w:rPr>
          <w:rFonts w:eastAsia="Calibri" w:cs="Calibri"/>
          <w:kern w:val="0"/>
        </w:rPr>
        <w:t xml:space="preserve"> decided to </w:t>
      </w:r>
      <w:r>
        <w:rPr>
          <w:rFonts w:eastAsia="Calibri" w:cs="Calibri"/>
          <w:kern w:val="0"/>
        </w:rPr>
        <w:t>adop</w:t>
      </w:r>
      <w:r>
        <w:rPr>
          <w:rFonts w:eastAsia="Calibri" w:cs="Calibri"/>
          <w:kern w:val="0"/>
        </w:rPr>
        <w:t>t</w:t>
      </w:r>
      <w:r>
        <w:rPr>
          <w:rFonts w:eastAsia="Calibri" w:cs="Calibri"/>
          <w:kern w:val="0"/>
        </w:rPr>
        <w:t xml:space="preserve"> </w:t>
      </w:r>
      <w:r>
        <w:rPr>
          <w:rFonts w:eastAsia="Calibri" w:cs="Calibri"/>
          <w:kern w:val="0"/>
        </w:rPr>
        <w:t>an</w:t>
      </w:r>
      <w:r>
        <w:rPr>
          <w:rFonts w:eastAsia="Calibri" w:cs="Calibri"/>
          <w:kern w:val="0"/>
        </w:rPr>
        <w:t xml:space="preserve"> opt-out policy, the application of the default</w:t>
      </w:r>
      <w:r>
        <w:rPr>
          <w:rFonts w:eastAsia="Calibri" w:cs="Calibri"/>
          <w:kern w:val="0"/>
        </w:rPr>
        <w:t xml:space="preserve"> </w:t>
      </w:r>
      <w:r>
        <w:rPr>
          <w:rFonts w:eastAsia="Calibri" w:cs="Calibri"/>
          <w:i/>
          <w:iCs/>
          <w:kern w:val="0"/>
        </w:rPr>
        <w:t>alone</w:t>
      </w:r>
      <w:r>
        <w:rPr>
          <w:rFonts w:eastAsia="Calibri" w:cs="Calibri"/>
          <w:kern w:val="0"/>
        </w:rPr>
        <w:t xml:space="preserve"> in this particular situation </w:t>
      </w:r>
      <w:r>
        <w:rPr>
          <w:rFonts w:eastAsia="Calibri" w:cs="Calibri"/>
          <w:kern w:val="0"/>
        </w:rPr>
        <w:t>could</w:t>
      </w:r>
      <w:r>
        <w:rPr>
          <w:rFonts w:eastAsia="Calibri" w:cs="Calibri"/>
          <w:kern w:val="0"/>
        </w:rPr>
        <w:t>,</w:t>
      </w:r>
      <w:r>
        <w:rPr>
          <w:rFonts w:eastAsia="Calibri" w:cs="Calibri"/>
          <w:kern w:val="0"/>
        </w:rPr>
        <w:t xml:space="preserve"> </w:t>
      </w:r>
      <w:r>
        <w:rPr>
          <w:rFonts w:eastAsia="Calibri" w:cs="Calibri"/>
          <w:kern w:val="0"/>
        </w:rPr>
        <w:t>by itself</w:t>
      </w:r>
      <w:r>
        <w:rPr>
          <w:rFonts w:eastAsia="Calibri" w:cs="Calibri"/>
          <w:i/>
          <w:iCs/>
          <w:kern w:val="0"/>
        </w:rPr>
        <w:t>,</w:t>
      </w:r>
      <w:r>
        <w:rPr>
          <w:rFonts w:eastAsia="Calibri" w:cs="Calibri"/>
          <w:kern w:val="0"/>
        </w:rPr>
        <w:t xml:space="preserve"> increase organ recovery by 0% to 5%. Conversely, if any of the reviewed opt-out countries decided to adopt an opt-in policy, </w:t>
      </w:r>
      <w:r>
        <w:rPr>
          <w:rFonts w:eastAsia="Calibri" w:cs="Calibri"/>
          <w:kern w:val="0"/>
        </w:rPr>
        <w:t xml:space="preserve">this legal change </w:t>
      </w:r>
      <w:r>
        <w:rPr>
          <w:rFonts w:eastAsia="Calibri" w:cs="Calibri"/>
          <w:i/>
          <w:iCs/>
          <w:kern w:val="0"/>
        </w:rPr>
        <w:t>alone</w:t>
      </w:r>
      <w:r>
        <w:rPr>
          <w:rFonts w:eastAsia="Calibri" w:cs="Calibri"/>
          <w:kern w:val="0"/>
        </w:rPr>
        <w:t xml:space="preserve"> </w:t>
      </w:r>
      <w:r>
        <w:rPr>
          <w:rFonts w:eastAsia="Calibri" w:cs="Calibri"/>
          <w:kern w:val="0"/>
        </w:rPr>
        <w:t>could</w:t>
      </w:r>
      <w:r>
        <w:rPr>
          <w:rFonts w:eastAsia="Calibri" w:cs="Calibri"/>
          <w:kern w:val="0"/>
        </w:rPr>
        <w:t xml:space="preserve"> </w:t>
      </w:r>
      <w:r>
        <w:rPr>
          <w:rFonts w:eastAsia="Calibri" w:cs="Calibri"/>
          <w:i/>
          <w:iCs/>
          <w:kern w:val="0"/>
        </w:rPr>
        <w:t>by itself</w:t>
      </w:r>
      <w:r>
        <w:rPr>
          <w:rFonts w:eastAsia="Calibri" w:cs="Calibri"/>
          <w:kern w:val="0"/>
        </w:rPr>
        <w:t xml:space="preserve"> decrease</w:t>
      </w:r>
      <w:r>
        <w:rPr>
          <w:rFonts w:eastAsia="Calibri" w:cs="Calibri"/>
          <w:kern w:val="0"/>
        </w:rPr>
        <w:t xml:space="preserve"> organ recovery</w:t>
      </w:r>
      <w:r>
        <w:rPr>
          <w:rFonts w:eastAsia="Calibri" w:cs="Calibri"/>
          <w:kern w:val="0"/>
        </w:rPr>
        <w:t xml:space="preserve"> by 0% to 5%.</w:t>
      </w:r>
      <w:r>
        <w:rPr>
          <w:rFonts w:eastAsia="Calibri" w:cs="Calibri"/>
          <w:kern w:val="0"/>
        </w:rPr>
        <w:t xml:space="preserve"> </w:t>
      </w:r>
    </w:p>
    <w:p w14:paraId="057B3944" w14:textId="77777777" w:rsidR="00AC166E" w:rsidRDefault="008122E3">
      <w:pPr>
        <w:pStyle w:val="Textoindependiente"/>
      </w:pPr>
      <w:r>
        <w:rPr>
          <w:rFonts w:eastAsia="Calibri" w:cs="Calibri"/>
          <w:kern w:val="0"/>
        </w:rPr>
        <w:t xml:space="preserve">However, </w:t>
      </w:r>
      <w:r>
        <w:rPr>
          <w:rFonts w:eastAsia="Calibri" w:cs="Calibri"/>
          <w:kern w:val="0"/>
        </w:rPr>
        <w:t xml:space="preserve">it appears that some opt-out countries are not taking full advantage of the opportunity provided by presumed consent to retrieve organs without explicit </w:t>
      </w:r>
      <w:r>
        <w:rPr>
          <w:rFonts w:eastAsia="Calibri" w:cs="Calibri"/>
          <w:kern w:val="0"/>
        </w:rPr>
        <w:t>authorisation. I</w:t>
      </w:r>
      <w:r>
        <w:rPr>
          <w:rFonts w:eastAsia="Calibri" w:cs="Calibri"/>
          <w:kern w:val="0"/>
        </w:rPr>
        <w:t xml:space="preserve">n </w:t>
      </w:r>
      <w:r>
        <w:rPr>
          <w:rFonts w:eastAsia="Calibri" w:cs="Calibri"/>
          <w:kern w:val="0"/>
        </w:rPr>
        <w:lastRenderedPageBreak/>
        <w:t xml:space="preserve">France, Sweden, and </w:t>
      </w:r>
      <w:proofErr w:type="spellStart"/>
      <w:r>
        <w:rPr>
          <w:rFonts w:eastAsia="Calibri" w:cs="Calibri"/>
          <w:kern w:val="0"/>
        </w:rPr>
        <w:t>T</w:t>
      </w:r>
      <w:r>
        <w:rPr>
          <w:rFonts w:eastAsia="Calibri" w:cs="Calibri"/>
          <w:kern w:val="0"/>
        </w:rPr>
        <w:t>ürkiye</w:t>
      </w:r>
      <w:proofErr w:type="spellEnd"/>
      <w:r>
        <w:rPr>
          <w:rFonts w:eastAsia="Calibri" w:cs="Calibri"/>
          <w:kern w:val="0"/>
        </w:rPr>
        <w:t xml:space="preserve">, we found that “family disagreement” and “relatives could not be contacted” were </w:t>
      </w:r>
      <w:proofErr w:type="spellStart"/>
      <w:r>
        <w:rPr>
          <w:rFonts w:eastAsia="Calibri" w:cs="Calibri"/>
          <w:kern w:val="0"/>
        </w:rPr>
        <w:t>mentionned</w:t>
      </w:r>
      <w:proofErr w:type="spellEnd"/>
      <w:r>
        <w:rPr>
          <w:rFonts w:eastAsia="Calibri" w:cs="Calibri"/>
          <w:kern w:val="0"/>
        </w:rPr>
        <w:t xml:space="preserve"> as reasons for non-donation. This means that organs were </w:t>
      </w:r>
      <w:r>
        <w:rPr>
          <w:rFonts w:eastAsia="Calibri" w:cs="Calibri"/>
          <w:i/>
          <w:iCs/>
          <w:kern w:val="0"/>
        </w:rPr>
        <w:t>not</w:t>
      </w:r>
      <w:r>
        <w:rPr>
          <w:rFonts w:eastAsia="Calibri" w:cs="Calibri"/>
          <w:kern w:val="0"/>
        </w:rPr>
        <w:t xml:space="preserve"> recovered </w:t>
      </w:r>
      <w:r>
        <w:rPr>
          <w:rFonts w:eastAsia="Calibri" w:cs="Calibri"/>
          <w:kern w:val="0"/>
        </w:rPr>
        <w:t>when both individual and family preferences wer</w:t>
      </w:r>
      <w:r>
        <w:rPr>
          <w:rFonts w:eastAsia="Calibri" w:cs="Calibri"/>
          <w:kern w:val="0"/>
        </w:rPr>
        <w:t xml:space="preserve">e unknown to the medical team. Indeed, doctors may feel reluctant to procure organs without any expressed consent or authorisation, even when they are legally allowed to do so. In Belgium, Finland, and Spain, officials </w:t>
      </w:r>
      <w:r>
        <w:rPr>
          <w:rFonts w:eastAsia="Calibri" w:cs="Calibri"/>
          <w:kern w:val="0"/>
        </w:rPr>
        <w:t>informed us</w:t>
      </w:r>
      <w:r>
        <w:rPr>
          <w:rFonts w:eastAsia="Calibri" w:cs="Calibri"/>
          <w:kern w:val="0"/>
        </w:rPr>
        <w:t xml:space="preserve"> that, to their knowledge,</w:t>
      </w:r>
      <w:r>
        <w:rPr>
          <w:rFonts w:eastAsia="Calibri" w:cs="Calibri"/>
          <w:kern w:val="0"/>
        </w:rPr>
        <w:t xml:space="preserve"> </w:t>
      </w:r>
      <w:r>
        <w:rPr>
          <w:rFonts w:eastAsia="Calibri" w:cs="Calibri"/>
          <w:color w:val="2A6099"/>
          <w:kern w:val="0"/>
        </w:rPr>
        <w:t>the situation where the deceased didn</w:t>
      </w:r>
      <w:r>
        <w:rPr>
          <w:color w:val="2A6099"/>
        </w:rPr>
        <w:t xml:space="preserve">’t express any preference, the family could not be reached or </w:t>
      </w:r>
      <w:proofErr w:type="gramStart"/>
      <w:r>
        <w:rPr>
          <w:color w:val="2A6099"/>
        </w:rPr>
        <w:t>make a decision</w:t>
      </w:r>
      <w:proofErr w:type="gramEnd"/>
      <w:r>
        <w:rPr>
          <w:color w:val="2A6099"/>
        </w:rPr>
        <w:t>, and organs were nevertheless procured—according to the law—is very rare</w:t>
      </w:r>
      <w:r>
        <w:rPr>
          <w:rFonts w:eastAsia="Calibri" w:cs="Calibri"/>
          <w:kern w:val="0"/>
        </w:rPr>
        <w:t>. In addition, a review of organ donation laws in the EU pointed out</w:t>
      </w:r>
      <w:r>
        <w:rPr>
          <w:rFonts w:eastAsia="Calibri" w:cs="Calibri"/>
          <w:kern w:val="0"/>
        </w:rPr>
        <w:t xml:space="preserve"> that in Cyprus and Greece organs cannot be legally recovered without the authorisation of the deceased’s relatives </w:t>
      </w:r>
      <w:r>
        <w:rPr>
          <w:rFonts w:eastAsia="Calibri" w:cs="Calibri"/>
          <w:kern w:val="0"/>
        </w:rPr>
        <w:t>[54]</w:t>
      </w:r>
      <w:r>
        <w:rPr>
          <w:rFonts w:eastAsia="Calibri" w:cs="Calibri"/>
          <w:kern w:val="0"/>
        </w:rPr>
        <w:t>. Therefore, the direct effect of changing the default alone might be smaller than indicated above because, in practice, the opt-out def</w:t>
      </w:r>
      <w:r>
        <w:rPr>
          <w:rFonts w:eastAsia="Calibri" w:cs="Calibri"/>
          <w:kern w:val="0"/>
        </w:rPr>
        <w:t xml:space="preserve">ault is not necessarily implemented to its full potential. That said, </w:t>
      </w:r>
      <w:r>
        <w:rPr>
          <w:rFonts w:eastAsia="Calibri" w:cs="Calibri"/>
          <w:kern w:val="0"/>
        </w:rPr>
        <w:t>c</w:t>
      </w:r>
      <w:r>
        <w:rPr>
          <w:rFonts w:eastAsia="Calibri" w:cs="Calibri"/>
          <w:kern w:val="0"/>
        </w:rPr>
        <w:t>hanging the default may also cause indirect effects, including on the behaviour of individuals and families, which could increase or decrease organ recovery beyond the figures indicated</w:t>
      </w:r>
      <w:r>
        <w:rPr>
          <w:rFonts w:eastAsia="Calibri" w:cs="Calibri"/>
          <w:kern w:val="0"/>
        </w:rPr>
        <w:t xml:space="preserve"> above, but such effects are beyond the scope of this work.</w:t>
      </w:r>
    </w:p>
    <w:p w14:paraId="63508C24" w14:textId="77777777" w:rsidR="00AC166E" w:rsidRDefault="008122E3">
      <w:pPr>
        <w:pStyle w:val="Textoindependiente"/>
      </w:pPr>
      <w:r>
        <w:rPr>
          <w:rFonts w:eastAsia="Calibri" w:cs="Calibri"/>
          <w:kern w:val="0"/>
        </w:rPr>
        <w:t xml:space="preserve">Previous studies have shown that in most countries, both opt-in and opt-out, families are consulted in order to </w:t>
      </w:r>
      <w:proofErr w:type="gramStart"/>
      <w:r>
        <w:rPr>
          <w:rFonts w:eastAsia="Calibri" w:cs="Calibri"/>
          <w:kern w:val="0"/>
        </w:rPr>
        <w:t>make a decision</w:t>
      </w:r>
      <w:proofErr w:type="gramEnd"/>
      <w:r>
        <w:rPr>
          <w:rFonts w:eastAsia="Calibri" w:cs="Calibri"/>
          <w:kern w:val="0"/>
        </w:rPr>
        <w:t xml:space="preserve"> on organ donation </w:t>
      </w:r>
      <w:r>
        <w:rPr>
          <w:rFonts w:eastAsia="Calibri" w:cs="Calibri"/>
          <w:kern w:val="0"/>
        </w:rPr>
        <w:t>[9,53]</w:t>
      </w:r>
      <w:r>
        <w:rPr>
          <w:rFonts w:eastAsia="Calibri" w:cs="Calibri"/>
          <w:kern w:val="0"/>
        </w:rPr>
        <w:t xml:space="preserve">. Furthermore, we have previously shown that, in most countries, the role of the family in organ donation decisions is greater in clinical practice than according to the law </w:t>
      </w:r>
      <w:r>
        <w:rPr>
          <w:rFonts w:eastAsia="Calibri" w:cs="Calibri"/>
          <w:kern w:val="0"/>
        </w:rPr>
        <w:t>[41]</w:t>
      </w:r>
      <w:r>
        <w:rPr>
          <w:rFonts w:eastAsia="Calibri" w:cs="Calibri"/>
          <w:kern w:val="0"/>
        </w:rPr>
        <w:t xml:space="preserve">. However, we had not been able to assess how common it is for families to be </w:t>
      </w:r>
      <w:r>
        <w:rPr>
          <w:rFonts w:eastAsia="Calibri" w:cs="Calibri"/>
          <w:kern w:val="0"/>
        </w:rPr>
        <w:t xml:space="preserve">consulted in a given country. </w:t>
      </w:r>
      <w:r>
        <w:rPr>
          <w:rFonts w:eastAsia="Calibri" w:cs="Calibri"/>
          <w:kern w:val="0"/>
        </w:rPr>
        <w:t>A</w:t>
      </w:r>
      <w:r>
        <w:rPr>
          <w:rFonts w:eastAsia="Calibri" w:cs="Calibri"/>
          <w:kern w:val="0"/>
        </w:rPr>
        <w:t xml:space="preserve"> contribution of this article is to provide both qualitative and quantitative insights into how and to what extent family preferences are used in organ donation decisions. On the one hand, we can now state quite confidently t</w:t>
      </w:r>
      <w:r>
        <w:rPr>
          <w:rFonts w:eastAsia="Calibri" w:cs="Calibri"/>
          <w:kern w:val="0"/>
        </w:rPr>
        <w:t xml:space="preserve">hat when the deceased did not leave a written record of their preferences, family members are almost always consulted, either as witnesses to the deceased's wishes or to </w:t>
      </w:r>
      <w:proofErr w:type="gramStart"/>
      <w:r>
        <w:rPr>
          <w:rFonts w:eastAsia="Calibri" w:cs="Calibri"/>
          <w:kern w:val="0"/>
        </w:rPr>
        <w:t>make a decision</w:t>
      </w:r>
      <w:proofErr w:type="gramEnd"/>
      <w:r>
        <w:rPr>
          <w:rFonts w:eastAsia="Calibri" w:cs="Calibri"/>
          <w:kern w:val="0"/>
        </w:rPr>
        <w:t xml:space="preserve"> based on their own preferences. This applies to those countries we hav</w:t>
      </w:r>
      <w:r>
        <w:rPr>
          <w:rFonts w:eastAsia="Calibri" w:cs="Calibri"/>
          <w:kern w:val="0"/>
        </w:rPr>
        <w:t xml:space="preserve">e been able to include in this study. However, we lack sufficient data from some opt-out countries where the results might be different, including </w:t>
      </w:r>
      <w:r>
        <w:rPr>
          <w:rFonts w:eastAsia="Calibri" w:cs="Calibri"/>
          <w:kern w:val="0"/>
        </w:rPr>
        <w:lastRenderedPageBreak/>
        <w:t>Argentina, Colombia and Uruguay where recent laws prevent the next-of-kin from opposing organ recovery, as we</w:t>
      </w:r>
      <w:r>
        <w:rPr>
          <w:rFonts w:eastAsia="Calibri" w:cs="Calibri"/>
          <w:kern w:val="0"/>
        </w:rPr>
        <w:t>ll as Austria, where this has been the case for a long time. In France, although families can no longer legally object to the recovery of organs since 2017 (but can only act as a witness to the deceased's wishes), family objections have not disappeared but</w:t>
      </w:r>
      <w:r>
        <w:rPr>
          <w:rFonts w:eastAsia="Calibri" w:cs="Calibri"/>
          <w:kern w:val="0"/>
        </w:rPr>
        <w:t xml:space="preserve"> rather increased since then, reaching 37% in April 2022 (46% in the Paris region), according to a press release from the </w:t>
      </w:r>
      <w:proofErr w:type="spellStart"/>
      <w:r>
        <w:rPr>
          <w:rFonts w:eastAsia="Calibri" w:cs="Calibri"/>
          <w:kern w:val="0"/>
        </w:rPr>
        <w:t>Agence</w:t>
      </w:r>
      <w:proofErr w:type="spellEnd"/>
      <w:r>
        <w:rPr>
          <w:rFonts w:eastAsia="Calibri" w:cs="Calibri"/>
          <w:kern w:val="0"/>
        </w:rPr>
        <w:t xml:space="preserve"> de la </w:t>
      </w:r>
      <w:proofErr w:type="spellStart"/>
      <w:r>
        <w:rPr>
          <w:rFonts w:eastAsia="Calibri" w:cs="Calibri"/>
          <w:kern w:val="0"/>
        </w:rPr>
        <w:t>Biomédecine</w:t>
      </w:r>
      <w:proofErr w:type="spellEnd"/>
      <w:r>
        <w:rPr>
          <w:rFonts w:eastAsia="Calibri" w:cs="Calibri"/>
          <w:kern w:val="0"/>
        </w:rPr>
        <w:t xml:space="preserve"> (dated 15 June). All this affects the direct impact of consent policies</w:t>
      </w:r>
      <w:r>
        <w:rPr>
          <w:rFonts w:eastAsia="Calibri" w:cs="Calibri"/>
          <w:kern w:val="0"/>
        </w:rPr>
        <w:t xml:space="preserve"> </w:t>
      </w:r>
      <w:r>
        <w:rPr>
          <w:rFonts w:eastAsia="Calibri" w:cs="Calibri"/>
          <w:i/>
          <w:iCs/>
          <w:kern w:val="0"/>
        </w:rPr>
        <w:t>per se</w:t>
      </w:r>
      <w:r>
        <w:rPr>
          <w:rFonts w:eastAsia="Calibri" w:cs="Calibri"/>
          <w:kern w:val="0"/>
        </w:rPr>
        <w:t xml:space="preserve">, because whenever preferences </w:t>
      </w:r>
      <w:r>
        <w:rPr>
          <w:rFonts w:eastAsia="Calibri" w:cs="Calibri"/>
          <w:kern w:val="0"/>
        </w:rPr>
        <w:t xml:space="preserve">are </w:t>
      </w:r>
      <w:proofErr w:type="gramStart"/>
      <w:r>
        <w:rPr>
          <w:rFonts w:eastAsia="Calibri" w:cs="Calibri"/>
          <w:kern w:val="0"/>
        </w:rPr>
        <w:t>taken into account</w:t>
      </w:r>
      <w:proofErr w:type="gramEnd"/>
      <w:r>
        <w:rPr>
          <w:rFonts w:eastAsia="Calibri" w:cs="Calibri"/>
          <w:kern w:val="0"/>
        </w:rPr>
        <w:t>, defaults are not applied.</w:t>
      </w:r>
    </w:p>
    <w:p w14:paraId="241D21E3" w14:textId="2E5BE74C" w:rsidR="00AC166E" w:rsidRDefault="008122E3">
      <w:pPr>
        <w:pStyle w:val="Textoindependiente"/>
        <w:tabs>
          <w:tab w:val="left" w:pos="0"/>
        </w:tabs>
      </w:pPr>
      <w:r>
        <w:rPr>
          <w:rFonts w:eastAsia="Calibri" w:cs="Calibri"/>
          <w:kern w:val="0"/>
        </w:rPr>
        <w:t>On the other hand, our</w:t>
      </w:r>
      <w:r>
        <w:rPr>
          <w:rFonts w:eastAsia="Calibri" w:cs="Calibri"/>
          <w:kern w:val="0"/>
        </w:rPr>
        <w:t xml:space="preserve"> study </w:t>
      </w:r>
      <w:r>
        <w:rPr>
          <w:rFonts w:eastAsia="Calibri" w:cs="Calibri"/>
          <w:kern w:val="0"/>
        </w:rPr>
        <w:t xml:space="preserve">shows that the intervention of the family </w:t>
      </w:r>
      <w:r>
        <w:rPr>
          <w:rFonts w:eastAsia="Calibri" w:cs="Calibri"/>
          <w:kern w:val="0"/>
        </w:rPr>
        <w:t>improves</w:t>
      </w:r>
      <w:r>
        <w:rPr>
          <w:rFonts w:eastAsia="Calibri" w:cs="Calibri"/>
          <w:kern w:val="0"/>
        </w:rPr>
        <w:t xml:space="preserve"> organ retrieval under opt-in but hinders it under opt-out (Fig. 1). Though this may seem counter-intuitive, a</w:t>
      </w:r>
      <w:r>
        <w:rPr>
          <w:rFonts w:eastAsia="Calibri" w:cs="Calibri"/>
          <w:kern w:val="0"/>
        </w:rPr>
        <w:t xml:space="preserve"> plausibl</w:t>
      </w:r>
      <w:r>
        <w:rPr>
          <w:rFonts w:eastAsia="Calibri" w:cs="Calibri"/>
          <w:kern w:val="0"/>
        </w:rPr>
        <w:t>e</w:t>
      </w:r>
      <w:r>
        <w:rPr>
          <w:rFonts w:eastAsia="Calibri" w:cs="Calibri"/>
          <w:kern w:val="0"/>
        </w:rPr>
        <w:t xml:space="preserve"> explanation for this phenomenon is the following. The intervention of the family increases the proportion of likely organ donors under opt-in policies (Fig. 1, </w:t>
      </w:r>
      <w:r>
        <w:rPr>
          <w:rFonts w:eastAsia="Calibri" w:cs="Calibri"/>
          <w:kern w:val="0"/>
        </w:rPr>
        <w:t>blue</w:t>
      </w:r>
      <w:r>
        <w:rPr>
          <w:rFonts w:eastAsia="Calibri" w:cs="Calibri"/>
          <w:kern w:val="0"/>
        </w:rPr>
        <w:t xml:space="preserve"> bars) in all examined countries, as family authorisations in absence of the deceased’ con</w:t>
      </w:r>
      <w:r>
        <w:rPr>
          <w:rFonts w:eastAsia="Calibri" w:cs="Calibri"/>
          <w:kern w:val="0"/>
        </w:rPr>
        <w:t>sent outnumber family oppositions when the deceased had consented. In other words, as a majority of deceased individuals fail to express their preferences before death, a majority of organs could not be retrieved in opt-in countries but for the next-of-kin</w:t>
      </w:r>
      <w:r>
        <w:rPr>
          <w:rFonts w:eastAsia="Calibri" w:cs="Calibri"/>
          <w:kern w:val="0"/>
        </w:rPr>
        <w:t xml:space="preserve">’s authorisation. Meanwhile, family intervention decreases the proportion of likely organ donors under opt-out policies (Fig. 1, </w:t>
      </w:r>
      <w:r>
        <w:rPr>
          <w:rFonts w:eastAsia="Calibri" w:cs="Calibri"/>
          <w:kern w:val="0"/>
        </w:rPr>
        <w:t>orange</w:t>
      </w:r>
      <w:r>
        <w:rPr>
          <w:rFonts w:eastAsia="Calibri" w:cs="Calibri"/>
          <w:kern w:val="0"/>
        </w:rPr>
        <w:t xml:space="preserve"> bars). Indeed, when the deceased consented or their preferences are unknown, family oppositions prevent the retrieval of</w:t>
      </w:r>
      <w:r>
        <w:rPr>
          <w:rFonts w:eastAsia="Calibri" w:cs="Calibri"/>
          <w:kern w:val="0"/>
        </w:rPr>
        <w:t xml:space="preserve"> organs that would otherwise </w:t>
      </w:r>
      <w:r>
        <w:rPr>
          <w:rFonts w:eastAsia="Calibri" w:cs="Calibri"/>
          <w:kern w:val="0"/>
        </w:rPr>
        <w:t>be</w:t>
      </w:r>
      <w:r>
        <w:rPr>
          <w:rFonts w:eastAsia="Calibri" w:cs="Calibri"/>
          <w:kern w:val="0"/>
        </w:rPr>
        <w:t xml:space="preserve"> retrieved. In other words, the organs of all those who remained silent could be retrieved in opt-out countries if it was not because of opposition from families.</w:t>
      </w:r>
    </w:p>
    <w:p w14:paraId="0CA9CF05" w14:textId="2437BAC1" w:rsidR="00AC166E" w:rsidRDefault="008122E3">
      <w:pPr>
        <w:pStyle w:val="Textoindependiente"/>
        <w:tabs>
          <w:tab w:val="left" w:pos="0"/>
        </w:tabs>
      </w:pPr>
      <w:r>
        <w:rPr>
          <w:rFonts w:eastAsia="Calibri" w:cs="Calibri"/>
          <w:kern w:val="0"/>
        </w:rPr>
        <w:t xml:space="preserve">The power of our approach stems from the combination of </w:t>
      </w:r>
      <w:r>
        <w:rPr>
          <w:rFonts w:eastAsia="Calibri" w:cs="Calibri"/>
          <w:kern w:val="0"/>
        </w:rPr>
        <w:t>conceptual analysis</w:t>
      </w:r>
      <w:r>
        <w:rPr>
          <w:rFonts w:eastAsia="Calibri" w:cs="Calibri"/>
          <w:kern w:val="0"/>
        </w:rPr>
        <w:t xml:space="preserve"> with real-world statistics from multiple and diverse countries, allowing us to measure the frequency of that particular situation where opt-in and opt-out policies actually differ in their application. </w:t>
      </w:r>
      <w:r>
        <w:rPr>
          <w:rFonts w:eastAsia="Calibri" w:cs="Calibri"/>
          <w:kern w:val="0"/>
        </w:rPr>
        <w:t>In other words, our st</w:t>
      </w:r>
      <w:r>
        <w:rPr>
          <w:rFonts w:eastAsia="Calibri" w:cs="Calibri"/>
          <w:kern w:val="0"/>
        </w:rPr>
        <w:t>udy is the first to examine the impact of opt-in and opt-out by focusing on what makes these policies different from each other. To our knowledge</w:t>
      </w:r>
      <w:r>
        <w:rPr>
          <w:rFonts w:eastAsia="Calibri" w:cs="Calibri"/>
          <w:kern w:val="0"/>
        </w:rPr>
        <w:t>, this specific information ha</w:t>
      </w:r>
      <w:r>
        <w:rPr>
          <w:rFonts w:eastAsia="Calibri" w:cs="Calibri"/>
          <w:kern w:val="0"/>
        </w:rPr>
        <w:t>s</w:t>
      </w:r>
      <w:r>
        <w:rPr>
          <w:rFonts w:eastAsia="Calibri" w:cs="Calibri"/>
          <w:kern w:val="0"/>
        </w:rPr>
        <w:t xml:space="preserve"> never been actively sought nor specifically published </w:t>
      </w:r>
      <w:r>
        <w:rPr>
          <w:rFonts w:eastAsia="Calibri" w:cs="Calibri"/>
          <w:kern w:val="0"/>
        </w:rPr>
        <w:t>before</w:t>
      </w:r>
      <w:r>
        <w:rPr>
          <w:rFonts w:eastAsia="Calibri" w:cs="Calibri"/>
          <w:kern w:val="0"/>
        </w:rPr>
        <w:t xml:space="preserve"> in the scientific </w:t>
      </w:r>
      <w:r>
        <w:rPr>
          <w:rFonts w:eastAsia="Calibri" w:cs="Calibri"/>
          <w:kern w:val="0"/>
        </w:rPr>
        <w:t xml:space="preserve">literature, and </w:t>
      </w:r>
      <w:r>
        <w:rPr>
          <w:rFonts w:eastAsia="Calibri" w:cs="Calibri"/>
          <w:kern w:val="0"/>
        </w:rPr>
        <w:t>it is</w:t>
      </w:r>
      <w:r>
        <w:rPr>
          <w:rFonts w:eastAsia="Calibri" w:cs="Calibri"/>
          <w:kern w:val="0"/>
        </w:rPr>
        <w:t xml:space="preserve"> seldom reported </w:t>
      </w:r>
      <w:r>
        <w:rPr>
          <w:rFonts w:eastAsia="Calibri" w:cs="Calibri"/>
          <w:kern w:val="0"/>
        </w:rPr>
        <w:lastRenderedPageBreak/>
        <w:t>in official statistics even in countries</w:t>
      </w:r>
      <w:r>
        <w:rPr>
          <w:rFonts w:eastAsia="Calibri" w:cs="Calibri"/>
          <w:kern w:val="0"/>
        </w:rPr>
        <w:t>, such as Spain,</w:t>
      </w:r>
      <w:r>
        <w:rPr>
          <w:rFonts w:eastAsia="Calibri" w:cs="Calibri"/>
          <w:kern w:val="0"/>
        </w:rPr>
        <w:t xml:space="preserve"> with </w:t>
      </w:r>
      <w:r>
        <w:rPr>
          <w:rFonts w:eastAsia="Calibri" w:cs="Calibri"/>
          <w:kern w:val="0"/>
        </w:rPr>
        <w:t>advanced organ donation and transplantation programmes. This makes the data we obtained the best empirical evidence available to date.</w:t>
      </w:r>
    </w:p>
    <w:p w14:paraId="2E307D0C" w14:textId="3305E21E" w:rsidR="00AC166E" w:rsidRDefault="008122E3">
      <w:pPr>
        <w:pStyle w:val="Textoindependiente"/>
        <w:tabs>
          <w:tab w:val="left" w:pos="0"/>
        </w:tabs>
        <w:rPr>
          <w:rFonts w:eastAsia="Calibri" w:cs="Calibri"/>
          <w:kern w:val="0"/>
        </w:rPr>
      </w:pPr>
      <w:r>
        <w:rPr>
          <w:rFonts w:eastAsia="Calibri" w:cs="Calibri"/>
          <w:kern w:val="0"/>
        </w:rPr>
        <w:t>That being said</w:t>
      </w:r>
      <w:r>
        <w:rPr>
          <w:rFonts w:eastAsia="Calibri" w:cs="Calibri"/>
          <w:kern w:val="0"/>
        </w:rPr>
        <w:t>, the data reported here are indicative rather than representative, meaning that the aggregated data provide a general estimate of the frequency of the situation where the default option is applicable, but individual figures should be treated with caution.</w:t>
      </w:r>
      <w:r>
        <w:rPr>
          <w:rFonts w:eastAsia="Calibri" w:cs="Calibri"/>
          <w:kern w:val="0"/>
        </w:rPr>
        <w:t xml:space="preserve"> Indeed, these figures were extracted from a wide variety of sources with significant differences in their definitions, samples, methods and dates. As a </w:t>
      </w:r>
      <w:r>
        <w:rPr>
          <w:rFonts w:eastAsia="Calibri" w:cs="Calibri"/>
          <w:kern w:val="0"/>
        </w:rPr>
        <w:t>consequence</w:t>
      </w:r>
      <w:r>
        <w:rPr>
          <w:rFonts w:eastAsia="Calibri" w:cs="Calibri"/>
          <w:kern w:val="0"/>
        </w:rPr>
        <w:t>, two reports from the same country may give different results, as is the case for some of t</w:t>
      </w:r>
      <w:r>
        <w:rPr>
          <w:rFonts w:eastAsia="Calibri" w:cs="Calibri"/>
          <w:kern w:val="0"/>
        </w:rPr>
        <w:t xml:space="preserve">hose we have examined (e.g., Denmark). In addition, the type of information we were looking for is not usually reported by healthcare professionals, nor is it usually compiled in statistics or, when compiled, publicly available, or, when available, usable </w:t>
      </w:r>
      <w:r>
        <w:rPr>
          <w:rFonts w:eastAsia="Calibri" w:cs="Calibri"/>
          <w:kern w:val="0"/>
        </w:rPr>
        <w:t xml:space="preserve">for this study’s purpose. Thus, we were unable to find relevant data sources in many countries and, where we did, the data provided was often incomplete, inaccurate or difficult to extract. </w:t>
      </w:r>
      <w:r w:rsidRPr="001D1CB8">
        <w:t>For example, reports often detail the reasons why organs could not</w:t>
      </w:r>
      <w:r w:rsidRPr="001D1CB8">
        <w:t xml:space="preserve"> be retrieved, including 'lack of consent', but are usually </w:t>
      </w:r>
      <w:r w:rsidRPr="001D1CB8">
        <w:t>ambiguous</w:t>
      </w:r>
      <w:r w:rsidRPr="001D1CB8">
        <w:t xml:space="preserve"> about whether this refers to the expressed refusal of the deceased, the expressed opposition of relatives, both, or, conversely, the absence of expressed consent or authorisa</w:t>
      </w:r>
      <w:r w:rsidRPr="001D1CB8">
        <w:t>tion.</w:t>
      </w:r>
      <w:r>
        <w:rPr>
          <w:rFonts w:eastAsia="Calibri" w:cs="Calibri"/>
          <w:kern w:val="0"/>
        </w:rPr>
        <w:t xml:space="preserve"> </w:t>
      </w:r>
      <w:r>
        <w:rPr>
          <w:rFonts w:eastAsia="Calibri" w:cs="Calibri"/>
          <w:kern w:val="0"/>
        </w:rPr>
        <w:t xml:space="preserve">In contrast, it is much rarer to find useful information for cases where organs have been </w:t>
      </w:r>
      <w:r>
        <w:rPr>
          <w:rFonts w:eastAsia="Calibri" w:cs="Calibri"/>
          <w:kern w:val="0"/>
        </w:rPr>
        <w:t>retrieved</w:t>
      </w:r>
      <w:r>
        <w:rPr>
          <w:rFonts w:eastAsia="Calibri" w:cs="Calibri"/>
          <w:kern w:val="0"/>
        </w:rPr>
        <w:t xml:space="preserve">, apart from the occasional vague mention of consent. </w:t>
      </w:r>
      <w:r>
        <w:rPr>
          <w:rFonts w:eastAsia="Calibri" w:cs="Calibri"/>
          <w:kern w:val="0"/>
        </w:rPr>
        <w:t xml:space="preserve">For these reasons, we were unable to include data from numerous reports. </w:t>
      </w:r>
      <w:r>
        <w:rPr>
          <w:rFonts w:eastAsia="Calibri" w:cs="Calibri"/>
          <w:kern w:val="0"/>
        </w:rPr>
        <w:t>The best available resul</w:t>
      </w:r>
      <w:r>
        <w:rPr>
          <w:rFonts w:eastAsia="Calibri" w:cs="Calibri"/>
          <w:kern w:val="0"/>
        </w:rPr>
        <w:t>ts are those reported in Table 4. For the rest of the data available, in view of the above limitations, we have opted to provide only ranges of values rather than specific figures for each country. We hope that this study will serve to alert clinicians and</w:t>
      </w:r>
      <w:r>
        <w:rPr>
          <w:rFonts w:eastAsia="Calibri" w:cs="Calibri"/>
          <w:kern w:val="0"/>
        </w:rPr>
        <w:t xml:space="preserve"> authorities to the need to collect more comprehensive and detailed data on the organ donation preferences of the deceased and their families.</w:t>
      </w:r>
    </w:p>
    <w:p w14:paraId="153A12DF" w14:textId="03C05778" w:rsidR="00AC166E" w:rsidRDefault="008122E3">
      <w:pPr>
        <w:pStyle w:val="Textoindependiente"/>
        <w:tabs>
          <w:tab w:val="left" w:pos="0"/>
        </w:tabs>
      </w:pPr>
      <w:r>
        <w:rPr>
          <w:rFonts w:eastAsia="Calibri" w:cs="Calibri"/>
          <w:kern w:val="0"/>
        </w:rPr>
        <w:t xml:space="preserve">Our </w:t>
      </w:r>
      <w:r>
        <w:rPr>
          <w:rFonts w:eastAsia="Calibri" w:cs="Calibri"/>
          <w:kern w:val="0"/>
        </w:rPr>
        <w:t>study</w:t>
      </w:r>
      <w:r>
        <w:rPr>
          <w:rFonts w:eastAsia="Calibri" w:cs="Calibri"/>
          <w:kern w:val="0"/>
        </w:rPr>
        <w:t xml:space="preserve"> focuses specifically on the direct effects of consent pol</w:t>
      </w:r>
      <w:r>
        <w:rPr>
          <w:rFonts w:eastAsia="Calibri" w:cs="Calibri"/>
          <w:kern w:val="0"/>
        </w:rPr>
        <w:t xml:space="preserve">icies, as defined in the introduction. It does not </w:t>
      </w:r>
      <w:proofErr w:type="gramStart"/>
      <w:r>
        <w:rPr>
          <w:rFonts w:eastAsia="Calibri" w:cs="Calibri"/>
          <w:kern w:val="0"/>
        </w:rPr>
        <w:t>take into account</w:t>
      </w:r>
      <w:proofErr w:type="gramEnd"/>
      <w:r>
        <w:rPr>
          <w:rFonts w:eastAsia="Calibri" w:cs="Calibri"/>
          <w:kern w:val="0"/>
        </w:rPr>
        <w:t xml:space="preserve"> indirect or secondary effects of policy defaults or the </w:t>
      </w:r>
      <w:r>
        <w:rPr>
          <w:rFonts w:eastAsia="Calibri" w:cs="Calibri"/>
          <w:kern w:val="0"/>
        </w:rPr>
        <w:lastRenderedPageBreak/>
        <w:t>effects of other factors and measures that may accompany or follow legal changes. Our conclusions should be interpreted within this</w:t>
      </w:r>
      <w:r>
        <w:rPr>
          <w:rFonts w:eastAsia="Calibri" w:cs="Calibri"/>
          <w:kern w:val="0"/>
        </w:rPr>
        <w:t xml:space="preserve"> scope.</w:t>
      </w:r>
    </w:p>
    <w:p w14:paraId="6FF2C2DC" w14:textId="77777777" w:rsidR="00AC166E" w:rsidRDefault="008122E3">
      <w:pPr>
        <w:pStyle w:val="Textoindependiente"/>
      </w:pPr>
      <w:r>
        <w:t xml:space="preserve">Our results may warn contemporary organ retrieval policy makers that, by emphasising the need to introduce presumed consent, they might be overestimating the direct influence of </w:t>
      </w:r>
      <w:r>
        <w:t>policy</w:t>
      </w:r>
      <w:r>
        <w:t xml:space="preserve"> defaults, and underestimating the power granted to families in </w:t>
      </w:r>
      <w:r>
        <w:t>expressing their preferences and making decisions about organ donation. Improving infrastructures, coordination and training, communication to the public, and modifiable factors influencing family authorisation might prove more effective for increasing org</w:t>
      </w:r>
      <w:r>
        <w:t>an retrieval rates than moving from opt-in to opt-out.</w:t>
      </w:r>
    </w:p>
    <w:p w14:paraId="4F2A678F" w14:textId="77777777" w:rsidR="00AC166E" w:rsidRDefault="008122E3">
      <w:pPr>
        <w:pStyle w:val="Textoindependiente"/>
      </w:pPr>
      <w:r>
        <w:t xml:space="preserve">One way around families’ capacity to overrule both explicit and presumed consent would be to lessen the authority families currently have in the decision over </w:t>
      </w:r>
      <w:proofErr w:type="gramStart"/>
      <w:r>
        <w:t>donation[</w:t>
      </w:r>
      <w:proofErr w:type="gramEnd"/>
      <w:r>
        <w:t xml:space="preserve">55]. The USA amended its Uniform </w:t>
      </w:r>
      <w:r>
        <w:t>Anatomical Gift Act in 2006 to restrict the family’s authority to veto the deceased’s first-person authorization (opt-in</w:t>
      </w:r>
      <w:r>
        <w:t xml:space="preserve">). Belgium amended its law (opt-out) in 2007 by removing the option for the family to oppose organ procurement. </w:t>
      </w:r>
      <w:r>
        <w:t>Other countries, includi</w:t>
      </w:r>
      <w:r>
        <w:t>ng Uruguay (2013), Colombia (2016), France (2017), and Argentina (2018) changed their opt-out laws to prevent relatives from opposing organ recovery both when the deceased had expressed no preference (presumed consent) and when the deceased wished to becom</w:t>
      </w:r>
      <w:r>
        <w:t xml:space="preserve">e a donor (explicit consent). </w:t>
      </w:r>
    </w:p>
    <w:p w14:paraId="28D3B9AF" w14:textId="77777777" w:rsidR="00AC166E" w:rsidRDefault="008122E3">
      <w:pPr>
        <w:pStyle w:val="Textoindependiente"/>
      </w:pPr>
      <w:r>
        <w:t xml:space="preserve">The effectiveness of such restrictive measures remains to be assessed. Their governance quality should also be assessed, although we may lack proper data to do </w:t>
      </w:r>
      <w:proofErr w:type="gramStart"/>
      <w:r>
        <w:t>so[</w:t>
      </w:r>
      <w:proofErr w:type="gramEnd"/>
      <w:r>
        <w:t>56]. Recent systematic reviews have raised concerns by suggest</w:t>
      </w:r>
      <w:r>
        <w:t xml:space="preserve">ing that the population in opt-out countries tend to be less aware of their consent system than in opt-in </w:t>
      </w:r>
      <w:proofErr w:type="gramStart"/>
      <w:r>
        <w:t>countries[</w:t>
      </w:r>
      <w:proofErr w:type="gramEnd"/>
      <w:r>
        <w:t>40] and that a majority of the public supports the involvement of the family in organ recovery decision-making and, in particular, their rol</w:t>
      </w:r>
      <w:r>
        <w:t xml:space="preserve">e as surrogate when the deceased has expressed no preference[57,58]. This adds to the ongoing ethical debates over the family </w:t>
      </w:r>
      <w:proofErr w:type="gramStart"/>
      <w:r>
        <w:t>veto[</w:t>
      </w:r>
      <w:proofErr w:type="gramEnd"/>
      <w:r>
        <w:t xml:space="preserve">59] and opt-out policies acceptability[60]. </w:t>
      </w:r>
      <w:r>
        <w:br w:type="page"/>
      </w:r>
    </w:p>
    <w:p w14:paraId="5D873528" w14:textId="7FD8177B" w:rsidR="00AC166E" w:rsidRDefault="008122E3">
      <w:pPr>
        <w:pStyle w:val="Ttulodelatabla"/>
      </w:pPr>
      <w:r>
        <w:rPr>
          <w:rFonts w:eastAsia="Calibri" w:cs="Calibri"/>
          <w:kern w:val="0"/>
          <w:szCs w:val="20"/>
        </w:rPr>
        <w:lastRenderedPageBreak/>
        <w:t xml:space="preserve">Fig 1: </w:t>
      </w:r>
      <w:r>
        <w:rPr>
          <w:rFonts w:eastAsia="Calibri" w:cs="Calibri"/>
          <w:kern w:val="0"/>
          <w:szCs w:val="20"/>
        </w:rPr>
        <w:t xml:space="preserve"> </w:t>
      </w:r>
      <w:r w:rsidRPr="001D1CB8">
        <w:t>R</w:t>
      </w:r>
      <w:r w:rsidRPr="001D1CB8">
        <w:t xml:space="preserve">etrieval rates under four different policies, if only the policy changes, </w:t>
      </w:r>
      <w:r w:rsidRPr="001D1CB8">
        <w:t>all other things being equal</w:t>
      </w:r>
    </w:p>
    <w:p w14:paraId="270F1D6B" w14:textId="50CCF714" w:rsidR="00AC166E" w:rsidRDefault="008122E3">
      <w:pPr>
        <w:pStyle w:val="Descripcin"/>
      </w:pPr>
      <w:r>
        <w:t xml:space="preserve">This figure uses the available data on deceased’s and family’s preferences in six countries </w:t>
      </w:r>
      <w:r>
        <w:t>to</w:t>
      </w:r>
      <w:r>
        <w:t xml:space="preserve"> estimate</w:t>
      </w:r>
      <w:r>
        <w:t xml:space="preserve"> how changing the default and the family’s role, all other things being equal, may affect retrieval rates. </w:t>
      </w:r>
      <w:r>
        <w:t>For each country, four possible situations are</w:t>
      </w:r>
      <w:r>
        <w:t xml:space="preserve"> considered, from left to right: (α) opt-in and deceased’s preferences only; (β) opt-out and deceased’s preferences only; (γ) opt-in and both deceased’s and family preferences; (δ) opt-out and both deceased’s and family preferences. Data for this figure re</w:t>
      </w:r>
      <w:r>
        <w:t xml:space="preserve">sults from adding the percentages of the scenarios shown in Table 4 (Denmark, Germany, the Netherlands, Sweden, the United Kingdom, and Wales). </w:t>
      </w:r>
      <w:r>
        <w:t>For each country, the situation that is actually in p</w:t>
      </w:r>
      <w:r>
        <w:t>lace in the country is signalled by an arrow.</w:t>
      </w:r>
      <w:r>
        <w:t xml:space="preserve"> </w:t>
      </w:r>
      <w:r>
        <w:t xml:space="preserve">Changing the policy in place in any given country would almost certainly cause some indirect effects that we are not taking into consideration here because we don’t know the nature, the sign, and the intensity </w:t>
      </w:r>
      <w:r>
        <w:t>of such effects in this particular country.</w:t>
      </w:r>
      <w:r>
        <w:br w:type="page"/>
      </w:r>
    </w:p>
    <w:p w14:paraId="09E85C34" w14:textId="77777777" w:rsidR="00AC166E" w:rsidRDefault="00AC166E">
      <w:pPr>
        <w:pStyle w:val="Ttulo1"/>
        <w:numPr>
          <w:ilvl w:val="0"/>
          <w:numId w:val="2"/>
        </w:numPr>
        <w:tabs>
          <w:tab w:val="left" w:pos="0"/>
        </w:tabs>
        <w:rPr>
          <w:rFonts w:eastAsia="Arial" w:cs="Arial"/>
        </w:rPr>
      </w:pPr>
    </w:p>
    <w:p w14:paraId="3225F190" w14:textId="77777777" w:rsidR="00AC166E" w:rsidRDefault="008122E3">
      <w:pPr>
        <w:pStyle w:val="Ttulo1"/>
        <w:numPr>
          <w:ilvl w:val="0"/>
          <w:numId w:val="2"/>
        </w:numPr>
        <w:tabs>
          <w:tab w:val="left" w:pos="0"/>
        </w:tabs>
      </w:pPr>
      <w:r>
        <w:t>Acknowledgments</w:t>
      </w:r>
    </w:p>
    <w:p w14:paraId="74B0DD67" w14:textId="622FAD47" w:rsidR="00AC166E" w:rsidRDefault="008122E3">
      <w:pPr>
        <w:pStyle w:val="Textoindependiente"/>
      </w:pPr>
      <w:r>
        <w:t xml:space="preserve">The authors thank the following persons for their assistance in gathering or interpreting specific data: Lone </w:t>
      </w:r>
      <w:proofErr w:type="spellStart"/>
      <w:r>
        <w:t>Bøgh</w:t>
      </w:r>
      <w:proofErr w:type="spellEnd"/>
      <w:r>
        <w:t xml:space="preserve"> (Dansk </w:t>
      </w:r>
      <w:proofErr w:type="spellStart"/>
      <w:r>
        <w:t>Center</w:t>
      </w:r>
      <w:proofErr w:type="spellEnd"/>
      <w:r>
        <w:t xml:space="preserve"> for </w:t>
      </w:r>
      <w:proofErr w:type="spellStart"/>
      <w:r>
        <w:t>Organdonation</w:t>
      </w:r>
      <w:proofErr w:type="spellEnd"/>
      <w:r>
        <w:t xml:space="preserve">, Denmark), Beatriz Domínguez Gil (ONT, Spain), </w:t>
      </w:r>
      <w:r>
        <w:t xml:space="preserve">Magdalena </w:t>
      </w:r>
      <w:proofErr w:type="spellStart"/>
      <w:r>
        <w:t>Flatscher-Thöni</w:t>
      </w:r>
      <w:proofErr w:type="spellEnd"/>
      <w:r>
        <w:t xml:space="preserve"> (Tyrolean Private University, Austria), Solveig Lena Hansen (University of Bremen, Germany), Anna-Maria </w:t>
      </w:r>
      <w:proofErr w:type="spellStart"/>
      <w:r>
        <w:t>Koivusalo</w:t>
      </w:r>
      <w:proofErr w:type="spellEnd"/>
      <w:r>
        <w:t xml:space="preserve"> (Helsinki University Hospital, Finland), Axel </w:t>
      </w:r>
      <w:proofErr w:type="spellStart"/>
      <w:r>
        <w:t>Rahmel</w:t>
      </w:r>
      <w:proofErr w:type="spellEnd"/>
      <w:r>
        <w:t xml:space="preserve"> (DSO, Germany), </w:t>
      </w:r>
      <w:proofErr w:type="spellStart"/>
      <w:r>
        <w:t>Jeantine</w:t>
      </w:r>
      <w:proofErr w:type="spellEnd"/>
      <w:r>
        <w:t xml:space="preserve"> </w:t>
      </w:r>
      <w:proofErr w:type="spellStart"/>
      <w:r>
        <w:t>Reiger</w:t>
      </w:r>
      <w:proofErr w:type="spellEnd"/>
      <w:r>
        <w:t xml:space="preserve">-Van de </w:t>
      </w:r>
      <w:proofErr w:type="spellStart"/>
      <w:r>
        <w:t>Wijdeven</w:t>
      </w:r>
      <w:proofErr w:type="spellEnd"/>
      <w:r>
        <w:t xml:space="preserve"> (NTS, Netherlan</w:t>
      </w:r>
      <w:r>
        <w:t>ds), Gabriele Werner-</w:t>
      </w:r>
      <w:proofErr w:type="spellStart"/>
      <w:r>
        <w:t>Felmayer</w:t>
      </w:r>
      <w:proofErr w:type="spellEnd"/>
      <w:r>
        <w:t xml:space="preserve"> (Medical University Innsbruck, Austria), Sabine </w:t>
      </w:r>
      <w:proofErr w:type="spellStart"/>
      <w:r>
        <w:t>Wöhlke</w:t>
      </w:r>
      <w:proofErr w:type="spellEnd"/>
      <w:r>
        <w:t xml:space="preserve"> (University of Göttingen, Germany), Won-Hyun Cho (Korea Organ Donation Agency, South Korea), Zeynep </w:t>
      </w:r>
      <w:proofErr w:type="spellStart"/>
      <w:r>
        <w:t>Ugur</w:t>
      </w:r>
      <w:proofErr w:type="spellEnd"/>
      <w:r>
        <w:t xml:space="preserve"> (Social Sciences University of Ankara, </w:t>
      </w:r>
      <w:proofErr w:type="spellStart"/>
      <w:r>
        <w:t>Türkiye</w:t>
      </w:r>
      <w:proofErr w:type="spellEnd"/>
      <w:r>
        <w:t>), Kristof Van</w:t>
      </w:r>
      <w:r>
        <w:t xml:space="preserve"> </w:t>
      </w:r>
      <w:proofErr w:type="spellStart"/>
      <w:r>
        <w:t>Assche</w:t>
      </w:r>
      <w:proofErr w:type="spellEnd"/>
      <w:r>
        <w:t xml:space="preserve"> (University of Antwerp, Belgium), </w:t>
      </w:r>
      <w:proofErr w:type="spellStart"/>
      <w:r>
        <w:t>Britzer</w:t>
      </w:r>
      <w:proofErr w:type="spellEnd"/>
      <w:r>
        <w:t xml:space="preserve"> Paul Vincent (University of Bedfordshire, UK), and Stela </w:t>
      </w:r>
      <w:proofErr w:type="spellStart"/>
      <w:r>
        <w:t>Zivcic-Cosic</w:t>
      </w:r>
      <w:proofErr w:type="spellEnd"/>
      <w:r>
        <w:t xml:space="preserve"> (University of Rijeka, Croatia), as well as the staff of INCUCAI (Argentina), Instituto Nacional de </w:t>
      </w:r>
      <w:proofErr w:type="spellStart"/>
      <w:r>
        <w:t>Salud</w:t>
      </w:r>
      <w:proofErr w:type="spellEnd"/>
      <w:r>
        <w:t xml:space="preserve"> (Colombia), </w:t>
      </w:r>
      <w:proofErr w:type="spellStart"/>
      <w:r>
        <w:t>Agence</w:t>
      </w:r>
      <w:proofErr w:type="spellEnd"/>
      <w:r>
        <w:t xml:space="preserve"> de la </w:t>
      </w:r>
      <w:proofErr w:type="spellStart"/>
      <w:r>
        <w:t>Biomé</w:t>
      </w:r>
      <w:r>
        <w:t>decine</w:t>
      </w:r>
      <w:proofErr w:type="spellEnd"/>
      <w:r>
        <w:t xml:space="preserve"> (France), </w:t>
      </w:r>
      <w:proofErr w:type="spellStart"/>
      <w:r>
        <w:t>Nederlandse</w:t>
      </w:r>
      <w:proofErr w:type="spellEnd"/>
      <w:r>
        <w:t xml:space="preserve"> </w:t>
      </w:r>
      <w:proofErr w:type="spellStart"/>
      <w:r>
        <w:t>Transplantatie</w:t>
      </w:r>
      <w:proofErr w:type="spellEnd"/>
      <w:r>
        <w:t xml:space="preserve"> </w:t>
      </w:r>
      <w:proofErr w:type="spellStart"/>
      <w:r>
        <w:t>Stichting</w:t>
      </w:r>
      <w:proofErr w:type="spellEnd"/>
      <w:r>
        <w:t xml:space="preserve"> (the Netherlands), and NHS Blood and Transplant (UK) for answering our questions and checking or discussing our results. The authors also thank the following persons for their comments: Anne </w:t>
      </w:r>
      <w:proofErr w:type="spellStart"/>
      <w:r>
        <w:t>Dalle</w:t>
      </w:r>
      <w:proofErr w:type="spellEnd"/>
      <w:r>
        <w:t xml:space="preserve"> Ave (</w:t>
      </w:r>
      <w:r>
        <w:t xml:space="preserve">University Hospital of Lausanne, Switzerland), Dale Gardiner (Nottingham University Hospitals, UK), Walter </w:t>
      </w:r>
      <w:proofErr w:type="spellStart"/>
      <w:r>
        <w:t>Glannon</w:t>
      </w:r>
      <w:proofErr w:type="spellEnd"/>
      <w:r>
        <w:t xml:space="preserve"> (University of Calgary, Canada), Alicia Pérez Blanco (ONT, Spain), </w:t>
      </w:r>
      <w:proofErr w:type="spellStart"/>
      <w:r>
        <w:t>Gurch</w:t>
      </w:r>
      <w:proofErr w:type="spellEnd"/>
      <w:r>
        <w:t xml:space="preserve"> Randhawa (University of Bedfordshire, UK), and Stuart </w:t>
      </w:r>
      <w:proofErr w:type="spellStart"/>
      <w:r>
        <w:t>Youngner</w:t>
      </w:r>
      <w:proofErr w:type="spellEnd"/>
      <w:r>
        <w:t xml:space="preserve"> (Case</w:t>
      </w:r>
      <w:r>
        <w:t xml:space="preserve"> Western Reserve University, USA).</w:t>
      </w:r>
      <w:r>
        <w:t xml:space="preserve"> </w:t>
      </w:r>
      <w:r>
        <w:t>Finally, we thank the five reviewers of this article whose constructive comments helped us to improve it significantly.</w:t>
      </w:r>
      <w:r>
        <w:br w:type="page"/>
      </w:r>
    </w:p>
    <w:p w14:paraId="402AAC2F" w14:textId="77777777" w:rsidR="00AC166E" w:rsidRDefault="008122E3">
      <w:pPr>
        <w:pStyle w:val="Textoindependiente"/>
      </w:pPr>
      <w:r>
        <w:rPr>
          <w:b/>
          <w:bCs/>
        </w:rPr>
        <w:lastRenderedPageBreak/>
        <w:t>Ethics statement:</w:t>
      </w:r>
      <w:r>
        <w:t xml:space="preserve"> All datasets used in this study were publicly available prior to the initiation of the study. No IRB or ethics committee approval was required.</w:t>
      </w:r>
    </w:p>
    <w:p w14:paraId="401C52FA" w14:textId="77777777" w:rsidR="00AC166E" w:rsidRDefault="008122E3">
      <w:pPr>
        <w:pStyle w:val="Textoindependiente"/>
      </w:pPr>
      <w:r>
        <w:rPr>
          <w:b/>
          <w:bCs/>
        </w:rPr>
        <w:t>Data sharing statement:</w:t>
      </w:r>
      <w:r>
        <w:t xml:space="preserve"> All data used in this study were publicly available prior to the initiation of this stu</w:t>
      </w:r>
      <w:r>
        <w:t xml:space="preserve">dy. The sources and </w:t>
      </w:r>
      <w:r>
        <w:t xml:space="preserve">analysis of the data used are openly available as supplementary material at </w:t>
      </w:r>
      <w:proofErr w:type="spellStart"/>
      <w:r>
        <w:t>medRxiv</w:t>
      </w:r>
      <w:proofErr w:type="spellEnd"/>
      <w:r>
        <w:t xml:space="preserve"> (</w:t>
      </w:r>
      <w:proofErr w:type="spellStart"/>
      <w:r>
        <w:t>doi</w:t>
      </w:r>
      <w:proofErr w:type="spellEnd"/>
      <w:r>
        <w:t xml:space="preserve">: </w:t>
      </w:r>
      <w:hyperlink r:id="rId8">
        <w:r>
          <w:rPr>
            <w:rStyle w:val="EnlacedeInternet"/>
          </w:rPr>
          <w:t>https://doi.org/10.1101/2021.08.27.21262033</w:t>
        </w:r>
      </w:hyperlink>
      <w:r>
        <w:t>).</w:t>
      </w:r>
      <w:r>
        <w:t xml:space="preserve"> Requests for further information c</w:t>
      </w:r>
      <w:r>
        <w:t>an be sent to the corresponding author.</w:t>
      </w:r>
    </w:p>
    <w:p w14:paraId="19A81ABD" w14:textId="77777777" w:rsidR="00AC166E" w:rsidRDefault="008122E3">
      <w:pPr>
        <w:pStyle w:val="Textoindependiente"/>
      </w:pPr>
      <w:proofErr w:type="spellStart"/>
      <w:r>
        <w:rPr>
          <w:b/>
          <w:bCs/>
        </w:rPr>
        <w:t>Contributorship</w:t>
      </w:r>
      <w:proofErr w:type="spellEnd"/>
      <w:r>
        <w:rPr>
          <w:b/>
          <w:bCs/>
        </w:rPr>
        <w:t xml:space="preserve"> statement:</w:t>
      </w:r>
      <w:r>
        <w:t xml:space="preserve"> Th</w:t>
      </w:r>
      <w:r>
        <w:t>e</w:t>
      </w:r>
      <w:r>
        <w:t xml:space="preserve"> study concept was conceived by AMP, DRA, and JD. The </w:t>
      </w:r>
      <w:r>
        <w:t>search</w:t>
      </w:r>
      <w:r>
        <w:t xml:space="preserve"> and analysis of data were conducted by AMP. The manuscript was drafted by AMP and DRA, and critically revised by JD. All auth</w:t>
      </w:r>
      <w:r>
        <w:t xml:space="preserve">ors read and approved the final version of the manuscript. </w:t>
      </w:r>
    </w:p>
    <w:p w14:paraId="611676EF" w14:textId="77777777" w:rsidR="00AC166E" w:rsidRDefault="008122E3">
      <w:pPr>
        <w:pStyle w:val="Textoindependiente"/>
      </w:pPr>
      <w:r>
        <w:rPr>
          <w:b/>
          <w:bCs/>
        </w:rPr>
        <w:t xml:space="preserve">Competing </w:t>
      </w:r>
      <w:r>
        <w:rPr>
          <w:b/>
          <w:bCs/>
        </w:rPr>
        <w:t>i</w:t>
      </w:r>
      <w:r>
        <w:rPr>
          <w:b/>
          <w:bCs/>
        </w:rPr>
        <w:t>nterests:</w:t>
      </w:r>
      <w:r>
        <w:t xml:space="preserve"> The authors declare no competing interests.</w:t>
      </w:r>
    </w:p>
    <w:p w14:paraId="35DDAA75" w14:textId="77777777" w:rsidR="00AC166E" w:rsidRDefault="008122E3">
      <w:pPr>
        <w:pStyle w:val="Textoindependiente"/>
      </w:pPr>
      <w:r>
        <w:rPr>
          <w:b/>
          <w:bCs/>
        </w:rPr>
        <w:t>Funding:</w:t>
      </w:r>
      <w:r>
        <w:t xml:space="preserve"> This work was supported by </w:t>
      </w:r>
      <w:r>
        <w:t>the Spanish government,</w:t>
      </w:r>
      <w:r>
        <w:t xml:space="preserve"> grant number [FJCI-2017-34286] and [MINECO FFI2017-88913-P].</w:t>
      </w:r>
    </w:p>
    <w:p w14:paraId="13E1191B" w14:textId="77777777" w:rsidR="00AC166E" w:rsidRDefault="00AC166E">
      <w:pPr>
        <w:pStyle w:val="Textoindependiente"/>
      </w:pPr>
    </w:p>
    <w:p w14:paraId="3D8CE90A" w14:textId="77777777" w:rsidR="00AC166E" w:rsidRDefault="00AC166E">
      <w:pPr>
        <w:pStyle w:val="Textoindependiente"/>
      </w:pPr>
    </w:p>
    <w:p w14:paraId="61D5025E" w14:textId="77777777" w:rsidR="00AC166E" w:rsidRDefault="00AC166E">
      <w:pPr>
        <w:pStyle w:val="Textoindependiente"/>
      </w:pPr>
    </w:p>
    <w:p w14:paraId="43C8B2E7" w14:textId="77777777" w:rsidR="00AC166E" w:rsidRDefault="008122E3">
      <w:pPr>
        <w:pStyle w:val="Textoindependiente"/>
      </w:pPr>
      <w:r>
        <w:br w:type="page"/>
      </w:r>
    </w:p>
    <w:p w14:paraId="05843132" w14:textId="77777777" w:rsidR="00AC166E" w:rsidRDefault="008122E3">
      <w:pPr>
        <w:pStyle w:val="Ttulo1"/>
        <w:numPr>
          <w:ilvl w:val="0"/>
          <w:numId w:val="2"/>
        </w:numPr>
        <w:tabs>
          <w:tab w:val="left" w:pos="0"/>
        </w:tabs>
      </w:pPr>
      <w:r>
        <w:lastRenderedPageBreak/>
        <w:t>Refer</w:t>
      </w:r>
      <w:r>
        <w:t>ences</w:t>
      </w:r>
    </w:p>
    <w:p w14:paraId="3B600682" w14:textId="77777777" w:rsidR="00AC166E" w:rsidRDefault="00AC166E">
      <w:pPr>
        <w:sectPr w:rsidR="00AC166E">
          <w:footerReference w:type="default" r:id="rId9"/>
          <w:pgSz w:w="11906" w:h="16838"/>
          <w:pgMar w:top="1134" w:right="1134" w:bottom="1693" w:left="1134" w:header="0" w:footer="1134" w:gutter="0"/>
          <w:pgNumType w:start="1"/>
          <w:cols w:space="720"/>
          <w:formProt w:val="0"/>
          <w:docGrid w:linePitch="600" w:charSpace="32768"/>
        </w:sectPr>
      </w:pPr>
    </w:p>
    <w:p w14:paraId="6DE67DAB" w14:textId="77777777" w:rsidR="00AC166E" w:rsidRDefault="008122E3">
      <w:pPr>
        <w:pStyle w:val="Bibliografa1"/>
      </w:pPr>
      <w:r>
        <w:t xml:space="preserve">1 </w:t>
      </w:r>
      <w:r>
        <w:tab/>
        <w:t xml:space="preserve">Glazier A, </w:t>
      </w:r>
      <w:proofErr w:type="spellStart"/>
      <w:r>
        <w:t>Mone</w:t>
      </w:r>
      <w:proofErr w:type="spellEnd"/>
      <w:r>
        <w:t xml:space="preserve"> T. Success of Opt-In Organ Donation Policy in the United States. </w:t>
      </w:r>
      <w:r>
        <w:rPr>
          <w:i/>
        </w:rPr>
        <w:t>JAMA</w:t>
      </w:r>
      <w:r>
        <w:t xml:space="preserve"> </w:t>
      </w:r>
      <w:proofErr w:type="gramStart"/>
      <w:r>
        <w:t>2019;</w:t>
      </w:r>
      <w:r>
        <w:rPr>
          <w:b/>
        </w:rPr>
        <w:t>322</w:t>
      </w:r>
      <w:r>
        <w:t>:719</w:t>
      </w:r>
      <w:proofErr w:type="gramEnd"/>
      <w:r>
        <w:t>. doi:10.1001/jama.2019.9187</w:t>
      </w:r>
    </w:p>
    <w:p w14:paraId="3E6FFE29" w14:textId="77777777" w:rsidR="00AC166E" w:rsidRDefault="008122E3">
      <w:pPr>
        <w:pStyle w:val="Bibliografa1"/>
      </w:pPr>
      <w:r>
        <w:t xml:space="preserve">2 </w:t>
      </w:r>
      <w:r>
        <w:tab/>
      </w:r>
      <w:r>
        <w:t xml:space="preserve">Abadie A, Gay S. The impact of presumed consent legislation on cadaveric organ donation: A cross-country study. </w:t>
      </w:r>
      <w:r>
        <w:rPr>
          <w:i/>
        </w:rPr>
        <w:t>Journal of Health Economics</w:t>
      </w:r>
      <w:r>
        <w:t xml:space="preserve"> </w:t>
      </w:r>
      <w:proofErr w:type="gramStart"/>
      <w:r>
        <w:t>2006;</w:t>
      </w:r>
      <w:r>
        <w:rPr>
          <w:b/>
        </w:rPr>
        <w:t>25</w:t>
      </w:r>
      <w:r>
        <w:t>:599</w:t>
      </w:r>
      <w:proofErr w:type="gramEnd"/>
      <w:r>
        <w:t xml:space="preserve">–620. </w:t>
      </w:r>
      <w:proofErr w:type="gramStart"/>
      <w:r>
        <w:t>doi:10.1016/j.jhealeco</w:t>
      </w:r>
      <w:proofErr w:type="gramEnd"/>
      <w:r>
        <w:t>.2006.01.003</w:t>
      </w:r>
    </w:p>
    <w:p w14:paraId="69763A3E" w14:textId="77777777" w:rsidR="00AC166E" w:rsidRDefault="008122E3">
      <w:pPr>
        <w:pStyle w:val="Bibliografa1"/>
      </w:pPr>
      <w:r>
        <w:t xml:space="preserve">3 </w:t>
      </w:r>
      <w:r>
        <w:tab/>
        <w:t xml:space="preserve">Horvat LD, Cuerden MS, Kim SJ, </w:t>
      </w:r>
      <w:r>
        <w:rPr>
          <w:i/>
        </w:rPr>
        <w:t>et al.</w:t>
      </w:r>
      <w:r>
        <w:t xml:space="preserve"> Informing the debate: r</w:t>
      </w:r>
      <w:r>
        <w:t xml:space="preserve">ates of kidney transplantation in nations with presumed consent. </w:t>
      </w:r>
      <w:r>
        <w:rPr>
          <w:i/>
        </w:rPr>
        <w:t>Annals of internal medicine</w:t>
      </w:r>
      <w:r>
        <w:t xml:space="preserve"> </w:t>
      </w:r>
      <w:proofErr w:type="gramStart"/>
      <w:r>
        <w:t>2010;</w:t>
      </w:r>
      <w:r>
        <w:rPr>
          <w:b/>
        </w:rPr>
        <w:t>153</w:t>
      </w:r>
      <w:r>
        <w:t>:641</w:t>
      </w:r>
      <w:proofErr w:type="gramEnd"/>
      <w:r>
        <w:t>–9.</w:t>
      </w:r>
    </w:p>
    <w:p w14:paraId="77A54412" w14:textId="77777777" w:rsidR="00AC166E" w:rsidRDefault="008122E3">
      <w:pPr>
        <w:pStyle w:val="Bibliografa1"/>
      </w:pPr>
      <w:r>
        <w:t xml:space="preserve">4 </w:t>
      </w:r>
      <w:r>
        <w:tab/>
      </w:r>
      <w:proofErr w:type="spellStart"/>
      <w:r>
        <w:t>Bendorf</w:t>
      </w:r>
      <w:proofErr w:type="spellEnd"/>
      <w:r>
        <w:t xml:space="preserve"> A, </w:t>
      </w:r>
      <w:proofErr w:type="spellStart"/>
      <w:r>
        <w:t>Pussell</w:t>
      </w:r>
      <w:proofErr w:type="spellEnd"/>
      <w:r>
        <w:t xml:space="preserve"> BA, Kelly PJ, </w:t>
      </w:r>
      <w:r>
        <w:rPr>
          <w:i/>
        </w:rPr>
        <w:t>et al.</w:t>
      </w:r>
      <w:r>
        <w:t xml:space="preserve"> Socioeconomic, demographic and policy comparisons of living and deceased kidney transplantation rates ac</w:t>
      </w:r>
      <w:r>
        <w:t xml:space="preserve">ross 53 countries. </w:t>
      </w:r>
      <w:r>
        <w:rPr>
          <w:i/>
        </w:rPr>
        <w:t>Nephrology</w:t>
      </w:r>
      <w:r>
        <w:t xml:space="preserve"> </w:t>
      </w:r>
      <w:proofErr w:type="gramStart"/>
      <w:r>
        <w:t>2013;</w:t>
      </w:r>
      <w:r>
        <w:rPr>
          <w:b/>
        </w:rPr>
        <w:t>18</w:t>
      </w:r>
      <w:r>
        <w:t>:633</w:t>
      </w:r>
      <w:proofErr w:type="gramEnd"/>
      <w:r>
        <w:t>–40.</w:t>
      </w:r>
    </w:p>
    <w:p w14:paraId="1A3167CB" w14:textId="77777777" w:rsidR="00AC166E" w:rsidRDefault="008122E3">
      <w:pPr>
        <w:pStyle w:val="Bibliografa1"/>
      </w:pPr>
      <w:r>
        <w:t xml:space="preserve">5 </w:t>
      </w:r>
      <w:r>
        <w:tab/>
        <w:t xml:space="preserve">Shepherd L, O’Carroll RE, Ferguson E. An international comparison of deceased and living organ donation/transplant rates in opt-in and opt-out systems: a panel study. </w:t>
      </w:r>
      <w:r>
        <w:rPr>
          <w:i/>
        </w:rPr>
        <w:t>BMC Medicine</w:t>
      </w:r>
      <w:r>
        <w:t xml:space="preserve"> </w:t>
      </w:r>
      <w:proofErr w:type="gramStart"/>
      <w:r>
        <w:t>2014;</w:t>
      </w:r>
      <w:r>
        <w:rPr>
          <w:b/>
        </w:rPr>
        <w:t>12</w:t>
      </w:r>
      <w:r>
        <w:t>:131</w:t>
      </w:r>
      <w:proofErr w:type="gramEnd"/>
      <w:r>
        <w:t xml:space="preserve">. </w:t>
      </w:r>
      <w:r>
        <w:t>doi:10.1186/s12916-014-0131-4</w:t>
      </w:r>
    </w:p>
    <w:p w14:paraId="746796F5" w14:textId="77777777" w:rsidR="00AC166E" w:rsidRDefault="008122E3">
      <w:pPr>
        <w:pStyle w:val="Bibliografa1"/>
      </w:pPr>
      <w:r>
        <w:t xml:space="preserve">6 </w:t>
      </w:r>
      <w:r>
        <w:tab/>
      </w:r>
      <w:proofErr w:type="spellStart"/>
      <w:r>
        <w:t>Ugur</w:t>
      </w:r>
      <w:proofErr w:type="spellEnd"/>
      <w:r>
        <w:t xml:space="preserve"> ZB. Does Presumed Consent Save Lives? Evidence from Europe. </w:t>
      </w:r>
      <w:r>
        <w:rPr>
          <w:i/>
        </w:rPr>
        <w:t>Health Econ</w:t>
      </w:r>
      <w:r>
        <w:t xml:space="preserve"> </w:t>
      </w:r>
      <w:proofErr w:type="gramStart"/>
      <w:r>
        <w:t>2015;</w:t>
      </w:r>
      <w:r>
        <w:rPr>
          <w:b/>
        </w:rPr>
        <w:t>24</w:t>
      </w:r>
      <w:r>
        <w:t>:1560</w:t>
      </w:r>
      <w:proofErr w:type="gramEnd"/>
      <w:r>
        <w:t>–72. doi:10.1002/hec.3111</w:t>
      </w:r>
    </w:p>
    <w:p w14:paraId="45172865" w14:textId="77777777" w:rsidR="00AC166E" w:rsidRDefault="008122E3">
      <w:pPr>
        <w:pStyle w:val="Bibliografa1"/>
      </w:pPr>
      <w:r>
        <w:t xml:space="preserve">7 </w:t>
      </w:r>
      <w:r>
        <w:tab/>
        <w:t xml:space="preserve">Ahmad MU, Hanna A, Mohamed A-Z, </w:t>
      </w:r>
      <w:r>
        <w:rPr>
          <w:i/>
        </w:rPr>
        <w:t>et al.</w:t>
      </w:r>
      <w:r>
        <w:t xml:space="preserve"> A Systematic Review of Opt-out Versus Opt-in Consent on Deceased O</w:t>
      </w:r>
      <w:r>
        <w:t xml:space="preserve">rgan Donation and Transplantation (2006–2016). </w:t>
      </w:r>
      <w:r>
        <w:rPr>
          <w:i/>
        </w:rPr>
        <w:t xml:space="preserve">World J </w:t>
      </w:r>
      <w:proofErr w:type="spellStart"/>
      <w:r>
        <w:rPr>
          <w:i/>
        </w:rPr>
        <w:t>Surg</w:t>
      </w:r>
      <w:proofErr w:type="spellEnd"/>
      <w:r>
        <w:t xml:space="preserve"> </w:t>
      </w:r>
      <w:proofErr w:type="gramStart"/>
      <w:r>
        <w:t>2019;</w:t>
      </w:r>
      <w:r>
        <w:rPr>
          <w:b/>
        </w:rPr>
        <w:t>43</w:t>
      </w:r>
      <w:r>
        <w:t>:3161</w:t>
      </w:r>
      <w:proofErr w:type="gramEnd"/>
      <w:r>
        <w:t>–71. doi:10.1007/s00268-019-05118-4</w:t>
      </w:r>
    </w:p>
    <w:p w14:paraId="24757A0B" w14:textId="77777777" w:rsidR="00AC166E" w:rsidRDefault="008122E3">
      <w:pPr>
        <w:pStyle w:val="Bibliografa1"/>
      </w:pPr>
      <w:r>
        <w:t xml:space="preserve">8 </w:t>
      </w:r>
      <w:r>
        <w:tab/>
      </w:r>
      <w:proofErr w:type="spellStart"/>
      <w:r>
        <w:t>Coppen</w:t>
      </w:r>
      <w:proofErr w:type="spellEnd"/>
      <w:r>
        <w:t xml:space="preserve"> R, </w:t>
      </w:r>
      <w:proofErr w:type="spellStart"/>
      <w:r>
        <w:t>Friele</w:t>
      </w:r>
      <w:proofErr w:type="spellEnd"/>
      <w:r>
        <w:t xml:space="preserve"> RD, </w:t>
      </w:r>
      <w:proofErr w:type="spellStart"/>
      <w:r>
        <w:t>Gevers</w:t>
      </w:r>
      <w:proofErr w:type="spellEnd"/>
      <w:r>
        <w:t xml:space="preserve"> SKM, </w:t>
      </w:r>
      <w:r>
        <w:rPr>
          <w:i/>
        </w:rPr>
        <w:t>et al.</w:t>
      </w:r>
      <w:r>
        <w:t xml:space="preserve"> The impact of donor policies in Europe: a steady increase, but not everywhere. </w:t>
      </w:r>
      <w:r>
        <w:rPr>
          <w:i/>
        </w:rPr>
        <w:t xml:space="preserve">BMC Health </w:t>
      </w:r>
      <w:proofErr w:type="spellStart"/>
      <w:r>
        <w:rPr>
          <w:i/>
        </w:rPr>
        <w:t>Serv</w:t>
      </w:r>
      <w:proofErr w:type="spellEnd"/>
      <w:r>
        <w:rPr>
          <w:i/>
        </w:rPr>
        <w:t xml:space="preserve"> Res</w:t>
      </w:r>
      <w:r>
        <w:t xml:space="preserve"> </w:t>
      </w:r>
      <w:proofErr w:type="gramStart"/>
      <w:r>
        <w:t>2008;</w:t>
      </w:r>
      <w:r>
        <w:rPr>
          <w:b/>
        </w:rPr>
        <w:t>8</w:t>
      </w:r>
      <w:r>
        <w:t>:235</w:t>
      </w:r>
      <w:proofErr w:type="gramEnd"/>
      <w:r>
        <w:t>. doi:10.1186/1472-6963-8-235</w:t>
      </w:r>
    </w:p>
    <w:p w14:paraId="49D7B92F" w14:textId="77777777" w:rsidR="00AC166E" w:rsidRDefault="008122E3">
      <w:pPr>
        <w:pStyle w:val="Bibliografa1"/>
      </w:pPr>
      <w:r>
        <w:t xml:space="preserve">9 </w:t>
      </w:r>
      <w:r>
        <w:tab/>
      </w:r>
      <w:proofErr w:type="spellStart"/>
      <w:r>
        <w:t>Bilgel</w:t>
      </w:r>
      <w:proofErr w:type="spellEnd"/>
      <w:r>
        <w:t xml:space="preserve"> F. The impact of presumed consent laws and institutions on deceased organ donation. </w:t>
      </w:r>
      <w:r>
        <w:rPr>
          <w:i/>
        </w:rPr>
        <w:t>Eur J Health Econ</w:t>
      </w:r>
      <w:r>
        <w:t xml:space="preserve"> </w:t>
      </w:r>
      <w:proofErr w:type="gramStart"/>
      <w:r>
        <w:t>2012;</w:t>
      </w:r>
      <w:r>
        <w:rPr>
          <w:b/>
        </w:rPr>
        <w:t>13</w:t>
      </w:r>
      <w:r>
        <w:t>:29</w:t>
      </w:r>
      <w:proofErr w:type="gramEnd"/>
      <w:r>
        <w:t>–38. doi:10.1007/s10198-010-0277-8</w:t>
      </w:r>
    </w:p>
    <w:p w14:paraId="73E81AF6" w14:textId="77777777" w:rsidR="00AC166E" w:rsidRDefault="008122E3">
      <w:pPr>
        <w:pStyle w:val="Bibliografa1"/>
      </w:pPr>
      <w:r>
        <w:t xml:space="preserve">10 </w:t>
      </w:r>
      <w:r>
        <w:tab/>
      </w:r>
      <w:proofErr w:type="spellStart"/>
      <w:r>
        <w:t>Boyarsky</w:t>
      </w:r>
      <w:proofErr w:type="spellEnd"/>
      <w:r>
        <w:t xml:space="preserve"> BJ, Hall EC, Deshpande NA, </w:t>
      </w:r>
      <w:r>
        <w:rPr>
          <w:i/>
        </w:rPr>
        <w:t>et al.</w:t>
      </w:r>
      <w:r>
        <w:t xml:space="preserve"> Potential Limitati</w:t>
      </w:r>
      <w:r>
        <w:t xml:space="preserve">ons of Presumed Consent Legislation: </w:t>
      </w:r>
      <w:r>
        <w:rPr>
          <w:i/>
        </w:rPr>
        <w:t>Transplantation</w:t>
      </w:r>
      <w:r>
        <w:t xml:space="preserve"> 2012;</w:t>
      </w:r>
      <w:r>
        <w:rPr>
          <w:b/>
        </w:rPr>
        <w:t>93</w:t>
      </w:r>
      <w:r>
        <w:t>:136–40. doi:10.1097/TP.0b013e31823173e0</w:t>
      </w:r>
    </w:p>
    <w:p w14:paraId="2A5F35DF" w14:textId="77777777" w:rsidR="00AC166E" w:rsidRDefault="008122E3">
      <w:pPr>
        <w:pStyle w:val="Bibliografa1"/>
      </w:pPr>
      <w:r>
        <w:t xml:space="preserve">11 </w:t>
      </w:r>
      <w:r>
        <w:tab/>
        <w:t xml:space="preserve">Arshad A, Anderson B, Sharif A. Comparison of organ donation and transplantation rates between opt-out and opt-in systems. </w:t>
      </w:r>
      <w:r>
        <w:rPr>
          <w:i/>
        </w:rPr>
        <w:t>Kidney International</w:t>
      </w:r>
      <w:r>
        <w:t xml:space="preserve"> </w:t>
      </w:r>
      <w:proofErr w:type="gramStart"/>
      <w:r>
        <w:t>2019;</w:t>
      </w:r>
      <w:r>
        <w:rPr>
          <w:b/>
        </w:rPr>
        <w:t>95</w:t>
      </w:r>
      <w:r>
        <w:t>:1453</w:t>
      </w:r>
      <w:proofErr w:type="gramEnd"/>
      <w:r>
        <w:t xml:space="preserve">–60. </w:t>
      </w:r>
      <w:proofErr w:type="gramStart"/>
      <w:r>
        <w:t>doi:10.1016/j.kint</w:t>
      </w:r>
      <w:proofErr w:type="gramEnd"/>
      <w:r>
        <w:t>.2019.01.036</w:t>
      </w:r>
    </w:p>
    <w:p w14:paraId="21A27212" w14:textId="77777777" w:rsidR="00AC166E" w:rsidRPr="001D1CB8" w:rsidRDefault="008122E3">
      <w:pPr>
        <w:pStyle w:val="Bibliografa1"/>
        <w:rPr>
          <w:lang w:val="fr-FR"/>
        </w:rPr>
      </w:pPr>
      <w:r>
        <w:t xml:space="preserve">12 </w:t>
      </w:r>
      <w:r>
        <w:tab/>
      </w:r>
      <w:proofErr w:type="spellStart"/>
      <w:r>
        <w:t>Matesanz</w:t>
      </w:r>
      <w:proofErr w:type="spellEnd"/>
      <w:r>
        <w:t xml:space="preserve"> R, Domínguez-Gil B. Opt-out legislations: the mysterious viability of the false. </w:t>
      </w:r>
      <w:proofErr w:type="spellStart"/>
      <w:r w:rsidRPr="001D1CB8">
        <w:rPr>
          <w:i/>
          <w:lang w:val="fr-FR"/>
        </w:rPr>
        <w:t>Kidney</w:t>
      </w:r>
      <w:proofErr w:type="spellEnd"/>
      <w:r w:rsidRPr="001D1CB8">
        <w:rPr>
          <w:i/>
          <w:lang w:val="fr-FR"/>
        </w:rPr>
        <w:t xml:space="preserve"> International</w:t>
      </w:r>
      <w:r w:rsidRPr="001D1CB8">
        <w:rPr>
          <w:lang w:val="fr-FR"/>
        </w:rPr>
        <w:t xml:space="preserve"> </w:t>
      </w:r>
      <w:proofErr w:type="gramStart"/>
      <w:r w:rsidRPr="001D1CB8">
        <w:rPr>
          <w:lang w:val="fr-FR"/>
        </w:rPr>
        <w:t>2019;</w:t>
      </w:r>
      <w:proofErr w:type="gramEnd"/>
      <w:r w:rsidRPr="001D1CB8">
        <w:rPr>
          <w:b/>
          <w:lang w:val="fr-FR"/>
        </w:rPr>
        <w:t>95</w:t>
      </w:r>
      <w:r w:rsidRPr="001D1CB8">
        <w:rPr>
          <w:lang w:val="fr-FR"/>
        </w:rPr>
        <w:t xml:space="preserve">:1301–3. </w:t>
      </w:r>
      <w:proofErr w:type="gramStart"/>
      <w:r w:rsidRPr="001D1CB8">
        <w:rPr>
          <w:lang w:val="fr-FR"/>
        </w:rPr>
        <w:t>doi:10.1016/j.kint</w:t>
      </w:r>
      <w:proofErr w:type="gramEnd"/>
      <w:r w:rsidRPr="001D1CB8">
        <w:rPr>
          <w:lang w:val="fr-FR"/>
        </w:rPr>
        <w:t>.2019.02.028</w:t>
      </w:r>
    </w:p>
    <w:p w14:paraId="6FFEF002" w14:textId="77777777" w:rsidR="00AC166E" w:rsidRDefault="008122E3">
      <w:pPr>
        <w:pStyle w:val="Bibliografa1"/>
      </w:pPr>
      <w:r w:rsidRPr="001D1CB8">
        <w:rPr>
          <w:lang w:val="fr-FR"/>
        </w:rPr>
        <w:t xml:space="preserve">13 </w:t>
      </w:r>
      <w:r w:rsidRPr="001D1CB8">
        <w:rPr>
          <w:lang w:val="fr-FR"/>
        </w:rPr>
        <w:tab/>
        <w:t xml:space="preserve">Vela RJ, </w:t>
      </w:r>
      <w:proofErr w:type="spellStart"/>
      <w:r w:rsidRPr="001D1CB8">
        <w:rPr>
          <w:lang w:val="fr-FR"/>
        </w:rPr>
        <w:t>Pruszynski</w:t>
      </w:r>
      <w:proofErr w:type="spellEnd"/>
      <w:r w:rsidRPr="001D1CB8">
        <w:rPr>
          <w:lang w:val="fr-FR"/>
        </w:rPr>
        <w:t xml:space="preserve"> J, </w:t>
      </w:r>
      <w:proofErr w:type="spellStart"/>
      <w:r w:rsidRPr="001D1CB8">
        <w:rPr>
          <w:lang w:val="fr-FR"/>
        </w:rPr>
        <w:t>Mone</w:t>
      </w:r>
      <w:proofErr w:type="spellEnd"/>
      <w:r w:rsidRPr="001D1CB8">
        <w:rPr>
          <w:lang w:val="fr-FR"/>
        </w:rPr>
        <w:t xml:space="preserve"> T, </w:t>
      </w:r>
      <w:r w:rsidRPr="001D1CB8">
        <w:rPr>
          <w:i/>
          <w:lang w:val="fr-FR"/>
        </w:rPr>
        <w:t>et al.</w:t>
      </w:r>
      <w:r w:rsidRPr="001D1CB8">
        <w:rPr>
          <w:lang w:val="fr-FR"/>
        </w:rPr>
        <w:t xml:space="preserve"> </w:t>
      </w:r>
      <w:r>
        <w:t>Differences</w:t>
      </w:r>
      <w:r>
        <w:t xml:space="preserve"> in Organ Donation and Transplantation in States Within the United States and in European Countries: Is There a Benefit to Opting Out? </w:t>
      </w:r>
      <w:r>
        <w:rPr>
          <w:i/>
        </w:rPr>
        <w:t>Transplant Proc</w:t>
      </w:r>
      <w:r>
        <w:t xml:space="preserve"> </w:t>
      </w:r>
      <w:proofErr w:type="gramStart"/>
      <w:r>
        <w:t>2021;</w:t>
      </w:r>
      <w:r>
        <w:rPr>
          <w:b/>
        </w:rPr>
        <w:t>53</w:t>
      </w:r>
      <w:r>
        <w:t>:2801</w:t>
      </w:r>
      <w:proofErr w:type="gramEnd"/>
      <w:r>
        <w:t xml:space="preserve">–6. </w:t>
      </w:r>
      <w:proofErr w:type="gramStart"/>
      <w:r>
        <w:t>doi:10.1016/j.transproceed</w:t>
      </w:r>
      <w:proofErr w:type="gramEnd"/>
      <w:r>
        <w:t>.2021.09.029</w:t>
      </w:r>
    </w:p>
    <w:p w14:paraId="224A63E8" w14:textId="77777777" w:rsidR="00AC166E" w:rsidRDefault="008122E3">
      <w:pPr>
        <w:pStyle w:val="Bibliografa1"/>
      </w:pPr>
      <w:r>
        <w:t xml:space="preserve">14 </w:t>
      </w:r>
      <w:r>
        <w:tab/>
      </w:r>
      <w:proofErr w:type="spellStart"/>
      <w:r>
        <w:t>Rithalia</w:t>
      </w:r>
      <w:proofErr w:type="spellEnd"/>
      <w:r>
        <w:t xml:space="preserve"> A, McDaid C, </w:t>
      </w:r>
      <w:proofErr w:type="spellStart"/>
      <w:r>
        <w:t>Suekarran</w:t>
      </w:r>
      <w:proofErr w:type="spellEnd"/>
      <w:r>
        <w:t xml:space="preserve"> S, </w:t>
      </w:r>
      <w:r>
        <w:rPr>
          <w:i/>
        </w:rPr>
        <w:t>et al.</w:t>
      </w:r>
      <w:r>
        <w:t xml:space="preserve"> Impa</w:t>
      </w:r>
      <w:r>
        <w:t xml:space="preserve">ct of presumed consent for organ donation on donation rates: a systematic review. </w:t>
      </w:r>
      <w:r>
        <w:rPr>
          <w:i/>
        </w:rPr>
        <w:t>BMJ</w:t>
      </w:r>
      <w:r>
        <w:t xml:space="preserve"> 2009;</w:t>
      </w:r>
      <w:proofErr w:type="gramStart"/>
      <w:r>
        <w:rPr>
          <w:b/>
        </w:rPr>
        <w:t>338</w:t>
      </w:r>
      <w:r>
        <w:t>:a</w:t>
      </w:r>
      <w:proofErr w:type="gramEnd"/>
      <w:r>
        <w:t>3162.</w:t>
      </w:r>
    </w:p>
    <w:p w14:paraId="1AE77368" w14:textId="77777777" w:rsidR="00AC166E" w:rsidRDefault="008122E3">
      <w:pPr>
        <w:pStyle w:val="Bibliografa1"/>
      </w:pPr>
      <w:r>
        <w:t xml:space="preserve">15 </w:t>
      </w:r>
      <w:r>
        <w:tab/>
      </w:r>
      <w:proofErr w:type="spellStart"/>
      <w:r>
        <w:t>Steffel</w:t>
      </w:r>
      <w:proofErr w:type="spellEnd"/>
      <w:r>
        <w:t xml:space="preserve"> M, Williams EF, Tannenbaum D. Does changing defaults save lives? Effects of presumed consent organ donation policies. </w:t>
      </w:r>
      <w:proofErr w:type="spellStart"/>
      <w:r>
        <w:rPr>
          <w:i/>
        </w:rPr>
        <w:t>Behavioral</w:t>
      </w:r>
      <w:proofErr w:type="spellEnd"/>
      <w:r>
        <w:rPr>
          <w:i/>
        </w:rPr>
        <w:t xml:space="preserve"> Sciences and </w:t>
      </w:r>
      <w:r>
        <w:rPr>
          <w:i/>
        </w:rPr>
        <w:t>Policy</w:t>
      </w:r>
      <w:r>
        <w:t xml:space="preserve"> </w:t>
      </w:r>
      <w:proofErr w:type="gramStart"/>
      <w:r>
        <w:t>2019;</w:t>
      </w:r>
      <w:r>
        <w:rPr>
          <w:b/>
        </w:rPr>
        <w:t>5</w:t>
      </w:r>
      <w:r>
        <w:t>:69</w:t>
      </w:r>
      <w:proofErr w:type="gramEnd"/>
      <w:r>
        <w:t>–88.</w:t>
      </w:r>
    </w:p>
    <w:p w14:paraId="3C431221" w14:textId="77777777" w:rsidR="00AC166E" w:rsidRDefault="008122E3">
      <w:pPr>
        <w:pStyle w:val="Bibliografa1"/>
      </w:pPr>
      <w:r>
        <w:lastRenderedPageBreak/>
        <w:t xml:space="preserve">16 </w:t>
      </w:r>
      <w:r>
        <w:tab/>
        <w:t xml:space="preserve">Saab S, </w:t>
      </w:r>
      <w:proofErr w:type="spellStart"/>
      <w:r>
        <w:t>Saggi</w:t>
      </w:r>
      <w:proofErr w:type="spellEnd"/>
      <w:r>
        <w:t xml:space="preserve"> SS, Akbar M, </w:t>
      </w:r>
      <w:r>
        <w:rPr>
          <w:i/>
        </w:rPr>
        <w:t>et al.</w:t>
      </w:r>
      <w:r>
        <w:t xml:space="preserve"> Presumed Consent: A Potential Tool for Countries Experiencing an Organ Donation Crisis. </w:t>
      </w:r>
      <w:r>
        <w:rPr>
          <w:i/>
        </w:rPr>
        <w:t>Dig Dis Sci</w:t>
      </w:r>
      <w:r>
        <w:t xml:space="preserve"> </w:t>
      </w:r>
      <w:proofErr w:type="gramStart"/>
      <w:r>
        <w:t>2019;</w:t>
      </w:r>
      <w:r>
        <w:rPr>
          <w:b/>
        </w:rPr>
        <w:t>64</w:t>
      </w:r>
      <w:r>
        <w:t>:1346</w:t>
      </w:r>
      <w:proofErr w:type="gramEnd"/>
      <w:r>
        <w:t>–55. doi:10.1007/s10620-018-5388-6</w:t>
      </w:r>
    </w:p>
    <w:p w14:paraId="741B626A" w14:textId="007EE9C5" w:rsidR="00AC166E" w:rsidRDefault="008122E3">
      <w:pPr>
        <w:pStyle w:val="Bibliografa1"/>
      </w:pPr>
      <w:r>
        <w:t xml:space="preserve">17 </w:t>
      </w:r>
      <w:r>
        <w:tab/>
        <w:t xml:space="preserve">Etheredge HR. Assessing Global Organ Donation </w:t>
      </w:r>
      <w:r>
        <w:t xml:space="preserve">Policies: Opt-In vs Opt-Out. </w:t>
      </w:r>
      <w:r>
        <w:rPr>
          <w:i/>
        </w:rPr>
        <w:t>RMHP</w:t>
      </w:r>
      <w:r>
        <w:t xml:space="preserve"> 2021;</w:t>
      </w:r>
      <w:bookmarkStart w:id="0" w:name="_GoBack"/>
      <w:bookmarkEnd w:id="0"/>
      <w:r>
        <w:rPr>
          <w:b/>
        </w:rPr>
        <w:t xml:space="preserve"> 14</w:t>
      </w:r>
      <w:r>
        <w:t>:1985–98. doi:10.2147/RMHP.S270234</w:t>
      </w:r>
    </w:p>
    <w:p w14:paraId="599B61F6" w14:textId="77777777" w:rsidR="00AC166E" w:rsidRDefault="008122E3">
      <w:pPr>
        <w:pStyle w:val="Bibliografa1"/>
      </w:pPr>
      <w:r>
        <w:t xml:space="preserve">18 </w:t>
      </w:r>
      <w:r>
        <w:tab/>
        <w:t xml:space="preserve">Niven J, Chalmers N. </w:t>
      </w:r>
      <w:proofErr w:type="spellStart"/>
      <w:r>
        <w:t>Opt</w:t>
      </w:r>
      <w:proofErr w:type="spellEnd"/>
      <w:r>
        <w:t xml:space="preserve"> Out Organ Donation: A Rapid Evidence Review. Edinburgh</w:t>
      </w:r>
      <w:proofErr w:type="gramStart"/>
      <w:r>
        <w:t>: :</w:t>
      </w:r>
      <w:proofErr w:type="gramEnd"/>
      <w:r>
        <w:t xml:space="preserve"> Scottish Government 2018. </w:t>
      </w:r>
    </w:p>
    <w:p w14:paraId="3909F21C" w14:textId="77777777" w:rsidR="00AC166E" w:rsidRDefault="008122E3">
      <w:pPr>
        <w:pStyle w:val="Bibliografa1"/>
      </w:pPr>
      <w:r>
        <w:t xml:space="preserve">19 </w:t>
      </w:r>
      <w:r>
        <w:tab/>
      </w:r>
      <w:r>
        <w:t xml:space="preserve">Willis BH, Quigley M. Opt-out organ donation: on evidence and public policy. </w:t>
      </w:r>
      <w:r>
        <w:rPr>
          <w:i/>
        </w:rPr>
        <w:t>J R Soc Med</w:t>
      </w:r>
      <w:r>
        <w:t xml:space="preserve"> </w:t>
      </w:r>
      <w:proofErr w:type="gramStart"/>
      <w:r>
        <w:t>2014;</w:t>
      </w:r>
      <w:r>
        <w:rPr>
          <w:b/>
        </w:rPr>
        <w:t>107</w:t>
      </w:r>
      <w:r>
        <w:t>:56</w:t>
      </w:r>
      <w:proofErr w:type="gramEnd"/>
      <w:r>
        <w:t>–60. doi:10.1177/0141076813507707</w:t>
      </w:r>
    </w:p>
    <w:p w14:paraId="4D99EA8C" w14:textId="77777777" w:rsidR="00AC166E" w:rsidRDefault="008122E3">
      <w:pPr>
        <w:pStyle w:val="Bibliografa1"/>
      </w:pPr>
      <w:r>
        <w:t xml:space="preserve">20 </w:t>
      </w:r>
      <w:r>
        <w:tab/>
      </w:r>
      <w:proofErr w:type="spellStart"/>
      <w:r>
        <w:t>Matesanz</w:t>
      </w:r>
      <w:proofErr w:type="spellEnd"/>
      <w:r>
        <w:t xml:space="preserve"> R, Domínguez‐Gil B, Coll E, </w:t>
      </w:r>
      <w:r>
        <w:rPr>
          <w:i/>
        </w:rPr>
        <w:t>et al.</w:t>
      </w:r>
      <w:r>
        <w:t xml:space="preserve"> How Spain Reached 40 Deceased Organ Donors per Million Population. </w:t>
      </w:r>
      <w:r>
        <w:rPr>
          <w:i/>
        </w:rPr>
        <w:t>American Journal of Transplantation</w:t>
      </w:r>
      <w:r>
        <w:t xml:space="preserve"> </w:t>
      </w:r>
      <w:proofErr w:type="gramStart"/>
      <w:r>
        <w:t>2017;</w:t>
      </w:r>
      <w:r>
        <w:rPr>
          <w:b/>
        </w:rPr>
        <w:t>17</w:t>
      </w:r>
      <w:r>
        <w:t>:1447</w:t>
      </w:r>
      <w:proofErr w:type="gramEnd"/>
      <w:r>
        <w:t>–54. doi:10.1111/ajt.14104</w:t>
      </w:r>
    </w:p>
    <w:p w14:paraId="24C7D68D" w14:textId="77777777" w:rsidR="00AC166E" w:rsidRDefault="008122E3">
      <w:pPr>
        <w:pStyle w:val="Bibliografa1"/>
      </w:pPr>
      <w:r>
        <w:t xml:space="preserve">21 </w:t>
      </w:r>
      <w:r>
        <w:tab/>
      </w:r>
      <w:proofErr w:type="spellStart"/>
      <w:r>
        <w:t>Coppen</w:t>
      </w:r>
      <w:proofErr w:type="spellEnd"/>
      <w:r>
        <w:t xml:space="preserve"> R, </w:t>
      </w:r>
      <w:proofErr w:type="spellStart"/>
      <w:r>
        <w:t>Friele</w:t>
      </w:r>
      <w:proofErr w:type="spellEnd"/>
      <w:r>
        <w:t xml:space="preserve"> RD, </w:t>
      </w:r>
      <w:proofErr w:type="spellStart"/>
      <w:r>
        <w:t>Gevers</w:t>
      </w:r>
      <w:proofErr w:type="spellEnd"/>
      <w:r>
        <w:t xml:space="preserve"> SKM, </w:t>
      </w:r>
      <w:r>
        <w:rPr>
          <w:i/>
        </w:rPr>
        <w:t>et al.</w:t>
      </w:r>
      <w:r>
        <w:t xml:space="preserve"> Imagining the impact of different consent systems on organ donation: the decisions of next of kin. </w:t>
      </w:r>
      <w:r>
        <w:rPr>
          <w:i/>
        </w:rPr>
        <w:t>Death Stud</w:t>
      </w:r>
      <w:r>
        <w:t xml:space="preserve"> </w:t>
      </w:r>
      <w:proofErr w:type="gramStart"/>
      <w:r>
        <w:t>2010;</w:t>
      </w:r>
      <w:r>
        <w:rPr>
          <w:b/>
        </w:rPr>
        <w:t>34</w:t>
      </w:r>
      <w:r>
        <w:t>:835</w:t>
      </w:r>
      <w:proofErr w:type="gramEnd"/>
      <w:r>
        <w:t>–47.</w:t>
      </w:r>
    </w:p>
    <w:p w14:paraId="217EA2F6" w14:textId="77777777" w:rsidR="00AC166E" w:rsidRDefault="008122E3">
      <w:pPr>
        <w:pStyle w:val="Bibliografa1"/>
      </w:pPr>
      <w:r>
        <w:t xml:space="preserve">22 </w:t>
      </w:r>
      <w:r>
        <w:tab/>
        <w:t>Costa-F</w:t>
      </w:r>
      <w:r>
        <w:t xml:space="preserve">ont J, </w:t>
      </w:r>
      <w:proofErr w:type="spellStart"/>
      <w:r>
        <w:t>Rudisill</w:t>
      </w:r>
      <w:proofErr w:type="spellEnd"/>
      <w:r>
        <w:t xml:space="preserve"> C, </w:t>
      </w:r>
      <w:proofErr w:type="spellStart"/>
      <w:r>
        <w:t>Salcher</w:t>
      </w:r>
      <w:proofErr w:type="spellEnd"/>
      <w:r>
        <w:t xml:space="preserve">-Konrad M. ‘Relative Consent’ or ‘Presumed Consent’? Organ donation attitudes and behaviour. </w:t>
      </w:r>
      <w:r>
        <w:rPr>
          <w:i/>
        </w:rPr>
        <w:t>Eur J Health Econ</w:t>
      </w:r>
      <w:r>
        <w:t xml:space="preserve"> Published Online First: 10 July 2020. doi:10.1007/s10198-020-01214-8</w:t>
      </w:r>
    </w:p>
    <w:p w14:paraId="123E72A3" w14:textId="77777777" w:rsidR="00AC166E" w:rsidRDefault="008122E3">
      <w:pPr>
        <w:pStyle w:val="Bibliografa1"/>
      </w:pPr>
      <w:r>
        <w:t xml:space="preserve">23 </w:t>
      </w:r>
      <w:r>
        <w:tab/>
        <w:t>Bea S. Opt-out policy and the organ shortage p</w:t>
      </w:r>
      <w:r>
        <w:t xml:space="preserve">roblem: Critical insights and practical considerations. </w:t>
      </w:r>
      <w:r>
        <w:rPr>
          <w:i/>
        </w:rPr>
        <w:t>Transplantation Reviews</w:t>
      </w:r>
      <w:r>
        <w:t xml:space="preserve"> </w:t>
      </w:r>
      <w:proofErr w:type="gramStart"/>
      <w:r>
        <w:t>2021;</w:t>
      </w:r>
      <w:r>
        <w:rPr>
          <w:b/>
        </w:rPr>
        <w:t>35</w:t>
      </w:r>
      <w:r>
        <w:t>:100589</w:t>
      </w:r>
      <w:proofErr w:type="gramEnd"/>
      <w:r>
        <w:t xml:space="preserve">. </w:t>
      </w:r>
      <w:proofErr w:type="gramStart"/>
      <w:r>
        <w:t>doi:10.1016/j.trre</w:t>
      </w:r>
      <w:proofErr w:type="gramEnd"/>
      <w:r>
        <w:t>.2020.100589</w:t>
      </w:r>
    </w:p>
    <w:p w14:paraId="00C0A4B2" w14:textId="77777777" w:rsidR="00AC166E" w:rsidRDefault="008122E3">
      <w:pPr>
        <w:pStyle w:val="Bibliografa1"/>
      </w:pPr>
      <w:r>
        <w:t xml:space="preserve">24 </w:t>
      </w:r>
      <w:r>
        <w:tab/>
        <w:t xml:space="preserve">Thaler RH, Sunstein CR. </w:t>
      </w:r>
      <w:r>
        <w:rPr>
          <w:i/>
        </w:rPr>
        <w:t>Nudge: improving decisions about health, wealth, and happiness</w:t>
      </w:r>
      <w:r>
        <w:t>. New Haven</w:t>
      </w:r>
      <w:proofErr w:type="gramStart"/>
      <w:r>
        <w:t>: :</w:t>
      </w:r>
      <w:proofErr w:type="gramEnd"/>
      <w:r>
        <w:t xml:space="preserve"> Yale University Press 20</w:t>
      </w:r>
      <w:r>
        <w:t xml:space="preserve">08. </w:t>
      </w:r>
    </w:p>
    <w:p w14:paraId="797AED18" w14:textId="77777777" w:rsidR="00AC166E" w:rsidRDefault="008122E3">
      <w:pPr>
        <w:pStyle w:val="Bibliografa1"/>
      </w:pPr>
      <w:r>
        <w:t xml:space="preserve">25 </w:t>
      </w:r>
      <w:r>
        <w:tab/>
      </w:r>
      <w:proofErr w:type="spellStart"/>
      <w:r>
        <w:t>Beraldo</w:t>
      </w:r>
      <w:proofErr w:type="spellEnd"/>
      <w:r>
        <w:t xml:space="preserve"> S, </w:t>
      </w:r>
      <w:proofErr w:type="spellStart"/>
      <w:r>
        <w:t>Karpus</w:t>
      </w:r>
      <w:proofErr w:type="spellEnd"/>
      <w:r>
        <w:t xml:space="preserve"> J. Nudging to donate organs: do what you like or like what we do? </w:t>
      </w:r>
      <w:r>
        <w:rPr>
          <w:i/>
        </w:rPr>
        <w:t xml:space="preserve">Med Health Care and </w:t>
      </w:r>
      <w:proofErr w:type="spellStart"/>
      <w:r>
        <w:rPr>
          <w:i/>
        </w:rPr>
        <w:t>Philos</w:t>
      </w:r>
      <w:proofErr w:type="spellEnd"/>
      <w:r>
        <w:t xml:space="preserve"> </w:t>
      </w:r>
      <w:proofErr w:type="gramStart"/>
      <w:r>
        <w:t>2021;</w:t>
      </w:r>
      <w:r>
        <w:rPr>
          <w:b/>
        </w:rPr>
        <w:t>24</w:t>
      </w:r>
      <w:r>
        <w:t>:329</w:t>
      </w:r>
      <w:proofErr w:type="gramEnd"/>
      <w:r>
        <w:t>–40. doi:10.1007/s11019-021-10007-6</w:t>
      </w:r>
    </w:p>
    <w:p w14:paraId="7BE6A6E8" w14:textId="77777777" w:rsidR="00AC166E" w:rsidRDefault="008122E3">
      <w:pPr>
        <w:pStyle w:val="Bibliografa1"/>
      </w:pPr>
      <w:r>
        <w:t xml:space="preserve">26 </w:t>
      </w:r>
      <w:r>
        <w:tab/>
        <w:t xml:space="preserve">Johnson EJ, Goldstein D. Do defaults save lives? </w:t>
      </w:r>
      <w:r>
        <w:rPr>
          <w:i/>
        </w:rPr>
        <w:t>Science</w:t>
      </w:r>
      <w:r>
        <w:t xml:space="preserve"> 2003;</w:t>
      </w:r>
      <w:r>
        <w:rPr>
          <w:b/>
        </w:rPr>
        <w:t>302</w:t>
      </w:r>
      <w:r>
        <w:t>.</w:t>
      </w:r>
    </w:p>
    <w:p w14:paraId="5A9DFAF4" w14:textId="77777777" w:rsidR="00AC166E" w:rsidRDefault="008122E3">
      <w:pPr>
        <w:pStyle w:val="Bibliografa1"/>
      </w:pPr>
      <w:r>
        <w:t xml:space="preserve">27 </w:t>
      </w:r>
      <w:r>
        <w:tab/>
        <w:t>MacKay D, Robi</w:t>
      </w:r>
      <w:r>
        <w:t xml:space="preserve">nson A. The Ethics of Organ Donor Registration Policies: Nudges and Respect for Autonomy. </w:t>
      </w:r>
      <w:r>
        <w:rPr>
          <w:i/>
        </w:rPr>
        <w:t>The American Journal of Bioethics</w:t>
      </w:r>
      <w:r>
        <w:t xml:space="preserve"> </w:t>
      </w:r>
      <w:proofErr w:type="gramStart"/>
      <w:r>
        <w:t>2016;</w:t>
      </w:r>
      <w:r>
        <w:rPr>
          <w:b/>
        </w:rPr>
        <w:t>16</w:t>
      </w:r>
      <w:r>
        <w:t>:3</w:t>
      </w:r>
      <w:proofErr w:type="gramEnd"/>
      <w:r>
        <w:t>–12. doi:10.1080/15265161.2016.1222007</w:t>
      </w:r>
    </w:p>
    <w:p w14:paraId="79B15966" w14:textId="77777777" w:rsidR="00AC166E" w:rsidRDefault="008122E3">
      <w:pPr>
        <w:pStyle w:val="Bibliografa1"/>
      </w:pPr>
      <w:r>
        <w:t xml:space="preserve">28 </w:t>
      </w:r>
      <w:r>
        <w:tab/>
        <w:t>Rodríguez-Arias D, Ortega-</w:t>
      </w:r>
      <w:proofErr w:type="spellStart"/>
      <w:r>
        <w:t>Deballon</w:t>
      </w:r>
      <w:proofErr w:type="spellEnd"/>
      <w:r>
        <w:t xml:space="preserve"> I, Smith MJ, </w:t>
      </w:r>
      <w:r>
        <w:rPr>
          <w:i/>
        </w:rPr>
        <w:t>et al.</w:t>
      </w:r>
      <w:r>
        <w:t xml:space="preserve"> Casting light and doubt o</w:t>
      </w:r>
      <w:r>
        <w:t xml:space="preserve">n uncontrolled DCDD protocols. </w:t>
      </w:r>
      <w:r>
        <w:rPr>
          <w:i/>
        </w:rPr>
        <w:t>Hastings Cent Rep</w:t>
      </w:r>
      <w:r>
        <w:t xml:space="preserve"> </w:t>
      </w:r>
      <w:proofErr w:type="gramStart"/>
      <w:r>
        <w:t>2013;</w:t>
      </w:r>
      <w:r>
        <w:rPr>
          <w:b/>
        </w:rPr>
        <w:t>43</w:t>
      </w:r>
      <w:r>
        <w:t>:27</w:t>
      </w:r>
      <w:proofErr w:type="gramEnd"/>
      <w:r>
        <w:t>–30. doi:10.1002/hast.128</w:t>
      </w:r>
    </w:p>
    <w:p w14:paraId="23BF9A70" w14:textId="77777777" w:rsidR="00AC166E" w:rsidRDefault="008122E3">
      <w:pPr>
        <w:pStyle w:val="Bibliografa1"/>
      </w:pPr>
      <w:r>
        <w:t xml:space="preserve">29 </w:t>
      </w:r>
      <w:r>
        <w:tab/>
      </w:r>
      <w:proofErr w:type="spellStart"/>
      <w:r>
        <w:t>Lomero</w:t>
      </w:r>
      <w:proofErr w:type="spellEnd"/>
      <w:r>
        <w:t xml:space="preserve"> M, Gardiner D, Coll E, </w:t>
      </w:r>
      <w:r>
        <w:rPr>
          <w:i/>
        </w:rPr>
        <w:t>et al.</w:t>
      </w:r>
      <w:r>
        <w:t xml:space="preserve"> Donation after circulatory death today: an updated overview of the European landscape. </w:t>
      </w:r>
      <w:r>
        <w:rPr>
          <w:i/>
        </w:rPr>
        <w:t>Transplant International</w:t>
      </w:r>
      <w:r>
        <w:t xml:space="preserve"> </w:t>
      </w:r>
      <w:proofErr w:type="gramStart"/>
      <w:r>
        <w:t>2020;</w:t>
      </w:r>
      <w:r>
        <w:rPr>
          <w:b/>
        </w:rPr>
        <w:t>33</w:t>
      </w:r>
      <w:r>
        <w:t>:76</w:t>
      </w:r>
      <w:proofErr w:type="gramEnd"/>
      <w:r>
        <w:t>–88. doi</w:t>
      </w:r>
      <w:r>
        <w:t>:10.1111/tri.13506</w:t>
      </w:r>
    </w:p>
    <w:p w14:paraId="0894823F" w14:textId="77777777" w:rsidR="00AC166E" w:rsidRDefault="008122E3">
      <w:pPr>
        <w:pStyle w:val="Bibliografa1"/>
      </w:pPr>
      <w:r>
        <w:t xml:space="preserve">30 </w:t>
      </w:r>
      <w:r>
        <w:tab/>
      </w:r>
      <w:proofErr w:type="spellStart"/>
      <w:r>
        <w:t>Davidai</w:t>
      </w:r>
      <w:proofErr w:type="spellEnd"/>
      <w:r>
        <w:t xml:space="preserve"> S, Gilovich T, Ross LD. The meaning of default options for potential organ donors. </w:t>
      </w:r>
      <w:r>
        <w:rPr>
          <w:i/>
        </w:rPr>
        <w:t xml:space="preserve">Proc Natl </w:t>
      </w:r>
      <w:proofErr w:type="spellStart"/>
      <w:r>
        <w:rPr>
          <w:i/>
        </w:rPr>
        <w:t>Acad</w:t>
      </w:r>
      <w:proofErr w:type="spellEnd"/>
      <w:r>
        <w:rPr>
          <w:i/>
        </w:rPr>
        <w:t xml:space="preserve"> Sci U S A</w:t>
      </w:r>
      <w:r>
        <w:t xml:space="preserve"> </w:t>
      </w:r>
      <w:proofErr w:type="gramStart"/>
      <w:r>
        <w:t>2012;</w:t>
      </w:r>
      <w:r>
        <w:rPr>
          <w:b/>
        </w:rPr>
        <w:t>109</w:t>
      </w:r>
      <w:r>
        <w:t>:15201</w:t>
      </w:r>
      <w:proofErr w:type="gramEnd"/>
      <w:r>
        <w:t>–5. doi:10.1073/pnas.1211695109</w:t>
      </w:r>
    </w:p>
    <w:p w14:paraId="44557045" w14:textId="77777777" w:rsidR="00AC166E" w:rsidRDefault="008122E3">
      <w:pPr>
        <w:pStyle w:val="Bibliografa1"/>
      </w:pPr>
      <w:r>
        <w:t xml:space="preserve">31 </w:t>
      </w:r>
      <w:r>
        <w:tab/>
        <w:t xml:space="preserve">van Dalen HP, </w:t>
      </w:r>
      <w:proofErr w:type="spellStart"/>
      <w:r>
        <w:t>Henkens</w:t>
      </w:r>
      <w:proofErr w:type="spellEnd"/>
      <w:r>
        <w:t xml:space="preserve"> K. Comparing the effects of defaults in organ</w:t>
      </w:r>
      <w:r>
        <w:t xml:space="preserve"> donation systems. </w:t>
      </w:r>
      <w:r>
        <w:rPr>
          <w:i/>
        </w:rPr>
        <w:t>Social Science &amp; Medicine</w:t>
      </w:r>
      <w:r>
        <w:t xml:space="preserve"> </w:t>
      </w:r>
      <w:proofErr w:type="gramStart"/>
      <w:r>
        <w:t>2014;</w:t>
      </w:r>
      <w:r>
        <w:rPr>
          <w:b/>
        </w:rPr>
        <w:t>106</w:t>
      </w:r>
      <w:r>
        <w:t>:137</w:t>
      </w:r>
      <w:proofErr w:type="gramEnd"/>
      <w:r>
        <w:t xml:space="preserve">–42. </w:t>
      </w:r>
      <w:proofErr w:type="gramStart"/>
      <w:r>
        <w:t>doi:10.1016/j.socscimed</w:t>
      </w:r>
      <w:proofErr w:type="gramEnd"/>
      <w:r>
        <w:t>.2014.01.052</w:t>
      </w:r>
    </w:p>
    <w:p w14:paraId="1CC0E88D" w14:textId="77777777" w:rsidR="00AC166E" w:rsidRDefault="008122E3">
      <w:pPr>
        <w:pStyle w:val="Bibliografa1"/>
      </w:pPr>
      <w:r>
        <w:lastRenderedPageBreak/>
        <w:t xml:space="preserve">32 </w:t>
      </w:r>
      <w:r>
        <w:tab/>
      </w:r>
      <w:proofErr w:type="spellStart"/>
      <w:r>
        <w:t>Steenaart</w:t>
      </w:r>
      <w:proofErr w:type="spellEnd"/>
      <w:r>
        <w:t xml:space="preserve"> E, </w:t>
      </w:r>
      <w:proofErr w:type="spellStart"/>
      <w:r>
        <w:t>Crutzen</w:t>
      </w:r>
      <w:proofErr w:type="spellEnd"/>
      <w:r>
        <w:t xml:space="preserve"> R, de Vries NK. Beyond the ticked box: organ donation decision-making under different registration systems. </w:t>
      </w:r>
      <w:r>
        <w:rPr>
          <w:i/>
        </w:rPr>
        <w:t>Psychology &amp; Health</w:t>
      </w:r>
      <w:r>
        <w:t xml:space="preserve"> </w:t>
      </w:r>
      <w:proofErr w:type="gramStart"/>
      <w:r>
        <w:t>2021;</w:t>
      </w:r>
      <w:r>
        <w:rPr>
          <w:b/>
        </w:rPr>
        <w:t>36</w:t>
      </w:r>
      <w:r>
        <w:t>:511</w:t>
      </w:r>
      <w:proofErr w:type="gramEnd"/>
      <w:r>
        <w:t>–28. doi:10.1080/08870446.2020.1811867</w:t>
      </w:r>
    </w:p>
    <w:p w14:paraId="2FA628C3" w14:textId="77777777" w:rsidR="00AC166E" w:rsidRDefault="008122E3">
      <w:pPr>
        <w:pStyle w:val="Bibliografa1"/>
      </w:pPr>
      <w:r>
        <w:t xml:space="preserve">33 </w:t>
      </w:r>
      <w:r>
        <w:tab/>
      </w:r>
      <w:proofErr w:type="spellStart"/>
      <w:r>
        <w:t>Albertsen</w:t>
      </w:r>
      <w:proofErr w:type="spellEnd"/>
      <w:r>
        <w:t xml:space="preserve"> A. Deemed consent: assessing the new opt-out approach to organ procurement in Wales. </w:t>
      </w:r>
      <w:r>
        <w:rPr>
          <w:i/>
        </w:rPr>
        <w:t>Journal of Medical Ethics</w:t>
      </w:r>
      <w:r>
        <w:t xml:space="preserve"> </w:t>
      </w:r>
      <w:proofErr w:type="gramStart"/>
      <w:r>
        <w:t>2018;</w:t>
      </w:r>
      <w:r>
        <w:rPr>
          <w:b/>
        </w:rPr>
        <w:t>44</w:t>
      </w:r>
      <w:r>
        <w:t>:314</w:t>
      </w:r>
      <w:proofErr w:type="gramEnd"/>
      <w:r>
        <w:t>–8. doi:10.1136/medethics-2017-104475</w:t>
      </w:r>
    </w:p>
    <w:p w14:paraId="14769BE1" w14:textId="77777777" w:rsidR="00AC166E" w:rsidRPr="001D1CB8" w:rsidRDefault="008122E3">
      <w:pPr>
        <w:pStyle w:val="Bibliografa1"/>
        <w:rPr>
          <w:lang w:val="es-ES"/>
        </w:rPr>
      </w:pPr>
      <w:r>
        <w:t xml:space="preserve">34 </w:t>
      </w:r>
      <w:r>
        <w:tab/>
        <w:t xml:space="preserve">Madden S, Collett D, Walton P, </w:t>
      </w:r>
      <w:r>
        <w:rPr>
          <w:i/>
        </w:rPr>
        <w:t>et</w:t>
      </w:r>
      <w:r>
        <w:rPr>
          <w:i/>
        </w:rPr>
        <w:t xml:space="preserve"> al.</w:t>
      </w:r>
      <w:r>
        <w:t xml:space="preserve"> The effect on consent rates for deceased organ donation in Wales after the introduction of an opt‐out system. </w:t>
      </w:r>
      <w:proofErr w:type="spellStart"/>
      <w:r w:rsidRPr="001D1CB8">
        <w:rPr>
          <w:i/>
          <w:lang w:val="es-ES"/>
        </w:rPr>
        <w:t>Anaesthesia</w:t>
      </w:r>
      <w:proofErr w:type="spellEnd"/>
      <w:r w:rsidRPr="001D1CB8">
        <w:rPr>
          <w:lang w:val="es-ES"/>
        </w:rPr>
        <w:t xml:space="preserve"> </w:t>
      </w:r>
      <w:proofErr w:type="gramStart"/>
      <w:r w:rsidRPr="001D1CB8">
        <w:rPr>
          <w:lang w:val="es-ES"/>
        </w:rPr>
        <w:t>2020;:</w:t>
      </w:r>
      <w:proofErr w:type="gramEnd"/>
      <w:r w:rsidRPr="001D1CB8">
        <w:rPr>
          <w:lang w:val="es-ES"/>
        </w:rPr>
        <w:t>anae.15055. doi:10.1111/anae.15055</w:t>
      </w:r>
    </w:p>
    <w:p w14:paraId="2546D4D1" w14:textId="77777777" w:rsidR="00AC166E" w:rsidRDefault="008122E3">
      <w:pPr>
        <w:pStyle w:val="Bibliografa1"/>
      </w:pPr>
      <w:r w:rsidRPr="001D1CB8">
        <w:rPr>
          <w:lang w:val="es-ES"/>
        </w:rPr>
        <w:t xml:space="preserve">35 </w:t>
      </w:r>
      <w:r w:rsidRPr="001D1CB8">
        <w:rPr>
          <w:lang w:val="es-ES"/>
        </w:rPr>
        <w:tab/>
        <w:t xml:space="preserve">Ferguson E, </w:t>
      </w:r>
      <w:proofErr w:type="spellStart"/>
      <w:r w:rsidRPr="001D1CB8">
        <w:rPr>
          <w:lang w:val="es-ES"/>
        </w:rPr>
        <w:t>Shichman</w:t>
      </w:r>
      <w:proofErr w:type="spellEnd"/>
      <w:r w:rsidRPr="001D1CB8">
        <w:rPr>
          <w:lang w:val="es-ES"/>
        </w:rPr>
        <w:t xml:space="preserve"> R, Tan JHW. </w:t>
      </w:r>
      <w:r>
        <w:t>When Lone Wolf Defectors Undermine the Power of the</w:t>
      </w:r>
      <w:r>
        <w:t xml:space="preserve"> Opt-Out Default. </w:t>
      </w:r>
      <w:r>
        <w:rPr>
          <w:i/>
        </w:rPr>
        <w:t>Sci Rep</w:t>
      </w:r>
      <w:r>
        <w:t xml:space="preserve"> </w:t>
      </w:r>
      <w:proofErr w:type="gramStart"/>
      <w:r>
        <w:t>2020;</w:t>
      </w:r>
      <w:r>
        <w:rPr>
          <w:b/>
        </w:rPr>
        <w:t>10</w:t>
      </w:r>
      <w:r>
        <w:t>:8973</w:t>
      </w:r>
      <w:proofErr w:type="gramEnd"/>
      <w:r>
        <w:t>. doi:10.1038/s41598-020-65163-1</w:t>
      </w:r>
    </w:p>
    <w:p w14:paraId="295F13BE" w14:textId="77777777" w:rsidR="00AC166E" w:rsidRDefault="008122E3">
      <w:pPr>
        <w:pStyle w:val="Bibliografa1"/>
      </w:pPr>
      <w:r>
        <w:t xml:space="preserve">36 </w:t>
      </w:r>
      <w:r>
        <w:tab/>
      </w:r>
      <w:proofErr w:type="spellStart"/>
      <w:r>
        <w:t>Golsteyn</w:t>
      </w:r>
      <w:proofErr w:type="spellEnd"/>
      <w:r>
        <w:t xml:space="preserve"> BHH, </w:t>
      </w:r>
      <w:proofErr w:type="spellStart"/>
      <w:r>
        <w:t>Verhagen</w:t>
      </w:r>
      <w:proofErr w:type="spellEnd"/>
      <w:r>
        <w:t xml:space="preserve"> AMC. Deceased by default: Consent systems and organ-patient mortality. </w:t>
      </w:r>
      <w:proofErr w:type="spellStart"/>
      <w:r>
        <w:rPr>
          <w:i/>
        </w:rPr>
        <w:t>PLoS</w:t>
      </w:r>
      <w:proofErr w:type="spellEnd"/>
      <w:r>
        <w:rPr>
          <w:i/>
        </w:rPr>
        <w:t xml:space="preserve"> ONE</w:t>
      </w:r>
      <w:r>
        <w:t xml:space="preserve"> 2021;</w:t>
      </w:r>
      <w:proofErr w:type="gramStart"/>
      <w:r>
        <w:rPr>
          <w:b/>
        </w:rPr>
        <w:t>16</w:t>
      </w:r>
      <w:r>
        <w:t>:e</w:t>
      </w:r>
      <w:proofErr w:type="gramEnd"/>
      <w:r>
        <w:t xml:space="preserve">0247719. </w:t>
      </w:r>
      <w:proofErr w:type="gramStart"/>
      <w:r>
        <w:t>doi:10.1371/journal.pone</w:t>
      </w:r>
      <w:proofErr w:type="gramEnd"/>
      <w:r>
        <w:t>.0247719</w:t>
      </w:r>
    </w:p>
    <w:p w14:paraId="3F85343E" w14:textId="77777777" w:rsidR="00AC166E" w:rsidRDefault="008122E3">
      <w:pPr>
        <w:pStyle w:val="Bibliografa1"/>
      </w:pPr>
      <w:r>
        <w:t xml:space="preserve">37 </w:t>
      </w:r>
      <w:r>
        <w:tab/>
      </w:r>
      <w:r>
        <w:t xml:space="preserve">Miller J, Currie S, McGregor LM, </w:t>
      </w:r>
      <w:r>
        <w:rPr>
          <w:i/>
        </w:rPr>
        <w:t>et al.</w:t>
      </w:r>
      <w:r>
        <w:t xml:space="preserve"> ‘It’s like being conscripted, one volunteer is better than 10 pressed men’: A qualitative study into the views of people who plan to opt‐out of organ donation. </w:t>
      </w:r>
      <w:r>
        <w:rPr>
          <w:i/>
        </w:rPr>
        <w:t xml:space="preserve">Br J Health </w:t>
      </w:r>
      <w:proofErr w:type="spellStart"/>
      <w:r>
        <w:rPr>
          <w:i/>
        </w:rPr>
        <w:t>Psychol</w:t>
      </w:r>
      <w:proofErr w:type="spellEnd"/>
      <w:r>
        <w:t xml:space="preserve"> </w:t>
      </w:r>
      <w:proofErr w:type="gramStart"/>
      <w:r>
        <w:t>2020;:</w:t>
      </w:r>
      <w:proofErr w:type="gramEnd"/>
      <w:r>
        <w:t>bjhp.12406. doi:10.1111/bjhp.1</w:t>
      </w:r>
      <w:r>
        <w:t>2406</w:t>
      </w:r>
    </w:p>
    <w:p w14:paraId="74320EA7" w14:textId="77777777" w:rsidR="00AC166E" w:rsidRDefault="008122E3">
      <w:pPr>
        <w:pStyle w:val="Bibliografa1"/>
      </w:pPr>
      <w:r>
        <w:t xml:space="preserve">38 </w:t>
      </w:r>
      <w:r>
        <w:tab/>
      </w:r>
      <w:proofErr w:type="spellStart"/>
      <w:r>
        <w:t>Csillag</w:t>
      </w:r>
      <w:proofErr w:type="spellEnd"/>
      <w:r>
        <w:t xml:space="preserve"> C. Brazil abolishes ‘presumed consent’ in organ donation. </w:t>
      </w:r>
      <w:r>
        <w:rPr>
          <w:i/>
        </w:rPr>
        <w:t>Lancet</w:t>
      </w:r>
      <w:r>
        <w:t xml:space="preserve"> </w:t>
      </w:r>
      <w:proofErr w:type="gramStart"/>
      <w:r>
        <w:t>1998;</w:t>
      </w:r>
      <w:r>
        <w:rPr>
          <w:b/>
        </w:rPr>
        <w:t>352</w:t>
      </w:r>
      <w:r>
        <w:t>:1367</w:t>
      </w:r>
      <w:proofErr w:type="gramEnd"/>
      <w:r>
        <w:t>. doi:10.1016/S0140-6736(05)60767-2</w:t>
      </w:r>
    </w:p>
    <w:p w14:paraId="3F691E98" w14:textId="77777777" w:rsidR="00AC166E" w:rsidRDefault="008122E3">
      <w:pPr>
        <w:pStyle w:val="Bibliografa1"/>
      </w:pPr>
      <w:r>
        <w:t xml:space="preserve">39 </w:t>
      </w:r>
      <w:r>
        <w:tab/>
      </w:r>
      <w:proofErr w:type="spellStart"/>
      <w:r>
        <w:t>Zúñiga-Fajuri</w:t>
      </w:r>
      <w:proofErr w:type="spellEnd"/>
      <w:r>
        <w:t xml:space="preserve"> A. Increasing organ donation by presumed consent and allocation priority: Chile. </w:t>
      </w:r>
      <w:r>
        <w:rPr>
          <w:i/>
        </w:rPr>
        <w:t>Bulletin of the World Heal</w:t>
      </w:r>
      <w:r>
        <w:rPr>
          <w:i/>
        </w:rPr>
        <w:t>th Organization</w:t>
      </w:r>
      <w:r>
        <w:t xml:space="preserve"> </w:t>
      </w:r>
      <w:proofErr w:type="gramStart"/>
      <w:r>
        <w:t>2015;</w:t>
      </w:r>
      <w:r>
        <w:rPr>
          <w:b/>
        </w:rPr>
        <w:t>93</w:t>
      </w:r>
      <w:r>
        <w:t>:199</w:t>
      </w:r>
      <w:proofErr w:type="gramEnd"/>
      <w:r>
        <w:t>–202. doi:10.2471/BLT.14.139535</w:t>
      </w:r>
    </w:p>
    <w:p w14:paraId="3EC785DC" w14:textId="77777777" w:rsidR="00AC166E" w:rsidRDefault="008122E3">
      <w:pPr>
        <w:pStyle w:val="Bibliografa1"/>
      </w:pPr>
      <w:r>
        <w:t xml:space="preserve">40 </w:t>
      </w:r>
      <w:r>
        <w:tab/>
        <w:t xml:space="preserve">Molina-Pérez A, Rodríguez-Arias D, Delgado-Rodríguez J, </w:t>
      </w:r>
      <w:r>
        <w:rPr>
          <w:i/>
        </w:rPr>
        <w:t>et al.</w:t>
      </w:r>
      <w:r>
        <w:t xml:space="preserve"> Public knowledge and attitudes towards consent policies for organ donation in Europe. A systematic review. </w:t>
      </w:r>
      <w:r>
        <w:rPr>
          <w:i/>
        </w:rPr>
        <w:t>Transplant Rev</w:t>
      </w:r>
      <w:r>
        <w:t xml:space="preserve"> </w:t>
      </w:r>
      <w:proofErr w:type="gramStart"/>
      <w:r>
        <w:t>2019;</w:t>
      </w:r>
      <w:r>
        <w:rPr>
          <w:b/>
        </w:rPr>
        <w:t>33</w:t>
      </w:r>
      <w:r>
        <w:t>:</w:t>
      </w:r>
      <w:r>
        <w:t>1</w:t>
      </w:r>
      <w:proofErr w:type="gramEnd"/>
      <w:r>
        <w:t xml:space="preserve">–8. </w:t>
      </w:r>
      <w:proofErr w:type="gramStart"/>
      <w:r>
        <w:t>doi:10.1016/j.trre</w:t>
      </w:r>
      <w:proofErr w:type="gramEnd"/>
      <w:r>
        <w:t>.2018.09.001</w:t>
      </w:r>
    </w:p>
    <w:p w14:paraId="07671E32" w14:textId="77777777" w:rsidR="00AC166E" w:rsidRDefault="008122E3">
      <w:pPr>
        <w:pStyle w:val="Bibliografa1"/>
      </w:pPr>
      <w:r>
        <w:t xml:space="preserve">41 </w:t>
      </w:r>
      <w:r>
        <w:tab/>
        <w:t xml:space="preserve">Delgado J, Molina-Pérez A, Shaw D, </w:t>
      </w:r>
      <w:r>
        <w:rPr>
          <w:i/>
        </w:rPr>
        <w:t>et al.</w:t>
      </w:r>
      <w:r>
        <w:t xml:space="preserve"> The Role of the Family in Deceased Organ Procurement. A Guide for Clinicians and Policy Makers. </w:t>
      </w:r>
      <w:r>
        <w:rPr>
          <w:i/>
        </w:rPr>
        <w:t>Transplantation</w:t>
      </w:r>
      <w:r>
        <w:t xml:space="preserve"> 2019;</w:t>
      </w:r>
      <w:proofErr w:type="gramStart"/>
      <w:r>
        <w:rPr>
          <w:b/>
        </w:rPr>
        <w:t>103</w:t>
      </w:r>
      <w:r>
        <w:t>:e</w:t>
      </w:r>
      <w:proofErr w:type="gramEnd"/>
      <w:r>
        <w:t>112–8. doi:10.1097/TP.0000000000002622</w:t>
      </w:r>
    </w:p>
    <w:p w14:paraId="19FE0C67" w14:textId="77777777" w:rsidR="00AC166E" w:rsidRDefault="008122E3">
      <w:pPr>
        <w:pStyle w:val="Bibliografa1"/>
      </w:pPr>
      <w:r>
        <w:t xml:space="preserve">42 </w:t>
      </w:r>
      <w:r>
        <w:tab/>
        <w:t>Molina-Pé</w:t>
      </w:r>
      <w:r>
        <w:t xml:space="preserve">rez A, Delgado J, Rodríguez-Arias D. Defining Consent: Autonomy and the Role of the Family. In: Hansen SL, </w:t>
      </w:r>
      <w:proofErr w:type="spellStart"/>
      <w:r>
        <w:t>Schicktanz</w:t>
      </w:r>
      <w:proofErr w:type="spellEnd"/>
      <w:r>
        <w:t xml:space="preserve"> S, eds. </w:t>
      </w:r>
      <w:r>
        <w:rPr>
          <w:i/>
        </w:rPr>
        <w:t>Ethical Challenges of Organ Transplantation: Current Debates and International Perspectives.</w:t>
      </w:r>
      <w:r>
        <w:t xml:space="preserve"> Transcript Verlag 2021. 43–64.</w:t>
      </w:r>
    </w:p>
    <w:p w14:paraId="422E93A6" w14:textId="77777777" w:rsidR="00AC166E" w:rsidRPr="001D1CB8" w:rsidRDefault="008122E3">
      <w:pPr>
        <w:pStyle w:val="Bibliografa1"/>
        <w:rPr>
          <w:lang w:val="fr-FR"/>
        </w:rPr>
      </w:pPr>
      <w:r>
        <w:t xml:space="preserve">43 </w:t>
      </w:r>
      <w:r>
        <w:tab/>
        <w:t>To</w:t>
      </w:r>
      <w:r>
        <w:t xml:space="preserve">uraine J-L. </w:t>
      </w:r>
      <w:r w:rsidRPr="001D1CB8">
        <w:rPr>
          <w:lang w:val="fr-FR"/>
        </w:rPr>
        <w:t xml:space="preserve">Mission ‘flash’ relative aux conditions de prélèvement d’organes et du refus de tels prélèvements. </w:t>
      </w:r>
      <w:proofErr w:type="gramStart"/>
      <w:r w:rsidRPr="001D1CB8">
        <w:rPr>
          <w:lang w:val="fr-FR"/>
        </w:rPr>
        <w:t>Paris:</w:t>
      </w:r>
      <w:proofErr w:type="gramEnd"/>
      <w:r w:rsidRPr="001D1CB8">
        <w:rPr>
          <w:lang w:val="fr-FR"/>
        </w:rPr>
        <w:t xml:space="preserve"> : Assemblée Nationale 2017. https://www2.assemblee-nationale.fr/static/15/commissions/CAffSoc/Mission_flash_don_organes_communication_rapp</w:t>
      </w:r>
      <w:r w:rsidRPr="001D1CB8">
        <w:rPr>
          <w:lang w:val="fr-FR"/>
        </w:rPr>
        <w:t>orteur_20171220.pdf (</w:t>
      </w:r>
      <w:proofErr w:type="spellStart"/>
      <w:r w:rsidRPr="001D1CB8">
        <w:rPr>
          <w:lang w:val="fr-FR"/>
        </w:rPr>
        <w:t>accessed</w:t>
      </w:r>
      <w:proofErr w:type="spellEnd"/>
      <w:r w:rsidRPr="001D1CB8">
        <w:rPr>
          <w:lang w:val="fr-FR"/>
        </w:rPr>
        <w:t xml:space="preserve"> 9 Jan 2021).</w:t>
      </w:r>
    </w:p>
    <w:p w14:paraId="0FE3250B" w14:textId="77777777" w:rsidR="00AC166E" w:rsidRDefault="008122E3">
      <w:pPr>
        <w:pStyle w:val="Bibliografa1"/>
      </w:pPr>
      <w:r>
        <w:t xml:space="preserve">44 </w:t>
      </w:r>
      <w:r>
        <w:tab/>
      </w:r>
      <w:proofErr w:type="spellStart"/>
      <w:r>
        <w:t>Thybo</w:t>
      </w:r>
      <w:proofErr w:type="spellEnd"/>
      <w:r>
        <w:t xml:space="preserve"> KH, </w:t>
      </w:r>
      <w:proofErr w:type="spellStart"/>
      <w:r>
        <w:t>Eskesen</w:t>
      </w:r>
      <w:proofErr w:type="spellEnd"/>
      <w:r>
        <w:t xml:space="preserve"> V. The most important reason for lack of organ donation is family refusal. </w:t>
      </w:r>
      <w:r>
        <w:rPr>
          <w:i/>
        </w:rPr>
        <w:t>Dan Med J</w:t>
      </w:r>
      <w:r>
        <w:t xml:space="preserve"> 2013;</w:t>
      </w:r>
      <w:proofErr w:type="gramStart"/>
      <w:r>
        <w:rPr>
          <w:b/>
        </w:rPr>
        <w:t>60</w:t>
      </w:r>
      <w:r>
        <w:t>:A</w:t>
      </w:r>
      <w:proofErr w:type="gramEnd"/>
      <w:r>
        <w:t>4585.</w:t>
      </w:r>
    </w:p>
    <w:p w14:paraId="1810D364" w14:textId="77777777" w:rsidR="00AC166E" w:rsidRDefault="008122E3">
      <w:pPr>
        <w:pStyle w:val="Bibliografa1"/>
      </w:pPr>
      <w:r>
        <w:t xml:space="preserve">45 </w:t>
      </w:r>
      <w:r>
        <w:tab/>
        <w:t xml:space="preserve">National </w:t>
      </w:r>
      <w:proofErr w:type="spellStart"/>
      <w:r>
        <w:t>Klinisk</w:t>
      </w:r>
      <w:proofErr w:type="spellEnd"/>
      <w:r>
        <w:t xml:space="preserve"> </w:t>
      </w:r>
      <w:proofErr w:type="spellStart"/>
      <w:r>
        <w:t>Kvalitetsdatabase</w:t>
      </w:r>
      <w:proofErr w:type="spellEnd"/>
      <w:r>
        <w:t xml:space="preserve">. </w:t>
      </w:r>
      <w:proofErr w:type="spellStart"/>
      <w:r>
        <w:t>Årsrapport</w:t>
      </w:r>
      <w:proofErr w:type="spellEnd"/>
      <w:r>
        <w:t xml:space="preserve"> </w:t>
      </w:r>
      <w:proofErr w:type="spellStart"/>
      <w:r>
        <w:t>Organdonations-databasen</w:t>
      </w:r>
      <w:proofErr w:type="spellEnd"/>
      <w:r>
        <w:t xml:space="preserve"> 2020. Dansk </w:t>
      </w:r>
      <w:proofErr w:type="spellStart"/>
      <w:r>
        <w:t>Cen</w:t>
      </w:r>
      <w:r>
        <w:t>ter</w:t>
      </w:r>
      <w:proofErr w:type="spellEnd"/>
      <w:r>
        <w:t xml:space="preserve"> for </w:t>
      </w:r>
      <w:proofErr w:type="spellStart"/>
      <w:r>
        <w:t>Organdonation</w:t>
      </w:r>
      <w:proofErr w:type="spellEnd"/>
      <w:r>
        <w:t xml:space="preserve"> 2021. </w:t>
      </w:r>
    </w:p>
    <w:p w14:paraId="588A663D" w14:textId="77777777" w:rsidR="00AC166E" w:rsidRDefault="008122E3">
      <w:pPr>
        <w:pStyle w:val="Bibliografa1"/>
      </w:pPr>
      <w:r>
        <w:t xml:space="preserve">46 </w:t>
      </w:r>
      <w:r>
        <w:tab/>
        <w:t xml:space="preserve">DSO. </w:t>
      </w:r>
      <w:proofErr w:type="spellStart"/>
      <w:r>
        <w:t>Jahresbericht</w:t>
      </w:r>
      <w:proofErr w:type="spellEnd"/>
      <w:r>
        <w:t xml:space="preserve"> </w:t>
      </w:r>
      <w:proofErr w:type="spellStart"/>
      <w:r>
        <w:t>Organspende</w:t>
      </w:r>
      <w:proofErr w:type="spellEnd"/>
      <w:r>
        <w:t xml:space="preserve"> und Transplantation in Deutschland 2018. Frankfurt/Main</w:t>
      </w:r>
      <w:proofErr w:type="gramStart"/>
      <w:r>
        <w:t>: :</w:t>
      </w:r>
      <w:proofErr w:type="gramEnd"/>
      <w:r>
        <w:t xml:space="preserve"> Deutsche Stiftung </w:t>
      </w:r>
      <w:proofErr w:type="spellStart"/>
      <w:r>
        <w:t>Organtransplantation</w:t>
      </w:r>
      <w:proofErr w:type="spellEnd"/>
      <w:r>
        <w:t xml:space="preserve"> 2019. </w:t>
      </w:r>
    </w:p>
    <w:p w14:paraId="508113DE" w14:textId="77777777" w:rsidR="00AC166E" w:rsidRDefault="008122E3">
      <w:pPr>
        <w:pStyle w:val="Bibliografa1"/>
      </w:pPr>
      <w:r>
        <w:lastRenderedPageBreak/>
        <w:t xml:space="preserve">47 </w:t>
      </w:r>
      <w:r>
        <w:tab/>
      </w:r>
      <w:proofErr w:type="spellStart"/>
      <w:r>
        <w:t>Nederlandse</w:t>
      </w:r>
      <w:proofErr w:type="spellEnd"/>
      <w:r>
        <w:t xml:space="preserve"> </w:t>
      </w:r>
      <w:proofErr w:type="spellStart"/>
      <w:r>
        <w:t>Transplantatie</w:t>
      </w:r>
      <w:proofErr w:type="spellEnd"/>
      <w:r>
        <w:t xml:space="preserve"> </w:t>
      </w:r>
      <w:proofErr w:type="spellStart"/>
      <w:r>
        <w:t>Stichting</w:t>
      </w:r>
      <w:proofErr w:type="spellEnd"/>
      <w:r>
        <w:t xml:space="preserve">. </w:t>
      </w:r>
      <w:proofErr w:type="spellStart"/>
      <w:r>
        <w:t>Jaarverslagen</w:t>
      </w:r>
      <w:proofErr w:type="spellEnd"/>
      <w:r>
        <w:t xml:space="preserve">. </w:t>
      </w:r>
      <w:proofErr w:type="spellStart"/>
      <w:r>
        <w:t>Nederlandse</w:t>
      </w:r>
      <w:proofErr w:type="spellEnd"/>
      <w:r>
        <w:t xml:space="preserve"> </w:t>
      </w:r>
      <w:proofErr w:type="spellStart"/>
      <w:r>
        <w:t>Transplantatie</w:t>
      </w:r>
      <w:proofErr w:type="spellEnd"/>
      <w:r>
        <w:t xml:space="preserve"> </w:t>
      </w:r>
      <w:proofErr w:type="spellStart"/>
      <w:r>
        <w:t>Sti</w:t>
      </w:r>
      <w:r>
        <w:t>chting</w:t>
      </w:r>
      <w:proofErr w:type="spellEnd"/>
      <w:r>
        <w:t>. 2019.https://www.transplantatiestichting.nl/bestel-en-download/jaarverslagen (accessed 21 Mar 2019).</w:t>
      </w:r>
    </w:p>
    <w:p w14:paraId="02E40019" w14:textId="77777777" w:rsidR="00AC166E" w:rsidRDefault="008122E3">
      <w:pPr>
        <w:pStyle w:val="Bibliografa1"/>
      </w:pPr>
      <w:r w:rsidRPr="001D1CB8">
        <w:rPr>
          <w:lang w:val="fr-FR"/>
        </w:rPr>
        <w:t xml:space="preserve">48 </w:t>
      </w:r>
      <w:r w:rsidRPr="001D1CB8">
        <w:rPr>
          <w:lang w:val="fr-FR"/>
        </w:rPr>
        <w:tab/>
        <w:t xml:space="preserve">Nolin T, </w:t>
      </w:r>
      <w:proofErr w:type="spellStart"/>
      <w:r w:rsidRPr="001D1CB8">
        <w:rPr>
          <w:lang w:val="fr-FR"/>
        </w:rPr>
        <w:t>Mårdh</w:t>
      </w:r>
      <w:proofErr w:type="spellEnd"/>
      <w:r w:rsidRPr="001D1CB8">
        <w:rPr>
          <w:lang w:val="fr-FR"/>
        </w:rPr>
        <w:t xml:space="preserve"> C, </w:t>
      </w:r>
      <w:proofErr w:type="spellStart"/>
      <w:r w:rsidRPr="001D1CB8">
        <w:rPr>
          <w:lang w:val="fr-FR"/>
        </w:rPr>
        <w:t>Karlström</w:t>
      </w:r>
      <w:proofErr w:type="spellEnd"/>
      <w:r w:rsidRPr="001D1CB8">
        <w:rPr>
          <w:lang w:val="fr-FR"/>
        </w:rPr>
        <w:t xml:space="preserve"> G, </w:t>
      </w:r>
      <w:r w:rsidRPr="001D1CB8">
        <w:rPr>
          <w:i/>
          <w:lang w:val="fr-FR"/>
        </w:rPr>
        <w:t>et al.</w:t>
      </w:r>
      <w:r w:rsidRPr="001D1CB8">
        <w:rPr>
          <w:lang w:val="fr-FR"/>
        </w:rPr>
        <w:t xml:space="preserve"> </w:t>
      </w:r>
      <w:r>
        <w:t xml:space="preserve">Identifying opportunities to increase organ donation after brain death. An observational study in Sweden 2009–2014. </w:t>
      </w:r>
      <w:r>
        <w:rPr>
          <w:i/>
        </w:rPr>
        <w:t xml:space="preserve">Acta </w:t>
      </w:r>
      <w:proofErr w:type="spellStart"/>
      <w:r>
        <w:rPr>
          <w:i/>
        </w:rPr>
        <w:t>Anaesthesiologica</w:t>
      </w:r>
      <w:proofErr w:type="spellEnd"/>
      <w:r>
        <w:rPr>
          <w:i/>
        </w:rPr>
        <w:t xml:space="preserve"> </w:t>
      </w:r>
      <w:proofErr w:type="spellStart"/>
      <w:r>
        <w:rPr>
          <w:i/>
        </w:rPr>
        <w:t>Scandinavica</w:t>
      </w:r>
      <w:proofErr w:type="spellEnd"/>
      <w:r>
        <w:t xml:space="preserve"> </w:t>
      </w:r>
      <w:proofErr w:type="gramStart"/>
      <w:r>
        <w:t>2017;</w:t>
      </w:r>
      <w:r>
        <w:rPr>
          <w:b/>
        </w:rPr>
        <w:t>61</w:t>
      </w:r>
      <w:r>
        <w:t>:73</w:t>
      </w:r>
      <w:proofErr w:type="gramEnd"/>
      <w:r>
        <w:t xml:space="preserve">–82. </w:t>
      </w:r>
      <w:proofErr w:type="spellStart"/>
      <w:proofErr w:type="gramStart"/>
      <w:r>
        <w:t>doi:https</w:t>
      </w:r>
      <w:proofErr w:type="spellEnd"/>
      <w:r>
        <w:t>://doi.org/10.1111/aas.12831</w:t>
      </w:r>
      <w:proofErr w:type="gramEnd"/>
    </w:p>
    <w:p w14:paraId="7FE46764" w14:textId="77777777" w:rsidR="00AC166E" w:rsidRDefault="008122E3">
      <w:pPr>
        <w:pStyle w:val="Bibliografa1"/>
      </w:pPr>
      <w:r>
        <w:t xml:space="preserve">49 </w:t>
      </w:r>
      <w:r>
        <w:tab/>
        <w:t>NHS. Transplant activity report. NHS Organ Don</w:t>
      </w:r>
      <w:r>
        <w:t>ation. 2019./helping-you-to-decide/about-organ-donation/statistics-about-organ-donation/transplant-activity-report/ (accessed 6 Aug 2020).</w:t>
      </w:r>
    </w:p>
    <w:p w14:paraId="785F5CE4" w14:textId="77777777" w:rsidR="00AC166E" w:rsidRDefault="008122E3">
      <w:pPr>
        <w:pStyle w:val="Bibliografa1"/>
      </w:pPr>
      <w:r>
        <w:t xml:space="preserve">50 </w:t>
      </w:r>
      <w:r>
        <w:tab/>
        <w:t xml:space="preserve">Noyes J, McLaughlin L, Morgan K, </w:t>
      </w:r>
      <w:r>
        <w:rPr>
          <w:i/>
        </w:rPr>
        <w:t>et al.</w:t>
      </w:r>
      <w:r>
        <w:t xml:space="preserve"> Short-term impact of introducing a soft opt-out organ donation system in </w:t>
      </w:r>
      <w:r>
        <w:t xml:space="preserve">Wales: before and after study. </w:t>
      </w:r>
      <w:r>
        <w:rPr>
          <w:i/>
        </w:rPr>
        <w:t>BMJ Open</w:t>
      </w:r>
      <w:r>
        <w:t xml:space="preserve"> 2019;</w:t>
      </w:r>
      <w:proofErr w:type="gramStart"/>
      <w:r>
        <w:rPr>
          <w:b/>
        </w:rPr>
        <w:t>9</w:t>
      </w:r>
      <w:r>
        <w:t>:e</w:t>
      </w:r>
      <w:proofErr w:type="gramEnd"/>
      <w:r>
        <w:t>025159. doi:10.1136/bmjopen-2018-025159</w:t>
      </w:r>
    </w:p>
    <w:p w14:paraId="7D7B8771" w14:textId="77777777" w:rsidR="00AC166E" w:rsidRDefault="008122E3">
      <w:pPr>
        <w:pStyle w:val="Bibliografa1"/>
      </w:pPr>
      <w:r>
        <w:t xml:space="preserve">51 </w:t>
      </w:r>
      <w:r>
        <w:tab/>
        <w:t xml:space="preserve">Bagheri A. Organ Transplantation Laws in Asian Countries: A Comparative Study. </w:t>
      </w:r>
      <w:r>
        <w:rPr>
          <w:i/>
        </w:rPr>
        <w:t>Transplantation Proceedings</w:t>
      </w:r>
      <w:r>
        <w:t xml:space="preserve"> </w:t>
      </w:r>
      <w:proofErr w:type="gramStart"/>
      <w:r>
        <w:t>2005;</w:t>
      </w:r>
      <w:r>
        <w:rPr>
          <w:b/>
        </w:rPr>
        <w:t>37</w:t>
      </w:r>
      <w:r>
        <w:t>:4159</w:t>
      </w:r>
      <w:proofErr w:type="gramEnd"/>
      <w:r>
        <w:t xml:space="preserve">–62. </w:t>
      </w:r>
      <w:proofErr w:type="gramStart"/>
      <w:r>
        <w:t>doi:10.1016/j.transproceed</w:t>
      </w:r>
      <w:proofErr w:type="gramEnd"/>
      <w:r>
        <w:t>.2005.11.016</w:t>
      </w:r>
    </w:p>
    <w:p w14:paraId="0707FA8E" w14:textId="77777777" w:rsidR="00AC166E" w:rsidRDefault="008122E3">
      <w:pPr>
        <w:pStyle w:val="Bibliografa1"/>
      </w:pPr>
      <w:r>
        <w:t>5</w:t>
      </w:r>
      <w:r>
        <w:t xml:space="preserve">2 </w:t>
      </w:r>
      <w:r>
        <w:tab/>
      </w:r>
      <w:proofErr w:type="spellStart"/>
      <w:r>
        <w:t>Rithalia</w:t>
      </w:r>
      <w:proofErr w:type="spellEnd"/>
      <w:r>
        <w:t xml:space="preserve"> A, McDaid C, </w:t>
      </w:r>
      <w:proofErr w:type="spellStart"/>
      <w:r>
        <w:t>Suekarran</w:t>
      </w:r>
      <w:proofErr w:type="spellEnd"/>
      <w:r>
        <w:t xml:space="preserve"> S, </w:t>
      </w:r>
      <w:r>
        <w:rPr>
          <w:i/>
        </w:rPr>
        <w:t>et al.</w:t>
      </w:r>
      <w:r>
        <w:t xml:space="preserve"> A systematic review of presumed consent systems for deceased organ donation. </w:t>
      </w:r>
      <w:r>
        <w:rPr>
          <w:i/>
        </w:rPr>
        <w:t xml:space="preserve">Health </w:t>
      </w:r>
      <w:proofErr w:type="spellStart"/>
      <w:r>
        <w:rPr>
          <w:i/>
        </w:rPr>
        <w:t>Technol</w:t>
      </w:r>
      <w:proofErr w:type="spellEnd"/>
      <w:r>
        <w:rPr>
          <w:i/>
        </w:rPr>
        <w:t xml:space="preserve"> Assess</w:t>
      </w:r>
      <w:r>
        <w:t xml:space="preserve"> 2009;</w:t>
      </w:r>
      <w:proofErr w:type="gramStart"/>
      <w:r>
        <w:rPr>
          <w:b/>
        </w:rPr>
        <w:t>13</w:t>
      </w:r>
      <w:r>
        <w:t>:iii</w:t>
      </w:r>
      <w:proofErr w:type="gramEnd"/>
      <w:r>
        <w:t>, ix–xi, 1–95. doi:10.3310/hta13260</w:t>
      </w:r>
    </w:p>
    <w:p w14:paraId="5823E0D7" w14:textId="77777777" w:rsidR="00AC166E" w:rsidRPr="001D1CB8" w:rsidRDefault="008122E3">
      <w:pPr>
        <w:pStyle w:val="Bibliografa1"/>
        <w:rPr>
          <w:lang w:val="es-ES"/>
        </w:rPr>
      </w:pPr>
      <w:r>
        <w:t xml:space="preserve">53 </w:t>
      </w:r>
      <w:r>
        <w:tab/>
        <w:t xml:space="preserve">Rosenblum AM, Horvat LD, </w:t>
      </w:r>
      <w:proofErr w:type="spellStart"/>
      <w:r>
        <w:t>Siminoff</w:t>
      </w:r>
      <w:proofErr w:type="spellEnd"/>
      <w:r>
        <w:t xml:space="preserve"> LA, </w:t>
      </w:r>
      <w:r>
        <w:rPr>
          <w:i/>
        </w:rPr>
        <w:t>et al.</w:t>
      </w:r>
      <w:r>
        <w:t xml:space="preserve"> The authority of</w:t>
      </w:r>
      <w:r>
        <w:t xml:space="preserve"> next-of-kin in explicit and presumed consent systems for deceased organ donation: an analysis of 54 nations. </w:t>
      </w:r>
      <w:proofErr w:type="spellStart"/>
      <w:r w:rsidRPr="001D1CB8">
        <w:rPr>
          <w:i/>
          <w:lang w:val="es-ES"/>
        </w:rPr>
        <w:t>Nephrol</w:t>
      </w:r>
      <w:proofErr w:type="spellEnd"/>
      <w:r w:rsidRPr="001D1CB8">
        <w:rPr>
          <w:i/>
          <w:lang w:val="es-ES"/>
        </w:rPr>
        <w:t xml:space="preserve"> Dial </w:t>
      </w:r>
      <w:proofErr w:type="spellStart"/>
      <w:r w:rsidRPr="001D1CB8">
        <w:rPr>
          <w:i/>
          <w:lang w:val="es-ES"/>
        </w:rPr>
        <w:t>Transplant</w:t>
      </w:r>
      <w:proofErr w:type="spellEnd"/>
      <w:r w:rsidRPr="001D1CB8">
        <w:rPr>
          <w:lang w:val="es-ES"/>
        </w:rPr>
        <w:t xml:space="preserve"> </w:t>
      </w:r>
      <w:proofErr w:type="gramStart"/>
      <w:r w:rsidRPr="001D1CB8">
        <w:rPr>
          <w:lang w:val="es-ES"/>
        </w:rPr>
        <w:t>2012;</w:t>
      </w:r>
      <w:r w:rsidRPr="001D1CB8">
        <w:rPr>
          <w:b/>
          <w:lang w:val="es-ES"/>
        </w:rPr>
        <w:t>27</w:t>
      </w:r>
      <w:r w:rsidRPr="001D1CB8">
        <w:rPr>
          <w:lang w:val="es-ES"/>
        </w:rPr>
        <w:t>:2533</w:t>
      </w:r>
      <w:proofErr w:type="gramEnd"/>
      <w:r w:rsidRPr="001D1CB8">
        <w:rPr>
          <w:lang w:val="es-ES"/>
        </w:rPr>
        <w:t>–46. doi:10.1093/</w:t>
      </w:r>
      <w:proofErr w:type="spellStart"/>
      <w:r w:rsidRPr="001D1CB8">
        <w:rPr>
          <w:lang w:val="es-ES"/>
        </w:rPr>
        <w:t>ndt</w:t>
      </w:r>
      <w:proofErr w:type="spellEnd"/>
      <w:r w:rsidRPr="001D1CB8">
        <w:rPr>
          <w:lang w:val="es-ES"/>
        </w:rPr>
        <w:t>/gfr619</w:t>
      </w:r>
    </w:p>
    <w:p w14:paraId="73758E57" w14:textId="77777777" w:rsidR="00AC166E" w:rsidRPr="001D1CB8" w:rsidRDefault="008122E3">
      <w:pPr>
        <w:pStyle w:val="Bibliografa1"/>
        <w:rPr>
          <w:lang w:val="es-ES"/>
        </w:rPr>
      </w:pPr>
      <w:r w:rsidRPr="001D1CB8">
        <w:rPr>
          <w:lang w:val="es-ES"/>
        </w:rPr>
        <w:t xml:space="preserve">54 </w:t>
      </w:r>
      <w:r w:rsidRPr="001D1CB8">
        <w:rPr>
          <w:lang w:val="es-ES"/>
        </w:rPr>
        <w:tab/>
        <w:t xml:space="preserve">Morla-González M, Moya-Guillem C, Delgado J, </w:t>
      </w:r>
      <w:r w:rsidRPr="001D1CB8">
        <w:rPr>
          <w:i/>
          <w:lang w:val="es-ES"/>
        </w:rPr>
        <w:t>et al.</w:t>
      </w:r>
      <w:r w:rsidRPr="001D1CB8">
        <w:rPr>
          <w:lang w:val="es-ES"/>
        </w:rPr>
        <w:t xml:space="preserve"> </w:t>
      </w:r>
      <w:r>
        <w:t xml:space="preserve">European and comparative law study regarding family’s role in deceased organ procurement. </w:t>
      </w:r>
      <w:r w:rsidRPr="001D1CB8">
        <w:rPr>
          <w:i/>
          <w:lang w:val="es-ES"/>
        </w:rPr>
        <w:t>Revista General de Derecho Público Comparado</w:t>
      </w:r>
      <w:r w:rsidRPr="001D1CB8">
        <w:rPr>
          <w:lang w:val="es-ES"/>
        </w:rPr>
        <w:t xml:space="preserve"> 2021;</w:t>
      </w:r>
      <w:r w:rsidRPr="001D1CB8">
        <w:rPr>
          <w:b/>
          <w:lang w:val="es-ES"/>
        </w:rPr>
        <w:t>29</w:t>
      </w:r>
      <w:r w:rsidRPr="001D1CB8">
        <w:rPr>
          <w:lang w:val="es-ES"/>
        </w:rPr>
        <w:t>.</w:t>
      </w:r>
    </w:p>
    <w:p w14:paraId="7FE29191" w14:textId="77777777" w:rsidR="00AC166E" w:rsidRPr="001D1CB8" w:rsidRDefault="008122E3">
      <w:pPr>
        <w:pStyle w:val="Bibliografa1"/>
        <w:rPr>
          <w:lang w:val="es-ES"/>
        </w:rPr>
      </w:pPr>
      <w:r w:rsidRPr="001D1CB8">
        <w:rPr>
          <w:lang w:val="es-ES"/>
        </w:rPr>
        <w:t xml:space="preserve">55 </w:t>
      </w:r>
      <w:r w:rsidRPr="001D1CB8">
        <w:rPr>
          <w:lang w:val="es-ES"/>
        </w:rPr>
        <w:tab/>
        <w:t xml:space="preserve">Shaw D, </w:t>
      </w:r>
      <w:proofErr w:type="spellStart"/>
      <w:r w:rsidRPr="001D1CB8">
        <w:rPr>
          <w:lang w:val="es-ES"/>
        </w:rPr>
        <w:t>Georgieva</w:t>
      </w:r>
      <w:proofErr w:type="spellEnd"/>
      <w:r w:rsidRPr="001D1CB8">
        <w:rPr>
          <w:lang w:val="es-ES"/>
        </w:rPr>
        <w:t xml:space="preserve"> D, Haase B, </w:t>
      </w:r>
      <w:r w:rsidRPr="001D1CB8">
        <w:rPr>
          <w:i/>
          <w:lang w:val="es-ES"/>
        </w:rPr>
        <w:t>et al.</w:t>
      </w:r>
      <w:r w:rsidRPr="001D1CB8">
        <w:rPr>
          <w:lang w:val="es-ES"/>
        </w:rPr>
        <w:t xml:space="preserve"> </w:t>
      </w:r>
      <w:r>
        <w:t>Family Over Rules? An Ethical Analysis of Allowing Families to Overrul</w:t>
      </w:r>
      <w:r>
        <w:t xml:space="preserve">e Donation Intentions. </w:t>
      </w:r>
      <w:proofErr w:type="spellStart"/>
      <w:r w:rsidRPr="001D1CB8">
        <w:rPr>
          <w:i/>
          <w:lang w:val="es-ES"/>
        </w:rPr>
        <w:t>Transplantation</w:t>
      </w:r>
      <w:proofErr w:type="spellEnd"/>
      <w:r w:rsidRPr="001D1CB8">
        <w:rPr>
          <w:lang w:val="es-ES"/>
        </w:rPr>
        <w:t xml:space="preserve"> </w:t>
      </w:r>
      <w:proofErr w:type="gramStart"/>
      <w:r w:rsidRPr="001D1CB8">
        <w:rPr>
          <w:lang w:val="es-ES"/>
        </w:rPr>
        <w:t>2017;</w:t>
      </w:r>
      <w:r w:rsidRPr="001D1CB8">
        <w:rPr>
          <w:b/>
          <w:lang w:val="es-ES"/>
        </w:rPr>
        <w:t>101</w:t>
      </w:r>
      <w:r w:rsidRPr="001D1CB8">
        <w:rPr>
          <w:lang w:val="es-ES"/>
        </w:rPr>
        <w:t>:482</w:t>
      </w:r>
      <w:proofErr w:type="gramEnd"/>
      <w:r w:rsidRPr="001D1CB8">
        <w:rPr>
          <w:lang w:val="es-ES"/>
        </w:rPr>
        <w:t>–7. doi:10.1097/TP.0000000000001536</w:t>
      </w:r>
    </w:p>
    <w:p w14:paraId="31F77285" w14:textId="77777777" w:rsidR="00AC166E" w:rsidRPr="001D1CB8" w:rsidRDefault="008122E3">
      <w:pPr>
        <w:pStyle w:val="Bibliografa1"/>
        <w:rPr>
          <w:lang w:val="es-ES"/>
        </w:rPr>
      </w:pPr>
      <w:r w:rsidRPr="001D1CB8">
        <w:rPr>
          <w:lang w:val="es-ES"/>
        </w:rPr>
        <w:t xml:space="preserve">56 </w:t>
      </w:r>
      <w:r w:rsidRPr="001D1CB8">
        <w:rPr>
          <w:lang w:val="es-ES"/>
        </w:rPr>
        <w:tab/>
        <w:t xml:space="preserve">Rodríguez-Arias D, Molina-Pérez A, </w:t>
      </w:r>
      <w:proofErr w:type="spellStart"/>
      <w:r w:rsidRPr="001D1CB8">
        <w:rPr>
          <w:lang w:val="es-ES"/>
        </w:rPr>
        <w:t>Hannikainen</w:t>
      </w:r>
      <w:proofErr w:type="spellEnd"/>
      <w:r w:rsidRPr="001D1CB8">
        <w:rPr>
          <w:lang w:val="es-ES"/>
        </w:rPr>
        <w:t xml:space="preserve"> IR, </w:t>
      </w:r>
      <w:r w:rsidRPr="001D1CB8">
        <w:rPr>
          <w:i/>
          <w:lang w:val="es-ES"/>
        </w:rPr>
        <w:t>et al.</w:t>
      </w:r>
      <w:r w:rsidRPr="001D1CB8">
        <w:rPr>
          <w:lang w:val="es-ES"/>
        </w:rPr>
        <w:t xml:space="preserve"> </w:t>
      </w:r>
      <w:r>
        <w:t xml:space="preserve">Governance quality indicators for organ procurement policies. </w:t>
      </w:r>
      <w:r w:rsidRPr="001D1CB8">
        <w:rPr>
          <w:i/>
          <w:lang w:val="es-ES"/>
        </w:rPr>
        <w:t>PLOS ONE</w:t>
      </w:r>
      <w:r w:rsidRPr="001D1CB8">
        <w:rPr>
          <w:lang w:val="es-ES"/>
        </w:rPr>
        <w:t xml:space="preserve"> 2021;</w:t>
      </w:r>
      <w:proofErr w:type="gramStart"/>
      <w:r w:rsidRPr="001D1CB8">
        <w:rPr>
          <w:b/>
          <w:lang w:val="es-ES"/>
        </w:rPr>
        <w:t>16</w:t>
      </w:r>
      <w:r w:rsidRPr="001D1CB8">
        <w:rPr>
          <w:lang w:val="es-ES"/>
        </w:rPr>
        <w:t>:e</w:t>
      </w:r>
      <w:proofErr w:type="gramEnd"/>
      <w:r w:rsidRPr="001D1CB8">
        <w:rPr>
          <w:lang w:val="es-ES"/>
        </w:rPr>
        <w:t xml:space="preserve">0252686. </w:t>
      </w:r>
      <w:proofErr w:type="gramStart"/>
      <w:r w:rsidRPr="001D1CB8">
        <w:rPr>
          <w:lang w:val="es-ES"/>
        </w:rPr>
        <w:t>doi:10.1371/journa</w:t>
      </w:r>
      <w:r w:rsidRPr="001D1CB8">
        <w:rPr>
          <w:lang w:val="es-ES"/>
        </w:rPr>
        <w:t>l.pone</w:t>
      </w:r>
      <w:proofErr w:type="gramEnd"/>
      <w:r w:rsidRPr="001D1CB8">
        <w:rPr>
          <w:lang w:val="es-ES"/>
        </w:rPr>
        <w:t>.0252686</w:t>
      </w:r>
    </w:p>
    <w:p w14:paraId="7CF1221E" w14:textId="77777777" w:rsidR="00AC166E" w:rsidRPr="001D1CB8" w:rsidRDefault="008122E3">
      <w:pPr>
        <w:pStyle w:val="Bibliografa1"/>
        <w:rPr>
          <w:lang w:val="es-ES"/>
        </w:rPr>
      </w:pPr>
      <w:r w:rsidRPr="001D1CB8">
        <w:rPr>
          <w:lang w:val="es-ES"/>
        </w:rPr>
        <w:t xml:space="preserve">57 </w:t>
      </w:r>
      <w:r w:rsidRPr="001D1CB8">
        <w:rPr>
          <w:lang w:val="es-ES"/>
        </w:rPr>
        <w:tab/>
      </w:r>
      <w:proofErr w:type="gramStart"/>
      <w:r w:rsidRPr="001D1CB8">
        <w:rPr>
          <w:lang w:val="es-ES"/>
        </w:rPr>
        <w:t xml:space="preserve">Molina-Pérez A, Delgado J, Frunza M, </w:t>
      </w:r>
      <w:r w:rsidRPr="001D1CB8">
        <w:rPr>
          <w:i/>
          <w:lang w:val="es-ES"/>
        </w:rPr>
        <w:t>et al.</w:t>
      </w:r>
      <w:r w:rsidRPr="001D1CB8">
        <w:rPr>
          <w:lang w:val="es-ES"/>
        </w:rPr>
        <w:t xml:space="preserve"> </w:t>
      </w:r>
      <w:r>
        <w:t>Should the family have a role in deceased organ donation decision-making?</w:t>
      </w:r>
      <w:proofErr w:type="gramEnd"/>
      <w:r>
        <w:t xml:space="preserve"> A systematic review of public knowledge and attitudes towards organ procurement policies in Europe. </w:t>
      </w:r>
      <w:r w:rsidRPr="001D1CB8">
        <w:rPr>
          <w:lang w:val="es-ES"/>
        </w:rPr>
        <w:t>2021. https://www.m</w:t>
      </w:r>
      <w:r w:rsidRPr="001D1CB8">
        <w:rPr>
          <w:lang w:val="es-ES"/>
        </w:rPr>
        <w:t>edrxiv.org/content/10.1101/2021.09.13.21263252v1 (</w:t>
      </w:r>
      <w:proofErr w:type="spellStart"/>
      <w:r w:rsidRPr="001D1CB8">
        <w:rPr>
          <w:lang w:val="es-ES"/>
        </w:rPr>
        <w:t>accessed</w:t>
      </w:r>
      <w:proofErr w:type="spellEnd"/>
      <w:r w:rsidRPr="001D1CB8">
        <w:rPr>
          <w:lang w:val="es-ES"/>
        </w:rPr>
        <w:t xml:space="preserve"> 17 </w:t>
      </w:r>
      <w:proofErr w:type="spellStart"/>
      <w:r w:rsidRPr="001D1CB8">
        <w:rPr>
          <w:lang w:val="es-ES"/>
        </w:rPr>
        <w:t>Sep</w:t>
      </w:r>
      <w:proofErr w:type="spellEnd"/>
      <w:r w:rsidRPr="001D1CB8">
        <w:rPr>
          <w:lang w:val="es-ES"/>
        </w:rPr>
        <w:t xml:space="preserve"> 2021).</w:t>
      </w:r>
    </w:p>
    <w:p w14:paraId="49B6D5E1" w14:textId="77777777" w:rsidR="00AC166E" w:rsidRDefault="008122E3">
      <w:pPr>
        <w:pStyle w:val="Bibliografa1"/>
      </w:pPr>
      <w:r w:rsidRPr="001D1CB8">
        <w:rPr>
          <w:lang w:val="es-ES"/>
        </w:rPr>
        <w:t xml:space="preserve">58 </w:t>
      </w:r>
      <w:r w:rsidRPr="001D1CB8">
        <w:rPr>
          <w:lang w:val="es-ES"/>
        </w:rPr>
        <w:tab/>
        <w:t>Diaz-</w:t>
      </w:r>
      <w:proofErr w:type="spellStart"/>
      <w:r w:rsidRPr="001D1CB8">
        <w:rPr>
          <w:lang w:val="es-ES"/>
        </w:rPr>
        <w:t>Cobacho</w:t>
      </w:r>
      <w:proofErr w:type="spellEnd"/>
      <w:r w:rsidRPr="001D1CB8">
        <w:rPr>
          <w:lang w:val="es-ES"/>
        </w:rPr>
        <w:t xml:space="preserve"> G, Cruz-Piqueras M, Delgado J, </w:t>
      </w:r>
      <w:r w:rsidRPr="001D1CB8">
        <w:rPr>
          <w:i/>
          <w:lang w:val="es-ES"/>
        </w:rPr>
        <w:t>et al.</w:t>
      </w:r>
      <w:r w:rsidRPr="001D1CB8">
        <w:rPr>
          <w:lang w:val="es-ES"/>
        </w:rPr>
        <w:t xml:space="preserve"> </w:t>
      </w:r>
      <w:r>
        <w:t>Public perception of organ donation and transplantation policies in Southern Spain. Published Online First: 2021. doi:10.1101/20</w:t>
      </w:r>
      <w:r>
        <w:t>21.09.17.21263724</w:t>
      </w:r>
    </w:p>
    <w:p w14:paraId="0637F1AF" w14:textId="77777777" w:rsidR="00AC166E" w:rsidRDefault="008122E3">
      <w:pPr>
        <w:pStyle w:val="Bibliografa1"/>
      </w:pPr>
      <w:r>
        <w:t xml:space="preserve">59 </w:t>
      </w:r>
      <w:r>
        <w:tab/>
      </w:r>
      <w:proofErr w:type="spellStart"/>
      <w:r>
        <w:t>Albertsen</w:t>
      </w:r>
      <w:proofErr w:type="spellEnd"/>
      <w:r>
        <w:t xml:space="preserve"> A. Against the family veto in organ procurement: Why the wishes of the dead should prevail when the living and the deceased disagree on organ donation. </w:t>
      </w:r>
      <w:r>
        <w:rPr>
          <w:i/>
        </w:rPr>
        <w:t>Bioethics</w:t>
      </w:r>
      <w:r>
        <w:t xml:space="preserve"> </w:t>
      </w:r>
      <w:proofErr w:type="gramStart"/>
      <w:r>
        <w:t>2020;</w:t>
      </w:r>
      <w:r>
        <w:rPr>
          <w:b/>
        </w:rPr>
        <w:t>34</w:t>
      </w:r>
      <w:r>
        <w:t>:272</w:t>
      </w:r>
      <w:proofErr w:type="gramEnd"/>
      <w:r>
        <w:t>–80. doi:10.1111/bioe.12661</w:t>
      </w:r>
    </w:p>
    <w:p w14:paraId="2B3F6AFE" w14:textId="77777777" w:rsidR="00AC166E" w:rsidRDefault="008122E3">
      <w:pPr>
        <w:pStyle w:val="Bibliografa1"/>
      </w:pPr>
      <w:r>
        <w:lastRenderedPageBreak/>
        <w:t xml:space="preserve">60 </w:t>
      </w:r>
      <w:r>
        <w:tab/>
      </w:r>
      <w:proofErr w:type="spellStart"/>
      <w:r>
        <w:t>Qurashi</w:t>
      </w:r>
      <w:proofErr w:type="spellEnd"/>
      <w:r>
        <w:t xml:space="preserve"> GM. Opt-out</w:t>
      </w:r>
      <w:r>
        <w:t xml:space="preserve"> paradigms for deceased organ donation are ethically incoherent. </w:t>
      </w:r>
      <w:r>
        <w:rPr>
          <w:i/>
        </w:rPr>
        <w:t>Journal of Medical Ethics</w:t>
      </w:r>
      <w:r>
        <w:t xml:space="preserve"> Published Online First: 11 September 2021. doi:10.1136/medethics-2021-107630</w:t>
      </w:r>
    </w:p>
    <w:sectPr w:rsidR="00AC166E">
      <w:type w:val="continuous"/>
      <w:pgSz w:w="11906" w:h="16838"/>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F3507" w14:textId="77777777" w:rsidR="008122E3" w:rsidRDefault="008122E3">
      <w:r>
        <w:separator/>
      </w:r>
    </w:p>
  </w:endnote>
  <w:endnote w:type="continuationSeparator" w:id="0">
    <w:p w14:paraId="5301D7AB" w14:textId="77777777" w:rsidR="008122E3" w:rsidRDefault="0081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Grande">
    <w:altName w:val="Segoe UI"/>
    <w:charset w:val="01"/>
    <w:family w:val="roman"/>
    <w:pitch w:val="variable"/>
  </w:font>
  <w:font w:name="Liberation Mono">
    <w:altName w:val="Courier New"/>
    <w:panose1 w:val="02070409020205020404"/>
    <w:charset w:val="00"/>
    <w:family w:val="modern"/>
    <w:pitch w:val="fixed"/>
    <w:sig w:usb0="E0000AFF" w:usb1="400078FF" w:usb2="00000001" w:usb3="00000000" w:csb0="000001BF" w:csb1="00000000"/>
  </w:font>
  <w:font w:name="Noto Sans Mono CJK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enlo Regular">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88577" w14:textId="77777777" w:rsidR="00AC166E" w:rsidRDefault="008122E3">
    <w:pPr>
      <w:pStyle w:val="Piedepgina"/>
      <w:jc w:val="center"/>
    </w:pPr>
    <w:r>
      <w:fldChar w:fldCharType="begin"/>
    </w:r>
    <w:r>
      <w:instrText xml:space="preserve"> PAGE </w:instrText>
    </w:r>
    <w:r>
      <w:fldChar w:fldCharType="separate"/>
    </w:r>
    <w: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AF515" w14:textId="77777777" w:rsidR="008122E3" w:rsidRDefault="008122E3">
      <w:r>
        <w:separator/>
      </w:r>
    </w:p>
  </w:footnote>
  <w:footnote w:type="continuationSeparator" w:id="0">
    <w:p w14:paraId="7648FBD2" w14:textId="77777777" w:rsidR="008122E3" w:rsidRDefault="00812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A1F08"/>
    <w:multiLevelType w:val="multilevel"/>
    <w:tmpl w:val="6BF651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1F00170"/>
    <w:multiLevelType w:val="multilevel"/>
    <w:tmpl w:val="87869F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7D77189"/>
    <w:multiLevelType w:val="multilevel"/>
    <w:tmpl w:val="D0B076D8"/>
    <w:lvl w:ilvl="0">
      <w:start w:val="1"/>
      <w:numFmt w:val="none"/>
      <w:pStyle w:val="Ttulo1"/>
      <w:suff w:val="nothing"/>
      <w:lvlText w:val="%1"/>
      <w:lvlJc w:val="left"/>
      <w:pPr>
        <w:tabs>
          <w:tab w:val="num" w:pos="0"/>
        </w:tabs>
        <w:ind w:left="0" w:firstLine="0"/>
      </w:pPr>
      <w:rPr>
        <w:sz w:val="28"/>
      </w:rPr>
    </w:lvl>
    <w:lvl w:ilvl="1">
      <w:start w:val="1"/>
      <w:numFmt w:val="none"/>
      <w:pStyle w:val="Ttulo2"/>
      <w:suff w:val="nothing"/>
      <w:lvlText w:val="%2"/>
      <w:lvlJc w:val="left"/>
      <w:pPr>
        <w:tabs>
          <w:tab w:val="num" w:pos="0"/>
        </w:tabs>
        <w:ind w:left="0" w:firstLine="0"/>
      </w:pPr>
      <w:rPr>
        <w:b/>
        <w:sz w:val="24"/>
      </w:rPr>
    </w:lvl>
    <w:lvl w:ilvl="2">
      <w:start w:val="1"/>
      <w:numFmt w:val="none"/>
      <w:pStyle w:val="Ttulo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69F05BD8"/>
    <w:multiLevelType w:val="multilevel"/>
    <w:tmpl w:val="4FE21F32"/>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6E"/>
    <w:rsid w:val="001D1CB8"/>
    <w:rsid w:val="00426D9A"/>
    <w:rsid w:val="008122E3"/>
    <w:rsid w:val="00AC166E"/>
    <w:rsid w:val="00EC04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C55A"/>
  <w15:docId w15:val="{C527D68B-E4C4-4076-9C88-0CAAFA2A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Cs w:val="24"/>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textAlignment w:val="baseline"/>
    </w:pPr>
    <w:rPr>
      <w:sz w:val="24"/>
    </w:rPr>
  </w:style>
  <w:style w:type="paragraph" w:styleId="Ttulo1">
    <w:name w:val="heading 1"/>
    <w:basedOn w:val="LO-normal"/>
    <w:next w:val="Normal"/>
    <w:uiPriority w:val="9"/>
    <w:qFormat/>
    <w:pPr>
      <w:keepNext/>
      <w:keepLines/>
      <w:numPr>
        <w:numId w:val="1"/>
      </w:numPr>
      <w:spacing w:before="283" w:after="283"/>
      <w:outlineLvl w:val="0"/>
    </w:pPr>
    <w:rPr>
      <w:rFonts w:eastAsia="Times New Roman" w:cs="Times New Roman"/>
      <w:b/>
      <w:bCs/>
      <w:sz w:val="28"/>
      <w:szCs w:val="40"/>
    </w:rPr>
  </w:style>
  <w:style w:type="paragraph" w:styleId="Ttulo2">
    <w:name w:val="heading 2"/>
    <w:basedOn w:val="LO-normal"/>
    <w:next w:val="Normal"/>
    <w:uiPriority w:val="9"/>
    <w:unhideWhenUsed/>
    <w:qFormat/>
    <w:pPr>
      <w:keepNext/>
      <w:keepLines/>
      <w:numPr>
        <w:ilvl w:val="1"/>
        <w:numId w:val="1"/>
      </w:numPr>
      <w:spacing w:before="227" w:after="120" w:line="360" w:lineRule="auto"/>
      <w:outlineLvl w:val="1"/>
    </w:pPr>
    <w:rPr>
      <w:b/>
      <w:sz w:val="24"/>
      <w:szCs w:val="32"/>
    </w:rPr>
  </w:style>
  <w:style w:type="paragraph" w:styleId="Ttulo3">
    <w:name w:val="heading 3"/>
    <w:basedOn w:val="Ttulo"/>
    <w:next w:val="Textoindependiente"/>
    <w:uiPriority w:val="9"/>
    <w:semiHidden/>
    <w:unhideWhenUsed/>
    <w:qFormat/>
    <w:pPr>
      <w:numPr>
        <w:ilvl w:val="2"/>
        <w:numId w:val="1"/>
      </w:numPr>
      <w:spacing w:before="140" w:after="0"/>
      <w:outlineLvl w:val="2"/>
    </w:pPr>
    <w:rPr>
      <w:rFonts w:ascii="Liberation Serif" w:eastAsia="Noto Serif CJK SC" w:hAnsi="Liberation Serif"/>
      <w:b/>
      <w:bCs/>
    </w:rPr>
  </w:style>
  <w:style w:type="paragraph" w:styleId="Ttulo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LO-normal"/>
    <w:next w:val="Normal"/>
    <w:uiPriority w:val="9"/>
    <w:semiHidden/>
    <w:unhideWhenUsed/>
    <w:qFormat/>
    <w:pPr>
      <w:keepNext/>
      <w:keepLines/>
      <w:spacing w:before="240" w:after="80"/>
      <w:outlineLvl w:val="4"/>
    </w:pPr>
    <w:rPr>
      <w:color w:val="666666"/>
    </w:rPr>
  </w:style>
  <w:style w:type="paragraph" w:styleId="Ttulo6">
    <w:name w:val="heading 6"/>
    <w:basedOn w:val="LO-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lang w:eastAsia="uz-Latn-UZ" w:bidi="uz-Latn-UZ"/>
    </w:rPr>
  </w:style>
  <w:style w:type="character" w:customStyle="1" w:styleId="EnlacedeInternetvisitado">
    <w:name w:val="Enlace de Internet visitado"/>
    <w:rPr>
      <w:color w:val="800000"/>
      <w:u w:val="single"/>
    </w:rPr>
  </w:style>
  <w:style w:type="character" w:customStyle="1" w:styleId="AsuntodelcomentarioCar">
    <w:name w:val="Asunto del comentario Car"/>
    <w:basedOn w:val="TextocomentarioCar"/>
    <w:qFormat/>
    <w:rPr>
      <w:rFonts w:cs="Mangal"/>
      <w:b/>
      <w:bCs/>
      <w:sz w:val="20"/>
      <w:szCs w:val="18"/>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qFormat/>
    <w:rPr>
      <w:rFonts w:cs="Mangal"/>
      <w:sz w:val="20"/>
      <w:szCs w:val="18"/>
    </w:rPr>
  </w:style>
  <w:style w:type="character" w:customStyle="1" w:styleId="TextodegloboCar">
    <w:name w:val="Texto de globo Car"/>
    <w:basedOn w:val="Fuentedeprrafopredeter"/>
    <w:qFormat/>
    <w:rPr>
      <w:rFonts w:ascii="Times New Roman" w:eastAsia="Times New Roman" w:hAnsi="Times New Roman" w:cs="Mangal"/>
      <w:sz w:val="18"/>
      <w:szCs w:val="16"/>
    </w:rPr>
  </w:style>
  <w:style w:type="character" w:customStyle="1" w:styleId="Numeracinderenglones">
    <w:name w:val="Numeración de renglones"/>
  </w:style>
  <w:style w:type="character" w:customStyle="1" w:styleId="Destaquemayor">
    <w:name w:val="Destaque mayor"/>
    <w:qFormat/>
    <w:rPr>
      <w:b/>
      <w:bCs/>
    </w:rPr>
  </w:style>
  <w:style w:type="character" w:customStyle="1" w:styleId="Vietas">
    <w:name w:val="Viñetas"/>
    <w:qFormat/>
    <w:rPr>
      <w:rFonts w:ascii="OpenSymbol" w:eastAsia="OpenSymbol" w:hAnsi="OpenSymbol" w:cs="OpenSymbol"/>
    </w:rPr>
  </w:style>
  <w:style w:type="character" w:customStyle="1" w:styleId="Ancladenotaalpie">
    <w:name w:val="Ancla de nota al pie"/>
    <w:rPr>
      <w:vertAlign w:val="superscript"/>
    </w:rPr>
  </w:style>
  <w:style w:type="character" w:customStyle="1" w:styleId="Caracteresdenotaalpie">
    <w:name w:val="Caracteres de nota al pie"/>
    <w:qFormat/>
  </w:style>
  <w:style w:type="character" w:customStyle="1" w:styleId="Caracteresdenotafinal">
    <w:name w:val="Caracteres de nota final"/>
    <w:qFormat/>
  </w:style>
  <w:style w:type="character" w:customStyle="1" w:styleId="Ancladenotafinal">
    <w:name w:val="Ancla de nota final"/>
    <w:rPr>
      <w:vertAlign w:val="superscript"/>
    </w:rPr>
  </w:style>
  <w:style w:type="character" w:customStyle="1" w:styleId="Destacado">
    <w:name w:val="Destacado"/>
    <w:basedOn w:val="Fuentedeprrafopredeter"/>
    <w:qFormat/>
    <w:rPr>
      <w:i/>
      <w:iCs/>
    </w:rPr>
  </w:style>
  <w:style w:type="paragraph" w:styleId="Ttulo">
    <w:name w:val="Title"/>
    <w:basedOn w:val="LO-normal"/>
    <w:next w:val="Textoindependiente"/>
    <w:uiPriority w:val="10"/>
    <w:qFormat/>
    <w:pPr>
      <w:keepNext/>
      <w:keepLines/>
      <w:spacing w:before="240" w:after="60"/>
    </w:pPr>
    <w:rPr>
      <w:sz w:val="52"/>
      <w:szCs w:val="52"/>
    </w:rPr>
  </w:style>
  <w:style w:type="paragraph" w:styleId="Textoindependiente">
    <w:name w:val="Body Text"/>
    <w:basedOn w:val="Normal"/>
    <w:pPr>
      <w:spacing w:line="480" w:lineRule="auto"/>
      <w:ind w:firstLine="454"/>
    </w:pPr>
    <w:rPr>
      <w:rFonts w:ascii="Times New Roman" w:hAnsi="Times New Roman"/>
    </w:r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O-Normal1">
    <w:name w:val="LO-Normal1"/>
    <w:qFormat/>
    <w:pPr>
      <w:overflowPunct w:val="0"/>
      <w:textAlignment w:val="baseline"/>
    </w:pPr>
    <w:rPr>
      <w:sz w:val="24"/>
    </w:rPr>
  </w:style>
  <w:style w:type="paragraph" w:customStyle="1" w:styleId="LO-normal">
    <w:name w:val="LO-normal"/>
    <w:qFormat/>
    <w:pPr>
      <w:overflowPunct w:val="0"/>
      <w:textAlignment w:val="baseline"/>
    </w:pPr>
    <w:rPr>
      <w:rFonts w:ascii="Arial" w:eastAsia="Arial" w:hAnsi="Arial" w:cs="Arial"/>
      <w:kern w:val="0"/>
      <w:sz w:val="22"/>
      <w:szCs w:val="22"/>
    </w:rPr>
  </w:style>
  <w:style w:type="paragraph" w:customStyle="1" w:styleId="Contenidodelatabla">
    <w:name w:val="Contenido de la tabla"/>
    <w:basedOn w:val="Normal"/>
    <w:qFormat/>
    <w:pPr>
      <w:suppressLineNumbers/>
      <w:spacing w:line="360" w:lineRule="auto"/>
    </w:pPr>
    <w:rPr>
      <w:sz w:val="20"/>
    </w:rPr>
  </w:style>
  <w:style w:type="paragraph" w:customStyle="1" w:styleId="Bibliografa1">
    <w:name w:val="Bibliografía 1"/>
    <w:basedOn w:val="ndice"/>
    <w:qFormat/>
    <w:pPr>
      <w:tabs>
        <w:tab w:val="left" w:pos="384"/>
      </w:tabs>
      <w:spacing w:after="240" w:line="240" w:lineRule="atLeast"/>
      <w:ind w:left="384" w:hanging="384"/>
    </w:pPr>
  </w:style>
  <w:style w:type="paragraph" w:customStyle="1" w:styleId="Ttulodelatabla">
    <w:name w:val="Título de la tabla"/>
    <w:basedOn w:val="Contenidodelatabla"/>
    <w:qFormat/>
    <w:rPr>
      <w:b/>
      <w:bCs/>
    </w:rPr>
  </w:style>
  <w:style w:type="paragraph" w:styleId="Asuntodelcomentario">
    <w:name w:val="annotation subject"/>
    <w:basedOn w:val="Textocomentario"/>
    <w:next w:val="Textocomentario"/>
    <w:qFormat/>
    <w:rPr>
      <w:b/>
      <w:bCs/>
    </w:rPr>
  </w:style>
  <w:style w:type="paragraph" w:styleId="Revisin">
    <w:name w:val="Revision"/>
    <w:qFormat/>
    <w:pPr>
      <w:suppressAutoHyphens w:val="0"/>
      <w:overflowPunct w:val="0"/>
    </w:pPr>
    <w:rPr>
      <w:rFonts w:cs="Mangal"/>
      <w:sz w:val="24"/>
      <w:szCs w:val="21"/>
    </w:rPr>
  </w:style>
  <w:style w:type="paragraph" w:styleId="Textocomentario">
    <w:name w:val="annotation text"/>
    <w:basedOn w:val="LO-Normal1"/>
    <w:qFormat/>
    <w:rPr>
      <w:rFonts w:cs="Mangal"/>
      <w:sz w:val="20"/>
      <w:szCs w:val="18"/>
    </w:rPr>
  </w:style>
  <w:style w:type="paragraph" w:styleId="Textodeglobo">
    <w:name w:val="Balloon Text"/>
    <w:basedOn w:val="Normal"/>
    <w:qFormat/>
    <w:rPr>
      <w:rFonts w:ascii="Lucida Grande" w:hAnsi="Lucida Grande"/>
      <w:sz w:val="18"/>
      <w:szCs w:val="18"/>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Normal"/>
  </w:style>
  <w:style w:type="paragraph" w:styleId="Encabezado">
    <w:name w:val="header"/>
    <w:basedOn w:val="Normal"/>
  </w:style>
  <w:style w:type="paragraph" w:styleId="Textonotapie">
    <w:name w:val="footnote text"/>
    <w:basedOn w:val="Normal"/>
  </w:style>
  <w:style w:type="paragraph" w:styleId="Subttulo">
    <w:name w:val="Subtitle"/>
    <w:basedOn w:val="LO-normal"/>
    <w:next w:val="Normal"/>
    <w:uiPriority w:val="11"/>
    <w:qFormat/>
    <w:pPr>
      <w:keepNext/>
      <w:keepLines/>
      <w:spacing w:after="320"/>
    </w:pPr>
    <w:rPr>
      <w:color w:val="666666"/>
      <w:sz w:val="30"/>
      <w:szCs w:val="30"/>
    </w:rPr>
  </w:style>
  <w:style w:type="paragraph" w:styleId="Prrafodelista">
    <w:name w:val="List Paragraph"/>
    <w:basedOn w:val="Normal"/>
    <w:qFormat/>
    <w:pPr>
      <w:ind w:left="720"/>
      <w:contextualSpacing/>
    </w:pPr>
    <w:rPr>
      <w:rFonts w:cs="Mangal"/>
      <w:szCs w:val="21"/>
    </w:rPr>
  </w:style>
  <w:style w:type="paragraph" w:customStyle="1" w:styleId="Lneahorizontal">
    <w:name w:val="Línea horizontal"/>
    <w:basedOn w:val="Normal"/>
    <w:next w:val="Textoindependiente"/>
    <w:qFormat/>
    <w:pPr>
      <w:suppressLineNumbers/>
      <w:pBdr>
        <w:bottom w:val="double" w:sz="2" w:space="0" w:color="808080"/>
      </w:pBdr>
      <w:spacing w:after="283"/>
    </w:pPr>
    <w:rPr>
      <w:sz w:val="12"/>
      <w:szCs w:val="12"/>
    </w:rPr>
  </w:style>
  <w:style w:type="paragraph" w:customStyle="1" w:styleId="Textopreformateado">
    <w:name w:val="Texto preformateado"/>
    <w:basedOn w:val="Normal"/>
    <w:qFormat/>
    <w:rPr>
      <w:rFonts w:ascii="Liberation Mono" w:eastAsia="Noto Sans Mono CJK SC" w:hAnsi="Liberation Mono" w:cs="Liberation Mono"/>
      <w:sz w:val="20"/>
      <w:szCs w:val="20"/>
    </w:rPr>
  </w:style>
  <w:style w:type="paragraph" w:customStyle="1" w:styleId="Tabla">
    <w:name w:val="Tabla"/>
    <w:basedOn w:val="Descripcin"/>
    <w:qFormat/>
  </w:style>
  <w:style w:type="paragraph" w:customStyle="1" w:styleId="Tablanormal1">
    <w:name w:val="Tabla normal1"/>
    <w:qFormat/>
    <w:pPr>
      <w:overflowPunct w:val="0"/>
      <w:spacing w:after="160" w:line="254" w:lineRule="auto"/>
    </w:pPr>
    <w:rPr>
      <w:rFonts w:ascii="Calibri" w:eastAsia="Calibri" w:hAnsi="Calibri" w:cs="Calibri"/>
      <w:sz w:val="22"/>
      <w:szCs w:val="22"/>
      <w:lang w:eastAsia="es-ES" w:bidi="ar-SA"/>
    </w:rPr>
  </w:style>
  <w:style w:type="numbering" w:customStyle="1" w:styleId="Ningunalista">
    <w:name w:val="Ninguna list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101/2021.08.27.21262033" TargetMode="External"/><Relationship Id="rId3" Type="http://schemas.openxmlformats.org/officeDocument/2006/relationships/settings" Target="settings.xml"/><Relationship Id="rId7" Type="http://schemas.openxmlformats.org/officeDocument/2006/relationships/hyperlink" Target="http://www.transplant-observa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8746</Words>
  <Characters>48108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Molina Pérez</dc:creator>
  <dc:description/>
  <cp:lastModifiedBy>Alberto Molina Pérez</cp:lastModifiedBy>
  <cp:revision>4</cp:revision>
  <dcterms:created xsi:type="dcterms:W3CDTF">2022-07-14T10:34:00Z</dcterms:created>
  <dcterms:modified xsi:type="dcterms:W3CDTF">2022-07-14T10:38:00Z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id="O9USa3um"/&gt;&lt;style id="http://www.zotero.org/styles/bmj" hasBibliography="1" bibliographyStyleHasBeenSet="1"/&gt;&lt;prefs&gt;&lt;pref name="fieldType" value="ReferenceMark"/&gt;&lt;/prefs&gt;&lt;/data&gt;</vt:lpwstr>
  </property>
</Properties>
</file>