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73B1" w14:textId="2DD7F8F1" w:rsidR="00814C15" w:rsidRDefault="00814C15" w:rsidP="00786FCE">
      <w:pPr>
        <w:spacing w:after="240"/>
        <w:jc w:val="center"/>
        <w:rPr>
          <w:b/>
          <w:bCs/>
        </w:rPr>
      </w:pPr>
      <w:r w:rsidRPr="00917D0D">
        <w:rPr>
          <w:b/>
          <w:bCs/>
        </w:rPr>
        <w:t>E</w:t>
      </w:r>
      <w:r w:rsidR="00917D0D">
        <w:rPr>
          <w:b/>
          <w:bCs/>
        </w:rPr>
        <w:t>PISTEMIC</w:t>
      </w:r>
      <w:r w:rsidR="00DC3AB4" w:rsidRPr="00917D0D">
        <w:rPr>
          <w:b/>
          <w:bCs/>
        </w:rPr>
        <w:t xml:space="preserve"> </w:t>
      </w:r>
      <w:r w:rsidR="00872EB9" w:rsidRPr="00917D0D">
        <w:rPr>
          <w:b/>
          <w:bCs/>
        </w:rPr>
        <w:t>E</w:t>
      </w:r>
      <w:r w:rsidR="00917D0D">
        <w:rPr>
          <w:b/>
          <w:bCs/>
        </w:rPr>
        <w:t>NTITLEMENT</w:t>
      </w:r>
      <w:r w:rsidR="002E6EF4" w:rsidRPr="00917D0D">
        <w:rPr>
          <w:b/>
          <w:bCs/>
        </w:rPr>
        <w:t xml:space="preserve">, </w:t>
      </w:r>
      <w:r w:rsidR="00403622" w:rsidRPr="00917D0D">
        <w:rPr>
          <w:b/>
          <w:bCs/>
        </w:rPr>
        <w:t>E</w:t>
      </w:r>
      <w:r w:rsidR="00917D0D">
        <w:rPr>
          <w:b/>
          <w:bCs/>
        </w:rPr>
        <w:t>PISTEMIC</w:t>
      </w:r>
      <w:r w:rsidR="00403622" w:rsidRPr="00917D0D">
        <w:rPr>
          <w:b/>
          <w:bCs/>
        </w:rPr>
        <w:t xml:space="preserve"> R</w:t>
      </w:r>
      <w:r w:rsidR="00917D0D">
        <w:rPr>
          <w:b/>
          <w:bCs/>
        </w:rPr>
        <w:t>ISK</w:t>
      </w:r>
      <w:r w:rsidR="00403622" w:rsidRPr="00917D0D">
        <w:rPr>
          <w:b/>
          <w:bCs/>
        </w:rPr>
        <w:t xml:space="preserve"> </w:t>
      </w:r>
      <w:r w:rsidR="00917D0D">
        <w:rPr>
          <w:b/>
          <w:bCs/>
        </w:rPr>
        <w:t>AND</w:t>
      </w:r>
      <w:r w:rsidR="00403622" w:rsidRPr="00917D0D">
        <w:rPr>
          <w:b/>
          <w:bCs/>
        </w:rPr>
        <w:t xml:space="preserve"> </w:t>
      </w:r>
      <w:r w:rsidR="002E6EF4" w:rsidRPr="00917D0D">
        <w:rPr>
          <w:b/>
          <w:bCs/>
        </w:rPr>
        <w:t>L</w:t>
      </w:r>
      <w:r w:rsidR="00917D0D">
        <w:rPr>
          <w:b/>
          <w:bCs/>
        </w:rPr>
        <w:t>EACHING</w:t>
      </w:r>
      <w:r w:rsidRPr="00917D0D">
        <w:rPr>
          <w:b/>
          <w:bCs/>
        </w:rPr>
        <w:t xml:space="preserve"> </w:t>
      </w:r>
    </w:p>
    <w:p w14:paraId="517602A7" w14:textId="77777777" w:rsidR="00F35A0F" w:rsidRPr="00917D0D" w:rsidRDefault="00F35A0F" w:rsidP="00786FCE">
      <w:pPr>
        <w:spacing w:after="240"/>
        <w:jc w:val="center"/>
        <w:rPr>
          <w:b/>
          <w:bCs/>
        </w:rPr>
      </w:pPr>
    </w:p>
    <w:p w14:paraId="03D70567" w14:textId="176F0B46" w:rsidR="008F675F" w:rsidRDefault="00982046" w:rsidP="008F675F">
      <w:pPr>
        <w:contextualSpacing/>
      </w:pPr>
      <w:r>
        <w:t xml:space="preserve">                        </w:t>
      </w:r>
      <w:r w:rsidR="00AA1E54" w:rsidRPr="00917D0D">
        <w:t xml:space="preserve">Luca Moretti </w:t>
      </w:r>
      <w:r w:rsidR="00917D0D">
        <w:t xml:space="preserve">                       </w:t>
      </w:r>
      <w:r w:rsidR="00917D0D" w:rsidRPr="00917D0D">
        <w:t xml:space="preserve">                 </w:t>
      </w:r>
      <w:r w:rsidR="00AA1E54" w:rsidRPr="00917D0D">
        <w:t>Crispin Wright</w:t>
      </w:r>
    </w:p>
    <w:p w14:paraId="336F0400" w14:textId="05BE114C" w:rsidR="00917D0D" w:rsidRPr="00917D0D" w:rsidRDefault="008F675F" w:rsidP="008F675F">
      <w:pPr>
        <w:contextualSpacing/>
      </w:pPr>
      <w:r>
        <w:t xml:space="preserve">              </w:t>
      </w:r>
      <w:r w:rsidR="00917D0D" w:rsidRPr="00917D0D">
        <w:t xml:space="preserve">University of Aberdeen      </w:t>
      </w:r>
      <w:r w:rsidR="00917D0D">
        <w:t xml:space="preserve">    </w:t>
      </w:r>
      <w:r w:rsidR="00917D0D" w:rsidRPr="00917D0D">
        <w:t>New York University and University of Stirling</w:t>
      </w:r>
    </w:p>
    <w:p w14:paraId="5B8AE042" w14:textId="0422761C" w:rsidR="00AA1E54" w:rsidRDefault="00AA1E54" w:rsidP="003943DB">
      <w:pPr>
        <w:contextualSpacing/>
        <w:jc w:val="center"/>
        <w:rPr>
          <w:i/>
          <w:iCs/>
        </w:rPr>
      </w:pPr>
    </w:p>
    <w:p w14:paraId="3919CCF1" w14:textId="77777777" w:rsidR="00F35A0F" w:rsidRPr="002E24C8" w:rsidRDefault="00F35A0F" w:rsidP="003943DB">
      <w:pPr>
        <w:contextualSpacing/>
        <w:jc w:val="center"/>
        <w:rPr>
          <w:i/>
          <w:iCs/>
        </w:rPr>
      </w:pPr>
    </w:p>
    <w:p w14:paraId="6AAC3689" w14:textId="10BC9FEF" w:rsidR="00742850" w:rsidRPr="00742850" w:rsidRDefault="00742850" w:rsidP="00982046">
      <w:pPr>
        <w:ind w:left="720" w:right="720"/>
        <w:contextualSpacing/>
      </w:pPr>
      <w:r w:rsidRPr="00742850">
        <w:t>One type of argument to sceptical paradox proceeds by making a case that a certain kind of metaphysically “heavyweight or “cornerstone” proposition is beyond all possible evidence and hence may not be known or justifiably believed. Crispin Wright has argued that we can concede that our acceptance of these propositions is evidentially risky and still remain rationally entitled to those of our ordinary knowledge claims that are seemingly threatened by that concession. A problem for Wright’s proposal is the so-called Leaching worry: if we are merely rationally entitled to accept the cornerstones without evidence, how can we achieve evidence-based knowledge of the multitude of quotidian propositions that we think we know</w:t>
      </w:r>
      <w:r>
        <w:t>,</w:t>
      </w:r>
      <w:r w:rsidRPr="00742850">
        <w:t xml:space="preserve"> which require the cornerstones to be true? This paper presents a rigorous, novel explication of this worry within a Bayesian framework, and offers the Entitlement theorist two distinct responses.</w:t>
      </w:r>
    </w:p>
    <w:p w14:paraId="2C6B6026" w14:textId="2E5456E4" w:rsidR="00742850" w:rsidRDefault="00742850" w:rsidP="001A3B91">
      <w:pPr>
        <w:contextualSpacing/>
        <w:rPr>
          <w:b/>
          <w:bCs/>
        </w:rPr>
      </w:pPr>
    </w:p>
    <w:p w14:paraId="74962E6F" w14:textId="77777777" w:rsidR="00742850" w:rsidRDefault="00742850" w:rsidP="001A3B91">
      <w:pPr>
        <w:contextualSpacing/>
        <w:rPr>
          <w:b/>
          <w:bCs/>
        </w:rPr>
      </w:pPr>
    </w:p>
    <w:p w14:paraId="74FE96CE" w14:textId="73AE8E77" w:rsidR="001A3B91" w:rsidRPr="002E24C8" w:rsidRDefault="001B1EC9" w:rsidP="001A3B91">
      <w:pPr>
        <w:contextualSpacing/>
        <w:rPr>
          <w:b/>
          <w:bCs/>
        </w:rPr>
      </w:pPr>
      <w:r w:rsidRPr="002E24C8">
        <w:rPr>
          <w:b/>
          <w:bCs/>
        </w:rPr>
        <w:t>1. Introductio</w:t>
      </w:r>
      <w:r w:rsidR="00DE0652" w:rsidRPr="002E24C8">
        <w:rPr>
          <w:b/>
          <w:bCs/>
        </w:rPr>
        <w:t>n</w:t>
      </w:r>
    </w:p>
    <w:p w14:paraId="78B0255C" w14:textId="3BCFA213" w:rsidR="006152E9" w:rsidRPr="002E24C8" w:rsidRDefault="006152E9" w:rsidP="001A3B91">
      <w:pPr>
        <w:contextualSpacing/>
        <w:rPr>
          <w:b/>
          <w:bCs/>
        </w:rPr>
      </w:pPr>
      <w:r w:rsidRPr="002E24C8">
        <w:rPr>
          <w:bCs/>
        </w:rPr>
        <w:t xml:space="preserve">One type of </w:t>
      </w:r>
      <w:r w:rsidR="005627E9" w:rsidRPr="002E24C8">
        <w:rPr>
          <w:bCs/>
        </w:rPr>
        <w:t>argument</w:t>
      </w:r>
      <w:r w:rsidRPr="002E24C8">
        <w:rPr>
          <w:bCs/>
        </w:rPr>
        <w:t xml:space="preserve"> to sceptical paradox proceeds by </w:t>
      </w:r>
      <w:r w:rsidR="005627E9" w:rsidRPr="002E24C8">
        <w:rPr>
          <w:bCs/>
        </w:rPr>
        <w:t>making a case</w:t>
      </w:r>
      <w:r w:rsidRPr="002E24C8">
        <w:rPr>
          <w:bCs/>
        </w:rPr>
        <w:t xml:space="preserve"> that a </w:t>
      </w:r>
      <w:r w:rsidR="006736B7" w:rsidRPr="002E24C8">
        <w:rPr>
          <w:bCs/>
        </w:rPr>
        <w:t>certain</w:t>
      </w:r>
      <w:r w:rsidRPr="002E24C8">
        <w:rPr>
          <w:bCs/>
        </w:rPr>
        <w:t xml:space="preserve"> kind o</w:t>
      </w:r>
      <w:r w:rsidR="00274D8C" w:rsidRPr="002E24C8">
        <w:rPr>
          <w:bCs/>
        </w:rPr>
        <w:t xml:space="preserve">f </w:t>
      </w:r>
      <w:r w:rsidR="006736B7" w:rsidRPr="002E24C8">
        <w:rPr>
          <w:bCs/>
        </w:rPr>
        <w:t>metaphysically</w:t>
      </w:r>
      <w:r w:rsidR="005627E9" w:rsidRPr="002E24C8">
        <w:rPr>
          <w:bCs/>
        </w:rPr>
        <w:t xml:space="preserve"> </w:t>
      </w:r>
      <w:r w:rsidR="00274D8C" w:rsidRPr="002E24C8">
        <w:rPr>
          <w:bCs/>
        </w:rPr>
        <w:t>“</w:t>
      </w:r>
      <w:r w:rsidR="006736B7" w:rsidRPr="002E24C8">
        <w:rPr>
          <w:bCs/>
        </w:rPr>
        <w:t>heavyweight</w:t>
      </w:r>
      <w:r w:rsidR="005627E9" w:rsidRPr="002E24C8">
        <w:rPr>
          <w:bCs/>
        </w:rPr>
        <w:t>”</w:t>
      </w:r>
      <w:r w:rsidR="00F35A0F">
        <w:rPr>
          <w:bCs/>
        </w:rPr>
        <w:t xml:space="preserve"> </w:t>
      </w:r>
      <w:r w:rsidR="005627E9" w:rsidRPr="002E24C8">
        <w:rPr>
          <w:bCs/>
        </w:rPr>
        <w:t>(</w:t>
      </w:r>
      <w:r w:rsidR="00274D8C" w:rsidRPr="002E24C8">
        <w:rPr>
          <w:bCs/>
        </w:rPr>
        <w:t>Dretske, 2005</w:t>
      </w:r>
      <w:r w:rsidR="005461D8">
        <w:rPr>
          <w:bCs/>
        </w:rPr>
        <w:t xml:space="preserve"> and</w:t>
      </w:r>
      <w:r w:rsidR="00274D8C" w:rsidRPr="002E24C8">
        <w:rPr>
          <w:bCs/>
        </w:rPr>
        <w:t xml:space="preserve"> </w:t>
      </w:r>
      <w:r w:rsidR="005627E9" w:rsidRPr="002E24C8">
        <w:rPr>
          <w:bCs/>
        </w:rPr>
        <w:t>H</w:t>
      </w:r>
      <w:r w:rsidRPr="002E24C8">
        <w:rPr>
          <w:bCs/>
        </w:rPr>
        <w:t>awthorne</w:t>
      </w:r>
      <w:r w:rsidR="00F35A0F">
        <w:rPr>
          <w:bCs/>
        </w:rPr>
        <w:t>,</w:t>
      </w:r>
      <w:r w:rsidR="006736B7" w:rsidRPr="002E24C8">
        <w:rPr>
          <w:bCs/>
        </w:rPr>
        <w:t xml:space="preserve"> </w:t>
      </w:r>
      <w:r w:rsidR="00274D8C" w:rsidRPr="002E24C8">
        <w:rPr>
          <w:bCs/>
        </w:rPr>
        <w:t>2005</w:t>
      </w:r>
      <w:r w:rsidRPr="002E24C8">
        <w:rPr>
          <w:bCs/>
        </w:rPr>
        <w:t>) or “cornerst</w:t>
      </w:r>
      <w:r w:rsidR="00C0402F" w:rsidRPr="002E24C8">
        <w:rPr>
          <w:bCs/>
        </w:rPr>
        <w:t>one” (Wright</w:t>
      </w:r>
      <w:r w:rsidR="00F35A0F">
        <w:rPr>
          <w:bCs/>
        </w:rPr>
        <w:t>,</w:t>
      </w:r>
      <w:r w:rsidR="006736B7" w:rsidRPr="002E24C8">
        <w:rPr>
          <w:bCs/>
        </w:rPr>
        <w:t xml:space="preserve"> </w:t>
      </w:r>
      <w:r w:rsidR="00D060E9" w:rsidRPr="002E24C8">
        <w:rPr>
          <w:bCs/>
        </w:rPr>
        <w:t>2004</w:t>
      </w:r>
      <w:r w:rsidR="00C0402F" w:rsidRPr="002E24C8">
        <w:rPr>
          <w:bCs/>
        </w:rPr>
        <w:t xml:space="preserve">) </w:t>
      </w:r>
      <w:r w:rsidRPr="002E24C8">
        <w:rPr>
          <w:bCs/>
        </w:rPr>
        <w:t xml:space="preserve">proposition is </w:t>
      </w:r>
      <w:r w:rsidR="006736B7" w:rsidRPr="002E24C8">
        <w:rPr>
          <w:bCs/>
        </w:rPr>
        <w:t>beyond</w:t>
      </w:r>
      <w:r w:rsidRPr="002E24C8">
        <w:rPr>
          <w:bCs/>
        </w:rPr>
        <w:t xml:space="preserve"> all possible eviden</w:t>
      </w:r>
      <w:r w:rsidR="005627E9" w:rsidRPr="002E24C8">
        <w:rPr>
          <w:bCs/>
        </w:rPr>
        <w:t xml:space="preserve">ce and hence may not be known or </w:t>
      </w:r>
      <w:r w:rsidR="006736B7" w:rsidRPr="002E24C8">
        <w:rPr>
          <w:bCs/>
        </w:rPr>
        <w:t>justifiably</w:t>
      </w:r>
      <w:r w:rsidR="005627E9" w:rsidRPr="002E24C8">
        <w:rPr>
          <w:bCs/>
        </w:rPr>
        <w:t xml:space="preserve"> believed. Examples </w:t>
      </w:r>
      <w:r w:rsidR="002D36EE" w:rsidRPr="002E24C8">
        <w:rPr>
          <w:bCs/>
        </w:rPr>
        <w:t xml:space="preserve">of such propositions </w:t>
      </w:r>
      <w:r w:rsidR="005627E9" w:rsidRPr="002E24C8">
        <w:rPr>
          <w:bCs/>
        </w:rPr>
        <w:t xml:space="preserve">include that </w:t>
      </w:r>
      <w:r w:rsidR="006736B7" w:rsidRPr="002E24C8">
        <w:rPr>
          <w:bCs/>
        </w:rPr>
        <w:t>there</w:t>
      </w:r>
      <w:r w:rsidR="005627E9" w:rsidRPr="002E24C8">
        <w:rPr>
          <w:bCs/>
        </w:rPr>
        <w:t xml:space="preserve"> is an </w:t>
      </w:r>
      <w:r w:rsidR="006736B7" w:rsidRPr="002E24C8">
        <w:rPr>
          <w:bCs/>
        </w:rPr>
        <w:t>external</w:t>
      </w:r>
      <w:r w:rsidR="005627E9" w:rsidRPr="002E24C8">
        <w:rPr>
          <w:bCs/>
        </w:rPr>
        <w:t xml:space="preserve"> </w:t>
      </w:r>
      <w:r w:rsidR="006736B7" w:rsidRPr="002E24C8">
        <w:rPr>
          <w:bCs/>
        </w:rPr>
        <w:t>material</w:t>
      </w:r>
      <w:r w:rsidR="005627E9" w:rsidRPr="002E24C8">
        <w:rPr>
          <w:bCs/>
        </w:rPr>
        <w:t xml:space="preserve"> world</w:t>
      </w:r>
      <w:r w:rsidR="004156BD" w:rsidRPr="002E24C8">
        <w:rPr>
          <w:bCs/>
        </w:rPr>
        <w:t xml:space="preserve"> at all</w:t>
      </w:r>
      <w:r w:rsidR="005627E9" w:rsidRPr="002E24C8">
        <w:rPr>
          <w:bCs/>
        </w:rPr>
        <w:t xml:space="preserve">, that </w:t>
      </w:r>
      <w:r w:rsidR="006736B7" w:rsidRPr="002E24C8">
        <w:rPr>
          <w:bCs/>
        </w:rPr>
        <w:t>there</w:t>
      </w:r>
      <w:r w:rsidR="005627E9" w:rsidRPr="002E24C8">
        <w:rPr>
          <w:bCs/>
        </w:rPr>
        <w:t xml:space="preserve"> are </w:t>
      </w:r>
      <w:r w:rsidR="004156BD" w:rsidRPr="002E24C8">
        <w:rPr>
          <w:bCs/>
        </w:rPr>
        <w:t xml:space="preserve">any </w:t>
      </w:r>
      <w:r w:rsidR="005627E9" w:rsidRPr="002E24C8">
        <w:rPr>
          <w:bCs/>
        </w:rPr>
        <w:t>other minds</w:t>
      </w:r>
      <w:r w:rsidR="004156BD" w:rsidRPr="002E24C8">
        <w:rPr>
          <w:bCs/>
        </w:rPr>
        <w:t xml:space="preserve"> besides one’s own</w:t>
      </w:r>
      <w:r w:rsidR="005627E9" w:rsidRPr="002E24C8">
        <w:rPr>
          <w:bCs/>
        </w:rPr>
        <w:t xml:space="preserve">, that the world is replete </w:t>
      </w:r>
      <w:r w:rsidR="006736B7" w:rsidRPr="002E24C8">
        <w:rPr>
          <w:bCs/>
        </w:rPr>
        <w:t>with</w:t>
      </w:r>
      <w:r w:rsidR="005627E9" w:rsidRPr="002E24C8">
        <w:rPr>
          <w:bCs/>
        </w:rPr>
        <w:t xml:space="preserve"> general lawlike patterns that are </w:t>
      </w:r>
      <w:r w:rsidR="004156BD" w:rsidRPr="002E24C8">
        <w:rPr>
          <w:bCs/>
        </w:rPr>
        <w:t xml:space="preserve">reliably </w:t>
      </w:r>
      <w:r w:rsidR="005627E9" w:rsidRPr="002E24C8">
        <w:rPr>
          <w:bCs/>
        </w:rPr>
        <w:t>reflect</w:t>
      </w:r>
      <w:r w:rsidR="004156BD" w:rsidRPr="002E24C8">
        <w:rPr>
          <w:bCs/>
        </w:rPr>
        <w:t>ed in local samples, and that the world</w:t>
      </w:r>
      <w:r w:rsidR="005627E9" w:rsidRPr="002E24C8">
        <w:rPr>
          <w:bCs/>
        </w:rPr>
        <w:t xml:space="preserve"> did not come into being twenty minutes ag</w:t>
      </w:r>
      <w:r w:rsidR="006736B7" w:rsidRPr="002E24C8">
        <w:rPr>
          <w:bCs/>
        </w:rPr>
        <w:t>o</w:t>
      </w:r>
      <w:r w:rsidR="005627E9" w:rsidRPr="002E24C8">
        <w:rPr>
          <w:bCs/>
        </w:rPr>
        <w:t xml:space="preserve"> </w:t>
      </w:r>
      <w:r w:rsidR="0096042C" w:rsidRPr="002E24C8">
        <w:rPr>
          <w:bCs/>
        </w:rPr>
        <w:t>brimming</w:t>
      </w:r>
      <w:r w:rsidR="005627E9" w:rsidRPr="002E24C8">
        <w:rPr>
          <w:bCs/>
        </w:rPr>
        <w:t xml:space="preserve"> </w:t>
      </w:r>
      <w:r w:rsidR="006736B7" w:rsidRPr="002E24C8">
        <w:rPr>
          <w:bCs/>
        </w:rPr>
        <w:t xml:space="preserve">with </w:t>
      </w:r>
      <w:r w:rsidR="00732002" w:rsidRPr="002E24C8">
        <w:rPr>
          <w:bCs/>
        </w:rPr>
        <w:t xml:space="preserve">apparent </w:t>
      </w:r>
      <w:r w:rsidR="006736B7" w:rsidRPr="002E24C8">
        <w:rPr>
          <w:bCs/>
        </w:rPr>
        <w:t>traces (including apparent memories</w:t>
      </w:r>
      <w:r w:rsidR="005627E9" w:rsidRPr="002E24C8">
        <w:rPr>
          <w:bCs/>
        </w:rPr>
        <w:t xml:space="preserve">) of a much </w:t>
      </w:r>
      <w:r w:rsidR="006736B7" w:rsidRPr="002E24C8">
        <w:rPr>
          <w:bCs/>
        </w:rPr>
        <w:t>more</w:t>
      </w:r>
      <w:r w:rsidR="005627E9" w:rsidRPr="002E24C8">
        <w:rPr>
          <w:bCs/>
        </w:rPr>
        <w:t xml:space="preserve"> substantial history. </w:t>
      </w:r>
      <w:r w:rsidR="006736B7" w:rsidRPr="002E24C8">
        <w:rPr>
          <w:bCs/>
        </w:rPr>
        <w:t xml:space="preserve">If such </w:t>
      </w:r>
      <w:r w:rsidR="00091E22" w:rsidRPr="002E24C8">
        <w:rPr>
          <w:bCs/>
        </w:rPr>
        <w:t>propositions are</w:t>
      </w:r>
      <w:r w:rsidR="006736B7" w:rsidRPr="002E24C8">
        <w:rPr>
          <w:bCs/>
        </w:rPr>
        <w:t xml:space="preserve"> false, then sense experience is no guide to material reality, behaviour and physical condition is no guide to others’ mental </w:t>
      </w:r>
      <w:r w:rsidR="00091E22" w:rsidRPr="002E24C8">
        <w:rPr>
          <w:bCs/>
        </w:rPr>
        <w:t>states</w:t>
      </w:r>
      <w:r w:rsidR="006736B7" w:rsidRPr="002E24C8">
        <w:rPr>
          <w:bCs/>
        </w:rPr>
        <w:t xml:space="preserve">, </w:t>
      </w:r>
      <w:r w:rsidR="00091E22" w:rsidRPr="002E24C8">
        <w:rPr>
          <w:bCs/>
        </w:rPr>
        <w:t>generalisations</w:t>
      </w:r>
      <w:r w:rsidR="006736B7" w:rsidRPr="002E24C8">
        <w:rPr>
          <w:bCs/>
        </w:rPr>
        <w:t xml:space="preserve"> inductively suggested by local samples are unreliable and </w:t>
      </w:r>
      <w:r w:rsidR="0096042C" w:rsidRPr="002E24C8">
        <w:rPr>
          <w:bCs/>
        </w:rPr>
        <w:t>most apparent evidence for the</w:t>
      </w:r>
      <w:r w:rsidR="006736B7" w:rsidRPr="002E24C8">
        <w:rPr>
          <w:bCs/>
        </w:rPr>
        <w:t xml:space="preserve"> past </w:t>
      </w:r>
      <w:r w:rsidR="0096042C" w:rsidRPr="002E24C8">
        <w:rPr>
          <w:bCs/>
        </w:rPr>
        <w:t>has no probative force</w:t>
      </w:r>
      <w:r w:rsidR="005461D8">
        <w:rPr>
          <w:bCs/>
        </w:rPr>
        <w:t>.</w:t>
      </w:r>
    </w:p>
    <w:p w14:paraId="245EFCF5" w14:textId="047F58BB" w:rsidR="005627E9" w:rsidRPr="002E24C8" w:rsidRDefault="001728A6" w:rsidP="006152E9">
      <w:pPr>
        <w:contextualSpacing/>
        <w:rPr>
          <w:bCs/>
        </w:rPr>
      </w:pPr>
      <w:r w:rsidRPr="002E24C8">
        <w:rPr>
          <w:bCs/>
        </w:rPr>
        <w:tab/>
      </w:r>
      <w:r w:rsidR="005627E9" w:rsidRPr="002E24C8">
        <w:rPr>
          <w:bCs/>
        </w:rPr>
        <w:t>The details</w:t>
      </w:r>
      <w:r w:rsidR="002146CE" w:rsidRPr="002E24C8">
        <w:rPr>
          <w:bCs/>
        </w:rPr>
        <w:t xml:space="preserve"> of such</w:t>
      </w:r>
      <w:r w:rsidR="005627E9" w:rsidRPr="002E24C8">
        <w:rPr>
          <w:bCs/>
        </w:rPr>
        <w:t xml:space="preserve"> </w:t>
      </w:r>
      <w:r w:rsidR="00BA3067" w:rsidRPr="002E24C8">
        <w:rPr>
          <w:bCs/>
        </w:rPr>
        <w:t xml:space="preserve">sceptical </w:t>
      </w:r>
      <w:r w:rsidR="005627E9" w:rsidRPr="002E24C8">
        <w:rPr>
          <w:bCs/>
        </w:rPr>
        <w:t xml:space="preserve">arguments </w:t>
      </w:r>
      <w:r w:rsidR="006A2532" w:rsidRPr="002E24C8">
        <w:rPr>
          <w:bCs/>
        </w:rPr>
        <w:t xml:space="preserve">show some variety, but they </w:t>
      </w:r>
      <w:r w:rsidR="005627E9" w:rsidRPr="002E24C8">
        <w:rPr>
          <w:bCs/>
        </w:rPr>
        <w:t>do not matter for present purposes.</w:t>
      </w:r>
      <w:r w:rsidR="009F739A" w:rsidRPr="002E24C8">
        <w:rPr>
          <w:rStyle w:val="FootnoteReference"/>
          <w:bCs/>
        </w:rPr>
        <w:footnoteReference w:id="1"/>
      </w:r>
      <w:r w:rsidR="0096042C" w:rsidRPr="002E24C8">
        <w:rPr>
          <w:bCs/>
        </w:rPr>
        <w:t xml:space="preserve"> </w:t>
      </w:r>
      <w:r w:rsidR="003A0F03" w:rsidRPr="002E24C8">
        <w:rPr>
          <w:bCs/>
        </w:rPr>
        <w:t xml:space="preserve">We are concerned </w:t>
      </w:r>
      <w:r w:rsidR="006828E8" w:rsidRPr="002E24C8">
        <w:rPr>
          <w:bCs/>
        </w:rPr>
        <w:t xml:space="preserve">here </w:t>
      </w:r>
      <w:r w:rsidR="003A0F03" w:rsidRPr="002E24C8">
        <w:rPr>
          <w:bCs/>
        </w:rPr>
        <w:t xml:space="preserve">rather with a </w:t>
      </w:r>
      <w:r w:rsidR="005E2374" w:rsidRPr="002E24C8">
        <w:rPr>
          <w:bCs/>
        </w:rPr>
        <w:t xml:space="preserve">general </w:t>
      </w:r>
      <w:r w:rsidR="003A0F03" w:rsidRPr="002E24C8">
        <w:rPr>
          <w:bCs/>
        </w:rPr>
        <w:t xml:space="preserve">strategy of response </w:t>
      </w:r>
      <w:r w:rsidR="0096042C" w:rsidRPr="002E24C8">
        <w:rPr>
          <w:bCs/>
        </w:rPr>
        <w:t xml:space="preserve">to them </w:t>
      </w:r>
      <w:r w:rsidR="003A0F03" w:rsidRPr="002E24C8">
        <w:rPr>
          <w:bCs/>
        </w:rPr>
        <w:t xml:space="preserve">which argues that, even were the point admitted that the heavyweights and cornerstones are indeed beyond all evidence and knowledge, </w:t>
      </w:r>
      <w:r w:rsidR="006A2532" w:rsidRPr="002E24C8">
        <w:rPr>
          <w:bCs/>
        </w:rPr>
        <w:t>it would not follow that we thereby forfeit</w:t>
      </w:r>
      <w:r w:rsidR="003A0F03" w:rsidRPr="002E24C8">
        <w:rPr>
          <w:bCs/>
        </w:rPr>
        <w:t xml:space="preserve"> all claim to know, or at least justifiably </w:t>
      </w:r>
      <w:r w:rsidR="00280832" w:rsidRPr="002E24C8">
        <w:rPr>
          <w:bCs/>
        </w:rPr>
        <w:t xml:space="preserve">to </w:t>
      </w:r>
      <w:r w:rsidR="003A0F03" w:rsidRPr="002E24C8">
        <w:rPr>
          <w:bCs/>
        </w:rPr>
        <w:t xml:space="preserve">believe, the vast legion of specific propositions about the material world, others’ minds, scientific law and the past, that we </w:t>
      </w:r>
      <w:r w:rsidR="006A2532" w:rsidRPr="002E24C8">
        <w:rPr>
          <w:bCs/>
        </w:rPr>
        <w:t>are accustomed to think that we can and do know</w:t>
      </w:r>
      <w:r w:rsidR="00C6796D" w:rsidRPr="002E24C8">
        <w:rPr>
          <w:bCs/>
        </w:rPr>
        <w:t>,</w:t>
      </w:r>
      <w:r w:rsidR="0072719C" w:rsidRPr="002E24C8">
        <w:rPr>
          <w:bCs/>
        </w:rPr>
        <w:t xml:space="preserve"> or </w:t>
      </w:r>
      <w:r w:rsidR="00C6796D" w:rsidRPr="002E24C8">
        <w:rPr>
          <w:bCs/>
        </w:rPr>
        <w:t xml:space="preserve">at least </w:t>
      </w:r>
      <w:r w:rsidR="0072719C" w:rsidRPr="002E24C8">
        <w:rPr>
          <w:bCs/>
        </w:rPr>
        <w:t>justifiably believe</w:t>
      </w:r>
      <w:r w:rsidR="003A0F03" w:rsidRPr="002E24C8">
        <w:rPr>
          <w:bCs/>
        </w:rPr>
        <w:t xml:space="preserve">. </w:t>
      </w:r>
      <w:r w:rsidR="0072719C" w:rsidRPr="002E24C8">
        <w:rPr>
          <w:bCs/>
        </w:rPr>
        <w:t>Thi</w:t>
      </w:r>
      <w:r w:rsidR="006828E8" w:rsidRPr="002E24C8">
        <w:rPr>
          <w:bCs/>
        </w:rPr>
        <w:t>s strategy, defended by Wright,</w:t>
      </w:r>
      <w:r w:rsidR="006828E8" w:rsidRPr="002E24C8">
        <w:rPr>
          <w:rStyle w:val="FootnoteReference"/>
          <w:bCs/>
        </w:rPr>
        <w:footnoteReference w:id="2"/>
      </w:r>
      <w:r w:rsidR="00C6796D" w:rsidRPr="002E24C8">
        <w:rPr>
          <w:bCs/>
        </w:rPr>
        <w:t xml:space="preserve"> </w:t>
      </w:r>
      <w:r w:rsidR="0072719C" w:rsidRPr="002E24C8">
        <w:rPr>
          <w:bCs/>
        </w:rPr>
        <w:t>pivots on</w:t>
      </w:r>
      <w:r w:rsidR="003A0F03" w:rsidRPr="002E24C8">
        <w:rPr>
          <w:bCs/>
        </w:rPr>
        <w:t xml:space="preserve"> a notion of </w:t>
      </w:r>
      <w:r w:rsidR="003A0F03" w:rsidRPr="002E24C8">
        <w:rPr>
          <w:bCs/>
          <w:i/>
        </w:rPr>
        <w:t>epistemic entitlement</w:t>
      </w:r>
      <w:r w:rsidR="003A0F03" w:rsidRPr="002E24C8">
        <w:rPr>
          <w:bCs/>
        </w:rPr>
        <w:t>, in accordance with which one may be rationally fully warrant</w:t>
      </w:r>
      <w:r w:rsidR="005828D5" w:rsidRPr="002E24C8">
        <w:rPr>
          <w:bCs/>
        </w:rPr>
        <w:t>ed in trusting in the truth of certain</w:t>
      </w:r>
      <w:r w:rsidR="003A0F03" w:rsidRPr="002E24C8">
        <w:rPr>
          <w:bCs/>
        </w:rPr>
        <w:t xml:space="preserve"> proposition</w:t>
      </w:r>
      <w:r w:rsidR="005828D5" w:rsidRPr="002E24C8">
        <w:rPr>
          <w:bCs/>
        </w:rPr>
        <w:t>s even though they lie</w:t>
      </w:r>
      <w:r w:rsidR="003A0F03" w:rsidRPr="002E24C8">
        <w:rPr>
          <w:bCs/>
        </w:rPr>
        <w:t xml:space="preserve"> beyond </w:t>
      </w:r>
      <w:r w:rsidR="0072719C" w:rsidRPr="002E24C8">
        <w:rPr>
          <w:bCs/>
        </w:rPr>
        <w:t>the range of possible knowledge or evidence</w:t>
      </w:r>
      <w:r w:rsidR="003A0F03" w:rsidRPr="002E24C8">
        <w:rPr>
          <w:bCs/>
        </w:rPr>
        <w:t xml:space="preserve">. The basic idea is then that, with </w:t>
      </w:r>
      <w:r w:rsidR="005828D5" w:rsidRPr="002E24C8">
        <w:rPr>
          <w:bCs/>
        </w:rPr>
        <w:t xml:space="preserve">rational </w:t>
      </w:r>
      <w:r w:rsidR="003A0F03" w:rsidRPr="002E24C8">
        <w:rPr>
          <w:bCs/>
        </w:rPr>
        <w:t xml:space="preserve">trust in such entitlements in place, a subject can justifiably proceed to attach the evidential </w:t>
      </w:r>
      <w:r w:rsidR="003A0F03" w:rsidRPr="002E24C8">
        <w:rPr>
          <w:bCs/>
        </w:rPr>
        <w:lastRenderedPageBreak/>
        <w:t>significance to the deliverances of their senses, other’s behaviour and physical condition, local patter</w:t>
      </w:r>
      <w:r w:rsidR="0072719C" w:rsidRPr="002E24C8">
        <w:rPr>
          <w:bCs/>
        </w:rPr>
        <w:t>n</w:t>
      </w:r>
      <w:r w:rsidR="003A0F03" w:rsidRPr="002E24C8">
        <w:rPr>
          <w:bCs/>
        </w:rPr>
        <w:t xml:space="preserve">s in samples, and their apparent memories and other </w:t>
      </w:r>
      <w:r w:rsidR="0072719C" w:rsidRPr="002E24C8">
        <w:rPr>
          <w:bCs/>
        </w:rPr>
        <w:t xml:space="preserve">presumed evidential </w:t>
      </w:r>
      <w:r w:rsidR="003A0F03" w:rsidRPr="002E24C8">
        <w:rPr>
          <w:bCs/>
        </w:rPr>
        <w:t xml:space="preserve">traces </w:t>
      </w:r>
      <w:r w:rsidR="0072719C" w:rsidRPr="002E24C8">
        <w:rPr>
          <w:bCs/>
        </w:rPr>
        <w:t xml:space="preserve">of </w:t>
      </w:r>
      <w:r w:rsidR="002D36EE" w:rsidRPr="002E24C8">
        <w:rPr>
          <w:bCs/>
        </w:rPr>
        <w:t xml:space="preserve">the past, </w:t>
      </w:r>
      <w:r w:rsidR="0072719C" w:rsidRPr="002E24C8">
        <w:rPr>
          <w:bCs/>
        </w:rPr>
        <w:t>that they customarily do. So if the sceptical challenge is to</w:t>
      </w:r>
      <w:r w:rsidR="003A0F03" w:rsidRPr="002E24C8">
        <w:rPr>
          <w:bCs/>
        </w:rPr>
        <w:t xml:space="preserve"> demonstrate </w:t>
      </w:r>
      <w:r w:rsidR="005828D5" w:rsidRPr="002E24C8">
        <w:rPr>
          <w:bCs/>
        </w:rPr>
        <w:t>how</w:t>
      </w:r>
      <w:r w:rsidR="0072719C" w:rsidRPr="002E24C8">
        <w:rPr>
          <w:bCs/>
        </w:rPr>
        <w:t xml:space="preserve"> </w:t>
      </w:r>
      <w:r w:rsidR="003A0F03" w:rsidRPr="002E24C8">
        <w:rPr>
          <w:bCs/>
        </w:rPr>
        <w:t xml:space="preserve">it can be rational to </w:t>
      </w:r>
      <w:r w:rsidR="0072719C" w:rsidRPr="002E24C8">
        <w:rPr>
          <w:bCs/>
        </w:rPr>
        <w:t xml:space="preserve">take ourselves to know or anyway to have ample evidential </w:t>
      </w:r>
      <w:r w:rsidR="008E795B" w:rsidRPr="002E24C8">
        <w:rPr>
          <w:bCs/>
        </w:rPr>
        <w:t>justification</w:t>
      </w:r>
      <w:r w:rsidR="0072719C" w:rsidRPr="002E24C8">
        <w:rPr>
          <w:bCs/>
        </w:rPr>
        <w:t xml:space="preserve"> for</w:t>
      </w:r>
      <w:r w:rsidR="003A0F03" w:rsidRPr="002E24C8">
        <w:rPr>
          <w:bCs/>
        </w:rPr>
        <w:t xml:space="preserve"> the ordinary quotidian empirical beliefs that we </w:t>
      </w:r>
      <w:r w:rsidR="0072719C" w:rsidRPr="002E24C8">
        <w:rPr>
          <w:bCs/>
        </w:rPr>
        <w:t>routinely incessantly form</w:t>
      </w:r>
      <w:r w:rsidR="003A0F03" w:rsidRPr="002E24C8">
        <w:rPr>
          <w:bCs/>
        </w:rPr>
        <w:t>, the answer is that</w:t>
      </w:r>
      <w:r w:rsidR="005E2374" w:rsidRPr="002E24C8">
        <w:rPr>
          <w:bCs/>
        </w:rPr>
        <w:t>,</w:t>
      </w:r>
      <w:r w:rsidR="003A0F03" w:rsidRPr="002E24C8">
        <w:rPr>
          <w:bCs/>
        </w:rPr>
        <w:t xml:space="preserve"> </w:t>
      </w:r>
      <w:r w:rsidR="0072719C" w:rsidRPr="002E24C8">
        <w:rPr>
          <w:bCs/>
        </w:rPr>
        <w:t>once it is acknowledged that</w:t>
      </w:r>
      <w:r w:rsidR="003A0F03" w:rsidRPr="002E24C8">
        <w:rPr>
          <w:bCs/>
        </w:rPr>
        <w:t xml:space="preserve"> it is fully rational </w:t>
      </w:r>
      <w:r w:rsidR="0072719C" w:rsidRPr="002E24C8">
        <w:rPr>
          <w:bCs/>
        </w:rPr>
        <w:t xml:space="preserve">trustingly </w:t>
      </w:r>
      <w:r w:rsidR="003A0F03" w:rsidRPr="002E24C8">
        <w:rPr>
          <w:bCs/>
        </w:rPr>
        <w:t xml:space="preserve">to accept the cornerstones for a domain of enquiry, there is no straightforward passage from the thesis that we have no evidence for them to the conclusion that we thereby forfeit any positive epistemic standing for our beliefs throughout the domain in question. Rather, if we are rationally entitled to trust that there is an external material world, e.g, then </w:t>
      </w:r>
      <w:r w:rsidR="0072719C" w:rsidRPr="002E24C8">
        <w:rPr>
          <w:bCs/>
        </w:rPr>
        <w:t>there is no obstacle to the thought</w:t>
      </w:r>
      <w:r w:rsidR="003A0F03" w:rsidRPr="002E24C8">
        <w:rPr>
          <w:bCs/>
        </w:rPr>
        <w:t xml:space="preserve"> that, at least as far as that particular question is concerned, our ordinary perceptual faculties are reliably delivering </w:t>
      </w:r>
      <w:r w:rsidR="005E2374" w:rsidRPr="002E24C8">
        <w:rPr>
          <w:bCs/>
        </w:rPr>
        <w:t>veridical information</w:t>
      </w:r>
      <w:r w:rsidR="003A0F03" w:rsidRPr="002E24C8">
        <w:rPr>
          <w:bCs/>
        </w:rPr>
        <w:t xml:space="preserve"> about it. </w:t>
      </w:r>
    </w:p>
    <w:p w14:paraId="6FB84829" w14:textId="11D46284" w:rsidR="004F33A1" w:rsidRPr="002E24C8" w:rsidRDefault="001728A6" w:rsidP="001728A6">
      <w:pPr>
        <w:spacing w:after="120"/>
        <w:rPr>
          <w:bCs/>
        </w:rPr>
      </w:pPr>
      <w:r w:rsidRPr="002E24C8">
        <w:rPr>
          <w:bCs/>
        </w:rPr>
        <w:tab/>
      </w:r>
      <w:r w:rsidR="0018344C" w:rsidRPr="002E24C8">
        <w:rPr>
          <w:bCs/>
        </w:rPr>
        <w:t xml:space="preserve">Again, our </w:t>
      </w:r>
      <w:r w:rsidRPr="002E24C8">
        <w:rPr>
          <w:bCs/>
        </w:rPr>
        <w:t>present concern</w:t>
      </w:r>
      <w:r w:rsidR="0018344C" w:rsidRPr="002E24C8">
        <w:rPr>
          <w:bCs/>
        </w:rPr>
        <w:t xml:space="preserve"> is not wit</w:t>
      </w:r>
      <w:r w:rsidRPr="002E24C8">
        <w:rPr>
          <w:bCs/>
        </w:rPr>
        <w:t>h</w:t>
      </w:r>
      <w:r w:rsidR="0018344C" w:rsidRPr="002E24C8">
        <w:rPr>
          <w:bCs/>
        </w:rPr>
        <w:t xml:space="preserve"> the case for thinking that we do indeed possess such </w:t>
      </w:r>
      <w:r w:rsidR="003A0F03" w:rsidRPr="002E24C8">
        <w:rPr>
          <w:bCs/>
        </w:rPr>
        <w:t>epistemic</w:t>
      </w:r>
      <w:r w:rsidR="0018344C" w:rsidRPr="002E24C8">
        <w:rPr>
          <w:bCs/>
        </w:rPr>
        <w:t xml:space="preserve"> entitlements</w:t>
      </w:r>
      <w:r w:rsidRPr="002E24C8">
        <w:rPr>
          <w:bCs/>
        </w:rPr>
        <w:t xml:space="preserve">, but with a train of thought that </w:t>
      </w:r>
      <w:r w:rsidR="003A0F03" w:rsidRPr="002E24C8">
        <w:rPr>
          <w:bCs/>
        </w:rPr>
        <w:t>argues</w:t>
      </w:r>
      <w:r w:rsidRPr="002E24C8">
        <w:rPr>
          <w:bCs/>
        </w:rPr>
        <w:t xml:space="preserve"> that they cannot </w:t>
      </w:r>
      <w:r w:rsidR="005828D5" w:rsidRPr="002E24C8">
        <w:rPr>
          <w:bCs/>
        </w:rPr>
        <w:t xml:space="preserve">actually </w:t>
      </w:r>
      <w:r w:rsidRPr="002E24C8">
        <w:rPr>
          <w:bCs/>
        </w:rPr>
        <w:t>do the counter-</w:t>
      </w:r>
      <w:r w:rsidR="003A0F03" w:rsidRPr="002E24C8">
        <w:rPr>
          <w:bCs/>
        </w:rPr>
        <w:t>sceptical</w:t>
      </w:r>
      <w:r w:rsidRPr="002E24C8">
        <w:rPr>
          <w:bCs/>
        </w:rPr>
        <w:t xml:space="preserve"> epistemic</w:t>
      </w:r>
      <w:r w:rsidR="003A0F03" w:rsidRPr="002E24C8">
        <w:rPr>
          <w:bCs/>
        </w:rPr>
        <w:t xml:space="preserve"> </w:t>
      </w:r>
      <w:r w:rsidR="00D07DBF" w:rsidRPr="002E24C8">
        <w:rPr>
          <w:bCs/>
        </w:rPr>
        <w:t>work</w:t>
      </w:r>
      <w:r w:rsidR="005D40DB" w:rsidRPr="002E24C8">
        <w:rPr>
          <w:bCs/>
        </w:rPr>
        <w:t xml:space="preserve"> just </w:t>
      </w:r>
      <w:r w:rsidR="005828D5" w:rsidRPr="002E24C8">
        <w:rPr>
          <w:bCs/>
        </w:rPr>
        <w:t>adumbrated</w:t>
      </w:r>
      <w:r w:rsidR="005D40DB" w:rsidRPr="002E24C8">
        <w:rPr>
          <w:bCs/>
        </w:rPr>
        <w:t>. That</w:t>
      </w:r>
      <w:r w:rsidRPr="002E24C8">
        <w:rPr>
          <w:bCs/>
        </w:rPr>
        <w:t xml:space="preserve"> is</w:t>
      </w:r>
      <w:r w:rsidR="005D40DB" w:rsidRPr="002E24C8">
        <w:rPr>
          <w:bCs/>
        </w:rPr>
        <w:t xml:space="preserve"> the gist of </w:t>
      </w:r>
      <w:r w:rsidR="0026236B" w:rsidRPr="002E24C8">
        <w:rPr>
          <w:bCs/>
        </w:rPr>
        <w:t xml:space="preserve">the Leaching </w:t>
      </w:r>
      <w:r w:rsidR="00AE2F41">
        <w:rPr>
          <w:bCs/>
        </w:rPr>
        <w:t>w</w:t>
      </w:r>
      <w:r w:rsidR="0026236B" w:rsidRPr="002E24C8">
        <w:rPr>
          <w:bCs/>
        </w:rPr>
        <w:t>orry</w:t>
      </w:r>
      <w:r w:rsidR="00770871" w:rsidRPr="002E24C8">
        <w:rPr>
          <w:bCs/>
        </w:rPr>
        <w:t>.</w:t>
      </w:r>
    </w:p>
    <w:p w14:paraId="762BA030" w14:textId="3155797F" w:rsidR="00DE0652" w:rsidRPr="002E24C8" w:rsidRDefault="00090E90" w:rsidP="001728A6">
      <w:pPr>
        <w:spacing w:after="120"/>
        <w:contextualSpacing/>
        <w:rPr>
          <w:b/>
          <w:bCs/>
        </w:rPr>
      </w:pPr>
      <w:r w:rsidRPr="002E24C8">
        <w:rPr>
          <w:b/>
          <w:bCs/>
        </w:rPr>
        <w:t>2</w:t>
      </w:r>
      <w:r w:rsidR="001B75F3" w:rsidRPr="002E24C8">
        <w:rPr>
          <w:b/>
          <w:bCs/>
        </w:rPr>
        <w:t xml:space="preserve">. </w:t>
      </w:r>
      <w:r w:rsidR="001728A6" w:rsidRPr="002E24C8">
        <w:rPr>
          <w:b/>
          <w:bCs/>
        </w:rPr>
        <w:t xml:space="preserve">The Leaching </w:t>
      </w:r>
      <w:r w:rsidR="00AE2F41">
        <w:rPr>
          <w:b/>
          <w:bCs/>
        </w:rPr>
        <w:t>w</w:t>
      </w:r>
      <w:r w:rsidR="006D4CFA" w:rsidRPr="002E24C8">
        <w:rPr>
          <w:b/>
          <w:bCs/>
        </w:rPr>
        <w:t>orry</w:t>
      </w:r>
      <w:r w:rsidR="00631DC9" w:rsidRPr="002E24C8">
        <w:rPr>
          <w:b/>
          <w:bCs/>
        </w:rPr>
        <w:t xml:space="preserve"> </w:t>
      </w:r>
    </w:p>
    <w:p w14:paraId="4C5FCF0C" w14:textId="1AC697CC" w:rsidR="001728A6" w:rsidRPr="002E24C8" w:rsidRDefault="003A0F03" w:rsidP="001A3B91">
      <w:pPr>
        <w:spacing w:after="240"/>
        <w:contextualSpacing/>
      </w:pPr>
      <w:r w:rsidRPr="002E24C8">
        <w:t>Wright</w:t>
      </w:r>
      <w:r w:rsidR="001728A6" w:rsidRPr="002E24C8">
        <w:t xml:space="preserve"> </w:t>
      </w:r>
      <w:r w:rsidR="00C60FFA" w:rsidRPr="002E24C8">
        <w:t>characterised</w:t>
      </w:r>
      <w:r w:rsidR="001728A6" w:rsidRPr="002E24C8">
        <w:t xml:space="preserve"> the </w:t>
      </w:r>
      <w:r w:rsidR="00214A22" w:rsidRPr="002E24C8">
        <w:t>worry</w:t>
      </w:r>
      <w:r w:rsidR="001728A6" w:rsidRPr="002E24C8">
        <w:t xml:space="preserve"> thus:</w:t>
      </w:r>
    </w:p>
    <w:p w14:paraId="37585EC7" w14:textId="77777777" w:rsidR="001A3B91" w:rsidRPr="002E24C8" w:rsidRDefault="001A3B91" w:rsidP="001A3B91">
      <w:pPr>
        <w:spacing w:after="240"/>
        <w:contextualSpacing/>
      </w:pPr>
    </w:p>
    <w:p w14:paraId="7CBE566F" w14:textId="305B2858" w:rsidR="00DB757E" w:rsidRPr="002E24C8" w:rsidRDefault="001728A6" w:rsidP="00DB757E">
      <w:pPr>
        <w:widowControl w:val="0"/>
        <w:autoSpaceDE w:val="0"/>
        <w:autoSpaceDN w:val="0"/>
        <w:adjustRightInd w:val="0"/>
        <w:ind w:left="425"/>
        <w:contextualSpacing/>
        <w:rPr>
          <w:sz w:val="22"/>
          <w:szCs w:val="22"/>
        </w:rPr>
      </w:pPr>
      <w:r w:rsidRPr="002E24C8">
        <w:rPr>
          <w:sz w:val="22"/>
          <w:szCs w:val="22"/>
        </w:rPr>
        <w:t>The general picture is that the cornerstones which sceptical doubt assails are to be held in place as things one may warrantedly trust without evidence. Thus at the foundation of all our cognitive procedures lie things we merely implicitly trust and take for granted, even though their being entitlements ensures that it is not irrational to do so. But in that case, what prevents this ‘merely taken for granted’ character from leaching upwards from the foundations, as it were like rising damp, to contaminate the products of genuine cognitive investigation? If a cognitively earned warrant—say my visual warrant for thinking that there is a human hand in front of my face right</w:t>
      </w:r>
      <w:r w:rsidRPr="002E24C8">
        <w:rPr>
          <w:b/>
          <w:bCs/>
          <w:sz w:val="22"/>
          <w:szCs w:val="22"/>
        </w:rPr>
        <w:t xml:space="preserve"> </w:t>
      </w:r>
      <w:r w:rsidR="006B6E11" w:rsidRPr="002E24C8">
        <w:rPr>
          <w:sz w:val="22"/>
          <w:szCs w:val="22"/>
        </w:rPr>
        <w:t>now—is achieved subject to a mere entitled acceptance that there is a material world at all, then why am I not likewise merely entitled to accept that there is a hand in front of my face, rather than knowing or fully justifiably believing that there is?</w:t>
      </w:r>
      <w:r w:rsidR="00E70A79">
        <w:rPr>
          <w:sz w:val="22"/>
          <w:szCs w:val="22"/>
        </w:rPr>
        <w:t xml:space="preserve"> (</w:t>
      </w:r>
      <w:r w:rsidR="00E70A79" w:rsidRPr="00E70A79">
        <w:rPr>
          <w:sz w:val="22"/>
          <w:szCs w:val="22"/>
        </w:rPr>
        <w:t>2004</w:t>
      </w:r>
      <w:r w:rsidR="003753C6">
        <w:rPr>
          <w:sz w:val="22"/>
          <w:szCs w:val="22"/>
        </w:rPr>
        <w:t>, p.</w:t>
      </w:r>
      <w:r w:rsidR="00BB441F">
        <w:rPr>
          <w:sz w:val="22"/>
          <w:szCs w:val="22"/>
        </w:rPr>
        <w:t xml:space="preserve"> </w:t>
      </w:r>
      <w:r w:rsidR="00E70A79" w:rsidRPr="00E70A79">
        <w:rPr>
          <w:sz w:val="22"/>
          <w:szCs w:val="22"/>
        </w:rPr>
        <w:t>207</w:t>
      </w:r>
      <w:r w:rsidR="00E70A79">
        <w:rPr>
          <w:sz w:val="22"/>
          <w:szCs w:val="22"/>
        </w:rPr>
        <w:t>)</w:t>
      </w:r>
    </w:p>
    <w:p w14:paraId="5A1E1C18" w14:textId="77777777" w:rsidR="00DB757E" w:rsidRPr="002E24C8" w:rsidRDefault="00DB757E" w:rsidP="00DB757E">
      <w:pPr>
        <w:widowControl w:val="0"/>
        <w:autoSpaceDE w:val="0"/>
        <w:autoSpaceDN w:val="0"/>
        <w:adjustRightInd w:val="0"/>
        <w:ind w:left="425"/>
        <w:contextualSpacing/>
        <w:rPr>
          <w:sz w:val="22"/>
          <w:szCs w:val="22"/>
        </w:rPr>
      </w:pPr>
    </w:p>
    <w:p w14:paraId="5438CB50" w14:textId="67B1CD1D" w:rsidR="001A3B91" w:rsidRPr="002E24C8" w:rsidRDefault="00586956" w:rsidP="001A3B91">
      <w:pPr>
        <w:widowControl w:val="0"/>
        <w:autoSpaceDE w:val="0"/>
        <w:autoSpaceDN w:val="0"/>
        <w:adjustRightInd w:val="0"/>
      </w:pPr>
      <w:r w:rsidRPr="002E24C8">
        <w:t xml:space="preserve">One </w:t>
      </w:r>
      <w:r w:rsidR="00A567F8" w:rsidRPr="002E24C8">
        <w:t xml:space="preserve">natural </w:t>
      </w:r>
      <w:r w:rsidR="00BE22FB" w:rsidRPr="002E24C8">
        <w:t>way</w:t>
      </w:r>
      <w:r w:rsidRPr="002E24C8">
        <w:t xml:space="preserve"> to elabora</w:t>
      </w:r>
      <w:r w:rsidR="002174B4" w:rsidRPr="002E24C8">
        <w:t>te this doubt is in terms of a</w:t>
      </w:r>
      <w:r w:rsidRPr="002E24C8">
        <w:t xml:space="preserve"> notion of </w:t>
      </w:r>
      <w:r w:rsidR="002174B4" w:rsidRPr="002E24C8">
        <w:rPr>
          <w:i/>
        </w:rPr>
        <w:t xml:space="preserve">significant </w:t>
      </w:r>
      <w:r w:rsidR="00BE22FB" w:rsidRPr="002E24C8">
        <w:rPr>
          <w:i/>
        </w:rPr>
        <w:t>epistemic</w:t>
      </w:r>
      <w:r w:rsidRPr="002E24C8">
        <w:rPr>
          <w:i/>
        </w:rPr>
        <w:t xml:space="preserve"> risk,</w:t>
      </w:r>
      <w:r w:rsidRPr="002E24C8">
        <w:t xml:space="preserve"> where</w:t>
      </w:r>
      <w:r w:rsidR="002174B4" w:rsidRPr="002E24C8">
        <w:t>by</w:t>
      </w:r>
      <w:r w:rsidRPr="002E24C8">
        <w:t xml:space="preserve"> one is at </w:t>
      </w:r>
      <w:r w:rsidR="002174B4" w:rsidRPr="002E24C8">
        <w:t xml:space="preserve">significant </w:t>
      </w:r>
      <w:r w:rsidR="00BE22FB" w:rsidRPr="002E24C8">
        <w:t>epistemic</w:t>
      </w:r>
      <w:r w:rsidRPr="002E24C8">
        <w:t xml:space="preserve"> </w:t>
      </w:r>
      <w:r w:rsidR="00BE22FB" w:rsidRPr="002E24C8">
        <w:t>risk</w:t>
      </w:r>
      <w:r w:rsidRPr="002E24C8">
        <w:t xml:space="preserve"> in accepting </w:t>
      </w:r>
      <w:r w:rsidR="00A95142" w:rsidRPr="002E24C8">
        <w:rPr>
          <w:i/>
        </w:rPr>
        <w:t>P</w:t>
      </w:r>
      <w:r w:rsidRPr="002E24C8">
        <w:t xml:space="preserve"> </w:t>
      </w:r>
      <w:r w:rsidR="00072553" w:rsidRPr="002E24C8">
        <w:t xml:space="preserve">just if </w:t>
      </w:r>
      <w:r w:rsidR="002174B4" w:rsidRPr="002E24C8">
        <w:t xml:space="preserve">one lacks </w:t>
      </w:r>
      <w:r w:rsidR="00F113D9" w:rsidRPr="002E24C8">
        <w:t xml:space="preserve">both </w:t>
      </w:r>
      <w:r w:rsidR="00BE22FB" w:rsidRPr="002E24C8">
        <w:t>knowledge</w:t>
      </w:r>
      <w:r w:rsidR="00F113D9" w:rsidRPr="002E24C8">
        <w:t xml:space="preserve"> of </w:t>
      </w:r>
      <w:r w:rsidR="00A95142" w:rsidRPr="002E24C8">
        <w:rPr>
          <w:i/>
        </w:rPr>
        <w:t>P</w:t>
      </w:r>
      <w:r w:rsidR="00F113D9" w:rsidRPr="002E24C8">
        <w:t xml:space="preserve"> and</w:t>
      </w:r>
      <w:r w:rsidR="002174B4" w:rsidRPr="002E24C8">
        <w:t xml:space="preserve"> a balance </w:t>
      </w:r>
      <w:r w:rsidR="00BE22FB" w:rsidRPr="002E24C8">
        <w:t>of</w:t>
      </w:r>
      <w:r w:rsidR="002174B4" w:rsidRPr="002E24C8">
        <w:t xml:space="preserve"> evidence in favour of </w:t>
      </w:r>
      <w:r w:rsidR="00732002" w:rsidRPr="002E24C8">
        <w:t xml:space="preserve">believing </w:t>
      </w:r>
      <w:r w:rsidR="000607CF" w:rsidRPr="002E24C8">
        <w:rPr>
          <w:i/>
        </w:rPr>
        <w:t>P</w:t>
      </w:r>
      <w:r w:rsidR="002174B4" w:rsidRPr="002E24C8">
        <w:t xml:space="preserve">. </w:t>
      </w:r>
      <w:r w:rsidR="00064BC6" w:rsidRPr="002E24C8">
        <w:t xml:space="preserve">Conversely if one </w:t>
      </w:r>
      <w:r w:rsidR="00BE22FB" w:rsidRPr="002E24C8">
        <w:t>knows</w:t>
      </w:r>
      <w:r w:rsidR="00064BC6" w:rsidRPr="002E24C8">
        <w:t xml:space="preserve"> </w:t>
      </w:r>
      <w:r w:rsidR="00A95142" w:rsidRPr="002E24C8">
        <w:rPr>
          <w:i/>
        </w:rPr>
        <w:t>P</w:t>
      </w:r>
      <w:r w:rsidR="002174B4" w:rsidRPr="002E24C8">
        <w:t xml:space="preserve"> or one’s evidence </w:t>
      </w:r>
      <w:r w:rsidR="00732002" w:rsidRPr="002E24C8">
        <w:t xml:space="preserve">on balance </w:t>
      </w:r>
      <w:r w:rsidR="002174B4" w:rsidRPr="002E24C8">
        <w:t xml:space="preserve">favours </w:t>
      </w:r>
      <w:r w:rsidR="00732002" w:rsidRPr="002E24C8">
        <w:t>believing</w:t>
      </w:r>
      <w:r w:rsidR="002174B4" w:rsidRPr="002E24C8">
        <w:t xml:space="preserve"> </w:t>
      </w:r>
      <w:r w:rsidR="00A95142" w:rsidRPr="002E24C8">
        <w:rPr>
          <w:i/>
        </w:rPr>
        <w:t>P</w:t>
      </w:r>
      <w:r w:rsidR="002174B4" w:rsidRPr="002E24C8">
        <w:t xml:space="preserve">, then doing so involves, in this </w:t>
      </w:r>
      <w:r w:rsidR="002D36EE" w:rsidRPr="002E24C8">
        <w:t xml:space="preserve">specific </w:t>
      </w:r>
      <w:r w:rsidR="002174B4" w:rsidRPr="002E24C8">
        <w:t xml:space="preserve">sense, no </w:t>
      </w:r>
      <w:r w:rsidR="00BE22FB" w:rsidRPr="002E24C8">
        <w:t>sign</w:t>
      </w:r>
      <w:r w:rsidR="00072553" w:rsidRPr="002E24C8">
        <w:t>ifi</w:t>
      </w:r>
      <w:r w:rsidR="00BE22FB" w:rsidRPr="002E24C8">
        <w:t>cant</w:t>
      </w:r>
      <w:r w:rsidR="002174B4" w:rsidRPr="002E24C8">
        <w:t xml:space="preserve"> epistemic risk. </w:t>
      </w:r>
      <w:r w:rsidR="00661449" w:rsidRPr="002E24C8">
        <w:t xml:space="preserve">Let </w:t>
      </w:r>
      <w:r w:rsidR="00661449" w:rsidRPr="002E24C8">
        <w:rPr>
          <w:i/>
        </w:rPr>
        <w:t xml:space="preserve">C </w:t>
      </w:r>
      <w:r w:rsidR="00661449" w:rsidRPr="002E24C8">
        <w:t>be the</w:t>
      </w:r>
      <w:r w:rsidR="00BE22FB" w:rsidRPr="002E24C8">
        <w:t xml:space="preserve"> cornerstone proposition that there is an external material world and </w:t>
      </w:r>
      <w:r w:rsidR="00A95142" w:rsidRPr="002E24C8">
        <w:rPr>
          <w:i/>
        </w:rPr>
        <w:t>P</w:t>
      </w:r>
      <w:r w:rsidR="00BE22FB" w:rsidRPr="002E24C8">
        <w:t xml:space="preserve"> some </w:t>
      </w:r>
      <w:r w:rsidR="00661449" w:rsidRPr="002E24C8">
        <w:t xml:space="preserve">specific </w:t>
      </w:r>
      <w:r w:rsidR="00FE0471" w:rsidRPr="002E24C8">
        <w:t xml:space="preserve">material world </w:t>
      </w:r>
      <w:r w:rsidR="00BE22FB" w:rsidRPr="002E24C8">
        <w:t xml:space="preserve">proposition which one would normally regard as known or at least as comfortably justified on the basis of one’s current perceptual experience. </w:t>
      </w:r>
      <w:r w:rsidR="00A95142" w:rsidRPr="002E24C8">
        <w:rPr>
          <w:i/>
        </w:rPr>
        <w:t>P</w:t>
      </w:r>
      <w:r w:rsidR="00BE22FB" w:rsidRPr="002E24C8">
        <w:t xml:space="preserve"> will entail </w:t>
      </w:r>
      <w:r w:rsidR="00BE22FB" w:rsidRPr="002E24C8">
        <w:rPr>
          <w:i/>
        </w:rPr>
        <w:t>C</w:t>
      </w:r>
      <w:r w:rsidR="00BE22FB" w:rsidRPr="002E24C8">
        <w:t xml:space="preserve"> and, although rationally entitled to do so, we have, according to the sceptical paradox, absolutely no evidence for </w:t>
      </w:r>
      <w:r w:rsidR="000607CF" w:rsidRPr="002E24C8">
        <w:rPr>
          <w:i/>
        </w:rPr>
        <w:t>C</w:t>
      </w:r>
      <w:r w:rsidR="00BE22FB" w:rsidRPr="002E24C8">
        <w:t xml:space="preserve"> and are therefore at significant epistemic risk</w:t>
      </w:r>
      <w:r w:rsidR="00FE0471" w:rsidRPr="002E24C8">
        <w:t>, as defined above,</w:t>
      </w:r>
      <w:r w:rsidR="00BE22FB" w:rsidRPr="002E24C8">
        <w:t xml:space="preserve"> in trusting in its truth. </w:t>
      </w:r>
      <w:r w:rsidR="00F72833" w:rsidRPr="002E24C8">
        <w:t xml:space="preserve">But were </w:t>
      </w:r>
      <w:r w:rsidR="00F72833" w:rsidRPr="002E24C8">
        <w:rPr>
          <w:i/>
        </w:rPr>
        <w:t>C</w:t>
      </w:r>
      <w:r w:rsidR="00F72833" w:rsidRPr="002E24C8">
        <w:t xml:space="preserve"> not true, neither would </w:t>
      </w:r>
      <w:r w:rsidR="00A95142" w:rsidRPr="002E24C8">
        <w:rPr>
          <w:i/>
        </w:rPr>
        <w:t>P</w:t>
      </w:r>
      <w:r w:rsidR="00F72833" w:rsidRPr="002E24C8">
        <w:t xml:space="preserve"> be. So how can we </w:t>
      </w:r>
      <w:r w:rsidR="00F72833" w:rsidRPr="002E24C8">
        <w:rPr>
          <w:i/>
        </w:rPr>
        <w:t>not</w:t>
      </w:r>
      <w:r w:rsidR="00F72833" w:rsidRPr="002E24C8">
        <w:t xml:space="preserve"> be at </w:t>
      </w:r>
      <w:r w:rsidR="00BE22FB" w:rsidRPr="002E24C8">
        <w:t>significant</w:t>
      </w:r>
      <w:r w:rsidR="00F72833" w:rsidRPr="002E24C8">
        <w:t xml:space="preserve"> </w:t>
      </w:r>
      <w:r w:rsidR="00BE22FB" w:rsidRPr="002E24C8">
        <w:t>epistemic</w:t>
      </w:r>
      <w:r w:rsidR="00F72833" w:rsidRPr="002E24C8">
        <w:t xml:space="preserve"> risk </w:t>
      </w:r>
      <w:r w:rsidR="005D40DB" w:rsidRPr="002E24C8">
        <w:t>in</w:t>
      </w:r>
      <w:r w:rsidR="00F72833" w:rsidRPr="002E24C8">
        <w:t xml:space="preserve"> accepting </w:t>
      </w:r>
      <w:r w:rsidR="00A95142" w:rsidRPr="002E24C8">
        <w:rPr>
          <w:i/>
        </w:rPr>
        <w:t>P</w:t>
      </w:r>
      <w:r w:rsidR="00F72833" w:rsidRPr="002E24C8">
        <w:t>?</w:t>
      </w:r>
      <w:r w:rsidR="003C396A" w:rsidRPr="002E24C8">
        <w:t xml:space="preserve"> And how can that admission be consistent with our having knowledge of</w:t>
      </w:r>
      <w:r w:rsidR="00072553" w:rsidRPr="002E24C8">
        <w:t>,</w:t>
      </w:r>
      <w:r w:rsidR="003C396A" w:rsidRPr="002E24C8">
        <w:t xml:space="preserve"> or a balance of </w:t>
      </w:r>
      <w:r w:rsidR="00BE22FB" w:rsidRPr="002E24C8">
        <w:t>evidence</w:t>
      </w:r>
      <w:r w:rsidR="003C396A" w:rsidRPr="002E24C8">
        <w:t xml:space="preserve"> in favour of </w:t>
      </w:r>
      <w:r w:rsidR="00A95142" w:rsidRPr="002E24C8">
        <w:rPr>
          <w:i/>
        </w:rPr>
        <w:t>P</w:t>
      </w:r>
      <w:r w:rsidR="003C396A" w:rsidRPr="002E24C8">
        <w:t>?</w:t>
      </w:r>
    </w:p>
    <w:p w14:paraId="41986960" w14:textId="62E89387" w:rsidR="003C396A" w:rsidRDefault="003C396A" w:rsidP="004F0C5A">
      <w:pPr>
        <w:widowControl w:val="0"/>
        <w:autoSpaceDE w:val="0"/>
        <w:autoSpaceDN w:val="0"/>
        <w:adjustRightInd w:val="0"/>
        <w:contextualSpacing/>
      </w:pPr>
      <w:r w:rsidRPr="002E24C8">
        <w:tab/>
      </w:r>
      <w:r w:rsidR="00AF5A3E" w:rsidRPr="002E24C8">
        <w:t>As Sebastiano Moruzzi has observed,</w:t>
      </w:r>
      <w:r w:rsidR="00AF5A3E" w:rsidRPr="002E24C8">
        <w:rPr>
          <w:rStyle w:val="FootnoteReference"/>
        </w:rPr>
        <w:footnoteReference w:id="3"/>
      </w:r>
      <w:r w:rsidR="00AF5A3E" w:rsidRPr="002E24C8">
        <w:t xml:space="preserve"> w</w:t>
      </w:r>
      <w:r w:rsidR="00D31F9E" w:rsidRPr="002E24C8">
        <w:t>e can develop</w:t>
      </w:r>
      <w:r w:rsidR="0042575B" w:rsidRPr="002E24C8">
        <w:t xml:space="preserve"> </w:t>
      </w:r>
      <w:r w:rsidR="00280832" w:rsidRPr="002E24C8">
        <w:t>this</w:t>
      </w:r>
      <w:r w:rsidR="0042575B" w:rsidRPr="002E24C8">
        <w:t xml:space="preserve"> </w:t>
      </w:r>
      <w:r w:rsidR="00BE22FB" w:rsidRPr="002E24C8">
        <w:t>Leaching</w:t>
      </w:r>
      <w:r w:rsidR="0042575B" w:rsidRPr="002E24C8">
        <w:t xml:space="preserve"> </w:t>
      </w:r>
      <w:r w:rsidR="006D4CFA" w:rsidRPr="002E24C8">
        <w:t>worry</w:t>
      </w:r>
      <w:r w:rsidR="00280832" w:rsidRPr="002E24C8">
        <w:t xml:space="preserve"> </w:t>
      </w:r>
      <w:r w:rsidR="00D31F9E" w:rsidRPr="002E24C8">
        <w:t>in terms of the putative</w:t>
      </w:r>
      <w:r w:rsidR="00661449" w:rsidRPr="002E24C8">
        <w:t xml:space="preserve"> </w:t>
      </w:r>
      <w:r w:rsidR="00743F5B" w:rsidRPr="002E24C8">
        <w:t>inconsistency</w:t>
      </w:r>
      <w:r w:rsidR="00661449" w:rsidRPr="002E24C8">
        <w:t xml:space="preserve"> of </w:t>
      </w:r>
      <w:r w:rsidR="00743F5B" w:rsidRPr="002E24C8">
        <w:t>the</w:t>
      </w:r>
      <w:r w:rsidR="00661449" w:rsidRPr="002E24C8">
        <w:t xml:space="preserve"> </w:t>
      </w:r>
      <w:r w:rsidR="00F85EEF" w:rsidRPr="002E24C8">
        <w:t xml:space="preserve">three </w:t>
      </w:r>
      <w:r w:rsidR="00743F5B" w:rsidRPr="002E24C8">
        <w:t>propositions</w:t>
      </w:r>
      <w:r w:rsidR="00BF5C72" w:rsidRPr="002E24C8">
        <w:t>, (1),</w:t>
      </w:r>
      <w:r w:rsidR="00661449" w:rsidRPr="002E24C8">
        <w:t xml:space="preserve"> (2) and (4), below</w:t>
      </w:r>
      <w:r w:rsidR="00F85EEF" w:rsidRPr="002E24C8">
        <w:t>:</w:t>
      </w:r>
    </w:p>
    <w:p w14:paraId="0F709C8E" w14:textId="77777777" w:rsidR="004F0C5A" w:rsidRPr="002E24C8" w:rsidRDefault="004F0C5A" w:rsidP="004F0C5A">
      <w:pPr>
        <w:widowControl w:val="0"/>
        <w:autoSpaceDE w:val="0"/>
        <w:autoSpaceDN w:val="0"/>
        <w:adjustRightInd w:val="0"/>
        <w:contextualSpacing/>
      </w:pPr>
    </w:p>
    <w:p w14:paraId="4E32CE59" w14:textId="6E32A663" w:rsidR="00F85EEF" w:rsidRDefault="00BE22FB" w:rsidP="004F0C5A">
      <w:pPr>
        <w:widowControl w:val="0"/>
        <w:autoSpaceDE w:val="0"/>
        <w:autoSpaceDN w:val="0"/>
        <w:adjustRightInd w:val="0"/>
        <w:contextualSpacing/>
        <w:rPr>
          <w:i/>
        </w:rPr>
      </w:pPr>
      <w:r w:rsidRPr="002E24C8">
        <w:t>1</w:t>
      </w:r>
      <w:r w:rsidR="004F0C5A">
        <w:t>.</w:t>
      </w:r>
      <w:r w:rsidR="00F85EEF" w:rsidRPr="002E24C8">
        <w:t xml:space="preserve"> </w:t>
      </w:r>
      <w:r w:rsidRPr="002E24C8">
        <w:t xml:space="preserve"> </w:t>
      </w:r>
      <w:r w:rsidR="00F85EEF" w:rsidRPr="002E24C8">
        <w:rPr>
          <w:i/>
        </w:rPr>
        <w:t xml:space="preserve">If we run a </w:t>
      </w:r>
      <w:r w:rsidR="00743F5B" w:rsidRPr="002E24C8">
        <w:rPr>
          <w:i/>
        </w:rPr>
        <w:t>significant</w:t>
      </w:r>
      <w:r w:rsidR="00F85EEF" w:rsidRPr="002E24C8">
        <w:rPr>
          <w:i/>
        </w:rPr>
        <w:t xml:space="preserve"> risk in accepting C, then we run a </w:t>
      </w:r>
      <w:r w:rsidR="00743F5B" w:rsidRPr="002E24C8">
        <w:rPr>
          <w:i/>
        </w:rPr>
        <w:t>significant</w:t>
      </w:r>
      <w:r w:rsidR="00F85EEF" w:rsidRPr="002E24C8">
        <w:rPr>
          <w:i/>
        </w:rPr>
        <w:t xml:space="preserve"> risk in accepting </w:t>
      </w:r>
      <w:r w:rsidR="00A95142" w:rsidRPr="002E24C8">
        <w:rPr>
          <w:i/>
        </w:rPr>
        <w:t>P</w:t>
      </w:r>
      <w:r w:rsidR="004F0C5A">
        <w:rPr>
          <w:i/>
        </w:rPr>
        <w:t>.</w:t>
      </w:r>
    </w:p>
    <w:p w14:paraId="282603A6" w14:textId="77777777" w:rsidR="004F0C5A" w:rsidRPr="002E24C8" w:rsidRDefault="004F0C5A" w:rsidP="004F0C5A">
      <w:pPr>
        <w:widowControl w:val="0"/>
        <w:autoSpaceDE w:val="0"/>
        <w:autoSpaceDN w:val="0"/>
        <w:adjustRightInd w:val="0"/>
        <w:contextualSpacing/>
      </w:pPr>
    </w:p>
    <w:p w14:paraId="1D3C0177" w14:textId="77777777" w:rsidR="004F0C5A" w:rsidRDefault="002D36EE" w:rsidP="004F0C5A">
      <w:pPr>
        <w:widowControl w:val="0"/>
        <w:autoSpaceDE w:val="0"/>
        <w:autoSpaceDN w:val="0"/>
        <w:adjustRightInd w:val="0"/>
        <w:contextualSpacing/>
      </w:pPr>
      <w:r w:rsidRPr="002E24C8">
        <w:t>(1) may seem</w:t>
      </w:r>
      <w:r w:rsidR="00F85EEF" w:rsidRPr="002E24C8">
        <w:t xml:space="preserve"> merely to articulate an immediate implication of </w:t>
      </w:r>
      <w:r w:rsidR="000607CF" w:rsidRPr="002E24C8">
        <w:rPr>
          <w:i/>
        </w:rPr>
        <w:t>C</w:t>
      </w:r>
      <w:r w:rsidR="00F85EEF" w:rsidRPr="002E24C8">
        <w:t>'s being</w:t>
      </w:r>
      <w:r w:rsidR="004F0C5A">
        <w:t xml:space="preserve"> </w:t>
      </w:r>
      <w:r w:rsidR="00661449" w:rsidRPr="002E24C8">
        <w:t>unevidenced</w:t>
      </w:r>
      <w:r w:rsidR="00F85EEF" w:rsidRPr="002E24C8">
        <w:t xml:space="preserve"> </w:t>
      </w:r>
      <w:r w:rsidR="00142275" w:rsidRPr="002E24C8">
        <w:t xml:space="preserve">and a logical consequence of </w:t>
      </w:r>
      <w:r w:rsidR="00A95142" w:rsidRPr="002E24C8">
        <w:rPr>
          <w:i/>
        </w:rPr>
        <w:t>P</w:t>
      </w:r>
      <w:r w:rsidR="00F85EEF" w:rsidRPr="002E24C8">
        <w:t>.</w:t>
      </w:r>
    </w:p>
    <w:p w14:paraId="7D0CC523" w14:textId="77777777" w:rsidR="004F0C5A" w:rsidRDefault="004F0C5A" w:rsidP="004F0C5A">
      <w:pPr>
        <w:widowControl w:val="0"/>
        <w:autoSpaceDE w:val="0"/>
        <w:autoSpaceDN w:val="0"/>
        <w:adjustRightInd w:val="0"/>
        <w:contextualSpacing/>
      </w:pPr>
    </w:p>
    <w:p w14:paraId="19DA5B8B" w14:textId="6DF3D948" w:rsidR="00F85EEF" w:rsidRDefault="00BE22FB" w:rsidP="004F0C5A">
      <w:pPr>
        <w:widowControl w:val="0"/>
        <w:autoSpaceDE w:val="0"/>
        <w:autoSpaceDN w:val="0"/>
        <w:adjustRightInd w:val="0"/>
        <w:contextualSpacing/>
        <w:rPr>
          <w:i/>
        </w:rPr>
      </w:pPr>
      <w:r w:rsidRPr="002E24C8">
        <w:t>2</w:t>
      </w:r>
      <w:r w:rsidR="004F0C5A">
        <w:t>.</w:t>
      </w:r>
      <w:r w:rsidR="00F85EEF" w:rsidRPr="002E24C8">
        <w:t xml:space="preserve"> </w:t>
      </w:r>
      <w:r w:rsidR="00F85EEF" w:rsidRPr="002E24C8">
        <w:rPr>
          <w:i/>
        </w:rPr>
        <w:t>We do run a significant risk in accepting C</w:t>
      </w:r>
      <w:r w:rsidR="004F0C5A">
        <w:rPr>
          <w:i/>
        </w:rPr>
        <w:t>.</w:t>
      </w:r>
    </w:p>
    <w:p w14:paraId="3EE38BE1" w14:textId="77777777" w:rsidR="004F0C5A" w:rsidRPr="004F0C5A" w:rsidRDefault="004F0C5A" w:rsidP="004F0C5A">
      <w:pPr>
        <w:widowControl w:val="0"/>
        <w:autoSpaceDE w:val="0"/>
        <w:autoSpaceDN w:val="0"/>
        <w:adjustRightInd w:val="0"/>
        <w:contextualSpacing/>
      </w:pPr>
    </w:p>
    <w:p w14:paraId="45C42018" w14:textId="3A79FFCB" w:rsidR="004F0C5A" w:rsidRDefault="00743F5B" w:rsidP="004F0C5A">
      <w:pPr>
        <w:widowControl w:val="0"/>
        <w:autoSpaceDE w:val="0"/>
        <w:autoSpaceDN w:val="0"/>
        <w:adjustRightInd w:val="0"/>
      </w:pPr>
      <w:r w:rsidRPr="002E24C8">
        <w:t>This is entailed b</w:t>
      </w:r>
      <w:r w:rsidR="006C2962" w:rsidRPr="002E24C8">
        <w:t xml:space="preserve">y the </w:t>
      </w:r>
      <w:r w:rsidRPr="002E24C8">
        <w:t>definition</w:t>
      </w:r>
      <w:r w:rsidR="006C2962" w:rsidRPr="002E24C8">
        <w:t xml:space="preserve"> of “</w:t>
      </w:r>
      <w:r w:rsidRPr="002E24C8">
        <w:t>significant</w:t>
      </w:r>
      <w:r w:rsidR="006C2962" w:rsidRPr="002E24C8">
        <w:t xml:space="preserve"> </w:t>
      </w:r>
      <w:r w:rsidRPr="002E24C8">
        <w:t>epistemic r</w:t>
      </w:r>
      <w:r w:rsidR="006C2962" w:rsidRPr="002E24C8">
        <w:t>isk</w:t>
      </w:r>
      <w:r w:rsidRPr="002E24C8">
        <w:t>”</w:t>
      </w:r>
      <w:r w:rsidR="006C2962" w:rsidRPr="002E24C8">
        <w:t>. A</w:t>
      </w:r>
      <w:r w:rsidR="00F85EEF" w:rsidRPr="002E24C8">
        <w:t xml:space="preserve">fter all, entitled </w:t>
      </w:r>
      <w:r w:rsidRPr="002E24C8">
        <w:tab/>
        <w:t>to</w:t>
      </w:r>
      <w:r w:rsidR="004F0C5A">
        <w:t xml:space="preserve"> </w:t>
      </w:r>
      <w:r w:rsidR="00FE0471" w:rsidRPr="002E24C8">
        <w:t xml:space="preserve">accept </w:t>
      </w:r>
      <w:r w:rsidR="000607CF" w:rsidRPr="002E24C8">
        <w:rPr>
          <w:i/>
        </w:rPr>
        <w:t>C</w:t>
      </w:r>
      <w:r w:rsidRPr="002E24C8">
        <w:t xml:space="preserve"> </w:t>
      </w:r>
      <w:r w:rsidR="00F85EEF" w:rsidRPr="002E24C8">
        <w:t xml:space="preserve">though we may be, </w:t>
      </w:r>
      <w:r w:rsidRPr="002E24C8">
        <w:t>the dialectical context is on</w:t>
      </w:r>
      <w:r w:rsidR="00072553" w:rsidRPr="002E24C8">
        <w:t>e</w:t>
      </w:r>
      <w:r w:rsidR="00142275" w:rsidRPr="002E24C8">
        <w:t xml:space="preserve"> where it has been </w:t>
      </w:r>
      <w:r w:rsidRPr="002E24C8">
        <w:t>conceded</w:t>
      </w:r>
      <w:r w:rsidR="00142275" w:rsidRPr="002E24C8">
        <w:t xml:space="preserve"> to the sceptic</w:t>
      </w:r>
      <w:r w:rsidR="00F85EEF" w:rsidRPr="002E24C8">
        <w:t xml:space="preserve"> that we have no evidence for </w:t>
      </w:r>
      <w:r w:rsidR="00F85EEF" w:rsidRPr="002E24C8">
        <w:rPr>
          <w:i/>
        </w:rPr>
        <w:t>C.</w:t>
      </w:r>
      <w:r w:rsidR="004F0C5A">
        <w:t xml:space="preserve"> </w:t>
      </w:r>
      <w:r w:rsidR="00BE22FB" w:rsidRPr="002E24C8">
        <w:t>Hence</w:t>
      </w:r>
      <w:r w:rsidR="004F0C5A">
        <w:t>,</w:t>
      </w:r>
    </w:p>
    <w:p w14:paraId="70C59D8F" w14:textId="77777777" w:rsidR="004F0C5A" w:rsidRPr="002E24C8" w:rsidRDefault="004F0C5A" w:rsidP="004F0C5A">
      <w:pPr>
        <w:widowControl w:val="0"/>
        <w:autoSpaceDE w:val="0"/>
        <w:autoSpaceDN w:val="0"/>
        <w:adjustRightInd w:val="0"/>
      </w:pPr>
    </w:p>
    <w:p w14:paraId="56FE67E3" w14:textId="7556EC67" w:rsidR="004F0C5A" w:rsidRDefault="00BE22FB" w:rsidP="004F0C5A">
      <w:pPr>
        <w:widowControl w:val="0"/>
        <w:autoSpaceDE w:val="0"/>
        <w:autoSpaceDN w:val="0"/>
        <w:adjustRightInd w:val="0"/>
        <w:rPr>
          <w:i/>
        </w:rPr>
      </w:pPr>
      <w:r w:rsidRPr="002E24C8">
        <w:t>3</w:t>
      </w:r>
      <w:r w:rsidR="004F0C5A">
        <w:t>.</w:t>
      </w:r>
      <w:r w:rsidRPr="002E24C8">
        <w:t xml:space="preserve"> </w:t>
      </w:r>
      <w:r w:rsidRPr="002E24C8">
        <w:rPr>
          <w:i/>
        </w:rPr>
        <w:t>We do run a sign</w:t>
      </w:r>
      <w:r w:rsidR="00743F5B" w:rsidRPr="002E24C8">
        <w:rPr>
          <w:i/>
        </w:rPr>
        <w:t>i</w:t>
      </w:r>
      <w:r w:rsidRPr="002E24C8">
        <w:rPr>
          <w:i/>
        </w:rPr>
        <w:t xml:space="preserve">ficant </w:t>
      </w:r>
      <w:r w:rsidR="00743F5B" w:rsidRPr="002E24C8">
        <w:rPr>
          <w:i/>
        </w:rPr>
        <w:t xml:space="preserve">epistemic </w:t>
      </w:r>
      <w:r w:rsidRPr="002E24C8">
        <w:rPr>
          <w:i/>
        </w:rPr>
        <w:t xml:space="preserve">risk in accepting </w:t>
      </w:r>
      <w:r w:rsidR="00A95142" w:rsidRPr="002E24C8">
        <w:rPr>
          <w:i/>
        </w:rPr>
        <w:t>P</w:t>
      </w:r>
      <w:r w:rsidR="004F0C5A">
        <w:rPr>
          <w:i/>
        </w:rPr>
        <w:t>.</w:t>
      </w:r>
    </w:p>
    <w:p w14:paraId="595D41C5" w14:textId="77777777" w:rsidR="004F0C5A" w:rsidRDefault="004F0C5A" w:rsidP="004F0C5A">
      <w:pPr>
        <w:widowControl w:val="0"/>
        <w:autoSpaceDE w:val="0"/>
        <w:autoSpaceDN w:val="0"/>
        <w:adjustRightInd w:val="0"/>
        <w:rPr>
          <w:i/>
        </w:rPr>
      </w:pPr>
    </w:p>
    <w:p w14:paraId="57CA0D9E" w14:textId="27FABE24" w:rsidR="00200D0A" w:rsidRDefault="00200D0A" w:rsidP="004F0C5A">
      <w:pPr>
        <w:widowControl w:val="0"/>
        <w:autoSpaceDE w:val="0"/>
        <w:autoSpaceDN w:val="0"/>
        <w:adjustRightInd w:val="0"/>
      </w:pPr>
      <w:r w:rsidRPr="002E24C8">
        <w:t xml:space="preserve">Yet if the idea that we are rationally entitled to trust in </w:t>
      </w:r>
      <w:r w:rsidRPr="002E24C8">
        <w:rPr>
          <w:i/>
        </w:rPr>
        <w:t>C</w:t>
      </w:r>
      <w:r w:rsidRPr="002E24C8">
        <w:t xml:space="preserve"> is to do any interesting counter-sceptical work, it must somehow put us in position to claim</w:t>
      </w:r>
      <w:r w:rsidR="007F358F" w:rsidRPr="002E24C8">
        <w:t xml:space="preserve"> that</w:t>
      </w:r>
    </w:p>
    <w:p w14:paraId="6A6DD0BD" w14:textId="77777777" w:rsidR="004F0C5A" w:rsidRPr="002E24C8" w:rsidRDefault="004F0C5A" w:rsidP="004F0C5A">
      <w:pPr>
        <w:widowControl w:val="0"/>
        <w:autoSpaceDE w:val="0"/>
        <w:autoSpaceDN w:val="0"/>
        <w:adjustRightInd w:val="0"/>
        <w:ind w:firstLine="720"/>
      </w:pPr>
    </w:p>
    <w:p w14:paraId="37B54B2E" w14:textId="11EDDCDF" w:rsidR="00F85EEF" w:rsidRDefault="00BE22FB" w:rsidP="004F0C5A">
      <w:pPr>
        <w:widowControl w:val="0"/>
        <w:autoSpaceDE w:val="0"/>
        <w:autoSpaceDN w:val="0"/>
        <w:adjustRightInd w:val="0"/>
        <w:rPr>
          <w:i/>
        </w:rPr>
      </w:pPr>
      <w:r w:rsidRPr="002E24C8">
        <w:t>4</w:t>
      </w:r>
      <w:r w:rsidR="004F0C5A">
        <w:t>.</w:t>
      </w:r>
      <w:r w:rsidRPr="002E24C8">
        <w:t xml:space="preserve">  </w:t>
      </w:r>
      <w:r w:rsidRPr="002E24C8">
        <w:rPr>
          <w:i/>
        </w:rPr>
        <w:t xml:space="preserve">We know </w:t>
      </w:r>
      <w:r w:rsidR="00A95142" w:rsidRPr="002E24C8">
        <w:rPr>
          <w:i/>
        </w:rPr>
        <w:t>P</w:t>
      </w:r>
      <w:r w:rsidR="00F85EEF" w:rsidRPr="002E24C8">
        <w:rPr>
          <w:i/>
        </w:rPr>
        <w:t>.</w:t>
      </w:r>
    </w:p>
    <w:p w14:paraId="6D3F144D" w14:textId="77777777" w:rsidR="004F0C5A" w:rsidRPr="002E24C8" w:rsidRDefault="004F0C5A" w:rsidP="004F0C5A">
      <w:pPr>
        <w:widowControl w:val="0"/>
        <w:autoSpaceDE w:val="0"/>
        <w:autoSpaceDN w:val="0"/>
        <w:adjustRightInd w:val="0"/>
        <w:rPr>
          <w:i/>
        </w:rPr>
      </w:pPr>
    </w:p>
    <w:p w14:paraId="46B8C8FA" w14:textId="3A0303AD" w:rsidR="004F0C5A" w:rsidRPr="002E24C8" w:rsidRDefault="00FE0471" w:rsidP="004F0C5A">
      <w:pPr>
        <w:widowControl w:val="0"/>
        <w:autoSpaceDE w:val="0"/>
        <w:autoSpaceDN w:val="0"/>
        <w:adjustRightInd w:val="0"/>
      </w:pPr>
      <w:r w:rsidRPr="002E24C8">
        <w:t xml:space="preserve">And surely </w:t>
      </w:r>
      <w:r w:rsidR="001A70C6" w:rsidRPr="002E24C8">
        <w:t>the</w:t>
      </w:r>
      <w:r w:rsidR="0004529F" w:rsidRPr="002E24C8">
        <w:t xml:space="preserve"> propositions (4), that </w:t>
      </w:r>
      <w:r w:rsidR="00A95142" w:rsidRPr="002E24C8">
        <w:rPr>
          <w:i/>
        </w:rPr>
        <w:t>P</w:t>
      </w:r>
      <w:r w:rsidR="0004529F" w:rsidRPr="002E24C8">
        <w:t xml:space="preserve"> is known, and (3), that we run a significant epistemic risk in accepting it, should </w:t>
      </w:r>
      <w:r w:rsidR="00072553" w:rsidRPr="002E24C8">
        <w:t xml:space="preserve">be </w:t>
      </w:r>
      <w:r w:rsidR="0004529F" w:rsidRPr="002E24C8">
        <w:t>regarded as non-cotenable</w:t>
      </w:r>
      <w:r w:rsidRPr="002E24C8">
        <w:t>.</w:t>
      </w:r>
    </w:p>
    <w:p w14:paraId="41CE11E2" w14:textId="6376D55D" w:rsidR="00DE290B" w:rsidRPr="002E24C8" w:rsidRDefault="00FE0471" w:rsidP="004F0C5A">
      <w:pPr>
        <w:widowControl w:val="0"/>
        <w:autoSpaceDE w:val="0"/>
        <w:autoSpaceDN w:val="0"/>
        <w:adjustRightInd w:val="0"/>
        <w:ind w:firstLine="720"/>
      </w:pPr>
      <w:r w:rsidRPr="002E24C8">
        <w:t>Wright (2004) concurred and responded that</w:t>
      </w:r>
      <w:r w:rsidR="00BD5FBE" w:rsidRPr="002E24C8">
        <w:t>,</w:t>
      </w:r>
      <w:r w:rsidR="0004529F" w:rsidRPr="002E24C8">
        <w:t xml:space="preserve"> since (2) is acknowledged on </w:t>
      </w:r>
      <w:r w:rsidRPr="002E24C8">
        <w:t xml:space="preserve">all hands, </w:t>
      </w:r>
      <w:r w:rsidR="0004529F" w:rsidRPr="002E24C8">
        <w:t xml:space="preserve">— </w:t>
      </w:r>
      <w:r w:rsidRPr="002E24C8">
        <w:t xml:space="preserve">and </w:t>
      </w:r>
      <w:r w:rsidR="0004529F" w:rsidRPr="002E24C8">
        <w:t xml:space="preserve">if deployment of the notion of entitlement is </w:t>
      </w:r>
      <w:r w:rsidR="00200D0A" w:rsidRPr="002E24C8">
        <w:t xml:space="preserve">indeed </w:t>
      </w:r>
      <w:r w:rsidR="0004529F" w:rsidRPr="002E24C8">
        <w:t xml:space="preserve">to be of any counter-sceptical use, — we need to reject (1). </w:t>
      </w:r>
      <w:r w:rsidR="001A70C6" w:rsidRPr="002E24C8">
        <w:t>But that, it was there contended, is exactly what we should do in any case</w:t>
      </w:r>
      <w:r w:rsidR="00072553" w:rsidRPr="002E24C8">
        <w:t>,</w:t>
      </w:r>
      <w:r w:rsidR="001A70C6" w:rsidRPr="002E24C8">
        <w:t xml:space="preserve"> since it may be that despite our running a significant risk in accepting it, </w:t>
      </w:r>
      <w:r w:rsidR="001A70C6" w:rsidRPr="002E24C8">
        <w:rPr>
          <w:i/>
        </w:rPr>
        <w:t>C</w:t>
      </w:r>
      <w:r w:rsidR="001A70C6" w:rsidRPr="002E24C8">
        <w:t xml:space="preserve"> is in fact true</w:t>
      </w:r>
      <w:r w:rsidR="008466F3" w:rsidRPr="002E24C8">
        <w:t>. In that</w:t>
      </w:r>
      <w:r w:rsidR="001A70C6" w:rsidRPr="002E24C8">
        <w:t xml:space="preserve"> case there may be no significant epistemic risk in accepting </w:t>
      </w:r>
      <w:r w:rsidR="00A95142" w:rsidRPr="002E24C8">
        <w:rPr>
          <w:i/>
        </w:rPr>
        <w:t>P</w:t>
      </w:r>
      <w:r w:rsidR="001A70C6" w:rsidRPr="002E24C8">
        <w:rPr>
          <w:i/>
        </w:rPr>
        <w:t xml:space="preserve"> </w:t>
      </w:r>
      <w:r w:rsidR="001A70C6" w:rsidRPr="002E24C8">
        <w:t xml:space="preserve">since </w:t>
      </w:r>
      <w:r w:rsidR="00A95142" w:rsidRPr="002E24C8">
        <w:rPr>
          <w:i/>
        </w:rPr>
        <w:t>P</w:t>
      </w:r>
      <w:r w:rsidR="001A70C6" w:rsidRPr="002E24C8">
        <w:t xml:space="preserve"> can </w:t>
      </w:r>
      <w:r w:rsidR="00BD5FBE" w:rsidRPr="002E24C8">
        <w:t xml:space="preserve">then </w:t>
      </w:r>
      <w:r w:rsidR="001A70C6" w:rsidRPr="002E24C8">
        <w:t xml:space="preserve">be a deliverance of reliably functioning perceptual faculties in an external material world that is </w:t>
      </w:r>
      <w:r w:rsidR="008466F3" w:rsidRPr="002E24C8">
        <w:t>receptive to them and</w:t>
      </w:r>
      <w:r w:rsidR="00BD5FBE" w:rsidRPr="002E24C8">
        <w:t xml:space="preserve"> </w:t>
      </w:r>
      <w:r w:rsidR="001A70C6" w:rsidRPr="002E24C8">
        <w:t>much as we take it to be</w:t>
      </w:r>
      <w:r w:rsidR="008466F3" w:rsidRPr="002E24C8">
        <w:t>, with the result</w:t>
      </w:r>
      <w:r w:rsidR="001A70C6" w:rsidRPr="002E24C8">
        <w:t xml:space="preserve">, so we may take it, </w:t>
      </w:r>
      <w:r w:rsidR="008466F3" w:rsidRPr="002E24C8">
        <w:t xml:space="preserve">that </w:t>
      </w:r>
      <w:r w:rsidR="008466F3" w:rsidRPr="002E24C8">
        <w:rPr>
          <w:i/>
        </w:rPr>
        <w:t>P</w:t>
      </w:r>
      <w:r w:rsidR="008466F3" w:rsidRPr="002E24C8">
        <w:t xml:space="preserve"> is thereby </w:t>
      </w:r>
      <w:r w:rsidR="001A70C6" w:rsidRPr="002E24C8">
        <w:t xml:space="preserve">known. </w:t>
      </w:r>
    </w:p>
    <w:p w14:paraId="7CCDADDE" w14:textId="247BA9B2" w:rsidR="0061323F" w:rsidRPr="002E24C8" w:rsidRDefault="00DE290B" w:rsidP="00F85EEF">
      <w:pPr>
        <w:widowControl w:val="0"/>
        <w:autoSpaceDE w:val="0"/>
        <w:autoSpaceDN w:val="0"/>
        <w:adjustRightInd w:val="0"/>
      </w:pPr>
      <w:r w:rsidRPr="002E24C8">
        <w:tab/>
      </w:r>
      <w:r w:rsidR="00616DEB" w:rsidRPr="002E24C8">
        <w:t>What</w:t>
      </w:r>
      <w:r w:rsidR="00200D0A" w:rsidRPr="002E24C8">
        <w:t xml:space="preserve">, Wright (2004) </w:t>
      </w:r>
      <w:r w:rsidR="008466F3" w:rsidRPr="002E24C8">
        <w:t>conceded</w:t>
      </w:r>
      <w:r w:rsidR="00200D0A" w:rsidRPr="002E24C8">
        <w:t>,</w:t>
      </w:r>
      <w:r w:rsidR="00616DEB" w:rsidRPr="002E24C8">
        <w:t xml:space="preserve"> </w:t>
      </w:r>
      <w:r w:rsidR="00616DEB" w:rsidRPr="002E24C8">
        <w:rPr>
          <w:i/>
        </w:rPr>
        <w:t>is</w:t>
      </w:r>
      <w:r w:rsidR="00616DEB" w:rsidRPr="002E24C8">
        <w:t xml:space="preserve"> at risk</w:t>
      </w:r>
      <w:r w:rsidR="007502C1" w:rsidRPr="002E24C8">
        <w:t xml:space="preserve"> as a consequence of the riskiness of</w:t>
      </w:r>
      <w:r w:rsidR="008466F3" w:rsidRPr="002E24C8">
        <w:t xml:space="preserve"> accepting</w:t>
      </w:r>
      <w:r w:rsidR="007502C1" w:rsidRPr="002E24C8">
        <w:t xml:space="preserve"> </w:t>
      </w:r>
      <w:r w:rsidR="007502C1" w:rsidRPr="002E24C8">
        <w:rPr>
          <w:i/>
        </w:rPr>
        <w:t>C</w:t>
      </w:r>
      <w:r w:rsidR="00616DEB" w:rsidRPr="002E24C8">
        <w:t xml:space="preserve"> is rath</w:t>
      </w:r>
      <w:r w:rsidR="00661449" w:rsidRPr="002E24C8">
        <w:t>er the higher-order claim that (4)</w:t>
      </w:r>
      <w:r w:rsidR="00200D0A" w:rsidRPr="002E24C8">
        <w:t xml:space="preserve"> itself</w:t>
      </w:r>
      <w:r w:rsidR="00616DEB" w:rsidRPr="002E24C8">
        <w:t xml:space="preserve"> is known, </w:t>
      </w:r>
      <w:r w:rsidR="00BF5C42" w:rsidRPr="002E24C8">
        <w:t>more specifically</w:t>
      </w:r>
      <w:r w:rsidRPr="002E24C8">
        <w:t xml:space="preserve">, </w:t>
      </w:r>
      <w:r w:rsidR="00616DEB" w:rsidRPr="002E24C8">
        <w:t xml:space="preserve">that we </w:t>
      </w:r>
      <w:r w:rsidR="001A70C6" w:rsidRPr="002E24C8">
        <w:t>can</w:t>
      </w:r>
      <w:r w:rsidR="00616DEB" w:rsidRPr="002E24C8">
        <w:t xml:space="preserve"> </w:t>
      </w:r>
      <w:r w:rsidR="00BD5FBE" w:rsidRPr="002E24C8">
        <w:rPr>
          <w:i/>
        </w:rPr>
        <w:t>knowledgeably</w:t>
      </w:r>
      <w:r w:rsidR="0040788D" w:rsidRPr="002E24C8">
        <w:rPr>
          <w:i/>
        </w:rPr>
        <w:t xml:space="preserve"> </w:t>
      </w:r>
      <w:r w:rsidR="00616DEB" w:rsidRPr="002E24C8">
        <w:rPr>
          <w:i/>
        </w:rPr>
        <w:t>lay claim</w:t>
      </w:r>
      <w:r w:rsidR="00200D0A" w:rsidRPr="002E24C8">
        <w:t xml:space="preserve"> to know </w:t>
      </w:r>
      <w:r w:rsidR="00A95142" w:rsidRPr="002E24C8">
        <w:rPr>
          <w:i/>
        </w:rPr>
        <w:t>P</w:t>
      </w:r>
      <w:r w:rsidR="00200D0A" w:rsidRPr="002E24C8">
        <w:t>. Rather, t</w:t>
      </w:r>
      <w:r w:rsidRPr="002E24C8">
        <w:t xml:space="preserve">he position is, in effect, that </w:t>
      </w:r>
      <w:r w:rsidR="000B5690" w:rsidRPr="002E24C8">
        <w:t>while</w:t>
      </w:r>
      <w:r w:rsidR="0004529F" w:rsidRPr="002E24C8">
        <w:t xml:space="preserve"> in general</w:t>
      </w:r>
      <w:r w:rsidRPr="002E24C8">
        <w:t xml:space="preserve"> the overall </w:t>
      </w:r>
      <w:r w:rsidR="000B5690" w:rsidRPr="002E24C8">
        <w:t>conditions</w:t>
      </w:r>
      <w:r w:rsidRPr="002E24C8">
        <w:t xml:space="preserve"> sufficient to </w:t>
      </w:r>
      <w:r w:rsidR="0004529F" w:rsidRPr="002E24C8">
        <w:t>enable</w:t>
      </w:r>
      <w:r w:rsidRPr="002E24C8">
        <w:t xml:space="preserve"> the </w:t>
      </w:r>
      <w:r w:rsidR="000B5690" w:rsidRPr="002E24C8">
        <w:t>acquisition</w:t>
      </w:r>
      <w:r w:rsidRPr="002E24C8">
        <w:t xml:space="preserve"> of </w:t>
      </w:r>
      <w:r w:rsidR="000B5690" w:rsidRPr="002E24C8">
        <w:t>perceptual</w:t>
      </w:r>
      <w:r w:rsidRPr="002E24C8">
        <w:t xml:space="preserve"> knowledge</w:t>
      </w:r>
      <w:r w:rsidR="0004529F" w:rsidRPr="002E24C8">
        <w:t xml:space="preserve"> may obtain, we have on</w:t>
      </w:r>
      <w:r w:rsidR="000B5690" w:rsidRPr="002E24C8">
        <w:t>ly an entitlement to suppose so</w:t>
      </w:r>
      <w:r w:rsidRPr="002E24C8">
        <w:t xml:space="preserve">. That is not </w:t>
      </w:r>
      <w:r w:rsidR="000B5690" w:rsidRPr="002E24C8">
        <w:t>inconsistent</w:t>
      </w:r>
      <w:r w:rsidRPr="002E24C8">
        <w:t xml:space="preserve"> </w:t>
      </w:r>
      <w:r w:rsidR="000B5690" w:rsidRPr="002E24C8">
        <w:t>with</w:t>
      </w:r>
      <w:r w:rsidRPr="002E24C8">
        <w:t xml:space="preserve"> </w:t>
      </w:r>
      <w:r w:rsidR="0004529F" w:rsidRPr="002E24C8">
        <w:t>(4)</w:t>
      </w:r>
      <w:r w:rsidR="00F31F2F" w:rsidRPr="002E24C8">
        <w:t xml:space="preserve"> </w:t>
      </w:r>
      <w:r w:rsidR="0004529F" w:rsidRPr="002E24C8">
        <w:t>— with o</w:t>
      </w:r>
      <w:r w:rsidRPr="002E24C8">
        <w:t xml:space="preserve">ur actually </w:t>
      </w:r>
      <w:r w:rsidR="0074754C" w:rsidRPr="002E24C8">
        <w:t>possessing such knowledge</w:t>
      </w:r>
      <w:r w:rsidR="00072553" w:rsidRPr="002E24C8">
        <w:t xml:space="preserve"> of </w:t>
      </w:r>
      <w:r w:rsidR="00A95142" w:rsidRPr="002E24C8">
        <w:rPr>
          <w:i/>
        </w:rPr>
        <w:t>P</w:t>
      </w:r>
      <w:r w:rsidR="0074754C" w:rsidRPr="002E24C8">
        <w:t xml:space="preserve">. </w:t>
      </w:r>
      <w:r w:rsidR="000B5690" w:rsidRPr="002E24C8">
        <w:t xml:space="preserve">But it is inconsistent with our knowing or having a balance of evidence, as opposed to being entitled to suppose, that we do. </w:t>
      </w:r>
      <w:r w:rsidR="008466F3" w:rsidRPr="002E24C8">
        <w:t>All the same, with t</w:t>
      </w:r>
      <w:r w:rsidR="0074754C" w:rsidRPr="002E24C8">
        <w:t>hat conceded</w:t>
      </w:r>
      <w:r w:rsidRPr="002E24C8">
        <w:t xml:space="preserve">, we </w:t>
      </w:r>
      <w:r w:rsidR="00200D0A" w:rsidRPr="002E24C8">
        <w:t>can still</w:t>
      </w:r>
      <w:r w:rsidRPr="002E24C8">
        <w:t xml:space="preserve"> be </w:t>
      </w:r>
      <w:r w:rsidR="001B6D69" w:rsidRPr="002E24C8">
        <w:t xml:space="preserve">rationally </w:t>
      </w:r>
      <w:r w:rsidR="000B5690" w:rsidRPr="002E24C8">
        <w:t>entitled</w:t>
      </w:r>
      <w:r w:rsidRPr="002E24C8">
        <w:t xml:space="preserve"> to claim that that is indeed our </w:t>
      </w:r>
      <w:r w:rsidR="00BD5FBE" w:rsidRPr="002E24C8">
        <w:t xml:space="preserve">fortunate </w:t>
      </w:r>
      <w:r w:rsidRPr="002E24C8">
        <w:t xml:space="preserve">situation. </w:t>
      </w:r>
    </w:p>
    <w:p w14:paraId="032F7C65" w14:textId="5F17F6AD" w:rsidR="00DE290B" w:rsidRDefault="0061323F" w:rsidP="001C1CAB">
      <w:pPr>
        <w:widowControl w:val="0"/>
        <w:autoSpaceDE w:val="0"/>
        <w:autoSpaceDN w:val="0"/>
        <w:adjustRightInd w:val="0"/>
      </w:pPr>
      <w:r w:rsidRPr="002E24C8">
        <w:tab/>
        <w:t>In summary:</w:t>
      </w:r>
      <w:r w:rsidR="00BF5C72" w:rsidRPr="002E24C8">
        <w:t xml:space="preserve"> </w:t>
      </w:r>
      <w:r w:rsidR="00BD5FBE" w:rsidRPr="002E24C8">
        <w:t xml:space="preserve">Wright (2004) conceded </w:t>
      </w:r>
      <w:r w:rsidR="00BF5C72" w:rsidRPr="002E24C8">
        <w:t xml:space="preserve">that there is </w:t>
      </w:r>
      <w:r w:rsidR="007D4A5F" w:rsidRPr="002E24C8">
        <w:t xml:space="preserve">indeed </w:t>
      </w:r>
      <w:r w:rsidRPr="002E24C8">
        <w:t>‘</w:t>
      </w:r>
      <w:r w:rsidR="00BF5C72" w:rsidRPr="002E24C8">
        <w:t>leaching</w:t>
      </w:r>
      <w:r w:rsidRPr="002E24C8">
        <w:t>’ of</w:t>
      </w:r>
      <w:r w:rsidR="00BF5C72" w:rsidRPr="002E24C8">
        <w:t xml:space="preserve"> entitlement</w:t>
      </w:r>
      <w:r w:rsidRPr="002E24C8">
        <w:t xml:space="preserve"> </w:t>
      </w:r>
      <w:r w:rsidR="0027559C" w:rsidRPr="002E24C8">
        <w:t>up</w:t>
      </w:r>
      <w:r w:rsidR="00072553" w:rsidRPr="002E24C8">
        <w:t>wards from cornerstones</w:t>
      </w:r>
      <w:r w:rsidRPr="002E24C8">
        <w:t xml:space="preserve"> but </w:t>
      </w:r>
      <w:r w:rsidR="00BD5FBE" w:rsidRPr="002E24C8">
        <w:t xml:space="preserve">contended that </w:t>
      </w:r>
      <w:r w:rsidRPr="002E24C8">
        <w:t xml:space="preserve">what is thereby displaced is not </w:t>
      </w:r>
      <w:r w:rsidR="007D4A5F" w:rsidRPr="002E24C8">
        <w:t>—</w:t>
      </w:r>
      <w:r w:rsidR="00F31F2F" w:rsidRPr="002E24C8">
        <w:t xml:space="preserve"> </w:t>
      </w:r>
      <w:r w:rsidR="007D4A5F" w:rsidRPr="002E24C8">
        <w:t>better: may not justifiably be affirmed to be —</w:t>
      </w:r>
      <w:r w:rsidR="00F31F2F" w:rsidRPr="002E24C8">
        <w:t xml:space="preserve"> </w:t>
      </w:r>
      <w:r w:rsidRPr="002E24C8">
        <w:t xml:space="preserve">our </w:t>
      </w:r>
      <w:r w:rsidR="00BD5FBE" w:rsidRPr="002E24C8">
        <w:t>knowledge of</w:t>
      </w:r>
      <w:r w:rsidR="007D4A5F" w:rsidRPr="002E24C8">
        <w:t>,</w:t>
      </w:r>
      <w:r w:rsidRPr="002E24C8">
        <w:t xml:space="preserve"> </w:t>
      </w:r>
      <w:r w:rsidR="007D4A5F" w:rsidRPr="002E24C8">
        <w:t xml:space="preserve">or </w:t>
      </w:r>
      <w:r w:rsidR="00BD5FBE" w:rsidRPr="002E24C8">
        <w:t>perceptual justification for accepting</w:t>
      </w:r>
      <w:r w:rsidR="00200D0A" w:rsidRPr="002E24C8">
        <w:t xml:space="preserve"> </w:t>
      </w:r>
      <w:r w:rsidR="001B062D" w:rsidRPr="002E24C8">
        <w:rPr>
          <w:i/>
        </w:rPr>
        <w:t>P</w:t>
      </w:r>
      <w:r w:rsidR="00200D0A" w:rsidRPr="002E24C8">
        <w:t>, but the</w:t>
      </w:r>
      <w:r w:rsidRPr="002E24C8">
        <w:t xml:space="preserve"> </w:t>
      </w:r>
      <w:r w:rsidRPr="002E24C8">
        <w:rPr>
          <w:i/>
        </w:rPr>
        <w:t>second-order</w:t>
      </w:r>
      <w:r w:rsidR="007D4A5F" w:rsidRPr="002E24C8">
        <w:t xml:space="preserve"> epistemic credentials </w:t>
      </w:r>
      <w:r w:rsidR="00200D0A" w:rsidRPr="002E24C8">
        <w:t xml:space="preserve">of such propositions, </w:t>
      </w:r>
      <w:r w:rsidR="007D4A5F" w:rsidRPr="002E24C8">
        <w:t>which ought</w:t>
      </w:r>
      <w:r w:rsidRPr="002E24C8">
        <w:t xml:space="preserve"> consequently </w:t>
      </w:r>
      <w:r w:rsidR="00BD5FBE" w:rsidRPr="002E24C8">
        <w:t xml:space="preserve">to be </w:t>
      </w:r>
      <w:r w:rsidR="007D4A5F" w:rsidRPr="002E24C8">
        <w:t>re</w:t>
      </w:r>
      <w:r w:rsidR="00200D0A" w:rsidRPr="002E24C8">
        <w:t>-</w:t>
      </w:r>
      <w:r w:rsidR="007D4A5F" w:rsidRPr="002E24C8">
        <w:t>characterised</w:t>
      </w:r>
      <w:r w:rsidRPr="002E24C8">
        <w:t xml:space="preserve"> as matters of entitlement.</w:t>
      </w:r>
      <w:r w:rsidR="001C1CAB">
        <w:t xml:space="preserve"> </w:t>
      </w:r>
      <w:r w:rsidR="00EE022C" w:rsidRPr="002E24C8">
        <w:t xml:space="preserve">And </w:t>
      </w:r>
      <w:r w:rsidR="00BD5FBE" w:rsidRPr="002E24C8">
        <w:t>with that response</w:t>
      </w:r>
      <w:r w:rsidR="00EE022C" w:rsidRPr="002E24C8">
        <w:t xml:space="preserve"> Wright (2004) was content to leave</w:t>
      </w:r>
      <w:r w:rsidR="00DE290B" w:rsidRPr="002E24C8">
        <w:t xml:space="preserve"> the matter.</w:t>
      </w:r>
      <w:r w:rsidR="00EE022C" w:rsidRPr="002E24C8">
        <w:rPr>
          <w:rStyle w:val="FootnoteReference"/>
        </w:rPr>
        <w:footnoteReference w:id="4"/>
      </w:r>
    </w:p>
    <w:p w14:paraId="355F2F2D" w14:textId="77777777" w:rsidR="001C1CAB" w:rsidRPr="002E24C8" w:rsidRDefault="001C1CAB" w:rsidP="001C1CAB">
      <w:pPr>
        <w:widowControl w:val="0"/>
        <w:autoSpaceDE w:val="0"/>
        <w:autoSpaceDN w:val="0"/>
        <w:adjustRightInd w:val="0"/>
      </w:pPr>
    </w:p>
    <w:p w14:paraId="46F5D7FB" w14:textId="453FCC21" w:rsidR="00303DB2" w:rsidRPr="002E24C8" w:rsidRDefault="00090E90" w:rsidP="00303DB2">
      <w:pPr>
        <w:spacing w:before="120"/>
        <w:contextualSpacing/>
        <w:rPr>
          <w:b/>
          <w:bCs/>
        </w:rPr>
      </w:pPr>
      <w:r w:rsidRPr="002E24C8">
        <w:rPr>
          <w:b/>
          <w:bCs/>
        </w:rPr>
        <w:t>3</w:t>
      </w:r>
      <w:r w:rsidR="00EA60E8" w:rsidRPr="002E24C8">
        <w:rPr>
          <w:b/>
          <w:bCs/>
        </w:rPr>
        <w:t xml:space="preserve">. </w:t>
      </w:r>
      <w:r w:rsidR="0038785F" w:rsidRPr="002E24C8">
        <w:rPr>
          <w:b/>
          <w:bCs/>
        </w:rPr>
        <w:t>Varieties of (Epistemic)</w:t>
      </w:r>
      <w:r w:rsidR="00DE46B4" w:rsidRPr="002E24C8">
        <w:rPr>
          <w:b/>
          <w:bCs/>
        </w:rPr>
        <w:t xml:space="preserve"> R</w:t>
      </w:r>
      <w:r w:rsidR="00631DC9" w:rsidRPr="002E24C8">
        <w:rPr>
          <w:b/>
          <w:bCs/>
        </w:rPr>
        <w:t>isk</w:t>
      </w:r>
    </w:p>
    <w:p w14:paraId="53F80895" w14:textId="4A7DA420" w:rsidR="0094627C" w:rsidRPr="002E24C8" w:rsidRDefault="0094627C" w:rsidP="0094627C">
      <w:pPr>
        <w:spacing w:before="120"/>
        <w:contextualSpacing/>
        <w:rPr>
          <w:b/>
          <w:bCs/>
        </w:rPr>
      </w:pPr>
      <w:r w:rsidRPr="002E24C8">
        <w:t xml:space="preserve">We need a caveat before proceeding to review the stability of this response. The term ‘risk’, as it occurs in contexts of advice, admonition, or prudential reasoning is customarily taken to connote </w:t>
      </w:r>
      <w:r w:rsidRPr="002E24C8">
        <w:rPr>
          <w:i/>
        </w:rPr>
        <w:t>the</w:t>
      </w:r>
      <w:r w:rsidRPr="002E24C8">
        <w:t xml:space="preserve"> </w:t>
      </w:r>
      <w:r w:rsidRPr="002E24C8">
        <w:rPr>
          <w:i/>
        </w:rPr>
        <w:t>probability</w:t>
      </w:r>
      <w:r w:rsidRPr="002E24C8">
        <w:t xml:space="preserve"> </w:t>
      </w:r>
      <w:r w:rsidRPr="002E24C8">
        <w:rPr>
          <w:i/>
        </w:rPr>
        <w:t>of</w:t>
      </w:r>
      <w:r w:rsidRPr="002E24C8">
        <w:t xml:space="preserve"> </w:t>
      </w:r>
      <w:r w:rsidRPr="002E24C8">
        <w:rPr>
          <w:i/>
        </w:rPr>
        <w:t>an</w:t>
      </w:r>
      <w:r w:rsidRPr="002E24C8">
        <w:t xml:space="preserve"> </w:t>
      </w:r>
      <w:r w:rsidRPr="002E24C8">
        <w:rPr>
          <w:i/>
        </w:rPr>
        <w:t>unwanted</w:t>
      </w:r>
      <w:r w:rsidRPr="002E24C8">
        <w:t xml:space="preserve"> </w:t>
      </w:r>
      <w:r w:rsidRPr="002E24C8">
        <w:rPr>
          <w:i/>
        </w:rPr>
        <w:t>event</w:t>
      </w:r>
      <w:r w:rsidR="00AF5A3E" w:rsidRPr="002E24C8">
        <w:rPr>
          <w:i/>
        </w:rPr>
        <w:t xml:space="preserve"> or situation</w:t>
      </w:r>
      <w:r w:rsidRPr="002E24C8">
        <w:t xml:space="preserve">, where this probability is estimated on a relevant body of evidence. Thus, the degree of risk associated with a proposition </w:t>
      </w:r>
      <w:r w:rsidRPr="002E24C8">
        <w:rPr>
          <w:i/>
        </w:rPr>
        <w:t>Q</w:t>
      </w:r>
      <w:r w:rsidRPr="002E24C8">
        <w:t xml:space="preserve"> describing an unwanted event</w:t>
      </w:r>
      <w:r w:rsidR="00AF5A3E" w:rsidRPr="002E24C8">
        <w:t xml:space="preserve"> or situation</w:t>
      </w:r>
      <w:r w:rsidR="00180AFD" w:rsidRPr="002E24C8">
        <w:t xml:space="preserve"> </w:t>
      </w:r>
      <w:r w:rsidRPr="002E24C8">
        <w:t xml:space="preserve">is customarily thought of simply as </w:t>
      </w:r>
      <w:r w:rsidRPr="002E24C8">
        <w:rPr>
          <w:i/>
        </w:rPr>
        <w:t>Q</w:t>
      </w:r>
      <w:r w:rsidRPr="002E24C8">
        <w:t xml:space="preserve">’s degree of </w:t>
      </w:r>
      <w:r w:rsidRPr="002E24C8">
        <w:rPr>
          <w:i/>
        </w:rPr>
        <w:t>evidential</w:t>
      </w:r>
      <w:r w:rsidRPr="002E24C8">
        <w:t xml:space="preserve"> probability (cf. Hansson</w:t>
      </w:r>
      <w:r w:rsidR="005822BD">
        <w:t>,</w:t>
      </w:r>
      <w:r w:rsidRPr="002E24C8">
        <w:t xml:space="preserve"> 2018 and Ebert</w:t>
      </w:r>
      <w:r w:rsidR="00510323">
        <w:t xml:space="preserve">, </w:t>
      </w:r>
      <w:r w:rsidR="00510323" w:rsidRPr="00510323">
        <w:t xml:space="preserve">Smith </w:t>
      </w:r>
      <w:r w:rsidR="00CF17FD">
        <w:t>&amp;</w:t>
      </w:r>
      <w:r w:rsidR="00510323" w:rsidRPr="00510323">
        <w:t xml:space="preserve"> Durbach</w:t>
      </w:r>
      <w:r w:rsidR="005822BD">
        <w:rPr>
          <w:i/>
        </w:rPr>
        <w:t>,</w:t>
      </w:r>
      <w:r w:rsidRPr="002E24C8">
        <w:t xml:space="preserve"> 20</w:t>
      </w:r>
      <w:r w:rsidR="006C4986">
        <w:t>20</w:t>
      </w:r>
      <w:r w:rsidRPr="002E24C8">
        <w:t>)</w:t>
      </w:r>
      <w:r w:rsidRPr="002E24C8">
        <w:rPr>
          <w:i/>
        </w:rPr>
        <w:t>.</w:t>
      </w:r>
      <w:r w:rsidRPr="002E24C8">
        <w:t xml:space="preserve"> This usage is, for instance, exemplified by the statement that, on the current medical evidence, the risk that </w:t>
      </w:r>
      <w:r w:rsidRPr="002E24C8">
        <w:lastRenderedPageBreak/>
        <w:t>a smoker’s life is shortened by some smoking-related disease is about ½ (cf. Hansson</w:t>
      </w:r>
      <w:r w:rsidR="005822BD">
        <w:t>,</w:t>
      </w:r>
      <w:r w:rsidRPr="002E24C8">
        <w:t xml:space="preserve"> 2018).</w:t>
      </w:r>
      <w:r w:rsidRPr="002E24C8">
        <w:rPr>
          <w:rStyle w:val="FootnoteReference"/>
        </w:rPr>
        <w:footnoteReference w:id="5"/>
      </w:r>
      <w:r w:rsidRPr="002E24C8">
        <w:t xml:space="preserve"> </w:t>
      </w:r>
      <w:r w:rsidR="00436134" w:rsidRPr="002E24C8">
        <w:t xml:space="preserve">Sometimes people speak of the risk that one runs in accepting a proposition, </w:t>
      </w:r>
      <w:r w:rsidR="00436134" w:rsidRPr="002E24C8">
        <w:rPr>
          <w:i/>
        </w:rPr>
        <w:t>P</w:t>
      </w:r>
      <w:r w:rsidR="00436134" w:rsidRPr="002E24C8">
        <w:t xml:space="preserve">, as true, or acting on the assumption that </w:t>
      </w:r>
      <w:r w:rsidR="00436134" w:rsidRPr="002E24C8">
        <w:rPr>
          <w:i/>
        </w:rPr>
        <w:t>P</w:t>
      </w:r>
      <w:r w:rsidR="00436134" w:rsidRPr="002E24C8">
        <w:t xml:space="preserve"> is true. In this case the unwanted situation is </w:t>
      </w:r>
      <w:r w:rsidR="004A0327" w:rsidRPr="002E24C8">
        <w:t>one</w:t>
      </w:r>
      <w:r w:rsidR="00436134" w:rsidRPr="002E24C8">
        <w:t xml:space="preserve"> in which </w:t>
      </w:r>
      <w:r w:rsidR="00436134" w:rsidRPr="002E24C8">
        <w:rPr>
          <w:i/>
        </w:rPr>
        <w:t>P</w:t>
      </w:r>
      <w:r w:rsidR="00436134" w:rsidRPr="002E24C8">
        <w:t xml:space="preserve"> is actually false. So</w:t>
      </w:r>
      <w:r w:rsidR="00F57A1F" w:rsidRPr="002E24C8">
        <w:t>,</w:t>
      </w:r>
      <w:r w:rsidR="00436134" w:rsidRPr="002E24C8">
        <w:t xml:space="preserve"> the risk that one runs in accepting or acting on the assumption of </w:t>
      </w:r>
      <w:r w:rsidR="00436134" w:rsidRPr="002E24C8">
        <w:rPr>
          <w:i/>
        </w:rPr>
        <w:t>P</w:t>
      </w:r>
      <w:r w:rsidR="00436134" w:rsidRPr="002E24C8">
        <w:t xml:space="preserve"> is</w:t>
      </w:r>
      <w:r w:rsidR="00F57A1F" w:rsidRPr="002E24C8">
        <w:t xml:space="preserve"> actually</w:t>
      </w:r>
      <w:r w:rsidR="00436134" w:rsidRPr="002E24C8">
        <w:t xml:space="preserve"> the risk associated </w:t>
      </w:r>
      <w:r w:rsidR="004A0327" w:rsidRPr="002E24C8">
        <w:t>with</w:t>
      </w:r>
      <w:r w:rsidR="00436134" w:rsidRPr="002E24C8">
        <w:t xml:space="preserve"> </w:t>
      </w:r>
      <w:r w:rsidR="00436134" w:rsidRPr="002E24C8">
        <w:rPr>
          <w:i/>
        </w:rPr>
        <w:t>P</w:t>
      </w:r>
      <w:r w:rsidR="00F57A1F" w:rsidRPr="002E24C8">
        <w:t>’s being false.</w:t>
      </w:r>
    </w:p>
    <w:p w14:paraId="6D6E257A" w14:textId="140E109E" w:rsidR="0094627C" w:rsidRPr="002E24C8" w:rsidRDefault="0094627C" w:rsidP="0094627C">
      <w:pPr>
        <w:ind w:firstLine="720"/>
        <w:contextualSpacing/>
      </w:pPr>
      <w:r w:rsidRPr="002E24C8">
        <w:t xml:space="preserve">However, it is by no means self-evident that our </w:t>
      </w:r>
      <w:r w:rsidR="00AF5A3E" w:rsidRPr="002E24C8">
        <w:t xml:space="preserve">intuitive </w:t>
      </w:r>
      <w:r w:rsidRPr="002E24C8">
        <w:t>judgements about risk in general track — or ought to track — probability. The recent literature</w:t>
      </w:r>
      <w:r w:rsidRPr="002E24C8">
        <w:rPr>
          <w:rStyle w:val="FootnoteReference"/>
        </w:rPr>
        <w:footnoteReference w:id="6"/>
      </w:r>
      <w:r w:rsidRPr="002E24C8">
        <w:t xml:space="preserve"> has supported the credentials of two interestingly non-probabilistic notions of risk. Duncan Pritchard has argued that in a wide class of cases, the risk one runs in accepting, or acting on the assumption of a certain proposition, </w:t>
      </w:r>
      <w:r w:rsidRPr="002E24C8">
        <w:rPr>
          <w:i/>
        </w:rPr>
        <w:t>P</w:t>
      </w:r>
      <w:r w:rsidRPr="002E24C8">
        <w:t xml:space="preserve">, is best assessed not in terms of </w:t>
      </w:r>
      <w:r w:rsidRPr="002E24C8">
        <w:rPr>
          <w:i/>
        </w:rPr>
        <w:t>P</w:t>
      </w:r>
      <w:r w:rsidRPr="002E24C8">
        <w:t xml:space="preserve">’s probability — whereby the smaller the probability, the higher the risk of acceptance — but in modal terms: roughly by how </w:t>
      </w:r>
      <w:r w:rsidRPr="002E24C8">
        <w:rPr>
          <w:i/>
        </w:rPr>
        <w:t>safe</w:t>
      </w:r>
      <w:r w:rsidRPr="002E24C8">
        <w:t xml:space="preserve"> the assumption of </w:t>
      </w:r>
      <w:r w:rsidRPr="002E24C8">
        <w:rPr>
          <w:i/>
        </w:rPr>
        <w:t>P</w:t>
      </w:r>
      <w:r w:rsidRPr="002E24C8">
        <w:t xml:space="preserve"> is — that is, by how similar to the actual world are the nearest worlds in which </w:t>
      </w:r>
      <w:r w:rsidRPr="002E24C8">
        <w:rPr>
          <w:i/>
        </w:rPr>
        <w:t>P</w:t>
      </w:r>
      <w:r w:rsidRPr="002E24C8">
        <w:t xml:space="preserve"> fails: the more similar these worlds</w:t>
      </w:r>
      <w:r w:rsidR="00700FF8" w:rsidRPr="002E24C8">
        <w:t xml:space="preserve"> to actuality</w:t>
      </w:r>
      <w:r w:rsidRPr="002E24C8">
        <w:t xml:space="preserve">, the higher the risk of accepting </w:t>
      </w:r>
      <w:r w:rsidRPr="002E24C8">
        <w:rPr>
          <w:i/>
        </w:rPr>
        <w:t>P</w:t>
      </w:r>
      <w:r w:rsidRPr="002E24C8">
        <w:t>. Thus, on this view, the risk of</w:t>
      </w:r>
      <w:r w:rsidR="00180AFD" w:rsidRPr="002E24C8">
        <w:t xml:space="preserve"> accepting</w:t>
      </w:r>
      <w:r w:rsidRPr="002E24C8">
        <w:t xml:space="preserve"> </w:t>
      </w:r>
      <w:r w:rsidRPr="002E24C8">
        <w:rPr>
          <w:i/>
        </w:rPr>
        <w:t>P</w:t>
      </w:r>
      <w:r w:rsidRPr="002E24C8">
        <w:t xml:space="preserve"> is higher than the risk of</w:t>
      </w:r>
      <w:r w:rsidR="00180AFD" w:rsidRPr="002E24C8">
        <w:t xml:space="preserve"> accepting</w:t>
      </w:r>
      <w:r w:rsidRPr="002E24C8">
        <w:t xml:space="preserve"> </w:t>
      </w:r>
      <w:r w:rsidRPr="002E24C8">
        <w:rPr>
          <w:i/>
        </w:rPr>
        <w:t>Q</w:t>
      </w:r>
      <w:r w:rsidRPr="002E24C8">
        <w:t xml:space="preserve"> just in case the worlds </w:t>
      </w:r>
      <w:r w:rsidR="00180AFD" w:rsidRPr="002E24C8">
        <w:t xml:space="preserve">most similar to actuality </w:t>
      </w:r>
      <w:r w:rsidRPr="002E24C8">
        <w:t xml:space="preserve">in which </w:t>
      </w:r>
      <w:r w:rsidRPr="002E24C8">
        <w:rPr>
          <w:i/>
        </w:rPr>
        <w:t>P</w:t>
      </w:r>
      <w:r w:rsidRPr="002E24C8">
        <w:t xml:space="preserve"> </w:t>
      </w:r>
      <w:r w:rsidR="00AF5A3E" w:rsidRPr="002E24C8">
        <w:t>is untrue</w:t>
      </w:r>
      <w:r w:rsidRPr="002E24C8">
        <w:t xml:space="preserve"> are more similar to actuality than the worlds </w:t>
      </w:r>
      <w:r w:rsidR="00180AFD" w:rsidRPr="002E24C8">
        <w:t xml:space="preserve">most similar to actuality </w:t>
      </w:r>
      <w:r w:rsidRPr="002E24C8">
        <w:t xml:space="preserve">in which </w:t>
      </w:r>
      <w:r w:rsidRPr="002E24C8">
        <w:rPr>
          <w:i/>
        </w:rPr>
        <w:t>Q</w:t>
      </w:r>
      <w:r w:rsidRPr="002E24C8">
        <w:t xml:space="preserve"> </w:t>
      </w:r>
      <w:r w:rsidR="00AF5A3E" w:rsidRPr="002E24C8">
        <w:t>is untrue</w:t>
      </w:r>
      <w:r w:rsidRPr="002E24C8">
        <w:t>.</w:t>
      </w:r>
    </w:p>
    <w:p w14:paraId="35A0A1FF" w14:textId="3108EC09" w:rsidR="0094627C" w:rsidRPr="002E24C8" w:rsidRDefault="0094627C" w:rsidP="0094627C">
      <w:pPr>
        <w:ind w:firstLine="720"/>
        <w:contextualSpacing/>
      </w:pPr>
      <w:r w:rsidRPr="002E24C8">
        <w:t>Pritchard attempts to motivate his pr</w:t>
      </w:r>
      <w:r w:rsidR="00C80072" w:rsidRPr="002E24C8">
        <w:t>oposal</w:t>
      </w:r>
      <w:r w:rsidR="00AF5FD5" w:rsidRPr="002E24C8">
        <w:t xml:space="preserve"> </w:t>
      </w:r>
      <w:r w:rsidR="00700FF8" w:rsidRPr="002E24C8">
        <w:t xml:space="preserve">by appeal to </w:t>
      </w:r>
      <w:r w:rsidR="00F25A9F" w:rsidRPr="002E24C8">
        <w:t>a scenario in</w:t>
      </w:r>
      <w:r w:rsidRPr="002E24C8">
        <w:t xml:space="preserve"> which our intuitions </w:t>
      </w:r>
      <w:r w:rsidR="00700FF8" w:rsidRPr="002E24C8">
        <w:t>of</w:t>
      </w:r>
      <w:r w:rsidRPr="002E24C8">
        <w:t xml:space="preserve"> degree of risk</w:t>
      </w:r>
      <w:r w:rsidR="00B92172" w:rsidRPr="002E24C8">
        <w:t xml:space="preserve"> are supposed to</w:t>
      </w:r>
      <w:r w:rsidRPr="002E24C8">
        <w:t xml:space="preserve"> align </w:t>
      </w:r>
      <w:r w:rsidR="007424E8" w:rsidRPr="002E24C8">
        <w:t xml:space="preserve">inversely </w:t>
      </w:r>
      <w:r w:rsidRPr="002E24C8">
        <w:t xml:space="preserve">with the extent of the departure </w:t>
      </w:r>
      <w:r w:rsidR="00C80072" w:rsidRPr="002E24C8">
        <w:t>it</w:t>
      </w:r>
      <w:r w:rsidR="00700FF8" w:rsidRPr="002E24C8">
        <w:t xml:space="preserve"> involve</w:t>
      </w:r>
      <w:r w:rsidR="00C80072" w:rsidRPr="002E24C8">
        <w:t>s</w:t>
      </w:r>
      <w:r w:rsidRPr="002E24C8">
        <w:t xml:space="preserve"> from actuality rather than with chance. In our view there are </w:t>
      </w:r>
      <w:r w:rsidR="007424E8" w:rsidRPr="002E24C8">
        <w:t>serious</w:t>
      </w:r>
      <w:r w:rsidRPr="002E24C8">
        <w:t xml:space="preserve"> problems with the details of </w:t>
      </w:r>
      <w:r w:rsidR="00F25A9F" w:rsidRPr="002E24C8">
        <w:t>the example</w:t>
      </w:r>
      <w:r w:rsidR="00722574" w:rsidRPr="002E24C8">
        <w:t>.</w:t>
      </w:r>
      <w:r w:rsidRPr="002E24C8">
        <w:rPr>
          <w:rStyle w:val="FootnoteReference"/>
        </w:rPr>
        <w:footnoteReference w:id="7"/>
      </w:r>
      <w:r w:rsidR="00722574" w:rsidRPr="002E24C8">
        <w:t xml:space="preserve"> However</w:t>
      </w:r>
      <w:r w:rsidRPr="002E24C8">
        <w:t xml:space="preserve"> </w:t>
      </w:r>
      <w:r w:rsidR="00722574" w:rsidRPr="002E24C8">
        <w:t xml:space="preserve">we are sympathetic with </w:t>
      </w:r>
      <w:r w:rsidRPr="002E24C8">
        <w:t xml:space="preserve">the general suggestion that our estimate of the degree of risk involved in </w:t>
      </w:r>
      <w:r w:rsidR="007424E8" w:rsidRPr="002E24C8">
        <w:t>an assumption</w:t>
      </w:r>
      <w:r w:rsidRPr="002E24C8">
        <w:t xml:space="preserve"> often has more to do with the perceived extravagance of </w:t>
      </w:r>
      <w:r w:rsidR="007424E8" w:rsidRPr="002E24C8">
        <w:t xml:space="preserve">the nearest </w:t>
      </w:r>
      <w:r w:rsidRPr="002E24C8">
        <w:t xml:space="preserve">possible scenarios in which </w:t>
      </w:r>
      <w:r w:rsidR="007424E8" w:rsidRPr="002E24C8">
        <w:t>it fails</w:t>
      </w:r>
      <w:r w:rsidRPr="002E24C8">
        <w:t xml:space="preserve"> than with any estimate, however rough, we feel able to make of the numerical probability of its </w:t>
      </w:r>
      <w:r w:rsidR="00C80072" w:rsidRPr="002E24C8">
        <w:t>obtainin</w:t>
      </w:r>
      <w:r w:rsidR="007424E8" w:rsidRPr="002E24C8">
        <w:t>g</w:t>
      </w:r>
      <w:r w:rsidRPr="002E24C8">
        <w:t xml:space="preserve">. </w:t>
      </w:r>
    </w:p>
    <w:p w14:paraId="2CA272AF" w14:textId="77777777" w:rsidR="00722574" w:rsidRPr="002E24C8" w:rsidRDefault="0094627C" w:rsidP="0094627C">
      <w:pPr>
        <w:ind w:firstLine="720"/>
        <w:contextualSpacing/>
      </w:pPr>
      <w:r w:rsidRPr="002E24C8">
        <w:t xml:space="preserve">Pritchard’s modal (safety) proposal contrasts with a third — the so-called “Normic” account of risk, canvassed by Ebert, Smith and Durbach (2020). According to this account, the risk of a proposition </w:t>
      </w:r>
      <w:r w:rsidRPr="002E24C8">
        <w:rPr>
          <w:i/>
        </w:rPr>
        <w:t>P</w:t>
      </w:r>
      <w:r w:rsidRPr="002E24C8">
        <w:t xml:space="preserve"> is determined by the degree of </w:t>
      </w:r>
      <w:r w:rsidRPr="002E24C8">
        <w:rPr>
          <w:i/>
        </w:rPr>
        <w:t>normality</w:t>
      </w:r>
      <w:r w:rsidRPr="002E24C8">
        <w:t xml:space="preserve"> of the most normal </w:t>
      </w:r>
      <w:r w:rsidRPr="002E24C8">
        <w:lastRenderedPageBreak/>
        <w:t xml:space="preserve">worlds in which </w:t>
      </w:r>
      <w:r w:rsidRPr="002E24C8">
        <w:rPr>
          <w:i/>
        </w:rPr>
        <w:t>P</w:t>
      </w:r>
      <w:r w:rsidRPr="002E24C8">
        <w:t xml:space="preserve"> is true. The more normal these worlds are –– that is to say, the closer they are to the maximally normal worlds –– the higher the risk of </w:t>
      </w:r>
      <w:r w:rsidRPr="002E24C8">
        <w:rPr>
          <w:i/>
        </w:rPr>
        <w:t>P</w:t>
      </w:r>
      <w:r w:rsidRPr="002E24C8">
        <w:t xml:space="preserve">. On this view, the risk of </w:t>
      </w:r>
      <w:r w:rsidRPr="002E24C8">
        <w:rPr>
          <w:i/>
        </w:rPr>
        <w:t>P</w:t>
      </w:r>
      <w:r w:rsidRPr="002E24C8">
        <w:t xml:space="preserve"> is higher than the risk of </w:t>
      </w:r>
      <w:r w:rsidRPr="002E24C8">
        <w:rPr>
          <w:i/>
        </w:rPr>
        <w:t>Q</w:t>
      </w:r>
      <w:r w:rsidRPr="002E24C8">
        <w:t xml:space="preserve"> just in case the most normal worlds in which </w:t>
      </w:r>
      <w:r w:rsidRPr="002E24C8">
        <w:rPr>
          <w:i/>
        </w:rPr>
        <w:t>P</w:t>
      </w:r>
      <w:r w:rsidRPr="002E24C8">
        <w:t xml:space="preserve"> is true are more normal than the most normal worlds in which </w:t>
      </w:r>
      <w:r w:rsidRPr="002E24C8">
        <w:rPr>
          <w:i/>
        </w:rPr>
        <w:t>Q</w:t>
      </w:r>
      <w:r w:rsidRPr="002E24C8">
        <w:t xml:space="preserve"> is true. </w:t>
      </w:r>
    </w:p>
    <w:p w14:paraId="6E738408" w14:textId="3F799D41" w:rsidR="0094627C" w:rsidRPr="002E24C8" w:rsidRDefault="0094627C" w:rsidP="0094627C">
      <w:pPr>
        <w:ind w:firstLine="720"/>
        <w:contextualSpacing/>
      </w:pPr>
      <w:r w:rsidRPr="002E24C8">
        <w:t xml:space="preserve">Three points should be noticed: first, on the normic account, the maximally normal worlds need not include the </w:t>
      </w:r>
      <w:r w:rsidRPr="002E24C8">
        <w:rPr>
          <w:i/>
        </w:rPr>
        <w:t>actual</w:t>
      </w:r>
      <w:r w:rsidRPr="002E24C8">
        <w:t xml:space="preserve"> world.</w:t>
      </w:r>
      <w:r w:rsidR="00722574" w:rsidRPr="002E24C8">
        <w:t xml:space="preserve"> As Ebert, Smith and Durbach  stress, “truth doesn’t entail normalcy and there is nothing contradictory in saying ‘</w:t>
      </w:r>
      <w:r w:rsidR="00722574" w:rsidRPr="002E24C8">
        <w:rPr>
          <w:i/>
        </w:rPr>
        <w:t>P</w:t>
      </w:r>
      <w:r w:rsidR="00722574" w:rsidRPr="002E24C8">
        <w:t xml:space="preserve"> is true but </w:t>
      </w:r>
      <w:r w:rsidR="00722574" w:rsidRPr="002E24C8">
        <w:rPr>
          <w:i/>
        </w:rPr>
        <w:t>P</w:t>
      </w:r>
      <w:r w:rsidR="00722574" w:rsidRPr="002E24C8">
        <w:t xml:space="preserve"> wouldn’t normally be true.”</w:t>
      </w:r>
      <w:r w:rsidR="0050613D">
        <w:t xml:space="preserve"> (</w:t>
      </w:r>
      <w:r w:rsidR="0050613D" w:rsidRPr="0050613D">
        <w:t>2020, p. 444</w:t>
      </w:r>
      <w:r w:rsidR="0050613D">
        <w:t>)</w:t>
      </w:r>
      <w:r w:rsidRPr="002E24C8">
        <w:t xml:space="preserve"> Second, the normality of a world </w:t>
      </w:r>
      <w:r w:rsidRPr="002E24C8">
        <w:rPr>
          <w:i/>
        </w:rPr>
        <w:t>w</w:t>
      </w:r>
      <w:r w:rsidRPr="002E24C8">
        <w:t xml:space="preserve"> is understood as determined by the extent to which the respects in which </w:t>
      </w:r>
      <w:r w:rsidRPr="002E24C8">
        <w:rPr>
          <w:i/>
        </w:rPr>
        <w:t>w</w:t>
      </w:r>
      <w:r w:rsidRPr="002E24C8">
        <w:t xml:space="preserve"> differed from the maximally normal worlds would call for special explanation, were w to obtain. (Thus for example, while the probability of Martin’s ticket winning the EuroMillions Jackpot lottery might be vanishingly small, it would call for no special explanation —</w:t>
      </w:r>
      <w:r w:rsidR="002B39DB" w:rsidRPr="002E24C8">
        <w:t xml:space="preserve"> </w:t>
      </w:r>
      <w:r w:rsidRPr="002E24C8">
        <w:t>no significant departure from normality —</w:t>
      </w:r>
      <w:r w:rsidR="002B39DB" w:rsidRPr="002E24C8">
        <w:t xml:space="preserve"> </w:t>
      </w:r>
      <w:r w:rsidRPr="002E24C8">
        <w:t>were it to do so. Somebody has to win).</w:t>
      </w:r>
      <w:r w:rsidRPr="002E24C8">
        <w:rPr>
          <w:rStyle w:val="FootnoteReference"/>
        </w:rPr>
        <w:footnoteReference w:id="8"/>
      </w:r>
      <w:r w:rsidRPr="002E24C8">
        <w:t xml:space="preserve"> Third, the ordering of worlds by degree of normality is to be understood as restricted to worlds in which our actual background evidence holds, and should exclude worlds which are inconsistent with this background evidence.</w:t>
      </w:r>
    </w:p>
    <w:p w14:paraId="609D2349" w14:textId="76D92077" w:rsidR="0094627C" w:rsidRPr="002E24C8" w:rsidRDefault="0094627C" w:rsidP="0094627C">
      <w:pPr>
        <w:ind w:firstLine="720"/>
        <w:contextualSpacing/>
        <w:rPr>
          <w:color w:val="00B050"/>
        </w:rPr>
      </w:pPr>
      <w:r w:rsidRPr="002E24C8">
        <w:t>Ebert, Smith and Durbach offer no intuitive example in which</w:t>
      </w:r>
      <w:r w:rsidRPr="002E24C8">
        <w:rPr>
          <w:color w:val="000000" w:themeColor="text1"/>
        </w:rPr>
        <w:t xml:space="preserve"> the normic account diverges from the other two accounts and seems intuitively superior. </w:t>
      </w:r>
      <w:r w:rsidRPr="002E24C8">
        <w:t xml:space="preserve">But we will forbear from attempting </w:t>
      </w:r>
      <w:r w:rsidR="008D5CAF" w:rsidRPr="002E24C8">
        <w:t xml:space="preserve">to </w:t>
      </w:r>
      <w:r w:rsidRPr="002E24C8">
        <w:t xml:space="preserve">add here to the debates about these conflicting proposals. Indeed, there is a recent tendency to some agreement in the literature that our pre-theoretic judgements about risk do not provide a basis for identifying any one thing as deserving to be regarded as </w:t>
      </w:r>
      <w:r w:rsidRPr="002E24C8">
        <w:rPr>
          <w:i/>
        </w:rPr>
        <w:t>the</w:t>
      </w:r>
      <w:r w:rsidRPr="002E24C8">
        <w:t xml:space="preserve"> correct notion of risk.</w:t>
      </w:r>
      <w:r w:rsidRPr="002E24C8">
        <w:rPr>
          <w:rStyle w:val="FootnoteReference"/>
        </w:rPr>
        <w:footnoteReference w:id="9"/>
      </w:r>
      <w:r w:rsidRPr="002E24C8">
        <w:t xml:space="preserve"> Rather, our understanding of risk seems to be ‘open textured’ to a degree, admitting of more than one explication or precisification, so that a form of pluralism about risk may be the right way to think about the notion. </w:t>
      </w:r>
    </w:p>
    <w:p w14:paraId="075F9571" w14:textId="77777777" w:rsidR="0094627C" w:rsidRPr="002E24C8" w:rsidRDefault="0094627C" w:rsidP="0094627C">
      <w:pPr>
        <w:ind w:firstLine="720"/>
        <w:contextualSpacing/>
      </w:pPr>
      <w:r w:rsidRPr="002E24C8">
        <w:t xml:space="preserve">What is striking for the immediate purpose, however, is that neither the modal nor the normic accounts of risk promise to be of any service to an attempt at consolidation of the Leaching worry. The point is especially clear on the modal account. For suppose that there actually is indeed an external material world, that is very much as we judge it to be on the basis of ordinary perception. Then the nearest worlds in which there is no such material reality are massively dissimilar to the actual world. Accordingly, by the modal account, we run no significant risk in presuming the relevant cornerstone proposition to be true. Hence to presume, with the sceptic, that there is justification for thinking there is such a significant risk is, on the modal account, implicitly to suppose there is justification for an assumption inconsistent with the truth of the cornerstone proposition—and hence to suppose that we are justified in </w:t>
      </w:r>
      <w:r w:rsidRPr="002E24C8">
        <w:rPr>
          <w:i/>
        </w:rPr>
        <w:t>denying</w:t>
      </w:r>
      <w:r w:rsidRPr="002E24C8">
        <w:t xml:space="preserve"> that there is an external material world. Which of course we are not.</w:t>
      </w:r>
    </w:p>
    <w:p w14:paraId="78F4D56E" w14:textId="3948E4F5" w:rsidR="0094627C" w:rsidRPr="002E24C8" w:rsidRDefault="0094627C" w:rsidP="0094627C">
      <w:pPr>
        <w:ind w:firstLine="720"/>
        <w:contextualSpacing/>
      </w:pPr>
      <w:r w:rsidRPr="002E24C8">
        <w:t xml:space="preserve">The situation on the normic account is a little </w:t>
      </w:r>
      <w:r w:rsidR="00722574" w:rsidRPr="002E24C8">
        <w:t>more complex</w:t>
      </w:r>
      <w:r w:rsidRPr="002E24C8">
        <w:t xml:space="preserve">. On the normic account, in order for an acceptance of the material world cornerstone to emerge as significantly risky, </w:t>
      </w:r>
      <w:r w:rsidRPr="002E24C8">
        <w:lastRenderedPageBreak/>
        <w:t>it has to be the case that there are worlds that include our actual ordinary</w:t>
      </w:r>
      <w:r w:rsidRPr="002E24C8">
        <w:rPr>
          <w:color w:val="4472C4" w:themeColor="accent1"/>
        </w:rPr>
        <w:t xml:space="preserve"> </w:t>
      </w:r>
      <w:r w:rsidRPr="002E24C8">
        <w:t xml:space="preserve">background evidence, which are pretty normal and in which the cornerstone fails. Ask first: what would that require of “ordinary background evidence”? If it includes, as externalists will want to say, perceptual knowledge of our immediate material environment, then obviously there won’t be any normal worlds including </w:t>
      </w:r>
      <w:r w:rsidRPr="002E24C8">
        <w:rPr>
          <w:i/>
        </w:rPr>
        <w:t>that</w:t>
      </w:r>
      <w:r w:rsidRPr="002E24C8">
        <w:t xml:space="preserve"> background evidence in which the cornerstone fails. So in order for our “ordinary background evidence” to be understood as consistent with failure of the cornerstone, an argument for thinking that acceptance of the cornerstone is risky on the normic conception will have to work with an internalist, </w:t>
      </w:r>
      <w:r w:rsidR="00320779" w:rsidRPr="002E24C8">
        <w:t>“</w:t>
      </w:r>
      <w:r w:rsidRPr="002E24C8">
        <w:t>highest common factor</w:t>
      </w:r>
      <w:r w:rsidR="00320779" w:rsidRPr="002E24C8">
        <w:t>”</w:t>
      </w:r>
      <w:r w:rsidRPr="002E24C8">
        <w:t xml:space="preserve"> conception of “ordinary background evidence”.</w:t>
      </w:r>
    </w:p>
    <w:p w14:paraId="63ACE4CE" w14:textId="77777777" w:rsidR="0094627C" w:rsidRPr="002E24C8" w:rsidRDefault="0094627C" w:rsidP="0094627C">
      <w:pPr>
        <w:ind w:firstLine="720"/>
        <w:contextualSpacing/>
      </w:pPr>
      <w:r w:rsidRPr="002E24C8">
        <w:t xml:space="preserve">Well and good, it may be thought. Isn’t that in any case the conception of evidence to which one who, like Wright, concedes that the sceptical paradoxes have shown that the cornerstones are beyond evidence, is committed? To be sure. But now there are problems in explaining how acceptance of the cornerstones is risky by the lights of the normic conception. In fact there are two separate problems. The first is that our conception of what counts as abnormality, and thus as calling for special explanation, is constrained by a conception of the natural order of things which </w:t>
      </w:r>
      <w:r w:rsidRPr="002E24C8">
        <w:rPr>
          <w:i/>
        </w:rPr>
        <w:t>presupposes</w:t>
      </w:r>
      <w:r w:rsidRPr="002E24C8">
        <w:t xml:space="preserve"> the usual cornerstones. Events and states of affairs are determined to be normal or abnormal relative to what is expectable, or anyway unremarkable, within explanatory frameworks for which the cornerstones serve as just that, and the explanations which abnormal occurrences call for are accordingly explanations in which the cornerstones are taken for granted. It follows that both the cornerstones and their sceptical negations are beyond the scope of kind of explanation which, on the normic account, abnormality constitutively demands—the cornerstones because they are presupposed in the relevant explanatory frameworks, and their sceptical negations because they are inconsistent with those frameworks. The normic conception of risk is thus essentially inapplicable to both.</w:t>
      </w:r>
    </w:p>
    <w:p w14:paraId="7AD298CF" w14:textId="11F1619C" w:rsidR="0094627C" w:rsidRPr="002E24C8" w:rsidRDefault="0094627C" w:rsidP="0094627C">
      <w:pPr>
        <w:ind w:firstLine="720"/>
        <w:contextualSpacing/>
      </w:pPr>
      <w:r w:rsidRPr="002E24C8">
        <w:t xml:space="preserve">But there is a second, more intuitive point. Again, in order for it to rank as risky to accept a cornerstone </w:t>
      </w:r>
      <w:r w:rsidRPr="002E24C8">
        <w:rPr>
          <w:i/>
        </w:rPr>
        <w:t>C</w:t>
      </w:r>
      <w:r w:rsidRPr="002E24C8">
        <w:t xml:space="preserve"> on the normic conception of risk, we have to make sense of the idea that </w:t>
      </w:r>
      <w:r w:rsidRPr="002E24C8">
        <w:rPr>
          <w:i/>
        </w:rPr>
        <w:t>C</w:t>
      </w:r>
      <w:r w:rsidRPr="002E24C8">
        <w:t xml:space="preserve"> can fail in relatively normal worlds in which we have our actual (internal) evidence. And that requires that were </w:t>
      </w:r>
      <w:r w:rsidRPr="002E24C8">
        <w:rPr>
          <w:i/>
        </w:rPr>
        <w:t>C</w:t>
      </w:r>
      <w:r w:rsidRPr="002E24C8">
        <w:t xml:space="preserve"> to fail, then that would call for no special explanation. But that seems intuitively preposterous. Surely, if the course of our actual experience were to have been what it has been and </w:t>
      </w:r>
      <w:r w:rsidR="00CA5C41" w:rsidRPr="002E24C8">
        <w:t xml:space="preserve">were </w:t>
      </w:r>
      <w:r w:rsidRPr="002E24C8">
        <w:t>to continue as, broadly, it always has and yet there were no external material reality</w:t>
      </w:r>
      <w:r w:rsidR="00CA5C41" w:rsidRPr="002E24C8">
        <w:t>,</w:t>
      </w:r>
      <w:r w:rsidRPr="002E24C8">
        <w:t xml:space="preserve"> that would demand a Whale of an Explanation! If God speaks to you in a dream and advises you that such is the situation, saying nothing further, your reaction will not be, “Oh wel</w:t>
      </w:r>
      <w:r w:rsidR="00CA5C41" w:rsidRPr="002E24C8">
        <w:t>l. That was always on the cards</w:t>
      </w:r>
      <w:r w:rsidRPr="002E24C8">
        <w:t xml:space="preserve">” </w:t>
      </w:r>
      <w:r w:rsidR="00CA5C41" w:rsidRPr="002E24C8">
        <w:t>in the spirit of “Someone has to win”.</w:t>
      </w:r>
    </w:p>
    <w:p w14:paraId="7C3D4591" w14:textId="53A7E8BB" w:rsidR="0094627C" w:rsidRPr="002E24C8" w:rsidRDefault="0094627C" w:rsidP="001C7EA7">
      <w:pPr>
        <w:spacing w:after="120"/>
        <w:ind w:firstLine="720"/>
      </w:pPr>
      <w:r w:rsidRPr="002E24C8">
        <w:t xml:space="preserve">We may conclude that if there is a development of the Leaching worry that does </w:t>
      </w:r>
      <w:r w:rsidR="00CA5C41" w:rsidRPr="002E24C8">
        <w:t xml:space="preserve">successfully </w:t>
      </w:r>
      <w:r w:rsidRPr="002E24C8">
        <w:t xml:space="preserve">exploit a notion of risk </w:t>
      </w:r>
      <w:r w:rsidR="00CA5C41" w:rsidRPr="002E24C8">
        <w:t xml:space="preserve">so </w:t>
      </w:r>
      <w:r w:rsidRPr="002E24C8">
        <w:t>as to do significant damage to Wright</w:t>
      </w:r>
      <w:r w:rsidR="000F6970">
        <w:t>’s</w:t>
      </w:r>
      <w:r w:rsidR="001D758C">
        <w:t xml:space="preserve"> </w:t>
      </w:r>
      <w:r w:rsidR="000F6970">
        <w:t>(</w:t>
      </w:r>
      <w:r w:rsidRPr="002E24C8">
        <w:t>2004) entitlement proposal, it must work with a probabilistic conception of risk. Which brings us to the principal focus of this paper.</w:t>
      </w:r>
    </w:p>
    <w:p w14:paraId="73569D10" w14:textId="6306E130" w:rsidR="00631DC9" w:rsidRPr="002E24C8" w:rsidRDefault="00631DC9" w:rsidP="00631DC9">
      <w:pPr>
        <w:contextualSpacing/>
        <w:rPr>
          <w:b/>
        </w:rPr>
      </w:pPr>
      <w:r w:rsidRPr="002E24C8">
        <w:rPr>
          <w:b/>
        </w:rPr>
        <w:t>4</w:t>
      </w:r>
      <w:r w:rsidR="003F6E05" w:rsidRPr="002E24C8">
        <w:rPr>
          <w:b/>
        </w:rPr>
        <w:t>.</w:t>
      </w:r>
      <w:r w:rsidRPr="002E24C8">
        <w:rPr>
          <w:b/>
        </w:rPr>
        <w:t xml:space="preserve"> The </w:t>
      </w:r>
      <w:r w:rsidR="00147DED" w:rsidRPr="002E24C8">
        <w:rPr>
          <w:b/>
        </w:rPr>
        <w:t>Leaching</w:t>
      </w:r>
      <w:r w:rsidRPr="002E24C8">
        <w:rPr>
          <w:b/>
        </w:rPr>
        <w:t xml:space="preserve"> </w:t>
      </w:r>
      <w:r w:rsidR="0061080A" w:rsidRPr="002E24C8">
        <w:rPr>
          <w:b/>
        </w:rPr>
        <w:t>worry</w:t>
      </w:r>
      <w:r w:rsidRPr="002E24C8">
        <w:rPr>
          <w:b/>
        </w:rPr>
        <w:t xml:space="preserve"> revived?</w:t>
      </w:r>
    </w:p>
    <w:p w14:paraId="03C779A5" w14:textId="127CF780" w:rsidR="00303DB2" w:rsidRPr="002E24C8" w:rsidRDefault="00303DB2" w:rsidP="00303DB2">
      <w:pPr>
        <w:contextualSpacing/>
      </w:pPr>
      <w:r w:rsidRPr="002E24C8">
        <w:t>Moretti (202</w:t>
      </w:r>
      <w:r w:rsidR="00960197">
        <w:t>1</w:t>
      </w:r>
      <w:r w:rsidRPr="002E24C8">
        <w:t xml:space="preserve">) </w:t>
      </w:r>
      <w:r w:rsidR="00E13C54" w:rsidRPr="002E24C8">
        <w:t xml:space="preserve">gives a </w:t>
      </w:r>
      <w:r w:rsidR="003640E2" w:rsidRPr="002E24C8">
        <w:t>detailed</w:t>
      </w:r>
      <w:r w:rsidR="00E13C54" w:rsidRPr="002E24C8">
        <w:t xml:space="preserve"> argument</w:t>
      </w:r>
      <w:r w:rsidRPr="002E24C8">
        <w:t xml:space="preserve"> that</w:t>
      </w:r>
      <w:r w:rsidR="00C52F2F" w:rsidRPr="002E24C8">
        <w:t>, notwithstanding Wright’s original response,</w:t>
      </w:r>
      <w:r w:rsidRPr="002E24C8">
        <w:t xml:space="preserve"> </w:t>
      </w:r>
      <w:r w:rsidR="00BE39D9" w:rsidRPr="002E24C8">
        <w:t>the Leac</w:t>
      </w:r>
      <w:r w:rsidR="00846C2B" w:rsidRPr="002E24C8">
        <w:t>h</w:t>
      </w:r>
      <w:r w:rsidR="00BE39D9" w:rsidRPr="002E24C8">
        <w:t xml:space="preserve">ing </w:t>
      </w:r>
      <w:r w:rsidR="000D4E17" w:rsidRPr="002E24C8">
        <w:t>worry</w:t>
      </w:r>
      <w:r w:rsidRPr="002E24C8">
        <w:t xml:space="preserve"> can </w:t>
      </w:r>
      <w:r w:rsidR="00380E50" w:rsidRPr="002E24C8">
        <w:t xml:space="preserve">indeed be </w:t>
      </w:r>
      <w:r w:rsidRPr="002E24C8">
        <w:t xml:space="preserve">vindicated by orthodox probabilistic reasoning. </w:t>
      </w:r>
      <w:r w:rsidR="003640E2" w:rsidRPr="002E24C8">
        <w:t>In particular he argues that, once the pre-theoretical notion of significant epistemic risk is construed probabilistically and the Entitlement theorist allows</w:t>
      </w:r>
      <w:r w:rsidR="0061080A" w:rsidRPr="002E24C8">
        <w:t xml:space="preserve"> that we are at significant epist</w:t>
      </w:r>
      <w:r w:rsidR="003640E2" w:rsidRPr="002E24C8">
        <w:t xml:space="preserve">emic risk in accepting cornerstones, significant epistemic risk must be acknowledged to transfer from </w:t>
      </w:r>
      <w:r w:rsidR="00051446" w:rsidRPr="002E24C8">
        <w:t xml:space="preserve">acceptance of </w:t>
      </w:r>
      <w:r w:rsidR="003640E2" w:rsidRPr="002E24C8">
        <w:t xml:space="preserve">the cornerstones back to </w:t>
      </w:r>
      <w:r w:rsidR="00051446" w:rsidRPr="002E24C8">
        <w:t xml:space="preserve">acceptance of </w:t>
      </w:r>
      <w:r w:rsidR="003640E2" w:rsidRPr="002E24C8">
        <w:t xml:space="preserve">the various relevant kinds of quotidian propositions about the external world, others’ mental states, and the past that we take ourselves habitually and continually to come to know — and, to stress, that the degree of risk transferred is sufficient to undermine both that knowledge and the idea that we are evidentially justified in accepting such quotidian propositions </w:t>
      </w:r>
    </w:p>
    <w:p w14:paraId="5AE1A908" w14:textId="2D1DE6E1" w:rsidR="002F5CC8" w:rsidRPr="002E24C8" w:rsidRDefault="0027253F" w:rsidP="006152E9">
      <w:pPr>
        <w:contextualSpacing/>
        <w:rPr>
          <w:iCs/>
        </w:rPr>
      </w:pPr>
      <w:r w:rsidRPr="002E24C8">
        <w:lastRenderedPageBreak/>
        <w:tab/>
      </w:r>
      <w:r w:rsidR="00BE39D9" w:rsidRPr="002E24C8">
        <w:t xml:space="preserve">Here is the argument. </w:t>
      </w:r>
      <w:r w:rsidR="00BE525F" w:rsidRPr="002E24C8">
        <w:t xml:space="preserve">Let </w:t>
      </w:r>
      <w:r w:rsidR="00F544E1" w:rsidRPr="002E24C8">
        <w:t>Pr</w:t>
      </w:r>
      <w:r w:rsidR="00BE525F" w:rsidRPr="002E24C8">
        <w:t xml:space="preserve"> be a probability function interpreted subjectively. </w:t>
      </w:r>
      <w:r w:rsidR="00F544E1" w:rsidRPr="002E24C8">
        <w:t>Pr</w:t>
      </w:r>
      <w:r w:rsidR="003640E2" w:rsidRPr="002E24C8">
        <w:t>(</w:t>
      </w:r>
      <w:r w:rsidR="003640E2" w:rsidRPr="002E24C8">
        <w:rPr>
          <w:i/>
        </w:rPr>
        <w:t>Q</w:t>
      </w:r>
      <w:r w:rsidR="003640E2" w:rsidRPr="002E24C8">
        <w:t xml:space="preserve">) is to express one’s degree of rational confidence that </w:t>
      </w:r>
      <w:r w:rsidR="003640E2" w:rsidRPr="002E24C8">
        <w:rPr>
          <w:i/>
        </w:rPr>
        <w:t>Q</w:t>
      </w:r>
      <w:r w:rsidR="003640E2" w:rsidRPr="002E24C8">
        <w:t xml:space="preserve">. </w:t>
      </w:r>
      <w:r w:rsidR="00F544E1" w:rsidRPr="002E24C8">
        <w:t>Pr</w:t>
      </w:r>
      <w:r w:rsidR="003640E2" w:rsidRPr="002E24C8">
        <w:t>(</w:t>
      </w:r>
      <w:r w:rsidR="003640E2" w:rsidRPr="002E24C8">
        <w:rPr>
          <w:i/>
        </w:rPr>
        <w:t>Q</w:t>
      </w:r>
      <w:r w:rsidR="003640E2" w:rsidRPr="002E24C8">
        <w:t>|</w:t>
      </w:r>
      <w:r w:rsidR="003640E2" w:rsidRPr="002E24C8">
        <w:rPr>
          <w:i/>
        </w:rPr>
        <w:t>R</w:t>
      </w:r>
      <w:r w:rsidR="003640E2" w:rsidRPr="002E24C8">
        <w:t>), likewise, is to express one’s</w:t>
      </w:r>
      <w:r w:rsidR="003640E2" w:rsidRPr="002E24C8">
        <w:rPr>
          <w:i/>
        </w:rPr>
        <w:t xml:space="preserve"> </w:t>
      </w:r>
      <w:r w:rsidR="003640E2" w:rsidRPr="002E24C8">
        <w:t xml:space="preserve">degree of rational confidence that </w:t>
      </w:r>
      <w:r w:rsidR="003640E2" w:rsidRPr="002E24C8">
        <w:rPr>
          <w:i/>
        </w:rPr>
        <w:t>Q</w:t>
      </w:r>
      <w:r w:rsidR="003640E2" w:rsidRPr="002E24C8">
        <w:t xml:space="preserve"> conditional on </w:t>
      </w:r>
      <w:r w:rsidR="00C52F2F" w:rsidRPr="002E24C8">
        <w:t>one’s</w:t>
      </w:r>
      <w:r w:rsidR="003640E2" w:rsidRPr="002E24C8">
        <w:t xml:space="preserve"> learning </w:t>
      </w:r>
      <w:r w:rsidR="003640E2" w:rsidRPr="002E24C8">
        <w:rPr>
          <w:i/>
        </w:rPr>
        <w:t>R</w:t>
      </w:r>
      <w:r w:rsidR="003640E2" w:rsidRPr="002E24C8">
        <w:t xml:space="preserve">. Consider again an empirically testable proposition </w:t>
      </w:r>
      <w:r w:rsidR="001B062D" w:rsidRPr="002E24C8">
        <w:rPr>
          <w:i/>
        </w:rPr>
        <w:t>P</w:t>
      </w:r>
      <w:r w:rsidR="003640E2" w:rsidRPr="002E24C8">
        <w:t xml:space="preserve"> — say that there is a hand in front of your face</w:t>
      </w:r>
      <w:r w:rsidR="00F31DF1" w:rsidRPr="002E24C8">
        <w:t xml:space="preserve"> </w:t>
      </w:r>
      <w:r w:rsidR="003640E2" w:rsidRPr="002E24C8">
        <w:t>—</w:t>
      </w:r>
      <w:r w:rsidR="0022558C" w:rsidRPr="002E24C8">
        <w:t xml:space="preserve"> </w:t>
      </w:r>
      <w:r w:rsidR="003640E2" w:rsidRPr="002E24C8">
        <w:t xml:space="preserve">and a correlated sceptical alternative </w:t>
      </w:r>
      <w:r w:rsidR="003640E2" w:rsidRPr="002E24C8">
        <w:rPr>
          <w:i/>
        </w:rPr>
        <w:t>SH</w:t>
      </w:r>
      <w:r w:rsidR="003640E2" w:rsidRPr="002E24C8">
        <w:t xml:space="preserve"> — say that there is no external material world but that a Mischievous Demon, who controls all your experiences and persistently maintains the illusion of an external world, is causing it to appear to you that there is a hand in front of your  face. </w:t>
      </w:r>
      <w:r w:rsidR="00E466B3" w:rsidRPr="002E24C8">
        <w:t>Note that</w:t>
      </w:r>
      <w:r w:rsidR="00147DED" w:rsidRPr="002E24C8">
        <w:t xml:space="preserve"> </w:t>
      </w:r>
      <w:r w:rsidR="008D5CAF" w:rsidRPr="002E24C8">
        <w:t xml:space="preserve">we </w:t>
      </w:r>
      <w:r w:rsidR="008A03A5" w:rsidRPr="002E24C8">
        <w:t>have chosen</w:t>
      </w:r>
      <w:r w:rsidR="00147DED" w:rsidRPr="002E24C8">
        <w:t xml:space="preserve"> </w:t>
      </w:r>
      <w:r w:rsidR="00147DED" w:rsidRPr="002E24C8">
        <w:rPr>
          <w:i/>
        </w:rPr>
        <w:t>SH</w:t>
      </w:r>
      <w:r w:rsidR="004469BF" w:rsidRPr="002E24C8">
        <w:t xml:space="preserve"> </w:t>
      </w:r>
      <w:r w:rsidR="002F5CC8" w:rsidRPr="002E24C8">
        <w:t xml:space="preserve">to be </w:t>
      </w:r>
      <w:r w:rsidR="004469BF" w:rsidRPr="002E24C8">
        <w:t xml:space="preserve">incompatible with </w:t>
      </w:r>
      <w:r w:rsidR="001B062D" w:rsidRPr="002E24C8">
        <w:rPr>
          <w:i/>
        </w:rPr>
        <w:t>P</w:t>
      </w:r>
      <w:r w:rsidR="004469BF" w:rsidRPr="002E24C8">
        <w:t xml:space="preserve"> but </w:t>
      </w:r>
      <w:r w:rsidR="002F5CC8" w:rsidRPr="002E24C8">
        <w:t xml:space="preserve">specific </w:t>
      </w:r>
      <w:r w:rsidR="003640E2" w:rsidRPr="002E24C8">
        <w:t>enough</w:t>
      </w:r>
      <w:r w:rsidR="002F5CC8" w:rsidRPr="002E24C8">
        <w:t xml:space="preserve"> to entail</w:t>
      </w:r>
      <w:r w:rsidR="004469BF" w:rsidRPr="002E24C8">
        <w:t xml:space="preserve"> that </w:t>
      </w:r>
      <w:r w:rsidR="00A80235" w:rsidRPr="002E24C8">
        <w:t>you have</w:t>
      </w:r>
      <w:r w:rsidR="004469BF" w:rsidRPr="002E24C8">
        <w:t xml:space="preserve"> a</w:t>
      </w:r>
      <w:r w:rsidR="001525BA" w:rsidRPr="002E24C8">
        <w:t xml:space="preserve"> deceptive</w:t>
      </w:r>
      <w:r w:rsidR="004469BF" w:rsidRPr="002E24C8">
        <w:t xml:space="preserve"> experience </w:t>
      </w:r>
      <w:r w:rsidR="00147DED" w:rsidRPr="002E24C8">
        <w:t>as of</w:t>
      </w:r>
      <w:r w:rsidR="004469BF" w:rsidRPr="002E24C8">
        <w:t xml:space="preserve"> </w:t>
      </w:r>
      <w:r w:rsidR="001B062D" w:rsidRPr="002E24C8">
        <w:rPr>
          <w:i/>
        </w:rPr>
        <w:t>P</w:t>
      </w:r>
      <w:r w:rsidR="00147DED" w:rsidRPr="002E24C8">
        <w:rPr>
          <w:i/>
        </w:rPr>
        <w:t>’</w:t>
      </w:r>
      <w:r w:rsidR="00147DED" w:rsidRPr="002E24C8">
        <w:t>s being the case</w:t>
      </w:r>
      <w:r w:rsidR="004469BF" w:rsidRPr="002E24C8">
        <w:t>.</w:t>
      </w:r>
      <w:r w:rsidR="003C3452" w:rsidRPr="002E24C8">
        <w:rPr>
          <w:rStyle w:val="FootnoteReference"/>
        </w:rPr>
        <w:footnoteReference w:id="10"/>
      </w:r>
      <w:r w:rsidR="004469BF" w:rsidRPr="002E24C8">
        <w:t xml:space="preserve"> </w:t>
      </w:r>
      <w:r w:rsidR="00147DED" w:rsidRPr="002E24C8">
        <w:t>Let</w:t>
      </w:r>
      <w:r w:rsidR="00903EB2" w:rsidRPr="002E24C8">
        <w:t xml:space="preserve"> </w:t>
      </w:r>
      <w:r w:rsidR="00903EB2" w:rsidRPr="002E24C8">
        <w:rPr>
          <w:i/>
        </w:rPr>
        <w:t>E</w:t>
      </w:r>
      <w:r w:rsidR="00147DED" w:rsidRPr="002E24C8">
        <w:t xml:space="preserve"> be</w:t>
      </w:r>
      <w:r w:rsidR="00903EB2" w:rsidRPr="002E24C8">
        <w:t xml:space="preserve"> the proposition that </w:t>
      </w:r>
      <w:r w:rsidR="00A80235" w:rsidRPr="002E24C8">
        <w:t>you have an</w:t>
      </w:r>
      <w:r w:rsidR="00147DED" w:rsidRPr="002E24C8">
        <w:t xml:space="preserve"> experience as of</w:t>
      </w:r>
      <w:r w:rsidR="00903EB2" w:rsidRPr="002E24C8">
        <w:t xml:space="preserve"> </w:t>
      </w:r>
      <w:r w:rsidR="001B062D" w:rsidRPr="002E24C8">
        <w:rPr>
          <w:i/>
        </w:rPr>
        <w:t>P</w:t>
      </w:r>
      <w:r w:rsidR="00147DED" w:rsidRPr="002E24C8">
        <w:t>’s being</w:t>
      </w:r>
      <w:r w:rsidR="002F5CC8" w:rsidRPr="002E24C8">
        <w:t xml:space="preserve"> true</w:t>
      </w:r>
      <w:r w:rsidR="00903EB2" w:rsidRPr="002E24C8">
        <w:t>.</w:t>
      </w:r>
      <w:r w:rsidR="003748E3" w:rsidRPr="002E24C8">
        <w:t xml:space="preserve"> </w:t>
      </w:r>
    </w:p>
    <w:p w14:paraId="37CB88B8" w14:textId="00794B2E" w:rsidR="002F5CC8" w:rsidRPr="002E24C8" w:rsidRDefault="002F5CC8" w:rsidP="00DA45E0">
      <w:pPr>
        <w:spacing w:after="120"/>
      </w:pPr>
      <w:r w:rsidRPr="002E24C8">
        <w:tab/>
        <w:t xml:space="preserve">So: </w:t>
      </w:r>
      <w:r w:rsidR="00F31DF1" w:rsidRPr="002E24C8">
        <w:t xml:space="preserve">we have that </w:t>
      </w:r>
      <w:r w:rsidR="001B062D" w:rsidRPr="002E24C8">
        <w:rPr>
          <w:i/>
        </w:rPr>
        <w:t>P</w:t>
      </w:r>
      <w:r w:rsidR="007E20F6" w:rsidRPr="002E24C8">
        <w:t xml:space="preserve"> entails </w:t>
      </w:r>
      <w:r w:rsidR="007E20F6" w:rsidRPr="002E24C8">
        <w:rPr>
          <w:i/>
        </w:rPr>
        <w:t>¬SH</w:t>
      </w:r>
      <w:r w:rsidR="007E20F6" w:rsidRPr="002E24C8">
        <w:t>,</w:t>
      </w:r>
      <w:r w:rsidR="007E20F6" w:rsidRPr="002E24C8">
        <w:rPr>
          <w:i/>
        </w:rPr>
        <w:t xml:space="preserve"> </w:t>
      </w:r>
      <w:r w:rsidR="007E20F6" w:rsidRPr="002E24C8">
        <w:t>and</w:t>
      </w:r>
      <w:r w:rsidR="007E20F6" w:rsidRPr="002E24C8">
        <w:rPr>
          <w:i/>
        </w:rPr>
        <w:t xml:space="preserve"> SH</w:t>
      </w:r>
      <w:r w:rsidR="007E20F6" w:rsidRPr="002E24C8">
        <w:t xml:space="preserve"> entails </w:t>
      </w:r>
      <w:r w:rsidR="007E20F6" w:rsidRPr="002E24C8">
        <w:rPr>
          <w:i/>
        </w:rPr>
        <w:t>E</w:t>
      </w:r>
      <w:r w:rsidR="007E20F6" w:rsidRPr="002E24C8">
        <w:t xml:space="preserve">. </w:t>
      </w:r>
      <w:r w:rsidR="00147DED" w:rsidRPr="002E24C8">
        <w:t xml:space="preserve">Roger </w:t>
      </w:r>
      <w:r w:rsidR="00BE525F" w:rsidRPr="002E24C8">
        <w:t xml:space="preserve">White (2006) has shown </w:t>
      </w:r>
      <w:r w:rsidR="00903EB2" w:rsidRPr="002E24C8">
        <w:t>that</w:t>
      </w:r>
      <w:r w:rsidR="0088058D" w:rsidRPr="002E24C8">
        <w:t xml:space="preserve"> </w:t>
      </w:r>
      <w:r w:rsidR="00B973D6" w:rsidRPr="002E24C8">
        <w:t>provided</w:t>
      </w:r>
      <w:r w:rsidR="0088058D" w:rsidRPr="002E24C8">
        <w:rPr>
          <w:i/>
        </w:rPr>
        <w:t xml:space="preserve"> </w:t>
      </w:r>
      <w:r w:rsidR="00F31DF1" w:rsidRPr="002E24C8">
        <w:t>tho</w:t>
      </w:r>
      <w:r w:rsidR="00147DED" w:rsidRPr="002E24C8">
        <w:t>se conditio</w:t>
      </w:r>
      <w:r w:rsidR="008A03A5" w:rsidRPr="002E24C8">
        <w:t>n</w:t>
      </w:r>
      <w:r w:rsidR="00147DED" w:rsidRPr="002E24C8">
        <w:t>s are met</w:t>
      </w:r>
      <w:r w:rsidR="003748E3" w:rsidRPr="002E24C8">
        <w:t>,</w:t>
      </w:r>
      <w:r w:rsidR="00C06348" w:rsidRPr="002E24C8">
        <w:t xml:space="preserve"> </w:t>
      </w:r>
      <w:r w:rsidR="0003700F" w:rsidRPr="002E24C8">
        <w:t>and</w:t>
      </w:r>
      <w:r w:rsidRPr="002E24C8">
        <w:t xml:space="preserve"> </w:t>
      </w:r>
      <w:r w:rsidR="00C06348" w:rsidRPr="002E24C8">
        <w:t>if</w:t>
      </w:r>
      <w:r w:rsidR="0088058D" w:rsidRPr="002E24C8">
        <w:t xml:space="preserve"> </w:t>
      </w:r>
      <w:r w:rsidR="00655611" w:rsidRPr="002E24C8">
        <w:t>(1) and (2) following are accepted:</w:t>
      </w:r>
    </w:p>
    <w:p w14:paraId="74CB6985" w14:textId="14EA392F" w:rsidR="002F5CC8" w:rsidRPr="002E24C8" w:rsidRDefault="002F5CC8" w:rsidP="00D37013">
      <w:pPr>
        <w:spacing w:after="120"/>
      </w:pPr>
      <w:r w:rsidRPr="002E24C8">
        <w:tab/>
      </w:r>
      <w:r w:rsidR="00C06348" w:rsidRPr="002E24C8">
        <w:t>(</w:t>
      </w:r>
      <w:r w:rsidR="000C787B" w:rsidRPr="002E24C8">
        <w:t>1</w:t>
      </w:r>
      <w:r w:rsidR="00C06348" w:rsidRPr="002E24C8">
        <w:t xml:space="preserve">) </w:t>
      </w:r>
      <w:r w:rsidR="00F544E1" w:rsidRPr="002E24C8">
        <w:t>Pr</w:t>
      </w:r>
      <w:r w:rsidR="0088058D" w:rsidRPr="002E24C8">
        <w:t>(</w:t>
      </w:r>
      <w:r w:rsidR="0088058D" w:rsidRPr="002E24C8">
        <w:rPr>
          <w:i/>
        </w:rPr>
        <w:t>SH</w:t>
      </w:r>
      <w:r w:rsidR="0088058D" w:rsidRPr="002E24C8">
        <w:t xml:space="preserve">) </w:t>
      </w:r>
      <w:r w:rsidR="003B3D0D" w:rsidRPr="002E24C8">
        <w:t>&gt;</w:t>
      </w:r>
      <w:r w:rsidR="0088058D" w:rsidRPr="002E24C8">
        <w:t xml:space="preserve"> </w:t>
      </w:r>
      <w:r w:rsidR="003B3D0D" w:rsidRPr="002E24C8">
        <w:t>0</w:t>
      </w:r>
      <w:r w:rsidRPr="002E24C8">
        <w:t xml:space="preserve">, </w:t>
      </w:r>
      <w:r w:rsidR="00ED3939" w:rsidRPr="002E24C8">
        <w:t>(</w:t>
      </w:r>
      <w:r w:rsidR="00380E50" w:rsidRPr="002E24C8">
        <w:t xml:space="preserve">which seems entirely reasonable, since the </w:t>
      </w:r>
      <w:r w:rsidR="00C0113E" w:rsidRPr="002E24C8">
        <w:t>sceptical</w:t>
      </w:r>
      <w:r w:rsidR="00380E50" w:rsidRPr="002E24C8">
        <w:t xml:space="preserve"> </w:t>
      </w:r>
      <w:r w:rsidR="00C0113E" w:rsidRPr="002E24C8">
        <w:t>scenario</w:t>
      </w:r>
      <w:r w:rsidR="00380E50" w:rsidRPr="002E24C8">
        <w:t xml:space="preserve"> is surely </w:t>
      </w:r>
      <w:r w:rsidR="002C2B19" w:rsidRPr="002E24C8">
        <w:t xml:space="preserve">not </w:t>
      </w:r>
      <w:r w:rsidR="002C2B19" w:rsidRPr="002E24C8">
        <w:rPr>
          <w:i/>
        </w:rPr>
        <w:t>certainly</w:t>
      </w:r>
      <w:r w:rsidR="002C2B19" w:rsidRPr="002E24C8">
        <w:t xml:space="preserve"> false</w:t>
      </w:r>
      <w:proofErr w:type="gramStart"/>
      <w:r w:rsidR="00ED3939" w:rsidRPr="002E24C8">
        <w:t>)</w:t>
      </w:r>
      <w:r w:rsidR="00A9262B" w:rsidRPr="002E24C8">
        <w:t>;</w:t>
      </w:r>
      <w:proofErr w:type="gramEnd"/>
    </w:p>
    <w:p w14:paraId="253CDFB9" w14:textId="4046C555" w:rsidR="00D37013" w:rsidRPr="002E24C8" w:rsidRDefault="002F5CC8" w:rsidP="00D37013">
      <w:pPr>
        <w:spacing w:after="120"/>
      </w:pPr>
      <w:r w:rsidRPr="002E24C8">
        <w:tab/>
      </w:r>
      <w:r w:rsidR="00C06348" w:rsidRPr="002E24C8">
        <w:t>(</w:t>
      </w:r>
      <w:r w:rsidR="000C787B" w:rsidRPr="002E24C8">
        <w:t>2</w:t>
      </w:r>
      <w:r w:rsidR="00C06348" w:rsidRPr="002E24C8">
        <w:t xml:space="preserve">) </w:t>
      </w:r>
      <w:r w:rsidR="00F544E1" w:rsidRPr="002E24C8">
        <w:t>Pr</w:t>
      </w:r>
      <w:r w:rsidR="0088058D" w:rsidRPr="002E24C8">
        <w:t>(</w:t>
      </w:r>
      <w:r w:rsidR="0088058D" w:rsidRPr="002E24C8">
        <w:rPr>
          <w:i/>
        </w:rPr>
        <w:t>E</w:t>
      </w:r>
      <w:r w:rsidR="0088058D" w:rsidRPr="002E24C8">
        <w:t>) &lt; 1,</w:t>
      </w:r>
      <w:r w:rsidR="00680037" w:rsidRPr="002E24C8">
        <w:t xml:space="preserve"> </w:t>
      </w:r>
      <w:r w:rsidR="00ED3939" w:rsidRPr="002E24C8">
        <w:t>(</w:t>
      </w:r>
      <w:r w:rsidR="00680037" w:rsidRPr="002E24C8">
        <w:t>wh</w:t>
      </w:r>
      <w:r w:rsidR="00F31DF1" w:rsidRPr="002E24C8">
        <w:t>i</w:t>
      </w:r>
      <w:r w:rsidR="00680037" w:rsidRPr="002E24C8">
        <w:t xml:space="preserve">ch again seems entirely reasonable as a prior probability, since </w:t>
      </w:r>
      <w:r w:rsidR="00680037" w:rsidRPr="002E24C8">
        <w:rPr>
          <w:i/>
        </w:rPr>
        <w:t xml:space="preserve">E </w:t>
      </w:r>
      <w:r w:rsidR="00680037" w:rsidRPr="002E24C8">
        <w:t>describes a future contingency</w:t>
      </w:r>
      <w:r w:rsidR="00ED3939" w:rsidRPr="002E24C8">
        <w:t>)</w:t>
      </w:r>
      <w:r w:rsidR="00680037" w:rsidRPr="002E24C8">
        <w:t>,</w:t>
      </w:r>
    </w:p>
    <w:p w14:paraId="35097AF5" w14:textId="26666EE7" w:rsidR="00903EB2" w:rsidRPr="002E24C8" w:rsidRDefault="0088058D" w:rsidP="00D37013">
      <w:pPr>
        <w:spacing w:after="120"/>
        <w:rPr>
          <w:iCs/>
        </w:rPr>
      </w:pPr>
      <w:r w:rsidRPr="002E24C8">
        <w:t>then</w:t>
      </w:r>
      <w:r w:rsidR="002F5CC8" w:rsidRPr="002E24C8">
        <w:t xml:space="preserve"> the probability</w:t>
      </w:r>
      <w:r w:rsidR="00DA45E0" w:rsidRPr="002E24C8">
        <w:t xml:space="preserve"> that </w:t>
      </w:r>
      <w:r w:rsidR="001B062D" w:rsidRPr="002E24C8">
        <w:rPr>
          <w:i/>
        </w:rPr>
        <w:t>P</w:t>
      </w:r>
      <w:r w:rsidR="002F5CC8" w:rsidRPr="002E24C8">
        <w:t xml:space="preserve"> is true, given that </w:t>
      </w:r>
      <w:r w:rsidR="00ED3939" w:rsidRPr="002E24C8">
        <w:t xml:space="preserve">the </w:t>
      </w:r>
      <w:r w:rsidR="00913136" w:rsidRPr="002E24C8">
        <w:t>experience</w:t>
      </w:r>
      <w:r w:rsidR="00ED3939" w:rsidRPr="002E24C8">
        <w:t xml:space="preserve"> depicted in </w:t>
      </w:r>
      <w:r w:rsidR="002F5CC8" w:rsidRPr="002E24C8">
        <w:rPr>
          <w:i/>
        </w:rPr>
        <w:t>E</w:t>
      </w:r>
      <w:r w:rsidR="002F5CC8" w:rsidRPr="002E24C8">
        <w:t xml:space="preserve"> </w:t>
      </w:r>
      <w:r w:rsidR="002C2B19" w:rsidRPr="002E24C8">
        <w:t xml:space="preserve">does indeed </w:t>
      </w:r>
      <w:r w:rsidR="00F31DF1" w:rsidRPr="002E24C8">
        <w:t xml:space="preserve">duly </w:t>
      </w:r>
      <w:r w:rsidR="00C706AF" w:rsidRPr="002E24C8">
        <w:t>occur</w:t>
      </w:r>
      <w:r w:rsidR="002F5CC8" w:rsidRPr="002E24C8">
        <w:t xml:space="preserve">, is </w:t>
      </w:r>
      <w:r w:rsidR="00913136" w:rsidRPr="002E24C8">
        <w:rPr>
          <w:i/>
        </w:rPr>
        <w:t>strictly</w:t>
      </w:r>
      <w:r w:rsidR="002F5CC8" w:rsidRPr="002E24C8">
        <w:rPr>
          <w:i/>
        </w:rPr>
        <w:t xml:space="preserve"> less than</w:t>
      </w:r>
      <w:r w:rsidR="002F5CC8" w:rsidRPr="002E24C8">
        <w:t xml:space="preserve"> the probability that the </w:t>
      </w:r>
      <w:r w:rsidR="00DA45E0" w:rsidRPr="002E24C8">
        <w:t>sceptical scenario</w:t>
      </w:r>
      <w:r w:rsidR="00D37013" w:rsidRPr="002E24C8">
        <w:t xml:space="preserve"> depicted by </w:t>
      </w:r>
      <w:r w:rsidR="00D37013" w:rsidRPr="002E24C8">
        <w:rPr>
          <w:i/>
        </w:rPr>
        <w:t>SH</w:t>
      </w:r>
      <w:r w:rsidR="00D37013" w:rsidRPr="002E24C8">
        <w:t xml:space="preserve"> does not obtain; that is</w:t>
      </w:r>
      <w:r w:rsidR="00A9262B" w:rsidRPr="002E24C8">
        <w:t>, that</w:t>
      </w:r>
    </w:p>
    <w:p w14:paraId="47BEE086" w14:textId="306858F1" w:rsidR="00903EB2" w:rsidRPr="002E24C8" w:rsidRDefault="00903EB2" w:rsidP="00D37013">
      <w:pPr>
        <w:spacing w:after="120"/>
      </w:pPr>
      <w:r w:rsidRPr="002E24C8">
        <w:tab/>
        <w:t>(</w:t>
      </w:r>
      <w:r w:rsidR="00D20EBB" w:rsidRPr="002E24C8">
        <w:t>*</w:t>
      </w:r>
      <w:r w:rsidRPr="002E24C8">
        <w:t xml:space="preserve">) </w:t>
      </w:r>
      <w:r w:rsidR="00F544E1" w:rsidRPr="002E24C8">
        <w:t>Pr</w:t>
      </w:r>
      <w:r w:rsidRPr="002E24C8">
        <w:t>(</w:t>
      </w:r>
      <w:r w:rsidR="001B062D" w:rsidRPr="002E24C8">
        <w:rPr>
          <w:i/>
        </w:rPr>
        <w:t>P</w:t>
      </w:r>
      <w:r w:rsidRPr="002E24C8">
        <w:t>|</w:t>
      </w:r>
      <w:r w:rsidRPr="002E24C8">
        <w:rPr>
          <w:i/>
        </w:rPr>
        <w:t>E</w:t>
      </w:r>
      <w:r w:rsidRPr="002E24C8">
        <w:t xml:space="preserve">) &lt; </w:t>
      </w:r>
      <w:r w:rsidR="00F544E1" w:rsidRPr="002E24C8">
        <w:t>Pr</w:t>
      </w:r>
      <w:r w:rsidRPr="002E24C8">
        <w:t>(</w:t>
      </w:r>
      <w:r w:rsidRPr="002E24C8">
        <w:rPr>
          <w:i/>
        </w:rPr>
        <w:t>¬SH</w:t>
      </w:r>
      <w:r w:rsidRPr="002E24C8">
        <w:t>)</w:t>
      </w:r>
      <w:r w:rsidR="009956DA" w:rsidRPr="002E24C8">
        <w:rPr>
          <w:rStyle w:val="FootnoteReference"/>
        </w:rPr>
        <w:footnoteReference w:id="11"/>
      </w:r>
      <w:r w:rsidRPr="002E24C8">
        <w:t xml:space="preserve"> </w:t>
      </w:r>
    </w:p>
    <w:p w14:paraId="6C65FFE0" w14:textId="5FBED166" w:rsidR="00ED3939" w:rsidRPr="002E24C8" w:rsidRDefault="000B5E90" w:rsidP="006152E9">
      <w:pPr>
        <w:contextualSpacing/>
        <w:rPr>
          <w:iCs/>
        </w:rPr>
      </w:pPr>
      <w:r w:rsidRPr="002E24C8">
        <w:t>(</w:t>
      </w:r>
      <w:r w:rsidR="00913136" w:rsidRPr="002E24C8">
        <w:t xml:space="preserve">which again, on reflection, seems entirely reasonable since among possible scenarios in which the </w:t>
      </w:r>
      <w:r w:rsidR="00913136" w:rsidRPr="002E24C8">
        <w:rPr>
          <w:i/>
        </w:rPr>
        <w:t>E</w:t>
      </w:r>
      <w:r w:rsidR="00913136" w:rsidRPr="002E24C8">
        <w:t>-predicting sceptical hypothesis</w:t>
      </w:r>
      <w:r w:rsidRPr="002E24C8">
        <w:t xml:space="preserve"> is false, —</w:t>
      </w:r>
      <w:r w:rsidR="00CD3697" w:rsidRPr="002E24C8">
        <w:t xml:space="preserve"> </w:t>
      </w:r>
      <w:r w:rsidR="00913136" w:rsidRPr="002E24C8">
        <w:t xml:space="preserve">because for instance there is </w:t>
      </w:r>
      <w:r w:rsidR="0061080A" w:rsidRPr="002E24C8">
        <w:t xml:space="preserve">indeed </w:t>
      </w:r>
      <w:r w:rsidR="00913136" w:rsidRPr="002E24C8">
        <w:t>an external material wor</w:t>
      </w:r>
      <w:r w:rsidRPr="002E24C8">
        <w:t>ld</w:t>
      </w:r>
      <w:r w:rsidR="00CD3697" w:rsidRPr="002E24C8">
        <w:t xml:space="preserve"> </w:t>
      </w:r>
      <w:r w:rsidRPr="002E24C8">
        <w:t>—</w:t>
      </w:r>
      <w:r w:rsidR="00913136" w:rsidRPr="002E24C8">
        <w:t xml:space="preserve"> there will be instances where </w:t>
      </w:r>
      <w:r w:rsidR="001B062D" w:rsidRPr="002E24C8">
        <w:rPr>
          <w:i/>
        </w:rPr>
        <w:t>P</w:t>
      </w:r>
      <w:r w:rsidR="00913136" w:rsidRPr="002E24C8">
        <w:t xml:space="preserve"> is false even though the experience depicted by </w:t>
      </w:r>
      <w:r w:rsidR="00913136" w:rsidRPr="002E24C8">
        <w:rPr>
          <w:i/>
        </w:rPr>
        <w:t>E</w:t>
      </w:r>
      <w:r w:rsidR="005468B9" w:rsidRPr="002E24C8">
        <w:t xml:space="preserve"> occurs.)</w:t>
      </w:r>
    </w:p>
    <w:p w14:paraId="421AC33C" w14:textId="5AFAD224" w:rsidR="00903EB2" w:rsidRPr="002E24C8" w:rsidRDefault="00ED3939" w:rsidP="006152E9">
      <w:pPr>
        <w:contextualSpacing/>
        <w:rPr>
          <w:iCs/>
        </w:rPr>
      </w:pPr>
      <w:r w:rsidRPr="002E24C8">
        <w:tab/>
      </w:r>
      <w:r w:rsidR="005468B9" w:rsidRPr="002E24C8">
        <w:t xml:space="preserve">Proposition </w:t>
      </w:r>
      <w:r w:rsidR="00C06348" w:rsidRPr="002E24C8">
        <w:t>(</w:t>
      </w:r>
      <w:r w:rsidR="000C787B" w:rsidRPr="002E24C8">
        <w:t>*</w:t>
      </w:r>
      <w:r w:rsidR="00C06348" w:rsidRPr="002E24C8">
        <w:t xml:space="preserve">) </w:t>
      </w:r>
      <w:r w:rsidR="00903EB2" w:rsidRPr="002E24C8">
        <w:t xml:space="preserve">says that if </w:t>
      </w:r>
      <w:r w:rsidR="00903EB2" w:rsidRPr="002E24C8">
        <w:rPr>
          <w:i/>
        </w:rPr>
        <w:t>S</w:t>
      </w:r>
      <w:r w:rsidR="00903EB2" w:rsidRPr="002E24C8">
        <w:t xml:space="preserve"> </w:t>
      </w:r>
      <w:r w:rsidR="000B5E90" w:rsidRPr="002E24C8">
        <w:t>has an ex</w:t>
      </w:r>
      <w:r w:rsidR="00567674" w:rsidRPr="002E24C8">
        <w:t>perience of the kind depicted by</w:t>
      </w:r>
      <w:r w:rsidR="00903EB2" w:rsidRPr="002E24C8">
        <w:t xml:space="preserve"> </w:t>
      </w:r>
      <w:r w:rsidR="00903EB2" w:rsidRPr="002E24C8">
        <w:rPr>
          <w:i/>
        </w:rPr>
        <w:t>E</w:t>
      </w:r>
      <w:r w:rsidR="00903EB2" w:rsidRPr="002E24C8">
        <w:t xml:space="preserve">, </w:t>
      </w:r>
      <w:r w:rsidR="00903EB2" w:rsidRPr="002E24C8">
        <w:rPr>
          <w:i/>
        </w:rPr>
        <w:t>S</w:t>
      </w:r>
      <w:r w:rsidR="00903EB2" w:rsidRPr="002E24C8">
        <w:t xml:space="preserve">’s </w:t>
      </w:r>
      <w:r w:rsidR="000B5E90" w:rsidRPr="002E24C8">
        <w:t xml:space="preserve">degree of </w:t>
      </w:r>
      <w:r w:rsidR="00903EB2" w:rsidRPr="002E24C8">
        <w:t>confidence</w:t>
      </w:r>
      <w:r w:rsidR="000B5E90" w:rsidRPr="002E24C8">
        <w:t xml:space="preserve"> on that basis</w:t>
      </w:r>
      <w:r w:rsidR="00903EB2" w:rsidRPr="002E24C8">
        <w:t xml:space="preserve"> in</w:t>
      </w:r>
      <w:r w:rsidR="000B5E90" w:rsidRPr="002E24C8">
        <w:t xml:space="preserve"> </w:t>
      </w:r>
      <w:r w:rsidR="001B062D" w:rsidRPr="002E24C8">
        <w:rPr>
          <w:i/>
        </w:rPr>
        <w:t>P</w:t>
      </w:r>
      <w:r w:rsidRPr="002E24C8">
        <w:t xml:space="preserve">, if rational, </w:t>
      </w:r>
      <w:r w:rsidR="00903EB2" w:rsidRPr="002E24C8">
        <w:t xml:space="preserve">must remain strictly smaller than </w:t>
      </w:r>
      <w:r w:rsidR="00903EB2" w:rsidRPr="002E24C8">
        <w:rPr>
          <w:i/>
        </w:rPr>
        <w:t>S</w:t>
      </w:r>
      <w:r w:rsidR="00903EB2" w:rsidRPr="002E24C8">
        <w:t xml:space="preserve">’s </w:t>
      </w:r>
      <w:r w:rsidR="00903EB2" w:rsidRPr="002E24C8">
        <w:rPr>
          <w:i/>
        </w:rPr>
        <w:t xml:space="preserve">prior </w:t>
      </w:r>
      <w:r w:rsidR="00903EB2" w:rsidRPr="002E24C8">
        <w:t xml:space="preserve">confidence in </w:t>
      </w:r>
      <w:r w:rsidR="00903EB2" w:rsidRPr="002E24C8">
        <w:rPr>
          <w:i/>
        </w:rPr>
        <w:t>¬SH</w:t>
      </w:r>
      <w:r w:rsidR="00903EB2" w:rsidRPr="002E24C8">
        <w:t xml:space="preserve">. Thus, </w:t>
      </w:r>
      <w:r w:rsidR="00903EB2" w:rsidRPr="002E24C8">
        <w:rPr>
          <w:i/>
        </w:rPr>
        <w:t>S</w:t>
      </w:r>
      <w:r w:rsidR="00903EB2" w:rsidRPr="002E24C8">
        <w:t>’s learning</w:t>
      </w:r>
      <w:r w:rsidR="00B64B5B" w:rsidRPr="002E24C8">
        <w:t xml:space="preserve"> that</w:t>
      </w:r>
      <w:r w:rsidR="00903EB2" w:rsidRPr="002E24C8">
        <w:t xml:space="preserve"> </w:t>
      </w:r>
      <w:r w:rsidR="00903EB2" w:rsidRPr="002E24C8">
        <w:rPr>
          <w:i/>
        </w:rPr>
        <w:t>E</w:t>
      </w:r>
      <w:r w:rsidR="00903EB2" w:rsidRPr="002E24C8">
        <w:t xml:space="preserve"> </w:t>
      </w:r>
      <w:r w:rsidRPr="002E24C8">
        <w:t xml:space="preserve">is true </w:t>
      </w:r>
      <w:r w:rsidR="00903EB2" w:rsidRPr="002E24C8">
        <w:t xml:space="preserve">can make </w:t>
      </w:r>
      <w:r w:rsidR="00903EB2" w:rsidRPr="002E24C8">
        <w:rPr>
          <w:i/>
        </w:rPr>
        <w:t>S</w:t>
      </w:r>
      <w:r w:rsidR="00903EB2" w:rsidRPr="002E24C8">
        <w:t xml:space="preserve"> rationally confident of </w:t>
      </w:r>
      <w:r w:rsidR="001B062D" w:rsidRPr="002E24C8">
        <w:rPr>
          <w:i/>
        </w:rPr>
        <w:t>P</w:t>
      </w:r>
      <w:r w:rsidR="00903EB2" w:rsidRPr="002E24C8">
        <w:t xml:space="preserve">’s truth only if </w:t>
      </w:r>
      <w:r w:rsidR="00903EB2" w:rsidRPr="002E24C8">
        <w:rPr>
          <w:i/>
        </w:rPr>
        <w:t>S</w:t>
      </w:r>
      <w:r w:rsidR="00903EB2" w:rsidRPr="002E24C8">
        <w:t xml:space="preserve"> is </w:t>
      </w:r>
      <w:r w:rsidR="000B5E90" w:rsidRPr="002E24C8">
        <w:t>antecedently</w:t>
      </w:r>
      <w:r w:rsidR="00903EB2" w:rsidRPr="002E24C8">
        <w:t xml:space="preserve"> </w:t>
      </w:r>
      <w:r w:rsidR="008D5416" w:rsidRPr="002E24C8">
        <w:rPr>
          <w:i/>
        </w:rPr>
        <w:t>more</w:t>
      </w:r>
      <w:r w:rsidR="008D5416" w:rsidRPr="002E24C8">
        <w:t xml:space="preserve"> </w:t>
      </w:r>
      <w:r w:rsidR="00903EB2" w:rsidRPr="002E24C8">
        <w:t xml:space="preserve">confident of </w:t>
      </w:r>
      <w:r w:rsidR="00903EB2" w:rsidRPr="002E24C8">
        <w:rPr>
          <w:i/>
        </w:rPr>
        <w:t>¬SH</w:t>
      </w:r>
      <w:r w:rsidR="00903EB2" w:rsidRPr="002E24C8">
        <w:t>’s truth</w:t>
      </w:r>
      <w:r w:rsidR="00567674" w:rsidRPr="002E24C8">
        <w:t>, i.e</w:t>
      </w:r>
      <w:r w:rsidR="00044317" w:rsidRPr="002E24C8">
        <w:t>.</w:t>
      </w:r>
      <w:r w:rsidR="00567674" w:rsidRPr="002E24C8">
        <w:t xml:space="preserve"> that the sceptical scenario is false.</w:t>
      </w:r>
    </w:p>
    <w:p w14:paraId="506BC1C9" w14:textId="08BFD6E7" w:rsidR="00980855" w:rsidRPr="002E24C8" w:rsidRDefault="00C22325" w:rsidP="00CF4578">
      <w:pPr>
        <w:spacing w:after="120"/>
        <w:ind w:firstLine="720"/>
      </w:pPr>
      <w:r w:rsidRPr="002E24C8">
        <w:lastRenderedPageBreak/>
        <w:t>Well then,</w:t>
      </w:r>
      <w:r w:rsidR="00980855" w:rsidRPr="002E24C8">
        <w:t xml:space="preserve"> </w:t>
      </w:r>
      <w:r w:rsidR="00A25ED4" w:rsidRPr="002E24C8">
        <w:t xml:space="preserve">let’s </w:t>
      </w:r>
      <w:r w:rsidRPr="002E24C8">
        <w:t xml:space="preserve">now </w:t>
      </w:r>
      <w:r w:rsidR="00A25ED4" w:rsidRPr="002E24C8">
        <w:t>suppose</w:t>
      </w:r>
      <w:r w:rsidR="007B5CD3" w:rsidRPr="002E24C8">
        <w:t xml:space="preserve"> </w:t>
      </w:r>
      <w:r w:rsidR="00980855" w:rsidRPr="002E24C8">
        <w:t xml:space="preserve">specifically </w:t>
      </w:r>
      <w:r w:rsidR="00A25ED4" w:rsidRPr="002E24C8">
        <w:t xml:space="preserve">that </w:t>
      </w:r>
      <w:r w:rsidR="00F544E1" w:rsidRPr="002E24C8">
        <w:t>Pr</w:t>
      </w:r>
      <w:r w:rsidR="00A25ED4" w:rsidRPr="002E24C8">
        <w:t xml:space="preserve"> is a function </w:t>
      </w:r>
      <w:r w:rsidR="00ED3939" w:rsidRPr="002E24C8">
        <w:t xml:space="preserve">purely </w:t>
      </w:r>
      <w:r w:rsidR="00A25ED4" w:rsidRPr="002E24C8">
        <w:t xml:space="preserve">of </w:t>
      </w:r>
      <w:r w:rsidR="00A25ED4" w:rsidRPr="002E24C8">
        <w:rPr>
          <w:i/>
        </w:rPr>
        <w:t>evidential</w:t>
      </w:r>
      <w:r w:rsidR="00A25ED4" w:rsidRPr="002E24C8">
        <w:t xml:space="preserve"> probability.</w:t>
      </w:r>
      <w:r w:rsidR="00A25ED4" w:rsidRPr="002E24C8">
        <w:rPr>
          <w:rStyle w:val="FootnoteReference"/>
        </w:rPr>
        <w:footnoteReference w:id="12"/>
      </w:r>
      <w:r w:rsidR="00A25ED4" w:rsidRPr="002E24C8">
        <w:t xml:space="preserve"> </w:t>
      </w:r>
      <w:r w:rsidR="00301A14" w:rsidRPr="002E24C8">
        <w:t xml:space="preserve">The degree of </w:t>
      </w:r>
      <w:r w:rsidR="00ED3939" w:rsidRPr="002E24C8">
        <w:t xml:space="preserve">epistemic </w:t>
      </w:r>
      <w:r w:rsidR="00301A14" w:rsidRPr="002E24C8">
        <w:t xml:space="preserve">risk </w:t>
      </w:r>
      <w:r w:rsidR="00980855" w:rsidRPr="002E24C8">
        <w:t>in</w:t>
      </w:r>
      <w:r w:rsidRPr="002E24C8">
        <w:t xml:space="preserve">volved in the </w:t>
      </w:r>
      <w:r w:rsidR="00776E3C" w:rsidRPr="002E24C8">
        <w:t>assumption</w:t>
      </w:r>
      <w:r w:rsidRPr="002E24C8">
        <w:t xml:space="preserve"> that you</w:t>
      </w:r>
      <w:r w:rsidR="00980855" w:rsidRPr="002E24C8">
        <w:t xml:space="preserve"> are in the </w:t>
      </w:r>
      <w:r w:rsidR="00955E89" w:rsidRPr="002E24C8">
        <w:t>‘</w:t>
      </w:r>
      <w:r w:rsidR="00980855" w:rsidRPr="002E24C8">
        <w:t>good case</w:t>
      </w:r>
      <w:r w:rsidR="00955E89" w:rsidRPr="002E24C8">
        <w:t>’</w:t>
      </w:r>
      <w:r w:rsidR="00980855" w:rsidRPr="002E24C8">
        <w:t xml:space="preserve"> —</w:t>
      </w:r>
      <w:r w:rsidR="00CD3697" w:rsidRPr="002E24C8">
        <w:t xml:space="preserve"> </w:t>
      </w:r>
      <w:r w:rsidR="00776E3C" w:rsidRPr="002E24C8">
        <w:t>i.e.</w:t>
      </w:r>
      <w:r w:rsidR="00980855" w:rsidRPr="002E24C8">
        <w:t xml:space="preserve"> </w:t>
      </w:r>
      <w:r w:rsidR="00301A14" w:rsidRPr="002E24C8">
        <w:t xml:space="preserve">that </w:t>
      </w:r>
      <w:r w:rsidR="004A5ED6" w:rsidRPr="002E24C8">
        <w:rPr>
          <w:i/>
        </w:rPr>
        <w:t>SH</w:t>
      </w:r>
      <w:r w:rsidR="004A5ED6" w:rsidRPr="002E24C8">
        <w:t xml:space="preserve"> </w:t>
      </w:r>
      <w:r w:rsidR="00301A14" w:rsidRPr="002E24C8">
        <w:t>is false</w:t>
      </w:r>
      <w:r w:rsidR="00CD3697" w:rsidRPr="002E24C8">
        <w:t xml:space="preserve"> </w:t>
      </w:r>
      <w:r w:rsidR="00980855" w:rsidRPr="002E24C8">
        <w:t>—</w:t>
      </w:r>
      <w:r w:rsidR="00CD3697" w:rsidRPr="002E24C8">
        <w:t xml:space="preserve"> </w:t>
      </w:r>
      <w:r w:rsidR="00301A14" w:rsidRPr="002E24C8">
        <w:rPr>
          <w:color w:val="000000" w:themeColor="text1"/>
        </w:rPr>
        <w:t>can be identified with</w:t>
      </w:r>
      <w:r w:rsidR="00301A14" w:rsidRPr="002E24C8">
        <w:rPr>
          <w:i/>
          <w:color w:val="000000" w:themeColor="text1"/>
        </w:rPr>
        <w:t xml:space="preserve"> </w:t>
      </w:r>
      <w:r w:rsidR="00F544E1" w:rsidRPr="002E24C8">
        <w:rPr>
          <w:color w:val="000000" w:themeColor="text1"/>
        </w:rPr>
        <w:t>Pr</w:t>
      </w:r>
      <w:r w:rsidR="00301A14" w:rsidRPr="002E24C8">
        <w:rPr>
          <w:color w:val="000000" w:themeColor="text1"/>
        </w:rPr>
        <w:t>(</w:t>
      </w:r>
      <w:r w:rsidR="004A5ED6" w:rsidRPr="002E24C8">
        <w:rPr>
          <w:i/>
          <w:color w:val="000000" w:themeColor="text1"/>
        </w:rPr>
        <w:t>SH</w:t>
      </w:r>
      <w:r w:rsidR="00980855" w:rsidRPr="002E24C8">
        <w:rPr>
          <w:color w:val="000000" w:themeColor="text1"/>
        </w:rPr>
        <w:t xml:space="preserve">). </w:t>
      </w:r>
      <w:r w:rsidR="00980855" w:rsidRPr="002E24C8">
        <w:t>And t</w:t>
      </w:r>
      <w:r w:rsidR="00301A14" w:rsidRPr="002E24C8">
        <w:t xml:space="preserve">he degree of </w:t>
      </w:r>
      <w:r w:rsidR="00ED3939" w:rsidRPr="002E24C8">
        <w:t xml:space="preserve">epistemic </w:t>
      </w:r>
      <w:r w:rsidR="00301A14" w:rsidRPr="002E24C8">
        <w:t xml:space="preserve">risk that </w:t>
      </w:r>
      <w:r w:rsidR="001B062D" w:rsidRPr="002E24C8">
        <w:rPr>
          <w:i/>
        </w:rPr>
        <w:t>P</w:t>
      </w:r>
      <w:r w:rsidR="00301A14" w:rsidRPr="002E24C8">
        <w:t xml:space="preserve"> is false</w:t>
      </w:r>
      <w:r w:rsidR="00B973D6" w:rsidRPr="002E24C8">
        <w:t>,</w:t>
      </w:r>
      <w:r w:rsidR="00301A14" w:rsidRPr="002E24C8">
        <w:t xml:space="preserve"> given </w:t>
      </w:r>
      <w:r w:rsidR="004A5ED6" w:rsidRPr="002E24C8">
        <w:rPr>
          <w:i/>
        </w:rPr>
        <w:t>E</w:t>
      </w:r>
      <w:r w:rsidR="00B973D6" w:rsidRPr="002E24C8">
        <w:t xml:space="preserve">, </w:t>
      </w:r>
      <w:r w:rsidR="00301A14" w:rsidRPr="002E24C8">
        <w:t xml:space="preserve">can be identified with </w:t>
      </w:r>
      <w:r w:rsidR="00F544E1" w:rsidRPr="002E24C8">
        <w:t>Pr</w:t>
      </w:r>
      <w:r w:rsidR="00301A14" w:rsidRPr="002E24C8">
        <w:t>(</w:t>
      </w:r>
      <w:r w:rsidR="004A5ED6" w:rsidRPr="002E24C8">
        <w:rPr>
          <w:i/>
        </w:rPr>
        <w:t>¬</w:t>
      </w:r>
      <w:r w:rsidR="001B062D" w:rsidRPr="002E24C8">
        <w:rPr>
          <w:i/>
        </w:rPr>
        <w:t>P</w:t>
      </w:r>
      <w:r w:rsidR="00301A14" w:rsidRPr="002E24C8">
        <w:t>|</w:t>
      </w:r>
      <w:r w:rsidR="004A5ED6" w:rsidRPr="002E24C8">
        <w:rPr>
          <w:i/>
        </w:rPr>
        <w:t>E</w:t>
      </w:r>
      <w:r w:rsidR="00301A14" w:rsidRPr="002E24C8">
        <w:t>).</w:t>
      </w:r>
      <w:r w:rsidR="00B04F62" w:rsidRPr="002E24C8">
        <w:rPr>
          <w:rStyle w:val="FootnoteReference"/>
        </w:rPr>
        <w:footnoteReference w:id="13"/>
      </w:r>
      <w:r w:rsidR="00301A14" w:rsidRPr="002E24C8">
        <w:t xml:space="preserve"> </w:t>
      </w:r>
      <w:r w:rsidR="005F0DF2" w:rsidRPr="002E24C8">
        <w:t>I</w:t>
      </w:r>
      <w:r w:rsidR="00980855" w:rsidRPr="002E24C8">
        <w:t>t is straightforward</w:t>
      </w:r>
      <w:r w:rsidR="00301A14" w:rsidRPr="002E24C8">
        <w:t xml:space="preserve"> to show that </w:t>
      </w:r>
      <w:r w:rsidR="00980855" w:rsidRPr="002E24C8">
        <w:t>White’s resu</w:t>
      </w:r>
      <w:r w:rsidR="00B64B5B" w:rsidRPr="002E24C8">
        <w:t>l</w:t>
      </w:r>
      <w:r w:rsidR="00980855" w:rsidRPr="002E24C8">
        <w:t>t above</w:t>
      </w:r>
    </w:p>
    <w:p w14:paraId="0CD69D68" w14:textId="551C7446" w:rsidR="00980855" w:rsidRPr="002E24C8" w:rsidRDefault="00301A14" w:rsidP="00CF4578">
      <w:pPr>
        <w:spacing w:after="120"/>
        <w:ind w:firstLine="720"/>
      </w:pPr>
      <w:r w:rsidRPr="002E24C8">
        <w:t>(</w:t>
      </w:r>
      <w:r w:rsidR="00D22B9B" w:rsidRPr="002E24C8">
        <w:t>*</w:t>
      </w:r>
      <w:r w:rsidRPr="002E24C8">
        <w:t xml:space="preserve">) </w:t>
      </w:r>
      <w:r w:rsidR="002C5635" w:rsidRPr="002E24C8">
        <w:t xml:space="preserve">  </w:t>
      </w:r>
      <w:r w:rsidR="00F544E1" w:rsidRPr="002E24C8">
        <w:t>Pr</w:t>
      </w:r>
      <w:r w:rsidRPr="002E24C8">
        <w:t>(</w:t>
      </w:r>
      <w:r w:rsidR="001B062D" w:rsidRPr="002E24C8">
        <w:rPr>
          <w:i/>
        </w:rPr>
        <w:t>P</w:t>
      </w:r>
      <w:r w:rsidRPr="002E24C8">
        <w:t>|</w:t>
      </w:r>
      <w:r w:rsidR="004A5ED6" w:rsidRPr="002E24C8">
        <w:rPr>
          <w:i/>
        </w:rPr>
        <w:t>E</w:t>
      </w:r>
      <w:r w:rsidRPr="002E24C8">
        <w:t xml:space="preserve">) &lt; </w:t>
      </w:r>
      <w:r w:rsidR="00F544E1" w:rsidRPr="002E24C8">
        <w:t>Pr</w:t>
      </w:r>
      <w:r w:rsidRPr="002E24C8">
        <w:t>(</w:t>
      </w:r>
      <w:r w:rsidR="004A5ED6" w:rsidRPr="002E24C8">
        <w:rPr>
          <w:i/>
        </w:rPr>
        <w:t>¬SH</w:t>
      </w:r>
      <w:r w:rsidRPr="002E24C8">
        <w:t xml:space="preserve">) </w:t>
      </w:r>
    </w:p>
    <w:p w14:paraId="2D3251D6" w14:textId="20615375" w:rsidR="00301A14" w:rsidRPr="002E24C8" w:rsidRDefault="00301A14" w:rsidP="00104784">
      <w:pPr>
        <w:spacing w:after="120"/>
      </w:pPr>
      <w:r w:rsidRPr="002E24C8">
        <w:t>is equivalent to:</w:t>
      </w:r>
    </w:p>
    <w:p w14:paraId="3696BE73" w14:textId="4C56E224" w:rsidR="00301A14" w:rsidRPr="002E24C8" w:rsidRDefault="00980855" w:rsidP="00BB73E6">
      <w:pPr>
        <w:spacing w:after="120"/>
      </w:pPr>
      <w:r w:rsidRPr="002E24C8">
        <w:tab/>
      </w:r>
      <w:r w:rsidR="00301A14" w:rsidRPr="002E24C8">
        <w:t>(</w:t>
      </w:r>
      <w:r w:rsidR="00846C2B" w:rsidRPr="002E24C8">
        <w:rPr>
          <w:i/>
        </w:rPr>
        <w:t>Quasi-l</w:t>
      </w:r>
      <w:r w:rsidR="00C11AB8" w:rsidRPr="002E24C8">
        <w:rPr>
          <w:i/>
        </w:rPr>
        <w:t>eaching</w:t>
      </w:r>
      <w:r w:rsidR="00301A14" w:rsidRPr="002E24C8">
        <w:t xml:space="preserve">) </w:t>
      </w:r>
      <w:r w:rsidR="002C5635" w:rsidRPr="002E24C8">
        <w:t xml:space="preserve">  </w:t>
      </w:r>
      <w:r w:rsidR="00F544E1" w:rsidRPr="002E24C8">
        <w:t>Pr</w:t>
      </w:r>
      <w:r w:rsidR="00301A14" w:rsidRPr="002E24C8">
        <w:t>(</w:t>
      </w:r>
      <w:r w:rsidR="005F0DF2" w:rsidRPr="002E24C8">
        <w:rPr>
          <w:i/>
        </w:rPr>
        <w:t>¬</w:t>
      </w:r>
      <w:r w:rsidR="001B062D" w:rsidRPr="002E24C8">
        <w:rPr>
          <w:i/>
        </w:rPr>
        <w:t>P</w:t>
      </w:r>
      <w:r w:rsidR="00301A14" w:rsidRPr="002E24C8">
        <w:t>|</w:t>
      </w:r>
      <w:r w:rsidR="004A5ED6" w:rsidRPr="002E24C8">
        <w:rPr>
          <w:i/>
        </w:rPr>
        <w:t>E</w:t>
      </w:r>
      <w:r w:rsidR="00301A14" w:rsidRPr="002E24C8">
        <w:t xml:space="preserve">) &gt; </w:t>
      </w:r>
      <w:r w:rsidR="00F544E1" w:rsidRPr="002E24C8">
        <w:t>Pr</w:t>
      </w:r>
      <w:r w:rsidR="00301A14" w:rsidRPr="002E24C8">
        <w:t>(</w:t>
      </w:r>
      <w:r w:rsidR="004A5ED6" w:rsidRPr="002E24C8">
        <w:rPr>
          <w:i/>
        </w:rPr>
        <w:t>SH</w:t>
      </w:r>
      <w:r w:rsidR="00301A14" w:rsidRPr="002E24C8">
        <w:t>).</w:t>
      </w:r>
      <w:r w:rsidR="00A6724A" w:rsidRPr="002E24C8">
        <w:rPr>
          <w:rStyle w:val="FootnoteReference"/>
        </w:rPr>
        <w:footnoteReference w:id="14"/>
      </w:r>
    </w:p>
    <w:p w14:paraId="75758A41" w14:textId="1511556E" w:rsidR="0067523E" w:rsidRPr="002E24C8" w:rsidRDefault="00301A14" w:rsidP="000278FC">
      <w:r w:rsidRPr="002E24C8">
        <w:t>(</w:t>
      </w:r>
      <w:r w:rsidR="00846C2B" w:rsidRPr="002E24C8">
        <w:rPr>
          <w:i/>
        </w:rPr>
        <w:t>Quasi-l</w:t>
      </w:r>
      <w:r w:rsidR="00C11AB8" w:rsidRPr="002E24C8">
        <w:rPr>
          <w:i/>
        </w:rPr>
        <w:t>eaching</w:t>
      </w:r>
      <w:r w:rsidRPr="002E24C8">
        <w:t>)</w:t>
      </w:r>
      <w:r w:rsidR="002C5635" w:rsidRPr="002E24C8">
        <w:rPr>
          <w:rStyle w:val="FootnoteReference"/>
        </w:rPr>
        <w:footnoteReference w:id="15"/>
      </w:r>
      <w:r w:rsidR="00D316D1" w:rsidRPr="002E24C8">
        <w:t xml:space="preserve"> </w:t>
      </w:r>
      <w:r w:rsidR="00C11AB8" w:rsidRPr="002E24C8">
        <w:t>states</w:t>
      </w:r>
      <w:r w:rsidRPr="002E24C8">
        <w:t xml:space="preserve"> that</w:t>
      </w:r>
      <w:r w:rsidR="00846C2B" w:rsidRPr="002E24C8">
        <w:t>, on assumptions (1) and (2) above,</w:t>
      </w:r>
      <w:r w:rsidRPr="002E24C8">
        <w:t xml:space="preserve"> the </w:t>
      </w:r>
      <w:r w:rsidR="00E70DA8" w:rsidRPr="002E24C8">
        <w:t xml:space="preserve">probability that </w:t>
      </w:r>
      <w:r w:rsidR="00E70DA8" w:rsidRPr="002E24C8">
        <w:rPr>
          <w:i/>
        </w:rPr>
        <w:t>P</w:t>
      </w:r>
      <w:r w:rsidR="00E70DA8" w:rsidRPr="002E24C8">
        <w:t xml:space="preserve"> is false given </w:t>
      </w:r>
      <w:r w:rsidR="00E70DA8" w:rsidRPr="002E24C8">
        <w:rPr>
          <w:i/>
        </w:rPr>
        <w:t>E</w:t>
      </w:r>
      <w:r w:rsidR="00E70DA8" w:rsidRPr="002E24C8">
        <w:t xml:space="preserve"> — so the </w:t>
      </w:r>
      <w:r w:rsidRPr="002E24C8">
        <w:t xml:space="preserve">degree of </w:t>
      </w:r>
      <w:r w:rsidR="00E70DA8" w:rsidRPr="002E24C8">
        <w:t>evidential</w:t>
      </w:r>
      <w:r w:rsidR="00C11AB8" w:rsidRPr="002E24C8">
        <w:t xml:space="preserve"> </w:t>
      </w:r>
      <w:r w:rsidRPr="002E24C8">
        <w:t xml:space="preserve">risk </w:t>
      </w:r>
      <w:r w:rsidR="00A9262B" w:rsidRPr="002E24C8">
        <w:t xml:space="preserve">one runs in accepting </w:t>
      </w:r>
      <w:r w:rsidR="00A9262B" w:rsidRPr="002E24C8">
        <w:rPr>
          <w:i/>
        </w:rPr>
        <w:t>P</w:t>
      </w:r>
      <w:r w:rsidR="00A9262B" w:rsidRPr="002E24C8">
        <w:t xml:space="preserve">, given </w:t>
      </w:r>
      <w:r w:rsidR="00A9262B" w:rsidRPr="002E24C8">
        <w:rPr>
          <w:i/>
        </w:rPr>
        <w:t>E</w:t>
      </w:r>
      <w:r w:rsidR="00CD3697" w:rsidRPr="002E24C8">
        <w:rPr>
          <w:i/>
        </w:rPr>
        <w:t xml:space="preserve"> </w:t>
      </w:r>
      <w:r w:rsidR="00A9262B" w:rsidRPr="002E24C8">
        <w:t>—</w:t>
      </w:r>
      <w:r w:rsidR="00CD3697" w:rsidRPr="002E24C8">
        <w:t xml:space="preserve"> </w:t>
      </w:r>
      <w:r w:rsidRPr="002E24C8">
        <w:t xml:space="preserve">is strictly higher than the </w:t>
      </w:r>
      <w:r w:rsidR="00E70DA8" w:rsidRPr="002E24C8">
        <w:t xml:space="preserve">probability </w:t>
      </w:r>
      <w:r w:rsidR="00B64B5B" w:rsidRPr="002E24C8">
        <w:t>that the sceptical hypothesis is true</w:t>
      </w:r>
      <w:r w:rsidR="00A95148" w:rsidRPr="002E24C8">
        <w:t xml:space="preserve">. </w:t>
      </w:r>
      <w:r w:rsidR="002C5635" w:rsidRPr="002E24C8">
        <w:t xml:space="preserve">So </w:t>
      </w:r>
      <w:r w:rsidR="00776E3C" w:rsidRPr="002E24C8">
        <w:t>you</w:t>
      </w:r>
      <w:r w:rsidR="002C5635" w:rsidRPr="002E24C8">
        <w:t xml:space="preserve"> </w:t>
      </w:r>
      <w:r w:rsidR="00776E3C" w:rsidRPr="002E24C8">
        <w:t>undertake</w:t>
      </w:r>
      <w:r w:rsidR="002C5635" w:rsidRPr="002E24C8">
        <w:t xml:space="preserve"> a greater risk in accepting </w:t>
      </w:r>
      <w:r w:rsidR="001B062D" w:rsidRPr="002E24C8">
        <w:rPr>
          <w:i/>
        </w:rPr>
        <w:t>P</w:t>
      </w:r>
      <w:r w:rsidR="002C5635" w:rsidRPr="002E24C8">
        <w:t xml:space="preserve"> on the basis of the </w:t>
      </w:r>
      <w:r w:rsidR="00776E3C" w:rsidRPr="002E24C8">
        <w:t>experience</w:t>
      </w:r>
      <w:r w:rsidR="002C5635" w:rsidRPr="002E24C8">
        <w:t xml:space="preserve"> depicted by </w:t>
      </w:r>
      <w:r w:rsidR="002C5635" w:rsidRPr="002E24C8">
        <w:rPr>
          <w:i/>
        </w:rPr>
        <w:t>E</w:t>
      </w:r>
      <w:r w:rsidR="002C5635" w:rsidRPr="002E24C8">
        <w:t xml:space="preserve"> than you undertake in rejecting the sceptical hypothesis. </w:t>
      </w:r>
      <w:r w:rsidR="003A0233" w:rsidRPr="002E24C8">
        <w:t xml:space="preserve">You are more likely to be mistaken in thinking you have a hand on the basis of your current visual and kinaesthetic experience as of a hand than you are in discounting the </w:t>
      </w:r>
      <w:r w:rsidR="00FB1F65" w:rsidRPr="002E24C8">
        <w:t>Mischievous</w:t>
      </w:r>
      <w:r w:rsidR="003A0233" w:rsidRPr="002E24C8">
        <w:t xml:space="preserve"> Demon scenario!</w:t>
      </w:r>
    </w:p>
    <w:p w14:paraId="5219AD5E" w14:textId="3110FC28" w:rsidR="00301A14" w:rsidRPr="002E24C8" w:rsidRDefault="0067523E" w:rsidP="000278FC">
      <w:pPr>
        <w:rPr>
          <w:color w:val="000000" w:themeColor="text1"/>
        </w:rPr>
      </w:pPr>
      <w:r w:rsidRPr="002E24C8">
        <w:tab/>
      </w:r>
      <w:r w:rsidR="00955E89" w:rsidRPr="002E24C8">
        <w:rPr>
          <w:color w:val="000000" w:themeColor="text1"/>
        </w:rPr>
        <w:t>More e</w:t>
      </w:r>
      <w:r w:rsidRPr="002E24C8">
        <w:rPr>
          <w:color w:val="000000" w:themeColor="text1"/>
        </w:rPr>
        <w:t>xplicitly: let</w:t>
      </w:r>
      <w:r w:rsidR="00301A14" w:rsidRPr="002E24C8">
        <w:rPr>
          <w:color w:val="000000" w:themeColor="text1"/>
        </w:rPr>
        <w:t xml:space="preserve"> </w:t>
      </w:r>
      <w:r w:rsidR="00301A14" w:rsidRPr="002E24C8">
        <w:rPr>
          <w:i/>
          <w:color w:val="000000" w:themeColor="text1"/>
        </w:rPr>
        <w:t>r</w:t>
      </w:r>
      <w:r w:rsidRPr="002E24C8">
        <w:rPr>
          <w:color w:val="000000" w:themeColor="text1"/>
        </w:rPr>
        <w:t xml:space="preserve"> </w:t>
      </w:r>
      <w:r w:rsidR="00301A14" w:rsidRPr="002E24C8">
        <w:rPr>
          <w:color w:val="000000" w:themeColor="text1"/>
        </w:rPr>
        <w:t>be a</w:t>
      </w:r>
      <w:r w:rsidR="00F0073B" w:rsidRPr="002E24C8">
        <w:rPr>
          <w:color w:val="000000" w:themeColor="text1"/>
        </w:rPr>
        <w:t>n</w:t>
      </w:r>
      <w:r w:rsidR="00301A14" w:rsidRPr="002E24C8">
        <w:rPr>
          <w:color w:val="000000" w:themeColor="text1"/>
        </w:rPr>
        <w:t xml:space="preserve"> </w:t>
      </w:r>
      <w:r w:rsidR="00F0073B" w:rsidRPr="002E24C8">
        <w:rPr>
          <w:i/>
          <w:color w:val="000000" w:themeColor="text1"/>
        </w:rPr>
        <w:t>evidential</w:t>
      </w:r>
      <w:r w:rsidR="005D18F3" w:rsidRPr="002E24C8">
        <w:rPr>
          <w:i/>
          <w:color w:val="000000" w:themeColor="text1"/>
        </w:rPr>
        <w:t xml:space="preserve"> </w:t>
      </w:r>
      <w:r w:rsidR="00301A14" w:rsidRPr="002E24C8">
        <w:rPr>
          <w:i/>
          <w:color w:val="000000" w:themeColor="text1"/>
        </w:rPr>
        <w:t>threshold</w:t>
      </w:r>
      <w:r w:rsidR="00301A14" w:rsidRPr="002E24C8">
        <w:rPr>
          <w:color w:val="000000" w:themeColor="text1"/>
        </w:rPr>
        <w:t xml:space="preserve"> of </w:t>
      </w:r>
      <w:r w:rsidRPr="002E24C8">
        <w:rPr>
          <w:color w:val="000000" w:themeColor="text1"/>
        </w:rPr>
        <w:t>significant epistemic risk, that is</w:t>
      </w:r>
      <w:r w:rsidR="00301A14" w:rsidRPr="002E24C8">
        <w:rPr>
          <w:color w:val="000000" w:themeColor="text1"/>
        </w:rPr>
        <w:t xml:space="preserve">, </w:t>
      </w:r>
      <w:r w:rsidR="007D5688" w:rsidRPr="002E24C8">
        <w:rPr>
          <w:color w:val="000000" w:themeColor="text1"/>
        </w:rPr>
        <w:t xml:space="preserve">for any proposition </w:t>
      </w:r>
      <w:r w:rsidR="007D5688" w:rsidRPr="002E24C8">
        <w:rPr>
          <w:i/>
          <w:color w:val="000000" w:themeColor="text1"/>
        </w:rPr>
        <w:t>Q</w:t>
      </w:r>
      <w:r w:rsidR="007D5688" w:rsidRPr="002E24C8">
        <w:rPr>
          <w:color w:val="000000" w:themeColor="text1"/>
        </w:rPr>
        <w:t xml:space="preserve"> a</w:t>
      </w:r>
      <w:r w:rsidR="00465B1E" w:rsidRPr="002E24C8">
        <w:rPr>
          <w:color w:val="000000" w:themeColor="text1"/>
        </w:rPr>
        <w:t>n</w:t>
      </w:r>
      <w:r w:rsidR="007D5688" w:rsidRPr="002E24C8">
        <w:rPr>
          <w:color w:val="000000" w:themeColor="text1"/>
        </w:rPr>
        <w:t xml:space="preserve">d evidence </w:t>
      </w:r>
      <w:r w:rsidR="008F68BA" w:rsidRPr="002E24C8">
        <w:rPr>
          <w:i/>
          <w:color w:val="000000" w:themeColor="text1"/>
        </w:rPr>
        <w:t>E</w:t>
      </w:r>
      <w:r w:rsidR="00F0073B" w:rsidRPr="002E24C8">
        <w:rPr>
          <w:color w:val="000000" w:themeColor="text1"/>
        </w:rPr>
        <w:t>,</w:t>
      </w:r>
      <w:r w:rsidR="007D5688" w:rsidRPr="002E24C8">
        <w:rPr>
          <w:color w:val="000000" w:themeColor="text1"/>
        </w:rPr>
        <w:t xml:space="preserve"> </w:t>
      </w:r>
      <w:r w:rsidR="00F0073B" w:rsidRPr="002E24C8">
        <w:rPr>
          <w:color w:val="000000" w:themeColor="text1"/>
        </w:rPr>
        <w:t>if</w:t>
      </w:r>
      <w:r w:rsidRPr="002E24C8">
        <w:rPr>
          <w:color w:val="000000" w:themeColor="text1"/>
        </w:rPr>
        <w:t xml:space="preserve"> </w:t>
      </w:r>
      <w:r w:rsidR="00F544E1" w:rsidRPr="002E24C8">
        <w:rPr>
          <w:color w:val="000000" w:themeColor="text1"/>
        </w:rPr>
        <w:t>Pr</w:t>
      </w:r>
      <w:r w:rsidRPr="002E24C8">
        <w:rPr>
          <w:color w:val="000000" w:themeColor="text1"/>
        </w:rPr>
        <w:t>(</w:t>
      </w:r>
      <w:r w:rsidRPr="002E24C8">
        <w:rPr>
          <w:i/>
          <w:color w:val="000000" w:themeColor="text1"/>
        </w:rPr>
        <w:t>Q</w:t>
      </w:r>
      <w:r w:rsidR="00B07412">
        <w:rPr>
          <w:color w:val="000000" w:themeColor="text1"/>
        </w:rPr>
        <w:t>|</w:t>
      </w:r>
      <w:r w:rsidR="008F68BA" w:rsidRPr="002E24C8">
        <w:rPr>
          <w:i/>
          <w:color w:val="000000" w:themeColor="text1"/>
        </w:rPr>
        <w:t>E</w:t>
      </w:r>
      <w:r w:rsidRPr="002E24C8">
        <w:rPr>
          <w:color w:val="000000" w:themeColor="text1"/>
        </w:rPr>
        <w:t>) &gt;</w:t>
      </w:r>
      <w:r w:rsidR="00301A14" w:rsidRPr="002E24C8">
        <w:rPr>
          <w:color w:val="000000" w:themeColor="text1"/>
        </w:rPr>
        <w:t xml:space="preserve"> </w:t>
      </w:r>
      <w:r w:rsidR="00301A14" w:rsidRPr="002E24C8">
        <w:rPr>
          <w:i/>
          <w:color w:val="000000" w:themeColor="text1"/>
        </w:rPr>
        <w:t>r</w:t>
      </w:r>
      <w:r w:rsidR="00301A14" w:rsidRPr="002E24C8">
        <w:rPr>
          <w:color w:val="000000" w:themeColor="text1"/>
        </w:rPr>
        <w:t xml:space="preserve">, the risk that </w:t>
      </w:r>
      <w:r w:rsidRPr="002E24C8">
        <w:rPr>
          <w:i/>
          <w:color w:val="000000" w:themeColor="text1"/>
        </w:rPr>
        <w:t>Q</w:t>
      </w:r>
      <w:r w:rsidR="00301A14" w:rsidRPr="002E24C8">
        <w:rPr>
          <w:color w:val="000000" w:themeColor="text1"/>
        </w:rPr>
        <w:t xml:space="preserve"> is false</w:t>
      </w:r>
      <w:r w:rsidRPr="002E24C8">
        <w:rPr>
          <w:color w:val="000000" w:themeColor="text1"/>
        </w:rPr>
        <w:t xml:space="preserve"> for a subject</w:t>
      </w:r>
      <w:r w:rsidRPr="002E24C8">
        <w:rPr>
          <w:i/>
          <w:color w:val="000000" w:themeColor="text1"/>
        </w:rPr>
        <w:t>, S</w:t>
      </w:r>
      <w:r w:rsidRPr="002E24C8">
        <w:rPr>
          <w:color w:val="000000" w:themeColor="text1"/>
        </w:rPr>
        <w:t xml:space="preserve">, whose only germane evidence is </w:t>
      </w:r>
      <w:r w:rsidR="008F68BA" w:rsidRPr="002E24C8">
        <w:rPr>
          <w:i/>
          <w:color w:val="000000" w:themeColor="text1"/>
        </w:rPr>
        <w:t>E</w:t>
      </w:r>
      <w:r w:rsidR="00301A14" w:rsidRPr="002E24C8">
        <w:rPr>
          <w:color w:val="000000" w:themeColor="text1"/>
        </w:rPr>
        <w:t xml:space="preserve"> is so high that </w:t>
      </w:r>
      <w:r w:rsidR="00301A14" w:rsidRPr="002E24C8">
        <w:rPr>
          <w:i/>
          <w:color w:val="000000" w:themeColor="text1"/>
        </w:rPr>
        <w:t>S</w:t>
      </w:r>
      <w:r w:rsidR="00301A14" w:rsidRPr="002E24C8">
        <w:rPr>
          <w:color w:val="000000" w:themeColor="text1"/>
        </w:rPr>
        <w:t xml:space="preserve">’s </w:t>
      </w:r>
      <w:r w:rsidR="00CF4578" w:rsidRPr="002E24C8">
        <w:rPr>
          <w:color w:val="000000" w:themeColor="text1"/>
        </w:rPr>
        <w:t>accepting</w:t>
      </w:r>
      <w:r w:rsidR="00301A14" w:rsidRPr="002E24C8">
        <w:rPr>
          <w:color w:val="000000" w:themeColor="text1"/>
        </w:rPr>
        <w:t xml:space="preserve"> that proposition would be</w:t>
      </w:r>
      <w:r w:rsidR="00CF4578" w:rsidRPr="002E24C8">
        <w:rPr>
          <w:color w:val="000000" w:themeColor="text1"/>
        </w:rPr>
        <w:t xml:space="preserve"> </w:t>
      </w:r>
      <w:r w:rsidR="00F0073B" w:rsidRPr="002E24C8">
        <w:rPr>
          <w:color w:val="000000" w:themeColor="text1"/>
        </w:rPr>
        <w:t xml:space="preserve">evidentially </w:t>
      </w:r>
      <w:r w:rsidR="00301A14" w:rsidRPr="002E24C8">
        <w:rPr>
          <w:color w:val="000000" w:themeColor="text1"/>
        </w:rPr>
        <w:t xml:space="preserve">unjustified. </w:t>
      </w:r>
      <w:r w:rsidRPr="002E24C8">
        <w:rPr>
          <w:color w:val="000000" w:themeColor="text1"/>
        </w:rPr>
        <w:t xml:space="preserve">Then </w:t>
      </w:r>
      <w:r w:rsidR="00301A14" w:rsidRPr="002E24C8">
        <w:rPr>
          <w:color w:val="000000" w:themeColor="text1"/>
        </w:rPr>
        <w:t>(</w:t>
      </w:r>
      <w:r w:rsidR="00B64B5B" w:rsidRPr="002E24C8">
        <w:rPr>
          <w:i/>
          <w:color w:val="000000" w:themeColor="text1"/>
        </w:rPr>
        <w:t>Quasi-leaching</w:t>
      </w:r>
      <w:r w:rsidR="00301A14" w:rsidRPr="002E24C8">
        <w:rPr>
          <w:color w:val="000000" w:themeColor="text1"/>
        </w:rPr>
        <w:t xml:space="preserve">) entails that if </w:t>
      </w:r>
      <w:r w:rsidR="00F544E1" w:rsidRPr="002E24C8">
        <w:rPr>
          <w:color w:val="000000" w:themeColor="text1"/>
        </w:rPr>
        <w:t>Pr</w:t>
      </w:r>
      <w:r w:rsidR="00301A14" w:rsidRPr="002E24C8">
        <w:rPr>
          <w:color w:val="000000" w:themeColor="text1"/>
        </w:rPr>
        <w:t>(</w:t>
      </w:r>
      <w:r w:rsidR="00C5231C" w:rsidRPr="002E24C8">
        <w:rPr>
          <w:i/>
          <w:color w:val="000000" w:themeColor="text1"/>
        </w:rPr>
        <w:t>SH</w:t>
      </w:r>
      <w:r w:rsidR="00301A14" w:rsidRPr="002E24C8">
        <w:rPr>
          <w:color w:val="000000" w:themeColor="text1"/>
        </w:rPr>
        <w:t xml:space="preserve">) &gt; </w:t>
      </w:r>
      <w:r w:rsidR="00301A14" w:rsidRPr="002E24C8">
        <w:rPr>
          <w:i/>
          <w:color w:val="000000" w:themeColor="text1"/>
        </w:rPr>
        <w:t>r</w:t>
      </w:r>
      <w:r w:rsidR="00301A14" w:rsidRPr="002E24C8">
        <w:rPr>
          <w:color w:val="000000" w:themeColor="text1"/>
        </w:rPr>
        <w:t xml:space="preserve">, then </w:t>
      </w:r>
      <w:r w:rsidR="00F544E1" w:rsidRPr="002E24C8">
        <w:rPr>
          <w:color w:val="000000" w:themeColor="text1"/>
        </w:rPr>
        <w:t>Pr</w:t>
      </w:r>
      <w:r w:rsidR="00301A14" w:rsidRPr="002E24C8">
        <w:rPr>
          <w:color w:val="000000" w:themeColor="text1"/>
        </w:rPr>
        <w:t>(</w:t>
      </w:r>
      <w:r w:rsidR="00942E26" w:rsidRPr="002E24C8">
        <w:rPr>
          <w:i/>
          <w:color w:val="000000" w:themeColor="text1"/>
        </w:rPr>
        <w:t>¬</w:t>
      </w:r>
      <w:r w:rsidR="001B062D" w:rsidRPr="002E24C8">
        <w:rPr>
          <w:i/>
          <w:color w:val="000000" w:themeColor="text1"/>
        </w:rPr>
        <w:t>P</w:t>
      </w:r>
      <w:r w:rsidR="00301A14" w:rsidRPr="002E24C8">
        <w:rPr>
          <w:color w:val="000000" w:themeColor="text1"/>
        </w:rPr>
        <w:t>|</w:t>
      </w:r>
      <w:r w:rsidR="00C5231C" w:rsidRPr="002E24C8">
        <w:rPr>
          <w:i/>
          <w:color w:val="000000" w:themeColor="text1"/>
        </w:rPr>
        <w:t>E</w:t>
      </w:r>
      <w:r w:rsidR="00301A14" w:rsidRPr="002E24C8">
        <w:rPr>
          <w:color w:val="000000" w:themeColor="text1"/>
        </w:rPr>
        <w:t xml:space="preserve">) &gt; </w:t>
      </w:r>
      <w:r w:rsidR="00301A14" w:rsidRPr="002E24C8">
        <w:rPr>
          <w:i/>
          <w:color w:val="000000" w:themeColor="text1"/>
        </w:rPr>
        <w:t>r</w:t>
      </w:r>
      <w:r w:rsidR="00301A14" w:rsidRPr="002E24C8">
        <w:rPr>
          <w:color w:val="000000" w:themeColor="text1"/>
        </w:rPr>
        <w:t>. That is to say,</w:t>
      </w:r>
      <w:bookmarkStart w:id="0" w:name="__DdeLink__2357_18615935551"/>
      <w:r w:rsidR="00301A14" w:rsidRPr="002E24C8">
        <w:rPr>
          <w:color w:val="000000" w:themeColor="text1"/>
        </w:rPr>
        <w:t xml:space="preserve"> </w:t>
      </w:r>
      <w:bookmarkEnd w:id="0"/>
      <w:r w:rsidR="00301A14" w:rsidRPr="002E24C8">
        <w:rPr>
          <w:color w:val="000000" w:themeColor="text1"/>
        </w:rPr>
        <w:t xml:space="preserve">if </w:t>
      </w:r>
      <w:r w:rsidR="00301A14" w:rsidRPr="002E24C8">
        <w:rPr>
          <w:i/>
          <w:color w:val="000000" w:themeColor="text1"/>
        </w:rPr>
        <w:t>S</w:t>
      </w:r>
      <w:r w:rsidR="00301A14" w:rsidRPr="002E24C8">
        <w:rPr>
          <w:color w:val="000000" w:themeColor="text1"/>
        </w:rPr>
        <w:t xml:space="preserve">’s accepting </w:t>
      </w:r>
      <w:r w:rsidR="00C5231C" w:rsidRPr="002E24C8">
        <w:rPr>
          <w:i/>
          <w:color w:val="000000" w:themeColor="text1"/>
        </w:rPr>
        <w:t>¬SH</w:t>
      </w:r>
      <w:r w:rsidR="00C5231C" w:rsidRPr="002E24C8">
        <w:rPr>
          <w:color w:val="000000" w:themeColor="text1"/>
        </w:rPr>
        <w:t xml:space="preserve"> </w:t>
      </w:r>
      <w:r w:rsidR="00301A14" w:rsidRPr="002E24C8">
        <w:rPr>
          <w:color w:val="000000" w:themeColor="text1"/>
        </w:rPr>
        <w:t>on the basis of a non-evidential entitlement</w:t>
      </w:r>
      <w:r w:rsidR="00BC6B07" w:rsidRPr="002E24C8">
        <w:rPr>
          <w:color w:val="000000" w:themeColor="text1"/>
        </w:rPr>
        <w:t xml:space="preserve"> –– </w:t>
      </w:r>
      <w:r w:rsidR="00301A14" w:rsidRPr="002E24C8">
        <w:rPr>
          <w:color w:val="000000" w:themeColor="text1"/>
        </w:rPr>
        <w:t xml:space="preserve">and so prior to learning </w:t>
      </w:r>
      <w:r w:rsidR="00C5231C" w:rsidRPr="002E24C8">
        <w:rPr>
          <w:i/>
          <w:color w:val="000000" w:themeColor="text1"/>
        </w:rPr>
        <w:t>E</w:t>
      </w:r>
      <w:r w:rsidR="00BC6B07" w:rsidRPr="002E24C8">
        <w:rPr>
          <w:color w:val="000000" w:themeColor="text1"/>
        </w:rPr>
        <w:t xml:space="preserve"> –– </w:t>
      </w:r>
      <w:r w:rsidR="00301A14" w:rsidRPr="002E24C8">
        <w:rPr>
          <w:color w:val="000000" w:themeColor="text1"/>
        </w:rPr>
        <w:t xml:space="preserve">is </w:t>
      </w:r>
      <w:r w:rsidR="00F0073B" w:rsidRPr="002E24C8">
        <w:rPr>
          <w:i/>
          <w:color w:val="000000" w:themeColor="text1"/>
        </w:rPr>
        <w:t>evidentially</w:t>
      </w:r>
      <w:r w:rsidR="00301A14" w:rsidRPr="002E24C8">
        <w:rPr>
          <w:color w:val="000000" w:themeColor="text1"/>
        </w:rPr>
        <w:t xml:space="preserve"> </w:t>
      </w:r>
      <w:r w:rsidRPr="002E24C8">
        <w:rPr>
          <w:color w:val="000000" w:themeColor="text1"/>
        </w:rPr>
        <w:t xml:space="preserve">unjustifiably </w:t>
      </w:r>
      <w:r w:rsidR="00301A14" w:rsidRPr="002E24C8">
        <w:rPr>
          <w:color w:val="000000" w:themeColor="text1"/>
        </w:rPr>
        <w:t xml:space="preserve">risky, </w:t>
      </w:r>
      <w:r w:rsidR="00301A14" w:rsidRPr="002E24C8">
        <w:rPr>
          <w:i/>
          <w:color w:val="000000" w:themeColor="text1"/>
        </w:rPr>
        <w:t>S</w:t>
      </w:r>
      <w:r w:rsidR="00301A14" w:rsidRPr="002E24C8">
        <w:rPr>
          <w:color w:val="000000" w:themeColor="text1"/>
        </w:rPr>
        <w:t xml:space="preserve">’s accepting </w:t>
      </w:r>
      <w:r w:rsidR="001B062D" w:rsidRPr="002E24C8">
        <w:rPr>
          <w:i/>
          <w:color w:val="000000" w:themeColor="text1"/>
        </w:rPr>
        <w:t>P</w:t>
      </w:r>
      <w:r w:rsidR="00301A14" w:rsidRPr="002E24C8">
        <w:rPr>
          <w:color w:val="000000" w:themeColor="text1"/>
        </w:rPr>
        <w:t xml:space="preserve"> upon </w:t>
      </w:r>
      <w:r w:rsidR="00F0073B" w:rsidRPr="002E24C8">
        <w:rPr>
          <w:color w:val="000000" w:themeColor="text1"/>
        </w:rPr>
        <w:t>acquisition of the evidence</w:t>
      </w:r>
      <w:r w:rsidR="00301A14" w:rsidRPr="002E24C8">
        <w:rPr>
          <w:color w:val="000000" w:themeColor="text1"/>
        </w:rPr>
        <w:t xml:space="preserve"> </w:t>
      </w:r>
      <w:r w:rsidR="00C5231C" w:rsidRPr="002E24C8">
        <w:rPr>
          <w:i/>
          <w:color w:val="000000" w:themeColor="text1"/>
        </w:rPr>
        <w:t>E</w:t>
      </w:r>
      <w:r w:rsidR="00301A14" w:rsidRPr="002E24C8">
        <w:rPr>
          <w:color w:val="000000" w:themeColor="text1"/>
        </w:rPr>
        <w:t xml:space="preserve"> is also </w:t>
      </w:r>
      <w:r w:rsidR="00F0073B" w:rsidRPr="002E24C8">
        <w:rPr>
          <w:color w:val="000000" w:themeColor="text1"/>
        </w:rPr>
        <w:t>evidenti</w:t>
      </w:r>
      <w:r w:rsidR="00301A14" w:rsidRPr="002E24C8">
        <w:rPr>
          <w:color w:val="000000" w:themeColor="text1"/>
        </w:rPr>
        <w:t xml:space="preserve">ally </w:t>
      </w:r>
      <w:r w:rsidRPr="002E24C8">
        <w:rPr>
          <w:color w:val="000000" w:themeColor="text1"/>
        </w:rPr>
        <w:t xml:space="preserve">unjustifiably </w:t>
      </w:r>
      <w:r w:rsidR="00301A14" w:rsidRPr="002E24C8">
        <w:rPr>
          <w:color w:val="000000" w:themeColor="text1"/>
        </w:rPr>
        <w:t>risky</w:t>
      </w:r>
      <w:r w:rsidR="00301A14" w:rsidRPr="002E24C8">
        <w:rPr>
          <w:iCs/>
          <w:color w:val="000000" w:themeColor="text1"/>
        </w:rPr>
        <w:t>.</w:t>
      </w:r>
      <w:r w:rsidR="009F25A7" w:rsidRPr="002E24C8">
        <w:rPr>
          <w:rStyle w:val="FootnoteReference"/>
          <w:iCs/>
          <w:color w:val="000000" w:themeColor="text1"/>
        </w:rPr>
        <w:footnoteReference w:id="16"/>
      </w:r>
    </w:p>
    <w:p w14:paraId="65E658B3" w14:textId="2894FD11" w:rsidR="001F5252" w:rsidRPr="002E24C8" w:rsidRDefault="000278FC" w:rsidP="00BB73E6">
      <w:pPr>
        <w:spacing w:after="120"/>
      </w:pPr>
      <w:r w:rsidRPr="002E24C8">
        <w:tab/>
      </w:r>
      <w:r w:rsidR="003064A6" w:rsidRPr="002E24C8">
        <w:t xml:space="preserve">It </w:t>
      </w:r>
      <w:r w:rsidR="000637C5" w:rsidRPr="002E24C8">
        <w:t xml:space="preserve">is </w:t>
      </w:r>
      <w:r w:rsidR="00F0073B" w:rsidRPr="002E24C8">
        <w:t xml:space="preserve">a </w:t>
      </w:r>
      <w:r w:rsidR="00974AC6" w:rsidRPr="002E24C8">
        <w:t>matter</w:t>
      </w:r>
      <w:r w:rsidR="00F0073B" w:rsidRPr="002E24C8">
        <w:t xml:space="preserve"> for judgement </w:t>
      </w:r>
      <w:r w:rsidR="00974AC6" w:rsidRPr="002E24C8">
        <w:t>whether</w:t>
      </w:r>
      <w:r w:rsidR="003064A6" w:rsidRPr="002E24C8">
        <w:t xml:space="preserve"> this result </w:t>
      </w:r>
      <w:r w:rsidR="00905BD8" w:rsidRPr="002E24C8">
        <w:t xml:space="preserve">directly </w:t>
      </w:r>
      <w:r w:rsidR="00974AC6" w:rsidRPr="002E24C8">
        <w:t>contradicts</w:t>
      </w:r>
      <w:r w:rsidR="003064A6" w:rsidRPr="002E24C8">
        <w:t xml:space="preserve"> Wright’s response to the </w:t>
      </w:r>
      <w:r w:rsidR="00974AC6" w:rsidRPr="002E24C8">
        <w:t>original</w:t>
      </w:r>
      <w:r w:rsidR="003064A6" w:rsidRPr="002E24C8">
        <w:t xml:space="preserve"> </w:t>
      </w:r>
      <w:r w:rsidR="00C43DD1" w:rsidRPr="002E24C8">
        <w:t>L</w:t>
      </w:r>
      <w:r w:rsidR="00974AC6" w:rsidRPr="002E24C8">
        <w:t>eaching</w:t>
      </w:r>
      <w:r w:rsidR="003064A6" w:rsidRPr="002E24C8">
        <w:t xml:space="preserve"> </w:t>
      </w:r>
      <w:r w:rsidR="0086798A" w:rsidRPr="002E24C8">
        <w:t>worry</w:t>
      </w:r>
      <w:r w:rsidR="003064A6" w:rsidRPr="002E24C8">
        <w:t xml:space="preserve"> or </w:t>
      </w:r>
      <w:r w:rsidR="00974AC6" w:rsidRPr="002E24C8">
        <w:t>whether</w:t>
      </w:r>
      <w:r w:rsidR="003064A6" w:rsidRPr="002E24C8">
        <w:t xml:space="preserve"> it merely </w:t>
      </w:r>
      <w:r w:rsidR="00905BD8" w:rsidRPr="002E24C8">
        <w:t>drains away</w:t>
      </w:r>
      <w:r w:rsidR="003064A6" w:rsidRPr="002E24C8">
        <w:t xml:space="preserve"> its </w:t>
      </w:r>
      <w:r w:rsidR="00632F2B" w:rsidRPr="002E24C8">
        <w:t xml:space="preserve">purported </w:t>
      </w:r>
      <w:r w:rsidR="00974AC6" w:rsidRPr="002E24C8">
        <w:t>significance</w:t>
      </w:r>
      <w:r w:rsidR="003064A6" w:rsidRPr="002E24C8">
        <w:t xml:space="preserve">. </w:t>
      </w:r>
      <w:r w:rsidR="00974AC6" w:rsidRPr="002E24C8">
        <w:t xml:space="preserve">Wright’s response was that while your </w:t>
      </w:r>
      <w:r w:rsidR="00974AC6" w:rsidRPr="002E24C8">
        <w:rPr>
          <w:i/>
        </w:rPr>
        <w:t>evidential</w:t>
      </w:r>
      <w:r w:rsidR="00974AC6" w:rsidRPr="002E24C8">
        <w:t xml:space="preserve"> deficiency in relation to the material world </w:t>
      </w:r>
      <w:r w:rsidR="00974AC6" w:rsidRPr="002E24C8">
        <w:lastRenderedPageBreak/>
        <w:t>cornerstone should be acknowledged, you still retain a rational entitlement to accept it, and w</w:t>
      </w:r>
      <w:r w:rsidR="00920710" w:rsidRPr="002E24C8">
        <w:t>ithin the epistemic framework provided by</w:t>
      </w:r>
      <w:r w:rsidR="00974AC6" w:rsidRPr="002E24C8">
        <w:t xml:space="preserve"> that acceptance, </w:t>
      </w:r>
      <w:r w:rsidR="00920710" w:rsidRPr="002E24C8">
        <w:t>are therefore entitled</w:t>
      </w:r>
      <w:r w:rsidR="00974AC6" w:rsidRPr="002E24C8">
        <w:t xml:space="preserve"> to regard your experience as powerfully evidential, indeed as knowledge-conferring</w:t>
      </w:r>
      <w:r w:rsidR="006725D1" w:rsidRPr="002E24C8">
        <w:t>,</w:t>
      </w:r>
      <w:r w:rsidR="00974AC6" w:rsidRPr="002E24C8">
        <w:t xml:space="preserve"> for </w:t>
      </w:r>
      <w:r w:rsidR="001B062D" w:rsidRPr="002E24C8">
        <w:rPr>
          <w:i/>
        </w:rPr>
        <w:t>P</w:t>
      </w:r>
      <w:r w:rsidR="00974AC6" w:rsidRPr="002E24C8">
        <w:t xml:space="preserve">. If there is a risk in accepting that </w:t>
      </w:r>
      <w:r w:rsidR="00974AC6" w:rsidRPr="002E24C8">
        <w:rPr>
          <w:i/>
        </w:rPr>
        <w:t>SH i</w:t>
      </w:r>
      <w:r w:rsidR="00974AC6" w:rsidRPr="002E24C8">
        <w:t xml:space="preserve">s false, that risk, the suggestion was, properly transmits not to the acceptance of </w:t>
      </w:r>
      <w:r w:rsidR="001B062D" w:rsidRPr="002E24C8">
        <w:rPr>
          <w:i/>
        </w:rPr>
        <w:t>P</w:t>
      </w:r>
      <w:r w:rsidR="00974AC6" w:rsidRPr="002E24C8">
        <w:t xml:space="preserve"> </w:t>
      </w:r>
      <w:r w:rsidR="0086798A" w:rsidRPr="002E24C8">
        <w:t xml:space="preserve">itself </w:t>
      </w:r>
      <w:r w:rsidR="00974AC6" w:rsidRPr="002E24C8">
        <w:t xml:space="preserve">but only to the second-order claim that one knows </w:t>
      </w:r>
      <w:r w:rsidR="001B062D" w:rsidRPr="002E24C8">
        <w:rPr>
          <w:i/>
        </w:rPr>
        <w:t>P</w:t>
      </w:r>
      <w:r w:rsidR="00974AC6" w:rsidRPr="002E24C8">
        <w:t xml:space="preserve"> on the basis of one’s experience</w:t>
      </w:r>
      <w:r w:rsidR="00154DC5" w:rsidRPr="002E24C8">
        <w:t xml:space="preserve"> </w:t>
      </w:r>
      <w:r w:rsidR="00974AC6" w:rsidRPr="002E24C8">
        <w:t>—</w:t>
      </w:r>
      <w:r w:rsidR="00154DC5" w:rsidRPr="002E24C8">
        <w:t xml:space="preserve"> </w:t>
      </w:r>
      <w:r w:rsidR="00974AC6" w:rsidRPr="002E24C8">
        <w:t xml:space="preserve">in effect, to the claim that one’s experience of </w:t>
      </w:r>
      <w:r w:rsidR="00974AC6" w:rsidRPr="002E24C8">
        <w:rPr>
          <w:i/>
        </w:rPr>
        <w:t>E</w:t>
      </w:r>
      <w:r w:rsidR="00974AC6" w:rsidRPr="002E24C8">
        <w:t xml:space="preserve"> is a source of knowledge. </w:t>
      </w:r>
      <w:r w:rsidR="00E706AF" w:rsidRPr="002E24C8">
        <w:t>Moreover</w:t>
      </w:r>
      <w:r w:rsidR="00974AC6" w:rsidRPr="002E24C8">
        <w:t xml:space="preserve"> that risky claim can still be one </w:t>
      </w:r>
      <w:r w:rsidR="00E706AF" w:rsidRPr="002E24C8">
        <w:t>to whi</w:t>
      </w:r>
      <w:r w:rsidR="00974AC6" w:rsidRPr="002E24C8">
        <w:t>ch o</w:t>
      </w:r>
      <w:r w:rsidR="00E706AF" w:rsidRPr="002E24C8">
        <w:t>ne is ration</w:t>
      </w:r>
      <w:r w:rsidR="00974AC6" w:rsidRPr="002E24C8">
        <w:t xml:space="preserve">ally </w:t>
      </w:r>
      <w:r w:rsidR="00E706AF" w:rsidRPr="002E24C8">
        <w:t>e</w:t>
      </w:r>
      <w:r w:rsidR="00974AC6" w:rsidRPr="002E24C8">
        <w:t>ntit</w:t>
      </w:r>
      <w:r w:rsidR="00E706AF" w:rsidRPr="002E24C8">
        <w:t>l</w:t>
      </w:r>
      <w:r w:rsidR="00974AC6" w:rsidRPr="002E24C8">
        <w:t xml:space="preserve">ed.  </w:t>
      </w:r>
      <w:r w:rsidR="007A7485" w:rsidRPr="002E24C8">
        <w:t>However t</w:t>
      </w:r>
      <w:r w:rsidR="000356FA" w:rsidRPr="002E24C8">
        <w:t xml:space="preserve">he </w:t>
      </w:r>
      <w:r w:rsidR="00E27924" w:rsidRPr="002E24C8">
        <w:t>s</w:t>
      </w:r>
      <w:r w:rsidR="000356FA" w:rsidRPr="002E24C8">
        <w:t xml:space="preserve">ting in </w:t>
      </w:r>
      <w:r w:rsidR="007A7485" w:rsidRPr="002E24C8">
        <w:t>(</w:t>
      </w:r>
      <w:r w:rsidR="007A7485" w:rsidRPr="002E24C8">
        <w:rPr>
          <w:i/>
        </w:rPr>
        <w:t>Quasi-</w:t>
      </w:r>
      <w:r w:rsidR="00855430" w:rsidRPr="002E24C8">
        <w:rPr>
          <w:i/>
        </w:rPr>
        <w:t>leaching</w:t>
      </w:r>
      <w:r w:rsidR="007A7485" w:rsidRPr="002E24C8">
        <w:t>)</w:t>
      </w:r>
      <w:r w:rsidR="000356FA" w:rsidRPr="002E24C8">
        <w:t xml:space="preserve"> i</w:t>
      </w:r>
      <w:r w:rsidR="00632F2B" w:rsidRPr="002E24C8">
        <w:t>s that it is</w:t>
      </w:r>
      <w:r w:rsidR="0086798A" w:rsidRPr="002E24C8">
        <w:t>, seemingly,</w:t>
      </w:r>
      <w:r w:rsidR="00632F2B" w:rsidRPr="002E24C8">
        <w:t xml:space="preserve"> </w:t>
      </w:r>
      <w:r w:rsidR="00632F2B" w:rsidRPr="002E24C8">
        <w:rPr>
          <w:i/>
        </w:rPr>
        <w:t xml:space="preserve">the acceptance of </w:t>
      </w:r>
      <w:r w:rsidR="001B062D" w:rsidRPr="002E24C8">
        <w:rPr>
          <w:i/>
        </w:rPr>
        <w:t>P</w:t>
      </w:r>
      <w:r w:rsidR="00E27924" w:rsidRPr="002E24C8">
        <w:rPr>
          <w:i/>
        </w:rPr>
        <w:t xml:space="preserve"> itsel</w:t>
      </w:r>
      <w:r w:rsidR="00AA56A1" w:rsidRPr="002E24C8">
        <w:rPr>
          <w:i/>
        </w:rPr>
        <w:t>f</w:t>
      </w:r>
      <w:r w:rsidR="00AA56A1" w:rsidRPr="002E24C8">
        <w:t xml:space="preserve"> on the basis of </w:t>
      </w:r>
      <w:r w:rsidR="00AA56A1" w:rsidRPr="002E24C8">
        <w:rPr>
          <w:i/>
        </w:rPr>
        <w:t xml:space="preserve">E </w:t>
      </w:r>
      <w:r w:rsidR="000356FA" w:rsidRPr="002E24C8">
        <w:t xml:space="preserve">and not merely the </w:t>
      </w:r>
      <w:r w:rsidR="00855430" w:rsidRPr="002E24C8">
        <w:t>second-order</w:t>
      </w:r>
      <w:r w:rsidR="006725D1" w:rsidRPr="002E24C8">
        <w:t xml:space="preserve"> claim to know it, </w:t>
      </w:r>
      <w:r w:rsidR="000356FA" w:rsidRPr="002E24C8">
        <w:t xml:space="preserve">that is </w:t>
      </w:r>
      <w:r w:rsidR="00855430" w:rsidRPr="002E24C8">
        <w:t>disclosed</w:t>
      </w:r>
      <w:r w:rsidR="00632F2B" w:rsidRPr="002E24C8">
        <w:t xml:space="preserve"> as eviden</w:t>
      </w:r>
      <w:r w:rsidR="00AA56A1" w:rsidRPr="002E24C8">
        <w:t xml:space="preserve">tially dangerous. </w:t>
      </w:r>
      <w:r w:rsidR="00A43BF9" w:rsidRPr="002E24C8">
        <w:t xml:space="preserve">Knowing </w:t>
      </w:r>
      <w:r w:rsidR="001B062D" w:rsidRPr="002E24C8">
        <w:rPr>
          <w:i/>
        </w:rPr>
        <w:t>P</w:t>
      </w:r>
      <w:r w:rsidR="00AA56A1" w:rsidRPr="002E24C8">
        <w:t xml:space="preserve"> is not </w:t>
      </w:r>
      <w:r w:rsidR="00855430" w:rsidRPr="002E24C8">
        <w:t>consistent</w:t>
      </w:r>
      <w:r w:rsidR="00AA56A1" w:rsidRPr="002E24C8">
        <w:t xml:space="preserve"> with </w:t>
      </w:r>
      <w:r w:rsidR="00855430" w:rsidRPr="002E24C8">
        <w:t>undertaking</w:t>
      </w:r>
      <w:r w:rsidR="00C87476" w:rsidRPr="002E24C8">
        <w:t xml:space="preserve"> a significant </w:t>
      </w:r>
      <w:r w:rsidR="00855430" w:rsidRPr="002E24C8">
        <w:t>epistemic</w:t>
      </w:r>
      <w:r w:rsidR="00AA56A1" w:rsidRPr="002E24C8">
        <w:t xml:space="preserve"> risk</w:t>
      </w:r>
      <w:r w:rsidR="006725D1" w:rsidRPr="002E24C8">
        <w:t xml:space="preserve"> in accepting </w:t>
      </w:r>
      <w:r w:rsidR="001B062D" w:rsidRPr="002E24C8">
        <w:rPr>
          <w:i/>
        </w:rPr>
        <w:t>P</w:t>
      </w:r>
      <w:r w:rsidR="00AA56A1" w:rsidRPr="002E24C8">
        <w:t xml:space="preserve">. </w:t>
      </w:r>
      <w:r w:rsidR="00855430" w:rsidRPr="002E24C8">
        <w:t xml:space="preserve">So even if one enjoys nevertheless a rational entitlement to claim to know </w:t>
      </w:r>
      <w:r w:rsidR="001B062D" w:rsidRPr="002E24C8">
        <w:rPr>
          <w:i/>
        </w:rPr>
        <w:t>P</w:t>
      </w:r>
      <w:r w:rsidR="00855430" w:rsidRPr="002E24C8">
        <w:t xml:space="preserve"> on the basis of </w:t>
      </w:r>
      <w:r w:rsidR="00855430" w:rsidRPr="002E24C8">
        <w:rPr>
          <w:i/>
        </w:rPr>
        <w:t>E</w:t>
      </w:r>
      <w:r w:rsidR="00855430" w:rsidRPr="002E24C8">
        <w:t>, the result established in (</w:t>
      </w:r>
      <w:r w:rsidR="00855430" w:rsidRPr="002E24C8">
        <w:rPr>
          <w:i/>
        </w:rPr>
        <w:t>Quasi-leaching</w:t>
      </w:r>
      <w:r w:rsidR="00855430" w:rsidRPr="002E24C8">
        <w:t xml:space="preserve">) has not gone away that to </w:t>
      </w:r>
      <w:r w:rsidR="00855430" w:rsidRPr="002E24C8">
        <w:rPr>
          <w:i/>
        </w:rPr>
        <w:t>act on</w:t>
      </w:r>
      <w:r w:rsidR="00855430" w:rsidRPr="002E24C8">
        <w:t xml:space="preserve"> that alleged entitlement — that is, actually to accept </w:t>
      </w:r>
      <w:r w:rsidR="001B062D" w:rsidRPr="002E24C8">
        <w:rPr>
          <w:i/>
        </w:rPr>
        <w:t>P</w:t>
      </w:r>
      <w:r w:rsidR="008021D1" w:rsidRPr="002E24C8">
        <w:rPr>
          <w:i/>
        </w:rPr>
        <w:t xml:space="preserve"> </w:t>
      </w:r>
      <w:r w:rsidR="00855430" w:rsidRPr="002E24C8">
        <w:t xml:space="preserve">— is yet </w:t>
      </w:r>
      <w:r w:rsidR="00855430" w:rsidRPr="002E24C8">
        <w:rPr>
          <w:i/>
        </w:rPr>
        <w:t xml:space="preserve">more </w:t>
      </w:r>
      <w:r w:rsidR="00855430" w:rsidRPr="002E24C8">
        <w:t>epistemically risky than to accept the cornerstone, the riskiness of which was acknowledged by the Entitl</w:t>
      </w:r>
      <w:r w:rsidR="00920710" w:rsidRPr="002E24C8">
        <w:t>ement proposal from the start. That proposal</w:t>
      </w:r>
      <w:r w:rsidR="00855430" w:rsidRPr="002E24C8">
        <w:t>, it appears, must therefore c</w:t>
      </w:r>
      <w:r w:rsidR="00DA5B0B" w:rsidRPr="002E24C8">
        <w:t>ontrive some way of blocking White</w:t>
      </w:r>
      <w:r w:rsidR="00FC1B0D">
        <w:t>-Moretti</w:t>
      </w:r>
      <w:r w:rsidR="00DA5B0B" w:rsidRPr="002E24C8">
        <w:t>’s</w:t>
      </w:r>
      <w:r w:rsidR="00855430" w:rsidRPr="002E24C8">
        <w:t xml:space="preserve"> result. </w:t>
      </w:r>
    </w:p>
    <w:p w14:paraId="3E0794A5" w14:textId="22481225" w:rsidR="005D18F3" w:rsidRPr="002E24C8" w:rsidRDefault="00922749" w:rsidP="006152E9">
      <w:pPr>
        <w:contextualSpacing/>
        <w:rPr>
          <w:b/>
        </w:rPr>
      </w:pPr>
      <w:r w:rsidRPr="002E24C8">
        <w:rPr>
          <w:b/>
        </w:rPr>
        <w:t>5</w:t>
      </w:r>
      <w:r w:rsidR="003F6E05" w:rsidRPr="002E24C8">
        <w:rPr>
          <w:b/>
        </w:rPr>
        <w:t>.</w:t>
      </w:r>
      <w:r w:rsidRPr="002E24C8">
        <w:rPr>
          <w:b/>
        </w:rPr>
        <w:t xml:space="preserve"> Three</w:t>
      </w:r>
      <w:r w:rsidR="005D18F3" w:rsidRPr="002E24C8">
        <w:rPr>
          <w:b/>
        </w:rPr>
        <w:t xml:space="preserve"> responses</w:t>
      </w:r>
    </w:p>
    <w:p w14:paraId="02FDA778" w14:textId="2B988ECA" w:rsidR="00C50283" w:rsidRPr="002E24C8" w:rsidRDefault="00C50283" w:rsidP="00644D60">
      <w:pPr>
        <w:spacing w:after="120"/>
        <w:rPr>
          <w:iCs/>
        </w:rPr>
      </w:pPr>
      <w:r w:rsidRPr="002E24C8">
        <w:t xml:space="preserve">We shall canvass three </w:t>
      </w:r>
      <w:r w:rsidR="007936D1" w:rsidRPr="002E24C8">
        <w:t>possible</w:t>
      </w:r>
      <w:r w:rsidRPr="002E24C8">
        <w:t xml:space="preserve"> </w:t>
      </w:r>
      <w:r w:rsidR="007936D1" w:rsidRPr="002E24C8">
        <w:t>responses</w:t>
      </w:r>
      <w:r w:rsidRPr="002E24C8">
        <w:t xml:space="preserve"> on behalf of the Entitlement theorist,</w:t>
      </w:r>
      <w:r w:rsidR="003C326A" w:rsidRPr="002E24C8">
        <w:t xml:space="preserve"> the first of which </w:t>
      </w:r>
      <w:r w:rsidR="00F215A3" w:rsidRPr="002E24C8">
        <w:t xml:space="preserve">we will argue is </w:t>
      </w:r>
      <w:r w:rsidR="00644D60" w:rsidRPr="002E24C8">
        <w:t>beside the point</w:t>
      </w:r>
      <w:r w:rsidR="00F215A3" w:rsidRPr="002E24C8">
        <w:t>, while</w:t>
      </w:r>
      <w:r w:rsidR="003C326A" w:rsidRPr="002E24C8">
        <w:t xml:space="preserve"> the second and </w:t>
      </w:r>
      <w:r w:rsidR="007936D1" w:rsidRPr="002E24C8">
        <w:t>third</w:t>
      </w:r>
      <w:r w:rsidR="003C326A" w:rsidRPr="002E24C8">
        <w:t xml:space="preserve"> may offer better prospects for stabilising </w:t>
      </w:r>
      <w:r w:rsidR="007936D1" w:rsidRPr="002E24C8">
        <w:t>Wright’s</w:t>
      </w:r>
      <w:r w:rsidR="003C326A" w:rsidRPr="002E24C8">
        <w:t xml:space="preserve"> proposal.</w:t>
      </w:r>
    </w:p>
    <w:p w14:paraId="51A10A14" w14:textId="52EB25B6" w:rsidR="002D439F" w:rsidRPr="002E24C8" w:rsidRDefault="00570554" w:rsidP="006152E9">
      <w:pPr>
        <w:contextualSpacing/>
        <w:rPr>
          <w:iCs/>
        </w:rPr>
      </w:pPr>
      <w:r w:rsidRPr="002E24C8">
        <w:tab/>
      </w:r>
      <w:r w:rsidR="00C96CCF" w:rsidRPr="002E24C8">
        <w:t xml:space="preserve">(i) </w:t>
      </w:r>
      <w:r w:rsidR="00957951" w:rsidRPr="002E24C8">
        <w:t>First, i</w:t>
      </w:r>
      <w:r w:rsidR="00C96CCF" w:rsidRPr="002E24C8">
        <w:t xml:space="preserve">t might be suggested that since there is no evidence in support of the kind of sceptical hypotheses we are concerned with, their evidential probability ought actually to be reckoned to be very low, so that our trust in their negations should not be considered to be epistemically risky in the first place. </w:t>
      </w:r>
      <w:r w:rsidR="002D439F" w:rsidRPr="002E24C8">
        <w:t>In that case,</w:t>
      </w:r>
      <w:r w:rsidR="007C0159" w:rsidRPr="002E24C8">
        <w:t xml:space="preserve"> </w:t>
      </w:r>
      <w:r w:rsidR="00BB3E73" w:rsidRPr="002E24C8">
        <w:t xml:space="preserve">the </w:t>
      </w:r>
      <w:r w:rsidR="00C43DD1" w:rsidRPr="002E24C8">
        <w:t>L</w:t>
      </w:r>
      <w:r w:rsidR="00BB3E73" w:rsidRPr="002E24C8">
        <w:t>eaching worry i</w:t>
      </w:r>
      <w:r w:rsidR="00091CE8" w:rsidRPr="002E24C8">
        <w:t xml:space="preserve">s misconceived from the get-go: </w:t>
      </w:r>
      <w:r w:rsidR="00C63368" w:rsidRPr="002E24C8">
        <w:t>there is no</w:t>
      </w:r>
      <w:r w:rsidR="00A540CF" w:rsidRPr="002E24C8">
        <w:t xml:space="preserve"> </w:t>
      </w:r>
      <w:r w:rsidR="00C96CCF" w:rsidRPr="002E24C8">
        <w:t>significant</w:t>
      </w:r>
      <w:r w:rsidR="00091CE8" w:rsidRPr="002E24C8">
        <w:t xml:space="preserve"> </w:t>
      </w:r>
      <w:r w:rsidR="00A540CF" w:rsidRPr="002E24C8">
        <w:t>epistemic risk</w:t>
      </w:r>
      <w:r w:rsidR="00C63368" w:rsidRPr="002E24C8">
        <w:t xml:space="preserve"> </w:t>
      </w:r>
      <w:r w:rsidR="00AB50E5" w:rsidRPr="002E24C8">
        <w:t>that we run by accepting</w:t>
      </w:r>
      <w:r w:rsidR="00091CE8" w:rsidRPr="002E24C8">
        <w:t xml:space="preserve"> cornerstones</w:t>
      </w:r>
      <w:r w:rsidR="002D439F" w:rsidRPr="002E24C8">
        <w:t xml:space="preserve"> </w:t>
      </w:r>
      <w:r w:rsidR="002868AF" w:rsidRPr="002E24C8">
        <w:t>and that</w:t>
      </w:r>
      <w:r w:rsidR="00AB50E5" w:rsidRPr="002E24C8">
        <w:t xml:space="preserve"> </w:t>
      </w:r>
      <w:r w:rsidR="002D439F" w:rsidRPr="002E24C8">
        <w:t>might</w:t>
      </w:r>
      <w:r w:rsidR="006D5871" w:rsidRPr="002E24C8">
        <w:t xml:space="preserve"> </w:t>
      </w:r>
      <w:r w:rsidR="002D439F" w:rsidRPr="002E24C8">
        <w:t xml:space="preserve">leach upwards to our </w:t>
      </w:r>
      <w:r w:rsidR="002107F2" w:rsidRPr="002E24C8">
        <w:t xml:space="preserve">routine </w:t>
      </w:r>
      <w:r w:rsidR="00C96CCF" w:rsidRPr="002E24C8">
        <w:t>acceptance</w:t>
      </w:r>
      <w:r w:rsidR="002D439F" w:rsidRPr="002E24C8">
        <w:t xml:space="preserve"> of quotidian propositions that entail them.</w:t>
      </w:r>
    </w:p>
    <w:p w14:paraId="7C81F50D" w14:textId="510A41D8" w:rsidR="00F336A0" w:rsidRPr="002E24C8" w:rsidRDefault="002D439F" w:rsidP="00F336A0">
      <w:pPr>
        <w:rPr>
          <w:iCs/>
        </w:rPr>
      </w:pPr>
      <w:r w:rsidRPr="002E24C8">
        <w:tab/>
      </w:r>
      <w:r w:rsidR="00957951" w:rsidRPr="002E24C8">
        <w:t>Indeed</w:t>
      </w:r>
      <w:r w:rsidR="002868AF" w:rsidRPr="002E24C8">
        <w:t xml:space="preserve">, </w:t>
      </w:r>
      <w:r w:rsidR="00DA5B0B" w:rsidRPr="002E24C8">
        <w:t xml:space="preserve">it might seem that </w:t>
      </w:r>
      <w:r w:rsidR="002868AF" w:rsidRPr="002E24C8">
        <w:t>t</w:t>
      </w:r>
      <w:r w:rsidR="00AB50E5" w:rsidRPr="002E24C8">
        <w:t>he</w:t>
      </w:r>
      <w:r w:rsidR="002868AF" w:rsidRPr="002E24C8">
        <w:t>r</w:t>
      </w:r>
      <w:r w:rsidR="00AB50E5" w:rsidRPr="002E24C8">
        <w:t xml:space="preserve">e is a standpoint from which this </w:t>
      </w:r>
      <w:r w:rsidR="00C96CCF" w:rsidRPr="002E24C8">
        <w:t>response</w:t>
      </w:r>
      <w:r w:rsidR="00AB50E5" w:rsidRPr="002E24C8">
        <w:t xml:space="preserve"> is </w:t>
      </w:r>
      <w:r w:rsidR="00DA5B0B" w:rsidRPr="002E24C8">
        <w:t>fully justified</w:t>
      </w:r>
      <w:r w:rsidR="00215E52" w:rsidRPr="002E24C8">
        <w:t>.</w:t>
      </w:r>
      <w:r w:rsidR="000D1837" w:rsidRPr="002E24C8">
        <w:t xml:space="preserve"> </w:t>
      </w:r>
      <w:r w:rsidR="00AB50E5" w:rsidRPr="002E24C8">
        <w:t>Reflect</w:t>
      </w:r>
      <w:r w:rsidR="006D271E" w:rsidRPr="002E24C8">
        <w:t xml:space="preserve"> that if</w:t>
      </w:r>
      <w:r w:rsidR="00030DDD" w:rsidRPr="002E24C8">
        <w:t xml:space="preserve"> </w:t>
      </w:r>
      <w:r w:rsidR="00F544E1" w:rsidRPr="002E24C8">
        <w:t>Pr</w:t>
      </w:r>
      <w:r w:rsidR="006D271E" w:rsidRPr="002E24C8">
        <w:t>(</w:t>
      </w:r>
      <w:r w:rsidR="006D271E" w:rsidRPr="002E24C8">
        <w:rPr>
          <w:i/>
        </w:rPr>
        <w:t>SH</w:t>
      </w:r>
      <w:r w:rsidR="006D271E" w:rsidRPr="002E24C8">
        <w:t xml:space="preserve">) </w:t>
      </w:r>
      <w:r w:rsidR="00691BB3" w:rsidRPr="002E24C8">
        <w:t>were</w:t>
      </w:r>
      <w:r w:rsidR="006D271E" w:rsidRPr="002E24C8">
        <w:t xml:space="preserve"> very </w:t>
      </w:r>
      <w:r w:rsidR="004B6454" w:rsidRPr="002E24C8">
        <w:t>low</w:t>
      </w:r>
      <w:r w:rsidR="006D271E" w:rsidRPr="002E24C8">
        <w:t xml:space="preserve">, </w:t>
      </w:r>
      <w:r w:rsidR="00AB50E5" w:rsidRPr="002E24C8">
        <w:t xml:space="preserve">then </w:t>
      </w:r>
      <w:r w:rsidR="005C6C1D" w:rsidRPr="002E24C8">
        <w:t>since</w:t>
      </w:r>
      <w:r w:rsidR="006D271E" w:rsidRPr="002E24C8">
        <w:t xml:space="preserve"> </w:t>
      </w:r>
      <w:r w:rsidR="00F544E1" w:rsidRPr="002E24C8">
        <w:t>Pr</w:t>
      </w:r>
      <w:r w:rsidR="006D271E" w:rsidRPr="002E24C8">
        <w:t>(</w:t>
      </w:r>
      <w:r w:rsidR="006D271E" w:rsidRPr="002E24C8">
        <w:rPr>
          <w:i/>
        </w:rPr>
        <w:t>SH</w:t>
      </w:r>
      <w:r w:rsidR="006D271E" w:rsidRPr="002E24C8">
        <w:t xml:space="preserve">) + </w:t>
      </w:r>
      <w:r w:rsidR="00F544E1" w:rsidRPr="002E24C8">
        <w:t>Pr</w:t>
      </w:r>
      <w:r w:rsidR="006D271E" w:rsidRPr="002E24C8">
        <w:t>(</w:t>
      </w:r>
      <w:r w:rsidR="006D271E" w:rsidRPr="002E24C8">
        <w:rPr>
          <w:i/>
        </w:rPr>
        <w:t>¬SH</w:t>
      </w:r>
      <w:r w:rsidR="006D271E" w:rsidRPr="002E24C8">
        <w:t>)</w:t>
      </w:r>
      <w:r w:rsidR="004B6454" w:rsidRPr="002E24C8">
        <w:t xml:space="preserve"> = 1</w:t>
      </w:r>
      <w:r w:rsidR="006D271E" w:rsidRPr="002E24C8">
        <w:t xml:space="preserve">, </w:t>
      </w:r>
      <w:r w:rsidR="00F544E1" w:rsidRPr="002E24C8">
        <w:t>Pr</w:t>
      </w:r>
      <w:r w:rsidR="006D271E" w:rsidRPr="002E24C8">
        <w:t>(</w:t>
      </w:r>
      <w:r w:rsidR="006D271E" w:rsidRPr="002E24C8">
        <w:rPr>
          <w:i/>
        </w:rPr>
        <w:t>¬SH</w:t>
      </w:r>
      <w:r w:rsidR="006D271E" w:rsidRPr="002E24C8">
        <w:t xml:space="preserve">) </w:t>
      </w:r>
      <w:r w:rsidR="00D001A3" w:rsidRPr="002E24C8">
        <w:t>should</w:t>
      </w:r>
      <w:r w:rsidR="006D271E" w:rsidRPr="002E24C8">
        <w:t xml:space="preserve"> be </w:t>
      </w:r>
      <w:r w:rsidR="00F15428" w:rsidRPr="002E24C8">
        <w:rPr>
          <w:i/>
        </w:rPr>
        <w:t>extremely</w:t>
      </w:r>
      <w:r w:rsidR="006D271E" w:rsidRPr="002E24C8">
        <w:rPr>
          <w:i/>
        </w:rPr>
        <w:t xml:space="preserve"> </w:t>
      </w:r>
      <w:r w:rsidR="004B6454" w:rsidRPr="002E24C8">
        <w:rPr>
          <w:i/>
        </w:rPr>
        <w:t>high</w:t>
      </w:r>
      <w:r w:rsidR="006D271E" w:rsidRPr="002E24C8">
        <w:t>.</w:t>
      </w:r>
      <w:r w:rsidR="004B6454" w:rsidRPr="002E24C8">
        <w:t xml:space="preserve"> </w:t>
      </w:r>
      <w:r w:rsidR="00DE448E" w:rsidRPr="002E24C8">
        <w:t>I</w:t>
      </w:r>
      <w:r w:rsidR="00AB50E5" w:rsidRPr="002E24C8">
        <w:t xml:space="preserve">t follows that one who offers this first </w:t>
      </w:r>
      <w:r w:rsidR="00C96CCF" w:rsidRPr="002E24C8">
        <w:t>response</w:t>
      </w:r>
      <w:r w:rsidR="00AB50E5" w:rsidRPr="002E24C8">
        <w:t xml:space="preserve"> is committed to holding that we have an </w:t>
      </w:r>
      <w:r w:rsidR="00DA5B0B" w:rsidRPr="002E24C8">
        <w:t>overwhelming justification for accepting</w:t>
      </w:r>
      <w:r w:rsidR="00AB50E5" w:rsidRPr="002E24C8">
        <w:t xml:space="preserve"> the </w:t>
      </w:r>
      <w:r w:rsidR="00C96CCF" w:rsidRPr="002E24C8">
        <w:t>negation</w:t>
      </w:r>
      <w:r w:rsidR="00AB50E5" w:rsidRPr="002E24C8">
        <w:t xml:space="preserve"> of </w:t>
      </w:r>
      <w:r w:rsidR="00AB50E5" w:rsidRPr="002E24C8">
        <w:rPr>
          <w:i/>
        </w:rPr>
        <w:t>SH</w:t>
      </w:r>
      <w:r w:rsidR="00AB50E5" w:rsidRPr="002E24C8">
        <w:t xml:space="preserve"> — an </w:t>
      </w:r>
      <w:r w:rsidR="00DA5B0B" w:rsidRPr="002E24C8">
        <w:t xml:space="preserve">overwhelming justification </w:t>
      </w:r>
      <w:r w:rsidR="00F336A0" w:rsidRPr="002E24C8">
        <w:t>for holding</w:t>
      </w:r>
      <w:r w:rsidR="00AB50E5" w:rsidRPr="002E24C8">
        <w:t xml:space="preserve"> that </w:t>
      </w:r>
      <w:r w:rsidR="00C96CCF" w:rsidRPr="002E24C8">
        <w:t>there</w:t>
      </w:r>
      <w:r w:rsidR="00AB50E5" w:rsidRPr="002E24C8">
        <w:t xml:space="preserve"> is an external material world, that other minds are real, etc. </w:t>
      </w:r>
      <w:r w:rsidR="00E75782" w:rsidRPr="002E24C8">
        <w:t xml:space="preserve">How might that claim be backed up? Well, </w:t>
      </w:r>
      <w:r w:rsidR="00F336A0" w:rsidRPr="002E24C8">
        <w:t xml:space="preserve">isn’t that </w:t>
      </w:r>
      <w:r w:rsidR="00AB50E5" w:rsidRPr="002E24C8">
        <w:t xml:space="preserve">exactly the </w:t>
      </w:r>
      <w:r w:rsidR="00F336A0" w:rsidRPr="002E24C8">
        <w:t>position</w:t>
      </w:r>
      <w:r w:rsidR="00AB50E5" w:rsidRPr="002E24C8">
        <w:t xml:space="preserve"> of the kind of </w:t>
      </w:r>
      <w:r w:rsidR="00C96CCF" w:rsidRPr="002E24C8">
        <w:t>Moorean</w:t>
      </w:r>
      <w:r w:rsidR="00AB50E5" w:rsidRPr="002E24C8">
        <w:t xml:space="preserve"> </w:t>
      </w:r>
      <w:r w:rsidR="00AB50E5" w:rsidRPr="002E24C8">
        <w:rPr>
          <w:i/>
        </w:rPr>
        <w:t>liberalism</w:t>
      </w:r>
      <w:r w:rsidR="00AB50E5" w:rsidRPr="002E24C8">
        <w:t xml:space="preserve"> defended by </w:t>
      </w:r>
      <w:r w:rsidR="001B062D" w:rsidRPr="002E24C8">
        <w:t>P</w:t>
      </w:r>
      <w:r w:rsidR="00F336A0" w:rsidRPr="002E24C8">
        <w:t>ryor and others?</w:t>
      </w:r>
      <w:r w:rsidR="0001699E" w:rsidRPr="002E24C8">
        <w:rPr>
          <w:rStyle w:val="FootnoteReference"/>
        </w:rPr>
        <w:t xml:space="preserve"> </w:t>
      </w:r>
      <w:r w:rsidR="00A522A1" w:rsidRPr="002E24C8">
        <w:rPr>
          <w:rStyle w:val="FootnoteReference"/>
        </w:rPr>
        <w:footnoteReference w:id="17"/>
      </w:r>
      <w:r w:rsidR="00A522A1" w:rsidRPr="002E24C8">
        <w:rPr>
          <w:vertAlign w:val="superscript"/>
        </w:rPr>
        <w:t>,</w:t>
      </w:r>
      <w:r w:rsidR="0001699E" w:rsidRPr="002E24C8">
        <w:rPr>
          <w:rStyle w:val="FootnoteReference"/>
        </w:rPr>
        <w:footnoteReference w:id="18"/>
      </w:r>
      <w:r w:rsidR="00AB50E5" w:rsidRPr="002E24C8">
        <w:t xml:space="preserve"> </w:t>
      </w:r>
    </w:p>
    <w:p w14:paraId="2EE8C0A2" w14:textId="549ADE54" w:rsidR="00FD20EC" w:rsidRPr="002E24C8" w:rsidRDefault="00F336A0" w:rsidP="00570554">
      <w:pPr>
        <w:spacing w:after="120"/>
        <w:rPr>
          <w:iCs/>
        </w:rPr>
      </w:pPr>
      <w:r w:rsidRPr="002E24C8">
        <w:lastRenderedPageBreak/>
        <w:tab/>
      </w:r>
      <w:r w:rsidR="00E75782" w:rsidRPr="002E24C8">
        <w:t>Such</w:t>
      </w:r>
      <w:r w:rsidR="00DE448E" w:rsidRPr="002E24C8">
        <w:t xml:space="preserve"> is indeed the </w:t>
      </w:r>
      <w:r w:rsidR="004466ED" w:rsidRPr="002E24C8">
        <w:t xml:space="preserve">Moorean </w:t>
      </w:r>
      <w:r w:rsidR="00DE448E" w:rsidRPr="002E24C8">
        <w:t>liberal position, but invoking it here is doubly irrelevant</w:t>
      </w:r>
      <w:r w:rsidR="00EA6299" w:rsidRPr="002E24C8">
        <w:t>. First,</w:t>
      </w:r>
      <w:r w:rsidR="00C96CCF" w:rsidRPr="002E24C8">
        <w:t xml:space="preserve"> </w:t>
      </w:r>
      <w:r w:rsidR="00DE448E" w:rsidRPr="002E24C8">
        <w:t>our concern is</w:t>
      </w:r>
      <w:r w:rsidR="00C96CCF" w:rsidRPr="002E24C8">
        <w:t xml:space="preserve"> with the </w:t>
      </w:r>
      <w:r w:rsidR="002F5A57" w:rsidRPr="002E24C8">
        <w:t>stability</w:t>
      </w:r>
      <w:r w:rsidR="00C96CCF" w:rsidRPr="002E24C8">
        <w:t xml:space="preserve"> of the kind of response to scepticism proposed in the opposed </w:t>
      </w:r>
      <w:r w:rsidR="00C96CCF" w:rsidRPr="002E24C8">
        <w:rPr>
          <w:i/>
        </w:rPr>
        <w:t>conservative</w:t>
      </w:r>
      <w:r w:rsidR="00C96CCF" w:rsidRPr="002E24C8">
        <w:t xml:space="preserve"> sp</w:t>
      </w:r>
      <w:r w:rsidR="00AC5523" w:rsidRPr="002E24C8">
        <w:t>i</w:t>
      </w:r>
      <w:r w:rsidR="00C96CCF" w:rsidRPr="002E24C8">
        <w:t>rit</w:t>
      </w:r>
      <w:r w:rsidR="00AC5523" w:rsidRPr="002E24C8">
        <w:t xml:space="preserve"> that </w:t>
      </w:r>
      <w:r w:rsidR="00972A4B" w:rsidRPr="002E24C8">
        <w:t xml:space="preserve">already </w:t>
      </w:r>
      <w:r w:rsidR="00AC5523" w:rsidRPr="002E24C8">
        <w:t>concedes</w:t>
      </w:r>
      <w:r w:rsidR="00C96CCF" w:rsidRPr="002E24C8">
        <w:t xml:space="preserve"> that the sceptical arguments do indeed make a case that the cornerstones are beyond evidence.</w:t>
      </w:r>
      <w:r w:rsidR="00EA6299" w:rsidRPr="002E24C8">
        <w:t xml:space="preserve"> </w:t>
      </w:r>
      <w:r w:rsidR="00E75782" w:rsidRPr="002E24C8">
        <w:t>But s</w:t>
      </w:r>
      <w:r w:rsidR="00EA6299" w:rsidRPr="002E24C8">
        <w:t>econd, there is</w:t>
      </w:r>
      <w:r w:rsidR="00513732" w:rsidRPr="002E24C8">
        <w:t xml:space="preserve"> </w:t>
      </w:r>
      <w:r w:rsidR="00DE448E" w:rsidRPr="002E24C8">
        <w:t xml:space="preserve">anyway </w:t>
      </w:r>
      <w:r w:rsidR="00513732" w:rsidRPr="002E24C8">
        <w:t>an implicit misunder</w:t>
      </w:r>
      <w:r w:rsidR="00E75782" w:rsidRPr="002E24C8">
        <w:t>standi</w:t>
      </w:r>
      <w:r w:rsidR="0001699E" w:rsidRPr="002E24C8">
        <w:t>ng of White’s result. That</w:t>
      </w:r>
      <w:r w:rsidR="00513732" w:rsidRPr="002E24C8">
        <w:t xml:space="preserve"> result is that </w:t>
      </w:r>
      <w:r w:rsidR="00EA6299" w:rsidRPr="002E24C8">
        <w:t>the probability one attributes to</w:t>
      </w:r>
      <w:r w:rsidR="00513732" w:rsidRPr="002E24C8">
        <w:t xml:space="preserve"> </w:t>
      </w:r>
      <w:r w:rsidR="00513732" w:rsidRPr="002E24C8">
        <w:rPr>
          <w:i/>
        </w:rPr>
        <w:t xml:space="preserve">P, </w:t>
      </w:r>
      <w:r w:rsidR="00513732" w:rsidRPr="002E24C8">
        <w:t>given</w:t>
      </w:r>
      <w:r w:rsidR="00513732" w:rsidRPr="002E24C8">
        <w:rPr>
          <w:i/>
        </w:rPr>
        <w:t xml:space="preserve"> E</w:t>
      </w:r>
      <w:r w:rsidR="00513732" w:rsidRPr="002E24C8">
        <w:t>,</w:t>
      </w:r>
      <w:r w:rsidR="0001699E" w:rsidRPr="002E24C8">
        <w:t xml:space="preserve"> is c</w:t>
      </w:r>
      <w:r w:rsidR="002F5A57" w:rsidRPr="002E24C8">
        <w:t>o</w:t>
      </w:r>
      <w:r w:rsidR="0001699E" w:rsidRPr="002E24C8">
        <w:t>nstr</w:t>
      </w:r>
      <w:r w:rsidR="002F5A57" w:rsidRPr="002E24C8">
        <w:t>a</w:t>
      </w:r>
      <w:r w:rsidR="0001699E" w:rsidRPr="002E24C8">
        <w:t xml:space="preserve">ined to be lower than </w:t>
      </w:r>
      <w:r w:rsidR="00513732" w:rsidRPr="002E24C8">
        <w:t xml:space="preserve">the </w:t>
      </w:r>
      <w:r w:rsidR="00513732" w:rsidRPr="002E24C8">
        <w:rPr>
          <w:i/>
        </w:rPr>
        <w:t>prior</w:t>
      </w:r>
      <w:r w:rsidR="0001699E" w:rsidRPr="002E24C8">
        <w:t xml:space="preserve"> probability one assigns to the negation</w:t>
      </w:r>
      <w:r w:rsidR="00513732" w:rsidRPr="002E24C8">
        <w:t xml:space="preserve"> of </w:t>
      </w:r>
      <w:r w:rsidR="00513732" w:rsidRPr="002E24C8">
        <w:rPr>
          <w:i/>
        </w:rPr>
        <w:t>SH</w:t>
      </w:r>
      <w:r w:rsidR="00513732" w:rsidRPr="002E24C8">
        <w:t>.</w:t>
      </w:r>
      <w:r w:rsidR="00DE448E" w:rsidRPr="002E24C8">
        <w:t xml:space="preserve"> Thus</w:t>
      </w:r>
      <w:r w:rsidR="0001699E" w:rsidRPr="002E24C8">
        <w:t xml:space="preserve"> even if, as </w:t>
      </w:r>
      <w:r w:rsidR="003C53E1" w:rsidRPr="002E24C8">
        <w:t xml:space="preserve">Moorean </w:t>
      </w:r>
      <w:r w:rsidR="0001699E" w:rsidRPr="002E24C8">
        <w:t>liberalism supposes, the cornerstones have accumulated over</w:t>
      </w:r>
      <w:r w:rsidR="00570554" w:rsidRPr="002E24C8">
        <w:t>w</w:t>
      </w:r>
      <w:r w:rsidR="0001699E" w:rsidRPr="002E24C8">
        <w:t xml:space="preserve">helming evidential support from </w:t>
      </w:r>
      <w:r w:rsidR="00BB3E73" w:rsidRPr="002E24C8">
        <w:t>centuries of</w:t>
      </w:r>
      <w:r w:rsidR="0001699E" w:rsidRPr="002E24C8">
        <w:t xml:space="preserve"> </w:t>
      </w:r>
      <w:r w:rsidR="00972A4B" w:rsidRPr="002E24C8">
        <w:t xml:space="preserve">humankind’s </w:t>
      </w:r>
      <w:r w:rsidR="0001699E" w:rsidRPr="002E24C8">
        <w:t xml:space="preserve">quotidian experience, that says nothing about the probability they should be reckoned to have in advance of any particular experience. </w:t>
      </w:r>
      <w:r w:rsidR="00DE448E" w:rsidRPr="002E24C8">
        <w:t>But</w:t>
      </w:r>
      <w:r w:rsidR="00957951" w:rsidRPr="002E24C8">
        <w:t xml:space="preserve"> it is that proba</w:t>
      </w:r>
      <w:r w:rsidR="00DE448E" w:rsidRPr="002E24C8">
        <w:t>bility which</w:t>
      </w:r>
      <w:r w:rsidR="00FD20EC" w:rsidRPr="002E24C8">
        <w:t xml:space="preserve"> an entitlement theorist who grants</w:t>
      </w:r>
      <w:r w:rsidR="00957951" w:rsidRPr="002E24C8">
        <w:t xml:space="preserve"> that the acceptance of cornerstones is </w:t>
      </w:r>
      <w:r w:rsidR="00E75782" w:rsidRPr="002E24C8">
        <w:t xml:space="preserve">irremediably </w:t>
      </w:r>
      <w:r w:rsidR="00957951" w:rsidRPr="002E24C8">
        <w:t xml:space="preserve">significantly risky, </w:t>
      </w:r>
      <w:r w:rsidR="00FD20EC" w:rsidRPr="002E24C8">
        <w:t>thereby arguably concedes</w:t>
      </w:r>
      <w:r w:rsidR="00DE448E" w:rsidRPr="002E24C8">
        <w:t xml:space="preserve"> to be significantly </w:t>
      </w:r>
      <w:r w:rsidR="00972A4B" w:rsidRPr="002E24C8">
        <w:t xml:space="preserve">below </w:t>
      </w:r>
      <w:r w:rsidR="00E75782" w:rsidRPr="002E24C8">
        <w:t>1</w:t>
      </w:r>
      <w:r w:rsidR="00DE448E" w:rsidRPr="002E24C8">
        <w:t xml:space="preserve">, </w:t>
      </w:r>
      <w:r w:rsidR="00957951" w:rsidRPr="002E24C8">
        <w:t xml:space="preserve">thereby conceding </w:t>
      </w:r>
      <w:r w:rsidR="00FD20EC" w:rsidRPr="002E24C8">
        <w:t xml:space="preserve">the first premise of White’s reasoning, </w:t>
      </w:r>
    </w:p>
    <w:p w14:paraId="239BDB21" w14:textId="66AB9DA8" w:rsidR="00301A14" w:rsidRPr="002E24C8" w:rsidRDefault="00FD20EC" w:rsidP="00BB73E6">
      <w:pPr>
        <w:spacing w:after="120"/>
        <w:rPr>
          <w:iCs/>
        </w:rPr>
      </w:pPr>
      <w:r w:rsidRPr="002E24C8">
        <w:t>(1)</w:t>
      </w:r>
      <w:r w:rsidRPr="002E24C8">
        <w:tab/>
      </w:r>
      <w:r w:rsidR="00F544E1" w:rsidRPr="002E24C8">
        <w:t>Pr</w:t>
      </w:r>
      <w:r w:rsidRPr="002E24C8">
        <w:t>(</w:t>
      </w:r>
      <w:r w:rsidRPr="002E24C8">
        <w:rPr>
          <w:i/>
        </w:rPr>
        <w:t>SH</w:t>
      </w:r>
      <w:r w:rsidRPr="002E24C8">
        <w:t>) &gt; 0.</w:t>
      </w:r>
    </w:p>
    <w:p w14:paraId="7C5ADD3A" w14:textId="599CB7A6" w:rsidR="00644D60" w:rsidRPr="002E24C8" w:rsidRDefault="00570554" w:rsidP="00AC74D0">
      <w:pPr>
        <w:rPr>
          <w:iCs/>
        </w:rPr>
      </w:pPr>
      <w:r w:rsidRPr="002E24C8">
        <w:tab/>
      </w:r>
      <w:r w:rsidR="00922749" w:rsidRPr="002E24C8">
        <w:t xml:space="preserve">(ii) </w:t>
      </w:r>
      <w:r w:rsidR="002868AF" w:rsidRPr="002E24C8">
        <w:t xml:space="preserve">The second response </w:t>
      </w:r>
      <w:r w:rsidR="00A018AD" w:rsidRPr="002E24C8">
        <w:t>to the revamped L</w:t>
      </w:r>
      <w:r w:rsidR="00660E2E" w:rsidRPr="002E24C8">
        <w:t xml:space="preserve">eaching worry </w:t>
      </w:r>
      <w:r w:rsidR="002E254F" w:rsidRPr="002E24C8">
        <w:t>pursues one way</w:t>
      </w:r>
      <w:r w:rsidR="00051446" w:rsidRPr="002E24C8">
        <w:t xml:space="preserve"> in which </w:t>
      </w:r>
      <w:r w:rsidR="009F2C1A" w:rsidRPr="002E24C8">
        <w:t>White’s first</w:t>
      </w:r>
      <w:r w:rsidR="00FD20EC" w:rsidRPr="002E24C8">
        <w:t xml:space="preserve"> premise </w:t>
      </w:r>
      <w:r w:rsidR="00051446" w:rsidRPr="002E24C8">
        <w:t>may be challenged. (The third response will consider another.) It runs as</w:t>
      </w:r>
      <w:r w:rsidR="002868AF" w:rsidRPr="002E24C8">
        <w:t xml:space="preserve"> follows. </w:t>
      </w:r>
      <w:r w:rsidR="0060132B" w:rsidRPr="002E24C8">
        <w:t>Rational</w:t>
      </w:r>
      <w:r w:rsidR="00377B36" w:rsidRPr="002E24C8">
        <w:t xml:space="preserve"> entitlement is entitlement to </w:t>
      </w:r>
      <w:r w:rsidR="0060132B" w:rsidRPr="002E24C8">
        <w:t>“</w:t>
      </w:r>
      <w:r w:rsidR="00377B36" w:rsidRPr="002E24C8">
        <w:t>take for granted</w:t>
      </w:r>
      <w:r w:rsidR="0060132B" w:rsidRPr="002E24C8">
        <w:t>”</w:t>
      </w:r>
      <w:r w:rsidR="00377B36" w:rsidRPr="002E24C8">
        <w:t>, to trust</w:t>
      </w:r>
      <w:r w:rsidR="0060132B" w:rsidRPr="002E24C8">
        <w:t xml:space="preserve"> “implicitly”</w:t>
      </w:r>
      <w:r w:rsidR="00377B36" w:rsidRPr="002E24C8">
        <w:t>, as we say</w:t>
      </w:r>
      <w:r w:rsidR="009F2C1A" w:rsidRPr="002E24C8">
        <w:t>; it is</w:t>
      </w:r>
      <w:r w:rsidR="00377B36" w:rsidRPr="002E24C8">
        <w:t xml:space="preserve"> to </w:t>
      </w:r>
      <w:r w:rsidR="0060132B" w:rsidRPr="002E24C8">
        <w:t>bracket any doubt. But i</w:t>
      </w:r>
      <w:r w:rsidR="00377B36" w:rsidRPr="002E24C8">
        <w:t xml:space="preserve">f </w:t>
      </w:r>
      <w:r w:rsidR="00A11081" w:rsidRPr="002E24C8">
        <w:t>det</w:t>
      </w:r>
      <w:r w:rsidR="0060132B" w:rsidRPr="002E24C8">
        <w:t>ermining</w:t>
      </w:r>
      <w:r w:rsidR="00377B36" w:rsidRPr="002E24C8">
        <w:t xml:space="preserve"> risk is to be </w:t>
      </w:r>
      <w:r w:rsidR="0060132B" w:rsidRPr="002E24C8">
        <w:t>calculation</w:t>
      </w:r>
      <w:r w:rsidR="00377B36" w:rsidRPr="002E24C8">
        <w:t xml:space="preserve"> of </w:t>
      </w:r>
      <w:r w:rsidR="0060132B" w:rsidRPr="002E24C8">
        <w:t>probabilities</w:t>
      </w:r>
      <w:r w:rsidR="0053472C" w:rsidRPr="002E24C8">
        <w:t xml:space="preserve">, </w:t>
      </w:r>
      <w:r w:rsidR="0060132B" w:rsidRPr="002E24C8">
        <w:t>and cornerstones</w:t>
      </w:r>
      <w:r w:rsidR="00A11081" w:rsidRPr="002E24C8">
        <w:t xml:space="preserve"> are to be included within the</w:t>
      </w:r>
      <w:r w:rsidR="0060132B" w:rsidRPr="002E24C8">
        <w:t xml:space="preserve"> scope</w:t>
      </w:r>
      <w:r w:rsidR="00A11081" w:rsidRPr="002E24C8">
        <w:t xml:space="preserve"> of the determination</w:t>
      </w:r>
      <w:r w:rsidR="0060132B" w:rsidRPr="002E24C8">
        <w:t xml:space="preserve">, </w:t>
      </w:r>
      <w:r w:rsidR="009F2C1A" w:rsidRPr="002E24C8">
        <w:t xml:space="preserve">then </w:t>
      </w:r>
      <w:r w:rsidR="0053472C" w:rsidRPr="002E24C8">
        <w:t xml:space="preserve">within a </w:t>
      </w:r>
      <w:r w:rsidR="0060132B" w:rsidRPr="002E24C8">
        <w:t>Bayesian</w:t>
      </w:r>
      <w:r w:rsidR="00377B36" w:rsidRPr="002E24C8">
        <w:t xml:space="preserve"> </w:t>
      </w:r>
      <w:r w:rsidR="0060132B" w:rsidRPr="002E24C8">
        <w:t>framework</w:t>
      </w:r>
      <w:r w:rsidR="00377B36" w:rsidRPr="002E24C8">
        <w:t xml:space="preserve"> </w:t>
      </w:r>
      <w:r w:rsidR="009F2C1A" w:rsidRPr="002E24C8">
        <w:t xml:space="preserve">we need </w:t>
      </w:r>
      <w:r w:rsidR="00377B36" w:rsidRPr="002E24C8">
        <w:t xml:space="preserve">to assign </w:t>
      </w:r>
      <w:r w:rsidR="0060132B" w:rsidRPr="002E24C8">
        <w:t>priors</w:t>
      </w:r>
      <w:r w:rsidR="008753B6" w:rsidRPr="002E24C8">
        <w:t xml:space="preserve"> to </w:t>
      </w:r>
      <w:r w:rsidR="00F56003" w:rsidRPr="002E24C8">
        <w:t>cornerstone</w:t>
      </w:r>
      <w:r w:rsidR="0060132B" w:rsidRPr="002E24C8">
        <w:t xml:space="preserve"> propositions. </w:t>
      </w:r>
      <w:r w:rsidR="00A11081" w:rsidRPr="002E24C8">
        <w:t xml:space="preserve">True, when </w:t>
      </w:r>
      <w:r w:rsidR="00F544E1" w:rsidRPr="002E24C8">
        <w:t>Pr</w:t>
      </w:r>
      <w:r w:rsidR="00A11081" w:rsidRPr="002E24C8">
        <w:t xml:space="preserve"> is a function of </w:t>
      </w:r>
      <w:r w:rsidR="00A11081" w:rsidRPr="002E24C8">
        <w:rPr>
          <w:i/>
        </w:rPr>
        <w:t>evidential</w:t>
      </w:r>
      <w:r w:rsidR="00A11081" w:rsidRPr="002E24C8">
        <w:t xml:space="preserve"> probability, White’s reasoning assumed only that such propositions are not evidentially certain. But is it satisfactory to construe </w:t>
      </w:r>
      <w:r w:rsidR="00B351CC" w:rsidRPr="002E24C8">
        <w:t>Pr(</w:t>
      </w:r>
      <w:r w:rsidR="00B351CC" w:rsidRPr="002E24C8">
        <w:rPr>
          <w:i/>
        </w:rPr>
        <w:t>C</w:t>
      </w:r>
      <w:r w:rsidR="00B351CC" w:rsidRPr="002E24C8">
        <w:t xml:space="preserve">) </w:t>
      </w:r>
      <w:r w:rsidR="00A11081" w:rsidRPr="002E24C8">
        <w:t>for these purposes purely as a function of evidential probability</w:t>
      </w:r>
      <w:r w:rsidR="00377B36" w:rsidRPr="002E24C8">
        <w:t xml:space="preserve">? It is suggestive that Wittgenstein’s last notes, from </w:t>
      </w:r>
      <w:r w:rsidR="0060132B" w:rsidRPr="002E24C8">
        <w:t>which</w:t>
      </w:r>
      <w:r w:rsidR="00377B36" w:rsidRPr="002E24C8">
        <w:t xml:space="preserve"> </w:t>
      </w:r>
      <w:r w:rsidR="00051446" w:rsidRPr="002E24C8">
        <w:t>Entitlement theory takes inspiration,</w:t>
      </w:r>
      <w:r w:rsidR="00377B36" w:rsidRPr="002E24C8">
        <w:t xml:space="preserve"> are </w:t>
      </w:r>
      <w:r w:rsidR="0060132B" w:rsidRPr="002E24C8">
        <w:t>entitled</w:t>
      </w:r>
      <w:r w:rsidR="00377B36" w:rsidRPr="002E24C8">
        <w:t xml:space="preserve"> </w:t>
      </w:r>
      <w:r w:rsidR="00377B36" w:rsidRPr="002E24C8">
        <w:rPr>
          <w:i/>
        </w:rPr>
        <w:t xml:space="preserve">On </w:t>
      </w:r>
      <w:r w:rsidR="0060132B" w:rsidRPr="002E24C8">
        <w:rPr>
          <w:i/>
        </w:rPr>
        <w:t>Certainty</w:t>
      </w:r>
      <w:r w:rsidR="007C5D01" w:rsidRPr="002E24C8">
        <w:t>, and i</w:t>
      </w:r>
      <w:r w:rsidR="00A11081" w:rsidRPr="002E24C8">
        <w:t>t was not evidentia</w:t>
      </w:r>
      <w:r w:rsidR="009F2C1A" w:rsidRPr="002E24C8">
        <w:t>l certainty that Wittgenstein</w:t>
      </w:r>
      <w:r w:rsidR="007C5D01" w:rsidRPr="002E24C8">
        <w:t xml:space="preserve"> had in mind!</w:t>
      </w:r>
      <w:r w:rsidR="00A11081" w:rsidRPr="002E24C8">
        <w:t xml:space="preserve"> T</w:t>
      </w:r>
      <w:r w:rsidR="008753B6" w:rsidRPr="002E24C8">
        <w:t>he</w:t>
      </w:r>
      <w:r w:rsidR="0053501E" w:rsidRPr="002E24C8">
        <w:t xml:space="preserve"> second response to the revamped Leaching worry will</w:t>
      </w:r>
      <w:r w:rsidR="00922749" w:rsidRPr="002E24C8">
        <w:t xml:space="preserve"> </w:t>
      </w:r>
      <w:r w:rsidR="009A222B" w:rsidRPr="002E24C8">
        <w:t>contend</w:t>
      </w:r>
      <w:r w:rsidR="00922749" w:rsidRPr="002E24C8">
        <w:t xml:space="preserve"> that </w:t>
      </w:r>
      <w:r w:rsidR="0053472C" w:rsidRPr="002E24C8">
        <w:t xml:space="preserve">when </w:t>
      </w:r>
      <w:r w:rsidR="00922749" w:rsidRPr="002E24C8">
        <w:rPr>
          <w:i/>
        </w:rPr>
        <w:t>S</w:t>
      </w:r>
      <w:r w:rsidR="00922749" w:rsidRPr="002E24C8">
        <w:t xml:space="preserve"> is </w:t>
      </w:r>
      <w:r w:rsidR="0053472C" w:rsidRPr="002E24C8">
        <w:t>rationally entitled to trust</w:t>
      </w:r>
      <w:r w:rsidR="00922749" w:rsidRPr="002E24C8">
        <w:t xml:space="preserve"> </w:t>
      </w:r>
      <w:r w:rsidR="00922749" w:rsidRPr="002E24C8">
        <w:rPr>
          <w:i/>
        </w:rPr>
        <w:t>¬SH</w:t>
      </w:r>
      <w:r w:rsidR="00922749" w:rsidRPr="002E24C8">
        <w:t xml:space="preserve">, </w:t>
      </w:r>
      <w:r w:rsidR="0053472C" w:rsidRPr="002E24C8">
        <w:t xml:space="preserve">this trust should be </w:t>
      </w:r>
      <w:r w:rsidR="007C5D01" w:rsidRPr="002E24C8">
        <w:t>unreserved</w:t>
      </w:r>
      <w:r w:rsidR="0053472C" w:rsidRPr="002E24C8">
        <w:t xml:space="preserve">: </w:t>
      </w:r>
      <w:r w:rsidR="00922749" w:rsidRPr="002E24C8">
        <w:rPr>
          <w:i/>
        </w:rPr>
        <w:t>S</w:t>
      </w:r>
      <w:r w:rsidR="00725CF6" w:rsidRPr="002E24C8">
        <w:t xml:space="preserve">’s </w:t>
      </w:r>
      <w:r w:rsidR="007C5D01" w:rsidRPr="002E24C8">
        <w:t>entitlement is to regard</w:t>
      </w:r>
      <w:r w:rsidR="00922749" w:rsidRPr="002E24C8">
        <w:t xml:space="preserve"> </w:t>
      </w:r>
      <w:r w:rsidR="00922749" w:rsidRPr="002E24C8">
        <w:rPr>
          <w:i/>
        </w:rPr>
        <w:t>¬SH</w:t>
      </w:r>
      <w:r w:rsidR="0053472C" w:rsidRPr="002E24C8">
        <w:t xml:space="preserve"> </w:t>
      </w:r>
      <w:r w:rsidR="007C5D01" w:rsidRPr="002E24C8">
        <w:t xml:space="preserve">as assured and to treat it accordingly as </w:t>
      </w:r>
      <w:r w:rsidR="007C5D01" w:rsidRPr="002E24C8">
        <w:rPr>
          <w:i/>
        </w:rPr>
        <w:t>beyond doubt</w:t>
      </w:r>
      <w:r w:rsidR="00922749" w:rsidRPr="002E24C8">
        <w:t xml:space="preserve">. Consequently, we should set </w:t>
      </w:r>
      <w:r w:rsidR="00F544E1" w:rsidRPr="002E24C8">
        <w:t>Pr</w:t>
      </w:r>
      <w:r w:rsidR="00922749" w:rsidRPr="002E24C8">
        <w:t>(</w:t>
      </w:r>
      <w:r w:rsidR="00922749" w:rsidRPr="002E24C8">
        <w:rPr>
          <w:i/>
        </w:rPr>
        <w:t>¬SH</w:t>
      </w:r>
      <w:r w:rsidR="00922749" w:rsidRPr="002E24C8">
        <w:t>)</w:t>
      </w:r>
      <w:r w:rsidR="00F56003" w:rsidRPr="002E24C8">
        <w:t xml:space="preserve"> as equal to</w:t>
      </w:r>
      <m:oMath>
        <m:r>
          <w:rPr>
            <w:rFonts w:ascii="Cambria Math" w:hAnsi="Cambria Math"/>
          </w:rPr>
          <m:t xml:space="preserve"> </m:t>
        </m:r>
      </m:oMath>
      <w:r w:rsidR="00922749" w:rsidRPr="002E24C8">
        <w:t xml:space="preserve">1 and </w:t>
      </w:r>
      <w:r w:rsidR="00F544E1" w:rsidRPr="002E24C8">
        <w:t>Pr</w:t>
      </w:r>
      <w:r w:rsidR="00922749" w:rsidRPr="002E24C8">
        <w:t>(</w:t>
      </w:r>
      <w:r w:rsidR="00922749" w:rsidRPr="002E24C8">
        <w:rPr>
          <w:i/>
        </w:rPr>
        <w:t>SH</w:t>
      </w:r>
      <w:r w:rsidR="00922749" w:rsidRPr="002E24C8">
        <w:t xml:space="preserve">) </w:t>
      </w:r>
      <w:r w:rsidR="00F56003" w:rsidRPr="002E24C8">
        <w:t xml:space="preserve">as equal to </w:t>
      </w:r>
      <w:r w:rsidR="009A222B" w:rsidRPr="002E24C8">
        <w:t>0</w:t>
      </w:r>
      <w:r w:rsidR="00A11081" w:rsidRPr="002E24C8">
        <w:t xml:space="preserve">, thus cutting the ground from </w:t>
      </w:r>
      <w:r w:rsidR="005B3308" w:rsidRPr="002E24C8">
        <w:t>under the proof of (</w:t>
      </w:r>
      <w:r w:rsidR="00A11081" w:rsidRPr="002E24C8">
        <w:rPr>
          <w:i/>
        </w:rPr>
        <w:t>Quasi-</w:t>
      </w:r>
      <w:r w:rsidR="005B3308" w:rsidRPr="002E24C8">
        <w:rPr>
          <w:i/>
        </w:rPr>
        <w:t>leac</w:t>
      </w:r>
      <w:r w:rsidR="00A11081" w:rsidRPr="002E24C8">
        <w:rPr>
          <w:i/>
        </w:rPr>
        <w:t>h</w:t>
      </w:r>
      <w:r w:rsidR="005B3308" w:rsidRPr="002E24C8">
        <w:rPr>
          <w:i/>
        </w:rPr>
        <w:t>ing</w:t>
      </w:r>
      <w:r w:rsidR="005B3308" w:rsidRPr="002E24C8">
        <w:t>)</w:t>
      </w:r>
      <w:r w:rsidR="009A222B" w:rsidRPr="002E24C8">
        <w:t xml:space="preserve">. </w:t>
      </w:r>
      <w:r w:rsidR="00725CF6" w:rsidRPr="002E24C8">
        <w:t xml:space="preserve">Under that </w:t>
      </w:r>
      <w:r w:rsidR="004B17CB" w:rsidRPr="002E24C8">
        <w:t>assignment</w:t>
      </w:r>
      <w:r w:rsidR="00725CF6" w:rsidRPr="002E24C8">
        <w:t>,</w:t>
      </w:r>
      <w:r w:rsidR="00BB73E6" w:rsidRPr="002E24C8">
        <w:t xml:space="preserve"> </w:t>
      </w:r>
      <w:r w:rsidR="00F56003" w:rsidRPr="002E24C8">
        <w:t>an acceptance of</w:t>
      </w:r>
      <w:r w:rsidR="00922749" w:rsidRPr="002E24C8">
        <w:t xml:space="preserve"> </w:t>
      </w:r>
      <w:r w:rsidR="00922749" w:rsidRPr="002E24C8">
        <w:rPr>
          <w:i/>
        </w:rPr>
        <w:t>¬SH</w:t>
      </w:r>
      <w:r w:rsidR="00922749" w:rsidRPr="002E24C8">
        <w:t xml:space="preserve"> </w:t>
      </w:r>
      <w:r w:rsidR="004B17CB" w:rsidRPr="002E24C8">
        <w:t>should</w:t>
      </w:r>
      <w:r w:rsidR="005B3308" w:rsidRPr="002E24C8">
        <w:t xml:space="preserve"> no longer</w:t>
      </w:r>
      <w:r w:rsidR="009A222B" w:rsidRPr="002E24C8">
        <w:t xml:space="preserve"> be regarded as epistemically</w:t>
      </w:r>
      <w:r w:rsidR="00F56003" w:rsidRPr="002E24C8">
        <w:t xml:space="preserve"> risky </w:t>
      </w:r>
      <w:r w:rsidR="00725CF6" w:rsidRPr="002E24C8">
        <w:t>and there will accordingly be</w:t>
      </w:r>
      <w:r w:rsidR="008753B6" w:rsidRPr="002E24C8">
        <w:t xml:space="preserve"> </w:t>
      </w:r>
      <w:r w:rsidR="00922749" w:rsidRPr="002E24C8">
        <w:t xml:space="preserve">no </w:t>
      </w:r>
      <w:r w:rsidR="004B17CB" w:rsidRPr="002E24C8">
        <w:t>significant</w:t>
      </w:r>
      <w:r w:rsidR="00644D60" w:rsidRPr="002E24C8">
        <w:t xml:space="preserve"> </w:t>
      </w:r>
      <w:r w:rsidR="00922749" w:rsidRPr="002E24C8">
        <w:t xml:space="preserve">epistemic risk </w:t>
      </w:r>
      <w:r w:rsidR="009A222B" w:rsidRPr="002E24C8">
        <w:t xml:space="preserve">that might be </w:t>
      </w:r>
      <w:r w:rsidR="00725CF6" w:rsidRPr="002E24C8">
        <w:t>quasi-</w:t>
      </w:r>
      <w:r w:rsidR="009A222B" w:rsidRPr="002E24C8">
        <w:t>leached to</w:t>
      </w:r>
      <w:r w:rsidR="00922749" w:rsidRPr="002E24C8">
        <w:t xml:space="preserve"> </w:t>
      </w:r>
      <w:r w:rsidR="001B062D" w:rsidRPr="002E24C8">
        <w:rPr>
          <w:i/>
        </w:rPr>
        <w:t>P</w:t>
      </w:r>
      <w:r w:rsidR="00725CF6" w:rsidRPr="002E24C8">
        <w:t xml:space="preserve">. When our </w:t>
      </w:r>
      <w:r w:rsidR="004B17CB" w:rsidRPr="002E24C8">
        <w:t>entitlements</w:t>
      </w:r>
      <w:r w:rsidR="00725CF6" w:rsidRPr="002E24C8">
        <w:t xml:space="preserve"> are conceived as </w:t>
      </w:r>
      <w:r w:rsidR="007C5D01" w:rsidRPr="002E24C8">
        <w:rPr>
          <w:i/>
        </w:rPr>
        <w:t>legitimate certainties</w:t>
      </w:r>
      <w:r w:rsidR="00725CF6" w:rsidRPr="002E24C8">
        <w:t xml:space="preserve">, </w:t>
      </w:r>
      <w:r w:rsidR="00922749" w:rsidRPr="002E24C8">
        <w:t xml:space="preserve">nothing prevents </w:t>
      </w:r>
      <w:r w:rsidR="00F56003" w:rsidRPr="002E24C8">
        <w:t xml:space="preserve">a subject </w:t>
      </w:r>
      <w:r w:rsidR="009A222B" w:rsidRPr="002E24C8">
        <w:t>from justifiably</w:t>
      </w:r>
      <w:r w:rsidR="00922749" w:rsidRPr="002E24C8">
        <w:t xml:space="preserve"> believing </w:t>
      </w:r>
      <w:r w:rsidR="001B062D" w:rsidRPr="002E24C8">
        <w:rPr>
          <w:i/>
        </w:rPr>
        <w:t>P</w:t>
      </w:r>
      <w:r w:rsidR="00922749" w:rsidRPr="002E24C8">
        <w:t xml:space="preserve"> on </w:t>
      </w:r>
      <w:r w:rsidR="00F56003" w:rsidRPr="002E24C8">
        <w:t xml:space="preserve">the </w:t>
      </w:r>
      <w:r w:rsidR="00922749" w:rsidRPr="002E24C8">
        <w:t xml:space="preserve">basis of </w:t>
      </w:r>
      <w:r w:rsidR="00922749" w:rsidRPr="002E24C8">
        <w:rPr>
          <w:i/>
        </w:rPr>
        <w:t>E</w:t>
      </w:r>
      <w:r w:rsidR="0053472C" w:rsidRPr="002E24C8">
        <w:t>, indeed from claiming knowledge on that basis</w:t>
      </w:r>
      <w:r w:rsidR="00725CF6" w:rsidRPr="002E24C8">
        <w:t>,</w:t>
      </w:r>
      <w:r w:rsidR="0053472C" w:rsidRPr="002E24C8">
        <w:t xml:space="preserve"> with </w:t>
      </w:r>
      <w:r w:rsidR="007C5D01" w:rsidRPr="002E24C8">
        <w:t>a corresponding certainty</w:t>
      </w:r>
      <w:r w:rsidR="0053472C" w:rsidRPr="002E24C8">
        <w:t>.</w:t>
      </w:r>
    </w:p>
    <w:p w14:paraId="6E0B185D" w14:textId="3D66D7A4" w:rsidR="009C7731" w:rsidRPr="002E24C8" w:rsidRDefault="007C5D01" w:rsidP="009C7731">
      <w:pPr>
        <w:rPr>
          <w:iCs/>
        </w:rPr>
      </w:pPr>
      <w:r w:rsidRPr="002E24C8">
        <w:tab/>
        <w:t>This is liable to provoke the</w:t>
      </w:r>
      <w:r w:rsidR="00644D60" w:rsidRPr="002E24C8">
        <w:t xml:space="preserve"> immediate </w:t>
      </w:r>
      <w:r w:rsidR="00D17E7C" w:rsidRPr="002E24C8">
        <w:t>rejoinder</w:t>
      </w:r>
      <w:r w:rsidR="00922749" w:rsidRPr="002E24C8">
        <w:t xml:space="preserve"> </w:t>
      </w:r>
      <w:r w:rsidR="008753B6" w:rsidRPr="002E24C8">
        <w:t xml:space="preserve">that </w:t>
      </w:r>
      <w:r w:rsidR="00B41B25" w:rsidRPr="002E24C8">
        <w:t xml:space="preserve">to respond in this manner is simply to forget </w:t>
      </w:r>
      <w:r w:rsidR="00922749" w:rsidRPr="002E24C8">
        <w:t xml:space="preserve">the way in which </w:t>
      </w:r>
      <w:r w:rsidR="00F544E1" w:rsidRPr="002E24C8">
        <w:t>Pr</w:t>
      </w:r>
      <w:r w:rsidR="00922749" w:rsidRPr="002E24C8">
        <w:t xml:space="preserve"> needs to be interpreted in order to model epistemic risk</w:t>
      </w:r>
      <w:r w:rsidR="008753B6" w:rsidRPr="002E24C8">
        <w:t xml:space="preserve"> in the first place</w:t>
      </w:r>
      <w:r w:rsidR="00922749" w:rsidRPr="002E24C8">
        <w:t xml:space="preserve">. </w:t>
      </w:r>
      <w:r w:rsidR="00AC74D0" w:rsidRPr="002E24C8">
        <w:t>The kind of risk we are concerned with — the kind of risk that</w:t>
      </w:r>
      <w:r w:rsidR="004B17CB" w:rsidRPr="002E24C8">
        <w:t>, after all,</w:t>
      </w:r>
      <w:r w:rsidR="00AC74D0" w:rsidRPr="002E24C8">
        <w:t xml:space="preserve"> Wright’s </w:t>
      </w:r>
      <w:r w:rsidR="0053472C" w:rsidRPr="002E24C8">
        <w:t xml:space="preserve">original </w:t>
      </w:r>
      <w:r w:rsidR="00AC74D0" w:rsidRPr="002E24C8">
        <w:t>respons</w:t>
      </w:r>
      <w:r w:rsidR="00B41B25" w:rsidRPr="002E24C8">
        <w:t>e</w:t>
      </w:r>
      <w:r w:rsidR="00AC74D0" w:rsidRPr="002E24C8">
        <w:t xml:space="preserve"> to the </w:t>
      </w:r>
      <w:r w:rsidR="00C43DD1" w:rsidRPr="002E24C8">
        <w:t>L</w:t>
      </w:r>
      <w:r w:rsidR="00AC74D0" w:rsidRPr="002E24C8">
        <w:t>eac</w:t>
      </w:r>
      <w:r w:rsidR="00B41B25" w:rsidRPr="002E24C8">
        <w:t>h</w:t>
      </w:r>
      <w:r w:rsidR="00AC74D0" w:rsidRPr="002E24C8">
        <w:t xml:space="preserve">ing worry </w:t>
      </w:r>
      <w:r w:rsidR="00B41B25" w:rsidRPr="002E24C8">
        <w:t>does</w:t>
      </w:r>
      <w:r w:rsidR="004B17CB" w:rsidRPr="002E24C8">
        <w:t xml:space="preserve"> implicitly concede</w:t>
      </w:r>
      <w:r w:rsidR="00AC74D0" w:rsidRPr="002E24C8">
        <w:t xml:space="preserve"> that we do </w:t>
      </w:r>
      <w:r w:rsidR="00B41B25" w:rsidRPr="002E24C8">
        <w:t xml:space="preserve">indeed </w:t>
      </w:r>
      <w:r w:rsidR="00AC74D0" w:rsidRPr="002E24C8">
        <w:t>run in accepting sceptically-</w:t>
      </w:r>
      <w:r w:rsidR="00B41B25" w:rsidRPr="002E24C8">
        <w:t>challenged</w:t>
      </w:r>
      <w:r w:rsidR="00AC74D0" w:rsidRPr="002E24C8">
        <w:t xml:space="preserve"> cornerstones—is essentially that of </w:t>
      </w:r>
      <w:r w:rsidR="00AC74D0" w:rsidRPr="002E24C8">
        <w:rPr>
          <w:i/>
        </w:rPr>
        <w:t>going beyond the evidence</w:t>
      </w:r>
      <w:r w:rsidR="00AC74D0" w:rsidRPr="002E24C8">
        <w:t xml:space="preserve">, and in order </w:t>
      </w:r>
      <w:r w:rsidR="00EE0438" w:rsidRPr="002E24C8">
        <w:t xml:space="preserve">to be at the service of modelling </w:t>
      </w:r>
      <w:r w:rsidR="004609EF" w:rsidRPr="002E24C8">
        <w:rPr>
          <w:i/>
        </w:rPr>
        <w:t>this</w:t>
      </w:r>
      <w:r w:rsidR="004609EF" w:rsidRPr="002E24C8">
        <w:t xml:space="preserve"> notion of </w:t>
      </w:r>
      <w:r w:rsidR="00EE0438" w:rsidRPr="002E24C8">
        <w:t xml:space="preserve">epistemic risk, </w:t>
      </w:r>
      <w:r w:rsidR="00F544E1" w:rsidRPr="002E24C8">
        <w:t>Pr</w:t>
      </w:r>
      <w:r w:rsidR="00922749" w:rsidRPr="002E24C8">
        <w:t xml:space="preserve"> </w:t>
      </w:r>
      <w:r w:rsidR="00AC74D0" w:rsidRPr="002E24C8">
        <w:t xml:space="preserve">accordingly </w:t>
      </w:r>
      <w:r w:rsidR="00922749" w:rsidRPr="002E24C8">
        <w:t xml:space="preserve">needs to be a function </w:t>
      </w:r>
      <w:r w:rsidR="004609EF" w:rsidRPr="002E24C8">
        <w:t xml:space="preserve">purely </w:t>
      </w:r>
      <w:r w:rsidR="00922749" w:rsidRPr="002E24C8">
        <w:t xml:space="preserve">of evidential probability. So, </w:t>
      </w:r>
      <w:r w:rsidR="00F544E1" w:rsidRPr="002E24C8">
        <w:t>Pr</w:t>
      </w:r>
      <w:r w:rsidR="00922749" w:rsidRPr="002E24C8">
        <w:t xml:space="preserve"> can account only and specifically for </w:t>
      </w:r>
      <w:r w:rsidR="00922749" w:rsidRPr="002E24C8">
        <w:rPr>
          <w:i/>
        </w:rPr>
        <w:t>S</w:t>
      </w:r>
      <w:r w:rsidR="00922749" w:rsidRPr="002E24C8">
        <w:t xml:space="preserve">’s </w:t>
      </w:r>
      <w:r w:rsidR="00B41B25" w:rsidRPr="002E24C8">
        <w:t xml:space="preserve">degrees of </w:t>
      </w:r>
      <w:r w:rsidR="00922749" w:rsidRPr="002E24C8">
        <w:t xml:space="preserve">rational confidence based on the evidence available to her. </w:t>
      </w:r>
      <w:r w:rsidR="009C7731" w:rsidRPr="002E24C8">
        <w:t>T</w:t>
      </w:r>
      <w:r w:rsidR="00922749" w:rsidRPr="002E24C8">
        <w:t>he</w:t>
      </w:r>
      <w:r w:rsidR="00EE0438" w:rsidRPr="002E24C8">
        <w:t xml:space="preserve"> alleged </w:t>
      </w:r>
      <w:r w:rsidR="00922749" w:rsidRPr="002E24C8">
        <w:t xml:space="preserve">fact that </w:t>
      </w:r>
      <w:r w:rsidR="00922749" w:rsidRPr="002E24C8">
        <w:rPr>
          <w:i/>
        </w:rPr>
        <w:t>S</w:t>
      </w:r>
      <w:r w:rsidR="00922749" w:rsidRPr="002E24C8">
        <w:t xml:space="preserve"> is </w:t>
      </w:r>
      <w:r w:rsidR="00922749" w:rsidRPr="002E24C8">
        <w:rPr>
          <w:i/>
        </w:rPr>
        <w:t>non-evidentially</w:t>
      </w:r>
      <w:r w:rsidR="00922749" w:rsidRPr="002E24C8">
        <w:t xml:space="preserve"> entitled to accept </w:t>
      </w:r>
      <w:r w:rsidR="00922749" w:rsidRPr="002E24C8">
        <w:rPr>
          <w:i/>
        </w:rPr>
        <w:t>¬SH</w:t>
      </w:r>
      <w:r w:rsidR="00922749" w:rsidRPr="002E24C8">
        <w:t xml:space="preserve"> </w:t>
      </w:r>
      <w:r w:rsidR="004B17CB" w:rsidRPr="002E24C8">
        <w:t xml:space="preserve">with complete assurance </w:t>
      </w:r>
      <w:r w:rsidR="00922749" w:rsidRPr="002E24C8">
        <w:t xml:space="preserve">cannot </w:t>
      </w:r>
      <w:r w:rsidR="00EE0438" w:rsidRPr="002E24C8">
        <w:t xml:space="preserve">be allowed to </w:t>
      </w:r>
      <w:r w:rsidR="00922749" w:rsidRPr="002E24C8">
        <w:t xml:space="preserve">imply </w:t>
      </w:r>
      <w:r w:rsidR="004609EF" w:rsidRPr="002E24C8">
        <w:t xml:space="preserve">anything about the value of </w:t>
      </w:r>
      <w:r w:rsidR="00F544E1" w:rsidRPr="002E24C8">
        <w:t>Pr</w:t>
      </w:r>
      <w:r w:rsidR="00922749" w:rsidRPr="002E24C8">
        <w:t>(</w:t>
      </w:r>
      <w:r w:rsidR="00922749" w:rsidRPr="002E24C8">
        <w:rPr>
          <w:i/>
        </w:rPr>
        <w:t>¬SH</w:t>
      </w:r>
      <w:r w:rsidR="00922749" w:rsidRPr="002E24C8">
        <w:t>)</w:t>
      </w:r>
      <w:r w:rsidR="00B41B25" w:rsidRPr="002E24C8">
        <w:t xml:space="preserve"> properly so interpreted</w:t>
      </w:r>
      <w:r w:rsidR="004609EF" w:rsidRPr="002E24C8">
        <w:t>, still less that it approximates</w:t>
      </w:r>
      <w:r w:rsidR="00922749" w:rsidRPr="002E24C8">
        <w:t xml:space="preserve"> 1. </w:t>
      </w:r>
    </w:p>
    <w:p w14:paraId="59D66AD3" w14:textId="69F9C9DA" w:rsidR="00027E6D" w:rsidRPr="002E24C8" w:rsidRDefault="009C7731" w:rsidP="00922749">
      <w:pPr>
        <w:spacing w:after="120"/>
        <w:rPr>
          <w:iCs/>
        </w:rPr>
      </w:pPr>
      <w:r w:rsidRPr="002E24C8">
        <w:tab/>
      </w:r>
      <w:r w:rsidR="007C4D11" w:rsidRPr="002E24C8">
        <w:t>The rejoinder</w:t>
      </w:r>
      <w:r w:rsidR="008753B6" w:rsidRPr="002E24C8">
        <w:t xml:space="preserve"> is fair</w:t>
      </w:r>
      <w:r w:rsidR="0053501E" w:rsidRPr="002E24C8">
        <w:t xml:space="preserve"> against the letter of </w:t>
      </w:r>
      <w:r w:rsidR="007B7BAD">
        <w:t>(</w:t>
      </w:r>
      <w:r w:rsidR="0053501E" w:rsidRPr="002E24C8">
        <w:t>Wright</w:t>
      </w:r>
      <w:r w:rsidR="007B7BAD">
        <w:t xml:space="preserve">, </w:t>
      </w:r>
      <w:r w:rsidR="0053501E" w:rsidRPr="002E24C8">
        <w:t>2004)</w:t>
      </w:r>
      <w:r w:rsidR="008753B6" w:rsidRPr="002E24C8">
        <w:t xml:space="preserve"> </w:t>
      </w:r>
      <w:r w:rsidR="003D00F0" w:rsidRPr="002E24C8">
        <w:rPr>
          <w:i/>
        </w:rPr>
        <w:t>ad hominem</w:t>
      </w:r>
      <w:r w:rsidR="008753B6" w:rsidRPr="002E24C8">
        <w:t xml:space="preserve">. </w:t>
      </w:r>
      <w:r w:rsidR="001D2884" w:rsidRPr="002E24C8">
        <w:t xml:space="preserve">But a proponent of the second response should reply that, once entitlement is accepted as a form of genuinely </w:t>
      </w:r>
      <w:r w:rsidR="001D2884" w:rsidRPr="002E24C8">
        <w:rPr>
          <w:i/>
        </w:rPr>
        <w:t xml:space="preserve">epistemic </w:t>
      </w:r>
      <w:r w:rsidR="00D17E7C" w:rsidRPr="002E24C8">
        <w:rPr>
          <w:i/>
        </w:rPr>
        <w:t xml:space="preserve">— </w:t>
      </w:r>
      <w:r w:rsidR="001D2884" w:rsidRPr="002E24C8">
        <w:t xml:space="preserve">though non-evidential </w:t>
      </w:r>
      <w:r w:rsidR="00D17E7C" w:rsidRPr="002E24C8">
        <w:t xml:space="preserve">— </w:t>
      </w:r>
      <w:r w:rsidR="001D2884" w:rsidRPr="002E24C8">
        <w:t xml:space="preserve">warrant, it is no longer satisfactory to interpret the notion of significant epistemic risk purely as evidential risk. </w:t>
      </w:r>
      <w:r w:rsidRPr="002E24C8">
        <w:t xml:space="preserve">Rather the </w:t>
      </w:r>
      <w:r w:rsidR="003F63F4" w:rsidRPr="002E24C8">
        <w:t>epistemic</w:t>
      </w:r>
      <w:r w:rsidR="001D2884" w:rsidRPr="002E24C8">
        <w:t xml:space="preserve"> risk one runs in accepting </w:t>
      </w:r>
      <w:r w:rsidR="001D2884" w:rsidRPr="002E24C8">
        <w:rPr>
          <w:i/>
        </w:rPr>
        <w:t>P</w:t>
      </w:r>
      <w:r w:rsidRPr="002E24C8">
        <w:t xml:space="preserve"> should</w:t>
      </w:r>
      <w:r w:rsidR="008753B6" w:rsidRPr="002E24C8">
        <w:t xml:space="preserve"> </w:t>
      </w:r>
      <w:r w:rsidRPr="002E24C8">
        <w:t>be computed a</w:t>
      </w:r>
      <w:r w:rsidR="008753B6" w:rsidRPr="002E24C8">
        <w:t>s</w:t>
      </w:r>
      <w:r w:rsidRPr="002E24C8">
        <w:t xml:space="preserve"> a function o</w:t>
      </w:r>
      <w:r w:rsidR="001D2884" w:rsidRPr="002E24C8">
        <w:t>f</w:t>
      </w:r>
      <w:r w:rsidRPr="002E24C8">
        <w:t xml:space="preserve"> </w:t>
      </w:r>
      <w:r w:rsidR="003F63F4" w:rsidRPr="002E24C8">
        <w:t>one’s total</w:t>
      </w:r>
      <w:r w:rsidRPr="002E24C8">
        <w:t xml:space="preserve"> </w:t>
      </w:r>
      <w:r w:rsidR="003F63F4" w:rsidRPr="002E24C8">
        <w:t>epistemic</w:t>
      </w:r>
      <w:r w:rsidR="008753B6" w:rsidRPr="002E24C8">
        <w:t xml:space="preserve"> </w:t>
      </w:r>
      <w:r w:rsidRPr="002E24C8">
        <w:t>situ</w:t>
      </w:r>
      <w:r w:rsidR="003F63F4" w:rsidRPr="002E24C8">
        <w:t>at</w:t>
      </w:r>
      <w:r w:rsidRPr="002E24C8">
        <w:t xml:space="preserve">ion, </w:t>
      </w:r>
      <w:r w:rsidRPr="002E24C8">
        <w:lastRenderedPageBreak/>
        <w:t xml:space="preserve">encompassing </w:t>
      </w:r>
      <w:r w:rsidR="003F63F4" w:rsidRPr="002E24C8">
        <w:t>both</w:t>
      </w:r>
      <w:r w:rsidRPr="002E24C8">
        <w:t xml:space="preserve"> </w:t>
      </w:r>
      <w:r w:rsidR="001D2884" w:rsidRPr="002E24C8">
        <w:t xml:space="preserve">one’s </w:t>
      </w:r>
      <w:r w:rsidRPr="002E24C8">
        <w:t>evidential and n</w:t>
      </w:r>
      <w:r w:rsidR="001D2884" w:rsidRPr="002E24C8">
        <w:t>o</w:t>
      </w:r>
      <w:r w:rsidRPr="002E24C8">
        <w:t>n-</w:t>
      </w:r>
      <w:r w:rsidR="003F63F4" w:rsidRPr="002E24C8">
        <w:t>evidential</w:t>
      </w:r>
      <w:r w:rsidRPr="002E24C8">
        <w:t xml:space="preserve"> warrants. It can </w:t>
      </w:r>
      <w:r w:rsidR="003F63F4" w:rsidRPr="002E24C8">
        <w:t>s</w:t>
      </w:r>
      <w:r w:rsidRPr="002E24C8">
        <w:t xml:space="preserve">till be acknowledged that one runs an </w:t>
      </w:r>
      <w:r w:rsidR="003F63F4" w:rsidRPr="002E24C8">
        <w:t>evidential</w:t>
      </w:r>
      <w:r w:rsidRPr="002E24C8">
        <w:t xml:space="preserve"> risk in accepting </w:t>
      </w:r>
      <w:r w:rsidR="003F63F4" w:rsidRPr="002E24C8">
        <w:t>cornerstones</w:t>
      </w:r>
      <w:r w:rsidRPr="002E24C8">
        <w:t>. But the</w:t>
      </w:r>
      <w:r w:rsidR="008753B6" w:rsidRPr="002E24C8">
        <w:t>r</w:t>
      </w:r>
      <w:r w:rsidRPr="002E24C8">
        <w:t xml:space="preserve">e is </w:t>
      </w:r>
      <w:r w:rsidR="008753B6" w:rsidRPr="002E24C8">
        <w:t xml:space="preserve">now </w:t>
      </w:r>
      <w:r w:rsidRPr="002E24C8">
        <w:t xml:space="preserve">no </w:t>
      </w:r>
      <w:r w:rsidR="003F63F4" w:rsidRPr="002E24C8">
        <w:rPr>
          <w:i/>
        </w:rPr>
        <w:t>normative</w:t>
      </w:r>
      <w:r w:rsidR="008753B6" w:rsidRPr="002E24C8">
        <w:t xml:space="preserve"> punch</w:t>
      </w:r>
      <w:r w:rsidRPr="002E24C8">
        <w:t xml:space="preserve"> </w:t>
      </w:r>
      <w:r w:rsidR="003F63F4" w:rsidRPr="002E24C8">
        <w:t>associated</w:t>
      </w:r>
      <w:r w:rsidRPr="002E24C8">
        <w:t xml:space="preserve"> </w:t>
      </w:r>
      <w:r w:rsidR="008753B6" w:rsidRPr="002E24C8">
        <w:t xml:space="preserve">with that </w:t>
      </w:r>
      <w:r w:rsidR="003F63F4" w:rsidRPr="002E24C8">
        <w:t>acknowledgement</w:t>
      </w:r>
      <w:r w:rsidR="008753B6" w:rsidRPr="002E24C8">
        <w:t xml:space="preserve">. </w:t>
      </w:r>
      <w:r w:rsidR="00027E6D" w:rsidRPr="002E24C8">
        <w:t>T</w:t>
      </w:r>
      <w:r w:rsidR="008753B6" w:rsidRPr="002E24C8">
        <w:t>he acceptance of things</w:t>
      </w:r>
      <w:r w:rsidR="00027E6D" w:rsidRPr="002E24C8">
        <w:t xml:space="preserve"> which</w:t>
      </w:r>
      <w:r w:rsidRPr="002E24C8">
        <w:t xml:space="preserve"> one is rationally</w:t>
      </w:r>
      <w:r w:rsidR="008753B6" w:rsidRPr="002E24C8">
        <w:t xml:space="preserve"> </w:t>
      </w:r>
      <w:r w:rsidR="003F63F4" w:rsidRPr="002E24C8">
        <w:t xml:space="preserve">warranted in treating as </w:t>
      </w:r>
      <w:r w:rsidR="008753B6" w:rsidRPr="002E24C8">
        <w:t xml:space="preserve">certain, </w:t>
      </w:r>
      <w:r w:rsidR="00027E6D" w:rsidRPr="002E24C8">
        <w:t xml:space="preserve">if </w:t>
      </w:r>
      <w:r w:rsidR="003F63F4" w:rsidRPr="002E24C8">
        <w:t>that is indeed the pay-off</w:t>
      </w:r>
      <w:r w:rsidR="00027E6D" w:rsidRPr="002E24C8">
        <w:t xml:space="preserve"> of entitlement, cannot </w:t>
      </w:r>
      <w:r w:rsidR="003F63F4" w:rsidRPr="002E24C8">
        <w:t>coherently</w:t>
      </w:r>
      <w:r w:rsidR="00027E6D" w:rsidRPr="002E24C8">
        <w:t xml:space="preserve"> </w:t>
      </w:r>
      <w:r w:rsidR="003F63F4" w:rsidRPr="002E24C8">
        <w:t>be</w:t>
      </w:r>
      <w:r w:rsidR="00027E6D" w:rsidRPr="002E24C8">
        <w:t xml:space="preserve"> conceived as the running of </w:t>
      </w:r>
      <w:r w:rsidR="003F63F4" w:rsidRPr="002E24C8">
        <w:t>risks</w:t>
      </w:r>
      <w:r w:rsidR="00027E6D" w:rsidRPr="002E24C8">
        <w:t xml:space="preserve"> in any sense that </w:t>
      </w:r>
      <w:r w:rsidR="003F63F4" w:rsidRPr="002E24C8">
        <w:t>implies</w:t>
      </w:r>
      <w:r w:rsidR="00027E6D" w:rsidRPr="002E24C8">
        <w:t xml:space="preserve"> epistemic culpability. </w:t>
      </w:r>
    </w:p>
    <w:p w14:paraId="5CD9F3A5" w14:textId="44F70705" w:rsidR="00573153" w:rsidRPr="002E24C8" w:rsidRDefault="00D17E7C" w:rsidP="00573153">
      <w:r w:rsidRPr="002E24C8">
        <w:tab/>
      </w:r>
      <w:r w:rsidR="00922749" w:rsidRPr="002E24C8">
        <w:t xml:space="preserve">(iii) </w:t>
      </w:r>
      <w:r w:rsidR="00C82439" w:rsidRPr="002E24C8">
        <w:t xml:space="preserve">The </w:t>
      </w:r>
      <w:r w:rsidR="00EF3FCE" w:rsidRPr="002E24C8">
        <w:t xml:space="preserve">foregoing is one way of </w:t>
      </w:r>
      <w:r w:rsidR="00D53707" w:rsidRPr="002E24C8">
        <w:t>implementing</w:t>
      </w:r>
      <w:r w:rsidR="00C82439" w:rsidRPr="002E24C8">
        <w:t xml:space="preserve"> </w:t>
      </w:r>
      <w:r w:rsidR="00D53707" w:rsidRPr="002E24C8">
        <w:t>the</w:t>
      </w:r>
      <w:r w:rsidR="00C82439" w:rsidRPr="002E24C8">
        <w:t xml:space="preserve"> more general idea </w:t>
      </w:r>
      <w:r w:rsidR="00D53707" w:rsidRPr="002E24C8">
        <w:t>that</w:t>
      </w:r>
      <w:r w:rsidR="00C82439" w:rsidRPr="002E24C8">
        <w:t xml:space="preserve"> the cornerstones and other entitlements should somehow occupy a special status when it comes to the </w:t>
      </w:r>
      <w:r w:rsidR="00D53707" w:rsidRPr="002E24C8">
        <w:t>probabilistic</w:t>
      </w:r>
      <w:r w:rsidR="00C82439" w:rsidRPr="002E24C8">
        <w:t xml:space="preserve"> computation of risk. </w:t>
      </w:r>
      <w:r w:rsidR="00D53707" w:rsidRPr="002E24C8">
        <w:t>But a sneaking sense may persist that to pursue the general idea in that way</w:t>
      </w:r>
      <w:r w:rsidR="004C3713">
        <w:t xml:space="preserve"> </w:t>
      </w:r>
      <w:r w:rsidR="00D53707" w:rsidRPr="002E24C8">
        <w:t xml:space="preserve">— to treat the cornerstones as certain and sure — is somehow to disrespect scepticism, to undervalue the intellectual achievement of the best sceptical paradoxes. </w:t>
      </w:r>
      <w:r w:rsidR="007C5D01" w:rsidRPr="002E24C8">
        <w:t xml:space="preserve">Against that, it may be said that </w:t>
      </w:r>
      <w:r w:rsidR="00D53707" w:rsidRPr="002E24C8">
        <w:t>what</w:t>
      </w:r>
      <w:r w:rsidR="007C5D01" w:rsidRPr="002E24C8">
        <w:t xml:space="preserve"> is </w:t>
      </w:r>
      <w:r w:rsidR="00D53707" w:rsidRPr="002E24C8">
        <w:t>being</w:t>
      </w:r>
      <w:r w:rsidR="007C5D01" w:rsidRPr="002E24C8">
        <w:t xml:space="preserve"> mooted is an </w:t>
      </w:r>
      <w:r w:rsidR="00D53707" w:rsidRPr="002E24C8">
        <w:t>entitlement</w:t>
      </w:r>
      <w:r w:rsidR="007C5D01" w:rsidRPr="002E24C8">
        <w:t xml:space="preserve"> to </w:t>
      </w:r>
      <w:r w:rsidR="007C5D01" w:rsidRPr="002E24C8">
        <w:rPr>
          <w:i/>
        </w:rPr>
        <w:t xml:space="preserve">treat </w:t>
      </w:r>
      <w:r w:rsidR="007C5D01" w:rsidRPr="002E24C8">
        <w:t xml:space="preserve">the cornerstones as </w:t>
      </w:r>
      <w:r w:rsidR="00D53707" w:rsidRPr="002E24C8">
        <w:t>certain</w:t>
      </w:r>
      <w:r w:rsidR="007C5D01" w:rsidRPr="002E24C8">
        <w:t xml:space="preserve">, not to </w:t>
      </w:r>
      <w:r w:rsidR="007C5D01" w:rsidRPr="002E24C8">
        <w:rPr>
          <w:i/>
        </w:rPr>
        <w:t>feel</w:t>
      </w:r>
      <w:r w:rsidR="007C5D01" w:rsidRPr="002E24C8">
        <w:t xml:space="preserve"> that they are certain</w:t>
      </w:r>
      <w:r w:rsidR="004C3713">
        <w:t xml:space="preserve"> </w:t>
      </w:r>
      <w:r w:rsidR="00434B2E" w:rsidRPr="002E24C8">
        <w:t>—</w:t>
      </w:r>
      <w:r w:rsidR="004C3713">
        <w:t xml:space="preserve"> </w:t>
      </w:r>
      <w:r w:rsidR="00434B2E" w:rsidRPr="002E24C8">
        <w:t>the certainty that</w:t>
      </w:r>
      <w:r w:rsidR="0084654B" w:rsidRPr="002E24C8">
        <w:t xml:space="preserve"> Hume, at least in the study, </w:t>
      </w:r>
      <w:r w:rsidR="00D53707" w:rsidRPr="002E24C8">
        <w:t>found</w:t>
      </w:r>
      <w:r w:rsidR="00434B2E" w:rsidRPr="002E24C8">
        <w:t xml:space="preserve"> it so difficult to feel</w:t>
      </w:r>
      <w:r w:rsidR="007C5D01" w:rsidRPr="002E24C8">
        <w:t xml:space="preserve">. </w:t>
      </w:r>
      <w:r w:rsidR="0084654B" w:rsidRPr="002E24C8">
        <w:t xml:space="preserve">However, we will not </w:t>
      </w:r>
      <w:r w:rsidR="00D53707" w:rsidRPr="002E24C8">
        <w:t>pursue</w:t>
      </w:r>
      <w:r w:rsidR="0084654B" w:rsidRPr="002E24C8">
        <w:t xml:space="preserve"> this issue here. A</w:t>
      </w:r>
      <w:r w:rsidR="00867BD4" w:rsidRPr="002E24C8">
        <w:t xml:space="preserve"> </w:t>
      </w:r>
      <w:r w:rsidR="00AC74D0" w:rsidRPr="002E24C8">
        <w:t xml:space="preserve">third </w:t>
      </w:r>
      <w:r w:rsidR="00A3514A" w:rsidRPr="002E24C8">
        <w:t>way</w:t>
      </w:r>
      <w:r w:rsidR="00027E6D" w:rsidRPr="002E24C8">
        <w:t xml:space="preserve"> </w:t>
      </w:r>
      <w:r w:rsidR="00A3514A" w:rsidRPr="002E24C8">
        <w:t xml:space="preserve">to respond to the </w:t>
      </w:r>
      <w:r w:rsidR="004609EF" w:rsidRPr="002E24C8">
        <w:t xml:space="preserve">revamped </w:t>
      </w:r>
      <w:r w:rsidR="00C43DD1" w:rsidRPr="002E24C8">
        <w:t>L</w:t>
      </w:r>
      <w:r w:rsidR="004609EF" w:rsidRPr="002E24C8">
        <w:t>eaching</w:t>
      </w:r>
      <w:r w:rsidR="00A3514A" w:rsidRPr="002E24C8">
        <w:t xml:space="preserve"> </w:t>
      </w:r>
      <w:r w:rsidR="00434B2E" w:rsidRPr="002E24C8">
        <w:t>worry</w:t>
      </w:r>
      <w:r w:rsidR="00834CEA" w:rsidRPr="002E24C8">
        <w:t xml:space="preserve"> </w:t>
      </w:r>
      <w:r w:rsidR="00027E6D" w:rsidRPr="002E24C8">
        <w:t xml:space="preserve">avoids investing in the putative </w:t>
      </w:r>
      <w:r w:rsidR="00027E6D" w:rsidRPr="002E24C8">
        <w:rPr>
          <w:i/>
        </w:rPr>
        <w:t>certainty</w:t>
      </w:r>
      <w:r w:rsidR="00027E6D" w:rsidRPr="002E24C8">
        <w:t xml:space="preserve"> of </w:t>
      </w:r>
      <w:r w:rsidR="00D53707" w:rsidRPr="002E24C8">
        <w:t>entitlements</w:t>
      </w:r>
      <w:r w:rsidR="00434B2E" w:rsidRPr="002E24C8">
        <w:t xml:space="preserve"> in either sense</w:t>
      </w:r>
      <w:r w:rsidRPr="002E24C8">
        <w:t>.</w:t>
      </w:r>
      <w:r w:rsidR="00027E6D" w:rsidRPr="002E24C8">
        <w:t xml:space="preserve"> </w:t>
      </w:r>
      <w:r w:rsidRPr="002E24C8">
        <w:t>It</w:t>
      </w:r>
      <w:r w:rsidR="00D53707" w:rsidRPr="002E24C8">
        <w:t xml:space="preserve"> starts</w:t>
      </w:r>
      <w:r w:rsidR="00834CEA" w:rsidRPr="002E24C8">
        <w:t xml:space="preserve"> with acknowledging that </w:t>
      </w:r>
      <w:r w:rsidR="00D53707" w:rsidRPr="002E24C8">
        <w:t>there</w:t>
      </w:r>
      <w:r w:rsidR="00245E78" w:rsidRPr="002E24C8">
        <w:t xml:space="preserve"> is </w:t>
      </w:r>
      <w:r w:rsidR="0084654B" w:rsidRPr="002E24C8">
        <w:t xml:space="preserve">indeed </w:t>
      </w:r>
      <w:r w:rsidR="00245E78" w:rsidRPr="002E24C8">
        <w:t xml:space="preserve">an open question about </w:t>
      </w:r>
      <w:r w:rsidR="00D53707" w:rsidRPr="002E24C8">
        <w:t>what</w:t>
      </w:r>
      <w:r w:rsidR="00245E78" w:rsidRPr="002E24C8">
        <w:t xml:space="preserve"> </w:t>
      </w:r>
      <w:r w:rsidR="00D53707" w:rsidRPr="002E24C8">
        <w:t>exactly</w:t>
      </w:r>
      <w:r w:rsidR="00245E78" w:rsidRPr="002E24C8">
        <w:t xml:space="preserve"> </w:t>
      </w:r>
      <w:r w:rsidR="00834CEA" w:rsidRPr="002E24C8">
        <w:t xml:space="preserve">our epistemic entitlements </w:t>
      </w:r>
      <w:r w:rsidR="0084654B" w:rsidRPr="002E24C8">
        <w:t xml:space="preserve">are best conceived a licensing </w:t>
      </w:r>
      <w:r w:rsidR="00245E78" w:rsidRPr="002E24C8">
        <w:t xml:space="preserve">us to do — what </w:t>
      </w:r>
      <w:r w:rsidR="00D53707" w:rsidRPr="002E24C8">
        <w:t>attitude</w:t>
      </w:r>
      <w:r w:rsidR="00245E78" w:rsidRPr="002E24C8">
        <w:t xml:space="preserve"> or action is </w:t>
      </w:r>
      <w:r w:rsidR="00D53707" w:rsidRPr="002E24C8">
        <w:t>rationalised</w:t>
      </w:r>
      <w:r w:rsidR="00245E78" w:rsidRPr="002E24C8">
        <w:t xml:space="preserve"> thereby. </w:t>
      </w:r>
      <w:r w:rsidR="007C4D11" w:rsidRPr="002E24C8">
        <w:t xml:space="preserve">We have so far been assuming, with </w:t>
      </w:r>
      <w:r w:rsidR="007B7BAD">
        <w:t>(</w:t>
      </w:r>
      <w:r w:rsidR="007C4D11" w:rsidRPr="002E24C8">
        <w:t>Wright</w:t>
      </w:r>
      <w:r w:rsidR="007B7BAD">
        <w:t>,</w:t>
      </w:r>
      <w:r w:rsidR="007C4D11" w:rsidRPr="002E24C8">
        <w:t xml:space="preserve"> 2004 and </w:t>
      </w:r>
      <w:r w:rsidR="00D53707" w:rsidRPr="002E24C8">
        <w:t>elsewhere) that</w:t>
      </w:r>
      <w:r w:rsidR="0084654B" w:rsidRPr="002E24C8">
        <w:t xml:space="preserve"> </w:t>
      </w:r>
      <w:r w:rsidR="007C4D11" w:rsidRPr="002E24C8">
        <w:t>entitlement</w:t>
      </w:r>
      <w:r w:rsidR="00583D6D" w:rsidRPr="002E24C8">
        <w:t xml:space="preserve"> </w:t>
      </w:r>
      <w:r w:rsidR="007C4D11" w:rsidRPr="002E24C8">
        <w:t xml:space="preserve">should be conceived as </w:t>
      </w:r>
      <w:r w:rsidR="0084654B" w:rsidRPr="002E24C8">
        <w:t>something in the ballpark of a license to</w:t>
      </w:r>
      <w:r w:rsidR="007C4D11" w:rsidRPr="002E24C8">
        <w:t xml:space="preserve"> </w:t>
      </w:r>
      <w:r w:rsidR="00583D6D" w:rsidRPr="002E24C8">
        <w:rPr>
          <w:i/>
        </w:rPr>
        <w:t>accept</w:t>
      </w:r>
      <w:r w:rsidR="00583D6D" w:rsidRPr="002E24C8">
        <w:t xml:space="preserve"> or </w:t>
      </w:r>
      <w:r w:rsidR="00583D6D" w:rsidRPr="002E24C8">
        <w:rPr>
          <w:i/>
        </w:rPr>
        <w:t>trust</w:t>
      </w:r>
      <w:r w:rsidR="00583D6D" w:rsidRPr="002E24C8">
        <w:t xml:space="preserve"> </w:t>
      </w:r>
      <w:r w:rsidR="007C4D11" w:rsidRPr="002E24C8">
        <w:t xml:space="preserve">in </w:t>
      </w:r>
      <w:r w:rsidR="00583D6D" w:rsidRPr="002E24C8">
        <w:t xml:space="preserve">the </w:t>
      </w:r>
      <w:r w:rsidR="000D0483" w:rsidRPr="002E24C8">
        <w:t>hinge proposition</w:t>
      </w:r>
      <w:r w:rsidR="00273316" w:rsidRPr="002E24C8">
        <w:t xml:space="preserve"> </w:t>
      </w:r>
      <w:r w:rsidR="00DB757E" w:rsidRPr="002E24C8">
        <w:t>“</w:t>
      </w:r>
      <w:r w:rsidR="00E73B34" w:rsidRPr="002E24C8">
        <w:t>T</w:t>
      </w:r>
      <w:r w:rsidR="00273316" w:rsidRPr="002E24C8">
        <w:t>here is a material world</w:t>
      </w:r>
      <w:r w:rsidR="00DB757E" w:rsidRPr="002E24C8">
        <w:t>”</w:t>
      </w:r>
      <w:r w:rsidR="00273316" w:rsidRPr="002E24C8">
        <w:t xml:space="preserve">. </w:t>
      </w:r>
      <w:r w:rsidR="00245E78" w:rsidRPr="002E24C8">
        <w:t>But</w:t>
      </w:r>
      <w:r w:rsidR="0084654B" w:rsidRPr="002E24C8">
        <w:t>, on reflection</w:t>
      </w:r>
      <w:r w:rsidR="00D53707" w:rsidRPr="002E24C8">
        <w:t>, it</w:t>
      </w:r>
      <w:r w:rsidR="00245E78" w:rsidRPr="002E24C8">
        <w:t xml:space="preserve"> is not obvious that </w:t>
      </w:r>
      <w:r w:rsidR="00D53707" w:rsidRPr="002E24C8">
        <w:t>this</w:t>
      </w:r>
      <w:r w:rsidR="00245E78" w:rsidRPr="002E24C8">
        <w:t xml:space="preserve"> </w:t>
      </w:r>
      <w:r w:rsidR="0084654B" w:rsidRPr="002E24C8">
        <w:t xml:space="preserve">kind of </w:t>
      </w:r>
      <w:r w:rsidR="00D53707" w:rsidRPr="002E24C8">
        <w:t>interpretation</w:t>
      </w:r>
      <w:r w:rsidR="00245E78" w:rsidRPr="002E24C8">
        <w:t xml:space="preserve"> </w:t>
      </w:r>
      <w:r w:rsidR="0084654B" w:rsidRPr="002E24C8">
        <w:t xml:space="preserve">is indeed </w:t>
      </w:r>
      <w:r w:rsidR="00D53707" w:rsidRPr="002E24C8">
        <w:t xml:space="preserve">even </w:t>
      </w:r>
      <w:r w:rsidR="00913113" w:rsidRPr="002E24C8">
        <w:t>in the best</w:t>
      </w:r>
      <w:r w:rsidR="0084654B" w:rsidRPr="002E24C8">
        <w:t xml:space="preserve"> ballpark</w:t>
      </w:r>
      <w:r w:rsidR="00245E78" w:rsidRPr="002E24C8">
        <w:t xml:space="preserve">. </w:t>
      </w:r>
      <w:r w:rsidR="001268EB" w:rsidRPr="002E24C8">
        <w:t>Advocate</w:t>
      </w:r>
      <w:r w:rsidR="007A6A67" w:rsidRPr="002E24C8">
        <w:t>s</w:t>
      </w:r>
      <w:r w:rsidR="001268EB" w:rsidRPr="002E24C8">
        <w:t xml:space="preserve"> of entitlement theory c</w:t>
      </w:r>
      <w:r w:rsidR="005A170B" w:rsidRPr="002E24C8">
        <w:t>an</w:t>
      </w:r>
      <w:r w:rsidR="001268EB" w:rsidRPr="002E24C8">
        <w:t xml:space="preserve"> </w:t>
      </w:r>
      <w:r w:rsidR="00271313" w:rsidRPr="002E24C8">
        <w:t>contend</w:t>
      </w:r>
      <w:r w:rsidR="001268EB" w:rsidRPr="002E24C8">
        <w:t xml:space="preserve"> that i</w:t>
      </w:r>
      <w:r w:rsidR="009C4C45" w:rsidRPr="002E24C8">
        <w:t xml:space="preserve">n this and </w:t>
      </w:r>
      <w:r w:rsidR="007A6A67" w:rsidRPr="002E24C8">
        <w:t>other</w:t>
      </w:r>
      <w:r w:rsidR="009C4C45" w:rsidRPr="002E24C8">
        <w:t xml:space="preserve"> cases</w:t>
      </w:r>
      <w:r w:rsidR="007A6A67" w:rsidRPr="002E24C8">
        <w:t xml:space="preserve"> of th</w:t>
      </w:r>
      <w:r w:rsidR="00782BFF" w:rsidRPr="002E24C8">
        <w:t>is</w:t>
      </w:r>
      <w:r w:rsidR="007A6A67" w:rsidRPr="002E24C8">
        <w:t xml:space="preserve"> type</w:t>
      </w:r>
      <w:r w:rsidR="000D5E62" w:rsidRPr="002E24C8">
        <w:t>,</w:t>
      </w:r>
      <w:r w:rsidR="00AF1924" w:rsidRPr="002E24C8">
        <w:t xml:space="preserve"> </w:t>
      </w:r>
      <w:r w:rsidR="00027E6D" w:rsidRPr="002E24C8">
        <w:t xml:space="preserve">one’s entitlement is best construed </w:t>
      </w:r>
      <w:r w:rsidR="00867BD4" w:rsidRPr="002E24C8">
        <w:t>in a way inspired by Da</w:t>
      </w:r>
      <w:r w:rsidR="00176753" w:rsidRPr="002E24C8">
        <w:t>v</w:t>
      </w:r>
      <w:r w:rsidR="00867BD4" w:rsidRPr="002E24C8">
        <w:t>id Lewis</w:t>
      </w:r>
      <w:r w:rsidR="00176753" w:rsidRPr="002E24C8">
        <w:t>’</w:t>
      </w:r>
      <w:r w:rsidR="00867BD4" w:rsidRPr="002E24C8">
        <w:t xml:space="preserve"> classic contextualist manifesto</w:t>
      </w:r>
      <w:r w:rsidR="00867BD4" w:rsidRPr="002E24C8">
        <w:rPr>
          <w:rStyle w:val="FootnoteReference"/>
        </w:rPr>
        <w:footnoteReference w:id="19"/>
      </w:r>
      <w:r w:rsidR="00867BD4" w:rsidRPr="002E24C8">
        <w:rPr>
          <w:i/>
        </w:rPr>
        <w:t xml:space="preserve"> </w:t>
      </w:r>
      <w:r w:rsidR="00573153" w:rsidRPr="002E24C8">
        <w:t>as entitlem</w:t>
      </w:r>
      <w:r w:rsidR="00176753" w:rsidRPr="002E24C8">
        <w:t>en</w:t>
      </w:r>
      <w:r w:rsidR="00573153" w:rsidRPr="002E24C8">
        <w:t xml:space="preserve">t </w:t>
      </w:r>
      <w:r w:rsidR="009C4C45" w:rsidRPr="002E24C8">
        <w:t xml:space="preserve">to </w:t>
      </w:r>
      <w:r w:rsidR="009C4C45" w:rsidRPr="002E24C8">
        <w:rPr>
          <w:i/>
        </w:rPr>
        <w:t>ignore</w:t>
      </w:r>
      <w:r w:rsidR="009C4C45" w:rsidRPr="002E24C8">
        <w:t xml:space="preserve"> </w:t>
      </w:r>
      <w:r w:rsidR="009C4C45" w:rsidRPr="002E24C8">
        <w:rPr>
          <w:i/>
        </w:rPr>
        <w:t xml:space="preserve">¬SH </w:t>
      </w:r>
      <w:r w:rsidR="00554A02" w:rsidRPr="002E24C8">
        <w:t xml:space="preserve">–– </w:t>
      </w:r>
      <w:r w:rsidR="004B6529" w:rsidRPr="002E24C8">
        <w:t xml:space="preserve">or </w:t>
      </w:r>
      <w:r w:rsidR="005419A4" w:rsidRPr="002E24C8">
        <w:t xml:space="preserve">more </w:t>
      </w:r>
      <w:r w:rsidR="005A170B" w:rsidRPr="002E24C8">
        <w:t>exactly</w:t>
      </w:r>
      <w:r w:rsidR="005419A4" w:rsidRPr="002E24C8">
        <w:t>,</w:t>
      </w:r>
      <w:r w:rsidR="00554A02" w:rsidRPr="002E24C8">
        <w:t xml:space="preserve"> to ignore</w:t>
      </w:r>
      <w:r w:rsidR="0084654B" w:rsidRPr="002E24C8">
        <w:t xml:space="preserve"> both</w:t>
      </w:r>
      <w:r w:rsidR="009C4C45" w:rsidRPr="002E24C8">
        <w:rPr>
          <w:i/>
        </w:rPr>
        <w:t xml:space="preserve"> SH</w:t>
      </w:r>
      <w:r w:rsidR="00554A02" w:rsidRPr="002E24C8">
        <w:t xml:space="preserve"> and</w:t>
      </w:r>
      <w:r w:rsidR="00D62A7E" w:rsidRPr="002E24C8">
        <w:t>, consequently,</w:t>
      </w:r>
      <w:r w:rsidR="00554A02" w:rsidRPr="002E24C8">
        <w:t xml:space="preserve"> </w:t>
      </w:r>
      <w:r w:rsidR="00554A02" w:rsidRPr="002E24C8">
        <w:rPr>
          <w:i/>
        </w:rPr>
        <w:t>¬SH</w:t>
      </w:r>
      <w:r w:rsidR="000D5E62" w:rsidRPr="002E24C8">
        <w:t>.</w:t>
      </w:r>
      <w:r w:rsidR="00591F49" w:rsidRPr="002E24C8">
        <w:t xml:space="preserve"> </w:t>
      </w:r>
    </w:p>
    <w:p w14:paraId="065B8D97" w14:textId="64355669" w:rsidR="007C0965" w:rsidRPr="002E24C8" w:rsidRDefault="00573153" w:rsidP="00854ABD">
      <w:pPr>
        <w:rPr>
          <w:iCs/>
        </w:rPr>
      </w:pPr>
      <w:r w:rsidRPr="002E24C8">
        <w:tab/>
        <w:t xml:space="preserve">This idea should not, we suggest, seem </w:t>
      </w:r>
      <w:r w:rsidR="00A571C5" w:rsidRPr="002E24C8">
        <w:t xml:space="preserve">terribly </w:t>
      </w:r>
      <w:r w:rsidR="00271313" w:rsidRPr="002E24C8">
        <w:t xml:space="preserve">odd or unnatural. </w:t>
      </w:r>
      <w:r w:rsidR="00310971" w:rsidRPr="002E24C8">
        <w:t xml:space="preserve">An entitlement of this type, to disregard both a sceptical hypothesis and the cornerstones that it attacks, would simply sanction what a normal subject would probably already do. </w:t>
      </w:r>
      <w:r w:rsidRPr="002E24C8">
        <w:t xml:space="preserve">In </w:t>
      </w:r>
      <w:r w:rsidR="00E87C28" w:rsidRPr="002E24C8">
        <w:t>daily</w:t>
      </w:r>
      <w:r w:rsidR="004E33EE" w:rsidRPr="002E24C8">
        <w:t xml:space="preserve"> life </w:t>
      </w:r>
      <w:r w:rsidR="00B41AE3" w:rsidRPr="002E24C8">
        <w:t>and</w:t>
      </w:r>
      <w:r w:rsidR="004E33EE" w:rsidRPr="002E24C8">
        <w:t xml:space="preserve"> science, people ignore</w:t>
      </w:r>
      <w:r w:rsidR="00587058" w:rsidRPr="002E24C8">
        <w:t xml:space="preserve"> </w:t>
      </w:r>
      <w:r w:rsidR="004E33EE" w:rsidRPr="002E24C8">
        <w:t xml:space="preserve">sceptical </w:t>
      </w:r>
      <w:r w:rsidR="0087396A" w:rsidRPr="002E24C8">
        <w:t>possibilities</w:t>
      </w:r>
      <w:r w:rsidR="0035152F" w:rsidRPr="002E24C8">
        <w:t xml:space="preserve"> even when they </w:t>
      </w:r>
      <w:r w:rsidR="00782BFF" w:rsidRPr="002E24C8">
        <w:t>are aware</w:t>
      </w:r>
      <w:r w:rsidR="00F73C23" w:rsidRPr="002E24C8">
        <w:t xml:space="preserve"> of them</w:t>
      </w:r>
      <w:r w:rsidR="004E33EE" w:rsidRPr="002E24C8">
        <w:t>.</w:t>
      </w:r>
      <w:r w:rsidR="00896959" w:rsidRPr="002E24C8">
        <w:t xml:space="preserve"> </w:t>
      </w:r>
      <w:r w:rsidRPr="002E24C8">
        <w:t>A</w:t>
      </w:r>
      <w:r w:rsidR="00DA3E96" w:rsidRPr="002E24C8">
        <w:t>n epistemologist</w:t>
      </w:r>
      <w:r w:rsidR="0084654B" w:rsidRPr="002E24C8">
        <w:t>, f</w:t>
      </w:r>
      <w:r w:rsidR="00854ABD" w:rsidRPr="002E24C8">
        <w:t xml:space="preserve">resh from giving a talk on Descartes </w:t>
      </w:r>
      <w:r w:rsidR="00310971" w:rsidRPr="002E24C8">
        <w:t>and attempting</w:t>
      </w:r>
      <w:r w:rsidRPr="002E24C8">
        <w:t xml:space="preserve"> </w:t>
      </w:r>
      <w:r w:rsidR="00896959" w:rsidRPr="002E24C8">
        <w:t xml:space="preserve">to remember </w:t>
      </w:r>
      <w:r w:rsidR="00854ABD" w:rsidRPr="002E24C8">
        <w:t>on what level</w:t>
      </w:r>
      <w:r w:rsidR="00896959" w:rsidRPr="002E24C8">
        <w:t xml:space="preserve"> </w:t>
      </w:r>
      <w:r w:rsidR="00DA3E96" w:rsidRPr="002E24C8">
        <w:t xml:space="preserve">she </w:t>
      </w:r>
      <w:r w:rsidR="00A571C5" w:rsidRPr="002E24C8">
        <w:t xml:space="preserve">earlier </w:t>
      </w:r>
      <w:r w:rsidR="00116E0B" w:rsidRPr="002E24C8">
        <w:t xml:space="preserve">parked </w:t>
      </w:r>
      <w:r w:rsidR="00DA3E96" w:rsidRPr="002E24C8">
        <w:t>her</w:t>
      </w:r>
      <w:r w:rsidR="00116E0B" w:rsidRPr="002E24C8">
        <w:t xml:space="preserve"> car</w:t>
      </w:r>
      <w:r w:rsidR="00854ABD" w:rsidRPr="002E24C8">
        <w:t xml:space="preserve"> in the airport parking structure, may experience mounting anxiety but one thing she won’t be anxious about will be</w:t>
      </w:r>
      <w:r w:rsidR="00896959" w:rsidRPr="002E24C8">
        <w:t xml:space="preserve"> the possibility that </w:t>
      </w:r>
      <w:r w:rsidR="00DA3E96" w:rsidRPr="002E24C8">
        <w:t>her</w:t>
      </w:r>
      <w:r w:rsidR="00896959" w:rsidRPr="002E24C8">
        <w:t xml:space="preserve"> memory </w:t>
      </w:r>
      <w:r w:rsidR="00F464FD" w:rsidRPr="002E24C8">
        <w:t>might</w:t>
      </w:r>
      <w:r w:rsidR="00854ABD" w:rsidRPr="002E24C8">
        <w:t xml:space="preserve"> </w:t>
      </w:r>
      <w:r w:rsidR="00310971" w:rsidRPr="002E24C8">
        <w:t>have</w:t>
      </w:r>
      <w:r w:rsidR="00854ABD" w:rsidRPr="002E24C8">
        <w:t xml:space="preserve"> been</w:t>
      </w:r>
      <w:r w:rsidR="00896959" w:rsidRPr="002E24C8">
        <w:t xml:space="preserve"> tricked by a Cartesian </w:t>
      </w:r>
      <w:r w:rsidR="00310971" w:rsidRPr="002E24C8">
        <w:t>demon, or</w:t>
      </w:r>
      <w:r w:rsidR="0084654B" w:rsidRPr="002E24C8">
        <w:t xml:space="preserve"> </w:t>
      </w:r>
      <w:r w:rsidR="00A571C5" w:rsidRPr="002E24C8">
        <w:t xml:space="preserve">indeed </w:t>
      </w:r>
      <w:r w:rsidR="0084654B" w:rsidRPr="002E24C8">
        <w:t xml:space="preserve">that she </w:t>
      </w:r>
      <w:r w:rsidR="00310971" w:rsidRPr="002E24C8">
        <w:t>has no</w:t>
      </w:r>
      <w:r w:rsidR="0084654B" w:rsidRPr="002E24C8">
        <w:t xml:space="preserve"> </w:t>
      </w:r>
      <w:r w:rsidR="00310971" w:rsidRPr="002E24C8">
        <w:t>car</w:t>
      </w:r>
      <w:r w:rsidR="0084654B" w:rsidRPr="002E24C8">
        <w:t xml:space="preserve"> nor any other material </w:t>
      </w:r>
      <w:r w:rsidR="00310971" w:rsidRPr="002E24C8">
        <w:t>possessions</w:t>
      </w:r>
      <w:r w:rsidR="0084654B" w:rsidRPr="002E24C8">
        <w:t xml:space="preserve"> for that matte</w:t>
      </w:r>
      <w:r w:rsidR="00434B2E" w:rsidRPr="002E24C8">
        <w:t>r</w:t>
      </w:r>
      <w:r w:rsidR="00FB5E58" w:rsidRPr="002E24C8">
        <w:t xml:space="preserve">, including her </w:t>
      </w:r>
      <w:r w:rsidR="00434B2E" w:rsidRPr="002E24C8">
        <w:t xml:space="preserve">physical </w:t>
      </w:r>
      <w:r w:rsidR="00FB5E58" w:rsidRPr="002E24C8">
        <w:t>body</w:t>
      </w:r>
      <w:r w:rsidR="00310971" w:rsidRPr="002E24C8">
        <w:t>.</w:t>
      </w:r>
      <w:r w:rsidR="00896959" w:rsidRPr="002E24C8">
        <w:t xml:space="preserve"> </w:t>
      </w:r>
      <w:r w:rsidR="00CE7DC1" w:rsidRPr="002E24C8">
        <w:t>Similarly,</w:t>
      </w:r>
      <w:r w:rsidR="004E33EE" w:rsidRPr="002E24C8">
        <w:t xml:space="preserve"> </w:t>
      </w:r>
      <w:r w:rsidR="00896959" w:rsidRPr="002E24C8">
        <w:t>t</w:t>
      </w:r>
      <w:r w:rsidR="00587058" w:rsidRPr="002E24C8">
        <w:t xml:space="preserve">he </w:t>
      </w:r>
      <w:r w:rsidR="00035D98" w:rsidRPr="002E24C8">
        <w:t>physicists</w:t>
      </w:r>
      <w:r w:rsidR="00587058" w:rsidRPr="002E24C8">
        <w:t xml:space="preserve"> who have recently detected gravitational waves have</w:t>
      </w:r>
      <w:r w:rsidR="00E26021" w:rsidRPr="002E24C8">
        <w:t xml:space="preserve"> </w:t>
      </w:r>
      <w:r w:rsidR="005F3B25" w:rsidRPr="002E24C8">
        <w:t>certainly</w:t>
      </w:r>
      <w:r w:rsidR="00587058" w:rsidRPr="002E24C8">
        <w:t xml:space="preserve"> ignored the conjecture that </w:t>
      </w:r>
      <w:r w:rsidR="00310971" w:rsidRPr="002E24C8">
        <w:t>the Matrix might have fabricated their data</w:t>
      </w:r>
      <w:r w:rsidR="00FB5E58" w:rsidRPr="002E24C8">
        <w:t>, though some of them at least are</w:t>
      </w:r>
      <w:r w:rsidR="003B3F6D" w:rsidRPr="002E24C8">
        <w:t xml:space="preserve"> </w:t>
      </w:r>
      <w:r w:rsidR="00920054" w:rsidRPr="002E24C8">
        <w:t>very likely have</w:t>
      </w:r>
      <w:r w:rsidR="003B3F6D" w:rsidRPr="002E24C8">
        <w:t xml:space="preserve"> watched</w:t>
      </w:r>
      <w:r w:rsidR="00CB1A9D" w:rsidRPr="002E24C8">
        <w:t xml:space="preserve"> the film</w:t>
      </w:r>
      <w:r w:rsidR="003B3F6D" w:rsidRPr="002E24C8">
        <w:t xml:space="preserve"> </w:t>
      </w:r>
      <w:r w:rsidR="00DB757E" w:rsidRPr="002E24C8">
        <w:t>“</w:t>
      </w:r>
      <w:r w:rsidR="003B3F6D" w:rsidRPr="002E24C8">
        <w:t>The Matrix</w:t>
      </w:r>
      <w:r w:rsidR="00DB757E" w:rsidRPr="002E24C8">
        <w:t>”</w:t>
      </w:r>
      <w:r w:rsidR="00AF1924" w:rsidRPr="002E24C8">
        <w:t>,</w:t>
      </w:r>
      <w:r w:rsidR="003B3F6D" w:rsidRPr="002E24C8">
        <w:t xml:space="preserve"> or</w:t>
      </w:r>
      <w:r w:rsidR="00920054" w:rsidRPr="002E24C8">
        <w:t xml:space="preserve"> are</w:t>
      </w:r>
      <w:r w:rsidR="003B3F6D" w:rsidRPr="002E24C8">
        <w:t xml:space="preserve"> </w:t>
      </w:r>
      <w:r w:rsidR="00FB5E58" w:rsidRPr="002E24C8">
        <w:t xml:space="preserve">anyway </w:t>
      </w:r>
      <w:r w:rsidR="003B3F6D" w:rsidRPr="002E24C8">
        <w:t xml:space="preserve">familiar with the story told </w:t>
      </w:r>
      <w:r w:rsidR="00A9345A" w:rsidRPr="002E24C8">
        <w:t>in</w:t>
      </w:r>
      <w:r w:rsidR="003B3F6D" w:rsidRPr="002E24C8">
        <w:t xml:space="preserve"> </w:t>
      </w:r>
      <w:r w:rsidR="00CB1A9D" w:rsidRPr="002E24C8">
        <w:t>it</w:t>
      </w:r>
      <w:r w:rsidR="003B3F6D" w:rsidRPr="002E24C8">
        <w:t>.</w:t>
      </w:r>
    </w:p>
    <w:p w14:paraId="2C912EBF" w14:textId="107DC102" w:rsidR="00535120" w:rsidRPr="002E24C8" w:rsidRDefault="00854ABD" w:rsidP="00535120">
      <w:pPr>
        <w:contextualSpacing/>
      </w:pPr>
      <w:r w:rsidRPr="002E24C8">
        <w:tab/>
      </w:r>
      <w:r w:rsidR="00310971" w:rsidRPr="002E24C8">
        <w:t>Someone might suggest that in cases like these, although admittedly at some level</w:t>
      </w:r>
      <w:r w:rsidR="00310971" w:rsidRPr="002E24C8">
        <w:rPr>
          <w:i/>
        </w:rPr>
        <w:t xml:space="preserve"> </w:t>
      </w:r>
      <w:r w:rsidR="00310971" w:rsidRPr="002E24C8">
        <w:t xml:space="preserve">aware of them, </w:t>
      </w:r>
      <w:r w:rsidR="00FB5E58" w:rsidRPr="002E24C8">
        <w:t>the subjects are able to</w:t>
      </w:r>
      <w:r w:rsidR="00310971" w:rsidRPr="002E24C8">
        <w:t xml:space="preserve"> ignore sceptical possibilities only because they don’t actually </w:t>
      </w:r>
      <w:r w:rsidR="00310971" w:rsidRPr="002E24C8">
        <w:rPr>
          <w:i/>
        </w:rPr>
        <w:t>attend</w:t>
      </w:r>
      <w:r w:rsidR="00310971" w:rsidRPr="002E24C8">
        <w:t xml:space="preserve"> to the scenarios involved, which remain, like a prospectively uncomfortable dental appointment still some weeks away, at the periphery of their thoughts; and that if the imagined epistemologist or the physicists were actually to focus on the relevant sceptical hypotheses, then of course they</w:t>
      </w:r>
      <w:r w:rsidR="00121739" w:rsidRPr="002E24C8">
        <w:t xml:space="preserve"> could no</w:t>
      </w:r>
      <w:r w:rsidR="00310971" w:rsidRPr="002E24C8">
        <w:t xml:space="preserve"> longer possibly ignore them. If that were correct, the proposal that we have entitlements to ignore sceptical scenarios would be pointless, since we wouldn’t be able to </w:t>
      </w:r>
      <w:r w:rsidR="00121739" w:rsidRPr="002E24C8">
        <w:t>cash</w:t>
      </w:r>
      <w:r w:rsidR="00310971" w:rsidRPr="002E24C8">
        <w:t xml:space="preserve"> the license such entitlements provided, once we confronted any specific sceptical challenge. In order to be of any counter-sceptical use, our epistemic entitlements have to be things we can exploit precisely when we </w:t>
      </w:r>
      <w:r w:rsidR="00310971" w:rsidRPr="002E24C8">
        <w:rPr>
          <w:i/>
        </w:rPr>
        <w:t>attend</w:t>
      </w:r>
      <w:r w:rsidR="00310971" w:rsidRPr="002E24C8">
        <w:t xml:space="preserve"> to sceptical </w:t>
      </w:r>
      <w:r w:rsidR="00310971" w:rsidRPr="002E24C8">
        <w:lastRenderedPageBreak/>
        <w:t xml:space="preserve">conjectures. </w:t>
      </w:r>
      <w:r w:rsidR="00FB5E58" w:rsidRPr="002E24C8">
        <w:t>Rights</w:t>
      </w:r>
      <w:r w:rsidR="00310971" w:rsidRPr="002E24C8">
        <w:t xml:space="preserve"> </w:t>
      </w:r>
      <w:r w:rsidR="00E136F7" w:rsidRPr="002E24C8">
        <w:t>aren’t</w:t>
      </w:r>
      <w:r w:rsidR="00310971" w:rsidRPr="002E24C8">
        <w:t xml:space="preserve"> wort</w:t>
      </w:r>
      <w:r w:rsidR="00FB5E58" w:rsidRPr="002E24C8">
        <w:t xml:space="preserve">h a lot if we cannot </w:t>
      </w:r>
      <w:r w:rsidR="00BD7392" w:rsidRPr="002E24C8">
        <w:t>appeal to</w:t>
      </w:r>
      <w:r w:rsidR="00FB5E58" w:rsidRPr="002E24C8">
        <w:t xml:space="preserve"> them</w:t>
      </w:r>
      <w:r w:rsidR="00310971" w:rsidRPr="002E24C8">
        <w:t xml:space="preserve"> </w:t>
      </w:r>
      <w:r w:rsidR="00FB5E58" w:rsidRPr="002E24C8">
        <w:t xml:space="preserve">in exactly the situations </w:t>
      </w:r>
      <w:r w:rsidR="00310971" w:rsidRPr="002E24C8">
        <w:t xml:space="preserve">when </w:t>
      </w:r>
      <w:r w:rsidR="00434B2E" w:rsidRPr="002E24C8">
        <w:t xml:space="preserve">they </w:t>
      </w:r>
      <w:r w:rsidR="00121739" w:rsidRPr="002E24C8">
        <w:t>might benefit us</w:t>
      </w:r>
      <w:r w:rsidR="00310971" w:rsidRPr="002E24C8">
        <w:t>.</w:t>
      </w:r>
    </w:p>
    <w:p w14:paraId="2EFFB725" w14:textId="634B4BBE" w:rsidR="006E0ACB" w:rsidRPr="002E24C8" w:rsidRDefault="00535120" w:rsidP="00121739">
      <w:pPr>
        <w:spacing w:after="120"/>
      </w:pPr>
      <w:r w:rsidRPr="002E24C8">
        <w:tab/>
      </w:r>
      <w:r w:rsidR="00337827" w:rsidRPr="002E24C8">
        <w:t xml:space="preserve"> </w:t>
      </w:r>
      <w:r w:rsidR="007D6C04" w:rsidRPr="002E24C8">
        <w:t>An</w:t>
      </w:r>
      <w:r w:rsidR="008A7321" w:rsidRPr="002E24C8">
        <w:t xml:space="preserve"> emblematic</w:t>
      </w:r>
      <w:r w:rsidR="00337827" w:rsidRPr="002E24C8">
        <w:t xml:space="preserve"> </w:t>
      </w:r>
      <w:r w:rsidR="00D80CE3" w:rsidRPr="002E24C8">
        <w:t>example</w:t>
      </w:r>
      <w:r w:rsidR="00920054" w:rsidRPr="002E24C8">
        <w:t xml:space="preserve"> of the idea at work in that train of thought</w:t>
      </w:r>
      <w:r w:rsidR="00F74D56" w:rsidRPr="002E24C8">
        <w:t xml:space="preserve"> is Lewis</w:t>
      </w:r>
      <w:r w:rsidR="00337827" w:rsidRPr="002E24C8">
        <w:t xml:space="preserve">’s Rule of Attention, according to which </w:t>
      </w:r>
      <w:r w:rsidR="00DB757E" w:rsidRPr="002E24C8">
        <w:t>“</w:t>
      </w:r>
      <w:r w:rsidR="00337827" w:rsidRPr="002E24C8">
        <w:t xml:space="preserve">a possibility that is not ignored at all is </w:t>
      </w:r>
      <w:r w:rsidR="00337827" w:rsidRPr="002E24C8">
        <w:rPr>
          <w:i/>
        </w:rPr>
        <w:t>ipso facto</w:t>
      </w:r>
      <w:r w:rsidR="00337827" w:rsidRPr="002E24C8">
        <w:t xml:space="preserve"> not properly ignored</w:t>
      </w:r>
      <w:r w:rsidR="00DB757E" w:rsidRPr="002E24C8">
        <w:t>”</w:t>
      </w:r>
      <w:r w:rsidR="00E136F7">
        <w:t xml:space="preserve"> (</w:t>
      </w:r>
      <w:r w:rsidR="00E136F7" w:rsidRPr="002E24C8">
        <w:t>1996, p. 559</w:t>
      </w:r>
      <w:r w:rsidR="00E136F7">
        <w:t>)</w:t>
      </w:r>
      <w:r w:rsidR="004E3CBE" w:rsidRPr="002E24C8">
        <w:t>.</w:t>
      </w:r>
      <w:r w:rsidR="00F4573C" w:rsidRPr="002E24C8">
        <w:t xml:space="preserve"> </w:t>
      </w:r>
      <w:r w:rsidR="005B1F72" w:rsidRPr="002E24C8">
        <w:t xml:space="preserve">Lewis </w:t>
      </w:r>
      <w:r w:rsidR="00434B2E" w:rsidRPr="002E24C8">
        <w:t>thought –– or seems to have thought</w:t>
      </w:r>
      <w:r w:rsidR="006840DA" w:rsidRPr="002E24C8">
        <w:t xml:space="preserve"> ––</w:t>
      </w:r>
      <w:r w:rsidR="008A7321" w:rsidRPr="002E24C8">
        <w:t xml:space="preserve"> </w:t>
      </w:r>
      <w:r w:rsidR="00885AF1" w:rsidRPr="002E24C8">
        <w:t>that</w:t>
      </w:r>
      <w:r w:rsidR="005B1F72" w:rsidRPr="002E24C8">
        <w:t xml:space="preserve"> this principle </w:t>
      </w:r>
      <w:r w:rsidR="00BD4CD2" w:rsidRPr="002E24C8">
        <w:t>should strike one as</w:t>
      </w:r>
      <w:r w:rsidR="00373818" w:rsidRPr="002E24C8">
        <w:t xml:space="preserve"> </w:t>
      </w:r>
      <w:r w:rsidR="005B1F72" w:rsidRPr="002E24C8">
        <w:t>self-evident</w:t>
      </w:r>
      <w:r w:rsidR="00885AF1" w:rsidRPr="002E24C8">
        <w:t>.</w:t>
      </w:r>
      <w:r w:rsidR="00F4573C" w:rsidRPr="002E24C8">
        <w:t xml:space="preserve"> </w:t>
      </w:r>
      <w:r w:rsidR="0070244A" w:rsidRPr="002E24C8">
        <w:t>However</w:t>
      </w:r>
      <w:r w:rsidR="00920054" w:rsidRPr="002E24C8">
        <w:t xml:space="preserve">, </w:t>
      </w:r>
      <w:r w:rsidR="00BD4CD2" w:rsidRPr="002E24C8">
        <w:t>for the kind of ignoring that is here germane</w:t>
      </w:r>
      <w:r w:rsidR="008205D1">
        <w:t xml:space="preserve"> </w:t>
      </w:r>
      <w:r w:rsidR="00BD4CD2" w:rsidRPr="002E24C8">
        <w:t>—</w:t>
      </w:r>
      <w:r w:rsidR="008205D1">
        <w:t xml:space="preserve"> </w:t>
      </w:r>
      <w:r w:rsidR="00BD4CD2" w:rsidRPr="002E24C8">
        <w:t xml:space="preserve">ignoring not as ignorance but as a kind of active disregard — </w:t>
      </w:r>
      <w:r w:rsidR="00F251F5" w:rsidRPr="002E24C8">
        <w:t>the Rule of Attention is</w:t>
      </w:r>
      <w:r w:rsidR="00885AF1" w:rsidRPr="002E24C8">
        <w:t xml:space="preserve"> not </w:t>
      </w:r>
      <w:proofErr w:type="gramStart"/>
      <w:r w:rsidR="00AC497C" w:rsidRPr="002E24C8">
        <w:t>merely not</w:t>
      </w:r>
      <w:proofErr w:type="gramEnd"/>
      <w:r w:rsidR="00AC497C" w:rsidRPr="002E24C8">
        <w:t xml:space="preserve"> </w:t>
      </w:r>
      <w:r w:rsidR="00885AF1" w:rsidRPr="002E24C8">
        <w:t>self-evident but</w:t>
      </w:r>
      <w:r w:rsidR="002722CF" w:rsidRPr="002E24C8">
        <w:t xml:space="preserve"> </w:t>
      </w:r>
      <w:r w:rsidR="0070244A" w:rsidRPr="002E24C8">
        <w:t>manifestly</w:t>
      </w:r>
      <w:r w:rsidR="00BD4CD2" w:rsidRPr="002E24C8">
        <w:t xml:space="preserve"> tendentious</w:t>
      </w:r>
      <w:r w:rsidR="00F4573C" w:rsidRPr="002E24C8">
        <w:t>.</w:t>
      </w:r>
      <w:r w:rsidR="006E0ACB" w:rsidRPr="002E24C8">
        <w:t xml:space="preserve"> </w:t>
      </w:r>
      <w:r w:rsidR="00AC497C" w:rsidRPr="002E24C8">
        <w:rPr>
          <w:color w:val="000000"/>
        </w:rPr>
        <w:t>The relevant point is succinctly</w:t>
      </w:r>
      <w:r w:rsidR="00BD4CD2" w:rsidRPr="002E24C8">
        <w:rPr>
          <w:color w:val="000000"/>
        </w:rPr>
        <w:t xml:space="preserve"> made by Michael Williams</w:t>
      </w:r>
      <w:r w:rsidR="00BD4CD2" w:rsidRPr="002E24C8">
        <w:t>:</w:t>
      </w:r>
    </w:p>
    <w:p w14:paraId="36895265" w14:textId="3627EFC3" w:rsidR="006E0ACB" w:rsidRPr="007B7BAD" w:rsidRDefault="00F251F5" w:rsidP="007B7BAD">
      <w:pPr>
        <w:spacing w:after="120"/>
        <w:ind w:left="709"/>
        <w:rPr>
          <w:sz w:val="22"/>
          <w:szCs w:val="22"/>
        </w:rPr>
      </w:pPr>
      <w:r w:rsidRPr="007B7BAD">
        <w:rPr>
          <w:sz w:val="22"/>
          <w:szCs w:val="22"/>
        </w:rPr>
        <w:t>If (rudely or quite</w:t>
      </w:r>
      <w:r w:rsidR="006E0ACB" w:rsidRPr="007B7BAD">
        <w:rPr>
          <w:sz w:val="22"/>
          <w:szCs w:val="22"/>
        </w:rPr>
        <w:t xml:space="preserve"> </w:t>
      </w:r>
      <w:r w:rsidRPr="007B7BAD">
        <w:rPr>
          <w:sz w:val="22"/>
          <w:szCs w:val="22"/>
        </w:rPr>
        <w:t>understandably) I ignore you at a party, this is not because I don’t</w:t>
      </w:r>
      <w:r w:rsidR="006E0ACB" w:rsidRPr="007B7BAD">
        <w:rPr>
          <w:sz w:val="22"/>
          <w:szCs w:val="22"/>
        </w:rPr>
        <w:t xml:space="preserve"> </w:t>
      </w:r>
      <w:r w:rsidRPr="007B7BAD">
        <w:rPr>
          <w:sz w:val="22"/>
          <w:szCs w:val="22"/>
        </w:rPr>
        <w:t>realise you are there. On the contrary, I have to know you are there to</w:t>
      </w:r>
      <w:r w:rsidR="006E0ACB" w:rsidRPr="007B7BAD">
        <w:rPr>
          <w:sz w:val="22"/>
          <w:szCs w:val="22"/>
        </w:rPr>
        <w:t xml:space="preserve"> </w:t>
      </w:r>
      <w:r w:rsidRPr="007B7BAD">
        <w:rPr>
          <w:sz w:val="22"/>
          <w:szCs w:val="22"/>
        </w:rPr>
        <w:t>ignore you. So too in epistemic matters. I can (properly or improperly)</w:t>
      </w:r>
      <w:r w:rsidR="006E0ACB" w:rsidRPr="007B7BAD">
        <w:rPr>
          <w:sz w:val="22"/>
          <w:szCs w:val="22"/>
        </w:rPr>
        <w:t xml:space="preserve"> </w:t>
      </w:r>
      <w:r w:rsidRPr="007B7BAD">
        <w:rPr>
          <w:sz w:val="22"/>
          <w:szCs w:val="22"/>
        </w:rPr>
        <w:t xml:space="preserve">ignore </w:t>
      </w:r>
      <w:r w:rsidR="007D6C04" w:rsidRPr="007B7BAD">
        <w:rPr>
          <w:sz w:val="22"/>
          <w:szCs w:val="22"/>
        </w:rPr>
        <w:t>––</w:t>
      </w:r>
      <w:r w:rsidRPr="007B7BAD">
        <w:rPr>
          <w:sz w:val="22"/>
          <w:szCs w:val="22"/>
        </w:rPr>
        <w:t xml:space="preserve"> i.e. not take into account </w:t>
      </w:r>
      <w:r w:rsidR="007D6C04" w:rsidRPr="007B7BAD">
        <w:rPr>
          <w:sz w:val="22"/>
          <w:szCs w:val="22"/>
        </w:rPr>
        <w:t>––</w:t>
      </w:r>
      <w:r w:rsidRPr="007B7BAD">
        <w:rPr>
          <w:sz w:val="22"/>
          <w:szCs w:val="22"/>
        </w:rPr>
        <w:t xml:space="preserve"> possibilities of which I</w:t>
      </w:r>
      <w:r w:rsidR="006E0ACB" w:rsidRPr="007B7BAD">
        <w:rPr>
          <w:sz w:val="22"/>
          <w:szCs w:val="22"/>
        </w:rPr>
        <w:t xml:space="preserve"> </w:t>
      </w:r>
      <w:r w:rsidRPr="007B7BAD">
        <w:rPr>
          <w:sz w:val="22"/>
          <w:szCs w:val="22"/>
        </w:rPr>
        <w:t>am fully aware.</w:t>
      </w:r>
      <w:r w:rsidR="00BD4CD2" w:rsidRPr="007B7BAD">
        <w:rPr>
          <w:rStyle w:val="FootnoteReference"/>
          <w:sz w:val="22"/>
          <w:szCs w:val="22"/>
        </w:rPr>
        <w:t xml:space="preserve"> </w:t>
      </w:r>
      <w:r w:rsidR="001305C0" w:rsidRPr="007B7BAD">
        <w:rPr>
          <w:sz w:val="22"/>
          <w:szCs w:val="22"/>
        </w:rPr>
        <w:t xml:space="preserve"> </w:t>
      </w:r>
      <w:r w:rsidR="007B7BAD" w:rsidRPr="007B7BAD">
        <w:rPr>
          <w:sz w:val="22"/>
          <w:szCs w:val="22"/>
        </w:rPr>
        <w:t>(</w:t>
      </w:r>
      <w:r w:rsidR="001305C0" w:rsidRPr="007B7BAD">
        <w:rPr>
          <w:sz w:val="22"/>
          <w:szCs w:val="22"/>
        </w:rPr>
        <w:t>2001</w:t>
      </w:r>
      <w:r w:rsidR="007B7BAD" w:rsidRPr="007B7BAD">
        <w:rPr>
          <w:sz w:val="22"/>
          <w:szCs w:val="22"/>
        </w:rPr>
        <w:t xml:space="preserve">, </w:t>
      </w:r>
      <w:r w:rsidR="001305C0" w:rsidRPr="007B7BAD">
        <w:rPr>
          <w:sz w:val="22"/>
          <w:szCs w:val="22"/>
        </w:rPr>
        <w:t>p.</w:t>
      </w:r>
      <w:r w:rsidR="00397E1D">
        <w:rPr>
          <w:sz w:val="22"/>
          <w:szCs w:val="22"/>
        </w:rPr>
        <w:t xml:space="preserve"> </w:t>
      </w:r>
      <w:r w:rsidR="001305C0" w:rsidRPr="007B7BAD">
        <w:rPr>
          <w:sz w:val="22"/>
          <w:szCs w:val="22"/>
        </w:rPr>
        <w:t>16</w:t>
      </w:r>
      <w:r w:rsidR="007B7BAD" w:rsidRPr="007B7BAD">
        <w:rPr>
          <w:sz w:val="22"/>
          <w:szCs w:val="22"/>
        </w:rPr>
        <w:t>)</w:t>
      </w:r>
      <w:r w:rsidR="00BD4CD2" w:rsidRPr="007B7BAD">
        <w:rPr>
          <w:rStyle w:val="FootnoteReference"/>
          <w:sz w:val="22"/>
          <w:szCs w:val="22"/>
        </w:rPr>
        <w:footnoteReference w:id="20"/>
      </w:r>
      <w:r w:rsidRPr="007B7BAD">
        <w:rPr>
          <w:sz w:val="22"/>
          <w:szCs w:val="22"/>
        </w:rPr>
        <w:t xml:space="preserve"> </w:t>
      </w:r>
    </w:p>
    <w:p w14:paraId="7B5295FE" w14:textId="0B3E17D9" w:rsidR="00DE0652" w:rsidRPr="002E24C8" w:rsidRDefault="00885AF1" w:rsidP="006152E9">
      <w:pPr>
        <w:contextualSpacing/>
      </w:pPr>
      <w:r w:rsidRPr="002E24C8">
        <w:t xml:space="preserve">Since </w:t>
      </w:r>
      <w:r w:rsidR="00BD4CD2" w:rsidRPr="002E24C8">
        <w:t>we are in this sense</w:t>
      </w:r>
      <w:r w:rsidR="00652006" w:rsidRPr="002E24C8">
        <w:t xml:space="preserve"> psychologically</w:t>
      </w:r>
      <w:r w:rsidR="00BD4CD2" w:rsidRPr="002E24C8">
        <w:t xml:space="preserve"> capable of ignoring </w:t>
      </w:r>
      <w:proofErr w:type="gramStart"/>
      <w:r w:rsidR="00BD4CD2" w:rsidRPr="002E24C8">
        <w:t>things</w:t>
      </w:r>
      <w:proofErr w:type="gramEnd"/>
      <w:r w:rsidR="00BD4CD2" w:rsidRPr="002E24C8">
        <w:t xml:space="preserve"> we attend</w:t>
      </w:r>
      <w:r w:rsidR="00652006" w:rsidRPr="002E24C8">
        <w:t xml:space="preserve"> to</w:t>
      </w:r>
      <w:r w:rsidRPr="002E24C8">
        <w:t>,</w:t>
      </w:r>
      <w:r w:rsidR="005830DB" w:rsidRPr="002E24C8">
        <w:t xml:space="preserve"> </w:t>
      </w:r>
      <w:r w:rsidRPr="002E24C8">
        <w:t>o</w:t>
      </w:r>
      <w:r w:rsidR="006840DA" w:rsidRPr="002E24C8">
        <w:t xml:space="preserve">ne </w:t>
      </w:r>
      <w:r w:rsidR="00524F5E" w:rsidRPr="002E24C8">
        <w:t xml:space="preserve">may </w:t>
      </w:r>
      <w:r w:rsidR="006840DA" w:rsidRPr="002E24C8">
        <w:t>wonder</w:t>
      </w:r>
      <w:r w:rsidR="00524F5E" w:rsidRPr="002E24C8">
        <w:t xml:space="preserve"> –– </w:t>
      </w:r>
      <w:r w:rsidR="00524F5E" w:rsidRPr="002E24C8">
        <w:rPr>
          <w:i/>
        </w:rPr>
        <w:t>pace</w:t>
      </w:r>
      <w:r w:rsidR="00524F5E" w:rsidRPr="002E24C8">
        <w:t xml:space="preserve"> Lewis ––</w:t>
      </w:r>
      <w:r w:rsidRPr="002E24C8">
        <w:t xml:space="preserve"> in what cases</w:t>
      </w:r>
      <w:r w:rsidR="006840DA" w:rsidRPr="002E24C8">
        <w:t xml:space="preserve"> </w:t>
      </w:r>
      <w:r w:rsidR="00475F2B" w:rsidRPr="002E24C8">
        <w:t xml:space="preserve">we </w:t>
      </w:r>
      <w:r w:rsidR="006840DA" w:rsidRPr="002E24C8">
        <w:t xml:space="preserve">can </w:t>
      </w:r>
      <w:r w:rsidR="006840DA" w:rsidRPr="002E24C8">
        <w:rPr>
          <w:i/>
        </w:rPr>
        <w:t>properly</w:t>
      </w:r>
      <w:r w:rsidR="006840DA" w:rsidRPr="002E24C8">
        <w:t xml:space="preserve"> ignore things </w:t>
      </w:r>
      <w:r w:rsidRPr="002E24C8">
        <w:t xml:space="preserve">that </w:t>
      </w:r>
      <w:r w:rsidR="00475F2B" w:rsidRPr="002E24C8">
        <w:t>we attend</w:t>
      </w:r>
      <w:r w:rsidR="006840DA" w:rsidRPr="002E24C8">
        <w:t xml:space="preserve"> to ––</w:t>
      </w:r>
      <w:r w:rsidR="005830DB" w:rsidRPr="002E24C8">
        <w:t xml:space="preserve"> </w:t>
      </w:r>
      <w:r w:rsidR="00AB2806" w:rsidRPr="002E24C8">
        <w:t>in particular,</w:t>
      </w:r>
      <w:r w:rsidR="005830DB" w:rsidRPr="002E24C8">
        <w:t xml:space="preserve"> </w:t>
      </w:r>
      <w:r w:rsidR="006840DA" w:rsidRPr="002E24C8">
        <w:t>sceptical</w:t>
      </w:r>
      <w:r w:rsidR="00AB2806" w:rsidRPr="002E24C8">
        <w:t xml:space="preserve"> </w:t>
      </w:r>
      <w:r w:rsidR="00A56474" w:rsidRPr="002E24C8">
        <w:t>possibilit</w:t>
      </w:r>
      <w:r w:rsidR="005830DB" w:rsidRPr="002E24C8">
        <w:t>ies</w:t>
      </w:r>
      <w:r w:rsidR="00AB2806" w:rsidRPr="002E24C8">
        <w:t xml:space="preserve"> like </w:t>
      </w:r>
      <w:r w:rsidR="00AB2806" w:rsidRPr="002E24C8">
        <w:rPr>
          <w:i/>
        </w:rPr>
        <w:t>SH</w:t>
      </w:r>
      <w:r w:rsidR="006840DA" w:rsidRPr="002E24C8">
        <w:t>.</w:t>
      </w:r>
      <w:r w:rsidR="000A7568" w:rsidRPr="002E24C8">
        <w:t xml:space="preserve"> </w:t>
      </w:r>
      <w:r w:rsidR="00475F2B" w:rsidRPr="002E24C8">
        <w:t>The answer</w:t>
      </w:r>
      <w:r w:rsidR="00E81B34" w:rsidRPr="002E24C8">
        <w:t xml:space="preserve"> being suggested</w:t>
      </w:r>
      <w:r w:rsidR="000A7568" w:rsidRPr="002E24C8">
        <w:t xml:space="preserve"> is that </w:t>
      </w:r>
      <w:r w:rsidR="00E81B34" w:rsidRPr="002E24C8">
        <w:t xml:space="preserve">we </w:t>
      </w:r>
      <w:r w:rsidR="000A7568" w:rsidRPr="002E24C8">
        <w:t>can properly ignore</w:t>
      </w:r>
      <w:r w:rsidR="00E81B34" w:rsidRPr="002E24C8">
        <w:t xml:space="preserve"> sceptical scenarios</w:t>
      </w:r>
      <w:r w:rsidR="000A7568" w:rsidRPr="002E24C8">
        <w:t xml:space="preserve"> –– in the sense of legitimately refusing to take </w:t>
      </w:r>
      <w:r w:rsidR="00E81B34" w:rsidRPr="002E24C8">
        <w:t>them</w:t>
      </w:r>
      <w:r w:rsidR="000A7568" w:rsidRPr="002E24C8">
        <w:t xml:space="preserve"> into account</w:t>
      </w:r>
      <w:r w:rsidR="00AC44CB" w:rsidRPr="002E24C8">
        <w:t xml:space="preserve"> in</w:t>
      </w:r>
      <w:r w:rsidR="00E81B34" w:rsidRPr="002E24C8">
        <w:t xml:space="preserve"> our</w:t>
      </w:r>
      <w:r w:rsidR="00AC44CB" w:rsidRPr="002E24C8">
        <w:t xml:space="preserve"> epistemic </w:t>
      </w:r>
      <w:r w:rsidR="00E22703" w:rsidRPr="002E24C8">
        <w:t>evaluations</w:t>
      </w:r>
      <w:r w:rsidR="000A7568" w:rsidRPr="002E24C8">
        <w:t xml:space="preserve"> –– when </w:t>
      </w:r>
      <w:r w:rsidR="00E81B34" w:rsidRPr="002E24C8">
        <w:t xml:space="preserve">we are </w:t>
      </w:r>
      <w:r w:rsidR="0070244A" w:rsidRPr="002E24C8">
        <w:rPr>
          <w:i/>
        </w:rPr>
        <w:t>epistemically</w:t>
      </w:r>
      <w:r w:rsidR="000A7568" w:rsidRPr="002E24C8">
        <w:rPr>
          <w:i/>
        </w:rPr>
        <w:t xml:space="preserve"> entitled </w:t>
      </w:r>
      <w:r w:rsidR="000A7568" w:rsidRPr="002E24C8">
        <w:t>to do so.</w:t>
      </w:r>
    </w:p>
    <w:p w14:paraId="1E05B91D" w14:textId="4BC14101" w:rsidR="0010670C" w:rsidRPr="002E24C8" w:rsidRDefault="00077AE5" w:rsidP="0010670C">
      <w:pPr>
        <w:spacing w:after="120"/>
        <w:contextualSpacing/>
      </w:pPr>
      <w:r w:rsidRPr="002E24C8">
        <w:tab/>
        <w:t xml:space="preserve">How </w:t>
      </w:r>
      <w:r w:rsidR="005B6A57" w:rsidRPr="002E24C8">
        <w:t>does entitlement</w:t>
      </w:r>
      <w:r w:rsidR="00E81B34" w:rsidRPr="002E24C8">
        <w:t>, so conceived</w:t>
      </w:r>
      <w:r w:rsidR="009E2369" w:rsidRPr="002E24C8">
        <w:t xml:space="preserve"> as to license deliberate disregard</w:t>
      </w:r>
      <w:r w:rsidR="00E81B34" w:rsidRPr="002E24C8">
        <w:t>,</w:t>
      </w:r>
      <w:r w:rsidRPr="002E24C8">
        <w:t xml:space="preserve"> </w:t>
      </w:r>
      <w:r w:rsidR="00E81B34" w:rsidRPr="002E24C8">
        <w:t>provide the resources to defuse the revamped Le</w:t>
      </w:r>
      <w:r w:rsidR="0070244A" w:rsidRPr="002E24C8">
        <w:t>a</w:t>
      </w:r>
      <w:r w:rsidR="00E81B34" w:rsidRPr="002E24C8">
        <w:t>ching worry</w:t>
      </w:r>
      <w:r w:rsidR="008163F4" w:rsidRPr="002E24C8">
        <w:t>?</w:t>
      </w:r>
      <w:r w:rsidR="00556E8F" w:rsidRPr="002E24C8">
        <w:t xml:space="preserve"> </w:t>
      </w:r>
      <w:r w:rsidR="0070244A" w:rsidRPr="002E24C8">
        <w:t>V</w:t>
      </w:r>
      <w:r w:rsidR="00E81B34" w:rsidRPr="002E24C8">
        <w:t>ery directly. White’s result and its corollary, (</w:t>
      </w:r>
      <w:r w:rsidR="0070244A" w:rsidRPr="002E24C8">
        <w:rPr>
          <w:i/>
        </w:rPr>
        <w:t>Quasi-</w:t>
      </w:r>
      <w:r w:rsidR="00C43DD1" w:rsidRPr="002E24C8">
        <w:rPr>
          <w:i/>
        </w:rPr>
        <w:t>l</w:t>
      </w:r>
      <w:r w:rsidR="0070244A" w:rsidRPr="002E24C8">
        <w:rPr>
          <w:i/>
        </w:rPr>
        <w:t>eac</w:t>
      </w:r>
      <w:r w:rsidR="00E81B34" w:rsidRPr="002E24C8">
        <w:rPr>
          <w:i/>
        </w:rPr>
        <w:t>hing</w:t>
      </w:r>
      <w:r w:rsidR="00E81B34" w:rsidRPr="002E24C8">
        <w:t>)</w:t>
      </w:r>
      <w:r w:rsidR="0070244A" w:rsidRPr="002E24C8">
        <w:t>,</w:t>
      </w:r>
      <w:r w:rsidR="00E81B34" w:rsidRPr="002E24C8">
        <w:t xml:space="preserve"> depend as noted on our </w:t>
      </w:r>
      <w:r w:rsidR="0070244A" w:rsidRPr="002E24C8">
        <w:t>taking</w:t>
      </w:r>
      <w:r w:rsidR="00E81B34" w:rsidRPr="002E24C8">
        <w:t xml:space="preserve"> </w:t>
      </w:r>
      <w:r w:rsidR="00E81B34" w:rsidRPr="002E24C8">
        <w:rPr>
          <w:i/>
        </w:rPr>
        <w:t>SH</w:t>
      </w:r>
      <w:r w:rsidR="00E81B34" w:rsidRPr="002E24C8">
        <w:t xml:space="preserve"> and its kin to lie</w:t>
      </w:r>
      <w:r w:rsidR="0070244A" w:rsidRPr="002E24C8">
        <w:t xml:space="preserve"> </w:t>
      </w:r>
      <w:r w:rsidR="00E81B34" w:rsidRPr="002E24C8">
        <w:t xml:space="preserve">within the range of </w:t>
      </w:r>
      <w:r w:rsidR="0070244A" w:rsidRPr="002E24C8">
        <w:t>propositions</w:t>
      </w:r>
      <w:r w:rsidR="00E81B34" w:rsidRPr="002E24C8">
        <w:t xml:space="preserve"> over which </w:t>
      </w:r>
      <w:r w:rsidR="00F544E1" w:rsidRPr="002E24C8">
        <w:t>Pr</w:t>
      </w:r>
      <w:r w:rsidR="00E81B34" w:rsidRPr="002E24C8">
        <w:t xml:space="preserve"> is defined. There is no reason</w:t>
      </w:r>
      <w:r w:rsidR="005B38B4" w:rsidRPr="002E24C8">
        <w:t xml:space="preserve">, once we are entitled to ignore certain possibilities, why that range should be taken to include such </w:t>
      </w:r>
      <w:r w:rsidR="0070244A" w:rsidRPr="002E24C8">
        <w:t>possibilities</w:t>
      </w:r>
      <w:r w:rsidR="00DB757E" w:rsidRPr="002E24C8">
        <w:t xml:space="preserve"> </w:t>
      </w:r>
      <w:r w:rsidR="005B38B4" w:rsidRPr="002E24C8">
        <w:t xml:space="preserve">— why </w:t>
      </w:r>
      <w:r w:rsidR="00CE596B" w:rsidRPr="002E24C8">
        <w:rPr>
          <w:i/>
        </w:rPr>
        <w:t>SH</w:t>
      </w:r>
      <w:r w:rsidR="00CE596B" w:rsidRPr="002E24C8">
        <w:t xml:space="preserve"> </w:t>
      </w:r>
      <w:r w:rsidR="005B38B4" w:rsidRPr="002E24C8">
        <w:t xml:space="preserve">should be included in the range of </w:t>
      </w:r>
      <w:r w:rsidR="0070244A" w:rsidRPr="002E24C8">
        <w:t>propositions</w:t>
      </w:r>
      <w:r w:rsidR="005B38B4" w:rsidRPr="002E24C8">
        <w:t xml:space="preserve"> over which</w:t>
      </w:r>
      <w:r w:rsidR="00502854" w:rsidRPr="002E24C8">
        <w:t xml:space="preserve"> a fully rational</w:t>
      </w:r>
      <w:r w:rsidR="00121739" w:rsidRPr="002E24C8">
        <w:t xml:space="preserve"> subject,</w:t>
      </w:r>
      <w:r w:rsidR="00CE596B" w:rsidRPr="002E24C8">
        <w:t xml:space="preserve"> </w:t>
      </w:r>
      <w:r w:rsidR="00CE596B" w:rsidRPr="002E24C8">
        <w:rPr>
          <w:i/>
        </w:rPr>
        <w:t>S</w:t>
      </w:r>
      <w:r w:rsidR="00121739" w:rsidRPr="002E24C8">
        <w:t>,</w:t>
      </w:r>
      <w:r w:rsidR="00CE596B" w:rsidRPr="002E24C8">
        <w:t xml:space="preserve"> distributes her degrees of confidence.</w:t>
      </w:r>
      <w:r w:rsidR="00306761" w:rsidRPr="002E24C8">
        <w:t xml:space="preserve"> Clearly, if </w:t>
      </w:r>
      <w:r w:rsidR="00306761" w:rsidRPr="002E24C8">
        <w:rPr>
          <w:i/>
        </w:rPr>
        <w:t>S</w:t>
      </w:r>
      <w:r w:rsidR="00306761" w:rsidRPr="002E24C8">
        <w:t xml:space="preserve"> is entitled to ignore the possibility </w:t>
      </w:r>
      <w:r w:rsidR="00306761" w:rsidRPr="002E24C8">
        <w:rPr>
          <w:i/>
        </w:rPr>
        <w:t>SH</w:t>
      </w:r>
      <w:r w:rsidR="00306761" w:rsidRPr="002E24C8">
        <w:t>,</w:t>
      </w:r>
      <w:r w:rsidR="001F0C57" w:rsidRPr="002E24C8">
        <w:t xml:space="preserve"> </w:t>
      </w:r>
      <w:r w:rsidR="001F0C57" w:rsidRPr="002E24C8">
        <w:rPr>
          <w:i/>
        </w:rPr>
        <w:t>S</w:t>
      </w:r>
      <w:r w:rsidR="001F0C57" w:rsidRPr="002E24C8">
        <w:t xml:space="preserve"> is entitled not to include</w:t>
      </w:r>
      <w:r w:rsidR="00306761" w:rsidRPr="002E24C8">
        <w:t xml:space="preserve"> </w:t>
      </w:r>
      <w:r w:rsidR="00306761" w:rsidRPr="002E24C8">
        <w:rPr>
          <w:i/>
        </w:rPr>
        <w:t>SH</w:t>
      </w:r>
      <w:r w:rsidR="00306761" w:rsidRPr="002E24C8">
        <w:t xml:space="preserve"> </w:t>
      </w:r>
      <w:r w:rsidR="00D95841" w:rsidRPr="002E24C8">
        <w:t xml:space="preserve">(and </w:t>
      </w:r>
      <w:r w:rsidR="00916A7C" w:rsidRPr="002E24C8">
        <w:t>thus</w:t>
      </w:r>
      <w:r w:rsidR="00D95841" w:rsidRPr="002E24C8">
        <w:t xml:space="preserve"> </w:t>
      </w:r>
      <w:r w:rsidR="00D95841" w:rsidRPr="002E24C8">
        <w:rPr>
          <w:i/>
        </w:rPr>
        <w:t>¬SH</w:t>
      </w:r>
      <w:r w:rsidR="00D95841" w:rsidRPr="002E24C8">
        <w:t xml:space="preserve">) </w:t>
      </w:r>
      <w:r w:rsidR="00306761" w:rsidRPr="002E24C8">
        <w:t xml:space="preserve">in the </w:t>
      </w:r>
      <w:r w:rsidR="0010670C" w:rsidRPr="002E24C8">
        <w:t xml:space="preserve">relevant probabilistic </w:t>
      </w:r>
      <w:r w:rsidR="00306761" w:rsidRPr="002E24C8">
        <w:t>algebra.</w:t>
      </w:r>
      <w:r w:rsidR="00E52041" w:rsidRPr="002E24C8">
        <w:rPr>
          <w:rStyle w:val="FootnoteReference"/>
        </w:rPr>
        <w:footnoteReference w:id="21"/>
      </w:r>
      <w:r w:rsidR="008205D1">
        <w:t xml:space="preserve"> </w:t>
      </w:r>
      <w:r w:rsidR="0010670C" w:rsidRPr="002E24C8">
        <w:t>And</w:t>
      </w:r>
      <w:r w:rsidR="001F0C57" w:rsidRPr="002E24C8">
        <w:t xml:space="preserve"> if </w:t>
      </w:r>
      <w:r w:rsidR="001F0C57" w:rsidRPr="002E24C8">
        <w:rPr>
          <w:i/>
        </w:rPr>
        <w:t>SH</w:t>
      </w:r>
      <w:r w:rsidR="001F0C57" w:rsidRPr="002E24C8">
        <w:t xml:space="preserve"> isn’t included</w:t>
      </w:r>
      <w:r w:rsidR="00191E03" w:rsidRPr="002E24C8">
        <w:t>,</w:t>
      </w:r>
      <w:r w:rsidR="00306761" w:rsidRPr="002E24C8">
        <w:t xml:space="preserve"> </w:t>
      </w:r>
      <w:r w:rsidR="0010670C" w:rsidRPr="002E24C8">
        <w:t>“</w:t>
      </w:r>
      <w:r w:rsidR="00F544E1" w:rsidRPr="002E24C8">
        <w:t>Pr</w:t>
      </w:r>
      <w:r w:rsidR="00306761" w:rsidRPr="002E24C8">
        <w:t>(</w:t>
      </w:r>
      <w:r w:rsidR="00306761" w:rsidRPr="002E24C8">
        <w:rPr>
          <w:i/>
        </w:rPr>
        <w:t>SH</w:t>
      </w:r>
      <w:r w:rsidR="00306761" w:rsidRPr="002E24C8">
        <w:t>)</w:t>
      </w:r>
      <w:r w:rsidR="0010670C" w:rsidRPr="002E24C8">
        <w:t>”</w:t>
      </w:r>
      <w:r w:rsidR="00306761" w:rsidRPr="002E24C8">
        <w:t xml:space="preserve"> </w:t>
      </w:r>
      <w:r w:rsidR="0010670C" w:rsidRPr="002E24C8">
        <w:t>no longer has a denotation</w:t>
      </w:r>
      <w:r w:rsidR="001F0C57" w:rsidRPr="002E24C8">
        <w:t xml:space="preserve">, </w:t>
      </w:r>
      <w:r w:rsidR="0010670C" w:rsidRPr="002E24C8">
        <w:t xml:space="preserve">and the first </w:t>
      </w:r>
      <w:r w:rsidR="0070244A" w:rsidRPr="002E24C8">
        <w:t>assumption</w:t>
      </w:r>
      <w:r w:rsidR="0010670C" w:rsidRPr="002E24C8">
        <w:t xml:space="preserve"> of </w:t>
      </w:r>
      <w:r w:rsidR="0070244A" w:rsidRPr="002E24C8">
        <w:t>White’s</w:t>
      </w:r>
      <w:r w:rsidR="0010670C" w:rsidRPr="002E24C8">
        <w:t xml:space="preserve"> proof, that</w:t>
      </w:r>
    </w:p>
    <w:p w14:paraId="5C9B50BF" w14:textId="2ED97C0B" w:rsidR="0010670C" w:rsidRPr="002E24C8" w:rsidRDefault="0010670C" w:rsidP="0010670C">
      <w:r w:rsidRPr="002E24C8">
        <w:tab/>
      </w:r>
      <w:r w:rsidRPr="002E24C8">
        <w:tab/>
        <w:t xml:space="preserve">(1) </w:t>
      </w:r>
      <w:r w:rsidR="00F544E1" w:rsidRPr="002E24C8">
        <w:t>Pr</w:t>
      </w:r>
      <w:r w:rsidRPr="002E24C8">
        <w:t>(</w:t>
      </w:r>
      <w:r w:rsidRPr="002E24C8">
        <w:rPr>
          <w:i/>
        </w:rPr>
        <w:t>SH</w:t>
      </w:r>
      <w:r w:rsidRPr="002E24C8">
        <w:t>) &gt; 0</w:t>
      </w:r>
    </w:p>
    <w:p w14:paraId="419DCE76" w14:textId="733421AE" w:rsidR="00263054" w:rsidRPr="002E24C8" w:rsidRDefault="0010670C" w:rsidP="0010670C">
      <w:pPr>
        <w:spacing w:after="120"/>
        <w:contextualSpacing/>
      </w:pPr>
      <w:r w:rsidRPr="002E24C8">
        <w:t xml:space="preserve">is once </w:t>
      </w:r>
      <w:r w:rsidR="0070244A" w:rsidRPr="002E24C8">
        <w:t>again</w:t>
      </w:r>
      <w:r w:rsidRPr="002E24C8">
        <w:t xml:space="preserve"> undercut.</w:t>
      </w:r>
    </w:p>
    <w:p w14:paraId="19341D3B" w14:textId="77777777" w:rsidR="003F6E05" w:rsidRPr="002E24C8" w:rsidRDefault="003F6E05" w:rsidP="0010670C">
      <w:pPr>
        <w:spacing w:after="120"/>
        <w:contextualSpacing/>
      </w:pPr>
    </w:p>
    <w:p w14:paraId="676EA63E" w14:textId="19D1FAE3" w:rsidR="00B54D54" w:rsidRPr="002E24C8" w:rsidRDefault="003F6E05" w:rsidP="0010670C">
      <w:pPr>
        <w:spacing w:after="120"/>
        <w:contextualSpacing/>
        <w:rPr>
          <w:b/>
          <w:color w:val="000000" w:themeColor="text1"/>
        </w:rPr>
      </w:pPr>
      <w:r w:rsidRPr="002E24C8">
        <w:rPr>
          <w:b/>
          <w:color w:val="000000" w:themeColor="text1"/>
        </w:rPr>
        <w:t>6. Conclusions</w:t>
      </w:r>
    </w:p>
    <w:p w14:paraId="0CA5E9BD" w14:textId="6148C579" w:rsidR="00F52DF5" w:rsidRPr="002E24C8" w:rsidRDefault="00F52DF5" w:rsidP="003A3411">
      <w:pPr>
        <w:spacing w:after="120"/>
        <w:contextualSpacing/>
        <w:rPr>
          <w:color w:val="000000" w:themeColor="text1"/>
        </w:rPr>
      </w:pPr>
      <w:r w:rsidRPr="002E24C8">
        <w:rPr>
          <w:color w:val="000000" w:themeColor="text1"/>
        </w:rPr>
        <w:t xml:space="preserve">Let us summarise </w:t>
      </w:r>
      <w:r w:rsidR="002333BF" w:rsidRPr="002E24C8">
        <w:rPr>
          <w:color w:val="000000" w:themeColor="text1"/>
        </w:rPr>
        <w:t>the principal p</w:t>
      </w:r>
      <w:r w:rsidR="006B21F1" w:rsidRPr="002E24C8">
        <w:rPr>
          <w:color w:val="000000" w:themeColor="text1"/>
        </w:rPr>
        <w:t>oints</w:t>
      </w:r>
      <w:r w:rsidR="002333BF" w:rsidRPr="002E24C8">
        <w:rPr>
          <w:color w:val="000000" w:themeColor="text1"/>
        </w:rPr>
        <w:t xml:space="preserve"> of o</w:t>
      </w:r>
      <w:r w:rsidR="006B21F1" w:rsidRPr="002E24C8">
        <w:rPr>
          <w:color w:val="000000" w:themeColor="text1"/>
        </w:rPr>
        <w:t>ur discussion</w:t>
      </w:r>
      <w:r w:rsidRPr="002E24C8">
        <w:rPr>
          <w:color w:val="000000" w:themeColor="text1"/>
        </w:rPr>
        <w:t>.</w:t>
      </w:r>
      <w:r w:rsidR="003A3411" w:rsidRPr="002E24C8">
        <w:rPr>
          <w:color w:val="000000" w:themeColor="text1"/>
        </w:rPr>
        <w:t xml:space="preserve"> </w:t>
      </w:r>
      <w:r w:rsidR="002333BF" w:rsidRPr="002E24C8">
        <w:rPr>
          <w:color w:val="000000" w:themeColor="text1"/>
        </w:rPr>
        <w:t xml:space="preserve">First, in the current state of play of the debates concerning how best to conceive of the nature of risk, the </w:t>
      </w:r>
      <w:r w:rsidR="00D2144E" w:rsidRPr="002E24C8">
        <w:rPr>
          <w:color w:val="000000" w:themeColor="text1"/>
        </w:rPr>
        <w:t>L</w:t>
      </w:r>
      <w:r w:rsidR="002333BF" w:rsidRPr="002E24C8">
        <w:rPr>
          <w:color w:val="000000" w:themeColor="text1"/>
        </w:rPr>
        <w:t xml:space="preserve">eaching </w:t>
      </w:r>
      <w:r w:rsidR="00D2144E" w:rsidRPr="002E24C8">
        <w:rPr>
          <w:color w:val="000000" w:themeColor="text1"/>
        </w:rPr>
        <w:t>worry</w:t>
      </w:r>
      <w:r w:rsidR="002333BF" w:rsidRPr="002E24C8">
        <w:rPr>
          <w:color w:val="000000" w:themeColor="text1"/>
        </w:rPr>
        <w:t xml:space="preserve"> — the suggestion that any acknowledged degree of risk in our acceptance of a cornerstone proposition, </w:t>
      </w:r>
      <w:r w:rsidR="003F6E05" w:rsidRPr="002E24C8">
        <w:rPr>
          <w:i/>
          <w:color w:val="000000" w:themeColor="text1"/>
        </w:rPr>
        <w:t>¬SH</w:t>
      </w:r>
      <w:r w:rsidR="002333BF" w:rsidRPr="002E24C8">
        <w:rPr>
          <w:color w:val="000000" w:themeColor="text1"/>
        </w:rPr>
        <w:t>, must apply also to our acceptance of the associated quotidian propositions on the basis of the ki</w:t>
      </w:r>
      <w:r w:rsidR="00B11562" w:rsidRPr="002E24C8">
        <w:rPr>
          <w:color w:val="000000" w:themeColor="text1"/>
        </w:rPr>
        <w:t>nds of evidence</w:t>
      </w:r>
      <w:r w:rsidR="009B3526" w:rsidRPr="002E24C8">
        <w:rPr>
          <w:color w:val="000000" w:themeColor="text1"/>
        </w:rPr>
        <w:t xml:space="preserve"> for them that</w:t>
      </w:r>
      <w:r w:rsidR="00B11562" w:rsidRPr="002E24C8">
        <w:rPr>
          <w:color w:val="000000" w:themeColor="text1"/>
        </w:rPr>
        <w:t xml:space="preserve"> the cornerstone</w:t>
      </w:r>
      <w:r w:rsidR="002333BF" w:rsidRPr="002E24C8">
        <w:rPr>
          <w:color w:val="000000" w:themeColor="text1"/>
        </w:rPr>
        <w:t xml:space="preserve"> underwrite</w:t>
      </w:r>
      <w:r w:rsidR="00B11562" w:rsidRPr="002E24C8">
        <w:rPr>
          <w:color w:val="000000" w:themeColor="text1"/>
        </w:rPr>
        <w:t>s</w:t>
      </w:r>
      <w:r w:rsidR="002333BF" w:rsidRPr="002E24C8">
        <w:rPr>
          <w:color w:val="000000" w:themeColor="text1"/>
        </w:rPr>
        <w:t xml:space="preserve"> — must be developed in terms of </w:t>
      </w:r>
      <w:r w:rsidR="002333BF" w:rsidRPr="002E24C8">
        <w:rPr>
          <w:i/>
          <w:color w:val="000000" w:themeColor="text1"/>
        </w:rPr>
        <w:t xml:space="preserve">probabilistic </w:t>
      </w:r>
      <w:r w:rsidR="002333BF" w:rsidRPr="002E24C8">
        <w:rPr>
          <w:color w:val="000000" w:themeColor="text1"/>
        </w:rPr>
        <w:t xml:space="preserve">risk. </w:t>
      </w:r>
      <w:r w:rsidR="00AA5C03" w:rsidRPr="002E24C8">
        <w:rPr>
          <w:color w:val="000000" w:themeColor="text1"/>
        </w:rPr>
        <w:t xml:space="preserve">Second, </w:t>
      </w:r>
      <w:r w:rsidR="009A4653" w:rsidRPr="002E24C8">
        <w:rPr>
          <w:color w:val="000000" w:themeColor="text1"/>
        </w:rPr>
        <w:t xml:space="preserve">following White and as developed </w:t>
      </w:r>
      <w:r w:rsidR="009A4653" w:rsidRPr="002E24C8">
        <w:rPr>
          <w:color w:val="000000" w:themeColor="text1"/>
        </w:rPr>
        <w:lastRenderedPageBreak/>
        <w:t xml:space="preserve">elsewhere by Moretti, </w:t>
      </w:r>
      <w:r w:rsidR="00AA5C03" w:rsidRPr="002E24C8">
        <w:rPr>
          <w:color w:val="000000" w:themeColor="text1"/>
        </w:rPr>
        <w:t xml:space="preserve">there is </w:t>
      </w:r>
      <w:r w:rsidR="009A4653" w:rsidRPr="002E24C8">
        <w:rPr>
          <w:color w:val="000000" w:themeColor="text1"/>
        </w:rPr>
        <w:t xml:space="preserve">indeed </w:t>
      </w:r>
      <w:r w:rsidR="00AA5C03" w:rsidRPr="002E24C8">
        <w:rPr>
          <w:color w:val="000000" w:themeColor="text1"/>
        </w:rPr>
        <w:t>a prima facie challenging version of such</w:t>
      </w:r>
      <w:r w:rsidR="00263054" w:rsidRPr="002E24C8">
        <w:rPr>
          <w:color w:val="000000" w:themeColor="text1"/>
        </w:rPr>
        <w:t xml:space="preserve"> </w:t>
      </w:r>
      <w:r w:rsidR="00AA5C03" w:rsidRPr="002E24C8">
        <w:rPr>
          <w:color w:val="000000" w:themeColor="text1"/>
        </w:rPr>
        <w:t>an objecti</w:t>
      </w:r>
      <w:r w:rsidR="00263054" w:rsidRPr="002E24C8">
        <w:rPr>
          <w:color w:val="000000" w:themeColor="text1"/>
        </w:rPr>
        <w:t>on requiring only the assum</w:t>
      </w:r>
      <w:r w:rsidR="009A4653" w:rsidRPr="002E24C8">
        <w:rPr>
          <w:color w:val="000000" w:themeColor="text1"/>
        </w:rPr>
        <w:t>p</w:t>
      </w:r>
      <w:r w:rsidR="00263054" w:rsidRPr="002E24C8">
        <w:rPr>
          <w:color w:val="000000" w:themeColor="text1"/>
        </w:rPr>
        <w:t>tion</w:t>
      </w:r>
      <w:r w:rsidR="00AA5C03" w:rsidRPr="002E24C8">
        <w:rPr>
          <w:color w:val="000000" w:themeColor="text1"/>
        </w:rPr>
        <w:t>s th</w:t>
      </w:r>
      <w:r w:rsidR="00263054" w:rsidRPr="002E24C8">
        <w:rPr>
          <w:color w:val="000000" w:themeColor="text1"/>
        </w:rPr>
        <w:t xml:space="preserve">at suitable </w:t>
      </w:r>
      <w:r w:rsidR="009A4653" w:rsidRPr="002E24C8">
        <w:rPr>
          <w:color w:val="000000" w:themeColor="text1"/>
        </w:rPr>
        <w:t>sceptical</w:t>
      </w:r>
      <w:r w:rsidR="00263054" w:rsidRPr="002E24C8">
        <w:rPr>
          <w:color w:val="000000" w:themeColor="text1"/>
        </w:rPr>
        <w:t xml:space="preserve"> </w:t>
      </w:r>
      <w:r w:rsidR="009A4653" w:rsidRPr="002E24C8">
        <w:rPr>
          <w:color w:val="000000" w:themeColor="text1"/>
        </w:rPr>
        <w:t>hypotheses</w:t>
      </w:r>
      <w:r w:rsidR="00AA5C03" w:rsidRPr="002E24C8">
        <w:rPr>
          <w:color w:val="000000" w:themeColor="text1"/>
        </w:rPr>
        <w:t xml:space="preserve"> have non</w:t>
      </w:r>
      <w:r w:rsidR="009A4653" w:rsidRPr="002E24C8">
        <w:rPr>
          <w:color w:val="000000" w:themeColor="text1"/>
        </w:rPr>
        <w:t>-</w:t>
      </w:r>
      <w:r w:rsidR="00AA5C03" w:rsidRPr="002E24C8">
        <w:rPr>
          <w:color w:val="000000" w:themeColor="text1"/>
        </w:rPr>
        <w:t xml:space="preserve">zero </w:t>
      </w:r>
      <w:r w:rsidR="009A4653" w:rsidRPr="002E24C8">
        <w:rPr>
          <w:color w:val="000000" w:themeColor="text1"/>
        </w:rPr>
        <w:t>probability</w:t>
      </w:r>
      <w:r w:rsidR="006B21F1" w:rsidRPr="002E24C8">
        <w:rPr>
          <w:color w:val="000000" w:themeColor="text1"/>
        </w:rPr>
        <w:t xml:space="preserve"> </w:t>
      </w:r>
      <w:r w:rsidR="009B3526" w:rsidRPr="002E24C8">
        <w:rPr>
          <w:color w:val="000000" w:themeColor="text1"/>
        </w:rPr>
        <w:t xml:space="preserve">of truth </w:t>
      </w:r>
      <w:r w:rsidR="006B21F1" w:rsidRPr="002E24C8">
        <w:rPr>
          <w:color w:val="000000" w:themeColor="text1"/>
        </w:rPr>
        <w:t xml:space="preserve">and that it is less than </w:t>
      </w:r>
      <w:r w:rsidR="009A4653" w:rsidRPr="002E24C8">
        <w:rPr>
          <w:color w:val="000000" w:themeColor="text1"/>
        </w:rPr>
        <w:t>certain</w:t>
      </w:r>
      <w:r w:rsidR="006B21F1" w:rsidRPr="002E24C8">
        <w:rPr>
          <w:color w:val="000000" w:themeColor="text1"/>
        </w:rPr>
        <w:t xml:space="preserve"> that the kinds of evidence </w:t>
      </w:r>
      <w:r w:rsidR="009A4653" w:rsidRPr="002E24C8">
        <w:rPr>
          <w:color w:val="000000" w:themeColor="text1"/>
        </w:rPr>
        <w:t>underwritten by their opposing cornerstones will be forthcoming</w:t>
      </w:r>
      <w:r w:rsidR="006B21F1" w:rsidRPr="002E24C8">
        <w:rPr>
          <w:color w:val="000000" w:themeColor="text1"/>
        </w:rPr>
        <w:t xml:space="preserve">. </w:t>
      </w:r>
      <w:r w:rsidR="009B3526" w:rsidRPr="002E24C8">
        <w:rPr>
          <w:color w:val="000000" w:themeColor="text1"/>
        </w:rPr>
        <w:t xml:space="preserve">However, third, this version of the </w:t>
      </w:r>
      <w:r w:rsidR="00D2144E" w:rsidRPr="002E24C8">
        <w:rPr>
          <w:color w:val="000000" w:themeColor="text1"/>
        </w:rPr>
        <w:t>L</w:t>
      </w:r>
      <w:r w:rsidR="009B3526" w:rsidRPr="002E24C8">
        <w:rPr>
          <w:color w:val="000000" w:themeColor="text1"/>
        </w:rPr>
        <w:t xml:space="preserve">eaching </w:t>
      </w:r>
      <w:r w:rsidR="00D2144E" w:rsidRPr="002E24C8">
        <w:rPr>
          <w:color w:val="000000" w:themeColor="text1"/>
        </w:rPr>
        <w:t>worry</w:t>
      </w:r>
      <w:r w:rsidR="00B76A2C" w:rsidRPr="002E24C8">
        <w:rPr>
          <w:color w:val="000000" w:themeColor="text1"/>
        </w:rPr>
        <w:t xml:space="preserve"> requires that we assign a numerical probability, less than 1, to the cornerstones and </w:t>
      </w:r>
      <w:r w:rsidR="00930208" w:rsidRPr="002E24C8">
        <w:rPr>
          <w:color w:val="000000" w:themeColor="text1"/>
        </w:rPr>
        <w:t xml:space="preserve">to the </w:t>
      </w:r>
      <w:r w:rsidR="00B76A2C" w:rsidRPr="002E24C8">
        <w:rPr>
          <w:color w:val="000000" w:themeColor="text1"/>
        </w:rPr>
        <w:t xml:space="preserve">associated sceptical hypotheses in question, and that this assumption may be challenged by a defender of the idea that we have a rational entitlement to the cornerstones in question in either of two </w:t>
      </w:r>
      <w:r w:rsidR="00930208" w:rsidRPr="002E24C8">
        <w:rPr>
          <w:color w:val="000000" w:themeColor="text1"/>
        </w:rPr>
        <w:t>ways</w:t>
      </w:r>
      <w:r w:rsidR="00B76A2C" w:rsidRPr="002E24C8">
        <w:rPr>
          <w:color w:val="000000" w:themeColor="text1"/>
        </w:rPr>
        <w:t xml:space="preserve">: that we might be entitled to treat them as </w:t>
      </w:r>
      <w:r w:rsidR="00B76A2C" w:rsidRPr="002E24C8">
        <w:rPr>
          <w:i/>
          <w:color w:val="000000" w:themeColor="text1"/>
        </w:rPr>
        <w:t>certain</w:t>
      </w:r>
      <w:r w:rsidR="00B76A2C" w:rsidRPr="002E24C8">
        <w:rPr>
          <w:color w:val="000000" w:themeColor="text1"/>
        </w:rPr>
        <w:t xml:space="preserve"> and so assign a probability of 1, or that we might be entitled to i</w:t>
      </w:r>
      <w:r w:rsidR="00B76A2C" w:rsidRPr="002E24C8">
        <w:rPr>
          <w:i/>
          <w:color w:val="000000" w:themeColor="text1"/>
        </w:rPr>
        <w:t xml:space="preserve">gnore </w:t>
      </w:r>
      <w:r w:rsidR="00B76A2C" w:rsidRPr="002E24C8">
        <w:rPr>
          <w:color w:val="000000" w:themeColor="text1"/>
        </w:rPr>
        <w:t xml:space="preserve">them, and so to leave our probability function undefined for such cases. </w:t>
      </w:r>
    </w:p>
    <w:p w14:paraId="3B6D9402" w14:textId="33621248" w:rsidR="009932B3" w:rsidRPr="002E24C8" w:rsidRDefault="009932B3" w:rsidP="0010670C">
      <w:pPr>
        <w:spacing w:after="120"/>
        <w:contextualSpacing/>
        <w:rPr>
          <w:color w:val="0000FF"/>
        </w:rPr>
      </w:pPr>
      <w:r w:rsidRPr="002E24C8">
        <w:tab/>
      </w:r>
      <w:r w:rsidR="009D2282" w:rsidRPr="002E24C8">
        <w:rPr>
          <w:color w:val="000000" w:themeColor="text1"/>
        </w:rPr>
        <w:t>The</w:t>
      </w:r>
      <w:r w:rsidRPr="002E24C8">
        <w:rPr>
          <w:color w:val="000000" w:themeColor="text1"/>
        </w:rPr>
        <w:t xml:space="preserve"> wide</w:t>
      </w:r>
      <w:r w:rsidR="002333BF" w:rsidRPr="002E24C8">
        <w:rPr>
          <w:color w:val="000000" w:themeColor="text1"/>
        </w:rPr>
        <w:t>r</w:t>
      </w:r>
      <w:r w:rsidRPr="002E24C8">
        <w:rPr>
          <w:color w:val="000000" w:themeColor="text1"/>
        </w:rPr>
        <w:t xml:space="preserve"> effect of </w:t>
      </w:r>
      <w:r w:rsidR="009D2282" w:rsidRPr="002E24C8">
        <w:rPr>
          <w:color w:val="000000" w:themeColor="text1"/>
        </w:rPr>
        <w:t>our</w:t>
      </w:r>
      <w:r w:rsidRPr="002E24C8">
        <w:rPr>
          <w:color w:val="000000" w:themeColor="text1"/>
        </w:rPr>
        <w:t xml:space="preserve"> disc</w:t>
      </w:r>
      <w:r w:rsidR="005D5536" w:rsidRPr="002E24C8">
        <w:rPr>
          <w:color w:val="000000" w:themeColor="text1"/>
        </w:rPr>
        <w:t>ussion is thus to redirect the at</w:t>
      </w:r>
      <w:r w:rsidRPr="002E24C8">
        <w:rPr>
          <w:color w:val="000000" w:themeColor="text1"/>
        </w:rPr>
        <w:t xml:space="preserve">tention of the </w:t>
      </w:r>
      <w:r w:rsidR="00A67554" w:rsidRPr="002E24C8">
        <w:rPr>
          <w:color w:val="000000" w:themeColor="text1"/>
        </w:rPr>
        <w:t>theorist of</w:t>
      </w:r>
      <w:r w:rsidR="005D5536" w:rsidRPr="002E24C8">
        <w:rPr>
          <w:color w:val="000000" w:themeColor="text1"/>
        </w:rPr>
        <w:t xml:space="preserve"> epistemic </w:t>
      </w:r>
      <w:r w:rsidR="009D2282" w:rsidRPr="002E24C8">
        <w:rPr>
          <w:color w:val="000000" w:themeColor="text1"/>
        </w:rPr>
        <w:t>entitlement</w:t>
      </w:r>
      <w:r w:rsidR="005D5536" w:rsidRPr="002E24C8">
        <w:rPr>
          <w:color w:val="000000" w:themeColor="text1"/>
        </w:rPr>
        <w:t xml:space="preserve"> to the </w:t>
      </w:r>
      <w:r w:rsidR="009D2282" w:rsidRPr="002E24C8">
        <w:rPr>
          <w:color w:val="000000" w:themeColor="text1"/>
        </w:rPr>
        <w:t>question</w:t>
      </w:r>
      <w:r w:rsidR="005D5536" w:rsidRPr="002E24C8">
        <w:rPr>
          <w:color w:val="000000" w:themeColor="text1"/>
        </w:rPr>
        <w:t>: w</w:t>
      </w:r>
      <w:r w:rsidRPr="002E24C8">
        <w:rPr>
          <w:color w:val="000000" w:themeColor="text1"/>
        </w:rPr>
        <w:t xml:space="preserve">hat exactly is </w:t>
      </w:r>
      <w:r w:rsidR="00A67554" w:rsidRPr="002E24C8">
        <w:rPr>
          <w:color w:val="000000" w:themeColor="text1"/>
        </w:rPr>
        <w:t>epistemic</w:t>
      </w:r>
      <w:r w:rsidR="00FB66A0" w:rsidRPr="002E24C8">
        <w:rPr>
          <w:color w:val="000000" w:themeColor="text1"/>
        </w:rPr>
        <w:t xml:space="preserve"> </w:t>
      </w:r>
      <w:r w:rsidR="009D2282" w:rsidRPr="002E24C8">
        <w:rPr>
          <w:color w:val="000000" w:themeColor="text1"/>
        </w:rPr>
        <w:t>entitlement</w:t>
      </w:r>
      <w:r w:rsidR="00FB66A0" w:rsidRPr="002E24C8">
        <w:rPr>
          <w:color w:val="000000" w:themeColor="text1"/>
        </w:rPr>
        <w:t xml:space="preserve"> </w:t>
      </w:r>
      <w:r w:rsidR="009D2282" w:rsidRPr="002E24C8">
        <w:rPr>
          <w:color w:val="000000" w:themeColor="text1"/>
        </w:rPr>
        <w:t>best conceived as an</w:t>
      </w:r>
      <w:r w:rsidR="005D5536" w:rsidRPr="002E24C8">
        <w:rPr>
          <w:color w:val="000000" w:themeColor="text1"/>
        </w:rPr>
        <w:t xml:space="preserve"> entitlement </w:t>
      </w:r>
      <w:r w:rsidR="00FB66A0" w:rsidRPr="002E24C8">
        <w:rPr>
          <w:color w:val="000000" w:themeColor="text1"/>
        </w:rPr>
        <w:t xml:space="preserve">to do? All of the </w:t>
      </w:r>
      <w:r w:rsidR="009D2282" w:rsidRPr="002E24C8">
        <w:rPr>
          <w:color w:val="000000" w:themeColor="text1"/>
        </w:rPr>
        <w:t>following answers</w:t>
      </w:r>
      <w:r w:rsidRPr="002E24C8">
        <w:rPr>
          <w:color w:val="000000" w:themeColor="text1"/>
        </w:rPr>
        <w:t xml:space="preserve"> </w:t>
      </w:r>
      <w:r w:rsidR="009D2282" w:rsidRPr="002E24C8">
        <w:rPr>
          <w:color w:val="000000" w:themeColor="text1"/>
        </w:rPr>
        <w:t>have</w:t>
      </w:r>
      <w:r w:rsidRPr="002E24C8">
        <w:rPr>
          <w:color w:val="000000" w:themeColor="text1"/>
        </w:rPr>
        <w:t xml:space="preserve"> featured in </w:t>
      </w:r>
      <w:r w:rsidR="009D2282" w:rsidRPr="002E24C8">
        <w:rPr>
          <w:color w:val="000000" w:themeColor="text1"/>
        </w:rPr>
        <w:t>the</w:t>
      </w:r>
      <w:r w:rsidRPr="002E24C8">
        <w:rPr>
          <w:color w:val="000000" w:themeColor="text1"/>
        </w:rPr>
        <w:t xml:space="preserve"> earlier literature: to trust that</w:t>
      </w:r>
      <w:r w:rsidR="009D2282" w:rsidRPr="002E24C8">
        <w:rPr>
          <w:color w:val="000000" w:themeColor="text1"/>
        </w:rPr>
        <w:t xml:space="preserve"> P, to take it for granted that P</w:t>
      </w:r>
      <w:r w:rsidRPr="002E24C8">
        <w:rPr>
          <w:color w:val="000000" w:themeColor="text1"/>
        </w:rPr>
        <w:t xml:space="preserve">, to work on the </w:t>
      </w:r>
      <w:r w:rsidR="009D2282" w:rsidRPr="002E24C8">
        <w:rPr>
          <w:color w:val="000000" w:themeColor="text1"/>
        </w:rPr>
        <w:t>assumption</w:t>
      </w:r>
      <w:r w:rsidRPr="002E24C8">
        <w:rPr>
          <w:color w:val="000000" w:themeColor="text1"/>
        </w:rPr>
        <w:t xml:space="preserve"> that</w:t>
      </w:r>
      <w:r w:rsidR="009D2282" w:rsidRPr="002E24C8">
        <w:rPr>
          <w:color w:val="000000" w:themeColor="text1"/>
        </w:rPr>
        <w:t xml:space="preserve"> P</w:t>
      </w:r>
      <w:r w:rsidRPr="002E24C8">
        <w:rPr>
          <w:color w:val="000000" w:themeColor="text1"/>
        </w:rPr>
        <w:t>, and</w:t>
      </w:r>
      <w:r w:rsidR="009D2282" w:rsidRPr="002E24C8">
        <w:rPr>
          <w:color w:val="000000" w:themeColor="text1"/>
        </w:rPr>
        <w:t xml:space="preserve"> </w:t>
      </w:r>
      <w:r w:rsidRPr="002E24C8">
        <w:rPr>
          <w:color w:val="000000" w:themeColor="text1"/>
        </w:rPr>
        <w:t xml:space="preserve">now to </w:t>
      </w:r>
      <w:r w:rsidR="009D2282" w:rsidRPr="002E24C8">
        <w:rPr>
          <w:color w:val="000000" w:themeColor="text1"/>
        </w:rPr>
        <w:t>repose</w:t>
      </w:r>
      <w:r w:rsidRPr="002E24C8">
        <w:rPr>
          <w:color w:val="000000" w:themeColor="text1"/>
        </w:rPr>
        <w:t xml:space="preserve"> </w:t>
      </w:r>
      <w:r w:rsidR="009D2282" w:rsidRPr="002E24C8">
        <w:rPr>
          <w:color w:val="000000" w:themeColor="text1"/>
        </w:rPr>
        <w:t>certainty</w:t>
      </w:r>
      <w:r w:rsidRPr="002E24C8">
        <w:rPr>
          <w:color w:val="000000" w:themeColor="text1"/>
        </w:rPr>
        <w:t xml:space="preserve"> in</w:t>
      </w:r>
      <w:r w:rsidR="009D2282" w:rsidRPr="002E24C8">
        <w:rPr>
          <w:color w:val="000000" w:themeColor="text1"/>
        </w:rPr>
        <w:t xml:space="preserve"> P</w:t>
      </w:r>
      <w:r w:rsidRPr="002E24C8">
        <w:rPr>
          <w:color w:val="000000" w:themeColor="text1"/>
        </w:rPr>
        <w:t xml:space="preserve">, and to </w:t>
      </w:r>
      <w:r w:rsidR="009D2282" w:rsidRPr="002E24C8">
        <w:rPr>
          <w:color w:val="000000" w:themeColor="text1"/>
        </w:rPr>
        <w:t>ignore the question whether P</w:t>
      </w:r>
      <w:r w:rsidRPr="002E24C8">
        <w:rPr>
          <w:color w:val="000000" w:themeColor="text1"/>
        </w:rPr>
        <w:t xml:space="preserve">. </w:t>
      </w:r>
      <w:r w:rsidR="009D2282" w:rsidRPr="002E24C8">
        <w:rPr>
          <w:color w:val="000000" w:themeColor="text1"/>
        </w:rPr>
        <w:t>The last seems to the present authors the most promising direction in the present context, since it most evidently finesses any intuitive pressure to assign a probability and factor it into one’s calculations</w:t>
      </w:r>
      <w:r w:rsidR="005E64E0" w:rsidRPr="002E24C8">
        <w:rPr>
          <w:color w:val="000000" w:themeColor="text1"/>
        </w:rPr>
        <w:t>.</w:t>
      </w:r>
      <w:r w:rsidR="009D2282" w:rsidRPr="002E24C8">
        <w:rPr>
          <w:color w:val="000000" w:themeColor="text1"/>
        </w:rPr>
        <w:t xml:space="preserve"> </w:t>
      </w:r>
      <w:r w:rsidR="005E64E0" w:rsidRPr="002E24C8">
        <w:rPr>
          <w:color w:val="000000" w:themeColor="text1"/>
        </w:rPr>
        <w:t>Furthermore,</w:t>
      </w:r>
      <w:r w:rsidR="009D2282" w:rsidRPr="002E24C8">
        <w:rPr>
          <w:color w:val="000000" w:themeColor="text1"/>
        </w:rPr>
        <w:t xml:space="preserve"> </w:t>
      </w:r>
      <w:r w:rsidR="005E64E0" w:rsidRPr="002E24C8">
        <w:rPr>
          <w:color w:val="000000" w:themeColor="text1"/>
        </w:rPr>
        <w:t>it</w:t>
      </w:r>
      <w:r w:rsidR="009D2282" w:rsidRPr="002E24C8">
        <w:rPr>
          <w:color w:val="000000" w:themeColor="text1"/>
        </w:rPr>
        <w:t xml:space="preserve"> covers nicely the case of ordinary entitlements to those </w:t>
      </w:r>
      <w:r w:rsidR="00A67554" w:rsidRPr="002E24C8">
        <w:rPr>
          <w:color w:val="000000" w:themeColor="text1"/>
        </w:rPr>
        <w:t>authenticity conditions</w:t>
      </w:r>
      <w:r w:rsidR="009D2282" w:rsidRPr="002E24C8">
        <w:rPr>
          <w:color w:val="000000" w:themeColor="text1"/>
        </w:rPr>
        <w:t xml:space="preserve"> of everyday projects which are indeed characteristically simply disregarded, not withstanding that agents typically will have various degrees of credence in them when the question is explicitly raised</w:t>
      </w:r>
      <w:r w:rsidR="009D2282" w:rsidRPr="002E24C8">
        <w:rPr>
          <w:color w:val="0000FF"/>
        </w:rPr>
        <w:t xml:space="preserve">. </w:t>
      </w:r>
      <w:r w:rsidR="00FB66A0" w:rsidRPr="002E24C8">
        <w:rPr>
          <w:color w:val="000000" w:themeColor="text1"/>
        </w:rPr>
        <w:t>But w</w:t>
      </w:r>
      <w:r w:rsidR="009D2282" w:rsidRPr="002E24C8">
        <w:rPr>
          <w:color w:val="000000" w:themeColor="text1"/>
        </w:rPr>
        <w:t>e</w:t>
      </w:r>
      <w:r w:rsidR="00FB66A0" w:rsidRPr="002E24C8">
        <w:rPr>
          <w:color w:val="000000" w:themeColor="text1"/>
        </w:rPr>
        <w:t xml:space="preserve"> take </w:t>
      </w:r>
      <w:r w:rsidR="009D2282" w:rsidRPr="002E24C8">
        <w:rPr>
          <w:color w:val="000000" w:themeColor="text1"/>
        </w:rPr>
        <w:t>no definite stand here; these are</w:t>
      </w:r>
      <w:r w:rsidR="00FB66A0" w:rsidRPr="002E24C8">
        <w:rPr>
          <w:color w:val="000000" w:themeColor="text1"/>
        </w:rPr>
        <w:t xml:space="preserve"> matters for further investigation.</w:t>
      </w:r>
      <w:r w:rsidR="00601065" w:rsidRPr="00601065">
        <w:rPr>
          <w:color w:val="000000" w:themeColor="text1"/>
          <w:vertAlign w:val="superscript"/>
        </w:rPr>
        <w:footnoteReference w:id="22"/>
      </w:r>
    </w:p>
    <w:p w14:paraId="7EDAC6D8" w14:textId="77777777" w:rsidR="001F5252" w:rsidRPr="002E24C8" w:rsidRDefault="001F5252" w:rsidP="006152E9">
      <w:pPr>
        <w:contextualSpacing/>
      </w:pPr>
    </w:p>
    <w:p w14:paraId="7A2C72A6" w14:textId="77777777" w:rsidR="00F8364A" w:rsidRPr="002E24C8" w:rsidRDefault="00F8364A" w:rsidP="006152E9">
      <w:pPr>
        <w:contextualSpacing/>
        <w:rPr>
          <w:b/>
          <w:bCs/>
        </w:rPr>
      </w:pPr>
    </w:p>
    <w:p w14:paraId="343692BF" w14:textId="439051D7" w:rsidR="00394D21" w:rsidRPr="002E24C8" w:rsidRDefault="00394D21" w:rsidP="006152E9">
      <w:pPr>
        <w:contextualSpacing/>
        <w:rPr>
          <w:b/>
          <w:bCs/>
        </w:rPr>
      </w:pPr>
      <w:r w:rsidRPr="002E24C8">
        <w:rPr>
          <w:b/>
          <w:bCs/>
        </w:rPr>
        <w:t>References</w:t>
      </w:r>
    </w:p>
    <w:p w14:paraId="3FFBF78E" w14:textId="20A03CB6" w:rsidR="00546F6D" w:rsidRPr="002E24C8" w:rsidRDefault="00546F6D" w:rsidP="00325667">
      <w:pPr>
        <w:ind w:left="284" w:hanging="284"/>
        <w:rPr>
          <w:color w:val="000000"/>
        </w:rPr>
      </w:pPr>
      <w:r w:rsidRPr="002E24C8">
        <w:rPr>
          <w:color w:val="000000"/>
        </w:rPr>
        <w:t xml:space="preserve">Blome-Tillmann, M. </w:t>
      </w:r>
      <w:r>
        <w:rPr>
          <w:color w:val="000000"/>
        </w:rPr>
        <w:t>(</w:t>
      </w:r>
      <w:r w:rsidRPr="002E24C8">
        <w:rPr>
          <w:color w:val="000000"/>
        </w:rPr>
        <w:t>2009</w:t>
      </w:r>
      <w:r>
        <w:rPr>
          <w:color w:val="000000"/>
        </w:rPr>
        <w:t>)</w:t>
      </w:r>
      <w:r w:rsidRPr="002E24C8">
        <w:rPr>
          <w:color w:val="000000"/>
        </w:rPr>
        <w:t xml:space="preserve">. Knowledge and Presuppositions. </w:t>
      </w:r>
      <w:r w:rsidRPr="002E24C8">
        <w:rPr>
          <w:i/>
          <w:color w:val="000000"/>
        </w:rPr>
        <w:t>Mind</w:t>
      </w:r>
      <w:r>
        <w:rPr>
          <w:color w:val="000000"/>
        </w:rPr>
        <w:t xml:space="preserve">, </w:t>
      </w:r>
      <w:r w:rsidRPr="002E24C8">
        <w:rPr>
          <w:color w:val="000000"/>
        </w:rPr>
        <w:t>118</w:t>
      </w:r>
      <w:r>
        <w:rPr>
          <w:color w:val="000000"/>
        </w:rPr>
        <w:t>,</w:t>
      </w:r>
      <w:r w:rsidRPr="002E24C8">
        <w:rPr>
          <w:color w:val="000000"/>
        </w:rPr>
        <w:t xml:space="preserve"> 241-294.</w:t>
      </w:r>
      <w:r w:rsidR="00325667">
        <w:rPr>
          <w:color w:val="000000"/>
        </w:rPr>
        <w:t xml:space="preserve"> </w:t>
      </w:r>
      <w:proofErr w:type="spellStart"/>
      <w:r w:rsidR="00325667">
        <w:rPr>
          <w:color w:val="000000"/>
        </w:rPr>
        <w:t>doi</w:t>
      </w:r>
      <w:proofErr w:type="spellEnd"/>
      <w:r w:rsidR="00325667">
        <w:rPr>
          <w:color w:val="000000"/>
        </w:rPr>
        <w:t xml:space="preserve">: </w:t>
      </w:r>
      <w:hyperlink r:id="rId7" w:history="1">
        <w:r w:rsidR="00325667" w:rsidRPr="00325667">
          <w:rPr>
            <w:rStyle w:val="Hyperlink"/>
          </w:rPr>
          <w:t>doi.org/10.1093/mind/fzp032</w:t>
        </w:r>
      </w:hyperlink>
    </w:p>
    <w:p w14:paraId="0C3194D9" w14:textId="3846EF17" w:rsidR="00F251F5" w:rsidRPr="002E24C8" w:rsidRDefault="00F251F5" w:rsidP="006152E9">
      <w:pPr>
        <w:ind w:left="284" w:hanging="284"/>
        <w:rPr>
          <w:color w:val="000000"/>
        </w:rPr>
      </w:pPr>
      <w:r w:rsidRPr="002E24C8">
        <w:rPr>
          <w:color w:val="000000"/>
        </w:rPr>
        <w:t xml:space="preserve">Blome-Tillmann, M. </w:t>
      </w:r>
      <w:r w:rsidR="00E51BC7">
        <w:rPr>
          <w:color w:val="000000"/>
        </w:rPr>
        <w:t>(</w:t>
      </w:r>
      <w:r w:rsidRPr="002E24C8">
        <w:rPr>
          <w:color w:val="000000"/>
        </w:rPr>
        <w:t>2014</w:t>
      </w:r>
      <w:r w:rsidR="00E51BC7">
        <w:rPr>
          <w:color w:val="000000"/>
        </w:rPr>
        <w:t>).</w:t>
      </w:r>
      <w:r w:rsidRPr="002E24C8">
        <w:rPr>
          <w:color w:val="000000"/>
        </w:rPr>
        <w:t xml:space="preserve"> </w:t>
      </w:r>
      <w:r w:rsidRPr="002E24C8">
        <w:rPr>
          <w:i/>
          <w:color w:val="000000"/>
        </w:rPr>
        <w:t xml:space="preserve">Knowledge and </w:t>
      </w:r>
      <w:r w:rsidR="001B062D" w:rsidRPr="00D44D87">
        <w:rPr>
          <w:i/>
          <w:iCs/>
          <w:color w:val="000000"/>
        </w:rPr>
        <w:t>P</w:t>
      </w:r>
      <w:r w:rsidRPr="00D44D87">
        <w:rPr>
          <w:i/>
          <w:iCs/>
          <w:color w:val="000000"/>
        </w:rPr>
        <w:t>r</w:t>
      </w:r>
      <w:r w:rsidRPr="002E24C8">
        <w:rPr>
          <w:i/>
          <w:color w:val="000000"/>
        </w:rPr>
        <w:t>esuppositions</w:t>
      </w:r>
      <w:r w:rsidRPr="002E24C8">
        <w:rPr>
          <w:color w:val="000000"/>
        </w:rPr>
        <w:t xml:space="preserve">. Oxford: Oxford University </w:t>
      </w:r>
      <w:r w:rsidR="001B062D" w:rsidRPr="002E24C8">
        <w:rPr>
          <w:color w:val="000000"/>
        </w:rPr>
        <w:t>P</w:t>
      </w:r>
      <w:r w:rsidRPr="002E24C8">
        <w:rPr>
          <w:color w:val="000000"/>
        </w:rPr>
        <w:t>ress.</w:t>
      </w:r>
    </w:p>
    <w:p w14:paraId="0285E9EF" w14:textId="62DCD6CB" w:rsidR="005A4063" w:rsidRPr="00B0244C" w:rsidRDefault="008A5E40" w:rsidP="00B0244C">
      <w:pPr>
        <w:ind w:left="284" w:hanging="284"/>
        <w:rPr>
          <w:color w:val="000000"/>
        </w:rPr>
      </w:pPr>
      <w:r w:rsidRPr="002E24C8">
        <w:rPr>
          <w:color w:val="000000"/>
        </w:rPr>
        <w:t xml:space="preserve">Bricker, A. M. </w:t>
      </w:r>
      <w:r w:rsidR="004A6138">
        <w:rPr>
          <w:color w:val="000000"/>
        </w:rPr>
        <w:t>(</w:t>
      </w:r>
      <w:r w:rsidRPr="002E24C8">
        <w:rPr>
          <w:color w:val="000000"/>
        </w:rPr>
        <w:t>2018</w:t>
      </w:r>
      <w:r w:rsidR="004A6138">
        <w:rPr>
          <w:color w:val="000000"/>
        </w:rPr>
        <w:t>)</w:t>
      </w:r>
      <w:r w:rsidRPr="002E24C8">
        <w:rPr>
          <w:color w:val="000000"/>
        </w:rPr>
        <w:t xml:space="preserve">. Do judgements about risk track modal ordering? </w:t>
      </w:r>
      <w:r w:rsidRPr="002E24C8">
        <w:rPr>
          <w:i/>
          <w:color w:val="000000"/>
        </w:rPr>
        <w:t>Thought</w:t>
      </w:r>
      <w:r w:rsidR="004A6138" w:rsidRPr="004A6138">
        <w:rPr>
          <w:iCs/>
          <w:color w:val="000000"/>
        </w:rPr>
        <w:t>,</w:t>
      </w:r>
      <w:r w:rsidR="004A6138">
        <w:rPr>
          <w:color w:val="000000"/>
        </w:rPr>
        <w:t xml:space="preserve"> </w:t>
      </w:r>
      <w:r w:rsidRPr="002E24C8">
        <w:rPr>
          <w:color w:val="000000"/>
        </w:rPr>
        <w:t>7</w:t>
      </w:r>
      <w:r w:rsidR="004A6138">
        <w:rPr>
          <w:color w:val="000000"/>
        </w:rPr>
        <w:t>,</w:t>
      </w:r>
      <w:r w:rsidRPr="002E24C8">
        <w:rPr>
          <w:color w:val="000000"/>
        </w:rPr>
        <w:t xml:space="preserve"> 200-208.</w:t>
      </w:r>
      <w:r w:rsidR="00101D71">
        <w:rPr>
          <w:color w:val="000000"/>
        </w:rPr>
        <w:t xml:space="preserve"> </w:t>
      </w:r>
      <w:proofErr w:type="spellStart"/>
      <w:r w:rsidR="00101D71">
        <w:rPr>
          <w:color w:val="000000"/>
        </w:rPr>
        <w:t>doi</w:t>
      </w:r>
      <w:proofErr w:type="spellEnd"/>
      <w:r w:rsidR="00101D71">
        <w:rPr>
          <w:color w:val="000000"/>
        </w:rPr>
        <w:t>:</w:t>
      </w:r>
      <w:r w:rsidR="00B0244C">
        <w:rPr>
          <w:color w:val="000000"/>
        </w:rPr>
        <w:t xml:space="preserve"> </w:t>
      </w:r>
      <w:hyperlink r:id="rId8" w:history="1">
        <w:r w:rsidR="00B0244C" w:rsidRPr="00B0244C">
          <w:rPr>
            <w:rStyle w:val="Hyperlink"/>
          </w:rPr>
          <w:t>doi.org/10.1002/tht3.388</w:t>
        </w:r>
      </w:hyperlink>
    </w:p>
    <w:p w14:paraId="49B35CD8" w14:textId="0B0265E4" w:rsidR="00703671" w:rsidRPr="002E24C8" w:rsidRDefault="00703671" w:rsidP="004A6138">
      <w:pPr>
        <w:ind w:left="284" w:hanging="284"/>
      </w:pPr>
      <w:r w:rsidRPr="002E24C8">
        <w:t xml:space="preserve">Dretske, F. </w:t>
      </w:r>
      <w:r w:rsidR="004A6138">
        <w:t>(</w:t>
      </w:r>
      <w:r w:rsidRPr="002E24C8">
        <w:t>2005</w:t>
      </w:r>
      <w:r w:rsidR="004A6138">
        <w:t>)</w:t>
      </w:r>
      <w:r w:rsidRPr="002E24C8">
        <w:t xml:space="preserve">. The Case against Closure. In </w:t>
      </w:r>
      <w:r w:rsidR="004A6138" w:rsidRPr="002E24C8">
        <w:t xml:space="preserve">M. </w:t>
      </w:r>
      <w:r w:rsidRPr="002E24C8">
        <w:t xml:space="preserve">Steup </w:t>
      </w:r>
      <w:r w:rsidR="004A6138">
        <w:t>&amp;</w:t>
      </w:r>
      <w:r w:rsidRPr="002E24C8">
        <w:t xml:space="preserve"> </w:t>
      </w:r>
      <w:r w:rsidR="004A6138" w:rsidRPr="002E24C8">
        <w:t xml:space="preserve">E. </w:t>
      </w:r>
      <w:r w:rsidRPr="002E24C8">
        <w:t>Sosa (</w:t>
      </w:r>
      <w:r w:rsidR="004A6138">
        <w:t>E</w:t>
      </w:r>
      <w:r w:rsidRPr="002E24C8">
        <w:t>ds.),</w:t>
      </w:r>
      <w:r w:rsidR="004A6138">
        <w:t xml:space="preserve"> </w:t>
      </w:r>
      <w:r w:rsidR="004A6138" w:rsidRPr="004A6138">
        <w:rPr>
          <w:i/>
          <w:iCs/>
        </w:rPr>
        <w:t>Contemporary Debates in Epistemology</w:t>
      </w:r>
      <w:r w:rsidR="004A6138">
        <w:rPr>
          <w:i/>
          <w:iCs/>
        </w:rPr>
        <w:t xml:space="preserve"> </w:t>
      </w:r>
      <w:r w:rsidR="004A6138" w:rsidRPr="004A6138">
        <w:t>(pp.</w:t>
      </w:r>
      <w:r w:rsidR="004A6138">
        <w:rPr>
          <w:i/>
          <w:iCs/>
        </w:rPr>
        <w:t xml:space="preserve"> </w:t>
      </w:r>
      <w:r w:rsidR="004A6138" w:rsidRPr="002E24C8">
        <w:t>27-40</w:t>
      </w:r>
      <w:r w:rsidR="004A6138">
        <w:t xml:space="preserve">). </w:t>
      </w:r>
      <w:r w:rsidR="004A6138" w:rsidRPr="004A6138">
        <w:t>Malden, MA: Blackwell.</w:t>
      </w:r>
    </w:p>
    <w:p w14:paraId="3A6A91E7" w14:textId="66B7A2B9" w:rsidR="008A5E40" w:rsidRPr="002E24C8" w:rsidRDefault="008A5E40" w:rsidP="00B0244C">
      <w:pPr>
        <w:ind w:left="567" w:hanging="567"/>
        <w:contextualSpacing/>
      </w:pPr>
      <w:r w:rsidRPr="002E24C8">
        <w:t xml:space="preserve">Ebert, </w:t>
      </w:r>
      <w:r w:rsidR="001B062D" w:rsidRPr="002E24C8">
        <w:t>P</w:t>
      </w:r>
      <w:r w:rsidRPr="002E24C8">
        <w:t xml:space="preserve">. A, Smith, M. </w:t>
      </w:r>
      <w:r w:rsidR="004A6138">
        <w:t>&amp;</w:t>
      </w:r>
      <w:r w:rsidRPr="002E24C8">
        <w:t xml:space="preserve"> J. Durbach </w:t>
      </w:r>
      <w:r w:rsidR="004A6138">
        <w:t>(</w:t>
      </w:r>
      <w:r w:rsidRPr="002E24C8">
        <w:t>20</w:t>
      </w:r>
      <w:r w:rsidR="00A14290" w:rsidRPr="002E24C8">
        <w:t>20</w:t>
      </w:r>
      <w:r w:rsidR="004A6138">
        <w:t>)</w:t>
      </w:r>
      <w:r w:rsidRPr="002E24C8">
        <w:t xml:space="preserve">. Varieties of Risk. </w:t>
      </w:r>
      <w:r w:rsidR="001B062D" w:rsidRPr="002E24C8">
        <w:rPr>
          <w:i/>
        </w:rPr>
        <w:t>P</w:t>
      </w:r>
      <w:r w:rsidRPr="002E24C8">
        <w:rPr>
          <w:i/>
        </w:rPr>
        <w:t xml:space="preserve">hilosophy and </w:t>
      </w:r>
      <w:r w:rsidR="001B062D" w:rsidRPr="002E24C8">
        <w:rPr>
          <w:i/>
        </w:rPr>
        <w:t>P</w:t>
      </w:r>
      <w:r w:rsidRPr="002E24C8">
        <w:rPr>
          <w:i/>
        </w:rPr>
        <w:t>henomenological Research</w:t>
      </w:r>
      <w:r w:rsidR="004A6138">
        <w:t xml:space="preserve">, </w:t>
      </w:r>
      <w:r w:rsidR="00A14290" w:rsidRPr="002E24C8">
        <w:t>101</w:t>
      </w:r>
      <w:r w:rsidR="004A6138">
        <w:t>,</w:t>
      </w:r>
      <w:r w:rsidR="00A14290" w:rsidRPr="002E24C8">
        <w:t xml:space="preserve"> 432-455.</w:t>
      </w:r>
      <w:r w:rsidR="00101D71">
        <w:t xml:space="preserve"> </w:t>
      </w:r>
      <w:proofErr w:type="spellStart"/>
      <w:r w:rsidR="00101D71">
        <w:t>doi</w:t>
      </w:r>
      <w:proofErr w:type="spellEnd"/>
      <w:r w:rsidR="00101D71">
        <w:t xml:space="preserve">: </w:t>
      </w:r>
      <w:hyperlink r:id="rId9" w:history="1">
        <w:r w:rsidR="00B0244C" w:rsidRPr="00B0244C">
          <w:rPr>
            <w:rStyle w:val="Hyperlink"/>
          </w:rPr>
          <w:t>doi.org/10.1111/phpr.12598</w:t>
        </w:r>
      </w:hyperlink>
    </w:p>
    <w:p w14:paraId="3CBE0473" w14:textId="0A5E6580" w:rsidR="00D912CA" w:rsidRPr="002E24C8" w:rsidRDefault="00D912CA" w:rsidP="006152E9">
      <w:pPr>
        <w:ind w:left="567" w:hanging="567"/>
        <w:contextualSpacing/>
        <w:rPr>
          <w:rStyle w:val="Hyperlink"/>
        </w:rPr>
      </w:pPr>
      <w:r w:rsidRPr="002E24C8">
        <w:t xml:space="preserve">Hansson, S. O. </w:t>
      </w:r>
      <w:r w:rsidR="00FC1D83">
        <w:t>(</w:t>
      </w:r>
      <w:r w:rsidRPr="002E24C8">
        <w:t>2018</w:t>
      </w:r>
      <w:r w:rsidR="00FC1D83">
        <w:t>)</w:t>
      </w:r>
      <w:r w:rsidRPr="002E24C8">
        <w:t>. ‘Risk’. In E. N. Zalta (</w:t>
      </w:r>
      <w:r w:rsidR="00FC1D83">
        <w:t>E</w:t>
      </w:r>
      <w:r w:rsidRPr="002E24C8">
        <w:t xml:space="preserve">d.), </w:t>
      </w:r>
      <w:r w:rsidRPr="002E24C8">
        <w:rPr>
          <w:i/>
        </w:rPr>
        <w:t xml:space="preserve">Stanford Encyclopedia of </w:t>
      </w:r>
      <w:r w:rsidR="001B062D" w:rsidRPr="002E24C8">
        <w:rPr>
          <w:i/>
        </w:rPr>
        <w:t>P</w:t>
      </w:r>
      <w:r w:rsidRPr="002E24C8">
        <w:rPr>
          <w:i/>
        </w:rPr>
        <w:t>hilosophy</w:t>
      </w:r>
      <w:r w:rsidRPr="002E24C8">
        <w:t>.</w:t>
      </w:r>
      <w:r w:rsidR="009C54B3" w:rsidRPr="002E24C8">
        <w:t xml:space="preserve"> </w:t>
      </w:r>
      <w:hyperlink r:id="rId10">
        <w:r w:rsidR="009C54B3" w:rsidRPr="002E24C8">
          <w:rPr>
            <w:rStyle w:val="Hyperlink"/>
          </w:rPr>
          <w:t>https://plato.stanford.edu/archives/fall2018/entries/risk/</w:t>
        </w:r>
      </w:hyperlink>
    </w:p>
    <w:p w14:paraId="2EF1079D" w14:textId="6F4EFFF8" w:rsidR="00D1316A" w:rsidRDefault="00732002" w:rsidP="006152E9">
      <w:pPr>
        <w:ind w:left="567" w:hanging="567"/>
        <w:contextualSpacing/>
      </w:pPr>
      <w:r w:rsidRPr="002E24C8">
        <w:rPr>
          <w:rStyle w:val="Hyperlink"/>
          <w:color w:val="auto"/>
          <w:u w:val="none"/>
        </w:rPr>
        <w:t>Hawthorne</w:t>
      </w:r>
      <w:r w:rsidR="00703671" w:rsidRPr="002E24C8">
        <w:rPr>
          <w:rStyle w:val="Hyperlink"/>
          <w:color w:val="auto"/>
          <w:u w:val="none"/>
        </w:rPr>
        <w:t xml:space="preserve">, J. </w:t>
      </w:r>
      <w:r w:rsidR="00D1316A">
        <w:rPr>
          <w:rStyle w:val="Hyperlink"/>
          <w:color w:val="auto"/>
          <w:u w:val="none"/>
        </w:rPr>
        <w:t>(</w:t>
      </w:r>
      <w:r w:rsidR="00703671" w:rsidRPr="002E24C8">
        <w:rPr>
          <w:rStyle w:val="Hyperlink"/>
          <w:color w:val="auto"/>
          <w:u w:val="none"/>
        </w:rPr>
        <w:t>2005</w:t>
      </w:r>
      <w:r w:rsidR="00D1316A">
        <w:rPr>
          <w:rStyle w:val="Hyperlink"/>
          <w:color w:val="auto"/>
          <w:u w:val="none"/>
        </w:rPr>
        <w:t>)</w:t>
      </w:r>
      <w:r w:rsidR="00703671" w:rsidRPr="002E24C8">
        <w:rPr>
          <w:rStyle w:val="Hyperlink"/>
          <w:color w:val="auto"/>
          <w:u w:val="none"/>
        </w:rPr>
        <w:t>.</w:t>
      </w:r>
      <w:r w:rsidR="00703671" w:rsidRPr="002E24C8">
        <w:t xml:space="preserve"> The Case for Closure.</w:t>
      </w:r>
      <w:r w:rsidR="00D1316A">
        <w:t xml:space="preserve"> </w:t>
      </w:r>
      <w:r w:rsidR="00D1316A" w:rsidRPr="00D1316A">
        <w:t xml:space="preserve">In M. Steup &amp; E. Sosa (Eds.), </w:t>
      </w:r>
      <w:r w:rsidR="00D1316A" w:rsidRPr="00D1316A">
        <w:rPr>
          <w:i/>
          <w:iCs/>
        </w:rPr>
        <w:t xml:space="preserve">Contemporary Debates in Epistemology </w:t>
      </w:r>
      <w:r w:rsidR="00D1316A" w:rsidRPr="00D1316A">
        <w:t>(pp.</w:t>
      </w:r>
      <w:r w:rsidR="00D1316A" w:rsidRPr="00D1316A">
        <w:rPr>
          <w:i/>
          <w:iCs/>
        </w:rPr>
        <w:t xml:space="preserve"> </w:t>
      </w:r>
      <w:r w:rsidR="00D1316A">
        <w:t>40</w:t>
      </w:r>
      <w:r w:rsidR="00D1316A" w:rsidRPr="00D1316A">
        <w:t>-</w:t>
      </w:r>
      <w:r w:rsidR="00D1316A">
        <w:t>56</w:t>
      </w:r>
      <w:r w:rsidR="00D1316A" w:rsidRPr="00D1316A">
        <w:t>). Malden, MA: Blackwell.</w:t>
      </w:r>
      <w:r w:rsidR="00703671" w:rsidRPr="002E24C8">
        <w:t xml:space="preserve"> </w:t>
      </w:r>
    </w:p>
    <w:p w14:paraId="0F765C76" w14:textId="040C241B" w:rsidR="00EF78E5" w:rsidRPr="0063409A" w:rsidRDefault="00EF78E5" w:rsidP="0063409A">
      <w:pPr>
        <w:ind w:left="540" w:hanging="540"/>
        <w:contextualSpacing/>
        <w:rPr>
          <w:color w:val="000000"/>
        </w:rPr>
      </w:pPr>
      <w:r w:rsidRPr="002E24C8">
        <w:rPr>
          <w:color w:val="000000"/>
        </w:rPr>
        <w:t xml:space="preserve">Lewis, D. </w:t>
      </w:r>
      <w:r w:rsidR="00D1316A">
        <w:rPr>
          <w:color w:val="000000"/>
        </w:rPr>
        <w:t>(</w:t>
      </w:r>
      <w:r w:rsidRPr="002E24C8">
        <w:rPr>
          <w:color w:val="000000"/>
        </w:rPr>
        <w:t>1996</w:t>
      </w:r>
      <w:r w:rsidR="00D1316A">
        <w:rPr>
          <w:color w:val="000000"/>
        </w:rPr>
        <w:t>)</w:t>
      </w:r>
      <w:r w:rsidRPr="002E24C8">
        <w:rPr>
          <w:color w:val="000000"/>
        </w:rPr>
        <w:t xml:space="preserve">. Elusive knowledge. </w:t>
      </w:r>
      <w:r w:rsidRPr="002E24C8">
        <w:rPr>
          <w:i/>
          <w:color w:val="000000"/>
        </w:rPr>
        <w:t xml:space="preserve">Australasian Journal of </w:t>
      </w:r>
      <w:r w:rsidR="001B062D" w:rsidRPr="002E24C8">
        <w:rPr>
          <w:i/>
          <w:color w:val="000000"/>
        </w:rPr>
        <w:t>P</w:t>
      </w:r>
      <w:r w:rsidRPr="002E24C8">
        <w:rPr>
          <w:i/>
          <w:color w:val="000000"/>
        </w:rPr>
        <w:t>hilosophy</w:t>
      </w:r>
      <w:r w:rsidR="00D1316A" w:rsidRPr="00D1316A">
        <w:rPr>
          <w:iCs/>
          <w:color w:val="000000"/>
        </w:rPr>
        <w:t>,</w:t>
      </w:r>
      <w:r w:rsidR="00D1316A">
        <w:rPr>
          <w:i/>
          <w:color w:val="000000"/>
        </w:rPr>
        <w:t xml:space="preserve"> </w:t>
      </w:r>
      <w:r w:rsidRPr="002E24C8">
        <w:rPr>
          <w:color w:val="000000"/>
        </w:rPr>
        <w:t>74</w:t>
      </w:r>
      <w:r w:rsidR="00D1316A">
        <w:rPr>
          <w:color w:val="000000"/>
        </w:rPr>
        <w:t>,</w:t>
      </w:r>
      <w:r w:rsidRPr="002E24C8">
        <w:rPr>
          <w:color w:val="000000"/>
        </w:rPr>
        <w:t xml:space="preserve"> 549-567.</w:t>
      </w:r>
      <w:r w:rsidR="00101D71">
        <w:rPr>
          <w:color w:val="000000"/>
        </w:rPr>
        <w:t xml:space="preserve"> </w:t>
      </w:r>
      <w:proofErr w:type="spellStart"/>
      <w:r w:rsidR="00101D71">
        <w:rPr>
          <w:color w:val="000000"/>
        </w:rPr>
        <w:t>doi</w:t>
      </w:r>
      <w:proofErr w:type="spellEnd"/>
      <w:r w:rsidR="00101D71">
        <w:rPr>
          <w:color w:val="000000"/>
        </w:rPr>
        <w:t>:</w:t>
      </w:r>
      <w:r w:rsidR="0063409A">
        <w:rPr>
          <w:color w:val="000000"/>
        </w:rPr>
        <w:t xml:space="preserve"> </w:t>
      </w:r>
      <w:hyperlink r:id="rId11" w:history="1">
        <w:r w:rsidR="0063409A" w:rsidRPr="0063409A">
          <w:rPr>
            <w:rStyle w:val="Hyperlink"/>
          </w:rPr>
          <w:t>doi.org/10.1080/00048409612347521</w:t>
        </w:r>
      </w:hyperlink>
    </w:p>
    <w:p w14:paraId="0ADF9E6D" w14:textId="7AB8877D" w:rsidR="00C8082F" w:rsidRPr="002E24C8" w:rsidRDefault="00582112" w:rsidP="003C43FB">
      <w:pPr>
        <w:ind w:left="567" w:hanging="567"/>
        <w:contextualSpacing/>
        <w:rPr>
          <w:color w:val="000000"/>
        </w:rPr>
      </w:pPr>
      <w:r w:rsidRPr="002E24C8">
        <w:rPr>
          <w:color w:val="000000"/>
        </w:rPr>
        <w:t xml:space="preserve">McGlynn, A. </w:t>
      </w:r>
      <w:r w:rsidR="00D1316A">
        <w:rPr>
          <w:color w:val="000000"/>
        </w:rPr>
        <w:t>(</w:t>
      </w:r>
      <w:r w:rsidRPr="002E24C8">
        <w:rPr>
          <w:color w:val="000000"/>
        </w:rPr>
        <w:t>2017</w:t>
      </w:r>
      <w:r w:rsidR="00D1316A">
        <w:rPr>
          <w:color w:val="000000"/>
        </w:rPr>
        <w:t>)</w:t>
      </w:r>
      <w:r w:rsidRPr="002E24C8">
        <w:rPr>
          <w:color w:val="000000"/>
        </w:rPr>
        <w:t xml:space="preserve">. </w:t>
      </w:r>
      <w:r w:rsidR="00C8082F" w:rsidRPr="002E24C8">
        <w:rPr>
          <w:color w:val="000000"/>
        </w:rPr>
        <w:t xml:space="preserve">Epistemic Entitlement and the Leaching Problem. </w:t>
      </w:r>
      <w:r w:rsidR="00C8082F" w:rsidRPr="002E24C8">
        <w:rPr>
          <w:i/>
          <w:color w:val="000000"/>
        </w:rPr>
        <w:t>Episteme</w:t>
      </w:r>
      <w:r w:rsidR="00C8082F" w:rsidRPr="002E24C8">
        <w:rPr>
          <w:color w:val="000000"/>
        </w:rPr>
        <w:t>, 14</w:t>
      </w:r>
      <w:r w:rsidR="00D1316A">
        <w:rPr>
          <w:color w:val="000000"/>
        </w:rPr>
        <w:t>,</w:t>
      </w:r>
      <w:r w:rsidR="00C8082F" w:rsidRPr="002E24C8">
        <w:rPr>
          <w:color w:val="000000"/>
        </w:rPr>
        <w:t xml:space="preserve"> 89-102</w:t>
      </w:r>
      <w:r w:rsidR="00960197">
        <w:rPr>
          <w:color w:val="000000"/>
        </w:rPr>
        <w:t>.</w:t>
      </w:r>
      <w:r w:rsidR="00101D71">
        <w:rPr>
          <w:color w:val="000000"/>
        </w:rPr>
        <w:t xml:space="preserve"> </w:t>
      </w:r>
      <w:proofErr w:type="spellStart"/>
      <w:r w:rsidR="00101D71">
        <w:rPr>
          <w:color w:val="000000"/>
        </w:rPr>
        <w:t>doi</w:t>
      </w:r>
      <w:proofErr w:type="spellEnd"/>
      <w:r w:rsidR="00101D71">
        <w:rPr>
          <w:color w:val="000000"/>
        </w:rPr>
        <w:t>:</w:t>
      </w:r>
      <w:r w:rsidR="003C43FB">
        <w:rPr>
          <w:color w:val="000000"/>
        </w:rPr>
        <w:t xml:space="preserve"> </w:t>
      </w:r>
      <w:hyperlink r:id="rId12" w:tgtFrame="_blank" w:history="1">
        <w:r w:rsidR="003C43FB" w:rsidRPr="003C43FB">
          <w:rPr>
            <w:rStyle w:val="Hyperlink"/>
          </w:rPr>
          <w:t>doi.org/10.1017/epi.2015.63</w:t>
        </w:r>
      </w:hyperlink>
    </w:p>
    <w:p w14:paraId="7EF0EBAA" w14:textId="3FE2A652" w:rsidR="00394D21" w:rsidRPr="002E24C8" w:rsidRDefault="00394D21" w:rsidP="003C43FB">
      <w:pPr>
        <w:ind w:left="567" w:hanging="567"/>
        <w:contextualSpacing/>
      </w:pPr>
      <w:r w:rsidRPr="002E24C8">
        <w:t xml:space="preserve">Moretti, L. </w:t>
      </w:r>
      <w:r w:rsidR="00D1316A">
        <w:t>(</w:t>
      </w:r>
      <w:r w:rsidR="001053DD" w:rsidRPr="002E24C8">
        <w:t>202</w:t>
      </w:r>
      <w:r w:rsidR="00960197">
        <w:t>1</w:t>
      </w:r>
      <w:r w:rsidR="00D1316A">
        <w:t>)</w:t>
      </w:r>
      <w:r w:rsidRPr="002E24C8">
        <w:t>. Entitlement, Epistemic Risk, and Scepticism.</w:t>
      </w:r>
      <w:r w:rsidR="001053DD" w:rsidRPr="002E24C8">
        <w:t xml:space="preserve"> </w:t>
      </w:r>
      <w:r w:rsidRPr="002E24C8">
        <w:rPr>
          <w:i/>
        </w:rPr>
        <w:t>Episteme</w:t>
      </w:r>
      <w:r w:rsidRPr="002E24C8">
        <w:t>.</w:t>
      </w:r>
      <w:r w:rsidR="00C8082F" w:rsidRPr="002E24C8">
        <w:t xml:space="preserve"> </w:t>
      </w:r>
      <w:r w:rsidR="00960197" w:rsidRPr="00960197">
        <w:rPr>
          <w:i/>
          <w:iCs/>
        </w:rPr>
        <w:t>Episteme</w:t>
      </w:r>
      <w:r w:rsidR="00960197">
        <w:t xml:space="preserve">, </w:t>
      </w:r>
      <w:r w:rsidR="00960197" w:rsidRPr="00960197">
        <w:t>18</w:t>
      </w:r>
      <w:r w:rsidR="00D1316A">
        <w:t>,</w:t>
      </w:r>
      <w:r w:rsidR="00960197" w:rsidRPr="00960197">
        <w:t xml:space="preserve"> 576-586</w:t>
      </w:r>
      <w:r w:rsidR="00C8082F" w:rsidRPr="002E24C8">
        <w:t>.</w:t>
      </w:r>
      <w:r w:rsidR="00101D71">
        <w:t xml:space="preserve"> </w:t>
      </w:r>
      <w:proofErr w:type="spellStart"/>
      <w:r w:rsidR="00101D71">
        <w:t>doi</w:t>
      </w:r>
      <w:proofErr w:type="spellEnd"/>
      <w:r w:rsidR="00101D71">
        <w:t xml:space="preserve">: </w:t>
      </w:r>
      <w:hyperlink r:id="rId13" w:tgtFrame="_blank" w:history="1">
        <w:r w:rsidR="003C43FB" w:rsidRPr="003C43FB">
          <w:rPr>
            <w:rStyle w:val="Hyperlink"/>
          </w:rPr>
          <w:t>doi.org/10.1017/epi.2019.27</w:t>
        </w:r>
      </w:hyperlink>
    </w:p>
    <w:p w14:paraId="4B8D787C" w14:textId="4F89E767" w:rsidR="00DC1E08" w:rsidRDefault="00DC1E08" w:rsidP="00205B07">
      <w:pPr>
        <w:ind w:left="567" w:hanging="567"/>
        <w:contextualSpacing/>
        <w:rPr>
          <w:rStyle w:val="Hyperlink"/>
        </w:rPr>
      </w:pPr>
      <w:r w:rsidRPr="002E24C8">
        <w:t xml:space="preserve">Pritchard. D. </w:t>
      </w:r>
      <w:r w:rsidR="00D1316A">
        <w:t>(</w:t>
      </w:r>
      <w:r w:rsidRPr="002E24C8">
        <w:t>2015</w:t>
      </w:r>
      <w:r w:rsidR="00D1316A">
        <w:t>)</w:t>
      </w:r>
      <w:r w:rsidRPr="002E24C8">
        <w:t xml:space="preserve">. Risk. </w:t>
      </w:r>
      <w:r w:rsidRPr="00D1316A">
        <w:rPr>
          <w:i/>
          <w:iCs/>
        </w:rPr>
        <w:t>Metaphilosophy</w:t>
      </w:r>
      <w:r w:rsidR="00D1316A">
        <w:t xml:space="preserve">, </w:t>
      </w:r>
      <w:r w:rsidRPr="002E24C8">
        <w:t>46</w:t>
      </w:r>
      <w:r w:rsidR="00D1316A">
        <w:t xml:space="preserve">, </w:t>
      </w:r>
      <w:r w:rsidRPr="002E24C8">
        <w:t>436-461</w:t>
      </w:r>
      <w:r w:rsidR="00D1316A">
        <w:t>.</w:t>
      </w:r>
      <w:r w:rsidR="00101D71">
        <w:t xml:space="preserve"> </w:t>
      </w:r>
      <w:proofErr w:type="spellStart"/>
      <w:r w:rsidR="00101D71">
        <w:t>doi</w:t>
      </w:r>
      <w:proofErr w:type="spellEnd"/>
      <w:r w:rsidR="00101D71">
        <w:t>:</w:t>
      </w:r>
      <w:r w:rsidR="00205B07">
        <w:t xml:space="preserve"> </w:t>
      </w:r>
      <w:hyperlink r:id="rId14" w:history="1">
        <w:r w:rsidR="00205B07" w:rsidRPr="00205B07">
          <w:rPr>
            <w:rStyle w:val="Hyperlink"/>
          </w:rPr>
          <w:t>doi.org/10.1111/meta.12142</w:t>
        </w:r>
      </w:hyperlink>
    </w:p>
    <w:p w14:paraId="787F31EF" w14:textId="77777777" w:rsidR="000151C5" w:rsidRPr="002E24C8" w:rsidRDefault="000151C5" w:rsidP="00205B07">
      <w:pPr>
        <w:ind w:left="567" w:hanging="567"/>
        <w:contextualSpacing/>
      </w:pPr>
    </w:p>
    <w:p w14:paraId="3CCA72E4" w14:textId="237D9AC4" w:rsidR="00435466" w:rsidRPr="00435466" w:rsidRDefault="00435466" w:rsidP="00435466">
      <w:pPr>
        <w:widowControl w:val="0"/>
        <w:ind w:left="426" w:hanging="426"/>
      </w:pPr>
      <w:r w:rsidRPr="00435466">
        <w:lastRenderedPageBreak/>
        <w:t xml:space="preserve">—––––– </w:t>
      </w:r>
      <w:r>
        <w:t>(</w:t>
      </w:r>
      <w:r w:rsidRPr="00435466">
        <w:t>2016</w:t>
      </w:r>
      <w:r>
        <w:t>)</w:t>
      </w:r>
      <w:r w:rsidRPr="00435466">
        <w:t xml:space="preserve">. ‘Epistemic Risk’. </w:t>
      </w:r>
      <w:r w:rsidRPr="00435466">
        <w:rPr>
          <w:i/>
          <w:iCs/>
        </w:rPr>
        <w:t>Journal of Philosophy</w:t>
      </w:r>
      <w:r w:rsidRPr="00435466">
        <w:t>, 113: 550-571.</w:t>
      </w:r>
      <w:r>
        <w:t xml:space="preserve"> </w:t>
      </w:r>
      <w:proofErr w:type="spellStart"/>
      <w:r>
        <w:t>doi</w:t>
      </w:r>
      <w:proofErr w:type="spellEnd"/>
      <w:r>
        <w:t xml:space="preserve">: </w:t>
      </w:r>
      <w:hyperlink r:id="rId15" w:history="1">
        <w:r w:rsidRPr="00435466">
          <w:rPr>
            <w:rStyle w:val="Hyperlink"/>
          </w:rPr>
          <w:t>https://doi.org/10.5840/jphil20161131137</w:t>
        </w:r>
      </w:hyperlink>
    </w:p>
    <w:p w14:paraId="3843FA62" w14:textId="42A74674" w:rsidR="00660E2E" w:rsidRPr="002E24C8" w:rsidRDefault="001B062D" w:rsidP="00205B07">
      <w:pPr>
        <w:widowControl w:val="0"/>
        <w:ind w:left="426" w:hanging="426"/>
      </w:pPr>
      <w:r w:rsidRPr="002E24C8">
        <w:t>P</w:t>
      </w:r>
      <w:r w:rsidR="000146CA" w:rsidRPr="002E24C8">
        <w:t xml:space="preserve">ryor, J. </w:t>
      </w:r>
      <w:r w:rsidR="00660E2E" w:rsidRPr="002E24C8">
        <w:t xml:space="preserve">(2000). The Skeptic and the Dogmatist. </w:t>
      </w:r>
      <w:r w:rsidR="00660E2E" w:rsidRPr="002E24C8">
        <w:rPr>
          <w:i/>
        </w:rPr>
        <w:t>Noûs</w:t>
      </w:r>
      <w:r w:rsidR="00660E2E" w:rsidRPr="002E24C8">
        <w:t>, 34, 517-549.</w:t>
      </w:r>
      <w:r w:rsidR="00E465F5">
        <w:t xml:space="preserve"> </w:t>
      </w:r>
      <w:proofErr w:type="spellStart"/>
      <w:r w:rsidR="00E465F5">
        <w:t>doi</w:t>
      </w:r>
      <w:proofErr w:type="spellEnd"/>
      <w:r w:rsidR="00E465F5">
        <w:t>:</w:t>
      </w:r>
      <w:r w:rsidR="00660E2E" w:rsidRPr="002E24C8">
        <w:t xml:space="preserve"> </w:t>
      </w:r>
      <w:hyperlink r:id="rId16" w:history="1">
        <w:r w:rsidR="00205B07" w:rsidRPr="00205B07">
          <w:rPr>
            <w:rStyle w:val="Hyperlink"/>
          </w:rPr>
          <w:t>doi.org/10.1111/0029-4624.00277</w:t>
        </w:r>
      </w:hyperlink>
    </w:p>
    <w:p w14:paraId="1FCA2E46" w14:textId="3A9596AB" w:rsidR="000146CA" w:rsidRPr="002E24C8" w:rsidRDefault="00660E2E" w:rsidP="00660E2E">
      <w:pPr>
        <w:widowControl w:val="0"/>
      </w:pPr>
      <w:r w:rsidRPr="002E24C8">
        <w:t>—</w:t>
      </w:r>
      <w:r w:rsidR="00D1316A">
        <w:t>––––– (</w:t>
      </w:r>
      <w:r w:rsidR="000146CA" w:rsidRPr="002E24C8">
        <w:t>2004</w:t>
      </w:r>
      <w:r w:rsidR="00D1316A">
        <w:t>)</w:t>
      </w:r>
      <w:r w:rsidR="000146CA" w:rsidRPr="002E24C8">
        <w:t xml:space="preserve">. What’s wrong with Moore’s argument? </w:t>
      </w:r>
      <w:r w:rsidR="001B062D" w:rsidRPr="002E24C8">
        <w:rPr>
          <w:i/>
        </w:rPr>
        <w:t>P</w:t>
      </w:r>
      <w:r w:rsidR="000146CA" w:rsidRPr="002E24C8">
        <w:rPr>
          <w:i/>
        </w:rPr>
        <w:t>hilosophical Issue</w:t>
      </w:r>
      <w:r w:rsidR="00D86798" w:rsidRPr="002E24C8">
        <w:rPr>
          <w:i/>
        </w:rPr>
        <w:t>s</w:t>
      </w:r>
      <w:r w:rsidR="000146CA" w:rsidRPr="002E24C8">
        <w:rPr>
          <w:i/>
        </w:rPr>
        <w:t xml:space="preserve">, 14, </w:t>
      </w:r>
      <w:r w:rsidR="00EF051D" w:rsidRPr="002E24C8">
        <w:rPr>
          <w:i/>
        </w:rPr>
        <w:tab/>
      </w:r>
      <w:r w:rsidR="000146CA" w:rsidRPr="002E24C8">
        <w:rPr>
          <w:i/>
        </w:rPr>
        <w:t>Epistemology</w:t>
      </w:r>
      <w:r w:rsidR="00D1316A">
        <w:t>,</w:t>
      </w:r>
      <w:r w:rsidR="000146CA" w:rsidRPr="002E24C8">
        <w:t xml:space="preserve"> </w:t>
      </w:r>
      <w:r w:rsidRPr="002E24C8">
        <w:tab/>
      </w:r>
      <w:r w:rsidR="000146CA" w:rsidRPr="002E24C8">
        <w:t>349-378.</w:t>
      </w:r>
      <w:r w:rsidR="00E465F5">
        <w:t xml:space="preserve"> </w:t>
      </w:r>
      <w:proofErr w:type="spellStart"/>
      <w:r w:rsidR="00E465F5">
        <w:t>doi</w:t>
      </w:r>
      <w:proofErr w:type="spellEnd"/>
      <w:r w:rsidR="00E465F5">
        <w:t>:</w:t>
      </w:r>
      <w:r w:rsidR="00CC5D1B" w:rsidRPr="00CC5D1B">
        <w:t xml:space="preserve"> </w:t>
      </w:r>
      <w:hyperlink r:id="rId17" w:history="1">
        <w:r w:rsidR="00CC5D1B" w:rsidRPr="00CC5D1B">
          <w:rPr>
            <w:rStyle w:val="Hyperlink"/>
          </w:rPr>
          <w:t>doi.org/10.1111/j.1533-6077.2004.00034.x</w:t>
        </w:r>
      </w:hyperlink>
    </w:p>
    <w:p w14:paraId="3FB74677" w14:textId="0AF256CD" w:rsidR="00950D70" w:rsidRPr="002E24C8" w:rsidRDefault="00950D70" w:rsidP="00435466">
      <w:pPr>
        <w:ind w:left="567" w:hanging="567"/>
        <w:contextualSpacing/>
        <w:rPr>
          <w:bCs/>
        </w:rPr>
      </w:pPr>
      <w:r w:rsidRPr="002E24C8">
        <w:rPr>
          <w:bCs/>
        </w:rPr>
        <w:t xml:space="preserve">White, R. </w:t>
      </w:r>
      <w:r w:rsidR="003A5AFB">
        <w:rPr>
          <w:bCs/>
        </w:rPr>
        <w:t>(</w:t>
      </w:r>
      <w:r w:rsidRPr="002E24C8">
        <w:rPr>
          <w:bCs/>
        </w:rPr>
        <w:t>2006</w:t>
      </w:r>
      <w:r w:rsidR="003A5AFB">
        <w:rPr>
          <w:bCs/>
        </w:rPr>
        <w:t>)</w:t>
      </w:r>
      <w:r w:rsidRPr="002E24C8">
        <w:rPr>
          <w:bCs/>
        </w:rPr>
        <w:t xml:space="preserve">. </w:t>
      </w:r>
      <w:r w:rsidR="001B062D" w:rsidRPr="002E24C8">
        <w:rPr>
          <w:bCs/>
        </w:rPr>
        <w:t>P</w:t>
      </w:r>
      <w:r w:rsidRPr="002E24C8">
        <w:rPr>
          <w:bCs/>
        </w:rPr>
        <w:t xml:space="preserve">roblems for </w:t>
      </w:r>
      <w:r w:rsidR="008A5E40" w:rsidRPr="002E24C8">
        <w:rPr>
          <w:bCs/>
        </w:rPr>
        <w:t>D</w:t>
      </w:r>
      <w:r w:rsidRPr="002E24C8">
        <w:rPr>
          <w:bCs/>
        </w:rPr>
        <w:t xml:space="preserve">ogmatism. </w:t>
      </w:r>
      <w:r w:rsidR="001B062D" w:rsidRPr="002E24C8">
        <w:rPr>
          <w:bCs/>
          <w:i/>
        </w:rPr>
        <w:t>P</w:t>
      </w:r>
      <w:r w:rsidRPr="002E24C8">
        <w:rPr>
          <w:bCs/>
          <w:i/>
        </w:rPr>
        <w:t>hilosophical Studies</w:t>
      </w:r>
      <w:r w:rsidR="003A5AFB">
        <w:rPr>
          <w:bCs/>
        </w:rPr>
        <w:t xml:space="preserve">, </w:t>
      </w:r>
      <w:r w:rsidRPr="002E24C8">
        <w:rPr>
          <w:bCs/>
        </w:rPr>
        <w:t>131</w:t>
      </w:r>
      <w:r w:rsidR="003A5AFB">
        <w:rPr>
          <w:bCs/>
        </w:rPr>
        <w:t>,</w:t>
      </w:r>
      <w:r w:rsidRPr="002E24C8">
        <w:rPr>
          <w:bCs/>
        </w:rPr>
        <w:t xml:space="preserve"> 525-257.</w:t>
      </w:r>
      <w:r w:rsidR="00E465F5">
        <w:rPr>
          <w:bCs/>
        </w:rPr>
        <w:t xml:space="preserve"> </w:t>
      </w:r>
      <w:proofErr w:type="spellStart"/>
      <w:r w:rsidR="00E465F5">
        <w:rPr>
          <w:bCs/>
        </w:rPr>
        <w:t>doi</w:t>
      </w:r>
      <w:proofErr w:type="spellEnd"/>
      <w:r w:rsidR="00E465F5">
        <w:rPr>
          <w:bCs/>
        </w:rPr>
        <w:t>:</w:t>
      </w:r>
      <w:r w:rsidR="00CC5D1B">
        <w:rPr>
          <w:bCs/>
        </w:rPr>
        <w:t xml:space="preserve"> </w:t>
      </w:r>
      <w:r w:rsidR="00CC5D1B" w:rsidRPr="00CC5D1B">
        <w:rPr>
          <w:bCs/>
        </w:rPr>
        <w:t>doi.org/10.1007/s11098-004-7487-9</w:t>
      </w:r>
    </w:p>
    <w:p w14:paraId="1B0F2A2A" w14:textId="7508C382" w:rsidR="00F3098E" w:rsidRPr="00CC5D1B" w:rsidRDefault="00F3098E" w:rsidP="00CC5D1B">
      <w:pPr>
        <w:ind w:left="567" w:hanging="567"/>
        <w:contextualSpacing/>
        <w:rPr>
          <w:bCs/>
        </w:rPr>
      </w:pPr>
      <w:r w:rsidRPr="002E24C8">
        <w:rPr>
          <w:bCs/>
        </w:rPr>
        <w:t xml:space="preserve">Williams, M. </w:t>
      </w:r>
      <w:r w:rsidR="00AC1C3C">
        <w:rPr>
          <w:bCs/>
        </w:rPr>
        <w:t>(</w:t>
      </w:r>
      <w:r w:rsidRPr="002E24C8">
        <w:rPr>
          <w:bCs/>
        </w:rPr>
        <w:t>2001</w:t>
      </w:r>
      <w:r w:rsidR="00AC1C3C">
        <w:rPr>
          <w:bCs/>
        </w:rPr>
        <w:t>)</w:t>
      </w:r>
      <w:r w:rsidRPr="002E24C8">
        <w:rPr>
          <w:bCs/>
        </w:rPr>
        <w:t xml:space="preserve">. Contextualism, Externalism and Epistemic Standards. </w:t>
      </w:r>
      <w:r w:rsidR="001B062D" w:rsidRPr="002E24C8">
        <w:rPr>
          <w:bCs/>
          <w:i/>
        </w:rPr>
        <w:t>P</w:t>
      </w:r>
      <w:r w:rsidRPr="002E24C8">
        <w:rPr>
          <w:bCs/>
          <w:i/>
        </w:rPr>
        <w:t>hilosophical Studies</w:t>
      </w:r>
      <w:r w:rsidR="00AC1C3C">
        <w:rPr>
          <w:bCs/>
        </w:rPr>
        <w:t xml:space="preserve">, </w:t>
      </w:r>
      <w:r w:rsidRPr="002E24C8">
        <w:t>103</w:t>
      </w:r>
      <w:r w:rsidR="00AC1C3C">
        <w:t>,</w:t>
      </w:r>
      <w:r w:rsidRPr="002E24C8">
        <w:t xml:space="preserve"> 1</w:t>
      </w:r>
      <w:r w:rsidR="00AC1C3C">
        <w:t>-</w:t>
      </w:r>
      <w:r w:rsidRPr="002E24C8">
        <w:t>23</w:t>
      </w:r>
      <w:r w:rsidRPr="002E24C8">
        <w:rPr>
          <w:bCs/>
        </w:rPr>
        <w:t>.</w:t>
      </w:r>
      <w:r w:rsidR="00E465F5">
        <w:rPr>
          <w:bCs/>
        </w:rPr>
        <w:t xml:space="preserve"> </w:t>
      </w:r>
      <w:proofErr w:type="spellStart"/>
      <w:r w:rsidR="00E465F5">
        <w:rPr>
          <w:bCs/>
        </w:rPr>
        <w:t>doi</w:t>
      </w:r>
      <w:proofErr w:type="spellEnd"/>
      <w:r w:rsidR="00E465F5">
        <w:rPr>
          <w:bCs/>
        </w:rPr>
        <w:t>:</w:t>
      </w:r>
      <w:r w:rsidR="00CC5D1B">
        <w:rPr>
          <w:bCs/>
        </w:rPr>
        <w:t xml:space="preserve"> </w:t>
      </w:r>
      <w:r w:rsidR="00CC5D1B" w:rsidRPr="00CC5D1B">
        <w:rPr>
          <w:bCs/>
        </w:rPr>
        <w:t>doi.org/10.1023/A:1010349100272</w:t>
      </w:r>
    </w:p>
    <w:p w14:paraId="55FF6737" w14:textId="140B364E" w:rsidR="00394D21" w:rsidRPr="002E24C8" w:rsidRDefault="00394D21" w:rsidP="00074D5E">
      <w:pPr>
        <w:ind w:left="567" w:hanging="567"/>
        <w:contextualSpacing/>
      </w:pPr>
      <w:r w:rsidRPr="002E24C8">
        <w:t xml:space="preserve">Wright, C. </w:t>
      </w:r>
      <w:r w:rsidR="00546F6D">
        <w:t>(</w:t>
      </w:r>
      <w:r w:rsidRPr="002E24C8">
        <w:t>2004</w:t>
      </w:r>
      <w:r w:rsidR="00546F6D">
        <w:t>)</w:t>
      </w:r>
      <w:r w:rsidRPr="002E24C8">
        <w:t xml:space="preserve">. On Epistemic Entitlement: Warrant for Nothing (and Foundations for Free?). </w:t>
      </w:r>
      <w:r w:rsidR="001B062D" w:rsidRPr="002E24C8">
        <w:rPr>
          <w:i/>
        </w:rPr>
        <w:t>P</w:t>
      </w:r>
      <w:r w:rsidRPr="002E24C8">
        <w:rPr>
          <w:i/>
        </w:rPr>
        <w:t>roceedings</w:t>
      </w:r>
      <w:r w:rsidRPr="002E24C8">
        <w:t xml:space="preserve"> </w:t>
      </w:r>
      <w:r w:rsidRPr="002E24C8">
        <w:rPr>
          <w:i/>
        </w:rPr>
        <w:t>of</w:t>
      </w:r>
      <w:r w:rsidRPr="002E24C8">
        <w:t xml:space="preserve"> </w:t>
      </w:r>
      <w:r w:rsidRPr="002E24C8">
        <w:rPr>
          <w:i/>
        </w:rPr>
        <w:t>the</w:t>
      </w:r>
      <w:r w:rsidRPr="002E24C8">
        <w:t xml:space="preserve"> </w:t>
      </w:r>
      <w:r w:rsidRPr="002E24C8">
        <w:rPr>
          <w:i/>
        </w:rPr>
        <w:t>Aristotelian</w:t>
      </w:r>
      <w:r w:rsidRPr="002E24C8">
        <w:t xml:space="preserve"> </w:t>
      </w:r>
      <w:r w:rsidRPr="002E24C8">
        <w:rPr>
          <w:i/>
        </w:rPr>
        <w:t>Society</w:t>
      </w:r>
      <w:r w:rsidRPr="002E24C8">
        <w:t xml:space="preserve">, </w:t>
      </w:r>
      <w:r w:rsidRPr="002E24C8">
        <w:rPr>
          <w:i/>
        </w:rPr>
        <w:t>Supplementary</w:t>
      </w:r>
      <w:r w:rsidR="00294933" w:rsidRPr="002E24C8">
        <w:rPr>
          <w:i/>
        </w:rPr>
        <w:t xml:space="preserve"> vol.</w:t>
      </w:r>
      <w:r w:rsidRPr="002E24C8">
        <w:t xml:space="preserve"> 78</w:t>
      </w:r>
      <w:r w:rsidR="005749CF">
        <w:t>,</w:t>
      </w:r>
      <w:r w:rsidRPr="002E24C8">
        <w:t xml:space="preserve"> 167</w:t>
      </w:r>
      <w:r w:rsidR="005749CF">
        <w:t>-</w:t>
      </w:r>
      <w:r w:rsidRPr="002E24C8">
        <w:t>212.</w:t>
      </w:r>
      <w:r w:rsidR="00E465F5">
        <w:t xml:space="preserve"> </w:t>
      </w:r>
      <w:proofErr w:type="spellStart"/>
      <w:r w:rsidR="00E465F5">
        <w:t>doi</w:t>
      </w:r>
      <w:proofErr w:type="spellEnd"/>
      <w:r w:rsidR="00E465F5">
        <w:t>:</w:t>
      </w:r>
      <w:r w:rsidR="00074D5E">
        <w:t xml:space="preserve"> </w:t>
      </w:r>
      <w:hyperlink r:id="rId18" w:history="1">
        <w:r w:rsidR="00074D5E" w:rsidRPr="00074D5E">
          <w:rPr>
            <w:rStyle w:val="Hyperlink"/>
          </w:rPr>
          <w:t>doi.org/10.1111/j.0309-7013.2004.00121.x</w:t>
        </w:r>
      </w:hyperlink>
    </w:p>
    <w:p w14:paraId="76D47F70" w14:textId="62E98FF8" w:rsidR="00294933" w:rsidRPr="002E24C8" w:rsidRDefault="000A69FA" w:rsidP="006152E9">
      <w:pPr>
        <w:ind w:left="567" w:hanging="567"/>
        <w:contextualSpacing/>
      </w:pPr>
      <w:r w:rsidRPr="000A69FA">
        <w:t xml:space="preserve">—––––– </w:t>
      </w:r>
      <w:r w:rsidR="00E91789" w:rsidRPr="002E24C8">
        <w:t xml:space="preserve">2012. </w:t>
      </w:r>
      <w:r w:rsidR="00294933" w:rsidRPr="002E24C8">
        <w:t>Warra</w:t>
      </w:r>
      <w:r w:rsidR="00E91789" w:rsidRPr="002E24C8">
        <w:t>nt Transmission and Entitlement</w:t>
      </w:r>
      <w:r>
        <w:t xml:space="preserve"> (</w:t>
      </w:r>
      <w:r w:rsidR="00294933" w:rsidRPr="002E24C8">
        <w:t>Part IV of “Replies”</w:t>
      </w:r>
      <w:r>
        <w:t>).</w:t>
      </w:r>
      <w:r w:rsidR="00294933" w:rsidRPr="002E24C8">
        <w:t xml:space="preserve"> </w:t>
      </w:r>
      <w:r>
        <w:t>I</w:t>
      </w:r>
      <w:r w:rsidR="00294933" w:rsidRPr="002E24C8">
        <w:t>n A</w:t>
      </w:r>
      <w:r>
        <w:t>.</w:t>
      </w:r>
      <w:r w:rsidR="00294933" w:rsidRPr="002E24C8">
        <w:t xml:space="preserve"> Coliva (</w:t>
      </w:r>
      <w:r>
        <w:t>E</w:t>
      </w:r>
      <w:r w:rsidR="00294933" w:rsidRPr="002E24C8">
        <w:t>d.)</w:t>
      </w:r>
      <w:r>
        <w:t>,</w:t>
      </w:r>
      <w:r w:rsidR="00294933" w:rsidRPr="002E24C8">
        <w:t xml:space="preserve"> </w:t>
      </w:r>
      <w:r w:rsidR="00294933" w:rsidRPr="002E24C8">
        <w:rPr>
          <w:rStyle w:val="Emphasis"/>
        </w:rPr>
        <w:t>Mind, Meaning and Knowledge: Themes from the Philosophy of Crispin Wright</w:t>
      </w:r>
      <w:r w:rsidR="00294933" w:rsidRPr="002E24C8">
        <w:t xml:space="preserve"> </w:t>
      </w:r>
      <w:r>
        <w:t xml:space="preserve">(pp. </w:t>
      </w:r>
      <w:r w:rsidRPr="000A69FA">
        <w:t>451-486</w:t>
      </w:r>
      <w:r>
        <w:t xml:space="preserve">). </w:t>
      </w:r>
      <w:r w:rsidR="00294933" w:rsidRPr="002E24C8">
        <w:t>Oxford</w:t>
      </w:r>
      <w:r>
        <w:t>: Oxford</w:t>
      </w:r>
      <w:r w:rsidR="00294933" w:rsidRPr="002E24C8">
        <w:t xml:space="preserve"> University Press.</w:t>
      </w:r>
    </w:p>
    <w:p w14:paraId="020EB5BD" w14:textId="25610939" w:rsidR="00394D21" w:rsidRPr="002E24C8" w:rsidRDefault="000A69FA" w:rsidP="006152E9">
      <w:pPr>
        <w:ind w:left="567" w:hanging="567"/>
        <w:contextualSpacing/>
      </w:pPr>
      <w:r w:rsidRPr="000A69FA">
        <w:t xml:space="preserve">—––––– </w:t>
      </w:r>
      <w:r w:rsidR="00394D21" w:rsidRPr="002E24C8">
        <w:t xml:space="preserve">2014. On Epistemic Entitlement (II): Welfare State Epistemology. In E. Zardini </w:t>
      </w:r>
      <w:r>
        <w:t>&amp;</w:t>
      </w:r>
      <w:r w:rsidR="00394D21" w:rsidRPr="002E24C8">
        <w:t xml:space="preserve"> D. Dodd (</w:t>
      </w:r>
      <w:r>
        <w:t>E</w:t>
      </w:r>
      <w:r w:rsidR="00394D21" w:rsidRPr="002E24C8">
        <w:t xml:space="preserve">ds.), </w:t>
      </w:r>
      <w:r w:rsidR="00394D21" w:rsidRPr="002E24C8">
        <w:rPr>
          <w:i/>
        </w:rPr>
        <w:t>Scepticism</w:t>
      </w:r>
      <w:r w:rsidR="00394D21" w:rsidRPr="002E24C8">
        <w:t xml:space="preserve"> </w:t>
      </w:r>
      <w:r w:rsidR="00394D21" w:rsidRPr="002E24C8">
        <w:rPr>
          <w:i/>
        </w:rPr>
        <w:t>and</w:t>
      </w:r>
      <w:r w:rsidR="00394D21" w:rsidRPr="002E24C8">
        <w:t xml:space="preserve"> </w:t>
      </w:r>
      <w:r w:rsidR="001B062D" w:rsidRPr="002E24C8">
        <w:rPr>
          <w:i/>
        </w:rPr>
        <w:t>P</w:t>
      </w:r>
      <w:r w:rsidR="00394D21" w:rsidRPr="002E24C8">
        <w:rPr>
          <w:i/>
        </w:rPr>
        <w:t>erceptual</w:t>
      </w:r>
      <w:r w:rsidR="00394D21" w:rsidRPr="002E24C8">
        <w:t xml:space="preserve"> </w:t>
      </w:r>
      <w:r w:rsidR="00394D21" w:rsidRPr="002E24C8">
        <w:rPr>
          <w:i/>
        </w:rPr>
        <w:t>Justification</w:t>
      </w:r>
      <w:r w:rsidR="00294933" w:rsidRPr="002E24C8">
        <w:t xml:space="preserve"> </w:t>
      </w:r>
      <w:r>
        <w:t xml:space="preserve">(pp. </w:t>
      </w:r>
      <w:r w:rsidRPr="002E24C8">
        <w:t>213-247</w:t>
      </w:r>
      <w:r>
        <w:t xml:space="preserve">). </w:t>
      </w:r>
      <w:r w:rsidR="00294933" w:rsidRPr="002E24C8">
        <w:t>Oxford</w:t>
      </w:r>
      <w:r>
        <w:t>: Oxford</w:t>
      </w:r>
      <w:r w:rsidR="00294933" w:rsidRPr="002E24C8">
        <w:t xml:space="preserve"> University Press.</w:t>
      </w:r>
    </w:p>
    <w:p w14:paraId="16C5D256" w14:textId="446E4950" w:rsidR="00394D21" w:rsidRPr="002E24C8" w:rsidRDefault="00394D21" w:rsidP="006152E9">
      <w:pPr>
        <w:contextualSpacing/>
        <w:rPr>
          <w:b/>
          <w:bCs/>
        </w:rPr>
      </w:pPr>
    </w:p>
    <w:sectPr w:rsidR="00394D21" w:rsidRPr="002E24C8" w:rsidSect="00301A14">
      <w:headerReference w:type="even" r:id="rId19"/>
      <w:headerReference w:type="defaul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45BB" w14:textId="77777777" w:rsidR="00191483" w:rsidRDefault="00191483" w:rsidP="00A644ED">
      <w:r>
        <w:separator/>
      </w:r>
    </w:p>
  </w:endnote>
  <w:endnote w:type="continuationSeparator" w:id="0">
    <w:p w14:paraId="2843E05B" w14:textId="77777777" w:rsidR="00191483" w:rsidRDefault="00191483" w:rsidP="00A6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D711" w14:textId="77777777" w:rsidR="00191483" w:rsidRDefault="00191483" w:rsidP="00A644ED">
      <w:r>
        <w:separator/>
      </w:r>
    </w:p>
  </w:footnote>
  <w:footnote w:type="continuationSeparator" w:id="0">
    <w:p w14:paraId="70ABD931" w14:textId="77777777" w:rsidR="00191483" w:rsidRDefault="00191483" w:rsidP="00A644ED">
      <w:r>
        <w:continuationSeparator/>
      </w:r>
    </w:p>
  </w:footnote>
  <w:footnote w:id="1">
    <w:p w14:paraId="03712E2B" w14:textId="5E5904CB" w:rsidR="009B3526" w:rsidRPr="002E24C8" w:rsidRDefault="009B3526" w:rsidP="006828E8">
      <w:pPr>
        <w:pStyle w:val="FootnoteText"/>
        <w:spacing w:after="120"/>
      </w:pPr>
      <w:r w:rsidRPr="002E24C8">
        <w:rPr>
          <w:rStyle w:val="FootnoteReference"/>
        </w:rPr>
        <w:footnoteRef/>
      </w:r>
      <w:r w:rsidRPr="002E24C8">
        <w:t xml:space="preserve"> For one potentially important distinction, between what are there dubbed respectively “Humean” and “Cartesian” forms of sceptical paradox, see </w:t>
      </w:r>
      <w:r w:rsidR="002709B7">
        <w:t>(</w:t>
      </w:r>
      <w:r w:rsidRPr="002E24C8">
        <w:t>Wright</w:t>
      </w:r>
      <w:r w:rsidR="002709B7">
        <w:t xml:space="preserve">, </w:t>
      </w:r>
      <w:r w:rsidRPr="002E24C8">
        <w:t>2004).</w:t>
      </w:r>
    </w:p>
  </w:footnote>
  <w:footnote w:id="2">
    <w:p w14:paraId="4EA27402" w14:textId="7851CE31" w:rsidR="009B3526" w:rsidRPr="002E24C8" w:rsidRDefault="009B3526">
      <w:pPr>
        <w:pStyle w:val="FootnoteText"/>
      </w:pPr>
      <w:r w:rsidRPr="002E24C8">
        <w:rPr>
          <w:rStyle w:val="FootnoteReference"/>
        </w:rPr>
        <w:footnoteRef/>
      </w:r>
      <w:r w:rsidRPr="002E24C8">
        <w:t xml:space="preserve"> In addition to </w:t>
      </w:r>
      <w:r w:rsidR="002709B7">
        <w:t>(</w:t>
      </w:r>
      <w:r w:rsidR="002E406D" w:rsidRPr="002E24C8">
        <w:t>Wright</w:t>
      </w:r>
      <w:r w:rsidR="002709B7">
        <w:t xml:space="preserve">, </w:t>
      </w:r>
      <w:r w:rsidRPr="002E24C8">
        <w:t>2004) see also (</w:t>
      </w:r>
      <w:r w:rsidR="002709B7">
        <w:t xml:space="preserve">Wright, </w:t>
      </w:r>
      <w:r w:rsidRPr="002E24C8">
        <w:t>2012 and 2014).</w:t>
      </w:r>
    </w:p>
  </w:footnote>
  <w:footnote w:id="3">
    <w:p w14:paraId="352C9A6A" w14:textId="05049C24" w:rsidR="009B3526" w:rsidRPr="002E24C8" w:rsidRDefault="009B3526" w:rsidP="00AF5A3E">
      <w:pPr>
        <w:pStyle w:val="FootnoteText"/>
      </w:pPr>
      <w:r w:rsidRPr="002E24C8">
        <w:rPr>
          <w:rStyle w:val="FootnoteReference"/>
        </w:rPr>
        <w:footnoteRef/>
      </w:r>
      <w:r w:rsidRPr="002E24C8">
        <w:t xml:space="preserve"> In an </w:t>
      </w:r>
      <w:proofErr w:type="spellStart"/>
      <w:r w:rsidRPr="00E70A79">
        <w:rPr>
          <w:i/>
          <w:iCs w:val="0"/>
        </w:rPr>
        <w:t>Arché</w:t>
      </w:r>
      <w:proofErr w:type="spellEnd"/>
      <w:r w:rsidRPr="002E24C8">
        <w:t xml:space="preserve"> seminar discussion in the early 2000s.</w:t>
      </w:r>
    </w:p>
  </w:footnote>
  <w:footnote w:id="4">
    <w:p w14:paraId="783E7A81" w14:textId="2C115ED6" w:rsidR="009B3526" w:rsidRPr="002E24C8" w:rsidRDefault="009B3526" w:rsidP="005A38CB">
      <w:pPr>
        <w:pStyle w:val="FootnoteText"/>
        <w:spacing w:after="120"/>
      </w:pPr>
      <w:r w:rsidRPr="002E24C8">
        <w:rPr>
          <w:rStyle w:val="FootnoteReference"/>
        </w:rPr>
        <w:footnoteRef/>
      </w:r>
      <w:r w:rsidRPr="002E24C8">
        <w:t xml:space="preserve"> For critical discussion of Wright’s response independent of the argument to follow, see </w:t>
      </w:r>
      <w:r w:rsidR="001D7D88">
        <w:t>(</w:t>
      </w:r>
      <w:r w:rsidRPr="002E24C8">
        <w:t>McGlynn</w:t>
      </w:r>
      <w:r w:rsidR="001D7D88">
        <w:t xml:space="preserve">, </w:t>
      </w:r>
      <w:r w:rsidRPr="002E24C8">
        <w:t>2017).</w:t>
      </w:r>
    </w:p>
  </w:footnote>
  <w:footnote w:id="5">
    <w:p w14:paraId="55A2BBFE" w14:textId="09BA6BAB" w:rsidR="009B3526" w:rsidRPr="002E24C8" w:rsidRDefault="009B3526" w:rsidP="00B92172">
      <w:pPr>
        <w:pStyle w:val="FootnoteText"/>
        <w:spacing w:after="120"/>
      </w:pPr>
      <w:r w:rsidRPr="002E24C8">
        <w:rPr>
          <w:rStyle w:val="FootnoteReference"/>
        </w:rPr>
        <w:footnoteRef/>
      </w:r>
      <w:r w:rsidRPr="002E24C8">
        <w:t xml:space="preserve"> A refinement of this conception, adopted in professional risk management and economics, interprets ‘risk’ as referring to the </w:t>
      </w:r>
      <w:r w:rsidRPr="002E24C8">
        <w:rPr>
          <w:i/>
        </w:rPr>
        <w:t>expectation value</w:t>
      </w:r>
      <w:r w:rsidRPr="002E24C8">
        <w:t xml:space="preserve"> of a possible negative event, which is the product of the event’s probability and some measure of its severity (cf. Hansson</w:t>
      </w:r>
      <w:r w:rsidR="00D26589">
        <w:t>,</w:t>
      </w:r>
      <w:r w:rsidRPr="002E24C8">
        <w:t xml:space="preserve"> 2018). To avoid sterile complications, we set aside this more technical notion.</w:t>
      </w:r>
    </w:p>
  </w:footnote>
  <w:footnote w:id="6">
    <w:p w14:paraId="5F12E3E7" w14:textId="5B419247" w:rsidR="009B3526" w:rsidRPr="002E24C8" w:rsidRDefault="009B3526" w:rsidP="0094627C">
      <w:pPr>
        <w:pStyle w:val="FootnoteText"/>
      </w:pPr>
      <w:r w:rsidRPr="002E24C8">
        <w:rPr>
          <w:rStyle w:val="FootnoteReference"/>
        </w:rPr>
        <w:footnoteRef/>
      </w:r>
      <w:r w:rsidRPr="002E24C8">
        <w:t xml:space="preserve"> See </w:t>
      </w:r>
      <w:r w:rsidR="002709B7">
        <w:t>(</w:t>
      </w:r>
      <w:r w:rsidRPr="002E24C8">
        <w:t>Pritchard 2015</w:t>
      </w:r>
      <w:r w:rsidR="00BB441F">
        <w:t>,</w:t>
      </w:r>
      <w:r w:rsidRPr="002E24C8">
        <w:t xml:space="preserve"> 2016</w:t>
      </w:r>
      <w:r w:rsidR="002709B7">
        <w:t>)</w:t>
      </w:r>
      <w:r w:rsidRPr="002E24C8">
        <w:t xml:space="preserve"> and </w:t>
      </w:r>
      <w:r w:rsidR="002709B7">
        <w:t>(</w:t>
      </w:r>
      <w:r w:rsidRPr="002E24C8">
        <w:t xml:space="preserve">Ebert </w:t>
      </w:r>
      <w:r w:rsidR="00D26589" w:rsidRPr="00D26589">
        <w:t xml:space="preserve">Smith </w:t>
      </w:r>
      <w:r w:rsidR="002E7DCB">
        <w:t>&amp;</w:t>
      </w:r>
      <w:r w:rsidR="00D26589" w:rsidRPr="00D26589">
        <w:t xml:space="preserve"> Durbach</w:t>
      </w:r>
      <w:r w:rsidR="002709B7">
        <w:rPr>
          <w:i/>
          <w:iCs w:val="0"/>
        </w:rPr>
        <w:t xml:space="preserve">, </w:t>
      </w:r>
      <w:r w:rsidRPr="002E24C8">
        <w:t>2020</w:t>
      </w:r>
      <w:r w:rsidR="002709B7">
        <w:t>)</w:t>
      </w:r>
      <w:r w:rsidRPr="002E24C8">
        <w:t>.</w:t>
      </w:r>
    </w:p>
  </w:footnote>
  <w:footnote w:id="7">
    <w:p w14:paraId="54508571" w14:textId="1FA1B382" w:rsidR="009B3526" w:rsidRDefault="009B3526" w:rsidP="00BC36E9">
      <w:pPr>
        <w:pStyle w:val="FootnoteText"/>
      </w:pPr>
      <w:r w:rsidRPr="002E24C8">
        <w:rPr>
          <w:iCs w:val="0"/>
          <w:vertAlign w:val="superscript"/>
        </w:rPr>
        <w:t xml:space="preserve">8 </w:t>
      </w:r>
      <w:r w:rsidRPr="002E24C8">
        <w:t>Here is an edited version of Pritchard</w:t>
      </w:r>
      <w:r w:rsidR="000F6970">
        <w:t>’s</w:t>
      </w:r>
      <w:r w:rsidRPr="002E24C8">
        <w:t xml:space="preserve"> </w:t>
      </w:r>
      <w:r w:rsidR="000F6970">
        <w:t>(</w:t>
      </w:r>
      <w:r w:rsidRPr="002E24C8">
        <w:t>2015</w:t>
      </w:r>
      <w:r w:rsidR="000F6970">
        <w:t xml:space="preserve"> and</w:t>
      </w:r>
      <w:r w:rsidRPr="002E24C8">
        <w:t xml:space="preserve"> 2016) principal example:</w:t>
      </w:r>
    </w:p>
    <w:p w14:paraId="197033C2" w14:textId="77777777" w:rsidR="001C1CAB" w:rsidRPr="001C1CAB" w:rsidRDefault="001C1CAB" w:rsidP="00BC36E9">
      <w:pPr>
        <w:pStyle w:val="FootnoteText"/>
        <w:rPr>
          <w:sz w:val="10"/>
          <w:szCs w:val="10"/>
        </w:rPr>
      </w:pPr>
    </w:p>
    <w:p w14:paraId="43F9F065" w14:textId="007E4F6E" w:rsidR="009B3526" w:rsidRDefault="009B3526" w:rsidP="00BC36E9">
      <w:pPr>
        <w:pStyle w:val="FootnoteText"/>
      </w:pPr>
      <w:r w:rsidRPr="002E24C8">
        <w:tab/>
        <w:t>Bomb 1: An evil scientist has rigged up a bomb hidden in a populated area. There is no way of discovering the bomb. It will detonate only if a certain set of numbers comes up on the next national lottery draw. The odds of these numbers appearing is fourteen million to one. It is impossible to interfere with this lottery draw.</w:t>
      </w:r>
    </w:p>
    <w:p w14:paraId="08B9DA0C" w14:textId="77777777" w:rsidR="001C1CAB" w:rsidRPr="001C1CAB" w:rsidRDefault="001C1CAB" w:rsidP="00BC36E9">
      <w:pPr>
        <w:pStyle w:val="FootnoteText"/>
        <w:rPr>
          <w:sz w:val="10"/>
          <w:szCs w:val="10"/>
        </w:rPr>
      </w:pPr>
    </w:p>
    <w:p w14:paraId="7DE8957F" w14:textId="5CEEC2D8" w:rsidR="009B3526" w:rsidRDefault="009B3526" w:rsidP="00B92172">
      <w:pPr>
        <w:pStyle w:val="FootnoteText"/>
      </w:pPr>
      <w:r w:rsidRPr="002E24C8">
        <w:tab/>
        <w:t>Bomb 2: An evil scientist has rigged up a bomb hidden in a populated area. There is no way of discovering the bomb. It will detonate only if three highly unlikely events all obtain. First, the weakest horse in the field at the Grand National, Lucky Loser, wins the race by at least ten furlongs. Second, the worst team remaining in the FA Cup draw, Accrington Stanley, beats the best team remaining, Manchester United, by at least ten goals. Third, the Queen of England spontaneously chooses to speak a complete sentence of Polish during her next public speech. The odds of this chain of events occurring are fourteen million to one. It is impossible to interfere with the outcomes of any event in this chain.</w:t>
      </w:r>
    </w:p>
    <w:p w14:paraId="4EB5BE8F" w14:textId="77777777" w:rsidR="001C1CAB" w:rsidRPr="001C1CAB" w:rsidRDefault="001C1CAB" w:rsidP="00B92172">
      <w:pPr>
        <w:pStyle w:val="FootnoteText"/>
        <w:rPr>
          <w:sz w:val="10"/>
          <w:szCs w:val="10"/>
        </w:rPr>
      </w:pPr>
    </w:p>
    <w:p w14:paraId="72BDEC95" w14:textId="69E95727" w:rsidR="009B3526" w:rsidRPr="002E24C8" w:rsidRDefault="009B3526" w:rsidP="00BC36E9">
      <w:pPr>
        <w:pStyle w:val="FootnoteText"/>
        <w:spacing w:after="120"/>
      </w:pPr>
      <w:r w:rsidRPr="002E24C8">
        <w:tab/>
        <w:t>Let</w:t>
      </w:r>
      <w:r w:rsidRPr="002E24C8">
        <w:rPr>
          <w:iCs w:val="0"/>
        </w:rPr>
        <w:t xml:space="preserve"> </w:t>
      </w:r>
      <w:r w:rsidRPr="002E24C8">
        <w:rPr>
          <w:i/>
          <w:iCs w:val="0"/>
        </w:rPr>
        <w:t>P</w:t>
      </w:r>
      <w:r w:rsidRPr="002E24C8">
        <w:t xml:space="preserve"> state that the bomb will detonate. Pritchard asserts that although </w:t>
      </w:r>
      <w:r w:rsidRPr="002E24C8">
        <w:rPr>
          <w:i/>
          <w:iCs w:val="0"/>
        </w:rPr>
        <w:t>P</w:t>
      </w:r>
      <w:r w:rsidRPr="002E24C8">
        <w:t xml:space="preserve"> is equally likely in both cases, the assumption that </w:t>
      </w:r>
      <w:r w:rsidRPr="002E24C8">
        <w:rPr>
          <w:i/>
        </w:rPr>
        <w:t>P</w:t>
      </w:r>
      <w:r w:rsidRPr="002E24C8">
        <w:t xml:space="preserve"> is false — that the bomb will not detonate — is intuitively appreciably riskier in Bomb 1 than in Bomb 2. Pritchard explains this intuition by suggesting that </w:t>
      </w:r>
      <w:r w:rsidRPr="002E24C8">
        <w:rPr>
          <w:i/>
          <w:iCs w:val="0"/>
        </w:rPr>
        <w:t>P</w:t>
      </w:r>
      <w:r w:rsidRPr="002E24C8">
        <w:t xml:space="preserve"> appears safer in Bomb 1 than Bomb 2. But it is unclear to us that this explanation is correct. It is a mere stipulation by Pritchard that the event that would trigger the detonation in Bomb 1 can actually meaningfully be said to have the same degree of chance as the sequence of events that would trigger the detonation in Bomb 2. It is consequently quite unwarranted to assume that any sense of diminished riskiness of </w:t>
      </w:r>
      <w:r w:rsidRPr="002E24C8">
        <w:rPr>
          <w:i/>
        </w:rPr>
        <w:t>P</w:t>
      </w:r>
      <w:r w:rsidRPr="002E24C8">
        <w:t xml:space="preserve">’s being true that folk do indeed have in contemplating Bomb 2 is sensitive to this merely stipulated, possibly meaningless, equality. </w:t>
      </w:r>
    </w:p>
  </w:footnote>
  <w:footnote w:id="8">
    <w:p w14:paraId="14FE3E71" w14:textId="5AB6E191" w:rsidR="009B3526" w:rsidRPr="002E24C8" w:rsidRDefault="009B3526" w:rsidP="0094627C">
      <w:pPr>
        <w:pStyle w:val="FootnoteText"/>
        <w:spacing w:after="120"/>
      </w:pPr>
      <w:r w:rsidRPr="002E24C8">
        <w:rPr>
          <w:rStyle w:val="FootnoteReference"/>
        </w:rPr>
        <w:footnoteRef/>
      </w:r>
      <w:r w:rsidRPr="002E24C8">
        <w:t xml:space="preserve"> The reader may well feel that this is not a great result for the normic view, since — worlds in which Martin’s ticket wins being roughly no less normal than worlds in which it doesn’t, — it seems we’d have to regard the alternatives, Win or Lose, as equally risky on the normic account. Of course it is odd to describe a good outcome as a ‘risk’ at all; but we could easily concoct an example where winning is a bad result. As Matt Jope has reminded us, a somewhat macabre but vivid example where normic considerations arguably provide a better recovery of our intuitions about risk than probabilistic ones can be provided by an embellishment of Shirley Jackson’s short story </w:t>
      </w:r>
      <w:r w:rsidRPr="002E24C8">
        <w:rPr>
          <w:i/>
        </w:rPr>
        <w:t>The Lottery</w:t>
      </w:r>
      <w:r w:rsidRPr="002E24C8">
        <w:t xml:space="preserve"> </w:t>
      </w:r>
      <w:r w:rsidR="0090725C">
        <w:t>––</w:t>
      </w:r>
      <w:r w:rsidRPr="002E24C8">
        <w:t xml:space="preserve"> (The New Yorker, June 26, 1948) </w:t>
      </w:r>
      <w:r w:rsidR="0090725C">
        <w:t>––</w:t>
      </w:r>
      <w:r w:rsidRPr="002E24C8">
        <w:t xml:space="preserve"> wherein a rural community runs a large lottery each year in the belief that full participation alone will serve to ward off a poor harvest and consequent famine in the following year. The sting is that in order to appease the agrarian Gods, the ‘winner’ must be put to death. The sense of risk had by the participants in such a setting would, plausibly, be much stronger than can be explained by the numerical probabilities alone. So much would be predicted by the normic account since for each participant, however statistically improbable it may be, ‘winning’ would be a wholly normal occurrence — someone has to ‘win’ — and thus would constitute a significant risk.</w:t>
      </w:r>
    </w:p>
  </w:footnote>
  <w:footnote w:id="9">
    <w:p w14:paraId="78AE3F74" w14:textId="215A6E36" w:rsidR="009B3526" w:rsidRPr="002E24C8" w:rsidRDefault="009B3526" w:rsidP="0094627C">
      <w:pPr>
        <w:pStyle w:val="FootnoteText"/>
      </w:pPr>
      <w:r w:rsidRPr="002E24C8">
        <w:rPr>
          <w:rStyle w:val="FootnoteReference"/>
        </w:rPr>
        <w:footnoteRef/>
      </w:r>
      <w:r w:rsidRPr="002E24C8">
        <w:t xml:space="preserve"> Cf. </w:t>
      </w:r>
      <w:r w:rsidR="0090725C">
        <w:t>(</w:t>
      </w:r>
      <w:r w:rsidRPr="002E24C8">
        <w:t>Bricker</w:t>
      </w:r>
      <w:r w:rsidR="001D758C">
        <w:t>,</w:t>
      </w:r>
      <w:r w:rsidRPr="002E24C8">
        <w:t xml:space="preserve"> 2018), </w:t>
      </w:r>
      <w:r w:rsidR="0090725C">
        <w:t>(</w:t>
      </w:r>
      <w:r w:rsidRPr="002E24C8">
        <w:t>Moretti</w:t>
      </w:r>
      <w:r w:rsidR="0090725C">
        <w:t>,</w:t>
      </w:r>
      <w:r w:rsidRPr="002E24C8">
        <w:t xml:space="preserve"> 20</w:t>
      </w:r>
      <w:r w:rsidR="00170274">
        <w:t>21</w:t>
      </w:r>
      <w:r w:rsidRPr="002E24C8">
        <w:t xml:space="preserve">) and </w:t>
      </w:r>
      <w:r w:rsidR="0090725C">
        <w:t>(</w:t>
      </w:r>
      <w:r w:rsidRPr="002E24C8">
        <w:t xml:space="preserve">Ebert, Smith </w:t>
      </w:r>
      <w:r w:rsidR="0090725C">
        <w:t>&amp;</w:t>
      </w:r>
      <w:r w:rsidRPr="002E24C8">
        <w:t xml:space="preserve"> Durbach</w:t>
      </w:r>
      <w:r w:rsidR="0090725C">
        <w:t>,</w:t>
      </w:r>
      <w:r w:rsidRPr="002E24C8">
        <w:t xml:space="preserve"> 2020).</w:t>
      </w:r>
    </w:p>
  </w:footnote>
  <w:footnote w:id="10">
    <w:p w14:paraId="54BEE0BE" w14:textId="2FE4921F" w:rsidR="009B3526" w:rsidRPr="002E24C8" w:rsidRDefault="009B3526" w:rsidP="00B973D6">
      <w:pPr>
        <w:pStyle w:val="FootnoteText"/>
        <w:spacing w:after="120"/>
      </w:pPr>
      <w:r w:rsidRPr="002E24C8">
        <w:rPr>
          <w:rStyle w:val="FootnoteReference"/>
        </w:rPr>
        <w:footnoteRef/>
      </w:r>
      <w:r w:rsidRPr="002E24C8">
        <w:t xml:space="preserve"> We emphasise to the reader that this feature is essential to the argument. The reasoning to follow requires the assumption that we are working with a sceptical hypothesis, </w:t>
      </w:r>
      <w:r w:rsidRPr="002E24C8">
        <w:rPr>
          <w:i/>
        </w:rPr>
        <w:t>SH</w:t>
      </w:r>
      <w:r w:rsidRPr="002E24C8">
        <w:t xml:space="preserve">, that predicts your actual evidence for </w:t>
      </w:r>
      <w:r w:rsidRPr="002E24C8">
        <w:rPr>
          <w:i/>
        </w:rPr>
        <w:t>P</w:t>
      </w:r>
      <w:r w:rsidRPr="002E24C8">
        <w:t xml:space="preserve">, or at least a fully convincing simulacrum of it. Suppose, for example, that </w:t>
      </w:r>
      <w:r w:rsidRPr="002E24C8">
        <w:rPr>
          <w:i/>
          <w:iCs w:val="0"/>
        </w:rPr>
        <w:t>P</w:t>
      </w:r>
      <w:r w:rsidRPr="002E24C8">
        <w:t xml:space="preserve"> is ‘There is a hand in front of my face’, asserted on the basis of current perceptual experience, that </w:t>
      </w:r>
      <w:r w:rsidRPr="002E24C8">
        <w:rPr>
          <w:i/>
        </w:rPr>
        <w:t>E</w:t>
      </w:r>
      <w:r w:rsidRPr="002E24C8">
        <w:t xml:space="preserve"> reports such an experience and that  </w:t>
      </w:r>
      <w:r w:rsidRPr="002E24C8">
        <w:rPr>
          <w:i/>
        </w:rPr>
        <w:t>¬</w:t>
      </w:r>
      <w:r w:rsidRPr="002E24C8">
        <w:rPr>
          <w:i/>
          <w:iCs w:val="0"/>
        </w:rPr>
        <w:t xml:space="preserve">SH </w:t>
      </w:r>
      <w:r w:rsidRPr="002E24C8">
        <w:t xml:space="preserve">is simply ‘There is a material world’. In this case </w:t>
      </w:r>
      <w:r w:rsidRPr="002E24C8">
        <w:rPr>
          <w:i/>
          <w:iCs w:val="0"/>
        </w:rPr>
        <w:t>P</w:t>
      </w:r>
      <w:r w:rsidRPr="002E24C8">
        <w:t xml:space="preserve"> entails </w:t>
      </w:r>
      <w:r w:rsidRPr="002E24C8">
        <w:rPr>
          <w:i/>
        </w:rPr>
        <w:t>¬</w:t>
      </w:r>
      <w:r w:rsidRPr="002E24C8">
        <w:rPr>
          <w:i/>
          <w:iCs w:val="0"/>
        </w:rPr>
        <w:t>SH</w:t>
      </w:r>
      <w:r w:rsidRPr="002E24C8">
        <w:t xml:space="preserve">, but </w:t>
      </w:r>
      <w:r w:rsidRPr="002E24C8">
        <w:rPr>
          <w:i/>
          <w:iCs w:val="0"/>
        </w:rPr>
        <w:t>SH</w:t>
      </w:r>
      <w:r w:rsidRPr="002E24C8">
        <w:t xml:space="preserve"> –– i.e. ‘There is no material world’ –– doesn’t entail </w:t>
      </w:r>
      <w:r w:rsidRPr="002E24C8">
        <w:rPr>
          <w:i/>
          <w:iCs w:val="0"/>
        </w:rPr>
        <w:t>E</w:t>
      </w:r>
      <w:r w:rsidRPr="002E24C8">
        <w:t xml:space="preserve"> –– that is, that I undergo an experience as if there is a hand in front of my face. In such a case the following proof doesn’t apply, and the revamped Leaching worry about to be developed will be pre-empted.</w:t>
      </w:r>
    </w:p>
  </w:footnote>
  <w:footnote w:id="11">
    <w:p w14:paraId="3CAF11F4" w14:textId="704EE982" w:rsidR="009B3526" w:rsidRPr="002E24C8" w:rsidRDefault="009B3526" w:rsidP="008F0BC0">
      <w:pPr>
        <w:pStyle w:val="FootnoteText"/>
        <w:spacing w:after="120"/>
      </w:pPr>
      <w:r w:rsidRPr="002E24C8">
        <w:rPr>
          <w:rStyle w:val="FootnoteReference"/>
        </w:rPr>
        <w:footnoteRef/>
      </w:r>
      <w:r w:rsidRPr="002E24C8">
        <w:t xml:space="preserve"> Here is White’s proof:—</w:t>
      </w:r>
    </w:p>
    <w:p w14:paraId="32DE67AC" w14:textId="03FBC549" w:rsidR="009B3526" w:rsidRPr="002E24C8" w:rsidRDefault="009B3526">
      <w:pPr>
        <w:pStyle w:val="FootnoteText"/>
        <w:rPr>
          <w:iCs w:val="0"/>
        </w:rPr>
      </w:pPr>
      <w:r w:rsidRPr="002E24C8">
        <w:t>Since Pr(</w:t>
      </w:r>
      <w:r w:rsidRPr="002E24C8">
        <w:rPr>
          <w:i/>
        </w:rPr>
        <w:t>SH</w:t>
      </w:r>
      <w:r w:rsidRPr="002E24C8">
        <w:t xml:space="preserve">) &gt; 0 and </w:t>
      </w:r>
      <w:r w:rsidRPr="002E24C8">
        <w:rPr>
          <w:i/>
          <w:iCs w:val="0"/>
        </w:rPr>
        <w:t>SH</w:t>
      </w:r>
      <w:r w:rsidRPr="002E24C8">
        <w:t xml:space="preserve"> entails </w:t>
      </w:r>
      <w:r w:rsidRPr="002E24C8">
        <w:rPr>
          <w:i/>
          <w:iCs w:val="0"/>
        </w:rPr>
        <w:t>E</w:t>
      </w:r>
      <w:r w:rsidRPr="002E24C8">
        <w:t xml:space="preserve">, </w:t>
      </w:r>
      <w:r w:rsidRPr="002E24C8">
        <w:rPr>
          <w:iCs w:val="0"/>
        </w:rPr>
        <w:t>Pr</w:t>
      </w:r>
      <w:r w:rsidRPr="002E24C8">
        <w:t>(</w:t>
      </w:r>
      <w:r w:rsidRPr="002E24C8">
        <w:rPr>
          <w:i/>
          <w:iCs w:val="0"/>
        </w:rPr>
        <w:t>E</w:t>
      </w:r>
      <w:r w:rsidRPr="002E24C8">
        <w:t>|</w:t>
      </w:r>
      <w:r w:rsidRPr="002E24C8">
        <w:rPr>
          <w:i/>
          <w:iCs w:val="0"/>
        </w:rPr>
        <w:t>SH</w:t>
      </w:r>
      <w:r w:rsidRPr="002E24C8">
        <w:t xml:space="preserve">) </w:t>
      </w:r>
      <w:r w:rsidRPr="002E24C8">
        <w:rPr>
          <w:iCs w:val="0"/>
        </w:rPr>
        <w:t>= 1</w:t>
      </w:r>
      <w:r w:rsidRPr="002E24C8">
        <w:t>.</w:t>
      </w:r>
      <w:r w:rsidRPr="002E24C8">
        <w:rPr>
          <w:iCs w:val="0"/>
        </w:rPr>
        <w:t xml:space="preserve"> From this, since </w:t>
      </w:r>
      <w:r w:rsidRPr="002E24C8">
        <w:t>Pr(</w:t>
      </w:r>
      <w:r w:rsidRPr="002E24C8">
        <w:rPr>
          <w:i/>
        </w:rPr>
        <w:t>E</w:t>
      </w:r>
      <w:r w:rsidRPr="002E24C8">
        <w:t xml:space="preserve">) &lt; 1, </w:t>
      </w:r>
      <w:r w:rsidRPr="002E24C8">
        <w:rPr>
          <w:iCs w:val="0"/>
        </w:rPr>
        <w:t>Pr</w:t>
      </w:r>
      <w:r w:rsidRPr="002E24C8">
        <w:t>(</w:t>
      </w:r>
      <w:r w:rsidRPr="002E24C8">
        <w:rPr>
          <w:i/>
          <w:iCs w:val="0"/>
        </w:rPr>
        <w:t>E</w:t>
      </w:r>
      <w:r w:rsidRPr="002E24C8">
        <w:t>|</w:t>
      </w:r>
      <w:r w:rsidRPr="002E24C8">
        <w:rPr>
          <w:i/>
          <w:iCs w:val="0"/>
        </w:rPr>
        <w:t>SH</w:t>
      </w:r>
      <w:r w:rsidRPr="002E24C8">
        <w:t xml:space="preserve">) </w:t>
      </w:r>
      <w:r w:rsidRPr="002E24C8">
        <w:rPr>
          <w:iCs w:val="0"/>
        </w:rPr>
        <w:t>&gt; Pr(</w:t>
      </w:r>
      <w:r w:rsidRPr="002E24C8">
        <w:rPr>
          <w:i/>
        </w:rPr>
        <w:t>E</w:t>
      </w:r>
      <w:r w:rsidRPr="002E24C8">
        <w:rPr>
          <w:iCs w:val="0"/>
        </w:rPr>
        <w:t>). Thus, Pr</w:t>
      </w:r>
      <w:r w:rsidRPr="002E24C8">
        <w:t>(</w:t>
      </w:r>
      <w:r w:rsidRPr="002E24C8">
        <w:rPr>
          <w:i/>
          <w:iCs w:val="0"/>
        </w:rPr>
        <w:t>SH</w:t>
      </w:r>
      <w:r w:rsidRPr="002E24C8">
        <w:t>|</w:t>
      </w:r>
      <w:r w:rsidRPr="002E24C8">
        <w:rPr>
          <w:i/>
          <w:iCs w:val="0"/>
        </w:rPr>
        <w:t>E</w:t>
      </w:r>
      <w:r w:rsidRPr="002E24C8">
        <w:t xml:space="preserve">) </w:t>
      </w:r>
      <w:r w:rsidRPr="002E24C8">
        <w:rPr>
          <w:iCs w:val="0"/>
        </w:rPr>
        <w:t>&gt; Pr(</w:t>
      </w:r>
      <w:r w:rsidRPr="002E24C8">
        <w:rPr>
          <w:i/>
        </w:rPr>
        <w:t>SH</w:t>
      </w:r>
      <w:r w:rsidRPr="002E24C8">
        <w:rPr>
          <w:iCs w:val="0"/>
        </w:rPr>
        <w:t xml:space="preserve">). Thus, </w:t>
      </w:r>
    </w:p>
    <w:p w14:paraId="2FE45CD1" w14:textId="18A4FC9F" w:rsidR="009B3526" w:rsidRPr="002E24C8" w:rsidRDefault="009B3526">
      <w:pPr>
        <w:pStyle w:val="FootnoteText"/>
        <w:rPr>
          <w:iCs w:val="0"/>
        </w:rPr>
      </w:pPr>
      <w:r w:rsidRPr="002E24C8">
        <w:rPr>
          <w:iCs w:val="0"/>
        </w:rPr>
        <w:t>(i) Pr</w:t>
      </w:r>
      <w:r w:rsidRPr="002E24C8">
        <w:t>(</w:t>
      </w:r>
      <w:r w:rsidRPr="002E24C8">
        <w:rPr>
          <w:i/>
        </w:rPr>
        <w:t>¬</w:t>
      </w:r>
      <w:r w:rsidRPr="002E24C8">
        <w:rPr>
          <w:i/>
          <w:iCs w:val="0"/>
        </w:rPr>
        <w:t>SH</w:t>
      </w:r>
      <w:r w:rsidRPr="002E24C8">
        <w:t>|</w:t>
      </w:r>
      <w:r w:rsidRPr="002E24C8">
        <w:rPr>
          <w:i/>
          <w:iCs w:val="0"/>
        </w:rPr>
        <w:t>E</w:t>
      </w:r>
      <w:r w:rsidRPr="002E24C8">
        <w:t xml:space="preserve">) </w:t>
      </w:r>
      <w:r w:rsidRPr="002E24C8">
        <w:rPr>
          <w:iCs w:val="0"/>
        </w:rPr>
        <w:t>&lt; Pr(</w:t>
      </w:r>
      <w:r w:rsidRPr="002E24C8">
        <w:rPr>
          <w:i/>
        </w:rPr>
        <w:t>¬SH</w:t>
      </w:r>
      <w:r w:rsidRPr="002E24C8">
        <w:rPr>
          <w:iCs w:val="0"/>
        </w:rPr>
        <w:t xml:space="preserve">). </w:t>
      </w:r>
    </w:p>
    <w:p w14:paraId="5CD90281" w14:textId="57CBA50B" w:rsidR="009B3526" w:rsidRPr="002E24C8" w:rsidRDefault="009B3526">
      <w:pPr>
        <w:pStyle w:val="FootnoteText"/>
      </w:pPr>
      <w:r w:rsidRPr="002E24C8">
        <w:rPr>
          <w:iCs w:val="0"/>
        </w:rPr>
        <w:t xml:space="preserve">Since </w:t>
      </w:r>
      <w:r w:rsidRPr="002E24C8">
        <w:t>Pr(</w:t>
      </w:r>
      <w:r w:rsidRPr="002E24C8">
        <w:rPr>
          <w:i/>
        </w:rPr>
        <w:t>SH</w:t>
      </w:r>
      <w:r w:rsidRPr="002E24C8">
        <w:t xml:space="preserve">) &gt; 0 and </w:t>
      </w:r>
      <w:r w:rsidRPr="002E24C8">
        <w:rPr>
          <w:i/>
          <w:iCs w:val="0"/>
        </w:rPr>
        <w:t>SH</w:t>
      </w:r>
      <w:r w:rsidRPr="002E24C8">
        <w:t xml:space="preserve"> entails </w:t>
      </w:r>
      <w:r w:rsidRPr="002E24C8">
        <w:rPr>
          <w:i/>
          <w:iCs w:val="0"/>
        </w:rPr>
        <w:t>E</w:t>
      </w:r>
      <w:r w:rsidRPr="002E24C8">
        <w:t>, then Pr(</w:t>
      </w:r>
      <w:r w:rsidRPr="002E24C8">
        <w:rPr>
          <w:i/>
        </w:rPr>
        <w:t>E</w:t>
      </w:r>
      <w:r w:rsidRPr="002E24C8">
        <w:t xml:space="preserve">) &gt; 0. From this, given that </w:t>
      </w:r>
      <w:r w:rsidRPr="002E24C8">
        <w:rPr>
          <w:i/>
          <w:iCs w:val="0"/>
        </w:rPr>
        <w:t>P</w:t>
      </w:r>
      <w:r w:rsidRPr="002E24C8">
        <w:t xml:space="preserve"> entails </w:t>
      </w:r>
      <w:r w:rsidRPr="002E24C8">
        <w:rPr>
          <w:i/>
        </w:rPr>
        <w:t>¬</w:t>
      </w:r>
      <w:r w:rsidRPr="002E24C8">
        <w:rPr>
          <w:i/>
          <w:iCs w:val="0"/>
        </w:rPr>
        <w:t>SH</w:t>
      </w:r>
      <w:r w:rsidRPr="002E24C8">
        <w:t>, it follows that</w:t>
      </w:r>
    </w:p>
    <w:p w14:paraId="5985D823" w14:textId="23985BE0" w:rsidR="009B3526" w:rsidRPr="002E24C8" w:rsidRDefault="009B3526">
      <w:pPr>
        <w:pStyle w:val="FootnoteText"/>
        <w:rPr>
          <w:iCs w:val="0"/>
        </w:rPr>
      </w:pPr>
      <w:r w:rsidRPr="002E24C8">
        <w:t xml:space="preserve">(ii) </w:t>
      </w:r>
      <w:r w:rsidRPr="002E24C8">
        <w:rPr>
          <w:iCs w:val="0"/>
        </w:rPr>
        <w:t>Pr</w:t>
      </w:r>
      <w:r w:rsidRPr="002E24C8">
        <w:t>(</w:t>
      </w:r>
      <w:r w:rsidRPr="002E24C8">
        <w:rPr>
          <w:i/>
          <w:iCs w:val="0"/>
        </w:rPr>
        <w:t>P</w:t>
      </w:r>
      <w:r w:rsidRPr="002E24C8">
        <w:t>|</w:t>
      </w:r>
      <w:r w:rsidRPr="002E24C8">
        <w:rPr>
          <w:i/>
          <w:iCs w:val="0"/>
        </w:rPr>
        <w:t>E</w:t>
      </w:r>
      <w:r w:rsidRPr="002E24C8">
        <w:t xml:space="preserve">) </w:t>
      </w:r>
      <w:r w:rsidRPr="002E24C8">
        <w:rPr>
          <w:iCs w:val="0"/>
        </w:rPr>
        <w:t>≤ Pr</w:t>
      </w:r>
      <w:r w:rsidRPr="002E24C8">
        <w:t>(</w:t>
      </w:r>
      <w:r w:rsidRPr="002E24C8">
        <w:rPr>
          <w:i/>
        </w:rPr>
        <w:t>¬</w:t>
      </w:r>
      <w:r w:rsidRPr="002E24C8">
        <w:rPr>
          <w:i/>
          <w:iCs w:val="0"/>
        </w:rPr>
        <w:t>SH</w:t>
      </w:r>
      <w:r w:rsidRPr="002E24C8">
        <w:t>|</w:t>
      </w:r>
      <w:r w:rsidRPr="002E24C8">
        <w:rPr>
          <w:i/>
          <w:iCs w:val="0"/>
        </w:rPr>
        <w:t>E</w:t>
      </w:r>
      <w:r w:rsidRPr="002E24C8">
        <w:t>)</w:t>
      </w:r>
      <w:r w:rsidRPr="002E24C8">
        <w:rPr>
          <w:iCs w:val="0"/>
        </w:rPr>
        <w:t>.</w:t>
      </w:r>
    </w:p>
    <w:p w14:paraId="57BE14FF" w14:textId="749F4191" w:rsidR="009B3526" w:rsidRPr="002E24C8" w:rsidRDefault="009B3526" w:rsidP="00680037">
      <w:pPr>
        <w:pStyle w:val="FootnoteText"/>
        <w:spacing w:after="120"/>
        <w:rPr>
          <w:iCs w:val="0"/>
        </w:rPr>
      </w:pPr>
      <w:r w:rsidRPr="002E24C8">
        <w:rPr>
          <w:iCs w:val="0"/>
        </w:rPr>
        <w:t xml:space="preserve">From (i) and (ii), by transitivity, </w:t>
      </w:r>
      <w:r w:rsidRPr="002E24C8">
        <w:t>Pr(</w:t>
      </w:r>
      <w:r w:rsidRPr="002E24C8">
        <w:rPr>
          <w:i/>
          <w:iCs w:val="0"/>
        </w:rPr>
        <w:t>P</w:t>
      </w:r>
      <w:r w:rsidRPr="002E24C8">
        <w:t>|</w:t>
      </w:r>
      <w:r w:rsidRPr="002E24C8">
        <w:rPr>
          <w:i/>
          <w:iCs w:val="0"/>
        </w:rPr>
        <w:t>E</w:t>
      </w:r>
      <w:r w:rsidRPr="002E24C8">
        <w:t>) &lt; Pr(</w:t>
      </w:r>
      <w:r w:rsidRPr="002E24C8">
        <w:rPr>
          <w:i/>
        </w:rPr>
        <w:t>¬SH</w:t>
      </w:r>
      <w:r w:rsidRPr="002E24C8">
        <w:t>)</w:t>
      </w:r>
      <w:r w:rsidRPr="002E24C8">
        <w:rPr>
          <w:iCs w:val="0"/>
        </w:rPr>
        <w:t>. QED.</w:t>
      </w:r>
    </w:p>
    <w:p w14:paraId="4634ACEE" w14:textId="2A975858" w:rsidR="009B3526" w:rsidRPr="002E24C8" w:rsidRDefault="009B3526" w:rsidP="00680037">
      <w:pPr>
        <w:pStyle w:val="FootnoteText"/>
        <w:spacing w:after="120"/>
      </w:pPr>
      <w:r w:rsidRPr="002E24C8">
        <w:rPr>
          <w:iCs w:val="0"/>
        </w:rPr>
        <w:t xml:space="preserve">White originally presented this nice observation as a problem for Jim Pryor’s (2000) </w:t>
      </w:r>
      <w:r w:rsidRPr="002E24C8">
        <w:rPr>
          <w:i/>
          <w:iCs w:val="0"/>
        </w:rPr>
        <w:t xml:space="preserve">perceptual dogmatism </w:t>
      </w:r>
      <w:r w:rsidRPr="002E24C8">
        <w:rPr>
          <w:iCs w:val="0"/>
        </w:rPr>
        <w:t xml:space="preserve">— for the idea that the evidential force of ordinary perceptual experience is, as a default, presuppositionless. There is an irony, therefore, in the fact that the very same theorem may be deployed against the attempt, via the notion of Entitlement, to shore up the opposed perceptual </w:t>
      </w:r>
      <w:r w:rsidRPr="002E24C8">
        <w:rPr>
          <w:i/>
          <w:iCs w:val="0"/>
        </w:rPr>
        <w:t>conservatism</w:t>
      </w:r>
      <w:r w:rsidRPr="002E24C8">
        <w:rPr>
          <w:iCs w:val="0"/>
        </w:rPr>
        <w:t>, whose signature claim is to grant the sceptic the presuppositional role of cornerstones, against the sceptical paradoxes</w:t>
      </w:r>
      <w:r w:rsidR="00DE6662">
        <w:rPr>
          <w:iCs w:val="0"/>
        </w:rPr>
        <w:t xml:space="preserve"> (</w:t>
      </w:r>
      <w:r w:rsidRPr="002E24C8">
        <w:rPr>
          <w:iCs w:val="0"/>
        </w:rPr>
        <w:t>as in Wright</w:t>
      </w:r>
      <w:r w:rsidR="00632233">
        <w:rPr>
          <w:iCs w:val="0"/>
        </w:rPr>
        <w:t>,</w:t>
      </w:r>
      <w:r w:rsidRPr="002E24C8">
        <w:rPr>
          <w:iCs w:val="0"/>
        </w:rPr>
        <w:t xml:space="preserve"> 2004 </w:t>
      </w:r>
      <w:r w:rsidR="00632233">
        <w:rPr>
          <w:iCs w:val="0"/>
        </w:rPr>
        <w:t>and</w:t>
      </w:r>
      <w:r w:rsidRPr="002E24C8">
        <w:rPr>
          <w:iCs w:val="0"/>
        </w:rPr>
        <w:t xml:space="preserve"> 2014).</w:t>
      </w:r>
    </w:p>
  </w:footnote>
  <w:footnote w:id="12">
    <w:p w14:paraId="18E4D339" w14:textId="7E3EC62C" w:rsidR="009B3526" w:rsidRPr="002E24C8" w:rsidRDefault="009B3526" w:rsidP="00680037">
      <w:pPr>
        <w:pStyle w:val="FootnoteText"/>
        <w:spacing w:after="120"/>
      </w:pPr>
      <w:r w:rsidRPr="002E24C8">
        <w:rPr>
          <w:rStyle w:val="FootnoteReference"/>
        </w:rPr>
        <w:footnoteRef/>
      </w:r>
      <w:r w:rsidRPr="002E24C8">
        <w:t xml:space="preserve"> Note that evidential probability need not be represented as a </w:t>
      </w:r>
      <w:r w:rsidRPr="002E24C8">
        <w:rPr>
          <w:i/>
          <w:iCs w:val="0"/>
        </w:rPr>
        <w:t>conditional</w:t>
      </w:r>
      <w:r w:rsidRPr="002E24C8">
        <w:t xml:space="preserve"> probability. The relevant evidence can be thought of as </w:t>
      </w:r>
      <w:r w:rsidRPr="002E24C8">
        <w:rPr>
          <w:i/>
          <w:iCs w:val="0"/>
        </w:rPr>
        <w:t>implicit</w:t>
      </w:r>
      <w:r w:rsidRPr="002E24C8">
        <w:t xml:space="preserve"> in the unconditional probability function. </w:t>
      </w:r>
    </w:p>
  </w:footnote>
  <w:footnote w:id="13">
    <w:p w14:paraId="3631FD8E" w14:textId="2D95DD34" w:rsidR="009B3526" w:rsidRPr="002E24C8" w:rsidRDefault="009B3526" w:rsidP="00467CAF">
      <w:pPr>
        <w:pStyle w:val="FootnoteText"/>
        <w:rPr>
          <w:color w:val="000000" w:themeColor="text1"/>
        </w:rPr>
      </w:pPr>
      <w:r w:rsidRPr="002E24C8">
        <w:rPr>
          <w:rStyle w:val="FootnoteReference"/>
          <w:color w:val="000000" w:themeColor="text1"/>
        </w:rPr>
        <w:footnoteRef/>
      </w:r>
      <w:r w:rsidRPr="002E24C8">
        <w:rPr>
          <w:color w:val="000000" w:themeColor="text1"/>
        </w:rPr>
        <w:t xml:space="preserve"> Recall that we interpret Pr as a </w:t>
      </w:r>
      <w:r w:rsidRPr="002E24C8">
        <w:rPr>
          <w:i/>
          <w:iCs w:val="0"/>
          <w:color w:val="000000" w:themeColor="text1"/>
        </w:rPr>
        <w:t xml:space="preserve">subjective </w:t>
      </w:r>
      <w:r w:rsidRPr="002E24C8">
        <w:rPr>
          <w:color w:val="000000" w:themeColor="text1"/>
        </w:rPr>
        <w:t xml:space="preserve">probability function. Critics might retort that ‘risk’ is often understood as the </w:t>
      </w:r>
      <w:r w:rsidRPr="002E24C8">
        <w:rPr>
          <w:i/>
          <w:iCs w:val="0"/>
          <w:color w:val="000000" w:themeColor="text1"/>
        </w:rPr>
        <w:t>objective</w:t>
      </w:r>
      <w:r w:rsidRPr="002E24C8">
        <w:rPr>
          <w:color w:val="000000" w:themeColor="text1"/>
        </w:rPr>
        <w:t xml:space="preserve"> probability of an unwanted event, interpreted as either the relative frequency of that event</w:t>
      </w:r>
      <w:r w:rsidRPr="002E24C8">
        <w:rPr>
          <w:i/>
          <w:iCs w:val="0"/>
          <w:color w:val="000000" w:themeColor="text1"/>
        </w:rPr>
        <w:t>-type</w:t>
      </w:r>
      <w:r w:rsidRPr="002E24C8">
        <w:rPr>
          <w:color w:val="000000" w:themeColor="text1"/>
        </w:rPr>
        <w:t xml:space="preserve"> or the propensity for that </w:t>
      </w:r>
      <w:r w:rsidRPr="002E24C8">
        <w:rPr>
          <w:i/>
          <w:iCs w:val="0"/>
          <w:color w:val="000000" w:themeColor="text1"/>
        </w:rPr>
        <w:t>single</w:t>
      </w:r>
      <w:r w:rsidRPr="002E24C8">
        <w:rPr>
          <w:color w:val="000000" w:themeColor="text1"/>
        </w:rPr>
        <w:t xml:space="preserve"> event to occur. However, it is tricky to analyse the risk that a sceptical hypothesis </w:t>
      </w:r>
      <w:r w:rsidRPr="002E24C8">
        <w:rPr>
          <w:i/>
          <w:iCs w:val="0"/>
          <w:color w:val="000000" w:themeColor="text1"/>
        </w:rPr>
        <w:t>SH</w:t>
      </w:r>
      <w:r w:rsidRPr="002E24C8">
        <w:rPr>
          <w:color w:val="000000" w:themeColor="text1"/>
        </w:rPr>
        <w:t xml:space="preserve"> is true in terms of objective probability. Since </w:t>
      </w:r>
      <w:r w:rsidRPr="002E24C8">
        <w:rPr>
          <w:i/>
          <w:iCs w:val="0"/>
          <w:color w:val="000000" w:themeColor="text1"/>
        </w:rPr>
        <w:t>SH</w:t>
      </w:r>
      <w:r w:rsidRPr="002E24C8">
        <w:rPr>
          <w:color w:val="000000" w:themeColor="text1"/>
        </w:rPr>
        <w:t xml:space="preserve"> would most naturally be conceived of as a global theory explaining the totality of our experiences, it is hard to think of appropriate event-types that involve </w:t>
      </w:r>
      <w:r w:rsidRPr="002E24C8">
        <w:rPr>
          <w:i/>
          <w:iCs w:val="0"/>
          <w:color w:val="000000" w:themeColor="text1"/>
        </w:rPr>
        <w:t>SH</w:t>
      </w:r>
      <w:r w:rsidRPr="002E24C8">
        <w:rPr>
          <w:color w:val="000000" w:themeColor="text1"/>
        </w:rPr>
        <w:t>. Furthermore, those who engage in the scepticism debate typically don’t think of sceptical hypotheses as having a propensity</w:t>
      </w:r>
      <w:r w:rsidRPr="002E24C8">
        <w:rPr>
          <w:i/>
          <w:iCs w:val="0"/>
          <w:color w:val="000000" w:themeColor="text1"/>
        </w:rPr>
        <w:t xml:space="preserve"> </w:t>
      </w:r>
      <w:r w:rsidRPr="002E24C8">
        <w:rPr>
          <w:color w:val="000000" w:themeColor="text1"/>
        </w:rPr>
        <w:t xml:space="preserve">to occur –– they think of them as </w:t>
      </w:r>
      <w:r w:rsidRPr="002E24C8">
        <w:rPr>
          <w:i/>
          <w:iCs w:val="0"/>
          <w:color w:val="000000" w:themeColor="text1"/>
        </w:rPr>
        <w:t>already</w:t>
      </w:r>
      <w:r w:rsidRPr="002E24C8">
        <w:rPr>
          <w:color w:val="000000" w:themeColor="text1"/>
        </w:rPr>
        <w:t xml:space="preserve"> true or false. That’s why subjective probability appears to be more suitable to analyse risk in this context.</w:t>
      </w:r>
    </w:p>
    <w:p w14:paraId="42A3FE4F" w14:textId="36D8FE23" w:rsidR="009B3526" w:rsidRPr="002E24C8" w:rsidRDefault="009B3526">
      <w:pPr>
        <w:pStyle w:val="FootnoteText"/>
      </w:pPr>
    </w:p>
  </w:footnote>
  <w:footnote w:id="14">
    <w:p w14:paraId="4CBCA525" w14:textId="4223413D" w:rsidR="009B3526" w:rsidRPr="002E24C8" w:rsidRDefault="009B3526" w:rsidP="002C5635">
      <w:pPr>
        <w:pStyle w:val="FootnoteText"/>
        <w:spacing w:after="120"/>
      </w:pPr>
      <w:r w:rsidRPr="002E24C8">
        <w:rPr>
          <w:rStyle w:val="FootnoteReference"/>
        </w:rPr>
        <w:footnoteRef/>
      </w:r>
      <w:r w:rsidRPr="002E24C8">
        <w:t xml:space="preserve"> This is so because Pr(</w:t>
      </w:r>
      <w:r w:rsidRPr="002E24C8">
        <w:rPr>
          <w:i/>
          <w:iCs w:val="0"/>
        </w:rPr>
        <w:t>P</w:t>
      </w:r>
      <w:r w:rsidRPr="002E24C8">
        <w:t>|</w:t>
      </w:r>
      <w:r w:rsidRPr="002E24C8">
        <w:rPr>
          <w:i/>
          <w:iCs w:val="0"/>
        </w:rPr>
        <w:t>E</w:t>
      </w:r>
      <w:r w:rsidRPr="002E24C8">
        <w:t>) = 1- Pr(</w:t>
      </w:r>
      <w:r w:rsidRPr="002E24C8">
        <w:rPr>
          <w:i/>
        </w:rPr>
        <w:t>¬</w:t>
      </w:r>
      <w:r w:rsidRPr="002E24C8">
        <w:rPr>
          <w:i/>
          <w:iCs w:val="0"/>
        </w:rPr>
        <w:t>P</w:t>
      </w:r>
      <w:r w:rsidRPr="002E24C8">
        <w:t>|</w:t>
      </w:r>
      <w:r w:rsidRPr="002E24C8">
        <w:rPr>
          <w:i/>
          <w:iCs w:val="0"/>
        </w:rPr>
        <w:t>E</w:t>
      </w:r>
      <w:r w:rsidRPr="002E24C8">
        <w:t>) and Pr(</w:t>
      </w:r>
      <w:r w:rsidRPr="002E24C8">
        <w:rPr>
          <w:i/>
        </w:rPr>
        <w:t>¬SH</w:t>
      </w:r>
      <w:r w:rsidRPr="002E24C8">
        <w:t>) = 1 - Pr(</w:t>
      </w:r>
      <w:r w:rsidRPr="002E24C8">
        <w:rPr>
          <w:i/>
        </w:rPr>
        <w:t>SH</w:t>
      </w:r>
      <w:r w:rsidRPr="002E24C8">
        <w:t>).</w:t>
      </w:r>
    </w:p>
  </w:footnote>
  <w:footnote w:id="15">
    <w:p w14:paraId="54C3CD89" w14:textId="2E8172D5" w:rsidR="009B3526" w:rsidRPr="002E24C8" w:rsidRDefault="009B3526" w:rsidP="004B3D0D">
      <w:pPr>
        <w:pStyle w:val="FootnoteText"/>
        <w:spacing w:after="120"/>
      </w:pPr>
      <w:r w:rsidRPr="002E24C8">
        <w:rPr>
          <w:rStyle w:val="FootnoteReference"/>
        </w:rPr>
        <w:footnoteRef/>
      </w:r>
      <w:r w:rsidRPr="002E24C8">
        <w:t xml:space="preserve"> We are speaking of  “Quasi-leaching” because although this thesis arguably does not directly imply that the risk of accepting</w:t>
      </w:r>
      <w:r w:rsidRPr="002E24C8">
        <w:rPr>
          <w:i/>
        </w:rPr>
        <w:t xml:space="preserve"> P</w:t>
      </w:r>
      <w:r w:rsidRPr="002E24C8">
        <w:t xml:space="preserve"> on the basis of </w:t>
      </w:r>
      <w:r w:rsidRPr="002E24C8">
        <w:rPr>
          <w:i/>
        </w:rPr>
        <w:t>E</w:t>
      </w:r>
      <w:r w:rsidRPr="002E24C8">
        <w:t xml:space="preserve"> </w:t>
      </w:r>
      <w:r w:rsidRPr="002E24C8">
        <w:rPr>
          <w:i/>
        </w:rPr>
        <w:t xml:space="preserve">is an inheritance </w:t>
      </w:r>
      <w:r w:rsidRPr="002E24C8">
        <w:t>of</w:t>
      </w:r>
      <w:r w:rsidRPr="002E24C8">
        <w:rPr>
          <w:i/>
        </w:rPr>
        <w:t xml:space="preserve"> </w:t>
      </w:r>
      <w:r w:rsidRPr="002E24C8">
        <w:t xml:space="preserve">the risk of accepting that the sceptical hypothesis is false (which was part of the original metaphor of “leaching upwards”), the apparent awkwardness of the result for the Entitlement theorist — the challenge to the rational coherence of the more favourable epistemic attitude to </w:t>
      </w:r>
      <w:r w:rsidRPr="002E24C8">
        <w:rPr>
          <w:i/>
        </w:rPr>
        <w:t xml:space="preserve">P </w:t>
      </w:r>
      <w:r w:rsidRPr="002E24C8">
        <w:t xml:space="preserve">than to </w:t>
      </w:r>
      <w:r w:rsidRPr="002E24C8">
        <w:rPr>
          <w:i/>
        </w:rPr>
        <w:t>SH</w:t>
      </w:r>
      <w:r w:rsidRPr="002E24C8">
        <w:t xml:space="preserve"> to which the theorist aspires — is not diminished on that account.</w:t>
      </w:r>
    </w:p>
  </w:footnote>
  <w:footnote w:id="16">
    <w:p w14:paraId="18E519BA" w14:textId="7D2FCC93" w:rsidR="009B3526" w:rsidRPr="002E24C8" w:rsidRDefault="009B3526">
      <w:pPr>
        <w:pStyle w:val="FootnoteText"/>
        <w:rPr>
          <w:color w:val="FF0000"/>
        </w:rPr>
      </w:pPr>
      <w:r w:rsidRPr="002E24C8">
        <w:rPr>
          <w:rStyle w:val="FootnoteReference"/>
          <w:color w:val="000000" w:themeColor="text1"/>
        </w:rPr>
        <w:footnoteRef/>
      </w:r>
      <w:r w:rsidRPr="002E24C8">
        <w:rPr>
          <w:color w:val="000000" w:themeColor="text1"/>
        </w:rPr>
        <w:t xml:space="preserve"> One might wonder whether White’s result is actually needed to revive the Leaching worry. In particular, considering that </w:t>
      </w:r>
      <w:r w:rsidRPr="002E24C8">
        <w:rPr>
          <w:i/>
          <w:color w:val="000000" w:themeColor="text1"/>
        </w:rPr>
        <w:t>¬</w:t>
      </w:r>
      <w:r w:rsidRPr="002E24C8">
        <w:rPr>
          <w:i/>
          <w:iCs w:val="0"/>
          <w:color w:val="000000" w:themeColor="text1"/>
        </w:rPr>
        <w:t xml:space="preserve">P </w:t>
      </w:r>
      <w:r w:rsidRPr="002E24C8">
        <w:rPr>
          <w:color w:val="000000" w:themeColor="text1"/>
        </w:rPr>
        <w:t>logically follows from</w:t>
      </w:r>
      <w:r w:rsidRPr="002E24C8">
        <w:rPr>
          <w:i/>
          <w:iCs w:val="0"/>
          <w:color w:val="000000" w:themeColor="text1"/>
        </w:rPr>
        <w:t xml:space="preserve"> SH</w:t>
      </w:r>
      <w:r w:rsidRPr="002E24C8">
        <w:rPr>
          <w:color w:val="000000" w:themeColor="text1"/>
        </w:rPr>
        <w:t xml:space="preserve">, wouldn’t it be sufficient to observe that (i) </w:t>
      </w:r>
      <w:r w:rsidRPr="002E24C8">
        <w:rPr>
          <w:iCs w:val="0"/>
          <w:color w:val="000000" w:themeColor="text1"/>
        </w:rPr>
        <w:t>Pr</w:t>
      </w:r>
      <w:r w:rsidRPr="002E24C8">
        <w:rPr>
          <w:color w:val="000000" w:themeColor="text1"/>
        </w:rPr>
        <w:t>(</w:t>
      </w:r>
      <w:r w:rsidRPr="002E24C8">
        <w:rPr>
          <w:i/>
          <w:color w:val="000000" w:themeColor="text1"/>
        </w:rPr>
        <w:t>¬</w:t>
      </w:r>
      <w:r w:rsidRPr="002E24C8">
        <w:rPr>
          <w:i/>
          <w:iCs w:val="0"/>
          <w:color w:val="000000" w:themeColor="text1"/>
        </w:rPr>
        <w:t>P</w:t>
      </w:r>
      <w:r w:rsidRPr="002E24C8">
        <w:rPr>
          <w:color w:val="000000" w:themeColor="text1"/>
        </w:rPr>
        <w:t xml:space="preserve">) ≥ </w:t>
      </w:r>
      <w:r w:rsidRPr="002E24C8">
        <w:rPr>
          <w:iCs w:val="0"/>
          <w:color w:val="000000" w:themeColor="text1"/>
        </w:rPr>
        <w:t>Pr</w:t>
      </w:r>
      <w:r w:rsidRPr="002E24C8">
        <w:rPr>
          <w:color w:val="000000" w:themeColor="text1"/>
        </w:rPr>
        <w:t>(</w:t>
      </w:r>
      <w:r w:rsidRPr="002E24C8">
        <w:rPr>
          <w:i/>
          <w:iCs w:val="0"/>
          <w:color w:val="000000" w:themeColor="text1"/>
        </w:rPr>
        <w:t>SH</w:t>
      </w:r>
      <w:r w:rsidRPr="002E24C8">
        <w:rPr>
          <w:color w:val="000000" w:themeColor="text1"/>
        </w:rPr>
        <w:t xml:space="preserve">) or that (ii) </w:t>
      </w:r>
      <w:r w:rsidRPr="002E24C8">
        <w:rPr>
          <w:iCs w:val="0"/>
          <w:color w:val="000000" w:themeColor="text1"/>
        </w:rPr>
        <w:t>Pr</w:t>
      </w:r>
      <w:r w:rsidRPr="002E24C8">
        <w:rPr>
          <w:color w:val="000000" w:themeColor="text1"/>
        </w:rPr>
        <w:t>(</w:t>
      </w:r>
      <w:r w:rsidRPr="002E24C8">
        <w:rPr>
          <w:i/>
          <w:color w:val="000000" w:themeColor="text1"/>
        </w:rPr>
        <w:t>¬</w:t>
      </w:r>
      <w:r w:rsidRPr="002E24C8">
        <w:rPr>
          <w:i/>
          <w:iCs w:val="0"/>
          <w:color w:val="000000" w:themeColor="text1"/>
        </w:rPr>
        <w:t>P</w:t>
      </w:r>
      <w:r w:rsidRPr="002E24C8">
        <w:rPr>
          <w:color w:val="000000" w:themeColor="text1"/>
        </w:rPr>
        <w:t>|</w:t>
      </w:r>
      <w:r w:rsidRPr="002E24C8">
        <w:rPr>
          <w:i/>
          <w:iCs w:val="0"/>
          <w:color w:val="000000" w:themeColor="text1"/>
        </w:rPr>
        <w:t>E</w:t>
      </w:r>
      <w:r w:rsidRPr="002E24C8">
        <w:rPr>
          <w:color w:val="000000" w:themeColor="text1"/>
        </w:rPr>
        <w:t xml:space="preserve">) ≥ </w:t>
      </w:r>
      <w:r w:rsidRPr="002E24C8">
        <w:rPr>
          <w:iCs w:val="0"/>
          <w:color w:val="000000" w:themeColor="text1"/>
        </w:rPr>
        <w:t>Pr</w:t>
      </w:r>
      <w:r w:rsidRPr="002E24C8">
        <w:rPr>
          <w:color w:val="000000" w:themeColor="text1"/>
        </w:rPr>
        <w:t>(</w:t>
      </w:r>
      <w:r w:rsidRPr="002E24C8">
        <w:rPr>
          <w:i/>
          <w:iCs w:val="0"/>
          <w:color w:val="000000" w:themeColor="text1"/>
        </w:rPr>
        <w:t>SH</w:t>
      </w:r>
      <w:r w:rsidRPr="002E24C8">
        <w:rPr>
          <w:color w:val="000000" w:themeColor="text1"/>
        </w:rPr>
        <w:t>|</w:t>
      </w:r>
      <w:r w:rsidRPr="002E24C8">
        <w:rPr>
          <w:i/>
          <w:iCs w:val="0"/>
          <w:color w:val="000000" w:themeColor="text1"/>
        </w:rPr>
        <w:t>E</w:t>
      </w:r>
      <w:r w:rsidRPr="002E24C8">
        <w:rPr>
          <w:color w:val="000000" w:themeColor="text1"/>
        </w:rPr>
        <w:t xml:space="preserve">)? No, it wouldn’t. The concern prompted by the Leaching worry is basically this: since accepting </w:t>
      </w:r>
      <w:r w:rsidRPr="002E24C8">
        <w:rPr>
          <w:i/>
          <w:color w:val="000000" w:themeColor="text1"/>
        </w:rPr>
        <w:t>¬</w:t>
      </w:r>
      <w:r w:rsidRPr="002E24C8">
        <w:rPr>
          <w:i/>
          <w:iCs w:val="0"/>
          <w:color w:val="000000" w:themeColor="text1"/>
        </w:rPr>
        <w:t>SH</w:t>
      </w:r>
      <w:r w:rsidRPr="002E24C8">
        <w:rPr>
          <w:color w:val="000000" w:themeColor="text1"/>
        </w:rPr>
        <w:t xml:space="preserve"> </w:t>
      </w:r>
      <w:r w:rsidRPr="002E24C8">
        <w:rPr>
          <w:i/>
          <w:iCs w:val="0"/>
          <w:color w:val="000000" w:themeColor="text1"/>
        </w:rPr>
        <w:t>independently of</w:t>
      </w:r>
      <w:r w:rsidRPr="002E24C8">
        <w:rPr>
          <w:color w:val="000000" w:themeColor="text1"/>
        </w:rPr>
        <w:t xml:space="preserve"> </w:t>
      </w:r>
      <w:r w:rsidRPr="002E24C8">
        <w:rPr>
          <w:i/>
          <w:color w:val="000000" w:themeColor="text1"/>
        </w:rPr>
        <w:t>E</w:t>
      </w:r>
      <w:r w:rsidRPr="002E24C8">
        <w:rPr>
          <w:color w:val="000000" w:themeColor="text1"/>
        </w:rPr>
        <w:t xml:space="preserve"> is unjustifiably risky, accepting </w:t>
      </w:r>
      <w:r w:rsidRPr="002E24C8">
        <w:rPr>
          <w:i/>
          <w:iCs w:val="0"/>
          <w:color w:val="000000" w:themeColor="text1"/>
        </w:rPr>
        <w:t>P</w:t>
      </w:r>
      <w:r w:rsidRPr="002E24C8">
        <w:rPr>
          <w:color w:val="000000" w:themeColor="text1"/>
        </w:rPr>
        <w:t xml:space="preserve"> </w:t>
      </w:r>
      <w:r w:rsidRPr="002E24C8">
        <w:rPr>
          <w:i/>
          <w:color w:val="000000" w:themeColor="text1"/>
        </w:rPr>
        <w:t>given</w:t>
      </w:r>
      <w:r w:rsidRPr="002E24C8">
        <w:rPr>
          <w:color w:val="000000" w:themeColor="text1"/>
        </w:rPr>
        <w:t xml:space="preserve"> </w:t>
      </w:r>
      <w:r w:rsidRPr="002E24C8">
        <w:rPr>
          <w:i/>
          <w:iCs w:val="0"/>
          <w:color w:val="000000" w:themeColor="text1"/>
        </w:rPr>
        <w:t>E</w:t>
      </w:r>
      <w:r w:rsidRPr="002E24C8">
        <w:rPr>
          <w:color w:val="000000" w:themeColor="text1"/>
        </w:rPr>
        <w:t xml:space="preserve"> is also unjustifiably risky. Neither (i) nor (ii) offer grounds for this concern. (i) can at best vindicate the claim that if accepting </w:t>
      </w:r>
      <w:r w:rsidRPr="002E24C8">
        <w:rPr>
          <w:i/>
          <w:color w:val="000000" w:themeColor="text1"/>
        </w:rPr>
        <w:t>¬SH</w:t>
      </w:r>
      <w:r w:rsidRPr="002E24C8">
        <w:rPr>
          <w:color w:val="000000" w:themeColor="text1"/>
        </w:rPr>
        <w:t xml:space="preserve"> </w:t>
      </w:r>
      <w:r w:rsidRPr="002E24C8">
        <w:rPr>
          <w:i/>
          <w:color w:val="000000" w:themeColor="text1"/>
        </w:rPr>
        <w:t>independently of</w:t>
      </w:r>
      <w:r w:rsidRPr="002E24C8">
        <w:rPr>
          <w:color w:val="000000" w:themeColor="text1"/>
        </w:rPr>
        <w:t xml:space="preserve"> </w:t>
      </w:r>
      <w:r w:rsidRPr="002E24C8">
        <w:rPr>
          <w:i/>
          <w:color w:val="000000" w:themeColor="text1"/>
        </w:rPr>
        <w:t>E</w:t>
      </w:r>
      <w:r w:rsidRPr="002E24C8">
        <w:rPr>
          <w:color w:val="000000" w:themeColor="text1"/>
        </w:rPr>
        <w:t xml:space="preserve"> is unjustifiably risky, accepting </w:t>
      </w:r>
      <w:r w:rsidRPr="002E24C8">
        <w:rPr>
          <w:i/>
          <w:color w:val="000000" w:themeColor="text1"/>
        </w:rPr>
        <w:t>P</w:t>
      </w:r>
      <w:r w:rsidRPr="002E24C8">
        <w:rPr>
          <w:color w:val="000000" w:themeColor="text1"/>
        </w:rPr>
        <w:t xml:space="preserve"> </w:t>
      </w:r>
      <w:r w:rsidRPr="002E24C8">
        <w:rPr>
          <w:i/>
          <w:color w:val="000000" w:themeColor="text1"/>
        </w:rPr>
        <w:t>independently of</w:t>
      </w:r>
      <w:r w:rsidRPr="002E24C8">
        <w:rPr>
          <w:color w:val="000000" w:themeColor="text1"/>
        </w:rPr>
        <w:t xml:space="preserve"> </w:t>
      </w:r>
      <w:r w:rsidRPr="002E24C8">
        <w:rPr>
          <w:i/>
          <w:color w:val="000000" w:themeColor="text1"/>
        </w:rPr>
        <w:t>E</w:t>
      </w:r>
      <w:r w:rsidRPr="002E24C8">
        <w:rPr>
          <w:color w:val="000000" w:themeColor="text1"/>
        </w:rPr>
        <w:t xml:space="preserve"> is also unjustifiably risky. While (ii) could only justify the claim that if accepting </w:t>
      </w:r>
      <w:r w:rsidRPr="002E24C8">
        <w:rPr>
          <w:i/>
          <w:color w:val="000000" w:themeColor="text1"/>
        </w:rPr>
        <w:t>¬SH</w:t>
      </w:r>
      <w:r w:rsidRPr="002E24C8">
        <w:rPr>
          <w:color w:val="000000" w:themeColor="text1"/>
        </w:rPr>
        <w:t xml:space="preserve"> </w:t>
      </w:r>
      <w:r w:rsidRPr="002E24C8">
        <w:rPr>
          <w:i/>
          <w:color w:val="000000" w:themeColor="text1"/>
        </w:rPr>
        <w:t>given</w:t>
      </w:r>
      <w:r w:rsidRPr="002E24C8">
        <w:rPr>
          <w:color w:val="000000" w:themeColor="text1"/>
        </w:rPr>
        <w:t xml:space="preserve"> </w:t>
      </w:r>
      <w:r w:rsidRPr="002E24C8">
        <w:rPr>
          <w:i/>
          <w:color w:val="000000" w:themeColor="text1"/>
        </w:rPr>
        <w:t>E</w:t>
      </w:r>
      <w:r w:rsidRPr="002E24C8">
        <w:rPr>
          <w:color w:val="000000" w:themeColor="text1"/>
        </w:rPr>
        <w:t xml:space="preserve"> is unjustifiably risky, then accepting </w:t>
      </w:r>
      <w:r w:rsidRPr="002E24C8">
        <w:rPr>
          <w:i/>
          <w:color w:val="000000" w:themeColor="text1"/>
        </w:rPr>
        <w:t>P</w:t>
      </w:r>
      <w:r w:rsidRPr="002E24C8">
        <w:rPr>
          <w:color w:val="000000" w:themeColor="text1"/>
        </w:rPr>
        <w:t xml:space="preserve"> </w:t>
      </w:r>
      <w:r w:rsidRPr="002E24C8">
        <w:rPr>
          <w:i/>
          <w:color w:val="000000" w:themeColor="text1"/>
        </w:rPr>
        <w:t>given</w:t>
      </w:r>
      <w:r w:rsidRPr="002E24C8">
        <w:rPr>
          <w:color w:val="000000" w:themeColor="text1"/>
        </w:rPr>
        <w:t xml:space="preserve"> </w:t>
      </w:r>
      <w:r w:rsidRPr="002E24C8">
        <w:rPr>
          <w:i/>
          <w:color w:val="000000" w:themeColor="text1"/>
        </w:rPr>
        <w:t>E</w:t>
      </w:r>
      <w:r w:rsidRPr="002E24C8">
        <w:rPr>
          <w:color w:val="000000" w:themeColor="text1"/>
        </w:rPr>
        <w:t xml:space="preserve"> is also unjustifiably risky.</w:t>
      </w:r>
    </w:p>
  </w:footnote>
  <w:footnote w:id="17">
    <w:p w14:paraId="5C335A08" w14:textId="562383F0" w:rsidR="009B3526" w:rsidRPr="002E24C8" w:rsidRDefault="009B3526" w:rsidP="00570554">
      <w:pPr>
        <w:pStyle w:val="FootnoteText"/>
        <w:spacing w:after="120"/>
      </w:pPr>
      <w:r w:rsidRPr="002E24C8">
        <w:rPr>
          <w:rStyle w:val="FootnoteReference"/>
        </w:rPr>
        <w:footnoteRef/>
      </w:r>
      <w:r w:rsidRPr="002E24C8">
        <w:t xml:space="preserve"> </w:t>
      </w:r>
      <w:r w:rsidR="004D72E8">
        <w:t>Cf. (</w:t>
      </w:r>
      <w:r w:rsidRPr="002E24C8">
        <w:t>Pryor</w:t>
      </w:r>
      <w:r w:rsidR="004D72E8">
        <w:t xml:space="preserve">, </w:t>
      </w:r>
      <w:r w:rsidRPr="002E24C8">
        <w:t>200</w:t>
      </w:r>
      <w:r w:rsidR="004D72E8">
        <w:t>4</w:t>
      </w:r>
      <w:r w:rsidRPr="002E24C8">
        <w:t xml:space="preserve">). </w:t>
      </w:r>
    </w:p>
  </w:footnote>
  <w:footnote w:id="18">
    <w:p w14:paraId="2B8D5093" w14:textId="5EDD2424" w:rsidR="009B3526" w:rsidRPr="002E24C8" w:rsidRDefault="009B3526" w:rsidP="0001699E">
      <w:pPr>
        <w:pStyle w:val="FootnoteText"/>
      </w:pPr>
      <w:r w:rsidRPr="002E24C8">
        <w:rPr>
          <w:rStyle w:val="FootnoteReference"/>
        </w:rPr>
        <w:footnoteRef/>
      </w:r>
      <w:r w:rsidRPr="002E24C8">
        <w:t xml:space="preserve"> It is, by the way, worth noting that the Leaching worry as developed in the preceding section is unmitigated if  we consider the epistemic predicament in which we are left by cogent sceptical argument to be one where we lack evidence both for a cornerstone and a sceptical hypothesis inconsistent with it, so that our epistemic predicament appears to be such that both Pr(</w:t>
      </w:r>
      <w:r w:rsidRPr="002E24C8">
        <w:rPr>
          <w:i/>
        </w:rPr>
        <w:t>SH</w:t>
      </w:r>
      <w:r w:rsidRPr="002E24C8">
        <w:t>) and Pr(</w:t>
      </w:r>
      <w:r w:rsidRPr="002E24C8">
        <w:rPr>
          <w:i/>
        </w:rPr>
        <w:t>¬SH</w:t>
      </w:r>
      <w:r w:rsidRPr="002E24C8">
        <w:t xml:space="preserve">) are largely </w:t>
      </w:r>
      <w:r w:rsidRPr="002E24C8">
        <w:rPr>
          <w:i/>
        </w:rPr>
        <w:t>undetermined</w:t>
      </w:r>
      <w:r w:rsidRPr="002E24C8">
        <w:t xml:space="preserve"> by our evidence. We can straightforwardly refashion the notion of significant epistemic risk to include situations of </w:t>
      </w:r>
      <w:r w:rsidRPr="002E24C8">
        <w:rPr>
          <w:i/>
        </w:rPr>
        <w:t>lack</w:t>
      </w:r>
      <w:r w:rsidRPr="002E24C8">
        <w:t xml:space="preserve"> of evidence. Let’s stipulate that </w:t>
      </w:r>
      <w:r w:rsidRPr="002E24C8">
        <w:rPr>
          <w:i/>
        </w:rPr>
        <w:t>S</w:t>
      </w:r>
      <w:r w:rsidRPr="002E24C8">
        <w:t xml:space="preserve">’s accepting </w:t>
      </w:r>
      <w:r w:rsidRPr="002E24C8">
        <w:rPr>
          <w:i/>
        </w:rPr>
        <w:t>Q</w:t>
      </w:r>
      <w:r w:rsidRPr="002E24C8">
        <w:t xml:space="preserve"> is significantly epistemically risky if the probability of </w:t>
      </w:r>
      <w:r w:rsidRPr="002E24C8">
        <w:rPr>
          <w:i/>
        </w:rPr>
        <w:t>¬Q</w:t>
      </w:r>
      <w:r w:rsidRPr="002E24C8">
        <w:t xml:space="preserve"> is </w:t>
      </w:r>
      <w:r w:rsidRPr="002E24C8">
        <w:rPr>
          <w:i/>
        </w:rPr>
        <w:t>undetermined</w:t>
      </w:r>
      <w:r w:rsidRPr="002E24C8">
        <w:t xml:space="preserve"> by </w:t>
      </w:r>
      <w:r w:rsidRPr="002E24C8">
        <w:rPr>
          <w:i/>
        </w:rPr>
        <w:t>S</w:t>
      </w:r>
      <w:r w:rsidRPr="002E24C8">
        <w:t xml:space="preserve">’s evidence within a wide interval of values the least upper bound of which exceeds </w:t>
      </w:r>
      <w:r w:rsidRPr="002E24C8">
        <w:rPr>
          <w:i/>
        </w:rPr>
        <w:t>r</w:t>
      </w:r>
      <w:r w:rsidRPr="002E24C8">
        <w:t xml:space="preserve"> (where </w:t>
      </w:r>
      <w:r w:rsidRPr="002E24C8">
        <w:rPr>
          <w:i/>
        </w:rPr>
        <w:t>r</w:t>
      </w:r>
      <w:r w:rsidRPr="002E24C8">
        <w:t xml:space="preserve">, as above, is a threshold that, if exceeded, prevents </w:t>
      </w:r>
      <w:r w:rsidRPr="002E24C8">
        <w:rPr>
          <w:i/>
        </w:rPr>
        <w:t>S</w:t>
      </w:r>
      <w:r w:rsidRPr="002E24C8">
        <w:t xml:space="preserve"> from justifiably believing </w:t>
      </w:r>
      <w:r w:rsidRPr="002E24C8">
        <w:rPr>
          <w:i/>
        </w:rPr>
        <w:t>Q</w:t>
      </w:r>
      <w:r w:rsidRPr="002E24C8">
        <w:t xml:space="preserve">). On this interpretation of significant epistemic risk, saying that </w:t>
      </w:r>
      <w:r w:rsidRPr="002E24C8">
        <w:rPr>
          <w:i/>
        </w:rPr>
        <w:t>S</w:t>
      </w:r>
      <w:r w:rsidRPr="002E24C8">
        <w:t xml:space="preserve">’s accepting </w:t>
      </w:r>
      <w:r w:rsidRPr="002E24C8">
        <w:rPr>
          <w:i/>
        </w:rPr>
        <w:t>¬SH</w:t>
      </w:r>
      <w:r w:rsidRPr="002E24C8">
        <w:t xml:space="preserve"> is epistemically risky is saying, not that Pr(</w:t>
      </w:r>
      <w:r w:rsidRPr="002E24C8">
        <w:rPr>
          <w:i/>
        </w:rPr>
        <w:t>SH</w:t>
      </w:r>
      <w:r w:rsidRPr="002E24C8">
        <w:t xml:space="preserve">) exceeds </w:t>
      </w:r>
      <w:r w:rsidRPr="002E24C8">
        <w:rPr>
          <w:i/>
        </w:rPr>
        <w:t>r</w:t>
      </w:r>
      <w:r w:rsidRPr="002E24C8">
        <w:t xml:space="preserve"> but, rather, that Pr(</w:t>
      </w:r>
      <w:r w:rsidRPr="002E24C8">
        <w:rPr>
          <w:i/>
        </w:rPr>
        <w:t>SH</w:t>
      </w:r>
      <w:r w:rsidRPr="002E24C8">
        <w:t xml:space="preserve">) is indeterminate within a wide interval whose least upper bound exceeds </w:t>
      </w:r>
      <w:r w:rsidRPr="002E24C8">
        <w:rPr>
          <w:i/>
        </w:rPr>
        <w:t>r</w:t>
      </w:r>
      <w:r w:rsidRPr="002E24C8">
        <w:t xml:space="preserve">. Since </w:t>
      </w:r>
      <w:r w:rsidRPr="002E24C8">
        <w:rPr>
          <w:i/>
        </w:rPr>
        <w:t>S</w:t>
      </w:r>
      <w:r w:rsidRPr="002E24C8">
        <w:t xml:space="preserve"> lacks evidence in favour or against </w:t>
      </w:r>
      <w:r w:rsidRPr="002E24C8">
        <w:rPr>
          <w:i/>
        </w:rPr>
        <w:t>¬SH</w:t>
      </w:r>
      <w:r w:rsidRPr="002E24C8">
        <w:t xml:space="preserve">, it looks very plausible that </w:t>
      </w:r>
      <w:r w:rsidRPr="002E24C8">
        <w:rPr>
          <w:i/>
        </w:rPr>
        <w:t>S</w:t>
      </w:r>
      <w:r w:rsidRPr="002E24C8">
        <w:t xml:space="preserve">’s accepting </w:t>
      </w:r>
      <w:r w:rsidRPr="002E24C8">
        <w:rPr>
          <w:i/>
        </w:rPr>
        <w:t>¬SH</w:t>
      </w:r>
      <w:r w:rsidRPr="002E24C8">
        <w:t xml:space="preserve"> is epistemically risky in this redefined sense. Moreover, it is easy to see that the epistemic risk of </w:t>
      </w:r>
      <w:r w:rsidRPr="002E24C8">
        <w:rPr>
          <w:i/>
        </w:rPr>
        <w:t>¬SH</w:t>
      </w:r>
      <w:r w:rsidRPr="002E24C8">
        <w:t xml:space="preserve"> continues to infect the acceptance of </w:t>
      </w:r>
      <w:r w:rsidRPr="002E24C8">
        <w:rPr>
          <w:i/>
        </w:rPr>
        <w:t>P</w:t>
      </w:r>
      <w:r w:rsidRPr="002E24C8">
        <w:t xml:space="preserve"> even when it is characterised in this way. Since Pr(</w:t>
      </w:r>
      <w:r w:rsidRPr="002E24C8">
        <w:rPr>
          <w:i/>
        </w:rPr>
        <w:t>SH</w:t>
      </w:r>
      <w:r w:rsidRPr="002E24C8">
        <w:t xml:space="preserve">) is indeterminate within an interval whose least upper bound exceeds </w:t>
      </w:r>
      <w:r w:rsidRPr="002E24C8">
        <w:rPr>
          <w:i/>
        </w:rPr>
        <w:t>r</w:t>
      </w:r>
      <w:r w:rsidRPr="002E24C8">
        <w:t xml:space="preserve">, </w:t>
      </w:r>
      <w:r w:rsidRPr="002E24C8">
        <w:rPr>
          <w:i/>
        </w:rPr>
        <w:t>Quasi-leaching</w:t>
      </w:r>
      <w:r w:rsidRPr="002E24C8">
        <w:t xml:space="preserve"> entails that Pr(</w:t>
      </w:r>
      <w:r w:rsidRPr="002E24C8">
        <w:rPr>
          <w:i/>
        </w:rPr>
        <w:t>¬P</w:t>
      </w:r>
      <w:r w:rsidRPr="002E24C8">
        <w:t>|</w:t>
      </w:r>
      <w:r w:rsidRPr="002E24C8">
        <w:rPr>
          <w:i/>
        </w:rPr>
        <w:t>E</w:t>
      </w:r>
      <w:r w:rsidRPr="002E24C8">
        <w:t xml:space="preserve">) must also be indeterminate within an interval whose least upper bound exceeds </w:t>
      </w:r>
      <w:r w:rsidRPr="002E24C8">
        <w:rPr>
          <w:i/>
        </w:rPr>
        <w:t>r</w:t>
      </w:r>
      <w:r w:rsidRPr="002E24C8">
        <w:t xml:space="preserve">. As before, once </w:t>
      </w:r>
      <w:r w:rsidRPr="002E24C8">
        <w:rPr>
          <w:i/>
        </w:rPr>
        <w:t>S</w:t>
      </w:r>
      <w:r w:rsidRPr="002E24C8">
        <w:t xml:space="preserve">’s accepting </w:t>
      </w:r>
      <w:r w:rsidRPr="002E24C8">
        <w:rPr>
          <w:i/>
        </w:rPr>
        <w:t>¬SH</w:t>
      </w:r>
      <w:r w:rsidRPr="002E24C8">
        <w:t xml:space="preserve"> on the basis of a non-evidential entitlement is allowed to be epistemically risky, </w:t>
      </w:r>
      <w:r w:rsidRPr="002E24C8">
        <w:rPr>
          <w:i/>
        </w:rPr>
        <w:t>S</w:t>
      </w:r>
      <w:r w:rsidRPr="002E24C8">
        <w:t xml:space="preserve">’s accepting </w:t>
      </w:r>
      <w:r w:rsidRPr="002E24C8">
        <w:rPr>
          <w:i/>
        </w:rPr>
        <w:t>P</w:t>
      </w:r>
      <w:r w:rsidRPr="002E24C8">
        <w:t xml:space="preserve"> upon learning </w:t>
      </w:r>
      <w:r w:rsidRPr="002E24C8">
        <w:rPr>
          <w:i/>
        </w:rPr>
        <w:t>E</w:t>
      </w:r>
      <w:r w:rsidRPr="002E24C8">
        <w:t xml:space="preserve"> must also be no less — indeed more —epistemically risky.</w:t>
      </w:r>
    </w:p>
  </w:footnote>
  <w:footnote w:id="19">
    <w:p w14:paraId="597450DA" w14:textId="3C63FBDB" w:rsidR="009B3526" w:rsidRPr="002E24C8" w:rsidRDefault="009B3526" w:rsidP="00DB757E">
      <w:pPr>
        <w:pStyle w:val="FootnoteText"/>
        <w:spacing w:after="120"/>
      </w:pPr>
      <w:r w:rsidRPr="002E24C8">
        <w:rPr>
          <w:rStyle w:val="FootnoteReference"/>
        </w:rPr>
        <w:footnoteRef/>
      </w:r>
      <w:r w:rsidRPr="002E24C8">
        <w:t xml:space="preserve"> </w:t>
      </w:r>
      <w:r w:rsidR="00E136F7">
        <w:t>See (</w:t>
      </w:r>
      <w:r w:rsidRPr="002E24C8">
        <w:t>Lewis</w:t>
      </w:r>
      <w:r w:rsidR="00E136F7">
        <w:t xml:space="preserve">, </w:t>
      </w:r>
      <w:r w:rsidRPr="002E24C8">
        <w:t>1996).</w:t>
      </w:r>
    </w:p>
  </w:footnote>
  <w:footnote w:id="20">
    <w:p w14:paraId="0A7C34FC" w14:textId="6A6381C4" w:rsidR="009B3526" w:rsidRPr="002E24C8" w:rsidRDefault="009B3526" w:rsidP="00502854">
      <w:pPr>
        <w:pStyle w:val="FootnoteText"/>
        <w:spacing w:after="120"/>
      </w:pPr>
      <w:r w:rsidRPr="002E24C8">
        <w:rPr>
          <w:rStyle w:val="FootnoteReference"/>
        </w:rPr>
        <w:footnoteRef/>
      </w:r>
      <w:r w:rsidRPr="002E24C8">
        <w:t xml:space="preserve"> See also </w:t>
      </w:r>
      <w:r w:rsidR="00DD7863">
        <w:t>(</w:t>
      </w:r>
      <w:r w:rsidRPr="002E24C8">
        <w:rPr>
          <w:color w:val="000000"/>
        </w:rPr>
        <w:t>Blome-Tillmann</w:t>
      </w:r>
      <w:r w:rsidR="00DD7863">
        <w:rPr>
          <w:color w:val="000000"/>
        </w:rPr>
        <w:t xml:space="preserve">, </w:t>
      </w:r>
      <w:r w:rsidRPr="002E24C8">
        <w:rPr>
          <w:color w:val="000000"/>
        </w:rPr>
        <w:t>2009 and 2014).</w:t>
      </w:r>
    </w:p>
  </w:footnote>
  <w:footnote w:id="21">
    <w:p w14:paraId="630BAA94" w14:textId="0FFEB6B4" w:rsidR="009B3526" w:rsidRPr="002E24C8" w:rsidRDefault="009B3526" w:rsidP="0004127C">
      <w:pPr>
        <w:pStyle w:val="FootnoteText"/>
        <w:spacing w:after="120"/>
        <w:rPr>
          <w:color w:val="0000FF"/>
        </w:rPr>
      </w:pPr>
      <w:r w:rsidRPr="002E24C8">
        <w:rPr>
          <w:rStyle w:val="FootnoteReference"/>
          <w:color w:val="000000" w:themeColor="text1"/>
        </w:rPr>
        <w:footnoteRef/>
      </w:r>
      <w:r w:rsidRPr="002E24C8">
        <w:rPr>
          <w:color w:val="000000" w:themeColor="text1"/>
        </w:rPr>
        <w:t xml:space="preserve"> Suppose that </w:t>
      </w:r>
      <w:r w:rsidRPr="002E24C8">
        <w:rPr>
          <w:i/>
          <w:iCs w:val="0"/>
          <w:color w:val="000000" w:themeColor="text1"/>
        </w:rPr>
        <w:t>SH</w:t>
      </w:r>
      <w:r w:rsidRPr="002E24C8">
        <w:rPr>
          <w:i/>
          <w:iCs w:val="0"/>
          <w:color w:val="000000" w:themeColor="text1"/>
          <w:vertAlign w:val="subscript"/>
        </w:rPr>
        <w:t>1</w:t>
      </w:r>
      <w:r w:rsidRPr="002E24C8">
        <w:rPr>
          <w:i/>
          <w:iCs w:val="0"/>
          <w:color w:val="000000" w:themeColor="text1"/>
        </w:rPr>
        <w:t>, SH</w:t>
      </w:r>
      <w:r w:rsidRPr="002E24C8">
        <w:rPr>
          <w:i/>
          <w:iCs w:val="0"/>
          <w:color w:val="000000" w:themeColor="text1"/>
          <w:vertAlign w:val="subscript"/>
        </w:rPr>
        <w:t>2</w:t>
      </w:r>
      <w:r w:rsidRPr="002E24C8">
        <w:rPr>
          <w:i/>
          <w:iCs w:val="0"/>
          <w:color w:val="000000" w:themeColor="text1"/>
        </w:rPr>
        <w:t>, …</w:t>
      </w:r>
      <w:r w:rsidRPr="002E24C8">
        <w:rPr>
          <w:color w:val="000000" w:themeColor="text1"/>
        </w:rPr>
        <w:t xml:space="preserve"> are sceptical alternatives to </w:t>
      </w:r>
      <w:r w:rsidRPr="002E24C8">
        <w:rPr>
          <w:i/>
          <w:iCs w:val="0"/>
          <w:color w:val="000000" w:themeColor="text1"/>
        </w:rPr>
        <w:t>P</w:t>
      </w:r>
      <w:r w:rsidRPr="002E24C8">
        <w:rPr>
          <w:color w:val="000000" w:themeColor="text1"/>
        </w:rPr>
        <w:t xml:space="preserve">, and </w:t>
      </w:r>
      <w:r w:rsidRPr="002E24C8">
        <w:rPr>
          <w:i/>
          <w:iCs w:val="0"/>
          <w:color w:val="000000" w:themeColor="text1"/>
        </w:rPr>
        <w:t>E</w:t>
      </w:r>
      <w:r w:rsidRPr="002E24C8">
        <w:rPr>
          <w:color w:val="000000" w:themeColor="text1"/>
        </w:rPr>
        <w:t xml:space="preserve"> states that </w:t>
      </w:r>
      <w:r w:rsidRPr="002E24C8">
        <w:rPr>
          <w:i/>
          <w:iCs w:val="0"/>
          <w:color w:val="000000" w:themeColor="text1"/>
        </w:rPr>
        <w:t>S</w:t>
      </w:r>
      <w:r w:rsidRPr="002E24C8">
        <w:rPr>
          <w:color w:val="000000" w:themeColor="text1"/>
        </w:rPr>
        <w:t xml:space="preserve"> has an experience as of </w:t>
      </w:r>
      <w:r w:rsidRPr="002E24C8">
        <w:rPr>
          <w:i/>
          <w:iCs w:val="0"/>
          <w:color w:val="000000" w:themeColor="text1"/>
        </w:rPr>
        <w:t>P</w:t>
      </w:r>
      <w:r w:rsidRPr="002E24C8">
        <w:rPr>
          <w:color w:val="000000" w:themeColor="text1"/>
        </w:rPr>
        <w:t xml:space="preserve">. Martin Smith (pers. comm.) has observed that </w:t>
      </w:r>
      <w:r w:rsidRPr="002E24C8">
        <w:rPr>
          <w:i/>
          <w:iCs w:val="0"/>
          <w:color w:val="000000" w:themeColor="text1"/>
        </w:rPr>
        <w:t>S</w:t>
      </w:r>
      <w:r w:rsidRPr="002E24C8">
        <w:rPr>
          <w:color w:val="000000" w:themeColor="text1"/>
        </w:rPr>
        <w:t xml:space="preserve"> couldn’t ignore the mere logical conjunction </w:t>
      </w:r>
      <w:r w:rsidRPr="002E24C8">
        <w:rPr>
          <w:i/>
          <w:iCs w:val="0"/>
          <w:color w:val="000000" w:themeColor="text1"/>
        </w:rPr>
        <w:t xml:space="preserve">E </w:t>
      </w:r>
      <w:r w:rsidRPr="002E24C8">
        <w:rPr>
          <w:color w:val="000000" w:themeColor="text1"/>
        </w:rPr>
        <w:t>&amp;</w:t>
      </w:r>
      <w:r w:rsidRPr="002E24C8">
        <w:rPr>
          <w:i/>
          <w:color w:val="000000" w:themeColor="text1"/>
        </w:rPr>
        <w:t>¬</w:t>
      </w:r>
      <w:r w:rsidRPr="002E24C8">
        <w:rPr>
          <w:i/>
          <w:iCs w:val="0"/>
          <w:color w:val="000000" w:themeColor="text1"/>
        </w:rPr>
        <w:t>P</w:t>
      </w:r>
      <w:r w:rsidRPr="002E24C8">
        <w:rPr>
          <w:color w:val="000000" w:themeColor="text1"/>
        </w:rPr>
        <w:t xml:space="preserve"> when </w:t>
      </w:r>
      <w:r w:rsidRPr="002E24C8">
        <w:rPr>
          <w:i/>
          <w:iCs w:val="0"/>
          <w:color w:val="000000" w:themeColor="text1"/>
        </w:rPr>
        <w:t>S</w:t>
      </w:r>
      <w:r w:rsidRPr="002E24C8">
        <w:rPr>
          <w:color w:val="000000" w:themeColor="text1"/>
        </w:rPr>
        <w:t xml:space="preserve"> is to assess </w:t>
      </w:r>
      <w:r w:rsidRPr="002E24C8">
        <w:rPr>
          <w:i/>
          <w:iCs w:val="0"/>
          <w:color w:val="000000" w:themeColor="text1"/>
        </w:rPr>
        <w:t>P</w:t>
      </w:r>
      <w:r w:rsidRPr="002E24C8">
        <w:rPr>
          <w:color w:val="000000" w:themeColor="text1"/>
        </w:rPr>
        <w:t xml:space="preserve"> on the grounds of </w:t>
      </w:r>
      <w:r w:rsidRPr="002E24C8">
        <w:rPr>
          <w:i/>
          <w:iCs w:val="0"/>
          <w:color w:val="000000" w:themeColor="text1"/>
        </w:rPr>
        <w:t>E</w:t>
      </w:r>
      <w:r w:rsidRPr="002E24C8">
        <w:rPr>
          <w:color w:val="000000" w:themeColor="text1"/>
        </w:rPr>
        <w:t xml:space="preserve">, since </w:t>
      </w:r>
      <w:r w:rsidRPr="002E24C8">
        <w:rPr>
          <w:i/>
          <w:iCs w:val="0"/>
          <w:color w:val="000000" w:themeColor="text1"/>
        </w:rPr>
        <w:t>E</w:t>
      </w:r>
      <w:r w:rsidRPr="002E24C8">
        <w:rPr>
          <w:color w:val="000000" w:themeColor="text1"/>
        </w:rPr>
        <w:t xml:space="preserve"> and </w:t>
      </w:r>
      <w:r w:rsidRPr="002E24C8">
        <w:rPr>
          <w:i/>
          <w:iCs w:val="0"/>
          <w:color w:val="000000" w:themeColor="text1"/>
        </w:rPr>
        <w:t>P</w:t>
      </w:r>
      <w:r w:rsidRPr="002E24C8">
        <w:rPr>
          <w:color w:val="000000" w:themeColor="text1"/>
        </w:rPr>
        <w:t xml:space="preserve"> must be included in the algebra. This observation actually poses no difficulty in our response to the Leaching worry. Note that if </w:t>
      </w:r>
      <w:r w:rsidRPr="002E24C8">
        <w:rPr>
          <w:i/>
          <w:iCs w:val="0"/>
          <w:color w:val="000000" w:themeColor="text1"/>
        </w:rPr>
        <w:t>S</w:t>
      </w:r>
      <w:r w:rsidRPr="002E24C8">
        <w:rPr>
          <w:color w:val="000000" w:themeColor="text1"/>
        </w:rPr>
        <w:t xml:space="preserve"> is entitled to ignore any </w:t>
      </w:r>
      <w:r w:rsidRPr="002E24C8">
        <w:rPr>
          <w:i/>
          <w:color w:val="000000" w:themeColor="text1"/>
        </w:rPr>
        <w:t>sceptical</w:t>
      </w:r>
      <w:r w:rsidRPr="002E24C8">
        <w:rPr>
          <w:color w:val="000000" w:themeColor="text1"/>
        </w:rPr>
        <w:t xml:space="preserve"> hypothesis </w:t>
      </w:r>
      <w:r w:rsidRPr="002E24C8">
        <w:rPr>
          <w:i/>
          <w:iCs w:val="0"/>
          <w:color w:val="000000" w:themeColor="text1"/>
        </w:rPr>
        <w:t>SH</w:t>
      </w:r>
      <w:r w:rsidRPr="002E24C8">
        <w:rPr>
          <w:i/>
          <w:iCs w:val="0"/>
          <w:color w:val="000000" w:themeColor="text1"/>
          <w:vertAlign w:val="subscript"/>
        </w:rPr>
        <w:t>1</w:t>
      </w:r>
      <w:r w:rsidRPr="002E24C8">
        <w:rPr>
          <w:i/>
          <w:iCs w:val="0"/>
          <w:color w:val="000000" w:themeColor="text1"/>
        </w:rPr>
        <w:t>, SH</w:t>
      </w:r>
      <w:r w:rsidRPr="002E24C8">
        <w:rPr>
          <w:i/>
          <w:iCs w:val="0"/>
          <w:color w:val="000000" w:themeColor="text1"/>
          <w:vertAlign w:val="subscript"/>
        </w:rPr>
        <w:t>2</w:t>
      </w:r>
      <w:r w:rsidRPr="002E24C8">
        <w:rPr>
          <w:i/>
          <w:iCs w:val="0"/>
          <w:color w:val="000000" w:themeColor="text1"/>
        </w:rPr>
        <w:t xml:space="preserve">, … </w:t>
      </w:r>
      <w:r w:rsidRPr="002E24C8">
        <w:rPr>
          <w:color w:val="000000" w:themeColor="text1"/>
        </w:rPr>
        <w:t xml:space="preserve">that entails </w:t>
      </w:r>
      <w:r w:rsidRPr="002E24C8">
        <w:rPr>
          <w:i/>
          <w:color w:val="000000" w:themeColor="text1"/>
        </w:rPr>
        <w:t>E</w:t>
      </w:r>
      <w:r w:rsidRPr="002E24C8">
        <w:rPr>
          <w:color w:val="000000" w:themeColor="text1"/>
        </w:rPr>
        <w:t xml:space="preserve"> &amp;</w:t>
      </w:r>
      <w:r w:rsidRPr="002E24C8">
        <w:rPr>
          <w:i/>
          <w:color w:val="000000" w:themeColor="text1"/>
        </w:rPr>
        <w:t>¬P</w:t>
      </w:r>
      <w:r w:rsidRPr="002E24C8">
        <w:rPr>
          <w:color w:val="000000" w:themeColor="text1"/>
        </w:rPr>
        <w:t xml:space="preserve"> (where a sceptical hypothesis is an alternative that cannot be ruled out by </w:t>
      </w:r>
      <w:r w:rsidRPr="002E24C8">
        <w:rPr>
          <w:i/>
          <w:iCs w:val="0"/>
          <w:color w:val="000000" w:themeColor="text1"/>
        </w:rPr>
        <w:t>S</w:t>
      </w:r>
      <w:r w:rsidRPr="002E24C8">
        <w:rPr>
          <w:color w:val="000000" w:themeColor="text1"/>
        </w:rPr>
        <w:t xml:space="preserve">’s evidence no matter of how extensively </w:t>
      </w:r>
      <w:r w:rsidRPr="002E24C8">
        <w:rPr>
          <w:i/>
          <w:iCs w:val="0"/>
          <w:color w:val="000000" w:themeColor="text1"/>
        </w:rPr>
        <w:t>S</w:t>
      </w:r>
      <w:r w:rsidRPr="002E24C8">
        <w:rPr>
          <w:color w:val="000000" w:themeColor="text1"/>
        </w:rPr>
        <w:t xml:space="preserve"> investigates), </w:t>
      </w:r>
      <w:r w:rsidRPr="002E24C8">
        <w:rPr>
          <w:i/>
          <w:iCs w:val="0"/>
          <w:color w:val="000000" w:themeColor="text1"/>
        </w:rPr>
        <w:t>S</w:t>
      </w:r>
      <w:r w:rsidRPr="002E24C8">
        <w:rPr>
          <w:color w:val="000000" w:themeColor="text1"/>
        </w:rPr>
        <w:t xml:space="preserve"> is allowed to set the prior probability of </w:t>
      </w:r>
      <w:r w:rsidRPr="002E24C8">
        <w:rPr>
          <w:i/>
          <w:iCs w:val="0"/>
          <w:color w:val="000000" w:themeColor="text1"/>
        </w:rPr>
        <w:t>E</w:t>
      </w:r>
      <w:r w:rsidRPr="002E24C8">
        <w:rPr>
          <w:color w:val="000000" w:themeColor="text1"/>
        </w:rPr>
        <w:t xml:space="preserve"> &amp;</w:t>
      </w:r>
      <w:r w:rsidRPr="002E24C8">
        <w:rPr>
          <w:i/>
          <w:color w:val="000000" w:themeColor="text1"/>
        </w:rPr>
        <w:t>¬P</w:t>
      </w:r>
      <w:r w:rsidRPr="002E24C8">
        <w:rPr>
          <w:color w:val="000000" w:themeColor="text1"/>
        </w:rPr>
        <w:t xml:space="preserve"> as very low on the grounds of ordinary background evidence. Suppose </w:t>
      </w:r>
      <w:r w:rsidRPr="002E24C8">
        <w:rPr>
          <w:i/>
          <w:iCs w:val="0"/>
          <w:color w:val="000000" w:themeColor="text1"/>
        </w:rPr>
        <w:t>P</w:t>
      </w:r>
      <w:r w:rsidRPr="002E24C8">
        <w:rPr>
          <w:color w:val="000000" w:themeColor="text1"/>
        </w:rPr>
        <w:t xml:space="preserve"> is the proposition that there is a hand in front of </w:t>
      </w:r>
      <w:r w:rsidRPr="002E24C8">
        <w:rPr>
          <w:i/>
          <w:iCs w:val="0"/>
          <w:color w:val="000000" w:themeColor="text1"/>
        </w:rPr>
        <w:t>S</w:t>
      </w:r>
      <w:r w:rsidRPr="002E24C8">
        <w:rPr>
          <w:color w:val="000000" w:themeColor="text1"/>
        </w:rPr>
        <w:t xml:space="preserve">’s face, and </w:t>
      </w:r>
      <w:r w:rsidRPr="002E24C8">
        <w:rPr>
          <w:i/>
          <w:color w:val="000000" w:themeColor="text1"/>
        </w:rPr>
        <w:t>E</w:t>
      </w:r>
      <w:r w:rsidRPr="002E24C8">
        <w:rPr>
          <w:color w:val="000000" w:themeColor="text1"/>
        </w:rPr>
        <w:t xml:space="preserve"> the proposition that </w:t>
      </w:r>
      <w:r w:rsidRPr="002E24C8">
        <w:rPr>
          <w:i/>
          <w:iCs w:val="0"/>
          <w:color w:val="000000" w:themeColor="text1"/>
        </w:rPr>
        <w:t>S</w:t>
      </w:r>
      <w:r w:rsidRPr="002E24C8">
        <w:rPr>
          <w:color w:val="000000" w:themeColor="text1"/>
        </w:rPr>
        <w:t xml:space="preserve"> has an experience as if </w:t>
      </w:r>
      <w:r w:rsidRPr="002E24C8">
        <w:rPr>
          <w:i/>
          <w:color w:val="000000" w:themeColor="text1"/>
        </w:rPr>
        <w:t>P</w:t>
      </w:r>
      <w:r w:rsidRPr="002E24C8">
        <w:rPr>
          <w:color w:val="000000" w:themeColor="text1"/>
        </w:rPr>
        <w:t>. In ordinary circumstances Pr(</w:t>
      </w:r>
      <w:r w:rsidRPr="002E24C8">
        <w:rPr>
          <w:i/>
          <w:iCs w:val="0"/>
          <w:color w:val="000000" w:themeColor="text1"/>
        </w:rPr>
        <w:t xml:space="preserve">E </w:t>
      </w:r>
      <w:r w:rsidRPr="002E24C8">
        <w:rPr>
          <w:color w:val="000000" w:themeColor="text1"/>
        </w:rPr>
        <w:t>&amp;</w:t>
      </w:r>
      <w:r w:rsidRPr="002E24C8">
        <w:rPr>
          <w:i/>
          <w:color w:val="000000" w:themeColor="text1"/>
        </w:rPr>
        <w:t>¬P</w:t>
      </w:r>
      <w:r w:rsidRPr="002E24C8">
        <w:rPr>
          <w:color w:val="000000" w:themeColor="text1"/>
        </w:rPr>
        <w:t xml:space="preserve">) is certainly very small. Incidentally, note that Smith’s observation suggests that the operator ‘S is entitled to ignore’ isn’t closed under known entailment. Even if </w:t>
      </w:r>
      <w:r w:rsidRPr="002E24C8">
        <w:rPr>
          <w:i/>
          <w:iCs w:val="0"/>
          <w:color w:val="000000" w:themeColor="text1"/>
        </w:rPr>
        <w:t>S</w:t>
      </w:r>
      <w:r w:rsidRPr="002E24C8">
        <w:rPr>
          <w:color w:val="000000" w:themeColor="text1"/>
        </w:rPr>
        <w:t xml:space="preserve"> is entitled to ignore a sceptical alternative </w:t>
      </w:r>
      <w:r w:rsidRPr="002E24C8">
        <w:rPr>
          <w:i/>
          <w:iCs w:val="0"/>
          <w:color w:val="000000" w:themeColor="text1"/>
        </w:rPr>
        <w:t xml:space="preserve">SH </w:t>
      </w:r>
      <w:r w:rsidRPr="002E24C8">
        <w:rPr>
          <w:color w:val="000000" w:themeColor="text1"/>
        </w:rPr>
        <w:t>to</w:t>
      </w:r>
      <w:r w:rsidRPr="002E24C8">
        <w:rPr>
          <w:i/>
          <w:iCs w:val="0"/>
          <w:color w:val="000000" w:themeColor="text1"/>
        </w:rPr>
        <w:t xml:space="preserve"> P</w:t>
      </w:r>
      <w:r w:rsidRPr="002E24C8">
        <w:rPr>
          <w:color w:val="000000" w:themeColor="text1"/>
        </w:rPr>
        <w:t xml:space="preserve">, </w:t>
      </w:r>
      <w:r w:rsidRPr="002E24C8">
        <w:rPr>
          <w:i/>
          <w:iCs w:val="0"/>
          <w:color w:val="000000" w:themeColor="text1"/>
        </w:rPr>
        <w:t>S</w:t>
      </w:r>
      <w:r w:rsidRPr="002E24C8">
        <w:rPr>
          <w:color w:val="000000" w:themeColor="text1"/>
        </w:rPr>
        <w:t xml:space="preserve"> cannot ignore </w:t>
      </w:r>
      <w:r w:rsidRPr="002E24C8">
        <w:rPr>
          <w:i/>
          <w:iCs w:val="0"/>
          <w:color w:val="000000" w:themeColor="text1"/>
        </w:rPr>
        <w:t>SH</w:t>
      </w:r>
      <w:r w:rsidRPr="002E24C8">
        <w:rPr>
          <w:color w:val="000000" w:themeColor="text1"/>
        </w:rPr>
        <w:t xml:space="preserve">’s logical consequence </w:t>
      </w:r>
      <w:r w:rsidRPr="002E24C8">
        <w:rPr>
          <w:i/>
          <w:color w:val="000000" w:themeColor="text1"/>
        </w:rPr>
        <w:t>E</w:t>
      </w:r>
      <w:r w:rsidRPr="002E24C8">
        <w:rPr>
          <w:color w:val="000000" w:themeColor="text1"/>
        </w:rPr>
        <w:t xml:space="preserve"> &amp;</w:t>
      </w:r>
      <w:r w:rsidRPr="002E24C8">
        <w:rPr>
          <w:i/>
          <w:color w:val="000000" w:themeColor="text1"/>
        </w:rPr>
        <w:t>¬P.</w:t>
      </w:r>
    </w:p>
  </w:footnote>
  <w:footnote w:id="22">
    <w:p w14:paraId="535A7077" w14:textId="77777777" w:rsidR="00601065" w:rsidRPr="002E24C8" w:rsidRDefault="00601065" w:rsidP="00601065">
      <w:pPr>
        <w:pStyle w:val="FootnoteText"/>
      </w:pPr>
      <w:r w:rsidRPr="002E24C8">
        <w:rPr>
          <w:rStyle w:val="FootnoteReference"/>
          <w:color w:val="000000" w:themeColor="text1"/>
        </w:rPr>
        <w:footnoteRef/>
      </w:r>
      <w:r w:rsidRPr="002E24C8">
        <w:rPr>
          <w:color w:val="000000" w:themeColor="text1"/>
        </w:rPr>
        <w:t xml:space="preserve"> </w:t>
      </w:r>
      <w:r w:rsidRPr="00BC5838">
        <w:rPr>
          <w:color w:val="000000" w:themeColor="text1"/>
        </w:rPr>
        <w:t>We are very grateful to Philip Ebert, Matt Jope, and Martin Smith for comments</w:t>
      </w:r>
      <w:r>
        <w:rPr>
          <w:color w:val="000000" w:themeColor="text1"/>
        </w:rPr>
        <w:t xml:space="preserve"> and criticism</w:t>
      </w:r>
      <w:r w:rsidRPr="00BC5838">
        <w:rPr>
          <w:color w:val="000000" w:themeColor="text1"/>
        </w:rPr>
        <w:t xml:space="preserve"> on early drafts of this paper, and for seminar discussion by members of the AHRC-funded </w:t>
      </w:r>
      <w:r w:rsidRPr="00BC5838">
        <w:rPr>
          <w:i/>
          <w:color w:val="000000" w:themeColor="text1"/>
        </w:rPr>
        <w:t xml:space="preserve">Varieties of Risk </w:t>
      </w:r>
      <w:r w:rsidRPr="00BC5838">
        <w:rPr>
          <w:color w:val="000000" w:themeColor="text1"/>
        </w:rPr>
        <w:t xml:space="preserve">project co-hosted by </w:t>
      </w:r>
      <w:r>
        <w:rPr>
          <w:color w:val="000000" w:themeColor="text1"/>
        </w:rPr>
        <w:t xml:space="preserve">the Universities of </w:t>
      </w:r>
      <w:r w:rsidRPr="00BC5838">
        <w:rPr>
          <w:color w:val="000000" w:themeColor="text1"/>
        </w:rPr>
        <w:t xml:space="preserve">Stirling and Edinburgh. We are also in debt to an anonymous reviewer of this Journal for useful </w:t>
      </w:r>
      <w:r>
        <w:rPr>
          <w:color w:val="000000" w:themeColor="text1"/>
        </w:rPr>
        <w:t>feedback</w:t>
      </w:r>
      <w:r w:rsidRPr="00BC5838">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42470"/>
      <w:docPartObj>
        <w:docPartGallery w:val="Page Numbers (Top of Page)"/>
        <w:docPartUnique/>
      </w:docPartObj>
    </w:sdtPr>
    <w:sdtContent>
      <w:p w14:paraId="434B7B4B" w14:textId="5B588B25" w:rsidR="009B3526" w:rsidRDefault="009B3526" w:rsidP="006152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9F1091" w14:textId="77777777" w:rsidR="009B3526" w:rsidRDefault="009B3526" w:rsidP="00301A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1465037"/>
      <w:docPartObj>
        <w:docPartGallery w:val="Page Numbers (Top of Page)"/>
        <w:docPartUnique/>
      </w:docPartObj>
    </w:sdtPr>
    <w:sdtContent>
      <w:p w14:paraId="2AFBB5EC" w14:textId="34039592" w:rsidR="009B3526" w:rsidRDefault="009B3526" w:rsidP="006152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0E3A">
          <w:rPr>
            <w:rStyle w:val="PageNumber"/>
            <w:noProof/>
          </w:rPr>
          <w:t>14</w:t>
        </w:r>
        <w:r>
          <w:rPr>
            <w:rStyle w:val="PageNumber"/>
          </w:rPr>
          <w:fldChar w:fldCharType="end"/>
        </w:r>
      </w:p>
    </w:sdtContent>
  </w:sdt>
  <w:p w14:paraId="4C13B460" w14:textId="77777777" w:rsidR="009B3526" w:rsidRDefault="009B3526" w:rsidP="00301A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5478"/>
    <w:multiLevelType w:val="hybridMultilevel"/>
    <w:tmpl w:val="1E061928"/>
    <w:lvl w:ilvl="0" w:tplc="25D6C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90288"/>
    <w:multiLevelType w:val="multilevel"/>
    <w:tmpl w:val="AE3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7470E"/>
    <w:multiLevelType w:val="hybridMultilevel"/>
    <w:tmpl w:val="8806C702"/>
    <w:lvl w:ilvl="0" w:tplc="29506A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C30F70"/>
    <w:multiLevelType w:val="hybridMultilevel"/>
    <w:tmpl w:val="62142704"/>
    <w:lvl w:ilvl="0" w:tplc="8752C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1322409">
    <w:abstractNumId w:val="2"/>
  </w:num>
  <w:num w:numId="2" w16cid:durableId="404189475">
    <w:abstractNumId w:val="3"/>
  </w:num>
  <w:num w:numId="3" w16cid:durableId="494884335">
    <w:abstractNumId w:val="0"/>
  </w:num>
  <w:num w:numId="4" w16cid:durableId="10447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activeWritingStyle w:appName="MSWord" w:lang="it-I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C15"/>
    <w:rsid w:val="000002D4"/>
    <w:rsid w:val="00002930"/>
    <w:rsid w:val="00007F69"/>
    <w:rsid w:val="00012A70"/>
    <w:rsid w:val="000146CA"/>
    <w:rsid w:val="000151C5"/>
    <w:rsid w:val="000158A6"/>
    <w:rsid w:val="0001699E"/>
    <w:rsid w:val="000178B2"/>
    <w:rsid w:val="00023755"/>
    <w:rsid w:val="00027776"/>
    <w:rsid w:val="000278FC"/>
    <w:rsid w:val="00027E6D"/>
    <w:rsid w:val="00030DDD"/>
    <w:rsid w:val="00031AFA"/>
    <w:rsid w:val="000356FA"/>
    <w:rsid w:val="00035D98"/>
    <w:rsid w:val="00036960"/>
    <w:rsid w:val="00036F50"/>
    <w:rsid w:val="0003700F"/>
    <w:rsid w:val="0004127C"/>
    <w:rsid w:val="00044317"/>
    <w:rsid w:val="00044477"/>
    <w:rsid w:val="00044704"/>
    <w:rsid w:val="0004529F"/>
    <w:rsid w:val="00051446"/>
    <w:rsid w:val="00057921"/>
    <w:rsid w:val="00057A31"/>
    <w:rsid w:val="000607CF"/>
    <w:rsid w:val="0006160A"/>
    <w:rsid w:val="00062811"/>
    <w:rsid w:val="000637C5"/>
    <w:rsid w:val="00064BC6"/>
    <w:rsid w:val="00065887"/>
    <w:rsid w:val="0007197B"/>
    <w:rsid w:val="00072553"/>
    <w:rsid w:val="00073512"/>
    <w:rsid w:val="00073CAD"/>
    <w:rsid w:val="00074084"/>
    <w:rsid w:val="00074D5E"/>
    <w:rsid w:val="00075182"/>
    <w:rsid w:val="00075E22"/>
    <w:rsid w:val="00076AB8"/>
    <w:rsid w:val="000778C0"/>
    <w:rsid w:val="00077AE5"/>
    <w:rsid w:val="00082427"/>
    <w:rsid w:val="00083603"/>
    <w:rsid w:val="00087200"/>
    <w:rsid w:val="00087BC5"/>
    <w:rsid w:val="00090E90"/>
    <w:rsid w:val="00091BCD"/>
    <w:rsid w:val="00091CE8"/>
    <w:rsid w:val="00091E22"/>
    <w:rsid w:val="00094B51"/>
    <w:rsid w:val="00097ED5"/>
    <w:rsid w:val="000A1D8A"/>
    <w:rsid w:val="000A2595"/>
    <w:rsid w:val="000A546D"/>
    <w:rsid w:val="000A69FA"/>
    <w:rsid w:val="000A6B70"/>
    <w:rsid w:val="000A7568"/>
    <w:rsid w:val="000B5690"/>
    <w:rsid w:val="000B57F9"/>
    <w:rsid w:val="000B5E90"/>
    <w:rsid w:val="000C18D9"/>
    <w:rsid w:val="000C787B"/>
    <w:rsid w:val="000D0165"/>
    <w:rsid w:val="000D01F8"/>
    <w:rsid w:val="000D0483"/>
    <w:rsid w:val="000D1837"/>
    <w:rsid w:val="000D3B63"/>
    <w:rsid w:val="000D3D1A"/>
    <w:rsid w:val="000D4794"/>
    <w:rsid w:val="000D4AF0"/>
    <w:rsid w:val="000D4E17"/>
    <w:rsid w:val="000D538F"/>
    <w:rsid w:val="000D5E62"/>
    <w:rsid w:val="000E053E"/>
    <w:rsid w:val="000E68F6"/>
    <w:rsid w:val="000E6A7D"/>
    <w:rsid w:val="000E795B"/>
    <w:rsid w:val="000F0DE3"/>
    <w:rsid w:val="000F6970"/>
    <w:rsid w:val="000F69D2"/>
    <w:rsid w:val="00100028"/>
    <w:rsid w:val="00101D71"/>
    <w:rsid w:val="00104784"/>
    <w:rsid w:val="00105097"/>
    <w:rsid w:val="001053DD"/>
    <w:rsid w:val="0010670C"/>
    <w:rsid w:val="00107D18"/>
    <w:rsid w:val="00110959"/>
    <w:rsid w:val="001119A5"/>
    <w:rsid w:val="0011214E"/>
    <w:rsid w:val="00113CDA"/>
    <w:rsid w:val="00115A46"/>
    <w:rsid w:val="00115D19"/>
    <w:rsid w:val="00116E0B"/>
    <w:rsid w:val="00121739"/>
    <w:rsid w:val="001227B1"/>
    <w:rsid w:val="001251AD"/>
    <w:rsid w:val="001268EB"/>
    <w:rsid w:val="001305C0"/>
    <w:rsid w:val="00140ECC"/>
    <w:rsid w:val="00142275"/>
    <w:rsid w:val="001434C2"/>
    <w:rsid w:val="00144AB8"/>
    <w:rsid w:val="00145191"/>
    <w:rsid w:val="00147883"/>
    <w:rsid w:val="00147DED"/>
    <w:rsid w:val="00147FD9"/>
    <w:rsid w:val="001505B5"/>
    <w:rsid w:val="001525BA"/>
    <w:rsid w:val="00154DC5"/>
    <w:rsid w:val="001552D8"/>
    <w:rsid w:val="001611C4"/>
    <w:rsid w:val="001651F4"/>
    <w:rsid w:val="00170274"/>
    <w:rsid w:val="001704B4"/>
    <w:rsid w:val="0017113A"/>
    <w:rsid w:val="00171DCB"/>
    <w:rsid w:val="001728A6"/>
    <w:rsid w:val="00173A41"/>
    <w:rsid w:val="0017603C"/>
    <w:rsid w:val="0017607F"/>
    <w:rsid w:val="00176753"/>
    <w:rsid w:val="001773F5"/>
    <w:rsid w:val="0017763E"/>
    <w:rsid w:val="00180AFD"/>
    <w:rsid w:val="00180DC7"/>
    <w:rsid w:val="0018344C"/>
    <w:rsid w:val="001855A5"/>
    <w:rsid w:val="0018736A"/>
    <w:rsid w:val="00191109"/>
    <w:rsid w:val="00191483"/>
    <w:rsid w:val="00191E03"/>
    <w:rsid w:val="001962CB"/>
    <w:rsid w:val="001A3B91"/>
    <w:rsid w:val="001A6820"/>
    <w:rsid w:val="001A70C6"/>
    <w:rsid w:val="001B062D"/>
    <w:rsid w:val="001B1EC9"/>
    <w:rsid w:val="001B330B"/>
    <w:rsid w:val="001B39E7"/>
    <w:rsid w:val="001B625D"/>
    <w:rsid w:val="001B667F"/>
    <w:rsid w:val="001B679E"/>
    <w:rsid w:val="001B6D69"/>
    <w:rsid w:val="001B75F3"/>
    <w:rsid w:val="001B7925"/>
    <w:rsid w:val="001B7E67"/>
    <w:rsid w:val="001C1C0F"/>
    <w:rsid w:val="001C1CAB"/>
    <w:rsid w:val="001C6011"/>
    <w:rsid w:val="001C67A3"/>
    <w:rsid w:val="001C7EA7"/>
    <w:rsid w:val="001D1AB7"/>
    <w:rsid w:val="001D2884"/>
    <w:rsid w:val="001D4C13"/>
    <w:rsid w:val="001D5A86"/>
    <w:rsid w:val="001D71B4"/>
    <w:rsid w:val="001D758C"/>
    <w:rsid w:val="001D7D88"/>
    <w:rsid w:val="001E29EA"/>
    <w:rsid w:val="001E2D80"/>
    <w:rsid w:val="001E4E0A"/>
    <w:rsid w:val="001E4FA4"/>
    <w:rsid w:val="001E522F"/>
    <w:rsid w:val="001E645C"/>
    <w:rsid w:val="001F0C57"/>
    <w:rsid w:val="001F5252"/>
    <w:rsid w:val="001F621E"/>
    <w:rsid w:val="001F69C2"/>
    <w:rsid w:val="001F7286"/>
    <w:rsid w:val="001F7877"/>
    <w:rsid w:val="00200050"/>
    <w:rsid w:val="00200D0A"/>
    <w:rsid w:val="00202EB6"/>
    <w:rsid w:val="0020541C"/>
    <w:rsid w:val="00205B07"/>
    <w:rsid w:val="002079BB"/>
    <w:rsid w:val="002107F2"/>
    <w:rsid w:val="00210FE3"/>
    <w:rsid w:val="002117A3"/>
    <w:rsid w:val="002146CE"/>
    <w:rsid w:val="00214A22"/>
    <w:rsid w:val="00215E52"/>
    <w:rsid w:val="002174B4"/>
    <w:rsid w:val="00224DF0"/>
    <w:rsid w:val="0022509D"/>
    <w:rsid w:val="0022558C"/>
    <w:rsid w:val="00230C77"/>
    <w:rsid w:val="002333BF"/>
    <w:rsid w:val="00236A32"/>
    <w:rsid w:val="00240BC4"/>
    <w:rsid w:val="00243DB4"/>
    <w:rsid w:val="00245E78"/>
    <w:rsid w:val="00245F58"/>
    <w:rsid w:val="0024699B"/>
    <w:rsid w:val="00246E0A"/>
    <w:rsid w:val="002506BE"/>
    <w:rsid w:val="0025095F"/>
    <w:rsid w:val="00253647"/>
    <w:rsid w:val="0026236B"/>
    <w:rsid w:val="00263054"/>
    <w:rsid w:val="0026413B"/>
    <w:rsid w:val="002709B7"/>
    <w:rsid w:val="00271313"/>
    <w:rsid w:val="00271428"/>
    <w:rsid w:val="002722CF"/>
    <w:rsid w:val="0027253F"/>
    <w:rsid w:val="00273316"/>
    <w:rsid w:val="00274D8C"/>
    <w:rsid w:val="0027559C"/>
    <w:rsid w:val="00280832"/>
    <w:rsid w:val="002852EE"/>
    <w:rsid w:val="002856D9"/>
    <w:rsid w:val="002868AF"/>
    <w:rsid w:val="00287EC1"/>
    <w:rsid w:val="00293043"/>
    <w:rsid w:val="00293066"/>
    <w:rsid w:val="00293C3E"/>
    <w:rsid w:val="00294933"/>
    <w:rsid w:val="002A0752"/>
    <w:rsid w:val="002A47CD"/>
    <w:rsid w:val="002A6BCD"/>
    <w:rsid w:val="002A73FD"/>
    <w:rsid w:val="002B0BBF"/>
    <w:rsid w:val="002B24E3"/>
    <w:rsid w:val="002B39DB"/>
    <w:rsid w:val="002B478A"/>
    <w:rsid w:val="002B5733"/>
    <w:rsid w:val="002B61C6"/>
    <w:rsid w:val="002C06E0"/>
    <w:rsid w:val="002C10B0"/>
    <w:rsid w:val="002C126E"/>
    <w:rsid w:val="002C1EAE"/>
    <w:rsid w:val="002C2B19"/>
    <w:rsid w:val="002C3BE7"/>
    <w:rsid w:val="002C5635"/>
    <w:rsid w:val="002C6401"/>
    <w:rsid w:val="002D36EE"/>
    <w:rsid w:val="002D439F"/>
    <w:rsid w:val="002D5F18"/>
    <w:rsid w:val="002E0C0A"/>
    <w:rsid w:val="002E174C"/>
    <w:rsid w:val="002E24C8"/>
    <w:rsid w:val="002E254F"/>
    <w:rsid w:val="002E406D"/>
    <w:rsid w:val="002E5EF4"/>
    <w:rsid w:val="002E6EF4"/>
    <w:rsid w:val="002E7DCB"/>
    <w:rsid w:val="002F41C5"/>
    <w:rsid w:val="002F5A57"/>
    <w:rsid w:val="002F5CC8"/>
    <w:rsid w:val="002F62B8"/>
    <w:rsid w:val="00301A14"/>
    <w:rsid w:val="00303DB2"/>
    <w:rsid w:val="00304184"/>
    <w:rsid w:val="003064A6"/>
    <w:rsid w:val="00306761"/>
    <w:rsid w:val="003071B3"/>
    <w:rsid w:val="00310971"/>
    <w:rsid w:val="003129DD"/>
    <w:rsid w:val="00320779"/>
    <w:rsid w:val="00321157"/>
    <w:rsid w:val="00322C17"/>
    <w:rsid w:val="0032458E"/>
    <w:rsid w:val="00324C1E"/>
    <w:rsid w:val="00325667"/>
    <w:rsid w:val="00327B38"/>
    <w:rsid w:val="00334117"/>
    <w:rsid w:val="0033502A"/>
    <w:rsid w:val="00337827"/>
    <w:rsid w:val="00341141"/>
    <w:rsid w:val="00343773"/>
    <w:rsid w:val="00344584"/>
    <w:rsid w:val="003447FC"/>
    <w:rsid w:val="00344974"/>
    <w:rsid w:val="00346604"/>
    <w:rsid w:val="0035152F"/>
    <w:rsid w:val="00353D25"/>
    <w:rsid w:val="00355A6C"/>
    <w:rsid w:val="0036132B"/>
    <w:rsid w:val="003640E2"/>
    <w:rsid w:val="00373818"/>
    <w:rsid w:val="003748E3"/>
    <w:rsid w:val="003753C6"/>
    <w:rsid w:val="00375EEA"/>
    <w:rsid w:val="00377B36"/>
    <w:rsid w:val="00380B5C"/>
    <w:rsid w:val="00380E50"/>
    <w:rsid w:val="00381A2B"/>
    <w:rsid w:val="003871B6"/>
    <w:rsid w:val="0038785F"/>
    <w:rsid w:val="00390B1B"/>
    <w:rsid w:val="00390C0D"/>
    <w:rsid w:val="003943DB"/>
    <w:rsid w:val="00394D21"/>
    <w:rsid w:val="003969DF"/>
    <w:rsid w:val="00397E1D"/>
    <w:rsid w:val="003A0233"/>
    <w:rsid w:val="003A08F2"/>
    <w:rsid w:val="003A0F03"/>
    <w:rsid w:val="003A2BC9"/>
    <w:rsid w:val="003A3411"/>
    <w:rsid w:val="003A4C41"/>
    <w:rsid w:val="003A5AFB"/>
    <w:rsid w:val="003A6B1D"/>
    <w:rsid w:val="003B1019"/>
    <w:rsid w:val="003B2AA0"/>
    <w:rsid w:val="003B39C9"/>
    <w:rsid w:val="003B3B02"/>
    <w:rsid w:val="003B3D0D"/>
    <w:rsid w:val="003B3F6D"/>
    <w:rsid w:val="003C17AC"/>
    <w:rsid w:val="003C1982"/>
    <w:rsid w:val="003C26C5"/>
    <w:rsid w:val="003C326A"/>
    <w:rsid w:val="003C3452"/>
    <w:rsid w:val="003C396A"/>
    <w:rsid w:val="003C43FB"/>
    <w:rsid w:val="003C4DCE"/>
    <w:rsid w:val="003C50A8"/>
    <w:rsid w:val="003C53E1"/>
    <w:rsid w:val="003D00F0"/>
    <w:rsid w:val="003D3947"/>
    <w:rsid w:val="003D4584"/>
    <w:rsid w:val="003D5F6E"/>
    <w:rsid w:val="003E08CF"/>
    <w:rsid w:val="003E1A44"/>
    <w:rsid w:val="003E4B1C"/>
    <w:rsid w:val="003F31F8"/>
    <w:rsid w:val="003F63F4"/>
    <w:rsid w:val="003F6E05"/>
    <w:rsid w:val="003F7D6F"/>
    <w:rsid w:val="0040141B"/>
    <w:rsid w:val="00402ADE"/>
    <w:rsid w:val="00403283"/>
    <w:rsid w:val="00403622"/>
    <w:rsid w:val="0040788D"/>
    <w:rsid w:val="00412DB6"/>
    <w:rsid w:val="00413514"/>
    <w:rsid w:val="004156BD"/>
    <w:rsid w:val="00425340"/>
    <w:rsid w:val="0042575B"/>
    <w:rsid w:val="00425DF0"/>
    <w:rsid w:val="00434B2E"/>
    <w:rsid w:val="00435466"/>
    <w:rsid w:val="00436134"/>
    <w:rsid w:val="00437A69"/>
    <w:rsid w:val="004466ED"/>
    <w:rsid w:val="004469BF"/>
    <w:rsid w:val="004478B3"/>
    <w:rsid w:val="00450A57"/>
    <w:rsid w:val="00451859"/>
    <w:rsid w:val="0045265C"/>
    <w:rsid w:val="00454B69"/>
    <w:rsid w:val="00454CC8"/>
    <w:rsid w:val="004556C5"/>
    <w:rsid w:val="004609EF"/>
    <w:rsid w:val="00465B1E"/>
    <w:rsid w:val="00466D9E"/>
    <w:rsid w:val="004670FF"/>
    <w:rsid w:val="00467B2C"/>
    <w:rsid w:val="00467CAF"/>
    <w:rsid w:val="00473D3E"/>
    <w:rsid w:val="00474987"/>
    <w:rsid w:val="00475F2B"/>
    <w:rsid w:val="0047600F"/>
    <w:rsid w:val="004765B2"/>
    <w:rsid w:val="00480375"/>
    <w:rsid w:val="0048548E"/>
    <w:rsid w:val="004869DD"/>
    <w:rsid w:val="00490D6A"/>
    <w:rsid w:val="004942C3"/>
    <w:rsid w:val="0049456E"/>
    <w:rsid w:val="004A0327"/>
    <w:rsid w:val="004A3077"/>
    <w:rsid w:val="004A31C1"/>
    <w:rsid w:val="004A3C88"/>
    <w:rsid w:val="004A5ED6"/>
    <w:rsid w:val="004A6138"/>
    <w:rsid w:val="004A67B9"/>
    <w:rsid w:val="004B17CB"/>
    <w:rsid w:val="004B3D0D"/>
    <w:rsid w:val="004B4331"/>
    <w:rsid w:val="004B6454"/>
    <w:rsid w:val="004B6529"/>
    <w:rsid w:val="004B7C4A"/>
    <w:rsid w:val="004C2E02"/>
    <w:rsid w:val="004C3713"/>
    <w:rsid w:val="004D05FC"/>
    <w:rsid w:val="004D30B9"/>
    <w:rsid w:val="004D3CAD"/>
    <w:rsid w:val="004D5756"/>
    <w:rsid w:val="004D72E8"/>
    <w:rsid w:val="004E00B2"/>
    <w:rsid w:val="004E0C47"/>
    <w:rsid w:val="004E33EE"/>
    <w:rsid w:val="004E3CBE"/>
    <w:rsid w:val="004F02F5"/>
    <w:rsid w:val="004F0C5A"/>
    <w:rsid w:val="004F33A1"/>
    <w:rsid w:val="004F38C4"/>
    <w:rsid w:val="00500579"/>
    <w:rsid w:val="005005B9"/>
    <w:rsid w:val="00500902"/>
    <w:rsid w:val="00500DA2"/>
    <w:rsid w:val="00502854"/>
    <w:rsid w:val="0050613D"/>
    <w:rsid w:val="0050728D"/>
    <w:rsid w:val="00510323"/>
    <w:rsid w:val="0051119E"/>
    <w:rsid w:val="0051309A"/>
    <w:rsid w:val="00513732"/>
    <w:rsid w:val="005152D5"/>
    <w:rsid w:val="00515678"/>
    <w:rsid w:val="00524F5E"/>
    <w:rsid w:val="0052646F"/>
    <w:rsid w:val="005269CC"/>
    <w:rsid w:val="005342A6"/>
    <w:rsid w:val="0053472C"/>
    <w:rsid w:val="0053501E"/>
    <w:rsid w:val="00535120"/>
    <w:rsid w:val="00536670"/>
    <w:rsid w:val="005419A4"/>
    <w:rsid w:val="0054370A"/>
    <w:rsid w:val="00545E69"/>
    <w:rsid w:val="005461D8"/>
    <w:rsid w:val="005468B9"/>
    <w:rsid w:val="00546DC6"/>
    <w:rsid w:val="00546F6D"/>
    <w:rsid w:val="00551902"/>
    <w:rsid w:val="00554A02"/>
    <w:rsid w:val="00556E8F"/>
    <w:rsid w:val="005627E9"/>
    <w:rsid w:val="00567674"/>
    <w:rsid w:val="00570554"/>
    <w:rsid w:val="00572459"/>
    <w:rsid w:val="005725DF"/>
    <w:rsid w:val="00573153"/>
    <w:rsid w:val="005749CF"/>
    <w:rsid w:val="00576400"/>
    <w:rsid w:val="00580403"/>
    <w:rsid w:val="00581B4D"/>
    <w:rsid w:val="00582112"/>
    <w:rsid w:val="005822BD"/>
    <w:rsid w:val="005828D5"/>
    <w:rsid w:val="005830DB"/>
    <w:rsid w:val="00583D6D"/>
    <w:rsid w:val="00586956"/>
    <w:rsid w:val="00587058"/>
    <w:rsid w:val="00591C1A"/>
    <w:rsid w:val="00591F49"/>
    <w:rsid w:val="0059323B"/>
    <w:rsid w:val="00596018"/>
    <w:rsid w:val="00596126"/>
    <w:rsid w:val="00596D5E"/>
    <w:rsid w:val="00596D89"/>
    <w:rsid w:val="005A170B"/>
    <w:rsid w:val="005A1A87"/>
    <w:rsid w:val="005A2ABD"/>
    <w:rsid w:val="005A38CB"/>
    <w:rsid w:val="005A4063"/>
    <w:rsid w:val="005A6DB7"/>
    <w:rsid w:val="005B12F7"/>
    <w:rsid w:val="005B1F72"/>
    <w:rsid w:val="005B3308"/>
    <w:rsid w:val="005B38B4"/>
    <w:rsid w:val="005B6A57"/>
    <w:rsid w:val="005C1CF9"/>
    <w:rsid w:val="005C4F65"/>
    <w:rsid w:val="005C6C1D"/>
    <w:rsid w:val="005D18F3"/>
    <w:rsid w:val="005D1BB6"/>
    <w:rsid w:val="005D213E"/>
    <w:rsid w:val="005D27B4"/>
    <w:rsid w:val="005D40DB"/>
    <w:rsid w:val="005D5536"/>
    <w:rsid w:val="005D746D"/>
    <w:rsid w:val="005E16A8"/>
    <w:rsid w:val="005E1B11"/>
    <w:rsid w:val="005E2374"/>
    <w:rsid w:val="005E2AC2"/>
    <w:rsid w:val="005E3329"/>
    <w:rsid w:val="005E3DE1"/>
    <w:rsid w:val="005E64E0"/>
    <w:rsid w:val="005F0DF2"/>
    <w:rsid w:val="005F3939"/>
    <w:rsid w:val="005F3B25"/>
    <w:rsid w:val="005F480F"/>
    <w:rsid w:val="00601065"/>
    <w:rsid w:val="0060132B"/>
    <w:rsid w:val="00602A06"/>
    <w:rsid w:val="006030FD"/>
    <w:rsid w:val="00603A0F"/>
    <w:rsid w:val="0061080A"/>
    <w:rsid w:val="0061323F"/>
    <w:rsid w:val="006152E9"/>
    <w:rsid w:val="00616DEB"/>
    <w:rsid w:val="00620D08"/>
    <w:rsid w:val="00621959"/>
    <w:rsid w:val="00627355"/>
    <w:rsid w:val="00630D53"/>
    <w:rsid w:val="00631DC9"/>
    <w:rsid w:val="00632233"/>
    <w:rsid w:val="00632C54"/>
    <w:rsid w:val="00632F2B"/>
    <w:rsid w:val="0063409A"/>
    <w:rsid w:val="0064022D"/>
    <w:rsid w:val="00642CD7"/>
    <w:rsid w:val="00644D60"/>
    <w:rsid w:val="00644D7F"/>
    <w:rsid w:val="006468D2"/>
    <w:rsid w:val="00647CE1"/>
    <w:rsid w:val="00650468"/>
    <w:rsid w:val="00652006"/>
    <w:rsid w:val="00652EB2"/>
    <w:rsid w:val="00654EA0"/>
    <w:rsid w:val="00655611"/>
    <w:rsid w:val="006606A6"/>
    <w:rsid w:val="00660E2E"/>
    <w:rsid w:val="00661449"/>
    <w:rsid w:val="0066148E"/>
    <w:rsid w:val="006614C3"/>
    <w:rsid w:val="006640DE"/>
    <w:rsid w:val="006725D1"/>
    <w:rsid w:val="00672620"/>
    <w:rsid w:val="006736B7"/>
    <w:rsid w:val="0067471D"/>
    <w:rsid w:val="0067523E"/>
    <w:rsid w:val="00680037"/>
    <w:rsid w:val="006826D9"/>
    <w:rsid w:val="006828E8"/>
    <w:rsid w:val="00683C2B"/>
    <w:rsid w:val="006840DA"/>
    <w:rsid w:val="00685527"/>
    <w:rsid w:val="00690710"/>
    <w:rsid w:val="00691BB3"/>
    <w:rsid w:val="00691CFC"/>
    <w:rsid w:val="006A1125"/>
    <w:rsid w:val="006A2532"/>
    <w:rsid w:val="006A3186"/>
    <w:rsid w:val="006A75A6"/>
    <w:rsid w:val="006B21F1"/>
    <w:rsid w:val="006B4A7E"/>
    <w:rsid w:val="006B4DE7"/>
    <w:rsid w:val="006B6DF6"/>
    <w:rsid w:val="006B6E11"/>
    <w:rsid w:val="006C2084"/>
    <w:rsid w:val="006C2962"/>
    <w:rsid w:val="006C3A6D"/>
    <w:rsid w:val="006C4986"/>
    <w:rsid w:val="006C6C81"/>
    <w:rsid w:val="006D0BA2"/>
    <w:rsid w:val="006D271E"/>
    <w:rsid w:val="006D45C9"/>
    <w:rsid w:val="006D4CFA"/>
    <w:rsid w:val="006D5871"/>
    <w:rsid w:val="006E0ACB"/>
    <w:rsid w:val="006E662E"/>
    <w:rsid w:val="006F1039"/>
    <w:rsid w:val="006F29A3"/>
    <w:rsid w:val="006F5140"/>
    <w:rsid w:val="00700FF8"/>
    <w:rsid w:val="0070244A"/>
    <w:rsid w:val="00703432"/>
    <w:rsid w:val="00703671"/>
    <w:rsid w:val="0070601E"/>
    <w:rsid w:val="00712FB5"/>
    <w:rsid w:val="007216AB"/>
    <w:rsid w:val="00722574"/>
    <w:rsid w:val="00725CF6"/>
    <w:rsid w:val="0072719C"/>
    <w:rsid w:val="00732002"/>
    <w:rsid w:val="00735CAE"/>
    <w:rsid w:val="007424E8"/>
    <w:rsid w:val="00742850"/>
    <w:rsid w:val="00743F5B"/>
    <w:rsid w:val="007444FB"/>
    <w:rsid w:val="00744BC8"/>
    <w:rsid w:val="00746A08"/>
    <w:rsid w:val="00746BA9"/>
    <w:rsid w:val="007471F3"/>
    <w:rsid w:val="0074754C"/>
    <w:rsid w:val="00747B93"/>
    <w:rsid w:val="007502C1"/>
    <w:rsid w:val="00760859"/>
    <w:rsid w:val="00761736"/>
    <w:rsid w:val="007618BC"/>
    <w:rsid w:val="00767D38"/>
    <w:rsid w:val="00770871"/>
    <w:rsid w:val="00775002"/>
    <w:rsid w:val="00776E3C"/>
    <w:rsid w:val="00782BFF"/>
    <w:rsid w:val="00784532"/>
    <w:rsid w:val="00786F35"/>
    <w:rsid w:val="00786FCE"/>
    <w:rsid w:val="007870A3"/>
    <w:rsid w:val="00791A95"/>
    <w:rsid w:val="007928CE"/>
    <w:rsid w:val="007936D1"/>
    <w:rsid w:val="00794BFA"/>
    <w:rsid w:val="007A0446"/>
    <w:rsid w:val="007A6A67"/>
    <w:rsid w:val="007A7485"/>
    <w:rsid w:val="007B3E41"/>
    <w:rsid w:val="007B4511"/>
    <w:rsid w:val="007B5CD3"/>
    <w:rsid w:val="007B6D5D"/>
    <w:rsid w:val="007B7AB5"/>
    <w:rsid w:val="007B7BAD"/>
    <w:rsid w:val="007C00C4"/>
    <w:rsid w:val="007C0159"/>
    <w:rsid w:val="007C0696"/>
    <w:rsid w:val="007C0965"/>
    <w:rsid w:val="007C4D11"/>
    <w:rsid w:val="007C5792"/>
    <w:rsid w:val="007C5D01"/>
    <w:rsid w:val="007C7D86"/>
    <w:rsid w:val="007D0846"/>
    <w:rsid w:val="007D4A5F"/>
    <w:rsid w:val="007D5688"/>
    <w:rsid w:val="007D6C04"/>
    <w:rsid w:val="007E06DB"/>
    <w:rsid w:val="007E20F6"/>
    <w:rsid w:val="007E3164"/>
    <w:rsid w:val="007E3B0F"/>
    <w:rsid w:val="007E3D4B"/>
    <w:rsid w:val="007E49B6"/>
    <w:rsid w:val="007E61A0"/>
    <w:rsid w:val="007F193C"/>
    <w:rsid w:val="007F358F"/>
    <w:rsid w:val="007F3A89"/>
    <w:rsid w:val="00800A1C"/>
    <w:rsid w:val="008021D1"/>
    <w:rsid w:val="0080352B"/>
    <w:rsid w:val="008041E2"/>
    <w:rsid w:val="00804ED4"/>
    <w:rsid w:val="00811228"/>
    <w:rsid w:val="00814C15"/>
    <w:rsid w:val="00815F42"/>
    <w:rsid w:val="008163F4"/>
    <w:rsid w:val="00817381"/>
    <w:rsid w:val="008205D1"/>
    <w:rsid w:val="0082368A"/>
    <w:rsid w:val="008340AC"/>
    <w:rsid w:val="00834CEA"/>
    <w:rsid w:val="00836B47"/>
    <w:rsid w:val="00843F1E"/>
    <w:rsid w:val="0084483E"/>
    <w:rsid w:val="0084654B"/>
    <w:rsid w:val="008466F3"/>
    <w:rsid w:val="00846C2B"/>
    <w:rsid w:val="00854ABD"/>
    <w:rsid w:val="00855430"/>
    <w:rsid w:val="0085682C"/>
    <w:rsid w:val="008574B0"/>
    <w:rsid w:val="008578F7"/>
    <w:rsid w:val="00857D2F"/>
    <w:rsid w:val="00861E01"/>
    <w:rsid w:val="008643CA"/>
    <w:rsid w:val="00864B91"/>
    <w:rsid w:val="008657AD"/>
    <w:rsid w:val="008660B5"/>
    <w:rsid w:val="0086798A"/>
    <w:rsid w:val="00867BD4"/>
    <w:rsid w:val="008706B5"/>
    <w:rsid w:val="00872EB9"/>
    <w:rsid w:val="00873021"/>
    <w:rsid w:val="00873831"/>
    <w:rsid w:val="0087396A"/>
    <w:rsid w:val="008753B6"/>
    <w:rsid w:val="0087688C"/>
    <w:rsid w:val="00876A7F"/>
    <w:rsid w:val="0088058D"/>
    <w:rsid w:val="008813EE"/>
    <w:rsid w:val="00882F24"/>
    <w:rsid w:val="00883A4C"/>
    <w:rsid w:val="00885AF1"/>
    <w:rsid w:val="008906E5"/>
    <w:rsid w:val="00891554"/>
    <w:rsid w:val="0089300D"/>
    <w:rsid w:val="00896959"/>
    <w:rsid w:val="00897054"/>
    <w:rsid w:val="008A01EC"/>
    <w:rsid w:val="008A03A5"/>
    <w:rsid w:val="008A0A80"/>
    <w:rsid w:val="008A5E40"/>
    <w:rsid w:val="008A7321"/>
    <w:rsid w:val="008A7357"/>
    <w:rsid w:val="008B3A57"/>
    <w:rsid w:val="008B7264"/>
    <w:rsid w:val="008B7EA3"/>
    <w:rsid w:val="008C0DE5"/>
    <w:rsid w:val="008C1417"/>
    <w:rsid w:val="008D25C0"/>
    <w:rsid w:val="008D34B0"/>
    <w:rsid w:val="008D5416"/>
    <w:rsid w:val="008D5CAF"/>
    <w:rsid w:val="008D6AD1"/>
    <w:rsid w:val="008D6B38"/>
    <w:rsid w:val="008E2DA9"/>
    <w:rsid w:val="008E3AFC"/>
    <w:rsid w:val="008E3DF8"/>
    <w:rsid w:val="008E4B2E"/>
    <w:rsid w:val="008E6188"/>
    <w:rsid w:val="008E795B"/>
    <w:rsid w:val="008F0A1C"/>
    <w:rsid w:val="008F0BC0"/>
    <w:rsid w:val="008F1248"/>
    <w:rsid w:val="008F368C"/>
    <w:rsid w:val="008F4AE2"/>
    <w:rsid w:val="008F571D"/>
    <w:rsid w:val="008F675F"/>
    <w:rsid w:val="008F68BA"/>
    <w:rsid w:val="009005CE"/>
    <w:rsid w:val="00901252"/>
    <w:rsid w:val="00903EB2"/>
    <w:rsid w:val="0090513A"/>
    <w:rsid w:val="009052B9"/>
    <w:rsid w:val="00905BD8"/>
    <w:rsid w:val="0090725C"/>
    <w:rsid w:val="00907D42"/>
    <w:rsid w:val="00911F56"/>
    <w:rsid w:val="00912CC5"/>
    <w:rsid w:val="00913113"/>
    <w:rsid w:val="00913136"/>
    <w:rsid w:val="00915782"/>
    <w:rsid w:val="00915E78"/>
    <w:rsid w:val="00916A7C"/>
    <w:rsid w:val="00917D0D"/>
    <w:rsid w:val="00920054"/>
    <w:rsid w:val="00920710"/>
    <w:rsid w:val="00922749"/>
    <w:rsid w:val="009256A6"/>
    <w:rsid w:val="00925710"/>
    <w:rsid w:val="00930208"/>
    <w:rsid w:val="009326D2"/>
    <w:rsid w:val="0093276F"/>
    <w:rsid w:val="00932B90"/>
    <w:rsid w:val="0093384A"/>
    <w:rsid w:val="00937E30"/>
    <w:rsid w:val="00942E26"/>
    <w:rsid w:val="009433F2"/>
    <w:rsid w:val="0094627C"/>
    <w:rsid w:val="00950D70"/>
    <w:rsid w:val="0095227A"/>
    <w:rsid w:val="00952576"/>
    <w:rsid w:val="00954C80"/>
    <w:rsid w:val="00954EC9"/>
    <w:rsid w:val="009558DE"/>
    <w:rsid w:val="00955E89"/>
    <w:rsid w:val="00957951"/>
    <w:rsid w:val="00957EC1"/>
    <w:rsid w:val="00960197"/>
    <w:rsid w:val="0096042C"/>
    <w:rsid w:val="00963E1E"/>
    <w:rsid w:val="00964479"/>
    <w:rsid w:val="00970E1E"/>
    <w:rsid w:val="009716B8"/>
    <w:rsid w:val="00972A4B"/>
    <w:rsid w:val="00973783"/>
    <w:rsid w:val="0097395B"/>
    <w:rsid w:val="00974AC6"/>
    <w:rsid w:val="00980855"/>
    <w:rsid w:val="009810AF"/>
    <w:rsid w:val="00982046"/>
    <w:rsid w:val="00984920"/>
    <w:rsid w:val="00986B62"/>
    <w:rsid w:val="00987109"/>
    <w:rsid w:val="009932B3"/>
    <w:rsid w:val="00993C3B"/>
    <w:rsid w:val="009956DA"/>
    <w:rsid w:val="0099732C"/>
    <w:rsid w:val="009A222B"/>
    <w:rsid w:val="009A4653"/>
    <w:rsid w:val="009A60A1"/>
    <w:rsid w:val="009A75E5"/>
    <w:rsid w:val="009B3526"/>
    <w:rsid w:val="009B3A79"/>
    <w:rsid w:val="009B7BD6"/>
    <w:rsid w:val="009C025C"/>
    <w:rsid w:val="009C4C45"/>
    <w:rsid w:val="009C54B3"/>
    <w:rsid w:val="009C6D93"/>
    <w:rsid w:val="009C7731"/>
    <w:rsid w:val="009D2282"/>
    <w:rsid w:val="009D375A"/>
    <w:rsid w:val="009D4E89"/>
    <w:rsid w:val="009D5CDB"/>
    <w:rsid w:val="009E0C8F"/>
    <w:rsid w:val="009E11C9"/>
    <w:rsid w:val="009E2369"/>
    <w:rsid w:val="009E3C0A"/>
    <w:rsid w:val="009E5421"/>
    <w:rsid w:val="009F25A7"/>
    <w:rsid w:val="009F2C1A"/>
    <w:rsid w:val="009F379D"/>
    <w:rsid w:val="009F3A64"/>
    <w:rsid w:val="009F6140"/>
    <w:rsid w:val="009F739A"/>
    <w:rsid w:val="009F73E9"/>
    <w:rsid w:val="00A018AD"/>
    <w:rsid w:val="00A03B93"/>
    <w:rsid w:val="00A042D9"/>
    <w:rsid w:val="00A043E4"/>
    <w:rsid w:val="00A1107B"/>
    <w:rsid w:val="00A11081"/>
    <w:rsid w:val="00A1186A"/>
    <w:rsid w:val="00A13E1C"/>
    <w:rsid w:val="00A14290"/>
    <w:rsid w:val="00A154B3"/>
    <w:rsid w:val="00A17D72"/>
    <w:rsid w:val="00A22105"/>
    <w:rsid w:val="00A22AE9"/>
    <w:rsid w:val="00A25ED4"/>
    <w:rsid w:val="00A27F42"/>
    <w:rsid w:val="00A34201"/>
    <w:rsid w:val="00A3514A"/>
    <w:rsid w:val="00A35EA0"/>
    <w:rsid w:val="00A426C3"/>
    <w:rsid w:val="00A43BF9"/>
    <w:rsid w:val="00A522A1"/>
    <w:rsid w:val="00A540CF"/>
    <w:rsid w:val="00A56474"/>
    <w:rsid w:val="00A56603"/>
    <w:rsid w:val="00A567F8"/>
    <w:rsid w:val="00A571C5"/>
    <w:rsid w:val="00A644ED"/>
    <w:rsid w:val="00A6724A"/>
    <w:rsid w:val="00A67554"/>
    <w:rsid w:val="00A70158"/>
    <w:rsid w:val="00A7749E"/>
    <w:rsid w:val="00A80235"/>
    <w:rsid w:val="00A83E08"/>
    <w:rsid w:val="00A86088"/>
    <w:rsid w:val="00A8633E"/>
    <w:rsid w:val="00A86835"/>
    <w:rsid w:val="00A9262B"/>
    <w:rsid w:val="00A92D58"/>
    <w:rsid w:val="00A9345A"/>
    <w:rsid w:val="00A95142"/>
    <w:rsid w:val="00A95148"/>
    <w:rsid w:val="00A95873"/>
    <w:rsid w:val="00A96CFE"/>
    <w:rsid w:val="00AA1E54"/>
    <w:rsid w:val="00AA2BD0"/>
    <w:rsid w:val="00AA4999"/>
    <w:rsid w:val="00AA56A1"/>
    <w:rsid w:val="00AA5C03"/>
    <w:rsid w:val="00AA794A"/>
    <w:rsid w:val="00AB2806"/>
    <w:rsid w:val="00AB50E5"/>
    <w:rsid w:val="00AC1C3C"/>
    <w:rsid w:val="00AC44CB"/>
    <w:rsid w:val="00AC497C"/>
    <w:rsid w:val="00AC5523"/>
    <w:rsid w:val="00AC74D0"/>
    <w:rsid w:val="00AD0190"/>
    <w:rsid w:val="00AD1BC9"/>
    <w:rsid w:val="00AD2AFD"/>
    <w:rsid w:val="00AD63A5"/>
    <w:rsid w:val="00AD7006"/>
    <w:rsid w:val="00AE29C1"/>
    <w:rsid w:val="00AE2F41"/>
    <w:rsid w:val="00AE6151"/>
    <w:rsid w:val="00AE67C7"/>
    <w:rsid w:val="00AF1160"/>
    <w:rsid w:val="00AF191D"/>
    <w:rsid w:val="00AF1924"/>
    <w:rsid w:val="00AF1E57"/>
    <w:rsid w:val="00AF28F6"/>
    <w:rsid w:val="00AF2BAF"/>
    <w:rsid w:val="00AF5A3E"/>
    <w:rsid w:val="00AF5FD5"/>
    <w:rsid w:val="00B00E81"/>
    <w:rsid w:val="00B020A3"/>
    <w:rsid w:val="00B0244C"/>
    <w:rsid w:val="00B04F5D"/>
    <w:rsid w:val="00B04F62"/>
    <w:rsid w:val="00B07412"/>
    <w:rsid w:val="00B11562"/>
    <w:rsid w:val="00B2154B"/>
    <w:rsid w:val="00B22C21"/>
    <w:rsid w:val="00B25732"/>
    <w:rsid w:val="00B351CC"/>
    <w:rsid w:val="00B36E07"/>
    <w:rsid w:val="00B41AE3"/>
    <w:rsid w:val="00B41B25"/>
    <w:rsid w:val="00B41EF3"/>
    <w:rsid w:val="00B44867"/>
    <w:rsid w:val="00B454A8"/>
    <w:rsid w:val="00B463F3"/>
    <w:rsid w:val="00B47974"/>
    <w:rsid w:val="00B526E4"/>
    <w:rsid w:val="00B54D54"/>
    <w:rsid w:val="00B55C80"/>
    <w:rsid w:val="00B57F4A"/>
    <w:rsid w:val="00B6297D"/>
    <w:rsid w:val="00B62AC8"/>
    <w:rsid w:val="00B63B0A"/>
    <w:rsid w:val="00B646D8"/>
    <w:rsid w:val="00B64B5B"/>
    <w:rsid w:val="00B65EEA"/>
    <w:rsid w:val="00B70BE1"/>
    <w:rsid w:val="00B7385A"/>
    <w:rsid w:val="00B755DD"/>
    <w:rsid w:val="00B76332"/>
    <w:rsid w:val="00B76A2C"/>
    <w:rsid w:val="00B76B3C"/>
    <w:rsid w:val="00B81922"/>
    <w:rsid w:val="00B83339"/>
    <w:rsid w:val="00B85DFC"/>
    <w:rsid w:val="00B916FE"/>
    <w:rsid w:val="00B92172"/>
    <w:rsid w:val="00B973D6"/>
    <w:rsid w:val="00BA19E8"/>
    <w:rsid w:val="00BA3067"/>
    <w:rsid w:val="00BA78F2"/>
    <w:rsid w:val="00BB3E73"/>
    <w:rsid w:val="00BB441F"/>
    <w:rsid w:val="00BB4BEB"/>
    <w:rsid w:val="00BB6B7A"/>
    <w:rsid w:val="00BB73E6"/>
    <w:rsid w:val="00BB7B93"/>
    <w:rsid w:val="00BC01C5"/>
    <w:rsid w:val="00BC36E9"/>
    <w:rsid w:val="00BC5362"/>
    <w:rsid w:val="00BC5838"/>
    <w:rsid w:val="00BC6367"/>
    <w:rsid w:val="00BC6B07"/>
    <w:rsid w:val="00BD1691"/>
    <w:rsid w:val="00BD4CD2"/>
    <w:rsid w:val="00BD5FBE"/>
    <w:rsid w:val="00BD7392"/>
    <w:rsid w:val="00BE22FB"/>
    <w:rsid w:val="00BE39D9"/>
    <w:rsid w:val="00BE525F"/>
    <w:rsid w:val="00BE7019"/>
    <w:rsid w:val="00BF0063"/>
    <w:rsid w:val="00BF0D47"/>
    <w:rsid w:val="00BF32B0"/>
    <w:rsid w:val="00BF41AB"/>
    <w:rsid w:val="00BF45B8"/>
    <w:rsid w:val="00BF5C42"/>
    <w:rsid w:val="00BF5C72"/>
    <w:rsid w:val="00C00DDF"/>
    <w:rsid w:val="00C0113E"/>
    <w:rsid w:val="00C0402F"/>
    <w:rsid w:val="00C05C56"/>
    <w:rsid w:val="00C060E2"/>
    <w:rsid w:val="00C06348"/>
    <w:rsid w:val="00C06EF1"/>
    <w:rsid w:val="00C0727D"/>
    <w:rsid w:val="00C1067E"/>
    <w:rsid w:val="00C10B86"/>
    <w:rsid w:val="00C113E3"/>
    <w:rsid w:val="00C114CD"/>
    <w:rsid w:val="00C11AB8"/>
    <w:rsid w:val="00C14FC7"/>
    <w:rsid w:val="00C20D4B"/>
    <w:rsid w:val="00C22325"/>
    <w:rsid w:val="00C2475D"/>
    <w:rsid w:val="00C24B1F"/>
    <w:rsid w:val="00C352D2"/>
    <w:rsid w:val="00C43DD1"/>
    <w:rsid w:val="00C43F50"/>
    <w:rsid w:val="00C444C6"/>
    <w:rsid w:val="00C4589F"/>
    <w:rsid w:val="00C50283"/>
    <w:rsid w:val="00C50A11"/>
    <w:rsid w:val="00C5231C"/>
    <w:rsid w:val="00C52F2F"/>
    <w:rsid w:val="00C55DDF"/>
    <w:rsid w:val="00C60FFA"/>
    <w:rsid w:val="00C62DE8"/>
    <w:rsid w:val="00C63368"/>
    <w:rsid w:val="00C636A3"/>
    <w:rsid w:val="00C63D1C"/>
    <w:rsid w:val="00C64C4A"/>
    <w:rsid w:val="00C6796D"/>
    <w:rsid w:val="00C706AF"/>
    <w:rsid w:val="00C717E1"/>
    <w:rsid w:val="00C74017"/>
    <w:rsid w:val="00C747E7"/>
    <w:rsid w:val="00C75D43"/>
    <w:rsid w:val="00C77CB1"/>
    <w:rsid w:val="00C80072"/>
    <w:rsid w:val="00C8082F"/>
    <w:rsid w:val="00C82439"/>
    <w:rsid w:val="00C84F12"/>
    <w:rsid w:val="00C8642C"/>
    <w:rsid w:val="00C87476"/>
    <w:rsid w:val="00C90483"/>
    <w:rsid w:val="00C909B7"/>
    <w:rsid w:val="00C91C6D"/>
    <w:rsid w:val="00C91E6D"/>
    <w:rsid w:val="00C932C2"/>
    <w:rsid w:val="00C949A3"/>
    <w:rsid w:val="00C951FB"/>
    <w:rsid w:val="00C95402"/>
    <w:rsid w:val="00C96CCF"/>
    <w:rsid w:val="00CA3146"/>
    <w:rsid w:val="00CA5C41"/>
    <w:rsid w:val="00CA5E9F"/>
    <w:rsid w:val="00CA7C15"/>
    <w:rsid w:val="00CB1A9D"/>
    <w:rsid w:val="00CB1B49"/>
    <w:rsid w:val="00CB4D97"/>
    <w:rsid w:val="00CC1E40"/>
    <w:rsid w:val="00CC2586"/>
    <w:rsid w:val="00CC2621"/>
    <w:rsid w:val="00CC32E6"/>
    <w:rsid w:val="00CC5D1B"/>
    <w:rsid w:val="00CD01A4"/>
    <w:rsid w:val="00CD2365"/>
    <w:rsid w:val="00CD3697"/>
    <w:rsid w:val="00CD5A63"/>
    <w:rsid w:val="00CD66DA"/>
    <w:rsid w:val="00CE0F25"/>
    <w:rsid w:val="00CE596B"/>
    <w:rsid w:val="00CE5F4A"/>
    <w:rsid w:val="00CE722A"/>
    <w:rsid w:val="00CE7C29"/>
    <w:rsid w:val="00CE7DC1"/>
    <w:rsid w:val="00CF17FD"/>
    <w:rsid w:val="00CF1B52"/>
    <w:rsid w:val="00CF4578"/>
    <w:rsid w:val="00CF5790"/>
    <w:rsid w:val="00CF5FCA"/>
    <w:rsid w:val="00D001A3"/>
    <w:rsid w:val="00D04863"/>
    <w:rsid w:val="00D060E9"/>
    <w:rsid w:val="00D066BC"/>
    <w:rsid w:val="00D06BAD"/>
    <w:rsid w:val="00D07DBF"/>
    <w:rsid w:val="00D1316A"/>
    <w:rsid w:val="00D17E7C"/>
    <w:rsid w:val="00D2003F"/>
    <w:rsid w:val="00D2011D"/>
    <w:rsid w:val="00D20EBB"/>
    <w:rsid w:val="00D2144E"/>
    <w:rsid w:val="00D22B9B"/>
    <w:rsid w:val="00D26589"/>
    <w:rsid w:val="00D316D1"/>
    <w:rsid w:val="00D31F9E"/>
    <w:rsid w:val="00D34505"/>
    <w:rsid w:val="00D37013"/>
    <w:rsid w:val="00D37B17"/>
    <w:rsid w:val="00D44459"/>
    <w:rsid w:val="00D44D87"/>
    <w:rsid w:val="00D53707"/>
    <w:rsid w:val="00D5383A"/>
    <w:rsid w:val="00D5536F"/>
    <w:rsid w:val="00D57C70"/>
    <w:rsid w:val="00D61C7A"/>
    <w:rsid w:val="00D61C7D"/>
    <w:rsid w:val="00D62A7E"/>
    <w:rsid w:val="00D662E8"/>
    <w:rsid w:val="00D677B5"/>
    <w:rsid w:val="00D67ECE"/>
    <w:rsid w:val="00D72BD0"/>
    <w:rsid w:val="00D73ED5"/>
    <w:rsid w:val="00D75C08"/>
    <w:rsid w:val="00D75EA4"/>
    <w:rsid w:val="00D8042B"/>
    <w:rsid w:val="00D80B19"/>
    <w:rsid w:val="00D80CE3"/>
    <w:rsid w:val="00D8136D"/>
    <w:rsid w:val="00D8294B"/>
    <w:rsid w:val="00D8415B"/>
    <w:rsid w:val="00D854EC"/>
    <w:rsid w:val="00D86798"/>
    <w:rsid w:val="00D87D74"/>
    <w:rsid w:val="00D912CA"/>
    <w:rsid w:val="00D9151F"/>
    <w:rsid w:val="00D94259"/>
    <w:rsid w:val="00D950B2"/>
    <w:rsid w:val="00D95841"/>
    <w:rsid w:val="00DA0377"/>
    <w:rsid w:val="00DA3E96"/>
    <w:rsid w:val="00DA45E0"/>
    <w:rsid w:val="00DA5B0B"/>
    <w:rsid w:val="00DA61C7"/>
    <w:rsid w:val="00DA7150"/>
    <w:rsid w:val="00DB0C4E"/>
    <w:rsid w:val="00DB228F"/>
    <w:rsid w:val="00DB2683"/>
    <w:rsid w:val="00DB2E4F"/>
    <w:rsid w:val="00DB4B91"/>
    <w:rsid w:val="00DB567E"/>
    <w:rsid w:val="00DB6860"/>
    <w:rsid w:val="00DB757E"/>
    <w:rsid w:val="00DC1170"/>
    <w:rsid w:val="00DC1E08"/>
    <w:rsid w:val="00DC2982"/>
    <w:rsid w:val="00DC3AB4"/>
    <w:rsid w:val="00DC518A"/>
    <w:rsid w:val="00DC618D"/>
    <w:rsid w:val="00DD20A3"/>
    <w:rsid w:val="00DD374B"/>
    <w:rsid w:val="00DD4D3C"/>
    <w:rsid w:val="00DD7863"/>
    <w:rsid w:val="00DE0652"/>
    <w:rsid w:val="00DE207D"/>
    <w:rsid w:val="00DE290B"/>
    <w:rsid w:val="00DE33D3"/>
    <w:rsid w:val="00DE448E"/>
    <w:rsid w:val="00DE46B4"/>
    <w:rsid w:val="00DE5E17"/>
    <w:rsid w:val="00DE6039"/>
    <w:rsid w:val="00DE6662"/>
    <w:rsid w:val="00DE688A"/>
    <w:rsid w:val="00DE68B0"/>
    <w:rsid w:val="00DE6F6C"/>
    <w:rsid w:val="00DF1D84"/>
    <w:rsid w:val="00DF2CCC"/>
    <w:rsid w:val="00DF3279"/>
    <w:rsid w:val="00DF7C0E"/>
    <w:rsid w:val="00E0596C"/>
    <w:rsid w:val="00E060CE"/>
    <w:rsid w:val="00E0747B"/>
    <w:rsid w:val="00E07F89"/>
    <w:rsid w:val="00E135BB"/>
    <w:rsid w:val="00E136F7"/>
    <w:rsid w:val="00E13C54"/>
    <w:rsid w:val="00E13D44"/>
    <w:rsid w:val="00E13D9C"/>
    <w:rsid w:val="00E14E53"/>
    <w:rsid w:val="00E1625C"/>
    <w:rsid w:val="00E172BA"/>
    <w:rsid w:val="00E17958"/>
    <w:rsid w:val="00E22703"/>
    <w:rsid w:val="00E23A11"/>
    <w:rsid w:val="00E25A03"/>
    <w:rsid w:val="00E26021"/>
    <w:rsid w:val="00E27924"/>
    <w:rsid w:val="00E27CF5"/>
    <w:rsid w:val="00E313CD"/>
    <w:rsid w:val="00E31AF2"/>
    <w:rsid w:val="00E33007"/>
    <w:rsid w:val="00E37B3C"/>
    <w:rsid w:val="00E42A83"/>
    <w:rsid w:val="00E465F5"/>
    <w:rsid w:val="00E466B3"/>
    <w:rsid w:val="00E46C0C"/>
    <w:rsid w:val="00E502D8"/>
    <w:rsid w:val="00E503A3"/>
    <w:rsid w:val="00E51B1B"/>
    <w:rsid w:val="00E51BC7"/>
    <w:rsid w:val="00E52041"/>
    <w:rsid w:val="00E53478"/>
    <w:rsid w:val="00E54275"/>
    <w:rsid w:val="00E551FE"/>
    <w:rsid w:val="00E561FA"/>
    <w:rsid w:val="00E609A0"/>
    <w:rsid w:val="00E60AEE"/>
    <w:rsid w:val="00E6273E"/>
    <w:rsid w:val="00E62A0C"/>
    <w:rsid w:val="00E63389"/>
    <w:rsid w:val="00E706AF"/>
    <w:rsid w:val="00E70A79"/>
    <w:rsid w:val="00E70DA8"/>
    <w:rsid w:val="00E73B34"/>
    <w:rsid w:val="00E7426D"/>
    <w:rsid w:val="00E75782"/>
    <w:rsid w:val="00E7644A"/>
    <w:rsid w:val="00E76B32"/>
    <w:rsid w:val="00E76F21"/>
    <w:rsid w:val="00E81B34"/>
    <w:rsid w:val="00E8274F"/>
    <w:rsid w:val="00E85617"/>
    <w:rsid w:val="00E86180"/>
    <w:rsid w:val="00E87C28"/>
    <w:rsid w:val="00E9104A"/>
    <w:rsid w:val="00E91789"/>
    <w:rsid w:val="00E93423"/>
    <w:rsid w:val="00E94E8B"/>
    <w:rsid w:val="00E95667"/>
    <w:rsid w:val="00E971A3"/>
    <w:rsid w:val="00EA0ABE"/>
    <w:rsid w:val="00EA1B8D"/>
    <w:rsid w:val="00EA1C18"/>
    <w:rsid w:val="00EA2878"/>
    <w:rsid w:val="00EA55B5"/>
    <w:rsid w:val="00EA60E8"/>
    <w:rsid w:val="00EA6299"/>
    <w:rsid w:val="00EA7061"/>
    <w:rsid w:val="00EB3A63"/>
    <w:rsid w:val="00EC01C0"/>
    <w:rsid w:val="00EC119D"/>
    <w:rsid w:val="00EC1684"/>
    <w:rsid w:val="00EC3BD8"/>
    <w:rsid w:val="00ED3939"/>
    <w:rsid w:val="00ED5E7B"/>
    <w:rsid w:val="00ED5EB5"/>
    <w:rsid w:val="00EE022C"/>
    <w:rsid w:val="00EE0438"/>
    <w:rsid w:val="00EE2552"/>
    <w:rsid w:val="00EE74F1"/>
    <w:rsid w:val="00EF051D"/>
    <w:rsid w:val="00EF3FCE"/>
    <w:rsid w:val="00EF4CF5"/>
    <w:rsid w:val="00EF78E5"/>
    <w:rsid w:val="00F0073B"/>
    <w:rsid w:val="00F02768"/>
    <w:rsid w:val="00F02DAF"/>
    <w:rsid w:val="00F03C3E"/>
    <w:rsid w:val="00F05123"/>
    <w:rsid w:val="00F113D9"/>
    <w:rsid w:val="00F129C5"/>
    <w:rsid w:val="00F14CC5"/>
    <w:rsid w:val="00F15428"/>
    <w:rsid w:val="00F20B13"/>
    <w:rsid w:val="00F20CE5"/>
    <w:rsid w:val="00F215A3"/>
    <w:rsid w:val="00F23D81"/>
    <w:rsid w:val="00F251F5"/>
    <w:rsid w:val="00F25A9F"/>
    <w:rsid w:val="00F3098E"/>
    <w:rsid w:val="00F30B9B"/>
    <w:rsid w:val="00F3119E"/>
    <w:rsid w:val="00F31DF1"/>
    <w:rsid w:val="00F31F2F"/>
    <w:rsid w:val="00F336A0"/>
    <w:rsid w:val="00F33D74"/>
    <w:rsid w:val="00F33ECC"/>
    <w:rsid w:val="00F35A0F"/>
    <w:rsid w:val="00F40ED7"/>
    <w:rsid w:val="00F426D1"/>
    <w:rsid w:val="00F4299F"/>
    <w:rsid w:val="00F4573C"/>
    <w:rsid w:val="00F464FD"/>
    <w:rsid w:val="00F479F3"/>
    <w:rsid w:val="00F503E2"/>
    <w:rsid w:val="00F50B80"/>
    <w:rsid w:val="00F52DF5"/>
    <w:rsid w:val="00F535A3"/>
    <w:rsid w:val="00F544E1"/>
    <w:rsid w:val="00F54CA1"/>
    <w:rsid w:val="00F56003"/>
    <w:rsid w:val="00F57A1F"/>
    <w:rsid w:val="00F607BB"/>
    <w:rsid w:val="00F66DDA"/>
    <w:rsid w:val="00F72833"/>
    <w:rsid w:val="00F73C23"/>
    <w:rsid w:val="00F74425"/>
    <w:rsid w:val="00F74D56"/>
    <w:rsid w:val="00F8015B"/>
    <w:rsid w:val="00F81531"/>
    <w:rsid w:val="00F8364A"/>
    <w:rsid w:val="00F83A6C"/>
    <w:rsid w:val="00F85EEF"/>
    <w:rsid w:val="00F92248"/>
    <w:rsid w:val="00F97130"/>
    <w:rsid w:val="00F97A8A"/>
    <w:rsid w:val="00FA5348"/>
    <w:rsid w:val="00FB1F65"/>
    <w:rsid w:val="00FB5E58"/>
    <w:rsid w:val="00FB66A0"/>
    <w:rsid w:val="00FC100E"/>
    <w:rsid w:val="00FC1B0D"/>
    <w:rsid w:val="00FC1D83"/>
    <w:rsid w:val="00FC2B1C"/>
    <w:rsid w:val="00FC4F9F"/>
    <w:rsid w:val="00FD20EC"/>
    <w:rsid w:val="00FD312A"/>
    <w:rsid w:val="00FD353B"/>
    <w:rsid w:val="00FD56FE"/>
    <w:rsid w:val="00FD6A67"/>
    <w:rsid w:val="00FD714B"/>
    <w:rsid w:val="00FE0471"/>
    <w:rsid w:val="00FE519C"/>
    <w:rsid w:val="00FE5CCB"/>
    <w:rsid w:val="00FE5DF2"/>
    <w:rsid w:val="00FF0A5E"/>
    <w:rsid w:val="00FF0E3A"/>
    <w:rsid w:val="00FF1B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9DB59"/>
  <w15:docId w15:val="{926E4ED7-CDB9-F841-B93C-7379CF20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38"/>
    <w:rPr>
      <w:rFonts w:eastAsia="Times New Roman"/>
      <w:i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53">
    <w:name w:val="ListLabel 53"/>
    <w:qFormat/>
    <w:rsid w:val="00394D21"/>
    <w:rPr>
      <w:lang w:val="en-GB" w:eastAsia="en-US" w:bidi="ar-SA"/>
    </w:rPr>
  </w:style>
  <w:style w:type="paragraph" w:customStyle="1" w:styleId="western">
    <w:name w:val="western"/>
    <w:basedOn w:val="Normal"/>
    <w:rsid w:val="00F33D74"/>
    <w:pPr>
      <w:spacing w:before="100" w:beforeAutospacing="1"/>
    </w:pPr>
    <w:rPr>
      <w:iCs/>
      <w:color w:val="000000"/>
      <w:sz w:val="20"/>
      <w:szCs w:val="20"/>
    </w:rPr>
  </w:style>
  <w:style w:type="paragraph" w:styleId="FootnoteText">
    <w:name w:val="footnote text"/>
    <w:basedOn w:val="Normal"/>
    <w:link w:val="FootnoteTextChar"/>
    <w:uiPriority w:val="99"/>
    <w:unhideWhenUsed/>
    <w:rsid w:val="00A644ED"/>
    <w:rPr>
      <w:rFonts w:eastAsiaTheme="minorHAnsi"/>
      <w:iCs/>
      <w:sz w:val="20"/>
      <w:szCs w:val="20"/>
      <w:lang w:eastAsia="en-US"/>
    </w:rPr>
  </w:style>
  <w:style w:type="character" w:customStyle="1" w:styleId="FootnoteTextChar">
    <w:name w:val="Footnote Text Char"/>
    <w:basedOn w:val="DefaultParagraphFont"/>
    <w:link w:val="FootnoteText"/>
    <w:uiPriority w:val="99"/>
    <w:rsid w:val="00A644ED"/>
    <w:rPr>
      <w:sz w:val="20"/>
      <w:szCs w:val="20"/>
    </w:rPr>
  </w:style>
  <w:style w:type="character" w:styleId="Hyperlink">
    <w:name w:val="Hyperlink"/>
    <w:basedOn w:val="DefaultParagraphFont"/>
    <w:uiPriority w:val="99"/>
    <w:unhideWhenUsed/>
    <w:rsid w:val="009C54B3"/>
    <w:rPr>
      <w:color w:val="0563C1" w:themeColor="hyperlink"/>
      <w:u w:val="single"/>
    </w:rPr>
  </w:style>
  <w:style w:type="character" w:customStyle="1" w:styleId="UnresolvedMention1">
    <w:name w:val="Unresolved Mention1"/>
    <w:basedOn w:val="DefaultParagraphFont"/>
    <w:uiPriority w:val="99"/>
    <w:semiHidden/>
    <w:unhideWhenUsed/>
    <w:rsid w:val="009C54B3"/>
    <w:rPr>
      <w:color w:val="605E5C"/>
      <w:shd w:val="clear" w:color="auto" w:fill="E1DFDD"/>
    </w:rPr>
  </w:style>
  <w:style w:type="paragraph" w:styleId="ListParagraph">
    <w:name w:val="List Paragraph"/>
    <w:basedOn w:val="Normal"/>
    <w:uiPriority w:val="34"/>
    <w:qFormat/>
    <w:rsid w:val="001B1EC9"/>
    <w:pPr>
      <w:ind w:left="720"/>
      <w:contextualSpacing/>
    </w:pPr>
    <w:rPr>
      <w:rFonts w:eastAsiaTheme="minorHAnsi"/>
      <w:iCs/>
      <w:lang w:eastAsia="en-US"/>
    </w:rPr>
  </w:style>
  <w:style w:type="paragraph" w:styleId="Header">
    <w:name w:val="header"/>
    <w:basedOn w:val="Normal"/>
    <w:link w:val="HeaderChar"/>
    <w:uiPriority w:val="99"/>
    <w:unhideWhenUsed/>
    <w:rsid w:val="00301A14"/>
    <w:pPr>
      <w:tabs>
        <w:tab w:val="center" w:pos="4680"/>
        <w:tab w:val="right" w:pos="9360"/>
      </w:tabs>
    </w:pPr>
    <w:rPr>
      <w:rFonts w:eastAsiaTheme="minorHAnsi"/>
      <w:iCs/>
      <w:lang w:eastAsia="en-US"/>
    </w:rPr>
  </w:style>
  <w:style w:type="character" w:customStyle="1" w:styleId="HeaderChar">
    <w:name w:val="Header Char"/>
    <w:basedOn w:val="DefaultParagraphFont"/>
    <w:link w:val="Header"/>
    <w:uiPriority w:val="99"/>
    <w:rsid w:val="00301A14"/>
  </w:style>
  <w:style w:type="character" w:styleId="PageNumber">
    <w:name w:val="page number"/>
    <w:basedOn w:val="DefaultParagraphFont"/>
    <w:uiPriority w:val="99"/>
    <w:semiHidden/>
    <w:unhideWhenUsed/>
    <w:rsid w:val="00301A14"/>
  </w:style>
  <w:style w:type="character" w:styleId="FootnoteReference">
    <w:name w:val="footnote reference"/>
    <w:basedOn w:val="DefaultParagraphFont"/>
    <w:uiPriority w:val="99"/>
    <w:unhideWhenUsed/>
    <w:rsid w:val="00A042D9"/>
    <w:rPr>
      <w:vertAlign w:val="superscript"/>
    </w:rPr>
  </w:style>
  <w:style w:type="character" w:customStyle="1" w:styleId="apple-converted-space">
    <w:name w:val="apple-converted-space"/>
    <w:basedOn w:val="DefaultParagraphFont"/>
    <w:rsid w:val="001B330B"/>
  </w:style>
  <w:style w:type="character" w:customStyle="1" w:styleId="InternetLink">
    <w:name w:val="Internet Link"/>
    <w:basedOn w:val="DefaultParagraphFont"/>
    <w:uiPriority w:val="99"/>
    <w:unhideWhenUsed/>
    <w:rsid w:val="005A4063"/>
    <w:rPr>
      <w:color w:val="0563C1" w:themeColor="hyperlink"/>
      <w:u w:val="single"/>
    </w:rPr>
  </w:style>
  <w:style w:type="character" w:styleId="PlaceholderText">
    <w:name w:val="Placeholder Text"/>
    <w:basedOn w:val="DefaultParagraphFont"/>
    <w:uiPriority w:val="99"/>
    <w:semiHidden/>
    <w:rsid w:val="00057921"/>
    <w:rPr>
      <w:color w:val="808080"/>
    </w:rPr>
  </w:style>
  <w:style w:type="character" w:styleId="FollowedHyperlink">
    <w:name w:val="FollowedHyperlink"/>
    <w:basedOn w:val="DefaultParagraphFont"/>
    <w:uiPriority w:val="99"/>
    <w:semiHidden/>
    <w:unhideWhenUsed/>
    <w:rsid w:val="000146CA"/>
    <w:rPr>
      <w:color w:val="954F72" w:themeColor="followedHyperlink"/>
      <w:u w:val="single"/>
    </w:rPr>
  </w:style>
  <w:style w:type="paragraph" w:styleId="BalloonText">
    <w:name w:val="Balloon Text"/>
    <w:basedOn w:val="Normal"/>
    <w:link w:val="BalloonTextChar"/>
    <w:uiPriority w:val="99"/>
    <w:semiHidden/>
    <w:unhideWhenUsed/>
    <w:rsid w:val="009052B9"/>
    <w:rPr>
      <w:rFonts w:ascii="Lucida Grande" w:eastAsiaTheme="minorHAnsi" w:hAnsi="Lucida Grande" w:cs="Lucida Grande"/>
      <w:iCs/>
      <w:sz w:val="18"/>
      <w:szCs w:val="18"/>
      <w:lang w:eastAsia="en-US"/>
    </w:rPr>
  </w:style>
  <w:style w:type="character" w:customStyle="1" w:styleId="BalloonTextChar">
    <w:name w:val="Balloon Text Char"/>
    <w:basedOn w:val="DefaultParagraphFont"/>
    <w:link w:val="BalloonText"/>
    <w:uiPriority w:val="99"/>
    <w:semiHidden/>
    <w:rsid w:val="009052B9"/>
    <w:rPr>
      <w:rFonts w:ascii="Lucida Grande" w:hAnsi="Lucida Grande" w:cs="Lucida Grande"/>
      <w:sz w:val="18"/>
      <w:szCs w:val="18"/>
    </w:rPr>
  </w:style>
  <w:style w:type="character" w:styleId="Emphasis">
    <w:name w:val="Emphasis"/>
    <w:basedOn w:val="DefaultParagraphFont"/>
    <w:uiPriority w:val="20"/>
    <w:qFormat/>
    <w:rsid w:val="00274D8C"/>
    <w:rPr>
      <w:i/>
      <w:iCs w:val="0"/>
    </w:rPr>
  </w:style>
  <w:style w:type="paragraph" w:styleId="Footer">
    <w:name w:val="footer"/>
    <w:basedOn w:val="Normal"/>
    <w:link w:val="FooterChar"/>
    <w:uiPriority w:val="99"/>
    <w:unhideWhenUsed/>
    <w:rsid w:val="00BC01C5"/>
    <w:pPr>
      <w:tabs>
        <w:tab w:val="center" w:pos="4320"/>
        <w:tab w:val="right" w:pos="8640"/>
      </w:tabs>
    </w:pPr>
    <w:rPr>
      <w:rFonts w:eastAsiaTheme="minorHAnsi"/>
      <w:iCs/>
      <w:lang w:eastAsia="en-US"/>
    </w:rPr>
  </w:style>
  <w:style w:type="character" w:customStyle="1" w:styleId="FooterChar">
    <w:name w:val="Footer Char"/>
    <w:basedOn w:val="DefaultParagraphFont"/>
    <w:link w:val="Footer"/>
    <w:uiPriority w:val="99"/>
    <w:rsid w:val="00BC01C5"/>
  </w:style>
  <w:style w:type="paragraph" w:styleId="NormalWeb">
    <w:name w:val="Normal (Web)"/>
    <w:basedOn w:val="Normal"/>
    <w:uiPriority w:val="99"/>
    <w:semiHidden/>
    <w:unhideWhenUsed/>
    <w:rsid w:val="00A14290"/>
    <w:rPr>
      <w:rFonts w:eastAsiaTheme="minorHAnsi"/>
      <w:iCs/>
      <w:lang w:eastAsia="en-US"/>
    </w:rPr>
  </w:style>
  <w:style w:type="character" w:styleId="UnresolvedMention">
    <w:name w:val="Unresolved Mention"/>
    <w:basedOn w:val="DefaultParagraphFont"/>
    <w:uiPriority w:val="99"/>
    <w:semiHidden/>
    <w:unhideWhenUsed/>
    <w:rsid w:val="0032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435">
      <w:bodyDiv w:val="1"/>
      <w:marLeft w:val="0"/>
      <w:marRight w:val="0"/>
      <w:marTop w:val="0"/>
      <w:marBottom w:val="0"/>
      <w:divBdr>
        <w:top w:val="none" w:sz="0" w:space="0" w:color="auto"/>
        <w:left w:val="none" w:sz="0" w:space="0" w:color="auto"/>
        <w:bottom w:val="none" w:sz="0" w:space="0" w:color="auto"/>
        <w:right w:val="none" w:sz="0" w:space="0" w:color="auto"/>
      </w:divBdr>
      <w:divsChild>
        <w:div w:id="147063710">
          <w:marLeft w:val="0"/>
          <w:marRight w:val="0"/>
          <w:marTop w:val="0"/>
          <w:marBottom w:val="0"/>
          <w:divBdr>
            <w:top w:val="none" w:sz="0" w:space="0" w:color="auto"/>
            <w:left w:val="none" w:sz="0" w:space="0" w:color="auto"/>
            <w:bottom w:val="none" w:sz="0" w:space="0" w:color="auto"/>
            <w:right w:val="none" w:sz="0" w:space="0" w:color="auto"/>
          </w:divBdr>
        </w:div>
        <w:div w:id="101076761">
          <w:marLeft w:val="0"/>
          <w:marRight w:val="0"/>
          <w:marTop w:val="0"/>
          <w:marBottom w:val="0"/>
          <w:divBdr>
            <w:top w:val="none" w:sz="0" w:space="0" w:color="auto"/>
            <w:left w:val="none" w:sz="0" w:space="0" w:color="auto"/>
            <w:bottom w:val="none" w:sz="0" w:space="0" w:color="auto"/>
            <w:right w:val="none" w:sz="0" w:space="0" w:color="auto"/>
          </w:divBdr>
          <w:divsChild>
            <w:div w:id="12932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2294">
      <w:bodyDiv w:val="1"/>
      <w:marLeft w:val="0"/>
      <w:marRight w:val="0"/>
      <w:marTop w:val="0"/>
      <w:marBottom w:val="0"/>
      <w:divBdr>
        <w:top w:val="none" w:sz="0" w:space="0" w:color="auto"/>
        <w:left w:val="none" w:sz="0" w:space="0" w:color="auto"/>
        <w:bottom w:val="none" w:sz="0" w:space="0" w:color="auto"/>
        <w:right w:val="none" w:sz="0" w:space="0" w:color="auto"/>
      </w:divBdr>
    </w:div>
    <w:div w:id="199637223">
      <w:bodyDiv w:val="1"/>
      <w:marLeft w:val="0"/>
      <w:marRight w:val="0"/>
      <w:marTop w:val="0"/>
      <w:marBottom w:val="0"/>
      <w:divBdr>
        <w:top w:val="none" w:sz="0" w:space="0" w:color="auto"/>
        <w:left w:val="none" w:sz="0" w:space="0" w:color="auto"/>
        <w:bottom w:val="none" w:sz="0" w:space="0" w:color="auto"/>
        <w:right w:val="none" w:sz="0" w:space="0" w:color="auto"/>
      </w:divBdr>
    </w:div>
    <w:div w:id="258147583">
      <w:bodyDiv w:val="1"/>
      <w:marLeft w:val="0"/>
      <w:marRight w:val="0"/>
      <w:marTop w:val="0"/>
      <w:marBottom w:val="0"/>
      <w:divBdr>
        <w:top w:val="none" w:sz="0" w:space="0" w:color="auto"/>
        <w:left w:val="none" w:sz="0" w:space="0" w:color="auto"/>
        <w:bottom w:val="none" w:sz="0" w:space="0" w:color="auto"/>
        <w:right w:val="none" w:sz="0" w:space="0" w:color="auto"/>
      </w:divBdr>
    </w:div>
    <w:div w:id="269316703">
      <w:bodyDiv w:val="1"/>
      <w:marLeft w:val="0"/>
      <w:marRight w:val="0"/>
      <w:marTop w:val="0"/>
      <w:marBottom w:val="0"/>
      <w:divBdr>
        <w:top w:val="none" w:sz="0" w:space="0" w:color="auto"/>
        <w:left w:val="none" w:sz="0" w:space="0" w:color="auto"/>
        <w:bottom w:val="none" w:sz="0" w:space="0" w:color="auto"/>
        <w:right w:val="none" w:sz="0" w:space="0" w:color="auto"/>
      </w:divBdr>
    </w:div>
    <w:div w:id="307051591">
      <w:bodyDiv w:val="1"/>
      <w:marLeft w:val="0"/>
      <w:marRight w:val="0"/>
      <w:marTop w:val="0"/>
      <w:marBottom w:val="0"/>
      <w:divBdr>
        <w:top w:val="none" w:sz="0" w:space="0" w:color="auto"/>
        <w:left w:val="none" w:sz="0" w:space="0" w:color="auto"/>
        <w:bottom w:val="none" w:sz="0" w:space="0" w:color="auto"/>
        <w:right w:val="none" w:sz="0" w:space="0" w:color="auto"/>
      </w:divBdr>
    </w:div>
    <w:div w:id="314997578">
      <w:bodyDiv w:val="1"/>
      <w:marLeft w:val="0"/>
      <w:marRight w:val="0"/>
      <w:marTop w:val="0"/>
      <w:marBottom w:val="0"/>
      <w:divBdr>
        <w:top w:val="none" w:sz="0" w:space="0" w:color="auto"/>
        <w:left w:val="none" w:sz="0" w:space="0" w:color="auto"/>
        <w:bottom w:val="none" w:sz="0" w:space="0" w:color="auto"/>
        <w:right w:val="none" w:sz="0" w:space="0" w:color="auto"/>
      </w:divBdr>
      <w:divsChild>
        <w:div w:id="109820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55387">
              <w:marLeft w:val="0"/>
              <w:marRight w:val="0"/>
              <w:marTop w:val="0"/>
              <w:marBottom w:val="0"/>
              <w:divBdr>
                <w:top w:val="none" w:sz="0" w:space="0" w:color="auto"/>
                <w:left w:val="none" w:sz="0" w:space="0" w:color="auto"/>
                <w:bottom w:val="none" w:sz="0" w:space="0" w:color="auto"/>
                <w:right w:val="none" w:sz="0" w:space="0" w:color="auto"/>
              </w:divBdr>
              <w:divsChild>
                <w:div w:id="544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3315187">
      <w:bodyDiv w:val="1"/>
      <w:marLeft w:val="0"/>
      <w:marRight w:val="0"/>
      <w:marTop w:val="0"/>
      <w:marBottom w:val="0"/>
      <w:divBdr>
        <w:top w:val="none" w:sz="0" w:space="0" w:color="auto"/>
        <w:left w:val="none" w:sz="0" w:space="0" w:color="auto"/>
        <w:bottom w:val="none" w:sz="0" w:space="0" w:color="auto"/>
        <w:right w:val="none" w:sz="0" w:space="0" w:color="auto"/>
      </w:divBdr>
      <w:divsChild>
        <w:div w:id="309528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634172">
              <w:marLeft w:val="0"/>
              <w:marRight w:val="0"/>
              <w:marTop w:val="0"/>
              <w:marBottom w:val="0"/>
              <w:divBdr>
                <w:top w:val="none" w:sz="0" w:space="0" w:color="auto"/>
                <w:left w:val="none" w:sz="0" w:space="0" w:color="auto"/>
                <w:bottom w:val="none" w:sz="0" w:space="0" w:color="auto"/>
                <w:right w:val="none" w:sz="0" w:space="0" w:color="auto"/>
              </w:divBdr>
              <w:divsChild>
                <w:div w:id="353922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6762552">
      <w:bodyDiv w:val="1"/>
      <w:marLeft w:val="0"/>
      <w:marRight w:val="0"/>
      <w:marTop w:val="0"/>
      <w:marBottom w:val="0"/>
      <w:divBdr>
        <w:top w:val="none" w:sz="0" w:space="0" w:color="auto"/>
        <w:left w:val="none" w:sz="0" w:space="0" w:color="auto"/>
        <w:bottom w:val="none" w:sz="0" w:space="0" w:color="auto"/>
        <w:right w:val="none" w:sz="0" w:space="0" w:color="auto"/>
      </w:divBdr>
      <w:divsChild>
        <w:div w:id="228658671">
          <w:marLeft w:val="0"/>
          <w:marRight w:val="0"/>
          <w:marTop w:val="0"/>
          <w:marBottom w:val="0"/>
          <w:divBdr>
            <w:top w:val="none" w:sz="0" w:space="0" w:color="auto"/>
            <w:left w:val="none" w:sz="0" w:space="0" w:color="auto"/>
            <w:bottom w:val="none" w:sz="0" w:space="0" w:color="auto"/>
            <w:right w:val="none" w:sz="0" w:space="0" w:color="auto"/>
          </w:divBdr>
        </w:div>
        <w:div w:id="1165584562">
          <w:marLeft w:val="0"/>
          <w:marRight w:val="0"/>
          <w:marTop w:val="0"/>
          <w:marBottom w:val="0"/>
          <w:divBdr>
            <w:top w:val="none" w:sz="0" w:space="0" w:color="auto"/>
            <w:left w:val="none" w:sz="0" w:space="0" w:color="auto"/>
            <w:bottom w:val="none" w:sz="0" w:space="0" w:color="auto"/>
            <w:right w:val="none" w:sz="0" w:space="0" w:color="auto"/>
          </w:divBdr>
          <w:divsChild>
            <w:div w:id="597519173">
              <w:marLeft w:val="0"/>
              <w:marRight w:val="0"/>
              <w:marTop w:val="0"/>
              <w:marBottom w:val="0"/>
              <w:divBdr>
                <w:top w:val="none" w:sz="0" w:space="0" w:color="auto"/>
                <w:left w:val="none" w:sz="0" w:space="0" w:color="auto"/>
                <w:bottom w:val="none" w:sz="0" w:space="0" w:color="auto"/>
                <w:right w:val="none" w:sz="0" w:space="0" w:color="auto"/>
              </w:divBdr>
            </w:div>
            <w:div w:id="350182151">
              <w:marLeft w:val="0"/>
              <w:marRight w:val="0"/>
              <w:marTop w:val="0"/>
              <w:marBottom w:val="0"/>
              <w:divBdr>
                <w:top w:val="none" w:sz="0" w:space="0" w:color="auto"/>
                <w:left w:val="none" w:sz="0" w:space="0" w:color="auto"/>
                <w:bottom w:val="none" w:sz="0" w:space="0" w:color="auto"/>
                <w:right w:val="none" w:sz="0" w:space="0" w:color="auto"/>
              </w:divBdr>
              <w:divsChild>
                <w:div w:id="16287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4058">
      <w:bodyDiv w:val="1"/>
      <w:marLeft w:val="0"/>
      <w:marRight w:val="0"/>
      <w:marTop w:val="0"/>
      <w:marBottom w:val="0"/>
      <w:divBdr>
        <w:top w:val="none" w:sz="0" w:space="0" w:color="auto"/>
        <w:left w:val="none" w:sz="0" w:space="0" w:color="auto"/>
        <w:bottom w:val="none" w:sz="0" w:space="0" w:color="auto"/>
        <w:right w:val="none" w:sz="0" w:space="0" w:color="auto"/>
      </w:divBdr>
    </w:div>
    <w:div w:id="587931196">
      <w:bodyDiv w:val="1"/>
      <w:marLeft w:val="0"/>
      <w:marRight w:val="0"/>
      <w:marTop w:val="0"/>
      <w:marBottom w:val="0"/>
      <w:divBdr>
        <w:top w:val="none" w:sz="0" w:space="0" w:color="auto"/>
        <w:left w:val="none" w:sz="0" w:space="0" w:color="auto"/>
        <w:bottom w:val="none" w:sz="0" w:space="0" w:color="auto"/>
        <w:right w:val="none" w:sz="0" w:space="0" w:color="auto"/>
      </w:divBdr>
    </w:div>
    <w:div w:id="594241518">
      <w:bodyDiv w:val="1"/>
      <w:marLeft w:val="0"/>
      <w:marRight w:val="0"/>
      <w:marTop w:val="0"/>
      <w:marBottom w:val="0"/>
      <w:divBdr>
        <w:top w:val="none" w:sz="0" w:space="0" w:color="auto"/>
        <w:left w:val="none" w:sz="0" w:space="0" w:color="auto"/>
        <w:bottom w:val="none" w:sz="0" w:space="0" w:color="auto"/>
        <w:right w:val="none" w:sz="0" w:space="0" w:color="auto"/>
      </w:divBdr>
    </w:div>
    <w:div w:id="715931963">
      <w:bodyDiv w:val="1"/>
      <w:marLeft w:val="0"/>
      <w:marRight w:val="0"/>
      <w:marTop w:val="0"/>
      <w:marBottom w:val="0"/>
      <w:divBdr>
        <w:top w:val="none" w:sz="0" w:space="0" w:color="auto"/>
        <w:left w:val="none" w:sz="0" w:space="0" w:color="auto"/>
        <w:bottom w:val="none" w:sz="0" w:space="0" w:color="auto"/>
        <w:right w:val="none" w:sz="0" w:space="0" w:color="auto"/>
      </w:divBdr>
      <w:divsChild>
        <w:div w:id="213663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4369">
              <w:marLeft w:val="0"/>
              <w:marRight w:val="0"/>
              <w:marTop w:val="0"/>
              <w:marBottom w:val="0"/>
              <w:divBdr>
                <w:top w:val="none" w:sz="0" w:space="0" w:color="auto"/>
                <w:left w:val="none" w:sz="0" w:space="0" w:color="auto"/>
                <w:bottom w:val="none" w:sz="0" w:space="0" w:color="auto"/>
                <w:right w:val="none" w:sz="0" w:space="0" w:color="auto"/>
              </w:divBdr>
              <w:divsChild>
                <w:div w:id="10496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8966040">
      <w:bodyDiv w:val="1"/>
      <w:marLeft w:val="0"/>
      <w:marRight w:val="0"/>
      <w:marTop w:val="0"/>
      <w:marBottom w:val="0"/>
      <w:divBdr>
        <w:top w:val="none" w:sz="0" w:space="0" w:color="auto"/>
        <w:left w:val="none" w:sz="0" w:space="0" w:color="auto"/>
        <w:bottom w:val="none" w:sz="0" w:space="0" w:color="auto"/>
        <w:right w:val="none" w:sz="0" w:space="0" w:color="auto"/>
      </w:divBdr>
    </w:div>
    <w:div w:id="831019983">
      <w:bodyDiv w:val="1"/>
      <w:marLeft w:val="0"/>
      <w:marRight w:val="0"/>
      <w:marTop w:val="0"/>
      <w:marBottom w:val="0"/>
      <w:divBdr>
        <w:top w:val="none" w:sz="0" w:space="0" w:color="auto"/>
        <w:left w:val="none" w:sz="0" w:space="0" w:color="auto"/>
        <w:bottom w:val="none" w:sz="0" w:space="0" w:color="auto"/>
        <w:right w:val="none" w:sz="0" w:space="0" w:color="auto"/>
      </w:divBdr>
    </w:div>
    <w:div w:id="872963921">
      <w:bodyDiv w:val="1"/>
      <w:marLeft w:val="0"/>
      <w:marRight w:val="0"/>
      <w:marTop w:val="0"/>
      <w:marBottom w:val="0"/>
      <w:divBdr>
        <w:top w:val="none" w:sz="0" w:space="0" w:color="auto"/>
        <w:left w:val="none" w:sz="0" w:space="0" w:color="auto"/>
        <w:bottom w:val="none" w:sz="0" w:space="0" w:color="auto"/>
        <w:right w:val="none" w:sz="0" w:space="0" w:color="auto"/>
      </w:divBdr>
    </w:div>
    <w:div w:id="908149039">
      <w:bodyDiv w:val="1"/>
      <w:marLeft w:val="0"/>
      <w:marRight w:val="0"/>
      <w:marTop w:val="0"/>
      <w:marBottom w:val="0"/>
      <w:divBdr>
        <w:top w:val="none" w:sz="0" w:space="0" w:color="auto"/>
        <w:left w:val="none" w:sz="0" w:space="0" w:color="auto"/>
        <w:bottom w:val="none" w:sz="0" w:space="0" w:color="auto"/>
        <w:right w:val="none" w:sz="0" w:space="0" w:color="auto"/>
      </w:divBdr>
      <w:divsChild>
        <w:div w:id="1619330784">
          <w:marLeft w:val="0"/>
          <w:marRight w:val="0"/>
          <w:marTop w:val="0"/>
          <w:marBottom w:val="0"/>
          <w:divBdr>
            <w:top w:val="none" w:sz="0" w:space="0" w:color="auto"/>
            <w:left w:val="none" w:sz="0" w:space="0" w:color="auto"/>
            <w:bottom w:val="none" w:sz="0" w:space="0" w:color="auto"/>
            <w:right w:val="none" w:sz="0" w:space="0" w:color="auto"/>
          </w:divBdr>
        </w:div>
      </w:divsChild>
    </w:div>
    <w:div w:id="1051421469">
      <w:bodyDiv w:val="1"/>
      <w:marLeft w:val="0"/>
      <w:marRight w:val="0"/>
      <w:marTop w:val="0"/>
      <w:marBottom w:val="0"/>
      <w:divBdr>
        <w:top w:val="none" w:sz="0" w:space="0" w:color="auto"/>
        <w:left w:val="none" w:sz="0" w:space="0" w:color="auto"/>
        <w:bottom w:val="none" w:sz="0" w:space="0" w:color="auto"/>
        <w:right w:val="none" w:sz="0" w:space="0" w:color="auto"/>
      </w:divBdr>
      <w:divsChild>
        <w:div w:id="1983458365">
          <w:marLeft w:val="0"/>
          <w:marRight w:val="0"/>
          <w:marTop w:val="0"/>
          <w:marBottom w:val="0"/>
          <w:divBdr>
            <w:top w:val="none" w:sz="0" w:space="0" w:color="auto"/>
            <w:left w:val="none" w:sz="0" w:space="0" w:color="auto"/>
            <w:bottom w:val="none" w:sz="0" w:space="0" w:color="auto"/>
            <w:right w:val="none" w:sz="0" w:space="0" w:color="auto"/>
          </w:divBdr>
        </w:div>
      </w:divsChild>
    </w:div>
    <w:div w:id="1118454108">
      <w:bodyDiv w:val="1"/>
      <w:marLeft w:val="0"/>
      <w:marRight w:val="0"/>
      <w:marTop w:val="0"/>
      <w:marBottom w:val="0"/>
      <w:divBdr>
        <w:top w:val="none" w:sz="0" w:space="0" w:color="auto"/>
        <w:left w:val="none" w:sz="0" w:space="0" w:color="auto"/>
        <w:bottom w:val="none" w:sz="0" w:space="0" w:color="auto"/>
        <w:right w:val="none" w:sz="0" w:space="0" w:color="auto"/>
      </w:divBdr>
      <w:divsChild>
        <w:div w:id="1835221468">
          <w:marLeft w:val="0"/>
          <w:marRight w:val="0"/>
          <w:marTop w:val="0"/>
          <w:marBottom w:val="0"/>
          <w:divBdr>
            <w:top w:val="none" w:sz="0" w:space="0" w:color="auto"/>
            <w:left w:val="none" w:sz="0" w:space="0" w:color="auto"/>
            <w:bottom w:val="none" w:sz="0" w:space="0" w:color="auto"/>
            <w:right w:val="none" w:sz="0" w:space="0" w:color="auto"/>
          </w:divBdr>
          <w:divsChild>
            <w:div w:id="1702168889">
              <w:marLeft w:val="0"/>
              <w:marRight w:val="0"/>
              <w:marTop w:val="0"/>
              <w:marBottom w:val="0"/>
              <w:divBdr>
                <w:top w:val="none" w:sz="0" w:space="0" w:color="auto"/>
                <w:left w:val="none" w:sz="0" w:space="0" w:color="auto"/>
                <w:bottom w:val="none" w:sz="0" w:space="0" w:color="auto"/>
                <w:right w:val="none" w:sz="0" w:space="0" w:color="auto"/>
              </w:divBdr>
            </w:div>
            <w:div w:id="877813276">
              <w:marLeft w:val="0"/>
              <w:marRight w:val="0"/>
              <w:marTop w:val="0"/>
              <w:marBottom w:val="0"/>
              <w:divBdr>
                <w:top w:val="none" w:sz="0" w:space="0" w:color="auto"/>
                <w:left w:val="none" w:sz="0" w:space="0" w:color="auto"/>
                <w:bottom w:val="none" w:sz="0" w:space="0" w:color="auto"/>
                <w:right w:val="none" w:sz="0" w:space="0" w:color="auto"/>
              </w:divBdr>
              <w:divsChild>
                <w:div w:id="18202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80663">
      <w:bodyDiv w:val="1"/>
      <w:marLeft w:val="0"/>
      <w:marRight w:val="0"/>
      <w:marTop w:val="0"/>
      <w:marBottom w:val="0"/>
      <w:divBdr>
        <w:top w:val="none" w:sz="0" w:space="0" w:color="auto"/>
        <w:left w:val="none" w:sz="0" w:space="0" w:color="auto"/>
        <w:bottom w:val="none" w:sz="0" w:space="0" w:color="auto"/>
        <w:right w:val="none" w:sz="0" w:space="0" w:color="auto"/>
      </w:divBdr>
      <w:divsChild>
        <w:div w:id="80493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0145">
      <w:bodyDiv w:val="1"/>
      <w:marLeft w:val="0"/>
      <w:marRight w:val="0"/>
      <w:marTop w:val="0"/>
      <w:marBottom w:val="0"/>
      <w:divBdr>
        <w:top w:val="none" w:sz="0" w:space="0" w:color="auto"/>
        <w:left w:val="none" w:sz="0" w:space="0" w:color="auto"/>
        <w:bottom w:val="none" w:sz="0" w:space="0" w:color="auto"/>
        <w:right w:val="none" w:sz="0" w:space="0" w:color="auto"/>
      </w:divBdr>
    </w:div>
    <w:div w:id="1329483593">
      <w:bodyDiv w:val="1"/>
      <w:marLeft w:val="0"/>
      <w:marRight w:val="0"/>
      <w:marTop w:val="0"/>
      <w:marBottom w:val="0"/>
      <w:divBdr>
        <w:top w:val="none" w:sz="0" w:space="0" w:color="auto"/>
        <w:left w:val="none" w:sz="0" w:space="0" w:color="auto"/>
        <w:bottom w:val="none" w:sz="0" w:space="0" w:color="auto"/>
        <w:right w:val="none" w:sz="0" w:space="0" w:color="auto"/>
      </w:divBdr>
      <w:divsChild>
        <w:div w:id="13179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2749">
              <w:marLeft w:val="0"/>
              <w:marRight w:val="0"/>
              <w:marTop w:val="0"/>
              <w:marBottom w:val="0"/>
              <w:divBdr>
                <w:top w:val="none" w:sz="0" w:space="0" w:color="auto"/>
                <w:left w:val="none" w:sz="0" w:space="0" w:color="auto"/>
                <w:bottom w:val="none" w:sz="0" w:space="0" w:color="auto"/>
                <w:right w:val="none" w:sz="0" w:space="0" w:color="auto"/>
              </w:divBdr>
              <w:divsChild>
                <w:div w:id="136697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3555431">
      <w:bodyDiv w:val="1"/>
      <w:marLeft w:val="0"/>
      <w:marRight w:val="0"/>
      <w:marTop w:val="0"/>
      <w:marBottom w:val="0"/>
      <w:divBdr>
        <w:top w:val="none" w:sz="0" w:space="0" w:color="auto"/>
        <w:left w:val="none" w:sz="0" w:space="0" w:color="auto"/>
        <w:bottom w:val="none" w:sz="0" w:space="0" w:color="auto"/>
        <w:right w:val="none" w:sz="0" w:space="0" w:color="auto"/>
      </w:divBdr>
    </w:div>
    <w:div w:id="1443916315">
      <w:bodyDiv w:val="1"/>
      <w:marLeft w:val="0"/>
      <w:marRight w:val="0"/>
      <w:marTop w:val="0"/>
      <w:marBottom w:val="0"/>
      <w:divBdr>
        <w:top w:val="none" w:sz="0" w:space="0" w:color="auto"/>
        <w:left w:val="none" w:sz="0" w:space="0" w:color="auto"/>
        <w:bottom w:val="none" w:sz="0" w:space="0" w:color="auto"/>
        <w:right w:val="none" w:sz="0" w:space="0" w:color="auto"/>
      </w:divBdr>
    </w:div>
    <w:div w:id="1507285846">
      <w:bodyDiv w:val="1"/>
      <w:marLeft w:val="0"/>
      <w:marRight w:val="0"/>
      <w:marTop w:val="0"/>
      <w:marBottom w:val="0"/>
      <w:divBdr>
        <w:top w:val="none" w:sz="0" w:space="0" w:color="auto"/>
        <w:left w:val="none" w:sz="0" w:space="0" w:color="auto"/>
        <w:bottom w:val="none" w:sz="0" w:space="0" w:color="auto"/>
        <w:right w:val="none" w:sz="0" w:space="0" w:color="auto"/>
      </w:divBdr>
    </w:div>
    <w:div w:id="1556626683">
      <w:bodyDiv w:val="1"/>
      <w:marLeft w:val="0"/>
      <w:marRight w:val="0"/>
      <w:marTop w:val="0"/>
      <w:marBottom w:val="0"/>
      <w:divBdr>
        <w:top w:val="none" w:sz="0" w:space="0" w:color="auto"/>
        <w:left w:val="none" w:sz="0" w:space="0" w:color="auto"/>
        <w:bottom w:val="none" w:sz="0" w:space="0" w:color="auto"/>
        <w:right w:val="none" w:sz="0" w:space="0" w:color="auto"/>
      </w:divBdr>
    </w:div>
    <w:div w:id="1700232455">
      <w:bodyDiv w:val="1"/>
      <w:marLeft w:val="0"/>
      <w:marRight w:val="0"/>
      <w:marTop w:val="0"/>
      <w:marBottom w:val="0"/>
      <w:divBdr>
        <w:top w:val="none" w:sz="0" w:space="0" w:color="auto"/>
        <w:left w:val="none" w:sz="0" w:space="0" w:color="auto"/>
        <w:bottom w:val="none" w:sz="0" w:space="0" w:color="auto"/>
        <w:right w:val="none" w:sz="0" w:space="0" w:color="auto"/>
      </w:divBdr>
    </w:div>
    <w:div w:id="1725134440">
      <w:bodyDiv w:val="1"/>
      <w:marLeft w:val="0"/>
      <w:marRight w:val="0"/>
      <w:marTop w:val="0"/>
      <w:marBottom w:val="0"/>
      <w:divBdr>
        <w:top w:val="none" w:sz="0" w:space="0" w:color="auto"/>
        <w:left w:val="none" w:sz="0" w:space="0" w:color="auto"/>
        <w:bottom w:val="none" w:sz="0" w:space="0" w:color="auto"/>
        <w:right w:val="none" w:sz="0" w:space="0" w:color="auto"/>
      </w:divBdr>
      <w:divsChild>
        <w:div w:id="81755301">
          <w:marLeft w:val="0"/>
          <w:marRight w:val="0"/>
          <w:marTop w:val="0"/>
          <w:marBottom w:val="0"/>
          <w:divBdr>
            <w:top w:val="none" w:sz="0" w:space="0" w:color="auto"/>
            <w:left w:val="none" w:sz="0" w:space="0" w:color="auto"/>
            <w:bottom w:val="none" w:sz="0" w:space="0" w:color="auto"/>
            <w:right w:val="none" w:sz="0" w:space="0" w:color="auto"/>
          </w:divBdr>
          <w:divsChild>
            <w:div w:id="827551105">
              <w:marLeft w:val="0"/>
              <w:marRight w:val="0"/>
              <w:marTop w:val="0"/>
              <w:marBottom w:val="0"/>
              <w:divBdr>
                <w:top w:val="none" w:sz="0" w:space="0" w:color="auto"/>
                <w:left w:val="none" w:sz="0" w:space="0" w:color="auto"/>
                <w:bottom w:val="none" w:sz="0" w:space="0" w:color="auto"/>
                <w:right w:val="none" w:sz="0" w:space="0" w:color="auto"/>
              </w:divBdr>
              <w:divsChild>
                <w:div w:id="2849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7422">
      <w:bodyDiv w:val="1"/>
      <w:marLeft w:val="0"/>
      <w:marRight w:val="0"/>
      <w:marTop w:val="0"/>
      <w:marBottom w:val="0"/>
      <w:divBdr>
        <w:top w:val="none" w:sz="0" w:space="0" w:color="auto"/>
        <w:left w:val="none" w:sz="0" w:space="0" w:color="auto"/>
        <w:bottom w:val="none" w:sz="0" w:space="0" w:color="auto"/>
        <w:right w:val="none" w:sz="0" w:space="0" w:color="auto"/>
      </w:divBdr>
    </w:div>
    <w:div w:id="2019650776">
      <w:bodyDiv w:val="1"/>
      <w:marLeft w:val="0"/>
      <w:marRight w:val="0"/>
      <w:marTop w:val="0"/>
      <w:marBottom w:val="0"/>
      <w:divBdr>
        <w:top w:val="none" w:sz="0" w:space="0" w:color="auto"/>
        <w:left w:val="none" w:sz="0" w:space="0" w:color="auto"/>
        <w:bottom w:val="none" w:sz="0" w:space="0" w:color="auto"/>
        <w:right w:val="none" w:sz="0" w:space="0" w:color="auto"/>
      </w:divBdr>
    </w:div>
    <w:div w:id="2026517158">
      <w:bodyDiv w:val="1"/>
      <w:marLeft w:val="0"/>
      <w:marRight w:val="0"/>
      <w:marTop w:val="0"/>
      <w:marBottom w:val="0"/>
      <w:divBdr>
        <w:top w:val="none" w:sz="0" w:space="0" w:color="auto"/>
        <w:left w:val="none" w:sz="0" w:space="0" w:color="auto"/>
        <w:bottom w:val="none" w:sz="0" w:space="0" w:color="auto"/>
        <w:right w:val="none" w:sz="0" w:space="0" w:color="auto"/>
      </w:divBdr>
      <w:divsChild>
        <w:div w:id="1722510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23023">
              <w:marLeft w:val="0"/>
              <w:marRight w:val="0"/>
              <w:marTop w:val="0"/>
              <w:marBottom w:val="0"/>
              <w:divBdr>
                <w:top w:val="none" w:sz="0" w:space="0" w:color="auto"/>
                <w:left w:val="none" w:sz="0" w:space="0" w:color="auto"/>
                <w:bottom w:val="none" w:sz="0" w:space="0" w:color="auto"/>
                <w:right w:val="none" w:sz="0" w:space="0" w:color="auto"/>
              </w:divBdr>
              <w:divsChild>
                <w:div w:id="40896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65988006">
      <w:bodyDiv w:val="1"/>
      <w:marLeft w:val="0"/>
      <w:marRight w:val="0"/>
      <w:marTop w:val="0"/>
      <w:marBottom w:val="0"/>
      <w:divBdr>
        <w:top w:val="none" w:sz="0" w:space="0" w:color="auto"/>
        <w:left w:val="none" w:sz="0" w:space="0" w:color="auto"/>
        <w:bottom w:val="none" w:sz="0" w:space="0" w:color="auto"/>
        <w:right w:val="none" w:sz="0" w:space="0" w:color="auto"/>
      </w:divBdr>
    </w:div>
    <w:div w:id="2107771865">
      <w:bodyDiv w:val="1"/>
      <w:marLeft w:val="0"/>
      <w:marRight w:val="0"/>
      <w:marTop w:val="0"/>
      <w:marBottom w:val="0"/>
      <w:divBdr>
        <w:top w:val="none" w:sz="0" w:space="0" w:color="auto"/>
        <w:left w:val="none" w:sz="0" w:space="0" w:color="auto"/>
        <w:bottom w:val="none" w:sz="0" w:space="0" w:color="auto"/>
        <w:right w:val="none" w:sz="0" w:space="0" w:color="auto"/>
      </w:divBdr>
      <w:divsChild>
        <w:div w:id="648901619">
          <w:marLeft w:val="0"/>
          <w:marRight w:val="0"/>
          <w:marTop w:val="0"/>
          <w:marBottom w:val="0"/>
          <w:divBdr>
            <w:top w:val="none" w:sz="0" w:space="0" w:color="auto"/>
            <w:left w:val="none" w:sz="0" w:space="0" w:color="auto"/>
            <w:bottom w:val="none" w:sz="0" w:space="0" w:color="auto"/>
            <w:right w:val="none" w:sz="0" w:space="0" w:color="auto"/>
          </w:divBdr>
        </w:div>
        <w:div w:id="941960936">
          <w:marLeft w:val="0"/>
          <w:marRight w:val="0"/>
          <w:marTop w:val="0"/>
          <w:marBottom w:val="0"/>
          <w:divBdr>
            <w:top w:val="none" w:sz="0" w:space="0" w:color="auto"/>
            <w:left w:val="none" w:sz="0" w:space="0" w:color="auto"/>
            <w:bottom w:val="none" w:sz="0" w:space="0" w:color="auto"/>
            <w:right w:val="none" w:sz="0" w:space="0" w:color="auto"/>
          </w:divBdr>
          <w:divsChild>
            <w:div w:id="1341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tht3.388" TargetMode="External"/><Relationship Id="rId13" Type="http://schemas.openxmlformats.org/officeDocument/2006/relationships/hyperlink" Target="https://doi.org/10.1017/epi.2019.27" TargetMode="External"/><Relationship Id="rId18" Type="http://schemas.openxmlformats.org/officeDocument/2006/relationships/hyperlink" Target="https://doi.org/10.1111/j.0309-7013.2004.00121.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93/mind/fzp032" TargetMode="External"/><Relationship Id="rId12" Type="http://schemas.openxmlformats.org/officeDocument/2006/relationships/hyperlink" Target="https://doi.org/10.1017/epi.2015.63" TargetMode="External"/><Relationship Id="rId17" Type="http://schemas.openxmlformats.org/officeDocument/2006/relationships/hyperlink" Target="https://doi.org/10.1111/j.1533-6077.2004.00034.x" TargetMode="External"/><Relationship Id="rId2" Type="http://schemas.openxmlformats.org/officeDocument/2006/relationships/styles" Target="styles.xml"/><Relationship Id="rId16" Type="http://schemas.openxmlformats.org/officeDocument/2006/relationships/hyperlink" Target="https://doi.org/10.1111/0029-4624.0027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048409612347521" TargetMode="External"/><Relationship Id="rId5" Type="http://schemas.openxmlformats.org/officeDocument/2006/relationships/footnotes" Target="footnotes.xml"/><Relationship Id="rId15" Type="http://schemas.openxmlformats.org/officeDocument/2006/relationships/hyperlink" Target="https://doi.org/10.5840/jphil20161131137" TargetMode="External"/><Relationship Id="rId10" Type="http://schemas.openxmlformats.org/officeDocument/2006/relationships/hyperlink" Target="https://plato.stanford.edu/archives/fall2018/entries/ris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11/phpr.12598" TargetMode="External"/><Relationship Id="rId14" Type="http://schemas.openxmlformats.org/officeDocument/2006/relationships/hyperlink" Target="https://doi.org/10.1111/meta.121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14</Pages>
  <Words>6215</Words>
  <Characters>37292</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Moretti, Luca</dc:creator>
  <cp:keywords/>
  <dc:description/>
  <cp:lastModifiedBy>Moretti, Luca</cp:lastModifiedBy>
  <cp:revision>80</cp:revision>
  <dcterms:created xsi:type="dcterms:W3CDTF">2022-02-19T12:38:00Z</dcterms:created>
  <dcterms:modified xsi:type="dcterms:W3CDTF">2022-11-10T10:24:00Z</dcterms:modified>
  <cp:category/>
</cp:coreProperties>
</file>