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17" w:rsidRDefault="003E3717" w:rsidP="003E3717">
      <w:pPr>
        <w:pStyle w:val="Heading1"/>
        <w:jc w:val="center"/>
        <w:rPr>
          <w:sz w:val="52"/>
          <w:szCs w:val="52"/>
        </w:rPr>
      </w:pPr>
      <w:bookmarkStart w:id="0" w:name="_Toc324015011"/>
      <w:bookmarkStart w:id="1" w:name="_Toc324252581"/>
      <w:r>
        <w:rPr>
          <w:sz w:val="52"/>
          <w:szCs w:val="52"/>
        </w:rPr>
        <w:t>Ross Motabhoy.</w:t>
      </w:r>
      <w:bookmarkEnd w:id="0"/>
      <w:bookmarkEnd w:id="1"/>
    </w:p>
    <w:p w:rsidR="003E3717" w:rsidRPr="003E3717" w:rsidRDefault="003E3717" w:rsidP="003E3717"/>
    <w:p w:rsidR="003E3717" w:rsidRDefault="003E3717" w:rsidP="003E3717">
      <w:pPr>
        <w:pStyle w:val="Heading1"/>
        <w:rPr>
          <w:sz w:val="52"/>
          <w:szCs w:val="52"/>
        </w:rPr>
      </w:pPr>
      <w:bookmarkStart w:id="2" w:name="_Toc324015012"/>
      <w:bookmarkStart w:id="3" w:name="_Toc324252582"/>
      <w:r>
        <w:rPr>
          <w:sz w:val="52"/>
          <w:szCs w:val="52"/>
        </w:rPr>
        <w:t>The Philosophy Of Law Dissertation.</w:t>
      </w:r>
      <w:bookmarkEnd w:id="2"/>
      <w:bookmarkEnd w:id="3"/>
    </w:p>
    <w:p w:rsidR="003E3717" w:rsidRDefault="003E3717" w:rsidP="003E3717"/>
    <w:p w:rsidR="003E3717" w:rsidRDefault="003E3717" w:rsidP="003E3717">
      <w:pPr>
        <w:jc w:val="center"/>
        <w:rPr>
          <w:sz w:val="40"/>
          <w:szCs w:val="40"/>
        </w:rPr>
      </w:pPr>
      <w:r>
        <w:rPr>
          <w:sz w:val="40"/>
          <w:szCs w:val="40"/>
        </w:rPr>
        <w:t>(LW540).</w:t>
      </w:r>
    </w:p>
    <w:p w:rsidR="003E3717" w:rsidRDefault="003E3717" w:rsidP="003E3717">
      <w:pPr>
        <w:jc w:val="center"/>
        <w:rPr>
          <w:sz w:val="40"/>
          <w:szCs w:val="40"/>
        </w:rPr>
      </w:pPr>
    </w:p>
    <w:p w:rsidR="003E3717" w:rsidRDefault="003E3717" w:rsidP="003E3717">
      <w:pPr>
        <w:jc w:val="center"/>
        <w:rPr>
          <w:sz w:val="40"/>
          <w:szCs w:val="40"/>
        </w:rPr>
      </w:pPr>
      <w:r>
        <w:rPr>
          <w:sz w:val="40"/>
          <w:szCs w:val="40"/>
        </w:rPr>
        <w:t xml:space="preserve">A Critical Examination of </w:t>
      </w:r>
      <w:r w:rsidR="00581EA1" w:rsidRPr="00581EA1">
        <w:rPr>
          <w:sz w:val="40"/>
          <w:szCs w:val="40"/>
        </w:rPr>
        <w:t>Jiří Přibáň</w:t>
      </w:r>
      <w:r w:rsidR="00DA2E46">
        <w:rPr>
          <w:sz w:val="40"/>
          <w:szCs w:val="40"/>
        </w:rPr>
        <w:t>’</w:t>
      </w:r>
      <w:r w:rsidR="00A72E22">
        <w:rPr>
          <w:sz w:val="40"/>
          <w:szCs w:val="40"/>
        </w:rPr>
        <w:t>s</w:t>
      </w:r>
      <w:r w:rsidR="006E52D0">
        <w:rPr>
          <w:sz w:val="40"/>
          <w:szCs w:val="40"/>
        </w:rPr>
        <w:t xml:space="preserve"> </w:t>
      </w:r>
      <w:r>
        <w:rPr>
          <w:sz w:val="40"/>
          <w:szCs w:val="40"/>
        </w:rPr>
        <w:t>Article:</w:t>
      </w:r>
    </w:p>
    <w:p w:rsidR="003E3717" w:rsidRPr="003E3717" w:rsidRDefault="003E3717" w:rsidP="003E3717">
      <w:pPr>
        <w:jc w:val="center"/>
        <w:rPr>
          <w:sz w:val="40"/>
          <w:szCs w:val="40"/>
        </w:rPr>
      </w:pPr>
      <w:r>
        <w:rPr>
          <w:sz w:val="40"/>
          <w:szCs w:val="40"/>
        </w:rPr>
        <w:t>“Doing What Comes Naturally, Or A Walk on the Wild Side?: Remarks on Stanley Fish’s Anti-Foundationalist Concept of Law, it’s Closure and Force”</w:t>
      </w:r>
    </w:p>
    <w:p w:rsidR="003E3717" w:rsidRDefault="003E3717" w:rsidP="00C87F4C">
      <w:pPr>
        <w:jc w:val="center"/>
        <w:rPr>
          <w:sz w:val="32"/>
        </w:rPr>
      </w:pPr>
      <w:r>
        <w:rPr>
          <w:sz w:val="32"/>
        </w:rPr>
        <w:t>Law and Critique</w:t>
      </w:r>
      <w:r w:rsidR="00C87F4C">
        <w:rPr>
          <w:sz w:val="32"/>
        </w:rPr>
        <w:t xml:space="preserve"> IX/II (1998).</w:t>
      </w:r>
    </w:p>
    <w:p w:rsidR="00C87F4C" w:rsidRDefault="00C87F4C" w:rsidP="003E3717">
      <w:pPr>
        <w:rPr>
          <w:sz w:val="32"/>
        </w:rPr>
      </w:pPr>
    </w:p>
    <w:p w:rsidR="00C87F4C" w:rsidRDefault="00C87F4C" w:rsidP="003E3717">
      <w:pPr>
        <w:rPr>
          <w:sz w:val="32"/>
        </w:rPr>
      </w:pPr>
    </w:p>
    <w:p w:rsidR="00C87F4C" w:rsidRDefault="00C87F4C" w:rsidP="003E3717">
      <w:pPr>
        <w:rPr>
          <w:sz w:val="32"/>
        </w:rPr>
      </w:pPr>
    </w:p>
    <w:p w:rsidR="00C87F4C" w:rsidRPr="00C87F4C" w:rsidRDefault="00C87F4C" w:rsidP="003E3717">
      <w:pPr>
        <w:rPr>
          <w:sz w:val="36"/>
        </w:rPr>
      </w:pPr>
      <w:r>
        <w:rPr>
          <w:sz w:val="36"/>
        </w:rPr>
        <w:t>Supervisor: Dr. Stephen Pethick</w:t>
      </w:r>
    </w:p>
    <w:p w:rsidR="003E3717" w:rsidRPr="003E3717" w:rsidRDefault="003E3717" w:rsidP="003E3717"/>
    <w:p w:rsidR="003E3717" w:rsidRDefault="003E3717">
      <w:r>
        <w:br w:type="page"/>
      </w:r>
    </w:p>
    <w:p w:rsidR="000429D0" w:rsidRDefault="000429D0"/>
    <w:sdt>
      <w:sdtPr>
        <w:rPr>
          <w:rFonts w:asciiTheme="majorHAnsi" w:eastAsiaTheme="majorEastAsia" w:hAnsiTheme="majorHAnsi" w:cstheme="majorBidi"/>
          <w:caps/>
        </w:rPr>
        <w:id w:val="-1078049260"/>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242"/>
          </w:tblGrid>
          <w:tr w:rsidR="00076B19" w:rsidTr="00CE6C46">
            <w:trPr>
              <w:trHeight w:val="246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076B19" w:rsidRDefault="00076B19" w:rsidP="00076B1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The philosophy of law.</w:t>
                    </w:r>
                  </w:p>
                </w:tc>
              </w:sdtContent>
            </w:sdt>
          </w:tr>
          <w:tr w:rsidR="00076B19">
            <w:trPr>
              <w:trHeight w:val="1440"/>
              <w:jc w:val="center"/>
            </w:trPr>
            <w:sdt>
              <w:sdtPr>
                <w:rPr>
                  <w:rFonts w:asciiTheme="majorHAnsi" w:eastAsiaTheme="majorEastAsia" w:hAnsiTheme="majorHAnsi" w:cstheme="majorBidi"/>
                  <w:sz w:val="32"/>
                  <w:szCs w:val="3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76B19" w:rsidRDefault="00536C4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32"/>
                        <w:szCs w:val="32"/>
                      </w:rPr>
                      <w:t>A Critical Examination of Jiri Priban’s Article “Doing What Comes Naturally, Or A Walk on the Wild Side?: Remarks on Stanley Fish’s Anti-Foundationalist Concept of Law, it’s Closure and Force”      Law and Critique IX/II (1998)</w:t>
                    </w:r>
                  </w:p>
                </w:tc>
              </w:sdtContent>
            </w:sdt>
          </w:tr>
          <w:tr w:rsidR="00076B19">
            <w:trPr>
              <w:trHeight w:val="720"/>
              <w:jc w:val="center"/>
            </w:trPr>
            <w:tc>
              <w:tcPr>
                <w:tcW w:w="5000" w:type="pct"/>
                <w:tcBorders>
                  <w:top w:val="single" w:sz="4" w:space="0" w:color="4F81BD" w:themeColor="accent1"/>
                </w:tcBorders>
                <w:vAlign w:val="center"/>
              </w:tcPr>
              <w:tbl>
                <w:tblPr>
                  <w:tblW w:w="9350" w:type="dxa"/>
                  <w:jc w:val="center"/>
                  <w:tblLook w:val="04A0" w:firstRow="1" w:lastRow="0" w:firstColumn="1" w:lastColumn="0" w:noHBand="0" w:noVBand="1"/>
                </w:tblPr>
                <w:tblGrid>
                  <w:gridCol w:w="107"/>
                  <w:gridCol w:w="9026"/>
                  <w:gridCol w:w="217"/>
                </w:tblGrid>
                <w:tr w:rsidR="008E2234" w:rsidTr="006207BD">
                  <w:trPr>
                    <w:gridBefore w:val="1"/>
                    <w:gridAfter w:val="1"/>
                    <w:wBefore w:w="57" w:type="pct"/>
                    <w:wAfter w:w="116" w:type="pct"/>
                    <w:trHeight w:val="360"/>
                    <w:jc w:val="center"/>
                  </w:trPr>
                  <w:tc>
                    <w:tcPr>
                      <w:tcW w:w="4827" w:type="pct"/>
                      <w:vAlign w:val="center"/>
                    </w:tcPr>
                    <w:p w:rsidR="008E2234" w:rsidRDefault="006207BD" w:rsidP="008E2234">
                      <w:pPr>
                        <w:pStyle w:val="NoSpacing"/>
                        <w:jc w:val="center"/>
                        <w:rPr>
                          <w:b/>
                          <w:bCs/>
                        </w:rPr>
                      </w:pPr>
                      <w:r>
                        <w:rPr>
                          <w:b/>
                          <w:bCs/>
                        </w:rPr>
                        <w:t>Ross Motabhoy.</w:t>
                      </w:r>
                    </w:p>
                    <w:p w:rsidR="006207BD" w:rsidRDefault="006207BD" w:rsidP="00E552D4">
                      <w:pPr>
                        <w:pStyle w:val="NoSpacing"/>
                        <w:ind w:right="358"/>
                        <w:jc w:val="center"/>
                        <w:rPr>
                          <w:b/>
                          <w:bCs/>
                        </w:rPr>
                      </w:pPr>
                      <w:r>
                        <w:rPr>
                          <w:b/>
                          <w:bCs/>
                        </w:rPr>
                        <w:t>2012.</w:t>
                      </w:r>
                    </w:p>
                  </w:tc>
                </w:tr>
                <w:tr w:rsidR="008E2234" w:rsidTr="006207BD">
                  <w:trPr>
                    <w:gridBefore w:val="1"/>
                    <w:gridAfter w:val="1"/>
                    <w:wBefore w:w="57" w:type="pct"/>
                    <w:wAfter w:w="116" w:type="pct"/>
                    <w:trHeight w:val="360"/>
                    <w:jc w:val="center"/>
                  </w:trPr>
                  <w:tc>
                    <w:tcPr>
                      <w:tcW w:w="4827" w:type="pct"/>
                      <w:vAlign w:val="center"/>
                    </w:tcPr>
                    <w:p w:rsidR="008E2234" w:rsidRDefault="00944382" w:rsidP="006207BD">
                      <w:pPr>
                        <w:pStyle w:val="NoSpacing"/>
                        <w:jc w:val="center"/>
                        <w:rPr>
                          <w:b/>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260985</wp:posOffset>
                                </wp:positionH>
                                <wp:positionV relativeFrom="paragraph">
                                  <wp:posOffset>-33656</wp:posOffset>
                                </wp:positionV>
                                <wp:extent cx="51523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2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5pt,-2.65pt" to="4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" strokecolor="#4579b8 [3044]">
                                <o:lock v:ext="edit" shapetype="f"/>
                              </v:line>
                            </w:pict>
                          </mc:Fallback>
                        </mc:AlternateContent>
                      </w:r>
                    </w:p>
                  </w:tc>
                </w:tr>
                <w:tr w:rsidR="006207BD" w:rsidTr="006207BD">
                  <w:trPr>
                    <w:trHeight w:val="70"/>
                    <w:jc w:val="center"/>
                  </w:trPr>
                  <w:tc>
                    <w:tcPr>
                      <w:tcW w:w="5000" w:type="pct"/>
                      <w:gridSpan w:val="3"/>
                    </w:tcPr>
                    <w:p w:rsidR="006207BD" w:rsidRDefault="006207BD" w:rsidP="006207BD">
                      <w:pPr>
                        <w:pStyle w:val="NoSpacing"/>
                        <w:jc w:val="center"/>
                        <w:rPr>
                          <w:rFonts w:asciiTheme="majorHAnsi" w:eastAsiaTheme="majorEastAsia" w:hAnsiTheme="majorHAnsi" w:cstheme="majorBidi"/>
                          <w:caps/>
                        </w:rPr>
                      </w:pPr>
                    </w:p>
                  </w:tc>
                </w:tr>
                <w:tr w:rsidR="006207BD" w:rsidTr="006207BD">
                  <w:trPr>
                    <w:trHeight w:val="360"/>
                    <w:jc w:val="center"/>
                  </w:trPr>
                  <w:tc>
                    <w:tcPr>
                      <w:tcW w:w="5000" w:type="pct"/>
                      <w:gridSpan w:val="3"/>
                      <w:vAlign w:val="center"/>
                    </w:tcPr>
                    <w:p w:rsidR="006207BD" w:rsidRDefault="006207BD" w:rsidP="00CE6C46"/>
                  </w:tc>
                </w:tr>
              </w:tbl>
              <w:p w:rsidR="008E2234" w:rsidRDefault="008E2234" w:rsidP="008E2234"/>
              <w:p w:rsidR="00076B19" w:rsidRDefault="00076B19" w:rsidP="008E2234">
                <w:pPr>
                  <w:pStyle w:val="NoSpacing"/>
                  <w:rPr>
                    <w:rFonts w:asciiTheme="majorHAnsi" w:eastAsiaTheme="majorEastAsia" w:hAnsiTheme="majorHAnsi" w:cstheme="majorBidi"/>
                    <w:sz w:val="44"/>
                    <w:szCs w:val="44"/>
                  </w:rPr>
                </w:pPr>
              </w:p>
            </w:tc>
          </w:tr>
          <w:tr w:rsidR="00076B19">
            <w:trPr>
              <w:trHeight w:val="360"/>
              <w:jc w:val="center"/>
            </w:trPr>
            <w:tc>
              <w:tcPr>
                <w:tcW w:w="5000" w:type="pct"/>
                <w:vAlign w:val="center"/>
              </w:tcPr>
              <w:p w:rsidR="00076B19" w:rsidRDefault="00076B19" w:rsidP="008E2234"/>
            </w:tc>
          </w:tr>
        </w:tbl>
        <w:p w:rsidR="00076B19" w:rsidRDefault="00076B19"/>
        <w:p w:rsidR="00076B19" w:rsidRDefault="00076B19"/>
        <w:p w:rsidR="00076B19" w:rsidRDefault="00067868" w:rsidP="00076B19"/>
      </w:sdtContent>
    </w:sdt>
    <w:tbl>
      <w:tblPr>
        <w:tblStyle w:val="TableGrid"/>
        <w:tblpPr w:leftFromText="187" w:rightFromText="187" w:vertAnchor="page" w:horzAnchor="margin" w:tblpY="9743"/>
        <w:tblW w:w="4926" w:type="pct"/>
        <w:tblLook w:val="04A0" w:firstRow="1" w:lastRow="0" w:firstColumn="1" w:lastColumn="0" w:noHBand="0" w:noVBand="1"/>
      </w:tblPr>
      <w:tblGrid>
        <w:gridCol w:w="9105"/>
      </w:tblGrid>
      <w:tr w:rsidR="00076B19" w:rsidTr="00974206">
        <w:trPr>
          <w:trHeight w:val="3915"/>
        </w:trPr>
        <w:sdt>
          <w:sdtPr>
            <w:rPr>
              <w:i/>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076B19" w:rsidRDefault="00EB14A0" w:rsidP="00EB14A0">
                <w:pPr>
                  <w:pStyle w:val="NoSpacing"/>
                  <w:spacing w:after="120"/>
                  <w:jc w:val="center"/>
                </w:pPr>
                <w:r w:rsidRPr="00EB14A0">
                  <w:rPr>
                    <w:i/>
                  </w:rPr>
                  <w:t xml:space="preserve"> A Critical Examination of Jiri Priban’s “Doing What Comes Naturally, Or A Walk on the Wild Side?: Remarks on Stanley Fish’s Anti-Foundationalist Concept of Law, it’s Closure and Force” Law and Critique IX/II (1998) Pages 249-270.The title of my dissertation will be as written above, and will concentrate on an critical examination of Juri Priban’s critique of Stanley Fish’s publication “Doing What Comes Naturally”  which will be an essential element of my dissertation, and will include direct critique of </w:t>
                </w:r>
                <w:r>
                  <w:rPr>
                    <w:i/>
                  </w:rPr>
                  <w:t>Stanley Fish’s book</w:t>
                </w:r>
                <w:r w:rsidRPr="00EB14A0">
                  <w:rPr>
                    <w:i/>
                  </w:rPr>
                  <w:t xml:space="preserve"> </w:t>
                </w:r>
                <w:r>
                  <w:rPr>
                    <w:i/>
                  </w:rPr>
                  <w:t>and</w:t>
                </w:r>
                <w:r w:rsidRPr="00EB14A0">
                  <w:rPr>
                    <w:i/>
                  </w:rPr>
                  <w:t xml:space="preserve"> the arguments raised by Priban. My critique will be made from a </w:t>
                </w:r>
                <w:r>
                  <w:rPr>
                    <w:i/>
                  </w:rPr>
                  <w:t>neutral position, examining</w:t>
                </w:r>
                <w:r w:rsidRPr="00EB14A0">
                  <w:rPr>
                    <w:i/>
                  </w:rPr>
                  <w:t xml:space="preserve"> the</w:t>
                </w:r>
                <w:r>
                  <w:rPr>
                    <w:i/>
                  </w:rPr>
                  <w:t xml:space="preserve"> persuasiveness of the</w:t>
                </w:r>
                <w:r w:rsidRPr="00EB14A0">
                  <w:rPr>
                    <w:i/>
                  </w:rPr>
                  <w:t xml:space="preserve"> anti-foundationalist, pragmatic concept of law, as framed by the Critical Legal Studies Movement, and the anti-theoretical comparative approach by Stanley Fish. I intend to further examine the similarities of Fish’s expansi</w:t>
                </w:r>
                <w:r>
                  <w:rPr>
                    <w:i/>
                  </w:rPr>
                  <w:t xml:space="preserve">on beyond legal theory and into </w:t>
                </w:r>
                <w:r w:rsidRPr="003625A9">
                  <w:rPr>
                    <w:i/>
                  </w:rPr>
                  <w:t xml:space="preserve">legal </w:t>
                </w:r>
                <w:r w:rsidRPr="00EB14A0">
                  <w:rPr>
                    <w:i/>
                  </w:rPr>
                  <w:t>social systems theory a</w:t>
                </w:r>
                <w:r>
                  <w:rPr>
                    <w:i/>
                  </w:rPr>
                  <w:t xml:space="preserve">s framed by </w:t>
                </w:r>
                <w:r w:rsidRPr="001B5F0E">
                  <w:rPr>
                    <w:i/>
                  </w:rPr>
                  <w:t xml:space="preserve"> Niklas Luhmann</w:t>
                </w:r>
                <w:r>
                  <w:rPr>
                    <w:i/>
                  </w:rPr>
                  <w:t>’s Autopoietic</w:t>
                </w:r>
                <w:r w:rsidRPr="00EB14A0">
                  <w:rPr>
                    <w:i/>
                  </w:rPr>
                  <w:t xml:space="preserve"> </w:t>
                </w:r>
                <w:r w:rsidRPr="00B202B9">
                  <w:rPr>
                    <w:i/>
                  </w:rPr>
                  <w:t xml:space="preserve"> theory</w:t>
                </w:r>
                <w:r w:rsidRPr="00EB14A0">
                  <w:rPr>
                    <w:i/>
                  </w:rPr>
                  <w:t xml:space="preserve"> </w:t>
                </w:r>
                <w:r w:rsidRPr="00372F1A">
                  <w:rPr>
                    <w:i/>
                  </w:rPr>
                  <w:t xml:space="preserve"> with regard </w:t>
                </w:r>
                <w:r>
                  <w:rPr>
                    <w:i/>
                  </w:rPr>
                  <w:t xml:space="preserve">to Fish’s understanding of law </w:t>
                </w:r>
                <w:r w:rsidRPr="00372F1A">
                  <w:rPr>
                    <w:i/>
                  </w:rPr>
                  <w:t>as a closed context of interpretative practices</w:t>
                </w:r>
                <w:r>
                  <w:rPr>
                    <w:i/>
                  </w:rPr>
                  <w:t>.</w:t>
                </w:r>
                <w:r w:rsidRPr="00EB14A0">
                  <w:rPr>
                    <w:i/>
                  </w:rPr>
                  <w:t xml:space="preserve"> </w:t>
                </w:r>
                <w:r>
                  <w:rPr>
                    <w:i/>
                  </w:rPr>
                  <w:t>F</w:t>
                </w:r>
                <w:r w:rsidRPr="00EB14A0">
                  <w:rPr>
                    <w:i/>
                  </w:rPr>
                  <w:t xml:space="preserve">ollowing Priban’s critique, my dissertation would explore the source of mutual inspiration between Stanley Fish and Jacques Derrida, with regard to </w:t>
                </w:r>
                <w:r>
                  <w:rPr>
                    <w:i/>
                  </w:rPr>
                  <w:t>Derrida’s deconstructionist concepts</w:t>
                </w:r>
                <w:r w:rsidRPr="00EB14A0">
                  <w:rPr>
                    <w:i/>
                  </w:rPr>
                  <w:t>. And</w:t>
                </w:r>
                <w:r>
                  <w:rPr>
                    <w:i/>
                  </w:rPr>
                  <w:t xml:space="preserve"> further</w:t>
                </w:r>
                <w:r w:rsidRPr="00EB14A0">
                  <w:rPr>
                    <w:i/>
                  </w:rPr>
                  <w:t xml:space="preserve"> examine Priban’s conclusions of Fish</w:t>
                </w:r>
                <w:r>
                  <w:rPr>
                    <w:i/>
                  </w:rPr>
                  <w:t>’s</w:t>
                </w:r>
                <w:r w:rsidRPr="00EB14A0">
                  <w:rPr>
                    <w:i/>
                  </w:rPr>
                  <w:t xml:space="preserve"> </w:t>
                </w:r>
                <w:r>
                  <w:rPr>
                    <w:i/>
                  </w:rPr>
                  <w:t>anti-foundationalist</w:t>
                </w:r>
                <w:r w:rsidRPr="00EB14A0">
                  <w:rPr>
                    <w:i/>
                  </w:rPr>
                  <w:t xml:space="preserve"> theoretical concept of law.</w:t>
                </w:r>
              </w:p>
            </w:tc>
          </w:sdtContent>
        </w:sdt>
      </w:tr>
    </w:tbl>
    <w:p w:rsidR="00E34976" w:rsidRDefault="00E34976" w:rsidP="00FB56D1">
      <w:pPr>
        <w:pStyle w:val="Heading1"/>
      </w:pPr>
    </w:p>
    <w:sdt>
      <w:sdtPr>
        <w:rPr>
          <w:rFonts w:asciiTheme="minorHAnsi" w:eastAsiaTheme="minorEastAsia" w:hAnsiTheme="minorHAnsi" w:cstheme="minorBidi"/>
          <w:b w:val="0"/>
          <w:bCs w:val="0"/>
          <w:sz w:val="22"/>
          <w:szCs w:val="22"/>
          <w:lang w:bidi="ar-SA"/>
        </w:rPr>
        <w:id w:val="6955112"/>
        <w:docPartObj>
          <w:docPartGallery w:val="Table of Contents"/>
          <w:docPartUnique/>
        </w:docPartObj>
      </w:sdtPr>
      <w:sdtEndPr>
        <w:rPr>
          <w:noProof/>
        </w:rPr>
      </w:sdtEndPr>
      <w:sdtContent>
        <w:p w:rsidR="000705F3" w:rsidRPr="008F0A29" w:rsidRDefault="000705F3" w:rsidP="00F9402F">
          <w:pPr>
            <w:pStyle w:val="TOCHeading"/>
            <w:rPr>
              <w:sz w:val="36"/>
            </w:rPr>
          </w:pPr>
          <w:r w:rsidRPr="008F0A29">
            <w:rPr>
              <w:sz w:val="36"/>
            </w:rPr>
            <w:t>Table of Contents</w:t>
          </w:r>
        </w:p>
        <w:p w:rsidR="008F0A29" w:rsidRPr="008F0A29" w:rsidRDefault="009606A5">
          <w:pPr>
            <w:pStyle w:val="TOC1"/>
            <w:rPr>
              <w:noProof/>
              <w:sz w:val="28"/>
            </w:rPr>
          </w:pPr>
          <w:r w:rsidRPr="008F0A29">
            <w:rPr>
              <w:sz w:val="28"/>
            </w:rPr>
            <w:fldChar w:fldCharType="begin"/>
          </w:r>
          <w:r w:rsidR="000705F3" w:rsidRPr="008F0A29">
            <w:rPr>
              <w:sz w:val="28"/>
            </w:rPr>
            <w:instrText xml:space="preserve"> TOC \o "1-3" \h \z \u </w:instrText>
          </w:r>
          <w:r w:rsidRPr="008F0A29">
            <w:rPr>
              <w:sz w:val="28"/>
            </w:rPr>
            <w:fldChar w:fldCharType="separate"/>
          </w:r>
        </w:p>
        <w:p w:rsidR="008F0A29" w:rsidRPr="008F0A29" w:rsidRDefault="008F0A29">
          <w:pPr>
            <w:pStyle w:val="TOC1"/>
            <w:rPr>
              <w:noProof/>
              <w:sz w:val="28"/>
            </w:rPr>
          </w:pPr>
          <w:hyperlink w:anchor="_Toc324252583" w:history="1">
            <w:r w:rsidRPr="008F0A29">
              <w:rPr>
                <w:rStyle w:val="Hyperlink"/>
                <w:noProof/>
                <w:sz w:val="28"/>
              </w:rPr>
              <w:t>Introduction.</w:t>
            </w:r>
            <w:r w:rsidRPr="008F0A29">
              <w:rPr>
                <w:noProof/>
                <w:webHidden/>
                <w:sz w:val="28"/>
              </w:rPr>
              <w:tab/>
            </w:r>
            <w:r w:rsidRPr="008F0A29">
              <w:rPr>
                <w:noProof/>
                <w:webHidden/>
                <w:sz w:val="28"/>
              </w:rPr>
              <w:fldChar w:fldCharType="begin"/>
            </w:r>
            <w:r w:rsidRPr="008F0A29">
              <w:rPr>
                <w:noProof/>
                <w:webHidden/>
                <w:sz w:val="28"/>
              </w:rPr>
              <w:instrText xml:space="preserve"> PAGEREF _Toc324252583 \h </w:instrText>
            </w:r>
            <w:r w:rsidRPr="008F0A29">
              <w:rPr>
                <w:noProof/>
                <w:webHidden/>
                <w:sz w:val="28"/>
              </w:rPr>
            </w:r>
            <w:r w:rsidRPr="008F0A29">
              <w:rPr>
                <w:noProof/>
                <w:webHidden/>
                <w:sz w:val="28"/>
              </w:rPr>
              <w:fldChar w:fldCharType="separate"/>
            </w:r>
            <w:r w:rsidR="00D95ED9">
              <w:rPr>
                <w:noProof/>
                <w:webHidden/>
                <w:sz w:val="28"/>
              </w:rPr>
              <w:t>3</w:t>
            </w:r>
            <w:r w:rsidRPr="008F0A29">
              <w:rPr>
                <w:noProof/>
                <w:webHidden/>
                <w:sz w:val="28"/>
              </w:rPr>
              <w:fldChar w:fldCharType="end"/>
            </w:r>
          </w:hyperlink>
        </w:p>
        <w:p w:rsidR="008F0A29" w:rsidRPr="008F0A29" w:rsidRDefault="008F0A29">
          <w:pPr>
            <w:pStyle w:val="TOC1"/>
            <w:rPr>
              <w:noProof/>
              <w:sz w:val="28"/>
            </w:rPr>
          </w:pPr>
          <w:hyperlink w:anchor="_Toc324252584" w:history="1">
            <w:r w:rsidRPr="008F0A29">
              <w:rPr>
                <w:rStyle w:val="Hyperlink"/>
                <w:noProof/>
                <w:sz w:val="28"/>
              </w:rPr>
              <w:t>Chapter One.</w:t>
            </w:r>
            <w:r w:rsidRPr="008F0A29">
              <w:rPr>
                <w:noProof/>
                <w:webHidden/>
                <w:sz w:val="28"/>
              </w:rPr>
              <w:tab/>
            </w:r>
            <w:r w:rsidRPr="008F0A29">
              <w:rPr>
                <w:noProof/>
                <w:webHidden/>
                <w:sz w:val="28"/>
              </w:rPr>
              <w:fldChar w:fldCharType="begin"/>
            </w:r>
            <w:r w:rsidRPr="008F0A29">
              <w:rPr>
                <w:noProof/>
                <w:webHidden/>
                <w:sz w:val="28"/>
              </w:rPr>
              <w:instrText xml:space="preserve"> PAGEREF _Toc324252584 \h </w:instrText>
            </w:r>
            <w:r w:rsidRPr="008F0A29">
              <w:rPr>
                <w:noProof/>
                <w:webHidden/>
                <w:sz w:val="28"/>
              </w:rPr>
            </w:r>
            <w:r w:rsidRPr="008F0A29">
              <w:rPr>
                <w:noProof/>
                <w:webHidden/>
                <w:sz w:val="28"/>
              </w:rPr>
              <w:fldChar w:fldCharType="separate"/>
            </w:r>
            <w:r w:rsidR="00D95ED9">
              <w:rPr>
                <w:noProof/>
                <w:webHidden/>
                <w:sz w:val="28"/>
              </w:rPr>
              <w:t>4</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85" w:history="1">
            <w:r w:rsidRPr="008F0A29">
              <w:rPr>
                <w:rStyle w:val="Hyperlink"/>
                <w:noProof/>
                <w:sz w:val="28"/>
              </w:rPr>
              <w:t>Positioning and History.</w:t>
            </w:r>
            <w:r w:rsidRPr="008F0A29">
              <w:rPr>
                <w:noProof/>
                <w:webHidden/>
                <w:sz w:val="28"/>
              </w:rPr>
              <w:tab/>
            </w:r>
            <w:r w:rsidRPr="008F0A29">
              <w:rPr>
                <w:noProof/>
                <w:webHidden/>
                <w:sz w:val="28"/>
              </w:rPr>
              <w:fldChar w:fldCharType="begin"/>
            </w:r>
            <w:r w:rsidRPr="008F0A29">
              <w:rPr>
                <w:noProof/>
                <w:webHidden/>
                <w:sz w:val="28"/>
              </w:rPr>
              <w:instrText xml:space="preserve"> PAGEREF _Toc324252585 \h </w:instrText>
            </w:r>
            <w:r w:rsidRPr="008F0A29">
              <w:rPr>
                <w:noProof/>
                <w:webHidden/>
                <w:sz w:val="28"/>
              </w:rPr>
            </w:r>
            <w:r w:rsidRPr="008F0A29">
              <w:rPr>
                <w:noProof/>
                <w:webHidden/>
                <w:sz w:val="28"/>
              </w:rPr>
              <w:fldChar w:fldCharType="separate"/>
            </w:r>
            <w:r w:rsidR="00D95ED9">
              <w:rPr>
                <w:noProof/>
                <w:webHidden/>
                <w:sz w:val="28"/>
              </w:rPr>
              <w:t>4</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86" w:history="1">
            <w:r w:rsidRPr="008F0A29">
              <w:rPr>
                <w:rStyle w:val="Hyperlink"/>
                <w:noProof/>
                <w:sz w:val="28"/>
              </w:rPr>
              <w:t>The Road to Post Modernity.</w:t>
            </w:r>
            <w:r w:rsidRPr="008F0A29">
              <w:rPr>
                <w:noProof/>
                <w:webHidden/>
                <w:sz w:val="28"/>
              </w:rPr>
              <w:tab/>
            </w:r>
            <w:r w:rsidRPr="008F0A29">
              <w:rPr>
                <w:noProof/>
                <w:webHidden/>
                <w:sz w:val="28"/>
              </w:rPr>
              <w:fldChar w:fldCharType="begin"/>
            </w:r>
            <w:r w:rsidRPr="008F0A29">
              <w:rPr>
                <w:noProof/>
                <w:webHidden/>
                <w:sz w:val="28"/>
              </w:rPr>
              <w:instrText xml:space="preserve"> PAGEREF _Toc324252586 \h </w:instrText>
            </w:r>
            <w:r w:rsidRPr="008F0A29">
              <w:rPr>
                <w:noProof/>
                <w:webHidden/>
                <w:sz w:val="28"/>
              </w:rPr>
            </w:r>
            <w:r w:rsidRPr="008F0A29">
              <w:rPr>
                <w:noProof/>
                <w:webHidden/>
                <w:sz w:val="28"/>
              </w:rPr>
              <w:fldChar w:fldCharType="separate"/>
            </w:r>
            <w:r w:rsidR="00D95ED9">
              <w:rPr>
                <w:noProof/>
                <w:webHidden/>
                <w:sz w:val="28"/>
              </w:rPr>
              <w:t>7</w:t>
            </w:r>
            <w:r w:rsidRPr="008F0A29">
              <w:rPr>
                <w:noProof/>
                <w:webHidden/>
                <w:sz w:val="28"/>
              </w:rPr>
              <w:fldChar w:fldCharType="end"/>
            </w:r>
          </w:hyperlink>
        </w:p>
        <w:p w:rsidR="008F0A29" w:rsidRPr="008F0A29" w:rsidRDefault="008F0A29">
          <w:pPr>
            <w:pStyle w:val="TOC1"/>
            <w:rPr>
              <w:noProof/>
              <w:sz w:val="28"/>
            </w:rPr>
          </w:pPr>
          <w:hyperlink w:anchor="_Toc324252587" w:history="1">
            <w:r w:rsidRPr="008F0A29">
              <w:rPr>
                <w:rStyle w:val="Hyperlink"/>
                <w:noProof/>
                <w:sz w:val="28"/>
              </w:rPr>
              <w:t>Chapter Two.</w:t>
            </w:r>
            <w:r w:rsidRPr="008F0A29">
              <w:rPr>
                <w:noProof/>
                <w:webHidden/>
                <w:sz w:val="28"/>
              </w:rPr>
              <w:tab/>
            </w:r>
            <w:r w:rsidRPr="008F0A29">
              <w:rPr>
                <w:noProof/>
                <w:webHidden/>
                <w:sz w:val="28"/>
              </w:rPr>
              <w:fldChar w:fldCharType="begin"/>
            </w:r>
            <w:r w:rsidRPr="008F0A29">
              <w:rPr>
                <w:noProof/>
                <w:webHidden/>
                <w:sz w:val="28"/>
              </w:rPr>
              <w:instrText xml:space="preserve"> PAGEREF _Toc324252587 \h </w:instrText>
            </w:r>
            <w:r w:rsidRPr="008F0A29">
              <w:rPr>
                <w:noProof/>
                <w:webHidden/>
                <w:sz w:val="28"/>
              </w:rPr>
            </w:r>
            <w:r w:rsidRPr="008F0A29">
              <w:rPr>
                <w:noProof/>
                <w:webHidden/>
                <w:sz w:val="28"/>
              </w:rPr>
              <w:fldChar w:fldCharType="separate"/>
            </w:r>
            <w:r w:rsidR="00D95ED9">
              <w:rPr>
                <w:noProof/>
                <w:webHidden/>
                <w:sz w:val="28"/>
              </w:rPr>
              <w:t>11</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88" w:history="1">
            <w:r w:rsidRPr="008F0A29">
              <w:rPr>
                <w:rStyle w:val="Hyperlink"/>
                <w:noProof/>
                <w:sz w:val="28"/>
              </w:rPr>
              <w:t>A Pragmatic Reflection of Post-Structuralism.</w:t>
            </w:r>
            <w:r w:rsidRPr="008F0A29">
              <w:rPr>
                <w:noProof/>
                <w:webHidden/>
                <w:sz w:val="28"/>
              </w:rPr>
              <w:tab/>
            </w:r>
            <w:r w:rsidRPr="008F0A29">
              <w:rPr>
                <w:noProof/>
                <w:webHidden/>
                <w:sz w:val="28"/>
              </w:rPr>
              <w:fldChar w:fldCharType="begin"/>
            </w:r>
            <w:r w:rsidRPr="008F0A29">
              <w:rPr>
                <w:noProof/>
                <w:webHidden/>
                <w:sz w:val="28"/>
              </w:rPr>
              <w:instrText xml:space="preserve"> PAGEREF _Toc324252588 \h </w:instrText>
            </w:r>
            <w:r w:rsidRPr="008F0A29">
              <w:rPr>
                <w:noProof/>
                <w:webHidden/>
                <w:sz w:val="28"/>
              </w:rPr>
            </w:r>
            <w:r w:rsidRPr="008F0A29">
              <w:rPr>
                <w:noProof/>
                <w:webHidden/>
                <w:sz w:val="28"/>
              </w:rPr>
              <w:fldChar w:fldCharType="separate"/>
            </w:r>
            <w:r w:rsidR="00D95ED9">
              <w:rPr>
                <w:noProof/>
                <w:webHidden/>
                <w:sz w:val="28"/>
              </w:rPr>
              <w:t>11</w:t>
            </w:r>
            <w:r w:rsidRPr="008F0A29">
              <w:rPr>
                <w:noProof/>
                <w:webHidden/>
                <w:sz w:val="28"/>
              </w:rPr>
              <w:fldChar w:fldCharType="end"/>
            </w:r>
          </w:hyperlink>
        </w:p>
        <w:p w:rsidR="008F0A29" w:rsidRPr="008F0A29" w:rsidRDefault="008F0A29">
          <w:pPr>
            <w:pStyle w:val="TOC1"/>
            <w:rPr>
              <w:noProof/>
              <w:sz w:val="28"/>
            </w:rPr>
          </w:pPr>
          <w:hyperlink w:anchor="_Toc324252589" w:history="1">
            <w:r w:rsidRPr="008F0A29">
              <w:rPr>
                <w:rStyle w:val="Hyperlink"/>
                <w:noProof/>
                <w:sz w:val="28"/>
              </w:rPr>
              <w:t>Chapter Three.</w:t>
            </w:r>
            <w:r w:rsidRPr="008F0A29">
              <w:rPr>
                <w:noProof/>
                <w:webHidden/>
                <w:sz w:val="28"/>
              </w:rPr>
              <w:tab/>
            </w:r>
            <w:r w:rsidRPr="008F0A29">
              <w:rPr>
                <w:noProof/>
                <w:webHidden/>
                <w:sz w:val="28"/>
              </w:rPr>
              <w:fldChar w:fldCharType="begin"/>
            </w:r>
            <w:r w:rsidRPr="008F0A29">
              <w:rPr>
                <w:noProof/>
                <w:webHidden/>
                <w:sz w:val="28"/>
              </w:rPr>
              <w:instrText xml:space="preserve"> PAGEREF _Toc324252589 \h </w:instrText>
            </w:r>
            <w:r w:rsidRPr="008F0A29">
              <w:rPr>
                <w:noProof/>
                <w:webHidden/>
                <w:sz w:val="28"/>
              </w:rPr>
            </w:r>
            <w:r w:rsidRPr="008F0A29">
              <w:rPr>
                <w:noProof/>
                <w:webHidden/>
                <w:sz w:val="28"/>
              </w:rPr>
              <w:fldChar w:fldCharType="separate"/>
            </w:r>
            <w:r w:rsidR="00D95ED9">
              <w:rPr>
                <w:noProof/>
                <w:webHidden/>
                <w:sz w:val="28"/>
              </w:rPr>
              <w:t>13</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0" w:history="1">
            <w:r w:rsidRPr="008F0A29">
              <w:rPr>
                <w:rStyle w:val="Hyperlink"/>
                <w:noProof/>
                <w:sz w:val="28"/>
              </w:rPr>
              <w:t>The Anti-Foundationalist Perspective.</w:t>
            </w:r>
            <w:r w:rsidRPr="008F0A29">
              <w:rPr>
                <w:noProof/>
                <w:webHidden/>
                <w:sz w:val="28"/>
              </w:rPr>
              <w:tab/>
            </w:r>
            <w:r w:rsidRPr="008F0A29">
              <w:rPr>
                <w:noProof/>
                <w:webHidden/>
                <w:sz w:val="28"/>
              </w:rPr>
              <w:fldChar w:fldCharType="begin"/>
            </w:r>
            <w:r w:rsidRPr="008F0A29">
              <w:rPr>
                <w:noProof/>
                <w:webHidden/>
                <w:sz w:val="28"/>
              </w:rPr>
              <w:instrText xml:space="preserve"> PAGEREF _Toc324252590 \h </w:instrText>
            </w:r>
            <w:r w:rsidRPr="008F0A29">
              <w:rPr>
                <w:noProof/>
                <w:webHidden/>
                <w:sz w:val="28"/>
              </w:rPr>
            </w:r>
            <w:r w:rsidRPr="008F0A29">
              <w:rPr>
                <w:noProof/>
                <w:webHidden/>
                <w:sz w:val="28"/>
              </w:rPr>
              <w:fldChar w:fldCharType="separate"/>
            </w:r>
            <w:r w:rsidR="00D95ED9">
              <w:rPr>
                <w:noProof/>
                <w:webHidden/>
                <w:sz w:val="28"/>
              </w:rPr>
              <w:t>13</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1" w:history="1">
            <w:r w:rsidRPr="008F0A29">
              <w:rPr>
                <w:rStyle w:val="Hyperlink"/>
                <w:noProof/>
                <w:sz w:val="28"/>
              </w:rPr>
              <w:t>Stanley Fish’s Anti-Foundationalist Concept of Law.</w:t>
            </w:r>
            <w:r w:rsidRPr="008F0A29">
              <w:rPr>
                <w:noProof/>
                <w:webHidden/>
                <w:sz w:val="28"/>
              </w:rPr>
              <w:tab/>
            </w:r>
            <w:r w:rsidRPr="008F0A29">
              <w:rPr>
                <w:noProof/>
                <w:webHidden/>
                <w:sz w:val="28"/>
              </w:rPr>
              <w:fldChar w:fldCharType="begin"/>
            </w:r>
            <w:r w:rsidRPr="008F0A29">
              <w:rPr>
                <w:noProof/>
                <w:webHidden/>
                <w:sz w:val="28"/>
              </w:rPr>
              <w:instrText xml:space="preserve"> PAGEREF _Toc324252591 \h </w:instrText>
            </w:r>
            <w:r w:rsidRPr="008F0A29">
              <w:rPr>
                <w:noProof/>
                <w:webHidden/>
                <w:sz w:val="28"/>
              </w:rPr>
            </w:r>
            <w:r w:rsidRPr="008F0A29">
              <w:rPr>
                <w:noProof/>
                <w:webHidden/>
                <w:sz w:val="28"/>
              </w:rPr>
              <w:fldChar w:fldCharType="separate"/>
            </w:r>
            <w:r w:rsidR="00D95ED9">
              <w:rPr>
                <w:noProof/>
                <w:webHidden/>
                <w:sz w:val="28"/>
              </w:rPr>
              <w:t>14</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2" w:history="1">
            <w:r w:rsidRPr="008F0A29">
              <w:rPr>
                <w:rStyle w:val="Hyperlink"/>
                <w:noProof/>
                <w:sz w:val="28"/>
              </w:rPr>
              <w:t>The Force of Law.</w:t>
            </w:r>
            <w:r w:rsidRPr="008F0A29">
              <w:rPr>
                <w:noProof/>
                <w:webHidden/>
                <w:sz w:val="28"/>
              </w:rPr>
              <w:tab/>
            </w:r>
            <w:r w:rsidRPr="008F0A29">
              <w:rPr>
                <w:noProof/>
                <w:webHidden/>
                <w:sz w:val="28"/>
              </w:rPr>
              <w:fldChar w:fldCharType="begin"/>
            </w:r>
            <w:r w:rsidRPr="008F0A29">
              <w:rPr>
                <w:noProof/>
                <w:webHidden/>
                <w:sz w:val="28"/>
              </w:rPr>
              <w:instrText xml:space="preserve"> PAGEREF _Toc324252592 \h </w:instrText>
            </w:r>
            <w:r w:rsidRPr="008F0A29">
              <w:rPr>
                <w:noProof/>
                <w:webHidden/>
                <w:sz w:val="28"/>
              </w:rPr>
            </w:r>
            <w:r w:rsidRPr="008F0A29">
              <w:rPr>
                <w:noProof/>
                <w:webHidden/>
                <w:sz w:val="28"/>
              </w:rPr>
              <w:fldChar w:fldCharType="separate"/>
            </w:r>
            <w:r w:rsidR="00D95ED9">
              <w:rPr>
                <w:noProof/>
                <w:webHidden/>
                <w:sz w:val="28"/>
              </w:rPr>
              <w:t>19</w:t>
            </w:r>
            <w:r w:rsidRPr="008F0A29">
              <w:rPr>
                <w:noProof/>
                <w:webHidden/>
                <w:sz w:val="28"/>
              </w:rPr>
              <w:fldChar w:fldCharType="end"/>
            </w:r>
          </w:hyperlink>
        </w:p>
        <w:p w:rsidR="008F0A29" w:rsidRPr="008F0A29" w:rsidRDefault="008F0A29">
          <w:pPr>
            <w:pStyle w:val="TOC1"/>
            <w:rPr>
              <w:noProof/>
              <w:sz w:val="28"/>
            </w:rPr>
          </w:pPr>
          <w:hyperlink w:anchor="_Toc324252593" w:history="1">
            <w:r w:rsidRPr="008F0A29">
              <w:rPr>
                <w:rStyle w:val="Hyperlink"/>
                <w:noProof/>
                <w:sz w:val="28"/>
              </w:rPr>
              <w:t>Chapter Four.</w:t>
            </w:r>
            <w:r w:rsidRPr="008F0A29">
              <w:rPr>
                <w:noProof/>
                <w:webHidden/>
                <w:sz w:val="28"/>
              </w:rPr>
              <w:tab/>
            </w:r>
            <w:r w:rsidRPr="008F0A29">
              <w:rPr>
                <w:noProof/>
                <w:webHidden/>
                <w:sz w:val="28"/>
              </w:rPr>
              <w:fldChar w:fldCharType="begin"/>
            </w:r>
            <w:r w:rsidRPr="008F0A29">
              <w:rPr>
                <w:noProof/>
                <w:webHidden/>
                <w:sz w:val="28"/>
              </w:rPr>
              <w:instrText xml:space="preserve"> PAGEREF _Toc324252593 \h </w:instrText>
            </w:r>
            <w:r w:rsidRPr="008F0A29">
              <w:rPr>
                <w:noProof/>
                <w:webHidden/>
                <w:sz w:val="28"/>
              </w:rPr>
            </w:r>
            <w:r w:rsidRPr="008F0A29">
              <w:rPr>
                <w:noProof/>
                <w:webHidden/>
                <w:sz w:val="28"/>
              </w:rPr>
              <w:fldChar w:fldCharType="separate"/>
            </w:r>
            <w:r w:rsidR="00D95ED9">
              <w:rPr>
                <w:noProof/>
                <w:webHidden/>
                <w:sz w:val="28"/>
              </w:rPr>
              <w:t>24</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4" w:history="1">
            <w:r w:rsidRPr="008F0A29">
              <w:rPr>
                <w:rStyle w:val="Hyperlink"/>
                <w:noProof/>
                <w:sz w:val="28"/>
              </w:rPr>
              <w:t>Stanley Fish and Niklas Luhmann.</w:t>
            </w:r>
            <w:r w:rsidRPr="008F0A29">
              <w:rPr>
                <w:noProof/>
                <w:webHidden/>
                <w:sz w:val="28"/>
              </w:rPr>
              <w:tab/>
            </w:r>
            <w:r w:rsidRPr="008F0A29">
              <w:rPr>
                <w:noProof/>
                <w:webHidden/>
                <w:sz w:val="28"/>
              </w:rPr>
              <w:fldChar w:fldCharType="begin"/>
            </w:r>
            <w:r w:rsidRPr="008F0A29">
              <w:rPr>
                <w:noProof/>
                <w:webHidden/>
                <w:sz w:val="28"/>
              </w:rPr>
              <w:instrText xml:space="preserve"> PAGEREF _Toc324252594 \h </w:instrText>
            </w:r>
            <w:r w:rsidRPr="008F0A29">
              <w:rPr>
                <w:noProof/>
                <w:webHidden/>
                <w:sz w:val="28"/>
              </w:rPr>
            </w:r>
            <w:r w:rsidRPr="008F0A29">
              <w:rPr>
                <w:noProof/>
                <w:webHidden/>
                <w:sz w:val="28"/>
              </w:rPr>
              <w:fldChar w:fldCharType="separate"/>
            </w:r>
            <w:r w:rsidR="00D95ED9">
              <w:rPr>
                <w:noProof/>
                <w:webHidden/>
                <w:sz w:val="28"/>
              </w:rPr>
              <w:t>24</w:t>
            </w:r>
            <w:r w:rsidRPr="008F0A29">
              <w:rPr>
                <w:noProof/>
                <w:webHidden/>
                <w:sz w:val="28"/>
              </w:rPr>
              <w:fldChar w:fldCharType="end"/>
            </w:r>
          </w:hyperlink>
        </w:p>
        <w:p w:rsidR="008F0A29" w:rsidRPr="008F0A29" w:rsidRDefault="008F0A29">
          <w:pPr>
            <w:pStyle w:val="TOC1"/>
            <w:rPr>
              <w:noProof/>
              <w:sz w:val="28"/>
            </w:rPr>
          </w:pPr>
          <w:hyperlink w:anchor="_Toc324252595" w:history="1">
            <w:r w:rsidRPr="008F0A29">
              <w:rPr>
                <w:rStyle w:val="Hyperlink"/>
                <w:noProof/>
                <w:sz w:val="28"/>
              </w:rPr>
              <w:t>Chapter Five.</w:t>
            </w:r>
            <w:r w:rsidRPr="008F0A29">
              <w:rPr>
                <w:noProof/>
                <w:webHidden/>
                <w:sz w:val="28"/>
              </w:rPr>
              <w:tab/>
            </w:r>
            <w:r w:rsidRPr="008F0A29">
              <w:rPr>
                <w:noProof/>
                <w:webHidden/>
                <w:sz w:val="28"/>
              </w:rPr>
              <w:fldChar w:fldCharType="begin"/>
            </w:r>
            <w:r w:rsidRPr="008F0A29">
              <w:rPr>
                <w:noProof/>
                <w:webHidden/>
                <w:sz w:val="28"/>
              </w:rPr>
              <w:instrText xml:space="preserve"> PAGEREF _Toc324252595 \h </w:instrText>
            </w:r>
            <w:r w:rsidRPr="008F0A29">
              <w:rPr>
                <w:noProof/>
                <w:webHidden/>
                <w:sz w:val="28"/>
              </w:rPr>
            </w:r>
            <w:r w:rsidRPr="008F0A29">
              <w:rPr>
                <w:noProof/>
                <w:webHidden/>
                <w:sz w:val="28"/>
              </w:rPr>
              <w:fldChar w:fldCharType="separate"/>
            </w:r>
            <w:r w:rsidR="00D95ED9">
              <w:rPr>
                <w:noProof/>
                <w:webHidden/>
                <w:sz w:val="28"/>
              </w:rPr>
              <w:t>26</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6" w:history="1">
            <w:r w:rsidRPr="008F0A29">
              <w:rPr>
                <w:rStyle w:val="Hyperlink"/>
                <w:noProof/>
                <w:sz w:val="28"/>
              </w:rPr>
              <w:t>Conclusion.</w:t>
            </w:r>
            <w:r w:rsidRPr="008F0A29">
              <w:rPr>
                <w:noProof/>
                <w:webHidden/>
                <w:sz w:val="28"/>
              </w:rPr>
              <w:tab/>
            </w:r>
            <w:r w:rsidRPr="008F0A29">
              <w:rPr>
                <w:noProof/>
                <w:webHidden/>
                <w:sz w:val="28"/>
              </w:rPr>
              <w:fldChar w:fldCharType="begin"/>
            </w:r>
            <w:r w:rsidRPr="008F0A29">
              <w:rPr>
                <w:noProof/>
                <w:webHidden/>
                <w:sz w:val="28"/>
              </w:rPr>
              <w:instrText xml:space="preserve"> PAGEREF _Toc324252596 \h </w:instrText>
            </w:r>
            <w:r w:rsidRPr="008F0A29">
              <w:rPr>
                <w:noProof/>
                <w:webHidden/>
                <w:sz w:val="28"/>
              </w:rPr>
            </w:r>
            <w:r w:rsidRPr="008F0A29">
              <w:rPr>
                <w:noProof/>
                <w:webHidden/>
                <w:sz w:val="28"/>
              </w:rPr>
              <w:fldChar w:fldCharType="separate"/>
            </w:r>
            <w:r w:rsidR="00D95ED9">
              <w:rPr>
                <w:noProof/>
                <w:webHidden/>
                <w:sz w:val="28"/>
              </w:rPr>
              <w:t>26</w:t>
            </w:r>
            <w:r w:rsidRPr="008F0A29">
              <w:rPr>
                <w:noProof/>
                <w:webHidden/>
                <w:sz w:val="28"/>
              </w:rPr>
              <w:fldChar w:fldCharType="end"/>
            </w:r>
          </w:hyperlink>
        </w:p>
        <w:p w:rsidR="008F0A29" w:rsidRPr="008F0A29" w:rsidRDefault="008F0A29">
          <w:pPr>
            <w:pStyle w:val="TOC1"/>
            <w:rPr>
              <w:noProof/>
              <w:sz w:val="28"/>
            </w:rPr>
          </w:pPr>
          <w:hyperlink w:anchor="_Toc324252597" w:history="1">
            <w:r w:rsidRPr="008F0A29">
              <w:rPr>
                <w:rStyle w:val="Hyperlink"/>
                <w:noProof/>
                <w:sz w:val="28"/>
              </w:rPr>
              <w:t>Bibliography.</w:t>
            </w:r>
            <w:r w:rsidRPr="008F0A29">
              <w:rPr>
                <w:noProof/>
                <w:webHidden/>
                <w:sz w:val="28"/>
              </w:rPr>
              <w:tab/>
            </w:r>
            <w:r w:rsidRPr="008F0A29">
              <w:rPr>
                <w:noProof/>
                <w:webHidden/>
                <w:sz w:val="28"/>
              </w:rPr>
              <w:fldChar w:fldCharType="begin"/>
            </w:r>
            <w:r w:rsidRPr="008F0A29">
              <w:rPr>
                <w:noProof/>
                <w:webHidden/>
                <w:sz w:val="28"/>
              </w:rPr>
              <w:instrText xml:space="preserve"> PAGEREF _Toc324252597 \h </w:instrText>
            </w:r>
            <w:r w:rsidRPr="008F0A29">
              <w:rPr>
                <w:noProof/>
                <w:webHidden/>
                <w:sz w:val="28"/>
              </w:rPr>
            </w:r>
            <w:r w:rsidRPr="008F0A29">
              <w:rPr>
                <w:noProof/>
                <w:webHidden/>
                <w:sz w:val="28"/>
              </w:rPr>
              <w:fldChar w:fldCharType="separate"/>
            </w:r>
            <w:r w:rsidR="00D95ED9">
              <w:rPr>
                <w:noProof/>
                <w:webHidden/>
                <w:sz w:val="28"/>
              </w:rPr>
              <w:t>29</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8" w:history="1">
            <w:r w:rsidRPr="008F0A29">
              <w:rPr>
                <w:rStyle w:val="Hyperlink"/>
                <w:noProof/>
                <w:sz w:val="28"/>
              </w:rPr>
              <w:t>Books.</w:t>
            </w:r>
            <w:r w:rsidRPr="008F0A29">
              <w:rPr>
                <w:noProof/>
                <w:webHidden/>
                <w:sz w:val="28"/>
              </w:rPr>
              <w:tab/>
            </w:r>
            <w:r w:rsidRPr="008F0A29">
              <w:rPr>
                <w:noProof/>
                <w:webHidden/>
                <w:sz w:val="28"/>
              </w:rPr>
              <w:fldChar w:fldCharType="begin"/>
            </w:r>
            <w:r w:rsidRPr="008F0A29">
              <w:rPr>
                <w:noProof/>
                <w:webHidden/>
                <w:sz w:val="28"/>
              </w:rPr>
              <w:instrText xml:space="preserve"> PAGEREF _Toc324252598 \h </w:instrText>
            </w:r>
            <w:r w:rsidRPr="008F0A29">
              <w:rPr>
                <w:noProof/>
                <w:webHidden/>
                <w:sz w:val="28"/>
              </w:rPr>
            </w:r>
            <w:r w:rsidRPr="008F0A29">
              <w:rPr>
                <w:noProof/>
                <w:webHidden/>
                <w:sz w:val="28"/>
              </w:rPr>
              <w:fldChar w:fldCharType="separate"/>
            </w:r>
            <w:r w:rsidR="00D95ED9">
              <w:rPr>
                <w:noProof/>
                <w:webHidden/>
                <w:sz w:val="28"/>
              </w:rPr>
              <w:t>29</w:t>
            </w:r>
            <w:r w:rsidRPr="008F0A29">
              <w:rPr>
                <w:noProof/>
                <w:webHidden/>
                <w:sz w:val="28"/>
              </w:rPr>
              <w:fldChar w:fldCharType="end"/>
            </w:r>
          </w:hyperlink>
        </w:p>
        <w:p w:rsidR="008F0A29" w:rsidRPr="008F0A29" w:rsidRDefault="008F0A29">
          <w:pPr>
            <w:pStyle w:val="TOC2"/>
            <w:tabs>
              <w:tab w:val="right" w:leader="dot" w:pos="9016"/>
            </w:tabs>
            <w:rPr>
              <w:noProof/>
              <w:sz w:val="28"/>
            </w:rPr>
          </w:pPr>
          <w:hyperlink w:anchor="_Toc324252599" w:history="1">
            <w:r w:rsidRPr="008F0A29">
              <w:rPr>
                <w:rStyle w:val="Hyperlink"/>
                <w:noProof/>
                <w:sz w:val="28"/>
              </w:rPr>
              <w:t>Articles.</w:t>
            </w:r>
            <w:r w:rsidRPr="008F0A29">
              <w:rPr>
                <w:noProof/>
                <w:webHidden/>
                <w:sz w:val="28"/>
              </w:rPr>
              <w:tab/>
            </w:r>
            <w:r w:rsidRPr="008F0A29">
              <w:rPr>
                <w:noProof/>
                <w:webHidden/>
                <w:sz w:val="28"/>
              </w:rPr>
              <w:fldChar w:fldCharType="begin"/>
            </w:r>
            <w:r w:rsidRPr="008F0A29">
              <w:rPr>
                <w:noProof/>
                <w:webHidden/>
                <w:sz w:val="28"/>
              </w:rPr>
              <w:instrText xml:space="preserve"> PAGEREF _Toc324252599 \h </w:instrText>
            </w:r>
            <w:r w:rsidRPr="008F0A29">
              <w:rPr>
                <w:noProof/>
                <w:webHidden/>
                <w:sz w:val="28"/>
              </w:rPr>
            </w:r>
            <w:r w:rsidRPr="008F0A29">
              <w:rPr>
                <w:noProof/>
                <w:webHidden/>
                <w:sz w:val="28"/>
              </w:rPr>
              <w:fldChar w:fldCharType="separate"/>
            </w:r>
            <w:r w:rsidR="00D95ED9">
              <w:rPr>
                <w:noProof/>
                <w:webHidden/>
                <w:sz w:val="28"/>
              </w:rPr>
              <w:t>30</w:t>
            </w:r>
            <w:r w:rsidRPr="008F0A29">
              <w:rPr>
                <w:noProof/>
                <w:webHidden/>
                <w:sz w:val="28"/>
              </w:rPr>
              <w:fldChar w:fldCharType="end"/>
            </w:r>
          </w:hyperlink>
        </w:p>
        <w:p w:rsidR="000705F3" w:rsidRDefault="009606A5">
          <w:r w:rsidRPr="008F0A29">
            <w:rPr>
              <w:b/>
              <w:bCs/>
              <w:noProof/>
              <w:sz w:val="28"/>
            </w:rPr>
            <w:fldChar w:fldCharType="end"/>
          </w:r>
        </w:p>
      </w:sdtContent>
    </w:sdt>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8F0A29" w:rsidRDefault="008F0A29" w:rsidP="00FB56D1">
      <w:pPr>
        <w:pStyle w:val="Heading1"/>
      </w:pPr>
      <w:bookmarkStart w:id="4" w:name="_Toc324252583"/>
    </w:p>
    <w:p w:rsidR="00A13F1C" w:rsidRDefault="00FB56D1" w:rsidP="00FB56D1">
      <w:pPr>
        <w:pStyle w:val="Heading1"/>
      </w:pPr>
      <w:r w:rsidRPr="004676FB">
        <w:lastRenderedPageBreak/>
        <w:t>Introduction.</w:t>
      </w:r>
      <w:bookmarkEnd w:id="4"/>
    </w:p>
    <w:p w:rsidR="00441B1D" w:rsidRPr="00441B1D" w:rsidRDefault="00441B1D" w:rsidP="00441B1D"/>
    <w:p w:rsidR="00FB56D1" w:rsidRDefault="004676FB" w:rsidP="00FB56D1">
      <w:r>
        <w:t>A Critical E</w:t>
      </w:r>
      <w:r w:rsidR="00581EA1">
        <w:t>xamination of Ji</w:t>
      </w:r>
      <w:r w:rsidR="00441B1D">
        <w:t xml:space="preserve">ri Priban’s </w:t>
      </w:r>
      <w:r>
        <w:t>A</w:t>
      </w:r>
      <w:r w:rsidR="00441B1D">
        <w:t xml:space="preserve">rticle </w:t>
      </w:r>
      <w:r w:rsidR="001A75B7">
        <w:t>“</w:t>
      </w:r>
      <w:r w:rsidR="00441B1D" w:rsidRPr="00076B19">
        <w:t>Doing What Comes Naturally, Or A Walk on the Wild Side?: Remarks on Stanley Fish’s Anti-Foundationalist Concep</w:t>
      </w:r>
      <w:r>
        <w:t>t of Law, it’s Closure and Force</w:t>
      </w:r>
      <w:r>
        <w:rPr>
          <w:rStyle w:val="FootnoteReference"/>
        </w:rPr>
        <w:footnoteReference w:id="1"/>
      </w:r>
      <w:r w:rsidR="001A75B7">
        <w:t>” (</w:t>
      </w:r>
      <w:r w:rsidR="00B21F1B">
        <w:t>hereinafter</w:t>
      </w:r>
      <w:r w:rsidR="001A75B7">
        <w:t xml:space="preserve"> referred to as “A Walk on t</w:t>
      </w:r>
      <w:r w:rsidR="008E2234">
        <w:t>he Wild Side”) will undoubtedly</w:t>
      </w:r>
      <w:r w:rsidR="001A75B7">
        <w:t xml:space="preserve"> involve the examination of Stanley Fish’s book; “Doing What Comes Naturally</w:t>
      </w:r>
      <w:r w:rsidR="00957AAC">
        <w:rPr>
          <w:rStyle w:val="FootnoteReference"/>
        </w:rPr>
        <w:footnoteReference w:id="2"/>
      </w:r>
      <w:r w:rsidR="001A75B7">
        <w:t xml:space="preserve">” in areas to further expand on Priban’s examination. </w:t>
      </w:r>
    </w:p>
    <w:p w:rsidR="008E2234" w:rsidRDefault="001A75B7" w:rsidP="00FB56D1">
      <w:r>
        <w:t>The ar</w:t>
      </w:r>
      <w:r w:rsidR="004676FB">
        <w:t xml:space="preserve">ea of examination in this essay, </w:t>
      </w:r>
      <w:r>
        <w:t xml:space="preserve">is initially the critique of Priban’s article </w:t>
      </w:r>
      <w:r w:rsidR="008E2234">
        <w:t>however in order to legitimately form arguments on both Priban and Fish’s perspectives</w:t>
      </w:r>
      <w:r w:rsidR="004676FB">
        <w:t>,</w:t>
      </w:r>
      <w:r w:rsidR="008E2234">
        <w:t xml:space="preserve"> I will be drawing on additional texts in order to fully consider and critique their approach and force regarding concepts of law. </w:t>
      </w:r>
    </w:p>
    <w:p w:rsidR="004676FB" w:rsidRDefault="00D13C1F" w:rsidP="004676FB">
      <w:r>
        <w:t>I intend to look beyond Priban’s conclusions to the foundation of his arguments relating to his perspective of Fish’s anti-</w:t>
      </w:r>
      <w:r w:rsidR="004676FB">
        <w:t xml:space="preserve">foundationalist concept of law, and perform a detailed examination of Fish’s anti-foundationalist concepts from a series of his books and publications </w:t>
      </w:r>
      <w:r w:rsidR="004676FB" w:rsidRPr="00EB14A0">
        <w:t>which will be a</w:t>
      </w:r>
      <w:r w:rsidR="004676FB">
        <w:t xml:space="preserve"> key </w:t>
      </w:r>
      <w:r w:rsidR="004676FB" w:rsidRPr="00EB14A0">
        <w:t xml:space="preserve"> element </w:t>
      </w:r>
      <w:r w:rsidR="004676FB">
        <w:t>to my dissertation.</w:t>
      </w:r>
    </w:p>
    <w:p w:rsidR="004676FB" w:rsidRDefault="004676FB" w:rsidP="004676FB">
      <w:r w:rsidRPr="00EB14A0">
        <w:t xml:space="preserve"> </w:t>
      </w:r>
      <w:r>
        <w:t>T</w:t>
      </w:r>
      <w:r w:rsidRPr="00EB14A0">
        <w:t>he arguments raised by Priban</w:t>
      </w:r>
      <w:r>
        <w:t>, will be examined and analysed, and  m</w:t>
      </w:r>
      <w:r w:rsidRPr="00EB14A0">
        <w:t xml:space="preserve">y critique will be made from a </w:t>
      </w:r>
      <w:r>
        <w:t>neutral position, examining</w:t>
      </w:r>
      <w:r w:rsidRPr="00EB14A0">
        <w:t xml:space="preserve"> the</w:t>
      </w:r>
      <w:r>
        <w:t xml:space="preserve"> persuasiveness of Stanley Fish’s</w:t>
      </w:r>
      <w:r w:rsidRPr="00EB14A0">
        <w:t xml:space="preserve"> anti-foundationalist,</w:t>
      </w:r>
      <w:r>
        <w:t xml:space="preserve"> and</w:t>
      </w:r>
      <w:r w:rsidRPr="00EB14A0">
        <w:t xml:space="preserve"> pragmatic concept of law, as </w:t>
      </w:r>
      <w:r>
        <w:t>contrasted</w:t>
      </w:r>
      <w:r w:rsidRPr="00EB14A0">
        <w:t xml:space="preserve"> </w:t>
      </w:r>
      <w:r>
        <w:t>against plurality of different movements.</w:t>
      </w:r>
      <w:r w:rsidRPr="00EB14A0">
        <w:t xml:space="preserve"> </w:t>
      </w:r>
    </w:p>
    <w:p w:rsidR="004676FB" w:rsidRDefault="004676FB" w:rsidP="004676FB">
      <w:r w:rsidRPr="00EB14A0">
        <w:t>I intend to further examine</w:t>
      </w:r>
      <w:r>
        <w:t xml:space="preserve"> and illustrate</w:t>
      </w:r>
      <w:r w:rsidRPr="00EB14A0">
        <w:t xml:space="preserve"> the similarities </w:t>
      </w:r>
      <w:r>
        <w:t>between</w:t>
      </w:r>
      <w:r w:rsidRPr="00EB14A0">
        <w:t xml:space="preserve"> Fish’s expansi</w:t>
      </w:r>
      <w:r>
        <w:t xml:space="preserve">on beyond legal theory and into </w:t>
      </w:r>
      <w:r w:rsidRPr="003625A9">
        <w:t xml:space="preserve">legal </w:t>
      </w:r>
      <w:r w:rsidRPr="00EB14A0">
        <w:t>social systems theory a</w:t>
      </w:r>
      <w:r>
        <w:t xml:space="preserve">s framed by </w:t>
      </w:r>
      <w:r w:rsidRPr="001B5F0E">
        <w:t xml:space="preserve"> Niklas Luhmann</w:t>
      </w:r>
      <w:r>
        <w:t xml:space="preserve">, concentrating on Fish’s concepts of law </w:t>
      </w:r>
      <w:r w:rsidRPr="00372F1A">
        <w:t>as a closed context of interpretative practices</w:t>
      </w:r>
      <w:r>
        <w:t>.</w:t>
      </w:r>
      <w:r w:rsidRPr="00EB14A0">
        <w:t xml:space="preserve"> </w:t>
      </w:r>
    </w:p>
    <w:p w:rsidR="00E34976" w:rsidRDefault="00957AAC" w:rsidP="004676FB">
      <w:r>
        <w:t>Additionally f</w:t>
      </w:r>
      <w:r w:rsidR="004676FB" w:rsidRPr="00EB14A0">
        <w:t xml:space="preserve">ollowing Priban’s critique, my dissertation would explore the </w:t>
      </w:r>
      <w:r>
        <w:t>philosophical and social connection</w:t>
      </w:r>
      <w:r w:rsidR="004676FB" w:rsidRPr="00EB14A0">
        <w:t xml:space="preserve"> between Stanley Fish and Jacques Derrida, with regard to </w:t>
      </w:r>
      <w:r w:rsidR="004676FB">
        <w:t>Derrida’s deconstructionist concepts</w:t>
      </w:r>
      <w:r w:rsidR="004676FB" w:rsidRPr="00EB14A0">
        <w:t xml:space="preserve">. </w:t>
      </w:r>
      <w:r w:rsidR="00E34976">
        <w:br w:type="page"/>
      </w:r>
    </w:p>
    <w:p w:rsidR="000705F3" w:rsidRDefault="00E41D1D" w:rsidP="00E34976">
      <w:pPr>
        <w:pStyle w:val="Heading1"/>
      </w:pPr>
      <w:bookmarkStart w:id="5" w:name="_Toc324252584"/>
      <w:r>
        <w:lastRenderedPageBreak/>
        <w:t>Chapter One</w:t>
      </w:r>
      <w:r w:rsidR="000705F3">
        <w:t>.</w:t>
      </w:r>
      <w:bookmarkEnd w:id="5"/>
    </w:p>
    <w:p w:rsidR="001A75B7" w:rsidRDefault="00F9402F" w:rsidP="00F9402F">
      <w:pPr>
        <w:pStyle w:val="Heading2"/>
      </w:pPr>
      <w:bookmarkStart w:id="6" w:name="_Toc324252585"/>
      <w:r>
        <w:t>History</w:t>
      </w:r>
      <w:r w:rsidR="00B56E5E">
        <w:t xml:space="preserve"> and The Journey</w:t>
      </w:r>
      <w:r>
        <w:t>.</w:t>
      </w:r>
      <w:bookmarkEnd w:id="6"/>
    </w:p>
    <w:p w:rsidR="00F9402F" w:rsidRPr="00F9402F" w:rsidRDefault="00F9402F" w:rsidP="00F9402F"/>
    <w:p w:rsidR="00E41D1D" w:rsidRDefault="00536C46" w:rsidP="00092817">
      <w:r>
        <w:t>Priban b</w:t>
      </w:r>
      <w:r w:rsidR="00092817">
        <w:t xml:space="preserve">egins his </w:t>
      </w:r>
      <w:r>
        <w:t>critique</w:t>
      </w:r>
      <w:r w:rsidR="00092817">
        <w:t xml:space="preserve"> by informing the reader that the initial stages of his article concentrate </w:t>
      </w:r>
      <w:r w:rsidR="00E43AC5">
        <w:t>on the pragmatic reflection of Post</w:t>
      </w:r>
      <w:r w:rsidR="00DD13F6">
        <w:t>-</w:t>
      </w:r>
      <w:r w:rsidR="00092817">
        <w:t>structuralism in contemporary American legal and political</w:t>
      </w:r>
      <w:r w:rsidR="000707F8">
        <w:t xml:space="preserve"> philosophy, and notes further that such a reflection differs significantly </w:t>
      </w:r>
      <w:r w:rsidR="00E43AC5">
        <w:t>from other P</w:t>
      </w:r>
      <w:r w:rsidR="000707F8">
        <w:t xml:space="preserve">oststructuralists like Derrida, Heidegger and Foucault, who take differing and essentially European </w:t>
      </w:r>
      <w:r w:rsidR="00EB14A0">
        <w:t>perspectives. His</w:t>
      </w:r>
      <w:r w:rsidR="00975BD2">
        <w:t xml:space="preserve"> discussion of </w:t>
      </w:r>
      <w:r w:rsidR="00E43AC5">
        <w:t>Post</w:t>
      </w:r>
      <w:r w:rsidR="00DD13F6">
        <w:t>-</w:t>
      </w:r>
      <w:r w:rsidR="00E43AC5">
        <w:t>structuralis</w:t>
      </w:r>
      <w:r w:rsidR="00CA78D8">
        <w:t>m</w:t>
      </w:r>
      <w:r w:rsidR="00E43AC5">
        <w:t>, is designed with the intention of illustrating where Post</w:t>
      </w:r>
      <w:r w:rsidR="00DD13F6">
        <w:t>-structuralism</w:t>
      </w:r>
      <w:r w:rsidR="00E43AC5">
        <w:t xml:space="preserve"> and anti-foundationalist though</w:t>
      </w:r>
      <w:r w:rsidR="00E53994">
        <w:t>t</w:t>
      </w:r>
      <w:r w:rsidR="00E43AC5">
        <w:t xml:space="preserve"> diverge, </w:t>
      </w:r>
      <w:r w:rsidR="00E53994">
        <w:t>suggesting that the point of d</w:t>
      </w:r>
      <w:r w:rsidR="00E43AC5">
        <w:t>ivergence occurs with Stanley Fish. “</w:t>
      </w:r>
      <w:r w:rsidR="00E43AC5" w:rsidRPr="00E43AC5">
        <w:rPr>
          <w:i/>
        </w:rPr>
        <w:t>the most consistent advocate of the anti-foundationalist nature of law and the poststructuralist rejection of the transcendental principle of law seems to be Stanley Fish</w:t>
      </w:r>
      <w:r w:rsidR="00E43AC5">
        <w:t>”</w:t>
      </w:r>
      <w:r w:rsidR="00E43AC5">
        <w:rPr>
          <w:rStyle w:val="FootnoteReference"/>
        </w:rPr>
        <w:footnoteReference w:id="3"/>
      </w:r>
      <w:r w:rsidR="00F20128">
        <w:t xml:space="preserve">. </w:t>
      </w:r>
    </w:p>
    <w:p w:rsidR="000707F8" w:rsidRDefault="00F20128" w:rsidP="00092817">
      <w:r>
        <w:t>Initially however</w:t>
      </w:r>
      <w:r w:rsidR="00E53994">
        <w:t>,</w:t>
      </w:r>
      <w:r>
        <w:t xml:space="preserve"> it is important to provide some background to the concepts of Post Structuralism and Anti Foundationalism in order to analyse and critiq</w:t>
      </w:r>
      <w:r w:rsidR="00E41D1D">
        <w:t>ue Priban’s article effectively. The main body of this chapter will attempt to provide a general overview of post-structuralism, the connection to post-modernism and</w:t>
      </w:r>
      <w:r w:rsidR="00E53994">
        <w:t>,</w:t>
      </w:r>
      <w:r w:rsidR="00E41D1D">
        <w:t xml:space="preserve"> the move from legal realism to critical legal studies</w:t>
      </w:r>
      <w:r w:rsidR="00E53994">
        <w:t>. I</w:t>
      </w:r>
      <w:r w:rsidR="00E41D1D">
        <w:t>n order to illustrate some of the background to the philosophy that Priban initially refers</w:t>
      </w:r>
      <w:r w:rsidR="00E53994">
        <w:t>, a</w:t>
      </w:r>
      <w:r w:rsidR="00E41D1D">
        <w:t xml:space="preserve"> brief outline of anti-foundationalism will then follow, with most of that area being illustrated alongside Priban’s critique, which will begin in </w:t>
      </w:r>
      <w:r w:rsidR="00E53994">
        <w:t>C</w:t>
      </w:r>
      <w:r w:rsidR="00E41D1D">
        <w:t xml:space="preserve">hapter </w:t>
      </w:r>
      <w:r w:rsidR="00E53994">
        <w:t>T</w:t>
      </w:r>
      <w:r w:rsidR="00E41D1D">
        <w:t>wo</w:t>
      </w:r>
      <w:r w:rsidR="00E53994">
        <w:t xml:space="preserve"> – A Pragmatic Reflection of Post-</w:t>
      </w:r>
      <w:r w:rsidR="00EB14A0">
        <w:t>Structuralism</w:t>
      </w:r>
      <w:r w:rsidR="00E41D1D">
        <w:t xml:space="preserve">.   </w:t>
      </w:r>
    </w:p>
    <w:p w:rsidR="00E53994" w:rsidRDefault="00E53994" w:rsidP="00CC45F6">
      <w:pPr>
        <w:rPr>
          <w:bCs/>
        </w:rPr>
      </w:pPr>
    </w:p>
    <w:p w:rsidR="001B34C5" w:rsidRDefault="00F20128" w:rsidP="00CC45F6">
      <w:r w:rsidRPr="00F20128">
        <w:rPr>
          <w:bCs/>
        </w:rPr>
        <w:t xml:space="preserve">The </w:t>
      </w:r>
      <w:r w:rsidR="004737A6">
        <w:rPr>
          <w:bCs/>
        </w:rPr>
        <w:t>historical origins of</w:t>
      </w:r>
      <w:r w:rsidRPr="00F20128">
        <w:rPr>
          <w:bCs/>
        </w:rPr>
        <w:t xml:space="preserve"> Post-structuralism</w:t>
      </w:r>
      <w:r>
        <w:rPr>
          <w:bCs/>
        </w:rPr>
        <w:t xml:space="preserve"> began</w:t>
      </w:r>
      <w:r w:rsidR="00E53994">
        <w:rPr>
          <w:bCs/>
        </w:rPr>
        <w:t xml:space="preserve"> </w:t>
      </w:r>
      <w:r w:rsidRPr="00DD0199">
        <w:t>in France during the 1960s as</w:t>
      </w:r>
      <w:r w:rsidR="004737A6">
        <w:t xml:space="preserve"> a movement </w:t>
      </w:r>
      <w:r w:rsidR="00E53994">
        <w:t>rejecting the</w:t>
      </w:r>
      <w:r w:rsidR="004737A6">
        <w:t xml:space="preserve"> rigid</w:t>
      </w:r>
      <w:r w:rsidR="00996A08">
        <w:t xml:space="preserve"> legal morality and the deterministic nature of </w:t>
      </w:r>
      <w:r w:rsidRPr="00DD0199">
        <w:t>structuralism</w:t>
      </w:r>
      <w:r w:rsidR="00E53994">
        <w:t>. This was</w:t>
      </w:r>
      <w:r w:rsidR="004737A6">
        <w:t xml:space="preserve"> a period of French </w:t>
      </w:r>
      <w:r w:rsidRPr="00DD0199">
        <w:t>political</w:t>
      </w:r>
      <w:r w:rsidR="004737A6">
        <w:t xml:space="preserve"> unrest</w:t>
      </w:r>
      <w:r w:rsidRPr="00DD0199">
        <w:t xml:space="preserve">, </w:t>
      </w:r>
      <w:r w:rsidR="004737A6">
        <w:t>leading to vast student and workers riots in May 1968</w:t>
      </w:r>
      <w:r w:rsidR="00E53994">
        <w:t>, which</w:t>
      </w:r>
      <w:r w:rsidR="001B34C5">
        <w:t xml:space="preserve"> was the catalyst for</w:t>
      </w:r>
      <w:r w:rsidR="00E53994">
        <w:t xml:space="preserve"> </w:t>
      </w:r>
      <w:r w:rsidR="001B34C5">
        <w:t>s</w:t>
      </w:r>
      <w:r w:rsidR="001A23F1">
        <w:t>uch</w:t>
      </w:r>
      <w:r w:rsidR="00E53994">
        <w:t xml:space="preserve"> popular</w:t>
      </w:r>
      <w:r w:rsidR="001A23F1">
        <w:t xml:space="preserve"> </w:t>
      </w:r>
      <w:r w:rsidR="00E53994">
        <w:t>rejection and</w:t>
      </w:r>
      <w:r w:rsidR="001A23F1">
        <w:t xml:space="preserve"> widespread condemnation of the </w:t>
      </w:r>
      <w:r w:rsidR="001A23F1" w:rsidRPr="00DD0199">
        <w:t>domineering</w:t>
      </w:r>
      <w:r w:rsidRPr="00DD0199">
        <w:t xml:space="preserve"> policies of the USSR </w:t>
      </w:r>
      <w:r w:rsidR="001A23F1">
        <w:t xml:space="preserve">and the </w:t>
      </w:r>
      <w:r w:rsidR="00601E25">
        <w:t>growing lack of support for</w:t>
      </w:r>
      <w:r w:rsidR="00E53994">
        <w:t xml:space="preserve"> </w:t>
      </w:r>
      <w:r w:rsidRPr="00DD0199">
        <w:t>orthodox Marxism</w:t>
      </w:r>
      <w:r w:rsidR="001B34C5">
        <w:t>.</w:t>
      </w:r>
      <w:r w:rsidR="00E53994">
        <w:t xml:space="preserve"> </w:t>
      </w:r>
      <w:r w:rsidR="001B34C5">
        <w:t xml:space="preserve">This </w:t>
      </w:r>
      <w:r w:rsidR="00CC45F6">
        <w:t>major</w:t>
      </w:r>
      <w:r w:rsidR="001B34C5">
        <w:t xml:space="preserve"> change in French and European academic attitudes led to </w:t>
      </w:r>
      <w:r w:rsidRPr="00DD0199">
        <w:t xml:space="preserve">increased interest in alternative radical philosophies, </w:t>
      </w:r>
      <w:r w:rsidR="00CC45F6">
        <w:t xml:space="preserve">such as feminism, phenomenology, and nihilism, which all shared the commonality of being critical of western culture, however this commonality allowed branches of critical philosophy to </w:t>
      </w:r>
      <w:r w:rsidR="00DF1A10">
        <w:t xml:space="preserve">develop </w:t>
      </w:r>
      <w:r w:rsidR="00CC45F6">
        <w:t xml:space="preserve">in direct response to </w:t>
      </w:r>
      <w:r w:rsidR="00DF1A10">
        <w:t>answering</w:t>
      </w:r>
      <w:r w:rsidR="00CC45F6">
        <w:t xml:space="preserve"> and justifying such criticisms.  </w:t>
      </w:r>
    </w:p>
    <w:p w:rsidR="00122B65" w:rsidRDefault="00F20128" w:rsidP="00122B65">
      <w:pPr>
        <w:spacing w:after="0"/>
      </w:pPr>
      <w:r w:rsidRPr="00DD0199">
        <w:t xml:space="preserve">Foucault </w:t>
      </w:r>
      <w:r w:rsidR="00CC45F6">
        <w:t xml:space="preserve">referred to such branches in </w:t>
      </w:r>
      <w:r w:rsidR="00BE6C47">
        <w:rPr>
          <w:i/>
        </w:rPr>
        <w:t xml:space="preserve">The </w:t>
      </w:r>
      <w:r w:rsidR="00CC45F6">
        <w:rPr>
          <w:i/>
        </w:rPr>
        <w:t>Arch</w:t>
      </w:r>
      <w:r w:rsidR="00EB14A0">
        <w:rPr>
          <w:i/>
        </w:rPr>
        <w:t>a</w:t>
      </w:r>
      <w:r w:rsidR="00CC45F6">
        <w:rPr>
          <w:i/>
        </w:rPr>
        <w:t>eology of Knowledge</w:t>
      </w:r>
      <w:r w:rsidR="00CC45F6">
        <w:t xml:space="preserve"> as “subjugated </w:t>
      </w:r>
      <w:r w:rsidR="00BA3503">
        <w:t>knowledge’s</w:t>
      </w:r>
      <w:r w:rsidR="00CC45F6">
        <w:t xml:space="preserve">” </w:t>
      </w:r>
      <w:r w:rsidR="00DF1A10">
        <w:t xml:space="preserve">meaning, </w:t>
      </w:r>
      <w:r w:rsidR="00CC45F6">
        <w:t>those moved aside by the domina</w:t>
      </w:r>
      <w:r w:rsidR="00DF1A10">
        <w:t>n</w:t>
      </w:r>
      <w:r w:rsidR="00CC45F6">
        <w:t xml:space="preserve">t forms of </w:t>
      </w:r>
      <w:r w:rsidR="00BA3503">
        <w:t>knowledge, emphasizing</w:t>
      </w:r>
      <w:r w:rsidR="00DF1A10">
        <w:t xml:space="preserve"> that</w:t>
      </w:r>
      <w:r w:rsidR="00BA3503">
        <w:t xml:space="preserve"> a more dyna</w:t>
      </w:r>
      <w:r w:rsidR="00DF1A10">
        <w:t>mic view wa</w:t>
      </w:r>
      <w:r w:rsidR="000E6F48">
        <w:t>s required to criticis</w:t>
      </w:r>
      <w:r w:rsidR="00BA3503">
        <w:t>e power and dominance</w:t>
      </w:r>
      <w:r w:rsidR="00DF1A10">
        <w:t>. O</w:t>
      </w:r>
      <w:r w:rsidR="00BA3503">
        <w:t xml:space="preserve">ne such example of this would </w:t>
      </w:r>
      <w:r w:rsidR="007C622B">
        <w:t xml:space="preserve">be Foucault’s concept of Power </w:t>
      </w:r>
      <w:r w:rsidR="00BA3503">
        <w:t>and Law</w:t>
      </w:r>
      <w:r w:rsidR="007C622B">
        <w:t>, where he highlights that power is not simply a negative construction</w:t>
      </w:r>
      <w:r w:rsidR="00DF1A10">
        <w:t xml:space="preserve"> and that</w:t>
      </w:r>
      <w:r w:rsidR="007C622B">
        <w:t xml:space="preserve"> it </w:t>
      </w:r>
      <w:r w:rsidR="00DF1A10">
        <w:t xml:space="preserve">does have </w:t>
      </w:r>
      <w:r w:rsidR="007C622B">
        <w:t>the capacity to</w:t>
      </w:r>
      <w:r w:rsidR="00DF1A10">
        <w:t xml:space="preserve"> do</w:t>
      </w:r>
      <w:r w:rsidR="007C622B">
        <w:t xml:space="preserve"> “good” in a multiplicity of different forms</w:t>
      </w:r>
      <w:r w:rsidR="007C622B">
        <w:rPr>
          <w:rStyle w:val="FootnoteReference"/>
        </w:rPr>
        <w:footnoteReference w:id="4"/>
      </w:r>
      <w:r w:rsidR="00DF1A10">
        <w:t xml:space="preserve">, </w:t>
      </w:r>
      <w:r w:rsidR="007C622B">
        <w:t>which are not all exercise</w:t>
      </w:r>
      <w:r w:rsidR="00DF1A10">
        <w:t>s</w:t>
      </w:r>
      <w:r w:rsidR="007C622B">
        <w:t xml:space="preserve"> of cohesive power by the state.</w:t>
      </w:r>
      <w:r w:rsidR="00DF1A10">
        <w:t xml:space="preserve"> </w:t>
      </w:r>
      <w:r w:rsidR="00BE6C47">
        <w:t xml:space="preserve">Foucault’s Book </w:t>
      </w:r>
      <w:r w:rsidR="00BE6C47">
        <w:rPr>
          <w:i/>
        </w:rPr>
        <w:t>The Arch</w:t>
      </w:r>
      <w:r w:rsidR="00EB14A0">
        <w:rPr>
          <w:i/>
        </w:rPr>
        <w:t>a</w:t>
      </w:r>
      <w:r w:rsidR="00BE6C47">
        <w:rPr>
          <w:i/>
        </w:rPr>
        <w:t>eology of Knowledge</w:t>
      </w:r>
      <w:r w:rsidR="00BE6C47">
        <w:t xml:space="preserve"> published in 1969 focuses on the concept of the “Statement” as the vehicle for expression</w:t>
      </w:r>
      <w:r w:rsidR="009D77A3">
        <w:t xml:space="preserve">, where any such statement or </w:t>
      </w:r>
      <w:r w:rsidR="009D77A3" w:rsidRPr="009D77A3">
        <w:rPr>
          <w:i/>
        </w:rPr>
        <w:t>enoncés</w:t>
      </w:r>
      <w:r w:rsidR="009D77A3">
        <w:t xml:space="preserve"> is not </w:t>
      </w:r>
      <w:r w:rsidR="00DF1A10">
        <w:t xml:space="preserve">simply </w:t>
      </w:r>
      <w:r w:rsidR="009D77A3">
        <w:t>a composition of signifiers</w:t>
      </w:r>
      <w:r w:rsidR="00DF1A10">
        <w:t xml:space="preserve"> or</w:t>
      </w:r>
      <w:r w:rsidR="009D77A3">
        <w:t xml:space="preserve"> inflections</w:t>
      </w:r>
      <w:r w:rsidR="00DF1A10">
        <w:t xml:space="preserve">, which </w:t>
      </w:r>
      <w:r w:rsidR="009D77A3">
        <w:t>enabl</w:t>
      </w:r>
      <w:r w:rsidR="00DF1A10">
        <w:t xml:space="preserve">e meaning to be determined </w:t>
      </w:r>
      <w:r w:rsidR="009D77A3">
        <w:t>by syntaxical or lexical rules, as illustrated in a structrualist perspective</w:t>
      </w:r>
      <w:r w:rsidR="00DF1A10">
        <w:t>. Foucault proposed</w:t>
      </w:r>
      <w:r w:rsidR="009D77A3">
        <w:t xml:space="preserve"> that </w:t>
      </w:r>
      <w:r w:rsidR="00F26924">
        <w:t>a statement is an abstract creation</w:t>
      </w:r>
      <w:r w:rsidR="00DF1A10">
        <w:t>,</w:t>
      </w:r>
      <w:r w:rsidR="00F26924">
        <w:t xml:space="preserve"> allowing the </w:t>
      </w:r>
      <w:r w:rsidR="00F26924">
        <w:lastRenderedPageBreak/>
        <w:t xml:space="preserve">connection of relations to objects and other statements </w:t>
      </w:r>
      <w:r w:rsidR="00DF1A10">
        <w:t>which form</w:t>
      </w:r>
      <w:r w:rsidR="00F26924">
        <w:t xml:space="preserve"> a discourse</w:t>
      </w:r>
      <w:r w:rsidR="00DF1A10">
        <w:t>. T</w:t>
      </w:r>
      <w:r w:rsidR="00F26924">
        <w:t>he correct formation of a discursive statement under such rules</w:t>
      </w:r>
      <w:r w:rsidR="00DF1A10">
        <w:t>,</w:t>
      </w:r>
      <w:r w:rsidR="00F26924">
        <w:t xml:space="preserve"> is deemed to be </w:t>
      </w:r>
      <w:r w:rsidR="00511AA0">
        <w:t>judged by the existence of repeatable relations. Consequently</w:t>
      </w:r>
      <w:r w:rsidR="00DF1A10">
        <w:t>,</w:t>
      </w:r>
      <w:r w:rsidR="00511AA0">
        <w:t xml:space="preserve"> the meaning of the discursive statement is not bound to the rule of grammar, its meaning is intrinsically bound</w:t>
      </w:r>
      <w:r w:rsidR="007B2128">
        <w:rPr>
          <w:rStyle w:val="FootnoteReference"/>
        </w:rPr>
        <w:footnoteReference w:id="5"/>
      </w:r>
      <w:r w:rsidR="00511AA0">
        <w:t xml:space="preserve"> to its connection to preceding and following statements</w:t>
      </w:r>
      <w:r w:rsidR="00DF1A10">
        <w:t>. T</w:t>
      </w:r>
      <w:r w:rsidR="00511AA0">
        <w:t>he cond</w:t>
      </w:r>
      <w:r w:rsidR="00FC1848">
        <w:t>itions in the discourse itself allow the meaning of expression to be interpreted in a format that is consistent wi</w:t>
      </w:r>
      <w:r w:rsidR="00122B65">
        <w:t xml:space="preserve">th a system of communication. </w:t>
      </w:r>
    </w:p>
    <w:p w:rsidR="00A27260" w:rsidRDefault="00EF47FC" w:rsidP="00122B65">
      <w:pPr>
        <w:spacing w:after="0"/>
      </w:pPr>
      <w:r>
        <w:rPr>
          <w:rFonts w:eastAsia="Times New Roman" w:cstheme="minorHAnsi"/>
        </w:rPr>
        <w:t>Giles Deleuze commented on Foucault’s radical approach when likened to structuralism “</w:t>
      </w:r>
      <w:r w:rsidRPr="00783DBC">
        <w:rPr>
          <w:i/>
        </w:rPr>
        <w:t>Whereas structrualists search for homogeneity in a discursive entity, Foucault focuses on differences”</w:t>
      </w:r>
      <w:r>
        <w:rPr>
          <w:rStyle w:val="FootnoteReference"/>
        </w:rPr>
        <w:footnoteReference w:id="6"/>
      </w:r>
      <w:r>
        <w:t xml:space="preserve"> This can be seen in Foucault’s  perspective of discursive formation, as the statement’s meaning is dependent on the rules of its formation</w:t>
      </w:r>
      <w:r w:rsidR="007B2128">
        <w:t xml:space="preserve"> that (in turn) characterize and determ</w:t>
      </w:r>
      <w:r w:rsidR="00783DBC">
        <w:t>ine the formation it belongs to. Therefore, the</w:t>
      </w:r>
      <w:r w:rsidR="007B2128">
        <w:t xml:space="preserve"> statement is a</w:t>
      </w:r>
      <w:r w:rsidR="00783DBC">
        <w:t>ss</w:t>
      </w:r>
      <w:r w:rsidR="007B2128">
        <w:t>u</w:t>
      </w:r>
      <w:r w:rsidR="00783DBC">
        <w:t>m</w:t>
      </w:r>
      <w:r w:rsidR="007B2128">
        <w:t>ed to be in the correct context whenever it is proposed, consequently as the context changes</w:t>
      </w:r>
      <w:r w:rsidR="00783DBC">
        <w:t>,</w:t>
      </w:r>
      <w:r w:rsidR="007B2128">
        <w:t xml:space="preserve"> so does the formation and </w:t>
      </w:r>
      <w:r w:rsidR="00783DBC">
        <w:t>hence</w:t>
      </w:r>
      <w:r w:rsidR="007B2128">
        <w:t xml:space="preserve"> new meanings can be adopted, and p</w:t>
      </w:r>
      <w:r w:rsidR="00783DBC">
        <w:t>otentially challenge the dominant</w:t>
      </w:r>
      <w:r w:rsidR="007B2128">
        <w:t xml:space="preserve"> discourse. </w:t>
      </w:r>
    </w:p>
    <w:p w:rsidR="00FF0894" w:rsidRDefault="00FF0894" w:rsidP="00122B65">
      <w:pPr>
        <w:spacing w:after="0"/>
      </w:pPr>
    </w:p>
    <w:p w:rsidR="007C630B" w:rsidRDefault="00A27260" w:rsidP="007C630B">
      <w:pPr>
        <w:spacing w:after="0"/>
      </w:pPr>
      <w:r>
        <w:t>Consequently</w:t>
      </w:r>
      <w:r w:rsidR="00783DBC">
        <w:t>,</w:t>
      </w:r>
      <w:r>
        <w:t xml:space="preserve"> Foucault’s notion that discourses have a wider implication for society in the control of power relations</w:t>
      </w:r>
      <w:r w:rsidR="00783DBC">
        <w:t>,</w:t>
      </w:r>
      <w:r>
        <w:t xml:space="preserve"> through the </w:t>
      </w:r>
      <w:r w:rsidR="00974924">
        <w:t>“construction of current truths”</w:t>
      </w:r>
      <w:r w:rsidR="00783DBC">
        <w:t>,</w:t>
      </w:r>
      <w:r w:rsidR="00974924">
        <w:t xml:space="preserve"> after examination </w:t>
      </w:r>
      <w:r w:rsidR="00783DBC">
        <w:t xml:space="preserve">is </w:t>
      </w:r>
      <w:r w:rsidR="00974924">
        <w:t>possible to see</w:t>
      </w:r>
      <w:r w:rsidR="00783DBC">
        <w:t>.</w:t>
      </w:r>
      <w:r w:rsidR="00974924">
        <w:t xml:space="preserve"> </w:t>
      </w:r>
      <w:r w:rsidR="00783DBC">
        <w:t xml:space="preserve">Therefore, </w:t>
      </w:r>
      <w:r w:rsidR="00974924">
        <w:t>control of discourses and statements can be equated with the control of power. This is an issue Priban refers to regarding the “</w:t>
      </w:r>
      <w:r w:rsidR="00974924" w:rsidRPr="00783DBC">
        <w:t>contingency of truth</w:t>
      </w:r>
      <w:r w:rsidR="00974924">
        <w:t xml:space="preserve">” in his post structrualist reflection, I will return to this issue </w:t>
      </w:r>
      <w:r w:rsidR="00783DBC">
        <w:t>for further analysis in subsequent chapters.</w:t>
      </w:r>
      <w:r w:rsidR="00974924">
        <w:t xml:space="preserve"> </w:t>
      </w:r>
      <w:r w:rsidR="00783DBC">
        <w:t>H</w:t>
      </w:r>
      <w:r w:rsidR="00974924">
        <w:t>owever</w:t>
      </w:r>
      <w:r w:rsidR="00783DBC">
        <w:t>,</w:t>
      </w:r>
      <w:r w:rsidR="00235CD1">
        <w:t xml:space="preserve"> returning to the illustration of the background of post-structuralism, it is possible to witness f</w:t>
      </w:r>
      <w:r w:rsidR="00974924">
        <w:t>r</w:t>
      </w:r>
      <w:r w:rsidR="00235CD1">
        <w:t>o</w:t>
      </w:r>
      <w:r w:rsidR="00974924">
        <w:t>m the development of Foucault’s challenge to structrualist theories</w:t>
      </w:r>
      <w:r w:rsidR="00783DBC">
        <w:t>,</w:t>
      </w:r>
      <w:r w:rsidR="00974924">
        <w:t xml:space="preserve"> </w:t>
      </w:r>
      <w:r w:rsidR="00783DBC">
        <w:t>a</w:t>
      </w:r>
      <w:r w:rsidR="00974924">
        <w:t xml:space="preserve"> departure to an essentially new </w:t>
      </w:r>
      <w:r w:rsidR="00783DBC">
        <w:t xml:space="preserve">concept of </w:t>
      </w:r>
      <w:r w:rsidR="00974924">
        <w:t>post-structuralism identifiable in t</w:t>
      </w:r>
      <w:r w:rsidR="00A75CE3">
        <w:t xml:space="preserve">he </w:t>
      </w:r>
      <w:r w:rsidR="002E21FF">
        <w:t>plurality</w:t>
      </w:r>
      <w:r w:rsidR="00A75CE3">
        <w:t xml:space="preserve"> </w:t>
      </w:r>
      <w:r w:rsidR="002E21FF">
        <w:t>of</w:t>
      </w:r>
      <w:r w:rsidR="00A75CE3">
        <w:t xml:space="preserve"> theory.  </w:t>
      </w:r>
      <w:r w:rsidR="0083463C">
        <w:t>As previously illustrated, the term “post-structuralist” directly refers to French and central European philosophical theories</w:t>
      </w:r>
      <w:r w:rsidR="002E21FF">
        <w:t xml:space="preserve"> which were formed </w:t>
      </w:r>
      <w:r w:rsidR="0083463C">
        <w:t>in a direct response to structuralism from the 1960s onwards</w:t>
      </w:r>
      <w:r w:rsidR="002E21FF">
        <w:t>. T</w:t>
      </w:r>
      <w:r w:rsidR="00AD585A">
        <w:t>he key theorists being Michel Foucault, Giles Deleuze, Jacques Derrida and Martin Heidegger to mention a few</w:t>
      </w:r>
      <w:r w:rsidR="0083463C">
        <w:t>.  The actual term “post-structuralists”</w:t>
      </w:r>
      <w:r w:rsidR="002E21FF">
        <w:t>,</w:t>
      </w:r>
      <w:r w:rsidR="0083463C">
        <w:t xml:space="preserve"> was developed by American philosophers and academics to differentiate American post-modernism, as the two concepts share key </w:t>
      </w:r>
      <w:r w:rsidR="0083463C" w:rsidRPr="002E21FF">
        <w:t>similaritie</w:t>
      </w:r>
      <w:r w:rsidR="002E21FF">
        <w:t>s and timeline.</w:t>
      </w:r>
    </w:p>
    <w:p w:rsidR="00122B65" w:rsidRDefault="00122B65" w:rsidP="007C630B">
      <w:pPr>
        <w:spacing w:after="0"/>
      </w:pPr>
    </w:p>
    <w:p w:rsidR="00122B65" w:rsidRDefault="007C630B" w:rsidP="007C630B">
      <w:pPr>
        <w:spacing w:after="0"/>
      </w:pPr>
      <w:r>
        <w:t xml:space="preserve">Priban’s reflection of post-structuralism, includes </w:t>
      </w:r>
      <w:r w:rsidR="002E21FF">
        <w:t xml:space="preserve">a </w:t>
      </w:r>
      <w:r>
        <w:t xml:space="preserve">reflection in connection to this point </w:t>
      </w:r>
      <w:r w:rsidR="002E21FF">
        <w:t>w</w:t>
      </w:r>
      <w:r>
        <w:t>i</w:t>
      </w:r>
      <w:r w:rsidR="002E21FF">
        <w:t>thi</w:t>
      </w:r>
      <w:r>
        <w:t>n his article</w:t>
      </w:r>
      <w:r w:rsidR="002E21FF">
        <w:t>. H</w:t>
      </w:r>
      <w:r>
        <w:t xml:space="preserve">e makes reference to the theories of Jean- </w:t>
      </w:r>
      <w:r w:rsidRPr="007C630B">
        <w:rPr>
          <w:bCs/>
        </w:rPr>
        <w:t>François</w:t>
      </w:r>
      <w:r w:rsidR="00EB14A0">
        <w:rPr>
          <w:bCs/>
        </w:rPr>
        <w:t xml:space="preserve"> </w:t>
      </w:r>
      <w:r>
        <w:t>Lyotard and Richard Rorty multiple times, theorist</w:t>
      </w:r>
      <w:r w:rsidR="00171349">
        <w:t>s</w:t>
      </w:r>
      <w:r>
        <w:t xml:space="preserve"> and philosophers better known for their connection with post-modernism</w:t>
      </w:r>
      <w:r w:rsidR="00F86CBD">
        <w:t xml:space="preserve">, </w:t>
      </w:r>
      <w:r w:rsidR="002E21FF">
        <w:t>rather than</w:t>
      </w:r>
      <w:r w:rsidR="00F86CBD">
        <w:t xml:space="preserve"> post-structuralism, yet Priban fails to make this </w:t>
      </w:r>
      <w:r w:rsidR="00F86CBD" w:rsidRPr="00FF5BBA">
        <w:t>distinction</w:t>
      </w:r>
      <w:r w:rsidR="00F86CBD" w:rsidRPr="00FF5BBA">
        <w:rPr>
          <w:rStyle w:val="FootnoteReference"/>
        </w:rPr>
        <w:footnoteReference w:id="7"/>
      </w:r>
      <w:r w:rsidR="00F86CBD">
        <w:t xml:space="preserve">. </w:t>
      </w:r>
      <w:r w:rsidR="002E21FF">
        <w:t>Potential reasons</w:t>
      </w:r>
      <w:r w:rsidR="00F86CBD">
        <w:t xml:space="preserve"> as to why such a distinction is not mentioned</w:t>
      </w:r>
      <w:r w:rsidR="002E21FF">
        <w:t>,</w:t>
      </w:r>
      <w:r w:rsidR="00F86CBD">
        <w:t xml:space="preserve"> is addressed in the relevant section of this dissertation, however it is valid to raise this point in a preliminary way at this stage</w:t>
      </w:r>
      <w:r w:rsidR="002E21FF">
        <w:t xml:space="preserve">. This point </w:t>
      </w:r>
      <w:r w:rsidR="00F86CBD">
        <w:t>further illustrate</w:t>
      </w:r>
      <w:r w:rsidR="002E21FF">
        <w:t>s</w:t>
      </w:r>
      <w:r w:rsidR="00F86CBD">
        <w:t xml:space="preserve"> the background of post-structuralism and it’s connection to post modernism, as it is an element Priban bases his reflection on, an</w:t>
      </w:r>
      <w:r w:rsidR="002E21FF">
        <w:t>d</w:t>
      </w:r>
      <w:r w:rsidR="00F86CBD">
        <w:t xml:space="preserve"> assumes the reader shares this background knowledge.    </w:t>
      </w:r>
    </w:p>
    <w:p w:rsidR="007C630B" w:rsidRDefault="00213E5F" w:rsidP="007C630B">
      <w:pPr>
        <w:spacing w:after="0"/>
      </w:pPr>
      <w:r>
        <w:t>There is quite some difficulty in identifying concepts and philosophers as either post-structuralist or post-modern, as the two perspectives are not organized in a traditional sense into schools of thought</w:t>
      </w:r>
      <w:r w:rsidR="00630434">
        <w:t>.</w:t>
      </w:r>
      <w:r>
        <w:t xml:space="preserve"> </w:t>
      </w:r>
      <w:r w:rsidR="00630434">
        <w:t>A</w:t>
      </w:r>
      <w:r>
        <w:t>dditionally</w:t>
      </w:r>
      <w:r w:rsidR="00630434">
        <w:t>,</w:t>
      </w:r>
      <w:r>
        <w:t xml:space="preserve"> Foucault denied he was a post-structuralist, and many other philosophers do not announce a connection to one sole body of thought</w:t>
      </w:r>
      <w:r w:rsidR="00630434">
        <w:t>,</w:t>
      </w:r>
      <w:r>
        <w:t xml:space="preserve"> </w:t>
      </w:r>
      <w:r w:rsidR="00630434">
        <w:t>this</w:t>
      </w:r>
      <w:r>
        <w:t xml:space="preserve"> consequently means that</w:t>
      </w:r>
      <w:r w:rsidR="00A2444E">
        <w:t xml:space="preserve"> in order to compare the two bodies of thought</w:t>
      </w:r>
      <w:r>
        <w:t>,</w:t>
      </w:r>
      <w:r w:rsidR="00A2444E">
        <w:t xml:space="preserve"> the commonalities and individual concept</w:t>
      </w:r>
      <w:r w:rsidR="00630434">
        <w:t>s must be drawn out and analysed</w:t>
      </w:r>
      <w:r w:rsidR="00A2444E">
        <w:t xml:space="preserve">. </w:t>
      </w:r>
    </w:p>
    <w:p w:rsidR="00630434" w:rsidRDefault="00A2444E" w:rsidP="00630434">
      <w:pPr>
        <w:spacing w:after="0"/>
      </w:pPr>
      <w:r>
        <w:lastRenderedPageBreak/>
        <w:t xml:space="preserve">A </w:t>
      </w:r>
      <w:r w:rsidR="00AD585A">
        <w:t xml:space="preserve">concept </w:t>
      </w:r>
      <w:r>
        <w:t>relatively central to</w:t>
      </w:r>
      <w:r w:rsidR="00630434">
        <w:t xml:space="preserve"> </w:t>
      </w:r>
      <w:r>
        <w:t>p</w:t>
      </w:r>
      <w:r w:rsidR="00AD585A">
        <w:t>ost-structuralism</w:t>
      </w:r>
      <w:r w:rsidR="00630434">
        <w:t xml:space="preserve"> </w:t>
      </w:r>
      <w:r>
        <w:t>is the proposal of</w:t>
      </w:r>
      <w:r w:rsidR="00630434">
        <w:t xml:space="preserve"> </w:t>
      </w:r>
      <w:r w:rsidR="00AD585A">
        <w:t>theories</w:t>
      </w:r>
      <w:r w:rsidR="00824201" w:rsidRPr="00DD0199">
        <w:t xml:space="preserve"> which </w:t>
      </w:r>
      <w:r w:rsidR="00AD585A">
        <w:t>examine</w:t>
      </w:r>
      <w:r w:rsidR="00824201" w:rsidRPr="00DD0199">
        <w:t xml:space="preserve"> the p</w:t>
      </w:r>
      <w:r w:rsidR="00AD585A">
        <w:t>ossibility of philosophical truth</w:t>
      </w:r>
      <w:r w:rsidR="00824201" w:rsidRPr="00DD0199">
        <w:t xml:space="preserve">, </w:t>
      </w:r>
      <w:r w:rsidR="00AD585A">
        <w:t>or more specifically</w:t>
      </w:r>
      <w:r>
        <w:t>,</w:t>
      </w:r>
      <w:r w:rsidR="00AD585A">
        <w:t xml:space="preserve"> examine</w:t>
      </w:r>
      <w:r w:rsidR="00630434">
        <w:t xml:space="preserve"> </w:t>
      </w:r>
      <w:r w:rsidR="00AD585A">
        <w:t>methods</w:t>
      </w:r>
      <w:r w:rsidR="00630434">
        <w:t xml:space="preserve"> </w:t>
      </w:r>
      <w:r>
        <w:t>regarding</w:t>
      </w:r>
      <w:r w:rsidR="00AD585A">
        <w:t xml:space="preserve"> how stateme</w:t>
      </w:r>
      <w:r>
        <w:t>nts can be acknowledged as true.</w:t>
      </w:r>
      <w:r w:rsidR="00630434">
        <w:t xml:space="preserve"> </w:t>
      </w:r>
      <w:r>
        <w:t xml:space="preserve">Priban begins his reflection of post-structuralism with Rorty’s </w:t>
      </w:r>
      <w:r w:rsidR="00122B65">
        <w:t xml:space="preserve">epistemological  theory of truth </w:t>
      </w:r>
      <w:r w:rsidR="00DB0FE5">
        <w:t xml:space="preserve">in relation to </w:t>
      </w:r>
      <w:r w:rsidR="00122B65">
        <w:t>knowledge</w:t>
      </w:r>
      <w:r w:rsidR="00122B65">
        <w:rPr>
          <w:rStyle w:val="FootnoteReference"/>
        </w:rPr>
        <w:footnoteReference w:id="8"/>
      </w:r>
      <w:r w:rsidR="00122B65">
        <w:t>, expanding it into opposing theories of truth in post-structuralism, with the view to drawing comparisons between Stanl</w:t>
      </w:r>
      <w:r w:rsidR="00561F41">
        <w:t>e</w:t>
      </w:r>
      <w:r w:rsidR="00122B65">
        <w:t xml:space="preserve">y Fish and his concept of anti-foundationalism.    </w:t>
      </w:r>
    </w:p>
    <w:p w:rsidR="00885452" w:rsidRDefault="00023300" w:rsidP="00630434">
      <w:r>
        <w:t>Similarly, post-modernism as a body of knowledge, proposes that there is no absolute truth, due to the wholly subjective way in which individuals perceive the world</w:t>
      </w:r>
      <w:r w:rsidR="00630434">
        <w:t xml:space="preserve">. </w:t>
      </w:r>
      <w:r w:rsidR="00FF0894">
        <w:t>Rorty</w:t>
      </w:r>
      <w:r w:rsidR="00630434">
        <w:t xml:space="preserve"> </w:t>
      </w:r>
      <w:r w:rsidR="00FF0894">
        <w:t>proposes</w:t>
      </w:r>
      <w:r>
        <w:t xml:space="preserve"> in </w:t>
      </w:r>
      <w:r w:rsidR="00FF0894">
        <w:t xml:space="preserve">his book </w:t>
      </w:r>
      <w:r w:rsidR="00FF0894" w:rsidRPr="00FF0894">
        <w:rPr>
          <w:i/>
        </w:rPr>
        <w:t>Objectivity, Relativism, and Truth</w:t>
      </w:r>
      <w:r>
        <w:rPr>
          <w:rStyle w:val="FootnoteReference"/>
        </w:rPr>
        <w:footnoteReference w:id="9"/>
      </w:r>
      <w:r w:rsidR="00FF0894">
        <w:rPr>
          <w:i/>
        </w:rPr>
        <w:t>,</w:t>
      </w:r>
      <w:r w:rsidR="00630434">
        <w:rPr>
          <w:i/>
        </w:rPr>
        <w:t xml:space="preserve"> </w:t>
      </w:r>
      <w:r w:rsidR="00FF0894">
        <w:t xml:space="preserve">truth is an intersubjective agreement between members of the community, in order to determine a common perception of reality. </w:t>
      </w:r>
    </w:p>
    <w:p w:rsidR="00885452" w:rsidRPr="00B815D2" w:rsidRDefault="00F71C30" w:rsidP="00885452">
      <w:pPr>
        <w:spacing w:after="0"/>
      </w:pPr>
      <w:r>
        <w:t>Comparatively however, post-structuralist</w:t>
      </w:r>
      <w:r w:rsidR="00630434">
        <w:t>s</w:t>
      </w:r>
      <w:r w:rsidR="00B815D2">
        <w:t xml:space="preserve"> similarly</w:t>
      </w:r>
      <w:r>
        <w:t xml:space="preserve"> deny the possibility of </w:t>
      </w:r>
      <w:r w:rsidR="00630434">
        <w:t xml:space="preserve">an </w:t>
      </w:r>
      <w:r>
        <w:t>objective truth</w:t>
      </w:r>
      <w:r w:rsidR="00B815D2">
        <w:t>, and potentially any knowledge gained though objective scientific study</w:t>
      </w:r>
      <w:r w:rsidR="00630434">
        <w:t>. T</w:t>
      </w:r>
      <w:r w:rsidR="00B815D2">
        <w:t xml:space="preserve">he </w:t>
      </w:r>
      <w:r w:rsidR="00630434">
        <w:t>post-structuralist pe</w:t>
      </w:r>
      <w:r w:rsidR="007423D1">
        <w:t>rspective on claims, typically</w:t>
      </w:r>
      <w:r w:rsidR="00885452" w:rsidRPr="00885452">
        <w:t xml:space="preserve"> from structuralists</w:t>
      </w:r>
      <w:r w:rsidR="00630434">
        <w:t xml:space="preserve">, </w:t>
      </w:r>
      <w:r w:rsidR="007423D1">
        <w:t>which</w:t>
      </w:r>
      <w:r w:rsidR="00630434">
        <w:t xml:space="preserve"> </w:t>
      </w:r>
      <w:r w:rsidR="00885452" w:rsidRPr="00885452">
        <w:t>attest</w:t>
      </w:r>
      <w:r w:rsidR="007423D1">
        <w:t xml:space="preserve"> to</w:t>
      </w:r>
      <w:r w:rsidR="00885452" w:rsidRPr="00885452">
        <w:t xml:space="preserve"> notions of truth, are deemed to be founded on circular reasoning and logical paradoxes. Martin Heidegger proposed that such concepts of truth</w:t>
      </w:r>
      <w:r w:rsidR="007423D1">
        <w:t>,</w:t>
      </w:r>
      <w:r w:rsidR="00885452" w:rsidRPr="00885452">
        <w:t xml:space="preserve"> were </w:t>
      </w:r>
      <w:r w:rsidR="00885452" w:rsidRPr="00885452">
        <w:rPr>
          <w:i/>
        </w:rPr>
        <w:t>Unverbrogenheit</w:t>
      </w:r>
      <w:r w:rsidR="00885452" w:rsidRPr="00885452">
        <w:t xml:space="preserve"> or unhidden, with the circular and paradoxical nature exposed, the veil of objectivity could</w:t>
      </w:r>
      <w:r w:rsidR="00885452">
        <w:t xml:space="preserve"> then be lifted</w:t>
      </w:r>
      <w:r w:rsidR="00885452">
        <w:rPr>
          <w:rStyle w:val="FootnoteReference"/>
        </w:rPr>
        <w:footnoteReference w:id="10"/>
      </w:r>
      <w:r w:rsidR="007423D1">
        <w:t xml:space="preserve">. Consequently </w:t>
      </w:r>
      <w:r w:rsidR="00885452">
        <w:t xml:space="preserve">theoretical </w:t>
      </w:r>
      <w:r w:rsidR="00885452" w:rsidRPr="00885452">
        <w:t>advancements could then be developed and adopted</w:t>
      </w:r>
      <w:r w:rsidR="00885452">
        <w:t xml:space="preserve">.  </w:t>
      </w:r>
    </w:p>
    <w:p w:rsidR="00F71C30" w:rsidRPr="00B815D2" w:rsidRDefault="00F71C30" w:rsidP="00F71C30">
      <w:r w:rsidRPr="00B815D2">
        <w:t xml:space="preserve">Jean- </w:t>
      </w:r>
      <w:r w:rsidRPr="00B815D2">
        <w:rPr>
          <w:bCs/>
        </w:rPr>
        <w:t>François</w:t>
      </w:r>
      <w:r w:rsidR="00FF5BBA">
        <w:rPr>
          <w:bCs/>
        </w:rPr>
        <w:t xml:space="preserve"> </w:t>
      </w:r>
      <w:r w:rsidRPr="00B815D2">
        <w:t>Lyotard’s concept</w:t>
      </w:r>
      <w:r w:rsidR="00B815D2">
        <w:t xml:space="preserve"> of m</w:t>
      </w:r>
      <w:r w:rsidRPr="00B815D2">
        <w:t>etanarratives</w:t>
      </w:r>
      <w:r w:rsidR="00B815D2" w:rsidRPr="00B815D2">
        <w:t xml:space="preserve"> bears some similarity to Heidegger’s theory</w:t>
      </w:r>
      <w:r w:rsidR="00B815D2">
        <w:t xml:space="preserve">, </w:t>
      </w:r>
      <w:r w:rsidR="00A54D49">
        <w:t>implying</w:t>
      </w:r>
      <w:r w:rsidR="00B815D2">
        <w:t xml:space="preserve"> that</w:t>
      </w:r>
      <w:r w:rsidR="002533A4">
        <w:t xml:space="preserve"> metanarratives </w:t>
      </w:r>
      <w:r w:rsidR="00A54D49">
        <w:t xml:space="preserve">which are </w:t>
      </w:r>
      <w:r w:rsidR="002533A4">
        <w:t>created by power structures</w:t>
      </w:r>
      <w:r w:rsidR="00A54D49">
        <w:t>,</w:t>
      </w:r>
      <w:r w:rsidR="002533A4">
        <w:t xml:space="preserve"> ignore the subjectivity of human experience</w:t>
      </w:r>
      <w:r w:rsidR="002533A4">
        <w:rPr>
          <w:rStyle w:val="FootnoteReference"/>
        </w:rPr>
        <w:footnoteReference w:id="11"/>
      </w:r>
      <w:r w:rsidR="000527C2">
        <w:t xml:space="preserve">, </w:t>
      </w:r>
      <w:r w:rsidR="00A54D49">
        <w:t xml:space="preserve">and thus </w:t>
      </w:r>
      <w:r w:rsidR="000527C2">
        <w:t>with their removal</w:t>
      </w:r>
      <w:r w:rsidR="00A54D49">
        <w:t>,</w:t>
      </w:r>
      <w:r w:rsidR="000527C2">
        <w:t xml:space="preserve"> allowing unconstrained theoretical</w:t>
      </w:r>
      <w:r w:rsidR="00A54D49">
        <w:t xml:space="preserve"> </w:t>
      </w:r>
      <w:r w:rsidR="000527C2">
        <w:t xml:space="preserve">concepts </w:t>
      </w:r>
      <w:r w:rsidR="00A54D49">
        <w:t xml:space="preserve">to be </w:t>
      </w:r>
      <w:r w:rsidR="000527C2">
        <w:t xml:space="preserve">based on local context. </w:t>
      </w:r>
    </w:p>
    <w:p w:rsidR="00EE4205" w:rsidRDefault="0013289E" w:rsidP="00EE4205">
      <w:pPr>
        <w:spacing w:after="0"/>
      </w:pPr>
      <w:r>
        <w:t>Consequently</w:t>
      </w:r>
      <w:r w:rsidR="00A54D49">
        <w:t>,</w:t>
      </w:r>
      <w:r w:rsidR="00F71C30">
        <w:t xml:space="preserve"> the two perceptions of</w:t>
      </w:r>
      <w:r w:rsidR="000527C2">
        <w:t xml:space="preserve"> understanding questions of</w:t>
      </w:r>
      <w:r w:rsidR="00F71C30">
        <w:t xml:space="preserve"> truth in these fields of study</w:t>
      </w:r>
      <w:r>
        <w:t>, are connected</w:t>
      </w:r>
      <w:r w:rsidR="00A54D49">
        <w:t xml:space="preserve"> </w:t>
      </w:r>
      <w:r w:rsidR="000527C2">
        <w:t>by the criticism of objective and universal rules</w:t>
      </w:r>
      <w:r w:rsidR="004C0A5D">
        <w:t>. T</w:t>
      </w:r>
      <w:r w:rsidR="00623E42">
        <w:t xml:space="preserve">his similarity alone poses problems in attempting to identify and separate post-modernism </w:t>
      </w:r>
      <w:r w:rsidR="00A54D49">
        <w:t>from</w:t>
      </w:r>
      <w:r w:rsidR="00623E42">
        <w:t xml:space="preserve"> post-structuralism</w:t>
      </w:r>
      <w:r w:rsidR="004C0A5D">
        <w:t xml:space="preserve">. </w:t>
      </w:r>
    </w:p>
    <w:p w:rsidR="00A873B8" w:rsidRDefault="004C0A5D" w:rsidP="00EE4205">
      <w:pPr>
        <w:spacing w:after="0"/>
      </w:pPr>
      <w:r>
        <w:t xml:space="preserve">The implication this has regarding Priban’s article is, his reflection of post-structuralism </w:t>
      </w:r>
      <w:r w:rsidR="00A54D49">
        <w:t>fails to make any reference</w:t>
      </w:r>
      <w:r>
        <w:t xml:space="preserve"> to post-modernism</w:t>
      </w:r>
      <w:r w:rsidR="000932C0">
        <w:t>, and yet he relies and extracts theories from both post-structuralists and post-modernists under the umbrella of post-structuralism</w:t>
      </w:r>
      <w:r w:rsidR="00ED4AA3">
        <w:t>.</w:t>
      </w:r>
      <w:r w:rsidR="000932C0">
        <w:t xml:space="preserve"> </w:t>
      </w:r>
      <w:r w:rsidR="00ED4AA3">
        <w:t>T</w:t>
      </w:r>
      <w:r w:rsidR="000932C0">
        <w:t>his consequently means that his reflection can at times be misleading</w:t>
      </w:r>
      <w:r w:rsidR="00ED4AA3">
        <w:t xml:space="preserve"> and that Priban potentially conflates the terms post-structuralism and post-modernism without distinction.</w:t>
      </w:r>
    </w:p>
    <w:p w:rsidR="00F71C30" w:rsidRDefault="00F71C30" w:rsidP="00EE4205">
      <w:pPr>
        <w:spacing w:after="0"/>
      </w:pPr>
    </w:p>
    <w:p w:rsidR="0013289E" w:rsidRDefault="00EE4205" w:rsidP="00F71C30">
      <w:r>
        <w:t xml:space="preserve">While Priban’s reference to philosophers such as Rorty as post-structuralist is not devastatingly false, it is largely incorrect. Disentangling post-structuralism and post-modernism is moderately difficult as each body of thought is not a philosophical movement in itself, however the Stanford </w:t>
      </w:r>
      <w:r w:rsidR="00561F41">
        <w:t>Encyclopaedia</w:t>
      </w:r>
      <w:r>
        <w:t xml:space="preserve"> of Philosophy labels post-structuralism as an essentially European branch of post-modernism</w:t>
      </w:r>
      <w:r w:rsidR="00ED4AA3">
        <w:t>,</w:t>
      </w:r>
      <w:r>
        <w:t xml:space="preserve"> which is a predominantly American philosophical perspective. International </w:t>
      </w:r>
      <w:r w:rsidR="00A873B8">
        <w:t>viewpoint</w:t>
      </w:r>
      <w:r>
        <w:t xml:space="preserve"> aside, post-structuralism does commonly fall under the more general term of post-modernism, and that Priban’s use of post-structuralism as a potentially interchangeable term for post</w:t>
      </w:r>
      <w:r w:rsidR="00A873B8">
        <w:t>-</w:t>
      </w:r>
      <w:r>
        <w:t xml:space="preserve">modernism </w:t>
      </w:r>
      <w:r w:rsidR="00A873B8">
        <w:t xml:space="preserve">lessens the force of his arguments. In terms of a background examination of the concept of post-structuralism that Priban refers, it is clear to see that the lines between post-structuralism and post-modernism are </w:t>
      </w:r>
      <w:r w:rsidR="00A873B8">
        <w:lastRenderedPageBreak/>
        <w:t>blurred in terms of philosophical thought.</w:t>
      </w:r>
      <w:r w:rsidR="00E53B16">
        <w:t xml:space="preserve"> This line of enquiry leads to the greater purpose of this introductory illustration </w:t>
      </w:r>
      <w:r w:rsidR="00ED4AA3">
        <w:t>to</w:t>
      </w:r>
      <w:r w:rsidR="00E53B16">
        <w:t xml:space="preserve"> the background of Priban’s critique, </w:t>
      </w:r>
      <w:r w:rsidR="00ED4AA3">
        <w:t>which is to create a</w:t>
      </w:r>
      <w:r w:rsidR="00E53B16">
        <w:t xml:space="preserve"> potentially global view of this area of philosophy and the particular place post-structuralism has in the location of Critical Legal Thought.</w:t>
      </w:r>
    </w:p>
    <w:p w:rsidR="0013289E" w:rsidRPr="00E53B16" w:rsidRDefault="005F6575" w:rsidP="00F71C30">
      <w:r>
        <w:t>The difficulties in establishing a clear and ideal “map” of philosophical t</w:t>
      </w:r>
      <w:r w:rsidR="00ED4AA3">
        <w:t xml:space="preserve">hought </w:t>
      </w:r>
      <w:r>
        <w:t>as already discussed previously above</w:t>
      </w:r>
      <w:r w:rsidR="00115364">
        <w:t xml:space="preserve">. However, </w:t>
      </w:r>
      <w:r w:rsidR="00613788">
        <w:t>tracing the origins of particular concepts and perspectives has great value in terms of analysis and criticism, consequently I intend for the remainder of this chapter to work back from the creation of post-structuralism and illustrate the connection to American pragmatism and critical legal studies</w:t>
      </w:r>
      <w:r w:rsidR="00115364">
        <w:t>.</w:t>
      </w:r>
      <w:r w:rsidR="00613788">
        <w:t xml:space="preserve"> </w:t>
      </w:r>
      <w:r w:rsidR="00115364">
        <w:t xml:space="preserve">This will provide a better </w:t>
      </w:r>
      <w:r w:rsidR="00613788">
        <w:t>illustration</w:t>
      </w:r>
      <w:r w:rsidR="00115364">
        <w:t xml:space="preserve"> </w:t>
      </w:r>
      <w:r w:rsidR="00613788">
        <w:t>from Priban’s perspective</w:t>
      </w:r>
      <w:r w:rsidR="00115364">
        <w:t>,</w:t>
      </w:r>
      <w:r w:rsidR="00613788">
        <w:t xml:space="preserve"> regarding his critique of Stanley Fish and the legal concepts of anti-foundationalism.   </w:t>
      </w:r>
    </w:p>
    <w:p w:rsidR="009E5F3E" w:rsidRPr="00613788" w:rsidRDefault="006F61CC" w:rsidP="006F61CC">
      <w:pPr>
        <w:spacing w:after="0"/>
      </w:pPr>
      <w:r>
        <w:t>Priban directly refers in his opening paragraph of his article</w:t>
      </w:r>
      <w:r w:rsidR="002A0F2B">
        <w:t>,</w:t>
      </w:r>
      <w:r>
        <w:t xml:space="preserve"> that his second objective after his reflection of post structuralism in American legal philosophy, is among other aim’s the illustration and criticism of Fish’s polemics against theoretical strategies within critical jurisprudence</w:t>
      </w:r>
      <w:r>
        <w:rPr>
          <w:rStyle w:val="FootnoteReference"/>
        </w:rPr>
        <w:footnoteReference w:id="12"/>
      </w:r>
      <w:r>
        <w:t xml:space="preserve">. </w:t>
      </w:r>
    </w:p>
    <w:p w:rsidR="00F4784D" w:rsidRDefault="006F61CC" w:rsidP="006F61CC">
      <w:pPr>
        <w:spacing w:after="0"/>
      </w:pPr>
      <w:r>
        <w:t>Consequently</w:t>
      </w:r>
      <w:r w:rsidR="002A0F2B">
        <w:t>,</w:t>
      </w:r>
      <w:r>
        <w:t xml:space="preserve"> the direction of Priban’s critique involves to some extent examining a connection between the aforementioned concept of post-structuralism and jurisp</w:t>
      </w:r>
      <w:r w:rsidR="002A0F2B">
        <w:t>rudential theories relating</w:t>
      </w:r>
      <w:r w:rsidR="00225068">
        <w:t xml:space="preserve"> to Critical Legal S</w:t>
      </w:r>
      <w:r w:rsidR="007B343C">
        <w:t>tudies and anti-foundationalism.</w:t>
      </w:r>
    </w:p>
    <w:p w:rsidR="00553B09" w:rsidRDefault="00553B09" w:rsidP="006F61CC">
      <w:pPr>
        <w:spacing w:after="0"/>
      </w:pPr>
    </w:p>
    <w:p w:rsidR="00553B09" w:rsidRDefault="00553B09" w:rsidP="006F61CC">
      <w:pPr>
        <w:spacing w:after="0"/>
      </w:pPr>
    </w:p>
    <w:p w:rsidR="00553B09" w:rsidRDefault="00553B09" w:rsidP="006F61CC">
      <w:pPr>
        <w:spacing w:after="0"/>
      </w:pPr>
    </w:p>
    <w:p w:rsidR="007B343C" w:rsidRDefault="00925F93" w:rsidP="00553B09">
      <w:pPr>
        <w:pStyle w:val="Heading2"/>
      </w:pPr>
      <w:bookmarkStart w:id="7" w:name="_Toc324252586"/>
      <w:r>
        <w:t>The R</w:t>
      </w:r>
      <w:r w:rsidR="00553B09">
        <w:t>oad to Post Modernity.</w:t>
      </w:r>
      <w:bookmarkEnd w:id="7"/>
    </w:p>
    <w:p w:rsidR="00600233" w:rsidRPr="00600233" w:rsidRDefault="00600233" w:rsidP="00600233"/>
    <w:p w:rsidR="00A10940" w:rsidRDefault="004314AB" w:rsidP="006F61CC">
      <w:pPr>
        <w:spacing w:after="0"/>
      </w:pPr>
      <w:r>
        <w:t>The concept of legal realism can be traced back to Oliver Wendell Holmes Jr</w:t>
      </w:r>
      <w:r w:rsidR="00C363FC">
        <w:t>.</w:t>
      </w:r>
      <w:r>
        <w:t>, and his theories of an essentially new form of legal philosophy at Harvard as a co-founder of the Metaphysical Club, along with notable theorists such as William James and Charles Sanders Peirce.</w:t>
      </w:r>
      <w:r w:rsidR="00F542CD">
        <w:t xml:space="preserve"> James and Pierce together directly developed the branch of philosophy known as American pragmatism</w:t>
      </w:r>
      <w:r w:rsidR="001C6050">
        <w:t xml:space="preserve"> in the late 19</w:t>
      </w:r>
      <w:r w:rsidR="001C6050" w:rsidRPr="001C6050">
        <w:rPr>
          <w:vertAlign w:val="superscript"/>
        </w:rPr>
        <w:t>th</w:t>
      </w:r>
      <w:r w:rsidR="001C6050">
        <w:t xml:space="preserve"> century, with Holmes adopting a slightly different view,</w:t>
      </w:r>
      <w:r w:rsidR="00A10940">
        <w:t xml:space="preserve"> one</w:t>
      </w:r>
      <w:r w:rsidR="001C6050">
        <w:t xml:space="preserve"> less entrenched in logic, with a greater </w:t>
      </w:r>
      <w:r w:rsidR="00A10940">
        <w:t>emphasis</w:t>
      </w:r>
      <w:r w:rsidR="001C6050">
        <w:t xml:space="preserve"> on jurisprudential </w:t>
      </w:r>
      <w:r w:rsidR="00A10940">
        <w:t>concepts</w:t>
      </w:r>
      <w:r w:rsidR="001C6050">
        <w:t xml:space="preserve"> reflecting the dynamic and changing nature of </w:t>
      </w:r>
      <w:r w:rsidR="00A10940">
        <w:t>modern society, as outlined in his first book “</w:t>
      </w:r>
      <w:r w:rsidR="00A10940">
        <w:rPr>
          <w:i/>
        </w:rPr>
        <w:t>The Common Law”</w:t>
      </w:r>
      <w:r w:rsidR="00A73404">
        <w:rPr>
          <w:i/>
        </w:rPr>
        <w:t>-  “</w:t>
      </w:r>
      <w:r w:rsidR="00A10940">
        <w:rPr>
          <w:i/>
        </w:rPr>
        <w:t>the life of law has not been logic it has been experience”</w:t>
      </w:r>
      <w:r w:rsidR="00A10940">
        <w:rPr>
          <w:rStyle w:val="FootnoteReference"/>
          <w:i/>
        </w:rPr>
        <w:footnoteReference w:id="13"/>
      </w:r>
      <w:r w:rsidR="00A73404">
        <w:rPr>
          <w:i/>
        </w:rPr>
        <w:t>.</w:t>
      </w:r>
    </w:p>
    <w:p w:rsidR="00225068" w:rsidRPr="006F61CC" w:rsidRDefault="00A73404" w:rsidP="006F61CC">
      <w:pPr>
        <w:spacing w:after="0"/>
      </w:pPr>
      <w:r>
        <w:t xml:space="preserve">Holmes theories and perspective on legal concepts as an alternative and </w:t>
      </w:r>
      <w:r w:rsidR="007F5210">
        <w:t>criticism</w:t>
      </w:r>
      <w:r>
        <w:t xml:space="preserve"> to </w:t>
      </w:r>
      <w:r w:rsidR="007F5210">
        <w:t>formalistic</w:t>
      </w:r>
      <w:r>
        <w:t xml:space="preserve"> legal thought</w:t>
      </w:r>
      <w:r w:rsidR="007F5210">
        <w:t xml:space="preserve"> became the foundation for legal realism</w:t>
      </w:r>
      <w:r w:rsidR="009B0CBB">
        <w:t xml:space="preserve">, and was perpetuated by lawyers and legal theorist such as Jerome Frank and Robert Lee Hale. </w:t>
      </w:r>
    </w:p>
    <w:p w:rsidR="00F4784D" w:rsidRDefault="001E560D" w:rsidP="001E560D">
      <w:pPr>
        <w:spacing w:after="0"/>
      </w:pPr>
      <w:r>
        <w:t xml:space="preserve">The development of legal realism to critical legal studies, </w:t>
      </w:r>
      <w:r w:rsidR="00A51131">
        <w:t xml:space="preserve">as described </w:t>
      </w:r>
      <w:r>
        <w:t>David Trubeck as an “</w:t>
      </w:r>
      <w:r w:rsidRPr="001E560D">
        <w:rPr>
          <w:i/>
        </w:rPr>
        <w:t>outgrowth of American legal realism</w:t>
      </w:r>
      <w:r>
        <w:rPr>
          <w:i/>
        </w:rPr>
        <w:t>”</w:t>
      </w:r>
      <w:r>
        <w:rPr>
          <w:rStyle w:val="FootnoteReference"/>
        </w:rPr>
        <w:footnoteReference w:id="14"/>
      </w:r>
      <w:r w:rsidR="00A51131">
        <w:rPr>
          <w:i/>
        </w:rPr>
        <w:t>.</w:t>
      </w:r>
    </w:p>
    <w:p w:rsidR="006E624B" w:rsidRPr="00E549A7" w:rsidRDefault="006E624B" w:rsidP="00A13A54">
      <w:pPr>
        <w:spacing w:after="0"/>
        <w:rPr>
          <w:rFonts w:cstheme="minorHAnsi"/>
        </w:rPr>
      </w:pPr>
      <w:r>
        <w:t>G. Edward White identifies that realism “ran into the sand”</w:t>
      </w:r>
      <w:r>
        <w:rPr>
          <w:rStyle w:val="FootnoteReference"/>
        </w:rPr>
        <w:footnoteReference w:id="15"/>
      </w:r>
      <w:r>
        <w:rPr>
          <w:rFonts w:cstheme="minorHAnsi"/>
        </w:rPr>
        <w:t xml:space="preserve">and essentially </w:t>
      </w:r>
      <w:r w:rsidRPr="00460062">
        <w:rPr>
          <w:rFonts w:cstheme="minorHAnsi"/>
        </w:rPr>
        <w:t xml:space="preserve"> declined in influence because </w:t>
      </w:r>
      <w:r>
        <w:rPr>
          <w:rFonts w:cstheme="minorHAnsi"/>
        </w:rPr>
        <w:t>the result of its</w:t>
      </w:r>
      <w:r w:rsidR="00A51131">
        <w:rPr>
          <w:rFonts w:cstheme="minorHAnsi"/>
        </w:rPr>
        <w:t xml:space="preserve"> </w:t>
      </w:r>
      <w:r>
        <w:rPr>
          <w:rFonts w:cstheme="minorHAnsi"/>
        </w:rPr>
        <w:t>continuous rejection of  theories</w:t>
      </w:r>
      <w:r w:rsidR="00A51131">
        <w:rPr>
          <w:rFonts w:cstheme="minorHAnsi"/>
        </w:rPr>
        <w:t xml:space="preserve"> which </w:t>
      </w:r>
      <w:r w:rsidRPr="00460062">
        <w:rPr>
          <w:rFonts w:cstheme="minorHAnsi"/>
        </w:rPr>
        <w:t xml:space="preserve">ultimately led to </w:t>
      </w:r>
      <w:r w:rsidR="00A51131">
        <w:rPr>
          <w:rFonts w:cstheme="minorHAnsi"/>
        </w:rPr>
        <w:t xml:space="preserve">charges of </w:t>
      </w:r>
      <w:r>
        <w:rPr>
          <w:rFonts w:cstheme="minorHAnsi"/>
        </w:rPr>
        <w:t>“</w:t>
      </w:r>
      <w:r w:rsidRPr="006E624B">
        <w:rPr>
          <w:rFonts w:cstheme="minorHAnsi"/>
          <w:i/>
        </w:rPr>
        <w:t xml:space="preserve">moral </w:t>
      </w:r>
      <w:r w:rsidRPr="006E624B">
        <w:rPr>
          <w:rFonts w:cstheme="minorHAnsi"/>
          <w:i/>
        </w:rPr>
        <w:lastRenderedPageBreak/>
        <w:t>relativism and nihilism</w:t>
      </w:r>
      <w:r>
        <w:rPr>
          <w:rFonts w:cstheme="minorHAnsi"/>
        </w:rPr>
        <w:t>”</w:t>
      </w:r>
      <w:r>
        <w:rPr>
          <w:rStyle w:val="FootnoteReference"/>
          <w:rFonts w:cstheme="minorHAnsi"/>
        </w:rPr>
        <w:footnoteReference w:id="16"/>
      </w:r>
      <w:r w:rsidR="00A51131">
        <w:rPr>
          <w:rFonts w:cstheme="minorHAnsi"/>
        </w:rPr>
        <w:t>. C</w:t>
      </w:r>
      <w:r>
        <w:rPr>
          <w:rFonts w:cstheme="minorHAnsi"/>
        </w:rPr>
        <w:t xml:space="preserve">onsequently within the context of the </w:t>
      </w:r>
      <w:r w:rsidRPr="00460062">
        <w:rPr>
          <w:rFonts w:cstheme="minorHAnsi"/>
        </w:rPr>
        <w:t xml:space="preserve"> Second World War, endorse</w:t>
      </w:r>
      <w:r>
        <w:rPr>
          <w:rFonts w:cstheme="minorHAnsi"/>
        </w:rPr>
        <w:t>ment</w:t>
      </w:r>
      <w:r w:rsidR="00A51131">
        <w:rPr>
          <w:rFonts w:cstheme="minorHAnsi"/>
        </w:rPr>
        <w:t xml:space="preserve"> </w:t>
      </w:r>
      <w:r>
        <w:rPr>
          <w:rFonts w:cstheme="minorHAnsi"/>
        </w:rPr>
        <w:t>for the</w:t>
      </w:r>
      <w:r w:rsidRPr="00460062">
        <w:rPr>
          <w:rFonts w:cstheme="minorHAnsi"/>
        </w:rPr>
        <w:t xml:space="preserve"> position</w:t>
      </w:r>
      <w:r>
        <w:rPr>
          <w:rFonts w:cstheme="minorHAnsi"/>
        </w:rPr>
        <w:t xml:space="preserve"> of the realists vanished</w:t>
      </w:r>
      <w:r w:rsidR="00A51131">
        <w:rPr>
          <w:rFonts w:cstheme="minorHAnsi"/>
        </w:rPr>
        <w:t xml:space="preserve"> and </w:t>
      </w:r>
      <w:r>
        <w:rPr>
          <w:rFonts w:cstheme="minorHAnsi"/>
        </w:rPr>
        <w:t>as such</w:t>
      </w:r>
      <w:r w:rsidR="00A51131">
        <w:rPr>
          <w:rFonts w:cstheme="minorHAnsi"/>
        </w:rPr>
        <w:t>,</w:t>
      </w:r>
      <w:r>
        <w:rPr>
          <w:rFonts w:cstheme="minorHAnsi"/>
        </w:rPr>
        <w:t xml:space="preserve"> radical stances were diffi</w:t>
      </w:r>
      <w:r w:rsidR="00E549A7">
        <w:rPr>
          <w:rFonts w:cstheme="minorHAnsi"/>
        </w:rPr>
        <w:t>cult to show popularity for</w:t>
      </w:r>
      <w:r w:rsidR="00A51131">
        <w:rPr>
          <w:rFonts w:cstheme="minorHAnsi"/>
        </w:rPr>
        <w:t xml:space="preserve"> during this turbulent time. </w:t>
      </w:r>
      <w:r w:rsidR="00E549A7">
        <w:rPr>
          <w:rFonts w:cstheme="minorHAnsi"/>
        </w:rPr>
        <w:t xml:space="preserve">White </w:t>
      </w:r>
      <w:r w:rsidR="00A51131">
        <w:rPr>
          <w:rFonts w:cstheme="minorHAnsi"/>
        </w:rPr>
        <w:t>further highlights that this was</w:t>
      </w:r>
      <w:r>
        <w:rPr>
          <w:rFonts w:cstheme="minorHAnsi"/>
        </w:rPr>
        <w:t xml:space="preserve"> because</w:t>
      </w:r>
      <w:r w:rsidR="00A51131">
        <w:rPr>
          <w:rFonts w:cstheme="minorHAnsi"/>
        </w:rPr>
        <w:t xml:space="preserve"> </w:t>
      </w:r>
      <w:r>
        <w:rPr>
          <w:rFonts w:cstheme="minorHAnsi"/>
        </w:rPr>
        <w:t>“</w:t>
      </w:r>
      <w:r w:rsidRPr="006E624B">
        <w:rPr>
          <w:rFonts w:cstheme="minorHAnsi"/>
          <w:i/>
        </w:rPr>
        <w:t>the empirical research called for by the realists was either not done or resulted in trivial findings</w:t>
      </w:r>
      <w:r>
        <w:rPr>
          <w:rFonts w:cstheme="minorHAnsi"/>
        </w:rPr>
        <w:t>”</w:t>
      </w:r>
      <w:r>
        <w:rPr>
          <w:rStyle w:val="FootnoteReference"/>
          <w:rFonts w:cstheme="minorHAnsi"/>
        </w:rPr>
        <w:footnoteReference w:id="17"/>
      </w:r>
      <w:r w:rsidRPr="00460062">
        <w:rPr>
          <w:rFonts w:cstheme="minorHAnsi"/>
        </w:rPr>
        <w:t>.</w:t>
      </w:r>
    </w:p>
    <w:p w:rsidR="006F61CC" w:rsidRPr="006E624B" w:rsidRDefault="00A13A54" w:rsidP="00A13A54">
      <w:pPr>
        <w:tabs>
          <w:tab w:val="left" w:pos="3807"/>
        </w:tabs>
        <w:spacing w:after="0"/>
      </w:pPr>
      <w:r>
        <w:t>White’s analysis of the shift from realism to CLS, identifies the effect of the Second World War on the justification and attitude of politics, establishing that the post war era in America was an opportunity for scholars to “re-tool”</w:t>
      </w:r>
      <w:r>
        <w:rPr>
          <w:rStyle w:val="FootnoteReference"/>
        </w:rPr>
        <w:footnoteReference w:id="18"/>
      </w:r>
      <w:r>
        <w:t xml:space="preserve"> legal education</w:t>
      </w:r>
      <w:r w:rsidR="00A51131">
        <w:t>. This</w:t>
      </w:r>
      <w:r w:rsidR="00B074B5">
        <w:t xml:space="preserve"> led to a legal movement known as Law and Society formed from an alliance between Sociology and Law professors</w:t>
      </w:r>
      <w:r w:rsidR="00124209">
        <w:t xml:space="preserve"> at Berkley attempting to refine the more successful concepts of legal realism. </w:t>
      </w:r>
      <w:r>
        <w:tab/>
      </w:r>
    </w:p>
    <w:p w:rsidR="006F61CC" w:rsidRPr="006E624B" w:rsidRDefault="00124209" w:rsidP="001E560D">
      <w:pPr>
        <w:spacing w:after="0"/>
      </w:pPr>
      <w:r>
        <w:t>White further documents that “</w:t>
      </w:r>
      <w:r w:rsidRPr="00124209">
        <w:rPr>
          <w:i/>
        </w:rPr>
        <w:t>the association of objective empiricism with positivism was the most explosive… of all the issues that were to demarcate critical legal studies from the law and society movement</w:t>
      </w:r>
      <w:r>
        <w:t>”</w:t>
      </w:r>
      <w:r>
        <w:rPr>
          <w:rStyle w:val="FootnoteReference"/>
        </w:rPr>
        <w:footnoteReference w:id="19"/>
      </w:r>
      <w:r>
        <w:t xml:space="preserve">. </w:t>
      </w:r>
    </w:p>
    <w:p w:rsidR="006F61CC" w:rsidRPr="006E624B" w:rsidRDefault="00124209" w:rsidP="00760139">
      <w:pPr>
        <w:spacing w:after="0"/>
      </w:pPr>
      <w:r>
        <w:t>Additionally</w:t>
      </w:r>
      <w:r w:rsidR="00A51131">
        <w:t>, the tenure of l</w:t>
      </w:r>
      <w:r>
        <w:t xml:space="preserve">egal professors </w:t>
      </w:r>
      <w:r w:rsidR="00B84019">
        <w:t xml:space="preserve">at Harvard </w:t>
      </w:r>
      <w:r>
        <w:t xml:space="preserve">who had studied outside </w:t>
      </w:r>
      <w:r w:rsidR="00A51131">
        <w:t xml:space="preserve">of </w:t>
      </w:r>
      <w:r>
        <w:t>the law</w:t>
      </w:r>
      <w:r w:rsidR="00B84019">
        <w:t xml:space="preserve"> and society movement</w:t>
      </w:r>
      <w:r w:rsidR="00A51131">
        <w:t xml:space="preserve">, </w:t>
      </w:r>
      <w:r w:rsidR="00B84019">
        <w:t>resulted in</w:t>
      </w:r>
      <w:r>
        <w:t xml:space="preserve"> </w:t>
      </w:r>
      <w:r w:rsidR="00B84019">
        <w:t xml:space="preserve">the </w:t>
      </w:r>
      <w:r>
        <w:t xml:space="preserve">fragmentation of the </w:t>
      </w:r>
      <w:r w:rsidR="00B84019">
        <w:t>school of thought. H</w:t>
      </w:r>
      <w:r>
        <w:t>owever</w:t>
      </w:r>
      <w:r w:rsidR="00B84019">
        <w:t>,</w:t>
      </w:r>
      <w:r>
        <w:t xml:space="preserve"> White carefully notes that </w:t>
      </w:r>
      <w:r w:rsidR="00261716">
        <w:t>it</w:t>
      </w:r>
      <w:r>
        <w:t xml:space="preserve"> was the decision to commit to positivist empirical research</w:t>
      </w:r>
      <w:r w:rsidR="00B84019">
        <w:t>,</w:t>
      </w:r>
      <w:r>
        <w:t xml:space="preserve"> that resulted in the</w:t>
      </w:r>
      <w:r w:rsidR="00261716">
        <w:t xml:space="preserve"> major</w:t>
      </w:r>
      <w:r>
        <w:t xml:space="preserve"> split within the law and society movement</w:t>
      </w:r>
      <w:r w:rsidR="00760139">
        <w:t>, with the critical legal branch of the movement opting to be unsympathetic to positivist influence and</w:t>
      </w:r>
      <w:r w:rsidR="00B84019">
        <w:t>,</w:t>
      </w:r>
      <w:r w:rsidR="00760139">
        <w:t xml:space="preserve"> align with the “critic</w:t>
      </w:r>
      <w:r w:rsidR="00957AAC">
        <w:t>al m</w:t>
      </w:r>
      <w:r w:rsidR="00760139">
        <w:t>arxist scholarship” of the continental theorist</w:t>
      </w:r>
      <w:r w:rsidR="00B84019">
        <w:t>s</w:t>
      </w:r>
      <w:r w:rsidR="00760139">
        <w:t xml:space="preserve"> </w:t>
      </w:r>
      <w:r w:rsidR="00261716">
        <w:t>(</w:t>
      </w:r>
      <w:r w:rsidR="00B84019">
        <w:t xml:space="preserve">as </w:t>
      </w:r>
      <w:r w:rsidR="00760139">
        <w:t>discussed</w:t>
      </w:r>
      <w:r w:rsidR="00B84019">
        <w:t xml:space="preserve"> earlier</w:t>
      </w:r>
      <w:r w:rsidR="00261716">
        <w:t>)</w:t>
      </w:r>
      <w:r w:rsidR="00760139">
        <w:t xml:space="preserve"> under the banner of post-structuralism. </w:t>
      </w:r>
    </w:p>
    <w:p w:rsidR="006F61CC" w:rsidRPr="007E3EF6" w:rsidRDefault="00760139" w:rsidP="008560B0">
      <w:pPr>
        <w:spacing w:after="0"/>
      </w:pPr>
      <w:r>
        <w:t>Consequently</w:t>
      </w:r>
      <w:r w:rsidR="00B84019">
        <w:t>,</w:t>
      </w:r>
      <w:r>
        <w:t xml:space="preserve"> the link to American critical legal theory becomes </w:t>
      </w:r>
      <w:r w:rsidR="00B84019">
        <w:t>evident</w:t>
      </w:r>
      <w:r>
        <w:t xml:space="preserve"> and was additionally fuelled by politics of the same nature</w:t>
      </w:r>
      <w:r w:rsidR="00B84019">
        <w:t xml:space="preserve">. This </w:t>
      </w:r>
      <w:r>
        <w:t xml:space="preserve">galvanised post-structuralism during the same period, </w:t>
      </w:r>
      <w:r w:rsidR="00B84019">
        <w:t xml:space="preserve">events </w:t>
      </w:r>
      <w:r>
        <w:t>such as, “the influence of Fidel Castro’s Cuba and Mao Tse Tung’s China</w:t>
      </w:r>
      <w:r>
        <w:rPr>
          <w:rStyle w:val="FootnoteReference"/>
        </w:rPr>
        <w:footnoteReference w:id="20"/>
      </w:r>
      <w:r w:rsidR="00B84019">
        <w:t xml:space="preserve">” White noted. </w:t>
      </w:r>
      <w:r w:rsidR="007E3EF6">
        <w:t>This suggests that t</w:t>
      </w:r>
      <w:r w:rsidR="00933628">
        <w:t>he emergence of new left politics and the geopolitical events of the 1950s and 60s can be said to have had a major effect on weste</w:t>
      </w:r>
      <w:r w:rsidR="00B84019">
        <w:t>rn philosophy and jurisprudence. This co</w:t>
      </w:r>
      <w:r w:rsidR="00D45529">
        <w:t>rrelates with</w:t>
      </w:r>
      <w:r w:rsidR="00933628">
        <w:t xml:space="preserve"> </w:t>
      </w:r>
      <w:r w:rsidR="00D45529">
        <w:t xml:space="preserve">American </w:t>
      </w:r>
      <w:r w:rsidR="00933628">
        <w:t xml:space="preserve">lecturers and professors being a part of the </w:t>
      </w:r>
      <w:r w:rsidR="00D45529">
        <w:t xml:space="preserve">Vietnam </w:t>
      </w:r>
      <w:r w:rsidR="009C1EA6">
        <w:t>anti-war</w:t>
      </w:r>
      <w:r w:rsidR="00933628">
        <w:t xml:space="preserve"> movement</w:t>
      </w:r>
      <w:r w:rsidR="00D45529">
        <w:t>, who influenced</w:t>
      </w:r>
      <w:r w:rsidR="00933628">
        <w:t xml:space="preserve"> teaching during that particular time</w:t>
      </w:r>
      <w:r w:rsidR="00D45529">
        <w:t>. A</w:t>
      </w:r>
      <w:r w:rsidR="00933628">
        <w:t xml:space="preserve">n interesting point that White raises </w:t>
      </w:r>
      <w:r w:rsidR="00B15CC2">
        <w:t xml:space="preserve">further, </w:t>
      </w:r>
      <w:r w:rsidR="00933628">
        <w:t>is the use of empirical data by the American government to purposefully present inaccurate and false information</w:t>
      </w:r>
      <w:r w:rsidR="00021AF0">
        <w:rPr>
          <w:rStyle w:val="FootnoteReference"/>
        </w:rPr>
        <w:footnoteReference w:id="21"/>
      </w:r>
      <w:r w:rsidR="00933628">
        <w:t xml:space="preserve"> relating to the events of the Vietnam war</w:t>
      </w:r>
      <w:r w:rsidR="00B15CC2">
        <w:t>. This</w:t>
      </w:r>
      <w:r w:rsidR="00933628">
        <w:t xml:space="preserve"> potentially led to theorist</w:t>
      </w:r>
      <w:r w:rsidR="00B15CC2">
        <w:t>s</w:t>
      </w:r>
      <w:r w:rsidR="00933628">
        <w:t xml:space="preserve"> and academics to turn away from empiricism and positivist traditions</w:t>
      </w:r>
      <w:r w:rsidR="00C54D00">
        <w:t xml:space="preserve">, in </w:t>
      </w:r>
      <w:r w:rsidR="009C1EA6">
        <w:t>favour</w:t>
      </w:r>
      <w:r w:rsidR="00C54D00">
        <w:t xml:space="preserve"> of more leftist and liberal beliefs. </w:t>
      </w:r>
    </w:p>
    <w:p w:rsidR="008560B0" w:rsidRDefault="008560B0" w:rsidP="0083463C"/>
    <w:p w:rsidR="00E41D1D" w:rsidRDefault="00C54D00" w:rsidP="00A3453A">
      <w:pPr>
        <w:spacing w:after="0"/>
      </w:pPr>
      <w:r>
        <w:t>Before I move on to briefly illustrate anti-foundationalism within this chapter, it is necessary to bring the narrative and background of this area of philosophy to a conclusion. Placing the various elements discussed into chronological order, the development of pragmatism by William James and Charles Sanders Peirce, was potentially the beginning of the American shift from Formalism</w:t>
      </w:r>
      <w:r w:rsidR="007D7047">
        <w:t xml:space="preserve"> </w:t>
      </w:r>
      <w:r w:rsidR="00CE778F">
        <w:t>to the</w:t>
      </w:r>
      <w:r w:rsidR="007D7047">
        <w:t xml:space="preserve"> development of alternate bodies of theory,</w:t>
      </w:r>
      <w:r w:rsidR="00A94773">
        <w:t xml:space="preserve"> including the creation of legal realism by Oliver Wendell Holmes Jr. Concepts of legal realism received a resurgence in the 1960s after being refined under the law and society movement</w:t>
      </w:r>
      <w:r w:rsidR="009A3068">
        <w:t>, which fragmented several years later to form a separate entity known as critical legal studies. CLS identified itself with the post-structuralist movement based in France and central Europe</w:t>
      </w:r>
      <w:r w:rsidR="00692905">
        <w:t>,</w:t>
      </w:r>
      <w:r w:rsidR="009A3068">
        <w:t xml:space="preserve"> whose </w:t>
      </w:r>
      <w:r w:rsidR="00692905">
        <w:t>core</w:t>
      </w:r>
      <w:r w:rsidR="009A3068">
        <w:t xml:space="preserve"> themes were derived from a criticism of orthodox Marxism and </w:t>
      </w:r>
      <w:r w:rsidR="009A3068">
        <w:lastRenderedPageBreak/>
        <w:t>structuralism</w:t>
      </w:r>
      <w:r w:rsidR="0044411F">
        <w:t xml:space="preserve">. There are two key distinctions to make, </w:t>
      </w:r>
      <w:r w:rsidR="00953D3E">
        <w:t xml:space="preserve">firstly </w:t>
      </w:r>
      <w:r w:rsidR="0044411F">
        <w:t xml:space="preserve">critical legal studies and legal realism are movements of jurisprudence, </w:t>
      </w:r>
      <w:r w:rsidR="00953D3E">
        <w:t>and secondly</w:t>
      </w:r>
      <w:r w:rsidR="0044411F">
        <w:t xml:space="preserve"> post-structuralism, pragmatism and post </w:t>
      </w:r>
      <w:r w:rsidR="00A6179C">
        <w:t>modernism</w:t>
      </w:r>
      <w:r w:rsidR="0044411F">
        <w:t xml:space="preserve"> are general philosophical theories with</w:t>
      </w:r>
      <w:r w:rsidR="00A6179C">
        <w:t xml:space="preserve"> individual concepts of law</w:t>
      </w:r>
      <w:r w:rsidR="00953D3E">
        <w:t>, potentially</w:t>
      </w:r>
      <w:r w:rsidR="008560B0">
        <w:t xml:space="preserve"> explaining why post-structuralism can be incorporated under the b</w:t>
      </w:r>
      <w:r w:rsidR="00262EB9">
        <w:t>road umbrella of post-modernism</w:t>
      </w:r>
      <w:r w:rsidR="00953D3E">
        <w:t>. Y</w:t>
      </w:r>
      <w:r w:rsidR="00262EB9">
        <w:t>et it is important to stress</w:t>
      </w:r>
      <w:r w:rsidR="007801A3">
        <w:t>,</w:t>
      </w:r>
      <w:r w:rsidR="00262EB9">
        <w:t xml:space="preserve"> that these theories and concepts are not formally defined, which can lead to ambiguity when such terms are interchanged without important explanatory illustration, a fault found in the co</w:t>
      </w:r>
      <w:r w:rsidR="007A5B12">
        <w:t xml:space="preserve">nstruction of Priban’s critique, although this is not without some degree of understanding, as categorizing philosophers into schools of thought (mentioned previously) is relatively difficult, </w:t>
      </w:r>
      <w:r w:rsidR="00443B04">
        <w:t xml:space="preserve">Richard </w:t>
      </w:r>
      <w:r w:rsidR="007A5B12">
        <w:t>Rorty</w:t>
      </w:r>
      <w:r w:rsidR="00443B04">
        <w:t xml:space="preserve"> is a good example of this, as he categorized himself as a follower of American pragmatism, yet his turn away from analytical philosophy led him to be </w:t>
      </w:r>
      <w:r w:rsidR="009C1EA6">
        <w:t>labelled</w:t>
      </w:r>
      <w:r w:rsidR="00443B04">
        <w:t xml:space="preserve"> as a post-structuralist and post-modern philosopher. It is my aim to illustrate effectively here, that attempting to chart the development of post-modern philosophy has difficulties and constraints, however despite </w:t>
      </w:r>
      <w:r w:rsidR="00791793">
        <w:t>these</w:t>
      </w:r>
      <w:r w:rsidR="00443B04">
        <w:t xml:space="preserve">, it is </w:t>
      </w:r>
      <w:r w:rsidR="00791793">
        <w:t>possible</w:t>
      </w:r>
      <w:r w:rsidR="00443B04">
        <w:t xml:space="preserve"> to chart a number of </w:t>
      </w:r>
      <w:r w:rsidR="00791793">
        <w:t>commonalties</w:t>
      </w:r>
      <w:r w:rsidR="00443B04">
        <w:t xml:space="preserve"> to this area of philosophy.     </w:t>
      </w:r>
    </w:p>
    <w:p w:rsidR="006F61CC" w:rsidRDefault="00A3453A" w:rsidP="00A3453A">
      <w:pPr>
        <w:spacing w:after="0"/>
      </w:pPr>
      <w:r>
        <w:t xml:space="preserve">The first commonality is the era of development for these shifts in thinking, the term “1960’s and 70s” is common to all descriptions Critical Legal Studies, Post-Structuralism and Post-Modernism, and as alluded to previously, it was a dramatic period which served as a catalyst for change in philosophical and jurisprudential thinking. The second commonality, </w:t>
      </w:r>
      <w:r w:rsidR="00686CB7">
        <w:t>heavily dependent upon</w:t>
      </w:r>
      <w:r>
        <w:t xml:space="preserve"> the first</w:t>
      </w:r>
      <w:r w:rsidR="00686CB7">
        <w:t>,</w:t>
      </w:r>
      <w:r>
        <w:t xml:space="preserve"> is the largely similar </w:t>
      </w:r>
      <w:r w:rsidR="00112616">
        <w:t>criticism</w:t>
      </w:r>
      <w:r>
        <w:t xml:space="preserve"> of</w:t>
      </w:r>
      <w:r w:rsidR="00686CB7">
        <w:t xml:space="preserve"> dominant</w:t>
      </w:r>
      <w:r w:rsidR="00112616">
        <w:t xml:space="preserve"> power structures, and the drive to embrace more dynamic theories relating to society in context</w:t>
      </w:r>
      <w:r w:rsidR="00686CB7">
        <w:t xml:space="preserve">, coupled with </w:t>
      </w:r>
      <w:r w:rsidR="00112616">
        <w:t>a rejection of the natural sciences.</w:t>
      </w:r>
      <w:r w:rsidR="008E469B">
        <w:t xml:space="preserve"> Nigel Blake describes this as the “</w:t>
      </w:r>
      <w:r w:rsidR="008E469B" w:rsidRPr="008E469B">
        <w:rPr>
          <w:i/>
        </w:rPr>
        <w:t>reconnection to sociological and political philosophy…the reconstruction of liberalism</w:t>
      </w:r>
      <w:r w:rsidR="008E469B">
        <w:t>”</w:t>
      </w:r>
      <w:r w:rsidR="008E469B">
        <w:rPr>
          <w:rStyle w:val="FootnoteReference"/>
        </w:rPr>
        <w:footnoteReference w:id="22"/>
      </w:r>
    </w:p>
    <w:p w:rsidR="006F61CC" w:rsidRDefault="006F61CC" w:rsidP="00A3453A">
      <w:pPr>
        <w:spacing w:after="0"/>
      </w:pPr>
    </w:p>
    <w:p w:rsidR="006F61CC" w:rsidRDefault="008E469B" w:rsidP="00E917E1">
      <w:pPr>
        <w:spacing w:after="0"/>
      </w:pPr>
      <w:r>
        <w:t>Anti-foundationalism as a series of concepts is central to Priban’s critique and thus central to this dissertation</w:t>
      </w:r>
      <w:r w:rsidR="00A266F1">
        <w:t xml:space="preserve">, the areas discussed above are connected to anti-foundationalism, with Foucault and Rorty, along with Fish being a number of the key driving forces behind such theories and concepts, evidencing the benefit to background illustration.  </w:t>
      </w:r>
    </w:p>
    <w:p w:rsidR="00D25B67" w:rsidRDefault="00925FF9" w:rsidP="005F6B11">
      <w:r>
        <w:t>Anti-foundationalism, is essentially a term applied to philosophical and theoretical concepts</w:t>
      </w:r>
      <w:r w:rsidR="002B4D5A">
        <w:t>,</w:t>
      </w:r>
      <w:r>
        <w:t xml:space="preserve"> that reject</w:t>
      </w:r>
      <w:r w:rsidR="002B4D5A">
        <w:t>s</w:t>
      </w:r>
      <w:r>
        <w:t xml:space="preserve"> the existence or establishment of self-evident and fundamental concepts as a form of establishing foundational knowledge of facts.  </w:t>
      </w:r>
      <w:r w:rsidR="00745D22">
        <w:t>A</w:t>
      </w:r>
      <w:r w:rsidR="005F6B11" w:rsidRPr="005F6B11">
        <w:t>s a body of thought</w:t>
      </w:r>
      <w:r w:rsidR="00745D22">
        <w:t>, anti-foundationalism</w:t>
      </w:r>
      <w:r w:rsidR="005F6B11" w:rsidRPr="005F6B11">
        <w:t xml:space="preserve"> primarily</w:t>
      </w:r>
      <w:r w:rsidR="002B4D5A">
        <w:t xml:space="preserve"> </w:t>
      </w:r>
      <w:r w:rsidR="005F6B11">
        <w:t>rejects the use of</w:t>
      </w:r>
      <w:r w:rsidR="002B4D5A">
        <w:t xml:space="preserve"> </w:t>
      </w:r>
      <w:r w:rsidR="005F6B11" w:rsidRPr="005F6B11">
        <w:t>metaphysical</w:t>
      </w:r>
      <w:r w:rsidR="005F6B11" w:rsidRPr="005D160C">
        <w:t xml:space="preserve"> methods</w:t>
      </w:r>
      <w:r w:rsidR="00745D22">
        <w:t xml:space="preserve"> to resolve propositions or theories, advocating the use of logical and genealogical inquiry. </w:t>
      </w:r>
    </w:p>
    <w:p w:rsidR="00925FF9" w:rsidRPr="00D25B67" w:rsidRDefault="00745D22" w:rsidP="00D25B67">
      <w:r>
        <w:t xml:space="preserve">Fish suggests in </w:t>
      </w:r>
      <w:r w:rsidRPr="00745D22">
        <w:t>Doing What Comes Naturally</w:t>
      </w:r>
      <w:r w:rsidRPr="00745D22">
        <w:rPr>
          <w:rStyle w:val="FootnoteReference"/>
        </w:rPr>
        <w:footnoteReference w:id="23"/>
      </w:r>
      <w:r>
        <w:t xml:space="preserve">, </w:t>
      </w:r>
      <w:r>
        <w:rPr>
          <w:i/>
        </w:rPr>
        <w:t>“foundations are a local and temporal phenomena</w:t>
      </w:r>
      <w:r w:rsidR="00430169">
        <w:rPr>
          <w:i/>
        </w:rPr>
        <w:t xml:space="preserve"> and are always vulnerable to challenges fr</w:t>
      </w:r>
      <w:r w:rsidR="00B33A53">
        <w:rPr>
          <w:i/>
        </w:rPr>
        <w:t>o</w:t>
      </w:r>
      <w:r w:rsidR="00430169">
        <w:rPr>
          <w:i/>
        </w:rPr>
        <w:t>m other localities and other times</w:t>
      </w:r>
      <w:r>
        <w:rPr>
          <w:i/>
        </w:rPr>
        <w:t>”</w:t>
      </w:r>
      <w:r w:rsidR="00430169">
        <w:rPr>
          <w:rStyle w:val="FootnoteReference"/>
          <w:i/>
        </w:rPr>
        <w:footnoteReference w:id="24"/>
      </w:r>
      <w:r w:rsidR="00430169">
        <w:t xml:space="preserve"> demonstrating a similar view to Foucault in contextually driven critical interpretation. Fish mentions additionally</w:t>
      </w:r>
      <w:r w:rsidR="00B33A53">
        <w:t>,</w:t>
      </w:r>
      <w:r w:rsidR="00430169">
        <w:t xml:space="preserve"> that the same criticism can be extended to anti-foundationalism also </w:t>
      </w:r>
      <w:r w:rsidR="00A8556A">
        <w:t>in addition to criticisms of moral relativism</w:t>
      </w:r>
      <w:r w:rsidR="00B33A53">
        <w:t>. H</w:t>
      </w:r>
      <w:r w:rsidR="00A8556A">
        <w:t>owever</w:t>
      </w:r>
      <w:r w:rsidR="00B33A53">
        <w:t>,</w:t>
      </w:r>
      <w:r w:rsidR="00A8556A">
        <w:t xml:space="preserve"> the counter assertion </w:t>
      </w:r>
      <w:r w:rsidR="00B33A53">
        <w:t xml:space="preserve">is </w:t>
      </w:r>
      <w:r w:rsidR="00A8556A">
        <w:t>that anti-foundationalism can include it’s self under its own scope, until such an argument can disprove it’</w:t>
      </w:r>
      <w:r w:rsidR="00D25B67">
        <w:t xml:space="preserve">s truth without contingency. </w:t>
      </w:r>
      <w:r w:rsidR="00A8556A">
        <w:t xml:space="preserve">In addition to this </w:t>
      </w:r>
      <w:r w:rsidR="009C1EA6">
        <w:t>defence</w:t>
      </w:r>
      <w:r w:rsidR="00A8556A">
        <w:t>, anti-foundationalist’s</w:t>
      </w:r>
      <w:r w:rsidR="00007585">
        <w:t xml:space="preserve"> propose</w:t>
      </w:r>
      <w:r w:rsidR="00B33A53">
        <w:t xml:space="preserve"> </w:t>
      </w:r>
      <w:r w:rsidR="00007585">
        <w:t xml:space="preserve">differing forms of </w:t>
      </w:r>
      <w:r w:rsidRPr="005D160C">
        <w:t>moral</w:t>
      </w:r>
      <w:r w:rsidR="00007585">
        <w:t>ity which do not require the presence of a foundational theory, this concept is supported by Zygmunt Bauman</w:t>
      </w:r>
      <w:r w:rsidR="00EE4C50">
        <w:t xml:space="preserve"> “</w:t>
      </w:r>
      <w:r w:rsidR="00EE4C50">
        <w:rPr>
          <w:i/>
        </w:rPr>
        <w:t xml:space="preserve">there exists no </w:t>
      </w:r>
      <w:r w:rsidR="00EE4C50" w:rsidRPr="00EE4C50">
        <w:rPr>
          <w:i/>
        </w:rPr>
        <w:t xml:space="preserve">a </w:t>
      </w:r>
      <w:r w:rsidR="00EE4C50" w:rsidRPr="00EE4C50">
        <w:rPr>
          <w:i/>
        </w:rPr>
        <w:lastRenderedPageBreak/>
        <w:t>priori</w:t>
      </w:r>
      <w:r w:rsidR="00EE4C50">
        <w:rPr>
          <w:i/>
        </w:rPr>
        <w:t xml:space="preserve"> foundations of post-modern morality on which ethical codes can be built”</w:t>
      </w:r>
      <w:r w:rsidR="00EE4C50">
        <w:rPr>
          <w:rStyle w:val="FootnoteReference"/>
          <w:i/>
        </w:rPr>
        <w:footnoteReference w:id="25"/>
      </w:r>
      <w:r w:rsidR="00710535">
        <w:t>this reflection defines the anti-foundationalist’s rejection of an absolute theory, highlighting how the concept of contingency is innately connected to the r</w:t>
      </w:r>
      <w:r w:rsidR="00DE3E53">
        <w:t>ationalization of such concepts. C</w:t>
      </w:r>
      <w:r w:rsidR="00710535">
        <w:t>onsequently</w:t>
      </w:r>
      <w:r w:rsidR="00DE3E53">
        <w:t>,</w:t>
      </w:r>
      <w:r w:rsidR="00710535">
        <w:t xml:space="preserve"> it could be argued that anti-foundationalist’s</w:t>
      </w:r>
      <w:r w:rsidR="0089632B">
        <w:t xml:space="preserve"> such as Fish</w:t>
      </w:r>
      <w:r w:rsidR="00710535">
        <w:t xml:space="preserve"> take a neopragmatic stance, rejecting any overall theory of knowledge in </w:t>
      </w:r>
      <w:r w:rsidR="009C1EA6">
        <w:t>favour</w:t>
      </w:r>
      <w:r w:rsidR="00710535">
        <w:t xml:space="preserve"> of a proven and tested array of contex</w:t>
      </w:r>
      <w:r w:rsidR="00D25B67">
        <w:t xml:space="preserve">tually applicable practices.  </w:t>
      </w:r>
      <w:r w:rsidR="00C606F3">
        <w:t>In addition to the concept of contingency, another key anti-foundationalist theory that Priban refer</w:t>
      </w:r>
      <w:r w:rsidR="0056759D">
        <w:t>s to in his critique</w:t>
      </w:r>
      <w:r w:rsidR="00DE3E53">
        <w:t>,</w:t>
      </w:r>
      <w:r w:rsidR="0056759D">
        <w:t xml:space="preserve"> is Fish’s Theory Hope and Theory F</w:t>
      </w:r>
      <w:r w:rsidR="00C606F3">
        <w:t xml:space="preserve">ear.  </w:t>
      </w:r>
      <w:r w:rsidR="00D25B67">
        <w:t>Theory hope, is what F</w:t>
      </w:r>
      <w:r w:rsidR="00C606F3">
        <w:t xml:space="preserve">ish dubs, “the </w:t>
      </w:r>
      <w:r w:rsidR="004016FF">
        <w:t>promise</w:t>
      </w:r>
      <w:r w:rsidR="00C606F3">
        <w:t xml:space="preserve"> that theory seem</w:t>
      </w:r>
      <w:r w:rsidR="004016FF">
        <w:t>s</w:t>
      </w:r>
      <w:r w:rsidR="00C606F3">
        <w:t xml:space="preserve"> to offer”</w:t>
      </w:r>
      <w:r w:rsidR="00C606F3">
        <w:rPr>
          <w:rStyle w:val="FootnoteReference"/>
        </w:rPr>
        <w:footnoteReference w:id="26"/>
      </w:r>
      <w:r w:rsidR="0056759D">
        <w:t xml:space="preserve"> where an individual who believes in theory hope is essentially assuming (or hoping) that theory will “</w:t>
      </w:r>
      <w:r w:rsidR="0056759D" w:rsidRPr="0056759D">
        <w:rPr>
          <w:i/>
        </w:rPr>
        <w:t>carry them forwards to utopia or backwards to Eden</w:t>
      </w:r>
      <w:r w:rsidR="0056759D">
        <w:rPr>
          <w:rStyle w:val="FootnoteReference"/>
        </w:rPr>
        <w:footnoteReference w:id="27"/>
      </w:r>
      <w:r w:rsidR="0056759D">
        <w:t>” and therefore conversely, theory fear is where an individual believes that theory will “</w:t>
      </w:r>
      <w:r w:rsidR="0056759D" w:rsidRPr="0056759D">
        <w:rPr>
          <w:i/>
        </w:rPr>
        <w:t>open the floodgates to anarchy</w:t>
      </w:r>
      <w:r w:rsidR="0056759D">
        <w:t>”</w:t>
      </w:r>
      <w:r w:rsidR="0056759D">
        <w:rPr>
          <w:rStyle w:val="FootnoteReference"/>
        </w:rPr>
        <w:footnoteReference w:id="28"/>
      </w:r>
      <w:r w:rsidR="0056759D">
        <w:t xml:space="preserve">. </w:t>
      </w:r>
      <w:r w:rsidR="0056759D" w:rsidRPr="0056759D">
        <w:t xml:space="preserve">Fish states that both these individuals would be wrong, as </w:t>
      </w:r>
      <w:r w:rsidR="0056759D">
        <w:t>both believe theory to be foundational</w:t>
      </w:r>
      <w:r w:rsidR="00D25B67">
        <w:t xml:space="preserve">, to which </w:t>
      </w:r>
      <w:r w:rsidR="00DE3E53">
        <w:t>F</w:t>
      </w:r>
      <w:r w:rsidR="00D25B67">
        <w:t>ish argues</w:t>
      </w:r>
      <w:r w:rsidR="00DE3E53">
        <w:t>,</w:t>
      </w:r>
      <w:r w:rsidR="00D25B67">
        <w:t xml:space="preserve"> is purely based on a series of individual perspectives.  </w:t>
      </w:r>
    </w:p>
    <w:p w:rsidR="00925FF9" w:rsidRPr="00D25B67" w:rsidRDefault="00D25B67" w:rsidP="00C606F3">
      <w:pPr>
        <w:spacing w:after="0"/>
      </w:pPr>
      <w:r w:rsidRPr="00871EA6">
        <w:t>A more detailed analysis of these theories will be addressed as the dissertation progresses through Priban’s critique in the following chapters.</w:t>
      </w:r>
    </w:p>
    <w:p w:rsidR="00D25B67" w:rsidRDefault="00D25B67" w:rsidP="00D25B67">
      <w:pPr>
        <w:pStyle w:val="Heading1"/>
      </w:pPr>
    </w:p>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Default="00B56E5E" w:rsidP="00B56E5E"/>
    <w:p w:rsidR="00B56E5E" w:rsidRPr="00B56E5E" w:rsidRDefault="00B56E5E" w:rsidP="00B56E5E"/>
    <w:p w:rsidR="00D25B67" w:rsidRPr="004F32ED" w:rsidRDefault="00D25B67" w:rsidP="00D25B67">
      <w:pPr>
        <w:pStyle w:val="Heading1"/>
      </w:pPr>
      <w:bookmarkStart w:id="8" w:name="_Toc324252587"/>
      <w:r w:rsidRPr="00D25B67">
        <w:lastRenderedPageBreak/>
        <w:t xml:space="preserve">Chapter </w:t>
      </w:r>
      <w:r>
        <w:t>Two.</w:t>
      </w:r>
      <w:bookmarkEnd w:id="8"/>
    </w:p>
    <w:p w:rsidR="00D25B67" w:rsidRDefault="00925F93" w:rsidP="00F9402F">
      <w:pPr>
        <w:pStyle w:val="Heading2"/>
      </w:pPr>
      <w:bookmarkStart w:id="9" w:name="_Toc324252588"/>
      <w:r>
        <w:t>A Pragmatic R</w:t>
      </w:r>
      <w:r w:rsidR="00F9402F">
        <w:t>eflection of Post-Structuralism.</w:t>
      </w:r>
      <w:bookmarkEnd w:id="9"/>
    </w:p>
    <w:p w:rsidR="00F9402F" w:rsidRPr="00F9402F" w:rsidRDefault="00F9402F" w:rsidP="00F9402F"/>
    <w:p w:rsidR="004F32ED" w:rsidRDefault="004F32ED" w:rsidP="0083463C">
      <w:r w:rsidRPr="004F32ED">
        <w:t xml:space="preserve">I will begin my close </w:t>
      </w:r>
      <w:r>
        <w:t xml:space="preserve">analysis with Priban’s pragmatist reflection of post-structuralism. The background illustration of the previous chapter forms a large foundation from which Priban’s reflections can be categorized, and consequently it is here where Priban’s direct critique will be </w:t>
      </w:r>
      <w:r w:rsidR="009C1EA6">
        <w:t>analysed</w:t>
      </w:r>
      <w:r>
        <w:t xml:space="preserve"> and examined. </w:t>
      </w:r>
    </w:p>
    <w:p w:rsidR="004F32ED" w:rsidRPr="004F32ED" w:rsidRDefault="004F32ED" w:rsidP="00BD4D7A">
      <w:pPr>
        <w:spacing w:after="0"/>
      </w:pPr>
      <w:r>
        <w:t>Priban initially identifies that his reflection (viewed through the pragmatist perspective)</w:t>
      </w:r>
      <w:r w:rsidR="00F8715E">
        <w:t>,</w:t>
      </w:r>
      <w:r>
        <w:t xml:space="preserve"> is likely to differ “</w:t>
      </w:r>
      <w:r w:rsidRPr="004F32ED">
        <w:rPr>
          <w:i/>
        </w:rPr>
        <w:t>significantly</w:t>
      </w:r>
      <w:r>
        <w:t>”</w:t>
      </w:r>
      <w:r>
        <w:rPr>
          <w:rStyle w:val="FootnoteReference"/>
        </w:rPr>
        <w:footnoteReference w:id="29"/>
      </w:r>
      <w:r>
        <w:t xml:space="preserve"> from that of Derrida’s and other post-structuralist legal social or political notions and </w:t>
      </w:r>
      <w:r w:rsidR="00A44165">
        <w:t>concepts</w:t>
      </w:r>
      <w:r w:rsidR="00BD4D7A">
        <w:t>, the line of his reflection primarily follows that of Rorty in “Consequences of Pragmatism”</w:t>
      </w:r>
      <w:r w:rsidR="00BD4D7A">
        <w:rPr>
          <w:rStyle w:val="FootnoteReference"/>
        </w:rPr>
        <w:footnoteReference w:id="30"/>
      </w:r>
      <w:r w:rsidR="00BD4D7A">
        <w:t xml:space="preserve">, in developing a critique of post-structural concepts from an American pragmatist position.  </w:t>
      </w:r>
    </w:p>
    <w:p w:rsidR="00D25B67" w:rsidRDefault="0054079F" w:rsidP="00BD4D7A">
      <w:pPr>
        <w:spacing w:after="0"/>
      </w:pPr>
      <w:r w:rsidRPr="0054079F">
        <w:t xml:space="preserve">He begins </w:t>
      </w:r>
      <w:r>
        <w:t>by</w:t>
      </w:r>
      <w:r w:rsidR="00F8715E">
        <w:t xml:space="preserve"> </w:t>
      </w:r>
      <w:r w:rsidR="00B47F09">
        <w:t>referring to Hilary Putnam’s rejection of a</w:t>
      </w:r>
      <w:r w:rsidR="00752756">
        <w:t xml:space="preserve"> philosophical search for a</w:t>
      </w:r>
      <w:r w:rsidR="00B47F09">
        <w:t xml:space="preserve"> “</w:t>
      </w:r>
      <w:r w:rsidR="00B47F09" w:rsidRPr="00854DD9">
        <w:rPr>
          <w:i/>
        </w:rPr>
        <w:t>god’s eye view</w:t>
      </w:r>
      <w:r w:rsidR="00B47F09">
        <w:t xml:space="preserve">” </w:t>
      </w:r>
      <w:r w:rsidR="0089632B">
        <w:t xml:space="preserve">(as a criticism of </w:t>
      </w:r>
      <w:r w:rsidR="00B47F09">
        <w:t xml:space="preserve"> metaphysical realism</w:t>
      </w:r>
      <w:r w:rsidR="0089632B">
        <w:t>)</w:t>
      </w:r>
      <w:r w:rsidR="00B47F09">
        <w:t xml:space="preserve">, a view incorporated by </w:t>
      </w:r>
      <w:r w:rsidR="0089632B">
        <w:t xml:space="preserve">pragmatic </w:t>
      </w:r>
      <w:r w:rsidR="00B47F09">
        <w:t>post structuralists</w:t>
      </w:r>
      <w:r w:rsidR="0089632B">
        <w:t xml:space="preserve"> such as Rorty and Fish who have been illustrated to take a neopragmatic stance in regard to epistemological theory.  </w:t>
      </w:r>
    </w:p>
    <w:p w:rsidR="00871EA6" w:rsidRDefault="00871EA6" w:rsidP="00BD4D7A">
      <w:pPr>
        <w:spacing w:after="0"/>
      </w:pPr>
    </w:p>
    <w:p w:rsidR="0054079F" w:rsidRPr="0054079F" w:rsidRDefault="00752756" w:rsidP="00BD4D7A">
      <w:pPr>
        <w:spacing w:after="0"/>
      </w:pPr>
      <w:r>
        <w:t>The God’s eye view argument refers to a transcendental concept of morality and truth, a single concept that Priban argues can only be known by God, and with man not being God, such a concept is useless in human life and thinking</w:t>
      </w:r>
      <w:r>
        <w:rPr>
          <w:rStyle w:val="FootnoteReference"/>
        </w:rPr>
        <w:footnoteReference w:id="31"/>
      </w:r>
      <w:r>
        <w:t>. Consequently</w:t>
      </w:r>
      <w:r w:rsidR="00F8715E">
        <w:t>,</w:t>
      </w:r>
      <w:r>
        <w:t xml:space="preserve"> if a transcendental concept cannot be embraced, the only other option for man is that truth </w:t>
      </w:r>
      <w:r w:rsidR="00910834">
        <w:t>must</w:t>
      </w:r>
      <w:r>
        <w:t xml:space="preserve"> be</w:t>
      </w:r>
      <w:r w:rsidR="00910834">
        <w:t>,</w:t>
      </w:r>
      <w:r w:rsidR="00323A8D">
        <w:t xml:space="preserve"> at least</w:t>
      </w:r>
      <w:r>
        <w:t xml:space="preserve"> to some extent</w:t>
      </w:r>
      <w:r w:rsidR="00910834">
        <w:t>,</w:t>
      </w:r>
      <w:r>
        <w:t xml:space="preserve"> contingent</w:t>
      </w:r>
      <w:r w:rsidR="00910834">
        <w:t>.</w:t>
      </w:r>
    </w:p>
    <w:p w:rsidR="00D25B67" w:rsidRDefault="00323A8D" w:rsidP="00323A8D">
      <w:pPr>
        <w:spacing w:after="0"/>
      </w:pPr>
      <w:r>
        <w:t xml:space="preserve">A </w:t>
      </w:r>
      <w:r w:rsidRPr="00323A8D">
        <w:rPr>
          <w:i/>
        </w:rPr>
        <w:t>prima facie</w:t>
      </w:r>
      <w:r>
        <w:t xml:space="preserve"> standard of evidence for this assertion can be seen in differing language and legal systems, what “we” accept to be “true” is to some extent based on our own percep</w:t>
      </w:r>
      <w:r w:rsidR="004C749C">
        <w:t xml:space="preserve">tions of the reality around us and the acceptability of </w:t>
      </w:r>
      <w:r w:rsidR="004E5D97">
        <w:t>behavioural</w:t>
      </w:r>
      <w:r w:rsidR="004C749C">
        <w:t xml:space="preserve"> norms. An element of contextual influence is consequently innate to any concept of truth proposed within post-structuralism and post-modernism, and demonstrate</w:t>
      </w:r>
      <w:r w:rsidR="00F8715E">
        <w:t>s</w:t>
      </w:r>
      <w:r w:rsidR="004C749C">
        <w:t xml:space="preserve"> that a transcendental concept of truth cannot exist as it cannot be universally applicable. Priban cites Rorty in </w:t>
      </w:r>
      <w:r w:rsidR="004C749C">
        <w:rPr>
          <w:i/>
        </w:rPr>
        <w:t xml:space="preserve">Consequences of Pragmatism </w:t>
      </w:r>
      <w:r w:rsidR="004C749C">
        <w:t xml:space="preserve">and defines </w:t>
      </w:r>
      <w:r w:rsidR="00015711">
        <w:t>his citation as Rorty’s determination of man’s epistemological condition</w:t>
      </w:r>
      <w:r w:rsidR="00854DD9">
        <w:t>, where the search for truth can be vertical or horizontal, with one such method referring to the “</w:t>
      </w:r>
      <w:r w:rsidR="00854DD9" w:rsidRPr="00854DD9">
        <w:rPr>
          <w:i/>
        </w:rPr>
        <w:t>relationship between representations and what is represented</w:t>
      </w:r>
      <w:r w:rsidR="00854DD9">
        <w:t>”</w:t>
      </w:r>
      <w:r w:rsidR="00854DD9">
        <w:rPr>
          <w:rStyle w:val="FootnoteReference"/>
        </w:rPr>
        <w:footnoteReference w:id="32"/>
      </w:r>
      <w:r w:rsidR="00854DD9">
        <w:t xml:space="preserve"> and the latter referring to a historical reinterpretation of interpretations of previous generations. </w:t>
      </w:r>
    </w:p>
    <w:p w:rsidR="00F9402F" w:rsidRDefault="00F9402F" w:rsidP="00323A8D">
      <w:pPr>
        <w:spacing w:after="0"/>
      </w:pPr>
    </w:p>
    <w:p w:rsidR="00D25B67" w:rsidRPr="00871EA6" w:rsidRDefault="00F8715E" w:rsidP="00880098">
      <w:pPr>
        <w:rPr>
          <w:i/>
        </w:rPr>
      </w:pPr>
      <w:r>
        <w:t>Whilst</w:t>
      </w:r>
      <w:r w:rsidR="00854DD9" w:rsidRPr="00854DD9">
        <w:t xml:space="preserve"> Priban </w:t>
      </w:r>
      <w:r w:rsidR="00854DD9">
        <w:t>frames this extract as Rorty’s stance on his reflection of a post-</w:t>
      </w:r>
      <w:r w:rsidR="004E5D97">
        <w:t>structuralists</w:t>
      </w:r>
      <w:r w:rsidR="00854DD9">
        <w:t xml:space="preserve"> </w:t>
      </w:r>
      <w:r w:rsidR="00903172">
        <w:t>epistemological determination, Rorty goes on to limit and refine the two methods, proposing that the first, “</w:t>
      </w:r>
      <w:r w:rsidR="00903172" w:rsidRPr="00903172">
        <w:rPr>
          <w:i/>
        </w:rPr>
        <w:t xml:space="preserve">takes scientific truth to the </w:t>
      </w:r>
      <w:r w:rsidR="004E5D97" w:rsidRPr="00903172">
        <w:rPr>
          <w:i/>
        </w:rPr>
        <w:t>centre</w:t>
      </w:r>
      <w:r w:rsidR="00903172" w:rsidRPr="00903172">
        <w:rPr>
          <w:i/>
        </w:rPr>
        <w:t xml:space="preserve"> of </w:t>
      </w:r>
      <w:r w:rsidR="00903172">
        <w:rPr>
          <w:i/>
        </w:rPr>
        <w:t xml:space="preserve">philosophical </w:t>
      </w:r>
      <w:r w:rsidR="00903172" w:rsidRPr="00903172">
        <w:rPr>
          <w:i/>
        </w:rPr>
        <w:t>concern</w:t>
      </w:r>
      <w:r w:rsidR="00903172">
        <w:t>”</w:t>
      </w:r>
      <w:r w:rsidR="00903172">
        <w:rPr>
          <w:rStyle w:val="FootnoteReference"/>
        </w:rPr>
        <w:footnoteReference w:id="33"/>
      </w:r>
      <w:r w:rsidR="00903172">
        <w:t xml:space="preserve"> while the second “</w:t>
      </w:r>
      <w:r w:rsidR="00903172">
        <w:rPr>
          <w:i/>
        </w:rPr>
        <w:t>takes</w:t>
      </w:r>
      <w:r>
        <w:rPr>
          <w:i/>
        </w:rPr>
        <w:t xml:space="preserve"> </w:t>
      </w:r>
      <w:r w:rsidR="00903172">
        <w:rPr>
          <w:i/>
        </w:rPr>
        <w:t>science as one sector of culture, a sector which, like all the other sectors, only makes sense when viewed historically”</w:t>
      </w:r>
      <w:r w:rsidR="00903172">
        <w:rPr>
          <w:rStyle w:val="FootnoteReference"/>
          <w:i/>
        </w:rPr>
        <w:footnoteReference w:id="34"/>
      </w:r>
      <w:r w:rsidR="00903172">
        <w:rPr>
          <w:i/>
        </w:rPr>
        <w:t xml:space="preserve">. </w:t>
      </w:r>
      <w:r w:rsidR="00903172">
        <w:t xml:space="preserve">In reality, Rorty is simply refining his position on the latter, stating that </w:t>
      </w:r>
      <w:r w:rsidR="000F3BAC">
        <w:lastRenderedPageBreak/>
        <w:t>concepts</w:t>
      </w:r>
      <w:r w:rsidR="00903172">
        <w:t xml:space="preserve"> such as beauty and truth require </w:t>
      </w:r>
      <w:r w:rsidR="000F3BAC">
        <w:t>reinterpretation</w:t>
      </w:r>
      <w:r w:rsidR="00903172">
        <w:t xml:space="preserve"> to be true in </w:t>
      </w:r>
      <w:r w:rsidR="000F3BAC">
        <w:t xml:space="preserve">a </w:t>
      </w:r>
      <w:r w:rsidR="00903172">
        <w:t>modern</w:t>
      </w:r>
      <w:r w:rsidR="000F3BAC">
        <w:t xml:space="preserve"> context, Rorty’s concepts regarding the conditions that determine our epistemological condition are closer to</w:t>
      </w:r>
      <w:r w:rsidR="006E52D0">
        <w:t xml:space="preserve"> </w:t>
      </w:r>
      <w:r w:rsidR="000F3BAC">
        <w:t xml:space="preserve">an understanding of </w:t>
      </w:r>
      <w:r w:rsidR="00BB3996">
        <w:t>representation“… it is at the heart of philosophy”</w:t>
      </w:r>
      <w:r w:rsidR="00BB3996">
        <w:rPr>
          <w:rStyle w:val="FootnoteReference"/>
        </w:rPr>
        <w:footnoteReference w:id="35"/>
      </w:r>
      <w:r w:rsidR="00BB3996">
        <w:t>.</w:t>
      </w:r>
    </w:p>
    <w:p w:rsidR="00880098" w:rsidRDefault="007354F2" w:rsidP="00880098">
      <w:r w:rsidRPr="00451D7F">
        <w:t xml:space="preserve">Priban additionally refers to Rorty’s establishment of the liberal </w:t>
      </w:r>
      <w:r w:rsidR="00F8715E">
        <w:t>‘</w:t>
      </w:r>
      <w:r w:rsidRPr="00451D7F">
        <w:t>ironist</w:t>
      </w:r>
      <w:r w:rsidR="00F8715E">
        <w:t>’</w:t>
      </w:r>
      <w:r w:rsidRPr="00451D7F">
        <w:t xml:space="preserve"> perspective, </w:t>
      </w:r>
      <w:r w:rsidR="00451D7F">
        <w:t>where</w:t>
      </w:r>
      <w:r w:rsidR="00451D7F" w:rsidRPr="009A5012">
        <w:t xml:space="preserve"> the contingency of vocabulary</w:t>
      </w:r>
      <w:r w:rsidR="00451D7F">
        <w:t xml:space="preserve"> forms understanding</w:t>
      </w:r>
      <w:r w:rsidR="00386445">
        <w:t xml:space="preserve"> regarding metaphysical quest</w:t>
      </w:r>
      <w:r w:rsidR="00F8715E">
        <w:t>ions, Priban states that Rorty</w:t>
      </w:r>
      <w:r w:rsidR="00386445">
        <w:t xml:space="preserve"> accepts Derrida’s critique of </w:t>
      </w:r>
      <w:r w:rsidR="00880098">
        <w:t>(</w:t>
      </w:r>
      <w:r w:rsidR="00386445">
        <w:t>Heidegger’s</w:t>
      </w:r>
      <w:r w:rsidR="00880098">
        <w:t>)</w:t>
      </w:r>
      <w:r w:rsidR="00386445">
        <w:t xml:space="preserve"> metaphysics of presence, is an attempt to articulate the fact or feeling of the con</w:t>
      </w:r>
      <w:r w:rsidR="00880098">
        <w:t xml:space="preserve">tingency of human existence. </w:t>
      </w:r>
    </w:p>
    <w:p w:rsidR="00880098" w:rsidRPr="00C10132" w:rsidRDefault="00F8715E" w:rsidP="00880098">
      <w:pPr>
        <w:rPr>
          <w:shd w:val="pct15" w:color="auto" w:fill="FFFFFF"/>
        </w:rPr>
      </w:pPr>
      <w:r>
        <w:t>Rorty’s propositions of the</w:t>
      </w:r>
      <w:r w:rsidR="00880098">
        <w:t xml:space="preserve"> liberal ironist does support such an assertion, with the conc</w:t>
      </w:r>
      <w:r>
        <w:t>ept of contingent vocabularies a</w:t>
      </w:r>
      <w:r w:rsidR="00880098">
        <w:t>ffecting the ability to derive absolute meaning.  Rorty does seem to suggest a Stanley Fish-like notion, in that there</w:t>
      </w:r>
      <w:r w:rsidR="00386445" w:rsidRPr="00DB6DBC">
        <w:t xml:space="preserve"> is nothing but</w:t>
      </w:r>
      <w:r w:rsidR="00880098">
        <w:t xml:space="preserve"> the</w:t>
      </w:r>
      <w:r w:rsidR="00386445" w:rsidRPr="00DB6DBC">
        <w:t xml:space="preserve"> text</w:t>
      </w:r>
      <w:r w:rsidR="00880098">
        <w:t>; “</w:t>
      </w:r>
      <w:r w:rsidR="00880098">
        <w:rPr>
          <w:i/>
        </w:rPr>
        <w:t xml:space="preserve">writing </w:t>
      </w:r>
      <w:r w:rsidR="00C10132">
        <w:rPr>
          <w:i/>
        </w:rPr>
        <w:t>always</w:t>
      </w:r>
      <w:r w:rsidR="00880098">
        <w:rPr>
          <w:i/>
        </w:rPr>
        <w:t xml:space="preserve"> leads to more writing, and more, and still more-just as history does not lead to Absolute Knowledge or the Final Struggle</w:t>
      </w:r>
      <w:r w:rsidR="00C10132">
        <w:rPr>
          <w:i/>
        </w:rPr>
        <w:t>, but to more history…and still more</w:t>
      </w:r>
      <w:r w:rsidR="00880098">
        <w:rPr>
          <w:i/>
        </w:rPr>
        <w:t>”</w:t>
      </w:r>
      <w:r w:rsidR="00C10132">
        <w:rPr>
          <w:rStyle w:val="FootnoteReference"/>
          <w:i/>
        </w:rPr>
        <w:footnoteReference w:id="36"/>
      </w:r>
      <w:r w:rsidR="00C10132">
        <w:t>suggesting that attempts to affix meaning to words for the initial stages simply can lead itself to a plurality of interpretations through the production of more text. However</w:t>
      </w:r>
      <w:r>
        <w:t>,</w:t>
      </w:r>
      <w:r w:rsidR="00C10132">
        <w:t xml:space="preserve"> Rorty suggests it is regarding the initial concepts as artefacts “</w:t>
      </w:r>
      <w:r w:rsidR="00C10132" w:rsidRPr="00C10132">
        <w:rPr>
          <w:i/>
        </w:rPr>
        <w:t>whose fundamental design we often have to alter</w:t>
      </w:r>
      <w:r w:rsidR="00C10132">
        <w:t>”</w:t>
      </w:r>
      <w:r w:rsidR="00C10132">
        <w:rPr>
          <w:rStyle w:val="FootnoteReference"/>
          <w:i/>
        </w:rPr>
        <w:footnoteReference w:id="37"/>
      </w:r>
      <w:r w:rsidR="000279D4">
        <w:t xml:space="preserve">that </w:t>
      </w:r>
      <w:r w:rsidR="00C10132">
        <w:t xml:space="preserve">on re-interpretation will lead to the </w:t>
      </w:r>
      <w:r w:rsidR="00C10132" w:rsidRPr="000279D4">
        <w:rPr>
          <w:i/>
        </w:rPr>
        <w:t>right</w:t>
      </w:r>
      <w:r w:rsidR="00C10132">
        <w:t xml:space="preserve"> interpretation.  </w:t>
      </w:r>
    </w:p>
    <w:p w:rsidR="00D25B67" w:rsidRPr="000279D4" w:rsidRDefault="000279D4" w:rsidP="007354F2">
      <w:pPr>
        <w:spacing w:after="0"/>
      </w:pPr>
      <w:r w:rsidRPr="000279D4">
        <w:t>Priban continues to refer to the contingency of truth</w:t>
      </w:r>
      <w:r w:rsidR="00BF2F4E">
        <w:t xml:space="preserve"> as a means of reflecting on the work of post-stru</w:t>
      </w:r>
      <w:r w:rsidR="00EE4A86">
        <w:t>cturalism, and developing his approach to anti-foundationalism. In examining Foucault’s theories of the destruction of</w:t>
      </w:r>
      <w:r w:rsidR="00F8715E">
        <w:t xml:space="preserve"> </w:t>
      </w:r>
      <w:r w:rsidR="00EE4A86">
        <w:t>the universal intellectual, he draws parallels to the rejection of totalizing theories in favo</w:t>
      </w:r>
      <w:r w:rsidR="006E52D0">
        <w:t>u</w:t>
      </w:r>
      <w:r w:rsidR="00EE4A86">
        <w:t>r of local interpretations as a core value of anti-</w:t>
      </w:r>
      <w:r w:rsidR="00F6293D">
        <w:t>foundationalism</w:t>
      </w:r>
      <w:r w:rsidR="00F8715E">
        <w:t>. He furthermore</w:t>
      </w:r>
      <w:r w:rsidR="00F6293D">
        <w:t xml:space="preserve"> suggests</w:t>
      </w:r>
      <w:r w:rsidR="00F8715E">
        <w:t xml:space="preserve"> </w:t>
      </w:r>
      <w:r w:rsidR="00F6293D">
        <w:t xml:space="preserve">such destruction rests with the </w:t>
      </w:r>
      <w:r w:rsidR="00EE4A86">
        <w:t xml:space="preserve">difficulty in recognizing contingency </w:t>
      </w:r>
      <w:r w:rsidR="00F6293D">
        <w:t>within</w:t>
      </w:r>
      <w:r w:rsidR="00EE4A86">
        <w:t xml:space="preserve"> contemporary culture</w:t>
      </w:r>
      <w:r w:rsidR="00F6293D">
        <w:t xml:space="preserve">. </w:t>
      </w:r>
    </w:p>
    <w:p w:rsidR="006714A2" w:rsidRDefault="00B91BD9" w:rsidP="0083463C">
      <w:r>
        <w:t>Priban ends his pragmatist reflection by suggesting that a</w:t>
      </w:r>
      <w:r w:rsidR="00F6293D">
        <w:t>nti-foundationalism</w:t>
      </w:r>
      <w:r>
        <w:t>,</w:t>
      </w:r>
      <w:r w:rsidR="00F6293D">
        <w:t xml:space="preserve"> by rejecting totalizing and universal aspir</w:t>
      </w:r>
      <w:r>
        <w:t>ations of theoretical knowledge, is forced to supplant</w:t>
      </w:r>
      <w:r w:rsidR="00F6293D">
        <w:t xml:space="preserve"> the plurality of language</w:t>
      </w:r>
      <w:r w:rsidR="009641A8">
        <w:t xml:space="preserve"> interpretations(“</w:t>
      </w:r>
      <w:r w:rsidR="00F6293D">
        <w:t>games</w:t>
      </w:r>
      <w:r w:rsidR="009641A8">
        <w:t>”)</w:t>
      </w:r>
      <w:r w:rsidR="00F6293D">
        <w:t xml:space="preserve"> in its place, potentially resulting in all argument’s concluding on a recognition of their own contingency. </w:t>
      </w:r>
      <w:r>
        <w:t>While this is true, such a problem is framed in the notion that philosophical theory is intended to result in one singular (universal) truth, a stance that anti-foundationalism refutes from the outset, as its core theories recognize circular contingency, but do not see it as a weakness</w:t>
      </w:r>
      <w:r w:rsidR="000B35D1">
        <w:t>. Such perspectives</w:t>
      </w:r>
      <w:r>
        <w:t xml:space="preserve"> </w:t>
      </w:r>
      <w:r w:rsidR="000B35D1">
        <w:t xml:space="preserve">are </w:t>
      </w:r>
      <w:r>
        <w:t xml:space="preserve">representative of a disenchantment with </w:t>
      </w:r>
      <w:r w:rsidR="000B35D1">
        <w:t xml:space="preserve">the </w:t>
      </w:r>
      <w:r>
        <w:t>supreme objective theory and knowledge, and (drawing on the contextual background of the movement with theorist</w:t>
      </w:r>
      <w:r w:rsidR="000B35D1">
        <w:t>s</w:t>
      </w:r>
      <w:r>
        <w:t xml:space="preserve"> such as Foucault) </w:t>
      </w:r>
      <w:r w:rsidR="000B35D1">
        <w:t xml:space="preserve">the manner in which it </w:t>
      </w:r>
      <w:r>
        <w:t xml:space="preserve">effects political influence. </w:t>
      </w:r>
    </w:p>
    <w:p w:rsidR="00D25B67" w:rsidRPr="000279D4" w:rsidRDefault="00D25B67" w:rsidP="0083463C"/>
    <w:p w:rsidR="00D25B67" w:rsidRPr="000279D4" w:rsidRDefault="00D25B67" w:rsidP="0083463C"/>
    <w:p w:rsidR="00871EA6" w:rsidRDefault="00871EA6" w:rsidP="00756585">
      <w:pPr>
        <w:pStyle w:val="Heading1"/>
      </w:pPr>
    </w:p>
    <w:p w:rsidR="00B56E5E" w:rsidRPr="00B56E5E" w:rsidRDefault="00B56E5E" w:rsidP="00B56E5E"/>
    <w:p w:rsidR="00D25B67" w:rsidRDefault="00756585" w:rsidP="00756585">
      <w:pPr>
        <w:pStyle w:val="Heading1"/>
      </w:pPr>
      <w:bookmarkStart w:id="10" w:name="_Toc324252589"/>
      <w:r>
        <w:lastRenderedPageBreak/>
        <w:t>Chapter Three.</w:t>
      </w:r>
      <w:bookmarkEnd w:id="10"/>
    </w:p>
    <w:p w:rsidR="00F9402F" w:rsidRPr="00F9402F" w:rsidRDefault="00F9402F" w:rsidP="00F9402F">
      <w:pPr>
        <w:pStyle w:val="Heading2"/>
      </w:pPr>
      <w:bookmarkStart w:id="11" w:name="_Toc324252590"/>
      <w:r>
        <w:t>The Anti-Foundationalist Perspective.</w:t>
      </w:r>
      <w:bookmarkEnd w:id="11"/>
    </w:p>
    <w:p w:rsidR="00D25B67" w:rsidRDefault="00D25B67" w:rsidP="0083463C"/>
    <w:p w:rsidR="00D25B67" w:rsidRPr="000279D4" w:rsidRDefault="00BE5768" w:rsidP="0083463C">
      <w:r>
        <w:t xml:space="preserve">Priban </w:t>
      </w:r>
      <w:r w:rsidR="004E5D97">
        <w:t>links</w:t>
      </w:r>
      <w:r>
        <w:t xml:space="preserve"> his </w:t>
      </w:r>
      <w:r w:rsidR="004E5D97">
        <w:t>pragmatist reflection</w:t>
      </w:r>
      <w:r>
        <w:t xml:space="preserve"> of post-structuralism and the plurality of language games to the central el</w:t>
      </w:r>
      <w:r w:rsidR="009C1EA6">
        <w:t>ements of his critique of Fish. T</w:t>
      </w:r>
      <w:r>
        <w:t>he first</w:t>
      </w:r>
      <w:r w:rsidR="009C1EA6">
        <w:t>,</w:t>
      </w:r>
      <w:r>
        <w:t xml:space="preserve"> being an examination of the anti-foundationalist concept of law, and the second being the nature of law and forgetting </w:t>
      </w:r>
      <w:r w:rsidR="009C1EA6">
        <w:t>with regard to</w:t>
      </w:r>
      <w:r>
        <w:t xml:space="preserve"> contingency and doctrinal inconsistency.  </w:t>
      </w:r>
      <w:r w:rsidR="009C1EA6">
        <w:t>For Priban, if a</w:t>
      </w:r>
      <w:r>
        <w:t>nti-foundationalist perspectives are “correct”, and the world is defined by a plurality of language games and their incommensurability, then there are two key elements to the anti-foundationalist concept of law that require fur</w:t>
      </w:r>
      <w:r w:rsidR="00C5521E">
        <w:t>ther clarification; What shall we understand by the li</w:t>
      </w:r>
      <w:r w:rsidR="00FD5670">
        <w:t>nguistic or rhetorical nature of</w:t>
      </w:r>
      <w:r w:rsidR="00C5521E">
        <w:t xml:space="preserve"> law? And what is the context of such law?. </w:t>
      </w:r>
    </w:p>
    <w:p w:rsidR="00D25B67" w:rsidRPr="00843BE6" w:rsidRDefault="00140AC7" w:rsidP="00FD5670">
      <w:pPr>
        <w:spacing w:after="0"/>
      </w:pPr>
      <w:r>
        <w:t>Jean-Francois Lyotard’s “</w:t>
      </w:r>
      <w:r w:rsidRPr="00140AC7">
        <w:rPr>
          <w:i/>
        </w:rPr>
        <w:t>The Postmodern Condition: A Report on Knowledge</w:t>
      </w:r>
      <w:r>
        <w:t>” refines Ludwig Wittgenstein’s initial concept of language games within the dimension of</w:t>
      </w:r>
      <w:r w:rsidR="00582E4B">
        <w:t xml:space="preserve"> identifying an end to</w:t>
      </w:r>
      <w:r>
        <w:t xml:space="preserve"> metanarratives</w:t>
      </w:r>
      <w:r w:rsidR="00582E4B">
        <w:t>.</w:t>
      </w:r>
      <w:r>
        <w:t xml:space="preserve"> (a concept touched on briefly</w:t>
      </w:r>
      <w:r w:rsidR="009C1EA6">
        <w:t xml:space="preserve"> in the previous chapter</w:t>
      </w:r>
      <w:r>
        <w:t>)</w:t>
      </w:r>
      <w:r w:rsidR="009C1EA6">
        <w:t xml:space="preserve"> It is</w:t>
      </w:r>
      <w:r>
        <w:t xml:space="preserve"> </w:t>
      </w:r>
      <w:r w:rsidR="00582E4B">
        <w:t xml:space="preserve">In </w:t>
      </w:r>
      <w:r w:rsidR="009C1EA6">
        <w:t xml:space="preserve">Lyotard’s book that </w:t>
      </w:r>
      <w:r w:rsidR="00582E4B">
        <w:t>the term post-modernism makes its debut in the field of philosophy, and is proposed by Lyotard as</w:t>
      </w:r>
      <w:r w:rsidR="009C1EA6" w:rsidRPr="005C5755">
        <w:rPr>
          <w:i/>
        </w:rPr>
        <w:t>—</w:t>
      </w:r>
      <w:r w:rsidR="00582E4B">
        <w:t xml:space="preserve"> “</w:t>
      </w:r>
      <w:r w:rsidR="00582E4B">
        <w:rPr>
          <w:i/>
        </w:rPr>
        <w:t>I define post-modernism as incredulity towards metanarratives”</w:t>
      </w:r>
      <w:r w:rsidR="00582E4B">
        <w:rPr>
          <w:rStyle w:val="FootnoteReference"/>
          <w:i/>
        </w:rPr>
        <w:footnoteReference w:id="38"/>
      </w:r>
      <w:r w:rsidR="00582E4B">
        <w:rPr>
          <w:i/>
        </w:rPr>
        <w:t xml:space="preserve">. </w:t>
      </w:r>
      <w:r w:rsidR="00582E4B">
        <w:t xml:space="preserve">Language games are </w:t>
      </w:r>
      <w:r w:rsidR="00D3403D">
        <w:t>consequently</w:t>
      </w:r>
      <w:r w:rsidR="00847D41">
        <w:t xml:space="preserve"> in Lyotard’s perspective,</w:t>
      </w:r>
      <w:r w:rsidR="00D3403D">
        <w:t xml:space="preserve"> </w:t>
      </w:r>
      <w:r w:rsidR="00582E4B">
        <w:t xml:space="preserve">the method of </w:t>
      </w:r>
      <w:r w:rsidR="00843BE6">
        <w:t>reducing such metanarratives and totalizing principles</w:t>
      </w:r>
      <w:r w:rsidR="00847D41">
        <w:t>,</w:t>
      </w:r>
      <w:r w:rsidR="00843BE6">
        <w:t xml:space="preserve"> through the re-interpretative notion as suggested by Rorty, which Lyotard’s method supports: “</w:t>
      </w:r>
      <w:r w:rsidR="00843BE6" w:rsidRPr="00843BE6">
        <w:rPr>
          <w:i/>
        </w:rPr>
        <w:t>each of the various categories of utterance</w:t>
      </w:r>
      <w:r w:rsidR="00843BE6">
        <w:t xml:space="preserve"> (performative and prescriptive for example) </w:t>
      </w:r>
      <w:r w:rsidR="00843BE6">
        <w:rPr>
          <w:i/>
        </w:rPr>
        <w:t>can be defined in terms of rules specifying their properties and the uses to which they can be put”</w:t>
      </w:r>
      <w:r w:rsidR="00843BE6">
        <w:rPr>
          <w:rStyle w:val="FootnoteReference"/>
          <w:i/>
        </w:rPr>
        <w:footnoteReference w:id="39"/>
      </w:r>
      <w:r w:rsidR="00843BE6">
        <w:t>.</w:t>
      </w:r>
    </w:p>
    <w:p w:rsidR="00D25B67" w:rsidRPr="000279D4" w:rsidRDefault="00FD5670" w:rsidP="00FD5670">
      <w:pPr>
        <w:spacing w:after="0"/>
      </w:pPr>
      <w:r>
        <w:t xml:space="preserve">Consequently Lyotard’s method establishes an initial stance for the anti-foundationalist approach to language, </w:t>
      </w:r>
      <w:r w:rsidR="000A3640">
        <w:t>a stance that Fish takes up and refines further in his, somewhat infamous book “</w:t>
      </w:r>
      <w:r w:rsidR="000A3640" w:rsidRPr="000A3640">
        <w:rPr>
          <w:i/>
        </w:rPr>
        <w:t>Is There a Text in This Class</w:t>
      </w:r>
      <w:r w:rsidR="000A3640" w:rsidRPr="003F2BE0">
        <w:rPr>
          <w:i/>
        </w:rPr>
        <w:t>?: The Authority of Interpretative Communities</w:t>
      </w:r>
      <w:r w:rsidR="000A3640">
        <w:t>”</w:t>
      </w:r>
      <w:r w:rsidR="000A3640">
        <w:rPr>
          <w:rStyle w:val="FootnoteReference"/>
        </w:rPr>
        <w:footnoteReference w:id="40"/>
      </w:r>
      <w:r w:rsidR="000A3640">
        <w:t xml:space="preserve">.  </w:t>
      </w:r>
    </w:p>
    <w:p w:rsidR="00D25B67" w:rsidRPr="00BD49D0" w:rsidRDefault="000A3640" w:rsidP="00FD5670">
      <w:pPr>
        <w:spacing w:after="0"/>
      </w:pPr>
      <w:r>
        <w:t xml:space="preserve">It is here that Fish states </w:t>
      </w:r>
      <w:r w:rsidR="001D6B88">
        <w:t>that there can be no independent structure in the text</w:t>
      </w:r>
      <w:r w:rsidR="00A24445">
        <w:t xml:space="preserve">, only a </w:t>
      </w:r>
      <w:r w:rsidR="001B2EA0">
        <w:t>series</w:t>
      </w:r>
      <w:r w:rsidR="00A24445">
        <w:t xml:space="preserve"> of contextual </w:t>
      </w:r>
      <w:r w:rsidR="001B2EA0">
        <w:t>interpretations</w:t>
      </w:r>
      <w:r w:rsidR="00A24445">
        <w:t xml:space="preserve">, and in </w:t>
      </w:r>
      <w:r w:rsidR="009C1EA6">
        <w:t>defence</w:t>
      </w:r>
      <w:r w:rsidR="00A24445">
        <w:t xml:space="preserve"> to propositions from critics </w:t>
      </w:r>
      <w:r w:rsidR="00C40CB5">
        <w:t>(</w:t>
      </w:r>
      <w:r w:rsidR="00A24445">
        <w:t>such as Eve Clarke</w:t>
      </w:r>
      <w:r w:rsidR="00C40CB5">
        <w:t>)</w:t>
      </w:r>
      <w:r w:rsidR="00A24445">
        <w:t xml:space="preserve"> who state that such a lack of structure would cause chaos to meaning, Fish states that “</w:t>
      </w:r>
      <w:r w:rsidR="00A24445" w:rsidRPr="001B2EA0">
        <w:rPr>
          <w:i/>
        </w:rPr>
        <w:t>a sentence could mean anything at all in the abstract</w:t>
      </w:r>
      <w:r w:rsidR="00A24445">
        <w:t>”</w:t>
      </w:r>
      <w:r w:rsidR="001B2EA0">
        <w:rPr>
          <w:rStyle w:val="FootnoteReference"/>
        </w:rPr>
        <w:footnoteReference w:id="41"/>
      </w:r>
      <w:r w:rsidR="00847D41">
        <w:t>. In Fish’s concept,</w:t>
      </w:r>
      <w:r w:rsidR="001B2EA0">
        <w:t xml:space="preserve"> meaning is deri</w:t>
      </w:r>
      <w:r w:rsidR="00847D41">
        <w:t xml:space="preserve">ved from sentence construction </w:t>
      </w:r>
      <w:r w:rsidR="001B2EA0">
        <w:t>which “</w:t>
      </w:r>
      <w:r w:rsidR="001B2EA0">
        <w:rPr>
          <w:i/>
        </w:rPr>
        <w:t>is always in the situation”</w:t>
      </w:r>
      <w:r w:rsidR="001B2EA0">
        <w:rPr>
          <w:rStyle w:val="FootnoteReference"/>
          <w:i/>
        </w:rPr>
        <w:footnoteReference w:id="42"/>
      </w:r>
      <w:r w:rsidR="00EB79D2">
        <w:rPr>
          <w:i/>
        </w:rPr>
        <w:t xml:space="preserve">. </w:t>
      </w:r>
      <w:r w:rsidR="00EB79D2">
        <w:t>Fish further identifies with regard to law, that such constraints to language in order to be valid must be identifiable “</w:t>
      </w:r>
      <w:r w:rsidR="00EB79D2" w:rsidRPr="00EB79D2">
        <w:rPr>
          <w:i/>
        </w:rPr>
        <w:t>once and for all</w:t>
      </w:r>
      <w:r w:rsidR="00EB79D2">
        <w:t>”</w:t>
      </w:r>
      <w:r w:rsidR="00847D41">
        <w:t>. T</w:t>
      </w:r>
      <w:r w:rsidR="00EB79D2">
        <w:t>hus anchoring objective language to “</w:t>
      </w:r>
      <w:r w:rsidR="00EB79D2" w:rsidRPr="00EB79D2">
        <w:rPr>
          <w:i/>
        </w:rPr>
        <w:t>the letter of the law</w:t>
      </w:r>
      <w:r w:rsidR="00EB79D2">
        <w:t>”</w:t>
      </w:r>
      <w:r w:rsidR="008340DC">
        <w:t xml:space="preserve"> is an invalid proposition</w:t>
      </w:r>
      <w:r w:rsidR="00847D41">
        <w:t>,</w:t>
      </w:r>
      <w:r w:rsidR="008340DC">
        <w:t xml:space="preserve"> as</w:t>
      </w:r>
      <w:r w:rsidR="00847D41">
        <w:t xml:space="preserve"> a central concept in Fish’s theory is that</w:t>
      </w:r>
      <w:r w:rsidR="008340DC">
        <w:t xml:space="preserve"> there are “</w:t>
      </w:r>
      <w:r w:rsidR="008340DC" w:rsidRPr="008340DC">
        <w:rPr>
          <w:i/>
        </w:rPr>
        <w:t>no inherent constraints on the meanings a sentence may have</w:t>
      </w:r>
      <w:r w:rsidR="008340DC">
        <w:t>”</w:t>
      </w:r>
      <w:r w:rsidR="008340DC">
        <w:rPr>
          <w:rStyle w:val="FootnoteReference"/>
          <w:i/>
        </w:rPr>
        <w:footnoteReference w:id="43"/>
      </w:r>
      <w:r w:rsidR="00BD49D0">
        <w:rPr>
          <w:i/>
        </w:rPr>
        <w:t xml:space="preserve"> .</w:t>
      </w:r>
    </w:p>
    <w:p w:rsidR="00D25B67" w:rsidRPr="000279D4" w:rsidRDefault="00F5051A" w:rsidP="0083463C">
      <w:r>
        <w:t>It is difficult to ascertain what exactly it is, that renders such a proposition “invalid”</w:t>
      </w:r>
      <w:r w:rsidR="00436ECB">
        <w:rPr>
          <w:rStyle w:val="FootnoteReference"/>
        </w:rPr>
        <w:footnoteReference w:id="44"/>
      </w:r>
      <w:r>
        <w:t xml:space="preserve"> under Fish’s interpr</w:t>
      </w:r>
      <w:r w:rsidR="00A63C5D">
        <w:t>etation of language and the law, however it is t</w:t>
      </w:r>
      <w:r w:rsidR="00281C37">
        <w:t>his concept</w:t>
      </w:r>
      <w:r w:rsidR="00A63C5D">
        <w:t>,(</w:t>
      </w:r>
      <w:r w:rsidR="00281C37">
        <w:t>of language and interpretation</w:t>
      </w:r>
      <w:r w:rsidR="00A63C5D">
        <w:t>) that</w:t>
      </w:r>
      <w:r w:rsidR="00281C37">
        <w:t xml:space="preserve"> leads into</w:t>
      </w:r>
      <w:r w:rsidR="0056771A">
        <w:t xml:space="preserve"> the beginning of</w:t>
      </w:r>
      <w:r w:rsidR="00281C37">
        <w:t xml:space="preserve"> Fish’s</w:t>
      </w:r>
      <w:r w:rsidR="00A63C5D">
        <w:t xml:space="preserve"> identification of the anti-foundationalist</w:t>
      </w:r>
      <w:r w:rsidR="00281C37">
        <w:t xml:space="preserve"> concept of law, </w:t>
      </w:r>
      <w:r w:rsidR="00A63C5D">
        <w:t>and</w:t>
      </w:r>
      <w:r w:rsidR="0056771A">
        <w:t xml:space="preserve"> consequently</w:t>
      </w:r>
      <w:r w:rsidR="00A63C5D">
        <w:t xml:space="preserve"> the </w:t>
      </w:r>
      <w:r w:rsidR="00281C37">
        <w:t xml:space="preserve">concept of law to which Priban </w:t>
      </w:r>
      <w:r w:rsidR="00A63C5D">
        <w:t>seeks to critique</w:t>
      </w:r>
      <w:r w:rsidR="00281C37">
        <w:t xml:space="preserve">. </w:t>
      </w:r>
    </w:p>
    <w:p w:rsidR="00B56E5E" w:rsidRDefault="00B56E5E" w:rsidP="00F9402F">
      <w:pPr>
        <w:pStyle w:val="Heading2"/>
      </w:pPr>
      <w:bookmarkStart w:id="12" w:name="_Toc324252591"/>
    </w:p>
    <w:p w:rsidR="00F9402F" w:rsidRDefault="00F9402F" w:rsidP="00F9402F">
      <w:pPr>
        <w:pStyle w:val="Heading2"/>
      </w:pPr>
      <w:r>
        <w:lastRenderedPageBreak/>
        <w:t>Stanley Fish</w:t>
      </w:r>
      <w:r w:rsidR="00E16354">
        <w:t>’s</w:t>
      </w:r>
      <w:r w:rsidR="009C1EA6">
        <w:t xml:space="preserve"> </w:t>
      </w:r>
      <w:r w:rsidR="00E16354">
        <w:t>Anti-Foundationalist</w:t>
      </w:r>
      <w:r>
        <w:t xml:space="preserve"> Concept of Law.</w:t>
      </w:r>
      <w:bookmarkEnd w:id="12"/>
    </w:p>
    <w:p w:rsidR="00F9402F" w:rsidRPr="00F9402F" w:rsidRDefault="00F9402F" w:rsidP="00F9402F"/>
    <w:p w:rsidR="00BA6681" w:rsidRDefault="00A63C5D" w:rsidP="00355F85">
      <w:pPr>
        <w:spacing w:after="0"/>
      </w:pPr>
      <w:r>
        <w:t>It is within</w:t>
      </w:r>
      <w:r w:rsidR="00281C37">
        <w:t xml:space="preserve"> Fish’s book “</w:t>
      </w:r>
      <w:r w:rsidR="00281C37">
        <w:rPr>
          <w:i/>
        </w:rPr>
        <w:t>There’s No Such Th</w:t>
      </w:r>
      <w:r w:rsidR="00F5051A">
        <w:rPr>
          <w:i/>
        </w:rPr>
        <w:t>ing As free Speech, and it’s a Good T</w:t>
      </w:r>
      <w:r w:rsidR="00281C37">
        <w:rPr>
          <w:i/>
        </w:rPr>
        <w:t>hing</w:t>
      </w:r>
      <w:r w:rsidR="00F5051A">
        <w:rPr>
          <w:i/>
        </w:rPr>
        <w:t>,</w:t>
      </w:r>
      <w:r w:rsidR="00281C37">
        <w:rPr>
          <w:i/>
        </w:rPr>
        <w:t xml:space="preserve"> too”</w:t>
      </w:r>
      <w:r w:rsidR="00281C37">
        <w:rPr>
          <w:rStyle w:val="FootnoteReference"/>
          <w:i/>
        </w:rPr>
        <w:footnoteReference w:id="45"/>
      </w:r>
      <w:r w:rsidR="00281C37">
        <w:t xml:space="preserve"> that</w:t>
      </w:r>
      <w:r>
        <w:t xml:space="preserve"> the picture of the anti-foundationalist concept of law</w:t>
      </w:r>
      <w:r w:rsidR="00BA6681">
        <w:t xml:space="preserve"> becomes clearer.</w:t>
      </w:r>
      <w:r w:rsidR="00355F85">
        <w:t xml:space="preserve"> Priban’s critique begins with an extract in </w:t>
      </w:r>
      <w:r w:rsidR="00C50BBB">
        <w:t>one of the</w:t>
      </w:r>
      <w:r w:rsidR="00355F85">
        <w:t xml:space="preserve"> latter chapter of Fish’s book</w:t>
      </w:r>
      <w:r w:rsidR="00281C37">
        <w:t>: “</w:t>
      </w:r>
      <w:r w:rsidR="00281C37">
        <w:rPr>
          <w:i/>
        </w:rPr>
        <w:t>the law will take what it needs and “what it needs” will be determined by its informing rationale and not the rationale of philosophy, or literary critic</w:t>
      </w:r>
      <w:r w:rsidR="00355F85">
        <w:rPr>
          <w:i/>
        </w:rPr>
        <w:t>ism, or psychology or economics</w:t>
      </w:r>
      <w:r w:rsidR="00281C37">
        <w:rPr>
          <w:i/>
        </w:rPr>
        <w:t>”</w:t>
      </w:r>
      <w:r w:rsidR="00281C37">
        <w:rPr>
          <w:rStyle w:val="FootnoteReference"/>
          <w:i/>
        </w:rPr>
        <w:footnoteReference w:id="46"/>
      </w:r>
      <w:r w:rsidR="00BA6681">
        <w:rPr>
          <w:i/>
        </w:rPr>
        <w:t xml:space="preserve"> </w:t>
      </w:r>
      <w:r w:rsidR="00355F85">
        <w:t xml:space="preserve">a chapter, </w:t>
      </w:r>
      <w:r w:rsidR="000E6F48">
        <w:t xml:space="preserve">where Fish </w:t>
      </w:r>
      <w:r w:rsidR="00BA6681">
        <w:t>contrasts</w:t>
      </w:r>
      <w:r w:rsidR="000E6F48">
        <w:t xml:space="preserve"> and </w:t>
      </w:r>
      <w:r w:rsidR="00625848" w:rsidRPr="00625848">
        <w:t xml:space="preserve">criticises </w:t>
      </w:r>
      <w:r w:rsidR="00355F85">
        <w:t xml:space="preserve">the jurisprudential theories of Posner, Dworkin and Rorty </w:t>
      </w:r>
      <w:r w:rsidR="00BA6681">
        <w:t>in order to compare and illustrate</w:t>
      </w:r>
      <w:r w:rsidR="008E1CD0">
        <w:t xml:space="preserve"> </w:t>
      </w:r>
      <w:r w:rsidR="00BA6681">
        <w:t xml:space="preserve">the </w:t>
      </w:r>
      <w:r w:rsidR="008E1CD0">
        <w:t xml:space="preserve">concepts and </w:t>
      </w:r>
      <w:r w:rsidR="00BA6681">
        <w:t>theories</w:t>
      </w:r>
      <w:r w:rsidR="00355F85">
        <w:t xml:space="preserve"> </w:t>
      </w:r>
      <w:r w:rsidR="00BA6681">
        <w:t>of</w:t>
      </w:r>
      <w:r w:rsidR="00355F85">
        <w:t xml:space="preserve"> his</w:t>
      </w:r>
      <w:r w:rsidR="00BA6681">
        <w:t xml:space="preserve"> own</w:t>
      </w:r>
      <w:r w:rsidR="00355F85">
        <w:t xml:space="preserve"> vision of law</w:t>
      </w:r>
      <w:r w:rsidR="008E1CD0">
        <w:t>,</w:t>
      </w:r>
      <w:r w:rsidR="00355F85">
        <w:t xml:space="preserve"> that </w:t>
      </w:r>
      <w:r w:rsidR="008E1CD0">
        <w:t>he sets out in earlier chapters.</w:t>
      </w:r>
    </w:p>
    <w:p w:rsidR="00355F85" w:rsidRDefault="00BA6681" w:rsidP="00355F85">
      <w:pPr>
        <w:spacing w:after="0"/>
      </w:pPr>
      <w:r>
        <w:t>Priban h</w:t>
      </w:r>
      <w:r w:rsidR="008E1CD0">
        <w:t>owever</w:t>
      </w:r>
      <w:r>
        <w:t xml:space="preserve"> does not write his critique in this order,</w:t>
      </w:r>
      <w:r w:rsidR="008E1CD0">
        <w:t xml:space="preserve"> </w:t>
      </w:r>
      <w:r>
        <w:t xml:space="preserve">exploring and illustrating Fish’s concept of law in two segments beginning with Fish’s </w:t>
      </w:r>
      <w:r w:rsidRPr="00BA6681">
        <w:t>conclusion</w:t>
      </w:r>
      <w:r>
        <w:t xml:space="preserve"> and ending with Fish’s </w:t>
      </w:r>
      <w:r w:rsidRPr="00BA6681">
        <w:t>introductory</w:t>
      </w:r>
      <w:r>
        <w:t xml:space="preserve"> illustration</w:t>
      </w:r>
      <w:r w:rsidR="00355F85">
        <w:t>,</w:t>
      </w:r>
      <w:r>
        <w:t xml:space="preserve"> separating the two with his contrast of Fish</w:t>
      </w:r>
      <w:r w:rsidR="00355F85">
        <w:t xml:space="preserve"> to the Autopoietic </w:t>
      </w:r>
      <w:r>
        <w:t>systems</w:t>
      </w:r>
      <w:r w:rsidR="00355F85">
        <w:t xml:space="preserve"> theories of Niklas Luhmann. </w:t>
      </w:r>
    </w:p>
    <w:p w:rsidR="008E1CD0" w:rsidRDefault="008E1CD0" w:rsidP="00355F85">
      <w:pPr>
        <w:spacing w:after="0"/>
      </w:pPr>
    </w:p>
    <w:p w:rsidR="005039CD" w:rsidRDefault="008E1CD0" w:rsidP="00355F85">
      <w:pPr>
        <w:spacing w:after="0"/>
      </w:pPr>
      <w:r>
        <w:t xml:space="preserve">Introducing a </w:t>
      </w:r>
      <w:r w:rsidRPr="005039CD">
        <w:rPr>
          <w:i/>
        </w:rPr>
        <w:t>conclusion</w:t>
      </w:r>
      <w:r>
        <w:t xml:space="preserve"> Fish makes, at the </w:t>
      </w:r>
      <w:r w:rsidRPr="005039CD">
        <w:rPr>
          <w:i/>
        </w:rPr>
        <w:t>beginning</w:t>
      </w:r>
      <w:r>
        <w:t xml:space="preserve"> of the critique is not without </w:t>
      </w:r>
      <w:r w:rsidR="005039CD">
        <w:t>value</w:t>
      </w:r>
      <w:r>
        <w:t xml:space="preserve">, as it can establish </w:t>
      </w:r>
      <w:r w:rsidR="005039CD">
        <w:t>the positi</w:t>
      </w:r>
      <w:r w:rsidR="00F27D32">
        <w:t>on the writer wishes to guide the</w:t>
      </w:r>
      <w:r w:rsidR="005039CD">
        <w:t xml:space="preserve"> reader towards as an end goal. However it can alternatively lead to minor confusion, as the reader receives the </w:t>
      </w:r>
      <w:r w:rsidR="00E37DF5">
        <w:t>conclusions of the concept</w:t>
      </w:r>
      <w:r w:rsidR="005039CD">
        <w:t xml:space="preserve"> </w:t>
      </w:r>
      <w:r w:rsidR="00635724">
        <w:t>first</w:t>
      </w:r>
      <w:r w:rsidR="005039CD">
        <w:t>, but the</w:t>
      </w:r>
      <w:r w:rsidR="00635724">
        <w:t xml:space="preserve"> initial</w:t>
      </w:r>
      <w:r w:rsidR="005039CD">
        <w:t xml:space="preserve"> </w:t>
      </w:r>
      <w:r w:rsidR="00E37DF5">
        <w:t>(and often required)</w:t>
      </w:r>
      <w:r w:rsidR="005039CD">
        <w:t xml:space="preserve"> </w:t>
      </w:r>
      <w:r w:rsidR="00635724">
        <w:t>foundations</w:t>
      </w:r>
      <w:r w:rsidR="005039CD">
        <w:t xml:space="preserve"> are </w:t>
      </w:r>
      <w:r w:rsidR="00635724">
        <w:t>presented</w:t>
      </w:r>
      <w:r w:rsidR="005039CD">
        <w:t xml:space="preserve"> further on in the text, without</w:t>
      </w:r>
      <w:r w:rsidR="00635724">
        <w:t xml:space="preserve"> any</w:t>
      </w:r>
      <w:r w:rsidR="00F50546">
        <w:t xml:space="preserve"> </w:t>
      </w:r>
      <w:r w:rsidR="00635724">
        <w:t>introductory illustration, or effective connection between the two. It is likely that Priban does not structure his critique in this fashion without purpose, potentially holding back on some of the central elements of Fish’s anti-foundationalist concept</w:t>
      </w:r>
      <w:r w:rsidR="00F50546">
        <w:t xml:space="preserve"> </w:t>
      </w:r>
      <w:r w:rsidR="00635724">
        <w:t>of law, to present a more compelling comparison with Luhmann later on</w:t>
      </w:r>
      <w:r w:rsidR="00F27D32">
        <w:t xml:space="preserve">, or to do as suggested above, and guide readers to a conclusion </w:t>
      </w:r>
      <w:r w:rsidR="00FA67BE">
        <w:t>initially illustrated</w:t>
      </w:r>
      <w:r w:rsidR="00F27D32">
        <w:t xml:space="preserve">. </w:t>
      </w:r>
    </w:p>
    <w:p w:rsidR="00D25B67" w:rsidRPr="00355F85" w:rsidRDefault="00635724" w:rsidP="00355F85">
      <w:pPr>
        <w:spacing w:after="0"/>
      </w:pPr>
      <w:r>
        <w:t>C</w:t>
      </w:r>
      <w:r w:rsidR="005039CD">
        <w:t>onsequently</w:t>
      </w:r>
      <w:r w:rsidR="00FA67BE">
        <w:t>,</w:t>
      </w:r>
      <w:r w:rsidR="00355F85">
        <w:t xml:space="preserve"> I will depart from following Priban’s critique directly, and</w:t>
      </w:r>
      <w:r w:rsidR="001066C7">
        <w:t xml:space="preserve"> </w:t>
      </w:r>
      <w:r w:rsidR="00FA67BE">
        <w:t xml:space="preserve">will analysis and critique </w:t>
      </w:r>
      <w:r w:rsidR="001066C7">
        <w:t>Fish’s anti-foundational concept of law,</w:t>
      </w:r>
      <w:r w:rsidR="00FA67BE">
        <w:t xml:space="preserve"> (as a whole)</w:t>
      </w:r>
      <w:r w:rsidR="001066C7">
        <w:t xml:space="preserve"> in order to better present some of the key concepts </w:t>
      </w:r>
      <w:r w:rsidR="00FA67BE">
        <w:t xml:space="preserve">and </w:t>
      </w:r>
      <w:r w:rsidR="001066C7">
        <w:t>Priban</w:t>
      </w:r>
      <w:r w:rsidR="00FA67BE">
        <w:t>’s</w:t>
      </w:r>
      <w:r w:rsidR="001066C7">
        <w:t xml:space="preserve"> </w:t>
      </w:r>
      <w:r w:rsidR="00FA67BE">
        <w:t xml:space="preserve">critical comparison most effectively. </w:t>
      </w:r>
      <w:r w:rsidR="001066C7">
        <w:t xml:space="preserve">  </w:t>
      </w:r>
    </w:p>
    <w:p w:rsidR="00787113" w:rsidRDefault="00787113" w:rsidP="0083463C"/>
    <w:p w:rsidR="00C507AC" w:rsidRPr="00C507AC" w:rsidRDefault="00C507AC" w:rsidP="00787113">
      <w:pPr>
        <w:spacing w:after="0"/>
      </w:pPr>
      <w:r>
        <w:t xml:space="preserve">In Fish’s book </w:t>
      </w:r>
      <w:r>
        <w:rPr>
          <w:i/>
        </w:rPr>
        <w:t>“There’s No Such Thing As free Speech”</w:t>
      </w:r>
      <w:r w:rsidR="00FA67BE">
        <w:t xml:space="preserve"> the a</w:t>
      </w:r>
      <w:r>
        <w:t>nti-foundationalist concept of law begins to take shape. Fish initially presents his concept of law through an analysis of (American) contract law, specifically the notion of consideration and the parole evidence rule as an example of legal inconsistencies. And it is these inconsistencies that illustrate Fish’s argument that “</w:t>
      </w:r>
      <w:r>
        <w:rPr>
          <w:i/>
        </w:rPr>
        <w:t>the law is continuously creating and recreating itself out of the very material and forces it is obliged, by the very desire to be law”</w:t>
      </w:r>
      <w:r>
        <w:rPr>
          <w:rStyle w:val="FootnoteReference"/>
          <w:i/>
        </w:rPr>
        <w:footnoteReference w:id="47"/>
      </w:r>
      <w:r w:rsidR="008E1B2E">
        <w:rPr>
          <w:i/>
        </w:rPr>
        <w:t>.</w:t>
      </w:r>
    </w:p>
    <w:p w:rsidR="0043103B" w:rsidRDefault="00787113" w:rsidP="00787113">
      <w:pPr>
        <w:spacing w:after="0"/>
      </w:pPr>
      <w:r>
        <w:t>Fish</w:t>
      </w:r>
      <w:r w:rsidR="008E1B2E">
        <w:t>,</w:t>
      </w:r>
      <w:r>
        <w:t xml:space="preserve"> goes on to state that it is these inconsistent decisions, that essentially </w:t>
      </w:r>
      <w:r w:rsidR="008E1B2E">
        <w:t>portray</w:t>
      </w:r>
      <w:r>
        <w:t xml:space="preserve"> a conflicted personality to the law, which creates a spectacle that</w:t>
      </w:r>
      <w:r w:rsidR="008E1B2E" w:rsidRPr="005C5755">
        <w:rPr>
          <w:i/>
        </w:rPr>
        <w:t>—</w:t>
      </w:r>
      <w:r>
        <w:t xml:space="preserve"> “</w:t>
      </w:r>
      <w:r w:rsidRPr="00787113">
        <w:rPr>
          <w:i/>
        </w:rPr>
        <w:t xml:space="preserve">could be described </w:t>
      </w:r>
      <w:r>
        <w:rPr>
          <w:i/>
        </w:rPr>
        <w:t>(</w:t>
      </w:r>
      <w:r w:rsidRPr="00787113">
        <w:rPr>
          <w:i/>
        </w:rPr>
        <w:t>as members of the critical studies movement tend to do</w:t>
      </w:r>
      <w:r>
        <w:rPr>
          <w:i/>
        </w:rPr>
        <w:t>)</w:t>
      </w:r>
      <w:r w:rsidRPr="00787113">
        <w:rPr>
          <w:i/>
        </w:rPr>
        <w:t>…as a farce</w:t>
      </w:r>
      <w:r>
        <w:t>”</w:t>
      </w:r>
      <w:r>
        <w:rPr>
          <w:rStyle w:val="FootnoteReference"/>
        </w:rPr>
        <w:footnoteReference w:id="48"/>
      </w:r>
      <w:r w:rsidR="0043103B">
        <w:t>.</w:t>
      </w:r>
    </w:p>
    <w:p w:rsidR="00D25B67" w:rsidRPr="000279D4" w:rsidRDefault="00436ECB" w:rsidP="0083463C">
      <w:r>
        <w:t>Such a statement, aids</w:t>
      </w:r>
      <w:r w:rsidR="009E592A">
        <w:t xml:space="preserve"> </w:t>
      </w:r>
      <w:r>
        <w:t xml:space="preserve">a general understanding of the </w:t>
      </w:r>
      <w:r w:rsidR="008E1B2E">
        <w:t>critical legal studies (CLS)</w:t>
      </w:r>
      <w:r w:rsidR="00DB3C2E">
        <w:t xml:space="preserve"> perspective of law, and </w:t>
      </w:r>
      <w:r w:rsidR="008D638E">
        <w:t>suggests</w:t>
      </w:r>
      <w:r w:rsidR="00DB3C2E">
        <w:t xml:space="preserve"> </w:t>
      </w:r>
      <w:r>
        <w:t>that</w:t>
      </w:r>
      <w:r w:rsidR="00DB3C2E">
        <w:t xml:space="preserve"> </w:t>
      </w:r>
      <w:r w:rsidR="008D638E">
        <w:t>(</w:t>
      </w:r>
      <w:r w:rsidR="00DB3C2E">
        <w:t xml:space="preserve">in </w:t>
      </w:r>
      <w:r w:rsidR="008D638E">
        <w:t>my own imagery), the law is a tool with considerable power</w:t>
      </w:r>
      <w:r>
        <w:t xml:space="preserve"> </w:t>
      </w:r>
      <w:r w:rsidR="008D638E">
        <w:t>used</w:t>
      </w:r>
      <w:r>
        <w:t xml:space="preserve"> in the construction of society</w:t>
      </w:r>
      <w:r w:rsidR="008D638E">
        <w:t>, which</w:t>
      </w:r>
      <w:r>
        <w:t xml:space="preserve"> needs to be</w:t>
      </w:r>
      <w:r w:rsidR="008D638E">
        <w:t xml:space="preserve"> utilised</w:t>
      </w:r>
      <w:r>
        <w:t xml:space="preserve"> </w:t>
      </w:r>
      <w:r w:rsidR="008D638E">
        <w:t xml:space="preserve">correctly and </w:t>
      </w:r>
      <w:r>
        <w:t>consistent</w:t>
      </w:r>
      <w:r w:rsidR="008D638E">
        <w:t>ly.</w:t>
      </w:r>
      <w:r>
        <w:t xml:space="preserve"> </w:t>
      </w:r>
      <w:r w:rsidR="008D638E">
        <w:t>However</w:t>
      </w:r>
      <w:r>
        <w:t xml:space="preserve"> the </w:t>
      </w:r>
      <w:r w:rsidR="009E592A">
        <w:t>operators</w:t>
      </w:r>
      <w:r w:rsidR="008D638E">
        <w:t xml:space="preserve"> of the tool,</w:t>
      </w:r>
      <w:r>
        <w:t xml:space="preserve"> </w:t>
      </w:r>
      <w:r w:rsidR="008D638E">
        <w:t xml:space="preserve">essentially judges, </w:t>
      </w:r>
      <w:r>
        <w:t xml:space="preserve">must not exceed </w:t>
      </w:r>
      <w:r w:rsidR="009E592A">
        <w:t>their</w:t>
      </w:r>
      <w:r w:rsidR="008D638E">
        <w:t xml:space="preserve"> power</w:t>
      </w:r>
      <w:r>
        <w:t xml:space="preserve"> </w:t>
      </w:r>
      <w:r w:rsidR="008D638E">
        <w:t>as</w:t>
      </w:r>
      <w:r>
        <w:t xml:space="preserve"> doing so would risk </w:t>
      </w:r>
      <w:r w:rsidR="009E592A">
        <w:t>damaging</w:t>
      </w:r>
      <w:r>
        <w:t xml:space="preserve">  society, </w:t>
      </w:r>
      <w:r>
        <w:lastRenderedPageBreak/>
        <w:t>and</w:t>
      </w:r>
      <w:r w:rsidR="009E592A">
        <w:t xml:space="preserve"> consequently</w:t>
      </w:r>
      <w:r w:rsidR="00F50546">
        <w:t xml:space="preserve"> </w:t>
      </w:r>
      <w:r w:rsidR="009E592A">
        <w:t xml:space="preserve">de-valuing the word of law. Fish, in </w:t>
      </w:r>
      <w:r w:rsidR="008D638E">
        <w:t>illustrating</w:t>
      </w:r>
      <w:r w:rsidR="009E592A">
        <w:t xml:space="preserve"> his anti</w:t>
      </w:r>
      <w:r w:rsidR="00847ECE">
        <w:t>-foundationalist concept of law</w:t>
      </w:r>
      <w:r w:rsidR="009E592A">
        <w:t xml:space="preserve"> examines</w:t>
      </w:r>
      <w:r w:rsidR="00847ECE">
        <w:t xml:space="preserve"> aspects of the CLS perspective. </w:t>
      </w:r>
      <w:r w:rsidR="008E0A89">
        <w:t>H</w:t>
      </w:r>
      <w:r w:rsidR="00847ECE">
        <w:t>is</w:t>
      </w:r>
      <w:r w:rsidR="008D638E">
        <w:t xml:space="preserve"> </w:t>
      </w:r>
      <w:r w:rsidR="00847ECE">
        <w:t>comparison of</w:t>
      </w:r>
      <w:r w:rsidR="008D638E">
        <w:t xml:space="preserve"> th</w:t>
      </w:r>
      <w:r w:rsidR="00847ECE">
        <w:t>is</w:t>
      </w:r>
      <w:r w:rsidR="008D638E">
        <w:t xml:space="preserve"> </w:t>
      </w:r>
      <w:r w:rsidR="00847ECE">
        <w:t>perspective,</w:t>
      </w:r>
      <w:r w:rsidR="009E592A">
        <w:t xml:space="preserve"> </w:t>
      </w:r>
      <w:r w:rsidR="008E0A89">
        <w:t xml:space="preserve">is key in illustrating elements of </w:t>
      </w:r>
      <w:r w:rsidR="00847ECE">
        <w:t>Fish’s</w:t>
      </w:r>
      <w:r w:rsidR="008D638E">
        <w:t xml:space="preserve"> </w:t>
      </w:r>
      <w:r w:rsidR="00847ECE">
        <w:t xml:space="preserve">anti-foundationalist </w:t>
      </w:r>
      <w:r w:rsidR="008D638E">
        <w:t>concept of law</w:t>
      </w:r>
      <w:r w:rsidR="008E0A89">
        <w:t>,</w:t>
      </w:r>
      <w:r w:rsidR="00847ECE">
        <w:t xml:space="preserve"> that both Fish and Priban seek</w:t>
      </w:r>
      <w:r w:rsidR="008D638E">
        <w:t xml:space="preserve"> to describe</w:t>
      </w:r>
      <w:r w:rsidR="008E0A89">
        <w:t>.</w:t>
      </w:r>
    </w:p>
    <w:p w:rsidR="00593070" w:rsidRDefault="008E0A89" w:rsidP="009925F7">
      <w:pPr>
        <w:spacing w:after="0"/>
      </w:pPr>
      <w:r>
        <w:t>Fish, utilizes t</w:t>
      </w:r>
      <w:r w:rsidR="00806354">
        <w:t xml:space="preserve">he example of consideration in contract law </w:t>
      </w:r>
      <w:r>
        <w:t>in order</w:t>
      </w:r>
      <w:r w:rsidR="002A4017">
        <w:t xml:space="preserve"> </w:t>
      </w:r>
      <w:r w:rsidR="00806354">
        <w:t>to</w:t>
      </w:r>
      <w:r>
        <w:t xml:space="preserve"> further</w:t>
      </w:r>
      <w:r w:rsidR="00806354">
        <w:t xml:space="preserve"> illustrate his perspective. “</w:t>
      </w:r>
      <w:r w:rsidR="00806354">
        <w:rPr>
          <w:i/>
        </w:rPr>
        <w:t>Consideration is thus, a part of the law’s general effort to disengage it’s self from history and assume… a shape time cannot alter</w:t>
      </w:r>
      <w:r w:rsidR="00806354">
        <w:t>”</w:t>
      </w:r>
      <w:r w:rsidR="00806354">
        <w:rPr>
          <w:rStyle w:val="FootnoteReference"/>
        </w:rPr>
        <w:footnoteReference w:id="49"/>
      </w:r>
      <w:r>
        <w:t xml:space="preserve">. </w:t>
      </w:r>
      <w:r w:rsidR="002A4017">
        <w:t>The argument Fish seeks to make here</w:t>
      </w:r>
      <w:r>
        <w:t>,</w:t>
      </w:r>
      <w:r w:rsidR="002A4017">
        <w:t xml:space="preserve"> is key to the concept of anti-foundationalism, and was alluded t</w:t>
      </w:r>
      <w:r w:rsidR="009925F7">
        <w:t xml:space="preserve">o in the initial chapters above. Both anti-foundationalist’s and post-structuralists incorporate </w:t>
      </w:r>
      <w:r w:rsidR="002A4017">
        <w:t>historical interpretation</w:t>
      </w:r>
      <w:r>
        <w:t>s,</w:t>
      </w:r>
      <w:r w:rsidR="009925F7">
        <w:t xml:space="preserve"> as a </w:t>
      </w:r>
      <w:r>
        <w:t>means of</w:t>
      </w:r>
      <w:r w:rsidR="002A4017">
        <w:t xml:space="preserve"> understanding the change in</w:t>
      </w:r>
      <w:r>
        <w:t xml:space="preserve"> society’s</w:t>
      </w:r>
      <w:r w:rsidR="002A4017">
        <w:t xml:space="preserve"> perceptions of cultural constructs</w:t>
      </w:r>
      <w:r w:rsidR="009925F7">
        <w:t xml:space="preserve"> in the past, as a means of understanding the nature of the concept in the present</w:t>
      </w:r>
      <w:r w:rsidR="009925F7">
        <w:rPr>
          <w:rStyle w:val="FootnoteReference"/>
        </w:rPr>
        <w:footnoteReference w:id="50"/>
      </w:r>
      <w:r w:rsidR="009925F7">
        <w:t xml:space="preserve">. </w:t>
      </w:r>
    </w:p>
    <w:p w:rsidR="007F0E0B" w:rsidRDefault="009925F7" w:rsidP="00E82FD8">
      <w:pPr>
        <w:spacing w:after="0"/>
      </w:pPr>
      <w:r>
        <w:t xml:space="preserve">Consequently, Fish believes the law should not abandon </w:t>
      </w:r>
      <w:r w:rsidR="007F0E0B">
        <w:t>the</w:t>
      </w:r>
      <w:r w:rsidR="009C1EA6">
        <w:t xml:space="preserve"> </w:t>
      </w:r>
      <w:r w:rsidR="00BF2EAC">
        <w:t xml:space="preserve">historical connections to </w:t>
      </w:r>
      <w:r w:rsidR="008E0A89">
        <w:t>its</w:t>
      </w:r>
      <w:r w:rsidR="00BF2EAC">
        <w:t xml:space="preserve"> meaning</w:t>
      </w:r>
      <w:r w:rsidR="006E52D0">
        <w:t>,</w:t>
      </w:r>
      <w:r w:rsidR="00BF2EAC">
        <w:t xml:space="preserve"> </w:t>
      </w:r>
      <w:r w:rsidR="007F0E0B">
        <w:t>and the context of its concept.</w:t>
      </w:r>
      <w:r w:rsidR="00BF2EAC">
        <w:t xml:space="preserve"> </w:t>
      </w:r>
      <w:r w:rsidR="007F0E0B">
        <w:t>However,</w:t>
      </w:r>
      <w:r w:rsidR="00BF2EAC">
        <w:t xml:space="preserve"> </w:t>
      </w:r>
      <w:r w:rsidR="007F0E0B">
        <w:t>a common criticism in CLS</w:t>
      </w:r>
      <w:r w:rsidR="007F0E0B" w:rsidRPr="007F0E0B">
        <w:t xml:space="preserve"> </w:t>
      </w:r>
      <w:r w:rsidR="007F0E0B">
        <w:t>jurisprudence is the failure of</w:t>
      </w:r>
      <w:r w:rsidR="00BF2EAC">
        <w:t xml:space="preserve"> legal meaning to be altered by time,</w:t>
      </w:r>
      <w:r w:rsidR="007F0E0B">
        <w:t xml:space="preserve"> and the upholding of traditional and archaic law’s</w:t>
      </w:r>
      <w:r w:rsidR="006E52D0">
        <w:t>,</w:t>
      </w:r>
      <w:r w:rsidR="007F0E0B">
        <w:t xml:space="preserve"> that have no realistic place in a contemporary society.</w:t>
      </w:r>
      <w:r w:rsidR="00BF2EAC">
        <w:t xml:space="preserve"> </w:t>
      </w:r>
      <w:r w:rsidR="007F0E0B">
        <w:t>This</w:t>
      </w:r>
      <w:r w:rsidR="00BF2EAC">
        <w:t xml:space="preserve"> criticism of the law</w:t>
      </w:r>
      <w:r w:rsidR="006E52D0">
        <w:t xml:space="preserve"> is</w:t>
      </w:r>
      <w:r w:rsidR="00BF2EAC">
        <w:t xml:space="preserve"> reminiscent to many philosophical </w:t>
      </w:r>
      <w:r w:rsidR="007F0E0B">
        <w:t xml:space="preserve">perspectives, </w:t>
      </w:r>
      <w:r w:rsidR="00BF2EAC">
        <w:t>Priban also</w:t>
      </w:r>
      <w:r w:rsidR="006E52D0">
        <w:t xml:space="preserve"> focuses on the criticism of Fish’s writing:</w:t>
      </w:r>
      <w:r w:rsidR="00BF2EAC">
        <w:t xml:space="preserve"> “</w:t>
      </w:r>
      <w:r w:rsidR="00BF2EAC">
        <w:rPr>
          <w:i/>
        </w:rPr>
        <w:t xml:space="preserve">Fish’s position suggests that no legal rules can be understood as </w:t>
      </w:r>
      <w:r w:rsidR="00341166">
        <w:rPr>
          <w:i/>
        </w:rPr>
        <w:t>fundamental</w:t>
      </w:r>
      <w:r w:rsidR="00BF2EAC">
        <w:rPr>
          <w:i/>
        </w:rPr>
        <w:t>”</w:t>
      </w:r>
      <w:r w:rsidR="00BF2EAC">
        <w:rPr>
          <w:rStyle w:val="FootnoteReference"/>
          <w:i/>
        </w:rPr>
        <w:footnoteReference w:id="51"/>
      </w:r>
      <w:r w:rsidR="007F0E0B">
        <w:rPr>
          <w:i/>
        </w:rPr>
        <w:t xml:space="preserve">. </w:t>
      </w:r>
      <w:r w:rsidR="006E52D0">
        <w:t>(</w:t>
      </w:r>
      <w:r w:rsidR="007F0E0B">
        <w:t xml:space="preserve">Priban </w:t>
      </w:r>
      <w:r w:rsidR="00341166">
        <w:t>withholds his judgment on that specific point,</w:t>
      </w:r>
      <w:r w:rsidR="00B5707B">
        <w:t xml:space="preserve"> despite being quite suggestive.</w:t>
      </w:r>
      <w:r w:rsidR="00341166">
        <w:t xml:space="preserve"> </w:t>
      </w:r>
      <w:r w:rsidR="00B5707B">
        <w:t>And a</w:t>
      </w:r>
      <w:r w:rsidR="006E52D0">
        <w:t>dditionally</w:t>
      </w:r>
      <w:r w:rsidR="00341166">
        <w:t xml:space="preserve"> when </w:t>
      </w:r>
      <w:r w:rsidR="006E52D0">
        <w:t xml:space="preserve">later </w:t>
      </w:r>
      <w:r w:rsidR="00341166">
        <w:t xml:space="preserve">mentioning methods of Fish’s legal interpretation as opposed to Goodrich, he chooses to decline to mention what these </w:t>
      </w:r>
      <w:r w:rsidR="006E52D0">
        <w:t xml:space="preserve">methods </w:t>
      </w:r>
      <w:r w:rsidR="00341166">
        <w:t>actually are</w:t>
      </w:r>
      <w:r w:rsidR="00B5707B">
        <w:t>.</w:t>
      </w:r>
      <w:r w:rsidR="006E52D0">
        <w:t>)</w:t>
      </w:r>
    </w:p>
    <w:p w:rsidR="00593070" w:rsidRDefault="00341166" w:rsidP="00E82FD8">
      <w:pPr>
        <w:spacing w:after="0"/>
      </w:pPr>
      <w:r>
        <w:t>One such</w:t>
      </w:r>
      <w:r w:rsidR="007F0E0B" w:rsidRPr="007F0E0B">
        <w:t xml:space="preserve"> </w:t>
      </w:r>
      <w:r w:rsidR="007F0E0B">
        <w:t>method, that can be identified</w:t>
      </w:r>
      <w:r w:rsidR="00B5707B">
        <w:t xml:space="preserve"> however,</w:t>
      </w:r>
      <w:r>
        <w:t xml:space="preserve"> is Fish’s proposition of histo</w:t>
      </w:r>
      <w:r w:rsidR="007F0E0B">
        <w:t>rical contextual interpretation. H</w:t>
      </w:r>
      <w:r>
        <w:t xml:space="preserve">e elaborates further in </w:t>
      </w:r>
      <w:r w:rsidR="00B5707B">
        <w:t>his</w:t>
      </w:r>
      <w:r>
        <w:t xml:space="preserve"> </w:t>
      </w:r>
      <w:r w:rsidR="00E82FD8">
        <w:t>example</w:t>
      </w:r>
      <w:r>
        <w:t xml:space="preserve"> of consideration</w:t>
      </w:r>
      <w:r w:rsidR="007F0E0B" w:rsidRPr="005C5755">
        <w:rPr>
          <w:i/>
        </w:rPr>
        <w:t>—</w:t>
      </w:r>
      <w:r>
        <w:t xml:space="preserve"> “</w:t>
      </w:r>
      <w:r w:rsidR="00E82FD8">
        <w:rPr>
          <w:i/>
        </w:rPr>
        <w:t>to enquire into the adequacy [of consideration]…would be to reintroduce the very issues of equity…of morality that consideration is designed to bracket</w:t>
      </w:r>
      <w:r w:rsidR="00E82FD8">
        <w:t>”</w:t>
      </w:r>
    </w:p>
    <w:p w:rsidR="00436ECB" w:rsidRDefault="00B849DF" w:rsidP="00E82FD8">
      <w:pPr>
        <w:tabs>
          <w:tab w:val="left" w:pos="8327"/>
        </w:tabs>
        <w:spacing w:after="0"/>
      </w:pPr>
      <w:r>
        <w:t>Fish identifies</w:t>
      </w:r>
      <w:r w:rsidR="00B5707B">
        <w:t>,</w:t>
      </w:r>
      <w:r>
        <w:t xml:space="preserve"> that history is a valid aid to understanding concepts in current society</w:t>
      </w:r>
      <w:r w:rsidR="00B5707B">
        <w:t>, as a method of critique. H</w:t>
      </w:r>
      <w:r>
        <w:t xml:space="preserve">owever </w:t>
      </w:r>
      <w:r w:rsidR="00B5707B">
        <w:t xml:space="preserve">Fish </w:t>
      </w:r>
      <w:r>
        <w:t>additionally identifies</w:t>
      </w:r>
      <w:r w:rsidR="00B5707B">
        <w:t>,</w:t>
      </w:r>
      <w:r>
        <w:t xml:space="preserve"> that consideration in contract must be a concept that time cannot alter as “</w:t>
      </w:r>
      <w:r>
        <w:rPr>
          <w:i/>
        </w:rPr>
        <w:t>it has no content”</w:t>
      </w:r>
      <w:r>
        <w:rPr>
          <w:rStyle w:val="FootnoteReference"/>
          <w:i/>
        </w:rPr>
        <w:footnoteReference w:id="52"/>
      </w:r>
      <w:r>
        <w:t>and “</w:t>
      </w:r>
      <w:r>
        <w:rPr>
          <w:i/>
        </w:rPr>
        <w:t>by inquiring into the conditions of the contract the court would pass from being an instrument of the law into an instrument of a morality”</w:t>
      </w:r>
      <w:r>
        <w:rPr>
          <w:rStyle w:val="FootnoteReference"/>
          <w:i/>
        </w:rPr>
        <w:footnoteReference w:id="53"/>
      </w:r>
      <w:r>
        <w:rPr>
          <w:i/>
        </w:rPr>
        <w:t>.</w:t>
      </w:r>
      <w:r w:rsidR="00E82FD8">
        <w:tab/>
      </w:r>
    </w:p>
    <w:p w:rsidR="00436ECB" w:rsidRDefault="00436ECB" w:rsidP="00E82FD8">
      <w:pPr>
        <w:spacing w:after="0"/>
      </w:pPr>
    </w:p>
    <w:p w:rsidR="00436ECB" w:rsidRDefault="0048718E" w:rsidP="009925F7">
      <w:pPr>
        <w:spacing w:after="0"/>
      </w:pPr>
      <w:r>
        <w:t xml:space="preserve">The conflation of morality with the law is a </w:t>
      </w:r>
      <w:r w:rsidR="00B5707B">
        <w:t>problematic</w:t>
      </w:r>
      <w:r>
        <w:t xml:space="preserve"> issue</w:t>
      </w:r>
      <w:r w:rsidR="00FC4189">
        <w:t xml:space="preserve"> for Fish</w:t>
      </w:r>
      <w:r>
        <w:t>, and has grave implications for</w:t>
      </w:r>
      <w:r w:rsidR="00E631F1">
        <w:t xml:space="preserve"> the legal</w:t>
      </w:r>
      <w:r w:rsidR="009C1EA6">
        <w:t xml:space="preserve"> </w:t>
      </w:r>
      <w:r w:rsidR="00E631F1">
        <w:t>system</w:t>
      </w:r>
      <w:r>
        <w:t>, a notion that is no stranger to jurisprudence and the philosophy of law.</w:t>
      </w:r>
    </w:p>
    <w:p w:rsidR="00436ECB" w:rsidRDefault="00FC4189" w:rsidP="009925F7">
      <w:pPr>
        <w:spacing w:after="0"/>
      </w:pPr>
      <w:r>
        <w:t>One key aspect of this difficult and “dangerous” relationship Fish seeks to illustrate</w:t>
      </w:r>
      <w:r w:rsidR="00B5707B">
        <w:t>,</w:t>
      </w:r>
      <w:r>
        <w:t xml:space="preserve"> is that inconsistent interpretation and morality are not </w:t>
      </w:r>
      <w:r w:rsidR="00B5707B">
        <w:t xml:space="preserve">separate, </w:t>
      </w:r>
      <w:r>
        <w:t>dual threats to law, they are the same threat, as “</w:t>
      </w:r>
      <w:r>
        <w:rPr>
          <w:i/>
        </w:rPr>
        <w:t>interpretation is the name for the activity by which a particular moral vision makes its hegemonic way into places from which it has been formally barred.”</w:t>
      </w:r>
      <w:r>
        <w:rPr>
          <w:rStyle w:val="FootnoteReference"/>
          <w:i/>
        </w:rPr>
        <w:footnoteReference w:id="54"/>
      </w:r>
      <w:r>
        <w:t xml:space="preserve"> “</w:t>
      </w:r>
      <w:r w:rsidRPr="00FC4189">
        <w:rPr>
          <w:i/>
        </w:rPr>
        <w:t>the law must define its self against…moral traditions</w:t>
      </w:r>
      <w:r>
        <w:t>”</w:t>
      </w:r>
      <w:r>
        <w:rPr>
          <w:rStyle w:val="FootnoteReference"/>
        </w:rPr>
        <w:footnoteReference w:id="55"/>
      </w:r>
      <w:r w:rsidR="00E631F1">
        <w:t>.</w:t>
      </w:r>
    </w:p>
    <w:p w:rsidR="00436ECB" w:rsidRDefault="00E631F1" w:rsidP="009925F7">
      <w:pPr>
        <w:spacing w:after="0"/>
      </w:pPr>
      <w:r>
        <w:lastRenderedPageBreak/>
        <w:t xml:space="preserve">Fish’s interpretation </w:t>
      </w:r>
      <w:r w:rsidR="00AB039D">
        <w:t>of</w:t>
      </w:r>
      <w:r>
        <w:t xml:space="preserve"> law</w:t>
      </w:r>
      <w:r w:rsidR="00AB039D">
        <w:t>, therefore</w:t>
      </w:r>
      <w:r>
        <w:t xml:space="preserve"> directly </w:t>
      </w:r>
      <w:r w:rsidR="0055748B">
        <w:t>opposes</w:t>
      </w:r>
      <w:r>
        <w:t xml:space="preserve"> a</w:t>
      </w:r>
      <w:r w:rsidR="00AB039D">
        <w:t>ny</w:t>
      </w:r>
      <w:r>
        <w:t xml:space="preserve"> </w:t>
      </w:r>
      <w:r w:rsidR="00AB039D">
        <w:t xml:space="preserve">approach based in </w:t>
      </w:r>
      <w:r>
        <w:t>natural legal theory</w:t>
      </w:r>
      <w:r w:rsidR="00AB039D">
        <w:t>.</w:t>
      </w:r>
      <w:r>
        <w:t xml:space="preserve"> </w:t>
      </w:r>
      <w:r w:rsidR="00AB039D">
        <w:t>Yet, Fish</w:t>
      </w:r>
      <w:r>
        <w:t xml:space="preserve"> suggests that there </w:t>
      </w:r>
      <w:r w:rsidR="0055748B">
        <w:t>cannot</w:t>
      </w:r>
      <w:r>
        <w:t xml:space="preserve"> be an outright rejection of law connected to morals</w:t>
      </w:r>
      <w:r w:rsidR="0055748B">
        <w:t>, “</w:t>
      </w:r>
      <w:r w:rsidR="0055748B">
        <w:rPr>
          <w:i/>
        </w:rPr>
        <w:t>the requirement for procedures that are neutral</w:t>
      </w:r>
      <w:r w:rsidR="009C1EA6">
        <w:rPr>
          <w:i/>
        </w:rPr>
        <w:t xml:space="preserve"> </w:t>
      </w:r>
      <w:r w:rsidR="0055748B" w:rsidRPr="0055748B">
        <w:rPr>
          <w:i/>
        </w:rPr>
        <w:t>between contending moral agendas cannot be met because, in order to even take form, procedures must promote some rationales for an action and turn a blind eye towards others</w:t>
      </w:r>
      <w:r w:rsidR="0055748B">
        <w:t>”</w:t>
      </w:r>
      <w:r w:rsidR="0055748B">
        <w:rPr>
          <w:rStyle w:val="FootnoteReference"/>
        </w:rPr>
        <w:footnoteReference w:id="56"/>
      </w:r>
      <w:r w:rsidR="0055748B">
        <w:t>.  Here Fish makes several key acknowledgements, the most important being that the law, despite being an imperfect system, is a functioning system nonetheless</w:t>
      </w:r>
      <w:r w:rsidR="00371A1C">
        <w:t>.</w:t>
      </w:r>
      <w:r w:rsidR="003119E4">
        <w:t xml:space="preserve"> However there are several grounds in which Fish distinguishes his narrative of the law from the popular conception of </w:t>
      </w:r>
      <w:r w:rsidR="00AB039D">
        <w:t>his critical legal counterparts. T</w:t>
      </w:r>
      <w:r w:rsidR="003119E4">
        <w:t>he first being that Fish moves beyond the</w:t>
      </w:r>
      <w:r w:rsidR="00687CAC">
        <w:t xml:space="preserve"> identification of inconsistencies </w:t>
      </w:r>
      <w:r w:rsidR="00AB039D">
        <w:t>in</w:t>
      </w:r>
      <w:r w:rsidR="00687CAC">
        <w:t xml:space="preserve"> law, to identify that “</w:t>
      </w:r>
      <w:r w:rsidR="00687CAC">
        <w:rPr>
          <w:i/>
        </w:rPr>
        <w:t xml:space="preserve"> the inconsistency of doctrine is what enables law to work”</w:t>
      </w:r>
      <w:r w:rsidR="00687CAC">
        <w:rPr>
          <w:rStyle w:val="FootnoteReference"/>
          <w:i/>
        </w:rPr>
        <w:footnoteReference w:id="57"/>
      </w:r>
      <w:r w:rsidR="00687CAC">
        <w:t xml:space="preserve">  as inconsistency is</w:t>
      </w:r>
      <w:r w:rsidR="00AB039D">
        <w:t>,</w:t>
      </w:r>
      <w:r w:rsidR="00687CAC">
        <w:t xml:space="preserve"> in Fish’s opinion</w:t>
      </w:r>
      <w:r w:rsidR="00AB039D">
        <w:t xml:space="preserve">, fatal to law </w:t>
      </w:r>
      <w:r w:rsidR="00687CAC">
        <w:t>only if law is viewed as a philosophy, but since the law is pragmatic</w:t>
      </w:r>
      <w:r w:rsidR="00640C63">
        <w:t xml:space="preserve">, it is it’s inconsistency which allows the law to function. </w:t>
      </w:r>
    </w:p>
    <w:p w:rsidR="00436ECB" w:rsidRDefault="00A7182D" w:rsidP="009925F7">
      <w:pPr>
        <w:spacing w:after="0"/>
      </w:pPr>
      <w:r>
        <w:t>The second el</w:t>
      </w:r>
      <w:r w:rsidR="00AB039D">
        <w:t>ement of the CLS concept of law</w:t>
      </w:r>
      <w:r>
        <w:t xml:space="preserve"> that Fish disagrees and alters for his own concept</w:t>
      </w:r>
      <w:r w:rsidR="00AB039D">
        <w:t>, is the theory</w:t>
      </w:r>
      <w:r>
        <w:t xml:space="preserve"> that law is rhetorical. St</w:t>
      </w:r>
      <w:r w:rsidR="00AB039D">
        <w:t xml:space="preserve">even Burton pushes forward the critical perspective which is, </w:t>
      </w:r>
      <w:r>
        <w:t xml:space="preserve">if </w:t>
      </w:r>
      <w:r w:rsidR="00AB039D">
        <w:t>it is possible to</w:t>
      </w:r>
      <w:r>
        <w:t xml:space="preserve"> </w:t>
      </w:r>
      <w:r w:rsidR="00AB039D">
        <w:t>identify</w:t>
      </w:r>
      <w:r>
        <w:t xml:space="preserve"> that the law is rhetorical, then i</w:t>
      </w:r>
      <w:r w:rsidR="00AB039D">
        <w:t>t essentially could be improved</w:t>
      </w:r>
      <w:r w:rsidR="00AB039D" w:rsidRPr="005C5755">
        <w:rPr>
          <w:i/>
        </w:rPr>
        <w:t>—</w:t>
      </w:r>
      <w:r>
        <w:t xml:space="preserve"> “</w:t>
      </w:r>
      <w:r>
        <w:rPr>
          <w:i/>
        </w:rPr>
        <w:t>we will be better able to listen, deliberate and justify action”</w:t>
      </w:r>
      <w:r w:rsidR="00224915">
        <w:rPr>
          <w:rStyle w:val="FootnoteReference"/>
          <w:i/>
        </w:rPr>
        <w:footnoteReference w:id="58"/>
      </w:r>
      <w:r w:rsidR="00224915">
        <w:rPr>
          <w:i/>
        </w:rPr>
        <w:t>.</w:t>
      </w:r>
      <w:r w:rsidR="009B097B">
        <w:t xml:space="preserve"> However, Fish argues that knowledge of the laws rhetoricity would only change things if “</w:t>
      </w:r>
      <w:r w:rsidR="009B097B">
        <w:rPr>
          <w:i/>
        </w:rPr>
        <w:t>we were insulated against that rhetoricity</w:t>
      </w:r>
      <w:r w:rsidR="009B097B">
        <w:t>”</w:t>
      </w:r>
      <w:r w:rsidR="009B097B">
        <w:rPr>
          <w:rStyle w:val="FootnoteReference"/>
        </w:rPr>
        <w:footnoteReference w:id="59"/>
      </w:r>
      <w:r w:rsidR="009B097B">
        <w:t xml:space="preserve">, and that the pressures that cause the law to act as a system of reasons for action, will still be contextually local reasons, and will not change once they are identified. </w:t>
      </w:r>
    </w:p>
    <w:p w:rsidR="009C76C9" w:rsidRDefault="009C76C9" w:rsidP="009925F7">
      <w:pPr>
        <w:spacing w:after="0"/>
      </w:pPr>
    </w:p>
    <w:p w:rsidR="00EB457F" w:rsidRDefault="009B097B" w:rsidP="009C76C9">
      <w:pPr>
        <w:spacing w:after="0"/>
      </w:pPr>
      <w:r>
        <w:t>Fish labels this notion</w:t>
      </w:r>
      <w:r w:rsidR="00357BA0">
        <w:t xml:space="preserve"> and belief</w:t>
      </w:r>
      <w:r>
        <w:t xml:space="preserve"> of Burton’s as </w:t>
      </w:r>
      <w:r w:rsidR="00357BA0">
        <w:t>“</w:t>
      </w:r>
      <w:r>
        <w:t xml:space="preserve">anti-foundationalist </w:t>
      </w:r>
      <w:r w:rsidR="00357BA0">
        <w:t>theory</w:t>
      </w:r>
      <w:r>
        <w:t xml:space="preserve"> hope</w:t>
      </w:r>
      <w:r w:rsidR="00357BA0">
        <w:t>” (a concept previously discussed in the preceding chapters)</w:t>
      </w:r>
      <w:r w:rsidR="00EB457F">
        <w:t>.</w:t>
      </w:r>
    </w:p>
    <w:p w:rsidR="00EB457F" w:rsidRDefault="00EB457F" w:rsidP="009C76C9">
      <w:pPr>
        <w:spacing w:after="0"/>
      </w:pPr>
      <w:r>
        <w:t>Fish’s concept in relation to Burton begins with</w:t>
      </w:r>
      <w:r w:rsidR="009C1EA6">
        <w:t xml:space="preserve"> h</w:t>
      </w:r>
      <w:r>
        <w:t xml:space="preserve">is identification and new awareness </w:t>
      </w:r>
      <w:r w:rsidR="00357BA0">
        <w:t xml:space="preserve">of the rhetoricity of the foundations </w:t>
      </w:r>
      <w:r>
        <w:t>of the</w:t>
      </w:r>
      <w:r w:rsidR="00357BA0">
        <w:t xml:space="preserve"> law, </w:t>
      </w:r>
      <w:r>
        <w:t xml:space="preserve">a perspective that didn’t previously exist can </w:t>
      </w:r>
      <w:r w:rsidR="00357BA0">
        <w:t xml:space="preserve">consequently </w:t>
      </w:r>
      <w:r>
        <w:t>be developed. Such a new development according to Fish,</w:t>
      </w:r>
      <w:r w:rsidR="009C1EA6">
        <w:t xml:space="preserve"> </w:t>
      </w:r>
      <w:r w:rsidR="004C2851">
        <w:t>falsely</w:t>
      </w:r>
      <w:r w:rsidR="00357BA0">
        <w:t xml:space="preserve"> fuels the </w:t>
      </w:r>
      <w:r w:rsidR="00357BA0" w:rsidRPr="00EB457F">
        <w:t>hope that</w:t>
      </w:r>
      <w:r w:rsidRPr="00EB457F">
        <w:t>,</w:t>
      </w:r>
      <w:r w:rsidR="004C2851" w:rsidRPr="00EB457F">
        <w:t xml:space="preserve"> by embracing</w:t>
      </w:r>
      <w:r w:rsidRPr="00EB457F">
        <w:t xml:space="preserve"> and identifying</w:t>
      </w:r>
      <w:r w:rsidR="004C2851" w:rsidRPr="00EB457F">
        <w:t xml:space="preserve"> the contingency of </w:t>
      </w:r>
      <w:r>
        <w:t>such a claim</w:t>
      </w:r>
      <w:r w:rsidR="004C2851">
        <w:t xml:space="preserve">, the local </w:t>
      </w:r>
      <w:r>
        <w:t>problematic situation</w:t>
      </w:r>
      <w:r w:rsidR="004C2851">
        <w:t xml:space="preserve"> can be ignored and </w:t>
      </w:r>
      <w:r>
        <w:t xml:space="preserve">therefore </w:t>
      </w:r>
      <w:r w:rsidR="004C2851">
        <w:t xml:space="preserve">escaping </w:t>
      </w:r>
      <w:r>
        <w:t>it</w:t>
      </w:r>
      <w:r w:rsidR="004C2851">
        <w:t xml:space="preserve"> will provide </w:t>
      </w:r>
      <w:r>
        <w:t>some</w:t>
      </w:r>
      <w:r w:rsidR="004C2851">
        <w:t xml:space="preserve"> glimpse of a master principle. </w:t>
      </w:r>
    </w:p>
    <w:p w:rsidR="00EB457F" w:rsidRDefault="004C2851" w:rsidP="009C76C9">
      <w:pPr>
        <w:spacing w:after="0"/>
      </w:pPr>
      <w:r>
        <w:t>Consequently</w:t>
      </w:r>
      <w:r w:rsidR="00AB039D">
        <w:t>,</w:t>
      </w:r>
      <w:r>
        <w:t xml:space="preserve"> </w:t>
      </w:r>
      <w:r w:rsidR="00EB457F">
        <w:t xml:space="preserve">In </w:t>
      </w:r>
      <w:r>
        <w:t xml:space="preserve"> Fish</w:t>
      </w:r>
      <w:r w:rsidR="00EB457F">
        <w:t>’s opinion</w:t>
      </w:r>
      <w:r>
        <w:t xml:space="preserve"> there is no master principle, it doesn’t exist and identifying an e</w:t>
      </w:r>
      <w:r w:rsidR="00EB457F">
        <w:t>lement that was</w:t>
      </w:r>
      <w:r w:rsidR="00AB039D">
        <w:t>, and had always</w:t>
      </w:r>
      <w:r w:rsidR="00EB457F">
        <w:t xml:space="preserve"> </w:t>
      </w:r>
      <w:r w:rsidR="00AB039D">
        <w:t>been</w:t>
      </w:r>
      <w:r w:rsidR="00EB457F">
        <w:t xml:space="preserve"> present</w:t>
      </w:r>
      <w:r w:rsidR="009877A1">
        <w:t>, has no effect on understanding</w:t>
      </w:r>
      <w:r w:rsidR="00EB457F">
        <w:t xml:space="preserve"> as it was already there</w:t>
      </w:r>
      <w:r w:rsidR="009877A1">
        <w:t>,</w:t>
      </w:r>
      <w:r w:rsidR="00EB457F">
        <w:t xml:space="preserve"> and essentially changes not</w:t>
      </w:r>
      <w:r w:rsidR="009877A1">
        <w:t>h</w:t>
      </w:r>
      <w:r w:rsidR="00EB457F">
        <w:t>ing.</w:t>
      </w:r>
    </w:p>
    <w:p w:rsidR="00EB457F" w:rsidRDefault="00EB457F" w:rsidP="009C76C9">
      <w:pPr>
        <w:spacing w:after="0"/>
      </w:pPr>
    </w:p>
    <w:p w:rsidR="00017118" w:rsidRDefault="004C2851" w:rsidP="009C76C9">
      <w:pPr>
        <w:spacing w:after="0"/>
      </w:pPr>
      <w:r>
        <w:t xml:space="preserve">Priban’s critique of Fish and his philosophical concepts, with regard to law, essentially begin with a comparison </w:t>
      </w:r>
      <w:r w:rsidR="0051649F">
        <w:t>of</w:t>
      </w:r>
      <w:r>
        <w:t xml:space="preserve"> Peter Goodrich’s critical perspective</w:t>
      </w:r>
      <w:r w:rsidR="0051649F">
        <w:t>, who according to Priban embraces the inconsistency of law for the “</w:t>
      </w:r>
      <w:r w:rsidR="0051649F" w:rsidRPr="0051649F">
        <w:rPr>
          <w:i/>
        </w:rPr>
        <w:t>richness of its images and differences in their various forms</w:t>
      </w:r>
      <w:r w:rsidR="0051649F">
        <w:t>”</w:t>
      </w:r>
      <w:r w:rsidR="0051649F">
        <w:rPr>
          <w:rStyle w:val="FootnoteReference"/>
        </w:rPr>
        <w:footnoteReference w:id="60"/>
      </w:r>
      <w:r w:rsidR="00E276B3">
        <w:t>.</w:t>
      </w:r>
    </w:p>
    <w:p w:rsidR="00017118" w:rsidRDefault="00017118" w:rsidP="009C76C9">
      <w:pPr>
        <w:spacing w:after="0"/>
      </w:pPr>
      <w:r>
        <w:t>His</w:t>
      </w:r>
      <w:r w:rsidR="00E276B3">
        <w:t>,</w:t>
      </w:r>
      <w:r>
        <w:t xml:space="preserve"> unexpressed</w:t>
      </w:r>
      <w:r w:rsidR="00E276B3">
        <w:t>,</w:t>
      </w:r>
      <w:r>
        <w:t xml:space="preserve"> suggestion therefore is that Fish does not see the law for its richness of images, or celebrate the differences in its various forms, I have already highlig</w:t>
      </w:r>
      <w:r w:rsidR="00E276B3">
        <w:t>hted Fish’s views on this point</w:t>
      </w:r>
      <w:r w:rsidR="00E276B3" w:rsidRPr="005C5755">
        <w:rPr>
          <w:i/>
        </w:rPr>
        <w:t>—</w:t>
      </w:r>
      <w:r w:rsidR="0055697E">
        <w:t xml:space="preserve"> </w:t>
      </w:r>
      <w:r>
        <w:t xml:space="preserve"> that the law is a pragmatic system</w:t>
      </w:r>
      <w:r w:rsidR="00E276B3">
        <w:t>.</w:t>
      </w:r>
      <w:r w:rsidR="0055697E">
        <w:t xml:space="preserve"> And what Fish essentially means by that is, the system is based on the processes that enable it to work</w:t>
      </w:r>
      <w:r w:rsidR="006207BD">
        <w:t xml:space="preserve">, and that he believes the law should function on the linguistic context of the legal discourse, </w:t>
      </w:r>
      <w:r w:rsidR="00E276B3">
        <w:t xml:space="preserve">and </w:t>
      </w:r>
      <w:r w:rsidR="006207BD">
        <w:t xml:space="preserve">encompass the </w:t>
      </w:r>
      <w:r w:rsidR="00E276B3">
        <w:t>additional</w:t>
      </w:r>
      <w:r w:rsidR="006207BD">
        <w:t xml:space="preserve"> </w:t>
      </w:r>
      <w:r w:rsidR="00E276B3">
        <w:t>dimension of pragmatism</w:t>
      </w:r>
      <w:r w:rsidR="006207BD">
        <w:t xml:space="preserve"> to further his concept of the law. </w:t>
      </w:r>
    </w:p>
    <w:p w:rsidR="00CE6C46" w:rsidRPr="00773BCB" w:rsidRDefault="00CE6C46" w:rsidP="009C76C9">
      <w:pPr>
        <w:spacing w:after="0"/>
      </w:pPr>
      <w:r>
        <w:lastRenderedPageBreak/>
        <w:t>And</w:t>
      </w:r>
      <w:r w:rsidR="005A0C66">
        <w:t>,</w:t>
      </w:r>
      <w:r>
        <w:t xml:space="preserve"> there</w:t>
      </w:r>
      <w:r w:rsidR="005A0C66">
        <w:t xml:space="preserve">in </w:t>
      </w:r>
      <w:r>
        <w:t xml:space="preserve">lies the difference </w:t>
      </w:r>
      <w:r w:rsidR="005A0C66">
        <w:t>between</w:t>
      </w:r>
      <w:r>
        <w:t xml:space="preserve"> the two</w:t>
      </w:r>
      <w:r w:rsidR="005A0C66">
        <w:t xml:space="preserve"> contrasting interpretations to the concept of law by Fish and Goodrich.  As Goodrich believes, the law is not</w:t>
      </w:r>
      <w:r>
        <w:t xml:space="preserve"> and should not be autonomous</w:t>
      </w:r>
      <w:r w:rsidR="00E552D4">
        <w:t xml:space="preserve">, and it is in fact </w:t>
      </w:r>
      <w:r w:rsidR="00A54F8F">
        <w:t>so deeply intertwined within</w:t>
      </w:r>
      <w:r w:rsidR="00095B9A">
        <w:t xml:space="preserve"> the combination of “</w:t>
      </w:r>
      <w:r w:rsidR="00CB6B84">
        <w:rPr>
          <w:i/>
        </w:rPr>
        <w:t>historical development and…</w:t>
      </w:r>
      <w:r w:rsidR="00095B9A">
        <w:rPr>
          <w:i/>
        </w:rPr>
        <w:t xml:space="preserve"> political practice”</w:t>
      </w:r>
      <w:r w:rsidR="00095B9A">
        <w:rPr>
          <w:rStyle w:val="FootnoteReference"/>
          <w:i/>
        </w:rPr>
        <w:footnoteReference w:id="61"/>
      </w:r>
      <w:r w:rsidR="00A54F8F">
        <w:t>that it cannot be separated and</w:t>
      </w:r>
      <w:r w:rsidR="005A0C66">
        <w:t xml:space="preserve"> made</w:t>
      </w:r>
      <w:r w:rsidR="00A54F8F">
        <w:t xml:space="preserve"> autonomous</w:t>
      </w:r>
      <w:r w:rsidR="005A0C66">
        <w:t xml:space="preserve"> anyway</w:t>
      </w:r>
      <w:r w:rsidR="00A54F8F">
        <w:t xml:space="preserve">, </w:t>
      </w:r>
      <w:r w:rsidR="00880498">
        <w:t xml:space="preserve">as </w:t>
      </w:r>
      <w:r w:rsidR="00A54F8F">
        <w:t xml:space="preserve">evidenced by the law’s </w:t>
      </w:r>
      <w:r w:rsidR="00880498">
        <w:t>alleged</w:t>
      </w:r>
      <w:r w:rsidR="00A54F8F">
        <w:t xml:space="preserve"> bias towards the wealthy and powerful.</w:t>
      </w:r>
    </w:p>
    <w:p w:rsidR="00E552D4" w:rsidRPr="00687D90" w:rsidRDefault="00687D90" w:rsidP="009C76C9">
      <w:pPr>
        <w:spacing w:after="0"/>
      </w:pPr>
      <w:r>
        <w:t>Goodrich</w:t>
      </w:r>
      <w:r w:rsidR="00880498">
        <w:t>,</w:t>
      </w:r>
      <w:r>
        <w:t xml:space="preserve"> goes on to assert that desiring the law to have a</w:t>
      </w:r>
      <w:r w:rsidR="00E90164">
        <w:t xml:space="preserve"> fully</w:t>
      </w:r>
      <w:r>
        <w:t xml:space="preserve"> autonomous existence, is akin to legal science and formalism, the very traditions critical legal studies and its predecessors sought to identify themselves against</w:t>
      </w:r>
      <w:r w:rsidRPr="00687D90">
        <w:t xml:space="preserve">.   </w:t>
      </w:r>
    </w:p>
    <w:p w:rsidR="00E552D4" w:rsidRPr="00687D90" w:rsidRDefault="00687D90" w:rsidP="009C76C9">
      <w:pPr>
        <w:spacing w:after="0"/>
      </w:pPr>
      <w:r w:rsidRPr="00687D90">
        <w:t>Consequently</w:t>
      </w:r>
      <w:r w:rsidR="00880498">
        <w:t>,</w:t>
      </w:r>
      <w:r w:rsidR="009C1EA6">
        <w:t xml:space="preserve"> </w:t>
      </w:r>
      <w:r w:rsidR="007C2337">
        <w:t>the difference between Fish and Goodrich on that particular issue alone</w:t>
      </w:r>
      <w:r w:rsidR="00880498">
        <w:t>,</w:t>
      </w:r>
      <w:r w:rsidR="007C2337">
        <w:t xml:space="preserve"> illustrates how Fish’s anti-foundationalist concept of law is </w:t>
      </w:r>
      <w:r w:rsidR="00880498">
        <w:t xml:space="preserve">so </w:t>
      </w:r>
      <w:r w:rsidR="00561FC3">
        <w:t>radically different to that of the critical legal studies movement, yet</w:t>
      </w:r>
      <w:r w:rsidR="009C1EA6">
        <w:t xml:space="preserve"> </w:t>
      </w:r>
      <w:r w:rsidR="00561FC3">
        <w:t xml:space="preserve">it </w:t>
      </w:r>
      <w:r w:rsidR="00880498">
        <w:t>shares</w:t>
      </w:r>
      <w:r w:rsidR="007C2337">
        <w:t xml:space="preserve"> some</w:t>
      </w:r>
      <w:r w:rsidR="00880498">
        <w:t xml:space="preserve"> undeniable</w:t>
      </w:r>
      <w:r w:rsidR="007C2337">
        <w:t xml:space="preserve"> similar</w:t>
      </w:r>
      <w:r w:rsidR="00880498">
        <w:t>ities, such as a rejection of formalism and the notion of power and control.</w:t>
      </w:r>
    </w:p>
    <w:p w:rsidR="00046C41" w:rsidRDefault="00561FC3" w:rsidP="009C76C9">
      <w:pPr>
        <w:spacing w:after="0"/>
      </w:pPr>
      <w:r>
        <w:t>One of t</w:t>
      </w:r>
      <w:r w:rsidR="007C2337" w:rsidRPr="007C2337">
        <w:t>he</w:t>
      </w:r>
      <w:r w:rsidR="00880498">
        <w:t xml:space="preserve"> further</w:t>
      </w:r>
      <w:r w:rsidR="007C2337" w:rsidRPr="007C2337">
        <w:t xml:space="preserve"> similarities between Goodrich and Fish</w:t>
      </w:r>
      <w:r>
        <w:t>,</w:t>
      </w:r>
      <w:r w:rsidR="007C2337" w:rsidRPr="007C2337">
        <w:t xml:space="preserve"> stem from an agreement on </w:t>
      </w:r>
      <w:r w:rsidR="00046C41">
        <w:t>the concept of rhetoric in legal language,  and</w:t>
      </w:r>
      <w:r w:rsidR="00E90164">
        <w:t xml:space="preserve"> the</w:t>
      </w:r>
      <w:r w:rsidR="00046C41">
        <w:t xml:space="preserve"> understanding</w:t>
      </w:r>
      <w:r w:rsidR="00A86182">
        <w:t xml:space="preserve"> that the</w:t>
      </w:r>
      <w:r w:rsidR="00046C41">
        <w:t xml:space="preserve"> “</w:t>
      </w:r>
      <w:r w:rsidR="00046C41">
        <w:rPr>
          <w:i/>
        </w:rPr>
        <w:t>context of any communicational practice”</w:t>
      </w:r>
      <w:r w:rsidR="00046C41">
        <w:rPr>
          <w:rStyle w:val="FootnoteReference"/>
          <w:i/>
        </w:rPr>
        <w:footnoteReference w:id="62"/>
      </w:r>
      <w:r w:rsidR="00A86182">
        <w:t xml:space="preserve">is </w:t>
      </w:r>
      <w:r w:rsidR="00BE1052">
        <w:t xml:space="preserve">vital for understanding the nature of discourse in areas such as law. </w:t>
      </w:r>
      <w:r w:rsidR="003D69C3">
        <w:t>Yet as Priban illustrates, it is Goodrich’s notions of the “</w:t>
      </w:r>
      <w:r w:rsidR="003D69C3" w:rsidRPr="003D69C3">
        <w:rPr>
          <w:i/>
        </w:rPr>
        <w:t>fictions of law</w:t>
      </w:r>
      <w:r w:rsidR="003D69C3">
        <w:t>”</w:t>
      </w:r>
      <w:r w:rsidR="003D69C3">
        <w:rPr>
          <w:rStyle w:val="FootnoteReference"/>
        </w:rPr>
        <w:footnoteReference w:id="63"/>
      </w:r>
      <w:r w:rsidR="003D69C3">
        <w:t xml:space="preserve"> (which are accused of veiling the law’s real nature) and “</w:t>
      </w:r>
      <w:r w:rsidR="003D69C3" w:rsidRPr="003D69C3">
        <w:rPr>
          <w:i/>
        </w:rPr>
        <w:t>their main function [which] is to develop social and political strategies</w:t>
      </w:r>
      <w:r w:rsidR="003D69C3">
        <w:t>”</w:t>
      </w:r>
      <w:r w:rsidR="003D69C3">
        <w:rPr>
          <w:rStyle w:val="FootnoteReference"/>
        </w:rPr>
        <w:footnoteReference w:id="64"/>
      </w:r>
      <w:r w:rsidR="003D69C3">
        <w:t>, where Goodrich and Fish’s concepts of law</w:t>
      </w:r>
      <w:r w:rsidR="00880498">
        <w:t>, partially</w:t>
      </w:r>
      <w:r w:rsidR="003D69C3">
        <w:t xml:space="preserve"> depart from each other.  </w:t>
      </w:r>
    </w:p>
    <w:p w:rsidR="00E90164" w:rsidRDefault="00E90164" w:rsidP="009C76C9">
      <w:pPr>
        <w:spacing w:after="0"/>
      </w:pPr>
    </w:p>
    <w:p w:rsidR="00561FC3" w:rsidRDefault="00561FC3" w:rsidP="009C76C9">
      <w:pPr>
        <w:spacing w:after="0"/>
      </w:pPr>
      <w:r>
        <w:t>The veiling effect that Goodrich refers to</w:t>
      </w:r>
      <w:r w:rsidR="00880498">
        <w:t>, is</w:t>
      </w:r>
      <w:r>
        <w:t xml:space="preserve"> according to his theory</w:t>
      </w:r>
      <w:r w:rsidR="005F2027">
        <w:t>,</w:t>
      </w:r>
      <w:r>
        <w:t xml:space="preserve"> where the political and sociological aspects of law, shroud the </w:t>
      </w:r>
      <w:r w:rsidR="000B586B">
        <w:t>“</w:t>
      </w:r>
      <w:r w:rsidRPr="000B586B">
        <w:rPr>
          <w:i/>
        </w:rPr>
        <w:t>unstable and contingent nature</w:t>
      </w:r>
      <w:r w:rsidR="000B586B">
        <w:t>”</w:t>
      </w:r>
      <w:r w:rsidR="000B586B">
        <w:rPr>
          <w:rStyle w:val="FootnoteReference"/>
        </w:rPr>
        <w:footnoteReference w:id="65"/>
      </w:r>
      <w:r>
        <w:t xml:space="preserve"> of the world, and portray a false, artificial veneer of stability.</w:t>
      </w:r>
      <w:r w:rsidR="00880498">
        <w:t xml:space="preserve"> Goodrich’s argument is</w:t>
      </w:r>
      <w:r w:rsidR="00EF4CEF">
        <w:t xml:space="preserve"> therefore</w:t>
      </w:r>
      <w:r w:rsidR="00880498">
        <w:t>,</w:t>
      </w:r>
      <w:r w:rsidR="00EF4CEF">
        <w:t xml:space="preserve"> </w:t>
      </w:r>
      <w:r w:rsidR="00880498">
        <w:t>that the law</w:t>
      </w:r>
      <w:r w:rsidR="00EF4CEF">
        <w:t xml:space="preserve"> cannot be autonomous</w:t>
      </w:r>
      <w:r w:rsidR="00880498">
        <w:t>,</w:t>
      </w:r>
      <w:r w:rsidR="00EF4CEF">
        <w:t xml:space="preserve"> because</w:t>
      </w:r>
      <w:r w:rsidR="00880498">
        <w:t xml:space="preserve"> it is influenced and connected</w:t>
      </w:r>
      <w:r w:rsidR="00EF4CEF">
        <w:t xml:space="preserve"> on a foundational level to politics and social influences. Priban</w:t>
      </w:r>
      <w:r w:rsidR="000E6F48">
        <w:t xml:space="preserve"> develops this point further, in suggesting that “</w:t>
      </w:r>
      <w:r w:rsidR="000E6F48" w:rsidRPr="00625848">
        <w:rPr>
          <w:i/>
        </w:rPr>
        <w:t>the task of critical jurisprudence is to unveil and criticise these fictions of law and their poiesis</w:t>
      </w:r>
      <w:r w:rsidR="00625848">
        <w:t>”</w:t>
      </w:r>
      <w:r w:rsidR="00625848">
        <w:rPr>
          <w:rStyle w:val="FootnoteReference"/>
        </w:rPr>
        <w:footnoteReference w:id="66"/>
      </w:r>
      <w:r w:rsidR="000E6F48">
        <w:t xml:space="preserve">.  </w:t>
      </w:r>
    </w:p>
    <w:p w:rsidR="00611E9B" w:rsidRDefault="00051955" w:rsidP="009C76C9">
      <w:pPr>
        <w:spacing w:after="0"/>
      </w:pPr>
      <w:r>
        <w:t>However</w:t>
      </w:r>
      <w:r w:rsidR="00880498">
        <w:t>,</w:t>
      </w:r>
      <w:r>
        <w:t xml:space="preserve"> a number of key criticisms that are important to mention on this point are, that while identifying political discourse in the law is potentially beneficial to ensuring it’s nature and the power it can wield is not being abused or misappropriated, </w:t>
      </w:r>
      <w:r w:rsidRPr="00051955">
        <w:t xml:space="preserve">interpreting </w:t>
      </w:r>
      <w:r>
        <w:t>the law through politics and society can pose an equal danger to the</w:t>
      </w:r>
      <w:r w:rsidR="00880498">
        <w:t xml:space="preserve"> law’s</w:t>
      </w:r>
      <w:r>
        <w:t xml:space="preserve"> neutrality and purity. Priban identifies that Goodrich’s perspective is potentially more radical in comparison to other CLS academics and theorists “</w:t>
      </w:r>
      <w:r>
        <w:rPr>
          <w:i/>
        </w:rPr>
        <w:t xml:space="preserve">it seems that the law is for Goodrich… </w:t>
      </w:r>
      <w:r w:rsidR="00880498">
        <w:rPr>
          <w:i/>
        </w:rPr>
        <w:t xml:space="preserve">is </w:t>
      </w:r>
      <w:r>
        <w:rPr>
          <w:i/>
        </w:rPr>
        <w:t>always law with a capital “L”</w:t>
      </w:r>
      <w:r>
        <w:t>”</w:t>
      </w:r>
      <w:r>
        <w:rPr>
          <w:rStyle w:val="FootnoteReference"/>
        </w:rPr>
        <w:footnoteReference w:id="67"/>
      </w:r>
      <w:r w:rsidR="00501CB9">
        <w:t>and</w:t>
      </w:r>
      <w:r>
        <w:t xml:space="preserve"> correctly identifies Fish’s anti-foundationalist theory hope in Costas Douzinas and Ronnie Warrington</w:t>
      </w:r>
      <w:r w:rsidR="00501CB9">
        <w:t xml:space="preserve">’s similar perspectives to the critical legal studies concept of law, on </w:t>
      </w:r>
      <w:r w:rsidR="00880498">
        <w:t>similar charges</w:t>
      </w:r>
      <w:r w:rsidR="00501CB9">
        <w:t xml:space="preserve"> as illustrat</w:t>
      </w:r>
      <w:r w:rsidR="00252884">
        <w:t>ed by F</w:t>
      </w:r>
      <w:r w:rsidR="00501CB9">
        <w:t>ish’s critique of Steven Burton</w:t>
      </w:r>
      <w:r w:rsidR="00880498">
        <w:t xml:space="preserve"> (as mentioned previously)</w:t>
      </w:r>
      <w:r w:rsidR="00501CB9">
        <w:t>.</w:t>
      </w:r>
    </w:p>
    <w:p w:rsidR="00E90164" w:rsidRDefault="00E90164" w:rsidP="009C76C9">
      <w:pPr>
        <w:spacing w:after="0"/>
      </w:pPr>
    </w:p>
    <w:p w:rsidR="00611E9B" w:rsidRDefault="00252884" w:rsidP="009C76C9">
      <w:pPr>
        <w:spacing w:after="0"/>
      </w:pPr>
      <w:r>
        <w:t>Douzinas, Warrington and Goodrich, by believing that the deconstruction of the law’s relationship with politics and society will</w:t>
      </w:r>
      <w:r w:rsidR="00611E9B">
        <w:t xml:space="preserve"> consequently</w:t>
      </w:r>
      <w:r>
        <w:t xml:space="preserve"> unveil new theories regarding the law’s false autonomy and interpretation</w:t>
      </w:r>
      <w:r w:rsidR="000264C2">
        <w:t>,</w:t>
      </w:r>
      <w:r>
        <w:t xml:space="preserve"> and </w:t>
      </w:r>
      <w:r w:rsidR="00611E9B">
        <w:t>therefore</w:t>
      </w:r>
      <w:r>
        <w:t xml:space="preserve"> reveal</w:t>
      </w:r>
      <w:r w:rsidR="00323FA0">
        <w:t xml:space="preserve"> some</w:t>
      </w:r>
      <w:r>
        <w:t xml:space="preserve"> “truth” or an insight </w:t>
      </w:r>
      <w:r w:rsidR="00323FA0">
        <w:t>in</w:t>
      </w:r>
      <w:r>
        <w:t xml:space="preserve">to the hidden workings of the </w:t>
      </w:r>
      <w:r>
        <w:lastRenderedPageBreak/>
        <w:t xml:space="preserve">law, </w:t>
      </w:r>
      <w:r w:rsidR="000264C2">
        <w:t>causes them to epitomize</w:t>
      </w:r>
      <w:r>
        <w:t xml:space="preserve"> Fish’s notion of a</w:t>
      </w:r>
      <w:r w:rsidR="0064471C">
        <w:t>nti-foundationalist theory hope</w:t>
      </w:r>
      <w:r w:rsidR="0045469C" w:rsidRPr="005C5755">
        <w:rPr>
          <w:i/>
        </w:rPr>
        <w:t>—</w:t>
      </w:r>
      <w:r w:rsidR="0045469C">
        <w:t xml:space="preserve"> </w:t>
      </w:r>
      <w:r w:rsidR="00611E9B">
        <w:t>“</w:t>
      </w:r>
      <w:r w:rsidR="0064471C">
        <w:rPr>
          <w:i/>
        </w:rPr>
        <w:t>his [Goodrich’s] mistake is to think that it could be so free, and he thinks that</w:t>
      </w:r>
      <w:r w:rsidR="0045469C">
        <w:rPr>
          <w:i/>
        </w:rPr>
        <w:t>,</w:t>
      </w:r>
      <w:r w:rsidR="0064471C">
        <w:rPr>
          <w:i/>
        </w:rPr>
        <w:t xml:space="preserve"> because he believes in a general discourse that takes into account everything and excludes nothing</w:t>
      </w:r>
      <w:r w:rsidR="0064471C">
        <w:t>”</w:t>
      </w:r>
      <w:r w:rsidR="0064471C">
        <w:rPr>
          <w:rStyle w:val="FootnoteReference"/>
        </w:rPr>
        <w:footnoteReference w:id="68"/>
      </w:r>
      <w:r w:rsidR="0064471C">
        <w:t xml:space="preserve"> . </w:t>
      </w:r>
      <w:r w:rsidR="000264C2">
        <w:t>What</w:t>
      </w:r>
      <w:r w:rsidR="009D1497">
        <w:t xml:space="preserve"> it is that</w:t>
      </w:r>
      <w:r w:rsidR="000264C2">
        <w:t xml:space="preserve"> Fish refers to when he suggest</w:t>
      </w:r>
      <w:r w:rsidR="009D1497">
        <w:t>s</w:t>
      </w:r>
      <w:r w:rsidR="000264C2">
        <w:t xml:space="preserve"> “</w:t>
      </w:r>
      <w:r w:rsidR="000264C2" w:rsidRPr="009D1497">
        <w:rPr>
          <w:i/>
        </w:rPr>
        <w:t>to think that it could be so free</w:t>
      </w:r>
      <w:r w:rsidR="000264C2">
        <w:t>”,</w:t>
      </w:r>
      <w:r w:rsidR="0064471C">
        <w:t xml:space="preserve"> is</w:t>
      </w:r>
      <w:r w:rsidR="009C1EA6">
        <w:t xml:space="preserve"> </w:t>
      </w:r>
      <w:r w:rsidR="009D1497">
        <w:t xml:space="preserve">Goodrich’s </w:t>
      </w:r>
      <w:r w:rsidR="00800069">
        <w:t xml:space="preserve">belief that in conducting a deconstructive analysis of the law, and thereby </w:t>
      </w:r>
      <w:r w:rsidR="002A56F9">
        <w:t>examining and</w:t>
      </w:r>
      <w:r w:rsidR="00800069">
        <w:t xml:space="preserve"> </w:t>
      </w:r>
      <w:r w:rsidR="009C1EA6">
        <w:t>cataloguing</w:t>
      </w:r>
      <w:r w:rsidR="00800069">
        <w:t xml:space="preserve"> all that the law has “forgotten”</w:t>
      </w:r>
      <w:r w:rsidR="002A56F9">
        <w:t xml:space="preserve">, </w:t>
      </w:r>
      <w:r w:rsidR="00800069">
        <w:t xml:space="preserve"> a better concept</w:t>
      </w:r>
      <w:r w:rsidR="002A56F9">
        <w:t xml:space="preserve"> of law can be improved by (potentially historic)</w:t>
      </w:r>
      <w:r w:rsidR="00800069">
        <w:t xml:space="preserve"> elements of the </w:t>
      </w:r>
      <w:r w:rsidR="009C1EA6">
        <w:t>catalogue</w:t>
      </w:r>
      <w:r w:rsidR="00800069">
        <w:t xml:space="preserve"> </w:t>
      </w:r>
      <w:r w:rsidR="002A56F9">
        <w:t>, and essentially “</w:t>
      </w:r>
      <w:r w:rsidR="002A56F9">
        <w:rPr>
          <w:i/>
        </w:rPr>
        <w:t xml:space="preserve">bring into the foreground everything it </w:t>
      </w:r>
      <w:r w:rsidR="009C1EA6">
        <w:rPr>
          <w:i/>
        </w:rPr>
        <w:t>laboured</w:t>
      </w:r>
      <w:r w:rsidR="002A56F9">
        <w:rPr>
          <w:i/>
        </w:rPr>
        <w:t xml:space="preserve"> to occlude</w:t>
      </w:r>
      <w:r w:rsidR="002A56F9">
        <w:t>”</w:t>
      </w:r>
      <w:r w:rsidR="002A56F9">
        <w:rPr>
          <w:rStyle w:val="FootnoteReference"/>
        </w:rPr>
        <w:footnoteReference w:id="69"/>
      </w:r>
      <w:r w:rsidR="002A56F9">
        <w:t>.</w:t>
      </w:r>
    </w:p>
    <w:p w:rsidR="002A56F9" w:rsidRDefault="002A56F9" w:rsidP="009C76C9">
      <w:pPr>
        <w:spacing w:after="0"/>
      </w:pPr>
    </w:p>
    <w:p w:rsidR="00256621" w:rsidRPr="00256621" w:rsidRDefault="00CF0959" w:rsidP="009C76C9">
      <w:pPr>
        <w:spacing w:after="0"/>
      </w:pPr>
      <w:r>
        <w:t xml:space="preserve">As previously illustrated, </w:t>
      </w:r>
      <w:r w:rsidR="00323FA0">
        <w:t>Fish agrees on</w:t>
      </w:r>
      <w:r>
        <w:t xml:space="preserve"> the use of historical accounts and </w:t>
      </w:r>
      <w:r w:rsidR="009C1EA6">
        <w:t>narrative in</w:t>
      </w:r>
      <w:r w:rsidR="00A000BD">
        <w:t xml:space="preserve"> order</w:t>
      </w:r>
      <w:r>
        <w:t xml:space="preserve"> to better understand</w:t>
      </w:r>
      <w:r w:rsidR="00A000BD">
        <w:t xml:space="preserve"> present philosophical</w:t>
      </w:r>
      <w:r>
        <w:t xml:space="preserve"> concepts</w:t>
      </w:r>
      <w:r w:rsidR="00A000BD">
        <w:t xml:space="preserve"> and arguments. However Fish criticises Goodrich’s account for failing to recognize the futility</w:t>
      </w:r>
      <w:r w:rsidR="00256621">
        <w:t xml:space="preserve"> and irony of his propositions, which are inherent in his failure to essentially forget and disregard the theoretical effect of empiricist restriction of the law. “</w:t>
      </w:r>
      <w:r w:rsidR="00256621">
        <w:rPr>
          <w:i/>
        </w:rPr>
        <w:t>Goodrich must himself forget</w:t>
      </w:r>
      <w:r w:rsidR="009C1EA6">
        <w:rPr>
          <w:i/>
        </w:rPr>
        <w:t xml:space="preserve"> </w:t>
      </w:r>
      <w:r w:rsidR="00256621">
        <w:rPr>
          <w:i/>
        </w:rPr>
        <w:t>the empirical conditions that give rise to law and constrain it’s operation</w:t>
      </w:r>
      <w:r w:rsidR="00AF0135">
        <w:rPr>
          <w:i/>
        </w:rPr>
        <w:t>…including the need for procedures to adjudicate disputes, and the pressure for prompt remedies and decisions</w:t>
      </w:r>
      <w:r w:rsidR="00256621">
        <w:rPr>
          <w:i/>
        </w:rPr>
        <w:t>”</w:t>
      </w:r>
      <w:r w:rsidR="00256621">
        <w:rPr>
          <w:rStyle w:val="FootnoteReference"/>
          <w:i/>
        </w:rPr>
        <w:footnoteReference w:id="70"/>
      </w:r>
      <w:r w:rsidR="00256621">
        <w:rPr>
          <w:i/>
        </w:rPr>
        <w:t xml:space="preserve">. </w:t>
      </w:r>
      <w:r w:rsidR="00256621">
        <w:t>Whereas</w:t>
      </w:r>
      <w:r w:rsidR="0045469C">
        <w:t>,</w:t>
      </w:r>
      <w:r w:rsidR="00256621">
        <w:t xml:space="preserve"> Goodrich </w:t>
      </w:r>
      <w:r w:rsidR="00AF0135">
        <w:t>and other critical legal theorists would be slow to disregard and remove empiricist measures from concepts, Fish like other post-structuralist will positively rally against its presence</w:t>
      </w:r>
      <w:r w:rsidR="0045469C">
        <w:t>, typically because anti-foundationalism as a body of knowledge, draws a greater influence from the continental post-structuralists, than critical legal thought.</w:t>
      </w:r>
      <w:r w:rsidR="00AF0135">
        <w:t xml:space="preserve"> </w:t>
      </w:r>
    </w:p>
    <w:p w:rsidR="00AF0135" w:rsidRDefault="00AF0135" w:rsidP="009C76C9">
      <w:pPr>
        <w:spacing w:after="0"/>
      </w:pPr>
    </w:p>
    <w:p w:rsidR="00E90164" w:rsidRDefault="00AF0135" w:rsidP="009C76C9">
      <w:pPr>
        <w:spacing w:after="0"/>
      </w:pPr>
      <w:r>
        <w:t>Greater divergences</w:t>
      </w:r>
      <w:r w:rsidR="00323FA0">
        <w:t xml:space="preserve"> from Goodrich and others perspective</w:t>
      </w:r>
      <w:r w:rsidR="00313E1B">
        <w:t>s</w:t>
      </w:r>
      <w:r w:rsidR="00323FA0">
        <w:t xml:space="preserve"> of </w:t>
      </w:r>
      <w:r>
        <w:t>legal</w:t>
      </w:r>
      <w:r w:rsidR="009C1EA6">
        <w:t xml:space="preserve"> </w:t>
      </w:r>
      <w:r>
        <w:t>theory</w:t>
      </w:r>
      <w:r w:rsidR="00313E1B">
        <w:t>,</w:t>
      </w:r>
      <w:r>
        <w:t xml:space="preserve"> can potentially be </w:t>
      </w:r>
      <w:r w:rsidR="00313E1B">
        <w:t>identified further</w:t>
      </w:r>
      <w:r>
        <w:t xml:space="preserve"> in Fish’s concept of law</w:t>
      </w:r>
      <w:r w:rsidR="00313E1B">
        <w:t>. D</w:t>
      </w:r>
      <w:r>
        <w:t xml:space="preserve">ifferences on the </w:t>
      </w:r>
      <w:r w:rsidR="00313E1B">
        <w:t>position of empiricism</w:t>
      </w:r>
      <w:r w:rsidR="009C1EA6">
        <w:t xml:space="preserve"> </w:t>
      </w:r>
      <w:r>
        <w:t xml:space="preserve">in theory is one, as is the role of the law and the context in which it should be interpreted is </w:t>
      </w:r>
      <w:r w:rsidR="00313E1B">
        <w:t>a second. These essentially illustrate, that</w:t>
      </w:r>
      <w:r>
        <w:t xml:space="preserve"> Fish tak</w:t>
      </w:r>
      <w:r w:rsidR="00313E1B">
        <w:t>es</w:t>
      </w:r>
      <w:r>
        <w:t xml:space="preserve"> a</w:t>
      </w:r>
      <w:r w:rsidR="00313E1B">
        <w:t>,</w:t>
      </w:r>
      <w:r>
        <w:t xml:space="preserve"> potentially</w:t>
      </w:r>
      <w:r w:rsidR="00313E1B">
        <w:t>,</w:t>
      </w:r>
      <w:r>
        <w:t xml:space="preserve"> neopragmatic stance in </w:t>
      </w:r>
      <w:r w:rsidR="00313E1B">
        <w:t>his</w:t>
      </w:r>
      <w:r>
        <w:t xml:space="preserve"> </w:t>
      </w:r>
      <w:r w:rsidR="00313E1B">
        <w:t>anti-foundationalist</w:t>
      </w:r>
      <w:r>
        <w:t xml:space="preserve"> the </w:t>
      </w:r>
      <w:r w:rsidR="00072A13">
        <w:t>concept</w:t>
      </w:r>
      <w:r>
        <w:t xml:space="preserve"> </w:t>
      </w:r>
      <w:r w:rsidR="00313E1B">
        <w:t>of</w:t>
      </w:r>
      <w:r>
        <w:t xml:space="preserve"> law</w:t>
      </w:r>
      <w:r w:rsidR="00072A13">
        <w:t>.</w:t>
      </w:r>
    </w:p>
    <w:p w:rsidR="00AF0135" w:rsidRDefault="00072A13" w:rsidP="009C76C9">
      <w:pPr>
        <w:spacing w:after="0"/>
      </w:pPr>
      <w:r w:rsidRPr="00072A13">
        <w:rPr>
          <w:bCs/>
        </w:rPr>
        <w:t>Neopragmatism</w:t>
      </w:r>
      <w:r w:rsidR="00313E1B">
        <w:rPr>
          <w:bCs/>
        </w:rPr>
        <w:t>,</w:t>
      </w:r>
      <w:r w:rsidR="009C1EA6">
        <w:rPr>
          <w:bCs/>
        </w:rPr>
        <w:t xml:space="preserve"> </w:t>
      </w:r>
      <w:r>
        <w:t>is not a term Priban</w:t>
      </w:r>
      <w:r w:rsidR="00313E1B">
        <w:t xml:space="preserve"> directly</w:t>
      </w:r>
      <w:r>
        <w:t xml:space="preserve"> refers to, however he does identify with Fish’s </w:t>
      </w:r>
      <w:r w:rsidR="00313E1B">
        <w:t>“</w:t>
      </w:r>
      <w:r>
        <w:t>brand</w:t>
      </w:r>
      <w:r w:rsidR="00313E1B">
        <w:t>”</w:t>
      </w:r>
      <w:r>
        <w:t xml:space="preserve"> of pragmatist reflections in his writing, even if it is to liken Fish to Niklas Luhmann’s social systems theory</w:t>
      </w:r>
      <w:r>
        <w:rPr>
          <w:rStyle w:val="FootnoteReference"/>
        </w:rPr>
        <w:footnoteReference w:id="71"/>
      </w:r>
      <w:r>
        <w:t>.</w:t>
      </w:r>
    </w:p>
    <w:p w:rsidR="0010129A" w:rsidRDefault="00072A13" w:rsidP="009C76C9">
      <w:pPr>
        <w:spacing w:after="0"/>
      </w:pPr>
      <w:r>
        <w:t>Identifying Fish</w:t>
      </w:r>
      <w:r w:rsidR="00313E1B">
        <w:t>,</w:t>
      </w:r>
      <w:r>
        <w:t xml:space="preserve"> </w:t>
      </w:r>
      <w:r w:rsidR="0010129A">
        <w:t>and the elements that contribute to his theories</w:t>
      </w:r>
      <w:r w:rsidR="00313E1B">
        <w:t>,</w:t>
      </w:r>
      <w:r w:rsidR="0010129A">
        <w:t xml:space="preserve"> can be supported by </w:t>
      </w:r>
      <w:r>
        <w:t>exploring his arguments on a number of issues</w:t>
      </w:r>
      <w:r w:rsidR="0010129A">
        <w:t xml:space="preserve"> within his</w:t>
      </w:r>
      <w:r w:rsidR="00313E1B">
        <w:t xml:space="preserve"> relatively</w:t>
      </w:r>
      <w:r w:rsidR="0010129A">
        <w:t xml:space="preserve"> elusive concept of law</w:t>
      </w:r>
      <w:r>
        <w:t>.</w:t>
      </w:r>
      <w:r w:rsidR="00313E1B">
        <w:t xml:space="preserve"> </w:t>
      </w:r>
    </w:p>
    <w:p w:rsidR="00323FA0" w:rsidRDefault="007F7066" w:rsidP="009C76C9">
      <w:pPr>
        <w:spacing w:after="0"/>
      </w:pPr>
      <w:r>
        <w:t>The area of</w:t>
      </w:r>
      <w:r w:rsidR="009C1EA6">
        <w:t xml:space="preserve"> </w:t>
      </w:r>
      <w:r w:rsidR="00F510C3">
        <w:t>legal interpretation</w:t>
      </w:r>
      <w:r w:rsidR="00E43ED6">
        <w:t xml:space="preserve"> is an additional </w:t>
      </w:r>
      <w:r>
        <w:t>point</w:t>
      </w:r>
      <w:r w:rsidR="009C1EA6">
        <w:t xml:space="preserve"> </w:t>
      </w:r>
      <w:r>
        <w:t>at which</w:t>
      </w:r>
      <w:r w:rsidR="00E43ED6">
        <w:t xml:space="preserve"> his anti-foundationalist theory</w:t>
      </w:r>
      <w:r w:rsidR="009C1EA6">
        <w:t xml:space="preserve"> </w:t>
      </w:r>
      <w:r w:rsidR="00E43ED6">
        <w:t>is distinct from</w:t>
      </w:r>
      <w:r w:rsidR="009C1EA6">
        <w:t xml:space="preserve"> </w:t>
      </w:r>
      <w:r w:rsidR="00F510C3">
        <w:t>many other post-</w:t>
      </w:r>
      <w:r w:rsidR="00611E9B">
        <w:t>modernist</w:t>
      </w:r>
      <w:r w:rsidR="009C1EA6">
        <w:t xml:space="preserve"> </w:t>
      </w:r>
      <w:r w:rsidR="00611E9B">
        <w:t>concepts</w:t>
      </w:r>
      <w:r w:rsidR="00F510C3">
        <w:t xml:space="preserve"> of law, </w:t>
      </w:r>
      <w:r w:rsidR="00E43ED6">
        <w:t>including</w:t>
      </w:r>
      <w:r w:rsidR="009C1EA6">
        <w:t xml:space="preserve"> </w:t>
      </w:r>
      <w:r w:rsidR="00F510C3">
        <w:t xml:space="preserve">feminist and </w:t>
      </w:r>
      <w:r w:rsidR="00871B65">
        <w:t>literary</w:t>
      </w:r>
      <w:r w:rsidR="009C1EA6">
        <w:t xml:space="preserve"> </w:t>
      </w:r>
      <w:r w:rsidR="00E43ED6">
        <w:t xml:space="preserve">schools of thought.  </w:t>
      </w:r>
      <w:r w:rsidR="004722DE">
        <w:t>Taking into account F</w:t>
      </w:r>
      <w:r>
        <w:t xml:space="preserve">ish’s perspectives on </w:t>
      </w:r>
      <w:r w:rsidR="00313E1B">
        <w:t xml:space="preserve">the </w:t>
      </w:r>
      <w:r>
        <w:t>understanding</w:t>
      </w:r>
      <w:r w:rsidR="00313E1B">
        <w:t xml:space="preserve"> of meaning</w:t>
      </w:r>
      <w:r>
        <w:t xml:space="preserve"> and </w:t>
      </w:r>
      <w:r w:rsidR="00313E1B">
        <w:t xml:space="preserve">the </w:t>
      </w:r>
      <w:r>
        <w:t>context</w:t>
      </w:r>
      <w:r w:rsidR="00313E1B">
        <w:t xml:space="preserve"> of </w:t>
      </w:r>
      <w:r w:rsidR="004722DE">
        <w:t>te</w:t>
      </w:r>
      <w:r w:rsidR="001336B7">
        <w:t>xt and discourse;</w:t>
      </w:r>
      <w:r w:rsidR="00313E1B" w:rsidRPr="00313E1B">
        <w:rPr>
          <w:i/>
        </w:rPr>
        <w:t xml:space="preserve"> </w:t>
      </w:r>
      <w:r w:rsidR="00313E1B" w:rsidRPr="005C5755">
        <w:rPr>
          <w:i/>
        </w:rPr>
        <w:t>—</w:t>
      </w:r>
      <w:r w:rsidR="006B343B">
        <w:t xml:space="preserve"> “</w:t>
      </w:r>
      <w:r w:rsidR="006B343B" w:rsidRPr="001336B7">
        <w:rPr>
          <w:i/>
        </w:rPr>
        <w:t>m</w:t>
      </w:r>
      <w:r w:rsidR="001336B7" w:rsidRPr="001336B7">
        <w:rPr>
          <w:i/>
        </w:rPr>
        <w:t>e</w:t>
      </w:r>
      <w:r w:rsidR="006B343B" w:rsidRPr="001336B7">
        <w:rPr>
          <w:i/>
        </w:rPr>
        <w:t xml:space="preserve">aning cannot be formally </w:t>
      </w:r>
      <w:r w:rsidR="001336B7" w:rsidRPr="001336B7">
        <w:rPr>
          <w:i/>
        </w:rPr>
        <w:t>calculated</w:t>
      </w:r>
      <w:r w:rsidR="006B343B" w:rsidRPr="001336B7">
        <w:rPr>
          <w:i/>
        </w:rPr>
        <w:t xml:space="preserve">, derived from the shape of marks on </w:t>
      </w:r>
      <w:r w:rsidR="001336B7" w:rsidRPr="001336B7">
        <w:rPr>
          <w:i/>
        </w:rPr>
        <w:t xml:space="preserve">a page; or to put it </w:t>
      </w:r>
      <w:r w:rsidR="001336B7">
        <w:rPr>
          <w:i/>
        </w:rPr>
        <w:t>in</w:t>
      </w:r>
      <w:r w:rsidR="001336B7" w:rsidRPr="001336B7">
        <w:rPr>
          <w:i/>
        </w:rPr>
        <w:t xml:space="preserve"> the most direct way possible, there is no such thing as literal meaning</w:t>
      </w:r>
      <w:r w:rsidR="001336B7" w:rsidRPr="001336B7">
        <w:t>”</w:t>
      </w:r>
      <w:r w:rsidR="001336B7">
        <w:rPr>
          <w:rStyle w:val="FootnoteReference"/>
        </w:rPr>
        <w:footnoteReference w:id="72"/>
      </w:r>
      <w:r w:rsidR="004722DE">
        <w:t xml:space="preserve"> it is unsurprising </w:t>
      </w:r>
      <w:r w:rsidR="001336B7">
        <w:t xml:space="preserve">then </w:t>
      </w:r>
      <w:r w:rsidR="004722DE">
        <w:t>that his opinion of legal interpretation is phrased as such- “</w:t>
      </w:r>
      <w:r w:rsidR="004722DE" w:rsidRPr="004722DE">
        <w:rPr>
          <w:i/>
        </w:rPr>
        <w:t>determinate rules perform as barriers or wall</w:t>
      </w:r>
      <w:r w:rsidR="004722DE">
        <w:rPr>
          <w:i/>
        </w:rPr>
        <w:t>s,</w:t>
      </w:r>
      <w:r w:rsidR="004722DE" w:rsidRPr="004722DE">
        <w:rPr>
          <w:i/>
        </w:rPr>
        <w:t xml:space="preserve"> on which is written “beyond this point interpretation cannot go</w:t>
      </w:r>
      <w:r w:rsidR="004722DE">
        <w:t>””</w:t>
      </w:r>
      <w:r w:rsidR="001336B7">
        <w:rPr>
          <w:rStyle w:val="FootnoteReference"/>
        </w:rPr>
        <w:footnoteReference w:id="73"/>
      </w:r>
      <w:r w:rsidR="001336B7">
        <w:t>.</w:t>
      </w:r>
    </w:p>
    <w:p w:rsidR="00215105" w:rsidRDefault="001336B7" w:rsidP="009C76C9">
      <w:pPr>
        <w:spacing w:after="0"/>
      </w:pPr>
      <w:r>
        <w:t>Thus, according to Fish, if there is no literal meaning, and meaning is therefore entirely context driven, how is it possible to distinguish what is legal outside of the context?.  Fish</w:t>
      </w:r>
      <w:r w:rsidR="00313E1B">
        <w:t>’s answer would have to be, that</w:t>
      </w:r>
      <w:r>
        <w:t xml:space="preserve"> y</w:t>
      </w:r>
      <w:r w:rsidR="00CD248F">
        <w:t xml:space="preserve">ou can’t, context is everything:- </w:t>
      </w:r>
    </w:p>
    <w:p w:rsidR="00215105" w:rsidRDefault="00215105" w:rsidP="009C76C9">
      <w:pPr>
        <w:spacing w:after="0"/>
      </w:pPr>
    </w:p>
    <w:p w:rsidR="007F7066" w:rsidRDefault="001336B7" w:rsidP="009C76C9">
      <w:pPr>
        <w:spacing w:after="0"/>
      </w:pPr>
      <w:r>
        <w:t>“</w:t>
      </w:r>
      <w:r w:rsidRPr="00215105">
        <w:rPr>
          <w:i/>
        </w:rPr>
        <w:t xml:space="preserve">the very ability </w:t>
      </w:r>
      <w:r w:rsidR="00215105" w:rsidRPr="00215105">
        <w:rPr>
          <w:i/>
        </w:rPr>
        <w:t>to</w:t>
      </w:r>
      <w:r w:rsidRPr="00215105">
        <w:rPr>
          <w:i/>
        </w:rPr>
        <w:t xml:space="preserve"> formulate a decision in term that would be </w:t>
      </w:r>
      <w:r w:rsidR="00215105" w:rsidRPr="00215105">
        <w:rPr>
          <w:i/>
        </w:rPr>
        <w:t>recognizably</w:t>
      </w:r>
      <w:r w:rsidRPr="00215105">
        <w:rPr>
          <w:i/>
        </w:rPr>
        <w:t xml:space="preserve"> legal depends on one’s having </w:t>
      </w:r>
      <w:r w:rsidR="00215105" w:rsidRPr="00215105">
        <w:rPr>
          <w:i/>
        </w:rPr>
        <w:t>internalized</w:t>
      </w:r>
      <w:r w:rsidRPr="00215105">
        <w:rPr>
          <w:i/>
        </w:rPr>
        <w:t xml:space="preserve"> the norms, </w:t>
      </w:r>
      <w:r w:rsidR="00215105" w:rsidRPr="00215105">
        <w:rPr>
          <w:i/>
        </w:rPr>
        <w:t>categorical</w:t>
      </w:r>
      <w:r w:rsidRPr="00215105">
        <w:rPr>
          <w:i/>
        </w:rPr>
        <w:t xml:space="preserve"> distinctions and </w:t>
      </w:r>
      <w:r w:rsidR="00215105" w:rsidRPr="00215105">
        <w:rPr>
          <w:i/>
        </w:rPr>
        <w:t>evidentiary</w:t>
      </w:r>
      <w:r w:rsidRPr="00215105">
        <w:rPr>
          <w:i/>
        </w:rPr>
        <w:t xml:space="preserve"> criteria that make up one’s understanding of what the law is</w:t>
      </w:r>
      <w:r>
        <w:t>”</w:t>
      </w:r>
      <w:r>
        <w:rPr>
          <w:rStyle w:val="FootnoteReference"/>
        </w:rPr>
        <w:footnoteReference w:id="74"/>
      </w:r>
    </w:p>
    <w:p w:rsidR="007F7066" w:rsidRDefault="007F7066" w:rsidP="009C76C9">
      <w:pPr>
        <w:spacing w:after="0"/>
      </w:pPr>
    </w:p>
    <w:p w:rsidR="007F7066" w:rsidRDefault="00CD248F" w:rsidP="009C76C9">
      <w:pPr>
        <w:spacing w:after="0"/>
      </w:pPr>
      <w:r>
        <w:t>Consequently, w</w:t>
      </w:r>
      <w:r w:rsidR="00215105">
        <w:t>ithout context, law isn’t law, and meaning isn’t meaning</w:t>
      </w:r>
      <w:r>
        <w:t xml:space="preserve">, </w:t>
      </w:r>
      <w:r w:rsidR="00215105">
        <w:t>such a conclusion is essentially as vague as the concept of law Fish illustrates, or rather creates gaps in the theories of others</w:t>
      </w:r>
      <w:r>
        <w:t>,</w:t>
      </w:r>
      <w:r w:rsidR="00215105">
        <w:t xml:space="preserve"> from </w:t>
      </w:r>
      <w:r>
        <w:t>where</w:t>
      </w:r>
      <w:r w:rsidR="00215105">
        <w:t xml:space="preserve"> the reader is prompted to imagine Fish’s tangibility lies.  </w:t>
      </w:r>
    </w:p>
    <w:p w:rsidR="007F7066" w:rsidRDefault="00CD248F" w:rsidP="009C76C9">
      <w:pPr>
        <w:spacing w:after="0"/>
      </w:pPr>
      <w:r>
        <w:t>Priban is correct when he suggests “</w:t>
      </w:r>
      <w:r w:rsidRPr="00CD248F">
        <w:rPr>
          <w:i/>
        </w:rPr>
        <w:t>Fish’s position suggests that no legal rules can be understood as fundamental</w:t>
      </w:r>
      <w:r>
        <w:t>”</w:t>
      </w:r>
      <w:r>
        <w:rPr>
          <w:rStyle w:val="FootnoteReference"/>
        </w:rPr>
        <w:footnoteReference w:id="75"/>
      </w:r>
      <w:r w:rsidR="007530DF">
        <w:t xml:space="preserve"> but</w:t>
      </w:r>
      <w:r w:rsidR="00313E1B">
        <w:t xml:space="preserve"> in reality,</w:t>
      </w:r>
      <w:r w:rsidR="007530DF">
        <w:t xml:space="preserve"> it is less of a suggestion and more akin to a declaration</w:t>
      </w:r>
      <w:r w:rsidR="00313E1B">
        <w:t>. T</w:t>
      </w:r>
      <w:r w:rsidR="007530DF">
        <w:t xml:space="preserve">he size of such a </w:t>
      </w:r>
      <w:r w:rsidR="00313E1B">
        <w:t xml:space="preserve"> short statement, does</w:t>
      </w:r>
      <w:r w:rsidR="00055798">
        <w:t xml:space="preserve"> mask’s the weight in carries on a first reading</w:t>
      </w:r>
      <w:r w:rsidR="004310DD">
        <w:t xml:space="preserve"> (</w:t>
      </w:r>
      <w:r w:rsidR="00055798">
        <w:t>“</w:t>
      </w:r>
      <w:r w:rsidR="004310DD" w:rsidRPr="004310DD">
        <w:rPr>
          <w:i/>
        </w:rPr>
        <w:t>there is no such thing as literal meaning</w:t>
      </w:r>
      <w:r w:rsidR="00055798">
        <w:rPr>
          <w:i/>
        </w:rPr>
        <w:t>”</w:t>
      </w:r>
      <w:r w:rsidR="004310DD">
        <w:t>)</w:t>
      </w:r>
      <w:r w:rsidR="00313E1B">
        <w:t xml:space="preserve"> which could cause</w:t>
      </w:r>
      <w:r w:rsidR="00055798">
        <w:t xml:space="preserve"> </w:t>
      </w:r>
      <w:r w:rsidR="007530DF">
        <w:t>such a central concept to Fish’s notion of anti-</w:t>
      </w:r>
      <w:r w:rsidR="004310DD">
        <w:t>foundationalism</w:t>
      </w:r>
      <w:r w:rsidR="007530DF">
        <w:t xml:space="preserve"> to </w:t>
      </w:r>
      <w:r w:rsidR="004310DD">
        <w:t>appear to some readers</w:t>
      </w:r>
      <w:r w:rsidR="00055798">
        <w:t xml:space="preserve"> (like Priban)as</w:t>
      </w:r>
      <w:r w:rsidR="00E84410">
        <w:t xml:space="preserve"> a suggestion.</w:t>
      </w:r>
      <w:r w:rsidR="009C1EA6">
        <w:t xml:space="preserve"> </w:t>
      </w:r>
      <w:r w:rsidR="00E84410">
        <w:t>Yet</w:t>
      </w:r>
      <w:r w:rsidR="00055798">
        <w:t xml:space="preserve"> it is on a second and third reading, that the weight of Fish’s words fully resonate and the scale and nature of </w:t>
      </w:r>
      <w:r w:rsidR="00CA7ABA">
        <w:t xml:space="preserve">his, essentially anti-theory are fully appreciated.  </w:t>
      </w:r>
    </w:p>
    <w:p w:rsidR="00A72E22" w:rsidRDefault="00A72E22" w:rsidP="009C76C9">
      <w:pPr>
        <w:spacing w:after="0"/>
      </w:pPr>
    </w:p>
    <w:p w:rsidR="00B56E5E" w:rsidRDefault="00B56E5E" w:rsidP="00A72E22">
      <w:pPr>
        <w:pStyle w:val="Heading2"/>
      </w:pPr>
      <w:bookmarkStart w:id="13" w:name="_Toc324252592"/>
    </w:p>
    <w:p w:rsidR="00B56E5E" w:rsidRDefault="00B56E5E" w:rsidP="00B56E5E">
      <w:pPr>
        <w:pStyle w:val="Heading2"/>
      </w:pPr>
      <w:r>
        <w:t>The Law</w:t>
      </w:r>
      <w:r>
        <w:t xml:space="preserve">’s, </w:t>
      </w:r>
      <w:r w:rsidR="00A72E22">
        <w:t xml:space="preserve">Force </w:t>
      </w:r>
      <w:bookmarkEnd w:id="13"/>
      <w:r>
        <w:t>and Violence</w:t>
      </w:r>
    </w:p>
    <w:p w:rsidR="00B56E5E" w:rsidRPr="00B56E5E" w:rsidRDefault="00B56E5E" w:rsidP="00B56E5E"/>
    <w:p w:rsidR="00773DB7" w:rsidRDefault="00E84410" w:rsidP="009C76C9">
      <w:pPr>
        <w:spacing w:after="0"/>
      </w:pPr>
      <w:r>
        <w:t>However</w:t>
      </w:r>
      <w:r w:rsidR="00773DB7">
        <w:t xml:space="preserve">, </w:t>
      </w:r>
      <w:r w:rsidR="00CA7ABA">
        <w:t xml:space="preserve">Fish’s concept does not finish there, a second aspect </w:t>
      </w:r>
      <w:r w:rsidR="00773DB7">
        <w:t>connected to his concept of law</w:t>
      </w:r>
      <w:r w:rsidR="00CA7ABA">
        <w:t xml:space="preserve"> is </w:t>
      </w:r>
      <w:r w:rsidR="00773DB7">
        <w:t xml:space="preserve">the powerful relationship between the notion of force and the utilization of law </w:t>
      </w:r>
      <w:r w:rsidR="00CA7ABA">
        <w:t>(</w:t>
      </w:r>
      <w:r w:rsidR="00773DB7">
        <w:t xml:space="preserve"> as drawn</w:t>
      </w:r>
      <w:r w:rsidR="00CA7ABA">
        <w:t xml:space="preserve"> from other theorists such as Hart)</w:t>
      </w:r>
      <w:r w:rsidR="00773DB7">
        <w:t>.</w:t>
      </w:r>
    </w:p>
    <w:p w:rsidR="004310DD" w:rsidRPr="00860A7E" w:rsidRDefault="004310DD" w:rsidP="009C76C9">
      <w:pPr>
        <w:spacing w:after="0"/>
        <w:rPr>
          <w:i/>
        </w:rPr>
      </w:pPr>
      <w:r>
        <w:t xml:space="preserve">Fish </w:t>
      </w:r>
      <w:r w:rsidR="00E84410">
        <w:t>illustrates this in a number of ways, he initially states</w:t>
      </w:r>
      <w:r>
        <w:t xml:space="preserve"> “</w:t>
      </w:r>
      <w:r>
        <w:rPr>
          <w:i/>
        </w:rPr>
        <w:t>Interpretation is the force that resides within the law”</w:t>
      </w:r>
      <w:r>
        <w:rPr>
          <w:rStyle w:val="FootnoteReference"/>
          <w:i/>
        </w:rPr>
        <w:footnoteReference w:id="76"/>
      </w:r>
      <w:r w:rsidR="00E84410">
        <w:t xml:space="preserve">and that, </w:t>
      </w:r>
      <w:r w:rsidR="00E84410">
        <w:rPr>
          <w:i/>
        </w:rPr>
        <w:t>“Rorty</w:t>
      </w:r>
      <w:r>
        <w:rPr>
          <w:i/>
        </w:rPr>
        <w:t xml:space="preserve"> is right when he categories interpretation as an operation in which the agent</w:t>
      </w:r>
      <w:r w:rsidR="00860A7E">
        <w:rPr>
          <w:i/>
        </w:rPr>
        <w:t xml:space="preserve">,— be </w:t>
      </w:r>
      <w:r>
        <w:rPr>
          <w:i/>
        </w:rPr>
        <w:t>he a judge or a literary critic</w:t>
      </w:r>
      <w:r w:rsidR="00860A7E">
        <w:rPr>
          <w:i/>
        </w:rPr>
        <w:t>—“simply</w:t>
      </w:r>
      <w:r w:rsidR="00273931">
        <w:rPr>
          <w:i/>
        </w:rPr>
        <w:t xml:space="preserve"> beats the text into a shape which will serve his own purpose””</w:t>
      </w:r>
      <w:r w:rsidR="00273931">
        <w:rPr>
          <w:rStyle w:val="FootnoteReference"/>
          <w:i/>
        </w:rPr>
        <w:footnoteReference w:id="77"/>
      </w:r>
      <w:r w:rsidR="00860A7E">
        <w:t xml:space="preserve"> Here Fish illustrates that judicial interpretation in his perspective, is not an instrument for justice, it is essentially a means to control and retain power, and Fish leads this notion to a conclusion in “</w:t>
      </w:r>
      <w:r w:rsidR="00860A7E">
        <w:rPr>
          <w:i/>
        </w:rPr>
        <w:t>the bottom line remains</w:t>
      </w:r>
      <w:r w:rsidR="00547FFD">
        <w:rPr>
          <w:i/>
        </w:rPr>
        <w:t>,</w:t>
      </w:r>
      <w:r w:rsidR="00860A7E">
        <w:rPr>
          <w:i/>
        </w:rPr>
        <w:t xml:space="preserve"> the ascendency of one person—or one set of interests aggressively pursued—over another</w:t>
      </w:r>
      <w:r w:rsidR="005D0478">
        <w:rPr>
          <w:i/>
        </w:rPr>
        <w:t>, and the dream of general rules “judicially applied”</w:t>
      </w:r>
      <w:r w:rsidR="005D0478">
        <w:rPr>
          <w:rStyle w:val="FootnoteReference"/>
          <w:i/>
        </w:rPr>
        <w:footnoteReference w:id="78"/>
      </w:r>
      <w:r w:rsidR="005D0478">
        <w:rPr>
          <w:i/>
        </w:rPr>
        <w:t xml:space="preserve"> remains just that, a dream</w:t>
      </w:r>
      <w:r w:rsidR="002A00C7">
        <w:rPr>
          <w:i/>
        </w:rPr>
        <w:t>”</w:t>
      </w:r>
      <w:r w:rsidR="002A00C7">
        <w:rPr>
          <w:rStyle w:val="FootnoteReference"/>
          <w:i/>
        </w:rPr>
        <w:footnoteReference w:id="79"/>
      </w:r>
      <w:r w:rsidR="00C363FC">
        <w:rPr>
          <w:i/>
        </w:rPr>
        <w:t>.</w:t>
      </w:r>
    </w:p>
    <w:p w:rsidR="00FB6596" w:rsidRDefault="00547FFD" w:rsidP="009C76C9">
      <w:pPr>
        <w:spacing w:after="0"/>
      </w:pPr>
      <w:r>
        <w:t>Fish identifies</w:t>
      </w:r>
      <w:r w:rsidR="00347070">
        <w:t xml:space="preserve"> that</w:t>
      </w:r>
      <w:r w:rsidR="00FB6596">
        <w:t>, it is</w:t>
      </w:r>
      <w:r w:rsidR="00347070">
        <w:t xml:space="preserve"> a fear of the </w:t>
      </w:r>
      <w:r w:rsidR="00FB6596">
        <w:t>law’s role</w:t>
      </w:r>
      <w:r w:rsidR="00347070">
        <w:t xml:space="preserve"> in society, that is a central concern and stimuli to</w:t>
      </w:r>
      <w:r w:rsidR="006E52D0">
        <w:t xml:space="preserve"> </w:t>
      </w:r>
      <w:r w:rsidR="00347070">
        <w:t xml:space="preserve">key elements in legal philosophy (specifically that of post-modern and positivist perspectives), </w:t>
      </w:r>
      <w:r w:rsidR="00FB6596">
        <w:t>and that fear emanates from</w:t>
      </w:r>
      <w:r w:rsidR="00347070">
        <w:t xml:space="preserve"> the knowledge that law is unable to prevent</w:t>
      </w:r>
      <w:r w:rsidR="0093237B">
        <w:t xml:space="preserve"> and protect</w:t>
      </w:r>
      <w:r w:rsidR="00347070">
        <w:t xml:space="preserve"> the “</w:t>
      </w:r>
      <w:r w:rsidR="00347070" w:rsidRPr="00FB6596">
        <w:rPr>
          <w:i/>
        </w:rPr>
        <w:t>exercise of power and it’s victims</w:t>
      </w:r>
      <w:r w:rsidR="00FB6596">
        <w:rPr>
          <w:rStyle w:val="FootnoteReference"/>
          <w:i/>
        </w:rPr>
        <w:footnoteReference w:id="80"/>
      </w:r>
      <w:r w:rsidR="00347070">
        <w:t>”</w:t>
      </w:r>
      <w:r w:rsidR="0093237B">
        <w:t>. Clearly in an objective sense, Fish’s conclusion would be undeniably incorrect, on a recognition of the role of Criminal law and criminal courts in protecting the victims of crime. However Fish’s is referring to the greater issue</w:t>
      </w:r>
      <w:r w:rsidR="0093237B">
        <w:rPr>
          <w:i/>
        </w:rPr>
        <w:t>—</w:t>
      </w:r>
      <w:r w:rsidR="00925F93">
        <w:t xml:space="preserve"> w</w:t>
      </w:r>
      <w:r w:rsidR="0093237B">
        <w:t xml:space="preserve">hich is the abuse of the power within the </w:t>
      </w:r>
      <w:r w:rsidR="0093237B">
        <w:lastRenderedPageBreak/>
        <w:t xml:space="preserve">structure of the law,  </w:t>
      </w:r>
      <w:r w:rsidR="00925F93">
        <w:t xml:space="preserve">as opposed to </w:t>
      </w:r>
      <w:r w:rsidR="00C87F4C">
        <w:t xml:space="preserve">the distinction </w:t>
      </w:r>
      <w:r w:rsidR="00925F93">
        <w:t>of</w:t>
      </w:r>
      <w:r w:rsidR="00C87F4C">
        <w:t xml:space="preserve"> legality</w:t>
      </w:r>
      <w:r w:rsidR="009C1EA6">
        <w:t xml:space="preserve"> </w:t>
      </w:r>
      <w:r w:rsidR="00C87F4C">
        <w:t xml:space="preserve">on a personal level, and is more concerned with the wrongful acts committed by the state and its extensions, such as the courts. </w:t>
      </w:r>
    </w:p>
    <w:p w:rsidR="00FB6596" w:rsidRDefault="00FB6596" w:rsidP="009C76C9">
      <w:pPr>
        <w:spacing w:after="0"/>
      </w:pPr>
    </w:p>
    <w:p w:rsidR="00106DBF" w:rsidRDefault="00925F93" w:rsidP="009C76C9">
      <w:pPr>
        <w:spacing w:after="0"/>
      </w:pPr>
      <w:r>
        <w:t xml:space="preserve">And it is here where Fish’s concept of Rhetoric gains it’s anti-foundationalist identity, </w:t>
      </w:r>
      <w:r w:rsidR="009640A6">
        <w:rPr>
          <w:i/>
        </w:rPr>
        <w:t>—</w:t>
      </w:r>
      <w:r>
        <w:t>“</w:t>
      </w:r>
      <w:r w:rsidRPr="00925F93">
        <w:rPr>
          <w:i/>
        </w:rPr>
        <w:t>rhetoric is another word for force</w:t>
      </w:r>
      <w:r>
        <w:t>”</w:t>
      </w:r>
      <w:r>
        <w:rPr>
          <w:rStyle w:val="FootnoteReference"/>
        </w:rPr>
        <w:footnoteReference w:id="81"/>
      </w:r>
      <w:r>
        <w:t>, and as Fish has already outlined, the judiciary’s constraining of rhetoric through modes of interpretation</w:t>
      </w:r>
      <w:r w:rsidR="00430012">
        <w:t xml:space="preserve"> and </w:t>
      </w:r>
      <w:r w:rsidR="007A21B6">
        <w:t>its</w:t>
      </w:r>
      <w:r w:rsidR="00430012">
        <w:t xml:space="preserve"> existence as a forceful presentation of argument</w:t>
      </w:r>
      <w:r w:rsidR="007A21B6">
        <w:t>,</w:t>
      </w:r>
      <w:r w:rsidR="00430012">
        <w:t xml:space="preserve"> are the conduits through which neutrality and rationality are detracted from. This element is connected to Fish’s perspective on language and interpretation, and argues that legal </w:t>
      </w:r>
      <w:r w:rsidR="00067868">
        <w:t>rhetoric should be no different.</w:t>
      </w:r>
      <w:r w:rsidR="00430012">
        <w:t xml:space="preserve"> </w:t>
      </w:r>
      <w:r w:rsidR="00067868">
        <w:t xml:space="preserve">And thus, </w:t>
      </w:r>
      <w:r w:rsidR="009640A6">
        <w:t>by</w:t>
      </w:r>
      <w:r w:rsidR="002D4DB6">
        <w:t xml:space="preserve"> being unrestrained and</w:t>
      </w:r>
      <w:r w:rsidR="009C1EA6">
        <w:t xml:space="preserve"> </w:t>
      </w:r>
      <w:r w:rsidR="002D4DB6">
        <w:t>having no literal or textual meaning</w:t>
      </w:r>
      <w:r w:rsidR="00067868">
        <w:t>,</w:t>
      </w:r>
      <w:r w:rsidR="002D4DB6">
        <w:t xml:space="preserve"> any communication and conclusion arrived at</w:t>
      </w:r>
      <w:r w:rsidR="00900FF2">
        <w:t>,</w:t>
      </w:r>
      <w:r w:rsidR="002D4DB6">
        <w:t xml:space="preserve"> will </w:t>
      </w:r>
      <w:r w:rsidR="00067868">
        <w:t xml:space="preserve">as a result be </w:t>
      </w:r>
      <w:r w:rsidR="00900FF2">
        <w:t>theoretically neutral and essentially free of coercion.</w:t>
      </w:r>
    </w:p>
    <w:p w:rsidR="00FB6596" w:rsidRDefault="00FB6596" w:rsidP="009C76C9">
      <w:pPr>
        <w:spacing w:after="0"/>
      </w:pPr>
    </w:p>
    <w:p w:rsidR="00E84410" w:rsidRDefault="00900FF2" w:rsidP="009C76C9">
      <w:pPr>
        <w:spacing w:after="0"/>
      </w:pPr>
      <w:r>
        <w:t>Fish</w:t>
      </w:r>
      <w:r w:rsidR="00067868">
        <w:t>,</w:t>
      </w:r>
      <w:r>
        <w:t xml:space="preserve"> additionally </w:t>
      </w:r>
      <w:r w:rsidR="00106DBF">
        <w:t>illustrates</w:t>
      </w:r>
      <w:r>
        <w:t xml:space="preserve"> that the persuasive and forceful nature of rhetoric</w:t>
      </w:r>
      <w:r w:rsidR="00067868">
        <w:t>,</w:t>
      </w:r>
      <w:r>
        <w:t xml:space="preserve"> would render </w:t>
      </w:r>
      <w:r w:rsidR="00106DBF">
        <w:t>activities engaged in by the individual (outside of the judiciary)</w:t>
      </w:r>
      <w:r w:rsidR="00FB6596">
        <w:t xml:space="preserve"> “</w:t>
      </w:r>
      <w:r w:rsidR="00FB6596" w:rsidRPr="00FB6596">
        <w:rPr>
          <w:i/>
        </w:rPr>
        <w:t>finally meaningless</w:t>
      </w:r>
      <w:r w:rsidR="00FB6596">
        <w:rPr>
          <w:rStyle w:val="FootnoteReference"/>
          <w:i/>
        </w:rPr>
        <w:footnoteReference w:id="82"/>
      </w:r>
      <w:r w:rsidR="00FB6596">
        <w:t xml:space="preserve">” if </w:t>
      </w:r>
      <w:r w:rsidR="00106DBF">
        <w:t>that individual is perpetually bound to follow the</w:t>
      </w:r>
      <w:r w:rsidR="00FB6596">
        <w:t xml:space="preserve"> most convincing and forceful means of persuasion</w:t>
      </w:r>
      <w:r w:rsidR="00067868">
        <w:t xml:space="preserve">. Therefore, </w:t>
      </w:r>
      <w:r w:rsidR="00106DBF">
        <w:t>if such an approach would be</w:t>
      </w:r>
      <w:r w:rsidR="00067868">
        <w:t xml:space="preserve"> deemed</w:t>
      </w:r>
      <w:r w:rsidR="00106DBF">
        <w:t xml:space="preserve"> untenable outside of the arena of law, </w:t>
      </w:r>
      <w:r w:rsidR="00993472">
        <w:t>it seems</w:t>
      </w:r>
      <w:r w:rsidR="00106DBF">
        <w:t xml:space="preserve"> society </w:t>
      </w:r>
      <w:r w:rsidR="00067868">
        <w:t xml:space="preserve">must </w:t>
      </w:r>
      <w:r w:rsidR="00993472">
        <w:t>only</w:t>
      </w:r>
      <w:r w:rsidR="009C1EA6">
        <w:t xml:space="preserve"> </w:t>
      </w:r>
      <w:r w:rsidR="00993472">
        <w:t>oblige</w:t>
      </w:r>
      <w:r w:rsidR="00067868">
        <w:t xml:space="preserve"> </w:t>
      </w:r>
      <w:r w:rsidR="00993472">
        <w:t>the law’s presence</w:t>
      </w:r>
      <w:r w:rsidR="00067868">
        <w:t xml:space="preserve"> in its current position,</w:t>
      </w:r>
      <w:r w:rsidR="00106DBF">
        <w:t xml:space="preserve"> </w:t>
      </w:r>
      <w:r w:rsidR="00067868">
        <w:t>(</w:t>
      </w:r>
      <w:r w:rsidR="00993472">
        <w:t xml:space="preserve">and </w:t>
      </w:r>
      <w:r w:rsidR="00106DBF">
        <w:t>without a</w:t>
      </w:r>
      <w:r w:rsidR="00067868">
        <w:t>ny</w:t>
      </w:r>
      <w:r w:rsidR="00106DBF">
        <w:t xml:space="preserve"> modification closer to the image that Fish illustrates</w:t>
      </w:r>
      <w:r w:rsidR="00067868">
        <w:t>)</w:t>
      </w:r>
      <w:r w:rsidR="00993472">
        <w:t>, because the law is required to remain pragmatic, (and accept that perfection is impossib</w:t>
      </w:r>
      <w:r w:rsidR="00A70C6B">
        <w:t>le) in order for it to function</w:t>
      </w:r>
      <w:r w:rsidR="00106DBF">
        <w:t xml:space="preserve">.  </w:t>
      </w:r>
    </w:p>
    <w:p w:rsidR="00670D9A" w:rsidRDefault="00670D9A" w:rsidP="009C76C9">
      <w:pPr>
        <w:spacing w:after="0"/>
      </w:pPr>
      <w:r>
        <w:t>Priban</w:t>
      </w:r>
      <w:r w:rsidR="00067868">
        <w:t xml:space="preserve"> effectively</w:t>
      </w:r>
      <w:r>
        <w:t xml:space="preserve"> likens Fish’s anti-foundationalist conce</w:t>
      </w:r>
      <w:r w:rsidR="00A70C6B">
        <w:t xml:space="preserve">pt of force to the Foucauldian </w:t>
      </w:r>
      <w:r>
        <w:t>concept of discursive meaning and power</w:t>
      </w:r>
      <w:r w:rsidR="00A70C6B">
        <w:rPr>
          <w:rStyle w:val="FootnoteReference"/>
        </w:rPr>
        <w:footnoteReference w:id="83"/>
      </w:r>
      <w:r w:rsidR="00A70C6B">
        <w:t xml:space="preserve"> (previously illustrated to some extent in chapter one), and this closeness becomes more evident in Fish’s illustration of the futility at holding the force of law in check. </w:t>
      </w:r>
    </w:p>
    <w:p w:rsidR="005C5755" w:rsidRDefault="00A70C6B" w:rsidP="005C5755">
      <w:pPr>
        <w:pStyle w:val="ListParagraph"/>
        <w:numPr>
          <w:ilvl w:val="0"/>
          <w:numId w:val="1"/>
        </w:numPr>
        <w:spacing w:before="80" w:after="80"/>
        <w:rPr>
          <w:i/>
        </w:rPr>
      </w:pPr>
      <w:r w:rsidRPr="005C5755">
        <w:t>“</w:t>
      </w:r>
      <w:r w:rsidRPr="005C5755">
        <w:rPr>
          <w:i/>
        </w:rPr>
        <w:t xml:space="preserve">there is the attempt to erect an external barrier—sometimes a determinate rule, or a plain case—but in every instance the barrier turns out to be indistinguishable from that which it would hold back; force is </w:t>
      </w:r>
      <w:r w:rsidR="005C5755" w:rsidRPr="005C5755">
        <w:rPr>
          <w:i/>
        </w:rPr>
        <w:t>already</w:t>
      </w:r>
      <w:r w:rsidRPr="005C5755">
        <w:rPr>
          <w:i/>
        </w:rPr>
        <w:t xml:space="preserve"> inside the gate because force is the gate</w:t>
      </w:r>
      <w:r w:rsidR="005C5755" w:rsidRPr="005C5755">
        <w:rPr>
          <w:i/>
        </w:rPr>
        <w:t>”</w:t>
      </w:r>
      <w:r w:rsidR="005C5755">
        <w:rPr>
          <w:rStyle w:val="FootnoteReference"/>
          <w:i/>
        </w:rPr>
        <w:footnoteReference w:id="84"/>
      </w:r>
    </w:p>
    <w:p w:rsidR="005C5755" w:rsidRPr="005C5755" w:rsidRDefault="005C5755" w:rsidP="005C5755">
      <w:pPr>
        <w:pStyle w:val="ListParagraph"/>
        <w:spacing w:before="80" w:after="80"/>
        <w:rPr>
          <w:i/>
        </w:rPr>
      </w:pPr>
    </w:p>
    <w:p w:rsidR="00547FFD" w:rsidRPr="005C5755" w:rsidRDefault="005C5755" w:rsidP="005C5755">
      <w:pPr>
        <w:pStyle w:val="ListParagraph"/>
        <w:numPr>
          <w:ilvl w:val="0"/>
          <w:numId w:val="1"/>
        </w:numPr>
        <w:spacing w:before="60" w:after="60"/>
        <w:rPr>
          <w:i/>
        </w:rPr>
      </w:pPr>
      <w:r w:rsidRPr="005C5755">
        <w:t>“</w:t>
      </w:r>
      <w:r w:rsidRPr="005C5755">
        <w:rPr>
          <w:i/>
        </w:rPr>
        <w:t xml:space="preserve">there is the attempt to perform an internal housekeeping.. remove from the mind the tendencies that correspond to the forces appeal…but this turns out to be…self-defeating since a mind so cleansed </w:t>
      </w:r>
      <w:r w:rsidR="00E11CF8">
        <w:rPr>
          <w:i/>
        </w:rPr>
        <w:t xml:space="preserve">it </w:t>
      </w:r>
      <w:r w:rsidRPr="005C5755">
        <w:rPr>
          <w:i/>
        </w:rPr>
        <w:t>would have nothing inside it”</w:t>
      </w:r>
      <w:r>
        <w:rPr>
          <w:rStyle w:val="FootnoteReference"/>
          <w:i/>
        </w:rPr>
        <w:footnoteReference w:id="85"/>
      </w:r>
    </w:p>
    <w:p w:rsidR="005C5755" w:rsidRDefault="005C5755" w:rsidP="009C76C9">
      <w:pPr>
        <w:spacing w:after="0"/>
      </w:pPr>
      <w:r>
        <w:t xml:space="preserve">These two </w:t>
      </w:r>
      <w:r w:rsidR="00581EA1">
        <w:t>examples</w:t>
      </w:r>
      <w:r w:rsidR="00067868">
        <w:t>,</w:t>
      </w:r>
      <w:r w:rsidR="00581EA1">
        <w:t xml:space="preserve"> </w:t>
      </w:r>
      <w:r w:rsidR="00DA2E46">
        <w:t xml:space="preserve">that </w:t>
      </w:r>
      <w:r w:rsidR="00581EA1">
        <w:t>Fish uses to illustrate the futility of resisting the force and rhetoric of law</w:t>
      </w:r>
      <w:r w:rsidR="00A72E22">
        <w:t>, are key to understanding his famous aphorism</w:t>
      </w:r>
      <w:r w:rsidR="00067868">
        <w:rPr>
          <w:i/>
        </w:rPr>
        <w:t>—</w:t>
      </w:r>
      <w:r w:rsidR="00A72E22">
        <w:t xml:space="preserve"> “</w:t>
      </w:r>
      <w:r w:rsidR="00A72E22" w:rsidRPr="00A72E22">
        <w:rPr>
          <w:i/>
        </w:rPr>
        <w:t>there is always a gun at your head</w:t>
      </w:r>
      <w:r w:rsidR="00A72E22">
        <w:t>”</w:t>
      </w:r>
      <w:r w:rsidR="00A72E22">
        <w:rPr>
          <w:rStyle w:val="FootnoteReference"/>
        </w:rPr>
        <w:footnoteReference w:id="86"/>
      </w:r>
      <w:r w:rsidR="00A72E22">
        <w:t xml:space="preserve">, and </w:t>
      </w:r>
      <w:r w:rsidR="00DA2E46">
        <w:t>subsequently</w:t>
      </w:r>
      <w:r w:rsidR="00A72E22">
        <w:t xml:space="preserve"> “</w:t>
      </w:r>
      <w:r w:rsidR="00A72E22" w:rsidRPr="00A72E22">
        <w:rPr>
          <w:i/>
        </w:rPr>
        <w:t>the gun at your head</w:t>
      </w:r>
      <w:r w:rsidR="00DA2E46">
        <w:rPr>
          <w:i/>
        </w:rPr>
        <w:t>,</w:t>
      </w:r>
      <w:r w:rsidR="00A72E22" w:rsidRPr="00A72E22">
        <w:rPr>
          <w:i/>
        </w:rPr>
        <w:t xml:space="preserve"> is your head</w:t>
      </w:r>
      <w:r w:rsidR="00A72E22">
        <w:t>”</w:t>
      </w:r>
      <w:r w:rsidR="00A72E22">
        <w:rPr>
          <w:rStyle w:val="FootnoteReference"/>
        </w:rPr>
        <w:footnoteReference w:id="87"/>
      </w:r>
      <w:r w:rsidR="00DA2E46">
        <w:t>.</w:t>
      </w:r>
    </w:p>
    <w:p w:rsidR="005C5755" w:rsidRDefault="00847B6C" w:rsidP="009C76C9">
      <w:pPr>
        <w:spacing w:after="0"/>
      </w:pPr>
      <w:r>
        <w:t>The former,</w:t>
      </w:r>
      <w:r w:rsidRPr="005C5755">
        <w:rPr>
          <w:i/>
        </w:rPr>
        <w:t>—</w:t>
      </w:r>
      <w:r>
        <w:t xml:space="preserve"> “there is always a gun at your head” is</w:t>
      </w:r>
      <w:r w:rsidR="00266E50">
        <w:t>, according to Fish,</w:t>
      </w:r>
      <w:r>
        <w:t xml:space="preserve"> an assertion, notion, fact or belief who’s power an individual has already internalised, which will always be “</w:t>
      </w:r>
      <w:r w:rsidRPr="00847B6C">
        <w:rPr>
          <w:i/>
        </w:rPr>
        <w:t>a form of coercion</w:t>
      </w:r>
      <w:r>
        <w:t>”</w:t>
      </w:r>
      <w:r>
        <w:rPr>
          <w:rStyle w:val="FootnoteReference"/>
        </w:rPr>
        <w:footnoteReference w:id="88"/>
      </w:r>
      <w:r w:rsidR="00067868">
        <w:t>.</w:t>
      </w:r>
    </w:p>
    <w:p w:rsidR="005C5755" w:rsidRDefault="00266E50" w:rsidP="009C76C9">
      <w:pPr>
        <w:spacing w:after="0"/>
      </w:pPr>
      <w:r>
        <w:lastRenderedPageBreak/>
        <w:t>Consequently this is Fish’s expression of the external barrier referred to above, as it is the weight and</w:t>
      </w:r>
      <w:r w:rsidR="00454832">
        <w:t xml:space="preserve"> futile nature of the gun at your head, that essentially prevents escape form the coercive effect of the force of law. </w:t>
      </w:r>
    </w:p>
    <w:p w:rsidR="005C5755" w:rsidRDefault="00454832" w:rsidP="009C76C9">
      <w:pPr>
        <w:spacing w:after="0"/>
      </w:pPr>
      <w:r>
        <w:t>The latter expression</w:t>
      </w:r>
      <w:r w:rsidRPr="005C5755">
        <w:rPr>
          <w:i/>
        </w:rPr>
        <w:t>—</w:t>
      </w:r>
      <w:r>
        <w:t>“</w:t>
      </w:r>
      <w:r w:rsidRPr="00454832">
        <w:t>the gun at your head, is your head</w:t>
      </w:r>
      <w:r>
        <w:rPr>
          <w:i/>
        </w:rPr>
        <w:t>”</w:t>
      </w:r>
      <w:r>
        <w:t xml:space="preserve"> for Fish</w:t>
      </w:r>
      <w:r w:rsidR="00067868">
        <w:t>,</w:t>
      </w:r>
      <w:r>
        <w:t xml:space="preserve"> </w:t>
      </w:r>
      <w:r w:rsidR="00067868">
        <w:t xml:space="preserve">is the simple notion </w:t>
      </w:r>
      <w:r>
        <w:t>that the coercive effect is only limited to the extent of</w:t>
      </w:r>
      <w:r w:rsidR="00067868">
        <w:t>,</w:t>
      </w:r>
      <w:r>
        <w:t xml:space="preserve"> the notions existence within the inner self or the personality of the individual, illustrating that we are all self-compelled</w:t>
      </w:r>
      <w:r w:rsidR="00E11CF8">
        <w:t xml:space="preserve"> by internal constraints we cannot resist; which to some extent we require, otherwise “we” as individuals would be (as Fish eloquently refers to in the latter example) “</w:t>
      </w:r>
      <w:r w:rsidR="00E11CF8" w:rsidRPr="00067868">
        <w:rPr>
          <w:i/>
        </w:rPr>
        <w:t>a mind so cleansed it would have nothing inside it</w:t>
      </w:r>
      <w:r w:rsidR="00E11CF8">
        <w:t>”</w:t>
      </w:r>
      <w:r w:rsidR="00067868">
        <w:rPr>
          <w:rStyle w:val="FootnoteReference"/>
        </w:rPr>
        <w:footnoteReference w:id="89"/>
      </w:r>
      <w:r w:rsidR="00E11CF8">
        <w:t xml:space="preserve">. </w:t>
      </w:r>
    </w:p>
    <w:p w:rsidR="002D29A1" w:rsidRPr="00454832" w:rsidRDefault="002D29A1" w:rsidP="009C76C9">
      <w:pPr>
        <w:spacing w:after="0"/>
      </w:pPr>
    </w:p>
    <w:p w:rsidR="005C5755" w:rsidRDefault="00E11CF8" w:rsidP="009C76C9">
      <w:pPr>
        <w:spacing w:after="0"/>
      </w:pPr>
      <w:r>
        <w:t>Priban</w:t>
      </w:r>
      <w:r w:rsidR="00067868">
        <w:t>,</w:t>
      </w:r>
      <w:r>
        <w:t xml:space="preserve"> relates Fish’s aphorism</w:t>
      </w:r>
      <w:r w:rsidR="00AE5D14">
        <w:t xml:space="preserve"> back to politics and political institutions, suggesting Fish is simplifying diverse views of law, and present</w:t>
      </w:r>
      <w:r w:rsidR="00067868">
        <w:t>ing</w:t>
      </w:r>
      <w:r w:rsidR="00AE5D14">
        <w:t xml:space="preserve"> it purely as “</w:t>
      </w:r>
      <w:r w:rsidR="00AE5D14" w:rsidRPr="00AE5D14">
        <w:rPr>
          <w:i/>
        </w:rPr>
        <w:t>an instrument of power and violence</w:t>
      </w:r>
      <w:r w:rsidR="00AE5D14">
        <w:t>”</w:t>
      </w:r>
      <w:r w:rsidR="00AE5D14">
        <w:rPr>
          <w:rStyle w:val="FootnoteReference"/>
        </w:rPr>
        <w:footnoteReference w:id="90"/>
      </w:r>
      <w:r w:rsidR="00AE5D14">
        <w:t xml:space="preserve">.  </w:t>
      </w:r>
    </w:p>
    <w:p w:rsidR="005C5755" w:rsidRPr="00C618AD" w:rsidRDefault="002D29A1" w:rsidP="009C76C9">
      <w:pPr>
        <w:spacing w:after="0"/>
      </w:pPr>
      <w:r>
        <w:t>He additionally draws a valid criticism regarding Fish’s concept of force stating</w:t>
      </w:r>
      <w:r w:rsidRPr="005C5755">
        <w:rPr>
          <w:i/>
        </w:rPr>
        <w:t>—</w:t>
      </w:r>
      <w:r w:rsidR="00C618AD">
        <w:rPr>
          <w:i/>
        </w:rPr>
        <w:t>“what</w:t>
      </w:r>
      <w:r>
        <w:rPr>
          <w:i/>
        </w:rPr>
        <w:t xml:space="preserve"> is real and stable in this contingent world</w:t>
      </w:r>
      <w:r w:rsidR="00C618AD">
        <w:rPr>
          <w:i/>
        </w:rPr>
        <w:t>?…is it not just the force and power of political discourses which…frame our being?”</w:t>
      </w:r>
      <w:r w:rsidR="00C618AD">
        <w:t xml:space="preserve"> Priban states that Fish would definitely answer yes to his question, but I have to disagree, as Priban neglected, and dismissed Fish’s aphorism, it’s quite evident that he has potentially failed to incorporate</w:t>
      </w:r>
      <w:r w:rsidR="005D10DE">
        <w:t xml:space="preserve"> one key aspect of them into his question;</w:t>
      </w:r>
      <w:r w:rsidR="00C618AD">
        <w:t xml:space="preserve"> the pre-existing notions that “</w:t>
      </w:r>
      <w:r w:rsidR="00C618AD" w:rsidRPr="00C618AD">
        <w:rPr>
          <w:i/>
        </w:rPr>
        <w:t>already live within you</w:t>
      </w:r>
      <w:r w:rsidR="00C618AD">
        <w:t>”</w:t>
      </w:r>
      <w:r w:rsidR="00C618AD">
        <w:rPr>
          <w:rStyle w:val="FootnoteReference"/>
        </w:rPr>
        <w:footnoteReference w:id="91"/>
      </w:r>
      <w:r w:rsidR="00DE0088">
        <w:t>,</w:t>
      </w:r>
      <w:r w:rsidR="00553E08">
        <w:t xml:space="preserve"> (in “the gun at your head is your head” principle)</w:t>
      </w:r>
      <w:r w:rsidR="005D10DE">
        <w:t xml:space="preserve"> are in Fish’s </w:t>
      </w:r>
      <w:r w:rsidR="00553E08">
        <w:t>perspective</w:t>
      </w:r>
      <w:r w:rsidR="00DE0088">
        <w:t>,</w:t>
      </w:r>
      <w:r w:rsidR="005D10DE">
        <w:t xml:space="preserve"> the very</w:t>
      </w:r>
      <w:r w:rsidR="00553E08">
        <w:t xml:space="preserve"> elements that interact with the discourses</w:t>
      </w:r>
      <w:r w:rsidR="00E16E72">
        <w:t xml:space="preserve"> and d</w:t>
      </w:r>
      <w:r w:rsidR="00DE0088">
        <w:t>o effect the frame of our being. H</w:t>
      </w:r>
      <w:r w:rsidR="00E16E72">
        <w:t>owever they definitely do not formulate it,</w:t>
      </w:r>
      <w:r w:rsidR="00AF254A">
        <w:t xml:space="preserve"> Fish qualifies his sentence with “</w:t>
      </w:r>
      <w:r w:rsidR="00AF254A" w:rsidRPr="00AF254A">
        <w:rPr>
          <w:i/>
        </w:rPr>
        <w:t>to</w:t>
      </w:r>
      <w:r w:rsidR="00E16E72" w:rsidRPr="00AF254A">
        <w:rPr>
          <w:i/>
        </w:rPr>
        <w:t xml:space="preserve"> the extent that</w:t>
      </w:r>
      <w:r w:rsidR="00E16E72">
        <w:t>”</w:t>
      </w:r>
      <w:r w:rsidR="00AF254A">
        <w:rPr>
          <w:rStyle w:val="FootnoteReference"/>
        </w:rPr>
        <w:footnoteReference w:id="92"/>
      </w:r>
      <w:r w:rsidR="00AF254A">
        <w:t xml:space="preserve"> and “</w:t>
      </w:r>
      <w:r w:rsidR="00AF254A" w:rsidRPr="00AF254A">
        <w:rPr>
          <w:i/>
        </w:rPr>
        <w:t>predisposed</w:t>
      </w:r>
      <w:r w:rsidR="00AF254A">
        <w:t>”</w:t>
      </w:r>
      <w:r w:rsidR="00AF254A">
        <w:rPr>
          <w:rStyle w:val="FootnoteReference"/>
        </w:rPr>
        <w:footnoteReference w:id="93"/>
      </w:r>
      <w:r w:rsidR="00AF254A">
        <w:t xml:space="preserve">suggesting that </w:t>
      </w:r>
      <w:r w:rsidR="00E16E72">
        <w:t xml:space="preserve">personality </w:t>
      </w:r>
      <w:r w:rsidR="00AF254A">
        <w:t xml:space="preserve">combines with </w:t>
      </w:r>
      <w:r w:rsidR="00E16E72">
        <w:t xml:space="preserve">discourses </w:t>
      </w:r>
      <w:r w:rsidR="00AF254A">
        <w:t>to form</w:t>
      </w:r>
      <w:r w:rsidR="009C1EA6">
        <w:t xml:space="preserve"> </w:t>
      </w:r>
      <w:r w:rsidR="00AF254A">
        <w:t>action and thought, but Fish does not suggest that our entire conscious and sense of self is derived purely from discourses</w:t>
      </w:r>
      <w:r w:rsidR="00AF254A">
        <w:rPr>
          <w:rStyle w:val="FootnoteReference"/>
        </w:rPr>
        <w:footnoteReference w:id="94"/>
      </w:r>
      <w:r w:rsidR="00AF254A">
        <w:t xml:space="preserve">.  </w:t>
      </w:r>
    </w:p>
    <w:p w:rsidR="005C5755" w:rsidRDefault="005C5755" w:rsidP="009C76C9">
      <w:pPr>
        <w:spacing w:after="0"/>
      </w:pPr>
    </w:p>
    <w:p w:rsidR="005C5755" w:rsidRDefault="00907A5E" w:rsidP="009C76C9">
      <w:pPr>
        <w:spacing w:after="0"/>
      </w:pPr>
      <w:r>
        <w:t>Priban</w:t>
      </w:r>
      <w:r w:rsidR="005A4DB8">
        <w:t xml:space="preserve">, in order to conclude </w:t>
      </w:r>
      <w:r w:rsidR="009C0628">
        <w:t>his critique</w:t>
      </w:r>
      <w:r w:rsidR="00335339">
        <w:t xml:space="preserve"> of</w:t>
      </w:r>
      <w:r w:rsidR="00D4684F">
        <w:t xml:space="preserve"> Fish’s notions of force</w:t>
      </w:r>
      <w:r w:rsidR="009C0628">
        <w:t xml:space="preserve">, </w:t>
      </w:r>
      <w:r>
        <w:t>contrast</w:t>
      </w:r>
      <w:r w:rsidR="00607BBE">
        <w:t>s</w:t>
      </w:r>
      <w:r w:rsidR="009C1EA6">
        <w:t xml:space="preserve"> </w:t>
      </w:r>
      <w:r w:rsidR="00D4684F">
        <w:t>such</w:t>
      </w:r>
      <w:r>
        <w:t xml:space="preserve"> with those of Derrida</w:t>
      </w:r>
      <w:r w:rsidR="00224D1D">
        <w:t>, and suggests that Fish’s theories rejecting the supremacy of theoretical discourses are “deeply inf</w:t>
      </w:r>
      <w:r w:rsidR="00DE0088">
        <w:t>luenced” by Derrida’s concepts.</w:t>
      </w:r>
      <w:r w:rsidR="004A63F2">
        <w:t xml:space="preserve"> </w:t>
      </w:r>
      <w:r w:rsidR="00DE0088">
        <w:t>This is to</w:t>
      </w:r>
      <w:r w:rsidR="004A63F2">
        <w:t xml:space="preserve"> some extent</w:t>
      </w:r>
      <w:r w:rsidR="00DE0088">
        <w:t>,</w:t>
      </w:r>
      <w:r w:rsidR="004A63F2">
        <w:t xml:space="preserve"> </w:t>
      </w:r>
      <w:r w:rsidR="00D4684F">
        <w:t xml:space="preserve">evident in the likeness of some concepts in both the philosophers writing. </w:t>
      </w:r>
    </w:p>
    <w:p w:rsidR="005C5755" w:rsidRDefault="004A63F2" w:rsidP="009C76C9">
      <w:pPr>
        <w:spacing w:after="0"/>
      </w:pPr>
      <w:r>
        <w:t xml:space="preserve">For example, </w:t>
      </w:r>
      <w:r w:rsidR="00D4684F">
        <w:t>Fish’s concept of the existence of force in the nature of interpretation, bears a close similarity to the violence present in Derrid</w:t>
      </w:r>
      <w:r w:rsidR="00942F18">
        <w:t>a’s concept of language in logo</w:t>
      </w:r>
      <w:r w:rsidR="00D4684F">
        <w:t>s</w:t>
      </w:r>
      <w:r w:rsidR="00DE0088">
        <w:t xml:space="preserve"> </w:t>
      </w:r>
      <w:r w:rsidR="00064097">
        <w:t>( the Greek meaning of the word for speech, reason or law)</w:t>
      </w:r>
      <w:r w:rsidR="00942F18" w:rsidRPr="005C5755">
        <w:rPr>
          <w:i/>
        </w:rPr>
        <w:t>—</w:t>
      </w:r>
      <w:r w:rsidR="00942F18">
        <w:t>“</w:t>
      </w:r>
      <w:r w:rsidR="00942F18" w:rsidRPr="00942F18">
        <w:rPr>
          <w:i/>
        </w:rPr>
        <w:t>the transcended violence we refer to is tied…to the possibility of language…it would then be embedded…before</w:t>
      </w:r>
      <w:r w:rsidR="00F23AEC">
        <w:rPr>
          <w:i/>
        </w:rPr>
        <w:t xml:space="preserve"> it</w:t>
      </w:r>
      <w:r w:rsidR="00942F18" w:rsidRPr="00942F18">
        <w:rPr>
          <w:i/>
        </w:rPr>
        <w:t xml:space="preserve"> had to be determined as rhetoric</w:t>
      </w:r>
      <w:r w:rsidR="00942F18">
        <w:t>”</w:t>
      </w:r>
      <w:r w:rsidR="00942F18">
        <w:rPr>
          <w:rStyle w:val="FootnoteReference"/>
        </w:rPr>
        <w:footnoteReference w:id="95"/>
      </w:r>
      <w:r w:rsidR="00F23AEC">
        <w:t xml:space="preserve"> and Derrida’s </w:t>
      </w:r>
      <w:r w:rsidR="00335339">
        <w:t>potentially most famous quote, “</w:t>
      </w:r>
      <w:r w:rsidR="00F23AEC">
        <w:rPr>
          <w:i/>
        </w:rPr>
        <w:t>there is nothing outside the text”</w:t>
      </w:r>
      <w:r w:rsidR="00F23AEC">
        <w:rPr>
          <w:rStyle w:val="FootnoteReference"/>
          <w:i/>
        </w:rPr>
        <w:footnoteReference w:id="96"/>
      </w:r>
      <w:r w:rsidR="00335339" w:rsidRPr="00335339">
        <w:t>equally</w:t>
      </w:r>
      <w:r w:rsidR="00335339">
        <w:t xml:space="preserve"> bares </w:t>
      </w:r>
      <w:r w:rsidR="003B0356">
        <w:t>resemblance</w:t>
      </w:r>
      <w:r w:rsidR="00335339">
        <w:t xml:space="preserve"> to </w:t>
      </w:r>
      <w:r w:rsidR="003B0356">
        <w:t>Fish’s</w:t>
      </w:r>
      <w:r w:rsidR="009C1EA6">
        <w:t xml:space="preserve"> </w:t>
      </w:r>
      <w:r w:rsidR="003B0356">
        <w:t xml:space="preserve">proposition of meaning </w:t>
      </w:r>
      <w:r w:rsidR="00064097">
        <w:t xml:space="preserve">being derived </w:t>
      </w:r>
      <w:r w:rsidR="003B0356">
        <w:t xml:space="preserve">within the text, and the </w:t>
      </w:r>
      <w:r w:rsidR="00064097">
        <w:t xml:space="preserve">absolute </w:t>
      </w:r>
      <w:r w:rsidR="003B0356">
        <w:t>need for context to determine</w:t>
      </w:r>
      <w:r w:rsidR="00064097">
        <w:t xml:space="preserve"> linguistic</w:t>
      </w:r>
      <w:r w:rsidR="003B0356">
        <w:t xml:space="preserve"> meaning. </w:t>
      </w:r>
    </w:p>
    <w:p w:rsidR="005C5755" w:rsidRDefault="00064097" w:rsidP="00064097">
      <w:pPr>
        <w:tabs>
          <w:tab w:val="left" w:pos="7125"/>
        </w:tabs>
        <w:spacing w:after="0"/>
      </w:pPr>
      <w:r>
        <w:lastRenderedPageBreak/>
        <w:t>Consequently in formulating his contrast, Priban makes a key distinction between Derrida and Fish’s concept’s</w:t>
      </w:r>
      <w:r w:rsidR="00DE0088">
        <w:t>,</w:t>
      </w:r>
      <w:r>
        <w:t xml:space="preserve"> which illustrate that, while Fish and his concept of anti-foundationalism draw on post-structuralist and deconstructive elements where other’s (who could also be loosely defined as anti-founda</w:t>
      </w:r>
      <w:r w:rsidR="00DE0088">
        <w:t xml:space="preserve">tionalist) such as Rorty do not, </w:t>
      </w:r>
      <w:r>
        <w:t xml:space="preserve">Fish still retains elements in his </w:t>
      </w:r>
      <w:r w:rsidR="00D047C4">
        <w:t>“brand”</w:t>
      </w:r>
      <w:r>
        <w:t xml:space="preserve"> of </w:t>
      </w:r>
      <w:r w:rsidR="00D047C4">
        <w:t>neopragmatism. This can be seen on one central point at which Fish and Derrida depart, as I have illustrat</w:t>
      </w:r>
      <w:r w:rsidR="000811BC">
        <w:t>ed on several occasions, Fish believes that interpretation and reading, allow the alteration of texts (and laws) to the intentions</w:t>
      </w:r>
      <w:r w:rsidR="00842143">
        <w:t xml:space="preserve"> of the interpreter</w:t>
      </w:r>
      <w:r w:rsidR="00DE0088">
        <w:t>,</w:t>
      </w:r>
      <w:r w:rsidR="000811BC">
        <w:t xml:space="preserve"> which in turn form</w:t>
      </w:r>
      <w:r w:rsidR="00842143">
        <w:t>s constraining</w:t>
      </w:r>
      <w:r w:rsidR="000811BC">
        <w:t xml:space="preserve"> rules</w:t>
      </w:r>
      <w:r w:rsidR="00842143">
        <w:t xml:space="preserve"> on </w:t>
      </w:r>
      <w:r w:rsidR="00DE0088">
        <w:t>future</w:t>
      </w:r>
      <w:r w:rsidR="00842143">
        <w:t xml:space="preserve"> interpretation </w:t>
      </w:r>
      <w:r w:rsidR="00DE0088">
        <w:t>(</w:t>
      </w:r>
      <w:r w:rsidR="00842143">
        <w:t>and in the case of law</w:t>
      </w:r>
      <w:r w:rsidR="00DE0088">
        <w:t>)</w:t>
      </w:r>
      <w:r w:rsidR="00842143">
        <w:t>, reinforcing and retaining power</w:t>
      </w:r>
      <w:r w:rsidR="00842143">
        <w:rPr>
          <w:rStyle w:val="FootnoteReference"/>
        </w:rPr>
        <w:footnoteReference w:id="97"/>
      </w:r>
      <w:r w:rsidR="00842143">
        <w:t xml:space="preserve">. </w:t>
      </w:r>
      <w:r>
        <w:tab/>
      </w:r>
    </w:p>
    <w:p w:rsidR="00F519B0" w:rsidRDefault="00B44EC5" w:rsidP="009C76C9">
      <w:pPr>
        <w:spacing w:after="0"/>
      </w:pPr>
      <w:r>
        <w:t xml:space="preserve">Derrida’s concepts of deconstruction are significantly more radical, suggesting that all readings and interpretations originate from his concept of arche-writing, </w:t>
      </w:r>
      <w:r w:rsidR="00D125AF">
        <w:t>a form of “purer” writing that is the point of o</w:t>
      </w:r>
      <w:r w:rsidR="00DE0088">
        <w:t>rigin for subsequent expression. This point (according to Derrida)</w:t>
      </w:r>
      <w:r w:rsidR="00D125AF">
        <w:t xml:space="preserve"> acts as a barrier between expression and identity, ensuring the two are separate, but the latter is repeatable in differing contexts</w:t>
      </w:r>
      <w:r w:rsidR="00D125AF">
        <w:rPr>
          <w:rStyle w:val="FootnoteReference"/>
        </w:rPr>
        <w:footnoteReference w:id="98"/>
      </w:r>
      <w:r w:rsidR="00D125AF">
        <w:t>. The concept of arche-writing</w:t>
      </w:r>
      <w:r w:rsidR="00DE0088">
        <w:t>,</w:t>
      </w:r>
      <w:r w:rsidR="00D125AF">
        <w:t xml:space="preserve"> is </w:t>
      </w:r>
      <w:r w:rsidR="00D125AF" w:rsidRPr="00D125AF">
        <w:t>undoubtedly</w:t>
      </w:r>
      <w:r w:rsidR="00D125AF">
        <w:t xml:space="preserve"> a complex one, phrased above is my description based on a number of differing interpretations</w:t>
      </w:r>
      <w:r w:rsidR="00054C84">
        <w:t xml:space="preserve">, however </w:t>
      </w:r>
      <w:r w:rsidR="00A815B9">
        <w:t>despite</w:t>
      </w:r>
      <w:r w:rsidR="00054C84">
        <w:t xml:space="preserve"> similarities </w:t>
      </w:r>
      <w:r w:rsidR="00A815B9">
        <w:t>between</w:t>
      </w:r>
      <w:r w:rsidR="00054C84">
        <w:t xml:space="preserve"> Fish and Derrida, the anti-foundationalist concept of law as force, (as phrased by Fish) is significantly more rooted i</w:t>
      </w:r>
      <w:r w:rsidR="00DE0088">
        <w:t>n the pragmatic.</w:t>
      </w:r>
      <w:r w:rsidR="00054C84">
        <w:t xml:space="preserve"> </w:t>
      </w:r>
    </w:p>
    <w:p w:rsidR="00F519B0" w:rsidRDefault="00F519B0" w:rsidP="009C76C9">
      <w:pPr>
        <w:spacing w:after="0"/>
      </w:pPr>
    </w:p>
    <w:p w:rsidR="007F7066" w:rsidRDefault="00DE0088" w:rsidP="009C76C9">
      <w:pPr>
        <w:spacing w:after="0"/>
      </w:pPr>
      <w:r>
        <w:t>D</w:t>
      </w:r>
      <w:r w:rsidR="00054C84">
        <w:t>espite drawing on some deconstructionist elements,</w:t>
      </w:r>
      <w:r>
        <w:t xml:space="preserve"> Fish’s concept</w:t>
      </w:r>
      <w:r w:rsidR="00054C84">
        <w:t xml:space="preserve"> retains a foundation of pragmatism</w:t>
      </w:r>
      <w:r>
        <w:t>,</w:t>
      </w:r>
      <w:r w:rsidR="00F519B0">
        <w:t xml:space="preserve"> (or</w:t>
      </w:r>
      <w:r w:rsidR="00054C84">
        <w:t xml:space="preserve"> rather Fish’s </w:t>
      </w:r>
      <w:r>
        <w:t xml:space="preserve">own brand of </w:t>
      </w:r>
      <w:r w:rsidR="00054C84">
        <w:t>neo-pragmatism</w:t>
      </w:r>
      <w:r w:rsidR="00F519B0">
        <w:t>)</w:t>
      </w:r>
      <w:r w:rsidR="00054C84">
        <w:t xml:space="preserve"> </w:t>
      </w:r>
      <w:r w:rsidR="00F519B0">
        <w:t>and the role of an</w:t>
      </w:r>
      <w:r w:rsidR="00054C84">
        <w:t xml:space="preserve"> </w:t>
      </w:r>
      <w:r w:rsidR="00F519B0">
        <w:t xml:space="preserve">eventual foundation in Fish’s </w:t>
      </w:r>
      <w:r w:rsidR="00054C84">
        <w:t xml:space="preserve">concept, </w:t>
      </w:r>
      <w:r w:rsidR="00DE20E9">
        <w:t>is a</w:t>
      </w:r>
      <w:r w:rsidR="00F519B0">
        <w:t>s</w:t>
      </w:r>
      <w:r w:rsidR="00DE20E9">
        <w:t xml:space="preserve"> Priban notes</w:t>
      </w:r>
      <w:r w:rsidR="00865A2B">
        <w:t>,</w:t>
      </w:r>
      <w:r w:rsidR="00DE20E9">
        <w:t xml:space="preserve"> </w:t>
      </w:r>
      <w:r w:rsidR="00F519B0">
        <w:t xml:space="preserve">a notion </w:t>
      </w:r>
      <w:r w:rsidR="00DE20E9">
        <w:t>D</w:t>
      </w:r>
      <w:r w:rsidR="00054C84">
        <w:t>errida would have to refu</w:t>
      </w:r>
      <w:r w:rsidR="00F519B0">
        <w:t>se absolution for</w:t>
      </w:r>
      <w:r w:rsidR="00865A2B">
        <w:rPr>
          <w:rStyle w:val="FootnoteReference"/>
        </w:rPr>
        <w:footnoteReference w:id="99"/>
      </w:r>
      <w:r w:rsidR="00F519B0">
        <w:t xml:space="preserve">. </w:t>
      </w:r>
      <w:r w:rsidR="00E65577">
        <w:t>Priban goes on to note that Fish’s “</w:t>
      </w:r>
      <w:r w:rsidR="00E65577" w:rsidRPr="00F519B0">
        <w:rPr>
          <w:i/>
        </w:rPr>
        <w:t>concept is much more sociological</w:t>
      </w:r>
      <w:r w:rsidR="00E65577">
        <w:t>”</w:t>
      </w:r>
      <w:r w:rsidR="00E65577">
        <w:rPr>
          <w:rStyle w:val="FootnoteReference"/>
        </w:rPr>
        <w:footnoteReference w:id="100"/>
      </w:r>
      <w:r w:rsidR="00E65577">
        <w:t xml:space="preserve">  and lists five characteristics he believes Fish’s perspective has</w:t>
      </w:r>
      <w:r w:rsidR="00E65577" w:rsidRPr="005C5755">
        <w:rPr>
          <w:i/>
        </w:rPr>
        <w:t>—</w:t>
      </w:r>
      <w:r w:rsidR="00E65577">
        <w:rPr>
          <w:i/>
        </w:rPr>
        <w:t>“(a) Historical, (b) Restrictive and Dynamic, (c) Contingent and (d) Fundamental”</w:t>
      </w:r>
      <w:r w:rsidR="00E65577">
        <w:rPr>
          <w:rStyle w:val="FootnoteReference"/>
          <w:i/>
        </w:rPr>
        <w:footnoteReference w:id="101"/>
      </w:r>
    </w:p>
    <w:p w:rsidR="007B0442" w:rsidRDefault="00E65577" w:rsidP="009C76C9">
      <w:pPr>
        <w:spacing w:after="0"/>
      </w:pPr>
      <w:r>
        <w:t xml:space="preserve">The historical elements are most clear, to the point where Fish states them himself in the illustration of his concepts </w:t>
      </w:r>
      <w:r w:rsidR="009E51D7">
        <w:t>within his various books and papers</w:t>
      </w:r>
      <w:r>
        <w:t>.</w:t>
      </w:r>
    </w:p>
    <w:p w:rsidR="007B0442" w:rsidRDefault="009E51D7" w:rsidP="009C76C9">
      <w:pPr>
        <w:spacing w:after="0"/>
      </w:pPr>
      <w:r>
        <w:t>To some extent, I would argue that it is a fair statement to</w:t>
      </w:r>
      <w:r w:rsidR="00527676">
        <w:t xml:space="preserve"> additionally</w:t>
      </w:r>
      <w:r>
        <w:t xml:space="preserve"> suggest, that contingency comes with the post-structuralist and post-modernist territory, as it is by its very nature, a means of illustrating an </w:t>
      </w:r>
      <w:r w:rsidR="00D9727C">
        <w:t xml:space="preserve">alternative </w:t>
      </w:r>
      <w:r>
        <w:t xml:space="preserve">explanation to </w:t>
      </w:r>
      <w:r w:rsidR="00D9727C">
        <w:t>answers</w:t>
      </w:r>
      <w:r>
        <w:t xml:space="preserve"> in opposition to (as Fish describes)</w:t>
      </w:r>
      <w:r w:rsidRPr="005C5755">
        <w:rPr>
          <w:i/>
        </w:rPr>
        <w:t>—</w:t>
      </w:r>
      <w:r>
        <w:rPr>
          <w:i/>
        </w:rPr>
        <w:t>“a god’s eye view, a transcendent truth”</w:t>
      </w:r>
      <w:r w:rsidR="00527676">
        <w:rPr>
          <w:rStyle w:val="FootnoteReference"/>
          <w:i/>
        </w:rPr>
        <w:footnoteReference w:id="102"/>
      </w:r>
      <w:r>
        <w:t xml:space="preserve">, advocated by other schools such as </w:t>
      </w:r>
      <w:r w:rsidRPr="009E51D7">
        <w:t>positivism</w:t>
      </w:r>
      <w:r>
        <w:t xml:space="preserve"> and natural legal theory.  </w:t>
      </w:r>
      <w:r w:rsidR="007B0442">
        <w:t>However Fish has a unique way of examining contingency, seeing it’s recognition by some, as a way of avoiding contingency</w:t>
      </w:r>
      <w:r w:rsidR="007B0442">
        <w:rPr>
          <w:rStyle w:val="FootnoteReference"/>
        </w:rPr>
        <w:footnoteReference w:id="103"/>
      </w:r>
      <w:r w:rsidR="007B0442">
        <w:t xml:space="preserve"> (a key notion of Fish’s anti-foundationalist theory hope, as detailed previously) “</w:t>
      </w:r>
      <w:r w:rsidR="007B0442" w:rsidRPr="00A815B9">
        <w:rPr>
          <w:i/>
        </w:rPr>
        <w:t>knowledge of [contingency] does not transport you to a place</w:t>
      </w:r>
      <w:r w:rsidR="00A815B9" w:rsidRPr="00A815B9">
        <w:rPr>
          <w:i/>
        </w:rPr>
        <w:t xml:space="preserve"> where those convictions are no longer in force</w:t>
      </w:r>
      <w:r w:rsidR="00A815B9">
        <w:t>”</w:t>
      </w:r>
      <w:r w:rsidR="00A815B9">
        <w:rPr>
          <w:rStyle w:val="FootnoteReference"/>
        </w:rPr>
        <w:footnoteReference w:id="104"/>
      </w:r>
      <w:r w:rsidR="00F519B0">
        <w:t>.</w:t>
      </w:r>
    </w:p>
    <w:p w:rsidR="00B5707B" w:rsidRDefault="00B5707B" w:rsidP="009C76C9">
      <w:pPr>
        <w:spacing w:after="0"/>
      </w:pPr>
    </w:p>
    <w:p w:rsidR="007F7066" w:rsidRDefault="00527676" w:rsidP="009C76C9">
      <w:pPr>
        <w:spacing w:after="0"/>
      </w:pPr>
      <w:r>
        <w:t>Similarly, Priban states that the “</w:t>
      </w:r>
      <w:r>
        <w:rPr>
          <w:i/>
        </w:rPr>
        <w:t xml:space="preserve">restrictive and dynamic </w:t>
      </w:r>
      <w:r w:rsidRPr="00527676">
        <w:rPr>
          <w:i/>
        </w:rPr>
        <w:t>characteristics</w:t>
      </w:r>
      <w:r w:rsidR="009C1EA6">
        <w:rPr>
          <w:i/>
        </w:rPr>
        <w:t xml:space="preserve"> </w:t>
      </w:r>
      <w:r>
        <w:rPr>
          <w:i/>
        </w:rPr>
        <w:t>are manifest…in the force of interpretation…which subsequently change the nature of beliefs</w:t>
      </w:r>
      <w:r>
        <w:t xml:space="preserve">” </w:t>
      </w:r>
      <w:r>
        <w:rPr>
          <w:rStyle w:val="FootnoteReference"/>
        </w:rPr>
        <w:footnoteReference w:id="105"/>
      </w:r>
      <w:r w:rsidR="007B0442">
        <w:t xml:space="preserve">, these </w:t>
      </w:r>
      <w:r w:rsidR="007B0442" w:rsidRPr="007B0442">
        <w:t>characteristics</w:t>
      </w:r>
      <w:r w:rsidR="00A815B9">
        <w:t xml:space="preserve"> are, </w:t>
      </w:r>
      <w:r w:rsidR="00C50BBB">
        <w:t>(</w:t>
      </w:r>
      <w:r w:rsidR="00A815B9">
        <w:t>like Fish’s account of History as an aid to understanding</w:t>
      </w:r>
      <w:r w:rsidR="00C50BBB">
        <w:t>)</w:t>
      </w:r>
      <w:r w:rsidR="00A815B9">
        <w:t xml:space="preserve">, obvious and evident in Fish’s literature. </w:t>
      </w:r>
    </w:p>
    <w:p w:rsidR="00D54168" w:rsidRDefault="00A815B9" w:rsidP="00B5707B">
      <w:pPr>
        <w:spacing w:after="0"/>
      </w:pPr>
      <w:r>
        <w:lastRenderedPageBreak/>
        <w:t>With regard to Fish’s concept of force as</w:t>
      </w:r>
      <w:r w:rsidR="006055C4">
        <w:t xml:space="preserve"> a</w:t>
      </w:r>
      <w:r>
        <w:t xml:space="preserve"> fundamental</w:t>
      </w:r>
      <w:r w:rsidR="006055C4">
        <w:t xml:space="preserve"> component</w:t>
      </w:r>
      <w:r>
        <w:t xml:space="preserve">, Priban is </w:t>
      </w:r>
      <w:r w:rsidR="006055C4">
        <w:t xml:space="preserve">partially </w:t>
      </w:r>
      <w:r>
        <w:t xml:space="preserve">correct when he suggests the concept </w:t>
      </w:r>
      <w:r w:rsidR="00AA5CFC">
        <w:t xml:space="preserve">is immediately contradictory to the notion of omnipresent </w:t>
      </w:r>
      <w:r>
        <w:t>contingency,</w:t>
      </w:r>
      <w:r w:rsidR="00AA5CFC">
        <w:t xml:space="preserve"> however Fish highlights how </w:t>
      </w:r>
      <w:r w:rsidR="006055C4">
        <w:t>criticising</w:t>
      </w:r>
      <w:r w:rsidR="00AA5CFC">
        <w:t xml:space="preserve"> such a notion </w:t>
      </w:r>
      <w:r w:rsidR="006055C4">
        <w:t>identifies</w:t>
      </w:r>
      <w:r w:rsidR="00AA5CFC">
        <w:t xml:space="preserve"> the individual </w:t>
      </w:r>
      <w:r w:rsidR="006055C4">
        <w:t>as</w:t>
      </w:r>
      <w:r w:rsidR="009C1EA6">
        <w:t xml:space="preserve"> </w:t>
      </w:r>
      <w:r w:rsidR="006055C4">
        <w:t>having</w:t>
      </w:r>
      <w:r w:rsidR="00AA5CFC">
        <w:t xml:space="preserve"> hope for theory</w:t>
      </w:r>
      <w:r w:rsidR="006055C4">
        <w:t>, and is consequently utilizing the notion of contingency to escape the conclusion, that “</w:t>
      </w:r>
      <w:r w:rsidR="006055C4" w:rsidRPr="006055C4">
        <w:rPr>
          <w:i/>
        </w:rPr>
        <w:t>theory goes nowhere</w:t>
      </w:r>
      <w:r w:rsidR="006055C4">
        <w:t>”</w:t>
      </w:r>
      <w:r w:rsidR="006055C4">
        <w:rPr>
          <w:rStyle w:val="FootnoteReference"/>
        </w:rPr>
        <w:footnoteReference w:id="106"/>
      </w:r>
      <w:r w:rsidR="00B5707B">
        <w:t xml:space="preserve"> </w:t>
      </w:r>
      <w:r w:rsidR="006055C4">
        <w:t>Priban, is correct i</w:t>
      </w:r>
      <w:r>
        <w:t>n his identification of force “as the foundation of all politics and law” and the fundamental perspective of Fish’s concept, in that</w:t>
      </w:r>
      <w:r w:rsidR="00A72A2D">
        <w:t>,</w:t>
      </w:r>
      <w:r>
        <w:t xml:space="preserve"> interpretation equals force, and force equates to control, these two elements are fundamental according to Fish, despite the conti</w:t>
      </w:r>
      <w:r w:rsidR="00B5707B">
        <w:t xml:space="preserve">ngency of their extensions.   </w:t>
      </w:r>
    </w:p>
    <w:p w:rsidR="00B56E5E" w:rsidRDefault="00B56E5E" w:rsidP="00F9402F">
      <w:pPr>
        <w:pStyle w:val="Heading1"/>
      </w:pPr>
      <w:bookmarkStart w:id="14" w:name="_Toc324252593"/>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B56E5E" w:rsidRDefault="00B56E5E" w:rsidP="00F9402F">
      <w:pPr>
        <w:pStyle w:val="Heading1"/>
      </w:pPr>
    </w:p>
    <w:p w:rsidR="005C3FE1" w:rsidRDefault="00F9402F" w:rsidP="00F9402F">
      <w:pPr>
        <w:pStyle w:val="Heading1"/>
      </w:pPr>
      <w:r>
        <w:lastRenderedPageBreak/>
        <w:t>Chapter Four.</w:t>
      </w:r>
      <w:bookmarkEnd w:id="14"/>
    </w:p>
    <w:p w:rsidR="00D1438E" w:rsidRDefault="00F9402F" w:rsidP="00D1438E">
      <w:pPr>
        <w:pStyle w:val="Heading2"/>
      </w:pPr>
      <w:bookmarkStart w:id="15" w:name="_Toc324252594"/>
      <w:r>
        <w:t>Stanley Fish and Niklas Luhmann.</w:t>
      </w:r>
      <w:bookmarkEnd w:id="15"/>
    </w:p>
    <w:p w:rsidR="00D1438E" w:rsidRPr="00D1438E" w:rsidRDefault="00D1438E" w:rsidP="00D1438E"/>
    <w:p w:rsidR="00D1438E" w:rsidRDefault="00F951F3" w:rsidP="00D1438E">
      <w:pPr>
        <w:spacing w:after="0"/>
      </w:pPr>
      <w:r>
        <w:t>Within this</w:t>
      </w:r>
      <w:r w:rsidR="00D1438E">
        <w:t xml:space="preserve"> </w:t>
      </w:r>
      <w:r>
        <w:t xml:space="preserve">critique of Fish, Priban </w:t>
      </w:r>
      <w:r w:rsidR="00D1438E">
        <w:t>writes a short supplementary</w:t>
      </w:r>
      <w:r w:rsidR="009C1EA6">
        <w:t xml:space="preserve"> </w:t>
      </w:r>
      <w:r w:rsidR="00D1438E">
        <w:t>chapter, where he likens specific elements of Fish’s anti-foundationalist concepts to Niklas Luhm</w:t>
      </w:r>
      <w:r>
        <w:t>ann’s autopoietic social theory,</w:t>
      </w:r>
      <w:r w:rsidR="00D1438E">
        <w:t xml:space="preserve"> which is in fact Priban’s main research area, having published a multitude of articles throughout his career on Luhmann’s autopoietic theory and law.  </w:t>
      </w:r>
    </w:p>
    <w:p w:rsidR="00D1438E" w:rsidRDefault="00D1438E" w:rsidP="00D1438E">
      <w:r>
        <w:t>In this chapter</w:t>
      </w:r>
      <w:r w:rsidR="00F951F3">
        <w:t>,</w:t>
      </w:r>
      <w:r>
        <w:t xml:space="preserve"> I would like to explore some of these concepts to illustrate the unique nature of several of Fish’s anti-foundationalist perspectives, and additionally examine the connection between Luhmann and Derrida, through Gunther Teubner’s article entitled: Economics of Gift</w:t>
      </w:r>
      <w:r w:rsidRPr="005C5755">
        <w:rPr>
          <w:i/>
        </w:rPr>
        <w:t>—</w:t>
      </w:r>
      <w:r>
        <w:t xml:space="preserve">Positivity of Justice: </w:t>
      </w:r>
      <w:r w:rsidRPr="003E1454">
        <w:t>The</w:t>
      </w:r>
      <w:r>
        <w:t xml:space="preserve"> Mutual P</w:t>
      </w:r>
      <w:r w:rsidRPr="003E1454">
        <w:t>aranoia of Jacques</w:t>
      </w:r>
      <w:r>
        <w:t xml:space="preserve"> Derrida and Niklas L</w:t>
      </w:r>
      <w:r w:rsidRPr="003E1454">
        <w:t>uhmann</w:t>
      </w:r>
      <w:r>
        <w:rPr>
          <w:rStyle w:val="FootnoteReference"/>
        </w:rPr>
        <w:footnoteReference w:id="107"/>
      </w:r>
      <w:r>
        <w:t>.</w:t>
      </w:r>
    </w:p>
    <w:p w:rsidR="00D1438E" w:rsidRDefault="00D1438E" w:rsidP="00D1438E">
      <w:pPr>
        <w:spacing w:after="0"/>
      </w:pPr>
      <w:r>
        <w:t>Beginning with Priban’s examination; an element of Fish’s anti-foundationalist approach, (previously mentioned in only a small amount of detail), was the notion of forgetting, and the role it plays in Fish’s theory of legal practices.</w:t>
      </w:r>
    </w:p>
    <w:p w:rsidR="00D1438E" w:rsidRDefault="00D1438E" w:rsidP="00D1438E">
      <w:r>
        <w:t>Here</w:t>
      </w:r>
      <w:r w:rsidR="00F951F3">
        <w:t>,</w:t>
      </w:r>
      <w:r>
        <w:t xml:space="preserve"> Fish states that once a  legal discourse</w:t>
      </w:r>
      <w:r w:rsidR="009C1EA6">
        <w:t xml:space="preserve"> </w:t>
      </w:r>
      <w:r>
        <w:t>has been interpreted (and therefore its meaning constrained), the legal practice subsequently adjusts social interpretations to align or conform with that legal interpretation, and then simultaneously forget this adjustment. Fish states that this must happen within any given system, as it is not theoretical knowledge and rhetoric that determines the features of the law,- it is the complex relationship between societ</w:t>
      </w:r>
      <w:r w:rsidR="00F951F3">
        <w:t>al system’s and  legal practice</w:t>
      </w:r>
      <w:r>
        <w:t xml:space="preserve"> which shape societal interpretation</w:t>
      </w:r>
      <w:r w:rsidR="00F951F3">
        <w:t>,</w:t>
      </w:r>
      <w:r>
        <w:t xml:space="preserve"> to accept the legal and judicial interpretation that it has been given. And yet</w:t>
      </w:r>
      <w:r w:rsidR="00F951F3">
        <w:t>,</w:t>
      </w:r>
      <w:r>
        <w:t xml:space="preserve"> while this complex shaping goes on, the adjustment is hidden and forgotten</w:t>
      </w:r>
      <w:r>
        <w:rPr>
          <w:rStyle w:val="FootnoteReference"/>
        </w:rPr>
        <w:footnoteReference w:id="108"/>
      </w:r>
      <w:r>
        <w:t>.</w:t>
      </w:r>
    </w:p>
    <w:p w:rsidR="00D1438E" w:rsidRDefault="00D1438E" w:rsidP="00F951F3">
      <w:pPr>
        <w:spacing w:after="0"/>
      </w:pPr>
      <w:r>
        <w:t>The system and law, interact this way to ensure, as Priban states: “</w:t>
      </w:r>
      <w:r w:rsidRPr="000E3407">
        <w:rPr>
          <w:i/>
        </w:rPr>
        <w:t xml:space="preserve">reduce the variability of social action and define the system relevance of </w:t>
      </w:r>
      <w:r w:rsidR="009C1EA6" w:rsidRPr="000E3407">
        <w:rPr>
          <w:i/>
        </w:rPr>
        <w:t>behaviour</w:t>
      </w:r>
      <w:r>
        <w:t>”</w:t>
      </w:r>
      <w:r>
        <w:rPr>
          <w:rStyle w:val="FootnoteReference"/>
        </w:rPr>
        <w:footnoteReference w:id="109"/>
      </w:r>
      <w:r>
        <w:t xml:space="preserve">. (or put in another way), This interaction takes place to ensure the </w:t>
      </w:r>
      <w:r w:rsidR="009C1EA6">
        <w:t>behaviour</w:t>
      </w:r>
      <w:r>
        <w:t xml:space="preserve"> and actions of society are refined, the pluralities are reduced, allowing the social system to streamline and control</w:t>
      </w:r>
      <w:r w:rsidR="00F951F3">
        <w:t xml:space="preserve"> future outcomes, through the component of law. </w:t>
      </w:r>
      <w:r>
        <w:t>Additionally, Fish se</w:t>
      </w:r>
      <w:r w:rsidR="00F951F3">
        <w:t>ems to expand this illustration</w:t>
      </w:r>
      <w:r>
        <w:t xml:space="preserve"> to suggest that</w:t>
      </w:r>
      <w:r w:rsidRPr="005C5755">
        <w:rPr>
          <w:i/>
        </w:rPr>
        <w:t>—</w:t>
      </w:r>
      <w:r>
        <w:t xml:space="preserve">  “</w:t>
      </w:r>
      <w:r w:rsidRPr="00B275B2">
        <w:rPr>
          <w:i/>
        </w:rPr>
        <w:t>the truth one would know has already receded behind the formulations it makes possible</w:t>
      </w:r>
      <w:r>
        <w:t>”</w:t>
      </w:r>
      <w:r>
        <w:rPr>
          <w:rStyle w:val="FootnoteReference"/>
        </w:rPr>
        <w:footnoteReference w:id="110"/>
      </w:r>
      <w:r>
        <w:t xml:space="preserve"> and that “</w:t>
      </w:r>
      <w:r w:rsidRPr="00B275B2">
        <w:rPr>
          <w:i/>
        </w:rPr>
        <w:t>forgetting of the enabling conditions of knowledge, is constitutive of knowledge itself</w:t>
      </w:r>
      <w:r>
        <w:t>”</w:t>
      </w:r>
      <w:r>
        <w:rPr>
          <w:rStyle w:val="FootnoteReference"/>
        </w:rPr>
        <w:footnoteReference w:id="111"/>
      </w:r>
      <w:r>
        <w:t>.</w:t>
      </w:r>
    </w:p>
    <w:p w:rsidR="00D1438E" w:rsidRDefault="00D1438E" w:rsidP="00D1438E">
      <w:r>
        <w:t>This somewhat complex theory, when carried over to Fish’s concept of law</w:t>
      </w:r>
      <w:r w:rsidR="00F951F3">
        <w:t>,</w:t>
      </w:r>
      <w:r>
        <w:t xml:space="preserve"> beco</w:t>
      </w:r>
      <w:r w:rsidR="00F951F3">
        <w:t>mes more coherent</w:t>
      </w:r>
      <w:r>
        <w:t xml:space="preserve"> as Fish is essentially suggesting</w:t>
      </w:r>
      <w:r w:rsidR="00F951F3">
        <w:t>,</w:t>
      </w:r>
      <w:r>
        <w:t xml:space="preserve"> that forgetting, is the mechanism  “</w:t>
      </w:r>
      <w:r w:rsidRPr="00B275B2">
        <w:rPr>
          <w:i/>
        </w:rPr>
        <w:t>for discriminating and isolating all facts that are irrelevant to legal practice</w:t>
      </w:r>
      <w:r>
        <w:t>”</w:t>
      </w:r>
      <w:r>
        <w:rPr>
          <w:rStyle w:val="FootnoteReference"/>
        </w:rPr>
        <w:footnoteReference w:id="112"/>
      </w:r>
      <w:r>
        <w:t>, which allows the law to develop better methods of “action” or practice solely from the legal context.</w:t>
      </w:r>
    </w:p>
    <w:p w:rsidR="00D1438E" w:rsidRDefault="00D1438E" w:rsidP="00D1438E">
      <w:pPr>
        <w:spacing w:after="0"/>
      </w:pPr>
      <w:r>
        <w:t xml:space="preserve">It is this aspect of Fish’s theory that Priban finds so strikingly similar to Luhmann’s autopoietic social systems theory; specifically the reduction of complexity as a means of identifying the “elementary </w:t>
      </w:r>
      <w:r>
        <w:lastRenderedPageBreak/>
        <w:t xml:space="preserve">condition of social </w:t>
      </w:r>
      <w:r w:rsidR="009C1EA6">
        <w:t>behaviour</w:t>
      </w:r>
      <w:r>
        <w:t>”</w:t>
      </w:r>
      <w:r>
        <w:rPr>
          <w:rStyle w:val="FootnoteReference"/>
        </w:rPr>
        <w:footnoteReference w:id="113"/>
      </w:r>
      <w:r>
        <w:t xml:space="preserve"> as in Luhmann’s theory, the social system has two parts, the interior and the exterior.</w:t>
      </w:r>
    </w:p>
    <w:p w:rsidR="00D1438E" w:rsidRDefault="00D1438E" w:rsidP="00D1438E">
      <w:pPr>
        <w:spacing w:after="0"/>
      </w:pPr>
      <w:r>
        <w:t>The interior of a social system, only withdraws a select amount of information from the exterior, in order to create a zone of reduced complexity within the system that contrasts against the “</w:t>
      </w:r>
      <w:r w:rsidRPr="001B2E34">
        <w:rPr>
          <w:i/>
        </w:rPr>
        <w:t>chaotic and infinitely complex nature</w:t>
      </w:r>
      <w:r>
        <w:t>”</w:t>
      </w:r>
      <w:r>
        <w:rPr>
          <w:rStyle w:val="FootnoteReference"/>
        </w:rPr>
        <w:footnoteReference w:id="114"/>
      </w:r>
      <w:r>
        <w:t xml:space="preserve"> of the external.    </w:t>
      </w:r>
    </w:p>
    <w:p w:rsidR="00D1438E" w:rsidRDefault="00D1438E" w:rsidP="00D1438E">
      <w:r>
        <w:t>It bears a close similarity to the model Fish presents for the refining of legal practice</w:t>
      </w:r>
      <w:r w:rsidR="00F951F3">
        <w:t>,</w:t>
      </w:r>
      <w:r>
        <w:t xml:space="preserve"> by harnessing the power of forgetting, this unique development towards the area of sociology and sociology of law, marks Fish out against others such as Goodrich</w:t>
      </w:r>
      <w:r w:rsidR="00F951F3">
        <w:t>,</w:t>
      </w:r>
      <w:r>
        <w:t xml:space="preserve"> whose theories of forgetting connect to rhetoric and logic, as opposed to systems interaction and development through communication. </w:t>
      </w:r>
    </w:p>
    <w:p w:rsidR="00CE53EA" w:rsidRDefault="00D1438E" w:rsidP="00CE53EA">
      <w:pPr>
        <w:spacing w:after="0"/>
      </w:pPr>
      <w:r>
        <w:t xml:space="preserve">Teubner in his article </w:t>
      </w:r>
      <w:r w:rsidRPr="009F2101">
        <w:rPr>
          <w:i/>
        </w:rPr>
        <w:t>Economics of Gift</w:t>
      </w:r>
      <w:r>
        <w:t>, recognize</w:t>
      </w:r>
      <w:r w:rsidR="0087780D">
        <w:t xml:space="preserve">s in a similar fashion to Fish, </w:t>
      </w:r>
      <w:r>
        <w:t>“</w:t>
      </w:r>
      <w:r>
        <w:rPr>
          <w:i/>
        </w:rPr>
        <w:t>inconsistencies…paradoxes and even violence lie at the bottom of the most refined concepts of economic and legal action</w:t>
      </w:r>
      <w:r>
        <w:t>”</w:t>
      </w:r>
      <w:r>
        <w:rPr>
          <w:rStyle w:val="FootnoteReference"/>
        </w:rPr>
        <w:footnoteReference w:id="115"/>
      </w:r>
      <w:r>
        <w:t xml:space="preserve"> and illustrates the mutual point for Derrida and Luhmann </w:t>
      </w:r>
      <w:r w:rsidR="00CE53EA">
        <w:t>to develop</w:t>
      </w:r>
      <w:r>
        <w:t xml:space="preserve"> theories</w:t>
      </w:r>
      <w:r w:rsidR="00F951F3">
        <w:t>,</w:t>
      </w:r>
      <w:r w:rsidR="00CE53EA">
        <w:t xml:space="preserve"> which</w:t>
      </w:r>
      <w:r>
        <w:t xml:space="preserve"> acknowledg</w:t>
      </w:r>
      <w:r w:rsidR="00CE53EA">
        <w:t>e</w:t>
      </w:r>
      <w:r>
        <w:t xml:space="preserve"> the paradoxes of law</w:t>
      </w:r>
      <w:r w:rsidR="00CE53EA">
        <w:t xml:space="preserve">, </w:t>
      </w:r>
      <w:r w:rsidR="0087780D">
        <w:t xml:space="preserve"> and consequently </w:t>
      </w:r>
      <w:r w:rsidR="00CE53EA">
        <w:t>have an effect of</w:t>
      </w:r>
      <w:r>
        <w:t xml:space="preserve"> “</w:t>
      </w:r>
      <w:r w:rsidRPr="00EA4F8F">
        <w:rPr>
          <w:i/>
        </w:rPr>
        <w:t>destroy</w:t>
      </w:r>
      <w:r w:rsidR="00CE53EA">
        <w:rPr>
          <w:i/>
        </w:rPr>
        <w:t>ing</w:t>
      </w:r>
      <w:r w:rsidRPr="00EA4F8F">
        <w:rPr>
          <w:i/>
        </w:rPr>
        <w:t xml:space="preserve"> their </w:t>
      </w:r>
      <w:r>
        <w:rPr>
          <w:i/>
        </w:rPr>
        <w:t>legitimacy</w:t>
      </w:r>
      <w:r>
        <w:t>”</w:t>
      </w:r>
      <w:r>
        <w:rPr>
          <w:rStyle w:val="FootnoteReference"/>
        </w:rPr>
        <w:footnoteReference w:id="116"/>
      </w:r>
      <w:r w:rsidR="00CE53EA">
        <w:t xml:space="preserve"> as systems. </w:t>
      </w:r>
    </w:p>
    <w:p w:rsidR="00CE53EA" w:rsidRDefault="00D1438E" w:rsidP="00D1438E">
      <w:r>
        <w:t>Fish’s theories address this paradox to some extent,</w:t>
      </w:r>
      <w:r w:rsidR="0087780D">
        <w:t xml:space="preserve"> by</w:t>
      </w:r>
      <w:r>
        <w:t xml:space="preserve"> acknowledging </w:t>
      </w:r>
      <w:r w:rsidR="0087780D">
        <w:t>the impossibility</w:t>
      </w:r>
      <w:r w:rsidR="009C1EA6">
        <w:t xml:space="preserve"> </w:t>
      </w:r>
      <w:r w:rsidR="0087780D">
        <w:t>of</w:t>
      </w:r>
      <w:r w:rsidR="009C1EA6">
        <w:t xml:space="preserve"> </w:t>
      </w:r>
      <w:r w:rsidR="0087780D">
        <w:t>escaping the power of</w:t>
      </w:r>
      <w:r w:rsidR="00AD0D31">
        <w:t xml:space="preserve"> force</w:t>
      </w:r>
      <w:r w:rsidRPr="005C5755">
        <w:rPr>
          <w:i/>
        </w:rPr>
        <w:t>—</w:t>
      </w:r>
      <w:r>
        <w:rPr>
          <w:i/>
        </w:rPr>
        <w:t>“</w:t>
      </w:r>
      <w:r w:rsidRPr="005C5755">
        <w:rPr>
          <w:i/>
        </w:rPr>
        <w:t>force is already</w:t>
      </w:r>
      <w:r>
        <w:rPr>
          <w:i/>
        </w:rPr>
        <w:t xml:space="preserve"> i</w:t>
      </w:r>
      <w:r w:rsidRPr="005C5755">
        <w:rPr>
          <w:i/>
        </w:rPr>
        <w:t>nside the gate because force is the gate</w:t>
      </w:r>
      <w:r>
        <w:rPr>
          <w:i/>
        </w:rPr>
        <w:t>”</w:t>
      </w:r>
      <w:r>
        <w:rPr>
          <w:rStyle w:val="FootnoteReference"/>
          <w:i/>
        </w:rPr>
        <w:footnoteReference w:id="117"/>
      </w:r>
      <w:r>
        <w:rPr>
          <w:i/>
        </w:rPr>
        <w:t xml:space="preserve">. </w:t>
      </w:r>
      <w:r>
        <w:t>This paradoxical</w:t>
      </w:r>
      <w:r w:rsidR="0087780D">
        <w:t xml:space="preserve"> statement, of a somewhat</w:t>
      </w:r>
      <w:r>
        <w:t xml:space="preserve"> closed nature </w:t>
      </w:r>
      <w:r w:rsidR="0087780D">
        <w:t>resembles</w:t>
      </w:r>
      <w:r w:rsidR="00CE53EA">
        <w:t>,</w:t>
      </w:r>
      <w:r>
        <w:t xml:space="preserve"> as Priban recognises</w:t>
      </w:r>
      <w:r w:rsidR="00CE53EA">
        <w:t>,</w:t>
      </w:r>
      <w:r>
        <w:t xml:space="preserve"> “</w:t>
      </w:r>
      <w:r w:rsidRPr="00ED2DF6">
        <w:rPr>
          <w:i/>
        </w:rPr>
        <w:t>the main characteristic feature of autopoietic systems</w:t>
      </w:r>
      <w:r>
        <w:t>”</w:t>
      </w:r>
      <w:r>
        <w:rPr>
          <w:rStyle w:val="FootnoteReference"/>
        </w:rPr>
        <w:footnoteReference w:id="118"/>
      </w:r>
      <w:r>
        <w:t>.</w:t>
      </w:r>
    </w:p>
    <w:p w:rsidR="00152E57" w:rsidRDefault="0087780D" w:rsidP="00D1438E">
      <w:r>
        <w:t>Fish and Derrida have in this paper, been previously contrasted on a number of issues, the c</w:t>
      </w:r>
      <w:r w:rsidR="00152E57">
        <w:t>oncept of autopoietic systems is,</w:t>
      </w:r>
      <w:r>
        <w:t xml:space="preserve"> to some extent, no different to the analysis conducted previously, as Derrida’s concepts bear some similarity to those of Fish, however they depart on a number of key elements, </w:t>
      </w:r>
      <w:r w:rsidR="00152E57">
        <w:t>the most significant</w:t>
      </w:r>
      <w:r>
        <w:t xml:space="preserve"> being that Derrida’s concepts of “</w:t>
      </w:r>
      <w:r w:rsidRPr="0087780D">
        <w:rPr>
          <w:i/>
        </w:rPr>
        <w:t>the indecipherable…distinction between justice…both mythical and divine</w:t>
      </w:r>
      <w:r>
        <w:rPr>
          <w:i/>
        </w:rPr>
        <w:t xml:space="preserve"> violence</w:t>
      </w:r>
      <w:r w:rsidRPr="0087780D">
        <w:rPr>
          <w:i/>
        </w:rPr>
        <w:t>…and positivity…which is in effect a delegation to an infinite responsibility</w:t>
      </w:r>
      <w:r>
        <w:t>”</w:t>
      </w:r>
      <w:r w:rsidR="00152E57">
        <w:rPr>
          <w:rStyle w:val="FootnoteReference"/>
        </w:rPr>
        <w:footnoteReference w:id="119"/>
      </w:r>
      <w:r w:rsidR="00152E57">
        <w:t>is devoid of any foundation,</w:t>
      </w:r>
      <w:r w:rsidR="00DF3D0D">
        <w:t xml:space="preserve"> and</w:t>
      </w:r>
      <w:r w:rsidR="00152E57">
        <w:t xml:space="preserve"> is entirely situated in abstract notions, as Teubner illustrates</w:t>
      </w:r>
      <w:r w:rsidR="00DF3D0D">
        <w:t xml:space="preserve"> above</w:t>
      </w:r>
      <w:r w:rsidR="00152E57">
        <w:t xml:space="preserve"> in Derrida’s conclusion </w:t>
      </w:r>
      <w:r w:rsidR="00DF3D0D">
        <w:t>where</w:t>
      </w:r>
      <w:r w:rsidR="009C1EA6">
        <w:t xml:space="preserve"> </w:t>
      </w:r>
      <w:r w:rsidR="00DF3D0D">
        <w:t xml:space="preserve">legal practice has an </w:t>
      </w:r>
      <w:r w:rsidR="00152E57">
        <w:t xml:space="preserve">infinite responsibility to quantify an unquantifiable notion of justice. </w:t>
      </w:r>
    </w:p>
    <w:p w:rsidR="00DF3D0D" w:rsidRDefault="00DF3D0D" w:rsidP="00DF3D0D">
      <w:pPr>
        <w:spacing w:after="0"/>
      </w:pPr>
      <w:r>
        <w:t xml:space="preserve">Concepts such as these, have </w:t>
      </w:r>
      <w:r w:rsidR="00152E57">
        <w:t>led me to label Derrida</w:t>
      </w:r>
      <w:r>
        <w:t>, in</w:t>
      </w:r>
      <w:r w:rsidR="009C1EA6">
        <w:t xml:space="preserve"> </w:t>
      </w:r>
      <w:r>
        <w:t xml:space="preserve">previous comparisons </w:t>
      </w:r>
      <w:r w:rsidR="00152E57">
        <w:t>as “more radical” that Fish, which is</w:t>
      </w:r>
      <w:r w:rsidR="00F951F3">
        <w:t xml:space="preserve"> similarly,</w:t>
      </w:r>
      <w:r w:rsidR="00152E57">
        <w:t xml:space="preserve"> the key difference in Fish and Derrida’s concepts of social systems justice. </w:t>
      </w:r>
    </w:p>
    <w:p w:rsidR="00E302D8" w:rsidRDefault="00152E57" w:rsidP="00D1438E">
      <w:r>
        <w:t>Fish forages into this area in “</w:t>
      </w:r>
      <w:r w:rsidR="00DF3D0D">
        <w:rPr>
          <w:i/>
        </w:rPr>
        <w:t>Doing What Comes N</w:t>
      </w:r>
      <w:r>
        <w:rPr>
          <w:i/>
        </w:rPr>
        <w:t>aturally”</w:t>
      </w:r>
      <w:r>
        <w:t xml:space="preserve"> often under different headings, but nonetheless derives some inspiration from L</w:t>
      </w:r>
      <w:r w:rsidR="00DF3D0D">
        <w:t xml:space="preserve">uhmann and legal social theory, however he limits his notions to the realm of law and force, additionally abstract, but only to the extent that (in Fish’s concepts) the law is a pragmatic instrument, that requires an acceptance of certain elements in order to maintain the functioning of society, and thus has some foundation that can be quantified.  </w:t>
      </w:r>
    </w:p>
    <w:p w:rsidR="00CB5E0A" w:rsidRDefault="00DF3D0D" w:rsidP="00E302D8">
      <w:pPr>
        <w:spacing w:after="0"/>
      </w:pPr>
      <w:r>
        <w:t xml:space="preserve">Priban develops the notion of </w:t>
      </w:r>
      <w:r w:rsidRPr="00DF3D0D">
        <w:t xml:space="preserve">autopoiesis </w:t>
      </w:r>
      <w:r>
        <w:t xml:space="preserve">in Fish’s anti-foundationalist concepts, </w:t>
      </w:r>
      <w:r w:rsidR="00AD0D31">
        <w:t xml:space="preserve">by </w:t>
      </w:r>
      <w:r>
        <w:t>illustrating a</w:t>
      </w:r>
      <w:r w:rsidR="00AD0D31">
        <w:t>n additional</w:t>
      </w:r>
      <w:r>
        <w:t xml:space="preserve"> similarity between Luhmann’s </w:t>
      </w:r>
      <w:r w:rsidR="00AD0D31">
        <w:t xml:space="preserve">difficulty in translating a template of morality into legal </w:t>
      </w:r>
      <w:r w:rsidR="00AD0D31">
        <w:lastRenderedPageBreak/>
        <w:t>conflict</w:t>
      </w:r>
      <w:r w:rsidR="00AD0D31">
        <w:rPr>
          <w:rStyle w:val="FootnoteReference"/>
        </w:rPr>
        <w:footnoteReference w:id="120"/>
      </w:r>
      <w:r w:rsidR="00AD0D31">
        <w:t xml:space="preserve"> and Fish’s pragmatic rejection of morality in legal practice</w:t>
      </w:r>
      <w:r w:rsidR="00AD0D31" w:rsidRPr="005C5755">
        <w:rPr>
          <w:i/>
        </w:rPr>
        <w:t>—</w:t>
      </w:r>
      <w:r w:rsidR="00AD0D31">
        <w:rPr>
          <w:i/>
        </w:rPr>
        <w:t>“preferred outcomes are to be achieved, not by changing the game but by playing it more effectively”</w:t>
      </w:r>
      <w:r w:rsidR="00AD0D31">
        <w:rPr>
          <w:rStyle w:val="FootnoteReference"/>
        </w:rPr>
        <w:footnoteReference w:id="121"/>
      </w:r>
      <w:r w:rsidR="00E302D8">
        <w:t xml:space="preserve"> and as Teubner illustrates in Luhmann’s theory “</w:t>
      </w:r>
      <w:r w:rsidR="00E302D8">
        <w:rPr>
          <w:i/>
        </w:rPr>
        <w:t>nor is justice.. [of] moral value”</w:t>
      </w:r>
      <w:r w:rsidR="00E302D8">
        <w:rPr>
          <w:rStyle w:val="FootnoteReference"/>
          <w:i/>
        </w:rPr>
        <w:footnoteReference w:id="122"/>
      </w:r>
      <w:r w:rsidR="00E302D8">
        <w:rPr>
          <w:i/>
        </w:rPr>
        <w:t xml:space="preserve">. </w:t>
      </w:r>
    </w:p>
    <w:p w:rsidR="00CB5E0A" w:rsidRDefault="00CB5E0A" w:rsidP="00E302D8">
      <w:pPr>
        <w:spacing w:after="0"/>
      </w:pPr>
    </w:p>
    <w:p w:rsidR="00093504" w:rsidRDefault="00CB5E0A" w:rsidP="00E302D8">
      <w:pPr>
        <w:spacing w:after="0"/>
      </w:pPr>
      <w:r>
        <w:t>This similarity between Luhmann and Fish, illustrates how unique Fish’s concepts are in his anti-foundationalist approach to law, in opposition to other anti-foundationalist theorists such as Rorty and Derrida, however raising this point, leads to difficulties I have already outlined at some length; essentially the difficulty in designating a particular philosopher as “anti-foundationalist”, “post-structuralist” and similar titles, as bracketing the concepts and theories of any one of the notable theorist I have mentioned</w:t>
      </w:r>
      <w:r w:rsidR="00093504">
        <w:t>, to any single school of though is relatively impossible, and therefore illustrates that philosopher’s mentioned never intended to have their work constrained in such a way.</w:t>
      </w:r>
    </w:p>
    <w:p w:rsidR="00593070" w:rsidRPr="00CB5E0A" w:rsidRDefault="00093504" w:rsidP="00E302D8">
      <w:pPr>
        <w:spacing w:after="0"/>
      </w:pPr>
      <w:r>
        <w:t>The implication of this regarding Fish’s concepts, theori</w:t>
      </w:r>
      <w:r w:rsidR="00111EC9">
        <w:t>es and perspectives is that his</w:t>
      </w:r>
      <w:r>
        <w:t xml:space="preserve"> incorporat</w:t>
      </w:r>
      <w:r w:rsidR="00111EC9">
        <w:t>ion</w:t>
      </w:r>
      <w:r w:rsidR="009C1EA6">
        <w:t xml:space="preserve"> </w:t>
      </w:r>
      <w:r w:rsidR="00111EC9">
        <w:t xml:space="preserve">of </w:t>
      </w:r>
      <w:r>
        <w:t xml:space="preserve">elements </w:t>
      </w:r>
      <w:r w:rsidR="00111EC9">
        <w:t>from</w:t>
      </w:r>
      <w:r>
        <w:t xml:space="preserve"> many areas, </w:t>
      </w:r>
      <w:r w:rsidR="00111EC9">
        <w:t xml:space="preserve">such as </w:t>
      </w:r>
      <w:r>
        <w:t xml:space="preserve">autopoiesis and social systems theory </w:t>
      </w:r>
      <w:r w:rsidR="00111EC9">
        <w:t>has the effect of strengthening</w:t>
      </w:r>
      <w:r w:rsidR="002E64B9">
        <w:t xml:space="preserve"> the force of</w:t>
      </w:r>
      <w:r w:rsidR="00111EC9">
        <w:t xml:space="preserve"> his global concept</w:t>
      </w:r>
      <w:r w:rsidR="002E64B9">
        <w:t>,</w:t>
      </w:r>
      <w:r w:rsidR="00111EC9">
        <w:t xml:space="preserve"> by persuasively illustrating a dynamic theory, that factors in a number of perspectives, satisfying and neutralizing a wide variety of readers, despite some weaknesses and limitations (which are addressed </w:t>
      </w:r>
      <w:r w:rsidR="002E64B9">
        <w:t xml:space="preserve">subsequently </w:t>
      </w:r>
      <w:r w:rsidR="00111EC9">
        <w:t xml:space="preserve">in the conclusion). </w:t>
      </w:r>
    </w:p>
    <w:p w:rsidR="00355F85" w:rsidRDefault="00355F85" w:rsidP="0083463C"/>
    <w:p w:rsidR="00355F85" w:rsidRDefault="00355F85" w:rsidP="0083463C"/>
    <w:p w:rsidR="00640C63" w:rsidRDefault="00640C63" w:rsidP="0083463C"/>
    <w:p w:rsidR="00640C63" w:rsidRDefault="00640C63" w:rsidP="0083463C"/>
    <w:p w:rsidR="00640C63" w:rsidRDefault="00640C63" w:rsidP="0083463C"/>
    <w:p w:rsidR="00640C63" w:rsidRDefault="00640C63" w:rsidP="0083463C"/>
    <w:p w:rsidR="00871EA6" w:rsidRDefault="00871EA6" w:rsidP="00D54168">
      <w:pPr>
        <w:pStyle w:val="Heading1"/>
        <w:rPr>
          <w:rFonts w:asciiTheme="minorHAnsi" w:eastAsiaTheme="minorEastAsia" w:hAnsiTheme="minorHAnsi" w:cstheme="minorBidi"/>
          <w:b w:val="0"/>
          <w:bCs w:val="0"/>
          <w:sz w:val="22"/>
          <w:szCs w:val="22"/>
        </w:rPr>
      </w:pPr>
    </w:p>
    <w:p w:rsidR="00F951F3" w:rsidRDefault="00F951F3" w:rsidP="00F951F3"/>
    <w:p w:rsidR="00F951F3" w:rsidRDefault="00F951F3" w:rsidP="00F951F3"/>
    <w:p w:rsidR="00B56E5E" w:rsidRDefault="00B56E5E" w:rsidP="00D54168">
      <w:pPr>
        <w:pStyle w:val="Heading1"/>
        <w:rPr>
          <w:rFonts w:asciiTheme="minorHAnsi" w:eastAsiaTheme="minorEastAsia" w:hAnsiTheme="minorHAnsi" w:cstheme="minorBidi"/>
          <w:b w:val="0"/>
          <w:bCs w:val="0"/>
          <w:sz w:val="22"/>
          <w:szCs w:val="22"/>
        </w:rPr>
      </w:pPr>
      <w:bookmarkStart w:id="16" w:name="_Toc324252595"/>
    </w:p>
    <w:p w:rsidR="003C7BB7" w:rsidRDefault="003C7BB7" w:rsidP="00D54168">
      <w:pPr>
        <w:pStyle w:val="Heading1"/>
      </w:pPr>
    </w:p>
    <w:p w:rsidR="003C7BB7" w:rsidRDefault="003C7BB7" w:rsidP="00D54168">
      <w:pPr>
        <w:pStyle w:val="Heading1"/>
      </w:pPr>
    </w:p>
    <w:p w:rsidR="003C7BB7" w:rsidRDefault="003C7BB7" w:rsidP="00D54168">
      <w:pPr>
        <w:pStyle w:val="Heading1"/>
      </w:pPr>
    </w:p>
    <w:p w:rsidR="003C7BB7" w:rsidRDefault="003C7BB7" w:rsidP="00D54168">
      <w:pPr>
        <w:pStyle w:val="Heading1"/>
      </w:pPr>
    </w:p>
    <w:p w:rsidR="003C7BB7" w:rsidRDefault="003C7BB7" w:rsidP="00D54168">
      <w:pPr>
        <w:pStyle w:val="Heading1"/>
      </w:pPr>
    </w:p>
    <w:p w:rsidR="003C7BB7" w:rsidRDefault="003C7BB7" w:rsidP="00D54168">
      <w:pPr>
        <w:pStyle w:val="Heading1"/>
      </w:pPr>
    </w:p>
    <w:p w:rsidR="00D54168" w:rsidRDefault="00D54168" w:rsidP="00D54168">
      <w:pPr>
        <w:pStyle w:val="Heading1"/>
      </w:pPr>
      <w:r>
        <w:lastRenderedPageBreak/>
        <w:t>Chapter Five.</w:t>
      </w:r>
      <w:bookmarkEnd w:id="16"/>
    </w:p>
    <w:p w:rsidR="00D54168" w:rsidRDefault="00D54168" w:rsidP="00D54168">
      <w:pPr>
        <w:pStyle w:val="Heading2"/>
      </w:pPr>
      <w:bookmarkStart w:id="17" w:name="_Toc324252596"/>
      <w:r>
        <w:t>Conclusion.</w:t>
      </w:r>
      <w:bookmarkEnd w:id="17"/>
    </w:p>
    <w:p w:rsidR="00C50BBB" w:rsidRDefault="00C50BBB" w:rsidP="00C50BBB"/>
    <w:p w:rsidR="00E7253E" w:rsidRDefault="00C50BBB" w:rsidP="00C50BBB">
      <w:r>
        <w:t>Priban</w:t>
      </w:r>
      <w:r w:rsidR="00E7253E">
        <w:t>,</w:t>
      </w:r>
      <w:r>
        <w:t xml:space="preserve"> begins his conclusion by addressing a key criticism of Fish’s concept of </w:t>
      </w:r>
      <w:r w:rsidR="00621AE3">
        <w:t>force</w:t>
      </w:r>
      <w:r>
        <w:t xml:space="preserve">, suggesting that if Fish is correct and contingency is a core aspect of </w:t>
      </w:r>
      <w:r w:rsidR="00621AE3">
        <w:t>all law and theory, then surely Fish must have been able to develop his concept from a position that was exempt from contingency</w:t>
      </w:r>
      <w:r w:rsidR="00621AE3">
        <w:rPr>
          <w:rStyle w:val="FootnoteReference"/>
        </w:rPr>
        <w:footnoteReference w:id="123"/>
      </w:r>
      <w:r w:rsidR="00B95810">
        <w:t>.  Priban to</w:t>
      </w:r>
      <w:r w:rsidR="00621AE3">
        <w:t xml:space="preserve"> reinforc</w:t>
      </w:r>
      <w:r w:rsidR="00B95810">
        <w:t>e this point, quotes Fish’s remarks in “</w:t>
      </w:r>
      <w:r w:rsidR="00B95810">
        <w:rPr>
          <w:i/>
        </w:rPr>
        <w:t>Doing what Comes Naturally”</w:t>
      </w:r>
      <w:r w:rsidR="00B95810" w:rsidRPr="005C5755">
        <w:rPr>
          <w:i/>
        </w:rPr>
        <w:t>—</w:t>
      </w:r>
      <w:r w:rsidR="00B95810">
        <w:rPr>
          <w:i/>
        </w:rPr>
        <w:t>“the point is there is no point”,</w:t>
      </w:r>
      <w:r w:rsidR="00B95810">
        <w:t xml:space="preserve"> however this remark raised by Priban is not only in</w:t>
      </w:r>
      <w:r w:rsidR="00E7253E">
        <w:t>correct but also out of context.</w:t>
      </w:r>
      <w:r w:rsidR="00B95810">
        <w:t xml:space="preserve"> Fish raises Priban’s criticism himself</w:t>
      </w:r>
      <w:r w:rsidR="00E7253E">
        <w:t>,</w:t>
      </w:r>
      <w:r w:rsidR="00B95810">
        <w:t xml:space="preserve"> in his own book, and replies “</w:t>
      </w:r>
      <w:r w:rsidR="00B95810" w:rsidRPr="00B95810">
        <w:rPr>
          <w:i/>
        </w:rPr>
        <w:t>the thesis that theory goes nowhere is itself a thesis that can go nowhere</w:t>
      </w:r>
      <w:r w:rsidR="00B95810">
        <w:t>”</w:t>
      </w:r>
      <w:r w:rsidR="00B95810">
        <w:rPr>
          <w:rStyle w:val="FootnoteReference"/>
        </w:rPr>
        <w:footnoteReference w:id="124"/>
      </w:r>
      <w:r w:rsidR="00B95810">
        <w:t>, and additionally clarifies “</w:t>
      </w:r>
      <w:r w:rsidR="00B95810">
        <w:rPr>
          <w:i/>
        </w:rPr>
        <w:t>the smallness of the point is what makes people who have hopes for theory unhappy”</w:t>
      </w:r>
      <w:r w:rsidR="00AA5CFC">
        <w:rPr>
          <w:rStyle w:val="FootnoteReference"/>
          <w:i/>
        </w:rPr>
        <w:footnoteReference w:id="125"/>
      </w:r>
      <w:r w:rsidR="00AA5CFC">
        <w:rPr>
          <w:i/>
        </w:rPr>
        <w:t>.</w:t>
      </w:r>
      <w:r w:rsidR="00E7253E">
        <w:rPr>
          <w:i/>
        </w:rPr>
        <w:t xml:space="preserve"> </w:t>
      </w:r>
      <w:r w:rsidR="00842EE6">
        <w:t>Priban is definitely one of these people, as he has raised this criticism severa</w:t>
      </w:r>
      <w:r w:rsidR="00E7253E">
        <w:t>l times throughout his critique.</w:t>
      </w:r>
    </w:p>
    <w:p w:rsidR="00C50BBB" w:rsidRPr="00C50BBB" w:rsidRDefault="007C4F04" w:rsidP="00C50BBB">
      <w:r>
        <w:t xml:space="preserve"> </w:t>
      </w:r>
      <w:r w:rsidR="00E7253E">
        <w:t xml:space="preserve">However, to some extent, </w:t>
      </w:r>
      <w:r w:rsidR="00842EE6">
        <w:t xml:space="preserve">it is a key </w:t>
      </w:r>
      <w:r>
        <w:t>criticism</w:t>
      </w:r>
      <w:r w:rsidR="00842EE6">
        <w:t xml:space="preserve"> of Fish, as he delves into logical obscurity when questioned on any faults in the fundamental pillars </w:t>
      </w:r>
      <w:r>
        <w:t>his</w:t>
      </w:r>
      <w:r w:rsidR="00842EE6">
        <w:t xml:space="preserve"> ant</w:t>
      </w:r>
      <w:r w:rsidR="00E7253E">
        <w:t>i-foundational concept rests on. Y</w:t>
      </w:r>
      <w:r>
        <w:t xml:space="preserve">et Fish is correct when he states that it is a small point, </w:t>
      </w:r>
      <w:r w:rsidR="00E7253E">
        <w:t xml:space="preserve">and </w:t>
      </w:r>
      <w:r w:rsidR="00D9015E">
        <w:t xml:space="preserve">in a global way, </w:t>
      </w:r>
      <w:r>
        <w:t>its presence does little to discredit his theory as a whole.</w:t>
      </w:r>
    </w:p>
    <w:p w:rsidR="00871EA6" w:rsidRDefault="007C4F04" w:rsidP="00D54168">
      <w:r>
        <w:t>Drawing the elements of Fish’s concept together, his neopragmatic perspective on the force of law</w:t>
      </w:r>
      <w:r w:rsidR="00D9015E">
        <w:t>,</w:t>
      </w:r>
      <w:r>
        <w:t xml:space="preserve"> through constraining interpretation and rhetoric is formed</w:t>
      </w:r>
      <w:r w:rsidR="006055A5">
        <w:t xml:space="preserve"> in a highly persuasive manner, and in some places</w:t>
      </w:r>
      <w:r w:rsidR="009C1EA6">
        <w:t xml:space="preserve"> </w:t>
      </w:r>
      <w:r w:rsidR="006055A5">
        <w:t>in a subtly ironic way, for example the notion of persuasiveness in rhetoric</w:t>
      </w:r>
      <w:r w:rsidR="006055A5" w:rsidRPr="005C5755">
        <w:rPr>
          <w:i/>
        </w:rPr>
        <w:t>—</w:t>
      </w:r>
      <w:r w:rsidR="006055A5">
        <w:t xml:space="preserve"> “</w:t>
      </w:r>
      <w:r w:rsidR="006055A5">
        <w:rPr>
          <w:i/>
        </w:rPr>
        <w:t>nothing</w:t>
      </w:r>
      <w:r w:rsidR="006055A5" w:rsidRPr="006055A5">
        <w:rPr>
          <w:i/>
        </w:rPr>
        <w:t xml:space="preserve"> succeeds </w:t>
      </w:r>
      <w:r w:rsidR="006055A5">
        <w:rPr>
          <w:i/>
        </w:rPr>
        <w:t>like</w:t>
      </w:r>
      <w:r w:rsidR="006055A5" w:rsidRPr="006055A5">
        <w:rPr>
          <w:i/>
        </w:rPr>
        <w:t xml:space="preserve"> success</w:t>
      </w:r>
      <w:r w:rsidR="006055A5">
        <w:t>”</w:t>
      </w:r>
      <w:r w:rsidR="006055A5">
        <w:rPr>
          <w:rStyle w:val="FootnoteReference"/>
        </w:rPr>
        <w:footnoteReference w:id="126"/>
      </w:r>
      <w:r w:rsidR="006055A5">
        <w:t xml:space="preserve">. </w:t>
      </w:r>
    </w:p>
    <w:p w:rsidR="006055A5" w:rsidRDefault="006055A5" w:rsidP="00D54168">
      <w:r>
        <w:t>Priban notes that the heterogeneity of “</w:t>
      </w:r>
      <w:r w:rsidRPr="006055A5">
        <w:rPr>
          <w:i/>
        </w:rPr>
        <w:t>the contemporary world and culture</w:t>
      </w:r>
      <w:r>
        <w:t>”</w:t>
      </w:r>
      <w:r>
        <w:rPr>
          <w:rStyle w:val="FootnoteReference"/>
        </w:rPr>
        <w:footnoteReference w:id="127"/>
      </w:r>
      <w:r w:rsidR="000C5842">
        <w:t xml:space="preserve">causes Fish to conclude that conflict and disputes are an integral part of politics and law, and consequently determine the integral elements of </w:t>
      </w:r>
      <w:r w:rsidR="00D9015E">
        <w:t>his</w:t>
      </w:r>
      <w:r w:rsidR="000C5842">
        <w:t xml:space="preserve"> pragmatic anti-principle “</w:t>
      </w:r>
      <w:r w:rsidR="000C5842" w:rsidRPr="000C5842">
        <w:rPr>
          <w:i/>
        </w:rPr>
        <w:t>of considering each situation as it emerges</w:t>
      </w:r>
      <w:r w:rsidR="000C5842">
        <w:t>”</w:t>
      </w:r>
      <w:r w:rsidR="000C5842">
        <w:rPr>
          <w:rStyle w:val="FootnoteReference"/>
        </w:rPr>
        <w:footnoteReference w:id="128"/>
      </w:r>
      <w:r w:rsidR="000C5842">
        <w:t xml:space="preserve">. I don’t think Priban’s assessment is largely incorrect in this aspect, however it’s </w:t>
      </w:r>
      <w:r w:rsidR="00542FD0">
        <w:t>possible</w:t>
      </w:r>
      <w:r w:rsidR="000C5842">
        <w:t xml:space="preserve"> to say that Fish’s pragmatic stance encompasses a great deal more than the simplistic notion Priban offers, as it takes into account the futility of theory and the rational notion that “</w:t>
      </w:r>
      <w:r w:rsidR="000C5842">
        <w:rPr>
          <w:i/>
        </w:rPr>
        <w:t>Law will take what it needs”</w:t>
      </w:r>
      <w:r w:rsidR="00542FD0">
        <w:rPr>
          <w:rStyle w:val="FootnoteReference"/>
          <w:i/>
        </w:rPr>
        <w:footnoteReference w:id="129"/>
      </w:r>
      <w:r w:rsidR="00D9015E">
        <w:rPr>
          <w:i/>
        </w:rPr>
        <w:t xml:space="preserve"> </w:t>
      </w:r>
      <w:r w:rsidR="000C5842">
        <w:t>in order for it to work</w:t>
      </w:r>
      <w:r w:rsidR="00542FD0">
        <w:t>, accepting the fact that law is required in society, and therefore it</w:t>
      </w:r>
      <w:r w:rsidR="0036641B">
        <w:t xml:space="preserve"> needs to be able to function</w:t>
      </w:r>
      <w:r w:rsidR="00542FD0">
        <w:t xml:space="preserve">, even if it’s very </w:t>
      </w:r>
      <w:r w:rsidR="0036641B">
        <w:t>functioning</w:t>
      </w:r>
      <w:r w:rsidR="00542FD0">
        <w:t xml:space="preserve"> is a formulation of force. </w:t>
      </w:r>
    </w:p>
    <w:p w:rsidR="00542FD0" w:rsidRDefault="00447107" w:rsidP="00D54168">
      <w:r>
        <w:t xml:space="preserve">The concept of forgetting and the role it plays in Fish’s </w:t>
      </w:r>
      <w:r w:rsidR="009D12EA">
        <w:t>illustration</w:t>
      </w:r>
      <w:r>
        <w:t xml:space="preserve"> of Force within the system is</w:t>
      </w:r>
      <w:r w:rsidR="009D12EA">
        <w:t xml:space="preserve"> unique in anti-foundationalism, and encapsulates the human struggle that is central to this form of philosophy. And is well captured in the Orwellian statement Priban cites in an excerpt of Orwell’s well known novel </w:t>
      </w:r>
      <w:r w:rsidR="009D12EA" w:rsidRPr="009D12EA">
        <w:rPr>
          <w:i/>
        </w:rPr>
        <w:t>Nineteen Eighty-Four</w:t>
      </w:r>
      <w:r w:rsidR="009D12EA">
        <w:rPr>
          <w:i/>
        </w:rPr>
        <w:t>,- “whoever controls the past, controls the future, and whoever controls the present, controls the past”</w:t>
      </w:r>
      <w:r w:rsidR="009D12EA">
        <w:rPr>
          <w:rStyle w:val="FootnoteReference"/>
          <w:i/>
        </w:rPr>
        <w:footnoteReference w:id="130"/>
      </w:r>
      <w:r w:rsidR="009D12EA">
        <w:rPr>
          <w:i/>
        </w:rPr>
        <w:t>.</w:t>
      </w:r>
    </w:p>
    <w:p w:rsidR="003C7BB7" w:rsidRDefault="009D12EA" w:rsidP="003C7BB7">
      <w:r>
        <w:lastRenderedPageBreak/>
        <w:t xml:space="preserve">Lastly, Fish’s call </w:t>
      </w:r>
      <w:r w:rsidR="00220586">
        <w:t>for total</w:t>
      </w:r>
      <w:r w:rsidR="009C1EA6">
        <w:t xml:space="preserve"> </w:t>
      </w:r>
      <w:r w:rsidR="00220586">
        <w:t>autonomy</w:t>
      </w:r>
      <w:r w:rsidR="009C1EA6">
        <w:t xml:space="preserve"> </w:t>
      </w:r>
      <w:r w:rsidR="00220586">
        <w:t>of</w:t>
      </w:r>
      <w:r>
        <w:t xml:space="preserve"> the law</w:t>
      </w:r>
      <w:r w:rsidR="00D9015E">
        <w:t>,</w:t>
      </w:r>
      <w:r>
        <w:t xml:space="preserve"> is a direct </w:t>
      </w:r>
      <w:r w:rsidR="00220586">
        <w:t>opposition</w:t>
      </w:r>
      <w:r>
        <w:t xml:space="preserve"> to the attitudes and concepts of </w:t>
      </w:r>
      <w:r w:rsidR="00220586">
        <w:t>critical jurisprudence, who stress it’s importance in understanding and influencing (as Priban phrases) “</w:t>
      </w:r>
      <w:r w:rsidR="00220586">
        <w:rPr>
          <w:i/>
        </w:rPr>
        <w:t>political and ideological struggles”</w:t>
      </w:r>
      <w:r w:rsidR="00220586">
        <w:rPr>
          <w:rStyle w:val="FootnoteReference"/>
          <w:i/>
        </w:rPr>
        <w:footnoteReference w:id="131"/>
      </w:r>
      <w:r w:rsidR="00D9015E">
        <w:rPr>
          <w:i/>
        </w:rPr>
        <w:t xml:space="preserve"> </w:t>
      </w:r>
      <w:r w:rsidR="00D9015E" w:rsidRPr="00D9015E">
        <w:t>through its involvement in a plurality of disciplines</w:t>
      </w:r>
      <w:r w:rsidR="00D9015E">
        <w:t>.</w:t>
      </w:r>
      <w:r w:rsidR="00220586">
        <w:rPr>
          <w:i/>
        </w:rPr>
        <w:t xml:space="preserve"> </w:t>
      </w:r>
      <w:r w:rsidR="00D9015E">
        <w:t>This concept directly</w:t>
      </w:r>
      <w:r w:rsidR="00220586">
        <w:t xml:space="preserve"> contrast</w:t>
      </w:r>
      <w:r w:rsidR="00D9015E">
        <w:t>s</w:t>
      </w:r>
      <w:r w:rsidR="00220586">
        <w:t xml:space="preserve"> with Fish’s notion of law as a closed system, </w:t>
      </w:r>
      <w:r w:rsidR="007E2084">
        <w:t xml:space="preserve">that </w:t>
      </w:r>
      <w:r w:rsidR="00D9015E">
        <w:t>has the capacity</w:t>
      </w:r>
      <w:r w:rsidR="00220586">
        <w:t xml:space="preserve"> (</w:t>
      </w:r>
      <w:r w:rsidR="00D9015E">
        <w:t>potentially</w:t>
      </w:r>
      <w:r w:rsidR="00220586">
        <w:t xml:space="preserve"> drawing parallels to autopoietic systems theory), </w:t>
      </w:r>
      <w:r w:rsidR="00D9015E">
        <w:t xml:space="preserve"> to </w:t>
      </w:r>
      <w:r w:rsidR="00220586">
        <w:t>allow for</w:t>
      </w:r>
      <w:r w:rsidR="00D9015E">
        <w:t xml:space="preserve"> a</w:t>
      </w:r>
      <w:r w:rsidR="00220586">
        <w:t xml:space="preserve"> greater and more comprehensive analysis and understanding</w:t>
      </w:r>
      <w:r w:rsidR="00D9015E">
        <w:t xml:space="preserve"> of the law</w:t>
      </w:r>
      <w:r w:rsidR="00D9015E" w:rsidRPr="005C5755">
        <w:rPr>
          <w:i/>
        </w:rPr>
        <w:t>—</w:t>
      </w:r>
      <w:r w:rsidR="007E2084">
        <w:t xml:space="preserve"> “</w:t>
      </w:r>
      <w:r w:rsidR="007E2084">
        <w:rPr>
          <w:i/>
        </w:rPr>
        <w:t>the differences between ways of thinking…are between structures that are differently closed”</w:t>
      </w:r>
      <w:r w:rsidR="007E2084">
        <w:rPr>
          <w:rStyle w:val="FootnoteReference"/>
          <w:i/>
        </w:rPr>
        <w:footnoteReference w:id="132"/>
      </w:r>
      <w:r w:rsidR="00D9015E">
        <w:rPr>
          <w:i/>
        </w:rPr>
        <w:t>.</w:t>
      </w:r>
      <w:r w:rsidR="00A72A2D">
        <w:t>Fish has</w:t>
      </w:r>
      <w:r w:rsidR="007E2084">
        <w:t xml:space="preserve"> an</w:t>
      </w:r>
      <w:r w:rsidR="00D9015E">
        <w:t xml:space="preserve"> incredibly</w:t>
      </w:r>
      <w:r w:rsidR="007E2084">
        <w:t xml:space="preserve"> enjoyable and persuasive way of writing, and yet</w:t>
      </w:r>
      <w:r w:rsidR="00D9015E">
        <w:t xml:space="preserve"> at times has</w:t>
      </w:r>
      <w:r w:rsidR="00A72A2D">
        <w:t xml:space="preserve"> a frustratingly vague way of illustrating </w:t>
      </w:r>
      <w:r w:rsidR="00D9015E">
        <w:t>concepts. His</w:t>
      </w:r>
      <w:r w:rsidR="007E2084">
        <w:t xml:space="preserve"> anti-foundationalist perspective of</w:t>
      </w:r>
      <w:r w:rsidR="00A72A2D">
        <w:t xml:space="preserve"> law,</w:t>
      </w:r>
      <w:r w:rsidR="00D9015E">
        <w:t xml:space="preserve"> i</w:t>
      </w:r>
      <w:r w:rsidR="00C73987">
        <w:t>s one such example with elements</w:t>
      </w:r>
      <w:r w:rsidR="00D9015E">
        <w:t xml:space="preserve"> </w:t>
      </w:r>
      <w:r w:rsidR="00C73987">
        <w:t>of</w:t>
      </w:r>
      <w:r w:rsidR="00A72A2D">
        <w:t xml:space="preserve"> frustration also evident in Priban’s ar</w:t>
      </w:r>
      <w:r w:rsidR="007E2084">
        <w:t xml:space="preserve">ticle, </w:t>
      </w:r>
      <w:r w:rsidR="00C73987">
        <w:t>such as in paragraphs, where</w:t>
      </w:r>
      <w:r w:rsidR="007E2084">
        <w:t xml:space="preserve"> he latches</w:t>
      </w:r>
      <w:r w:rsidR="00D9015E">
        <w:t xml:space="preserve"> several</w:t>
      </w:r>
      <w:r w:rsidR="00A72A2D">
        <w:t xml:space="preserve"> concept</w:t>
      </w:r>
      <w:r w:rsidR="007E2084">
        <w:t>s together</w:t>
      </w:r>
      <w:r w:rsidR="00C73987">
        <w:t>,</w:t>
      </w:r>
      <w:r w:rsidR="009C1EA6">
        <w:t xml:space="preserve"> </w:t>
      </w:r>
      <w:r w:rsidR="007E2084">
        <w:t>and</w:t>
      </w:r>
      <w:r w:rsidR="00A72A2D">
        <w:t xml:space="preserve"> contrasts the result against </w:t>
      </w:r>
      <w:r w:rsidR="00D9015E">
        <w:t>perspectives</w:t>
      </w:r>
      <w:r w:rsidR="00A72A2D">
        <w:t xml:space="preserve"> of other </w:t>
      </w:r>
      <w:r w:rsidR="007E2084">
        <w:t>philosophers</w:t>
      </w:r>
      <w:r w:rsidR="00A72A2D">
        <w:t xml:space="preserve"> in a loose and general way</w:t>
      </w:r>
      <w:r w:rsidR="00C73987">
        <w:t>. Priban, does</w:t>
      </w:r>
      <w:r w:rsidR="00A72A2D">
        <w:t xml:space="preserve"> </w:t>
      </w:r>
      <w:r w:rsidR="00C73987">
        <w:t>utilise</w:t>
      </w:r>
      <w:r w:rsidR="00A72A2D">
        <w:t xml:space="preserve"> </w:t>
      </w:r>
      <w:r w:rsidR="00C73987">
        <w:t>general concepts, however he avoids</w:t>
      </w:r>
      <w:r w:rsidR="00A72A2D">
        <w:t xml:space="preserve"> spec</w:t>
      </w:r>
      <w:r w:rsidR="00C73987">
        <w:t>ifics, which supports</w:t>
      </w:r>
      <w:r w:rsidR="00A72A2D">
        <w:t xml:space="preserve"> the fact that Fish’s anti-foundationalist concept of law is (in terms of detail)</w:t>
      </w:r>
      <w:r w:rsidR="00C73987">
        <w:t xml:space="preserve"> at times,</w:t>
      </w:r>
      <w:r w:rsidR="00A72A2D">
        <w:t xml:space="preserve"> less than clear, and </w:t>
      </w:r>
      <w:r w:rsidR="007E2084">
        <w:t>as a result</w:t>
      </w:r>
      <w:r w:rsidR="00C73987">
        <w:t xml:space="preserve"> of Priban’s lack of perseverance,</w:t>
      </w:r>
      <w:r w:rsidR="007E2084">
        <w:t xml:space="preserve"> </w:t>
      </w:r>
      <w:r w:rsidR="00C73987">
        <w:t>cause his critique to be</w:t>
      </w:r>
      <w:r w:rsidR="00A72A2D">
        <w:t xml:space="preserve"> lacking</w:t>
      </w:r>
      <w:r w:rsidR="00C73987" w:rsidRPr="00C73987">
        <w:t xml:space="preserve"> </w:t>
      </w:r>
      <w:r w:rsidR="00C73987">
        <w:t>greater detail</w:t>
      </w:r>
      <w:r w:rsidR="003C7BB7">
        <w:t xml:space="preserve">. </w:t>
      </w:r>
    </w:p>
    <w:p w:rsidR="0076126A" w:rsidRDefault="000B0BE9" w:rsidP="003C7BB7">
      <w:r>
        <w:t>Fish</w:t>
      </w:r>
      <w:r w:rsidR="004B5457">
        <w:t>,</w:t>
      </w:r>
      <w:r>
        <w:t xml:space="preserve"> has been criticised and accused by a minority of opposing philosophers, (such as Terry Eagleton and Martha Nussbaum)  for being nihilistic and a</w:t>
      </w:r>
      <w:r w:rsidR="004B5457">
        <w:t xml:space="preserve"> modern</w:t>
      </w:r>
      <w:r>
        <w:t xml:space="preserve"> sophist</w:t>
      </w:r>
      <w:r w:rsidR="0076126A">
        <w:t>.</w:t>
      </w:r>
      <w:r w:rsidR="003C7BB7">
        <w:t xml:space="preserve"> </w:t>
      </w:r>
      <w:r w:rsidR="0076126A">
        <w:t xml:space="preserve">The </w:t>
      </w:r>
      <w:r w:rsidR="004B5457">
        <w:t>meaning of</w:t>
      </w:r>
      <w:r w:rsidR="0076126A">
        <w:t xml:space="preserve"> nihilism,</w:t>
      </w:r>
      <w:r w:rsidR="004B5457">
        <w:t xml:space="preserve"> is essentially the accusation that</w:t>
      </w:r>
      <w:r w:rsidR="0076126A">
        <w:t xml:space="preserve"> Fish’s theories negate a number of meaningful aspects to life, and the concept of sophism is </w:t>
      </w:r>
      <w:r w:rsidR="004B5457">
        <w:t>typically</w:t>
      </w:r>
      <w:r w:rsidR="0076126A">
        <w:t xml:space="preserve"> </w:t>
      </w:r>
      <w:r w:rsidR="004B5457">
        <w:t>the use of</w:t>
      </w:r>
      <w:r w:rsidR="0076126A">
        <w:t xml:space="preserve"> logical fallacies to deceive.  However</w:t>
      </w:r>
      <w:r w:rsidR="00AB6915">
        <w:t>,</w:t>
      </w:r>
      <w:r w:rsidR="0076126A">
        <w:t xml:space="preserve"> post-modern philosophers often attract accusations and charges of this kind due to the direction of the </w:t>
      </w:r>
      <w:r w:rsidR="004B5457">
        <w:t xml:space="preserve">movement, </w:t>
      </w:r>
      <w:r w:rsidR="00AB6915">
        <w:t xml:space="preserve">in </w:t>
      </w:r>
      <w:r w:rsidR="004B5457">
        <w:t>challenging</w:t>
      </w:r>
      <w:r w:rsidR="0076126A">
        <w:t xml:space="preserve"> foundationalist concepts</w:t>
      </w:r>
      <w:r w:rsidR="004B5457">
        <w:t xml:space="preserve"> and wider notions such as truth and meaning, with Derrida’s theories being </w:t>
      </w:r>
      <w:r w:rsidR="00AB6915">
        <w:t xml:space="preserve">the most </w:t>
      </w:r>
      <w:r w:rsidR="004B5457">
        <w:t>criticised as nihilistic</w:t>
      </w:r>
      <w:r w:rsidR="0076126A">
        <w:t>.</w:t>
      </w:r>
    </w:p>
    <w:p w:rsidR="0076126A" w:rsidRDefault="004B5457" w:rsidP="00A72A2D">
      <w:pPr>
        <w:spacing w:after="0"/>
      </w:pPr>
      <w:r>
        <w:t xml:space="preserve">While the criticism is slightly harsh, Fish does have flaws in his theories, and does harness logical absurdities when questioned about a potential contingent free starting point for his theory. Additionally, Fish is occasionally less that clear in his illustration of his theories, which fails to help him, when criticised for being obscure and abstract.  </w:t>
      </w:r>
    </w:p>
    <w:p w:rsidR="00A72A2D" w:rsidRDefault="0076126A" w:rsidP="00A72A2D">
      <w:pPr>
        <w:spacing w:after="0"/>
      </w:pPr>
      <w:r>
        <w:t xml:space="preserve"> </w:t>
      </w:r>
      <w:r w:rsidR="00A72A2D">
        <w:t xml:space="preserve">What can be identified however, is that Fish’s concept has </w:t>
      </w:r>
      <w:r w:rsidR="003030EA">
        <w:t>a number of</w:t>
      </w:r>
      <w:r w:rsidR="00A72A2D">
        <w:t xml:space="preserve"> central elements to it. The first, is Fish’s literary theory, which revolves around his perspective of language, interpretation and context. At the </w:t>
      </w:r>
      <w:r w:rsidR="009C1EA6">
        <w:t>centre</w:t>
      </w:r>
      <w:r w:rsidR="00A72A2D">
        <w:t xml:space="preserve"> of this theory, are his notions of language games, and the proposition that there are “</w:t>
      </w:r>
      <w:r w:rsidR="00A72A2D" w:rsidRPr="005C7D06">
        <w:rPr>
          <w:i/>
        </w:rPr>
        <w:t>no inherent constraints to the meanings a sentence may have</w:t>
      </w:r>
      <w:r w:rsidR="00A72A2D">
        <w:t>”</w:t>
      </w:r>
      <w:r w:rsidR="00A72A2D">
        <w:rPr>
          <w:rStyle w:val="FootnoteReference"/>
        </w:rPr>
        <w:footnoteReference w:id="133"/>
      </w:r>
      <w:r w:rsidR="00A72A2D">
        <w:t xml:space="preserve">  which are partially influenced by the deconstructive theories of Derrida</w:t>
      </w:r>
      <w:r w:rsidR="00A72A2D">
        <w:rPr>
          <w:rStyle w:val="FootnoteReference"/>
        </w:rPr>
        <w:footnoteReference w:id="134"/>
      </w:r>
      <w:r w:rsidR="00A72A2D">
        <w:t xml:space="preserve"> and altered slightly to form the first limb of Fish’s legal theory.    </w:t>
      </w:r>
    </w:p>
    <w:p w:rsidR="00A72A2D" w:rsidRDefault="00A72A2D" w:rsidP="00A72A2D">
      <w:pPr>
        <w:spacing w:after="0"/>
      </w:pPr>
      <w:r>
        <w:t>The second “limb” consequently connects Fish’s literacy theory of language to the interpret</w:t>
      </w:r>
      <w:r w:rsidR="003030EA">
        <w:t>ive force</w:t>
      </w:r>
      <w:r>
        <w:t xml:space="preserve"> of law, both specifically (such as in contract) and generally in the discussion of law as a social system.   </w:t>
      </w:r>
    </w:p>
    <w:p w:rsidR="009363E4" w:rsidRDefault="003030EA" w:rsidP="0083463C">
      <w:r>
        <w:t xml:space="preserve">Linked to that theoretical aspect is the assertion </w:t>
      </w:r>
      <w:r w:rsidR="003141FD">
        <w:t>that</w:t>
      </w:r>
      <w:r>
        <w:t xml:space="preserve"> law </w:t>
      </w:r>
      <w:r w:rsidR="003141FD">
        <w:t>in order to obtain a formal and unfettered existence needs to be an</w:t>
      </w:r>
      <w:r>
        <w:t xml:space="preserve"> autonomous </w:t>
      </w:r>
      <w:r w:rsidR="003141FD">
        <w:t xml:space="preserve">body. </w:t>
      </w:r>
    </w:p>
    <w:p w:rsidR="00AB6915" w:rsidRDefault="003141FD" w:rsidP="009363E4">
      <w:r>
        <w:t>Despite this</w:t>
      </w:r>
      <w:r w:rsidR="00AB6915">
        <w:t>,</w:t>
      </w:r>
      <w:r>
        <w:t xml:space="preserve"> and several other elements placing Fish and his anti-foundational concepts</w:t>
      </w:r>
      <w:r w:rsidR="00AB6915">
        <w:t xml:space="preserve"> a great </w:t>
      </w:r>
      <w:r>
        <w:t xml:space="preserve">distance from other movements such as critical legal studies, both share the similarity of </w:t>
      </w:r>
      <w:r w:rsidR="00AB6915">
        <w:t>understanding the integration of law and society, and a legal system</w:t>
      </w:r>
      <w:r>
        <w:t xml:space="preserve"> that is defined </w:t>
      </w:r>
      <w:r w:rsidR="009363E4">
        <w:t xml:space="preserve">by conflict and a </w:t>
      </w:r>
      <w:r w:rsidR="00AB6915">
        <w:t xml:space="preserve">seeks to exert power in governance. </w:t>
      </w:r>
    </w:p>
    <w:p w:rsidR="003C7BB7" w:rsidRDefault="00AB6915" w:rsidP="003C7BB7">
      <w:r>
        <w:lastRenderedPageBreak/>
        <w:t>B</w:t>
      </w:r>
      <w:r w:rsidR="009363E4">
        <w:t>oth</w:t>
      </w:r>
      <w:r>
        <w:t xml:space="preserve"> movements</w:t>
      </w:r>
      <w:r w:rsidR="009363E4">
        <w:t xml:space="preserve"> enter the battlefield of law as separate playe</w:t>
      </w:r>
      <w:r>
        <w:t>rs with separate strategies and</w:t>
      </w:r>
      <w:r w:rsidR="009363E4">
        <w:t xml:space="preserve"> tactics, Fish’s anti-foundationalist</w:t>
      </w:r>
      <w:r>
        <w:t xml:space="preserve"> concept</w:t>
      </w:r>
      <w:r w:rsidR="009363E4">
        <w:t xml:space="preserve"> is both pragmatic and abstract in its construction with context and interpretation c</w:t>
      </w:r>
      <w:r>
        <w:t>ontrolling most aspects of life. W</w:t>
      </w:r>
      <w:r w:rsidR="009363E4">
        <w:t xml:space="preserve">hereas Goodrich and the </w:t>
      </w:r>
      <w:r>
        <w:t xml:space="preserve">player of the </w:t>
      </w:r>
      <w:r w:rsidR="009363E4">
        <w:t xml:space="preserve">critical legal studies </w:t>
      </w:r>
      <w:r>
        <w:t xml:space="preserve">advocates the notion of </w:t>
      </w:r>
      <w:r w:rsidR="009363E4">
        <w:t xml:space="preserve">a </w:t>
      </w:r>
      <w:r>
        <w:t>plurality</w:t>
      </w:r>
      <w:r w:rsidR="009363E4">
        <w:t xml:space="preserve"> of disciplines with each bringing additional dimensions to understand the working of the law</w:t>
      </w:r>
      <w:r>
        <w:t xml:space="preserve">. </w:t>
      </w:r>
      <w:r w:rsidR="004F75CE">
        <w:t>despite this, e</w:t>
      </w:r>
      <w:r>
        <w:t xml:space="preserve">ach irreconcilable side shares the common </w:t>
      </w:r>
      <w:r w:rsidR="004F75CE">
        <w:t>goal,</w:t>
      </w:r>
      <w:r>
        <w:t xml:space="preserve"> of </w:t>
      </w:r>
      <w:r w:rsidR="004F75CE">
        <w:t xml:space="preserve">striving for a fairer and just notion of law. </w:t>
      </w:r>
      <w:r>
        <w:t xml:space="preserve"> </w:t>
      </w:r>
      <w:r w:rsidR="009363E4">
        <w:t xml:space="preserve">   </w:t>
      </w:r>
      <w:bookmarkStart w:id="18" w:name="_Toc324252597"/>
    </w:p>
    <w:p w:rsidR="003C7BB7" w:rsidRDefault="003C7BB7" w:rsidP="003C7BB7"/>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3C7BB7" w:rsidRDefault="003C7BB7" w:rsidP="003C7BB7">
      <w:pPr>
        <w:rPr>
          <w:rStyle w:val="Heading1Char"/>
          <w:sz w:val="44"/>
        </w:rPr>
      </w:pPr>
    </w:p>
    <w:p w:rsidR="00F20128" w:rsidRDefault="00586F7A" w:rsidP="003C7BB7">
      <w:r w:rsidRPr="003C7BB7">
        <w:rPr>
          <w:rStyle w:val="Heading1Char"/>
          <w:sz w:val="44"/>
        </w:rPr>
        <w:lastRenderedPageBreak/>
        <w:t>Bibliography</w:t>
      </w:r>
      <w:r>
        <w:t>.</w:t>
      </w:r>
      <w:bookmarkEnd w:id="18"/>
    </w:p>
    <w:p w:rsidR="00586F7A" w:rsidRDefault="00586F7A" w:rsidP="00586F7A"/>
    <w:p w:rsidR="00957AAC" w:rsidRDefault="00957AAC" w:rsidP="00957AAC">
      <w:pPr>
        <w:pStyle w:val="Heading2"/>
      </w:pPr>
      <w:bookmarkStart w:id="19" w:name="_Toc324252598"/>
      <w:r w:rsidRPr="00B56E5E">
        <w:rPr>
          <w:sz w:val="40"/>
        </w:rPr>
        <w:t>Books</w:t>
      </w:r>
      <w:r>
        <w:t>.</w:t>
      </w:r>
      <w:bookmarkEnd w:id="19"/>
    </w:p>
    <w:p w:rsidR="00957AAC" w:rsidRPr="00957AAC" w:rsidRDefault="00957AAC" w:rsidP="00957AAC"/>
    <w:p w:rsidR="0076041C" w:rsidRPr="0076041C" w:rsidRDefault="0076041C" w:rsidP="00586F7A">
      <w:pPr>
        <w:rPr>
          <w:sz w:val="28"/>
        </w:rPr>
      </w:pPr>
      <w:r w:rsidRPr="0076041C">
        <w:rPr>
          <w:sz w:val="28"/>
        </w:rPr>
        <w:t>Allen Hunt and Gary Wicklow,  Foucault and Law: Towards a Sociology of Law as Governance. [1994]</w:t>
      </w:r>
    </w:p>
    <w:p w:rsidR="0076041C" w:rsidRPr="0076041C" w:rsidRDefault="0076041C" w:rsidP="00586F7A">
      <w:pPr>
        <w:rPr>
          <w:sz w:val="28"/>
        </w:rPr>
      </w:pPr>
      <w:r w:rsidRPr="0076041C">
        <w:rPr>
          <w:sz w:val="28"/>
        </w:rPr>
        <w:t>Herbert Lionel Adolphus Hart, Concept of Law, 2</w:t>
      </w:r>
      <w:r w:rsidRPr="0076041C">
        <w:rPr>
          <w:sz w:val="28"/>
          <w:vertAlign w:val="superscript"/>
        </w:rPr>
        <w:t>nd</w:t>
      </w:r>
      <w:r w:rsidRPr="0076041C">
        <w:rPr>
          <w:sz w:val="28"/>
        </w:rPr>
        <w:t xml:space="preserve"> edition, Oxford University Press [1997]</w:t>
      </w:r>
    </w:p>
    <w:p w:rsidR="0076041C" w:rsidRPr="0076041C" w:rsidRDefault="0076041C" w:rsidP="00586F7A">
      <w:pPr>
        <w:rPr>
          <w:rFonts w:cstheme="minorHAnsi"/>
          <w:sz w:val="28"/>
          <w:lang w:val="fr-FR"/>
        </w:rPr>
      </w:pPr>
      <w:r w:rsidRPr="0076041C">
        <w:rPr>
          <w:rFonts w:cstheme="minorHAnsi"/>
          <w:sz w:val="28"/>
          <w:lang w:val="fr-FR"/>
        </w:rPr>
        <w:t>Jacques De Ville, Jacques Derrida Law as hospitalité absoluité - Routledge, 21 Sep [2011]</w:t>
      </w:r>
      <w:r w:rsidRPr="0076041C">
        <w:rPr>
          <w:rFonts w:cstheme="minorHAnsi"/>
          <w:sz w:val="28"/>
          <w:lang w:val="fr-FR"/>
        </w:rPr>
        <w:tab/>
      </w:r>
    </w:p>
    <w:p w:rsidR="0076041C" w:rsidRPr="0076041C" w:rsidRDefault="0076041C" w:rsidP="00586F7A">
      <w:pPr>
        <w:rPr>
          <w:sz w:val="28"/>
        </w:rPr>
      </w:pPr>
      <w:r w:rsidRPr="0076041C">
        <w:rPr>
          <w:sz w:val="28"/>
        </w:rPr>
        <w:t xml:space="preserve">Niklas Luhmann Sociological, Theory of Law, Taylor and Francis, [1985]  </w:t>
      </w:r>
    </w:p>
    <w:p w:rsidR="0076041C" w:rsidRPr="0076041C" w:rsidRDefault="0076041C" w:rsidP="00941A75">
      <w:pPr>
        <w:rPr>
          <w:rFonts w:cstheme="minorHAnsi"/>
          <w:sz w:val="28"/>
        </w:rPr>
      </w:pPr>
      <w:r w:rsidRPr="0076041C">
        <w:rPr>
          <w:rFonts w:cstheme="minorHAnsi"/>
          <w:sz w:val="28"/>
        </w:rPr>
        <w:t>Peter Goodrich, Languages of Law: from logics of memory to nomadic masks, Cambridge University Press, [2004]</w:t>
      </w:r>
    </w:p>
    <w:p w:rsidR="0076041C" w:rsidRPr="0076041C" w:rsidRDefault="0076041C" w:rsidP="00586F7A">
      <w:pPr>
        <w:rPr>
          <w:sz w:val="28"/>
        </w:rPr>
      </w:pPr>
      <w:r w:rsidRPr="0076041C">
        <w:rPr>
          <w:sz w:val="28"/>
        </w:rPr>
        <w:t>Peter Goodrich, Legal Discourse: Studies in Linguistics Rhetoric and Legal Analysis, Macmillan Publishing  [1987]</w:t>
      </w:r>
    </w:p>
    <w:p w:rsidR="0076041C" w:rsidRPr="0076041C" w:rsidRDefault="0076041C" w:rsidP="00586F7A">
      <w:pPr>
        <w:rPr>
          <w:sz w:val="28"/>
        </w:rPr>
      </w:pPr>
      <w:r w:rsidRPr="0076041C">
        <w:rPr>
          <w:sz w:val="28"/>
        </w:rPr>
        <w:t xml:space="preserve">Pierre Legrand, Derrida and the Law [2009] </w:t>
      </w:r>
      <w:r w:rsidRPr="0076041C">
        <w:rPr>
          <w:sz w:val="28"/>
        </w:rPr>
        <w:tab/>
      </w:r>
    </w:p>
    <w:p w:rsidR="0076041C" w:rsidRPr="0076041C" w:rsidRDefault="0076041C" w:rsidP="00586F7A">
      <w:pPr>
        <w:rPr>
          <w:sz w:val="28"/>
        </w:rPr>
      </w:pPr>
      <w:r w:rsidRPr="0076041C">
        <w:rPr>
          <w:sz w:val="28"/>
        </w:rPr>
        <w:t>R M Dworkin, The Philosophy of Law [1991]</w:t>
      </w:r>
    </w:p>
    <w:p w:rsidR="0076041C" w:rsidRPr="0076041C" w:rsidRDefault="0076041C" w:rsidP="00586F7A">
      <w:pPr>
        <w:rPr>
          <w:sz w:val="28"/>
        </w:rPr>
      </w:pPr>
      <w:r w:rsidRPr="0076041C">
        <w:rPr>
          <w:sz w:val="28"/>
        </w:rPr>
        <w:t xml:space="preserve">Richard Rorty, Consequences of Pragmatism. University of Minnesota [1980] </w:t>
      </w:r>
    </w:p>
    <w:p w:rsidR="0076041C" w:rsidRPr="0076041C" w:rsidRDefault="0076041C" w:rsidP="00586F7A">
      <w:pPr>
        <w:rPr>
          <w:sz w:val="28"/>
        </w:rPr>
      </w:pPr>
      <w:r>
        <w:t xml:space="preserve"> </w:t>
      </w:r>
      <w:r w:rsidRPr="0076041C">
        <w:rPr>
          <w:sz w:val="28"/>
        </w:rPr>
        <w:t>Stanley Fish, Doing What Comes Naturally: Change and Rhetoric and the Practice of Theory in Literary and Legal Studies. Oxford University Press [1989]</w:t>
      </w:r>
    </w:p>
    <w:p w:rsidR="0076041C" w:rsidRPr="0076041C" w:rsidRDefault="0076041C" w:rsidP="00586F7A">
      <w:pPr>
        <w:rPr>
          <w:sz w:val="28"/>
        </w:rPr>
      </w:pPr>
      <w:r w:rsidRPr="0076041C">
        <w:rPr>
          <w:sz w:val="28"/>
        </w:rPr>
        <w:t>Stanley Fish, Is There a Text in this Class?: The Authority of Interpretative Communities, Harvard College [1980]</w:t>
      </w:r>
    </w:p>
    <w:p w:rsidR="0076041C" w:rsidRPr="0076041C" w:rsidRDefault="0076041C" w:rsidP="00586F7A">
      <w:pPr>
        <w:rPr>
          <w:sz w:val="28"/>
        </w:rPr>
      </w:pPr>
      <w:r w:rsidRPr="0076041C">
        <w:rPr>
          <w:sz w:val="28"/>
        </w:rPr>
        <w:t xml:space="preserve">Stanley Fish, There’s No Such Thing as Free Speech, and it’s a Good Thing too, Oxford University Press [1994], </w:t>
      </w:r>
    </w:p>
    <w:p w:rsidR="0076041C" w:rsidRPr="0076041C" w:rsidRDefault="0076041C" w:rsidP="0076041C">
      <w:pPr>
        <w:pStyle w:val="Heading2"/>
      </w:pPr>
    </w:p>
    <w:p w:rsidR="00733E8A" w:rsidRDefault="00733E8A" w:rsidP="0076041C">
      <w:pPr>
        <w:pStyle w:val="Heading2"/>
        <w:rPr>
          <w:sz w:val="36"/>
        </w:rPr>
      </w:pPr>
      <w:bookmarkStart w:id="20" w:name="_Toc324252599"/>
    </w:p>
    <w:p w:rsidR="0076041C" w:rsidRPr="0076041C" w:rsidRDefault="0076041C" w:rsidP="0076041C">
      <w:pPr>
        <w:pStyle w:val="Heading2"/>
      </w:pPr>
      <w:bookmarkStart w:id="21" w:name="_GoBack"/>
      <w:bookmarkEnd w:id="21"/>
      <w:r w:rsidRPr="00B56E5E">
        <w:rPr>
          <w:sz w:val="36"/>
        </w:rPr>
        <w:t>Articles</w:t>
      </w:r>
      <w:r w:rsidRPr="0076041C">
        <w:t>.</w:t>
      </w:r>
      <w:bookmarkEnd w:id="20"/>
      <w:r w:rsidRPr="0076041C">
        <w:t xml:space="preserve"> </w:t>
      </w:r>
    </w:p>
    <w:p w:rsidR="0076041C" w:rsidRPr="0076041C" w:rsidRDefault="0076041C" w:rsidP="0076041C"/>
    <w:p w:rsidR="0076041C" w:rsidRPr="0076041C" w:rsidRDefault="008F0A29" w:rsidP="0076041C">
      <w:pPr>
        <w:rPr>
          <w:rFonts w:cstheme="minorHAnsi"/>
          <w:sz w:val="24"/>
          <w:szCs w:val="24"/>
        </w:rPr>
      </w:pPr>
      <w:r>
        <w:rPr>
          <w:rFonts w:cstheme="minorHAnsi"/>
          <w:sz w:val="24"/>
          <w:szCs w:val="24"/>
        </w:rPr>
        <w:lastRenderedPageBreak/>
        <w:t>Interpreting the "Variorum”</w:t>
      </w:r>
      <w:r w:rsidR="0076041C" w:rsidRPr="0076041C">
        <w:rPr>
          <w:rFonts w:cstheme="minorHAnsi"/>
          <w:sz w:val="24"/>
          <w:szCs w:val="24"/>
        </w:rPr>
        <w:t>, Stanley E. Fish, Critical Inquiry, Vol. 2, No. 3 (1976), pp. 465-485 Published by the University of Chicago Press</w:t>
      </w:r>
    </w:p>
    <w:p w:rsidR="0076041C" w:rsidRDefault="0076041C" w:rsidP="0076041C">
      <w:pPr>
        <w:autoSpaceDE w:val="0"/>
        <w:autoSpaceDN w:val="0"/>
        <w:adjustRightInd w:val="0"/>
        <w:spacing w:after="0" w:line="240" w:lineRule="auto"/>
        <w:rPr>
          <w:rFonts w:cstheme="minorHAnsi"/>
          <w:sz w:val="24"/>
          <w:szCs w:val="24"/>
        </w:rPr>
      </w:pPr>
      <w:r w:rsidRPr="0076041C">
        <w:rPr>
          <w:rFonts w:cstheme="minorHAnsi"/>
          <w:bCs/>
          <w:sz w:val="24"/>
          <w:szCs w:val="24"/>
        </w:rPr>
        <w:t xml:space="preserve">Economics of Gift - Positivity of Justice: The Mutual Paranoia of Jacques Derrida and Niklas Luhmann, Gunther Teubner  </w:t>
      </w:r>
      <w:r w:rsidRPr="0076041C">
        <w:rPr>
          <w:rFonts w:cstheme="minorHAnsi"/>
          <w:sz w:val="24"/>
          <w:szCs w:val="24"/>
        </w:rPr>
        <w:t xml:space="preserve">Theory, Culture and Society, </w:t>
      </w:r>
      <w:r w:rsidR="00B56E5E">
        <w:rPr>
          <w:rFonts w:cstheme="minorHAnsi"/>
          <w:sz w:val="24"/>
          <w:szCs w:val="24"/>
        </w:rPr>
        <w:t>(</w:t>
      </w:r>
      <w:r w:rsidRPr="0076041C">
        <w:rPr>
          <w:rFonts w:cstheme="minorHAnsi"/>
          <w:sz w:val="24"/>
          <w:szCs w:val="24"/>
        </w:rPr>
        <w:t>2001</w:t>
      </w:r>
      <w:r w:rsidR="00B56E5E">
        <w:rPr>
          <w:rFonts w:cstheme="minorHAnsi"/>
          <w:sz w:val="24"/>
          <w:szCs w:val="24"/>
        </w:rPr>
        <w:t>)</w:t>
      </w:r>
      <w:r w:rsidRPr="0076041C">
        <w:rPr>
          <w:rFonts w:cstheme="minorHAnsi"/>
          <w:sz w:val="24"/>
          <w:szCs w:val="24"/>
        </w:rPr>
        <w:t>, pp.29-47 Law in Social Theory: International Librar</w:t>
      </w:r>
      <w:r w:rsidR="00B56E5E">
        <w:rPr>
          <w:rFonts w:cstheme="minorHAnsi"/>
          <w:sz w:val="24"/>
          <w:szCs w:val="24"/>
        </w:rPr>
        <w:t>y of Essays in Law and Society</w:t>
      </w:r>
      <w:r w:rsidRPr="0076041C">
        <w:rPr>
          <w:rFonts w:cstheme="minorHAnsi"/>
          <w:sz w:val="24"/>
          <w:szCs w:val="24"/>
        </w:rPr>
        <w:t xml:space="preserve">, Ashgate </w:t>
      </w:r>
    </w:p>
    <w:p w:rsidR="00B56E5E" w:rsidRPr="0076041C" w:rsidRDefault="00B56E5E" w:rsidP="0076041C">
      <w:pPr>
        <w:autoSpaceDE w:val="0"/>
        <w:autoSpaceDN w:val="0"/>
        <w:adjustRightInd w:val="0"/>
        <w:spacing w:after="0" w:line="240" w:lineRule="auto"/>
        <w:rPr>
          <w:rFonts w:cstheme="minorHAnsi"/>
          <w:sz w:val="24"/>
          <w:szCs w:val="24"/>
        </w:rPr>
      </w:pPr>
    </w:p>
    <w:p w:rsidR="0076041C" w:rsidRPr="0076041C" w:rsidRDefault="0076041C" w:rsidP="0076041C">
      <w:pPr>
        <w:pStyle w:val="Default"/>
        <w:rPr>
          <w:rFonts w:asciiTheme="minorHAnsi" w:hAnsiTheme="minorHAnsi" w:cstheme="minorHAnsi"/>
        </w:rPr>
      </w:pPr>
    </w:p>
    <w:p w:rsidR="0076041C" w:rsidRPr="0076041C" w:rsidRDefault="0076041C" w:rsidP="0076041C">
      <w:pPr>
        <w:autoSpaceDE w:val="0"/>
        <w:autoSpaceDN w:val="0"/>
        <w:adjustRightInd w:val="0"/>
        <w:spacing w:after="0" w:line="240" w:lineRule="auto"/>
        <w:rPr>
          <w:rFonts w:cstheme="minorHAnsi"/>
          <w:bCs/>
          <w:sz w:val="24"/>
          <w:szCs w:val="24"/>
        </w:rPr>
      </w:pPr>
      <w:r w:rsidRPr="0076041C">
        <w:rPr>
          <w:rFonts w:cstheme="minorHAnsi"/>
          <w:sz w:val="24"/>
          <w:szCs w:val="24"/>
        </w:rPr>
        <w:t>Fish Shticks: Rhetorical Questions in Stanley Fish's Doing What Comes Naturally: Change, Rhetoric, and the Practice of Theory in Literary and Legal Studies by Stanley Fish, John Michael,  Diacritics, Vol. 20, No. 2 (1990), pp. 54-74 Published by: The Johns Hopkins University Press</w:t>
      </w:r>
    </w:p>
    <w:sectPr w:rsidR="0076041C" w:rsidRPr="0076041C" w:rsidSect="00DA2E46">
      <w:footerReference w:type="default" r:id="rId10"/>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29" w:rsidRDefault="008F0A29" w:rsidP="001A75B7">
      <w:pPr>
        <w:spacing w:after="0" w:line="240" w:lineRule="auto"/>
      </w:pPr>
      <w:r>
        <w:separator/>
      </w:r>
    </w:p>
  </w:endnote>
  <w:endnote w:type="continuationSeparator" w:id="0">
    <w:p w:rsidR="008F0A29" w:rsidRDefault="008F0A29" w:rsidP="001A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088313"/>
      <w:docPartObj>
        <w:docPartGallery w:val="Page Numbers (Bottom of Page)"/>
        <w:docPartUnique/>
      </w:docPartObj>
    </w:sdtPr>
    <w:sdtContent>
      <w:p w:rsidR="008F0A29" w:rsidRDefault="008F0A29">
        <w:pPr>
          <w:pStyle w:val="Footer"/>
          <w:jc w:val="right"/>
        </w:pPr>
        <w:r>
          <w:t xml:space="preserve">Page | </w:t>
        </w:r>
        <w:r>
          <w:fldChar w:fldCharType="begin"/>
        </w:r>
        <w:r>
          <w:instrText xml:space="preserve"> PAGE   \* MERGEFORMAT </w:instrText>
        </w:r>
        <w:r>
          <w:fldChar w:fldCharType="separate"/>
        </w:r>
        <w:r w:rsidR="00733E8A">
          <w:rPr>
            <w:noProof/>
          </w:rPr>
          <w:t>30</w:t>
        </w:r>
        <w:r>
          <w:rPr>
            <w:noProof/>
          </w:rPr>
          <w:fldChar w:fldCharType="end"/>
        </w:r>
      </w:p>
    </w:sdtContent>
  </w:sdt>
  <w:p w:rsidR="008F0A29" w:rsidRDefault="008F0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29" w:rsidRDefault="008F0A29" w:rsidP="001A75B7">
      <w:pPr>
        <w:spacing w:after="0" w:line="240" w:lineRule="auto"/>
      </w:pPr>
      <w:r>
        <w:separator/>
      </w:r>
    </w:p>
  </w:footnote>
  <w:footnote w:type="continuationSeparator" w:id="0">
    <w:p w:rsidR="008F0A29" w:rsidRDefault="008F0A29" w:rsidP="001A75B7">
      <w:pPr>
        <w:spacing w:after="0" w:line="240" w:lineRule="auto"/>
      </w:pPr>
      <w:r>
        <w:continuationSeparator/>
      </w:r>
    </w:p>
  </w:footnote>
  <w:footnote w:id="1">
    <w:p w:rsidR="008F0A29" w:rsidRDefault="008F0A29">
      <w:pPr>
        <w:pStyle w:val="FootnoteText"/>
      </w:pPr>
      <w:r>
        <w:rPr>
          <w:rStyle w:val="FootnoteReference"/>
        </w:rPr>
        <w:footnoteRef/>
      </w:r>
      <w:r>
        <w:t xml:space="preserve"> </w:t>
      </w:r>
    </w:p>
  </w:footnote>
  <w:footnote w:id="2">
    <w:p w:rsidR="008F0A29" w:rsidRDefault="008F0A29">
      <w:pPr>
        <w:pStyle w:val="FootnoteText"/>
      </w:pPr>
      <w:r>
        <w:rPr>
          <w:rStyle w:val="FootnoteReference"/>
        </w:rPr>
        <w:footnoteRef/>
      </w:r>
      <w:r>
        <w:t xml:space="preserve"> </w:t>
      </w:r>
    </w:p>
  </w:footnote>
  <w:footnote w:id="3">
    <w:p w:rsidR="008F0A29" w:rsidRDefault="008F0A29">
      <w:pPr>
        <w:pStyle w:val="FootnoteText"/>
      </w:pPr>
      <w:r>
        <w:rPr>
          <w:rStyle w:val="FootnoteReference"/>
        </w:rPr>
        <w:footnoteRef/>
      </w:r>
      <w:r>
        <w:t xml:space="preserve"> J. Priban, Law and Critique Vol. IX no.2 [1998], pp. 252. </w:t>
      </w:r>
    </w:p>
  </w:footnote>
  <w:footnote w:id="4">
    <w:p w:rsidR="008F0A29" w:rsidRDefault="008F0A29">
      <w:pPr>
        <w:pStyle w:val="FootnoteText"/>
      </w:pPr>
      <w:r>
        <w:rPr>
          <w:rStyle w:val="FootnoteReference"/>
        </w:rPr>
        <w:footnoteRef/>
      </w:r>
      <w:r>
        <w:t xml:space="preserve"> A. Hunt, G. Wickham, Foucault And The Law Towards a Sociology of Law as Governance, pp. 40 [1994] </w:t>
      </w:r>
    </w:p>
  </w:footnote>
  <w:footnote w:id="5">
    <w:p w:rsidR="008F0A29" w:rsidRDefault="008F0A29">
      <w:pPr>
        <w:pStyle w:val="FootnoteText"/>
      </w:pPr>
      <w:r>
        <w:rPr>
          <w:rStyle w:val="FootnoteReference"/>
        </w:rPr>
        <w:footnoteRef/>
      </w:r>
      <w:r>
        <w:t xml:space="preserve"> Michel Foucault, The Archaeology of Knowledge [1969]</w:t>
      </w:r>
    </w:p>
  </w:footnote>
  <w:footnote w:id="6">
    <w:p w:rsidR="008F0A29" w:rsidRDefault="008F0A29">
      <w:pPr>
        <w:pStyle w:val="FootnoteText"/>
      </w:pPr>
      <w:r>
        <w:rPr>
          <w:rStyle w:val="FootnoteReference"/>
        </w:rPr>
        <w:footnoteRef/>
      </w:r>
      <w:r w:rsidRPr="00EF47FC">
        <w:rPr>
          <w:rStyle w:val="citation"/>
        </w:rPr>
        <w:t>Deleuze, Gilles</w:t>
      </w:r>
      <w:r>
        <w:rPr>
          <w:rStyle w:val="citation"/>
        </w:rPr>
        <w:t xml:space="preserve"> (1986). </w:t>
      </w:r>
      <w:r>
        <w:rPr>
          <w:rStyle w:val="citation"/>
          <w:i/>
          <w:iCs/>
        </w:rPr>
        <w:t>Foucault</w:t>
      </w:r>
      <w:r>
        <w:rPr>
          <w:rStyle w:val="citation"/>
        </w:rPr>
        <w:t>. London: Althone. p. 14</w:t>
      </w:r>
    </w:p>
  </w:footnote>
  <w:footnote w:id="7">
    <w:p w:rsidR="008F0A29" w:rsidRDefault="008F0A29">
      <w:pPr>
        <w:pStyle w:val="FootnoteText"/>
      </w:pPr>
      <w:r>
        <w:rPr>
          <w:rStyle w:val="FootnoteReference"/>
        </w:rPr>
        <w:footnoteRef/>
      </w:r>
      <w:r>
        <w:t xml:space="preserve"> Additionally, criticism of Priban and associated theories will be addressed at a further point. </w:t>
      </w:r>
    </w:p>
  </w:footnote>
  <w:footnote w:id="8">
    <w:p w:rsidR="008F0A29" w:rsidRPr="00DB0FE5" w:rsidRDefault="008F0A29">
      <w:pPr>
        <w:pStyle w:val="FootnoteText"/>
      </w:pPr>
      <w:r>
        <w:rPr>
          <w:rStyle w:val="FootnoteReference"/>
        </w:rPr>
        <w:footnoteRef/>
      </w:r>
      <w:r>
        <w:rPr>
          <w:i/>
        </w:rPr>
        <w:t>Supra</w:t>
      </w:r>
      <w:r>
        <w:t xml:space="preserve"> n.3 pp.250</w:t>
      </w:r>
    </w:p>
  </w:footnote>
  <w:footnote w:id="9">
    <w:p w:rsidR="008F0A29" w:rsidRPr="00023300" w:rsidRDefault="008F0A29">
      <w:pPr>
        <w:pStyle w:val="FootnoteText"/>
        <w:rPr>
          <w:rFonts w:cstheme="minorHAnsi"/>
        </w:rPr>
      </w:pPr>
      <w:r>
        <w:rPr>
          <w:rStyle w:val="FootnoteReference"/>
        </w:rPr>
        <w:footnoteRef/>
      </w:r>
      <w:r w:rsidRPr="00023300">
        <w:rPr>
          <w:rFonts w:cstheme="minorHAnsi"/>
          <w:bCs/>
          <w:color w:val="000000"/>
        </w:rPr>
        <w:t>Rorty</w:t>
      </w:r>
      <w:r>
        <w:rPr>
          <w:rFonts w:cstheme="minorHAnsi"/>
          <w:bCs/>
          <w:color w:val="000000"/>
        </w:rPr>
        <w:t>,</w:t>
      </w:r>
      <w:r w:rsidRPr="00023300">
        <w:rPr>
          <w:rFonts w:cstheme="minorHAnsi"/>
          <w:bCs/>
          <w:color w:val="000000"/>
        </w:rPr>
        <w:t xml:space="preserve"> R</w:t>
      </w:r>
      <w:r>
        <w:rPr>
          <w:rFonts w:cstheme="minorHAnsi"/>
          <w:bCs/>
          <w:color w:val="000000"/>
        </w:rPr>
        <w:t xml:space="preserve">, </w:t>
      </w:r>
      <w:r w:rsidRPr="00023300">
        <w:rPr>
          <w:rFonts w:cstheme="minorHAnsi"/>
          <w:bCs/>
          <w:color w:val="000000"/>
        </w:rPr>
        <w:t>Objectivity, Relativism, and Truth (Philosophical Papers, Vol. 1): Volume 1</w:t>
      </w:r>
      <w:r>
        <w:rPr>
          <w:rFonts w:cstheme="minorHAnsi"/>
          <w:bCs/>
          <w:color w:val="000000"/>
        </w:rPr>
        <w:t xml:space="preserve"> [1991]</w:t>
      </w:r>
    </w:p>
  </w:footnote>
  <w:footnote w:id="10">
    <w:p w:rsidR="008F0A29" w:rsidRPr="00DB3C2E" w:rsidRDefault="008F0A29">
      <w:pPr>
        <w:pStyle w:val="FootnoteText"/>
        <w:rPr>
          <w:lang w:val="de-DE"/>
        </w:rPr>
      </w:pPr>
      <w:r>
        <w:rPr>
          <w:rStyle w:val="FootnoteReference"/>
        </w:rPr>
        <w:footnoteRef/>
      </w:r>
      <w:r w:rsidRPr="00DB3C2E">
        <w:rPr>
          <w:lang w:val="de-DE"/>
        </w:rPr>
        <w:t xml:space="preserve">Heidegger, M. </w:t>
      </w:r>
      <w:r w:rsidRPr="00DB3C2E">
        <w:rPr>
          <w:i/>
          <w:iCs/>
          <w:lang w:val="de-DE"/>
        </w:rPr>
        <w:t>Gelassenheit</w:t>
      </w:r>
      <w:r w:rsidRPr="00DB3C2E">
        <w:rPr>
          <w:lang w:val="de-DE"/>
        </w:rPr>
        <w:t>, in Gesamtausgabe Volume 16</w:t>
      </w:r>
      <w:r>
        <w:rPr>
          <w:lang w:val="de-DE"/>
        </w:rPr>
        <w:t xml:space="preserve"> [1959]</w:t>
      </w:r>
    </w:p>
  </w:footnote>
  <w:footnote w:id="11">
    <w:p w:rsidR="008F0A29" w:rsidRPr="002533A4" w:rsidRDefault="008F0A29" w:rsidP="002533A4">
      <w:pPr>
        <w:rPr>
          <w:sz w:val="20"/>
          <w:szCs w:val="20"/>
        </w:rPr>
      </w:pPr>
      <w:r>
        <w:rPr>
          <w:rStyle w:val="FootnoteReference"/>
        </w:rPr>
        <w:footnoteRef/>
      </w:r>
      <w:r w:rsidRPr="00B2728A">
        <w:rPr>
          <w:sz w:val="20"/>
          <w:szCs w:val="20"/>
        </w:rPr>
        <w:t xml:space="preserve">Lyotard, J. </w:t>
      </w:r>
      <w:r w:rsidRPr="00B2728A">
        <w:rPr>
          <w:i/>
          <w:iCs/>
          <w:sz w:val="20"/>
          <w:szCs w:val="20"/>
        </w:rPr>
        <w:t>The Postmodern Condition</w:t>
      </w:r>
      <w:r w:rsidRPr="00B2728A">
        <w:rPr>
          <w:iCs/>
          <w:sz w:val="20"/>
          <w:szCs w:val="20"/>
        </w:rPr>
        <w:t>: A Report on Knowledge</w:t>
      </w:r>
      <w:r w:rsidRPr="00B2728A">
        <w:rPr>
          <w:sz w:val="20"/>
          <w:szCs w:val="20"/>
        </w:rPr>
        <w:t xml:space="preserve"> [1979]</w:t>
      </w:r>
    </w:p>
  </w:footnote>
  <w:footnote w:id="12">
    <w:p w:rsidR="008F0A29" w:rsidRPr="00957AAC" w:rsidRDefault="008F0A29">
      <w:pPr>
        <w:pStyle w:val="FootnoteText"/>
        <w:rPr>
          <w:lang w:val="de-DE"/>
        </w:rPr>
      </w:pPr>
      <w:r>
        <w:rPr>
          <w:rStyle w:val="FootnoteReference"/>
        </w:rPr>
        <w:footnoteRef/>
      </w:r>
      <w:r w:rsidRPr="00957AAC">
        <w:rPr>
          <w:i/>
          <w:lang w:val="de-DE"/>
        </w:rPr>
        <w:t xml:space="preserve">Supra </w:t>
      </w:r>
      <w:r w:rsidRPr="00957AAC">
        <w:rPr>
          <w:lang w:val="de-DE"/>
        </w:rPr>
        <w:t>n.3 pp. 249.</w:t>
      </w:r>
    </w:p>
  </w:footnote>
  <w:footnote w:id="13">
    <w:p w:rsidR="008F0A29" w:rsidRPr="00957AAC" w:rsidRDefault="008F0A29">
      <w:pPr>
        <w:pStyle w:val="FootnoteText"/>
      </w:pPr>
      <w:r>
        <w:rPr>
          <w:rStyle w:val="FootnoteReference"/>
        </w:rPr>
        <w:footnoteRef/>
      </w:r>
      <w:r w:rsidRPr="00957AAC">
        <w:t xml:space="preserve"> Wendell Holmes, O. </w:t>
      </w:r>
      <w:r w:rsidRPr="00957AAC">
        <w:rPr>
          <w:i/>
        </w:rPr>
        <w:t>The Common Law</w:t>
      </w:r>
      <w:r>
        <w:t xml:space="preserve"> (1991 ed) pp.xiii.</w:t>
      </w:r>
    </w:p>
  </w:footnote>
  <w:footnote w:id="14">
    <w:p w:rsidR="008F0A29" w:rsidRPr="00B074B5" w:rsidRDefault="008F0A29" w:rsidP="001E560D">
      <w:pPr>
        <w:autoSpaceDE w:val="0"/>
        <w:autoSpaceDN w:val="0"/>
        <w:adjustRightInd w:val="0"/>
        <w:spacing w:after="0" w:line="240" w:lineRule="auto"/>
        <w:rPr>
          <w:rFonts w:cstheme="minorHAnsi"/>
          <w:sz w:val="20"/>
          <w:szCs w:val="20"/>
        </w:rPr>
      </w:pPr>
      <w:r>
        <w:rPr>
          <w:rStyle w:val="FootnoteReference"/>
        </w:rPr>
        <w:footnoteRef/>
      </w:r>
      <w:r w:rsidRPr="001E560D">
        <w:rPr>
          <w:rFonts w:cstheme="minorHAnsi"/>
          <w:sz w:val="20"/>
          <w:szCs w:val="20"/>
        </w:rPr>
        <w:t>D</w:t>
      </w:r>
      <w:r w:rsidRPr="00B074B5">
        <w:rPr>
          <w:rFonts w:cstheme="minorHAnsi"/>
          <w:sz w:val="20"/>
          <w:szCs w:val="20"/>
        </w:rPr>
        <w:t xml:space="preserve">, Trubeck, </w:t>
      </w:r>
      <w:r w:rsidRPr="00B074B5">
        <w:rPr>
          <w:rFonts w:cstheme="minorHAnsi"/>
          <w:i/>
          <w:iCs/>
          <w:sz w:val="20"/>
          <w:szCs w:val="20"/>
        </w:rPr>
        <w:t xml:space="preserve">Where the Action Is: Critical Legal Studies and Empiricism, Stanford law review vol </w:t>
      </w:r>
      <w:r w:rsidRPr="00B074B5">
        <w:rPr>
          <w:rFonts w:cstheme="minorHAnsi"/>
          <w:sz w:val="20"/>
          <w:szCs w:val="20"/>
        </w:rPr>
        <w:t xml:space="preserve">36 </w:t>
      </w:r>
    </w:p>
    <w:p w:rsidR="008F0A29" w:rsidRPr="00B074B5" w:rsidRDefault="008F0A29" w:rsidP="001E560D">
      <w:pPr>
        <w:pStyle w:val="FootnoteText"/>
      </w:pPr>
      <w:r w:rsidRPr="00B074B5">
        <w:rPr>
          <w:rFonts w:cstheme="minorHAnsi"/>
        </w:rPr>
        <w:t xml:space="preserve">        575, 577 (1984).</w:t>
      </w:r>
    </w:p>
  </w:footnote>
  <w:footnote w:id="15">
    <w:p w:rsidR="008F0A29" w:rsidRPr="00B074B5" w:rsidRDefault="008F0A29" w:rsidP="00B074B5">
      <w:pPr>
        <w:autoSpaceDE w:val="0"/>
        <w:autoSpaceDN w:val="0"/>
        <w:adjustRightInd w:val="0"/>
        <w:spacing w:after="0" w:line="240" w:lineRule="auto"/>
        <w:rPr>
          <w:rFonts w:cstheme="minorHAnsi"/>
          <w:bCs/>
          <w:sz w:val="20"/>
          <w:szCs w:val="20"/>
        </w:rPr>
      </w:pPr>
      <w:r w:rsidRPr="00B074B5">
        <w:rPr>
          <w:rStyle w:val="FootnoteReference"/>
          <w:sz w:val="20"/>
          <w:szCs w:val="20"/>
        </w:rPr>
        <w:footnoteRef/>
      </w:r>
      <w:r w:rsidRPr="00B074B5">
        <w:rPr>
          <w:rFonts w:cstheme="minorHAnsi"/>
          <w:iCs/>
          <w:sz w:val="20"/>
          <w:szCs w:val="20"/>
        </w:rPr>
        <w:t>White,</w:t>
      </w:r>
      <w:r>
        <w:rPr>
          <w:rFonts w:cstheme="minorHAnsi"/>
          <w:iCs/>
          <w:sz w:val="20"/>
          <w:szCs w:val="20"/>
        </w:rPr>
        <w:t xml:space="preserve"> </w:t>
      </w:r>
      <w:r w:rsidRPr="00B074B5">
        <w:rPr>
          <w:rFonts w:cstheme="minorHAnsi"/>
          <w:iCs/>
          <w:sz w:val="20"/>
          <w:szCs w:val="20"/>
        </w:rPr>
        <w:t>Edward</w:t>
      </w:r>
      <w:r w:rsidRPr="00B074B5">
        <w:rPr>
          <w:rFonts w:cstheme="minorHAnsi"/>
          <w:bCs/>
          <w:iCs/>
          <w:sz w:val="20"/>
          <w:szCs w:val="20"/>
        </w:rPr>
        <w:t xml:space="preserve"> G. </w:t>
      </w:r>
      <w:r w:rsidRPr="00B074B5">
        <w:rPr>
          <w:rFonts w:cstheme="minorHAnsi"/>
          <w:sz w:val="20"/>
          <w:szCs w:val="20"/>
        </w:rPr>
        <w:t xml:space="preserve">From Realism to Critical </w:t>
      </w:r>
      <w:r w:rsidRPr="00B074B5">
        <w:rPr>
          <w:rFonts w:cstheme="minorHAnsi"/>
          <w:bCs/>
          <w:sz w:val="20"/>
          <w:szCs w:val="20"/>
        </w:rPr>
        <w:t xml:space="preserve">Legal Studies: A Truncated Intellectual </w:t>
      </w:r>
      <w:r w:rsidRPr="00B074B5">
        <w:rPr>
          <w:rFonts w:cstheme="minorHAnsi"/>
          <w:sz w:val="20"/>
          <w:szCs w:val="20"/>
        </w:rPr>
        <w:t xml:space="preserve">History, </w:t>
      </w:r>
      <w:r w:rsidRPr="00B074B5">
        <w:rPr>
          <w:rFonts w:cstheme="minorHAnsi"/>
          <w:i/>
          <w:sz w:val="20"/>
          <w:szCs w:val="20"/>
        </w:rPr>
        <w:t>South-Western         Legal Journal</w:t>
      </w:r>
      <w:r w:rsidRPr="00B074B5">
        <w:rPr>
          <w:rFonts w:cstheme="minorHAnsi"/>
          <w:sz w:val="20"/>
          <w:szCs w:val="20"/>
        </w:rPr>
        <w:t xml:space="preserve"> vol 40. (1986)</w:t>
      </w:r>
    </w:p>
  </w:footnote>
  <w:footnote w:id="16">
    <w:p w:rsidR="008F0A29" w:rsidRPr="00957AAC" w:rsidRDefault="008F0A29">
      <w:pPr>
        <w:pStyle w:val="FootnoteText"/>
        <w:rPr>
          <w:i/>
        </w:rPr>
      </w:pPr>
      <w:r>
        <w:rPr>
          <w:rStyle w:val="FootnoteReference"/>
        </w:rPr>
        <w:footnoteRef/>
      </w:r>
      <w:r>
        <w:rPr>
          <w:i/>
        </w:rPr>
        <w:t>Ibid.801</w:t>
      </w:r>
    </w:p>
  </w:footnote>
  <w:footnote w:id="17">
    <w:p w:rsidR="008F0A29" w:rsidRPr="00957AAC" w:rsidRDefault="008F0A29">
      <w:pPr>
        <w:pStyle w:val="FootnoteText"/>
        <w:rPr>
          <w:i/>
        </w:rPr>
      </w:pPr>
      <w:r>
        <w:rPr>
          <w:rStyle w:val="FootnoteReference"/>
        </w:rPr>
        <w:footnoteRef/>
      </w:r>
      <w:r>
        <w:rPr>
          <w:i/>
        </w:rPr>
        <w:t>Ibid.825</w:t>
      </w:r>
    </w:p>
  </w:footnote>
  <w:footnote w:id="18">
    <w:p w:rsidR="008F0A29" w:rsidRDefault="008F0A29">
      <w:pPr>
        <w:pStyle w:val="FootnoteText"/>
      </w:pPr>
      <w:r>
        <w:rPr>
          <w:rStyle w:val="FootnoteReference"/>
        </w:rPr>
        <w:footnoteRef/>
      </w:r>
      <w:r w:rsidRPr="00A13A54">
        <w:rPr>
          <w:i/>
        </w:rPr>
        <w:t>Ibid</w:t>
      </w:r>
      <w:r>
        <w:t>, 826</w:t>
      </w:r>
    </w:p>
  </w:footnote>
  <w:footnote w:id="19">
    <w:p w:rsidR="008F0A29" w:rsidRPr="00957AAC" w:rsidRDefault="008F0A29">
      <w:pPr>
        <w:pStyle w:val="FootnoteText"/>
        <w:rPr>
          <w:i/>
        </w:rPr>
      </w:pPr>
      <w:r>
        <w:rPr>
          <w:rStyle w:val="FootnoteReference"/>
        </w:rPr>
        <w:footnoteRef/>
      </w:r>
      <w:r>
        <w:rPr>
          <w:i/>
        </w:rPr>
        <w:t xml:space="preserve">Ibid. </w:t>
      </w:r>
    </w:p>
  </w:footnote>
  <w:footnote w:id="20">
    <w:p w:rsidR="008F0A29" w:rsidRDefault="008F0A29">
      <w:pPr>
        <w:pStyle w:val="FootnoteText"/>
      </w:pPr>
      <w:r>
        <w:rPr>
          <w:rStyle w:val="FootnoteReference"/>
        </w:rPr>
        <w:footnoteRef/>
      </w:r>
      <w:r w:rsidRPr="00752756">
        <w:rPr>
          <w:i/>
        </w:rPr>
        <w:t>Ibid</w:t>
      </w:r>
      <w:r>
        <w:t xml:space="preserve"> post script 86</w:t>
      </w:r>
    </w:p>
  </w:footnote>
  <w:footnote w:id="21">
    <w:p w:rsidR="008F0A29" w:rsidRDefault="008F0A29">
      <w:pPr>
        <w:pStyle w:val="FootnoteText"/>
      </w:pPr>
      <w:r>
        <w:rPr>
          <w:rStyle w:val="FootnoteReference"/>
        </w:rPr>
        <w:footnoteRef/>
      </w:r>
      <w:r w:rsidRPr="00752756">
        <w:rPr>
          <w:i/>
        </w:rPr>
        <w:t>Ibid</w:t>
      </w:r>
      <w:r>
        <w:t xml:space="preserve"> p838</w:t>
      </w:r>
    </w:p>
  </w:footnote>
  <w:footnote w:id="22">
    <w:p w:rsidR="008F0A29" w:rsidRPr="008E469B" w:rsidRDefault="008F0A29">
      <w:pPr>
        <w:pStyle w:val="FootnoteText"/>
      </w:pPr>
      <w:r>
        <w:rPr>
          <w:rStyle w:val="FootnoteReference"/>
        </w:rPr>
        <w:footnoteRef/>
      </w:r>
      <w:r w:rsidRPr="008E469B">
        <w:t xml:space="preserve">Blake, N. </w:t>
      </w:r>
      <w:r w:rsidRPr="008E469B">
        <w:rPr>
          <w:rFonts w:cstheme="minorHAnsi"/>
        </w:rPr>
        <w:t>The Blackwell Guide to the Philosophy of Education</w:t>
      </w:r>
      <w:r>
        <w:rPr>
          <w:rFonts w:cstheme="minorHAnsi"/>
        </w:rPr>
        <w:t>, pp.147 [2003]</w:t>
      </w:r>
    </w:p>
  </w:footnote>
  <w:footnote w:id="23">
    <w:p w:rsidR="008F0A29" w:rsidRDefault="008F0A29">
      <w:pPr>
        <w:pStyle w:val="FootnoteText"/>
      </w:pPr>
      <w:r>
        <w:rPr>
          <w:rStyle w:val="FootnoteReference"/>
        </w:rPr>
        <w:footnoteRef/>
      </w:r>
      <w:r>
        <w:t xml:space="preserve"> Fish, S. Doing What Comes Naturally: Change, Rhetoric, and the Practice of Theory in Literary and Legal Studies. [1989] </w:t>
      </w:r>
    </w:p>
  </w:footnote>
  <w:footnote w:id="24">
    <w:p w:rsidR="008F0A29" w:rsidRDefault="008F0A29">
      <w:pPr>
        <w:pStyle w:val="FootnoteText"/>
      </w:pPr>
      <w:r>
        <w:rPr>
          <w:rStyle w:val="FootnoteReference"/>
        </w:rPr>
        <w:footnoteRef/>
      </w:r>
      <w:r w:rsidRPr="00752756">
        <w:rPr>
          <w:i/>
        </w:rPr>
        <w:t>Ibid</w:t>
      </w:r>
      <w:r>
        <w:t xml:space="preserve"> pp. 30</w:t>
      </w:r>
    </w:p>
  </w:footnote>
  <w:footnote w:id="25">
    <w:p w:rsidR="008F0A29" w:rsidRPr="00EE4C50" w:rsidRDefault="008F0A29">
      <w:pPr>
        <w:pStyle w:val="FootnoteText"/>
      </w:pPr>
      <w:r>
        <w:rPr>
          <w:rStyle w:val="FootnoteReference"/>
        </w:rPr>
        <w:footnoteRef/>
      </w:r>
      <w:r>
        <w:t xml:space="preserve"> Mason M, </w:t>
      </w:r>
      <w:r>
        <w:rPr>
          <w:i/>
        </w:rPr>
        <w:t>Values in Multicultural Education: Whose Ethics?</w:t>
      </w:r>
      <w:r>
        <w:t xml:space="preserve">, Moral Education and Pluralism, Vol 40, [2005] </w:t>
      </w:r>
    </w:p>
  </w:footnote>
  <w:footnote w:id="26">
    <w:p w:rsidR="008F0A29" w:rsidRPr="0056759D" w:rsidRDefault="008F0A29" w:rsidP="0056759D">
      <w:pPr>
        <w:rPr>
          <w:sz w:val="20"/>
          <w:szCs w:val="20"/>
        </w:rPr>
      </w:pPr>
      <w:r>
        <w:rPr>
          <w:rStyle w:val="FootnoteReference"/>
        </w:rPr>
        <w:footnoteRef/>
      </w:r>
      <w:r w:rsidRPr="00DA21A5">
        <w:rPr>
          <w:sz w:val="20"/>
          <w:szCs w:val="20"/>
        </w:rPr>
        <w:t xml:space="preserve">Fish, S. Anti-foundationalism, Theory Hope and the Teaching of Composition </w:t>
      </w:r>
      <w:r w:rsidRPr="00DA21A5">
        <w:rPr>
          <w:i/>
          <w:sz w:val="20"/>
          <w:szCs w:val="20"/>
        </w:rPr>
        <w:t xml:space="preserve">The Current in Criticism: Essays on the Present and Future of Literary Theory </w:t>
      </w:r>
      <w:r>
        <w:rPr>
          <w:sz w:val="20"/>
          <w:szCs w:val="20"/>
        </w:rPr>
        <w:t>[1986]</w:t>
      </w:r>
    </w:p>
  </w:footnote>
  <w:footnote w:id="27">
    <w:p w:rsidR="008F0A29" w:rsidRPr="00BD4D7A" w:rsidRDefault="008F0A29">
      <w:pPr>
        <w:pStyle w:val="FootnoteText"/>
        <w:rPr>
          <w:lang w:val="es-ES"/>
        </w:rPr>
      </w:pPr>
      <w:r>
        <w:rPr>
          <w:rStyle w:val="FootnoteReference"/>
        </w:rPr>
        <w:footnoteRef/>
      </w:r>
      <w:r w:rsidRPr="00752756">
        <w:rPr>
          <w:i/>
          <w:lang w:val="es-ES"/>
        </w:rPr>
        <w:t>Ibid</w:t>
      </w:r>
      <w:r w:rsidRPr="00BD4D7A">
        <w:rPr>
          <w:lang w:val="es-ES"/>
        </w:rPr>
        <w:t xml:space="preserve"> pp.81</w:t>
      </w:r>
    </w:p>
  </w:footnote>
  <w:footnote w:id="28">
    <w:p w:rsidR="008F0A29" w:rsidRPr="00BD4D7A" w:rsidRDefault="008F0A29">
      <w:pPr>
        <w:pStyle w:val="FootnoteText"/>
        <w:rPr>
          <w:lang w:val="es-ES"/>
        </w:rPr>
      </w:pPr>
      <w:r>
        <w:rPr>
          <w:rStyle w:val="FootnoteReference"/>
        </w:rPr>
        <w:footnoteRef/>
      </w:r>
      <w:r w:rsidRPr="00752756">
        <w:rPr>
          <w:i/>
          <w:lang w:val="es-ES"/>
        </w:rPr>
        <w:t>Ibid</w:t>
      </w:r>
      <w:r w:rsidRPr="00BD4D7A">
        <w:rPr>
          <w:lang w:val="es-ES"/>
        </w:rPr>
        <w:t>.</w:t>
      </w:r>
    </w:p>
  </w:footnote>
  <w:footnote w:id="29">
    <w:p w:rsidR="008F0A29" w:rsidRPr="00BD4D7A" w:rsidRDefault="008F0A29">
      <w:pPr>
        <w:pStyle w:val="FootnoteText"/>
        <w:rPr>
          <w:lang w:val="es-ES"/>
        </w:rPr>
      </w:pPr>
      <w:r>
        <w:rPr>
          <w:rStyle w:val="FootnoteReference"/>
        </w:rPr>
        <w:footnoteRef/>
      </w:r>
      <w:r w:rsidRPr="00BD4D7A">
        <w:rPr>
          <w:i/>
          <w:lang w:val="es-ES"/>
        </w:rPr>
        <w:t xml:space="preserve">Supra </w:t>
      </w:r>
      <w:r w:rsidRPr="00BD4D7A">
        <w:rPr>
          <w:lang w:val="es-ES"/>
        </w:rPr>
        <w:t>no.3 pp.249</w:t>
      </w:r>
    </w:p>
  </w:footnote>
  <w:footnote w:id="30">
    <w:p w:rsidR="008F0A29" w:rsidRDefault="008F0A29">
      <w:pPr>
        <w:pStyle w:val="FootnoteText"/>
      </w:pPr>
      <w:r>
        <w:rPr>
          <w:rStyle w:val="FootnoteReference"/>
        </w:rPr>
        <w:footnoteRef/>
      </w:r>
      <w:r>
        <w:t xml:space="preserve"> Rorty, R. Consequences of Pragmatism (Essays: 1972-1980)[1982] </w:t>
      </w:r>
    </w:p>
  </w:footnote>
  <w:footnote w:id="31">
    <w:p w:rsidR="008F0A29" w:rsidRPr="00854DD9" w:rsidRDefault="008F0A29">
      <w:pPr>
        <w:pStyle w:val="FootnoteText"/>
        <w:rPr>
          <w:lang w:val="es-ES"/>
        </w:rPr>
      </w:pPr>
      <w:r>
        <w:rPr>
          <w:rStyle w:val="FootnoteReference"/>
        </w:rPr>
        <w:footnoteRef/>
      </w:r>
      <w:r w:rsidRPr="00854DD9">
        <w:rPr>
          <w:i/>
          <w:lang w:val="es-ES"/>
        </w:rPr>
        <w:t xml:space="preserve">Supra </w:t>
      </w:r>
      <w:r w:rsidRPr="00854DD9">
        <w:rPr>
          <w:lang w:val="es-ES"/>
        </w:rPr>
        <w:t>no.3 pp.250</w:t>
      </w:r>
    </w:p>
  </w:footnote>
  <w:footnote w:id="32">
    <w:p w:rsidR="008F0A29" w:rsidRPr="00854DD9" w:rsidRDefault="008F0A29" w:rsidP="00854DD9">
      <w:pPr>
        <w:pStyle w:val="FootnoteText"/>
        <w:rPr>
          <w:lang w:val="es-ES"/>
        </w:rPr>
      </w:pPr>
      <w:r>
        <w:rPr>
          <w:rStyle w:val="FootnoteReference"/>
        </w:rPr>
        <w:footnoteRef/>
      </w:r>
      <w:r w:rsidRPr="00854DD9">
        <w:rPr>
          <w:i/>
          <w:lang w:val="es-ES"/>
        </w:rPr>
        <w:t xml:space="preserve">Supra </w:t>
      </w:r>
      <w:r w:rsidRPr="00854DD9">
        <w:rPr>
          <w:lang w:val="es-ES"/>
        </w:rPr>
        <w:t xml:space="preserve">no.31 pp. </w:t>
      </w:r>
      <w:r>
        <w:rPr>
          <w:lang w:val="es-ES"/>
        </w:rPr>
        <w:t>92</w:t>
      </w:r>
    </w:p>
  </w:footnote>
  <w:footnote w:id="33">
    <w:p w:rsidR="008F0A29" w:rsidRPr="007354F2" w:rsidRDefault="008F0A29">
      <w:pPr>
        <w:pStyle w:val="FootnoteText"/>
        <w:rPr>
          <w:lang w:val="es-ES"/>
        </w:rPr>
      </w:pPr>
      <w:r>
        <w:rPr>
          <w:rStyle w:val="FootnoteReference"/>
        </w:rPr>
        <w:footnoteRef/>
      </w:r>
      <w:r w:rsidRPr="007354F2">
        <w:rPr>
          <w:i/>
          <w:lang w:val="es-ES"/>
        </w:rPr>
        <w:t>ibid</w:t>
      </w:r>
      <w:r w:rsidRPr="007354F2">
        <w:rPr>
          <w:lang w:val="es-ES"/>
        </w:rPr>
        <w:t xml:space="preserve">. </w:t>
      </w:r>
    </w:p>
  </w:footnote>
  <w:footnote w:id="34">
    <w:p w:rsidR="008F0A29" w:rsidRPr="007354F2" w:rsidRDefault="008F0A29">
      <w:pPr>
        <w:pStyle w:val="FootnoteText"/>
        <w:rPr>
          <w:lang w:val="es-ES"/>
        </w:rPr>
      </w:pPr>
      <w:r>
        <w:rPr>
          <w:rStyle w:val="FootnoteReference"/>
        </w:rPr>
        <w:footnoteRef/>
      </w:r>
      <w:r w:rsidRPr="007354F2">
        <w:rPr>
          <w:i/>
          <w:lang w:val="es-ES"/>
        </w:rPr>
        <w:t>Ibid.</w:t>
      </w:r>
    </w:p>
  </w:footnote>
  <w:footnote w:id="35">
    <w:p w:rsidR="008F0A29" w:rsidRPr="007354F2" w:rsidRDefault="008F0A29">
      <w:pPr>
        <w:pStyle w:val="FootnoteText"/>
        <w:rPr>
          <w:lang w:val="es-ES"/>
        </w:rPr>
      </w:pPr>
      <w:r>
        <w:rPr>
          <w:rStyle w:val="FootnoteReference"/>
        </w:rPr>
        <w:footnoteRef/>
      </w:r>
      <w:r w:rsidRPr="007354F2">
        <w:rPr>
          <w:i/>
          <w:lang w:val="es-ES"/>
        </w:rPr>
        <w:t xml:space="preserve">Supra </w:t>
      </w:r>
      <w:r w:rsidRPr="007354F2">
        <w:rPr>
          <w:lang w:val="es-ES"/>
        </w:rPr>
        <w:t>no.31 pp.94</w:t>
      </w:r>
    </w:p>
  </w:footnote>
  <w:footnote w:id="36">
    <w:p w:rsidR="008F0A29" w:rsidRDefault="008F0A29">
      <w:pPr>
        <w:pStyle w:val="FootnoteText"/>
      </w:pPr>
      <w:r>
        <w:rPr>
          <w:rStyle w:val="FootnoteReference"/>
        </w:rPr>
        <w:footnoteRef/>
      </w:r>
      <w:r>
        <w:t xml:space="preserve"> Ibid </w:t>
      </w:r>
    </w:p>
  </w:footnote>
  <w:footnote w:id="37">
    <w:p w:rsidR="008F0A29" w:rsidRDefault="008F0A29" w:rsidP="00C10132">
      <w:pPr>
        <w:pStyle w:val="FootnoteText"/>
      </w:pPr>
      <w:r>
        <w:rPr>
          <w:rStyle w:val="FootnoteReference"/>
        </w:rPr>
        <w:footnoteRef/>
      </w:r>
      <w:r>
        <w:t xml:space="preserve"> Ibid pp.92</w:t>
      </w:r>
    </w:p>
  </w:footnote>
  <w:footnote w:id="38">
    <w:p w:rsidR="008F0A29" w:rsidRPr="00582E4B" w:rsidRDefault="008F0A29">
      <w:pPr>
        <w:pStyle w:val="FootnoteText"/>
      </w:pPr>
      <w:r>
        <w:rPr>
          <w:rStyle w:val="FootnoteReference"/>
        </w:rPr>
        <w:footnoteRef/>
      </w:r>
      <w:r>
        <w:t xml:space="preserve"> Lyotard, J. </w:t>
      </w:r>
      <w:r w:rsidRPr="00140AC7">
        <w:rPr>
          <w:i/>
        </w:rPr>
        <w:t>The Postmodern Condition: A Report on Knowledge</w:t>
      </w:r>
      <w:r>
        <w:rPr>
          <w:i/>
        </w:rPr>
        <w:t xml:space="preserve">, </w:t>
      </w:r>
      <w:r>
        <w:t>Introduction (xxiv) [1979]</w:t>
      </w:r>
    </w:p>
  </w:footnote>
  <w:footnote w:id="39">
    <w:p w:rsidR="008F0A29" w:rsidRPr="00843BE6" w:rsidRDefault="008F0A29">
      <w:pPr>
        <w:pStyle w:val="FootnoteText"/>
      </w:pPr>
      <w:r>
        <w:rPr>
          <w:rStyle w:val="FootnoteReference"/>
        </w:rPr>
        <w:footnoteRef/>
      </w:r>
      <w:r>
        <w:rPr>
          <w:i/>
        </w:rPr>
        <w:t xml:space="preserve">Ibid </w:t>
      </w:r>
      <w:r>
        <w:t>at pp. 10</w:t>
      </w:r>
    </w:p>
  </w:footnote>
  <w:footnote w:id="40">
    <w:p w:rsidR="008F0A29" w:rsidRDefault="008F0A29">
      <w:pPr>
        <w:pStyle w:val="FootnoteText"/>
      </w:pPr>
      <w:r>
        <w:rPr>
          <w:rStyle w:val="FootnoteReference"/>
        </w:rPr>
        <w:footnoteRef/>
      </w:r>
      <w:r>
        <w:t xml:space="preserve"> Fish, S. </w:t>
      </w:r>
      <w:r>
        <w:rPr>
          <w:i/>
        </w:rPr>
        <w:t>I</w:t>
      </w:r>
      <w:r w:rsidRPr="000A3640">
        <w:rPr>
          <w:i/>
        </w:rPr>
        <w:t>s There a Text in This Class?</w:t>
      </w:r>
      <w:r>
        <w:t>: The Authority of Interpretative Communities [1980]</w:t>
      </w:r>
    </w:p>
  </w:footnote>
  <w:footnote w:id="41">
    <w:p w:rsidR="008F0A29" w:rsidRDefault="008F0A29">
      <w:pPr>
        <w:pStyle w:val="FootnoteText"/>
      </w:pPr>
      <w:r>
        <w:rPr>
          <w:rStyle w:val="FootnoteReference"/>
        </w:rPr>
        <w:footnoteRef/>
      </w:r>
      <w:r w:rsidRPr="001B2EA0">
        <w:rPr>
          <w:i/>
        </w:rPr>
        <w:t>Ibid</w:t>
      </w:r>
      <w:r>
        <w:t xml:space="preserve"> pp.291</w:t>
      </w:r>
    </w:p>
  </w:footnote>
  <w:footnote w:id="42">
    <w:p w:rsidR="008F0A29" w:rsidRPr="001B2EA0" w:rsidRDefault="008F0A29">
      <w:pPr>
        <w:pStyle w:val="FootnoteText"/>
        <w:rPr>
          <w:i/>
        </w:rPr>
      </w:pPr>
      <w:r>
        <w:rPr>
          <w:rStyle w:val="FootnoteReference"/>
        </w:rPr>
        <w:footnoteRef/>
      </w:r>
      <w:r>
        <w:rPr>
          <w:i/>
        </w:rPr>
        <w:t>Ibid.</w:t>
      </w:r>
    </w:p>
  </w:footnote>
  <w:footnote w:id="43">
    <w:p w:rsidR="008F0A29" w:rsidRPr="008340DC" w:rsidRDefault="008F0A29" w:rsidP="008340DC">
      <w:pPr>
        <w:pStyle w:val="FootnoteText"/>
        <w:rPr>
          <w:i/>
        </w:rPr>
      </w:pPr>
      <w:r>
        <w:rPr>
          <w:rStyle w:val="FootnoteReference"/>
        </w:rPr>
        <w:footnoteRef/>
      </w:r>
      <w:r>
        <w:rPr>
          <w:i/>
        </w:rPr>
        <w:t>Ibid 292.</w:t>
      </w:r>
    </w:p>
  </w:footnote>
  <w:footnote w:id="44">
    <w:p w:rsidR="008F0A29" w:rsidRDefault="008F0A29">
      <w:pPr>
        <w:pStyle w:val="FootnoteText"/>
      </w:pPr>
      <w:r>
        <w:rPr>
          <w:rStyle w:val="FootnoteReference"/>
        </w:rPr>
        <w:footnoteRef/>
      </w:r>
      <w:r>
        <w:t xml:space="preserve"> A question I will consequently attend to in the following chapter.</w:t>
      </w:r>
    </w:p>
  </w:footnote>
  <w:footnote w:id="45">
    <w:p w:rsidR="008F0A29" w:rsidRDefault="008F0A29">
      <w:pPr>
        <w:pStyle w:val="FootnoteText"/>
      </w:pPr>
      <w:r>
        <w:rPr>
          <w:rStyle w:val="FootnoteReference"/>
        </w:rPr>
        <w:footnoteRef/>
      </w:r>
      <w:r>
        <w:t xml:space="preserve"> Fish, S. </w:t>
      </w:r>
      <w:r>
        <w:rPr>
          <w:i/>
        </w:rPr>
        <w:t>There’s No Such Thing As free Speech, and it’s a Good Thing, too</w:t>
      </w:r>
      <w:r>
        <w:t xml:space="preserve"> [1994]</w:t>
      </w:r>
    </w:p>
  </w:footnote>
  <w:footnote w:id="46">
    <w:p w:rsidR="008F0A29" w:rsidRPr="00EB14A0" w:rsidRDefault="008F0A29">
      <w:pPr>
        <w:pStyle w:val="FootnoteText"/>
      </w:pPr>
      <w:r>
        <w:rPr>
          <w:rStyle w:val="FootnoteReference"/>
        </w:rPr>
        <w:footnoteRef/>
      </w:r>
      <w:r w:rsidRPr="00EB14A0">
        <w:rPr>
          <w:i/>
        </w:rPr>
        <w:t xml:space="preserve">Ibid </w:t>
      </w:r>
      <w:r w:rsidRPr="00EB14A0">
        <w:t>pp.221-222</w:t>
      </w:r>
    </w:p>
  </w:footnote>
  <w:footnote w:id="47">
    <w:p w:rsidR="008F0A29" w:rsidRPr="00EB14A0" w:rsidRDefault="008F0A29">
      <w:pPr>
        <w:pStyle w:val="FootnoteText"/>
      </w:pPr>
      <w:r>
        <w:rPr>
          <w:rStyle w:val="FootnoteReference"/>
        </w:rPr>
        <w:footnoteRef/>
      </w:r>
      <w:r w:rsidRPr="00EB14A0">
        <w:rPr>
          <w:i/>
        </w:rPr>
        <w:t xml:space="preserve">Ibid </w:t>
      </w:r>
      <w:r w:rsidRPr="00EB14A0">
        <w:t>pp. 156</w:t>
      </w:r>
    </w:p>
  </w:footnote>
  <w:footnote w:id="48">
    <w:p w:rsidR="008F0A29" w:rsidRPr="00EB14A0" w:rsidRDefault="008F0A29">
      <w:pPr>
        <w:pStyle w:val="FootnoteText"/>
      </w:pPr>
      <w:r>
        <w:rPr>
          <w:rStyle w:val="FootnoteReference"/>
        </w:rPr>
        <w:footnoteRef/>
      </w:r>
      <w:r w:rsidRPr="00EB14A0">
        <w:rPr>
          <w:i/>
        </w:rPr>
        <w:t>Ibid</w:t>
      </w:r>
      <w:r w:rsidRPr="00EB14A0">
        <w:t xml:space="preserve">. </w:t>
      </w:r>
    </w:p>
  </w:footnote>
  <w:footnote w:id="49">
    <w:p w:rsidR="008F0A29" w:rsidRPr="00EB14A0" w:rsidRDefault="008F0A29">
      <w:pPr>
        <w:pStyle w:val="FootnoteText"/>
      </w:pPr>
      <w:r>
        <w:rPr>
          <w:rStyle w:val="FootnoteReference"/>
        </w:rPr>
        <w:footnoteRef/>
      </w:r>
      <w:r w:rsidRPr="00EB14A0">
        <w:rPr>
          <w:i/>
        </w:rPr>
        <w:t>Supra</w:t>
      </w:r>
      <w:r w:rsidRPr="00EB14A0">
        <w:t xml:space="preserve"> no.46 pp.157</w:t>
      </w:r>
    </w:p>
  </w:footnote>
  <w:footnote w:id="50">
    <w:p w:rsidR="008F0A29" w:rsidRDefault="008F0A29">
      <w:pPr>
        <w:pStyle w:val="FootnoteText"/>
      </w:pPr>
      <w:r>
        <w:rPr>
          <w:rStyle w:val="FootnoteReference"/>
        </w:rPr>
        <w:footnoteRef/>
      </w:r>
      <w:r>
        <w:t xml:space="preserve"> It is on that point, among several, that the concepts of post-structuralism and structuralism diverge, as structuralists hold the historical interpretation valid as understanding concepts relative to their own time, without drawing inferences across to the present.</w:t>
      </w:r>
    </w:p>
  </w:footnote>
  <w:footnote w:id="51">
    <w:p w:rsidR="008F0A29" w:rsidRPr="00FC4189" w:rsidRDefault="008F0A29">
      <w:pPr>
        <w:pStyle w:val="FootnoteText"/>
        <w:rPr>
          <w:lang w:val="es-ES"/>
        </w:rPr>
      </w:pPr>
      <w:r>
        <w:rPr>
          <w:rStyle w:val="FootnoteReference"/>
        </w:rPr>
        <w:footnoteRef/>
      </w:r>
      <w:r w:rsidRPr="00FC4189">
        <w:rPr>
          <w:i/>
          <w:lang w:val="es-ES"/>
        </w:rPr>
        <w:t xml:space="preserve">Supra </w:t>
      </w:r>
      <w:r w:rsidRPr="00FC4189">
        <w:rPr>
          <w:lang w:val="es-ES"/>
        </w:rPr>
        <w:t>no.3 pp.256</w:t>
      </w:r>
    </w:p>
  </w:footnote>
  <w:footnote w:id="52">
    <w:p w:rsidR="008F0A29" w:rsidRPr="00FC4189" w:rsidRDefault="008F0A29">
      <w:pPr>
        <w:pStyle w:val="FootnoteText"/>
        <w:rPr>
          <w:lang w:val="es-ES"/>
        </w:rPr>
      </w:pPr>
      <w:r>
        <w:rPr>
          <w:rStyle w:val="FootnoteReference"/>
        </w:rPr>
        <w:footnoteRef/>
      </w:r>
      <w:r w:rsidRPr="00FC4189">
        <w:rPr>
          <w:i/>
          <w:lang w:val="es-ES"/>
        </w:rPr>
        <w:t>Supra</w:t>
      </w:r>
      <w:r w:rsidRPr="00FC4189">
        <w:rPr>
          <w:lang w:val="es-ES"/>
        </w:rPr>
        <w:t xml:space="preserve"> no.46 pp.157</w:t>
      </w:r>
    </w:p>
  </w:footnote>
  <w:footnote w:id="53">
    <w:p w:rsidR="008F0A29" w:rsidRDefault="008F0A29">
      <w:pPr>
        <w:pStyle w:val="FootnoteText"/>
      </w:pPr>
      <w:r>
        <w:rPr>
          <w:rStyle w:val="FootnoteReference"/>
        </w:rPr>
        <w:footnoteRef/>
      </w:r>
      <w:r w:rsidRPr="00B849DF">
        <w:rPr>
          <w:i/>
        </w:rPr>
        <w:t>Ibid</w:t>
      </w:r>
      <w:r>
        <w:t xml:space="preserve"> pp.158</w:t>
      </w:r>
    </w:p>
  </w:footnote>
  <w:footnote w:id="54">
    <w:p w:rsidR="008F0A29" w:rsidRPr="00FC4189" w:rsidRDefault="008F0A29">
      <w:pPr>
        <w:pStyle w:val="FootnoteText"/>
      </w:pPr>
      <w:r>
        <w:rPr>
          <w:rStyle w:val="FootnoteReference"/>
        </w:rPr>
        <w:footnoteRef/>
      </w:r>
      <w:r>
        <w:rPr>
          <w:i/>
        </w:rPr>
        <w:t>Ibid.</w:t>
      </w:r>
    </w:p>
  </w:footnote>
  <w:footnote w:id="55">
    <w:p w:rsidR="008F0A29" w:rsidRPr="00FC4189" w:rsidRDefault="008F0A29">
      <w:pPr>
        <w:pStyle w:val="FootnoteText"/>
        <w:rPr>
          <w:i/>
        </w:rPr>
      </w:pPr>
      <w:r>
        <w:rPr>
          <w:rStyle w:val="FootnoteReference"/>
        </w:rPr>
        <w:footnoteRef/>
      </w:r>
      <w:r>
        <w:rPr>
          <w:i/>
        </w:rPr>
        <w:t xml:space="preserve">Ibid </w:t>
      </w:r>
      <w:r w:rsidRPr="00FC4189">
        <w:t>p</w:t>
      </w:r>
      <w:r>
        <w:t>p</w:t>
      </w:r>
      <w:r w:rsidRPr="00FC4189">
        <w:t>. 159</w:t>
      </w:r>
    </w:p>
  </w:footnote>
  <w:footnote w:id="56">
    <w:p w:rsidR="008F0A29" w:rsidRPr="0055748B" w:rsidRDefault="008F0A29">
      <w:pPr>
        <w:pStyle w:val="FootnoteText"/>
        <w:rPr>
          <w:i/>
        </w:rPr>
      </w:pPr>
      <w:r>
        <w:rPr>
          <w:rStyle w:val="FootnoteReference"/>
        </w:rPr>
        <w:footnoteRef/>
      </w:r>
      <w:r>
        <w:rPr>
          <w:i/>
        </w:rPr>
        <w:t xml:space="preserve">Ibid. </w:t>
      </w:r>
    </w:p>
  </w:footnote>
  <w:footnote w:id="57">
    <w:p w:rsidR="008F0A29" w:rsidRDefault="008F0A29">
      <w:pPr>
        <w:pStyle w:val="FootnoteText"/>
      </w:pPr>
      <w:r>
        <w:rPr>
          <w:rStyle w:val="FootnoteReference"/>
        </w:rPr>
        <w:footnoteRef/>
      </w:r>
      <w:r w:rsidRPr="00687CAC">
        <w:rPr>
          <w:i/>
        </w:rPr>
        <w:t>Ibid</w:t>
      </w:r>
      <w:r>
        <w:t>. pp.169</w:t>
      </w:r>
    </w:p>
  </w:footnote>
  <w:footnote w:id="58">
    <w:p w:rsidR="008F0A29" w:rsidRPr="00224915" w:rsidRDefault="008F0A29">
      <w:pPr>
        <w:pStyle w:val="FootnoteText"/>
        <w:rPr>
          <w:i/>
        </w:rPr>
      </w:pPr>
      <w:r>
        <w:rPr>
          <w:rStyle w:val="FootnoteReference"/>
        </w:rPr>
        <w:footnoteRef/>
      </w:r>
      <w:r>
        <w:t xml:space="preserve"> Steven J Burton, “Rhetorical Jurisprudence: Law as Practical Reason, as cited in </w:t>
      </w:r>
      <w:r>
        <w:rPr>
          <w:i/>
        </w:rPr>
        <w:t xml:space="preserve">Supra </w:t>
      </w:r>
      <w:r w:rsidRPr="00224915">
        <w:t>no.46</w:t>
      </w:r>
      <w:r>
        <w:t xml:space="preserve"> </w:t>
      </w:r>
      <w:r w:rsidRPr="00224915">
        <w:t xml:space="preserve">Fish </w:t>
      </w:r>
      <w:r>
        <w:t>pp.172.</w:t>
      </w:r>
    </w:p>
  </w:footnote>
  <w:footnote w:id="59">
    <w:p w:rsidR="008F0A29" w:rsidRDefault="008F0A29">
      <w:pPr>
        <w:pStyle w:val="FootnoteText"/>
      </w:pPr>
      <w:r>
        <w:rPr>
          <w:rStyle w:val="FootnoteReference"/>
        </w:rPr>
        <w:footnoteRef/>
      </w:r>
      <w:r w:rsidRPr="009B097B">
        <w:rPr>
          <w:i/>
        </w:rPr>
        <w:t>Ibid</w:t>
      </w:r>
      <w:r>
        <w:t xml:space="preserve">. </w:t>
      </w:r>
    </w:p>
  </w:footnote>
  <w:footnote w:id="60">
    <w:p w:rsidR="008F0A29" w:rsidRPr="0051649F" w:rsidRDefault="008F0A29">
      <w:pPr>
        <w:pStyle w:val="FootnoteText"/>
      </w:pPr>
      <w:r>
        <w:rPr>
          <w:rStyle w:val="FootnoteReference"/>
        </w:rPr>
        <w:footnoteRef/>
      </w:r>
      <w:r>
        <w:rPr>
          <w:i/>
        </w:rPr>
        <w:t xml:space="preserve">Supra </w:t>
      </w:r>
      <w:r>
        <w:t>no.3 pp.254</w:t>
      </w:r>
    </w:p>
  </w:footnote>
  <w:footnote w:id="61">
    <w:p w:rsidR="008F0A29" w:rsidRDefault="008F0A29">
      <w:pPr>
        <w:pStyle w:val="FootnoteText"/>
      </w:pPr>
      <w:r>
        <w:rPr>
          <w:rStyle w:val="FootnoteReference"/>
        </w:rPr>
        <w:footnoteRef/>
      </w:r>
      <w:r>
        <w:t xml:space="preserve"> P. Goodrich Legal Discourse: Studies in Linguistics, Rhetoric, and Legal Analysis [1987]. pp.36.</w:t>
      </w:r>
    </w:p>
  </w:footnote>
  <w:footnote w:id="62">
    <w:p w:rsidR="008F0A29" w:rsidRPr="00046C41" w:rsidRDefault="008F0A29">
      <w:pPr>
        <w:pStyle w:val="FootnoteText"/>
      </w:pPr>
      <w:r>
        <w:rPr>
          <w:rStyle w:val="FootnoteReference"/>
        </w:rPr>
        <w:footnoteRef/>
      </w:r>
      <w:r w:rsidRPr="002A56F9">
        <w:rPr>
          <w:i/>
        </w:rPr>
        <w:t>Ibid</w:t>
      </w:r>
      <w:r>
        <w:t xml:space="preserve"> pp.5-6 and as quoted by Fish </w:t>
      </w:r>
      <w:r>
        <w:rPr>
          <w:i/>
        </w:rPr>
        <w:t xml:space="preserve">supra </w:t>
      </w:r>
      <w:r>
        <w:t>no. 46 pp. 175</w:t>
      </w:r>
    </w:p>
  </w:footnote>
  <w:footnote w:id="63">
    <w:p w:rsidR="008F0A29" w:rsidRPr="005C3FE1" w:rsidRDefault="008F0A29">
      <w:pPr>
        <w:pStyle w:val="FootnoteText"/>
        <w:rPr>
          <w:lang w:val="es-ES"/>
        </w:rPr>
      </w:pPr>
      <w:r>
        <w:rPr>
          <w:rStyle w:val="FootnoteReference"/>
        </w:rPr>
        <w:footnoteRef/>
      </w:r>
      <w:r>
        <w:t xml:space="preserve"> P. Goodrich, </w:t>
      </w:r>
      <w:r>
        <w:rPr>
          <w:i/>
        </w:rPr>
        <w:t>Law in the Courts of Love</w:t>
      </w:r>
      <w:r>
        <w:t xml:space="preserve">. </w:t>
      </w:r>
      <w:r w:rsidRPr="005C3FE1">
        <w:rPr>
          <w:lang w:val="es-ES"/>
        </w:rPr>
        <w:t>[1996] pp.135</w:t>
      </w:r>
    </w:p>
  </w:footnote>
  <w:footnote w:id="64">
    <w:p w:rsidR="008F0A29" w:rsidRPr="005C7D06" w:rsidRDefault="008F0A29">
      <w:pPr>
        <w:pStyle w:val="FootnoteText"/>
        <w:rPr>
          <w:lang w:val="es-ES"/>
        </w:rPr>
      </w:pPr>
      <w:r>
        <w:rPr>
          <w:rStyle w:val="FootnoteReference"/>
        </w:rPr>
        <w:footnoteRef/>
      </w:r>
      <w:r w:rsidRPr="005C7D06">
        <w:rPr>
          <w:i/>
          <w:lang w:val="es-ES"/>
        </w:rPr>
        <w:t xml:space="preserve">Supra </w:t>
      </w:r>
      <w:r w:rsidRPr="005C7D06">
        <w:rPr>
          <w:lang w:val="es-ES"/>
        </w:rPr>
        <w:t>no.3pp.254</w:t>
      </w:r>
    </w:p>
  </w:footnote>
  <w:footnote w:id="65">
    <w:p w:rsidR="008F0A29" w:rsidRPr="00252884" w:rsidRDefault="008F0A29">
      <w:pPr>
        <w:pStyle w:val="FootnoteText"/>
        <w:rPr>
          <w:lang w:val="es-ES"/>
        </w:rPr>
      </w:pPr>
      <w:r>
        <w:rPr>
          <w:rStyle w:val="FootnoteReference"/>
        </w:rPr>
        <w:footnoteRef/>
      </w:r>
      <w:r w:rsidRPr="00252884">
        <w:rPr>
          <w:i/>
          <w:lang w:val="es-ES"/>
        </w:rPr>
        <w:t>Ibid</w:t>
      </w:r>
      <w:r w:rsidRPr="00252884">
        <w:rPr>
          <w:lang w:val="es-ES"/>
        </w:rPr>
        <w:t>.</w:t>
      </w:r>
    </w:p>
  </w:footnote>
  <w:footnote w:id="66">
    <w:p w:rsidR="008F0A29" w:rsidRPr="00880498" w:rsidRDefault="008F0A29">
      <w:pPr>
        <w:pStyle w:val="FootnoteText"/>
      </w:pPr>
      <w:r>
        <w:rPr>
          <w:rStyle w:val="FootnoteReference"/>
        </w:rPr>
        <w:footnoteRef/>
      </w:r>
      <w:r w:rsidRPr="00880498">
        <w:rPr>
          <w:i/>
        </w:rPr>
        <w:t>Ibid.</w:t>
      </w:r>
      <w:r w:rsidRPr="00880498">
        <w:t xml:space="preserve"> Additionally, Fish no</w:t>
      </w:r>
      <w:r>
        <w:t>tion of Autopoiesis and Social S</w:t>
      </w:r>
      <w:r w:rsidRPr="00880498">
        <w:t>ystems can be found in chapter four.</w:t>
      </w:r>
      <w:r w:rsidRPr="00880498">
        <w:rPr>
          <w:i/>
        </w:rPr>
        <w:t xml:space="preserve"> </w:t>
      </w:r>
    </w:p>
  </w:footnote>
  <w:footnote w:id="67">
    <w:p w:rsidR="008F0A29" w:rsidRPr="00067868" w:rsidRDefault="008F0A29">
      <w:pPr>
        <w:pStyle w:val="FootnoteText"/>
        <w:rPr>
          <w:lang w:val="es-ES"/>
        </w:rPr>
      </w:pPr>
      <w:r>
        <w:rPr>
          <w:rStyle w:val="FootnoteReference"/>
        </w:rPr>
        <w:footnoteRef/>
      </w:r>
      <w:r w:rsidRPr="00067868">
        <w:rPr>
          <w:i/>
          <w:lang w:val="es-ES"/>
        </w:rPr>
        <w:t>Ibid.</w:t>
      </w:r>
      <w:r w:rsidRPr="00067868">
        <w:rPr>
          <w:lang w:val="es-ES"/>
        </w:rPr>
        <w:t xml:space="preserve"> pp.255.</w:t>
      </w:r>
    </w:p>
  </w:footnote>
  <w:footnote w:id="68">
    <w:p w:rsidR="008F0A29" w:rsidRPr="00067868" w:rsidRDefault="008F0A29">
      <w:pPr>
        <w:pStyle w:val="FootnoteText"/>
        <w:rPr>
          <w:lang w:val="es-ES"/>
        </w:rPr>
      </w:pPr>
      <w:r>
        <w:rPr>
          <w:rStyle w:val="FootnoteReference"/>
        </w:rPr>
        <w:footnoteRef/>
      </w:r>
      <w:r w:rsidRPr="00067868">
        <w:rPr>
          <w:i/>
          <w:lang w:val="es-ES"/>
        </w:rPr>
        <w:t>Supra</w:t>
      </w:r>
      <w:r w:rsidRPr="00067868">
        <w:rPr>
          <w:lang w:val="es-ES"/>
        </w:rPr>
        <w:t xml:space="preserve"> no.46 pp.177.</w:t>
      </w:r>
    </w:p>
  </w:footnote>
  <w:footnote w:id="69">
    <w:p w:rsidR="008F0A29" w:rsidRPr="0010129A" w:rsidRDefault="008F0A29">
      <w:pPr>
        <w:pStyle w:val="FootnoteText"/>
      </w:pPr>
      <w:r>
        <w:rPr>
          <w:rStyle w:val="FootnoteReference"/>
        </w:rPr>
        <w:footnoteRef/>
      </w:r>
      <w:r w:rsidRPr="0010129A">
        <w:rPr>
          <w:i/>
        </w:rPr>
        <w:t>Ibid</w:t>
      </w:r>
      <w:r w:rsidRPr="0010129A">
        <w:t xml:space="preserve"> pp. 176</w:t>
      </w:r>
    </w:p>
  </w:footnote>
  <w:footnote w:id="70">
    <w:p w:rsidR="008F0A29" w:rsidRPr="0010129A" w:rsidRDefault="008F0A29">
      <w:pPr>
        <w:pStyle w:val="FootnoteText"/>
      </w:pPr>
      <w:r>
        <w:rPr>
          <w:rStyle w:val="FootnoteReference"/>
        </w:rPr>
        <w:footnoteRef/>
      </w:r>
      <w:r w:rsidRPr="0010129A">
        <w:rPr>
          <w:i/>
        </w:rPr>
        <w:t xml:space="preserve">Ibid. </w:t>
      </w:r>
      <w:r w:rsidRPr="0010129A">
        <w:t>pp.177</w:t>
      </w:r>
    </w:p>
  </w:footnote>
  <w:footnote w:id="71">
    <w:p w:rsidR="008F0A29" w:rsidRDefault="008F0A29" w:rsidP="00072A13">
      <w:pPr>
        <w:pStyle w:val="FootnoteText"/>
      </w:pPr>
      <w:r>
        <w:rPr>
          <w:rStyle w:val="FootnoteReference"/>
        </w:rPr>
        <w:footnoteRef/>
      </w:r>
      <w:r>
        <w:t xml:space="preserve"> This area is discussed further in the following chapter. </w:t>
      </w:r>
    </w:p>
  </w:footnote>
  <w:footnote w:id="72">
    <w:p w:rsidR="008F0A29" w:rsidRPr="001336B7" w:rsidRDefault="008F0A29">
      <w:pPr>
        <w:pStyle w:val="FootnoteText"/>
        <w:rPr>
          <w:lang w:val="es-ES"/>
        </w:rPr>
      </w:pPr>
      <w:r>
        <w:rPr>
          <w:rStyle w:val="FootnoteReference"/>
        </w:rPr>
        <w:footnoteRef/>
      </w:r>
      <w:r w:rsidRPr="001336B7">
        <w:rPr>
          <w:i/>
          <w:lang w:val="es-ES"/>
        </w:rPr>
        <w:t>Supra</w:t>
      </w:r>
      <w:r w:rsidRPr="001336B7">
        <w:rPr>
          <w:lang w:val="es-ES"/>
        </w:rPr>
        <w:t xml:space="preserve"> no.24 pp.4 </w:t>
      </w:r>
    </w:p>
  </w:footnote>
  <w:footnote w:id="73">
    <w:p w:rsidR="008F0A29" w:rsidRPr="001336B7" w:rsidRDefault="008F0A29">
      <w:pPr>
        <w:pStyle w:val="FootnoteText"/>
        <w:rPr>
          <w:lang w:val="es-ES"/>
        </w:rPr>
      </w:pPr>
      <w:r>
        <w:rPr>
          <w:rStyle w:val="FootnoteReference"/>
        </w:rPr>
        <w:footnoteRef/>
      </w:r>
      <w:r w:rsidRPr="001336B7">
        <w:rPr>
          <w:i/>
          <w:lang w:val="es-ES"/>
        </w:rPr>
        <w:t>Ibid.</w:t>
      </w:r>
      <w:r w:rsidRPr="001336B7">
        <w:rPr>
          <w:lang w:val="es-ES"/>
        </w:rPr>
        <w:t xml:space="preserve"> pp.505</w:t>
      </w:r>
    </w:p>
  </w:footnote>
  <w:footnote w:id="74">
    <w:p w:rsidR="008F0A29" w:rsidRPr="001336B7" w:rsidRDefault="008F0A29">
      <w:pPr>
        <w:pStyle w:val="FootnoteText"/>
        <w:rPr>
          <w:lang w:val="es-ES"/>
        </w:rPr>
      </w:pPr>
      <w:r>
        <w:rPr>
          <w:rStyle w:val="FootnoteReference"/>
        </w:rPr>
        <w:footnoteRef/>
      </w:r>
      <w:r w:rsidRPr="001336B7">
        <w:rPr>
          <w:i/>
          <w:lang w:val="es-ES"/>
        </w:rPr>
        <w:t>Ibid</w:t>
      </w:r>
      <w:r>
        <w:rPr>
          <w:lang w:val="es-ES"/>
        </w:rPr>
        <w:t>. pp.360</w:t>
      </w:r>
    </w:p>
  </w:footnote>
  <w:footnote w:id="75">
    <w:p w:rsidR="008F0A29" w:rsidRPr="00CD248F" w:rsidRDefault="008F0A29">
      <w:pPr>
        <w:pStyle w:val="FootnoteText"/>
        <w:rPr>
          <w:i/>
          <w:lang w:val="es-ES"/>
        </w:rPr>
      </w:pPr>
      <w:r>
        <w:rPr>
          <w:rStyle w:val="FootnoteReference"/>
        </w:rPr>
        <w:footnoteRef/>
      </w:r>
      <w:r>
        <w:rPr>
          <w:i/>
          <w:lang w:val="es-ES"/>
        </w:rPr>
        <w:t xml:space="preserve">Supra </w:t>
      </w:r>
      <w:r w:rsidRPr="00CD248F">
        <w:rPr>
          <w:lang w:val="es-ES"/>
        </w:rPr>
        <w:t>no.3 pp. 256</w:t>
      </w:r>
    </w:p>
  </w:footnote>
  <w:footnote w:id="76">
    <w:p w:rsidR="008F0A29" w:rsidRPr="00547FFD" w:rsidRDefault="008F0A29">
      <w:pPr>
        <w:pStyle w:val="FootnoteText"/>
        <w:rPr>
          <w:lang w:val="es-ES"/>
        </w:rPr>
      </w:pPr>
      <w:r>
        <w:rPr>
          <w:rStyle w:val="FootnoteReference"/>
        </w:rPr>
        <w:footnoteRef/>
      </w:r>
      <w:r w:rsidRPr="00C363FC">
        <w:rPr>
          <w:i/>
          <w:lang w:val="es-ES"/>
        </w:rPr>
        <w:t>Supra</w:t>
      </w:r>
      <w:r w:rsidRPr="004310DD">
        <w:rPr>
          <w:lang w:val="es-ES"/>
        </w:rPr>
        <w:t xml:space="preserve"> no.41 pp.</w:t>
      </w:r>
      <w:r>
        <w:rPr>
          <w:lang w:val="es-ES"/>
        </w:rPr>
        <w:t>512</w:t>
      </w:r>
    </w:p>
  </w:footnote>
  <w:footnote w:id="77">
    <w:p w:rsidR="008F0A29" w:rsidRPr="00273931" w:rsidRDefault="008F0A29">
      <w:pPr>
        <w:pStyle w:val="FootnoteText"/>
        <w:rPr>
          <w:lang w:val="es-ES"/>
        </w:rPr>
      </w:pPr>
      <w:r>
        <w:rPr>
          <w:rStyle w:val="FootnoteReference"/>
        </w:rPr>
        <w:footnoteRef/>
      </w:r>
      <w:r>
        <w:rPr>
          <w:i/>
          <w:lang w:val="es-ES"/>
        </w:rPr>
        <w:t xml:space="preserve">Ibid. </w:t>
      </w:r>
      <w:r>
        <w:rPr>
          <w:lang w:val="es-ES"/>
        </w:rPr>
        <w:t>pp.516</w:t>
      </w:r>
    </w:p>
  </w:footnote>
  <w:footnote w:id="78">
    <w:p w:rsidR="008F0A29" w:rsidRDefault="008F0A29">
      <w:pPr>
        <w:pStyle w:val="FootnoteText"/>
      </w:pPr>
      <w:r>
        <w:rPr>
          <w:rStyle w:val="FootnoteReference"/>
        </w:rPr>
        <w:footnoteRef/>
      </w:r>
      <w:r>
        <w:t xml:space="preserve"> H.L.A Hart, The Concept of Law. pp.202</w:t>
      </w:r>
    </w:p>
  </w:footnote>
  <w:footnote w:id="79">
    <w:p w:rsidR="008F0A29" w:rsidRPr="00C363FC" w:rsidRDefault="008F0A29">
      <w:pPr>
        <w:pStyle w:val="FootnoteText"/>
        <w:rPr>
          <w:lang w:val="es-ES"/>
        </w:rPr>
      </w:pPr>
      <w:r>
        <w:rPr>
          <w:rStyle w:val="FootnoteReference"/>
        </w:rPr>
        <w:footnoteRef/>
      </w:r>
      <w:r w:rsidRPr="00C363FC">
        <w:rPr>
          <w:i/>
          <w:lang w:val="es-ES"/>
        </w:rPr>
        <w:t>Supra</w:t>
      </w:r>
      <w:r w:rsidRPr="004310DD">
        <w:rPr>
          <w:lang w:val="es-ES"/>
        </w:rPr>
        <w:t xml:space="preserve"> no.41 pp.</w:t>
      </w:r>
      <w:r>
        <w:rPr>
          <w:lang w:val="es-ES"/>
        </w:rPr>
        <w:t>516</w:t>
      </w:r>
      <w:r w:rsidRPr="00C363FC">
        <w:rPr>
          <w:lang w:val="es-ES"/>
        </w:rPr>
        <w:t>.</w:t>
      </w:r>
    </w:p>
  </w:footnote>
  <w:footnote w:id="80">
    <w:p w:rsidR="008F0A29" w:rsidRPr="003E3717" w:rsidRDefault="008F0A29">
      <w:pPr>
        <w:pStyle w:val="FootnoteText"/>
        <w:rPr>
          <w:i/>
          <w:lang w:val="es-ES"/>
        </w:rPr>
      </w:pPr>
      <w:r>
        <w:rPr>
          <w:rStyle w:val="FootnoteReference"/>
        </w:rPr>
        <w:footnoteRef/>
      </w:r>
      <w:r w:rsidRPr="003E3717">
        <w:rPr>
          <w:i/>
          <w:lang w:val="es-ES"/>
        </w:rPr>
        <w:t>Ibid.</w:t>
      </w:r>
      <w:r w:rsidRPr="003E3717">
        <w:rPr>
          <w:i/>
          <w:lang w:val="es-ES"/>
        </w:rPr>
        <w:tab/>
      </w:r>
    </w:p>
  </w:footnote>
  <w:footnote w:id="81">
    <w:p w:rsidR="008F0A29" w:rsidRPr="00993472" w:rsidRDefault="008F0A29">
      <w:pPr>
        <w:pStyle w:val="FootnoteText"/>
        <w:rPr>
          <w:lang w:val="es-ES"/>
        </w:rPr>
      </w:pPr>
      <w:r>
        <w:rPr>
          <w:rStyle w:val="FootnoteReference"/>
        </w:rPr>
        <w:footnoteRef/>
      </w:r>
      <w:r w:rsidRPr="00993472">
        <w:rPr>
          <w:lang w:val="es-ES"/>
        </w:rPr>
        <w:t xml:space="preserve"> Ibid. pp.517</w:t>
      </w:r>
    </w:p>
  </w:footnote>
  <w:footnote w:id="82">
    <w:p w:rsidR="008F0A29" w:rsidRPr="00607BBE" w:rsidRDefault="008F0A29">
      <w:pPr>
        <w:pStyle w:val="FootnoteText"/>
        <w:rPr>
          <w:lang w:val="es-ES"/>
        </w:rPr>
      </w:pPr>
      <w:r>
        <w:rPr>
          <w:rStyle w:val="FootnoteReference"/>
        </w:rPr>
        <w:footnoteRef/>
      </w:r>
      <w:r w:rsidRPr="00607BBE">
        <w:rPr>
          <w:i/>
          <w:lang w:val="es-ES"/>
        </w:rPr>
        <w:t>Ibid.</w:t>
      </w:r>
    </w:p>
  </w:footnote>
  <w:footnote w:id="83">
    <w:p w:rsidR="008F0A29" w:rsidRPr="005C5755" w:rsidRDefault="008F0A29">
      <w:pPr>
        <w:pStyle w:val="FootnoteText"/>
        <w:rPr>
          <w:lang w:val="es-ES"/>
        </w:rPr>
      </w:pPr>
      <w:r>
        <w:rPr>
          <w:rStyle w:val="FootnoteReference"/>
        </w:rPr>
        <w:footnoteRef/>
      </w:r>
      <w:r w:rsidRPr="005C5755">
        <w:rPr>
          <w:i/>
          <w:lang w:val="es-ES"/>
        </w:rPr>
        <w:t xml:space="preserve">Supra </w:t>
      </w:r>
      <w:r w:rsidRPr="005C5755">
        <w:rPr>
          <w:lang w:val="es-ES"/>
        </w:rPr>
        <w:t>no.3 pp.261</w:t>
      </w:r>
    </w:p>
  </w:footnote>
  <w:footnote w:id="84">
    <w:p w:rsidR="008F0A29" w:rsidRPr="005C5755" w:rsidRDefault="008F0A29">
      <w:pPr>
        <w:pStyle w:val="FootnoteText"/>
        <w:rPr>
          <w:lang w:val="es-ES"/>
        </w:rPr>
      </w:pPr>
      <w:r>
        <w:rPr>
          <w:rStyle w:val="FootnoteReference"/>
        </w:rPr>
        <w:footnoteRef/>
      </w:r>
      <w:r>
        <w:rPr>
          <w:i/>
          <w:lang w:val="es-ES"/>
        </w:rPr>
        <w:t xml:space="preserve">Supra </w:t>
      </w:r>
      <w:r>
        <w:rPr>
          <w:lang w:val="es-ES"/>
        </w:rPr>
        <w:t>no.24 pp.519</w:t>
      </w:r>
    </w:p>
  </w:footnote>
  <w:footnote w:id="85">
    <w:p w:rsidR="008F0A29" w:rsidRPr="00607BBE" w:rsidRDefault="008F0A29">
      <w:pPr>
        <w:pStyle w:val="FootnoteText"/>
      </w:pPr>
      <w:r>
        <w:rPr>
          <w:rStyle w:val="FootnoteReference"/>
        </w:rPr>
        <w:footnoteRef/>
      </w:r>
      <w:r w:rsidRPr="00607BBE">
        <w:rPr>
          <w:i/>
        </w:rPr>
        <w:t>Ibid.</w:t>
      </w:r>
    </w:p>
  </w:footnote>
  <w:footnote w:id="86">
    <w:p w:rsidR="008F0A29" w:rsidRPr="00847B6C" w:rsidRDefault="008F0A29">
      <w:pPr>
        <w:pStyle w:val="FootnoteText"/>
      </w:pPr>
      <w:r>
        <w:rPr>
          <w:rStyle w:val="FootnoteReference"/>
        </w:rPr>
        <w:footnoteRef/>
      </w:r>
      <w:r w:rsidRPr="00847B6C">
        <w:rPr>
          <w:i/>
        </w:rPr>
        <w:t>Ibid.</w:t>
      </w:r>
      <w:r w:rsidRPr="00847B6C">
        <w:t xml:space="preserve"> pp. 520</w:t>
      </w:r>
    </w:p>
  </w:footnote>
  <w:footnote w:id="87">
    <w:p w:rsidR="008F0A29" w:rsidRPr="00A72E22" w:rsidRDefault="008F0A29">
      <w:pPr>
        <w:pStyle w:val="FootnoteText"/>
      </w:pPr>
      <w:r>
        <w:rPr>
          <w:rStyle w:val="FootnoteReference"/>
        </w:rPr>
        <w:footnoteRef/>
      </w:r>
      <w:r>
        <w:rPr>
          <w:i/>
        </w:rPr>
        <w:t>Ibid.</w:t>
      </w:r>
    </w:p>
  </w:footnote>
  <w:footnote w:id="88">
    <w:p w:rsidR="008F0A29" w:rsidRPr="00607BBE" w:rsidRDefault="008F0A29">
      <w:pPr>
        <w:pStyle w:val="FootnoteText"/>
      </w:pPr>
      <w:r>
        <w:rPr>
          <w:rStyle w:val="FootnoteReference"/>
        </w:rPr>
        <w:footnoteRef/>
      </w:r>
      <w:r w:rsidRPr="00607BBE">
        <w:rPr>
          <w:i/>
        </w:rPr>
        <w:t>Ibid.</w:t>
      </w:r>
    </w:p>
  </w:footnote>
  <w:footnote w:id="89">
    <w:p w:rsidR="008F0A29" w:rsidRPr="00067868" w:rsidRDefault="008F0A29">
      <w:pPr>
        <w:pStyle w:val="FootnoteText"/>
        <w:rPr>
          <w:lang w:val="es-ES"/>
        </w:rPr>
      </w:pPr>
      <w:r>
        <w:rPr>
          <w:rStyle w:val="FootnoteReference"/>
        </w:rPr>
        <w:footnoteRef/>
      </w:r>
      <w:r w:rsidRPr="00067868">
        <w:rPr>
          <w:lang w:val="es-ES"/>
        </w:rPr>
        <w:t xml:space="preserve"> </w:t>
      </w:r>
      <w:r>
        <w:rPr>
          <w:i/>
          <w:lang w:val="es-ES"/>
        </w:rPr>
        <w:t xml:space="preserve">Supra </w:t>
      </w:r>
      <w:r>
        <w:rPr>
          <w:lang w:val="es-ES"/>
        </w:rPr>
        <w:t>no.24 pp.519</w:t>
      </w:r>
    </w:p>
  </w:footnote>
  <w:footnote w:id="90">
    <w:p w:rsidR="008F0A29" w:rsidRPr="00AE5D14" w:rsidRDefault="008F0A29">
      <w:pPr>
        <w:pStyle w:val="FootnoteText"/>
        <w:rPr>
          <w:lang w:val="es-ES"/>
        </w:rPr>
      </w:pPr>
      <w:r>
        <w:rPr>
          <w:rStyle w:val="FootnoteReference"/>
        </w:rPr>
        <w:footnoteRef/>
      </w:r>
      <w:r w:rsidRPr="005C5755">
        <w:rPr>
          <w:i/>
          <w:lang w:val="es-ES"/>
        </w:rPr>
        <w:t xml:space="preserve">Supra </w:t>
      </w:r>
      <w:r w:rsidRPr="005C5755">
        <w:rPr>
          <w:lang w:val="es-ES"/>
        </w:rPr>
        <w:t>no.3</w:t>
      </w:r>
      <w:r>
        <w:rPr>
          <w:lang w:val="es-ES"/>
        </w:rPr>
        <w:t xml:space="preserve"> pp.261</w:t>
      </w:r>
    </w:p>
  </w:footnote>
  <w:footnote w:id="91">
    <w:p w:rsidR="008F0A29" w:rsidRPr="00C618AD" w:rsidRDefault="008F0A29">
      <w:pPr>
        <w:pStyle w:val="FootnoteText"/>
        <w:rPr>
          <w:lang w:val="es-ES"/>
        </w:rPr>
      </w:pPr>
      <w:r>
        <w:rPr>
          <w:rStyle w:val="FootnoteReference"/>
        </w:rPr>
        <w:footnoteRef/>
      </w:r>
      <w:r>
        <w:rPr>
          <w:i/>
          <w:lang w:val="es-ES"/>
        </w:rPr>
        <w:t xml:space="preserve">Supra </w:t>
      </w:r>
      <w:r>
        <w:rPr>
          <w:lang w:val="es-ES"/>
        </w:rPr>
        <w:t>no.24 pp.520</w:t>
      </w:r>
    </w:p>
  </w:footnote>
  <w:footnote w:id="92">
    <w:p w:rsidR="008F0A29" w:rsidRPr="00607BBE" w:rsidRDefault="008F0A29">
      <w:pPr>
        <w:pStyle w:val="FootnoteText"/>
        <w:rPr>
          <w:i/>
        </w:rPr>
      </w:pPr>
      <w:r>
        <w:rPr>
          <w:rStyle w:val="FootnoteReference"/>
        </w:rPr>
        <w:footnoteRef/>
      </w:r>
      <w:r w:rsidRPr="00607BBE">
        <w:rPr>
          <w:i/>
        </w:rPr>
        <w:t>Ibid.</w:t>
      </w:r>
    </w:p>
  </w:footnote>
  <w:footnote w:id="93">
    <w:p w:rsidR="008F0A29" w:rsidRPr="00907A5E" w:rsidRDefault="008F0A29">
      <w:pPr>
        <w:pStyle w:val="FootnoteText"/>
        <w:rPr>
          <w:i/>
        </w:rPr>
      </w:pPr>
      <w:r>
        <w:rPr>
          <w:rStyle w:val="FootnoteReference"/>
        </w:rPr>
        <w:footnoteRef/>
      </w:r>
      <w:r>
        <w:rPr>
          <w:i/>
        </w:rPr>
        <w:t>Ibid.</w:t>
      </w:r>
    </w:p>
  </w:footnote>
  <w:footnote w:id="94">
    <w:p w:rsidR="008F0A29" w:rsidRDefault="008F0A29">
      <w:pPr>
        <w:pStyle w:val="FootnoteText"/>
      </w:pPr>
      <w:r>
        <w:rPr>
          <w:rStyle w:val="FootnoteReference"/>
        </w:rPr>
        <w:footnoteRef/>
      </w:r>
      <w:r>
        <w:t xml:space="preserve"> Fish’s foray into Freud and Psychoanalysis is present in the Chapter 22: Withholding The Missing Portion (pp.525-555), where Fish examines Freud’s theory as a form of literary analysis, omitted form this paper, to ensure all aspect of law were addressed, however some crossover is present in this area, with regard to existentialism and psychoanalysis. </w:t>
      </w:r>
    </w:p>
  </w:footnote>
  <w:footnote w:id="95">
    <w:p w:rsidR="008F0A29" w:rsidRPr="00942F18" w:rsidRDefault="008F0A29">
      <w:pPr>
        <w:pStyle w:val="FootnoteText"/>
      </w:pPr>
      <w:r>
        <w:rPr>
          <w:rStyle w:val="FootnoteReference"/>
        </w:rPr>
        <w:footnoteRef/>
      </w:r>
      <w:r>
        <w:t xml:space="preserve"> Derrida, J. </w:t>
      </w:r>
      <w:r>
        <w:rPr>
          <w:i/>
        </w:rPr>
        <w:t xml:space="preserve">Writing and Difference </w:t>
      </w:r>
      <w:r>
        <w:t>[1967] pp. 125.</w:t>
      </w:r>
    </w:p>
  </w:footnote>
  <w:footnote w:id="96">
    <w:p w:rsidR="008F0A29" w:rsidRPr="00F23AEC" w:rsidRDefault="008F0A29">
      <w:pPr>
        <w:pStyle w:val="FootnoteText"/>
        <w:rPr>
          <w:i/>
        </w:rPr>
      </w:pPr>
      <w:r>
        <w:rPr>
          <w:rStyle w:val="FootnoteReference"/>
        </w:rPr>
        <w:footnoteRef/>
      </w:r>
      <w:r>
        <w:t xml:space="preserve"> Derrida, J. </w:t>
      </w:r>
      <w:r>
        <w:rPr>
          <w:i/>
        </w:rPr>
        <w:t xml:space="preserve">Of Grammatology </w:t>
      </w:r>
      <w:r w:rsidRPr="00F23AEC">
        <w:t xml:space="preserve">[1967] </w:t>
      </w:r>
      <w:r>
        <w:t>pp. 158</w:t>
      </w:r>
    </w:p>
  </w:footnote>
  <w:footnote w:id="97">
    <w:p w:rsidR="008F0A29" w:rsidRPr="00865A2B" w:rsidRDefault="008F0A29">
      <w:pPr>
        <w:pStyle w:val="FootnoteText"/>
        <w:rPr>
          <w:lang w:val="fr-FR"/>
        </w:rPr>
      </w:pPr>
      <w:r>
        <w:rPr>
          <w:rStyle w:val="FootnoteReference"/>
        </w:rPr>
        <w:footnoteRef/>
      </w:r>
      <w:r w:rsidRPr="00865A2B">
        <w:rPr>
          <w:i/>
          <w:lang w:val="fr-FR"/>
        </w:rPr>
        <w:t xml:space="preserve">Supra </w:t>
      </w:r>
      <w:r w:rsidRPr="00865A2B">
        <w:rPr>
          <w:lang w:val="fr-FR"/>
        </w:rPr>
        <w:t>no.24 pp.519</w:t>
      </w:r>
    </w:p>
  </w:footnote>
  <w:footnote w:id="98">
    <w:p w:rsidR="008F0A29" w:rsidRPr="00054C84" w:rsidRDefault="008F0A29">
      <w:pPr>
        <w:pStyle w:val="FootnoteText"/>
        <w:rPr>
          <w:i/>
          <w:lang w:val="fr-FR"/>
        </w:rPr>
      </w:pPr>
      <w:r>
        <w:rPr>
          <w:rStyle w:val="FootnoteReference"/>
        </w:rPr>
        <w:footnoteRef/>
      </w:r>
      <w:r w:rsidRPr="00054C84">
        <w:rPr>
          <w:lang w:val="fr-FR"/>
        </w:rPr>
        <w:t xml:space="preserve"> J, De Ville, </w:t>
      </w:r>
      <w:r w:rsidRPr="00054C84">
        <w:rPr>
          <w:i/>
          <w:lang w:val="fr-FR"/>
        </w:rPr>
        <w:t>Jacques Derrida</w:t>
      </w:r>
      <w:r>
        <w:rPr>
          <w:i/>
          <w:lang w:val="fr-FR"/>
        </w:rPr>
        <w:t>: Law as hospitalité</w:t>
      </w:r>
      <w:r w:rsidRPr="00054C84">
        <w:rPr>
          <w:i/>
          <w:lang w:val="fr-FR"/>
        </w:rPr>
        <w:t xml:space="preserve"> absolue</w:t>
      </w:r>
      <w:r w:rsidRPr="000149EB">
        <w:rPr>
          <w:lang w:val="fr-FR"/>
        </w:rPr>
        <w:t>pp.59</w:t>
      </w:r>
      <w:r>
        <w:rPr>
          <w:i/>
          <w:lang w:val="fr-FR"/>
        </w:rPr>
        <w:t>.</w:t>
      </w:r>
    </w:p>
  </w:footnote>
  <w:footnote w:id="99">
    <w:p w:rsidR="008F0A29" w:rsidRPr="00E65577" w:rsidRDefault="008F0A29">
      <w:pPr>
        <w:pStyle w:val="FootnoteText"/>
        <w:rPr>
          <w:lang w:val="es-ES"/>
        </w:rPr>
      </w:pPr>
      <w:r>
        <w:rPr>
          <w:rStyle w:val="FootnoteReference"/>
        </w:rPr>
        <w:footnoteRef/>
      </w:r>
      <w:r w:rsidRPr="00E65577">
        <w:rPr>
          <w:i/>
          <w:lang w:val="es-ES"/>
        </w:rPr>
        <w:t xml:space="preserve">Supra </w:t>
      </w:r>
      <w:r w:rsidRPr="00E65577">
        <w:rPr>
          <w:lang w:val="es-ES"/>
        </w:rPr>
        <w:t>no.3 pp.264</w:t>
      </w:r>
    </w:p>
  </w:footnote>
  <w:footnote w:id="100">
    <w:p w:rsidR="008F0A29" w:rsidRPr="00E65577" w:rsidRDefault="008F0A29">
      <w:pPr>
        <w:pStyle w:val="FootnoteText"/>
        <w:rPr>
          <w:lang w:val="es-ES"/>
        </w:rPr>
      </w:pPr>
      <w:r>
        <w:rPr>
          <w:rStyle w:val="FootnoteReference"/>
        </w:rPr>
        <w:footnoteRef/>
      </w:r>
      <w:r w:rsidRPr="00E65577">
        <w:rPr>
          <w:i/>
          <w:lang w:val="es-ES"/>
        </w:rPr>
        <w:t>Ibid</w:t>
      </w:r>
      <w:r>
        <w:rPr>
          <w:lang w:val="es-ES"/>
        </w:rPr>
        <w:t xml:space="preserve"> pp.265</w:t>
      </w:r>
    </w:p>
  </w:footnote>
  <w:footnote w:id="101">
    <w:p w:rsidR="008F0A29" w:rsidRPr="00A72A2D" w:rsidRDefault="008F0A29">
      <w:pPr>
        <w:pStyle w:val="FootnoteText"/>
        <w:rPr>
          <w:lang w:val="es-ES"/>
        </w:rPr>
      </w:pPr>
      <w:r>
        <w:rPr>
          <w:rStyle w:val="FootnoteReference"/>
        </w:rPr>
        <w:footnoteRef/>
      </w:r>
      <w:r w:rsidRPr="00A72A2D">
        <w:rPr>
          <w:i/>
          <w:lang w:val="es-ES"/>
        </w:rPr>
        <w:t>Ibid.</w:t>
      </w:r>
    </w:p>
  </w:footnote>
  <w:footnote w:id="102">
    <w:p w:rsidR="008F0A29" w:rsidRPr="007B0442" w:rsidRDefault="008F0A29">
      <w:pPr>
        <w:pStyle w:val="FootnoteText"/>
        <w:rPr>
          <w:lang w:val="es-ES"/>
        </w:rPr>
      </w:pPr>
      <w:r>
        <w:rPr>
          <w:rStyle w:val="FootnoteReference"/>
        </w:rPr>
        <w:footnoteRef/>
      </w:r>
      <w:r>
        <w:rPr>
          <w:i/>
          <w:lang w:val="es-ES"/>
        </w:rPr>
        <w:t xml:space="preserve">Supra </w:t>
      </w:r>
      <w:r w:rsidRPr="007B0442">
        <w:rPr>
          <w:lang w:val="es-ES"/>
        </w:rPr>
        <w:t>no.24</w:t>
      </w:r>
      <w:r>
        <w:rPr>
          <w:lang w:val="es-ES"/>
        </w:rPr>
        <w:t xml:space="preserve"> pp.486</w:t>
      </w:r>
    </w:p>
  </w:footnote>
  <w:footnote w:id="103">
    <w:p w:rsidR="008F0A29" w:rsidRPr="00A815B9" w:rsidRDefault="008F0A29">
      <w:pPr>
        <w:pStyle w:val="FootnoteText"/>
        <w:rPr>
          <w:lang w:val="es-ES"/>
        </w:rPr>
      </w:pPr>
      <w:r>
        <w:rPr>
          <w:rStyle w:val="FootnoteReference"/>
        </w:rPr>
        <w:footnoteRef/>
      </w:r>
      <w:r w:rsidRPr="00A815B9">
        <w:rPr>
          <w:i/>
          <w:lang w:val="es-ES"/>
        </w:rPr>
        <w:t xml:space="preserve">Ibid </w:t>
      </w:r>
      <w:r w:rsidRPr="00A815B9">
        <w:rPr>
          <w:lang w:val="es-ES"/>
        </w:rPr>
        <w:t>pp.523-524.</w:t>
      </w:r>
    </w:p>
  </w:footnote>
  <w:footnote w:id="104">
    <w:p w:rsidR="008F0A29" w:rsidRPr="004E5D97" w:rsidRDefault="008F0A29">
      <w:pPr>
        <w:pStyle w:val="FootnoteText"/>
        <w:rPr>
          <w:lang w:val="es-ES"/>
        </w:rPr>
      </w:pPr>
      <w:r>
        <w:rPr>
          <w:rStyle w:val="FootnoteReference"/>
        </w:rPr>
        <w:footnoteRef/>
      </w:r>
      <w:r w:rsidRPr="004E5D97">
        <w:rPr>
          <w:i/>
          <w:lang w:val="es-ES"/>
        </w:rPr>
        <w:t>Ibid.</w:t>
      </w:r>
    </w:p>
  </w:footnote>
  <w:footnote w:id="105">
    <w:p w:rsidR="008F0A29" w:rsidRPr="004E5D97" w:rsidRDefault="008F0A29">
      <w:pPr>
        <w:pStyle w:val="FootnoteText"/>
        <w:rPr>
          <w:lang w:val="es-ES"/>
        </w:rPr>
      </w:pPr>
      <w:r>
        <w:rPr>
          <w:rStyle w:val="FootnoteReference"/>
        </w:rPr>
        <w:footnoteRef/>
      </w:r>
      <w:r w:rsidRPr="004E5D97">
        <w:rPr>
          <w:i/>
          <w:lang w:val="es-ES"/>
        </w:rPr>
        <w:t xml:space="preserve">Supra </w:t>
      </w:r>
      <w:r w:rsidRPr="004E5D97">
        <w:rPr>
          <w:lang w:val="es-ES"/>
        </w:rPr>
        <w:t>no.3pp.265</w:t>
      </w:r>
    </w:p>
  </w:footnote>
  <w:footnote w:id="106">
    <w:p w:rsidR="008F0A29" w:rsidRPr="004E5D97" w:rsidRDefault="008F0A29">
      <w:pPr>
        <w:pStyle w:val="FootnoteText"/>
        <w:rPr>
          <w:lang w:val="es-ES"/>
        </w:rPr>
      </w:pPr>
      <w:r>
        <w:rPr>
          <w:rStyle w:val="FootnoteReference"/>
        </w:rPr>
        <w:footnoteRef/>
      </w:r>
      <w:r w:rsidRPr="004E5D97">
        <w:rPr>
          <w:i/>
          <w:lang w:val="es-ES"/>
        </w:rPr>
        <w:t xml:space="preserve">Supra </w:t>
      </w:r>
      <w:r w:rsidRPr="004E5D97">
        <w:rPr>
          <w:lang w:val="es-ES"/>
        </w:rPr>
        <w:t>no24. pp.27</w:t>
      </w:r>
    </w:p>
  </w:footnote>
  <w:footnote w:id="107">
    <w:p w:rsidR="008F0A29" w:rsidRDefault="008F0A29" w:rsidP="00D1438E">
      <w:pPr>
        <w:pStyle w:val="FootnoteText"/>
      </w:pPr>
      <w:r>
        <w:rPr>
          <w:rStyle w:val="FootnoteReference"/>
        </w:rPr>
        <w:footnoteRef/>
      </w:r>
      <w:r>
        <w:t xml:space="preserve"> Teubner G. Economics of Gift</w:t>
      </w:r>
      <w:r w:rsidRPr="005C5755">
        <w:rPr>
          <w:i/>
        </w:rPr>
        <w:t>—</w:t>
      </w:r>
      <w:r>
        <w:t xml:space="preserve">Positivity of Justice: </w:t>
      </w:r>
      <w:r w:rsidRPr="003E1454">
        <w:t>The</w:t>
      </w:r>
      <w:r>
        <w:t xml:space="preserve"> Mutual P</w:t>
      </w:r>
      <w:r w:rsidRPr="003E1454">
        <w:t>aranoia of Jacques</w:t>
      </w:r>
      <w:r>
        <w:t xml:space="preserve"> Derrida and Niklas L</w:t>
      </w:r>
      <w:r w:rsidRPr="003E1454">
        <w:t>uhmann</w:t>
      </w:r>
      <w:r>
        <w:t xml:space="preserve"> [2001] As Republished in-  Derrida And The Law, Legrand, P. (2009) </w:t>
      </w:r>
    </w:p>
  </w:footnote>
  <w:footnote w:id="108">
    <w:p w:rsidR="008F0A29" w:rsidRPr="004D52F6" w:rsidRDefault="008F0A29" w:rsidP="00D1438E">
      <w:pPr>
        <w:pStyle w:val="FootnoteText"/>
        <w:rPr>
          <w:lang w:val="es-ES"/>
        </w:rPr>
      </w:pPr>
      <w:r>
        <w:rPr>
          <w:rStyle w:val="FootnoteReference"/>
        </w:rPr>
        <w:footnoteRef/>
      </w:r>
      <w:r w:rsidRPr="00D54168">
        <w:rPr>
          <w:i/>
          <w:lang w:val="es-ES"/>
        </w:rPr>
        <w:t xml:space="preserve"> Supra </w:t>
      </w:r>
      <w:r w:rsidRPr="00D54168">
        <w:rPr>
          <w:lang w:val="es-ES"/>
        </w:rPr>
        <w:t xml:space="preserve">no.46. </w:t>
      </w:r>
      <w:r>
        <w:rPr>
          <w:lang w:val="es-ES"/>
        </w:rPr>
        <w:t>p</w:t>
      </w:r>
      <w:r w:rsidRPr="004D52F6">
        <w:rPr>
          <w:lang w:val="es-ES"/>
        </w:rPr>
        <w:t>p.250</w:t>
      </w:r>
    </w:p>
  </w:footnote>
  <w:footnote w:id="109">
    <w:p w:rsidR="008F0A29" w:rsidRPr="003F5705" w:rsidRDefault="008F0A29" w:rsidP="00D1438E">
      <w:pPr>
        <w:pStyle w:val="FootnoteText"/>
        <w:rPr>
          <w:lang w:val="es-ES"/>
        </w:rPr>
      </w:pPr>
      <w:r>
        <w:rPr>
          <w:rStyle w:val="FootnoteReference"/>
        </w:rPr>
        <w:footnoteRef/>
      </w:r>
      <w:r w:rsidRPr="003F5705">
        <w:rPr>
          <w:i/>
          <w:lang w:val="es-ES"/>
        </w:rPr>
        <w:t>Supra</w:t>
      </w:r>
      <w:r w:rsidRPr="003F5705">
        <w:rPr>
          <w:lang w:val="es-ES"/>
        </w:rPr>
        <w:t xml:space="preserve"> no.3 pp258</w:t>
      </w:r>
    </w:p>
  </w:footnote>
  <w:footnote w:id="110">
    <w:p w:rsidR="008F0A29" w:rsidRPr="004D52F6" w:rsidRDefault="008F0A29" w:rsidP="00D1438E">
      <w:pPr>
        <w:pStyle w:val="FootnoteText"/>
        <w:rPr>
          <w:lang w:val="es-ES"/>
        </w:rPr>
      </w:pPr>
      <w:r>
        <w:rPr>
          <w:rStyle w:val="FootnoteReference"/>
        </w:rPr>
        <w:footnoteRef/>
      </w:r>
      <w:r w:rsidRPr="004D52F6">
        <w:rPr>
          <w:i/>
          <w:lang w:val="es-ES"/>
        </w:rPr>
        <w:t>Ibid</w:t>
      </w:r>
      <w:r w:rsidRPr="004D52F6">
        <w:rPr>
          <w:lang w:val="es-ES"/>
        </w:rPr>
        <w:t>. pp.236</w:t>
      </w:r>
    </w:p>
  </w:footnote>
  <w:footnote w:id="111">
    <w:p w:rsidR="008F0A29" w:rsidRPr="00D54168" w:rsidRDefault="008F0A29" w:rsidP="00D1438E">
      <w:pPr>
        <w:pStyle w:val="FootnoteText"/>
        <w:rPr>
          <w:lang w:val="es-ES"/>
        </w:rPr>
      </w:pPr>
      <w:r>
        <w:rPr>
          <w:rStyle w:val="FootnoteReference"/>
        </w:rPr>
        <w:footnoteRef/>
      </w:r>
      <w:r w:rsidRPr="00D54168">
        <w:rPr>
          <w:i/>
          <w:lang w:val="es-ES"/>
        </w:rPr>
        <w:t>Ibid</w:t>
      </w:r>
      <w:r w:rsidRPr="00D54168">
        <w:rPr>
          <w:lang w:val="es-ES"/>
        </w:rPr>
        <w:t>.</w:t>
      </w:r>
    </w:p>
  </w:footnote>
  <w:footnote w:id="112">
    <w:p w:rsidR="008F0A29" w:rsidRPr="00D54168" w:rsidRDefault="008F0A29" w:rsidP="00D1438E">
      <w:pPr>
        <w:pStyle w:val="FootnoteText"/>
        <w:rPr>
          <w:lang w:val="es-ES"/>
        </w:rPr>
      </w:pPr>
      <w:r>
        <w:rPr>
          <w:rStyle w:val="FootnoteReference"/>
        </w:rPr>
        <w:footnoteRef/>
      </w:r>
      <w:r w:rsidRPr="00D54168">
        <w:rPr>
          <w:i/>
          <w:lang w:val="es-ES"/>
        </w:rPr>
        <w:t>Supra</w:t>
      </w:r>
      <w:r w:rsidRPr="00D54168">
        <w:rPr>
          <w:lang w:val="es-ES"/>
        </w:rPr>
        <w:t xml:space="preserve"> no.3 pp258. </w:t>
      </w:r>
    </w:p>
  </w:footnote>
  <w:footnote w:id="113">
    <w:p w:rsidR="008F0A29" w:rsidRDefault="008F0A29" w:rsidP="00D1438E">
      <w:pPr>
        <w:pStyle w:val="FootnoteText"/>
      </w:pPr>
      <w:r>
        <w:rPr>
          <w:rStyle w:val="FootnoteReference"/>
        </w:rPr>
        <w:footnoteRef/>
      </w:r>
      <w:r w:rsidRPr="004D52F6">
        <w:rPr>
          <w:i/>
        </w:rPr>
        <w:t>ibid</w:t>
      </w:r>
    </w:p>
  </w:footnote>
  <w:footnote w:id="114">
    <w:p w:rsidR="008F0A29" w:rsidRPr="00392AF0" w:rsidRDefault="008F0A29" w:rsidP="00D1438E">
      <w:pPr>
        <w:pStyle w:val="FootnoteText"/>
      </w:pPr>
      <w:r>
        <w:rPr>
          <w:rStyle w:val="FootnoteReference"/>
        </w:rPr>
        <w:footnoteRef/>
      </w:r>
      <w:r w:rsidRPr="00392AF0">
        <w:t>Luhmann</w:t>
      </w:r>
      <w:r>
        <w:t>, N.A Sociological Theory of Law (</w:t>
      </w:r>
      <w:r>
        <w:rPr>
          <w:i/>
        </w:rPr>
        <w:t>Rechtssozilogie</w:t>
      </w:r>
      <w:r>
        <w:t xml:space="preserve">) [1985]. </w:t>
      </w:r>
      <w:r w:rsidRPr="00392AF0">
        <w:t>p29</w:t>
      </w:r>
    </w:p>
  </w:footnote>
  <w:footnote w:id="115">
    <w:p w:rsidR="008F0A29" w:rsidRPr="00EA4F8F" w:rsidRDefault="008F0A29" w:rsidP="00D1438E">
      <w:pPr>
        <w:pStyle w:val="FootnoteText"/>
        <w:rPr>
          <w:lang w:val="es-ES"/>
        </w:rPr>
      </w:pPr>
      <w:r>
        <w:rPr>
          <w:rStyle w:val="FootnoteReference"/>
        </w:rPr>
        <w:footnoteRef/>
      </w:r>
      <w:r w:rsidRPr="00D1438E">
        <w:rPr>
          <w:i/>
          <w:lang w:val="es-ES"/>
        </w:rPr>
        <w:t>Supra</w:t>
      </w:r>
      <w:r w:rsidRPr="00EA4F8F">
        <w:rPr>
          <w:lang w:val="es-ES"/>
        </w:rPr>
        <w:t xml:space="preserve"> no.1</w:t>
      </w:r>
      <w:r>
        <w:rPr>
          <w:lang w:val="es-ES"/>
        </w:rPr>
        <w:t>07</w:t>
      </w:r>
      <w:r w:rsidRPr="00EA4F8F">
        <w:rPr>
          <w:lang w:val="es-ES"/>
        </w:rPr>
        <w:t xml:space="preserve"> pp.3 </w:t>
      </w:r>
    </w:p>
  </w:footnote>
  <w:footnote w:id="116">
    <w:p w:rsidR="008F0A29" w:rsidRPr="00ED2DF6" w:rsidRDefault="008F0A29" w:rsidP="00D1438E">
      <w:pPr>
        <w:pStyle w:val="FootnoteText"/>
        <w:rPr>
          <w:lang w:val="es-ES"/>
        </w:rPr>
      </w:pPr>
      <w:r>
        <w:rPr>
          <w:rStyle w:val="FootnoteReference"/>
        </w:rPr>
        <w:footnoteRef/>
      </w:r>
      <w:r w:rsidRPr="00D1438E">
        <w:rPr>
          <w:i/>
          <w:lang w:val="es-ES"/>
        </w:rPr>
        <w:t>Ibid</w:t>
      </w:r>
      <w:r>
        <w:rPr>
          <w:lang w:val="es-ES"/>
        </w:rPr>
        <w:t xml:space="preserve"> p</w:t>
      </w:r>
      <w:r w:rsidRPr="00ED2DF6">
        <w:rPr>
          <w:lang w:val="es-ES"/>
        </w:rPr>
        <w:t>p.5</w:t>
      </w:r>
    </w:p>
  </w:footnote>
  <w:footnote w:id="117">
    <w:p w:rsidR="008F0A29" w:rsidRPr="00ED2DF6" w:rsidRDefault="008F0A29" w:rsidP="00D1438E">
      <w:pPr>
        <w:pStyle w:val="FootnoteText"/>
        <w:rPr>
          <w:lang w:val="es-ES"/>
        </w:rPr>
      </w:pPr>
      <w:r>
        <w:rPr>
          <w:rStyle w:val="FootnoteReference"/>
        </w:rPr>
        <w:footnoteRef/>
      </w:r>
      <w:r>
        <w:rPr>
          <w:i/>
          <w:lang w:val="es-ES"/>
        </w:rPr>
        <w:t>Supra</w:t>
      </w:r>
      <w:r>
        <w:rPr>
          <w:lang w:val="es-ES"/>
        </w:rPr>
        <w:t>no.24</w:t>
      </w:r>
      <w:r w:rsidRPr="00ED2DF6">
        <w:rPr>
          <w:lang w:val="es-ES"/>
        </w:rPr>
        <w:t xml:space="preserve"> pp.519</w:t>
      </w:r>
    </w:p>
  </w:footnote>
  <w:footnote w:id="118">
    <w:p w:rsidR="008F0A29" w:rsidRPr="00ED2DF6" w:rsidRDefault="008F0A29" w:rsidP="00D1438E">
      <w:pPr>
        <w:pStyle w:val="FootnoteText"/>
        <w:rPr>
          <w:lang w:val="es-ES"/>
        </w:rPr>
      </w:pPr>
      <w:r>
        <w:rPr>
          <w:rStyle w:val="FootnoteReference"/>
        </w:rPr>
        <w:footnoteRef/>
      </w:r>
      <w:r w:rsidRPr="00ED2DF6">
        <w:rPr>
          <w:i/>
          <w:lang w:val="es-ES"/>
        </w:rPr>
        <w:t>Supra</w:t>
      </w:r>
      <w:r w:rsidRPr="00ED2DF6">
        <w:rPr>
          <w:lang w:val="es-ES"/>
        </w:rPr>
        <w:t xml:space="preserve"> no.3 pp</w:t>
      </w:r>
      <w:r>
        <w:rPr>
          <w:lang w:val="es-ES"/>
        </w:rPr>
        <w:t>.</w:t>
      </w:r>
      <w:r w:rsidRPr="00ED2DF6">
        <w:rPr>
          <w:lang w:val="es-ES"/>
        </w:rPr>
        <w:t>259</w:t>
      </w:r>
    </w:p>
  </w:footnote>
  <w:footnote w:id="119">
    <w:p w:rsidR="008F0A29" w:rsidRPr="00AD0D31" w:rsidRDefault="008F0A29">
      <w:pPr>
        <w:pStyle w:val="FootnoteText"/>
        <w:rPr>
          <w:lang w:val="es-ES"/>
        </w:rPr>
      </w:pPr>
      <w:r>
        <w:rPr>
          <w:rStyle w:val="FootnoteReference"/>
        </w:rPr>
        <w:footnoteRef/>
      </w:r>
      <w:r w:rsidRPr="00D1438E">
        <w:rPr>
          <w:i/>
          <w:lang w:val="es-ES"/>
        </w:rPr>
        <w:t>Supra</w:t>
      </w:r>
      <w:r w:rsidRPr="00EA4F8F">
        <w:rPr>
          <w:lang w:val="es-ES"/>
        </w:rPr>
        <w:t xml:space="preserve"> no.1</w:t>
      </w:r>
      <w:r>
        <w:rPr>
          <w:lang w:val="es-ES"/>
        </w:rPr>
        <w:t>07 pp.6</w:t>
      </w:r>
    </w:p>
  </w:footnote>
  <w:footnote w:id="120">
    <w:p w:rsidR="008F0A29" w:rsidRPr="00AD0D31" w:rsidRDefault="008F0A29">
      <w:pPr>
        <w:pStyle w:val="FootnoteText"/>
        <w:rPr>
          <w:lang w:val="es-ES"/>
        </w:rPr>
      </w:pPr>
      <w:r>
        <w:rPr>
          <w:rStyle w:val="FootnoteReference"/>
        </w:rPr>
        <w:footnoteRef/>
      </w:r>
      <w:r w:rsidRPr="00AD0D31">
        <w:rPr>
          <w:i/>
          <w:lang w:val="es-ES"/>
        </w:rPr>
        <w:t>Supra</w:t>
      </w:r>
      <w:r>
        <w:rPr>
          <w:lang w:val="es-ES"/>
        </w:rPr>
        <w:t>no.3 pp.259</w:t>
      </w:r>
    </w:p>
  </w:footnote>
  <w:footnote w:id="121">
    <w:p w:rsidR="008F0A29" w:rsidRPr="00AD0D31" w:rsidRDefault="008F0A29">
      <w:pPr>
        <w:pStyle w:val="FootnoteText"/>
        <w:rPr>
          <w:lang w:val="es-ES"/>
        </w:rPr>
      </w:pPr>
      <w:r>
        <w:rPr>
          <w:rStyle w:val="FootnoteReference"/>
        </w:rPr>
        <w:footnoteRef/>
      </w:r>
      <w:r>
        <w:rPr>
          <w:i/>
          <w:lang w:val="es-ES"/>
        </w:rPr>
        <w:t xml:space="preserve">Supra </w:t>
      </w:r>
      <w:r>
        <w:rPr>
          <w:lang w:val="es-ES"/>
        </w:rPr>
        <w:t>no.24 pp.178</w:t>
      </w:r>
    </w:p>
  </w:footnote>
  <w:footnote w:id="122">
    <w:p w:rsidR="008F0A29" w:rsidRPr="00E302D8" w:rsidRDefault="008F0A29">
      <w:pPr>
        <w:pStyle w:val="FootnoteText"/>
        <w:rPr>
          <w:i/>
          <w:lang w:val="es-ES"/>
        </w:rPr>
      </w:pPr>
      <w:r>
        <w:rPr>
          <w:rStyle w:val="FootnoteReference"/>
        </w:rPr>
        <w:footnoteRef/>
      </w:r>
      <w:r>
        <w:rPr>
          <w:i/>
          <w:lang w:val="es-ES"/>
        </w:rPr>
        <w:t xml:space="preserve">Supra </w:t>
      </w:r>
      <w:r w:rsidRPr="00E302D8">
        <w:rPr>
          <w:lang w:val="es-ES"/>
        </w:rPr>
        <w:t>no.107</w:t>
      </w:r>
      <w:r>
        <w:rPr>
          <w:lang w:val="es-ES"/>
        </w:rPr>
        <w:t xml:space="preserve"> pp.19</w:t>
      </w:r>
    </w:p>
  </w:footnote>
  <w:footnote w:id="123">
    <w:p w:rsidR="008F0A29" w:rsidRPr="00621AE3" w:rsidRDefault="008F0A29">
      <w:pPr>
        <w:pStyle w:val="FootnoteText"/>
        <w:rPr>
          <w:lang w:val="es-ES"/>
        </w:rPr>
      </w:pPr>
      <w:r>
        <w:rPr>
          <w:rStyle w:val="FootnoteReference"/>
        </w:rPr>
        <w:footnoteRef/>
      </w:r>
      <w:r>
        <w:rPr>
          <w:i/>
          <w:lang w:val="es-ES"/>
        </w:rPr>
        <w:t xml:space="preserve">Supra </w:t>
      </w:r>
      <w:r>
        <w:rPr>
          <w:lang w:val="es-ES"/>
        </w:rPr>
        <w:t>no.3 pp.266</w:t>
      </w:r>
    </w:p>
  </w:footnote>
  <w:footnote w:id="124">
    <w:p w:rsidR="008F0A29" w:rsidRPr="00B95810" w:rsidRDefault="008F0A29">
      <w:pPr>
        <w:pStyle w:val="FootnoteText"/>
        <w:rPr>
          <w:lang w:val="es-ES"/>
        </w:rPr>
      </w:pPr>
      <w:r>
        <w:rPr>
          <w:rStyle w:val="FootnoteReference"/>
        </w:rPr>
        <w:footnoteRef/>
      </w:r>
      <w:r w:rsidRPr="00B95810">
        <w:rPr>
          <w:i/>
          <w:lang w:val="es-ES"/>
        </w:rPr>
        <w:t>Supra</w:t>
      </w:r>
      <w:r>
        <w:rPr>
          <w:lang w:val="es-ES"/>
        </w:rPr>
        <w:t xml:space="preserve"> no.25 pp.26</w:t>
      </w:r>
    </w:p>
  </w:footnote>
  <w:footnote w:id="125">
    <w:p w:rsidR="008F0A29" w:rsidRPr="004E5D97" w:rsidRDefault="008F0A29">
      <w:pPr>
        <w:pStyle w:val="FootnoteText"/>
        <w:rPr>
          <w:lang w:val="es-ES"/>
        </w:rPr>
      </w:pPr>
      <w:r>
        <w:rPr>
          <w:rStyle w:val="FootnoteReference"/>
        </w:rPr>
        <w:footnoteRef/>
      </w:r>
      <w:r w:rsidRPr="004E5D97">
        <w:rPr>
          <w:i/>
          <w:lang w:val="es-ES"/>
        </w:rPr>
        <w:t>Ibid.</w:t>
      </w:r>
    </w:p>
  </w:footnote>
  <w:footnote w:id="126">
    <w:p w:rsidR="008F0A29" w:rsidRPr="006055A5" w:rsidRDefault="008F0A29">
      <w:pPr>
        <w:pStyle w:val="FootnoteText"/>
        <w:rPr>
          <w:lang w:val="es-ES"/>
        </w:rPr>
      </w:pPr>
      <w:r>
        <w:rPr>
          <w:rStyle w:val="FootnoteReference"/>
        </w:rPr>
        <w:footnoteRef/>
      </w:r>
      <w:r w:rsidRPr="006055A5">
        <w:rPr>
          <w:i/>
          <w:lang w:val="es-ES"/>
        </w:rPr>
        <w:t xml:space="preserve">Ibid </w:t>
      </w:r>
      <w:r w:rsidRPr="006055A5">
        <w:rPr>
          <w:lang w:val="es-ES"/>
        </w:rPr>
        <w:t>pp.516</w:t>
      </w:r>
    </w:p>
  </w:footnote>
  <w:footnote w:id="127">
    <w:p w:rsidR="008F0A29" w:rsidRPr="004E5D97" w:rsidRDefault="008F0A29">
      <w:pPr>
        <w:pStyle w:val="FootnoteText"/>
        <w:rPr>
          <w:lang w:val="es-ES"/>
        </w:rPr>
      </w:pPr>
      <w:r>
        <w:rPr>
          <w:rStyle w:val="FootnoteReference"/>
        </w:rPr>
        <w:footnoteRef/>
      </w:r>
      <w:r w:rsidRPr="004E5D97">
        <w:rPr>
          <w:i/>
          <w:lang w:val="es-ES"/>
        </w:rPr>
        <w:t>Supra</w:t>
      </w:r>
      <w:r w:rsidRPr="004E5D97">
        <w:rPr>
          <w:lang w:val="es-ES"/>
        </w:rPr>
        <w:t xml:space="preserve"> no.3 pp.267</w:t>
      </w:r>
    </w:p>
  </w:footnote>
  <w:footnote w:id="128">
    <w:p w:rsidR="008F0A29" w:rsidRPr="000C5842" w:rsidRDefault="008F0A29">
      <w:pPr>
        <w:pStyle w:val="FootnoteText"/>
      </w:pPr>
      <w:r>
        <w:rPr>
          <w:rStyle w:val="FootnoteReference"/>
        </w:rPr>
        <w:footnoteRef/>
      </w:r>
      <w:r>
        <w:rPr>
          <w:i/>
        </w:rPr>
        <w:t>I</w:t>
      </w:r>
      <w:r w:rsidRPr="000C5842">
        <w:rPr>
          <w:i/>
        </w:rPr>
        <w:t>bid</w:t>
      </w:r>
      <w:r>
        <w:rPr>
          <w:i/>
        </w:rPr>
        <w:t>.</w:t>
      </w:r>
    </w:p>
  </w:footnote>
  <w:footnote w:id="129">
    <w:p w:rsidR="008F0A29" w:rsidRDefault="008F0A29">
      <w:pPr>
        <w:pStyle w:val="FootnoteText"/>
      </w:pPr>
      <w:r>
        <w:rPr>
          <w:rStyle w:val="FootnoteReference"/>
        </w:rPr>
        <w:footnoteRef/>
      </w:r>
    </w:p>
  </w:footnote>
  <w:footnote w:id="130">
    <w:p w:rsidR="008F0A29" w:rsidRPr="009D12EA" w:rsidRDefault="008F0A29">
      <w:pPr>
        <w:pStyle w:val="FootnoteText"/>
      </w:pPr>
      <w:r>
        <w:rPr>
          <w:rStyle w:val="FootnoteReference"/>
        </w:rPr>
        <w:footnoteRef/>
      </w:r>
      <w:r>
        <w:t xml:space="preserve"> Orwell, G. </w:t>
      </w:r>
      <w:r w:rsidRPr="009D12EA">
        <w:rPr>
          <w:i/>
        </w:rPr>
        <w:t>Nineteen Eighty-Four</w:t>
      </w:r>
      <w:r>
        <w:rPr>
          <w:i/>
        </w:rPr>
        <w:t xml:space="preserve">, </w:t>
      </w:r>
      <w:r>
        <w:t xml:space="preserve">London: Penguin [1991]  </w:t>
      </w:r>
    </w:p>
  </w:footnote>
  <w:footnote w:id="131">
    <w:p w:rsidR="008F0A29" w:rsidRPr="00220586" w:rsidRDefault="008F0A29">
      <w:pPr>
        <w:pStyle w:val="FootnoteText"/>
        <w:rPr>
          <w:lang w:val="es-ES"/>
        </w:rPr>
      </w:pPr>
      <w:r>
        <w:rPr>
          <w:rStyle w:val="FootnoteReference"/>
        </w:rPr>
        <w:footnoteRef/>
      </w:r>
      <w:r w:rsidRPr="00220586">
        <w:rPr>
          <w:i/>
          <w:lang w:val="es-ES"/>
        </w:rPr>
        <w:t>Supra</w:t>
      </w:r>
      <w:r>
        <w:rPr>
          <w:lang w:val="es-ES"/>
        </w:rPr>
        <w:t xml:space="preserve"> no.3 pp.269</w:t>
      </w:r>
    </w:p>
  </w:footnote>
  <w:footnote w:id="132">
    <w:p w:rsidR="008F0A29" w:rsidRPr="007E2084" w:rsidRDefault="008F0A29">
      <w:pPr>
        <w:pStyle w:val="FootnoteText"/>
        <w:rPr>
          <w:lang w:val="es-ES"/>
        </w:rPr>
      </w:pPr>
      <w:r>
        <w:rPr>
          <w:rStyle w:val="FootnoteReference"/>
        </w:rPr>
        <w:footnoteRef/>
      </w:r>
      <w:r>
        <w:rPr>
          <w:i/>
          <w:lang w:val="es-ES"/>
        </w:rPr>
        <w:t>Supra</w:t>
      </w:r>
      <w:r>
        <w:rPr>
          <w:lang w:val="es-ES"/>
        </w:rPr>
        <w:t xml:space="preserve"> no.24 pp.16 </w:t>
      </w:r>
    </w:p>
  </w:footnote>
  <w:footnote w:id="133">
    <w:p w:rsidR="008F0A29" w:rsidRPr="00220586" w:rsidRDefault="008F0A29" w:rsidP="00A72A2D">
      <w:pPr>
        <w:pStyle w:val="FootnoteText"/>
        <w:rPr>
          <w:i/>
          <w:lang w:val="es-ES"/>
        </w:rPr>
      </w:pPr>
      <w:r>
        <w:rPr>
          <w:rStyle w:val="FootnoteReference"/>
        </w:rPr>
        <w:footnoteRef/>
      </w:r>
      <w:r w:rsidRPr="00220586">
        <w:rPr>
          <w:i/>
          <w:lang w:val="es-ES"/>
        </w:rPr>
        <w:t xml:space="preserve">Ibid. </w:t>
      </w:r>
      <w:r w:rsidRPr="00220586">
        <w:rPr>
          <w:lang w:val="es-ES"/>
        </w:rPr>
        <w:t>pp.242</w:t>
      </w:r>
    </w:p>
  </w:footnote>
  <w:footnote w:id="134">
    <w:p w:rsidR="008F0A29" w:rsidRPr="00220586" w:rsidRDefault="008F0A29" w:rsidP="00A72A2D">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5311"/>
    <w:multiLevelType w:val="hybridMultilevel"/>
    <w:tmpl w:val="66CAD5E4"/>
    <w:lvl w:ilvl="0" w:tplc="41D8847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56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9"/>
    <w:rsid w:val="00007585"/>
    <w:rsid w:val="000149EB"/>
    <w:rsid w:val="00015711"/>
    <w:rsid w:val="00017118"/>
    <w:rsid w:val="00020998"/>
    <w:rsid w:val="00021AF0"/>
    <w:rsid w:val="00023300"/>
    <w:rsid w:val="000264C2"/>
    <w:rsid w:val="000279D4"/>
    <w:rsid w:val="000429D0"/>
    <w:rsid w:val="00044919"/>
    <w:rsid w:val="00046C41"/>
    <w:rsid w:val="00051955"/>
    <w:rsid w:val="000527C2"/>
    <w:rsid w:val="00054C84"/>
    <w:rsid w:val="00055798"/>
    <w:rsid w:val="00064097"/>
    <w:rsid w:val="00067868"/>
    <w:rsid w:val="000705F3"/>
    <w:rsid w:val="000707F8"/>
    <w:rsid w:val="00072A13"/>
    <w:rsid w:val="00076B19"/>
    <w:rsid w:val="000801C7"/>
    <w:rsid w:val="000811BC"/>
    <w:rsid w:val="00092817"/>
    <w:rsid w:val="000932C0"/>
    <w:rsid w:val="00093504"/>
    <w:rsid w:val="00095B9A"/>
    <w:rsid w:val="000A3640"/>
    <w:rsid w:val="000B0BE9"/>
    <w:rsid w:val="000B35D1"/>
    <w:rsid w:val="000B586B"/>
    <w:rsid w:val="000C5842"/>
    <w:rsid w:val="000D3BF8"/>
    <w:rsid w:val="000E6F48"/>
    <w:rsid w:val="000F3BAC"/>
    <w:rsid w:val="0010129A"/>
    <w:rsid w:val="001066C7"/>
    <w:rsid w:val="00106DBF"/>
    <w:rsid w:val="00110EC2"/>
    <w:rsid w:val="00111EC9"/>
    <w:rsid w:val="00112616"/>
    <w:rsid w:val="00115364"/>
    <w:rsid w:val="00122B65"/>
    <w:rsid w:val="00124209"/>
    <w:rsid w:val="0013289E"/>
    <w:rsid w:val="001336B7"/>
    <w:rsid w:val="00140AC7"/>
    <w:rsid w:val="00146BC0"/>
    <w:rsid w:val="00152E57"/>
    <w:rsid w:val="00171349"/>
    <w:rsid w:val="001857D5"/>
    <w:rsid w:val="001A23F1"/>
    <w:rsid w:val="001A75B7"/>
    <w:rsid w:val="001B2EA0"/>
    <w:rsid w:val="001B34C5"/>
    <w:rsid w:val="001C6050"/>
    <w:rsid w:val="001D6B88"/>
    <w:rsid w:val="001E560D"/>
    <w:rsid w:val="00213E5F"/>
    <w:rsid w:val="00215105"/>
    <w:rsid w:val="00220097"/>
    <w:rsid w:val="00220586"/>
    <w:rsid w:val="00224915"/>
    <w:rsid w:val="00224D1D"/>
    <w:rsid w:val="00225068"/>
    <w:rsid w:val="00235CD1"/>
    <w:rsid w:val="00252884"/>
    <w:rsid w:val="002533A4"/>
    <w:rsid w:val="00256621"/>
    <w:rsid w:val="002572E9"/>
    <w:rsid w:val="00261716"/>
    <w:rsid w:val="00262EB9"/>
    <w:rsid w:val="00264ED1"/>
    <w:rsid w:val="00266E50"/>
    <w:rsid w:val="00273931"/>
    <w:rsid w:val="00281C37"/>
    <w:rsid w:val="002927FA"/>
    <w:rsid w:val="002A00C7"/>
    <w:rsid w:val="002A0F2B"/>
    <w:rsid w:val="002A4017"/>
    <w:rsid w:val="002A56F9"/>
    <w:rsid w:val="002B4D5A"/>
    <w:rsid w:val="002D29A1"/>
    <w:rsid w:val="002D4DB6"/>
    <w:rsid w:val="002E21FF"/>
    <w:rsid w:val="002E3C64"/>
    <w:rsid w:val="002E64B9"/>
    <w:rsid w:val="003030EA"/>
    <w:rsid w:val="003119E4"/>
    <w:rsid w:val="00312988"/>
    <w:rsid w:val="00313E1B"/>
    <w:rsid w:val="003141FD"/>
    <w:rsid w:val="00323A8D"/>
    <w:rsid w:val="00323FA0"/>
    <w:rsid w:val="00335339"/>
    <w:rsid w:val="00341166"/>
    <w:rsid w:val="00347070"/>
    <w:rsid w:val="00355700"/>
    <w:rsid w:val="00355F85"/>
    <w:rsid w:val="00357BA0"/>
    <w:rsid w:val="0036641B"/>
    <w:rsid w:val="00371A1C"/>
    <w:rsid w:val="00372046"/>
    <w:rsid w:val="00386445"/>
    <w:rsid w:val="00392AF0"/>
    <w:rsid w:val="003B0356"/>
    <w:rsid w:val="003B478A"/>
    <w:rsid w:val="003C7BB7"/>
    <w:rsid w:val="003D69C3"/>
    <w:rsid w:val="003E1454"/>
    <w:rsid w:val="003E3717"/>
    <w:rsid w:val="003F2BE0"/>
    <w:rsid w:val="004016FF"/>
    <w:rsid w:val="00406FFA"/>
    <w:rsid w:val="00430012"/>
    <w:rsid w:val="00430169"/>
    <w:rsid w:val="0043103B"/>
    <w:rsid w:val="004310DD"/>
    <w:rsid w:val="004314AB"/>
    <w:rsid w:val="00436ECB"/>
    <w:rsid w:val="00441B1D"/>
    <w:rsid w:val="00443B04"/>
    <w:rsid w:val="0044411F"/>
    <w:rsid w:val="00447107"/>
    <w:rsid w:val="00451D7F"/>
    <w:rsid w:val="0045469C"/>
    <w:rsid w:val="00454832"/>
    <w:rsid w:val="004676FB"/>
    <w:rsid w:val="004722DE"/>
    <w:rsid w:val="004737A6"/>
    <w:rsid w:val="0048718E"/>
    <w:rsid w:val="004A63F2"/>
    <w:rsid w:val="004B5457"/>
    <w:rsid w:val="004C0A5D"/>
    <w:rsid w:val="004C2851"/>
    <w:rsid w:val="004C749C"/>
    <w:rsid w:val="004E5D97"/>
    <w:rsid w:val="004F32ED"/>
    <w:rsid w:val="004F75CE"/>
    <w:rsid w:val="00501CB9"/>
    <w:rsid w:val="005039CD"/>
    <w:rsid w:val="00511AA0"/>
    <w:rsid w:val="0051649F"/>
    <w:rsid w:val="00527676"/>
    <w:rsid w:val="00536C46"/>
    <w:rsid w:val="0054079F"/>
    <w:rsid w:val="00542FD0"/>
    <w:rsid w:val="00547FFD"/>
    <w:rsid w:val="00553B09"/>
    <w:rsid w:val="00553E08"/>
    <w:rsid w:val="0055697E"/>
    <w:rsid w:val="0055748B"/>
    <w:rsid w:val="00561F41"/>
    <w:rsid w:val="00561FC3"/>
    <w:rsid w:val="0056759D"/>
    <w:rsid w:val="0056771A"/>
    <w:rsid w:val="00581EA1"/>
    <w:rsid w:val="00582E4B"/>
    <w:rsid w:val="00586F7A"/>
    <w:rsid w:val="00593070"/>
    <w:rsid w:val="005A0C66"/>
    <w:rsid w:val="005A4DB8"/>
    <w:rsid w:val="005C3FE1"/>
    <w:rsid w:val="005C5755"/>
    <w:rsid w:val="005C7D06"/>
    <w:rsid w:val="005D0478"/>
    <w:rsid w:val="005D10DE"/>
    <w:rsid w:val="005F0FA2"/>
    <w:rsid w:val="005F2027"/>
    <w:rsid w:val="005F6575"/>
    <w:rsid w:val="005F6B11"/>
    <w:rsid w:val="00600233"/>
    <w:rsid w:val="00601E25"/>
    <w:rsid w:val="006055A5"/>
    <w:rsid w:val="006055C4"/>
    <w:rsid w:val="00607BBE"/>
    <w:rsid w:val="00607F27"/>
    <w:rsid w:val="00611E9B"/>
    <w:rsid w:val="00613788"/>
    <w:rsid w:val="006207BD"/>
    <w:rsid w:val="00621AE3"/>
    <w:rsid w:val="00623E42"/>
    <w:rsid w:val="00625848"/>
    <w:rsid w:val="00630434"/>
    <w:rsid w:val="00635724"/>
    <w:rsid w:val="00640C63"/>
    <w:rsid w:val="0064471C"/>
    <w:rsid w:val="00663390"/>
    <w:rsid w:val="00670D9A"/>
    <w:rsid w:val="006714A2"/>
    <w:rsid w:val="00686CB7"/>
    <w:rsid w:val="00687CAC"/>
    <w:rsid w:val="00687D90"/>
    <w:rsid w:val="00692905"/>
    <w:rsid w:val="00696B7E"/>
    <w:rsid w:val="006B343B"/>
    <w:rsid w:val="006E52D0"/>
    <w:rsid w:val="006E624B"/>
    <w:rsid w:val="006F61CC"/>
    <w:rsid w:val="00710535"/>
    <w:rsid w:val="0073120C"/>
    <w:rsid w:val="00732229"/>
    <w:rsid w:val="00733E8A"/>
    <w:rsid w:val="007354F2"/>
    <w:rsid w:val="007423D1"/>
    <w:rsid w:val="00745D22"/>
    <w:rsid w:val="00752756"/>
    <w:rsid w:val="007530DF"/>
    <w:rsid w:val="00756585"/>
    <w:rsid w:val="00760139"/>
    <w:rsid w:val="0076041C"/>
    <w:rsid w:val="0076126A"/>
    <w:rsid w:val="00773BCB"/>
    <w:rsid w:val="00773DB7"/>
    <w:rsid w:val="007801A3"/>
    <w:rsid w:val="00783DBC"/>
    <w:rsid w:val="00783EEA"/>
    <w:rsid w:val="00787113"/>
    <w:rsid w:val="00791793"/>
    <w:rsid w:val="007A21B6"/>
    <w:rsid w:val="007A5B12"/>
    <w:rsid w:val="007B0442"/>
    <w:rsid w:val="007B2128"/>
    <w:rsid w:val="007B343C"/>
    <w:rsid w:val="007B4DE2"/>
    <w:rsid w:val="007C2337"/>
    <w:rsid w:val="007C4F04"/>
    <w:rsid w:val="007C622B"/>
    <w:rsid w:val="007C630B"/>
    <w:rsid w:val="007D7047"/>
    <w:rsid w:val="007E2084"/>
    <w:rsid w:val="007E3EF6"/>
    <w:rsid w:val="007F0E0B"/>
    <w:rsid w:val="007F5210"/>
    <w:rsid w:val="007F7066"/>
    <w:rsid w:val="00800069"/>
    <w:rsid w:val="00806354"/>
    <w:rsid w:val="00824201"/>
    <w:rsid w:val="00830922"/>
    <w:rsid w:val="008340DC"/>
    <w:rsid w:val="0083463C"/>
    <w:rsid w:val="00842143"/>
    <w:rsid w:val="00842EE6"/>
    <w:rsid w:val="00843BE6"/>
    <w:rsid w:val="00847B6C"/>
    <w:rsid w:val="00847D41"/>
    <w:rsid w:val="00847ECE"/>
    <w:rsid w:val="00854DD9"/>
    <w:rsid w:val="008560B0"/>
    <w:rsid w:val="00860A7E"/>
    <w:rsid w:val="00865A2B"/>
    <w:rsid w:val="00871B65"/>
    <w:rsid w:val="00871EA6"/>
    <w:rsid w:val="0087780D"/>
    <w:rsid w:val="00880098"/>
    <w:rsid w:val="00880498"/>
    <w:rsid w:val="00885452"/>
    <w:rsid w:val="0089632B"/>
    <w:rsid w:val="008D638E"/>
    <w:rsid w:val="008E0A89"/>
    <w:rsid w:val="008E1B2E"/>
    <w:rsid w:val="008E1CD0"/>
    <w:rsid w:val="008E2234"/>
    <w:rsid w:val="008E469B"/>
    <w:rsid w:val="008F0A29"/>
    <w:rsid w:val="00900FF2"/>
    <w:rsid w:val="00903172"/>
    <w:rsid w:val="00907A5E"/>
    <w:rsid w:val="00910834"/>
    <w:rsid w:val="00925F93"/>
    <w:rsid w:val="00925FF9"/>
    <w:rsid w:val="0093237B"/>
    <w:rsid w:val="00933628"/>
    <w:rsid w:val="009363E4"/>
    <w:rsid w:val="00941A75"/>
    <w:rsid w:val="00942F18"/>
    <w:rsid w:val="00944382"/>
    <w:rsid w:val="00953D3E"/>
    <w:rsid w:val="00957AAC"/>
    <w:rsid w:val="009606A5"/>
    <w:rsid w:val="009640A6"/>
    <w:rsid w:val="009641A8"/>
    <w:rsid w:val="00974206"/>
    <w:rsid w:val="00974924"/>
    <w:rsid w:val="00974CC7"/>
    <w:rsid w:val="00975BD2"/>
    <w:rsid w:val="009877A1"/>
    <w:rsid w:val="009925F7"/>
    <w:rsid w:val="00993472"/>
    <w:rsid w:val="00996A08"/>
    <w:rsid w:val="009A3068"/>
    <w:rsid w:val="009B097B"/>
    <w:rsid w:val="009B0CBB"/>
    <w:rsid w:val="009C0628"/>
    <w:rsid w:val="009C1EA6"/>
    <w:rsid w:val="009C76C9"/>
    <w:rsid w:val="009D12EA"/>
    <w:rsid w:val="009D1497"/>
    <w:rsid w:val="009D6666"/>
    <w:rsid w:val="009D77A3"/>
    <w:rsid w:val="009E51D7"/>
    <w:rsid w:val="009E592A"/>
    <w:rsid w:val="009E5F3E"/>
    <w:rsid w:val="00A000BD"/>
    <w:rsid w:val="00A10940"/>
    <w:rsid w:val="00A13A54"/>
    <w:rsid w:val="00A13F1C"/>
    <w:rsid w:val="00A24445"/>
    <w:rsid w:val="00A2444E"/>
    <w:rsid w:val="00A266F1"/>
    <w:rsid w:val="00A27260"/>
    <w:rsid w:val="00A3453A"/>
    <w:rsid w:val="00A44165"/>
    <w:rsid w:val="00A51131"/>
    <w:rsid w:val="00A54D49"/>
    <w:rsid w:val="00A54F8F"/>
    <w:rsid w:val="00A6179C"/>
    <w:rsid w:val="00A63C5D"/>
    <w:rsid w:val="00A70C6B"/>
    <w:rsid w:val="00A7182D"/>
    <w:rsid w:val="00A72A2D"/>
    <w:rsid w:val="00A72E22"/>
    <w:rsid w:val="00A73404"/>
    <w:rsid w:val="00A75CE3"/>
    <w:rsid w:val="00A80247"/>
    <w:rsid w:val="00A815B9"/>
    <w:rsid w:val="00A8556A"/>
    <w:rsid w:val="00A86182"/>
    <w:rsid w:val="00A873B8"/>
    <w:rsid w:val="00A94773"/>
    <w:rsid w:val="00AA5CFC"/>
    <w:rsid w:val="00AB039D"/>
    <w:rsid w:val="00AB6915"/>
    <w:rsid w:val="00AD0D31"/>
    <w:rsid w:val="00AD585A"/>
    <w:rsid w:val="00AE5D14"/>
    <w:rsid w:val="00AF0135"/>
    <w:rsid w:val="00AF254A"/>
    <w:rsid w:val="00B074B5"/>
    <w:rsid w:val="00B15CC2"/>
    <w:rsid w:val="00B21F1B"/>
    <w:rsid w:val="00B33A53"/>
    <w:rsid w:val="00B44EC5"/>
    <w:rsid w:val="00B47F09"/>
    <w:rsid w:val="00B5193F"/>
    <w:rsid w:val="00B56E5E"/>
    <w:rsid w:val="00B5707B"/>
    <w:rsid w:val="00B75855"/>
    <w:rsid w:val="00B80F37"/>
    <w:rsid w:val="00B815D2"/>
    <w:rsid w:val="00B84019"/>
    <w:rsid w:val="00B849DF"/>
    <w:rsid w:val="00B91BD9"/>
    <w:rsid w:val="00B95810"/>
    <w:rsid w:val="00BA3503"/>
    <w:rsid w:val="00BA6681"/>
    <w:rsid w:val="00BB3996"/>
    <w:rsid w:val="00BD49D0"/>
    <w:rsid w:val="00BD4D7A"/>
    <w:rsid w:val="00BE1052"/>
    <w:rsid w:val="00BE5768"/>
    <w:rsid w:val="00BE6C47"/>
    <w:rsid w:val="00BF2EAC"/>
    <w:rsid w:val="00BF2F4E"/>
    <w:rsid w:val="00C0615A"/>
    <w:rsid w:val="00C10132"/>
    <w:rsid w:val="00C363FC"/>
    <w:rsid w:val="00C40CB5"/>
    <w:rsid w:val="00C507AC"/>
    <w:rsid w:val="00C50BBB"/>
    <w:rsid w:val="00C54D00"/>
    <w:rsid w:val="00C5521E"/>
    <w:rsid w:val="00C606F3"/>
    <w:rsid w:val="00C618AD"/>
    <w:rsid w:val="00C73987"/>
    <w:rsid w:val="00C87F4C"/>
    <w:rsid w:val="00C92B43"/>
    <w:rsid w:val="00C9559C"/>
    <w:rsid w:val="00CA78D8"/>
    <w:rsid w:val="00CA7ABA"/>
    <w:rsid w:val="00CB5E0A"/>
    <w:rsid w:val="00CB6B84"/>
    <w:rsid w:val="00CC45F6"/>
    <w:rsid w:val="00CC7F2B"/>
    <w:rsid w:val="00CD248F"/>
    <w:rsid w:val="00CE53EA"/>
    <w:rsid w:val="00CE6C46"/>
    <w:rsid w:val="00CE778F"/>
    <w:rsid w:val="00CF0959"/>
    <w:rsid w:val="00D047C4"/>
    <w:rsid w:val="00D125AF"/>
    <w:rsid w:val="00D13C1F"/>
    <w:rsid w:val="00D1438E"/>
    <w:rsid w:val="00D147C9"/>
    <w:rsid w:val="00D25B67"/>
    <w:rsid w:val="00D3403D"/>
    <w:rsid w:val="00D45529"/>
    <w:rsid w:val="00D4684F"/>
    <w:rsid w:val="00D54168"/>
    <w:rsid w:val="00D9015E"/>
    <w:rsid w:val="00D95ED9"/>
    <w:rsid w:val="00D9727C"/>
    <w:rsid w:val="00DA2E46"/>
    <w:rsid w:val="00DB065C"/>
    <w:rsid w:val="00DB0FE5"/>
    <w:rsid w:val="00DB3C2E"/>
    <w:rsid w:val="00DB488F"/>
    <w:rsid w:val="00DD13F6"/>
    <w:rsid w:val="00DE0088"/>
    <w:rsid w:val="00DE20E9"/>
    <w:rsid w:val="00DE3E53"/>
    <w:rsid w:val="00DF1A10"/>
    <w:rsid w:val="00DF3D0D"/>
    <w:rsid w:val="00E11CF8"/>
    <w:rsid w:val="00E16354"/>
    <w:rsid w:val="00E16E72"/>
    <w:rsid w:val="00E26827"/>
    <w:rsid w:val="00E276B3"/>
    <w:rsid w:val="00E302D8"/>
    <w:rsid w:val="00E326D8"/>
    <w:rsid w:val="00E34976"/>
    <w:rsid w:val="00E37DF5"/>
    <w:rsid w:val="00E41D1D"/>
    <w:rsid w:val="00E43AC5"/>
    <w:rsid w:val="00E43ED6"/>
    <w:rsid w:val="00E47D59"/>
    <w:rsid w:val="00E53994"/>
    <w:rsid w:val="00E53B16"/>
    <w:rsid w:val="00E549A7"/>
    <w:rsid w:val="00E552D4"/>
    <w:rsid w:val="00E631F1"/>
    <w:rsid w:val="00E65577"/>
    <w:rsid w:val="00E7253E"/>
    <w:rsid w:val="00E82FD8"/>
    <w:rsid w:val="00E839D5"/>
    <w:rsid w:val="00E84410"/>
    <w:rsid w:val="00E90164"/>
    <w:rsid w:val="00E917E1"/>
    <w:rsid w:val="00EA6874"/>
    <w:rsid w:val="00EB14A0"/>
    <w:rsid w:val="00EB457F"/>
    <w:rsid w:val="00EB79D2"/>
    <w:rsid w:val="00ED4AA3"/>
    <w:rsid w:val="00EE4205"/>
    <w:rsid w:val="00EE4A86"/>
    <w:rsid w:val="00EE4C50"/>
    <w:rsid w:val="00EF47FC"/>
    <w:rsid w:val="00EF4CEF"/>
    <w:rsid w:val="00EF7133"/>
    <w:rsid w:val="00F20128"/>
    <w:rsid w:val="00F23AEC"/>
    <w:rsid w:val="00F26924"/>
    <w:rsid w:val="00F27D32"/>
    <w:rsid w:val="00F43887"/>
    <w:rsid w:val="00F4784D"/>
    <w:rsid w:val="00F5051A"/>
    <w:rsid w:val="00F50546"/>
    <w:rsid w:val="00F510C3"/>
    <w:rsid w:val="00F519B0"/>
    <w:rsid w:val="00F542CD"/>
    <w:rsid w:val="00F6293D"/>
    <w:rsid w:val="00F71C30"/>
    <w:rsid w:val="00F86CBD"/>
    <w:rsid w:val="00F8715E"/>
    <w:rsid w:val="00F9402F"/>
    <w:rsid w:val="00F951F3"/>
    <w:rsid w:val="00FA67BE"/>
    <w:rsid w:val="00FB56D1"/>
    <w:rsid w:val="00FB6596"/>
    <w:rsid w:val="00FC1848"/>
    <w:rsid w:val="00FC4189"/>
    <w:rsid w:val="00FD5670"/>
    <w:rsid w:val="00FF0894"/>
    <w:rsid w:val="00FF5B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19"/>
  </w:style>
  <w:style w:type="paragraph" w:styleId="Heading1">
    <w:name w:val="heading 1"/>
    <w:basedOn w:val="Normal"/>
    <w:next w:val="Normal"/>
    <w:link w:val="Heading1Char"/>
    <w:uiPriority w:val="9"/>
    <w:qFormat/>
    <w:rsid w:val="00076B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76B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B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B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B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B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B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B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6B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76B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6B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B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B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B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B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B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B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B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B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B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6B19"/>
    <w:rPr>
      <w:rFonts w:asciiTheme="majorHAnsi" w:eastAsiaTheme="majorEastAsia" w:hAnsiTheme="majorHAnsi" w:cstheme="majorBidi"/>
      <w:i/>
      <w:iCs/>
      <w:spacing w:val="13"/>
      <w:sz w:val="24"/>
      <w:szCs w:val="24"/>
    </w:rPr>
  </w:style>
  <w:style w:type="character" w:styleId="Strong">
    <w:name w:val="Strong"/>
    <w:uiPriority w:val="22"/>
    <w:qFormat/>
    <w:rsid w:val="00076B19"/>
    <w:rPr>
      <w:b/>
      <w:bCs/>
    </w:rPr>
  </w:style>
  <w:style w:type="character" w:styleId="Emphasis">
    <w:name w:val="Emphasis"/>
    <w:uiPriority w:val="20"/>
    <w:qFormat/>
    <w:rsid w:val="00076B19"/>
    <w:rPr>
      <w:b/>
      <w:bCs/>
      <w:i/>
      <w:iCs/>
      <w:spacing w:val="10"/>
      <w:bdr w:val="none" w:sz="0" w:space="0" w:color="auto"/>
      <w:shd w:val="clear" w:color="auto" w:fill="auto"/>
    </w:rPr>
  </w:style>
  <w:style w:type="paragraph" w:styleId="NoSpacing">
    <w:name w:val="No Spacing"/>
    <w:basedOn w:val="Normal"/>
    <w:link w:val="NoSpacingChar"/>
    <w:uiPriority w:val="1"/>
    <w:qFormat/>
    <w:rsid w:val="00076B19"/>
    <w:pPr>
      <w:spacing w:after="0" w:line="240" w:lineRule="auto"/>
    </w:pPr>
  </w:style>
  <w:style w:type="paragraph" w:styleId="ListParagraph">
    <w:name w:val="List Paragraph"/>
    <w:basedOn w:val="Normal"/>
    <w:uiPriority w:val="34"/>
    <w:qFormat/>
    <w:rsid w:val="00076B19"/>
    <w:pPr>
      <w:ind w:left="720"/>
      <w:contextualSpacing/>
    </w:pPr>
  </w:style>
  <w:style w:type="paragraph" w:styleId="Quote">
    <w:name w:val="Quote"/>
    <w:basedOn w:val="Normal"/>
    <w:next w:val="Normal"/>
    <w:link w:val="QuoteChar"/>
    <w:uiPriority w:val="29"/>
    <w:qFormat/>
    <w:rsid w:val="00076B19"/>
    <w:pPr>
      <w:spacing w:before="200" w:after="0"/>
      <w:ind w:left="360" w:right="360"/>
    </w:pPr>
    <w:rPr>
      <w:i/>
      <w:iCs/>
    </w:rPr>
  </w:style>
  <w:style w:type="character" w:customStyle="1" w:styleId="QuoteChar">
    <w:name w:val="Quote Char"/>
    <w:basedOn w:val="DefaultParagraphFont"/>
    <w:link w:val="Quote"/>
    <w:uiPriority w:val="29"/>
    <w:rsid w:val="00076B19"/>
    <w:rPr>
      <w:i/>
      <w:iCs/>
    </w:rPr>
  </w:style>
  <w:style w:type="paragraph" w:styleId="IntenseQuote">
    <w:name w:val="Intense Quote"/>
    <w:basedOn w:val="Normal"/>
    <w:next w:val="Normal"/>
    <w:link w:val="IntenseQuoteChar"/>
    <w:uiPriority w:val="30"/>
    <w:qFormat/>
    <w:rsid w:val="00076B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6B19"/>
    <w:rPr>
      <w:b/>
      <w:bCs/>
      <w:i/>
      <w:iCs/>
    </w:rPr>
  </w:style>
  <w:style w:type="character" w:styleId="SubtleEmphasis">
    <w:name w:val="Subtle Emphasis"/>
    <w:uiPriority w:val="19"/>
    <w:qFormat/>
    <w:rsid w:val="00076B19"/>
    <w:rPr>
      <w:i/>
      <w:iCs/>
    </w:rPr>
  </w:style>
  <w:style w:type="character" w:styleId="IntenseEmphasis">
    <w:name w:val="Intense Emphasis"/>
    <w:uiPriority w:val="21"/>
    <w:qFormat/>
    <w:rsid w:val="00076B19"/>
    <w:rPr>
      <w:b/>
      <w:bCs/>
    </w:rPr>
  </w:style>
  <w:style w:type="character" w:styleId="SubtleReference">
    <w:name w:val="Subtle Reference"/>
    <w:uiPriority w:val="31"/>
    <w:qFormat/>
    <w:rsid w:val="00076B19"/>
    <w:rPr>
      <w:smallCaps/>
    </w:rPr>
  </w:style>
  <w:style w:type="character" w:styleId="IntenseReference">
    <w:name w:val="Intense Reference"/>
    <w:uiPriority w:val="32"/>
    <w:qFormat/>
    <w:rsid w:val="00076B19"/>
    <w:rPr>
      <w:smallCaps/>
      <w:spacing w:val="5"/>
      <w:u w:val="single"/>
    </w:rPr>
  </w:style>
  <w:style w:type="character" w:styleId="BookTitle">
    <w:name w:val="Book Title"/>
    <w:uiPriority w:val="33"/>
    <w:qFormat/>
    <w:rsid w:val="00076B19"/>
    <w:rPr>
      <w:i/>
      <w:iCs/>
      <w:smallCaps/>
      <w:spacing w:val="5"/>
    </w:rPr>
  </w:style>
  <w:style w:type="paragraph" w:styleId="TOCHeading">
    <w:name w:val="TOC Heading"/>
    <w:basedOn w:val="Heading1"/>
    <w:next w:val="Normal"/>
    <w:uiPriority w:val="39"/>
    <w:unhideWhenUsed/>
    <w:qFormat/>
    <w:rsid w:val="00076B19"/>
    <w:pPr>
      <w:outlineLvl w:val="9"/>
    </w:pPr>
    <w:rPr>
      <w:lang w:bidi="en-US"/>
    </w:rPr>
  </w:style>
  <w:style w:type="character" w:customStyle="1" w:styleId="NoSpacingChar">
    <w:name w:val="No Spacing Char"/>
    <w:basedOn w:val="DefaultParagraphFont"/>
    <w:link w:val="NoSpacing"/>
    <w:uiPriority w:val="1"/>
    <w:rsid w:val="00076B19"/>
  </w:style>
  <w:style w:type="paragraph" w:styleId="BalloonText">
    <w:name w:val="Balloon Text"/>
    <w:basedOn w:val="Normal"/>
    <w:link w:val="BalloonTextChar"/>
    <w:uiPriority w:val="99"/>
    <w:semiHidden/>
    <w:unhideWhenUsed/>
    <w:rsid w:val="0007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9"/>
    <w:rPr>
      <w:rFonts w:ascii="Tahoma" w:hAnsi="Tahoma" w:cs="Tahoma"/>
      <w:sz w:val="16"/>
      <w:szCs w:val="16"/>
    </w:rPr>
  </w:style>
  <w:style w:type="table" w:styleId="TableGrid">
    <w:name w:val="Table Grid"/>
    <w:basedOn w:val="TableNormal"/>
    <w:uiPriority w:val="59"/>
    <w:rsid w:val="00B5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5B7"/>
    <w:rPr>
      <w:sz w:val="20"/>
      <w:szCs w:val="20"/>
    </w:rPr>
  </w:style>
  <w:style w:type="character" w:styleId="FootnoteReference">
    <w:name w:val="footnote reference"/>
    <w:basedOn w:val="DefaultParagraphFont"/>
    <w:uiPriority w:val="99"/>
    <w:semiHidden/>
    <w:unhideWhenUsed/>
    <w:rsid w:val="001A75B7"/>
    <w:rPr>
      <w:vertAlign w:val="superscript"/>
    </w:rPr>
  </w:style>
  <w:style w:type="paragraph" w:styleId="TOC1">
    <w:name w:val="toc 1"/>
    <w:basedOn w:val="Normal"/>
    <w:next w:val="Normal"/>
    <w:autoRedefine/>
    <w:uiPriority w:val="39"/>
    <w:unhideWhenUsed/>
    <w:rsid w:val="000705F3"/>
    <w:pPr>
      <w:tabs>
        <w:tab w:val="right" w:leader="dot" w:pos="9016"/>
      </w:tabs>
      <w:spacing w:after="100"/>
    </w:pPr>
  </w:style>
  <w:style w:type="character" w:styleId="Hyperlink">
    <w:name w:val="Hyperlink"/>
    <w:basedOn w:val="DefaultParagraphFont"/>
    <w:uiPriority w:val="99"/>
    <w:unhideWhenUsed/>
    <w:rsid w:val="000705F3"/>
    <w:rPr>
      <w:color w:val="0000FF" w:themeColor="hyperlink"/>
      <w:u w:val="single"/>
    </w:rPr>
  </w:style>
  <w:style w:type="character" w:customStyle="1" w:styleId="citation">
    <w:name w:val="citation"/>
    <w:basedOn w:val="DefaultParagraphFont"/>
    <w:rsid w:val="00EF47FC"/>
  </w:style>
  <w:style w:type="paragraph" w:styleId="NormalWeb">
    <w:name w:val="Normal (Web)"/>
    <w:basedOn w:val="Normal"/>
    <w:uiPriority w:val="99"/>
    <w:unhideWhenUsed/>
    <w:rsid w:val="0088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05"/>
  </w:style>
  <w:style w:type="paragraph" w:styleId="Footer">
    <w:name w:val="footer"/>
    <w:basedOn w:val="Normal"/>
    <w:link w:val="FooterChar"/>
    <w:uiPriority w:val="99"/>
    <w:unhideWhenUsed/>
    <w:rsid w:val="00EE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05"/>
  </w:style>
  <w:style w:type="paragraph" w:styleId="TOC2">
    <w:name w:val="toc 2"/>
    <w:basedOn w:val="Normal"/>
    <w:next w:val="Normal"/>
    <w:autoRedefine/>
    <w:uiPriority w:val="39"/>
    <w:unhideWhenUsed/>
    <w:rsid w:val="00F9402F"/>
    <w:pPr>
      <w:spacing w:after="100"/>
      <w:ind w:left="220"/>
    </w:pPr>
  </w:style>
  <w:style w:type="paragraph" w:customStyle="1" w:styleId="Default">
    <w:name w:val="Default"/>
    <w:rsid w:val="0076041C"/>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19"/>
  </w:style>
  <w:style w:type="paragraph" w:styleId="Heading1">
    <w:name w:val="heading 1"/>
    <w:basedOn w:val="Normal"/>
    <w:next w:val="Normal"/>
    <w:link w:val="Heading1Char"/>
    <w:uiPriority w:val="9"/>
    <w:qFormat/>
    <w:rsid w:val="00076B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76B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B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B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B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B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B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B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6B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76B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6B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B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B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B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B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B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B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B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B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B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6B19"/>
    <w:rPr>
      <w:rFonts w:asciiTheme="majorHAnsi" w:eastAsiaTheme="majorEastAsia" w:hAnsiTheme="majorHAnsi" w:cstheme="majorBidi"/>
      <w:i/>
      <w:iCs/>
      <w:spacing w:val="13"/>
      <w:sz w:val="24"/>
      <w:szCs w:val="24"/>
    </w:rPr>
  </w:style>
  <w:style w:type="character" w:styleId="Strong">
    <w:name w:val="Strong"/>
    <w:uiPriority w:val="22"/>
    <w:qFormat/>
    <w:rsid w:val="00076B19"/>
    <w:rPr>
      <w:b/>
      <w:bCs/>
    </w:rPr>
  </w:style>
  <w:style w:type="character" w:styleId="Emphasis">
    <w:name w:val="Emphasis"/>
    <w:uiPriority w:val="20"/>
    <w:qFormat/>
    <w:rsid w:val="00076B19"/>
    <w:rPr>
      <w:b/>
      <w:bCs/>
      <w:i/>
      <w:iCs/>
      <w:spacing w:val="10"/>
      <w:bdr w:val="none" w:sz="0" w:space="0" w:color="auto"/>
      <w:shd w:val="clear" w:color="auto" w:fill="auto"/>
    </w:rPr>
  </w:style>
  <w:style w:type="paragraph" w:styleId="NoSpacing">
    <w:name w:val="No Spacing"/>
    <w:basedOn w:val="Normal"/>
    <w:link w:val="NoSpacingChar"/>
    <w:uiPriority w:val="1"/>
    <w:qFormat/>
    <w:rsid w:val="00076B19"/>
    <w:pPr>
      <w:spacing w:after="0" w:line="240" w:lineRule="auto"/>
    </w:pPr>
  </w:style>
  <w:style w:type="paragraph" w:styleId="ListParagraph">
    <w:name w:val="List Paragraph"/>
    <w:basedOn w:val="Normal"/>
    <w:uiPriority w:val="34"/>
    <w:qFormat/>
    <w:rsid w:val="00076B19"/>
    <w:pPr>
      <w:ind w:left="720"/>
      <w:contextualSpacing/>
    </w:pPr>
  </w:style>
  <w:style w:type="paragraph" w:styleId="Quote">
    <w:name w:val="Quote"/>
    <w:basedOn w:val="Normal"/>
    <w:next w:val="Normal"/>
    <w:link w:val="QuoteChar"/>
    <w:uiPriority w:val="29"/>
    <w:qFormat/>
    <w:rsid w:val="00076B19"/>
    <w:pPr>
      <w:spacing w:before="200" w:after="0"/>
      <w:ind w:left="360" w:right="360"/>
    </w:pPr>
    <w:rPr>
      <w:i/>
      <w:iCs/>
    </w:rPr>
  </w:style>
  <w:style w:type="character" w:customStyle="1" w:styleId="QuoteChar">
    <w:name w:val="Quote Char"/>
    <w:basedOn w:val="DefaultParagraphFont"/>
    <w:link w:val="Quote"/>
    <w:uiPriority w:val="29"/>
    <w:rsid w:val="00076B19"/>
    <w:rPr>
      <w:i/>
      <w:iCs/>
    </w:rPr>
  </w:style>
  <w:style w:type="paragraph" w:styleId="IntenseQuote">
    <w:name w:val="Intense Quote"/>
    <w:basedOn w:val="Normal"/>
    <w:next w:val="Normal"/>
    <w:link w:val="IntenseQuoteChar"/>
    <w:uiPriority w:val="30"/>
    <w:qFormat/>
    <w:rsid w:val="00076B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6B19"/>
    <w:rPr>
      <w:b/>
      <w:bCs/>
      <w:i/>
      <w:iCs/>
    </w:rPr>
  </w:style>
  <w:style w:type="character" w:styleId="SubtleEmphasis">
    <w:name w:val="Subtle Emphasis"/>
    <w:uiPriority w:val="19"/>
    <w:qFormat/>
    <w:rsid w:val="00076B19"/>
    <w:rPr>
      <w:i/>
      <w:iCs/>
    </w:rPr>
  </w:style>
  <w:style w:type="character" w:styleId="IntenseEmphasis">
    <w:name w:val="Intense Emphasis"/>
    <w:uiPriority w:val="21"/>
    <w:qFormat/>
    <w:rsid w:val="00076B19"/>
    <w:rPr>
      <w:b/>
      <w:bCs/>
    </w:rPr>
  </w:style>
  <w:style w:type="character" w:styleId="SubtleReference">
    <w:name w:val="Subtle Reference"/>
    <w:uiPriority w:val="31"/>
    <w:qFormat/>
    <w:rsid w:val="00076B19"/>
    <w:rPr>
      <w:smallCaps/>
    </w:rPr>
  </w:style>
  <w:style w:type="character" w:styleId="IntenseReference">
    <w:name w:val="Intense Reference"/>
    <w:uiPriority w:val="32"/>
    <w:qFormat/>
    <w:rsid w:val="00076B19"/>
    <w:rPr>
      <w:smallCaps/>
      <w:spacing w:val="5"/>
      <w:u w:val="single"/>
    </w:rPr>
  </w:style>
  <w:style w:type="character" w:styleId="BookTitle">
    <w:name w:val="Book Title"/>
    <w:uiPriority w:val="33"/>
    <w:qFormat/>
    <w:rsid w:val="00076B19"/>
    <w:rPr>
      <w:i/>
      <w:iCs/>
      <w:smallCaps/>
      <w:spacing w:val="5"/>
    </w:rPr>
  </w:style>
  <w:style w:type="paragraph" w:styleId="TOCHeading">
    <w:name w:val="TOC Heading"/>
    <w:basedOn w:val="Heading1"/>
    <w:next w:val="Normal"/>
    <w:uiPriority w:val="39"/>
    <w:unhideWhenUsed/>
    <w:qFormat/>
    <w:rsid w:val="00076B19"/>
    <w:pPr>
      <w:outlineLvl w:val="9"/>
    </w:pPr>
    <w:rPr>
      <w:lang w:bidi="en-US"/>
    </w:rPr>
  </w:style>
  <w:style w:type="character" w:customStyle="1" w:styleId="NoSpacingChar">
    <w:name w:val="No Spacing Char"/>
    <w:basedOn w:val="DefaultParagraphFont"/>
    <w:link w:val="NoSpacing"/>
    <w:uiPriority w:val="1"/>
    <w:rsid w:val="00076B19"/>
  </w:style>
  <w:style w:type="paragraph" w:styleId="BalloonText">
    <w:name w:val="Balloon Text"/>
    <w:basedOn w:val="Normal"/>
    <w:link w:val="BalloonTextChar"/>
    <w:uiPriority w:val="99"/>
    <w:semiHidden/>
    <w:unhideWhenUsed/>
    <w:rsid w:val="0007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9"/>
    <w:rPr>
      <w:rFonts w:ascii="Tahoma" w:hAnsi="Tahoma" w:cs="Tahoma"/>
      <w:sz w:val="16"/>
      <w:szCs w:val="16"/>
    </w:rPr>
  </w:style>
  <w:style w:type="table" w:styleId="TableGrid">
    <w:name w:val="Table Grid"/>
    <w:basedOn w:val="TableNormal"/>
    <w:uiPriority w:val="59"/>
    <w:rsid w:val="00B5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5B7"/>
    <w:rPr>
      <w:sz w:val="20"/>
      <w:szCs w:val="20"/>
    </w:rPr>
  </w:style>
  <w:style w:type="character" w:styleId="FootnoteReference">
    <w:name w:val="footnote reference"/>
    <w:basedOn w:val="DefaultParagraphFont"/>
    <w:uiPriority w:val="99"/>
    <w:semiHidden/>
    <w:unhideWhenUsed/>
    <w:rsid w:val="001A75B7"/>
    <w:rPr>
      <w:vertAlign w:val="superscript"/>
    </w:rPr>
  </w:style>
  <w:style w:type="paragraph" w:styleId="TOC1">
    <w:name w:val="toc 1"/>
    <w:basedOn w:val="Normal"/>
    <w:next w:val="Normal"/>
    <w:autoRedefine/>
    <w:uiPriority w:val="39"/>
    <w:unhideWhenUsed/>
    <w:rsid w:val="000705F3"/>
    <w:pPr>
      <w:tabs>
        <w:tab w:val="right" w:leader="dot" w:pos="9016"/>
      </w:tabs>
      <w:spacing w:after="100"/>
    </w:pPr>
  </w:style>
  <w:style w:type="character" w:styleId="Hyperlink">
    <w:name w:val="Hyperlink"/>
    <w:basedOn w:val="DefaultParagraphFont"/>
    <w:uiPriority w:val="99"/>
    <w:unhideWhenUsed/>
    <w:rsid w:val="000705F3"/>
    <w:rPr>
      <w:color w:val="0000FF" w:themeColor="hyperlink"/>
      <w:u w:val="single"/>
    </w:rPr>
  </w:style>
  <w:style w:type="character" w:customStyle="1" w:styleId="citation">
    <w:name w:val="citation"/>
    <w:basedOn w:val="DefaultParagraphFont"/>
    <w:rsid w:val="00EF47FC"/>
  </w:style>
  <w:style w:type="paragraph" w:styleId="NormalWeb">
    <w:name w:val="Normal (Web)"/>
    <w:basedOn w:val="Normal"/>
    <w:uiPriority w:val="99"/>
    <w:unhideWhenUsed/>
    <w:rsid w:val="0088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05"/>
  </w:style>
  <w:style w:type="paragraph" w:styleId="Footer">
    <w:name w:val="footer"/>
    <w:basedOn w:val="Normal"/>
    <w:link w:val="FooterChar"/>
    <w:uiPriority w:val="99"/>
    <w:unhideWhenUsed/>
    <w:rsid w:val="00EE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05"/>
  </w:style>
  <w:style w:type="paragraph" w:styleId="TOC2">
    <w:name w:val="toc 2"/>
    <w:basedOn w:val="Normal"/>
    <w:next w:val="Normal"/>
    <w:autoRedefine/>
    <w:uiPriority w:val="39"/>
    <w:unhideWhenUsed/>
    <w:rsid w:val="00F9402F"/>
    <w:pPr>
      <w:spacing w:after="100"/>
      <w:ind w:left="220"/>
    </w:pPr>
  </w:style>
  <w:style w:type="paragraph" w:customStyle="1" w:styleId="Default">
    <w:name w:val="Default"/>
    <w:rsid w:val="0076041C"/>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7501">
      <w:bodyDiv w:val="1"/>
      <w:marLeft w:val="0"/>
      <w:marRight w:val="0"/>
      <w:marTop w:val="0"/>
      <w:marBottom w:val="0"/>
      <w:divBdr>
        <w:top w:val="none" w:sz="0" w:space="0" w:color="auto"/>
        <w:left w:val="none" w:sz="0" w:space="0" w:color="auto"/>
        <w:bottom w:val="none" w:sz="0" w:space="0" w:color="auto"/>
        <w:right w:val="none" w:sz="0" w:space="0" w:color="auto"/>
      </w:divBdr>
      <w:divsChild>
        <w:div w:id="1643460467">
          <w:marLeft w:val="0"/>
          <w:marRight w:val="0"/>
          <w:marTop w:val="0"/>
          <w:marBottom w:val="0"/>
          <w:divBdr>
            <w:top w:val="none" w:sz="0" w:space="0" w:color="auto"/>
            <w:left w:val="none" w:sz="0" w:space="0" w:color="auto"/>
            <w:bottom w:val="none" w:sz="0" w:space="0" w:color="auto"/>
            <w:right w:val="none" w:sz="0" w:space="0" w:color="auto"/>
          </w:divBdr>
          <w:divsChild>
            <w:div w:id="750394482">
              <w:marLeft w:val="0"/>
              <w:marRight w:val="0"/>
              <w:marTop w:val="0"/>
              <w:marBottom w:val="0"/>
              <w:divBdr>
                <w:top w:val="none" w:sz="0" w:space="0" w:color="auto"/>
                <w:left w:val="none" w:sz="0" w:space="0" w:color="auto"/>
                <w:bottom w:val="none" w:sz="0" w:space="0" w:color="auto"/>
                <w:right w:val="none" w:sz="0" w:space="0" w:color="auto"/>
              </w:divBdr>
              <w:divsChild>
                <w:div w:id="622153981">
                  <w:marLeft w:val="0"/>
                  <w:marRight w:val="0"/>
                  <w:marTop w:val="0"/>
                  <w:marBottom w:val="0"/>
                  <w:divBdr>
                    <w:top w:val="none" w:sz="0" w:space="0" w:color="auto"/>
                    <w:left w:val="none" w:sz="0" w:space="0" w:color="auto"/>
                    <w:bottom w:val="none" w:sz="0" w:space="0" w:color="auto"/>
                    <w:right w:val="none" w:sz="0" w:space="0" w:color="auto"/>
                  </w:divBdr>
                  <w:divsChild>
                    <w:div w:id="237371750">
                      <w:marLeft w:val="0"/>
                      <w:marRight w:val="0"/>
                      <w:marTop w:val="0"/>
                      <w:marBottom w:val="0"/>
                      <w:divBdr>
                        <w:top w:val="none" w:sz="0" w:space="0" w:color="auto"/>
                        <w:left w:val="none" w:sz="0" w:space="0" w:color="auto"/>
                        <w:bottom w:val="none" w:sz="0" w:space="0" w:color="auto"/>
                        <w:right w:val="none" w:sz="0" w:space="0" w:color="auto"/>
                      </w:divBdr>
                      <w:divsChild>
                        <w:div w:id="879979241">
                          <w:marLeft w:val="0"/>
                          <w:marRight w:val="0"/>
                          <w:marTop w:val="0"/>
                          <w:marBottom w:val="0"/>
                          <w:divBdr>
                            <w:top w:val="none" w:sz="0" w:space="0" w:color="auto"/>
                            <w:left w:val="none" w:sz="0" w:space="0" w:color="auto"/>
                            <w:bottom w:val="none" w:sz="0" w:space="0" w:color="auto"/>
                            <w:right w:val="none" w:sz="0" w:space="0" w:color="auto"/>
                          </w:divBdr>
                          <w:divsChild>
                            <w:div w:id="381101190">
                              <w:marLeft w:val="0"/>
                              <w:marRight w:val="0"/>
                              <w:marTop w:val="0"/>
                              <w:marBottom w:val="0"/>
                              <w:divBdr>
                                <w:top w:val="none" w:sz="0" w:space="0" w:color="auto"/>
                                <w:left w:val="none" w:sz="0" w:space="0" w:color="auto"/>
                                <w:bottom w:val="none" w:sz="0" w:space="0" w:color="auto"/>
                                <w:right w:val="none" w:sz="0" w:space="0" w:color="auto"/>
                              </w:divBdr>
                              <w:divsChild>
                                <w:div w:id="5326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PublishDate>
  <Abstract> A Critical Examination of Jiri Priban’s “Doing What Comes Naturally, Or A Walk on the Wild Side?: Remarks on Stanley Fish’s Anti-Foundationalist Concept of Law, it’s Closure and Force” Law and Critique IX/II (1998) Pages 249-270.The title of my dissertation will be as written above, and will concentrate on an critical examination of Juri Priban’s critique of Stanley Fish’s publication “Doing What Comes Naturally”  which will be an essential element of my dissertation, and will include direct critique of Stanley Fish’s book and the arguments raised by Priban. My critique will be made from a neutral position, examining the persuasiveness of the anti-foundationalist, pragmatic concept of law, as framed by the Critical Legal Studies Movement, and the anti-theoretical comparative approach by Stanley Fish. I intend to further examine the similarities of Fish’s expansion beyond legal theory and into legal social systems theory as framed by  Niklas Luhmann’s Autopoietic  theory  with regard to Fish’s understanding of law as a closed context of interpretative practices. Following Priban’s critique, my dissertation would explore the source of mutual inspiration between Stanley Fish and Jacques Derrida, with regard to Derrida’s deconstructionist concepts. And further examine Priban’s conclusions of Fish’s anti-foundationalist theoretical concept of law.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018E6C-EA91-488C-9F05-A993421F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C25CD051</Template>
  <TotalTime>0</TotalTime>
  <Pages>32</Pages>
  <Words>12164</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A Critical Examination of Jiri Priban’s Article “Doing What Comes Naturally, Or A Walk on the Wild Side?: Remarks on Stanley Fish’s Anti-Foundationalist Concept of Law, it’s Closure and Force”      Law and Critique IX/II (1998)</vt:lpstr>
    </vt:vector>
  </TitlesOfParts>
  <Company>The philosophy of law.</Company>
  <LinksUpToDate>false</LinksUpToDate>
  <CharactersWithSpaces>80704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Examination of Jiri Priban’s Article “Doing What Comes Naturally, Or A Walk on the Wild Side?: Remarks on Stanley Fish’s Anti-Foundationalist Concept of Law, it’s Closure and Force”      Law and Critique IX/II (1998)</dc:title>
  <dc:creator>R.Motabhoy</dc:creator>
  <cp:lastModifiedBy>rm350</cp:lastModifiedBy>
  <cp:revision>23</cp:revision>
  <cp:lastPrinted>2012-05-08T14:11:00Z</cp:lastPrinted>
  <dcterms:created xsi:type="dcterms:W3CDTF">2012-05-08T07:33:00Z</dcterms:created>
  <dcterms:modified xsi:type="dcterms:W3CDTF">2012-05-08T14:16:00Z</dcterms:modified>
</cp:coreProperties>
</file>