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B52C" w14:textId="3820885D" w:rsidR="001C658E" w:rsidRDefault="003725D5" w:rsidP="0087764D">
      <w:pPr>
        <w:spacing w:line="480" w:lineRule="auto"/>
        <w:jc w:val="center"/>
        <w:rPr>
          <w:b/>
        </w:rPr>
      </w:pPr>
      <w:bookmarkStart w:id="0" w:name="_Hlk962608"/>
      <w:bookmarkStart w:id="1" w:name="_Hlk532525540"/>
      <w:r w:rsidRPr="006C203C">
        <w:rPr>
          <w:b/>
        </w:rPr>
        <w:t>Folk Intuitions and t</w:t>
      </w:r>
      <w:r w:rsidR="00635495" w:rsidRPr="006C203C">
        <w:rPr>
          <w:b/>
        </w:rPr>
        <w:t xml:space="preserve">he Conditional Ability to Do Otherwise </w:t>
      </w:r>
      <w:bookmarkEnd w:id="0"/>
    </w:p>
    <w:p w14:paraId="60A177ED" w14:textId="44B88B84" w:rsidR="00D029E6" w:rsidRDefault="00D029E6" w:rsidP="000D7B8C">
      <w:pPr>
        <w:spacing w:line="480" w:lineRule="auto"/>
        <w:jc w:val="center"/>
        <w:rPr>
          <w:b/>
        </w:rPr>
      </w:pPr>
      <w:r>
        <w:rPr>
          <w:b/>
        </w:rPr>
        <w:t>Thomas Nadelhoffer, Siyuan Yin, and Rose Graves</w:t>
      </w:r>
    </w:p>
    <w:p w14:paraId="76CD3073" w14:textId="77777777" w:rsidR="000D7B8C" w:rsidRPr="001C658E" w:rsidRDefault="000D7B8C" w:rsidP="000D7B8C">
      <w:pPr>
        <w:spacing w:line="480" w:lineRule="auto"/>
        <w:jc w:val="center"/>
        <w:rPr>
          <w:b/>
        </w:rPr>
      </w:pPr>
      <w:bookmarkStart w:id="2" w:name="_GoBack"/>
      <w:bookmarkEnd w:id="2"/>
    </w:p>
    <w:p w14:paraId="59E4A7D3" w14:textId="3F0624DD" w:rsidR="008778CD" w:rsidRPr="006C203C" w:rsidRDefault="008778CD" w:rsidP="00C918BB">
      <w:pPr>
        <w:pStyle w:val="ListParagraph"/>
        <w:numPr>
          <w:ilvl w:val="0"/>
          <w:numId w:val="1"/>
        </w:numPr>
        <w:spacing w:line="480" w:lineRule="auto"/>
        <w:jc w:val="both"/>
        <w:rPr>
          <w:b/>
        </w:rPr>
      </w:pPr>
      <w:r w:rsidRPr="006C203C">
        <w:rPr>
          <w:b/>
        </w:rPr>
        <w:t>Introduction</w:t>
      </w:r>
    </w:p>
    <w:p w14:paraId="1C994038" w14:textId="60B42D0E" w:rsidR="00635495" w:rsidRPr="006C203C" w:rsidRDefault="00635495" w:rsidP="006A196F">
      <w:pPr>
        <w:spacing w:line="480" w:lineRule="auto"/>
        <w:jc w:val="both"/>
      </w:pPr>
      <w:r w:rsidRPr="006C203C">
        <w:rPr>
          <w:rFonts w:eastAsiaTheme="minorHAnsi"/>
        </w:rPr>
        <w:t xml:space="preserve">In an indeterministic universe, agents can have the </w:t>
      </w:r>
      <w:r w:rsidRPr="006C203C">
        <w:rPr>
          <w:rFonts w:eastAsiaTheme="minorHAnsi"/>
          <w:i/>
        </w:rPr>
        <w:t>unconditional</w:t>
      </w:r>
      <w:r w:rsidRPr="006C203C">
        <w:rPr>
          <w:rFonts w:eastAsiaTheme="minorHAnsi"/>
        </w:rPr>
        <w:t xml:space="preserve"> ability to do otherwise—that is, they could have done other than they did even if everything leading up to their decision remained the same. </w:t>
      </w:r>
      <w:r w:rsidR="00BC2798" w:rsidRPr="006C203C">
        <w:rPr>
          <w:rFonts w:eastAsiaTheme="minorHAnsi"/>
        </w:rPr>
        <w:t xml:space="preserve">Libertarians </w:t>
      </w:r>
      <w:r w:rsidRPr="006C203C">
        <w:rPr>
          <w:rFonts w:eastAsiaTheme="minorHAnsi"/>
        </w:rPr>
        <w:t xml:space="preserve">suggest that this unconditional ability to do otherwise in the actual sequence of events is necessary for free will and responsibility—an ability that all parties to the free will debate agree is incompatible with a deterministic universe. After all, if determinism is true, given the </w:t>
      </w:r>
      <w:r w:rsidR="000743F8">
        <w:rPr>
          <w:rFonts w:eastAsiaTheme="minorHAnsi"/>
        </w:rPr>
        <w:t xml:space="preserve">very distant </w:t>
      </w:r>
      <w:r w:rsidRPr="006C203C">
        <w:rPr>
          <w:rFonts w:eastAsiaTheme="minorHAnsi"/>
        </w:rPr>
        <w:t>past and the physical laws, one and only one thing is possible at any given momen</w:t>
      </w:r>
      <w:r w:rsidR="002E77EA" w:rsidRPr="006C203C">
        <w:rPr>
          <w:rFonts w:eastAsiaTheme="minorHAnsi"/>
        </w:rPr>
        <w:t>t</w:t>
      </w:r>
      <w:r w:rsidR="00504966" w:rsidRPr="006C203C">
        <w:rPr>
          <w:rFonts w:eastAsiaTheme="minorHAnsi"/>
        </w:rPr>
        <w:t>.</w:t>
      </w:r>
      <w:r w:rsidRPr="006C203C">
        <w:rPr>
          <w:rFonts w:eastAsiaTheme="minorHAnsi"/>
        </w:rPr>
        <w:t xml:space="preserve"> </w:t>
      </w:r>
      <w:r w:rsidR="00504966" w:rsidRPr="006C203C">
        <w:rPr>
          <w:rFonts w:eastAsiaTheme="minorHAnsi"/>
        </w:rPr>
        <w:t xml:space="preserve">In a deterministic universe, </w:t>
      </w:r>
      <w:r w:rsidRPr="006C203C">
        <w:rPr>
          <w:rFonts w:eastAsiaTheme="minorHAnsi"/>
        </w:rPr>
        <w:t xml:space="preserve">agents merely have the </w:t>
      </w:r>
      <w:r w:rsidRPr="006C203C">
        <w:rPr>
          <w:rFonts w:eastAsiaTheme="minorHAnsi"/>
          <w:i/>
        </w:rPr>
        <w:t>conditional</w:t>
      </w:r>
      <w:r w:rsidRPr="006C203C">
        <w:rPr>
          <w:rFonts w:eastAsiaTheme="minorHAnsi"/>
        </w:rPr>
        <w:t xml:space="preserve"> ability to do otherwise—that is, agents could have acted differently only insofar as </w:t>
      </w:r>
      <w:r w:rsidR="00593EAF" w:rsidRPr="006C203C">
        <w:rPr>
          <w:rFonts w:eastAsiaTheme="minorHAnsi"/>
        </w:rPr>
        <w:t xml:space="preserve">the past and the laws </w:t>
      </w:r>
      <w:r w:rsidRPr="006C203C">
        <w:rPr>
          <w:rFonts w:eastAsiaTheme="minorHAnsi"/>
        </w:rPr>
        <w:t>had been different</w:t>
      </w:r>
      <w:r w:rsidR="00593EAF" w:rsidRPr="006C203C">
        <w:rPr>
          <w:rFonts w:eastAsiaTheme="minorHAnsi"/>
        </w:rPr>
        <w:t xml:space="preserve"> than they actually are</w:t>
      </w:r>
      <w:r w:rsidRPr="006C203C">
        <w:rPr>
          <w:rFonts w:eastAsiaTheme="minorHAnsi"/>
        </w:rPr>
        <w:t>. Compatibilists suggest that this conditional ability to do otherwise (along with other cognitive and volitional capacities) can ground free will and moral responsibility. Incompatibilists disagree.</w:t>
      </w:r>
      <w:r w:rsidR="00FF54DA" w:rsidRPr="006C203C">
        <w:rPr>
          <w:rStyle w:val="FootnoteReference"/>
          <w:rFonts w:eastAsiaTheme="minorHAnsi"/>
        </w:rPr>
        <w:footnoteReference w:id="1"/>
      </w:r>
    </w:p>
    <w:p w14:paraId="6085EAC1" w14:textId="42614ED3" w:rsidR="002D69E4" w:rsidRPr="006C203C" w:rsidRDefault="00635495" w:rsidP="00C918BB">
      <w:pPr>
        <w:spacing w:after="160" w:line="480" w:lineRule="auto"/>
        <w:ind w:firstLine="720"/>
        <w:jc w:val="both"/>
        <w:rPr>
          <w:rFonts w:eastAsiaTheme="minorHAnsi"/>
        </w:rPr>
      </w:pPr>
      <w:r w:rsidRPr="006C203C">
        <w:rPr>
          <w:rFonts w:eastAsiaTheme="minorHAnsi"/>
        </w:rPr>
        <w:t>This feature of the free will debate—that is, the difference between the unconditional and the conditional ability to do otherwise—has been underexplored in the empirical literature on free will beliefs.</w:t>
      </w:r>
      <w:r w:rsidR="008F77E6" w:rsidRPr="006C203C">
        <w:rPr>
          <w:rStyle w:val="FootnoteReference"/>
          <w:rFonts w:eastAsiaTheme="minorHAnsi"/>
        </w:rPr>
        <w:footnoteReference w:id="2"/>
      </w:r>
      <w:r w:rsidR="00593EAF" w:rsidRPr="006C203C">
        <w:rPr>
          <w:rFonts w:eastAsiaTheme="minorHAnsi"/>
        </w:rPr>
        <w:t xml:space="preserve"> </w:t>
      </w:r>
      <w:r w:rsidRPr="006C203C">
        <w:rPr>
          <w:rFonts w:eastAsiaTheme="minorHAnsi"/>
        </w:rPr>
        <w:t xml:space="preserve">Our goal </w:t>
      </w:r>
      <w:r w:rsidR="006D44C7" w:rsidRPr="006C203C">
        <w:rPr>
          <w:rFonts w:eastAsiaTheme="minorHAnsi"/>
        </w:rPr>
        <w:t>was</w:t>
      </w:r>
      <w:r w:rsidRPr="006C203C">
        <w:rPr>
          <w:rFonts w:eastAsiaTheme="minorHAnsi"/>
        </w:rPr>
        <w:t xml:space="preserve"> to address this lacuna. </w:t>
      </w:r>
      <w:r w:rsidR="006D44C7" w:rsidRPr="006C203C">
        <w:rPr>
          <w:rFonts w:eastAsiaTheme="minorHAnsi"/>
        </w:rPr>
        <w:t>So, i</w:t>
      </w:r>
      <w:r w:rsidRPr="006C203C">
        <w:rPr>
          <w:rFonts w:eastAsiaTheme="minorHAnsi"/>
        </w:rPr>
        <w:t xml:space="preserve">n a series of </w:t>
      </w:r>
      <w:r w:rsidR="002E77EA" w:rsidRPr="006C203C">
        <w:rPr>
          <w:rFonts w:eastAsiaTheme="minorHAnsi"/>
        </w:rPr>
        <w:t xml:space="preserve">pre-registered, </w:t>
      </w:r>
      <w:r w:rsidR="00FE0D8B" w:rsidRPr="006C203C">
        <w:rPr>
          <w:rFonts w:eastAsiaTheme="minorHAnsi"/>
        </w:rPr>
        <w:t xml:space="preserve">between-subject, </w:t>
      </w:r>
      <w:r w:rsidRPr="006C203C">
        <w:rPr>
          <w:rFonts w:eastAsiaTheme="minorHAnsi"/>
        </w:rPr>
        <w:t>vignette-based studies, we explore</w:t>
      </w:r>
      <w:r w:rsidR="002D69E4" w:rsidRPr="006C203C">
        <w:rPr>
          <w:rFonts w:eastAsiaTheme="minorHAnsi"/>
        </w:rPr>
        <w:t>d</w:t>
      </w:r>
      <w:r w:rsidRPr="006C203C">
        <w:rPr>
          <w:rFonts w:eastAsiaTheme="minorHAnsi"/>
        </w:rPr>
        <w:t xml:space="preserve"> (a) the difference between people’s intuitions about </w:t>
      </w:r>
      <w:r w:rsidRPr="006C203C">
        <w:rPr>
          <w:rFonts w:eastAsiaTheme="minorHAnsi"/>
        </w:rPr>
        <w:lastRenderedPageBreak/>
        <w:t xml:space="preserve">indeterministic scenarios and their intuitions about deterministic scenarios, (b) the difference between people’s intuitions about indeterministic scenarios and their intuitions about </w:t>
      </w:r>
      <w:r w:rsidRPr="006C203C">
        <w:rPr>
          <w:rFonts w:eastAsiaTheme="minorHAnsi"/>
          <w:i/>
        </w:rPr>
        <w:t>neuro</w:t>
      </w:r>
      <w:r w:rsidRPr="006C203C">
        <w:rPr>
          <w:rFonts w:eastAsiaTheme="minorHAnsi"/>
        </w:rPr>
        <w:t>deterministic scenarios (that is, scenarios where the determinism is described at the neurological level), (c) the difference between people’s intuitions about neutral scenarios (such as when an agent walks his dog in the park) and their intuitions about negatively valenced scenarios (such as when an agent murders a stranger)</w:t>
      </w:r>
      <w:r w:rsidR="00FE0D8B" w:rsidRPr="006C203C">
        <w:rPr>
          <w:rFonts w:eastAsiaTheme="minorHAnsi"/>
        </w:rPr>
        <w:t xml:space="preserve">, and (d) the difference between people’s intuitions about free will and </w:t>
      </w:r>
      <w:r w:rsidR="00606027" w:rsidRPr="006C203C">
        <w:rPr>
          <w:rFonts w:eastAsiaTheme="minorHAnsi"/>
        </w:rPr>
        <w:t>responsibility</w:t>
      </w:r>
      <w:r w:rsidR="00FE0D8B" w:rsidRPr="006C203C">
        <w:rPr>
          <w:rFonts w:eastAsiaTheme="minorHAnsi"/>
        </w:rPr>
        <w:t xml:space="preserve"> in response to first-person scenarios and third-person scenarios.</w:t>
      </w:r>
      <w:r w:rsidRPr="006C203C">
        <w:rPr>
          <w:rFonts w:eastAsiaTheme="minorHAnsi"/>
        </w:rPr>
        <w:t xml:space="preserve"> </w:t>
      </w:r>
      <w:r w:rsidR="006D44C7" w:rsidRPr="006C203C">
        <w:rPr>
          <w:rFonts w:eastAsiaTheme="minorHAnsi"/>
        </w:rPr>
        <w:t>W</w:t>
      </w:r>
      <w:r w:rsidRPr="006C203C">
        <w:rPr>
          <w:rFonts w:eastAsiaTheme="minorHAnsi"/>
        </w:rPr>
        <w:t>e predict</w:t>
      </w:r>
      <w:r w:rsidR="006D44C7" w:rsidRPr="006C203C">
        <w:rPr>
          <w:rFonts w:eastAsiaTheme="minorHAnsi"/>
        </w:rPr>
        <w:t>ed</w:t>
      </w:r>
      <w:r w:rsidRPr="006C203C">
        <w:rPr>
          <w:rFonts w:eastAsiaTheme="minorHAnsi"/>
        </w:rPr>
        <w:t xml:space="preserve"> that once we focus</w:t>
      </w:r>
      <w:r w:rsidR="006D44C7" w:rsidRPr="006C203C">
        <w:rPr>
          <w:rFonts w:eastAsiaTheme="minorHAnsi"/>
        </w:rPr>
        <w:t>ed</w:t>
      </w:r>
      <w:r w:rsidRPr="006C203C">
        <w:rPr>
          <w:rFonts w:eastAsiaTheme="minorHAnsi"/>
        </w:rPr>
        <w:t xml:space="preserve"> participants’ attention on the two different abilities to do otherwise available to agents in indeterministic and deterministic scenarios, </w:t>
      </w:r>
      <w:r w:rsidR="006D44C7" w:rsidRPr="006C203C">
        <w:rPr>
          <w:rFonts w:eastAsiaTheme="minorHAnsi"/>
        </w:rPr>
        <w:t xml:space="preserve">their </w:t>
      </w:r>
      <w:r w:rsidRPr="006C203C">
        <w:rPr>
          <w:rFonts w:eastAsiaTheme="minorHAnsi"/>
        </w:rPr>
        <w:t>intuitions w</w:t>
      </w:r>
      <w:r w:rsidR="006D44C7" w:rsidRPr="006C203C">
        <w:rPr>
          <w:rFonts w:eastAsiaTheme="minorHAnsi"/>
        </w:rPr>
        <w:t>ould</w:t>
      </w:r>
      <w:r w:rsidRPr="006C203C">
        <w:rPr>
          <w:rFonts w:eastAsiaTheme="minorHAnsi"/>
        </w:rPr>
        <w:t xml:space="preserve"> </w:t>
      </w:r>
      <w:r w:rsidR="005E4F04" w:rsidRPr="006C203C">
        <w:rPr>
          <w:rFonts w:eastAsiaTheme="minorHAnsi"/>
        </w:rPr>
        <w:t xml:space="preserve">largely </w:t>
      </w:r>
      <w:r w:rsidRPr="006C203C">
        <w:rPr>
          <w:rFonts w:eastAsiaTheme="minorHAnsi"/>
        </w:rPr>
        <w:t xml:space="preserve">support </w:t>
      </w:r>
      <w:r w:rsidR="006D44C7" w:rsidRPr="006C203C">
        <w:rPr>
          <w:rFonts w:eastAsiaTheme="minorHAnsi"/>
        </w:rPr>
        <w:t xml:space="preserve">natural </w:t>
      </w:r>
      <w:r w:rsidRPr="006C203C">
        <w:rPr>
          <w:rFonts w:eastAsiaTheme="minorHAnsi"/>
        </w:rPr>
        <w:t xml:space="preserve">incompatibilism—the view that </w:t>
      </w:r>
      <w:r w:rsidR="005E4F04" w:rsidRPr="006C203C">
        <w:rPr>
          <w:rFonts w:eastAsiaTheme="minorHAnsi"/>
        </w:rPr>
        <w:t xml:space="preserve">most </w:t>
      </w:r>
      <w:r w:rsidR="006D44C7" w:rsidRPr="006C203C">
        <w:rPr>
          <w:rFonts w:eastAsiaTheme="minorHAnsi"/>
        </w:rPr>
        <w:t xml:space="preserve">laypersons judge that </w:t>
      </w:r>
      <w:r w:rsidRPr="006C203C">
        <w:rPr>
          <w:rFonts w:eastAsiaTheme="minorHAnsi"/>
        </w:rPr>
        <w:t xml:space="preserve">free will and moral responsibility are incompatible with determinism. </w:t>
      </w:r>
      <w:r w:rsidR="00435CEB" w:rsidRPr="006C203C">
        <w:rPr>
          <w:rFonts w:eastAsiaTheme="minorHAnsi"/>
        </w:rPr>
        <w:t xml:space="preserve">As we will see, this prediction was borne out by our findings. </w:t>
      </w:r>
    </w:p>
    <w:p w14:paraId="575F6DEA" w14:textId="2718EEC2" w:rsidR="000077B3" w:rsidRPr="006C203C" w:rsidRDefault="008219BF" w:rsidP="00C918BB">
      <w:pPr>
        <w:pStyle w:val="ListParagraph"/>
        <w:numPr>
          <w:ilvl w:val="0"/>
          <w:numId w:val="1"/>
        </w:numPr>
        <w:spacing w:line="480" w:lineRule="auto"/>
        <w:jc w:val="both"/>
        <w:rPr>
          <w:b/>
        </w:rPr>
      </w:pPr>
      <w:r w:rsidRPr="006C203C">
        <w:rPr>
          <w:b/>
        </w:rPr>
        <w:t>Natural</w:t>
      </w:r>
      <w:r w:rsidR="000077B3" w:rsidRPr="006C203C">
        <w:rPr>
          <w:b/>
        </w:rPr>
        <w:t xml:space="preserve"> Compatibilism vs. </w:t>
      </w:r>
      <w:r w:rsidRPr="006C203C">
        <w:rPr>
          <w:b/>
        </w:rPr>
        <w:t>Natural</w:t>
      </w:r>
      <w:r w:rsidR="000077B3" w:rsidRPr="006C203C">
        <w:rPr>
          <w:b/>
        </w:rPr>
        <w:t xml:space="preserve"> Incompatibilism</w:t>
      </w:r>
      <w:r w:rsidRPr="006C203C">
        <w:rPr>
          <w:rStyle w:val="FootnoteReference"/>
          <w:b/>
        </w:rPr>
        <w:footnoteReference w:id="3"/>
      </w:r>
    </w:p>
    <w:p w14:paraId="02C89A2B" w14:textId="503D19AE" w:rsidR="00593EAF" w:rsidRPr="006C203C" w:rsidRDefault="000077B3" w:rsidP="00233F82">
      <w:pPr>
        <w:spacing w:line="480" w:lineRule="auto"/>
        <w:jc w:val="both"/>
      </w:pPr>
      <w:r w:rsidRPr="006C203C">
        <w:t xml:space="preserve">It has been commonplace for </w:t>
      </w:r>
      <w:r w:rsidR="00075975" w:rsidRPr="006C203C">
        <w:t xml:space="preserve">both </w:t>
      </w:r>
      <w:r w:rsidRPr="006C203C">
        <w:t>parties to the free will debate to assume the mant</w:t>
      </w:r>
      <w:r w:rsidR="00FF49E1" w:rsidRPr="006C203C">
        <w:t>le</w:t>
      </w:r>
      <w:r w:rsidRPr="006C203C">
        <w:t xml:space="preserve"> of common sense for their respective theories of free will.</w:t>
      </w:r>
      <w:r w:rsidR="00075975" w:rsidRPr="006C203C">
        <w:t xml:space="preserve"> While folk intuitions need not fully constrain our theorizing, they can and should sometimes serve as the starting point of our </w:t>
      </w:r>
      <w:r w:rsidR="00D52112" w:rsidRPr="006C203C">
        <w:t xml:space="preserve">philosophical </w:t>
      </w:r>
      <w:r w:rsidR="00075975" w:rsidRPr="006C203C">
        <w:t xml:space="preserve">investigations. </w:t>
      </w:r>
      <w:r w:rsidR="00233F82" w:rsidRPr="006C203C">
        <w:t xml:space="preserve">Consequently, </w:t>
      </w:r>
      <w:r w:rsidR="00233F82" w:rsidRPr="006C203C">
        <w:rPr>
          <w:rFonts w:eastAsiaTheme="minorHAnsi"/>
        </w:rPr>
        <w:t>there is an ongoing debate about whether</w:t>
      </w:r>
      <w:r w:rsidR="00593EAF" w:rsidRPr="006C203C">
        <w:rPr>
          <w:rFonts w:eastAsiaTheme="minorHAnsi"/>
        </w:rPr>
        <w:t xml:space="preserve"> natural compatibilism or natural incompatibilism is the </w:t>
      </w:r>
      <w:r w:rsidR="000743F8">
        <w:rPr>
          <w:rFonts w:eastAsiaTheme="minorHAnsi"/>
        </w:rPr>
        <w:t>commonsense</w:t>
      </w:r>
      <w:r w:rsidR="00593EAF" w:rsidRPr="006C203C">
        <w:rPr>
          <w:rFonts w:eastAsiaTheme="minorHAnsi"/>
        </w:rPr>
        <w:t xml:space="preserve"> view—which is ultimately an empirical issue to be decided by systematic investigation. </w:t>
      </w:r>
      <w:r w:rsidR="00D06446" w:rsidRPr="006C203C">
        <w:t xml:space="preserve">But until experimental philosophers </w:t>
      </w:r>
      <w:r w:rsidR="00A411C5" w:rsidRPr="006C203C">
        <w:t xml:space="preserve">began </w:t>
      </w:r>
      <w:r w:rsidR="00C54120" w:rsidRPr="006C203C">
        <w:t>explor</w:t>
      </w:r>
      <w:r w:rsidR="00A411C5" w:rsidRPr="006C203C">
        <w:t>ing</w:t>
      </w:r>
      <w:r w:rsidR="00C54120" w:rsidRPr="006C203C">
        <w:t xml:space="preserve"> this </w:t>
      </w:r>
      <w:r w:rsidR="00D06446" w:rsidRPr="006C203C">
        <w:t xml:space="preserve">issue, there was a dearth of data on what people actually think about the relationship between free will, responsibility, and determinism. </w:t>
      </w:r>
    </w:p>
    <w:p w14:paraId="5E0C95FF" w14:textId="2ECC1CA2" w:rsidR="00FD3BF6" w:rsidRPr="006C203C" w:rsidRDefault="00D06446" w:rsidP="00593EAF">
      <w:pPr>
        <w:spacing w:line="480" w:lineRule="auto"/>
        <w:ind w:firstLine="720"/>
        <w:jc w:val="both"/>
      </w:pPr>
      <w:r w:rsidRPr="006C203C">
        <w:lastRenderedPageBreak/>
        <w:t>In some of the earliest work on t</w:t>
      </w:r>
      <w:r w:rsidR="00FF3BD1" w:rsidRPr="006C203C">
        <w:t>his front</w:t>
      </w:r>
      <w:r w:rsidRPr="006C203C">
        <w:t>, Nahmias, Morris, Nadelhoffer, and Turner (2005</w:t>
      </w:r>
      <w:r w:rsidR="00C43472" w:rsidRPr="006C203C">
        <w:t>;</w:t>
      </w:r>
      <w:r w:rsidRPr="006C203C">
        <w:t xml:space="preserve"> 2006) set out </w:t>
      </w:r>
      <w:r w:rsidR="00EC0120" w:rsidRPr="006C203C">
        <w:t xml:space="preserve">to </w:t>
      </w:r>
      <w:r w:rsidRPr="006C203C">
        <w:t>shed light on the relevant folk intuitions. Using three different descriptions of determinism, they found that a significant majority of participants (typically 65</w:t>
      </w:r>
      <w:r w:rsidR="00C54120" w:rsidRPr="006C203C">
        <w:t>%</w:t>
      </w:r>
      <w:r w:rsidRPr="006C203C">
        <w:t>-85%) judged that agents in deterministic scenario</w:t>
      </w:r>
      <w:r w:rsidR="003A7B46">
        <w:t>s</w:t>
      </w:r>
      <w:r w:rsidRPr="006C203C">
        <w:t xml:space="preserve"> </w:t>
      </w:r>
      <w:r w:rsidR="00593EAF" w:rsidRPr="006C203C">
        <w:t xml:space="preserve">are </w:t>
      </w:r>
      <w:r w:rsidRPr="006C203C">
        <w:t xml:space="preserve">free </w:t>
      </w:r>
      <w:r w:rsidR="00593EAF" w:rsidRPr="006C203C">
        <w:t xml:space="preserve">and </w:t>
      </w:r>
      <w:r w:rsidRPr="006C203C">
        <w:t xml:space="preserve">morally responsible. </w:t>
      </w:r>
      <w:r w:rsidR="002F71D5" w:rsidRPr="006C203C">
        <w:t xml:space="preserve">These findings were constant across cases involving neutral actions (e.g., going jogging), </w:t>
      </w:r>
      <w:r w:rsidR="00093C61" w:rsidRPr="006C203C">
        <w:t xml:space="preserve">positively valenced actions </w:t>
      </w:r>
      <w:r w:rsidR="00FD3BF6" w:rsidRPr="006C203C">
        <w:t xml:space="preserve">(e.g., saving a child from a burning building), and </w:t>
      </w:r>
      <w:r w:rsidR="00093C61" w:rsidRPr="006C203C">
        <w:t>negatively valenced</w:t>
      </w:r>
      <w:r w:rsidR="00FD3BF6" w:rsidRPr="006C203C">
        <w:t xml:space="preserve"> actions (e.g., robbing a bank)</w:t>
      </w:r>
      <w:r w:rsidR="003429D9" w:rsidRPr="006C203C">
        <w:t>—</w:t>
      </w:r>
      <w:r w:rsidR="00FD3BF6" w:rsidRPr="006C203C">
        <w:t>provid</w:t>
      </w:r>
      <w:r w:rsidR="003429D9" w:rsidRPr="006C203C">
        <w:t>ing</w:t>
      </w:r>
      <w:r w:rsidR="00FD3BF6" w:rsidRPr="006C203C">
        <w:t xml:space="preserve"> some intriguing preliminary data that people </w:t>
      </w:r>
      <w:r w:rsidR="00593EAF" w:rsidRPr="006C203C">
        <w:t>are</w:t>
      </w:r>
      <w:r w:rsidR="00FD3BF6" w:rsidRPr="006C203C">
        <w:t xml:space="preserve"> more compatibilist than incompatibilists have traditionally assumed. But as is often the case in the free </w:t>
      </w:r>
      <w:r w:rsidR="007565DE" w:rsidRPr="006C203C">
        <w:t>will</w:t>
      </w:r>
      <w:r w:rsidR="00FD3BF6" w:rsidRPr="006C203C">
        <w:t xml:space="preserve"> debate, things quickly turned out to be more complicated.</w:t>
      </w:r>
    </w:p>
    <w:p w14:paraId="2D806B63" w14:textId="70635247" w:rsidR="00D06446" w:rsidRPr="006C203C" w:rsidRDefault="00D06446" w:rsidP="00233F82">
      <w:pPr>
        <w:spacing w:line="480" w:lineRule="auto"/>
        <w:ind w:firstLine="720"/>
        <w:jc w:val="both"/>
        <w:rPr>
          <w:rFonts w:eastAsiaTheme="minorHAnsi"/>
          <w:iCs/>
        </w:rPr>
      </w:pPr>
      <w:r w:rsidRPr="006C203C">
        <w:t xml:space="preserve">For instance, Nichols and Knobe (2007) ran some follow-up studies to explore the psychological mechanisms that generate intuitions about moral responsibility. Participants were randomly assigned to either an “abstract” condition that describes a deterministic universe (A) and </w:t>
      </w:r>
      <w:r w:rsidR="00A411C5" w:rsidRPr="006C203C">
        <w:t xml:space="preserve">an </w:t>
      </w:r>
      <w:r w:rsidRPr="006C203C">
        <w:t xml:space="preserve">indeterministic universe (B) or a “concrete” condition that describes these universes but also describes a person in universe A, Bill, who murders his wife and family </w:t>
      </w:r>
      <w:r w:rsidR="003429D9" w:rsidRPr="006C203C">
        <w:t xml:space="preserve">in order </w:t>
      </w:r>
      <w:r w:rsidRPr="006C203C">
        <w:t xml:space="preserve">to be with his secretary. </w:t>
      </w:r>
      <w:r w:rsidR="00881C61" w:rsidRPr="006C203C">
        <w:rPr>
          <w:rFonts w:eastAsiaTheme="minorHAnsi"/>
        </w:rPr>
        <w:t>P</w:t>
      </w:r>
      <w:r w:rsidR="002C17A1" w:rsidRPr="006C203C">
        <w:rPr>
          <w:rFonts w:eastAsiaTheme="minorHAnsi"/>
        </w:rPr>
        <w:t xml:space="preserve">articipants were then </w:t>
      </w:r>
      <w:r w:rsidR="00881C61" w:rsidRPr="006C203C">
        <w:rPr>
          <w:rFonts w:eastAsiaTheme="minorHAnsi"/>
        </w:rPr>
        <w:t xml:space="preserve">first </w:t>
      </w:r>
      <w:r w:rsidR="002C17A1" w:rsidRPr="006C203C">
        <w:rPr>
          <w:rFonts w:eastAsiaTheme="minorHAnsi"/>
        </w:rPr>
        <w:t xml:space="preserve">asked which one of these two universes was more like </w:t>
      </w:r>
      <w:r w:rsidR="00093C61" w:rsidRPr="006C203C">
        <w:rPr>
          <w:rFonts w:eastAsiaTheme="minorHAnsi"/>
        </w:rPr>
        <w:t>their own</w:t>
      </w:r>
      <w:r w:rsidR="002C17A1" w:rsidRPr="006C203C">
        <w:rPr>
          <w:rFonts w:eastAsiaTheme="minorHAnsi"/>
        </w:rPr>
        <w:t>. Nearly all participants (90%) answered ‘Universe B’.</w:t>
      </w:r>
      <w:r w:rsidR="00003FF6" w:rsidRPr="006C203C">
        <w:rPr>
          <w:rStyle w:val="FootnoteReference"/>
          <w:rFonts w:eastAsiaTheme="minorHAnsi"/>
        </w:rPr>
        <w:footnoteReference w:id="4"/>
      </w:r>
      <w:r w:rsidR="002C17A1" w:rsidRPr="006C203C">
        <w:rPr>
          <w:rFonts w:eastAsiaTheme="minorHAnsi"/>
        </w:rPr>
        <w:t xml:space="preserve"> Then, </w:t>
      </w:r>
      <w:r w:rsidR="00881C61" w:rsidRPr="006C203C">
        <w:rPr>
          <w:rFonts w:eastAsiaTheme="minorHAnsi"/>
        </w:rPr>
        <w:t xml:space="preserve">participants in the </w:t>
      </w:r>
      <w:r w:rsidR="00593EAF" w:rsidRPr="006C203C">
        <w:rPr>
          <w:rFonts w:eastAsiaTheme="minorHAnsi"/>
        </w:rPr>
        <w:t>a</w:t>
      </w:r>
      <w:r w:rsidR="00881C61" w:rsidRPr="006C203C">
        <w:rPr>
          <w:rFonts w:eastAsiaTheme="minorHAnsi"/>
        </w:rPr>
        <w:t xml:space="preserve">bstract </w:t>
      </w:r>
      <w:r w:rsidR="00593EAF" w:rsidRPr="006C203C">
        <w:rPr>
          <w:rFonts w:eastAsiaTheme="minorHAnsi"/>
        </w:rPr>
        <w:t>c</w:t>
      </w:r>
      <w:r w:rsidR="00881C61" w:rsidRPr="006C203C">
        <w:rPr>
          <w:rFonts w:eastAsiaTheme="minorHAnsi"/>
        </w:rPr>
        <w:t xml:space="preserve">ondition were asked whether it was possible for a person in Universe A to be “fully responsible for their actions.” </w:t>
      </w:r>
      <w:r w:rsidR="00233F82" w:rsidRPr="006C203C">
        <w:rPr>
          <w:rFonts w:eastAsiaTheme="minorHAnsi"/>
        </w:rPr>
        <w:t xml:space="preserve">Participants in the </w:t>
      </w:r>
      <w:r w:rsidR="00593EAF" w:rsidRPr="006C203C">
        <w:rPr>
          <w:rFonts w:eastAsiaTheme="minorHAnsi"/>
        </w:rPr>
        <w:t>c</w:t>
      </w:r>
      <w:r w:rsidR="00233F82" w:rsidRPr="006C203C">
        <w:rPr>
          <w:rFonts w:eastAsiaTheme="minorHAnsi"/>
        </w:rPr>
        <w:t xml:space="preserve">oncrete </w:t>
      </w:r>
      <w:r w:rsidR="00593EAF" w:rsidRPr="006C203C">
        <w:rPr>
          <w:rFonts w:eastAsiaTheme="minorHAnsi"/>
        </w:rPr>
        <w:t>c</w:t>
      </w:r>
      <w:r w:rsidR="00233F82" w:rsidRPr="006C203C">
        <w:rPr>
          <w:rFonts w:eastAsiaTheme="minorHAnsi"/>
        </w:rPr>
        <w:t xml:space="preserve">ondition were </w:t>
      </w:r>
      <w:r w:rsidR="00881C61" w:rsidRPr="006C203C">
        <w:rPr>
          <w:rFonts w:eastAsiaTheme="minorHAnsi"/>
          <w:iCs/>
        </w:rPr>
        <w:t>asked</w:t>
      </w:r>
      <w:r w:rsidR="00593EAF" w:rsidRPr="006C203C">
        <w:rPr>
          <w:rFonts w:eastAsiaTheme="minorHAnsi"/>
          <w:iCs/>
        </w:rPr>
        <w:t xml:space="preserve"> instead</w:t>
      </w:r>
      <w:r w:rsidR="00881C61" w:rsidRPr="006C203C">
        <w:rPr>
          <w:rFonts w:eastAsiaTheme="minorHAnsi"/>
          <w:iCs/>
        </w:rPr>
        <w:t xml:space="preserve"> </w:t>
      </w:r>
      <w:r w:rsidR="002C17A1" w:rsidRPr="006C203C">
        <w:rPr>
          <w:rFonts w:eastAsiaTheme="minorHAnsi"/>
          <w:iCs/>
        </w:rPr>
        <w:t xml:space="preserve"> </w:t>
      </w:r>
      <w:r w:rsidR="00881C61" w:rsidRPr="006C203C">
        <w:rPr>
          <w:rFonts w:eastAsiaTheme="minorHAnsi"/>
          <w:iCs/>
        </w:rPr>
        <w:t xml:space="preserve">“Is Bill </w:t>
      </w:r>
      <w:r w:rsidR="002C17A1" w:rsidRPr="006C203C">
        <w:rPr>
          <w:rFonts w:eastAsiaTheme="minorHAnsi"/>
          <w:iCs/>
        </w:rPr>
        <w:t>fully morally responsible for killing his wife and children?</w:t>
      </w:r>
      <w:r w:rsidR="00881C61" w:rsidRPr="006C203C">
        <w:rPr>
          <w:rFonts w:eastAsiaTheme="minorHAnsi"/>
          <w:iCs/>
        </w:rPr>
        <w:t xml:space="preserve">” </w:t>
      </w:r>
      <w:r w:rsidRPr="006C203C">
        <w:t xml:space="preserve">Whereas 72% of subjects gave the </w:t>
      </w:r>
      <w:r w:rsidRPr="006C203C">
        <w:rPr>
          <w:i/>
        </w:rPr>
        <w:t xml:space="preserve">compatibilist </w:t>
      </w:r>
      <w:r w:rsidRPr="006C203C">
        <w:t xml:space="preserve">response that Bill </w:t>
      </w:r>
      <w:r w:rsidRPr="006C203C">
        <w:rPr>
          <w:i/>
        </w:rPr>
        <w:t>is</w:t>
      </w:r>
      <w:r w:rsidRPr="006C203C">
        <w:t xml:space="preserve"> </w:t>
      </w:r>
      <w:r w:rsidR="00881C61" w:rsidRPr="006C203C">
        <w:t xml:space="preserve">fully morally responsible </w:t>
      </w:r>
      <w:r w:rsidRPr="006C203C">
        <w:t xml:space="preserve">in the concrete condition, in the abstract condition </w:t>
      </w:r>
      <w:r w:rsidRPr="006C203C">
        <w:lastRenderedPageBreak/>
        <w:t xml:space="preserve">84% gave the </w:t>
      </w:r>
      <w:r w:rsidRPr="006C203C">
        <w:rPr>
          <w:i/>
        </w:rPr>
        <w:t>incompatibilist</w:t>
      </w:r>
      <w:r w:rsidRPr="006C203C">
        <w:t xml:space="preserve"> response that it is </w:t>
      </w:r>
      <w:r w:rsidRPr="006C203C">
        <w:rPr>
          <w:i/>
        </w:rPr>
        <w:t>not</w:t>
      </w:r>
      <w:r w:rsidRPr="006C203C">
        <w:t xml:space="preserve"> possible </w:t>
      </w:r>
      <w:r w:rsidR="00881C61" w:rsidRPr="006C203C">
        <w:t>for people in Universe A for people to be fully morally responsible.</w:t>
      </w:r>
    </w:p>
    <w:p w14:paraId="7D82C7B0" w14:textId="538AC553" w:rsidR="00231405" w:rsidRPr="006C203C" w:rsidRDefault="00D06446" w:rsidP="004A643D">
      <w:pPr>
        <w:pStyle w:val="ListContinue2"/>
        <w:spacing w:line="480" w:lineRule="auto"/>
        <w:ind w:left="0" w:firstLine="720"/>
        <w:jc w:val="both"/>
      </w:pPr>
      <w:r w:rsidRPr="006C203C">
        <w:t xml:space="preserve">On the surface, these findings appear to put pressure on the claim that people’s intuitions are </w:t>
      </w:r>
      <w:r w:rsidRPr="006C203C">
        <w:rPr>
          <w:i/>
        </w:rPr>
        <w:t>robustly</w:t>
      </w:r>
      <w:r w:rsidRPr="006C203C">
        <w:t xml:space="preserve"> compatibilist. Instead, whether people are inclined to give compatibilist answers may depend less on the presence (or absence) of determinism and more on the moral features of the vignette</w:t>
      </w:r>
      <w:r w:rsidR="00593EAF" w:rsidRPr="006C203C">
        <w:t>s</w:t>
      </w:r>
      <w:r w:rsidRPr="006C203C">
        <w:t xml:space="preserve">. Whereas people tend to display compatibilist leanings when asked to make judgments concerning the responsibility of specific agents, when they are asked instead to think about responsibility in the abstract, their intuitions trend towards incompatibilism. There is an on-going debate about how best to explain these </w:t>
      </w:r>
      <w:r w:rsidR="00B3633D" w:rsidRPr="006C203C">
        <w:t xml:space="preserve">competing </w:t>
      </w:r>
      <w:r w:rsidRPr="006C203C">
        <w:t>findings</w:t>
      </w:r>
      <w:r w:rsidR="00231405" w:rsidRPr="006C203C">
        <w:t xml:space="preserve">. </w:t>
      </w:r>
      <w:r w:rsidRPr="006C203C">
        <w:t>Nichols and Knobe take the</w:t>
      </w:r>
      <w:r w:rsidR="00093C61" w:rsidRPr="006C203C">
        <w:t>ir</w:t>
      </w:r>
      <w:r w:rsidRPr="006C203C">
        <w:t xml:space="preserve"> results </w:t>
      </w:r>
      <w:r w:rsidR="00EC0120" w:rsidRPr="006C203C">
        <w:t>to show</w:t>
      </w:r>
      <w:r w:rsidRPr="006C203C">
        <w:t xml:space="preserve"> that </w:t>
      </w:r>
      <w:r w:rsidR="00093C61" w:rsidRPr="006C203C">
        <w:t xml:space="preserve">while </w:t>
      </w:r>
      <w:r w:rsidRPr="006C203C">
        <w:t xml:space="preserve">people have an incompatibilist </w:t>
      </w:r>
      <w:r w:rsidRPr="006C203C">
        <w:rPr>
          <w:i/>
        </w:rPr>
        <w:t>theory</w:t>
      </w:r>
      <w:r w:rsidRPr="006C203C">
        <w:t xml:space="preserve"> of free will</w:t>
      </w:r>
      <w:r w:rsidR="00093C61" w:rsidRPr="006C203C">
        <w:t xml:space="preserve">, </w:t>
      </w:r>
      <w:r w:rsidRPr="006C203C">
        <w:t>when they consider a concrete</w:t>
      </w:r>
      <w:r w:rsidR="0000108A" w:rsidRPr="006C203C">
        <w:t xml:space="preserve"> </w:t>
      </w:r>
      <w:r w:rsidRPr="006C203C">
        <w:t>situation</w:t>
      </w:r>
      <w:r w:rsidR="00093C61" w:rsidRPr="006C203C">
        <w:t>, they make a performance error driven by the affectively charged nature of the scenario</w:t>
      </w:r>
      <w:r w:rsidRPr="006C203C">
        <w:t xml:space="preserve">. </w:t>
      </w:r>
    </w:p>
    <w:p w14:paraId="060DEB48" w14:textId="5DEC32F2" w:rsidR="00080350" w:rsidRPr="006C203C" w:rsidRDefault="00080350" w:rsidP="00DB25B9">
      <w:pPr>
        <w:spacing w:after="160" w:line="480" w:lineRule="auto"/>
        <w:ind w:firstLine="720"/>
        <w:jc w:val="both"/>
        <w:rPr>
          <w:rFonts w:eastAsiaTheme="minorHAnsi"/>
        </w:rPr>
      </w:pPr>
      <w:r w:rsidRPr="006C203C">
        <w:rPr>
          <w:rFonts w:eastAsiaTheme="minorHAnsi"/>
        </w:rPr>
        <w:t xml:space="preserve">One of our primary goals was to contribute to this debate by constructing concrete, deterministic scenarios that involve neutral actions to see whether by focusing people’s attention on the merely conditional ability to do otherwise in these scenarios they would trend </w:t>
      </w:r>
      <w:r w:rsidR="00593EAF" w:rsidRPr="006C203C">
        <w:rPr>
          <w:rFonts w:eastAsiaTheme="minorHAnsi"/>
        </w:rPr>
        <w:t xml:space="preserve">towards </w:t>
      </w:r>
      <w:r w:rsidRPr="006C203C">
        <w:rPr>
          <w:rFonts w:eastAsiaTheme="minorHAnsi"/>
        </w:rPr>
        <w:t>incompatibilis</w:t>
      </w:r>
      <w:r w:rsidR="00593EAF" w:rsidRPr="006C203C">
        <w:rPr>
          <w:rFonts w:eastAsiaTheme="minorHAnsi"/>
        </w:rPr>
        <w:t>m</w:t>
      </w:r>
      <w:r w:rsidRPr="006C203C">
        <w:rPr>
          <w:rFonts w:eastAsiaTheme="minorHAnsi"/>
        </w:rPr>
        <w:t>. We will say more about our experimental design in the next section. F</w:t>
      </w:r>
      <w:r w:rsidR="00DB25B9" w:rsidRPr="006C203C">
        <w:rPr>
          <w:rFonts w:eastAsiaTheme="minorHAnsi"/>
        </w:rPr>
        <w:t>or now</w:t>
      </w:r>
      <w:r w:rsidRPr="006C203C">
        <w:rPr>
          <w:rFonts w:eastAsiaTheme="minorHAnsi"/>
        </w:rPr>
        <w:t xml:space="preserve">, we want to review the scant empirical literature on </w:t>
      </w:r>
      <w:r w:rsidR="00593EAF" w:rsidRPr="006C203C">
        <w:rPr>
          <w:rFonts w:eastAsiaTheme="minorHAnsi"/>
        </w:rPr>
        <w:t xml:space="preserve">folk intuitions about </w:t>
      </w:r>
      <w:r w:rsidRPr="006C203C">
        <w:rPr>
          <w:rFonts w:eastAsiaTheme="minorHAnsi"/>
        </w:rPr>
        <w:t xml:space="preserve">the difference between the conditional and the unconditional ability to do otherwise—since that is directly relevant to the present task at hand. The first attempt to get at </w:t>
      </w:r>
      <w:r w:rsidR="00DB25B9" w:rsidRPr="006C203C">
        <w:rPr>
          <w:rFonts w:eastAsiaTheme="minorHAnsi"/>
        </w:rPr>
        <w:t xml:space="preserve">the salient intuitions </w:t>
      </w:r>
      <w:r w:rsidRPr="006C203C">
        <w:rPr>
          <w:rFonts w:eastAsiaTheme="minorHAnsi"/>
        </w:rPr>
        <w:t>was made by Nahmias</w:t>
      </w:r>
      <w:r w:rsidR="000743F8">
        <w:rPr>
          <w:rFonts w:eastAsiaTheme="minorHAnsi"/>
        </w:rPr>
        <w:t xml:space="preserve">, Morris, Nadelhoffer, and Turner </w:t>
      </w:r>
      <w:r w:rsidRPr="006C203C">
        <w:rPr>
          <w:rFonts w:eastAsiaTheme="minorHAnsi"/>
        </w:rPr>
        <w:t>(2004). They gave participants the following survey:</w:t>
      </w:r>
    </w:p>
    <w:p w14:paraId="5F07E087" w14:textId="77777777" w:rsidR="00080350" w:rsidRPr="006C203C" w:rsidRDefault="00080350" w:rsidP="00080350">
      <w:pPr>
        <w:spacing w:after="160" w:line="259" w:lineRule="auto"/>
        <w:ind w:left="501"/>
        <w:jc w:val="both"/>
        <w:rPr>
          <w:rFonts w:eastAsiaTheme="minorHAnsi"/>
        </w:rPr>
      </w:pPr>
      <w:r w:rsidRPr="006C203C">
        <w:rPr>
          <w:rFonts w:eastAsiaTheme="minorHAnsi"/>
        </w:rPr>
        <w:t>Imagine you’ve made a tough decision between two alternatives. You’ve chosen one of them and you think to yourself, ‘I could have chosen otherwise’ (it may help if you can remember a particular example of such a decision you’ve recently made). Which of these statements best describes what you have in mind when you think, ‘I could have chosen otherwise’?</w:t>
      </w:r>
    </w:p>
    <w:p w14:paraId="4C3D7DCC" w14:textId="77777777" w:rsidR="00080350" w:rsidRPr="006C203C" w:rsidRDefault="00080350" w:rsidP="00080350">
      <w:pPr>
        <w:numPr>
          <w:ilvl w:val="0"/>
          <w:numId w:val="3"/>
        </w:numPr>
        <w:spacing w:after="160" w:line="259" w:lineRule="auto"/>
        <w:jc w:val="both"/>
        <w:rPr>
          <w:rFonts w:eastAsiaTheme="minorHAnsi"/>
        </w:rPr>
      </w:pPr>
      <w:r w:rsidRPr="006C203C">
        <w:rPr>
          <w:rFonts w:eastAsiaTheme="minorHAnsi"/>
        </w:rPr>
        <w:t>‘I could have chosen to do otherwise even if everything at the moment of choice had been exactly the same’.</w:t>
      </w:r>
    </w:p>
    <w:p w14:paraId="6E0FE462" w14:textId="77777777" w:rsidR="00080350" w:rsidRPr="006C203C" w:rsidRDefault="00080350" w:rsidP="00080350">
      <w:pPr>
        <w:numPr>
          <w:ilvl w:val="0"/>
          <w:numId w:val="3"/>
        </w:numPr>
        <w:spacing w:after="160" w:line="259" w:lineRule="auto"/>
        <w:jc w:val="both"/>
        <w:rPr>
          <w:rFonts w:eastAsiaTheme="minorHAnsi"/>
        </w:rPr>
      </w:pPr>
      <w:r w:rsidRPr="006C203C">
        <w:rPr>
          <w:rFonts w:eastAsiaTheme="minorHAnsi"/>
        </w:rPr>
        <w:lastRenderedPageBreak/>
        <w:t>‘I could have chosen to do otherwise only if something had been diﬀerent (for instance, diﬀerent considerations had come to mind as I deliberated or I had experienced diﬀerent desires at the time)’.</w:t>
      </w:r>
    </w:p>
    <w:p w14:paraId="72B9654E" w14:textId="77777777" w:rsidR="00080350" w:rsidRPr="006C203C" w:rsidRDefault="00080350" w:rsidP="00080350">
      <w:pPr>
        <w:numPr>
          <w:ilvl w:val="0"/>
          <w:numId w:val="3"/>
        </w:numPr>
        <w:spacing w:after="160" w:line="259" w:lineRule="auto"/>
        <w:jc w:val="both"/>
        <w:rPr>
          <w:rFonts w:eastAsiaTheme="minorHAnsi"/>
        </w:rPr>
      </w:pPr>
      <w:r w:rsidRPr="006C203C">
        <w:rPr>
          <w:rFonts w:eastAsiaTheme="minorHAnsi"/>
        </w:rPr>
        <w:t>Neither of the above describes what I mean.</w:t>
      </w:r>
    </w:p>
    <w:p w14:paraId="4D705C25" w14:textId="5BB7031E" w:rsidR="00080350" w:rsidRPr="006C203C" w:rsidRDefault="00080350" w:rsidP="00080350">
      <w:pPr>
        <w:spacing w:after="160" w:line="480" w:lineRule="auto"/>
        <w:jc w:val="both"/>
        <w:rPr>
          <w:rFonts w:eastAsiaTheme="minorHAnsi"/>
        </w:rPr>
      </w:pPr>
      <w:r w:rsidRPr="006C203C">
        <w:rPr>
          <w:rFonts w:eastAsiaTheme="minorHAnsi"/>
        </w:rPr>
        <w:t xml:space="preserve">The most popular choice was B (62%), followed by choices A (35%), and C (3%). In line with the rest of their work, Nahmias and colleagues took this to </w:t>
      </w:r>
      <w:r w:rsidR="00593EAF" w:rsidRPr="006C203C">
        <w:rPr>
          <w:rFonts w:eastAsiaTheme="minorHAnsi"/>
        </w:rPr>
        <w:t xml:space="preserve">provide further </w:t>
      </w:r>
      <w:r w:rsidRPr="006C203C">
        <w:rPr>
          <w:rFonts w:eastAsiaTheme="minorHAnsi"/>
        </w:rPr>
        <w:t xml:space="preserve">support </w:t>
      </w:r>
      <w:r w:rsidR="00593EAF" w:rsidRPr="006C203C">
        <w:rPr>
          <w:rFonts w:eastAsiaTheme="minorHAnsi"/>
        </w:rPr>
        <w:t xml:space="preserve">for </w:t>
      </w:r>
      <w:r w:rsidRPr="006C203C">
        <w:rPr>
          <w:rFonts w:eastAsiaTheme="minorHAnsi"/>
        </w:rPr>
        <w:t xml:space="preserve">natural compatibilism. After all, people don’t </w:t>
      </w:r>
      <w:r w:rsidR="0098118B" w:rsidRPr="006C203C">
        <w:rPr>
          <w:rFonts w:eastAsiaTheme="minorHAnsi"/>
        </w:rPr>
        <w:t xml:space="preserve">appear to </w:t>
      </w:r>
      <w:r w:rsidRPr="006C203C">
        <w:rPr>
          <w:rFonts w:eastAsiaTheme="minorHAnsi"/>
        </w:rPr>
        <w:t>view choice and action through the lens of the unconditional ability to do otherwise—contrary to what incompatibilists have assumed.</w:t>
      </w:r>
      <w:r w:rsidR="00BC2798" w:rsidRPr="006C203C">
        <w:rPr>
          <w:rFonts w:eastAsiaTheme="minorHAnsi"/>
        </w:rPr>
        <w:t xml:space="preserve"> </w:t>
      </w:r>
      <w:r w:rsidRPr="006C203C">
        <w:rPr>
          <w:rFonts w:eastAsiaTheme="minorHAnsi"/>
        </w:rPr>
        <w:t xml:space="preserve">But more recent work suggests that when care is taken to make sure that people understand the implications of determinism—which includes foreclosing on the unconditional ability to do otherwise—their intuitions about choice (and the experience of choice) are </w:t>
      </w:r>
      <w:r w:rsidR="0098118B" w:rsidRPr="006C203C">
        <w:rPr>
          <w:rFonts w:eastAsiaTheme="minorHAnsi"/>
        </w:rPr>
        <w:t xml:space="preserve">mostly </w:t>
      </w:r>
      <w:r w:rsidRPr="006C203C">
        <w:rPr>
          <w:rFonts w:eastAsiaTheme="minorHAnsi"/>
        </w:rPr>
        <w:t xml:space="preserve">incompatibilist (Deery, Bedke, &amp; Nichols, 2013). Over a series of three novel studies, Deery </w:t>
      </w:r>
      <w:r w:rsidR="00BC2798" w:rsidRPr="006C203C">
        <w:rPr>
          <w:rFonts w:eastAsiaTheme="minorHAnsi"/>
        </w:rPr>
        <w:t xml:space="preserve">et al. (2013) </w:t>
      </w:r>
      <w:r w:rsidRPr="006C203C">
        <w:rPr>
          <w:rFonts w:eastAsiaTheme="minorHAnsi"/>
        </w:rPr>
        <w:t xml:space="preserve">consistently found that </w:t>
      </w:r>
      <w:r w:rsidR="00DB25B9" w:rsidRPr="006C203C">
        <w:rPr>
          <w:rFonts w:eastAsiaTheme="minorHAnsi"/>
        </w:rPr>
        <w:t xml:space="preserve">most </w:t>
      </w:r>
      <w:r w:rsidRPr="006C203C">
        <w:rPr>
          <w:rFonts w:eastAsiaTheme="minorHAnsi"/>
        </w:rPr>
        <w:t>people experience themselves as having the unconditional ability to do otherwise and that they take this ability to be inconsistent with determinism.</w:t>
      </w:r>
      <w:r w:rsidRPr="006C203C">
        <w:rPr>
          <w:rFonts w:eastAsiaTheme="minorHAnsi"/>
          <w:vertAlign w:val="superscript"/>
        </w:rPr>
        <w:footnoteReference w:id="5"/>
      </w:r>
      <w:r w:rsidRPr="006C203C">
        <w:rPr>
          <w:rFonts w:eastAsiaTheme="minorHAnsi"/>
        </w:rPr>
        <w:t xml:space="preserve"> </w:t>
      </w:r>
    </w:p>
    <w:p w14:paraId="68C56D81" w14:textId="6BB4F030" w:rsidR="005B7E3A" w:rsidRPr="006C203C" w:rsidRDefault="00080350" w:rsidP="005B7E3A">
      <w:pPr>
        <w:spacing w:after="160" w:line="480" w:lineRule="auto"/>
        <w:jc w:val="both"/>
        <w:rPr>
          <w:rFonts w:eastAsiaTheme="minorHAnsi"/>
        </w:rPr>
      </w:pPr>
      <w:r w:rsidRPr="006C203C">
        <w:rPr>
          <w:rFonts w:eastAsiaTheme="minorHAnsi"/>
        </w:rPr>
        <w:tab/>
        <w:t>In some follow up work in developing and validating the Free Will Intuitions Scale (FWIS), Deery</w:t>
      </w:r>
      <w:r w:rsidR="00BC2798" w:rsidRPr="006C203C">
        <w:rPr>
          <w:rFonts w:eastAsiaTheme="minorHAnsi"/>
        </w:rPr>
        <w:t xml:space="preserve">, Davis, and Carey (2015) </w:t>
      </w:r>
      <w:r w:rsidRPr="006C203C">
        <w:rPr>
          <w:rFonts w:eastAsiaTheme="minorHAnsi"/>
        </w:rPr>
        <w:t xml:space="preserve">further explored the different ways people might interpret the ability to do otherwise. </w:t>
      </w:r>
      <w:r w:rsidR="00BC2798" w:rsidRPr="006C203C">
        <w:rPr>
          <w:rFonts w:eastAsiaTheme="minorHAnsi"/>
        </w:rPr>
        <w:t xml:space="preserve">They </w:t>
      </w:r>
      <w:r w:rsidR="003F15C8" w:rsidRPr="006C203C">
        <w:rPr>
          <w:rFonts w:eastAsiaTheme="minorHAnsi"/>
        </w:rPr>
        <w:t xml:space="preserve">start </w:t>
      </w:r>
      <w:r w:rsidR="00FA0EE8" w:rsidRPr="006C203C">
        <w:rPr>
          <w:rFonts w:eastAsiaTheme="minorHAnsi"/>
        </w:rPr>
        <w:t xml:space="preserve">their investigation </w:t>
      </w:r>
      <w:r w:rsidR="003F15C8" w:rsidRPr="006C203C">
        <w:rPr>
          <w:rFonts w:eastAsiaTheme="minorHAnsi"/>
        </w:rPr>
        <w:t>by pointing out that the case method traditionally used by experimental philosophers has its limitations. On their view, this</w:t>
      </w:r>
      <w:r w:rsidR="00FA0EE8" w:rsidRPr="006C203C">
        <w:rPr>
          <w:rFonts w:eastAsiaTheme="minorHAnsi"/>
        </w:rPr>
        <w:t xml:space="preserve"> so-called</w:t>
      </w:r>
      <w:r w:rsidR="003F15C8" w:rsidRPr="006C203C">
        <w:rPr>
          <w:rFonts w:eastAsiaTheme="minorHAnsi"/>
        </w:rPr>
        <w:t xml:space="preserve"> “conflict method”—which forces people to rectify potentially competing intuitions by making forced choices—should be supplemented by a</w:t>
      </w:r>
      <w:r w:rsidR="00BC2798" w:rsidRPr="006C203C">
        <w:rPr>
          <w:rFonts w:eastAsiaTheme="minorHAnsi"/>
        </w:rPr>
        <w:t xml:space="preserve">n </w:t>
      </w:r>
      <w:r w:rsidR="003F15C8" w:rsidRPr="006C203C">
        <w:rPr>
          <w:rFonts w:eastAsiaTheme="minorHAnsi"/>
        </w:rPr>
        <w:t xml:space="preserve">approach that relies on scales designed to measure people’s </w:t>
      </w:r>
      <w:r w:rsidR="00FA0EE8" w:rsidRPr="006C203C">
        <w:rPr>
          <w:rFonts w:eastAsiaTheme="minorHAnsi"/>
        </w:rPr>
        <w:t>background</w:t>
      </w:r>
      <w:r w:rsidR="00FA0EE8" w:rsidRPr="006C203C">
        <w:rPr>
          <w:rFonts w:eastAsiaTheme="minorHAnsi"/>
          <w:i/>
          <w:iCs/>
        </w:rPr>
        <w:t xml:space="preserve"> </w:t>
      </w:r>
      <w:r w:rsidR="003F15C8" w:rsidRPr="006C203C">
        <w:rPr>
          <w:rFonts w:eastAsiaTheme="minorHAnsi"/>
        </w:rPr>
        <w:t xml:space="preserve">beliefs about free will and related constructs. While the conflict method </w:t>
      </w:r>
      <w:r w:rsidR="003F15C8" w:rsidRPr="006C203C">
        <w:rPr>
          <w:rFonts w:eastAsiaTheme="minorHAnsi"/>
        </w:rPr>
        <w:lastRenderedPageBreak/>
        <w:t xml:space="preserve">reveals how people apply their underlying beliefs when forced to </w:t>
      </w:r>
      <w:r w:rsidR="00C846B9" w:rsidRPr="006C203C">
        <w:rPr>
          <w:rFonts w:eastAsiaTheme="minorHAnsi"/>
        </w:rPr>
        <w:t xml:space="preserve">pass judgment on </w:t>
      </w:r>
      <w:r w:rsidR="0098118B" w:rsidRPr="006C203C">
        <w:rPr>
          <w:rFonts w:eastAsiaTheme="minorHAnsi"/>
        </w:rPr>
        <w:t xml:space="preserve">particular </w:t>
      </w:r>
      <w:r w:rsidR="003F15C8" w:rsidRPr="006C203C">
        <w:rPr>
          <w:rFonts w:eastAsiaTheme="minorHAnsi"/>
        </w:rPr>
        <w:t xml:space="preserve">scenarios, the </w:t>
      </w:r>
      <w:r w:rsidR="00FA0EE8" w:rsidRPr="006C203C">
        <w:rPr>
          <w:rFonts w:eastAsiaTheme="minorHAnsi"/>
        </w:rPr>
        <w:t xml:space="preserve">scale-based </w:t>
      </w:r>
      <w:r w:rsidR="003F15C8" w:rsidRPr="006C203C">
        <w:rPr>
          <w:rFonts w:eastAsiaTheme="minorHAnsi"/>
        </w:rPr>
        <w:t xml:space="preserve">approach sheds light on the </w:t>
      </w:r>
      <w:r w:rsidR="00BC2798" w:rsidRPr="006C203C">
        <w:rPr>
          <w:rFonts w:eastAsiaTheme="minorHAnsi"/>
        </w:rPr>
        <w:t xml:space="preserve">more stable </w:t>
      </w:r>
      <w:r w:rsidR="003F15C8" w:rsidRPr="006C203C">
        <w:rPr>
          <w:rFonts w:eastAsiaTheme="minorHAnsi"/>
        </w:rPr>
        <w:t>underlying beliefs and attitudes themselves—beliefs which may be in tension in various ways with people’s responses to scenarios.</w:t>
      </w:r>
      <w:r w:rsidR="00592E86" w:rsidRPr="006C203C">
        <w:rPr>
          <w:rFonts w:eastAsiaTheme="minorHAnsi"/>
        </w:rPr>
        <w:t xml:space="preserve"> According to Deery and colleagues</w:t>
      </w:r>
      <w:r w:rsidR="005B7E3A" w:rsidRPr="006C203C">
        <w:rPr>
          <w:rFonts w:eastAsiaTheme="minorHAnsi"/>
        </w:rPr>
        <w:t xml:space="preserve">, the </w:t>
      </w:r>
      <w:r w:rsidR="00AD61BD" w:rsidRPr="006C203C">
        <w:rPr>
          <w:rFonts w:eastAsiaTheme="minorHAnsi"/>
        </w:rPr>
        <w:t xml:space="preserve">scale-based </w:t>
      </w:r>
      <w:r w:rsidR="005B7E3A" w:rsidRPr="006C203C">
        <w:rPr>
          <w:rFonts w:eastAsiaTheme="minorHAnsi"/>
        </w:rPr>
        <w:t xml:space="preserve">method gets at people’s “basic intuitions” whereas the conflict method gets at people’s “decision” or “output” intuitions (2015, p. 778). Because the conflict method only gets at the latter intuitions, it </w:t>
      </w:r>
      <w:r w:rsidR="00592E86" w:rsidRPr="006C203C">
        <w:rPr>
          <w:rFonts w:eastAsiaTheme="minorHAnsi"/>
        </w:rPr>
        <w:t xml:space="preserve">purportedly </w:t>
      </w:r>
      <w:r w:rsidR="005B7E3A" w:rsidRPr="006C203C">
        <w:rPr>
          <w:rFonts w:eastAsiaTheme="minorHAnsi"/>
        </w:rPr>
        <w:t>can’t shed light on the former</w:t>
      </w:r>
      <w:r w:rsidR="00FA0EE8" w:rsidRPr="006C203C">
        <w:rPr>
          <w:rFonts w:eastAsiaTheme="minorHAnsi"/>
        </w:rPr>
        <w:t xml:space="preserve"> intuitions</w:t>
      </w:r>
      <w:r w:rsidR="005B7E3A" w:rsidRPr="006C203C">
        <w:rPr>
          <w:rFonts w:eastAsiaTheme="minorHAnsi"/>
        </w:rPr>
        <w:t xml:space="preserve">—which is </w:t>
      </w:r>
      <w:r w:rsidR="0098118B" w:rsidRPr="006C203C">
        <w:rPr>
          <w:rFonts w:eastAsiaTheme="minorHAnsi"/>
        </w:rPr>
        <w:t xml:space="preserve">one of </w:t>
      </w:r>
      <w:r w:rsidR="005B7E3A" w:rsidRPr="006C203C">
        <w:rPr>
          <w:rFonts w:eastAsiaTheme="minorHAnsi"/>
        </w:rPr>
        <w:t>the goal</w:t>
      </w:r>
      <w:r w:rsidR="0098118B" w:rsidRPr="006C203C">
        <w:rPr>
          <w:rFonts w:eastAsiaTheme="minorHAnsi"/>
        </w:rPr>
        <w:t>s</w:t>
      </w:r>
      <w:r w:rsidR="005B7E3A" w:rsidRPr="006C203C">
        <w:rPr>
          <w:rFonts w:eastAsiaTheme="minorHAnsi"/>
        </w:rPr>
        <w:t xml:space="preserve"> of Deery and colleagues </w:t>
      </w:r>
      <w:r w:rsidR="0098118B" w:rsidRPr="006C203C">
        <w:rPr>
          <w:rFonts w:eastAsiaTheme="minorHAnsi"/>
        </w:rPr>
        <w:t xml:space="preserve">adjunctive </w:t>
      </w:r>
      <w:r w:rsidR="00AD61BD" w:rsidRPr="006C203C">
        <w:rPr>
          <w:rFonts w:eastAsiaTheme="minorHAnsi"/>
        </w:rPr>
        <w:t xml:space="preserve">scale-based </w:t>
      </w:r>
      <w:r w:rsidR="005B7E3A" w:rsidRPr="006C203C">
        <w:rPr>
          <w:rFonts w:eastAsiaTheme="minorHAnsi"/>
        </w:rPr>
        <w:t>approach.</w:t>
      </w:r>
      <w:r w:rsidR="009B5FAC" w:rsidRPr="006C203C">
        <w:rPr>
          <w:rStyle w:val="FootnoteReference"/>
          <w:rFonts w:eastAsiaTheme="minorHAnsi"/>
        </w:rPr>
        <w:footnoteReference w:id="6"/>
      </w:r>
      <w:r w:rsidR="005B7E3A" w:rsidRPr="006C203C">
        <w:rPr>
          <w:rFonts w:eastAsiaTheme="minorHAnsi"/>
        </w:rPr>
        <w:t xml:space="preserve"> </w:t>
      </w:r>
    </w:p>
    <w:p w14:paraId="2A50AD52" w14:textId="64EE7DFB" w:rsidR="00196965" w:rsidRPr="006C203C" w:rsidRDefault="007A5D33" w:rsidP="00D92A66">
      <w:pPr>
        <w:autoSpaceDE w:val="0"/>
        <w:autoSpaceDN w:val="0"/>
        <w:adjustRightInd w:val="0"/>
        <w:spacing w:line="480" w:lineRule="auto"/>
        <w:jc w:val="both"/>
        <w:rPr>
          <w:rFonts w:eastAsiaTheme="minorHAnsi"/>
        </w:rPr>
      </w:pPr>
      <w:r w:rsidRPr="006C203C">
        <w:rPr>
          <w:rFonts w:eastAsiaTheme="minorHAnsi"/>
        </w:rPr>
        <w:t xml:space="preserve"> </w:t>
      </w:r>
      <w:r w:rsidRPr="006C203C">
        <w:rPr>
          <w:rFonts w:eastAsiaTheme="minorHAnsi"/>
        </w:rPr>
        <w:tab/>
        <w:t xml:space="preserve">In an attempt to </w:t>
      </w:r>
      <w:r w:rsidR="00AD61BD" w:rsidRPr="006C203C">
        <w:rPr>
          <w:rFonts w:eastAsiaTheme="minorHAnsi"/>
        </w:rPr>
        <w:t xml:space="preserve">access </w:t>
      </w:r>
      <w:r w:rsidRPr="006C203C">
        <w:rPr>
          <w:rFonts w:eastAsiaTheme="minorHAnsi"/>
        </w:rPr>
        <w:t xml:space="preserve">people’s </w:t>
      </w:r>
      <w:r w:rsidR="00AD61BD" w:rsidRPr="006C203C">
        <w:rPr>
          <w:rFonts w:eastAsiaTheme="minorHAnsi"/>
        </w:rPr>
        <w:t xml:space="preserve">basic </w:t>
      </w:r>
      <w:r w:rsidRPr="006C203C">
        <w:rPr>
          <w:rFonts w:eastAsiaTheme="minorHAnsi"/>
        </w:rPr>
        <w:t xml:space="preserve">intuitions about free and moral responsibility, </w:t>
      </w:r>
      <w:r w:rsidR="0098118B" w:rsidRPr="006C203C">
        <w:rPr>
          <w:rFonts w:eastAsiaTheme="minorHAnsi"/>
        </w:rPr>
        <w:t>Deery and colleagues</w:t>
      </w:r>
      <w:r w:rsidRPr="006C203C">
        <w:rPr>
          <w:rFonts w:eastAsiaTheme="minorHAnsi"/>
        </w:rPr>
        <w:t xml:space="preserve"> developed and validated FWIS—which </w:t>
      </w:r>
      <w:r w:rsidR="00AD61BD" w:rsidRPr="006C203C">
        <w:rPr>
          <w:rFonts w:eastAsiaTheme="minorHAnsi"/>
        </w:rPr>
        <w:t xml:space="preserve">has </w:t>
      </w:r>
      <w:r w:rsidRPr="006C203C">
        <w:rPr>
          <w:rFonts w:eastAsiaTheme="minorHAnsi"/>
        </w:rPr>
        <w:t>eight subscales</w:t>
      </w:r>
      <w:r w:rsidR="00196965" w:rsidRPr="006C203C">
        <w:rPr>
          <w:rFonts w:eastAsiaTheme="minorHAnsi"/>
        </w:rPr>
        <w:t xml:space="preserve">. </w:t>
      </w:r>
      <w:r w:rsidR="00D92A66" w:rsidRPr="006C203C">
        <w:rPr>
          <w:rFonts w:eastAsiaTheme="minorHAnsi"/>
        </w:rPr>
        <w:t xml:space="preserve">The most important </w:t>
      </w:r>
      <w:r w:rsidR="00592E86" w:rsidRPr="006C203C">
        <w:rPr>
          <w:rFonts w:eastAsiaTheme="minorHAnsi"/>
        </w:rPr>
        <w:t xml:space="preserve">two </w:t>
      </w:r>
      <w:r w:rsidR="00D92A66" w:rsidRPr="006C203C">
        <w:rPr>
          <w:rFonts w:eastAsiaTheme="minorHAnsi"/>
        </w:rPr>
        <w:t>subscales for present purposes</w:t>
      </w:r>
      <w:r w:rsidR="00AD61BD" w:rsidRPr="006C203C">
        <w:rPr>
          <w:rFonts w:eastAsiaTheme="minorHAnsi"/>
        </w:rPr>
        <w:t xml:space="preserve"> are</w:t>
      </w:r>
      <w:r w:rsidR="00D92A66" w:rsidRPr="006C203C">
        <w:rPr>
          <w:rFonts w:eastAsiaTheme="minorHAnsi"/>
        </w:rPr>
        <w:t>:</w:t>
      </w:r>
      <w:r w:rsidR="00DF780E" w:rsidRPr="006C203C">
        <w:rPr>
          <w:rFonts w:eastAsiaTheme="minorHAnsi"/>
        </w:rPr>
        <w:t xml:space="preserve"> (a) </w:t>
      </w:r>
      <w:r w:rsidR="00AD61BD" w:rsidRPr="006C203C">
        <w:rPr>
          <w:rFonts w:eastAsiaTheme="minorHAnsi"/>
        </w:rPr>
        <w:t>a</w:t>
      </w:r>
      <w:r w:rsidR="00D92A66" w:rsidRPr="006C203C">
        <w:rPr>
          <w:rFonts w:eastAsiaTheme="minorHAnsi"/>
        </w:rPr>
        <w:t>bility-</w:t>
      </w:r>
      <w:r w:rsidR="00AD61BD" w:rsidRPr="006C203C">
        <w:rPr>
          <w:rFonts w:eastAsiaTheme="minorHAnsi"/>
        </w:rPr>
        <w:t>t</w:t>
      </w:r>
      <w:r w:rsidR="00D92A66" w:rsidRPr="006C203C">
        <w:rPr>
          <w:rFonts w:eastAsiaTheme="minorHAnsi"/>
        </w:rPr>
        <w:t>o-</w:t>
      </w:r>
      <w:r w:rsidR="00AD61BD" w:rsidRPr="006C203C">
        <w:rPr>
          <w:rFonts w:eastAsiaTheme="minorHAnsi"/>
        </w:rPr>
        <w:t>d</w:t>
      </w:r>
      <w:r w:rsidR="00D92A66" w:rsidRPr="006C203C">
        <w:rPr>
          <w:rFonts w:eastAsiaTheme="minorHAnsi"/>
        </w:rPr>
        <w:t>o-</w:t>
      </w:r>
      <w:r w:rsidR="00AD61BD" w:rsidRPr="006C203C">
        <w:rPr>
          <w:rFonts w:eastAsiaTheme="minorHAnsi"/>
        </w:rPr>
        <w:t>o</w:t>
      </w:r>
      <w:r w:rsidR="00D92A66" w:rsidRPr="006C203C">
        <w:rPr>
          <w:rFonts w:eastAsiaTheme="minorHAnsi"/>
        </w:rPr>
        <w:t xml:space="preserve">therwise </w:t>
      </w:r>
      <w:r w:rsidR="00AD61BD" w:rsidRPr="006C203C">
        <w:rPr>
          <w:rFonts w:eastAsiaTheme="minorHAnsi"/>
        </w:rPr>
        <w:t>i</w:t>
      </w:r>
      <w:r w:rsidR="00D92A66" w:rsidRPr="006C203C">
        <w:rPr>
          <w:rFonts w:eastAsiaTheme="minorHAnsi"/>
        </w:rPr>
        <w:t>ncompatibilism</w:t>
      </w:r>
      <w:r w:rsidR="00DF780E" w:rsidRPr="006C203C">
        <w:rPr>
          <w:rFonts w:eastAsiaTheme="minorHAnsi"/>
        </w:rPr>
        <w:t>: e.g., “</w:t>
      </w:r>
      <w:r w:rsidR="00D92A66" w:rsidRPr="006C203C">
        <w:rPr>
          <w:rFonts w:eastAsiaTheme="minorHAnsi"/>
        </w:rPr>
        <w:t>I could have decided to buy a different detergent than I actually bought, but I</w:t>
      </w:r>
      <w:r w:rsidR="00DF780E" w:rsidRPr="006C203C">
        <w:rPr>
          <w:rFonts w:eastAsiaTheme="minorHAnsi"/>
        </w:rPr>
        <w:t xml:space="preserve"> </w:t>
      </w:r>
      <w:r w:rsidR="00D92A66" w:rsidRPr="006C203C">
        <w:rPr>
          <w:rFonts w:eastAsiaTheme="minorHAnsi"/>
        </w:rPr>
        <w:t>would have decided to do so even if none of my desires or thoughts at the time had</w:t>
      </w:r>
      <w:r w:rsidR="00DF780E" w:rsidRPr="006C203C">
        <w:rPr>
          <w:rFonts w:eastAsiaTheme="minorHAnsi"/>
        </w:rPr>
        <w:t xml:space="preserve"> </w:t>
      </w:r>
      <w:r w:rsidR="00D92A66" w:rsidRPr="006C203C">
        <w:rPr>
          <w:rFonts w:eastAsiaTheme="minorHAnsi"/>
        </w:rPr>
        <w:t>been different</w:t>
      </w:r>
      <w:r w:rsidR="00DF780E" w:rsidRPr="006C203C">
        <w:rPr>
          <w:rFonts w:eastAsiaTheme="minorHAnsi"/>
        </w:rPr>
        <w:t xml:space="preserve">”; and </w:t>
      </w:r>
      <w:r w:rsidR="00AD61BD" w:rsidRPr="006C203C">
        <w:rPr>
          <w:rFonts w:eastAsiaTheme="minorHAnsi"/>
        </w:rPr>
        <w:t>(b) a</w:t>
      </w:r>
      <w:r w:rsidR="00D92A66" w:rsidRPr="006C203C">
        <w:rPr>
          <w:rFonts w:eastAsiaTheme="minorHAnsi"/>
        </w:rPr>
        <w:t>bility-</w:t>
      </w:r>
      <w:r w:rsidR="00AD61BD" w:rsidRPr="006C203C">
        <w:rPr>
          <w:rFonts w:eastAsiaTheme="minorHAnsi"/>
        </w:rPr>
        <w:t>t</w:t>
      </w:r>
      <w:r w:rsidR="00D92A66" w:rsidRPr="006C203C">
        <w:rPr>
          <w:rFonts w:eastAsiaTheme="minorHAnsi"/>
        </w:rPr>
        <w:t>o-</w:t>
      </w:r>
      <w:r w:rsidR="00AD61BD" w:rsidRPr="006C203C">
        <w:rPr>
          <w:rFonts w:eastAsiaTheme="minorHAnsi"/>
        </w:rPr>
        <w:t>d</w:t>
      </w:r>
      <w:r w:rsidR="00D92A66" w:rsidRPr="006C203C">
        <w:rPr>
          <w:rFonts w:eastAsiaTheme="minorHAnsi"/>
        </w:rPr>
        <w:t>o-</w:t>
      </w:r>
      <w:r w:rsidR="00AD61BD" w:rsidRPr="006C203C">
        <w:rPr>
          <w:rFonts w:eastAsiaTheme="minorHAnsi"/>
        </w:rPr>
        <w:t>o</w:t>
      </w:r>
      <w:r w:rsidR="00D92A66" w:rsidRPr="006C203C">
        <w:rPr>
          <w:rFonts w:eastAsiaTheme="minorHAnsi"/>
        </w:rPr>
        <w:t xml:space="preserve">therwise </w:t>
      </w:r>
      <w:r w:rsidR="00AD61BD" w:rsidRPr="006C203C">
        <w:rPr>
          <w:rFonts w:eastAsiaTheme="minorHAnsi"/>
        </w:rPr>
        <w:t>c</w:t>
      </w:r>
      <w:r w:rsidR="00D92A66" w:rsidRPr="006C203C">
        <w:rPr>
          <w:rFonts w:eastAsiaTheme="minorHAnsi"/>
        </w:rPr>
        <w:t>ompatibilism:</w:t>
      </w:r>
      <w:r w:rsidR="00DF780E" w:rsidRPr="006C203C">
        <w:rPr>
          <w:rFonts w:eastAsiaTheme="minorHAnsi"/>
        </w:rPr>
        <w:t xml:space="preserve"> e.g., </w:t>
      </w:r>
      <w:r w:rsidR="0098118B" w:rsidRPr="006C203C">
        <w:rPr>
          <w:rFonts w:eastAsiaTheme="minorHAnsi"/>
        </w:rPr>
        <w:t>“</w:t>
      </w:r>
      <w:r w:rsidR="00D92A66" w:rsidRPr="006C203C">
        <w:rPr>
          <w:rFonts w:eastAsiaTheme="minorHAnsi"/>
        </w:rPr>
        <w:t>I might have taken the job in Chicago instead of the job in Atlanta, but I would</w:t>
      </w:r>
      <w:r w:rsidR="00DF780E" w:rsidRPr="006C203C">
        <w:rPr>
          <w:rFonts w:eastAsiaTheme="minorHAnsi"/>
        </w:rPr>
        <w:t xml:space="preserve"> </w:t>
      </w:r>
      <w:r w:rsidR="00D92A66" w:rsidRPr="006C203C">
        <w:rPr>
          <w:rFonts w:eastAsiaTheme="minorHAnsi"/>
        </w:rPr>
        <w:t>have done so only if my thoughts or desires had been different as I made the</w:t>
      </w:r>
      <w:r w:rsidR="00DF780E" w:rsidRPr="006C203C">
        <w:rPr>
          <w:rFonts w:eastAsiaTheme="minorHAnsi"/>
        </w:rPr>
        <w:t xml:space="preserve"> </w:t>
      </w:r>
      <w:r w:rsidR="00D92A66" w:rsidRPr="006C203C">
        <w:rPr>
          <w:rFonts w:eastAsiaTheme="minorHAnsi"/>
        </w:rPr>
        <w:t>decision</w:t>
      </w:r>
      <w:r w:rsidR="0098118B" w:rsidRPr="006C203C">
        <w:rPr>
          <w:rFonts w:eastAsiaTheme="minorHAnsi"/>
        </w:rPr>
        <w:t>”</w:t>
      </w:r>
      <w:r w:rsidR="00DF780E" w:rsidRPr="006C203C">
        <w:rPr>
          <w:rFonts w:eastAsiaTheme="minorHAnsi"/>
        </w:rPr>
        <w:t xml:space="preserve"> (Deery et al. 2015, p. 796). </w:t>
      </w:r>
      <w:r w:rsidR="00D92A66" w:rsidRPr="006C203C">
        <w:rPr>
          <w:rFonts w:eastAsiaTheme="minorHAnsi"/>
        </w:rPr>
        <w:t>Each of th</w:t>
      </w:r>
      <w:r w:rsidR="00592E86" w:rsidRPr="006C203C">
        <w:rPr>
          <w:rFonts w:eastAsiaTheme="minorHAnsi"/>
        </w:rPr>
        <w:t>ese</w:t>
      </w:r>
      <w:r w:rsidR="00D92A66" w:rsidRPr="006C203C">
        <w:rPr>
          <w:rFonts w:eastAsiaTheme="minorHAnsi"/>
        </w:rPr>
        <w:t xml:space="preserve"> subscales is designed to get at whether people’s basic intuitions align with the conditional or </w:t>
      </w:r>
      <w:r w:rsidR="00366D18" w:rsidRPr="006C203C">
        <w:rPr>
          <w:rFonts w:eastAsiaTheme="minorHAnsi"/>
        </w:rPr>
        <w:t xml:space="preserve">unconditional ability to do otherwise. </w:t>
      </w:r>
      <w:r w:rsidR="00C948CD" w:rsidRPr="006C203C">
        <w:rPr>
          <w:rFonts w:eastAsiaTheme="minorHAnsi"/>
        </w:rPr>
        <w:t>The</w:t>
      </w:r>
      <w:r w:rsidR="00DD0920">
        <w:rPr>
          <w:rFonts w:eastAsiaTheme="minorHAnsi"/>
        </w:rPr>
        <w:t>ir</w:t>
      </w:r>
      <w:r w:rsidR="00C948CD" w:rsidRPr="006C203C">
        <w:rPr>
          <w:rFonts w:eastAsiaTheme="minorHAnsi"/>
        </w:rPr>
        <w:t xml:space="preserve"> </w:t>
      </w:r>
      <w:r w:rsidR="00DB25B9" w:rsidRPr="006C203C">
        <w:rPr>
          <w:rFonts w:eastAsiaTheme="minorHAnsi"/>
        </w:rPr>
        <w:t xml:space="preserve">findings </w:t>
      </w:r>
      <w:r w:rsidR="00C948CD" w:rsidRPr="006C203C">
        <w:rPr>
          <w:rFonts w:eastAsiaTheme="minorHAnsi"/>
        </w:rPr>
        <w:t>suggest that while people do distinguish</w:t>
      </w:r>
      <w:r w:rsidR="00AD61BD" w:rsidRPr="006C203C">
        <w:rPr>
          <w:rFonts w:eastAsiaTheme="minorHAnsi"/>
        </w:rPr>
        <w:t xml:space="preserve"> between these two abilities</w:t>
      </w:r>
      <w:r w:rsidR="00C948CD" w:rsidRPr="006C203C">
        <w:rPr>
          <w:rFonts w:eastAsiaTheme="minorHAnsi"/>
        </w:rPr>
        <w:t xml:space="preserve">, </w:t>
      </w:r>
      <w:r w:rsidR="00DD0920">
        <w:rPr>
          <w:rFonts w:eastAsiaTheme="minorHAnsi"/>
        </w:rPr>
        <w:t xml:space="preserve">they </w:t>
      </w:r>
      <w:r w:rsidR="00C948CD" w:rsidRPr="006C203C">
        <w:rPr>
          <w:rFonts w:eastAsiaTheme="minorHAnsi"/>
        </w:rPr>
        <w:t xml:space="preserve">tend to favor the former. </w:t>
      </w:r>
      <w:r w:rsidR="00AD61BD" w:rsidRPr="006C203C">
        <w:rPr>
          <w:rFonts w:eastAsiaTheme="minorHAnsi"/>
        </w:rPr>
        <w:lastRenderedPageBreak/>
        <w:t>However, w</w:t>
      </w:r>
      <w:r w:rsidR="00C948CD" w:rsidRPr="006C203C">
        <w:rPr>
          <w:rFonts w:eastAsiaTheme="minorHAnsi"/>
        </w:rPr>
        <w:t xml:space="preserve">hile Deery and colleagues suggest </w:t>
      </w:r>
      <w:r w:rsidR="003A7B46">
        <w:rPr>
          <w:rFonts w:eastAsiaTheme="minorHAnsi"/>
        </w:rPr>
        <w:t xml:space="preserve">that </w:t>
      </w:r>
      <w:r w:rsidR="00C948CD" w:rsidRPr="006C203C">
        <w:rPr>
          <w:rFonts w:eastAsiaTheme="minorHAnsi"/>
        </w:rPr>
        <w:t xml:space="preserve">this preference is “strong,” we don’t </w:t>
      </w:r>
      <w:r w:rsidR="00AD61BD" w:rsidRPr="006C203C">
        <w:rPr>
          <w:rFonts w:eastAsiaTheme="minorHAnsi"/>
        </w:rPr>
        <w:t>think</w:t>
      </w:r>
      <w:r w:rsidR="00C948CD" w:rsidRPr="006C203C">
        <w:rPr>
          <w:rFonts w:eastAsiaTheme="minorHAnsi"/>
        </w:rPr>
        <w:t xml:space="preserve"> the data support such an assertion. Mean agreement with the conditional ability items was M = 5.06 (SD = .83) while mean agreement with the unconditional ability </w:t>
      </w:r>
      <w:r w:rsidR="00DD0920">
        <w:rPr>
          <w:rFonts w:eastAsiaTheme="minorHAnsi"/>
        </w:rPr>
        <w:t xml:space="preserve">items </w:t>
      </w:r>
      <w:r w:rsidR="00C948CD" w:rsidRPr="006C203C">
        <w:rPr>
          <w:rFonts w:eastAsiaTheme="minorHAnsi"/>
        </w:rPr>
        <w:t xml:space="preserve">was M = 4.27 (SD = 1.06). While this is surely a significant difference, we wouldn’t characterize </w:t>
      </w:r>
      <w:r w:rsidR="00592E86" w:rsidRPr="006C203C">
        <w:rPr>
          <w:rFonts w:eastAsiaTheme="minorHAnsi"/>
        </w:rPr>
        <w:t xml:space="preserve">it </w:t>
      </w:r>
      <w:r w:rsidR="00C948CD" w:rsidRPr="006C203C">
        <w:rPr>
          <w:rFonts w:eastAsiaTheme="minorHAnsi"/>
        </w:rPr>
        <w:t xml:space="preserve">as a </w:t>
      </w:r>
      <w:r w:rsidR="00AD61BD" w:rsidRPr="006C203C">
        <w:rPr>
          <w:rFonts w:eastAsiaTheme="minorHAnsi"/>
        </w:rPr>
        <w:t xml:space="preserve">contrastively </w:t>
      </w:r>
      <w:r w:rsidR="00C948CD" w:rsidRPr="006C203C">
        <w:rPr>
          <w:rFonts w:eastAsiaTheme="minorHAnsi"/>
        </w:rPr>
        <w:t xml:space="preserve">strong preference. </w:t>
      </w:r>
      <w:r w:rsidR="00196965" w:rsidRPr="006C203C">
        <w:rPr>
          <w:rFonts w:eastAsiaTheme="minorHAnsi"/>
        </w:rPr>
        <w:t xml:space="preserve">People’s responses to the </w:t>
      </w:r>
      <w:r w:rsidR="00592E86" w:rsidRPr="006C203C">
        <w:rPr>
          <w:rFonts w:eastAsiaTheme="minorHAnsi"/>
        </w:rPr>
        <w:t xml:space="preserve">former </w:t>
      </w:r>
      <w:r w:rsidR="00196965" w:rsidRPr="006C203C">
        <w:rPr>
          <w:rFonts w:eastAsiaTheme="minorHAnsi"/>
        </w:rPr>
        <w:t>are just ab</w:t>
      </w:r>
      <w:r w:rsidR="00592E86" w:rsidRPr="006C203C">
        <w:rPr>
          <w:rFonts w:eastAsiaTheme="minorHAnsi"/>
        </w:rPr>
        <w:t>ove</w:t>
      </w:r>
      <w:r w:rsidR="00196965" w:rsidRPr="006C203C">
        <w:rPr>
          <w:rFonts w:eastAsiaTheme="minorHAnsi"/>
        </w:rPr>
        <w:t xml:space="preserve"> the mid-point and their responses to the latter are just above somewhat agree. We think this is too mild of a difference to be adequately characterized as</w:t>
      </w:r>
      <w:r w:rsidR="00592E86" w:rsidRPr="006C203C">
        <w:rPr>
          <w:rFonts w:eastAsiaTheme="minorHAnsi"/>
        </w:rPr>
        <w:t xml:space="preserve"> representing a strong preference</w:t>
      </w:r>
      <w:r w:rsidR="00196965" w:rsidRPr="006C203C">
        <w:rPr>
          <w:rFonts w:eastAsiaTheme="minorHAnsi"/>
        </w:rPr>
        <w:t xml:space="preserve">. </w:t>
      </w:r>
      <w:r w:rsidR="00AD61BD" w:rsidRPr="006C203C">
        <w:rPr>
          <w:rFonts w:eastAsiaTheme="minorHAnsi"/>
        </w:rPr>
        <w:t>If someone said th</w:t>
      </w:r>
      <w:r w:rsidR="00DB25B9" w:rsidRPr="006C203C">
        <w:rPr>
          <w:rFonts w:eastAsiaTheme="minorHAnsi"/>
        </w:rPr>
        <w:t>at</w:t>
      </w:r>
      <w:r w:rsidR="00AD61BD" w:rsidRPr="006C203C">
        <w:rPr>
          <w:rFonts w:eastAsiaTheme="minorHAnsi"/>
        </w:rPr>
        <w:t xml:space="preserve"> they’re undecided about x and someone else says they somewhat agree with </w:t>
      </w:r>
      <w:r w:rsidR="00AD61BD" w:rsidRPr="006C203C">
        <w:rPr>
          <w:rFonts w:eastAsiaTheme="minorHAnsi"/>
          <w:i/>
          <w:iCs/>
        </w:rPr>
        <w:t>x</w:t>
      </w:r>
      <w:r w:rsidR="00AD61BD" w:rsidRPr="006C203C">
        <w:rPr>
          <w:rFonts w:eastAsiaTheme="minorHAnsi"/>
        </w:rPr>
        <w:t xml:space="preserve">, it’s odd to conclude that the latter has a strong preference </w:t>
      </w:r>
      <w:r w:rsidR="000B0D7F" w:rsidRPr="006C203C">
        <w:rPr>
          <w:rFonts w:eastAsiaTheme="minorHAnsi"/>
        </w:rPr>
        <w:t xml:space="preserve">for </w:t>
      </w:r>
      <w:r w:rsidR="000B0D7F" w:rsidRPr="006C203C">
        <w:rPr>
          <w:rFonts w:eastAsiaTheme="minorHAnsi"/>
          <w:i/>
          <w:iCs/>
        </w:rPr>
        <w:t>x</w:t>
      </w:r>
      <w:r w:rsidR="000B0D7F" w:rsidRPr="006C203C">
        <w:rPr>
          <w:rFonts w:eastAsiaTheme="minorHAnsi"/>
        </w:rPr>
        <w:t xml:space="preserve"> </w:t>
      </w:r>
      <w:r w:rsidR="00AD61BD" w:rsidRPr="006C203C">
        <w:rPr>
          <w:rFonts w:eastAsiaTheme="minorHAnsi"/>
        </w:rPr>
        <w:t xml:space="preserve">relative to the former. </w:t>
      </w:r>
      <w:r w:rsidR="00592E86" w:rsidRPr="006C203C">
        <w:rPr>
          <w:rFonts w:eastAsiaTheme="minorHAnsi"/>
        </w:rPr>
        <w:t>On our reading, p</w:t>
      </w:r>
      <w:r w:rsidR="00DD0920">
        <w:rPr>
          <w:rFonts w:eastAsiaTheme="minorHAnsi"/>
        </w:rPr>
        <w:t xml:space="preserve">articipants in their studies </w:t>
      </w:r>
      <w:r w:rsidR="00196965" w:rsidRPr="006C203C">
        <w:rPr>
          <w:rFonts w:eastAsiaTheme="minorHAnsi"/>
        </w:rPr>
        <w:t xml:space="preserve">had a weak but significant preference for the conditional reading </w:t>
      </w:r>
      <w:r w:rsidR="000B0D7F" w:rsidRPr="006C203C">
        <w:rPr>
          <w:rFonts w:eastAsiaTheme="minorHAnsi"/>
        </w:rPr>
        <w:t>over</w:t>
      </w:r>
      <w:r w:rsidR="00196965" w:rsidRPr="006C203C">
        <w:rPr>
          <w:rFonts w:eastAsiaTheme="minorHAnsi"/>
        </w:rPr>
        <w:t xml:space="preserve"> the unconditional reading. </w:t>
      </w:r>
    </w:p>
    <w:p w14:paraId="6D4C85E0" w14:textId="27A1318F" w:rsidR="00D5405C" w:rsidRPr="006C203C" w:rsidRDefault="00D5405C" w:rsidP="00D92A66">
      <w:pPr>
        <w:autoSpaceDE w:val="0"/>
        <w:autoSpaceDN w:val="0"/>
        <w:adjustRightInd w:val="0"/>
        <w:spacing w:line="480" w:lineRule="auto"/>
        <w:jc w:val="both"/>
        <w:rPr>
          <w:rFonts w:eastAsiaTheme="minorHAnsi"/>
        </w:rPr>
      </w:pPr>
      <w:r w:rsidRPr="006C203C">
        <w:rPr>
          <w:rFonts w:eastAsiaTheme="minorHAnsi"/>
        </w:rPr>
        <w:tab/>
      </w:r>
      <w:r w:rsidR="0098118B" w:rsidRPr="006C203C">
        <w:rPr>
          <w:rFonts w:eastAsiaTheme="minorHAnsi"/>
        </w:rPr>
        <w:t>But even if we set that disagreement aside</w:t>
      </w:r>
      <w:r w:rsidR="00F46856" w:rsidRPr="006C203C">
        <w:rPr>
          <w:rFonts w:eastAsiaTheme="minorHAnsi"/>
        </w:rPr>
        <w:t>,</w:t>
      </w:r>
      <w:r w:rsidRPr="006C203C">
        <w:rPr>
          <w:rFonts w:eastAsiaTheme="minorHAnsi"/>
        </w:rPr>
        <w:t xml:space="preserve"> we have deeper </w:t>
      </w:r>
      <w:r w:rsidR="0098118B" w:rsidRPr="006C203C">
        <w:rPr>
          <w:rFonts w:eastAsiaTheme="minorHAnsi"/>
        </w:rPr>
        <w:t>worries</w:t>
      </w:r>
      <w:r w:rsidRPr="006C203C">
        <w:rPr>
          <w:rFonts w:eastAsiaTheme="minorHAnsi"/>
        </w:rPr>
        <w:t xml:space="preserve"> with the way the items in the compatibilism subscale are worded</w:t>
      </w:r>
      <w:r w:rsidR="00592E86" w:rsidRPr="006C203C">
        <w:rPr>
          <w:rFonts w:eastAsiaTheme="minorHAnsi"/>
        </w:rPr>
        <w:t xml:space="preserve">. </w:t>
      </w:r>
      <w:r w:rsidRPr="006C203C">
        <w:t>In each case, it sounds</w:t>
      </w:r>
      <w:r w:rsidR="000B0D7F" w:rsidRPr="006C203C">
        <w:t xml:space="preserve"> like</w:t>
      </w:r>
      <w:r w:rsidRPr="006C203C">
        <w:t xml:space="preserve"> the counter-factual possibilit</w:t>
      </w:r>
      <w:r w:rsidR="0098118B" w:rsidRPr="006C203C">
        <w:t>ies</w:t>
      </w:r>
      <w:r w:rsidRPr="006C203C">
        <w:t xml:space="preserve"> w</w:t>
      </w:r>
      <w:r w:rsidR="0098118B" w:rsidRPr="006C203C">
        <w:t>ere</w:t>
      </w:r>
      <w:r w:rsidRPr="006C203C">
        <w:t xml:space="preserve"> genuinely open</w:t>
      </w:r>
      <w:r w:rsidR="0098118B" w:rsidRPr="006C203C">
        <w:t xml:space="preserve"> </w:t>
      </w:r>
      <w:r w:rsidR="0098118B" w:rsidRPr="006C203C">
        <w:rPr>
          <w:i/>
          <w:iCs/>
        </w:rPr>
        <w:t>at the time of the agent’s decision</w:t>
      </w:r>
      <w:r w:rsidRPr="006C203C">
        <w:t xml:space="preserve">—that is, </w:t>
      </w:r>
      <w:r w:rsidR="000B0D7F" w:rsidRPr="006C203C">
        <w:t xml:space="preserve">it sounds </w:t>
      </w:r>
      <w:r w:rsidR="00DB25B9" w:rsidRPr="006C203C">
        <w:t xml:space="preserve">to us as if </w:t>
      </w:r>
      <w:r w:rsidRPr="006C203C">
        <w:t xml:space="preserve">the </w:t>
      </w:r>
      <w:r w:rsidR="000B0D7F" w:rsidRPr="006C203C">
        <w:t xml:space="preserve">salient </w:t>
      </w:r>
      <w:r w:rsidRPr="006C203C">
        <w:t xml:space="preserve">alternative beliefs, desires, and thoughts were </w:t>
      </w:r>
      <w:r w:rsidRPr="006C203C">
        <w:rPr>
          <w:i/>
          <w:iCs/>
        </w:rPr>
        <w:t>live options</w:t>
      </w:r>
      <w:r w:rsidRPr="006C203C">
        <w:t xml:space="preserve">. But if determinism is true, given that the past and the laws are already set in stone, the agent’s beliefs, desires, and thoughts could not have </w:t>
      </w:r>
      <w:r w:rsidRPr="006C203C">
        <w:rPr>
          <w:i/>
          <w:iCs/>
        </w:rPr>
        <w:t>actually</w:t>
      </w:r>
      <w:r w:rsidRPr="006C203C">
        <w:t xml:space="preserve"> been different</w:t>
      </w:r>
      <w:r w:rsidR="00DF780E" w:rsidRPr="006C203C">
        <w:t xml:space="preserve"> at the</w:t>
      </w:r>
      <w:r w:rsidR="00592E86" w:rsidRPr="006C203C">
        <w:t xml:space="preserve"> time</w:t>
      </w:r>
      <w:r w:rsidRPr="006C203C">
        <w:t>. In this way, these items</w:t>
      </w:r>
      <w:r w:rsidR="00DF780E" w:rsidRPr="006C203C">
        <w:t xml:space="preserve"> </w:t>
      </w:r>
      <w:r w:rsidR="00F46856" w:rsidRPr="006C203C">
        <w:t xml:space="preserve">may </w:t>
      </w:r>
      <w:r w:rsidR="00DB25B9" w:rsidRPr="006C203C">
        <w:t xml:space="preserve">unwittingly </w:t>
      </w:r>
      <w:r w:rsidRPr="006C203C">
        <w:t xml:space="preserve">smuggle </w:t>
      </w:r>
      <w:r w:rsidR="00B8702C">
        <w:t xml:space="preserve">proximal </w:t>
      </w:r>
      <w:r w:rsidRPr="006C203C">
        <w:t xml:space="preserve">indeterminism </w:t>
      </w:r>
      <w:r w:rsidR="00DF780E" w:rsidRPr="006C203C">
        <w:t xml:space="preserve">in </w:t>
      </w:r>
      <w:r w:rsidRPr="006C203C">
        <w:t>through the back door</w:t>
      </w:r>
      <w:r w:rsidR="000B0D7F" w:rsidRPr="006C203C">
        <w:t>—which</w:t>
      </w:r>
      <w:r w:rsidRPr="006C203C">
        <w:t xml:space="preserve"> is a </w:t>
      </w:r>
      <w:r w:rsidR="00F46856" w:rsidRPr="006C203C">
        <w:t xml:space="preserve">potential </w:t>
      </w:r>
      <w:r w:rsidRPr="006C203C">
        <w:t xml:space="preserve">serious weakness of this measure. For this </w:t>
      </w:r>
      <w:r w:rsidR="00F46856" w:rsidRPr="006C203C">
        <w:t xml:space="preserve">subscale </w:t>
      </w:r>
      <w:r w:rsidRPr="006C203C">
        <w:t xml:space="preserve">to be a measure of the </w:t>
      </w:r>
      <w:r w:rsidRPr="006C203C">
        <w:rPr>
          <w:i/>
          <w:iCs/>
        </w:rPr>
        <w:t>compatibilist</w:t>
      </w:r>
      <w:r w:rsidRPr="006C203C">
        <w:t xml:space="preserve"> ability to do otherwise, Deery and colleagues would have needed to make it clear that </w:t>
      </w:r>
      <w:r w:rsidRPr="006C203C">
        <w:rPr>
          <w:i/>
          <w:iCs/>
        </w:rPr>
        <w:t>at the moment</w:t>
      </w:r>
      <w:r w:rsidRPr="006C203C">
        <w:t xml:space="preserve"> these agents made their decisions, nothing could have </w:t>
      </w:r>
      <w:r w:rsidRPr="006C203C">
        <w:rPr>
          <w:i/>
          <w:iCs/>
        </w:rPr>
        <w:t xml:space="preserve">actually </w:t>
      </w:r>
      <w:r w:rsidRPr="006C203C">
        <w:t>been different given the past and the laws</w:t>
      </w:r>
      <w:r w:rsidR="0098118B" w:rsidRPr="006C203C">
        <w:t xml:space="preserve"> (including the beliefs, desires, and thoughts of the agent)</w:t>
      </w:r>
      <w:r w:rsidRPr="006C203C">
        <w:t xml:space="preserve">. Otherwise, it is open for people to adopt an </w:t>
      </w:r>
      <w:r w:rsidRPr="00B8702C">
        <w:rPr>
          <w:i/>
          <w:iCs/>
        </w:rPr>
        <w:lastRenderedPageBreak/>
        <w:t>unconditional</w:t>
      </w:r>
      <w:r w:rsidRPr="006C203C">
        <w:t xml:space="preserve"> reading of these</w:t>
      </w:r>
      <w:r w:rsidR="00F46856" w:rsidRPr="006C203C">
        <w:t xml:space="preserve"> </w:t>
      </w:r>
      <w:r w:rsidR="00B8702C">
        <w:t xml:space="preserve">purportedly </w:t>
      </w:r>
      <w:r w:rsidRPr="00B8702C">
        <w:rPr>
          <w:i/>
          <w:iCs/>
        </w:rPr>
        <w:t>conditional</w:t>
      </w:r>
      <w:r w:rsidRPr="006C203C">
        <w:t xml:space="preserve"> item</w:t>
      </w:r>
      <w:r w:rsidR="00592E86" w:rsidRPr="006C203C">
        <w:t>s</w:t>
      </w:r>
      <w:r w:rsidRPr="006C203C">
        <w:t>—which we suspect partly explains their results.</w:t>
      </w:r>
      <w:r w:rsidR="00DF780E" w:rsidRPr="006C203C">
        <w:rPr>
          <w:rStyle w:val="FootnoteReference"/>
        </w:rPr>
        <w:footnoteReference w:id="7"/>
      </w:r>
    </w:p>
    <w:p w14:paraId="50C6AEF9" w14:textId="0FCC89E3" w:rsidR="003A7B46" w:rsidRDefault="0098118B" w:rsidP="003A7B46">
      <w:pPr>
        <w:autoSpaceDE w:val="0"/>
        <w:autoSpaceDN w:val="0"/>
        <w:adjustRightInd w:val="0"/>
        <w:spacing w:line="480" w:lineRule="auto"/>
        <w:ind w:firstLine="720"/>
        <w:jc w:val="both"/>
        <w:rPr>
          <w:rFonts w:eastAsiaTheme="minorHAnsi"/>
        </w:rPr>
      </w:pPr>
      <w:r w:rsidRPr="006C203C">
        <w:rPr>
          <w:rFonts w:eastAsiaTheme="minorHAnsi"/>
        </w:rPr>
        <w:t xml:space="preserve">For present purposes, however, we want to bracket these concerns. If we instead take the findings by Deery et al. (2015) at face value, </w:t>
      </w:r>
      <w:r w:rsidR="00196965" w:rsidRPr="006C203C">
        <w:rPr>
          <w:rFonts w:eastAsiaTheme="minorHAnsi"/>
        </w:rPr>
        <w:t xml:space="preserve">what should </w:t>
      </w:r>
      <w:r w:rsidRPr="006C203C">
        <w:rPr>
          <w:rFonts w:eastAsiaTheme="minorHAnsi"/>
        </w:rPr>
        <w:t xml:space="preserve">we </w:t>
      </w:r>
      <w:r w:rsidR="00196965" w:rsidRPr="006C203C">
        <w:rPr>
          <w:rFonts w:eastAsiaTheme="minorHAnsi"/>
        </w:rPr>
        <w:t>make of the</w:t>
      </w:r>
      <w:r w:rsidR="00592E86" w:rsidRPr="006C203C">
        <w:rPr>
          <w:rFonts w:eastAsiaTheme="minorHAnsi"/>
        </w:rPr>
        <w:t xml:space="preserve"> </w:t>
      </w:r>
      <w:r w:rsidR="000B0D7F" w:rsidRPr="006C203C">
        <w:rPr>
          <w:rFonts w:eastAsiaTheme="minorHAnsi"/>
        </w:rPr>
        <w:t xml:space="preserve">scale-based </w:t>
      </w:r>
      <w:r w:rsidR="00196965" w:rsidRPr="006C203C">
        <w:rPr>
          <w:rFonts w:eastAsiaTheme="minorHAnsi"/>
        </w:rPr>
        <w:t>findings</w:t>
      </w:r>
      <w:r w:rsidR="000B0D7F" w:rsidRPr="006C203C">
        <w:rPr>
          <w:rFonts w:eastAsiaTheme="minorHAnsi"/>
        </w:rPr>
        <w:t xml:space="preserve"> </w:t>
      </w:r>
      <w:r w:rsidR="00196965" w:rsidRPr="006C203C">
        <w:rPr>
          <w:rFonts w:eastAsiaTheme="minorHAnsi"/>
        </w:rPr>
        <w:t>where the debate about natural compatibilis</w:t>
      </w:r>
      <w:r w:rsidR="00DD0920">
        <w:rPr>
          <w:rFonts w:eastAsiaTheme="minorHAnsi"/>
        </w:rPr>
        <w:t>m</w:t>
      </w:r>
      <w:r w:rsidR="00196965" w:rsidRPr="006C203C">
        <w:rPr>
          <w:rFonts w:eastAsiaTheme="minorHAnsi"/>
        </w:rPr>
        <w:t xml:space="preserve"> is concerned? In our eyes, not much. Why not? Because the question </w:t>
      </w:r>
      <w:r w:rsidR="00D5405C" w:rsidRPr="006C203C">
        <w:rPr>
          <w:rFonts w:eastAsiaTheme="minorHAnsi"/>
        </w:rPr>
        <w:t>that animates the</w:t>
      </w:r>
      <w:r w:rsidR="00196965" w:rsidRPr="006C203C">
        <w:rPr>
          <w:rFonts w:eastAsiaTheme="minorHAnsi"/>
        </w:rPr>
        <w:t xml:space="preserve"> debate</w:t>
      </w:r>
      <w:r w:rsidR="00D5405C" w:rsidRPr="006C203C">
        <w:rPr>
          <w:rFonts w:eastAsiaTheme="minorHAnsi"/>
        </w:rPr>
        <w:t xml:space="preserve"> about natural compatibilis</w:t>
      </w:r>
      <w:r w:rsidR="000B0D7F" w:rsidRPr="006C203C">
        <w:rPr>
          <w:rFonts w:eastAsiaTheme="minorHAnsi"/>
        </w:rPr>
        <w:t>m</w:t>
      </w:r>
      <w:r w:rsidR="00196965" w:rsidRPr="006C203C">
        <w:rPr>
          <w:rFonts w:eastAsiaTheme="minorHAnsi"/>
        </w:rPr>
        <w:t xml:space="preserve"> is not what most people think </w:t>
      </w:r>
      <w:r w:rsidR="00D5405C" w:rsidRPr="006C203C">
        <w:rPr>
          <w:rFonts w:eastAsiaTheme="minorHAnsi"/>
        </w:rPr>
        <w:t xml:space="preserve">about the ability to do otherwise </w:t>
      </w:r>
      <w:r w:rsidR="00196965" w:rsidRPr="006C203C">
        <w:rPr>
          <w:rFonts w:eastAsiaTheme="minorHAnsi"/>
        </w:rPr>
        <w:t>in the indeterministic world they take themselves to inhabit</w:t>
      </w:r>
      <w:r w:rsidR="00593EAF" w:rsidRPr="006C203C">
        <w:rPr>
          <w:rFonts w:eastAsiaTheme="minorHAnsi"/>
        </w:rPr>
        <w:t xml:space="preserve"> but what people think about this ability in a deterministic universe. </w:t>
      </w:r>
      <w:r w:rsidR="000B0D7F" w:rsidRPr="006C203C">
        <w:rPr>
          <w:rFonts w:eastAsiaTheme="minorHAnsi"/>
        </w:rPr>
        <w:t xml:space="preserve">Because participants in the Deery et al. (2015) studies are allowed to respond to the items of LWIS against the backdrop of their pretheoretical commitment to indeterminism, their responses don’t get at the issue that animates the debate about natural compatibilism—which instead </w:t>
      </w:r>
      <w:r w:rsidR="00F46856" w:rsidRPr="006C203C">
        <w:rPr>
          <w:rFonts w:eastAsiaTheme="minorHAnsi"/>
        </w:rPr>
        <w:t xml:space="preserve">has </w:t>
      </w:r>
      <w:r w:rsidR="000B0D7F" w:rsidRPr="006C203C">
        <w:rPr>
          <w:rFonts w:eastAsiaTheme="minorHAnsi"/>
        </w:rPr>
        <w:t xml:space="preserve">determinism as a backdrop. </w:t>
      </w:r>
      <w:r w:rsidR="001E5938" w:rsidRPr="006C203C">
        <w:rPr>
          <w:rFonts w:eastAsiaTheme="minorHAnsi"/>
        </w:rPr>
        <w:t xml:space="preserve">While the data yielded </w:t>
      </w:r>
      <w:r w:rsidR="000B0D7F" w:rsidRPr="006C203C">
        <w:rPr>
          <w:rFonts w:eastAsiaTheme="minorHAnsi"/>
        </w:rPr>
        <w:t xml:space="preserve">by the scale-based </w:t>
      </w:r>
      <w:r w:rsidR="001E5938" w:rsidRPr="006C203C">
        <w:rPr>
          <w:rFonts w:eastAsiaTheme="minorHAnsi"/>
        </w:rPr>
        <w:t xml:space="preserve">method are interesting and important in their own right, they don’t shed </w:t>
      </w:r>
      <w:r w:rsidR="00F46856" w:rsidRPr="006C203C">
        <w:rPr>
          <w:rFonts w:eastAsiaTheme="minorHAnsi"/>
        </w:rPr>
        <w:t xml:space="preserve">much </w:t>
      </w:r>
      <w:r w:rsidR="001E5938" w:rsidRPr="006C203C">
        <w:rPr>
          <w:rFonts w:eastAsiaTheme="minorHAnsi"/>
        </w:rPr>
        <w:t xml:space="preserve">light on </w:t>
      </w:r>
      <w:r w:rsidR="00D5405C" w:rsidRPr="006C203C">
        <w:rPr>
          <w:rFonts w:eastAsiaTheme="minorHAnsi"/>
        </w:rPr>
        <w:t xml:space="preserve">the issue at hand. Rather, </w:t>
      </w:r>
      <w:r w:rsidR="00196965" w:rsidRPr="006C203C">
        <w:rPr>
          <w:rFonts w:eastAsiaTheme="minorHAnsi"/>
        </w:rPr>
        <w:t xml:space="preserve">the question </w:t>
      </w:r>
      <w:r w:rsidR="00D5405C" w:rsidRPr="006C203C">
        <w:rPr>
          <w:rFonts w:eastAsiaTheme="minorHAnsi"/>
        </w:rPr>
        <w:t>we want to</w:t>
      </w:r>
      <w:r w:rsidR="000B0D7F" w:rsidRPr="006C203C">
        <w:rPr>
          <w:rFonts w:eastAsiaTheme="minorHAnsi"/>
        </w:rPr>
        <w:t xml:space="preserve"> understand</w:t>
      </w:r>
      <w:r w:rsidR="00D5405C" w:rsidRPr="006C203C">
        <w:rPr>
          <w:rFonts w:eastAsiaTheme="minorHAnsi"/>
        </w:rPr>
        <w:t xml:space="preserve"> is</w:t>
      </w:r>
      <w:r w:rsidR="00196965" w:rsidRPr="006C203C">
        <w:rPr>
          <w:rFonts w:eastAsiaTheme="minorHAnsi"/>
        </w:rPr>
        <w:t xml:space="preserve"> what </w:t>
      </w:r>
      <w:r w:rsidR="00D5405C" w:rsidRPr="006C203C">
        <w:rPr>
          <w:rFonts w:eastAsiaTheme="minorHAnsi"/>
        </w:rPr>
        <w:t xml:space="preserve">people </w:t>
      </w:r>
      <w:r w:rsidR="00196965" w:rsidRPr="006C203C">
        <w:rPr>
          <w:rFonts w:eastAsiaTheme="minorHAnsi"/>
        </w:rPr>
        <w:t>think about the</w:t>
      </w:r>
      <w:r w:rsidR="001E5938" w:rsidRPr="006C203C">
        <w:rPr>
          <w:rFonts w:eastAsiaTheme="minorHAnsi"/>
        </w:rPr>
        <w:t xml:space="preserve"> conditional and unconditional </w:t>
      </w:r>
      <w:r w:rsidR="00196965" w:rsidRPr="006C203C">
        <w:rPr>
          <w:rFonts w:eastAsiaTheme="minorHAnsi"/>
        </w:rPr>
        <w:t xml:space="preserve">abilities to do otherwise </w:t>
      </w:r>
      <w:r w:rsidR="001E5938" w:rsidRPr="006C203C">
        <w:rPr>
          <w:rFonts w:eastAsiaTheme="minorHAnsi"/>
        </w:rPr>
        <w:t xml:space="preserve">when </w:t>
      </w:r>
      <w:r w:rsidR="00196965" w:rsidRPr="006C203C">
        <w:rPr>
          <w:rFonts w:eastAsiaTheme="minorHAnsi"/>
        </w:rPr>
        <w:t>asked to assume that the universe is deterministic. While it is noteworthy that people who take themselves to be living in a indeterministic world will endorse, to varying degrees, both the conditional and unconditional abilities to do otherwise, that, by itself, does not s</w:t>
      </w:r>
      <w:r w:rsidR="00E74F56" w:rsidRPr="006C203C">
        <w:rPr>
          <w:rFonts w:eastAsiaTheme="minorHAnsi"/>
        </w:rPr>
        <w:t>peak to</w:t>
      </w:r>
      <w:r w:rsidR="00196965" w:rsidRPr="006C203C">
        <w:rPr>
          <w:rFonts w:eastAsiaTheme="minorHAnsi"/>
        </w:rPr>
        <w:t xml:space="preserve"> the debate about natural compatibilism. As even Deery and colleagues admit, the </w:t>
      </w:r>
      <w:r w:rsidR="00E74F56" w:rsidRPr="006C203C">
        <w:rPr>
          <w:rFonts w:eastAsiaTheme="minorHAnsi"/>
        </w:rPr>
        <w:t xml:space="preserve">scale-based </w:t>
      </w:r>
      <w:r w:rsidR="00196965" w:rsidRPr="006C203C">
        <w:rPr>
          <w:rFonts w:eastAsiaTheme="minorHAnsi"/>
        </w:rPr>
        <w:t xml:space="preserve">approach is a useful </w:t>
      </w:r>
      <w:r w:rsidR="00196965" w:rsidRPr="006C203C">
        <w:rPr>
          <w:rFonts w:eastAsiaTheme="minorHAnsi"/>
          <w:i/>
          <w:iCs/>
        </w:rPr>
        <w:t>adjunct</w:t>
      </w:r>
      <w:r w:rsidR="00196965" w:rsidRPr="006C203C">
        <w:rPr>
          <w:rFonts w:eastAsiaTheme="minorHAnsi"/>
        </w:rPr>
        <w:t xml:space="preserve"> to the conflict method, it cannot </w:t>
      </w:r>
      <w:r w:rsidR="00196965" w:rsidRPr="006C203C">
        <w:rPr>
          <w:rFonts w:eastAsiaTheme="minorHAnsi"/>
          <w:i/>
          <w:iCs/>
        </w:rPr>
        <w:t>replace</w:t>
      </w:r>
      <w:r w:rsidR="00196965" w:rsidRPr="006C203C">
        <w:rPr>
          <w:rFonts w:eastAsiaTheme="minorHAnsi"/>
        </w:rPr>
        <w:t xml:space="preserve"> this method. </w:t>
      </w:r>
    </w:p>
    <w:p w14:paraId="0E19F54B" w14:textId="5EE9F772" w:rsidR="00080350" w:rsidRPr="006C203C" w:rsidRDefault="00196965" w:rsidP="003A7B46">
      <w:pPr>
        <w:autoSpaceDE w:val="0"/>
        <w:autoSpaceDN w:val="0"/>
        <w:adjustRightInd w:val="0"/>
        <w:spacing w:line="480" w:lineRule="auto"/>
        <w:ind w:firstLine="720"/>
        <w:jc w:val="both"/>
        <w:rPr>
          <w:rFonts w:eastAsiaTheme="minorHAnsi"/>
        </w:rPr>
      </w:pPr>
      <w:r w:rsidRPr="006C203C">
        <w:rPr>
          <w:rFonts w:eastAsiaTheme="minorHAnsi"/>
        </w:rPr>
        <w:lastRenderedPageBreak/>
        <w:t xml:space="preserve">At the end of the day, if we want to get at whether people think that the conditional ability </w:t>
      </w:r>
      <w:r w:rsidR="001E5938" w:rsidRPr="006C203C">
        <w:rPr>
          <w:rFonts w:eastAsiaTheme="minorHAnsi"/>
        </w:rPr>
        <w:t xml:space="preserve">to do otherwise </w:t>
      </w:r>
      <w:r w:rsidR="0098118B" w:rsidRPr="006C203C">
        <w:rPr>
          <w:rFonts w:eastAsiaTheme="minorHAnsi"/>
        </w:rPr>
        <w:t xml:space="preserve">can undergird </w:t>
      </w:r>
      <w:r w:rsidRPr="006C203C">
        <w:rPr>
          <w:rFonts w:eastAsiaTheme="minorHAnsi"/>
        </w:rPr>
        <w:t xml:space="preserve">free and responsible agency in a deterministic universe, we have to present them with cases where </w:t>
      </w:r>
      <w:r w:rsidR="001E5938" w:rsidRPr="006C203C">
        <w:rPr>
          <w:rFonts w:eastAsiaTheme="minorHAnsi"/>
        </w:rPr>
        <w:t>these are the background conditions.</w:t>
      </w:r>
      <w:r w:rsidR="003A7B46">
        <w:rPr>
          <w:rFonts w:eastAsiaTheme="minorHAnsi"/>
        </w:rPr>
        <w:t xml:space="preserve"> </w:t>
      </w:r>
      <w:r w:rsidRPr="006C203C">
        <w:rPr>
          <w:rFonts w:eastAsiaTheme="minorHAnsi"/>
        </w:rPr>
        <w:t xml:space="preserve">So, this is </w:t>
      </w:r>
      <w:r w:rsidR="001E5938" w:rsidRPr="006C203C">
        <w:rPr>
          <w:rFonts w:eastAsiaTheme="minorHAnsi"/>
        </w:rPr>
        <w:t xml:space="preserve">precisely </w:t>
      </w:r>
      <w:r w:rsidRPr="006C203C">
        <w:rPr>
          <w:rFonts w:eastAsiaTheme="minorHAnsi"/>
        </w:rPr>
        <w:t xml:space="preserve">what we set out to do. </w:t>
      </w:r>
      <w:r w:rsidR="00080350" w:rsidRPr="006C203C">
        <w:rPr>
          <w:rFonts w:eastAsiaTheme="minorHAnsi"/>
        </w:rPr>
        <w:t xml:space="preserve">Our goal was to build </w:t>
      </w:r>
      <w:r w:rsidRPr="006C203C">
        <w:rPr>
          <w:rFonts w:eastAsiaTheme="minorHAnsi"/>
        </w:rPr>
        <w:t xml:space="preserve">deterministic and indeterministic </w:t>
      </w:r>
      <w:r w:rsidR="00080350" w:rsidRPr="006C203C">
        <w:rPr>
          <w:rFonts w:eastAsiaTheme="minorHAnsi"/>
        </w:rPr>
        <w:t xml:space="preserve">vignettes that emphasize the difference between the conditional and the </w:t>
      </w:r>
      <w:r w:rsidR="00F46856" w:rsidRPr="006C203C">
        <w:rPr>
          <w:rFonts w:eastAsiaTheme="minorHAnsi"/>
        </w:rPr>
        <w:t>un</w:t>
      </w:r>
      <w:r w:rsidR="00080350" w:rsidRPr="006C203C">
        <w:rPr>
          <w:rFonts w:eastAsiaTheme="minorHAnsi"/>
        </w:rPr>
        <w:t>conditional ability to do otherwise. Our prediction was that by highlighting the fact that in a deterministic scenario agents merely have the conditional ability to do otherwise</w:t>
      </w:r>
      <w:r w:rsidR="00E74F56" w:rsidRPr="006C203C">
        <w:rPr>
          <w:rFonts w:eastAsiaTheme="minorHAnsi"/>
        </w:rPr>
        <w:t xml:space="preserve">, </w:t>
      </w:r>
      <w:r w:rsidR="00080350" w:rsidRPr="006C203C">
        <w:rPr>
          <w:rFonts w:eastAsiaTheme="minorHAnsi"/>
        </w:rPr>
        <w:t xml:space="preserve">people’s intuitions would be broadly incompatibilist. As we will now discuss, this prediction was borne out by our findings. </w:t>
      </w:r>
    </w:p>
    <w:p w14:paraId="66445645" w14:textId="73C88DA6" w:rsidR="000077B3" w:rsidRPr="006C203C" w:rsidRDefault="009A515B" w:rsidP="00C41611">
      <w:pPr>
        <w:pStyle w:val="ListParagraph"/>
        <w:numPr>
          <w:ilvl w:val="0"/>
          <w:numId w:val="12"/>
        </w:numPr>
        <w:spacing w:line="480" w:lineRule="auto"/>
        <w:jc w:val="both"/>
        <w:rPr>
          <w:b/>
        </w:rPr>
      </w:pPr>
      <w:r w:rsidRPr="006C203C">
        <w:rPr>
          <w:b/>
        </w:rPr>
        <w:t>Testing the Conditional Ability to Do Otherwise</w:t>
      </w:r>
      <w:r w:rsidR="00D06446" w:rsidRPr="006C203C">
        <w:rPr>
          <w:b/>
        </w:rPr>
        <w:tab/>
      </w:r>
    </w:p>
    <w:p w14:paraId="66E69C7A" w14:textId="148B8F3A" w:rsidR="009A515B" w:rsidRPr="006C203C" w:rsidRDefault="00343178" w:rsidP="00343178">
      <w:pPr>
        <w:pStyle w:val="ListParagraph"/>
        <w:numPr>
          <w:ilvl w:val="1"/>
          <w:numId w:val="12"/>
        </w:numPr>
        <w:spacing w:line="480" w:lineRule="auto"/>
        <w:jc w:val="both"/>
        <w:rPr>
          <w:i/>
        </w:rPr>
      </w:pPr>
      <w:r w:rsidRPr="006C203C">
        <w:rPr>
          <w:i/>
        </w:rPr>
        <w:t xml:space="preserve"> </w:t>
      </w:r>
      <w:r w:rsidR="009A515B" w:rsidRPr="006C203C">
        <w:rPr>
          <w:i/>
        </w:rPr>
        <w:t>Aims of Present Studies</w:t>
      </w:r>
    </w:p>
    <w:p w14:paraId="16AC5092" w14:textId="22407CCF" w:rsidR="00B074AA" w:rsidRPr="006C203C" w:rsidRDefault="009A515B" w:rsidP="00C918BB">
      <w:pPr>
        <w:spacing w:line="480" w:lineRule="auto"/>
        <w:jc w:val="both"/>
      </w:pPr>
      <w:r w:rsidRPr="006C203C">
        <w:t>We had several goals</w:t>
      </w:r>
      <w:r w:rsidR="00080350" w:rsidRPr="006C203C">
        <w:t xml:space="preserve"> with these three studies</w:t>
      </w:r>
      <w:r w:rsidRPr="006C203C">
        <w:t xml:space="preserve">. First, </w:t>
      </w:r>
      <w:r w:rsidR="0067684A" w:rsidRPr="006C203C">
        <w:t xml:space="preserve">our primary goal was to </w:t>
      </w:r>
      <w:r w:rsidRPr="006C203C">
        <w:t xml:space="preserve">explore people’s </w:t>
      </w:r>
      <w:r w:rsidR="007565DE" w:rsidRPr="006C203C">
        <w:t>intuitions</w:t>
      </w:r>
      <w:r w:rsidRPr="006C203C">
        <w:t xml:space="preserve"> about free will and moral responsibility in cases where the focus was on indeterministic scenarios involving the unconditional ability to do otherwise or deterministic scenarios involving the conditional ability to do otherwise. Here </w:t>
      </w:r>
      <w:r w:rsidR="00B074AA" w:rsidRPr="006C203C">
        <w:t xml:space="preserve">we wanted to </w:t>
      </w:r>
      <w:r w:rsidRPr="006C203C">
        <w:t xml:space="preserve">really emphasize what follows from these two types of abilities in terms of choice and action. </w:t>
      </w:r>
      <w:r w:rsidR="00B074AA" w:rsidRPr="006C203C">
        <w:t xml:space="preserve">To help accomplish this goal, we decided to use a series of follow up statements </w:t>
      </w:r>
      <w:r w:rsidR="00080350" w:rsidRPr="006C203C">
        <w:t xml:space="preserve">for all three studies </w:t>
      </w:r>
      <w:r w:rsidR="00B074AA" w:rsidRPr="006C203C">
        <w:t xml:space="preserve">that would enable us to clearly ascertain whether participants properly understood the deterministic </w:t>
      </w:r>
      <w:r w:rsidR="0098118B" w:rsidRPr="006C203C">
        <w:t xml:space="preserve">implications </w:t>
      </w:r>
      <w:r w:rsidR="00B074AA" w:rsidRPr="006C203C">
        <w:t>of the scenario.</w:t>
      </w:r>
      <w:r w:rsidR="00B074AA" w:rsidRPr="006C203C">
        <w:rPr>
          <w:rStyle w:val="FootnoteReference"/>
        </w:rPr>
        <w:footnoteReference w:id="8"/>
      </w:r>
      <w:r w:rsidR="00B074AA" w:rsidRPr="006C203C">
        <w:t xml:space="preserve"> </w:t>
      </w:r>
      <w:r w:rsidRPr="006C203C">
        <w:t>Second, we wanted to compare indeterministic scenarios with neurodeterminisic scenarios—that is, scenarios where the determinism is partly explained at the neurological level. Here our motivation was the early work on neuroprediction by Nahmias and colleagues (2007)</w:t>
      </w:r>
      <w:r w:rsidR="007244EB" w:rsidRPr="006C203C">
        <w:t xml:space="preserve">—which </w:t>
      </w:r>
      <w:r w:rsidR="00080350" w:rsidRPr="006C203C">
        <w:t xml:space="preserve">suggests </w:t>
      </w:r>
      <w:r w:rsidR="007244EB" w:rsidRPr="006C203C">
        <w:t xml:space="preserve">that people find neurodeterminism more threatening to agency and responsibility than determinism </w:t>
      </w:r>
      <w:r w:rsidR="007244EB" w:rsidRPr="006C203C">
        <w:rPr>
          <w:i/>
        </w:rPr>
        <w:t xml:space="preserve">per </w:t>
      </w:r>
      <w:r w:rsidR="007244EB" w:rsidRPr="006C203C">
        <w:rPr>
          <w:i/>
        </w:rPr>
        <w:lastRenderedPageBreak/>
        <w:t>se</w:t>
      </w:r>
      <w:r w:rsidRPr="006C203C">
        <w:t>.</w:t>
      </w:r>
      <w:r w:rsidRPr="006C203C">
        <w:rPr>
          <w:rStyle w:val="FootnoteReference"/>
        </w:rPr>
        <w:footnoteReference w:id="9"/>
      </w:r>
      <w:r w:rsidRPr="006C203C">
        <w:t xml:space="preserve"> </w:t>
      </w:r>
      <w:r w:rsidR="00080350" w:rsidRPr="006C203C">
        <w:t xml:space="preserve">By exploring people’s intuitions about the conditional ability to do otherwise in neurodeterministic scenarios, we will be able to broaden the scope of our investigation on this front. </w:t>
      </w:r>
      <w:r w:rsidRPr="006C203C">
        <w:t xml:space="preserve">Third, </w:t>
      </w:r>
      <w:r w:rsidR="007244EB" w:rsidRPr="006C203C">
        <w:t>we wanted to explore</w:t>
      </w:r>
      <w:r w:rsidRPr="006C203C">
        <w:t xml:space="preserve"> whether focusing on the conditional ability to do otherwise in deterministic universes would short-circuit or override the influence that affectively charged actions like murder have on people’s intuitions about agency and responsibility. Here we wanted to</w:t>
      </w:r>
      <w:r w:rsidR="007244EB" w:rsidRPr="006C203C">
        <w:t xml:space="preserve"> see </w:t>
      </w:r>
      <w:r w:rsidRPr="006C203C">
        <w:t xml:space="preserve">whether once the full implications of determinism were made clear to participants, they would </w:t>
      </w:r>
      <w:r w:rsidR="0000108A" w:rsidRPr="006C203C">
        <w:t xml:space="preserve">still </w:t>
      </w:r>
      <w:r w:rsidRPr="006C203C">
        <w:t>find people free and responsible even in concrete situations involving immoral actions.</w:t>
      </w:r>
      <w:r w:rsidR="00B074AA" w:rsidRPr="006C203C">
        <w:t xml:space="preserve"> </w:t>
      </w:r>
      <w:r w:rsidR="00080350" w:rsidRPr="006C203C">
        <w:t xml:space="preserve">Given that past research suggests that negatively valenced scenarios tend to prime </w:t>
      </w:r>
      <w:r w:rsidR="00080350" w:rsidRPr="006C203C">
        <w:rPr>
          <w:i/>
          <w:iCs/>
        </w:rPr>
        <w:t>compatibilist</w:t>
      </w:r>
      <w:r w:rsidR="00080350" w:rsidRPr="006C203C">
        <w:t xml:space="preserve"> intuitions, if we can elicit </w:t>
      </w:r>
      <w:r w:rsidR="00080350" w:rsidRPr="006C203C">
        <w:rPr>
          <w:i/>
          <w:iCs/>
        </w:rPr>
        <w:t>incompatibilist</w:t>
      </w:r>
      <w:r w:rsidR="00080350" w:rsidRPr="006C203C">
        <w:t xml:space="preserve"> intuitions by focusing on the conditional ability to do otherwise, this will strengthen our findings. </w:t>
      </w:r>
    </w:p>
    <w:p w14:paraId="583793AF" w14:textId="35946DF5" w:rsidR="001026BC" w:rsidRPr="006C203C" w:rsidRDefault="00B074AA" w:rsidP="00C918BB">
      <w:pPr>
        <w:spacing w:line="480" w:lineRule="auto"/>
        <w:jc w:val="both"/>
      </w:pPr>
      <w:r w:rsidRPr="006C203C">
        <w:tab/>
        <w:t>Th</w:t>
      </w:r>
      <w:r w:rsidR="00080350" w:rsidRPr="006C203C">
        <w:t>ese</w:t>
      </w:r>
      <w:r w:rsidRPr="006C203C">
        <w:t xml:space="preserve"> three goals represent the </w:t>
      </w:r>
      <w:r w:rsidR="00080350" w:rsidRPr="006C203C">
        <w:t xml:space="preserve">main focus of our </w:t>
      </w:r>
      <w:r w:rsidRPr="006C203C">
        <w:t>project since they enable us to explore people’s intuitions about free will and responsibility, on the one hand, and</w:t>
      </w:r>
      <w:r w:rsidR="00BB581C" w:rsidRPr="006C203C">
        <w:t xml:space="preserve"> the conditional and unconditional abilit</w:t>
      </w:r>
      <w:r w:rsidR="00080350" w:rsidRPr="006C203C">
        <w:t>ies</w:t>
      </w:r>
      <w:r w:rsidR="00BB581C" w:rsidRPr="006C203C">
        <w:t xml:space="preserve"> to do otherwise, on the other hand, across a variety of deterministic and indeterministic scenarios using both neutral and negatively valenced actions. We didn’t just want to use one </w:t>
      </w:r>
      <w:r w:rsidR="00EF1C8E" w:rsidRPr="006C203C">
        <w:t xml:space="preserve">type of </w:t>
      </w:r>
      <w:r w:rsidR="00BB581C" w:rsidRPr="006C203C">
        <w:t xml:space="preserve">scenario or </w:t>
      </w:r>
      <w:r w:rsidR="00EF1C8E" w:rsidRPr="006C203C">
        <w:t xml:space="preserve">one </w:t>
      </w:r>
      <w:r w:rsidR="00BB581C" w:rsidRPr="006C203C">
        <w:t xml:space="preserve">type of action. We wanted to get at a broader spectrum of intuitions. As a secondary interest, </w:t>
      </w:r>
      <w:r w:rsidR="009A515B" w:rsidRPr="006C203C">
        <w:t xml:space="preserve">we </w:t>
      </w:r>
      <w:r w:rsidR="00BB581C" w:rsidRPr="006C203C">
        <w:t xml:space="preserve">also </w:t>
      </w:r>
      <w:r w:rsidR="009A515B" w:rsidRPr="006C203C">
        <w:t xml:space="preserve">wanted to see whether people’s </w:t>
      </w:r>
      <w:r w:rsidR="007565DE" w:rsidRPr="006C203C">
        <w:t>intuitions</w:t>
      </w:r>
      <w:r w:rsidR="009A515B" w:rsidRPr="006C203C">
        <w:t xml:space="preserve"> across these cases would differ depending on whether the scenarios were worded in the first person or the third person. </w:t>
      </w:r>
      <w:r w:rsidR="007244EB" w:rsidRPr="006C203C">
        <w:t xml:space="preserve">Here </w:t>
      </w:r>
      <w:r w:rsidR="00080350" w:rsidRPr="006C203C">
        <w:t xml:space="preserve">we </w:t>
      </w:r>
      <w:r w:rsidR="007244EB" w:rsidRPr="006C203C">
        <w:t>dr</w:t>
      </w:r>
      <w:r w:rsidR="00BB581C" w:rsidRPr="006C203C">
        <w:t>e</w:t>
      </w:r>
      <w:r w:rsidR="007244EB" w:rsidRPr="006C203C">
        <w:t xml:space="preserve">w on the </w:t>
      </w:r>
      <w:r w:rsidR="00CD0190" w:rsidRPr="006C203C">
        <w:t xml:space="preserve">research </w:t>
      </w:r>
      <w:r w:rsidR="00FE0D8B" w:rsidRPr="006C203C">
        <w:t xml:space="preserve">on </w:t>
      </w:r>
      <w:r w:rsidR="007244EB" w:rsidRPr="006C203C">
        <w:t xml:space="preserve">motivated </w:t>
      </w:r>
      <w:r w:rsidR="00DC29FF" w:rsidRPr="006C203C">
        <w:t xml:space="preserve">social </w:t>
      </w:r>
      <w:r w:rsidR="007244EB" w:rsidRPr="006C203C">
        <w:t xml:space="preserve">cognition and judgments about agency and responsibility (Clarke et al., 2014; </w:t>
      </w:r>
      <w:r w:rsidR="00CD0190" w:rsidRPr="006C203C">
        <w:t xml:space="preserve">Lerner, 1980; </w:t>
      </w:r>
      <w:r w:rsidR="007244EB" w:rsidRPr="006C203C">
        <w:t xml:space="preserve">Ross, 1977; Taylor &amp; Brown, 1988). </w:t>
      </w:r>
      <w:r w:rsidRPr="006C203C">
        <w:t xml:space="preserve">This </w:t>
      </w:r>
      <w:r w:rsidR="00EF1C8E" w:rsidRPr="006C203C">
        <w:t xml:space="preserve">second </w:t>
      </w:r>
      <w:r w:rsidRPr="006C203C">
        <w:t xml:space="preserve">part of our project was not our core concern. But it was easy enough to add a </w:t>
      </w:r>
      <w:r w:rsidR="00080350" w:rsidRPr="006C203C">
        <w:t xml:space="preserve">self-other </w:t>
      </w:r>
      <w:r w:rsidRPr="006C203C">
        <w:t xml:space="preserve">component to our experimental design—which is what we decided to do. </w:t>
      </w:r>
      <w:r w:rsidR="00080350" w:rsidRPr="006C203C">
        <w:t xml:space="preserve">While this self-other </w:t>
      </w:r>
      <w:r w:rsidR="00EF1C8E" w:rsidRPr="006C203C">
        <w:t xml:space="preserve">element </w:t>
      </w:r>
      <w:r w:rsidR="00BB581C" w:rsidRPr="006C203C">
        <w:t xml:space="preserve">didn’t </w:t>
      </w:r>
      <w:r w:rsidR="00EF1C8E" w:rsidRPr="006C203C">
        <w:t xml:space="preserve">directly </w:t>
      </w:r>
      <w:r w:rsidR="00BB581C" w:rsidRPr="006C203C">
        <w:t xml:space="preserve">speak to the divide between the conditional and unconditional ability to do </w:t>
      </w:r>
      <w:r w:rsidR="00BB581C" w:rsidRPr="006C203C">
        <w:lastRenderedPageBreak/>
        <w:t>otherwise</w:t>
      </w:r>
      <w:r w:rsidR="00080350" w:rsidRPr="006C203C">
        <w:t xml:space="preserve"> per se</w:t>
      </w:r>
      <w:r w:rsidR="00BB581C" w:rsidRPr="006C203C">
        <w:t xml:space="preserve">, it did speak to the natural compatibilism debate more generally—since we </w:t>
      </w:r>
      <w:r w:rsidR="00080350" w:rsidRPr="006C203C">
        <w:t xml:space="preserve">predicted that </w:t>
      </w:r>
      <w:r w:rsidR="00BB581C" w:rsidRPr="006C203C">
        <w:t xml:space="preserve">people would be more incompatibilist when judging themselves and more compatibilist when judging others. So, we thought it was worth testing for this </w:t>
      </w:r>
      <w:r w:rsidR="00080350" w:rsidRPr="006C203C">
        <w:t xml:space="preserve">prediction </w:t>
      </w:r>
      <w:r w:rsidR="00BB581C" w:rsidRPr="006C203C">
        <w:t xml:space="preserve">while we were already administering </w:t>
      </w:r>
      <w:r w:rsidR="00080350" w:rsidRPr="006C203C">
        <w:t xml:space="preserve">our </w:t>
      </w:r>
      <w:r w:rsidR="00BB581C" w:rsidRPr="006C203C">
        <w:t>studies.</w:t>
      </w:r>
    </w:p>
    <w:p w14:paraId="4D3C8B09" w14:textId="6C9B7972" w:rsidR="00DC29FF" w:rsidRPr="006C203C" w:rsidRDefault="00080350" w:rsidP="00DC29FF">
      <w:pPr>
        <w:spacing w:line="480" w:lineRule="auto"/>
        <w:ind w:firstLine="720"/>
        <w:jc w:val="both"/>
      </w:pPr>
      <w:r w:rsidRPr="006C203C">
        <w:t xml:space="preserve">In light of these our goals, </w:t>
      </w:r>
      <w:r w:rsidR="009A515B" w:rsidRPr="006C203C">
        <w:t xml:space="preserve">we designed a series of vignettes and follow up statements and </w:t>
      </w:r>
      <w:r w:rsidR="00DD0920">
        <w:t xml:space="preserve">we </w:t>
      </w:r>
      <w:r w:rsidR="009A515B" w:rsidRPr="006C203C">
        <w:t xml:space="preserve">made </w:t>
      </w:r>
      <w:r w:rsidR="00EF1C8E" w:rsidRPr="006C203C">
        <w:t xml:space="preserve">the following </w:t>
      </w:r>
      <w:r w:rsidR="009A515B" w:rsidRPr="006C203C">
        <w:t>predictions</w:t>
      </w:r>
      <w:r w:rsidR="00DC29FF" w:rsidRPr="006C203C">
        <w:t>:</w:t>
      </w:r>
      <w:r w:rsidR="009A515B" w:rsidRPr="006C203C">
        <w:rPr>
          <w:rStyle w:val="FootnoteReference"/>
        </w:rPr>
        <w:footnoteReference w:id="10"/>
      </w:r>
      <w:r w:rsidR="009A515B" w:rsidRPr="006C203C">
        <w:t xml:space="preserve"> </w:t>
      </w:r>
    </w:p>
    <w:p w14:paraId="2A95F531" w14:textId="60B5C752" w:rsidR="001026BC" w:rsidRPr="006C203C" w:rsidRDefault="00BB581C" w:rsidP="00DC29FF">
      <w:pPr>
        <w:pStyle w:val="ListParagraph"/>
        <w:numPr>
          <w:ilvl w:val="0"/>
          <w:numId w:val="8"/>
        </w:numPr>
        <w:jc w:val="both"/>
        <w:rPr>
          <w:rFonts w:eastAsiaTheme="minorHAnsi"/>
        </w:rPr>
      </w:pPr>
      <w:r w:rsidRPr="006C203C">
        <w:rPr>
          <w:rFonts w:eastAsiaTheme="minorHAnsi"/>
        </w:rPr>
        <w:t xml:space="preserve">Attributions of </w:t>
      </w:r>
      <w:r w:rsidR="001026BC" w:rsidRPr="006C203C">
        <w:rPr>
          <w:rFonts w:eastAsiaTheme="minorHAnsi"/>
        </w:rPr>
        <w:t xml:space="preserve">free will and responsibility </w:t>
      </w:r>
      <w:r w:rsidR="00AF1C88" w:rsidRPr="006C203C">
        <w:rPr>
          <w:rFonts w:eastAsiaTheme="minorHAnsi"/>
        </w:rPr>
        <w:t xml:space="preserve">would be </w:t>
      </w:r>
      <w:r w:rsidR="00AF1C88" w:rsidRPr="006C203C">
        <w:rPr>
          <w:rFonts w:eastAsiaTheme="minorHAnsi"/>
          <w:u w:val="single"/>
        </w:rPr>
        <w:t xml:space="preserve">lower </w:t>
      </w:r>
      <w:r w:rsidR="001026BC" w:rsidRPr="006C203C">
        <w:rPr>
          <w:rFonts w:eastAsiaTheme="minorHAnsi"/>
        </w:rPr>
        <w:t>in the determinis</w:t>
      </w:r>
      <w:r w:rsidR="00CD0190" w:rsidRPr="006C203C">
        <w:rPr>
          <w:rFonts w:eastAsiaTheme="minorHAnsi"/>
        </w:rPr>
        <w:t>tic</w:t>
      </w:r>
      <w:r w:rsidR="001026BC" w:rsidRPr="006C203C">
        <w:rPr>
          <w:rFonts w:eastAsiaTheme="minorHAnsi"/>
        </w:rPr>
        <w:t xml:space="preserve"> scenarios</w:t>
      </w:r>
      <w:r w:rsidR="0067684A" w:rsidRPr="006C203C">
        <w:rPr>
          <w:rFonts w:eastAsiaTheme="minorHAnsi"/>
        </w:rPr>
        <w:t xml:space="preserve"> </w:t>
      </w:r>
      <w:r w:rsidR="00AF1C88" w:rsidRPr="006C203C">
        <w:rPr>
          <w:rFonts w:eastAsiaTheme="minorHAnsi"/>
        </w:rPr>
        <w:t xml:space="preserve">where agents </w:t>
      </w:r>
      <w:r w:rsidR="0067684A" w:rsidRPr="006C203C">
        <w:rPr>
          <w:rFonts w:eastAsiaTheme="minorHAnsi"/>
        </w:rPr>
        <w:t>merely have the conditional ability to do otherwise</w:t>
      </w:r>
      <w:r w:rsidR="001026BC" w:rsidRPr="006C203C">
        <w:rPr>
          <w:rFonts w:eastAsiaTheme="minorHAnsi"/>
        </w:rPr>
        <w:t xml:space="preserve"> than </w:t>
      </w:r>
      <w:r w:rsidR="00AF1C88" w:rsidRPr="006C203C">
        <w:rPr>
          <w:rFonts w:eastAsiaTheme="minorHAnsi"/>
        </w:rPr>
        <w:t xml:space="preserve">in </w:t>
      </w:r>
      <w:r w:rsidR="0067684A" w:rsidRPr="006C203C">
        <w:rPr>
          <w:rFonts w:eastAsiaTheme="minorHAnsi"/>
        </w:rPr>
        <w:t xml:space="preserve">the </w:t>
      </w:r>
      <w:r w:rsidR="00FE0D8B" w:rsidRPr="006C203C">
        <w:rPr>
          <w:rFonts w:eastAsiaTheme="minorHAnsi"/>
        </w:rPr>
        <w:t>in</w:t>
      </w:r>
      <w:r w:rsidR="001026BC" w:rsidRPr="006C203C">
        <w:rPr>
          <w:rFonts w:eastAsiaTheme="minorHAnsi"/>
        </w:rPr>
        <w:t>determinis</w:t>
      </w:r>
      <w:r w:rsidR="00CD0190" w:rsidRPr="006C203C">
        <w:rPr>
          <w:rFonts w:eastAsiaTheme="minorHAnsi"/>
        </w:rPr>
        <w:t>tic</w:t>
      </w:r>
      <w:r w:rsidR="001026BC" w:rsidRPr="006C203C">
        <w:rPr>
          <w:rFonts w:eastAsiaTheme="minorHAnsi"/>
        </w:rPr>
        <w:t xml:space="preserve"> scenarios</w:t>
      </w:r>
      <w:r w:rsidR="0067684A" w:rsidRPr="006C203C">
        <w:rPr>
          <w:rFonts w:eastAsiaTheme="minorHAnsi"/>
        </w:rPr>
        <w:t xml:space="preserve"> </w:t>
      </w:r>
      <w:r w:rsidR="00AF1C88" w:rsidRPr="006C203C">
        <w:rPr>
          <w:rFonts w:eastAsiaTheme="minorHAnsi"/>
        </w:rPr>
        <w:t xml:space="preserve">where agents </w:t>
      </w:r>
      <w:r w:rsidR="0067684A" w:rsidRPr="006C203C">
        <w:rPr>
          <w:rFonts w:eastAsiaTheme="minorHAnsi"/>
        </w:rPr>
        <w:t>have the unconditional ability to do otherwise</w:t>
      </w:r>
      <w:r w:rsidR="001026BC" w:rsidRPr="006C203C">
        <w:rPr>
          <w:rFonts w:eastAsiaTheme="minorHAnsi"/>
        </w:rPr>
        <w:t>.</w:t>
      </w:r>
      <w:r w:rsidR="00C404CC" w:rsidRPr="006C203C">
        <w:rPr>
          <w:rFonts w:eastAsiaTheme="minorHAnsi"/>
        </w:rPr>
        <w:t xml:space="preserve"> This would provide evidence for natural incompatibilism.</w:t>
      </w:r>
    </w:p>
    <w:p w14:paraId="55EC1C29" w14:textId="5CAF8B88" w:rsidR="001026BC" w:rsidRPr="006C203C" w:rsidRDefault="00AF1C88" w:rsidP="00DC29FF">
      <w:pPr>
        <w:numPr>
          <w:ilvl w:val="0"/>
          <w:numId w:val="8"/>
        </w:numPr>
        <w:spacing w:after="160"/>
        <w:contextualSpacing/>
        <w:jc w:val="both"/>
        <w:rPr>
          <w:rFonts w:eastAsiaTheme="minorHAnsi"/>
        </w:rPr>
      </w:pPr>
      <w:r w:rsidRPr="006C203C">
        <w:rPr>
          <w:rFonts w:eastAsiaTheme="minorHAnsi"/>
        </w:rPr>
        <w:t xml:space="preserve">Attributions of </w:t>
      </w:r>
      <w:r w:rsidR="00C404CC" w:rsidRPr="006C203C">
        <w:rPr>
          <w:rFonts w:eastAsiaTheme="minorHAnsi"/>
        </w:rPr>
        <w:t xml:space="preserve">free </w:t>
      </w:r>
      <w:r w:rsidR="001026BC" w:rsidRPr="006C203C">
        <w:rPr>
          <w:rFonts w:eastAsiaTheme="minorHAnsi"/>
        </w:rPr>
        <w:t xml:space="preserve">will and responsibility </w:t>
      </w:r>
      <w:r w:rsidRPr="006C203C">
        <w:rPr>
          <w:rFonts w:eastAsiaTheme="minorHAnsi"/>
        </w:rPr>
        <w:t xml:space="preserve">would be </w:t>
      </w:r>
      <w:r w:rsidRPr="006C203C">
        <w:rPr>
          <w:rFonts w:eastAsiaTheme="minorHAnsi"/>
          <w:u w:val="single"/>
        </w:rPr>
        <w:t>lower</w:t>
      </w:r>
      <w:r w:rsidRPr="006C203C">
        <w:rPr>
          <w:rFonts w:eastAsiaTheme="minorHAnsi"/>
        </w:rPr>
        <w:t xml:space="preserve"> </w:t>
      </w:r>
      <w:r w:rsidR="001026BC" w:rsidRPr="006C203C">
        <w:rPr>
          <w:rFonts w:eastAsiaTheme="minorHAnsi"/>
        </w:rPr>
        <w:t>in the neurodeterminis</w:t>
      </w:r>
      <w:r w:rsidR="00CD0190" w:rsidRPr="006C203C">
        <w:rPr>
          <w:rFonts w:eastAsiaTheme="minorHAnsi"/>
        </w:rPr>
        <w:t>tic</w:t>
      </w:r>
      <w:r w:rsidR="001026BC" w:rsidRPr="006C203C">
        <w:rPr>
          <w:rFonts w:eastAsiaTheme="minorHAnsi"/>
        </w:rPr>
        <w:t xml:space="preserve"> scenarios</w:t>
      </w:r>
      <w:r w:rsidR="0067684A" w:rsidRPr="006C203C">
        <w:rPr>
          <w:rFonts w:eastAsiaTheme="minorHAnsi"/>
        </w:rPr>
        <w:t xml:space="preserve"> wh</w:t>
      </w:r>
      <w:r w:rsidRPr="006C203C">
        <w:rPr>
          <w:rFonts w:eastAsiaTheme="minorHAnsi"/>
        </w:rPr>
        <w:t>ere agents</w:t>
      </w:r>
      <w:r w:rsidR="0067684A" w:rsidRPr="006C203C">
        <w:rPr>
          <w:rFonts w:eastAsiaTheme="minorHAnsi"/>
        </w:rPr>
        <w:t xml:space="preserve"> merely have the conditional ability to do otherwise</w:t>
      </w:r>
      <w:r w:rsidR="001026BC" w:rsidRPr="006C203C">
        <w:rPr>
          <w:rFonts w:eastAsiaTheme="minorHAnsi"/>
        </w:rPr>
        <w:t xml:space="preserve"> than </w:t>
      </w:r>
      <w:r w:rsidR="0067684A" w:rsidRPr="006C203C">
        <w:rPr>
          <w:rFonts w:eastAsiaTheme="minorHAnsi"/>
        </w:rPr>
        <w:t xml:space="preserve">in the </w:t>
      </w:r>
      <w:r w:rsidR="001026BC" w:rsidRPr="006C203C">
        <w:rPr>
          <w:rFonts w:eastAsiaTheme="minorHAnsi"/>
        </w:rPr>
        <w:t>indeterminis</w:t>
      </w:r>
      <w:r w:rsidR="00CD0190" w:rsidRPr="006C203C">
        <w:rPr>
          <w:rFonts w:eastAsiaTheme="minorHAnsi"/>
        </w:rPr>
        <w:t>tic</w:t>
      </w:r>
      <w:r w:rsidR="001026BC" w:rsidRPr="006C203C">
        <w:rPr>
          <w:rFonts w:eastAsiaTheme="minorHAnsi"/>
        </w:rPr>
        <w:t xml:space="preserve"> scenarios</w:t>
      </w:r>
      <w:r w:rsidR="0067684A" w:rsidRPr="006C203C">
        <w:rPr>
          <w:rFonts w:eastAsiaTheme="minorHAnsi"/>
        </w:rPr>
        <w:t xml:space="preserve"> </w:t>
      </w:r>
      <w:r w:rsidRPr="006C203C">
        <w:rPr>
          <w:rFonts w:eastAsiaTheme="minorHAnsi"/>
        </w:rPr>
        <w:t>where agents</w:t>
      </w:r>
      <w:r w:rsidR="0067684A" w:rsidRPr="006C203C">
        <w:rPr>
          <w:rFonts w:eastAsiaTheme="minorHAnsi"/>
        </w:rPr>
        <w:t xml:space="preserve"> have the unconditional ability to do otherwise</w:t>
      </w:r>
      <w:r w:rsidR="001026BC" w:rsidRPr="006C203C">
        <w:rPr>
          <w:rFonts w:eastAsiaTheme="minorHAnsi"/>
        </w:rPr>
        <w:t>.</w:t>
      </w:r>
      <w:r w:rsidR="00C404CC" w:rsidRPr="006C203C">
        <w:rPr>
          <w:rFonts w:eastAsiaTheme="minorHAnsi"/>
        </w:rPr>
        <w:t xml:space="preserve"> This</w:t>
      </w:r>
      <w:r w:rsidR="00EF1C8E" w:rsidRPr="006C203C">
        <w:rPr>
          <w:rFonts w:eastAsiaTheme="minorHAnsi"/>
        </w:rPr>
        <w:t>, too,</w:t>
      </w:r>
      <w:r w:rsidR="00C404CC" w:rsidRPr="006C203C">
        <w:rPr>
          <w:rFonts w:eastAsiaTheme="minorHAnsi"/>
        </w:rPr>
        <w:t xml:space="preserve"> would provide evidence for natural incompatibilism. </w:t>
      </w:r>
    </w:p>
    <w:p w14:paraId="5E01360C" w14:textId="5DEDBC2F" w:rsidR="001026BC" w:rsidRPr="006C203C" w:rsidRDefault="00AF1C88" w:rsidP="00C918BB">
      <w:pPr>
        <w:numPr>
          <w:ilvl w:val="0"/>
          <w:numId w:val="8"/>
        </w:numPr>
        <w:spacing w:after="160" w:line="259" w:lineRule="auto"/>
        <w:contextualSpacing/>
        <w:jc w:val="both"/>
        <w:rPr>
          <w:rFonts w:eastAsiaTheme="minorHAnsi"/>
        </w:rPr>
      </w:pPr>
      <w:r w:rsidRPr="006C203C">
        <w:rPr>
          <w:rFonts w:eastAsiaTheme="minorHAnsi"/>
        </w:rPr>
        <w:t xml:space="preserve">Attributions of free will and responsibility would be </w:t>
      </w:r>
      <w:r w:rsidRPr="006C203C">
        <w:rPr>
          <w:rFonts w:eastAsiaTheme="minorHAnsi"/>
          <w:u w:val="single"/>
        </w:rPr>
        <w:t>lower</w:t>
      </w:r>
      <w:r w:rsidRPr="006C203C">
        <w:rPr>
          <w:rFonts w:eastAsiaTheme="minorHAnsi"/>
        </w:rPr>
        <w:t xml:space="preserve"> </w:t>
      </w:r>
      <w:r w:rsidR="001026BC" w:rsidRPr="006C203C">
        <w:rPr>
          <w:rFonts w:eastAsiaTheme="minorHAnsi"/>
        </w:rPr>
        <w:t xml:space="preserve">in the </w:t>
      </w:r>
      <w:r w:rsidR="00C404CC" w:rsidRPr="006C203C">
        <w:rPr>
          <w:rFonts w:eastAsiaTheme="minorHAnsi"/>
        </w:rPr>
        <w:t xml:space="preserve">negatively valenced </w:t>
      </w:r>
      <w:r w:rsidR="001026BC" w:rsidRPr="006C203C">
        <w:rPr>
          <w:rFonts w:eastAsiaTheme="minorHAnsi"/>
        </w:rPr>
        <w:t>neurodeterminis</w:t>
      </w:r>
      <w:r w:rsidR="00CD0190" w:rsidRPr="006C203C">
        <w:rPr>
          <w:rFonts w:eastAsiaTheme="minorHAnsi"/>
        </w:rPr>
        <w:t>tic</w:t>
      </w:r>
      <w:r w:rsidR="001026BC" w:rsidRPr="006C203C">
        <w:rPr>
          <w:rFonts w:eastAsiaTheme="minorHAnsi"/>
        </w:rPr>
        <w:t xml:space="preserve"> scenario </w:t>
      </w:r>
      <w:r w:rsidR="0067684A" w:rsidRPr="006C203C">
        <w:rPr>
          <w:rFonts w:eastAsiaTheme="minorHAnsi"/>
        </w:rPr>
        <w:t xml:space="preserve">where </w:t>
      </w:r>
      <w:r w:rsidR="00C404CC" w:rsidRPr="006C203C">
        <w:rPr>
          <w:rFonts w:eastAsiaTheme="minorHAnsi"/>
        </w:rPr>
        <w:t>the agent</w:t>
      </w:r>
      <w:r w:rsidR="0067684A" w:rsidRPr="006C203C">
        <w:rPr>
          <w:rFonts w:eastAsiaTheme="minorHAnsi"/>
        </w:rPr>
        <w:t xml:space="preserve"> merely has the conditional ability to do otherwise </w:t>
      </w:r>
      <w:r w:rsidR="001026BC" w:rsidRPr="006C203C">
        <w:rPr>
          <w:rFonts w:eastAsiaTheme="minorHAnsi"/>
        </w:rPr>
        <w:t xml:space="preserve">than in the </w:t>
      </w:r>
      <w:r w:rsidR="00C404CC" w:rsidRPr="006C203C">
        <w:rPr>
          <w:rFonts w:eastAsiaTheme="minorHAnsi"/>
        </w:rPr>
        <w:t xml:space="preserve">negatively valenced </w:t>
      </w:r>
      <w:r w:rsidR="001026BC" w:rsidRPr="006C203C">
        <w:rPr>
          <w:rFonts w:eastAsiaTheme="minorHAnsi"/>
        </w:rPr>
        <w:t>indeterminis</w:t>
      </w:r>
      <w:r w:rsidR="00CD0190" w:rsidRPr="006C203C">
        <w:rPr>
          <w:rFonts w:eastAsiaTheme="minorHAnsi"/>
        </w:rPr>
        <w:t>tic</w:t>
      </w:r>
      <w:r w:rsidR="001026BC" w:rsidRPr="006C203C">
        <w:rPr>
          <w:rFonts w:eastAsiaTheme="minorHAnsi"/>
        </w:rPr>
        <w:t xml:space="preserve"> scenario </w:t>
      </w:r>
      <w:r w:rsidR="0067684A" w:rsidRPr="006C203C">
        <w:rPr>
          <w:rFonts w:eastAsiaTheme="minorHAnsi"/>
        </w:rPr>
        <w:t xml:space="preserve">where </w:t>
      </w:r>
      <w:r w:rsidR="00C404CC" w:rsidRPr="006C203C">
        <w:rPr>
          <w:rFonts w:eastAsiaTheme="minorHAnsi"/>
        </w:rPr>
        <w:t xml:space="preserve">the agent </w:t>
      </w:r>
      <w:r w:rsidR="0067684A" w:rsidRPr="006C203C">
        <w:rPr>
          <w:rFonts w:eastAsiaTheme="minorHAnsi"/>
        </w:rPr>
        <w:t>has the unconditional ability to do otherwise</w:t>
      </w:r>
      <w:r w:rsidR="001026BC" w:rsidRPr="006C203C">
        <w:rPr>
          <w:rFonts w:eastAsiaTheme="minorHAnsi"/>
        </w:rPr>
        <w:t>.</w:t>
      </w:r>
      <w:r w:rsidR="00C404CC" w:rsidRPr="006C203C">
        <w:rPr>
          <w:rFonts w:eastAsiaTheme="minorHAnsi"/>
        </w:rPr>
        <w:t xml:space="preserve"> This</w:t>
      </w:r>
      <w:r w:rsidR="00EF1C8E" w:rsidRPr="006C203C">
        <w:rPr>
          <w:rFonts w:eastAsiaTheme="minorHAnsi"/>
        </w:rPr>
        <w:t>, too,</w:t>
      </w:r>
      <w:r w:rsidR="00C404CC" w:rsidRPr="006C203C">
        <w:rPr>
          <w:rFonts w:eastAsiaTheme="minorHAnsi"/>
        </w:rPr>
        <w:t xml:space="preserve"> would provide evidence for natural incompatibilism.</w:t>
      </w:r>
    </w:p>
    <w:p w14:paraId="7E89A7F2" w14:textId="7F74EE3C" w:rsidR="00DC29FF" w:rsidRPr="006C203C" w:rsidRDefault="00AF1C88" w:rsidP="00DC29FF">
      <w:pPr>
        <w:numPr>
          <w:ilvl w:val="0"/>
          <w:numId w:val="8"/>
        </w:numPr>
        <w:spacing w:after="160" w:line="259" w:lineRule="auto"/>
        <w:contextualSpacing/>
        <w:jc w:val="both"/>
        <w:rPr>
          <w:rFonts w:eastAsiaTheme="minorHAnsi"/>
        </w:rPr>
      </w:pPr>
      <w:r w:rsidRPr="006C203C">
        <w:rPr>
          <w:rFonts w:eastAsiaTheme="minorHAnsi"/>
        </w:rPr>
        <w:t xml:space="preserve">Attributions of </w:t>
      </w:r>
      <w:r w:rsidR="001026BC" w:rsidRPr="006C203C">
        <w:rPr>
          <w:rFonts w:eastAsiaTheme="minorHAnsi"/>
        </w:rPr>
        <w:t xml:space="preserve">moral responsibility </w:t>
      </w:r>
      <w:r w:rsidRPr="006C203C">
        <w:rPr>
          <w:rFonts w:eastAsiaTheme="minorHAnsi"/>
        </w:rPr>
        <w:t xml:space="preserve">would be </w:t>
      </w:r>
      <w:r w:rsidRPr="006C203C">
        <w:rPr>
          <w:rFonts w:eastAsiaTheme="minorHAnsi"/>
          <w:u w:val="single"/>
        </w:rPr>
        <w:t>higher</w:t>
      </w:r>
      <w:r w:rsidRPr="006C203C">
        <w:rPr>
          <w:rFonts w:eastAsiaTheme="minorHAnsi"/>
        </w:rPr>
        <w:t xml:space="preserve"> than attributions of</w:t>
      </w:r>
      <w:r w:rsidR="001026BC" w:rsidRPr="006C203C">
        <w:rPr>
          <w:rFonts w:eastAsiaTheme="minorHAnsi"/>
        </w:rPr>
        <w:t xml:space="preserve"> free will</w:t>
      </w:r>
      <w:r w:rsidR="00FE0D8B" w:rsidRPr="006C203C">
        <w:rPr>
          <w:rFonts w:eastAsiaTheme="minorHAnsi"/>
        </w:rPr>
        <w:t xml:space="preserve"> across conditions</w:t>
      </w:r>
      <w:r w:rsidR="00C404CC" w:rsidRPr="006C203C">
        <w:rPr>
          <w:rFonts w:eastAsiaTheme="minorHAnsi"/>
        </w:rPr>
        <w:t xml:space="preserve">. This would provide evidence that free will is not simply whatever </w:t>
      </w:r>
      <w:r w:rsidR="00EF1C8E" w:rsidRPr="006C203C">
        <w:rPr>
          <w:rFonts w:eastAsiaTheme="minorHAnsi"/>
        </w:rPr>
        <w:t xml:space="preserve">happens to </w:t>
      </w:r>
      <w:r w:rsidR="00C404CC" w:rsidRPr="006C203C">
        <w:rPr>
          <w:rFonts w:eastAsiaTheme="minorHAnsi"/>
        </w:rPr>
        <w:t xml:space="preserve">undergird moral responsibility. </w:t>
      </w:r>
    </w:p>
    <w:p w14:paraId="77358A75" w14:textId="75D72A33" w:rsidR="00DC29FF" w:rsidRPr="006C203C" w:rsidRDefault="00AF1C88" w:rsidP="00DC29FF">
      <w:pPr>
        <w:numPr>
          <w:ilvl w:val="0"/>
          <w:numId w:val="8"/>
        </w:numPr>
        <w:spacing w:after="160" w:line="259" w:lineRule="auto"/>
        <w:contextualSpacing/>
        <w:jc w:val="both"/>
        <w:rPr>
          <w:rFonts w:eastAsiaTheme="minorHAnsi"/>
        </w:rPr>
      </w:pPr>
      <w:r w:rsidRPr="006C203C">
        <w:rPr>
          <w:rFonts w:eastAsiaTheme="minorHAnsi"/>
        </w:rPr>
        <w:t xml:space="preserve">Attributions of free will </w:t>
      </w:r>
      <w:r w:rsidR="00DC29FF" w:rsidRPr="006C203C">
        <w:rPr>
          <w:rFonts w:eastAsiaTheme="minorHAnsi"/>
        </w:rPr>
        <w:t>and responsibility w</w:t>
      </w:r>
      <w:r w:rsidRPr="006C203C">
        <w:rPr>
          <w:rFonts w:eastAsiaTheme="minorHAnsi"/>
        </w:rPr>
        <w:t>ould</w:t>
      </w:r>
      <w:r w:rsidR="00DC29FF" w:rsidRPr="006C203C">
        <w:rPr>
          <w:rFonts w:eastAsiaTheme="minorHAnsi"/>
        </w:rPr>
        <w:t xml:space="preserve"> be </w:t>
      </w:r>
      <w:r w:rsidR="00DC29FF" w:rsidRPr="006C203C">
        <w:rPr>
          <w:rFonts w:eastAsiaTheme="minorHAnsi"/>
          <w:u w:val="single"/>
        </w:rPr>
        <w:t>higher</w:t>
      </w:r>
      <w:r w:rsidR="00DC29FF" w:rsidRPr="006C203C">
        <w:rPr>
          <w:rFonts w:eastAsiaTheme="minorHAnsi"/>
        </w:rPr>
        <w:t xml:space="preserve"> in the first-person conditions than in the third-person conditions. </w:t>
      </w:r>
      <w:r w:rsidR="00C404CC" w:rsidRPr="006C203C">
        <w:rPr>
          <w:rFonts w:eastAsiaTheme="minorHAnsi"/>
        </w:rPr>
        <w:t>This would provide evidence for the actor-observer bias.</w:t>
      </w:r>
    </w:p>
    <w:p w14:paraId="07E97981" w14:textId="72E20245" w:rsidR="009A515B" w:rsidRPr="006C203C" w:rsidRDefault="001E5938" w:rsidP="00DC29FF">
      <w:pPr>
        <w:spacing w:after="160" w:line="480" w:lineRule="auto"/>
        <w:contextualSpacing/>
        <w:jc w:val="both"/>
        <w:rPr>
          <w:rFonts w:eastAsiaTheme="minorHAnsi"/>
        </w:rPr>
      </w:pPr>
      <w:r w:rsidRPr="006C203C">
        <w:br/>
      </w:r>
      <w:r w:rsidR="0095616B" w:rsidRPr="006C203C">
        <w:t xml:space="preserve">But </w:t>
      </w:r>
      <w:r w:rsidR="00CD0190" w:rsidRPr="006C203C">
        <w:t xml:space="preserve">before </w:t>
      </w:r>
      <w:r w:rsidR="0095616B" w:rsidRPr="006C203C">
        <w:t>we talk about the studies themselves, we want to say a few words about how we tried to operationalize determinism—which was the key issue we wanted to explore.</w:t>
      </w:r>
    </w:p>
    <w:p w14:paraId="2AB5681F" w14:textId="049B8DE7" w:rsidR="0095616B" w:rsidRPr="006C203C" w:rsidRDefault="0095616B" w:rsidP="00343178">
      <w:pPr>
        <w:pStyle w:val="ListParagraph"/>
        <w:numPr>
          <w:ilvl w:val="1"/>
          <w:numId w:val="12"/>
        </w:numPr>
        <w:spacing w:line="480" w:lineRule="auto"/>
        <w:jc w:val="both"/>
        <w:rPr>
          <w:i/>
        </w:rPr>
      </w:pPr>
      <w:r w:rsidRPr="006C203C">
        <w:rPr>
          <w:i/>
        </w:rPr>
        <w:t xml:space="preserve">Settling on </w:t>
      </w:r>
      <w:r w:rsidR="005008AE" w:rsidRPr="006C203C">
        <w:rPr>
          <w:i/>
        </w:rPr>
        <w:t xml:space="preserve">Deterministic </w:t>
      </w:r>
      <w:r w:rsidRPr="006C203C">
        <w:rPr>
          <w:i/>
        </w:rPr>
        <w:t>Scenarios</w:t>
      </w:r>
    </w:p>
    <w:p w14:paraId="63DD352E" w14:textId="76EBF7C1" w:rsidR="000077B3" w:rsidRPr="006C203C" w:rsidRDefault="003429D9" w:rsidP="00C918BB">
      <w:pPr>
        <w:spacing w:line="480" w:lineRule="auto"/>
        <w:jc w:val="both"/>
      </w:pPr>
      <w:r w:rsidRPr="006C203C">
        <w:lastRenderedPageBreak/>
        <w:t xml:space="preserve">A </w:t>
      </w:r>
      <w:r w:rsidR="000077B3" w:rsidRPr="006C203C">
        <w:t xml:space="preserve">common way of defining determinism is to suggest that in a deterministic universe, given the fixity of the past and the physical laws, at any moment, one and only one thing can happen. In this sense, the past and laws foreclose on </w:t>
      </w:r>
      <w:r w:rsidR="000077B3" w:rsidRPr="006C203C">
        <w:rPr>
          <w:i/>
        </w:rPr>
        <w:t>actual</w:t>
      </w:r>
      <w:r w:rsidR="000077B3" w:rsidRPr="006C203C">
        <w:t xml:space="preserve">, genuinely open possibilities in the stream of physical events. By “actual,” we just mean keeping everything leading up to the moment of choice or action constant. </w:t>
      </w:r>
      <w:r w:rsidR="00B8702C">
        <w:t xml:space="preserve">Here we are contrasting actual possibilities—the ones open to the agent at the moment of choice—from counterfactual possibilities—the ones that would have been open to the agent had things </w:t>
      </w:r>
      <w:r w:rsidR="00ED2BE4">
        <w:t>been slightly different in the distant past or with the laws.</w:t>
      </w:r>
      <w:r w:rsidR="00ED2BE4">
        <w:rPr>
          <w:rStyle w:val="FootnoteReference"/>
        </w:rPr>
        <w:footnoteReference w:id="11"/>
      </w:r>
      <w:r w:rsidR="00ED2BE4">
        <w:t xml:space="preserve"> </w:t>
      </w:r>
      <w:r w:rsidR="00CD0190" w:rsidRPr="006C203C">
        <w:t>W</w:t>
      </w:r>
      <w:r w:rsidR="000077B3" w:rsidRPr="006C203C">
        <w:t xml:space="preserve">hile an indeterministic universe is a “garden of forking paths,” with genuinely open possibilities in the stream of actual events, in a deterministic universe, </w:t>
      </w:r>
      <w:r w:rsidR="000077B3" w:rsidRPr="00ED2BE4">
        <w:rPr>
          <w:i/>
          <w:iCs/>
        </w:rPr>
        <w:t>given the past and the laws</w:t>
      </w:r>
      <w:r w:rsidR="000077B3" w:rsidRPr="006C203C">
        <w:t xml:space="preserve">, there is only one way things can unfold, like </w:t>
      </w:r>
      <w:r w:rsidR="00DC29FF" w:rsidRPr="006C203C">
        <w:t>“</w:t>
      </w:r>
      <w:r w:rsidR="000077B3" w:rsidRPr="006C203C">
        <w:t>a train going down the tracks.</w:t>
      </w:r>
      <w:r w:rsidR="00ED2BE4">
        <w:t>”</w:t>
      </w:r>
      <w:r w:rsidR="000077B3" w:rsidRPr="006C203C">
        <w:t xml:space="preserve"> Now, it’s certainly true that in a deterministic universe, things could have been different—that is, the train could have broken down or headed down a different track—but </w:t>
      </w:r>
      <w:r w:rsidR="000077B3" w:rsidRPr="006C203C">
        <w:rPr>
          <w:i/>
        </w:rPr>
        <w:t>only if</w:t>
      </w:r>
      <w:r w:rsidR="000077B3" w:rsidRPr="006C203C">
        <w:t xml:space="preserve"> something in the antecedent circumstances had been different (which they weren’t). </w:t>
      </w:r>
      <w:r w:rsidR="00DC29FF" w:rsidRPr="006C203C">
        <w:t>C</w:t>
      </w:r>
      <w:r w:rsidR="000077B3" w:rsidRPr="006C203C">
        <w:t xml:space="preserve">ompatibilists think this kind of possibility </w:t>
      </w:r>
      <w:r w:rsidR="00EF1C8E" w:rsidRPr="006C203C">
        <w:t xml:space="preserve">can partly undergird </w:t>
      </w:r>
      <w:r w:rsidR="000077B3" w:rsidRPr="006C203C">
        <w:t xml:space="preserve">the only kind of free will worth wanting. Incompatibilists disagree. </w:t>
      </w:r>
    </w:p>
    <w:p w14:paraId="4CC7C52C" w14:textId="1072C08D" w:rsidR="00EF1C8E" w:rsidRPr="006C203C" w:rsidRDefault="000077B3" w:rsidP="00EF1C8E">
      <w:pPr>
        <w:spacing w:line="480" w:lineRule="auto"/>
        <w:ind w:firstLine="720"/>
        <w:jc w:val="both"/>
      </w:pPr>
      <w:r w:rsidRPr="006C203C">
        <w:t>Who’s right, metaphysically speaking, isn’t our present concern. We want to do a better job</w:t>
      </w:r>
      <w:r w:rsidR="00DC29FF" w:rsidRPr="006C203C">
        <w:t xml:space="preserve"> of</w:t>
      </w:r>
      <w:r w:rsidRPr="006C203C">
        <w:t xml:space="preserve"> getting at what people ordinarily think. As we’ve seen, the extant data are mixed. But we don’t think any of the </w:t>
      </w:r>
      <w:r w:rsidR="009715AE" w:rsidRPr="006C203C">
        <w:t>previous</w:t>
      </w:r>
      <w:r w:rsidRPr="006C203C">
        <w:t xml:space="preserve"> studies have done a good enough job highlighting the issue we are emphasizing here—that is, the distinction between </w:t>
      </w:r>
      <w:r w:rsidR="00DC4040" w:rsidRPr="006C203C">
        <w:t xml:space="preserve">the kind of libertarian </w:t>
      </w:r>
      <w:r w:rsidRPr="006C203C">
        <w:t xml:space="preserve">free will that </w:t>
      </w:r>
      <w:r w:rsidR="003429D9" w:rsidRPr="006C203C">
        <w:t>one</w:t>
      </w:r>
      <w:r w:rsidRPr="006C203C">
        <w:t xml:space="preserve"> can exercise in the actual flow of events, keeping the past and the laws constant</w:t>
      </w:r>
      <w:r w:rsidR="00DC4040" w:rsidRPr="006C203C">
        <w:t xml:space="preserve">, </w:t>
      </w:r>
      <w:r w:rsidRPr="006C203C">
        <w:t xml:space="preserve">and </w:t>
      </w:r>
      <w:r w:rsidR="00DC4040" w:rsidRPr="006C203C">
        <w:t xml:space="preserve">the merely conditional </w:t>
      </w:r>
      <w:r w:rsidRPr="006C203C">
        <w:t xml:space="preserve">free will </w:t>
      </w:r>
      <w:r w:rsidR="00DC4040" w:rsidRPr="006C203C">
        <w:t xml:space="preserve">that is </w:t>
      </w:r>
      <w:r w:rsidRPr="006C203C">
        <w:t>cashed out in terms of counterfactuals</w:t>
      </w:r>
      <w:r w:rsidR="004646F4" w:rsidRPr="006C203C">
        <w:t xml:space="preserve"> and what one could have done but only </w:t>
      </w:r>
      <w:r w:rsidR="00EF1C8E" w:rsidRPr="006C203C">
        <w:t xml:space="preserve">had the past and laws been different. </w:t>
      </w:r>
      <w:r w:rsidRPr="006C203C">
        <w:t xml:space="preserve">On our view, in a deterministic universe, once the </w:t>
      </w:r>
      <w:r w:rsidRPr="006C203C">
        <w:lastRenderedPageBreak/>
        <w:t>past and the laws are fixed, everything we do is “in the cards,” so to speak</w:t>
      </w:r>
      <w:r w:rsidR="00DC4040" w:rsidRPr="006C203C">
        <w:t>.</w:t>
      </w:r>
      <w:r w:rsidRPr="006C203C">
        <w:t xml:space="preserve"> At any given moment, we </w:t>
      </w:r>
      <w:r w:rsidR="00ED2BE4">
        <w:t xml:space="preserve">invariably </w:t>
      </w:r>
      <w:r w:rsidRPr="006C203C">
        <w:t xml:space="preserve">do the one and only one thing that is open to us. Indeed, if we had a God’s eye view, we would always be able to extrapolate what is going to happen at any given moment by looking at all of the antecedent circumstances. In this sense, there is no </w:t>
      </w:r>
      <w:r w:rsidRPr="00ED2BE4">
        <w:rPr>
          <w:iCs/>
        </w:rPr>
        <w:t xml:space="preserve">actual </w:t>
      </w:r>
      <w:r w:rsidRPr="006C203C">
        <w:t>openness in a deterministic universe</w:t>
      </w:r>
      <w:r w:rsidR="00EF1C8E" w:rsidRPr="006C203C">
        <w:t xml:space="preserve"> once the past and the laws are set</w:t>
      </w:r>
      <w:r w:rsidRPr="006C203C">
        <w:t xml:space="preserve">. The only openness is merely </w:t>
      </w:r>
      <w:r w:rsidRPr="00ED2BE4">
        <w:t>counterfactual</w:t>
      </w:r>
      <w:r w:rsidRPr="006C203C">
        <w:t xml:space="preserve">—that is, we have to first imagine the </w:t>
      </w:r>
      <w:r w:rsidR="003A7B46">
        <w:t xml:space="preserve">distal, </w:t>
      </w:r>
      <w:r w:rsidRPr="006C203C">
        <w:t xml:space="preserve">antecedent circumstances </w:t>
      </w:r>
      <w:r w:rsidR="00405F36" w:rsidRPr="006C203C">
        <w:t>having been</w:t>
      </w:r>
      <w:r w:rsidRPr="006C203C">
        <w:t xml:space="preserve"> different (otherwise, there is no room for a different </w:t>
      </w:r>
      <w:r w:rsidR="00E32414">
        <w:t xml:space="preserve">present </w:t>
      </w:r>
      <w:r w:rsidRPr="006C203C">
        <w:t xml:space="preserve">outcome). </w:t>
      </w:r>
    </w:p>
    <w:p w14:paraId="221EAA27" w14:textId="0BAC4936" w:rsidR="00BD398D" w:rsidRPr="006C203C" w:rsidRDefault="000077B3" w:rsidP="00EF1C8E">
      <w:pPr>
        <w:spacing w:line="480" w:lineRule="auto"/>
        <w:ind w:firstLine="720"/>
        <w:jc w:val="both"/>
      </w:pPr>
      <w:r w:rsidRPr="006C203C">
        <w:t xml:space="preserve">The key issue, at least for </w:t>
      </w:r>
      <w:r w:rsidR="00BD398D" w:rsidRPr="006C203C">
        <w:t>us</w:t>
      </w:r>
      <w:r w:rsidRPr="006C203C">
        <w:t xml:space="preserve">, is whether </w:t>
      </w:r>
      <w:r w:rsidR="004646F4" w:rsidRPr="006C203C">
        <w:t xml:space="preserve">mere </w:t>
      </w:r>
      <w:r w:rsidRPr="006C203C">
        <w:t>counterfactual possibilities</w:t>
      </w:r>
      <w:r w:rsidR="004646F4" w:rsidRPr="006C203C">
        <w:t>—that is, the way things could have been had something else been different—</w:t>
      </w:r>
      <w:r w:rsidR="009715AE" w:rsidRPr="006C203C">
        <w:t>are</w:t>
      </w:r>
      <w:r w:rsidRPr="006C203C">
        <w:t xml:space="preserve"> </w:t>
      </w:r>
      <w:r w:rsidR="004646F4" w:rsidRPr="006C203C">
        <w:t xml:space="preserve"> </w:t>
      </w:r>
      <w:r w:rsidRPr="006C203C">
        <w:t xml:space="preserve">enough to ground the kind of free will most people believe in. </w:t>
      </w:r>
      <w:r w:rsidR="006804AC" w:rsidRPr="006C203C">
        <w:t xml:space="preserve">Natural compatibilists think </w:t>
      </w:r>
      <w:r w:rsidR="00EF1C8E" w:rsidRPr="006C203C">
        <w:t xml:space="preserve">that </w:t>
      </w:r>
      <w:r w:rsidR="006804AC" w:rsidRPr="006C203C">
        <w:t>for most people</w:t>
      </w:r>
      <w:r w:rsidR="00ED2BE4">
        <w:t>,</w:t>
      </w:r>
      <w:r w:rsidR="006804AC" w:rsidRPr="006C203C">
        <w:t xml:space="preserve"> merely having the conditional ability to do otherwise </w:t>
      </w:r>
      <w:r w:rsidR="00EF1C8E" w:rsidRPr="006C203C">
        <w:t xml:space="preserve">can ground </w:t>
      </w:r>
      <w:r w:rsidR="006804AC" w:rsidRPr="006C203C">
        <w:t xml:space="preserve">free and responsibility agency. We have our doubts. We think most people share our sense that the kind of agency associated with compatibilism—whereby one can’t do otherwise in the actual stream of events, keeping the past </w:t>
      </w:r>
      <w:r w:rsidR="00EF1C8E" w:rsidRPr="006C203C">
        <w:t xml:space="preserve">and the laws </w:t>
      </w:r>
      <w:r w:rsidR="006804AC" w:rsidRPr="006C203C">
        <w:t>constant—isn’t enough to ground free will. Obviously, this is an empirical matter. Our goal was to shed some new light on the issue.</w:t>
      </w:r>
    </w:p>
    <w:p w14:paraId="394B12A5" w14:textId="76882FD5" w:rsidR="00C81436" w:rsidRPr="006C203C" w:rsidRDefault="006804AC" w:rsidP="00C918BB">
      <w:pPr>
        <w:spacing w:line="480" w:lineRule="auto"/>
        <w:ind w:firstLine="720"/>
        <w:jc w:val="both"/>
      </w:pPr>
      <w:r w:rsidRPr="006C203C">
        <w:t>So, w</w:t>
      </w:r>
      <w:r w:rsidR="00BD398D" w:rsidRPr="006C203C">
        <w:t>e</w:t>
      </w:r>
      <w:r w:rsidR="000077B3" w:rsidRPr="006C203C">
        <w:t xml:space="preserve"> designed some vignettes that highlight </w:t>
      </w:r>
      <w:r w:rsidRPr="006C203C">
        <w:t xml:space="preserve">precisely </w:t>
      </w:r>
      <w:r w:rsidR="000077B3" w:rsidRPr="006C203C">
        <w:t>this issue</w:t>
      </w:r>
      <w:r w:rsidR="00BD398D" w:rsidRPr="006C203C">
        <w:t xml:space="preserve"> (see below for details)</w:t>
      </w:r>
      <w:r w:rsidR="000077B3" w:rsidRPr="006C203C">
        <w:t xml:space="preserve">. </w:t>
      </w:r>
      <w:r w:rsidR="00BD398D" w:rsidRPr="006C203C">
        <w:t>Our</w:t>
      </w:r>
      <w:r w:rsidR="000077B3" w:rsidRPr="006C203C">
        <w:t xml:space="preserve"> sense is that compatibilists won’t like </w:t>
      </w:r>
      <w:r w:rsidR="00DC4040" w:rsidRPr="006C203C">
        <w:t xml:space="preserve">the </w:t>
      </w:r>
      <w:r w:rsidR="000077B3" w:rsidRPr="006C203C">
        <w:t xml:space="preserve">talk about “fixity,” </w:t>
      </w:r>
      <w:r w:rsidR="00FE0D8B" w:rsidRPr="006C203C">
        <w:t xml:space="preserve">“causally closed (or open),” </w:t>
      </w:r>
      <w:r w:rsidR="000077B3" w:rsidRPr="006C203C">
        <w:t>“a train going down the tracks,” “counterfactual possibility and free will,” “being able to know in advance what will happen,” and the like.</w:t>
      </w:r>
      <w:r w:rsidR="00EB781D" w:rsidRPr="006C203C">
        <w:rPr>
          <w:rStyle w:val="FootnoteReference"/>
        </w:rPr>
        <w:footnoteReference w:id="12"/>
      </w:r>
      <w:r w:rsidR="000077B3" w:rsidRPr="006C203C">
        <w:t xml:space="preserve"> </w:t>
      </w:r>
      <w:r w:rsidR="00BD398D" w:rsidRPr="006C203C">
        <w:t>However, we</w:t>
      </w:r>
      <w:r w:rsidR="000077B3" w:rsidRPr="006C203C">
        <w:t xml:space="preserve"> take all of these things to follow straightforwardly from the </w:t>
      </w:r>
      <w:r w:rsidR="00EF1C8E" w:rsidRPr="006C203C">
        <w:t xml:space="preserve">standard </w:t>
      </w:r>
      <w:r w:rsidR="000077B3" w:rsidRPr="006C203C">
        <w:t xml:space="preserve">definition of determinism. </w:t>
      </w:r>
      <w:r w:rsidR="00BD398D" w:rsidRPr="006C203C">
        <w:t xml:space="preserve">In a deterministic universe, given </w:t>
      </w:r>
      <w:r w:rsidR="00BD398D" w:rsidRPr="006C203C">
        <w:lastRenderedPageBreak/>
        <w:t xml:space="preserve">the past and the laws </w:t>
      </w:r>
      <w:r w:rsidR="00BD398D" w:rsidRPr="006C203C">
        <w:rPr>
          <w:i/>
        </w:rPr>
        <w:t>as they actually are</w:t>
      </w:r>
      <w:r w:rsidR="00BD398D" w:rsidRPr="006C203C">
        <w:t xml:space="preserve"> </w:t>
      </w:r>
      <w:r w:rsidR="00CC5FD8" w:rsidRPr="006C203C">
        <w:rPr>
          <w:i/>
          <w:iCs/>
        </w:rPr>
        <w:t>at a particular place and time</w:t>
      </w:r>
      <w:r w:rsidR="00CC5FD8" w:rsidRPr="006C203C">
        <w:t xml:space="preserve"> </w:t>
      </w:r>
      <w:r w:rsidR="00BD398D" w:rsidRPr="006C203C">
        <w:t xml:space="preserve">(and not merely </w:t>
      </w:r>
      <w:r w:rsidR="00C81436" w:rsidRPr="006C203C">
        <w:t xml:space="preserve">as </w:t>
      </w:r>
      <w:r w:rsidR="00BD398D" w:rsidRPr="006C203C">
        <w:t xml:space="preserve">they </w:t>
      </w:r>
      <w:r w:rsidR="00BD398D" w:rsidRPr="006C203C">
        <w:rPr>
          <w:i/>
          <w:iCs/>
        </w:rPr>
        <w:t>could have been</w:t>
      </w:r>
      <w:r w:rsidR="00BD398D" w:rsidRPr="006C203C">
        <w:t xml:space="preserve"> </w:t>
      </w:r>
      <w:r w:rsidR="00BD398D" w:rsidRPr="006C203C">
        <w:rPr>
          <w:i/>
          <w:iCs/>
        </w:rPr>
        <w:t>had things been different</w:t>
      </w:r>
      <w:r w:rsidR="00BD398D" w:rsidRPr="006C203C">
        <w:t xml:space="preserve">), the future is fixed, the universe is causally closed, everything is in the cards, and if one had a God’s eye view, one could know everything that will ever happen in the future. </w:t>
      </w:r>
      <w:r w:rsidRPr="006C203C">
        <w:t xml:space="preserve">In a deterministic universe, once the past and laws are fixed, the future is fixed—which is why it makes sense to talk about “fixity,” “causally closed,” etc. The mere fact that the past </w:t>
      </w:r>
      <w:r w:rsidR="00C81436" w:rsidRPr="006C203C">
        <w:t xml:space="preserve">and </w:t>
      </w:r>
      <w:r w:rsidR="00E32414">
        <w:t xml:space="preserve">the </w:t>
      </w:r>
      <w:r w:rsidR="00C81436" w:rsidRPr="006C203C">
        <w:t xml:space="preserve">laws </w:t>
      </w:r>
      <w:r w:rsidRPr="006C203C">
        <w:t xml:space="preserve">could have been different in a deterministic universe doesn’t make it any less fixed or closed now that the past </w:t>
      </w:r>
      <w:r w:rsidR="00C81436" w:rsidRPr="006C203C">
        <w:t>and laws are</w:t>
      </w:r>
      <w:r w:rsidRPr="006C203C">
        <w:t xml:space="preserve"> set. A deterministic universe is only open in a counter-factual sense</w:t>
      </w:r>
      <w:r w:rsidR="00EF1C8E" w:rsidRPr="006C203C">
        <w:t xml:space="preserve">. </w:t>
      </w:r>
      <w:r w:rsidRPr="006C203C">
        <w:t>But given that in the actual stream of events the</w:t>
      </w:r>
      <w:r w:rsidR="00C81436" w:rsidRPr="006C203C">
        <w:t xml:space="preserve"> past and the law</w:t>
      </w:r>
      <w:r w:rsidR="00EF1C8E" w:rsidRPr="006C203C">
        <w:t>s</w:t>
      </w:r>
      <w:r w:rsidR="00C81436" w:rsidRPr="006C203C">
        <w:t xml:space="preserve"> are actually fixed</w:t>
      </w:r>
      <w:r w:rsidR="00CC5FD8" w:rsidRPr="006C203C">
        <w:t xml:space="preserve"> in a deterministic universe</w:t>
      </w:r>
      <w:r w:rsidRPr="006C203C">
        <w:t xml:space="preserve"> there is one and only </w:t>
      </w:r>
      <w:r w:rsidR="00C81436" w:rsidRPr="006C203C">
        <w:t xml:space="preserve">one </w:t>
      </w:r>
      <w:r w:rsidRPr="006C203C">
        <w:t xml:space="preserve">way </w:t>
      </w:r>
      <w:r w:rsidR="00C81436" w:rsidRPr="006C203C">
        <w:t xml:space="preserve">for </w:t>
      </w:r>
      <w:r w:rsidRPr="006C203C">
        <w:t>things</w:t>
      </w:r>
      <w:r w:rsidR="00C81436" w:rsidRPr="006C203C">
        <w:t xml:space="preserve"> to unfold</w:t>
      </w:r>
      <w:r w:rsidRPr="006C203C">
        <w:t>. That things could have been differen</w:t>
      </w:r>
      <w:r w:rsidR="00ED2BE4">
        <w:t>t</w:t>
      </w:r>
      <w:r w:rsidRPr="006C203C">
        <w:t xml:space="preserve"> </w:t>
      </w:r>
      <w:r w:rsidR="00C81436" w:rsidRPr="006C203C">
        <w:t xml:space="preserve">only if other things had been different </w:t>
      </w:r>
      <w:r w:rsidRPr="006C203C">
        <w:t xml:space="preserve">is no comfort to the agent doing the </w:t>
      </w:r>
      <w:r w:rsidR="00C81436" w:rsidRPr="006C203C">
        <w:t xml:space="preserve">one and </w:t>
      </w:r>
      <w:r w:rsidRPr="006C203C">
        <w:t>only thing open to him at the time. It is in precisely</w:t>
      </w:r>
      <w:r w:rsidR="00C81436" w:rsidRPr="006C203C">
        <w:t xml:space="preserve"> </w:t>
      </w:r>
      <w:r w:rsidRPr="006C203C">
        <w:t xml:space="preserve">this sense that, metaphysically speaking, the way things </w:t>
      </w:r>
      <w:r w:rsidR="00C81436" w:rsidRPr="006C203C">
        <w:t>un</w:t>
      </w:r>
      <w:r w:rsidRPr="006C203C">
        <w:t xml:space="preserve">fold in a deterministic universe is like a “train going down the tracks.” </w:t>
      </w:r>
    </w:p>
    <w:p w14:paraId="7D23D19C" w14:textId="33A8511D" w:rsidR="006804AC" w:rsidRPr="006C203C" w:rsidRDefault="006804AC" w:rsidP="00C81436">
      <w:pPr>
        <w:spacing w:line="480" w:lineRule="auto"/>
        <w:ind w:firstLine="720"/>
        <w:jc w:val="both"/>
      </w:pPr>
      <w:r w:rsidRPr="006C203C">
        <w:t xml:space="preserve">While it is true that </w:t>
      </w:r>
      <w:r w:rsidR="00C81436" w:rsidRPr="006C203C">
        <w:t xml:space="preserve">a deterministic </w:t>
      </w:r>
      <w:r w:rsidRPr="006C203C">
        <w:t xml:space="preserve">universe is </w:t>
      </w:r>
      <w:r w:rsidRPr="006C203C">
        <w:rPr>
          <w:i/>
          <w:iCs/>
        </w:rPr>
        <w:t>epistemically</w:t>
      </w:r>
      <w:r w:rsidRPr="006C203C">
        <w:t xml:space="preserve"> open—that is, the agent </w:t>
      </w:r>
      <w:r w:rsidR="00CC5FD8" w:rsidRPr="006C203C">
        <w:t>may not</w:t>
      </w:r>
      <w:r w:rsidRPr="006C203C">
        <w:t xml:space="preserve"> know where the train is </w:t>
      </w:r>
      <w:r w:rsidR="00CC5FD8" w:rsidRPr="006C203C">
        <w:t xml:space="preserve">invariably </w:t>
      </w:r>
      <w:r w:rsidRPr="006C203C">
        <w:t>going—</w:t>
      </w:r>
      <w:r w:rsidR="00C81436" w:rsidRPr="006C203C">
        <w:t xml:space="preserve">such </w:t>
      </w:r>
      <w:r w:rsidR="00A7113B" w:rsidRPr="006C203C">
        <w:t xml:space="preserve">a </w:t>
      </w:r>
      <w:r w:rsidR="00C81436" w:rsidRPr="006C203C">
        <w:t xml:space="preserve">universe will unfold in the </w:t>
      </w:r>
      <w:r w:rsidRPr="006C203C">
        <w:t xml:space="preserve">one and only </w:t>
      </w:r>
      <w:r w:rsidR="00C81436" w:rsidRPr="006C203C">
        <w:t>one way it can given the past</w:t>
      </w:r>
      <w:r w:rsidR="00CC5FD8" w:rsidRPr="006C203C">
        <w:t xml:space="preserve"> and the laws</w:t>
      </w:r>
      <w:r w:rsidRPr="006C203C">
        <w:t xml:space="preserve">. </w:t>
      </w:r>
      <w:r w:rsidR="00A7113B" w:rsidRPr="006C203C">
        <w:t>Even though</w:t>
      </w:r>
      <w:r w:rsidR="003404BF" w:rsidRPr="006C203C">
        <w:t xml:space="preserve"> such an </w:t>
      </w:r>
      <w:r w:rsidR="00A7113B" w:rsidRPr="006C203C">
        <w:t xml:space="preserve">agent </w:t>
      </w:r>
      <w:r w:rsidR="003404BF" w:rsidRPr="006C203C">
        <w:t xml:space="preserve">may </w:t>
      </w:r>
      <w:r w:rsidR="003404BF" w:rsidRPr="006C203C">
        <w:rPr>
          <w:i/>
          <w:iCs/>
        </w:rPr>
        <w:t>believe</w:t>
      </w:r>
      <w:r w:rsidR="003404BF" w:rsidRPr="006C203C">
        <w:t xml:space="preserve"> and </w:t>
      </w:r>
      <w:r w:rsidR="003404BF" w:rsidRPr="006C203C">
        <w:rPr>
          <w:i/>
          <w:iCs/>
        </w:rPr>
        <w:t>feel</w:t>
      </w:r>
      <w:r w:rsidR="00A7113B" w:rsidRPr="006C203C">
        <w:t xml:space="preserve"> as if more than one thing is genuinely open to him at the time</w:t>
      </w:r>
      <w:r w:rsidR="003404BF" w:rsidRPr="006C203C">
        <w:t xml:space="preserve">, </w:t>
      </w:r>
      <w:r w:rsidR="00A7113B" w:rsidRPr="006C203C">
        <w:t xml:space="preserve">because </w:t>
      </w:r>
      <w:r w:rsidR="003404BF" w:rsidRPr="006C203C">
        <w:t xml:space="preserve">a deterministic </w:t>
      </w:r>
      <w:r w:rsidR="00A7113B" w:rsidRPr="006C203C">
        <w:t>universe is epistemically open while metaphysically closed</w:t>
      </w:r>
      <w:r w:rsidR="003404BF" w:rsidRPr="006C203C">
        <w:t xml:space="preserve">, these beliefs and feelings are </w:t>
      </w:r>
      <w:r w:rsidR="003404BF" w:rsidRPr="006C203C">
        <w:rPr>
          <w:i/>
          <w:iCs/>
        </w:rPr>
        <w:t>illusory</w:t>
      </w:r>
      <w:r w:rsidR="00A7113B" w:rsidRPr="006C203C">
        <w:t xml:space="preserve">. </w:t>
      </w:r>
      <w:r w:rsidRPr="006C203C">
        <w:t>So, wh</w:t>
      </w:r>
      <w:r w:rsidR="00C81436" w:rsidRPr="006C203C">
        <w:t>ile</w:t>
      </w:r>
      <w:r w:rsidRPr="006C203C">
        <w:t xml:space="preserve"> compatibilists are sure to bemoan our wording and charge us with begging </w:t>
      </w:r>
      <w:r w:rsidR="003404BF" w:rsidRPr="006C203C">
        <w:t xml:space="preserve">the </w:t>
      </w:r>
      <w:r w:rsidRPr="006C203C">
        <w:t>question, we think they doth protest too much. We made concrete (preregistered</w:t>
      </w:r>
      <w:r w:rsidR="00C81436" w:rsidRPr="006C203C">
        <w:t>)</w:t>
      </w:r>
      <w:r w:rsidRPr="006C203C">
        <w:t xml:space="preserve"> predictions based on our</w:t>
      </w:r>
      <w:r w:rsidR="00C81436" w:rsidRPr="006C203C">
        <w:t xml:space="preserve"> intuition that the precise wording of our scenarios would clearly highlight the difference between the conditional and unconditional abilities to do otherwise—which we expected </w:t>
      </w:r>
      <w:r w:rsidR="00A7113B" w:rsidRPr="006C203C">
        <w:t xml:space="preserve">in turn </w:t>
      </w:r>
      <w:r w:rsidR="00C81436" w:rsidRPr="006C203C">
        <w:t xml:space="preserve">to influence participants’ intuitions about free will and responsibility in reliable ways. </w:t>
      </w:r>
      <w:r w:rsidR="00EF1C8E" w:rsidRPr="006C203C">
        <w:t xml:space="preserve">Keep in mind, </w:t>
      </w:r>
      <w:r w:rsidR="00A7113B" w:rsidRPr="006C203C">
        <w:t xml:space="preserve">we are </w:t>
      </w:r>
      <w:r w:rsidR="003404BF" w:rsidRPr="006C203C">
        <w:rPr>
          <w:i/>
          <w:iCs/>
        </w:rPr>
        <w:t>not</w:t>
      </w:r>
      <w:r w:rsidR="003404BF" w:rsidRPr="006C203C">
        <w:t xml:space="preserve"> </w:t>
      </w:r>
      <w:r w:rsidR="00A7113B" w:rsidRPr="006C203C">
        <w:t xml:space="preserve">debating whether or not the conditional or the unconditional reading is the </w:t>
      </w:r>
      <w:r w:rsidR="00A7113B" w:rsidRPr="006C203C">
        <w:rPr>
          <w:i/>
          <w:iCs/>
        </w:rPr>
        <w:t>right</w:t>
      </w:r>
      <w:r w:rsidR="00A7113B" w:rsidRPr="006C203C">
        <w:t xml:space="preserve"> </w:t>
      </w:r>
      <w:r w:rsidR="003404BF" w:rsidRPr="006C203C">
        <w:t xml:space="preserve">metaphysical </w:t>
      </w:r>
      <w:r w:rsidR="00A7113B" w:rsidRPr="006C203C">
        <w:lastRenderedPageBreak/>
        <w:t>reading of the ability to do otherwise. We are debating whether the way we have operationalized these two abilities does justice to the difference between the two</w:t>
      </w:r>
      <w:r w:rsidR="00EF1C8E" w:rsidRPr="006C203C">
        <w:t xml:space="preserve"> given the standard definition of determinism</w:t>
      </w:r>
      <w:r w:rsidR="00A7113B" w:rsidRPr="006C203C">
        <w:t>. We stand by our claim that it does.</w:t>
      </w:r>
    </w:p>
    <w:p w14:paraId="251AA155" w14:textId="2B5AADA9" w:rsidR="000077B3" w:rsidRPr="006C203C" w:rsidRDefault="00C81436" w:rsidP="00C81436">
      <w:pPr>
        <w:spacing w:line="480" w:lineRule="auto"/>
        <w:ind w:firstLine="720"/>
        <w:jc w:val="both"/>
      </w:pPr>
      <w:r w:rsidRPr="006C203C">
        <w:t>Another worry like</w:t>
      </w:r>
      <w:r w:rsidR="003404BF" w:rsidRPr="006C203C">
        <w:t>ly</w:t>
      </w:r>
      <w:r w:rsidRPr="006C203C">
        <w:t xml:space="preserve"> to be raised by compatibilist</w:t>
      </w:r>
      <w:r w:rsidR="00EF1C8E" w:rsidRPr="006C203C">
        <w:t>s</w:t>
      </w:r>
      <w:r w:rsidRPr="006C203C">
        <w:t xml:space="preserve"> is not that our wording begs the question against compatibilism, but rather that our wording conflates determinism with fatalism. However, w</w:t>
      </w:r>
      <w:r w:rsidR="00385923" w:rsidRPr="006C203C">
        <w:t xml:space="preserve">hile there is an important </w:t>
      </w:r>
      <w:r w:rsidR="001D20D7">
        <w:t xml:space="preserve">metaphysical </w:t>
      </w:r>
      <w:r w:rsidR="00385923" w:rsidRPr="006C203C">
        <w:t>difference between</w:t>
      </w:r>
      <w:r w:rsidR="001D20D7">
        <w:t xml:space="preserve"> the two</w:t>
      </w:r>
      <w:r w:rsidR="00385923" w:rsidRPr="006C203C">
        <w:t>,</w:t>
      </w:r>
      <w:r w:rsidR="009715AE" w:rsidRPr="006C203C">
        <w:rPr>
          <w:rStyle w:val="FootnoteReference"/>
        </w:rPr>
        <w:footnoteReference w:id="13"/>
      </w:r>
      <w:r w:rsidR="00385923" w:rsidRPr="006C203C">
        <w:t xml:space="preserve"> we don’t think we are conflating the two in our studies since we’re careful to make sure that the fixity of the present is </w:t>
      </w:r>
      <w:r w:rsidR="00385923" w:rsidRPr="006C203C">
        <w:rPr>
          <w:i/>
        </w:rPr>
        <w:t>contingent</w:t>
      </w:r>
      <w:r w:rsidR="00385923" w:rsidRPr="006C203C">
        <w:t xml:space="preserve"> on the fixity of the past.</w:t>
      </w:r>
      <w:r w:rsidR="009715AE" w:rsidRPr="006C203C">
        <w:rPr>
          <w:lang w:bidi="en-US"/>
        </w:rPr>
        <w:t xml:space="preserve"> Because </w:t>
      </w:r>
      <w:r w:rsidR="00BB4934" w:rsidRPr="006C203C">
        <w:rPr>
          <w:lang w:bidi="en-US"/>
        </w:rPr>
        <w:t xml:space="preserve">we explicitly build the conditional ability to do otherwise into our deterministic </w:t>
      </w:r>
      <w:r w:rsidR="007565DE" w:rsidRPr="006C203C">
        <w:rPr>
          <w:lang w:bidi="en-US"/>
        </w:rPr>
        <w:t>scenarios</w:t>
      </w:r>
      <w:r w:rsidR="005008AE" w:rsidRPr="006C203C">
        <w:rPr>
          <w:lang w:bidi="en-US"/>
        </w:rPr>
        <w:t xml:space="preserve"> and make it clear that things could have been different had the antecedents been different</w:t>
      </w:r>
      <w:r w:rsidR="00BB4934" w:rsidRPr="006C203C">
        <w:rPr>
          <w:lang w:bidi="en-US"/>
        </w:rPr>
        <w:t xml:space="preserve">, we are not conflating determinism with fatalism. </w:t>
      </w:r>
      <w:r w:rsidR="001D31DC" w:rsidRPr="006C203C">
        <w:rPr>
          <w:lang w:bidi="en-US"/>
        </w:rPr>
        <w:t xml:space="preserve">After all, the conditional ability to do otherwise is consistent with determinism but inconsistent with fatalism. </w:t>
      </w:r>
      <w:r w:rsidR="00DC4040" w:rsidRPr="006C203C">
        <w:t xml:space="preserve">So, we do not believe we are unfairly stacking the deck against compatibilism. Indeed, quite the contrary. We think too many of the vignettes that have been used in the past have stacked the </w:t>
      </w:r>
      <w:r w:rsidR="001D20D7">
        <w:t xml:space="preserve">deck </w:t>
      </w:r>
      <w:r w:rsidR="00DC4040" w:rsidRPr="006C203C">
        <w:rPr>
          <w:i/>
          <w:iCs/>
        </w:rPr>
        <w:t>again</w:t>
      </w:r>
      <w:r w:rsidR="003404BF" w:rsidRPr="006C203C">
        <w:rPr>
          <w:i/>
          <w:iCs/>
        </w:rPr>
        <w:t>st</w:t>
      </w:r>
      <w:r w:rsidR="00DC4040" w:rsidRPr="006C203C">
        <w:t xml:space="preserve"> incompatibilism by soft-ped</w:t>
      </w:r>
      <w:r w:rsidR="00FF49E1" w:rsidRPr="006C203C">
        <w:t>a</w:t>
      </w:r>
      <w:r w:rsidR="00DC4040" w:rsidRPr="006C203C">
        <w:t xml:space="preserve">ling the consequences of taking determinism seriously. </w:t>
      </w:r>
      <w:r w:rsidR="003404BF" w:rsidRPr="006C203C">
        <w:t xml:space="preserve">For us, the key intuition that is relevant to the debate about natural compatibilism is whether people think that we can be free and responsible even if at every moment we only have one and only one action available to us. </w:t>
      </w:r>
      <w:r w:rsidR="00BD398D" w:rsidRPr="006C203C">
        <w:t xml:space="preserve">So, we decided to </w:t>
      </w:r>
      <w:r w:rsidR="003404BF" w:rsidRPr="006C203C">
        <w:t xml:space="preserve">probe people’s intuitions about the </w:t>
      </w:r>
      <w:r w:rsidR="00BD398D" w:rsidRPr="006C203C">
        <w:t xml:space="preserve">merely conditional ability to do otherwise </w:t>
      </w:r>
      <w:r w:rsidR="00352DE2" w:rsidRPr="006C203C">
        <w:t>by running three preregistered, between-subject, vignette-based studies</w:t>
      </w:r>
      <w:r w:rsidR="00BD398D" w:rsidRPr="006C203C">
        <w:t xml:space="preserve">. </w:t>
      </w:r>
    </w:p>
    <w:p w14:paraId="3BAD05D2" w14:textId="38CFD125" w:rsidR="00E80AE2" w:rsidRPr="006C203C" w:rsidRDefault="00E80AE2" w:rsidP="00343178">
      <w:pPr>
        <w:pStyle w:val="ListParagraph"/>
        <w:numPr>
          <w:ilvl w:val="1"/>
          <w:numId w:val="12"/>
        </w:numPr>
        <w:spacing w:line="480" w:lineRule="auto"/>
        <w:jc w:val="both"/>
        <w:rPr>
          <w:i/>
        </w:rPr>
      </w:pPr>
      <w:r w:rsidRPr="006C203C">
        <w:rPr>
          <w:i/>
        </w:rPr>
        <w:t>Study 1: Indeterminism vs. Determinism</w:t>
      </w:r>
    </w:p>
    <w:p w14:paraId="77C5273F" w14:textId="6092D677" w:rsidR="00E80AE2" w:rsidRPr="006C203C" w:rsidRDefault="00C41611" w:rsidP="00E80AE2">
      <w:pPr>
        <w:spacing w:line="480" w:lineRule="auto"/>
        <w:jc w:val="both"/>
        <w:rPr>
          <w:i/>
        </w:rPr>
      </w:pPr>
      <w:r w:rsidRPr="006C203C">
        <w:rPr>
          <w:i/>
        </w:rPr>
        <w:t>3</w:t>
      </w:r>
      <w:r w:rsidR="00E80AE2" w:rsidRPr="006C203C">
        <w:rPr>
          <w:i/>
        </w:rPr>
        <w:t>.3.1. Participants and Design</w:t>
      </w:r>
    </w:p>
    <w:p w14:paraId="73B678AF" w14:textId="5BF528B9" w:rsidR="00B33087" w:rsidRDefault="000743F8" w:rsidP="00E80AE2">
      <w:pPr>
        <w:spacing w:line="480" w:lineRule="auto"/>
        <w:jc w:val="both"/>
      </w:pPr>
      <w:r>
        <w:rPr>
          <w:rFonts w:cstheme="minorHAnsi"/>
        </w:rPr>
        <w:lastRenderedPageBreak/>
        <w:t>For starters, i</w:t>
      </w:r>
      <w:r w:rsidRPr="003A0FF8">
        <w:rPr>
          <w:rFonts w:cstheme="minorHAnsi"/>
        </w:rPr>
        <w:t>n presenting and discussing S</w:t>
      </w:r>
      <w:r>
        <w:rPr>
          <w:rFonts w:cstheme="minorHAnsi"/>
        </w:rPr>
        <w:t>tudies 1–3</w:t>
      </w:r>
      <w:r w:rsidRPr="003A0FF8">
        <w:rPr>
          <w:rFonts w:cstheme="minorHAnsi"/>
        </w:rPr>
        <w:t xml:space="preserve">, we follow best scientific practices by reporting </w:t>
      </w:r>
      <w:r w:rsidRPr="003A0FF8">
        <w:rPr>
          <w:color w:val="212121"/>
        </w:rPr>
        <w:t xml:space="preserve">“how we determined our sample size, all data exclusions (if any), all manipulations, and all measures in the study” (Simmons, Nelson, &amp; Simonsohn, 2012, p. 4). </w:t>
      </w:r>
      <w:r w:rsidRPr="003A0FF8">
        <w:rPr>
          <w:rFonts w:cstheme="minorHAnsi"/>
        </w:rPr>
        <w:t xml:space="preserve">The complete data sets and supplemental materials (including measures and stimuli for all vignettes and further analyses that we did not have space to include in the paper) for </w:t>
      </w:r>
      <w:r>
        <w:rPr>
          <w:rFonts w:cstheme="minorHAnsi"/>
        </w:rPr>
        <w:t xml:space="preserve">all three studies </w:t>
      </w:r>
      <w:r w:rsidRPr="003A0FF8">
        <w:rPr>
          <w:rFonts w:cstheme="minorHAnsi"/>
        </w:rPr>
        <w:t xml:space="preserve">can be found at: </w:t>
      </w:r>
      <w:hyperlink r:id="rId8" w:history="1">
        <w:r w:rsidRPr="000743F8">
          <w:rPr>
            <w:color w:val="0000FF"/>
            <w:u w:val="single"/>
          </w:rPr>
          <w:t>https://osf.io/js8fa/</w:t>
        </w:r>
      </w:hyperlink>
      <w:r>
        <w:t xml:space="preserve">. That said, </w:t>
      </w:r>
      <w:r w:rsidR="007C0452">
        <w:t>w</w:t>
      </w:r>
      <w:r w:rsidR="00B33087" w:rsidRPr="00B47118">
        <w:t xml:space="preserve">e estimated the required sample size </w:t>
      </w:r>
      <w:r w:rsidR="00AA2E09">
        <w:t xml:space="preserve">for Study 1 (as well as Studies 2 and 3) </w:t>
      </w:r>
      <w:r w:rsidR="00B33087" w:rsidRPr="00B47118">
        <w:t xml:space="preserve">using power analysis in MATLAB (2018b) </w:t>
      </w:r>
      <w:r w:rsidR="00B33087">
        <w:t>based on a preliminary study we ran that had two conditions (Determinism +</w:t>
      </w:r>
      <w:r w:rsidR="007C0452">
        <w:t xml:space="preserve"> Other and</w:t>
      </w:r>
      <w:r w:rsidR="00B33087">
        <w:t xml:space="preserve"> Indeterminism</w:t>
      </w:r>
      <w:r w:rsidR="007C0452">
        <w:t xml:space="preserve"> + Other</w:t>
      </w:r>
      <w:r w:rsidR="00B33087">
        <w:t xml:space="preserve">) </w:t>
      </w:r>
      <w:r w:rsidR="00B33087" w:rsidRPr="00B47118">
        <w:t>with 52 and 49 participants, respectively.</w:t>
      </w:r>
      <w:r w:rsidR="001143F3">
        <w:rPr>
          <w:rStyle w:val="FootnoteReference"/>
        </w:rPr>
        <w:footnoteReference w:id="14"/>
      </w:r>
      <w:r w:rsidR="00B33087" w:rsidRPr="00B47118">
        <w:t xml:space="preserve"> We excluded participants who failed to pass five comprehension questions from further analysis, which led to 17 and 21 participants for</w:t>
      </w:r>
      <w:r w:rsidR="00B33087">
        <w:t xml:space="preserve"> each condition</w:t>
      </w:r>
      <w:r w:rsidR="00B33087" w:rsidRPr="00B47118">
        <w:t xml:space="preserve">. </w:t>
      </w:r>
      <w:r w:rsidR="007C0452" w:rsidRPr="001E5938">
        <w:t xml:space="preserve">We predetermined a sample size required to achieve adequate power (1 - </w:t>
      </w:r>
      <m:oMath>
        <m:r>
          <w:rPr>
            <w:rFonts w:ascii="Cambria Math" w:hAnsi="Cambria Math"/>
          </w:rPr>
          <m:t>β</m:t>
        </m:r>
      </m:oMath>
      <w:r w:rsidR="007C0452" w:rsidRPr="001E5938">
        <w:t xml:space="preserve"> &gt; 0.90) </w:t>
      </w:r>
      <w:r w:rsidR="00B33087" w:rsidRPr="00B47118">
        <w:t xml:space="preserve">for </w:t>
      </w:r>
      <w:r w:rsidR="007C0452">
        <w:t xml:space="preserve">a </w:t>
      </w:r>
      <w:r w:rsidR="00B33087" w:rsidRPr="00B47118">
        <w:t xml:space="preserve">two-sample t-test, comparing the mean ratings of </w:t>
      </w:r>
      <w:r w:rsidR="00B33087">
        <w:t xml:space="preserve">three </w:t>
      </w:r>
      <w:r w:rsidR="00B33087" w:rsidRPr="00B47118">
        <w:t xml:space="preserve">free will related measures and the </w:t>
      </w:r>
      <w:r w:rsidR="007C0452">
        <w:t xml:space="preserve">mean </w:t>
      </w:r>
      <w:r w:rsidR="00B33087" w:rsidRPr="00B47118">
        <w:t xml:space="preserve">ratings of </w:t>
      </w:r>
      <w:r w:rsidR="00B33087">
        <w:t xml:space="preserve">two </w:t>
      </w:r>
      <w:r w:rsidR="00B33087" w:rsidRPr="00B47118">
        <w:t>moral responsibility</w:t>
      </w:r>
      <w:r w:rsidR="00B33087">
        <w:t xml:space="preserve"> related measures</w:t>
      </w:r>
      <w:r w:rsidR="00B33087" w:rsidRPr="00B47118">
        <w:t xml:space="preserve"> </w:t>
      </w:r>
      <w:r w:rsidR="00B33087">
        <w:t>across</w:t>
      </w:r>
      <w:r w:rsidR="00B33087" w:rsidRPr="00B47118">
        <w:t xml:space="preserve"> two conditions. </w:t>
      </w:r>
      <w:r w:rsidR="00B33087">
        <w:t>Given the effect size</w:t>
      </w:r>
      <w:r w:rsidR="00ED6B1A">
        <w:t>s in this preliminary study</w:t>
      </w:r>
      <w:r w:rsidR="007C0452">
        <w:t xml:space="preserve">, </w:t>
      </w:r>
      <w:r w:rsidR="00B33087">
        <w:t>t</w:t>
      </w:r>
      <w:r w:rsidR="00B33087" w:rsidRPr="00B47118">
        <w:t>he power analysis indicated that we need</w:t>
      </w:r>
      <w:r w:rsidR="00B33087">
        <w:t>ed</w:t>
      </w:r>
      <w:r w:rsidR="00B33087" w:rsidRPr="00B47118">
        <w:t xml:space="preserve"> </w:t>
      </w:r>
      <w:r w:rsidR="00B33087">
        <w:t xml:space="preserve">only </w:t>
      </w:r>
      <w:r w:rsidR="00B33087" w:rsidRPr="00B47118">
        <w:t xml:space="preserve">5 participants for each condition. </w:t>
      </w:r>
      <w:r w:rsidR="00B33087">
        <w:t xml:space="preserve">However, because </w:t>
      </w:r>
      <w:r w:rsidR="00B33087" w:rsidRPr="00B47118">
        <w:t>there was a large proportion of participants who failed comprehension questions</w:t>
      </w:r>
      <w:r w:rsidR="00B33087">
        <w:t>,</w:t>
      </w:r>
      <w:r w:rsidR="00B33087" w:rsidRPr="00B47118">
        <w:t xml:space="preserve"> we wanted to be conservative and make sure that we would have a reasonable sample size across conditions</w:t>
      </w:r>
      <w:r w:rsidR="00B33087">
        <w:t xml:space="preserve">. So, </w:t>
      </w:r>
      <w:r w:rsidR="00B33087" w:rsidRPr="00B47118">
        <w:t>we selected the sample size of 75 for each condition for all three studies</w:t>
      </w:r>
      <w:r w:rsidR="00AA2E09">
        <w:t xml:space="preserve"> thinking this would give us more than enough power</w:t>
      </w:r>
      <w:r w:rsidR="00B33087" w:rsidRPr="00B47118">
        <w:t>.</w:t>
      </w:r>
      <w:r w:rsidR="007C0452">
        <w:t xml:space="preserve"> We thought this struck an appropriate balance between having sufficient power to detect an effect and funding constraints.</w:t>
      </w:r>
      <w:r w:rsidR="00B33087">
        <w:t xml:space="preserve"> </w:t>
      </w:r>
    </w:p>
    <w:p w14:paraId="617F938C" w14:textId="338E109E" w:rsidR="00E80AE2" w:rsidRPr="006C203C" w:rsidRDefault="00B33087" w:rsidP="00B33087">
      <w:pPr>
        <w:spacing w:line="480" w:lineRule="auto"/>
        <w:ind w:firstLine="720"/>
        <w:jc w:val="both"/>
      </w:pPr>
      <w:r>
        <w:t>For Study 1, d</w:t>
      </w:r>
      <w:r w:rsidR="00E80AE2" w:rsidRPr="006C203C">
        <w:t xml:space="preserve">ata collection was stopped on the day that the minimum number of participants started the study. </w:t>
      </w:r>
      <w:r w:rsidR="001D31DC" w:rsidRPr="006C203C">
        <w:t>3</w:t>
      </w:r>
      <w:r w:rsidR="0091615F" w:rsidRPr="006C203C">
        <w:t>49</w:t>
      </w:r>
      <w:r w:rsidR="00E80AE2" w:rsidRPr="006C203C">
        <w:t xml:space="preserve"> individuals started (and 285 individuals completed) this two-by-two (</w:t>
      </w:r>
      <w:r w:rsidR="007255E9">
        <w:t>I</w:t>
      </w:r>
      <w:r w:rsidR="00E80AE2" w:rsidRPr="006C203C">
        <w:t>ndeterminis</w:t>
      </w:r>
      <w:r w:rsidR="007255E9">
        <w:t>m</w:t>
      </w:r>
      <w:r w:rsidR="00E80AE2" w:rsidRPr="006C203C">
        <w:t xml:space="preserve"> vs. </w:t>
      </w:r>
      <w:r w:rsidR="007255E9">
        <w:t>D</w:t>
      </w:r>
      <w:r w:rsidR="00E80AE2" w:rsidRPr="006C203C">
        <w:t>eterminis</w:t>
      </w:r>
      <w:r w:rsidR="007255E9">
        <w:t>m</w:t>
      </w:r>
      <w:r w:rsidR="00E80AE2" w:rsidRPr="006C203C">
        <w:t xml:space="preserve"> by </w:t>
      </w:r>
      <w:r w:rsidR="007255E9">
        <w:t>S</w:t>
      </w:r>
      <w:r w:rsidR="00E80AE2" w:rsidRPr="006C203C">
        <w:t xml:space="preserve">elf vs. </w:t>
      </w:r>
      <w:r w:rsidR="007255E9">
        <w:t>O</w:t>
      </w:r>
      <w:r w:rsidR="00E80AE2" w:rsidRPr="006C203C">
        <w:t>the</w:t>
      </w:r>
      <w:r w:rsidR="007255E9">
        <w:t>r</w:t>
      </w:r>
      <w:r w:rsidR="00E80AE2" w:rsidRPr="006C203C">
        <w:t xml:space="preserve">) between-subject study on Amazon’s </w:t>
      </w:r>
      <w:r w:rsidR="00E80AE2" w:rsidRPr="006C203C">
        <w:lastRenderedPageBreak/>
        <w:t>Mechanical Turk (</w:t>
      </w:r>
      <w:r w:rsidR="001D20D7">
        <w:t>MTurk</w:t>
      </w:r>
      <w:r w:rsidR="00E80AE2" w:rsidRPr="006C203C">
        <w:t>) for monetary compensation.</w:t>
      </w:r>
      <w:r w:rsidR="00BA5841" w:rsidRPr="006C203C">
        <w:rPr>
          <w:rStyle w:val="FootnoteReference"/>
        </w:rPr>
        <w:footnoteReference w:id="15"/>
      </w:r>
      <w:r w:rsidR="00E80AE2" w:rsidRPr="006C203C">
        <w:t xml:space="preserve"> Participant recruitment was restricted to individuals in the United States who had at least 1,000 previously accepted HITs and a prior approval rating of at least 98%. </w:t>
      </w:r>
      <w:r w:rsidR="009C19B6" w:rsidRPr="006C203C">
        <w:t xml:space="preserve">28 participants failed to follow instructions or failed to pass at least two out of three comprehension </w:t>
      </w:r>
      <w:r w:rsidR="0091615F" w:rsidRPr="006C203C">
        <w:t xml:space="preserve">check </w:t>
      </w:r>
      <w:r w:rsidR="009C19B6" w:rsidRPr="006C203C">
        <w:t>questions, so d</w:t>
      </w:r>
      <w:r w:rsidR="00E80AE2" w:rsidRPr="006C203C">
        <w:t>ata were analyzed with the 25</w:t>
      </w:r>
      <w:r w:rsidR="00696F77" w:rsidRPr="006C203C">
        <w:t>7</w:t>
      </w:r>
      <w:r w:rsidR="00E80AE2" w:rsidRPr="006C203C">
        <w:t xml:space="preserve"> individuals (M</w:t>
      </w:r>
      <w:r w:rsidR="00E80AE2" w:rsidRPr="006C203C">
        <w:rPr>
          <w:vertAlign w:val="subscript"/>
        </w:rPr>
        <w:t>age</w:t>
      </w:r>
      <w:r w:rsidR="00E80AE2" w:rsidRPr="006C203C">
        <w:t xml:space="preserve"> = 4</w:t>
      </w:r>
      <w:r w:rsidR="009C19B6" w:rsidRPr="006C203C">
        <w:t>2</w:t>
      </w:r>
      <w:r w:rsidR="00E80AE2" w:rsidRPr="006C203C">
        <w:t>.</w:t>
      </w:r>
      <w:r w:rsidR="009C19B6" w:rsidRPr="006C203C">
        <w:t>76</w:t>
      </w:r>
      <w:r w:rsidR="00E80AE2" w:rsidRPr="006C203C">
        <w:t xml:space="preserve"> years, SD = 13.</w:t>
      </w:r>
      <w:r w:rsidR="009C19B6" w:rsidRPr="006C203C">
        <w:t>56</w:t>
      </w:r>
      <w:r w:rsidR="00E80AE2" w:rsidRPr="006C203C">
        <w:t>, range</w:t>
      </w:r>
      <w:r w:rsidR="00E80AE2" w:rsidRPr="006C203C">
        <w:rPr>
          <w:vertAlign w:val="subscript"/>
        </w:rPr>
        <w:t>age</w:t>
      </w:r>
      <w:r w:rsidR="00E80AE2" w:rsidRPr="006C203C">
        <w:t xml:space="preserve"> = [2</w:t>
      </w:r>
      <w:r w:rsidR="009C19B6" w:rsidRPr="006C203C">
        <w:t>1</w:t>
      </w:r>
      <w:r w:rsidR="00E80AE2" w:rsidRPr="006C203C">
        <w:t xml:space="preserve">, </w:t>
      </w:r>
      <w:r w:rsidR="009C19B6" w:rsidRPr="006C203C">
        <w:t>80</w:t>
      </w:r>
      <w:r w:rsidR="00E80AE2" w:rsidRPr="006C203C">
        <w:t>], 1</w:t>
      </w:r>
      <w:r w:rsidR="005E3B9E" w:rsidRPr="006C203C">
        <w:t>2</w:t>
      </w:r>
      <w:r w:rsidR="00E80AE2" w:rsidRPr="006C203C">
        <w:t>3 females). Each individual was randomly assigned to one of the four conditions. All studies reported herein were approved by the College of Charleston Institutional Review Board.</w:t>
      </w:r>
    </w:p>
    <w:p w14:paraId="764C3ED8" w14:textId="13938C69" w:rsidR="00E80AE2" w:rsidRPr="006C203C" w:rsidRDefault="00E80AE2" w:rsidP="001D31DC">
      <w:pPr>
        <w:spacing w:line="480" w:lineRule="auto"/>
        <w:ind w:firstLine="720"/>
        <w:jc w:val="both"/>
      </w:pPr>
      <w:r w:rsidRPr="006C203C">
        <w:t xml:space="preserve">For this vignette-based study, there were four conditions: (a) Indeterminism + Other, (b) Indeterminism + Self, (c) Determinism + Other, and (d) Determinism + Self. We used a between subject design, so each participant received one and only </w:t>
      </w:r>
      <w:r w:rsidR="00EF1C8E" w:rsidRPr="006C203C">
        <w:t xml:space="preserve">one </w:t>
      </w:r>
      <w:r w:rsidRPr="006C203C">
        <w:t>condition. For the other (or observer) conditions, the vignettes were as follows:</w:t>
      </w:r>
    </w:p>
    <w:p w14:paraId="6613CE44" w14:textId="0A67930B" w:rsidR="00E80AE2" w:rsidRPr="006C203C" w:rsidRDefault="00E80AE2" w:rsidP="00E80AE2">
      <w:pPr>
        <w:spacing w:after="160" w:line="259" w:lineRule="auto"/>
        <w:ind w:left="720"/>
        <w:jc w:val="both"/>
        <w:rPr>
          <w:rFonts w:eastAsiaTheme="minorHAnsi"/>
          <w:u w:val="single"/>
        </w:rPr>
      </w:pPr>
      <w:r w:rsidRPr="006C203C">
        <w:rPr>
          <w:rFonts w:eastAsiaTheme="minorHAnsi"/>
          <w:u w:val="single"/>
        </w:rPr>
        <w:t>Indeterminism + Other Condition:</w:t>
      </w:r>
    </w:p>
    <w:p w14:paraId="20DCF2D4" w14:textId="77777777" w:rsidR="00E80AE2" w:rsidRPr="006C203C" w:rsidRDefault="00E80AE2" w:rsidP="00E80AE2">
      <w:pPr>
        <w:spacing w:after="160" w:line="259" w:lineRule="auto"/>
        <w:ind w:left="720"/>
        <w:jc w:val="both"/>
        <w:rPr>
          <w:rFonts w:eastAsiaTheme="minorHAnsi"/>
        </w:rPr>
      </w:pPr>
      <w:r w:rsidRPr="006C203C">
        <w:rPr>
          <w:rFonts w:eastAsiaTheme="minorHAnsi"/>
        </w:rPr>
        <w:t>Imagine Jim lives in a causally open universe. In this universe, despite the physical state of the universe, the laws of the universe, and the fixity of the past, at any given moment the universe is genuinely open, like a garden of forking paths. Whenever Jim makes a decision to act in a particular way, it’s always the case that he could have acted differently even if absolutely everything leading up to his decision had been exactly the same. In short, at every moment Jim is able to actualize one possibility rather than another. Moreover, even if you knew absolutely everything about both the history of the universe and about Jim, you could never know in advance what Jim is going to decide to do. He, alone, is the only deciding factor when it comes to what he does. Despite the way the world was long before Jim was born, nothing in his life is in the cards, so to speak. Now, for illustrative purposes, imagine that Jim decided to take his dog for a walk in the park.</w:t>
      </w:r>
    </w:p>
    <w:p w14:paraId="575C669C" w14:textId="4280BD66" w:rsidR="00E80AE2" w:rsidRPr="006C203C" w:rsidRDefault="00E80AE2" w:rsidP="00E80AE2">
      <w:pPr>
        <w:spacing w:after="160" w:line="259" w:lineRule="auto"/>
        <w:ind w:left="720"/>
        <w:jc w:val="both"/>
        <w:rPr>
          <w:rFonts w:eastAsiaTheme="minorHAnsi"/>
          <w:u w:val="single"/>
        </w:rPr>
      </w:pPr>
      <w:r w:rsidRPr="006C203C">
        <w:rPr>
          <w:rFonts w:eastAsiaTheme="minorHAnsi"/>
          <w:u w:val="single"/>
        </w:rPr>
        <w:t>Determinism + Other Condition:</w:t>
      </w:r>
    </w:p>
    <w:p w14:paraId="0ED96656" w14:textId="77777777" w:rsidR="00E80AE2" w:rsidRPr="006C203C" w:rsidRDefault="00E80AE2" w:rsidP="00E80AE2">
      <w:pPr>
        <w:spacing w:after="160" w:line="259" w:lineRule="auto"/>
        <w:ind w:left="720"/>
        <w:jc w:val="both"/>
        <w:rPr>
          <w:rFonts w:eastAsiaTheme="minorHAnsi"/>
        </w:rPr>
      </w:pPr>
      <w:r w:rsidRPr="006C203C">
        <w:rPr>
          <w:rFonts w:eastAsiaTheme="minorHAnsi"/>
        </w:rPr>
        <w:t xml:space="preserve">Imagine Jim lives in a causally closed universe. In this universe, given the physical state of the universe, the laws of the universe, and the fixity of the past, at any given moment the universe is closed, like a train moving down the tracks. Whenever Jim makes a decision to act in a particular way, it’s always the case that he could have acted differently only if </w:t>
      </w:r>
      <w:r w:rsidRPr="006C203C">
        <w:rPr>
          <w:rFonts w:eastAsiaTheme="minorHAnsi"/>
        </w:rPr>
        <w:lastRenderedPageBreak/>
        <w:t>something leading up to his decision had been different. In short, at any given moment, there is one and only one choice and action genuinely open to Jim. Moreover, if you knew absolutely everything about both the history of the universe and about Jim, you could always know in advance what Jim is going to decide to do. He is not the only deciding factor when it comes to what he does. Given the way the world was long before Jim was born, everything in his life is in the cards, so to speak. Jim can make choices, but these choices are the only choices open to him. Now, for illustrative purposes, imagine that Jim decides to take his dog for a walk in the park.</w:t>
      </w:r>
    </w:p>
    <w:p w14:paraId="4537A7CA" w14:textId="77777777" w:rsidR="00E80AE2" w:rsidRPr="006C203C" w:rsidRDefault="00E80AE2" w:rsidP="00E80AE2">
      <w:pPr>
        <w:spacing w:line="480" w:lineRule="auto"/>
        <w:jc w:val="both"/>
      </w:pPr>
      <w:r w:rsidRPr="006C203C">
        <w:t>After reading one of these vignettes, participants in these conditions responded to the following statements on a 7-point scale ranging from strongly disagree to strongly agree:</w:t>
      </w:r>
    </w:p>
    <w:p w14:paraId="032CD338"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Jim has free will.</w:t>
      </w:r>
    </w:p>
    <w:p w14:paraId="69AFAEDC"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Jim is in complete control of his choices and decisions.</w:t>
      </w:r>
    </w:p>
    <w:p w14:paraId="13D40B83"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Jim’s choices and decisions make a difference in what he does.</w:t>
      </w:r>
    </w:p>
    <w:p w14:paraId="48CA660C" w14:textId="03ADB5EB"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In this scenario, free will is an illusion.</w:t>
      </w:r>
      <w:r w:rsidR="00352DE2" w:rsidRPr="006C203C">
        <w:rPr>
          <w:rStyle w:val="FootnoteReference"/>
          <w:rFonts w:eastAsiaTheme="minorHAnsi"/>
        </w:rPr>
        <w:footnoteReference w:id="16"/>
      </w:r>
    </w:p>
    <w:p w14:paraId="17B9C2D0"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Jim is ultimately responsible for his actions.</w:t>
      </w:r>
    </w:p>
    <w:p w14:paraId="4C7360FB"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 xml:space="preserve">Jim is morally blameworthy for his bad actions and praiseworthy for his good actions. </w:t>
      </w:r>
    </w:p>
    <w:p w14:paraId="015C589A"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Jim could have decided not to walk his dog even if everything leading up to his decision remained the same.</w:t>
      </w:r>
    </w:p>
    <w:p w14:paraId="4EBFB023"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Jim could have decided not to walk his dog only if something leading up to his decision had been different.</w:t>
      </w:r>
    </w:p>
    <w:p w14:paraId="2AD4FE4B"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If one knew everything about Jim and the history of the universe, one could have known in advance that Jim was going to decide to walk his dog in the park.</w:t>
      </w:r>
    </w:p>
    <w:p w14:paraId="482C3E70"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Everything Jim decides to do has to happen precisely as it does given the state of the universe at the time of his decision.</w:t>
      </w:r>
    </w:p>
    <w:p w14:paraId="64643B8E"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The universe Jim lives in is deterministic.</w:t>
      </w:r>
    </w:p>
    <w:p w14:paraId="744DB3DD" w14:textId="77777777" w:rsidR="00E80AE2" w:rsidRPr="006C203C" w:rsidRDefault="00E80AE2" w:rsidP="00E80AE2">
      <w:pPr>
        <w:numPr>
          <w:ilvl w:val="0"/>
          <w:numId w:val="9"/>
        </w:numPr>
        <w:spacing w:after="160" w:line="259" w:lineRule="auto"/>
        <w:contextualSpacing/>
        <w:jc w:val="both"/>
        <w:rPr>
          <w:rFonts w:eastAsiaTheme="minorHAnsi"/>
        </w:rPr>
      </w:pPr>
      <w:r w:rsidRPr="006C203C">
        <w:rPr>
          <w:rFonts w:eastAsiaTheme="minorHAnsi"/>
        </w:rPr>
        <w:t>The universe Jim lives in is indeterministic.</w:t>
      </w:r>
    </w:p>
    <w:p w14:paraId="63FA1A19" w14:textId="77777777" w:rsidR="00E80AE2" w:rsidRPr="006C203C" w:rsidRDefault="00E80AE2" w:rsidP="00E80AE2">
      <w:pPr>
        <w:spacing w:after="160" w:line="259" w:lineRule="auto"/>
        <w:contextualSpacing/>
        <w:jc w:val="both"/>
        <w:rPr>
          <w:rFonts w:eastAsiaTheme="minorHAnsi"/>
        </w:rPr>
      </w:pPr>
    </w:p>
    <w:p w14:paraId="0CC811D1" w14:textId="6C3619D7" w:rsidR="00E80AE2" w:rsidRPr="006C203C" w:rsidRDefault="00E80AE2" w:rsidP="00E80AE2">
      <w:pPr>
        <w:spacing w:after="160" w:line="480" w:lineRule="auto"/>
        <w:contextualSpacing/>
        <w:jc w:val="both"/>
        <w:rPr>
          <w:rFonts w:eastAsiaTheme="minorHAnsi"/>
        </w:rPr>
      </w:pPr>
      <w:r w:rsidRPr="006C203C">
        <w:rPr>
          <w:rFonts w:eastAsiaTheme="minorHAnsi"/>
        </w:rPr>
        <w:t>Items 1-4 were taken to elicit free will judgments. Items 5-6 were taken to elicit moral responsibility judgments. Items 7</w:t>
      </w:r>
      <w:r w:rsidR="0091615F" w:rsidRPr="006C203C">
        <w:rPr>
          <w:rFonts w:eastAsiaTheme="minorHAnsi"/>
        </w:rPr>
        <w:t>, 9, and 11</w:t>
      </w:r>
      <w:r w:rsidRPr="006C203C">
        <w:rPr>
          <w:rFonts w:eastAsiaTheme="minorHAnsi"/>
        </w:rPr>
        <w:t xml:space="preserve"> were used as comprehension checks.</w:t>
      </w:r>
      <w:r w:rsidR="0091615F" w:rsidRPr="006C203C">
        <w:rPr>
          <w:rStyle w:val="FootnoteReference"/>
          <w:rFonts w:eastAsiaTheme="minorHAnsi"/>
        </w:rPr>
        <w:footnoteReference w:id="17"/>
      </w:r>
      <w:r w:rsidRPr="006C203C">
        <w:rPr>
          <w:rFonts w:eastAsiaTheme="minorHAnsi"/>
        </w:rPr>
        <w:t xml:space="preserve"> </w:t>
      </w:r>
      <w:r w:rsidR="007C7A44" w:rsidRPr="006C203C">
        <w:rPr>
          <w:rFonts w:eastAsiaTheme="minorHAnsi"/>
        </w:rPr>
        <w:t xml:space="preserve">The comprehension checks are condition-relative—e.g., participants in the deterministic conditions </w:t>
      </w:r>
      <w:r w:rsidR="007C7A44" w:rsidRPr="006C203C">
        <w:rPr>
          <w:rFonts w:eastAsiaTheme="minorHAnsi"/>
        </w:rPr>
        <w:lastRenderedPageBreak/>
        <w:t xml:space="preserve">(but not in the indeterministic conditions) needed to agree that the universe is deterministic and participants in the indeterministic conditions (but not the deterministic conditions) needed to disagree that one could predict the protagonists behavior in advance if one knew everything about the history of the universe. </w:t>
      </w:r>
      <w:r w:rsidRPr="006C203C">
        <w:rPr>
          <w:rFonts w:eastAsiaTheme="minorHAnsi"/>
        </w:rPr>
        <w:t>The items were presented in random order to avoid framing effects. Agents who were in the self (or actor) conditions received these same vignettes except that “Jim” was replaced by “you.” The follow up statements were reworded as well—e.g., “In this scenario, you have free will,” and “In this scenario, free will is an illusion.”</w:t>
      </w:r>
      <w:r w:rsidRPr="006C203C">
        <w:rPr>
          <w:rStyle w:val="FootnoteReference"/>
          <w:rFonts w:eastAsiaTheme="minorHAnsi"/>
        </w:rPr>
        <w:footnoteReference w:id="18"/>
      </w:r>
      <w:r w:rsidRPr="006C203C">
        <w:rPr>
          <w:rFonts w:eastAsiaTheme="minorHAnsi"/>
        </w:rPr>
        <w:t xml:space="preserve"> After reading the vignette and responding to the 12 items, participants responded to the Free Will Inventory (Nadelhoffer et al., 2014)</w:t>
      </w:r>
      <w:r w:rsidR="0091615F" w:rsidRPr="006C203C">
        <w:rPr>
          <w:rStyle w:val="FootnoteReference"/>
          <w:rFonts w:eastAsiaTheme="minorHAnsi"/>
        </w:rPr>
        <w:footnoteReference w:id="19"/>
      </w:r>
      <w:r w:rsidRPr="006C203C">
        <w:rPr>
          <w:rFonts w:eastAsiaTheme="minorHAnsi"/>
        </w:rPr>
        <w:t xml:space="preserve"> and provided some basic demographic information</w:t>
      </w:r>
      <w:r w:rsidR="007C7A44" w:rsidRPr="006C203C">
        <w:rPr>
          <w:rFonts w:eastAsiaTheme="minorHAnsi"/>
        </w:rPr>
        <w:t>—e.g., age, race, gender, education, income, political ideology, and religious orientation</w:t>
      </w:r>
      <w:r w:rsidRPr="006C203C">
        <w:rPr>
          <w:rFonts w:eastAsiaTheme="minorHAnsi"/>
        </w:rPr>
        <w:t xml:space="preserve">. </w:t>
      </w:r>
    </w:p>
    <w:p w14:paraId="72604581" w14:textId="6CDB0AA4" w:rsidR="00E80AE2" w:rsidRPr="006C203C" w:rsidRDefault="00C41611" w:rsidP="00E80AE2">
      <w:pPr>
        <w:spacing w:line="480" w:lineRule="auto"/>
        <w:jc w:val="both"/>
        <w:rPr>
          <w:i/>
        </w:rPr>
      </w:pPr>
      <w:r w:rsidRPr="006C203C">
        <w:rPr>
          <w:i/>
        </w:rPr>
        <w:t>3</w:t>
      </w:r>
      <w:r w:rsidR="00E80AE2" w:rsidRPr="006C203C">
        <w:rPr>
          <w:i/>
        </w:rPr>
        <w:t>.3.2 Results</w:t>
      </w:r>
    </w:p>
    <w:p w14:paraId="72576A1C" w14:textId="0C993B00" w:rsidR="00E80AE2" w:rsidRPr="006C203C" w:rsidRDefault="00E80AE2" w:rsidP="00E80AE2">
      <w:pPr>
        <w:spacing w:line="480" w:lineRule="auto"/>
        <w:jc w:val="both"/>
      </w:pPr>
      <w:r w:rsidRPr="006C203C">
        <w:t>To examine the effect of indeterministic and deterministic frames and self and other perspectives on intuition</w:t>
      </w:r>
      <w:r w:rsidR="003E01FA" w:rsidRPr="006C203C">
        <w:t>s</w:t>
      </w:r>
      <w:r w:rsidRPr="006C203C">
        <w:t xml:space="preserve"> about free will and moral responsibility as well as their interaction, we first aggregated and averaged </w:t>
      </w:r>
      <w:r w:rsidR="002068B7" w:rsidRPr="006C203C">
        <w:t xml:space="preserve">four </w:t>
      </w:r>
      <w:r w:rsidRPr="006C203C">
        <w:t>free will questions</w:t>
      </w:r>
      <w:r w:rsidR="00CA19E9">
        <w:t xml:space="preserve"> </w:t>
      </w:r>
      <w:r w:rsidR="00CA19E9">
        <w:rPr>
          <w:rFonts w:eastAsiaTheme="minorHAnsi"/>
        </w:rPr>
        <w:t>(</w:t>
      </w:r>
      <w:r w:rsidR="00CA19E9" w:rsidRPr="006C203C">
        <w:rPr>
          <w:rFonts w:eastAsiaTheme="minorHAnsi"/>
        </w:rPr>
        <w:t xml:space="preserve">Cronbach's </w:t>
      </w:r>
      <m:oMath>
        <m:r>
          <w:rPr>
            <w:rFonts w:ascii="Cambria Math" w:eastAsiaTheme="minorHAnsi" w:hAnsi="Cambria Math"/>
          </w:rPr>
          <m:t>α</m:t>
        </m:r>
      </m:oMath>
      <w:r w:rsidR="00CA19E9">
        <w:rPr>
          <w:rFonts w:eastAsiaTheme="minorEastAsia"/>
        </w:rPr>
        <w:t xml:space="preserve"> = 0.91)</w:t>
      </w:r>
      <w:r w:rsidR="00352DE2" w:rsidRPr="006C203C">
        <w:rPr>
          <w:rStyle w:val="FootnoteReference"/>
        </w:rPr>
        <w:footnoteReference w:id="20"/>
      </w:r>
      <w:r w:rsidRPr="006C203C">
        <w:t xml:space="preserve"> and </w:t>
      </w:r>
      <w:r w:rsidR="002068B7" w:rsidRPr="006C203C">
        <w:t xml:space="preserve">two </w:t>
      </w:r>
      <w:r w:rsidRPr="006C203C">
        <w:t>moral responsibility questions</w:t>
      </w:r>
      <w:r w:rsidR="00CA19E9" w:rsidRPr="00CA19E9">
        <w:rPr>
          <w:rFonts w:eastAsiaTheme="minorHAnsi"/>
        </w:rPr>
        <w:t xml:space="preserve"> </w:t>
      </w:r>
      <w:r w:rsidR="00CA19E9">
        <w:rPr>
          <w:rFonts w:eastAsiaTheme="minorHAnsi"/>
        </w:rPr>
        <w:t>(</w:t>
      </w:r>
      <w:r w:rsidR="00CA19E9" w:rsidRPr="006C203C">
        <w:rPr>
          <w:rFonts w:eastAsiaTheme="minorHAnsi"/>
        </w:rPr>
        <w:t xml:space="preserve">Cronbach's </w:t>
      </w:r>
      <m:oMath>
        <m:r>
          <w:rPr>
            <w:rFonts w:ascii="Cambria Math" w:eastAsiaTheme="minorHAnsi" w:hAnsi="Cambria Math"/>
          </w:rPr>
          <m:t>α</m:t>
        </m:r>
      </m:oMath>
      <w:r w:rsidR="00CA19E9">
        <w:rPr>
          <w:rFonts w:eastAsiaTheme="minorEastAsia"/>
        </w:rPr>
        <w:t xml:space="preserve"> = 0.82)</w:t>
      </w:r>
      <w:r w:rsidRPr="006C203C">
        <w:t xml:space="preserve"> and then performed a two-way Analysis of Variance (ANOVA) and multiple comparison based on these two averages</w:t>
      </w:r>
      <w:r w:rsidR="003E01FA" w:rsidRPr="006C203C">
        <w:t xml:space="preserve"> for participants </w:t>
      </w:r>
      <w:r w:rsidR="00696F77" w:rsidRPr="006C203C">
        <w:t>who passe</w:t>
      </w:r>
      <w:r w:rsidR="001D20D7">
        <w:t>d</w:t>
      </w:r>
      <w:r w:rsidR="00696F77" w:rsidRPr="006C203C">
        <w:t xml:space="preserve"> at least two out of three comprehension questions. </w:t>
      </w:r>
      <w:r w:rsidRPr="006C203C">
        <w:t>Two-way ANOVAs indicated a main effect of indeterministic and deterministic frames on intuitions about free will (</w:t>
      </w:r>
      <w:r w:rsidRPr="006C203C">
        <w:rPr>
          <w:i/>
        </w:rPr>
        <w:t>F</w:t>
      </w:r>
      <w:r w:rsidRPr="006C203C">
        <w:t xml:space="preserve">(1, </w:t>
      </w:r>
      <w:r w:rsidR="00073951" w:rsidRPr="006C203C">
        <w:t>253</w:t>
      </w:r>
      <w:r w:rsidRPr="006C203C">
        <w:t xml:space="preserve">) = </w:t>
      </w:r>
      <w:r w:rsidR="002068B7" w:rsidRPr="006C203C">
        <w:t>489.87</w:t>
      </w:r>
      <w:r w:rsidRPr="006C203C">
        <w:t xml:space="preserve">, </w:t>
      </w:r>
      <w:r w:rsidRPr="006C203C">
        <w:rPr>
          <w:i/>
        </w:rPr>
        <w:t>p</w:t>
      </w:r>
      <w:r w:rsidRPr="006C203C">
        <w:t xml:space="preserve"> &lt; 0.001</w:t>
      </w:r>
      <w:r w:rsidR="00EB2F17"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=0.66</m:t>
        </m:r>
      </m:oMath>
      <w:r w:rsidRPr="006C203C">
        <w:t>) and intuitions about moral responsibility (</w:t>
      </w:r>
      <w:r w:rsidRPr="006C203C">
        <w:rPr>
          <w:i/>
        </w:rPr>
        <w:t>F</w:t>
      </w:r>
      <w:r w:rsidRPr="006C203C">
        <w:t xml:space="preserve">(1, </w:t>
      </w:r>
      <w:r w:rsidR="00073951" w:rsidRPr="006C203C">
        <w:t>253</w:t>
      </w:r>
      <w:r w:rsidRPr="006C203C">
        <w:t xml:space="preserve">) = </w:t>
      </w:r>
      <w:r w:rsidR="00073951" w:rsidRPr="006C203C">
        <w:t>206.53</w:t>
      </w:r>
      <w:r w:rsidRPr="006C203C">
        <w:t xml:space="preserve">, </w:t>
      </w:r>
      <w:r w:rsidRPr="006C203C">
        <w:rPr>
          <w:i/>
        </w:rPr>
        <w:t>p</w:t>
      </w:r>
      <w:r w:rsidRPr="006C203C">
        <w:t xml:space="preserve"> &lt; 0.001</w:t>
      </w:r>
      <w:r w:rsidR="00EB2F17" w:rsidRPr="006C203C">
        <w:t>,</w:t>
      </w:r>
      <m:oMath>
        <m:r>
          <w:rPr>
            <w:rFonts w:ascii="Cambria Math" w:hAnsi="Cambria Math"/>
          </w:rPr>
          <m:t xml:space="preserve"> </m:t>
        </m:r>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=0.45</m:t>
        </m:r>
      </m:oMath>
      <w:r w:rsidRPr="006C203C">
        <w:t>)</w:t>
      </w:r>
      <w:r w:rsidR="003D0B3F" w:rsidRPr="006C203C">
        <w:t xml:space="preserve"> (Figure 1)</w:t>
      </w:r>
      <w:r w:rsidRPr="006C203C">
        <w:t>. We d</w:t>
      </w:r>
      <w:r w:rsidR="003E01FA" w:rsidRPr="006C203C">
        <w:t>id</w:t>
      </w:r>
      <w:r w:rsidRPr="006C203C">
        <w:t xml:space="preserve"> not observe a main effect of self and other perspectives on intuitions </w:t>
      </w:r>
      <w:r w:rsidRPr="006C203C">
        <w:lastRenderedPageBreak/>
        <w:t>about either free will (</w:t>
      </w:r>
      <w:r w:rsidRPr="006C203C">
        <w:rPr>
          <w:i/>
        </w:rPr>
        <w:t>F</w:t>
      </w:r>
      <w:r w:rsidRPr="006C203C">
        <w:t xml:space="preserve">(1, </w:t>
      </w:r>
      <w:r w:rsidR="00073951" w:rsidRPr="006C203C">
        <w:t>253</w:t>
      </w:r>
      <w:r w:rsidRPr="006C203C">
        <w:t xml:space="preserve">) = </w:t>
      </w:r>
      <w:r w:rsidR="00073951" w:rsidRPr="006C203C">
        <w:t>0.</w:t>
      </w:r>
      <w:r w:rsidR="002068B7" w:rsidRPr="006C203C">
        <w:t>16</w:t>
      </w:r>
      <w:r w:rsidRPr="006C203C">
        <w:t xml:space="preserve">, </w:t>
      </w:r>
      <w:r w:rsidRPr="006C203C">
        <w:rPr>
          <w:i/>
        </w:rPr>
        <w:t>p</w:t>
      </w:r>
      <w:r w:rsidRPr="006C203C">
        <w:t xml:space="preserve"> = 0.</w:t>
      </w:r>
      <w:r w:rsidR="002068B7" w:rsidRPr="006C203C">
        <w:t>69</w:t>
      </w:r>
      <w:r w:rsidRPr="006C203C">
        <w:t>) or moral responsibility (</w:t>
      </w:r>
      <w:r w:rsidRPr="006C203C">
        <w:rPr>
          <w:i/>
        </w:rPr>
        <w:t>F</w:t>
      </w:r>
      <w:r w:rsidRPr="006C203C">
        <w:t xml:space="preserve">(1, </w:t>
      </w:r>
      <w:r w:rsidR="00073951" w:rsidRPr="006C203C">
        <w:t>253</w:t>
      </w:r>
      <w:r w:rsidRPr="006C203C">
        <w:t>) = 2.</w:t>
      </w:r>
      <w:r w:rsidR="00073951" w:rsidRPr="006C203C">
        <w:t>81</w:t>
      </w:r>
      <w:r w:rsidRPr="006C203C">
        <w:t xml:space="preserve">, </w:t>
      </w:r>
      <w:r w:rsidRPr="006C203C">
        <w:rPr>
          <w:i/>
        </w:rPr>
        <w:t>p</w:t>
      </w:r>
      <w:r w:rsidRPr="006C203C">
        <w:t xml:space="preserve"> = 0.</w:t>
      </w:r>
      <w:r w:rsidR="00073951" w:rsidRPr="006C203C">
        <w:t>09</w:t>
      </w:r>
      <w:r w:rsidRPr="006C203C">
        <w:t xml:space="preserve">). We </w:t>
      </w:r>
      <w:r w:rsidR="001D20D7">
        <w:t xml:space="preserve">also </w:t>
      </w:r>
      <w:r w:rsidRPr="006C203C">
        <w:t xml:space="preserve">did not find </w:t>
      </w:r>
      <w:r w:rsidR="003E01FA" w:rsidRPr="006C203C">
        <w:t xml:space="preserve">an </w:t>
      </w:r>
      <w:r w:rsidRPr="006C203C">
        <w:t>interaction between these two factors on free will (</w:t>
      </w:r>
      <w:r w:rsidRPr="006C203C">
        <w:rPr>
          <w:i/>
        </w:rPr>
        <w:t>F</w:t>
      </w:r>
      <w:r w:rsidRPr="006C203C">
        <w:t xml:space="preserve">(1, </w:t>
      </w:r>
      <w:r w:rsidR="00073951" w:rsidRPr="006C203C">
        <w:t>253</w:t>
      </w:r>
      <w:r w:rsidRPr="006C203C">
        <w:t xml:space="preserve">) = </w:t>
      </w:r>
      <w:r w:rsidR="00073951" w:rsidRPr="006C203C">
        <w:t>0.</w:t>
      </w:r>
      <w:r w:rsidR="002068B7" w:rsidRPr="006C203C">
        <w:t>01</w:t>
      </w:r>
      <w:r w:rsidRPr="006C203C">
        <w:t xml:space="preserve">, </w:t>
      </w:r>
      <w:r w:rsidRPr="006C203C">
        <w:rPr>
          <w:i/>
        </w:rPr>
        <w:t>p</w:t>
      </w:r>
      <w:r w:rsidRPr="006C203C">
        <w:t xml:space="preserve"> = 0.</w:t>
      </w:r>
      <w:r w:rsidR="002068B7" w:rsidRPr="006C203C">
        <w:t>93</w:t>
      </w:r>
      <w:r w:rsidRPr="006C203C">
        <w:t>) or moral responsibility (</w:t>
      </w:r>
      <w:r w:rsidRPr="006C203C">
        <w:rPr>
          <w:i/>
        </w:rPr>
        <w:t>F</w:t>
      </w:r>
      <w:r w:rsidRPr="006C203C">
        <w:t xml:space="preserve">(1, </w:t>
      </w:r>
      <w:r w:rsidR="00073951" w:rsidRPr="006C203C">
        <w:t>253</w:t>
      </w:r>
      <w:r w:rsidRPr="006C203C">
        <w:t>) = 0.0</w:t>
      </w:r>
      <w:r w:rsidR="00073951" w:rsidRPr="006C203C">
        <w:t>3</w:t>
      </w:r>
      <w:r w:rsidRPr="006C203C">
        <w:t xml:space="preserve">, </w:t>
      </w:r>
      <w:r w:rsidRPr="006C203C">
        <w:rPr>
          <w:i/>
        </w:rPr>
        <w:t>p</w:t>
      </w:r>
      <w:r w:rsidRPr="006C203C">
        <w:t xml:space="preserve"> = 0.</w:t>
      </w:r>
      <w:r w:rsidR="00073951" w:rsidRPr="006C203C">
        <w:t>86</w:t>
      </w:r>
      <w:r w:rsidRPr="006C203C">
        <w:t xml:space="preserve">). </w:t>
      </w:r>
      <w:r w:rsidR="00AF7A0B" w:rsidRPr="006C203C">
        <w:t xml:space="preserve">Results were similar when all subjects were included (see </w:t>
      </w:r>
      <w:r w:rsidR="0044406A" w:rsidRPr="006C203C">
        <w:t xml:space="preserve">Section </w:t>
      </w:r>
      <w:r w:rsidR="003E0896" w:rsidRPr="006C203C">
        <w:t>5</w:t>
      </w:r>
      <w:r w:rsidR="00AF7A0B" w:rsidRPr="006C203C">
        <w:t xml:space="preserve"> in </w:t>
      </w:r>
      <w:r w:rsidR="00B005A9" w:rsidRPr="006C203C">
        <w:t>Supplemental Materials</w:t>
      </w:r>
      <w:r w:rsidR="00AF7A0B" w:rsidRPr="006C203C">
        <w:t>).</w:t>
      </w:r>
    </w:p>
    <w:p w14:paraId="16814121" w14:textId="3E0B8EBB" w:rsidR="00073951" w:rsidRPr="006C203C" w:rsidRDefault="00E80AE2" w:rsidP="00E80AE2">
      <w:pPr>
        <w:spacing w:line="480" w:lineRule="auto"/>
        <w:jc w:val="both"/>
      </w:pPr>
      <w:r w:rsidRPr="006C203C">
        <w:tab/>
        <w:t xml:space="preserve">We performed </w:t>
      </w:r>
      <w:r w:rsidR="003E01FA" w:rsidRPr="006C203C">
        <w:t xml:space="preserve">a </w:t>
      </w:r>
      <w:r w:rsidRPr="006C203C">
        <w:t>multiple comparison on indeterministic/deterministic frames and self/other perspectives across conditions corrected by Dunn and Sidák's approach</w:t>
      </w:r>
      <w:r w:rsidR="00E50F15" w:rsidRPr="006C203C">
        <w:t xml:space="preserve"> (Sidák, 1967)</w:t>
      </w:r>
      <w:r w:rsidRPr="006C203C">
        <w:t>. Regarding intuition</w:t>
      </w:r>
      <w:r w:rsidR="003E01FA" w:rsidRPr="006C203C">
        <w:t>s</w:t>
      </w:r>
      <w:r w:rsidRPr="006C203C">
        <w:t xml:space="preserve"> about free will, four pairs were significantly different from each other (</w:t>
      </w:r>
      <w:r w:rsidRPr="006C203C">
        <w:rPr>
          <w:i/>
        </w:rPr>
        <w:t>p</w:t>
      </w:r>
      <w:r w:rsidRPr="006C203C">
        <w:t xml:space="preserve"> &lt; 0.001) but not the pair of Indeterministic-Other and Indeterministic-Self conditions (</w:t>
      </w:r>
      <w:r w:rsidRPr="006C203C">
        <w:rPr>
          <w:i/>
        </w:rPr>
        <w:t>p</w:t>
      </w:r>
      <w:r w:rsidRPr="006C203C">
        <w:t xml:space="preserve"> = 1.00) or the pair of </w:t>
      </w:r>
      <w:r w:rsidR="00606027" w:rsidRPr="006C203C">
        <w:t>Deterministic</w:t>
      </w:r>
      <w:r w:rsidRPr="006C203C">
        <w:t>-Other and Deterministic-Self conditions (</w:t>
      </w:r>
      <w:r w:rsidRPr="006C203C">
        <w:rPr>
          <w:i/>
        </w:rPr>
        <w:t>p</w:t>
      </w:r>
      <w:r w:rsidRPr="006C203C">
        <w:t xml:space="preserve"> = </w:t>
      </w:r>
      <w:r w:rsidR="00F64DA0" w:rsidRPr="006C203C">
        <w:t>1.00</w:t>
      </w:r>
      <w:r w:rsidRPr="006C203C">
        <w:t xml:space="preserve">). Specifically, the protagonists in </w:t>
      </w:r>
      <w:r w:rsidR="003E01FA" w:rsidRPr="006C203C">
        <w:t xml:space="preserve">the </w:t>
      </w:r>
      <w:r w:rsidRPr="006C203C">
        <w:t xml:space="preserve">indeterministic conditions were perceived to have more free will than those in deterministic conditions </w:t>
      </w:r>
      <w:r w:rsidR="00073951" w:rsidRPr="006C203C">
        <w:t>(see Table 1 for details). Similarly, we found the same results about moral responsibility. Four pairs were significantly different from each other (</w:t>
      </w:r>
      <w:r w:rsidR="00073951" w:rsidRPr="006C203C">
        <w:rPr>
          <w:i/>
        </w:rPr>
        <w:t>p</w:t>
      </w:r>
      <w:r w:rsidR="00073951" w:rsidRPr="006C203C">
        <w:t xml:space="preserve"> &lt; 0.001) but not the pair of Indeterministic-Other and Indeterministic-Self conditions (</w:t>
      </w:r>
      <w:r w:rsidR="00073951" w:rsidRPr="006C203C">
        <w:rPr>
          <w:i/>
        </w:rPr>
        <w:t>p</w:t>
      </w:r>
      <w:r w:rsidR="00073951" w:rsidRPr="006C203C">
        <w:t xml:space="preserve"> = 0.7</w:t>
      </w:r>
      <w:r w:rsidR="00F64DA0" w:rsidRPr="006C203C">
        <w:t>0</w:t>
      </w:r>
      <w:r w:rsidR="00073951" w:rsidRPr="006C203C">
        <w:t xml:space="preserve">) or the pair of </w:t>
      </w:r>
      <w:r w:rsidR="00606027" w:rsidRPr="006C203C">
        <w:t>Deterministic</w:t>
      </w:r>
      <w:r w:rsidR="00073951" w:rsidRPr="006C203C">
        <w:t>-Other and Deterministic-Self conditions (</w:t>
      </w:r>
      <w:r w:rsidR="00073951" w:rsidRPr="006C203C">
        <w:rPr>
          <w:i/>
        </w:rPr>
        <w:t>p</w:t>
      </w:r>
      <w:r w:rsidR="00073951" w:rsidRPr="006C203C">
        <w:t xml:space="preserve"> = 0.8</w:t>
      </w:r>
      <w:r w:rsidR="00F64DA0" w:rsidRPr="006C203C">
        <w:t>8</w:t>
      </w:r>
      <w:r w:rsidR="00073951" w:rsidRPr="006C203C">
        <w:t xml:space="preserve">). Specifically, </w:t>
      </w:r>
      <w:r w:rsidR="00DB125B" w:rsidRPr="006C203C">
        <w:t xml:space="preserve">attributions of moral responsibility were higher in the </w:t>
      </w:r>
      <w:r w:rsidR="00073951" w:rsidRPr="006C203C">
        <w:t xml:space="preserve">indeterministic conditions </w:t>
      </w:r>
      <w:r w:rsidR="00DB125B" w:rsidRPr="006C203C">
        <w:t xml:space="preserve">than in the </w:t>
      </w:r>
      <w:r w:rsidR="00073951" w:rsidRPr="006C203C">
        <w:t>deterministic conditions (Table 1).</w:t>
      </w:r>
      <w:r w:rsidR="00420D56" w:rsidRPr="006C203C">
        <w:t xml:space="preserve"> Results were similar when all subjects were included (see</w:t>
      </w:r>
      <w:r w:rsidR="00352DE2" w:rsidRPr="006C203C">
        <w:t xml:space="preserve"> Section 5</w:t>
      </w:r>
      <w:r w:rsidR="00420D56" w:rsidRPr="006C203C">
        <w:t xml:space="preserve"> in </w:t>
      </w:r>
      <w:r w:rsidR="00B005A9" w:rsidRPr="006C203C">
        <w:t>Supplemental Materials</w:t>
      </w:r>
      <w:r w:rsidR="00420D56" w:rsidRPr="006C203C">
        <w:t>).</w:t>
      </w:r>
    </w:p>
    <w:p w14:paraId="615A7343" w14:textId="477B643B" w:rsidR="00E80AE2" w:rsidRPr="006C203C" w:rsidRDefault="00100524" w:rsidP="00E80AE2">
      <w:pPr>
        <w:spacing w:line="480" w:lineRule="auto"/>
        <w:jc w:val="center"/>
      </w:pPr>
      <w:r w:rsidRPr="006C203C">
        <w:rPr>
          <w:noProof/>
        </w:rPr>
        <w:lastRenderedPageBreak/>
        <w:drawing>
          <wp:inline distT="0" distB="0" distL="0" distR="0" wp14:anchorId="63C116E1" wp14:editId="3CD0A59E">
            <wp:extent cx="5943600" cy="3056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vsD_freewill_results_02162019_1.ai"/>
                    <pic:cNvPicPr/>
                  </pic:nvPicPr>
                  <pic:blipFill>
                    <a:blip r:embed="rId9">
                      <a:extLst>
                        <a:ext uri="{28A0092B-C50C-407E-A947-70E740481C1C}">
                          <a14:useLocalDpi xmlns:a14="http://schemas.microsoft.com/office/drawing/2010/main" val="0"/>
                        </a:ext>
                      </a:extLst>
                    </a:blip>
                    <a:stretch>
                      <a:fillRect/>
                    </a:stretch>
                  </pic:blipFill>
                  <pic:spPr>
                    <a:xfrm>
                      <a:off x="0" y="0"/>
                      <a:ext cx="5943600" cy="3056890"/>
                    </a:xfrm>
                    <a:prstGeom prst="rect">
                      <a:avLst/>
                    </a:prstGeom>
                  </pic:spPr>
                </pic:pic>
              </a:graphicData>
            </a:graphic>
          </wp:inline>
        </w:drawing>
      </w:r>
    </w:p>
    <w:p w14:paraId="21694229" w14:textId="6FA0AB5F" w:rsidR="00D3460C" w:rsidRPr="006C203C" w:rsidRDefault="00E80AE2" w:rsidP="008F7D63">
      <w:pPr>
        <w:spacing w:line="480" w:lineRule="auto"/>
      </w:pPr>
      <w:r w:rsidRPr="006C203C">
        <w:t>Figure 1.</w:t>
      </w:r>
      <w:r w:rsidR="008F7D63" w:rsidRPr="006C203C">
        <w:t xml:space="preserve"> Aggregated free will and moral responsibility ratings. Error bars indicate the standard error from the mean. ID: indeterministic; D: deterministic; O: other or the third-person perspective; S: self or the first-person perspective.</w:t>
      </w:r>
      <w:r w:rsidR="00D1112F" w:rsidRPr="006C203C">
        <w:t xml:space="preserve"> Note: n.s. not significant; *** </w:t>
      </w:r>
      <w:r w:rsidR="00D1112F" w:rsidRPr="006C203C">
        <w:rPr>
          <w:i/>
        </w:rPr>
        <w:t>p</w:t>
      </w:r>
      <w:r w:rsidR="00D1112F" w:rsidRPr="006C203C">
        <w:t xml:space="preserve"> &lt; 0.001.</w:t>
      </w:r>
    </w:p>
    <w:p w14:paraId="15CEDCB1" w14:textId="77777777" w:rsidR="008F7D63" w:rsidRPr="006C203C" w:rsidRDefault="008F7D63" w:rsidP="008F7D63">
      <w:pPr>
        <w:spacing w:line="480" w:lineRule="auto"/>
      </w:pPr>
    </w:p>
    <w:p w14:paraId="6604B6A4" w14:textId="3794F211" w:rsidR="00E80AE2" w:rsidRPr="006C203C" w:rsidRDefault="00D3460C" w:rsidP="00E80AE2">
      <w:pPr>
        <w:spacing w:line="480" w:lineRule="auto"/>
        <w:jc w:val="center"/>
      </w:pPr>
      <w:r w:rsidRPr="006C203C">
        <w:t xml:space="preserve">Table 1. </w:t>
      </w:r>
      <w:r w:rsidR="00E80AE2" w:rsidRPr="006C203C">
        <w:t xml:space="preserve"> </w:t>
      </w:r>
      <w:r w:rsidRPr="006C203C">
        <w:t>Statistics of free will and moral responsibility 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776"/>
        <w:gridCol w:w="1776"/>
        <w:gridCol w:w="1776"/>
        <w:gridCol w:w="1777"/>
      </w:tblGrid>
      <w:tr w:rsidR="001C2765" w:rsidRPr="006C203C" w14:paraId="0CF67A23" w14:textId="77777777" w:rsidTr="001412EE">
        <w:tc>
          <w:tcPr>
            <w:tcW w:w="2245" w:type="dxa"/>
            <w:tcBorders>
              <w:top w:val="single" w:sz="12" w:space="0" w:color="auto"/>
              <w:bottom w:val="single" w:sz="12" w:space="0" w:color="auto"/>
            </w:tcBorders>
            <w:vAlign w:val="center"/>
          </w:tcPr>
          <w:p w14:paraId="582E251B" w14:textId="77777777" w:rsidR="001C2765" w:rsidRPr="006C203C" w:rsidRDefault="001C2765" w:rsidP="001C2765">
            <w:pPr>
              <w:jc w:val="center"/>
            </w:pPr>
          </w:p>
        </w:tc>
        <w:tc>
          <w:tcPr>
            <w:tcW w:w="1776" w:type="dxa"/>
            <w:tcBorders>
              <w:top w:val="single" w:sz="12" w:space="0" w:color="auto"/>
              <w:bottom w:val="single" w:sz="12" w:space="0" w:color="auto"/>
            </w:tcBorders>
            <w:vAlign w:val="center"/>
          </w:tcPr>
          <w:p w14:paraId="7D5267BA" w14:textId="5F455EFB" w:rsidR="001C2765" w:rsidRPr="006C203C" w:rsidRDefault="001C2765" w:rsidP="001C2765">
            <w:pPr>
              <w:jc w:val="center"/>
            </w:pPr>
            <w:r w:rsidRPr="006C203C">
              <w:t>ID-Other</w:t>
            </w:r>
          </w:p>
        </w:tc>
        <w:tc>
          <w:tcPr>
            <w:tcW w:w="1776" w:type="dxa"/>
            <w:tcBorders>
              <w:top w:val="single" w:sz="12" w:space="0" w:color="auto"/>
              <w:bottom w:val="single" w:sz="12" w:space="0" w:color="auto"/>
            </w:tcBorders>
            <w:vAlign w:val="center"/>
          </w:tcPr>
          <w:p w14:paraId="5D62527D" w14:textId="2673905D" w:rsidR="001C2765" w:rsidRPr="006C203C" w:rsidRDefault="001C2765" w:rsidP="001C2765">
            <w:pPr>
              <w:jc w:val="center"/>
            </w:pPr>
            <w:r w:rsidRPr="006C203C">
              <w:t>D-Other</w:t>
            </w:r>
          </w:p>
        </w:tc>
        <w:tc>
          <w:tcPr>
            <w:tcW w:w="1776" w:type="dxa"/>
            <w:tcBorders>
              <w:top w:val="single" w:sz="12" w:space="0" w:color="auto"/>
              <w:bottom w:val="single" w:sz="12" w:space="0" w:color="auto"/>
            </w:tcBorders>
            <w:vAlign w:val="center"/>
          </w:tcPr>
          <w:p w14:paraId="2003726F" w14:textId="3B971D66" w:rsidR="001C2765" w:rsidRPr="006C203C" w:rsidRDefault="001C2765" w:rsidP="001C2765">
            <w:pPr>
              <w:jc w:val="center"/>
            </w:pPr>
            <w:r w:rsidRPr="006C203C">
              <w:t>ID-Self</w:t>
            </w:r>
          </w:p>
        </w:tc>
        <w:tc>
          <w:tcPr>
            <w:tcW w:w="1777" w:type="dxa"/>
            <w:tcBorders>
              <w:top w:val="single" w:sz="12" w:space="0" w:color="auto"/>
              <w:bottom w:val="single" w:sz="12" w:space="0" w:color="auto"/>
            </w:tcBorders>
            <w:vAlign w:val="center"/>
          </w:tcPr>
          <w:p w14:paraId="3F49CAD1" w14:textId="24E800A3" w:rsidR="001C2765" w:rsidRPr="006C203C" w:rsidRDefault="001C2765" w:rsidP="001C2765">
            <w:pPr>
              <w:jc w:val="center"/>
            </w:pPr>
            <w:r w:rsidRPr="006C203C">
              <w:t>D-Self</w:t>
            </w:r>
          </w:p>
        </w:tc>
      </w:tr>
      <w:tr w:rsidR="001C2765" w:rsidRPr="006C203C" w14:paraId="22AD77EC" w14:textId="77777777" w:rsidTr="001412EE">
        <w:tc>
          <w:tcPr>
            <w:tcW w:w="2245" w:type="dxa"/>
            <w:tcBorders>
              <w:top w:val="single" w:sz="12" w:space="0" w:color="auto"/>
            </w:tcBorders>
            <w:vAlign w:val="center"/>
          </w:tcPr>
          <w:p w14:paraId="66B84BC2" w14:textId="62890CDD" w:rsidR="001C2765" w:rsidRPr="006C203C" w:rsidRDefault="001C2765" w:rsidP="001C2765">
            <w:pPr>
              <w:jc w:val="center"/>
            </w:pPr>
            <w:r w:rsidRPr="006C203C">
              <w:t>Free will</w:t>
            </w:r>
          </w:p>
        </w:tc>
        <w:tc>
          <w:tcPr>
            <w:tcW w:w="1776" w:type="dxa"/>
            <w:tcBorders>
              <w:top w:val="single" w:sz="12" w:space="0" w:color="auto"/>
            </w:tcBorders>
            <w:vAlign w:val="center"/>
          </w:tcPr>
          <w:p w14:paraId="473F3069" w14:textId="742FAFC7" w:rsidR="001C2765" w:rsidRPr="006C203C" w:rsidRDefault="005A7D1B" w:rsidP="001C2765">
            <w:pPr>
              <w:jc w:val="center"/>
            </w:pPr>
            <w:r w:rsidRPr="006C203C">
              <w:t>6.17</w:t>
            </w:r>
            <m:oMath>
              <m:r>
                <w:rPr>
                  <w:rFonts w:ascii="Cambria Math" w:hAnsi="Cambria Math"/>
                </w:rPr>
                <m:t>±</m:t>
              </m:r>
            </m:oMath>
            <w:r w:rsidR="00D3460C" w:rsidRPr="006C203C">
              <w:t>0.</w:t>
            </w:r>
            <w:r w:rsidRPr="006C203C">
              <w:t>79</w:t>
            </w:r>
          </w:p>
        </w:tc>
        <w:tc>
          <w:tcPr>
            <w:tcW w:w="1776" w:type="dxa"/>
            <w:tcBorders>
              <w:top w:val="single" w:sz="12" w:space="0" w:color="auto"/>
            </w:tcBorders>
            <w:vAlign w:val="center"/>
          </w:tcPr>
          <w:p w14:paraId="5E310B4D" w14:textId="6AF2AD98" w:rsidR="001C2765" w:rsidRPr="006C203C" w:rsidRDefault="00D3460C" w:rsidP="001C2765">
            <w:pPr>
              <w:jc w:val="center"/>
            </w:pPr>
            <w:r w:rsidRPr="006C203C">
              <w:t>3.</w:t>
            </w:r>
            <w:r w:rsidR="005A7D1B" w:rsidRPr="006C203C">
              <w:t>02</w:t>
            </w:r>
            <m:oMath>
              <m:r>
                <w:rPr>
                  <w:rFonts w:ascii="Cambria Math" w:hAnsi="Cambria Math"/>
                </w:rPr>
                <m:t>±</m:t>
              </m:r>
            </m:oMath>
            <w:r w:rsidR="005A7D1B" w:rsidRPr="006C203C">
              <w:t>1.27</w:t>
            </w:r>
          </w:p>
        </w:tc>
        <w:tc>
          <w:tcPr>
            <w:tcW w:w="1776" w:type="dxa"/>
            <w:tcBorders>
              <w:top w:val="single" w:sz="12" w:space="0" w:color="auto"/>
            </w:tcBorders>
            <w:vAlign w:val="center"/>
          </w:tcPr>
          <w:p w14:paraId="1A8B7D0A" w14:textId="4AA897EA" w:rsidR="001C2765" w:rsidRPr="006C203C" w:rsidRDefault="005A7D1B" w:rsidP="001C2765">
            <w:pPr>
              <w:jc w:val="center"/>
            </w:pPr>
            <w:r w:rsidRPr="006C203C">
              <w:t>6.24</w:t>
            </w:r>
            <m:oMath>
              <m:r>
                <w:rPr>
                  <w:rFonts w:ascii="Cambria Math" w:hAnsi="Cambria Math"/>
                </w:rPr>
                <m:t>±</m:t>
              </m:r>
            </m:oMath>
            <w:r w:rsidR="00D3460C" w:rsidRPr="006C203C">
              <w:t>0.</w:t>
            </w:r>
            <w:r w:rsidRPr="006C203C">
              <w:t>88</w:t>
            </w:r>
          </w:p>
        </w:tc>
        <w:tc>
          <w:tcPr>
            <w:tcW w:w="1777" w:type="dxa"/>
            <w:tcBorders>
              <w:top w:val="single" w:sz="12" w:space="0" w:color="auto"/>
            </w:tcBorders>
            <w:vAlign w:val="center"/>
          </w:tcPr>
          <w:p w14:paraId="7448A9F8" w14:textId="41977098" w:rsidR="001C2765" w:rsidRPr="006C203C" w:rsidRDefault="00D3460C" w:rsidP="001C2765">
            <w:pPr>
              <w:jc w:val="center"/>
            </w:pPr>
            <w:r w:rsidRPr="006C203C">
              <w:t>3.</w:t>
            </w:r>
            <w:r w:rsidR="005A7D1B" w:rsidRPr="006C203C">
              <w:t>06</w:t>
            </w:r>
            <m:oMath>
              <m:r>
                <w:rPr>
                  <w:rFonts w:ascii="Cambria Math" w:hAnsi="Cambria Math"/>
                </w:rPr>
                <m:t>±</m:t>
              </m:r>
            </m:oMath>
            <w:r w:rsidRPr="006C203C">
              <w:t>1.</w:t>
            </w:r>
            <w:r w:rsidR="005A7D1B" w:rsidRPr="006C203C">
              <w:t>53</w:t>
            </w:r>
          </w:p>
        </w:tc>
      </w:tr>
      <w:tr w:rsidR="001C2765" w:rsidRPr="006C203C" w14:paraId="636479C9" w14:textId="77777777" w:rsidTr="001412EE">
        <w:tc>
          <w:tcPr>
            <w:tcW w:w="2245" w:type="dxa"/>
            <w:vAlign w:val="center"/>
          </w:tcPr>
          <w:p w14:paraId="73DE50B4" w14:textId="752D2308" w:rsidR="001C2765" w:rsidRPr="006C203C" w:rsidRDefault="001C2765" w:rsidP="001C2765">
            <w:pPr>
              <w:jc w:val="center"/>
            </w:pPr>
            <w:r w:rsidRPr="006C203C">
              <w:t>Moral responsibility</w:t>
            </w:r>
          </w:p>
        </w:tc>
        <w:tc>
          <w:tcPr>
            <w:tcW w:w="1776" w:type="dxa"/>
            <w:vAlign w:val="center"/>
          </w:tcPr>
          <w:p w14:paraId="32CAFD88" w14:textId="44D9BAFF" w:rsidR="001C2765" w:rsidRPr="006C203C" w:rsidRDefault="00D3460C" w:rsidP="001C2765">
            <w:pPr>
              <w:jc w:val="center"/>
            </w:pPr>
            <w:r w:rsidRPr="006C203C">
              <w:t>6.25</w:t>
            </w:r>
            <m:oMath>
              <m:r>
                <w:rPr>
                  <w:rFonts w:ascii="Cambria Math" w:hAnsi="Cambria Math"/>
                </w:rPr>
                <m:t>±</m:t>
              </m:r>
            </m:oMath>
            <w:r w:rsidRPr="006C203C">
              <w:t>0.95</w:t>
            </w:r>
          </w:p>
        </w:tc>
        <w:tc>
          <w:tcPr>
            <w:tcW w:w="1776" w:type="dxa"/>
            <w:vAlign w:val="center"/>
          </w:tcPr>
          <w:p w14:paraId="306D12DD" w14:textId="52798586" w:rsidR="001C2765" w:rsidRPr="006C203C" w:rsidRDefault="00D3460C" w:rsidP="001C2765">
            <w:pPr>
              <w:jc w:val="center"/>
            </w:pPr>
            <w:r w:rsidRPr="006C203C">
              <w:t>3.84</w:t>
            </w:r>
            <m:oMath>
              <m:r>
                <w:rPr>
                  <w:rFonts w:ascii="Cambria Math" w:hAnsi="Cambria Math"/>
                </w:rPr>
                <m:t>±</m:t>
              </m:r>
            </m:oMath>
            <w:r w:rsidRPr="006C203C">
              <w:t>1.53</w:t>
            </w:r>
          </w:p>
        </w:tc>
        <w:tc>
          <w:tcPr>
            <w:tcW w:w="1776" w:type="dxa"/>
            <w:vAlign w:val="center"/>
          </w:tcPr>
          <w:p w14:paraId="6379748F" w14:textId="68F81A2D" w:rsidR="001C2765" w:rsidRPr="006C203C" w:rsidRDefault="00D3460C" w:rsidP="001C2765">
            <w:pPr>
              <w:jc w:val="center"/>
            </w:pPr>
            <w:r w:rsidRPr="006C203C">
              <w:t>5.95</w:t>
            </w:r>
            <m:oMath>
              <m:r>
                <w:rPr>
                  <w:rFonts w:ascii="Cambria Math" w:hAnsi="Cambria Math"/>
                </w:rPr>
                <m:t>±</m:t>
              </m:r>
            </m:oMath>
            <w:r w:rsidRPr="006C203C">
              <w:t>1.10</w:t>
            </w:r>
          </w:p>
        </w:tc>
        <w:tc>
          <w:tcPr>
            <w:tcW w:w="1777" w:type="dxa"/>
            <w:vAlign w:val="center"/>
          </w:tcPr>
          <w:p w14:paraId="45798EB4" w14:textId="4315E95E" w:rsidR="001C2765" w:rsidRPr="006C203C" w:rsidRDefault="00D3460C" w:rsidP="001C2765">
            <w:pPr>
              <w:jc w:val="center"/>
            </w:pPr>
            <w:r w:rsidRPr="006C203C">
              <w:t>3.60</w:t>
            </w:r>
            <m:oMath>
              <m:r>
                <w:rPr>
                  <w:rFonts w:ascii="Cambria Math" w:hAnsi="Cambria Math"/>
                </w:rPr>
                <m:t>±</m:t>
              </m:r>
            </m:oMath>
            <w:r w:rsidRPr="006C203C">
              <w:t>1.64</w:t>
            </w:r>
          </w:p>
        </w:tc>
      </w:tr>
    </w:tbl>
    <w:p w14:paraId="00844E90" w14:textId="030CE37C" w:rsidR="00073951" w:rsidRPr="006C203C" w:rsidRDefault="00D3460C" w:rsidP="001C2765">
      <w:pPr>
        <w:spacing w:line="480" w:lineRule="auto"/>
      </w:pPr>
      <w:r w:rsidRPr="006C203C">
        <w:t>Note: e</w:t>
      </w:r>
      <w:r w:rsidR="001C2765" w:rsidRPr="006C203C">
        <w:t xml:space="preserve">ach cell is denoted in Mean </w:t>
      </w:r>
      <m:oMath>
        <m:r>
          <w:rPr>
            <w:rFonts w:ascii="Cambria Math" w:hAnsi="Cambria Math"/>
          </w:rPr>
          <m:t>±</m:t>
        </m:r>
      </m:oMath>
      <w:r w:rsidR="001C2765" w:rsidRPr="006C203C">
        <w:t xml:space="preserve"> SD (standard deviation).</w:t>
      </w:r>
    </w:p>
    <w:p w14:paraId="207FB795" w14:textId="77777777" w:rsidR="00431EFD" w:rsidRPr="006C203C" w:rsidRDefault="00431EFD" w:rsidP="001C2765">
      <w:pPr>
        <w:spacing w:line="480" w:lineRule="auto"/>
      </w:pPr>
    </w:p>
    <w:p w14:paraId="594E6E83" w14:textId="28C7AE88" w:rsidR="00543977" w:rsidRPr="006C203C" w:rsidRDefault="00543977" w:rsidP="00DB125B">
      <w:pPr>
        <w:spacing w:line="480" w:lineRule="auto"/>
        <w:jc w:val="both"/>
      </w:pPr>
      <w:r w:rsidRPr="006C203C">
        <w:t xml:space="preserve">Furthermore, </w:t>
      </w:r>
      <w:r w:rsidR="00E92E16">
        <w:t xml:space="preserve">contrary to our predictions, </w:t>
      </w:r>
      <w:r w:rsidRPr="006C203C">
        <w:t xml:space="preserve">we </w:t>
      </w:r>
      <w:r w:rsidR="003A7B46">
        <w:t xml:space="preserve">did not find that </w:t>
      </w:r>
      <w:r w:rsidR="00C25265" w:rsidRPr="006C203C">
        <w:t xml:space="preserve">attributions of </w:t>
      </w:r>
      <w:r w:rsidRPr="006C203C">
        <w:t xml:space="preserve">moral responsibility </w:t>
      </w:r>
      <w:r w:rsidR="00C25265" w:rsidRPr="006C203C">
        <w:t xml:space="preserve">were higher than attributions of </w:t>
      </w:r>
      <w:r w:rsidRPr="006C203C">
        <w:t>free will across conditions (</w:t>
      </w:r>
      <w:r w:rsidRPr="006C203C">
        <w:rPr>
          <w:i/>
        </w:rPr>
        <w:t>t</w:t>
      </w:r>
      <w:r w:rsidRPr="006C203C">
        <w:t>(512)=</w:t>
      </w:r>
      <w:r w:rsidR="00B32AD4" w:rsidRPr="006C203C">
        <w:t>-</w:t>
      </w:r>
      <w:r w:rsidR="008A1C83" w:rsidRPr="006C203C">
        <w:t>1.67</w:t>
      </w:r>
      <w:r w:rsidR="00B32AD4" w:rsidRPr="006C203C">
        <w:t xml:space="preserve">, </w:t>
      </w:r>
      <w:r w:rsidR="00B32AD4" w:rsidRPr="006C203C">
        <w:rPr>
          <w:i/>
        </w:rPr>
        <w:t>p</w:t>
      </w:r>
      <w:r w:rsidR="00B32AD4" w:rsidRPr="006C203C">
        <w:t xml:space="preserve"> = 0.0</w:t>
      </w:r>
      <w:r w:rsidR="008A1C83" w:rsidRPr="006C203C">
        <w:t>96</w:t>
      </w:r>
      <w:r w:rsidRPr="006C203C">
        <w:t>).</w:t>
      </w:r>
      <w:r w:rsidR="00D5231E" w:rsidRPr="006C203C">
        <w:t xml:space="preserve"> </w:t>
      </w:r>
      <w:r w:rsidR="00B32AD4" w:rsidRPr="006C203C">
        <w:t xml:space="preserve">Regarding </w:t>
      </w:r>
      <w:r w:rsidR="00DB125B" w:rsidRPr="006C203C">
        <w:t xml:space="preserve">self-other </w:t>
      </w:r>
      <w:r w:rsidR="00B32AD4" w:rsidRPr="006C203C">
        <w:t xml:space="preserve">differences, in the deterministic scenario, we did not find </w:t>
      </w:r>
      <w:r w:rsidR="00C25265" w:rsidRPr="006C203C">
        <w:t xml:space="preserve">higher self-attributions of </w:t>
      </w:r>
      <w:r w:rsidR="00B32AD4" w:rsidRPr="006C203C">
        <w:t>free will (</w:t>
      </w:r>
      <w:r w:rsidR="00B32AD4" w:rsidRPr="006C203C">
        <w:rPr>
          <w:i/>
        </w:rPr>
        <w:t>t</w:t>
      </w:r>
      <w:r w:rsidR="00B32AD4" w:rsidRPr="006C203C">
        <w:t>(121)=</w:t>
      </w:r>
      <w:r w:rsidR="00336AA3" w:rsidRPr="006C203C">
        <w:t>-0.17</w:t>
      </w:r>
      <w:r w:rsidR="00B32AD4" w:rsidRPr="006C203C">
        <w:t xml:space="preserve">, </w:t>
      </w:r>
      <w:r w:rsidR="00B32AD4" w:rsidRPr="006C203C">
        <w:rPr>
          <w:i/>
        </w:rPr>
        <w:t>p</w:t>
      </w:r>
      <w:r w:rsidR="00B32AD4" w:rsidRPr="006C203C">
        <w:t xml:space="preserve"> = 0.</w:t>
      </w:r>
      <w:r w:rsidR="00336AA3" w:rsidRPr="006C203C">
        <w:t>86</w:t>
      </w:r>
      <w:r w:rsidR="00B32AD4" w:rsidRPr="006C203C">
        <w:t xml:space="preserve">) or </w:t>
      </w:r>
      <w:r w:rsidR="00C25265" w:rsidRPr="006C203C">
        <w:t xml:space="preserve">higher self-attributions of </w:t>
      </w:r>
      <w:r w:rsidR="00B32AD4" w:rsidRPr="006C203C">
        <w:t>responsibility (</w:t>
      </w:r>
      <w:r w:rsidR="00B32AD4" w:rsidRPr="006C203C">
        <w:rPr>
          <w:i/>
        </w:rPr>
        <w:t>t</w:t>
      </w:r>
      <w:r w:rsidR="00B32AD4" w:rsidRPr="006C203C">
        <w:t xml:space="preserve">(121)=0.86, </w:t>
      </w:r>
      <w:r w:rsidR="00B32AD4" w:rsidRPr="006C203C">
        <w:rPr>
          <w:i/>
        </w:rPr>
        <w:t>p</w:t>
      </w:r>
      <w:r w:rsidR="00B32AD4" w:rsidRPr="006C203C">
        <w:t xml:space="preserve"> = 0.39)</w:t>
      </w:r>
      <w:r w:rsidR="00C25265" w:rsidRPr="006C203C">
        <w:t>.</w:t>
      </w:r>
    </w:p>
    <w:p w14:paraId="5DDFA198" w14:textId="2FEECC2E" w:rsidR="00E80AE2" w:rsidRPr="006C203C" w:rsidRDefault="00C41611" w:rsidP="00E80AE2">
      <w:pPr>
        <w:spacing w:line="480" w:lineRule="auto"/>
        <w:jc w:val="both"/>
        <w:rPr>
          <w:i/>
        </w:rPr>
      </w:pPr>
      <w:r w:rsidRPr="006C203C">
        <w:rPr>
          <w:i/>
        </w:rPr>
        <w:t>3</w:t>
      </w:r>
      <w:r w:rsidR="00E80AE2" w:rsidRPr="006C203C">
        <w:rPr>
          <w:i/>
        </w:rPr>
        <w:t>.3.3. Discussion</w:t>
      </w:r>
    </w:p>
    <w:p w14:paraId="288D4622" w14:textId="166CA8CF" w:rsidR="00352DE2" w:rsidRPr="006C203C" w:rsidRDefault="00352DE2" w:rsidP="00E80AE2">
      <w:pPr>
        <w:spacing w:line="480" w:lineRule="auto"/>
        <w:jc w:val="both"/>
      </w:pPr>
      <w:r w:rsidRPr="006C203C">
        <w:lastRenderedPageBreak/>
        <w:t>For Study 1, our goal was to compare intuitions in response to an indeterministic scenario which highlighted the unconditional ability to do otherwise with intuitions in response to a deterministic scenario which highlighted the merely conditional ability to do otherwise. We also</w:t>
      </w:r>
      <w:r w:rsidR="00DB6B80" w:rsidRPr="006C203C">
        <w:t xml:space="preserve"> used a morally neutral action—walking a dog in the park. So, while the case was concrete, it was not affectively charged. Nevertheless we found a stark difference between people’s intuitions about free will and responsibility. In the indeterministic scenarios, people’s responses averaged 6</w:t>
      </w:r>
      <w:r w:rsidR="003A7B46">
        <w:t>.2</w:t>
      </w:r>
      <w:r w:rsidR="00DB6B80" w:rsidRPr="006C203C">
        <w:t xml:space="preserve"> in favor of free will and </w:t>
      </w:r>
      <w:r w:rsidR="003A7B46">
        <w:t xml:space="preserve">6.1 in favor of </w:t>
      </w:r>
      <w:r w:rsidR="00DB6B80" w:rsidRPr="006C203C">
        <w:t>moral responsibility. However, in the deterministic scenarios, people’s responses were below the midpoint—averaging 3.04 for free will and 3.72 for moral responsibility.</w:t>
      </w:r>
      <w:r w:rsidR="001675E2" w:rsidRPr="006C203C">
        <w:rPr>
          <w:rStyle w:val="FootnoteReference"/>
        </w:rPr>
        <w:footnoteReference w:id="21"/>
      </w:r>
      <w:r w:rsidR="001675E2" w:rsidRPr="006C203C">
        <w:t xml:space="preserve"> </w:t>
      </w:r>
      <w:r w:rsidR="00DB6B80" w:rsidRPr="006C203C">
        <w:t xml:space="preserve">Given that scores were below the midpoint (and not merely lower), these responses count in favor of natural incompatibilism. Keep in mind that we eliminated participants who incorrectly </w:t>
      </w:r>
      <w:r w:rsidR="00606027" w:rsidRPr="006C203C">
        <w:t>mislabeled</w:t>
      </w:r>
      <w:r w:rsidR="00DB6B80" w:rsidRPr="006C203C">
        <w:t xml:space="preserve"> the scenarios as indeterministic (w</w:t>
      </w:r>
      <w:r w:rsidR="00606027" w:rsidRPr="006C203C">
        <w:t>hen</w:t>
      </w:r>
      <w:r w:rsidR="00DB6B80" w:rsidRPr="006C203C">
        <w:t xml:space="preserve"> deterministic) or </w:t>
      </w:r>
      <w:r w:rsidR="00606027" w:rsidRPr="006C203C">
        <w:t xml:space="preserve">as </w:t>
      </w:r>
      <w:r w:rsidR="00DB6B80" w:rsidRPr="006C203C">
        <w:t xml:space="preserve">deterministic (when indeterministic). We also made sure participants understood the nature of the unconditional </w:t>
      </w:r>
      <w:r w:rsidR="00606027" w:rsidRPr="006C203C">
        <w:t>or</w:t>
      </w:r>
      <w:r w:rsidR="00DB6B80" w:rsidRPr="006C203C">
        <w:t xml:space="preserve"> conditional nature of the agent’s respective </w:t>
      </w:r>
      <w:r w:rsidR="00606027" w:rsidRPr="006C203C">
        <w:t>abilities</w:t>
      </w:r>
      <w:r w:rsidR="00DB6B80" w:rsidRPr="006C203C">
        <w:t xml:space="preserve">. </w:t>
      </w:r>
      <w:r w:rsidR="00606027" w:rsidRPr="006C203C">
        <w:t>With these improved comprehension checks in place, we still found evidence for natural incompatibilism. T</w:t>
      </w:r>
      <w:r w:rsidR="00DB6B80" w:rsidRPr="006C203C">
        <w:t xml:space="preserve">hese findings </w:t>
      </w:r>
      <w:r w:rsidR="00C25265" w:rsidRPr="006C203C">
        <w:t xml:space="preserve">are </w:t>
      </w:r>
      <w:r w:rsidR="00DB6B80" w:rsidRPr="006C203C">
        <w:t xml:space="preserve">in line with our </w:t>
      </w:r>
      <w:r w:rsidR="00606027" w:rsidRPr="006C203C">
        <w:t xml:space="preserve">a initial </w:t>
      </w:r>
      <w:r w:rsidR="00DB6B80" w:rsidRPr="006C203C">
        <w:t xml:space="preserve">predictions. However, much to our surprise, </w:t>
      </w:r>
      <w:r w:rsidR="00606027" w:rsidRPr="006C203C">
        <w:t xml:space="preserve">(a) there was only a marginal difference between intuitions about free will and intuitions about moral responsibility, and (b) </w:t>
      </w:r>
      <w:r w:rsidR="00DB6B80" w:rsidRPr="006C203C">
        <w:t>people</w:t>
      </w:r>
      <w:r w:rsidR="00C25265" w:rsidRPr="006C203C">
        <w:t>’s self-attributions of free will and moral responsibility were not higher than their other-attributions.</w:t>
      </w:r>
    </w:p>
    <w:p w14:paraId="67473343" w14:textId="018B112F" w:rsidR="00E80AE2" w:rsidRPr="006C203C" w:rsidRDefault="00C41611" w:rsidP="00E80AE2">
      <w:pPr>
        <w:spacing w:line="480" w:lineRule="auto"/>
        <w:jc w:val="both"/>
        <w:rPr>
          <w:i/>
        </w:rPr>
      </w:pPr>
      <w:r w:rsidRPr="006C203C">
        <w:rPr>
          <w:i/>
        </w:rPr>
        <w:t>3</w:t>
      </w:r>
      <w:r w:rsidR="00E80AE2" w:rsidRPr="006C203C">
        <w:rPr>
          <w:i/>
        </w:rPr>
        <w:t>.4. Study 2: Indeterminism vs. Neurodeterminism</w:t>
      </w:r>
    </w:p>
    <w:p w14:paraId="31867286" w14:textId="715EC4F6" w:rsidR="00E80AE2" w:rsidRPr="006C203C" w:rsidRDefault="00C41611" w:rsidP="00E80AE2">
      <w:pPr>
        <w:spacing w:line="480" w:lineRule="auto"/>
        <w:jc w:val="both"/>
        <w:rPr>
          <w:i/>
        </w:rPr>
      </w:pPr>
      <w:r w:rsidRPr="006C203C">
        <w:rPr>
          <w:i/>
        </w:rPr>
        <w:t>3</w:t>
      </w:r>
      <w:r w:rsidR="00E80AE2" w:rsidRPr="006C203C">
        <w:rPr>
          <w:i/>
        </w:rPr>
        <w:t>.4.1. Participants and Experimental Design</w:t>
      </w:r>
    </w:p>
    <w:p w14:paraId="0DE448B6" w14:textId="476D7319" w:rsidR="00E80AE2" w:rsidRPr="006C203C" w:rsidRDefault="00E80AE2" w:rsidP="00E80AE2">
      <w:pPr>
        <w:spacing w:line="480" w:lineRule="auto"/>
        <w:jc w:val="both"/>
      </w:pPr>
      <w:r w:rsidRPr="006C203C">
        <w:lastRenderedPageBreak/>
        <w:t xml:space="preserve">We </w:t>
      </w:r>
      <w:r w:rsidR="003E01FA" w:rsidRPr="006C203C">
        <w:t xml:space="preserve">once again </w:t>
      </w:r>
      <w:r w:rsidRPr="006C203C">
        <w:t xml:space="preserve">predetermined a sample size of 75 for each condition for this study. Data collection was stopped on the day that the minimum number of participants started the study. </w:t>
      </w:r>
      <w:r w:rsidR="003E01FA" w:rsidRPr="006C203C">
        <w:t>3</w:t>
      </w:r>
      <w:r w:rsidR="0044406A" w:rsidRPr="006C203C">
        <w:t>47</w:t>
      </w:r>
      <w:r w:rsidRPr="006C203C">
        <w:t xml:space="preserve"> individuals started (and 290 individuals completed) this two-by-two (</w:t>
      </w:r>
      <w:r w:rsidR="007255E9">
        <w:t>I</w:t>
      </w:r>
      <w:r w:rsidRPr="006C203C">
        <w:t>ndeterminis</w:t>
      </w:r>
      <w:r w:rsidR="007255E9">
        <w:t>m</w:t>
      </w:r>
      <w:r w:rsidRPr="006C203C">
        <w:t xml:space="preserve"> vs. </w:t>
      </w:r>
      <w:r w:rsidR="007255E9">
        <w:t>N</w:t>
      </w:r>
      <w:r w:rsidRPr="006C203C">
        <w:t>eurodeterminis</w:t>
      </w:r>
      <w:r w:rsidR="007255E9">
        <w:t>m</w:t>
      </w:r>
      <w:r w:rsidRPr="006C203C">
        <w:t xml:space="preserve"> by </w:t>
      </w:r>
      <w:r w:rsidR="007255E9">
        <w:t>S</w:t>
      </w:r>
      <w:r w:rsidRPr="006C203C">
        <w:t xml:space="preserve">elf vs. </w:t>
      </w:r>
      <w:r w:rsidR="007255E9">
        <w:t>O</w:t>
      </w:r>
      <w:r w:rsidRPr="006C203C">
        <w:t xml:space="preserve">ther) between-subject study on </w:t>
      </w:r>
      <w:r w:rsidR="001D20D7">
        <w:t>M</w:t>
      </w:r>
      <w:r w:rsidR="00E92E16">
        <w:t>Turk</w:t>
      </w:r>
      <w:r w:rsidRPr="006C203C">
        <w:t xml:space="preserve"> for monetary compensation. Participant recruitment was restricted to individuals in the United States who had at least 1,000 previously accepted HITs and a prior approval rating of at least 98%. </w:t>
      </w:r>
      <w:r w:rsidR="00491CDE" w:rsidRPr="006C203C">
        <w:t xml:space="preserve">25 participants failed to follow instructions or failed to pass </w:t>
      </w:r>
      <w:r w:rsidR="00F56DAA" w:rsidRPr="006C203C">
        <w:t xml:space="preserve">at least two out of three </w:t>
      </w:r>
      <w:r w:rsidR="00491CDE" w:rsidRPr="006C203C">
        <w:t>comprehension questions, so d</w:t>
      </w:r>
      <w:r w:rsidRPr="006C203C">
        <w:t>ata were analyzed with the 2</w:t>
      </w:r>
      <w:r w:rsidR="00491CDE" w:rsidRPr="006C203C">
        <w:t>6</w:t>
      </w:r>
      <w:r w:rsidRPr="006C203C">
        <w:t>5 individuals (M</w:t>
      </w:r>
      <w:r w:rsidRPr="006C203C">
        <w:rPr>
          <w:vertAlign w:val="subscript"/>
        </w:rPr>
        <w:t>age</w:t>
      </w:r>
      <w:r w:rsidRPr="006C203C">
        <w:t xml:space="preserve"> = 41.</w:t>
      </w:r>
      <w:r w:rsidR="00491CDE" w:rsidRPr="006C203C">
        <w:t>82</w:t>
      </w:r>
      <w:r w:rsidRPr="006C203C">
        <w:t xml:space="preserve"> years, SD = 1</w:t>
      </w:r>
      <w:r w:rsidR="001768EF" w:rsidRPr="006C203C">
        <w:t>3</w:t>
      </w:r>
      <w:r w:rsidRPr="006C203C">
        <w:t>.</w:t>
      </w:r>
      <w:r w:rsidR="001768EF" w:rsidRPr="006C203C">
        <w:t>73</w:t>
      </w:r>
      <w:r w:rsidRPr="006C203C">
        <w:t>, range</w:t>
      </w:r>
      <w:r w:rsidRPr="006C203C">
        <w:rPr>
          <w:vertAlign w:val="subscript"/>
        </w:rPr>
        <w:t>age</w:t>
      </w:r>
      <w:r w:rsidRPr="006C203C">
        <w:t xml:space="preserve"> = [20, </w:t>
      </w:r>
      <w:r w:rsidR="001768EF" w:rsidRPr="006C203C">
        <w:t>80</w:t>
      </w:r>
      <w:r w:rsidRPr="006C203C">
        <w:t>], 13</w:t>
      </w:r>
      <w:r w:rsidR="001768EF" w:rsidRPr="006C203C">
        <w:t>0</w:t>
      </w:r>
      <w:r w:rsidRPr="006C203C">
        <w:t xml:space="preserve"> females). Each individual was randomly assigned to one of the four conditions. All studies reported herein were approved by the College of Charleston Institutional Review Board.</w:t>
      </w:r>
    </w:p>
    <w:p w14:paraId="09C63348" w14:textId="03F199B6" w:rsidR="00E80AE2" w:rsidRPr="006C203C" w:rsidRDefault="00E80AE2" w:rsidP="00BB3F9C">
      <w:pPr>
        <w:spacing w:line="480" w:lineRule="auto"/>
        <w:ind w:firstLine="720"/>
        <w:jc w:val="both"/>
      </w:pPr>
      <w:r w:rsidRPr="006C203C">
        <w:t>For this vignette-based study, there were four conditions: (a) Indeterminism + Other, (b) Indeterminism + Self, (c) Neurodeterminism + Other, and (d) Neurodeterminism + Self. We used a between subject design, so each participant received one and only</w:t>
      </w:r>
      <w:r w:rsidR="00DB125B" w:rsidRPr="006C203C">
        <w:t xml:space="preserve"> one</w:t>
      </w:r>
      <w:r w:rsidRPr="006C203C">
        <w:t xml:space="preserve"> condition. The indeterministic scenarios were the same as those used in Study 1. For the third-person neurodeterministic conditions, participants read the following vignette:</w:t>
      </w:r>
    </w:p>
    <w:p w14:paraId="13A9F75F" w14:textId="6EC449DC" w:rsidR="00E80AE2" w:rsidRPr="006C203C" w:rsidRDefault="00E80AE2" w:rsidP="00E80AE2">
      <w:pPr>
        <w:spacing w:after="160" w:line="259" w:lineRule="auto"/>
        <w:ind w:left="720"/>
        <w:jc w:val="both"/>
        <w:rPr>
          <w:rFonts w:eastAsiaTheme="minorHAnsi"/>
          <w:u w:val="single"/>
        </w:rPr>
      </w:pPr>
      <w:r w:rsidRPr="006C203C">
        <w:rPr>
          <w:rFonts w:eastAsiaTheme="minorHAnsi"/>
          <w:u w:val="single"/>
        </w:rPr>
        <w:t>Neurodeterminism + Other Condition:</w:t>
      </w:r>
    </w:p>
    <w:p w14:paraId="7A83C369" w14:textId="77777777" w:rsidR="00E80AE2" w:rsidRPr="006C203C" w:rsidRDefault="00E80AE2" w:rsidP="00E80AE2">
      <w:pPr>
        <w:spacing w:after="160" w:line="259" w:lineRule="auto"/>
        <w:ind w:left="720"/>
        <w:jc w:val="both"/>
        <w:rPr>
          <w:rFonts w:eastAsiaTheme="minorHAnsi"/>
        </w:rPr>
      </w:pPr>
      <w:r w:rsidRPr="006C203C">
        <w:rPr>
          <w:rFonts w:eastAsiaTheme="minorHAnsi"/>
        </w:rPr>
        <w:t xml:space="preserve">Imagine Jim lives in a causally closed universe. In this universe, given the physical state of the universe, the laws of the universe, and the fixity of the past, at any given moment the universe is closed, like a train moving down the tracks. Whenever Jim makes a decision to act in a particular way, it’s always the case that he could have acted differently only if something leading up to his decision had been different. In short, at any given moment, there is one and only one choice and action genuinely open to Jim. Moreover, if you knew absolutely everything about both the history of the universe and about Jim, you could always know in advance what Jim is going to decide to do. He is not the only deciding factor when it comes to what he does. Given the way things were long before Jim was born, everything in his life is in the cards, so to speak. Jim can make choices, but these choices are the only choices open to him. These choices are the direct result of his past experiences, his present circumstances, and the current structural configuration of Jim’s brain—which is like a complex biological computer. Indeed, Jim’s choices and decisions are completely reducible to mechanistic neural events—which are just as causally closed as everything </w:t>
      </w:r>
      <w:r w:rsidRPr="006C203C">
        <w:rPr>
          <w:rFonts w:eastAsiaTheme="minorHAnsi"/>
        </w:rPr>
        <w:lastRenderedPageBreak/>
        <w:t>else in the universe. Now, for illustrative purposes, imagine that Jim decides to take his dog for a walk in the park.</w:t>
      </w:r>
    </w:p>
    <w:p w14:paraId="2BEC936C" w14:textId="4E88826C" w:rsidR="00E80AE2" w:rsidRPr="006C203C" w:rsidRDefault="00E80AE2" w:rsidP="00E80AE2">
      <w:pPr>
        <w:spacing w:after="160" w:line="480" w:lineRule="auto"/>
        <w:contextualSpacing/>
        <w:jc w:val="both"/>
        <w:rPr>
          <w:rFonts w:eastAsiaTheme="minorHAnsi"/>
        </w:rPr>
      </w:pPr>
      <w:r w:rsidRPr="006C203C">
        <w:t xml:space="preserve">The 12 statements were the same as those used in Study 1. We also followed the same procedure used in Study 1 for converting the vignettes and statements from third-person to first-person. </w:t>
      </w:r>
      <w:r w:rsidRPr="006C203C">
        <w:rPr>
          <w:rFonts w:eastAsiaTheme="minorHAnsi"/>
        </w:rPr>
        <w:t>After reading the vignette and responding to the 12 items, participants once again responded to the Free Will Inventory (Nadelhoffer et al., 2014) and provided some basic demographic information</w:t>
      </w:r>
      <w:r w:rsidR="003E01FA" w:rsidRPr="006C203C">
        <w:rPr>
          <w:rFonts w:eastAsiaTheme="minorHAnsi"/>
        </w:rPr>
        <w:t>—e.g., age, race, gender, education, income, political ideology, and religious orientation.</w:t>
      </w:r>
    </w:p>
    <w:p w14:paraId="2DE06EE0" w14:textId="168C1DFF" w:rsidR="00E80AE2" w:rsidRPr="006C203C" w:rsidRDefault="00C41611" w:rsidP="00E80AE2">
      <w:pPr>
        <w:spacing w:line="480" w:lineRule="auto"/>
        <w:jc w:val="both"/>
        <w:rPr>
          <w:i/>
        </w:rPr>
      </w:pPr>
      <w:r w:rsidRPr="006C203C">
        <w:rPr>
          <w:i/>
        </w:rPr>
        <w:t>3</w:t>
      </w:r>
      <w:r w:rsidR="00E80AE2" w:rsidRPr="006C203C">
        <w:rPr>
          <w:i/>
        </w:rPr>
        <w:t>.4.2. Results</w:t>
      </w:r>
    </w:p>
    <w:p w14:paraId="160A5CA5" w14:textId="4CE5702E" w:rsidR="00E80AE2" w:rsidRPr="006C203C" w:rsidRDefault="00CA19E9" w:rsidP="00E80AE2">
      <w:pPr>
        <w:spacing w:line="480" w:lineRule="auto"/>
        <w:jc w:val="both"/>
      </w:pPr>
      <w:r w:rsidRPr="006C203C">
        <w:t>To examine the effect of indeterministic and deterministic frames and self and other perspectives on intuition</w:t>
      </w:r>
      <w:r w:rsidR="00E92E16">
        <w:t>s</w:t>
      </w:r>
      <w:r w:rsidRPr="006C203C">
        <w:t xml:space="preserve"> about free will and moral responsibility as well as their interaction, we first aggregated and averaged </w:t>
      </w:r>
      <w:r>
        <w:t>four</w:t>
      </w:r>
      <w:r w:rsidRPr="006C203C">
        <w:t xml:space="preserve"> free will questions </w:t>
      </w:r>
      <w:r>
        <w:t>(</w:t>
      </w:r>
      <w:r w:rsidRPr="006C203C">
        <w:rPr>
          <w:rFonts w:eastAsiaTheme="minorHAnsi"/>
        </w:rPr>
        <w:t xml:space="preserve">Cronbach's </w:t>
      </w:r>
      <m:oMath>
        <m:r>
          <w:rPr>
            <w:rFonts w:ascii="Cambria Math" w:eastAsiaTheme="minorHAnsi" w:hAnsi="Cambria Math"/>
          </w:rPr>
          <m:t>α</m:t>
        </m:r>
      </m:oMath>
      <w:r>
        <w:rPr>
          <w:rFonts w:eastAsiaTheme="minorEastAsia"/>
        </w:rPr>
        <w:t xml:space="preserve"> = 0.90</w:t>
      </w:r>
      <w:r>
        <w:t xml:space="preserve">) </w:t>
      </w:r>
      <w:r w:rsidRPr="006C203C">
        <w:t>and t</w:t>
      </w:r>
      <w:r>
        <w:t>wo</w:t>
      </w:r>
      <w:r w:rsidRPr="006C203C">
        <w:t xml:space="preserve"> moral responsibility questions </w:t>
      </w:r>
      <w:r>
        <w:t>(</w:t>
      </w:r>
      <w:r w:rsidRPr="006C203C">
        <w:rPr>
          <w:rFonts w:eastAsiaTheme="minorHAnsi"/>
        </w:rPr>
        <w:t xml:space="preserve">Cronbach's </w:t>
      </w:r>
      <m:oMath>
        <m:r>
          <w:rPr>
            <w:rFonts w:ascii="Cambria Math" w:eastAsiaTheme="minorHAnsi" w:hAnsi="Cambria Math"/>
          </w:rPr>
          <m:t>α</m:t>
        </m:r>
      </m:oMath>
      <w:r>
        <w:rPr>
          <w:rFonts w:eastAsiaTheme="minorEastAsia"/>
        </w:rPr>
        <w:t xml:space="preserve"> = 0.86</w:t>
      </w:r>
      <w:r>
        <w:t xml:space="preserve">) </w:t>
      </w:r>
      <w:r w:rsidRPr="006C203C">
        <w:t xml:space="preserve">and then performed a two-way ANOVA and multiple comparison based on these two averages of all participants who passes at least two out of three comprehension questions. </w:t>
      </w:r>
      <w:r w:rsidR="00E80AE2" w:rsidRPr="006C203C">
        <w:t>Two-way ANOVAs indicated a main effect of indeterministic and deterministic frames on intuitions about free will (</w:t>
      </w:r>
      <w:r w:rsidR="00E80AE2" w:rsidRPr="006C203C">
        <w:rPr>
          <w:i/>
        </w:rPr>
        <w:t>F</w:t>
      </w:r>
      <w:r w:rsidR="00E80AE2" w:rsidRPr="006C203C">
        <w:t xml:space="preserve">(1, </w:t>
      </w:r>
      <w:r w:rsidR="003F0098" w:rsidRPr="006C203C">
        <w:t>261</w:t>
      </w:r>
      <w:r w:rsidR="00E80AE2" w:rsidRPr="006C203C">
        <w:t xml:space="preserve">) = </w:t>
      </w:r>
      <w:r w:rsidR="005D47FB" w:rsidRPr="006C203C">
        <w:t>482.24</w:t>
      </w:r>
      <w:r w:rsidR="00E80AE2" w:rsidRPr="006C203C">
        <w:t xml:space="preserve">, </w:t>
      </w:r>
      <w:r w:rsidR="00E80AE2" w:rsidRPr="006C203C">
        <w:rPr>
          <w:i/>
        </w:rPr>
        <w:t>p</w:t>
      </w:r>
      <w:r w:rsidR="00E80AE2" w:rsidRPr="006C203C">
        <w:t xml:space="preserve"> &lt; 0.001</w:t>
      </w:r>
      <w:r w:rsidR="0094746D" w:rsidRPr="006C203C">
        <w:t>,</w:t>
      </w:r>
      <m:oMath>
        <m:r>
          <w:rPr>
            <w:rFonts w:ascii="Cambria Math" w:hAnsi="Cambria Math"/>
          </w:rPr>
          <m:t xml:space="preserve"> </m:t>
        </m:r>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=0.65</m:t>
        </m:r>
      </m:oMath>
      <w:r w:rsidR="00E80AE2" w:rsidRPr="006C203C">
        <w:t>) and intuitions about moral responsibility (</w:t>
      </w:r>
      <w:r w:rsidR="00E80AE2" w:rsidRPr="006C203C">
        <w:rPr>
          <w:i/>
        </w:rPr>
        <w:t>F</w:t>
      </w:r>
      <w:r w:rsidR="00E80AE2" w:rsidRPr="006C203C">
        <w:t>(1, 26</w:t>
      </w:r>
      <w:r w:rsidR="003F0098" w:rsidRPr="006C203C">
        <w:t>1</w:t>
      </w:r>
      <w:r w:rsidR="00E80AE2" w:rsidRPr="006C203C">
        <w:t>) = 1</w:t>
      </w:r>
      <w:r w:rsidR="003F0098" w:rsidRPr="006C203C">
        <w:t>92.30</w:t>
      </w:r>
      <w:r w:rsidR="00E80AE2" w:rsidRPr="006C203C">
        <w:t xml:space="preserve">, </w:t>
      </w:r>
      <w:r w:rsidR="00E80AE2" w:rsidRPr="006C203C">
        <w:rPr>
          <w:i/>
        </w:rPr>
        <w:t>p</w:t>
      </w:r>
      <w:r w:rsidR="00E80AE2" w:rsidRPr="006C203C">
        <w:t xml:space="preserve"> &lt; 0.001</w:t>
      </w:r>
      <w:r w:rsidR="0094746D"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=0.42</m:t>
        </m:r>
      </m:oMath>
      <w:r w:rsidR="00E80AE2" w:rsidRPr="006C203C">
        <w:t>)</w:t>
      </w:r>
      <w:r w:rsidR="001A7A82" w:rsidRPr="006C203C">
        <w:t xml:space="preserve"> (Figure 2)</w:t>
      </w:r>
      <w:r w:rsidR="00E80AE2" w:rsidRPr="006C203C">
        <w:t>. We did find a main effect of self and other perspectives on intuitions about moral responsibility (</w:t>
      </w:r>
      <w:r w:rsidR="00E80AE2" w:rsidRPr="006C203C">
        <w:rPr>
          <w:i/>
        </w:rPr>
        <w:t>F</w:t>
      </w:r>
      <w:r w:rsidR="00E80AE2" w:rsidRPr="006C203C">
        <w:t xml:space="preserve">(1, </w:t>
      </w:r>
      <w:r w:rsidR="003F0098" w:rsidRPr="006C203C">
        <w:t>261</w:t>
      </w:r>
      <w:r w:rsidR="00E80AE2" w:rsidRPr="006C203C">
        <w:t>) = 6.1</w:t>
      </w:r>
      <w:r w:rsidR="003F0098" w:rsidRPr="006C203C">
        <w:t>5</w:t>
      </w:r>
      <w:r w:rsidR="00E80AE2" w:rsidRPr="006C203C">
        <w:t xml:space="preserve">, </w:t>
      </w:r>
      <w:r w:rsidR="00E80AE2" w:rsidRPr="006C203C">
        <w:rPr>
          <w:i/>
        </w:rPr>
        <w:t>p</w:t>
      </w:r>
      <w:r w:rsidR="00E80AE2" w:rsidRPr="006C203C">
        <w:t xml:space="preserve"> = 0.01</w:t>
      </w:r>
      <w:r w:rsidR="003F0098" w:rsidRPr="006C203C">
        <w:t>4</w:t>
      </w:r>
      <w:r w:rsidR="00D26063"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=0.013</m:t>
        </m:r>
      </m:oMath>
      <w:r w:rsidR="00E80AE2" w:rsidRPr="006C203C">
        <w:t>) but not on intuitions about free will (</w:t>
      </w:r>
      <w:r w:rsidR="00E80AE2" w:rsidRPr="006C203C">
        <w:rPr>
          <w:i/>
        </w:rPr>
        <w:t>F</w:t>
      </w:r>
      <w:r w:rsidR="00E80AE2" w:rsidRPr="006C203C">
        <w:t xml:space="preserve">(1, </w:t>
      </w:r>
      <w:r w:rsidR="003F0098" w:rsidRPr="006C203C">
        <w:t>261</w:t>
      </w:r>
      <w:r w:rsidR="00E80AE2" w:rsidRPr="006C203C">
        <w:t>) = 0.</w:t>
      </w:r>
      <w:r w:rsidR="005D47FB" w:rsidRPr="006C203C">
        <w:t>05</w:t>
      </w:r>
      <w:r w:rsidR="00E80AE2" w:rsidRPr="006C203C">
        <w:t xml:space="preserve">, </w:t>
      </w:r>
      <w:r w:rsidR="00E80AE2" w:rsidRPr="006C203C">
        <w:rPr>
          <w:i/>
        </w:rPr>
        <w:t>p</w:t>
      </w:r>
      <w:r w:rsidR="00E80AE2" w:rsidRPr="006C203C">
        <w:t xml:space="preserve"> = 0.</w:t>
      </w:r>
      <w:r w:rsidR="005D47FB" w:rsidRPr="006C203C">
        <w:t>83</w:t>
      </w:r>
      <w:r w:rsidR="00E80AE2" w:rsidRPr="006C203C">
        <w:t>). We did not find</w:t>
      </w:r>
      <w:r w:rsidR="003E01FA" w:rsidRPr="006C203C">
        <w:t xml:space="preserve"> an</w:t>
      </w:r>
      <w:r w:rsidR="00E80AE2" w:rsidRPr="006C203C">
        <w:t xml:space="preserve"> interaction between these two factors on free will (</w:t>
      </w:r>
      <w:r w:rsidR="00E80AE2" w:rsidRPr="006C203C">
        <w:rPr>
          <w:i/>
        </w:rPr>
        <w:t>F</w:t>
      </w:r>
      <w:r w:rsidR="00E80AE2" w:rsidRPr="006C203C">
        <w:t xml:space="preserve">(1, </w:t>
      </w:r>
      <w:r w:rsidR="003F0098" w:rsidRPr="006C203C">
        <w:t>261</w:t>
      </w:r>
      <w:r w:rsidR="00E80AE2" w:rsidRPr="006C203C">
        <w:t xml:space="preserve">) = </w:t>
      </w:r>
      <w:r w:rsidR="003F0098" w:rsidRPr="006C203C">
        <w:t>0.</w:t>
      </w:r>
      <w:r w:rsidR="005D47FB" w:rsidRPr="006C203C">
        <w:t>04</w:t>
      </w:r>
      <w:r w:rsidR="00E80AE2" w:rsidRPr="006C203C">
        <w:t xml:space="preserve">, </w:t>
      </w:r>
      <w:r w:rsidR="00E80AE2" w:rsidRPr="006C203C">
        <w:rPr>
          <w:i/>
        </w:rPr>
        <w:t>p</w:t>
      </w:r>
      <w:r w:rsidR="00E80AE2" w:rsidRPr="006C203C">
        <w:t xml:space="preserve"> = 0.</w:t>
      </w:r>
      <w:r w:rsidR="005D47FB" w:rsidRPr="006C203C">
        <w:t>84</w:t>
      </w:r>
      <w:r w:rsidR="00E80AE2" w:rsidRPr="006C203C">
        <w:t>) or moral responsibility (</w:t>
      </w:r>
      <w:r w:rsidR="00E80AE2" w:rsidRPr="006C203C">
        <w:rPr>
          <w:i/>
        </w:rPr>
        <w:t>F</w:t>
      </w:r>
      <w:r w:rsidR="00E80AE2" w:rsidRPr="006C203C">
        <w:t xml:space="preserve">(1, </w:t>
      </w:r>
      <w:r w:rsidR="003F0098" w:rsidRPr="006C203C">
        <w:t>261</w:t>
      </w:r>
      <w:r w:rsidR="00E80AE2" w:rsidRPr="006C203C">
        <w:t xml:space="preserve">) </w:t>
      </w:r>
      <w:r w:rsidR="003F0098" w:rsidRPr="006C203C">
        <w:t>= 0.14</w:t>
      </w:r>
      <w:r w:rsidR="00E80AE2" w:rsidRPr="006C203C">
        <w:t xml:space="preserve">, </w:t>
      </w:r>
      <w:r w:rsidR="00E80AE2" w:rsidRPr="006C203C">
        <w:rPr>
          <w:i/>
        </w:rPr>
        <w:t>p</w:t>
      </w:r>
      <w:r w:rsidR="00E80AE2" w:rsidRPr="006C203C">
        <w:t xml:space="preserve"> = 0.</w:t>
      </w:r>
      <w:r w:rsidR="003F0098" w:rsidRPr="006C203C">
        <w:t>71</w:t>
      </w:r>
      <w:r w:rsidR="00E80AE2" w:rsidRPr="006C203C">
        <w:t xml:space="preserve">). </w:t>
      </w:r>
      <w:r w:rsidR="00247C3F" w:rsidRPr="006C203C">
        <w:t xml:space="preserve">Results were similar when all subjects were included (see </w:t>
      </w:r>
      <w:r w:rsidR="0044406A" w:rsidRPr="006C203C">
        <w:t xml:space="preserve">Section </w:t>
      </w:r>
      <w:r w:rsidR="00606027" w:rsidRPr="006C203C">
        <w:t>5</w:t>
      </w:r>
      <w:r w:rsidR="00247C3F" w:rsidRPr="006C203C">
        <w:t xml:space="preserve"> in </w:t>
      </w:r>
      <w:r w:rsidR="00B005A9" w:rsidRPr="006C203C">
        <w:t>Supplemental Materials</w:t>
      </w:r>
      <w:r w:rsidR="00247C3F" w:rsidRPr="006C203C">
        <w:t>).</w:t>
      </w:r>
    </w:p>
    <w:p w14:paraId="220240BB" w14:textId="52874CC6" w:rsidR="00E80AE2" w:rsidRPr="006C203C" w:rsidRDefault="00E80AE2" w:rsidP="00212401">
      <w:pPr>
        <w:spacing w:line="480" w:lineRule="auto"/>
        <w:jc w:val="both"/>
      </w:pPr>
      <w:r w:rsidRPr="006C203C">
        <w:tab/>
        <w:t>We performed multiple comparison on indeterministic/deterministic frames and self/other perspectives across conditions corrected by Dunn and Sidák's approach. Regarding intuition</w:t>
      </w:r>
      <w:r w:rsidR="003E01FA" w:rsidRPr="006C203C">
        <w:t>s</w:t>
      </w:r>
      <w:r w:rsidRPr="006C203C">
        <w:t xml:space="preserve"> about free will, four pairs were significantly different from each other (</w:t>
      </w:r>
      <w:r w:rsidRPr="006C203C">
        <w:rPr>
          <w:i/>
        </w:rPr>
        <w:t>p</w:t>
      </w:r>
      <w:r w:rsidRPr="006C203C">
        <w:t xml:space="preserve"> &lt; 0.001) but not the pair of </w:t>
      </w:r>
      <w:r w:rsidRPr="006C203C">
        <w:lastRenderedPageBreak/>
        <w:t>Indeterministic-Other and Indeterministic-Self conditions (</w:t>
      </w:r>
      <w:r w:rsidRPr="006C203C">
        <w:rPr>
          <w:i/>
        </w:rPr>
        <w:t>p</w:t>
      </w:r>
      <w:r w:rsidRPr="006C203C">
        <w:t xml:space="preserve"> = 1.00) or the pair of </w:t>
      </w:r>
      <w:r w:rsidR="00606027" w:rsidRPr="006C203C">
        <w:t>Deterministic</w:t>
      </w:r>
      <w:r w:rsidRPr="006C203C">
        <w:t>-Other and Deterministic-Self conditions (</w:t>
      </w:r>
      <w:r w:rsidRPr="006C203C">
        <w:rPr>
          <w:i/>
        </w:rPr>
        <w:t>p</w:t>
      </w:r>
      <w:r w:rsidRPr="006C203C">
        <w:t xml:space="preserve"> = </w:t>
      </w:r>
      <w:r w:rsidR="005D47FB" w:rsidRPr="006C203C">
        <w:t>1.00</w:t>
      </w:r>
      <w:r w:rsidRPr="006C203C">
        <w:t xml:space="preserve">). Specifically, the protagonists in indeterministic conditions </w:t>
      </w:r>
      <w:r w:rsidR="00247C3F" w:rsidRPr="006C203C">
        <w:t>were perceived to have more free will than those in deterministic conditions (see Table 2 for details). Similarly, we found the same results about moral responsibility. Four pairs were significantly different from each other (</w:t>
      </w:r>
      <w:r w:rsidR="00247C3F" w:rsidRPr="006C203C">
        <w:rPr>
          <w:i/>
        </w:rPr>
        <w:t>p</w:t>
      </w:r>
      <w:r w:rsidR="00247C3F" w:rsidRPr="006C203C">
        <w:t xml:space="preserve"> &lt; 0.001) but not the pair of Indeterministic-Other and Indeterministic-Self conditions (</w:t>
      </w:r>
      <w:r w:rsidR="00247C3F" w:rsidRPr="006C203C">
        <w:rPr>
          <w:i/>
        </w:rPr>
        <w:t>p</w:t>
      </w:r>
      <w:r w:rsidR="00247C3F" w:rsidRPr="006C203C">
        <w:t xml:space="preserve"> = 0.</w:t>
      </w:r>
      <w:r w:rsidR="005D47FB" w:rsidRPr="006C203C">
        <w:t>24</w:t>
      </w:r>
      <w:r w:rsidR="00247C3F" w:rsidRPr="006C203C">
        <w:t xml:space="preserve">) or the pair of </w:t>
      </w:r>
      <w:r w:rsidR="00606027" w:rsidRPr="006C203C">
        <w:t>Deterministic</w:t>
      </w:r>
      <w:r w:rsidR="00247C3F" w:rsidRPr="006C203C">
        <w:t>-Other and Deterministic-Self conditions (</w:t>
      </w:r>
      <w:r w:rsidR="00247C3F" w:rsidRPr="006C203C">
        <w:rPr>
          <w:i/>
        </w:rPr>
        <w:t>p</w:t>
      </w:r>
      <w:r w:rsidR="00247C3F" w:rsidRPr="006C203C">
        <w:t xml:space="preserve"> = 0.</w:t>
      </w:r>
      <w:r w:rsidR="005D47FB" w:rsidRPr="006C203C">
        <w:t>56</w:t>
      </w:r>
      <w:r w:rsidR="00247C3F" w:rsidRPr="006C203C">
        <w:t xml:space="preserve">). Specifically, </w:t>
      </w:r>
      <w:r w:rsidR="00DB125B" w:rsidRPr="006C203C">
        <w:t xml:space="preserve">attributions of moral responsibility were higher in the </w:t>
      </w:r>
      <w:r w:rsidR="00247C3F" w:rsidRPr="006C203C">
        <w:t xml:space="preserve">indeterministic conditions than in </w:t>
      </w:r>
      <w:r w:rsidR="00DB125B" w:rsidRPr="006C203C">
        <w:t xml:space="preserve">the </w:t>
      </w:r>
      <w:r w:rsidR="00247C3F" w:rsidRPr="006C203C">
        <w:t>deterministic conditions (Table 2).</w:t>
      </w:r>
      <w:r w:rsidR="00BC1E57" w:rsidRPr="006C203C">
        <w:t xml:space="preserve"> Results were similar when all subjects were included (see </w:t>
      </w:r>
      <w:r w:rsidR="0044406A" w:rsidRPr="006C203C">
        <w:t xml:space="preserve">Section </w:t>
      </w:r>
      <w:r w:rsidR="003E0896" w:rsidRPr="006C203C">
        <w:t>5</w:t>
      </w:r>
      <w:r w:rsidR="00BC1E57" w:rsidRPr="006C203C">
        <w:t xml:space="preserve"> in </w:t>
      </w:r>
      <w:r w:rsidR="00B005A9" w:rsidRPr="006C203C">
        <w:t>Supplemental Materials</w:t>
      </w:r>
      <w:r w:rsidR="00BC1E57" w:rsidRPr="006C203C">
        <w:t>).</w:t>
      </w:r>
    </w:p>
    <w:p w14:paraId="6EDB93BA" w14:textId="6B4A12F9" w:rsidR="00212401" w:rsidRPr="006C203C" w:rsidRDefault="00100524" w:rsidP="004B724A">
      <w:pPr>
        <w:spacing w:line="480" w:lineRule="auto"/>
        <w:jc w:val="center"/>
      </w:pPr>
      <w:r w:rsidRPr="006C203C">
        <w:rPr>
          <w:noProof/>
        </w:rPr>
        <w:drawing>
          <wp:inline distT="0" distB="0" distL="0" distR="0" wp14:anchorId="13C6DE09" wp14:editId="4D98A206">
            <wp:extent cx="5943600" cy="30568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vsND_freewill_results_02162019_1.ai"/>
                    <pic:cNvPicPr/>
                  </pic:nvPicPr>
                  <pic:blipFill>
                    <a:blip r:embed="rId10">
                      <a:extLst>
                        <a:ext uri="{28A0092B-C50C-407E-A947-70E740481C1C}">
                          <a14:useLocalDpi xmlns:a14="http://schemas.microsoft.com/office/drawing/2010/main" val="0"/>
                        </a:ext>
                      </a:extLst>
                    </a:blip>
                    <a:stretch>
                      <a:fillRect/>
                    </a:stretch>
                  </pic:blipFill>
                  <pic:spPr>
                    <a:xfrm>
                      <a:off x="0" y="0"/>
                      <a:ext cx="5943600" cy="3056890"/>
                    </a:xfrm>
                    <a:prstGeom prst="rect">
                      <a:avLst/>
                    </a:prstGeom>
                  </pic:spPr>
                </pic:pic>
              </a:graphicData>
            </a:graphic>
          </wp:inline>
        </w:drawing>
      </w:r>
    </w:p>
    <w:p w14:paraId="4B79FD4E" w14:textId="1F0800F0" w:rsidR="00E80AE2" w:rsidRPr="006C203C" w:rsidRDefault="00E80AE2" w:rsidP="001F14BB">
      <w:pPr>
        <w:spacing w:line="480" w:lineRule="auto"/>
      </w:pPr>
      <w:r w:rsidRPr="006C203C">
        <w:t>Figure 2.</w:t>
      </w:r>
      <w:r w:rsidR="001F14BB" w:rsidRPr="006C203C">
        <w:t xml:space="preserve"> Aggregated free will and moral responsibility ratings. Error bars indicate the standard error from the mean. ID: indeterministic; </w:t>
      </w:r>
      <w:r w:rsidR="00025C0E" w:rsidRPr="006C203C">
        <w:t>N</w:t>
      </w:r>
      <w:r w:rsidR="001F14BB" w:rsidRPr="006C203C">
        <w:t xml:space="preserve">D: </w:t>
      </w:r>
      <w:r w:rsidR="00025C0E" w:rsidRPr="006C203C">
        <w:t>neuro</w:t>
      </w:r>
      <w:r w:rsidR="001F14BB" w:rsidRPr="006C203C">
        <w:t>deterministic; O: other or the third-person perspective; S: self or the first-person perspective.</w:t>
      </w:r>
      <w:r w:rsidR="004B724A" w:rsidRPr="006C203C">
        <w:t xml:space="preserve"> Note: n.s. not significant</w:t>
      </w:r>
      <w:r w:rsidR="0064602A" w:rsidRPr="006C203C">
        <w:t xml:space="preserve">; *** </w:t>
      </w:r>
      <w:r w:rsidR="0064602A" w:rsidRPr="006C203C">
        <w:rPr>
          <w:i/>
        </w:rPr>
        <w:t>p</w:t>
      </w:r>
      <w:r w:rsidR="0064602A" w:rsidRPr="006C203C">
        <w:t xml:space="preserve"> &lt; 0.001.</w:t>
      </w:r>
    </w:p>
    <w:p w14:paraId="65C762C2" w14:textId="2238B480" w:rsidR="008459CE" w:rsidRPr="006C203C" w:rsidRDefault="008459CE" w:rsidP="008459CE">
      <w:pPr>
        <w:spacing w:line="480" w:lineRule="auto"/>
        <w:jc w:val="center"/>
      </w:pPr>
      <w:r w:rsidRPr="006C203C">
        <w:t>Table 2.  Statistics of free will and moral responsibility 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776"/>
        <w:gridCol w:w="1776"/>
        <w:gridCol w:w="1776"/>
        <w:gridCol w:w="1777"/>
      </w:tblGrid>
      <w:tr w:rsidR="008459CE" w:rsidRPr="006C203C" w14:paraId="2B88BF6E" w14:textId="77777777" w:rsidTr="00D14249">
        <w:tc>
          <w:tcPr>
            <w:tcW w:w="2245" w:type="dxa"/>
            <w:tcBorders>
              <w:top w:val="single" w:sz="12" w:space="0" w:color="auto"/>
              <w:bottom w:val="single" w:sz="12" w:space="0" w:color="auto"/>
            </w:tcBorders>
            <w:vAlign w:val="center"/>
          </w:tcPr>
          <w:p w14:paraId="2D24947B" w14:textId="77777777" w:rsidR="008459CE" w:rsidRPr="006C203C" w:rsidRDefault="008459CE" w:rsidP="000F35F1">
            <w:pPr>
              <w:jc w:val="center"/>
            </w:pPr>
          </w:p>
        </w:tc>
        <w:tc>
          <w:tcPr>
            <w:tcW w:w="1776" w:type="dxa"/>
            <w:tcBorders>
              <w:top w:val="single" w:sz="12" w:space="0" w:color="auto"/>
              <w:bottom w:val="single" w:sz="12" w:space="0" w:color="auto"/>
            </w:tcBorders>
            <w:vAlign w:val="center"/>
          </w:tcPr>
          <w:p w14:paraId="6F6101A8" w14:textId="77777777" w:rsidR="008459CE" w:rsidRPr="006C203C" w:rsidRDefault="008459CE" w:rsidP="000F35F1">
            <w:pPr>
              <w:jc w:val="center"/>
            </w:pPr>
            <w:r w:rsidRPr="006C203C">
              <w:t>ID-Other</w:t>
            </w:r>
          </w:p>
        </w:tc>
        <w:tc>
          <w:tcPr>
            <w:tcW w:w="1776" w:type="dxa"/>
            <w:tcBorders>
              <w:top w:val="single" w:sz="12" w:space="0" w:color="auto"/>
              <w:bottom w:val="single" w:sz="12" w:space="0" w:color="auto"/>
            </w:tcBorders>
            <w:vAlign w:val="center"/>
          </w:tcPr>
          <w:p w14:paraId="7789751A" w14:textId="25C273EE" w:rsidR="008459CE" w:rsidRPr="006C203C" w:rsidRDefault="00E96EA0" w:rsidP="000F35F1">
            <w:pPr>
              <w:jc w:val="center"/>
            </w:pPr>
            <w:r w:rsidRPr="006C203C">
              <w:t>N</w:t>
            </w:r>
            <w:r w:rsidR="008459CE" w:rsidRPr="006C203C">
              <w:t>D-Other</w:t>
            </w:r>
          </w:p>
        </w:tc>
        <w:tc>
          <w:tcPr>
            <w:tcW w:w="1776" w:type="dxa"/>
            <w:tcBorders>
              <w:top w:val="single" w:sz="12" w:space="0" w:color="auto"/>
              <w:bottom w:val="single" w:sz="12" w:space="0" w:color="auto"/>
            </w:tcBorders>
            <w:vAlign w:val="center"/>
          </w:tcPr>
          <w:p w14:paraId="6F5E5603" w14:textId="77777777" w:rsidR="008459CE" w:rsidRPr="006C203C" w:rsidRDefault="008459CE" w:rsidP="000F35F1">
            <w:pPr>
              <w:jc w:val="center"/>
            </w:pPr>
            <w:r w:rsidRPr="006C203C">
              <w:t>ID-Self</w:t>
            </w:r>
          </w:p>
        </w:tc>
        <w:tc>
          <w:tcPr>
            <w:tcW w:w="1777" w:type="dxa"/>
            <w:tcBorders>
              <w:top w:val="single" w:sz="12" w:space="0" w:color="auto"/>
              <w:bottom w:val="single" w:sz="12" w:space="0" w:color="auto"/>
            </w:tcBorders>
            <w:vAlign w:val="center"/>
          </w:tcPr>
          <w:p w14:paraId="11169CC4" w14:textId="2FE62CA8" w:rsidR="008459CE" w:rsidRPr="006C203C" w:rsidRDefault="00E96EA0" w:rsidP="000F35F1">
            <w:pPr>
              <w:jc w:val="center"/>
            </w:pPr>
            <w:r w:rsidRPr="006C203C">
              <w:t>N</w:t>
            </w:r>
            <w:r w:rsidR="008459CE" w:rsidRPr="006C203C">
              <w:t>D-Self</w:t>
            </w:r>
          </w:p>
        </w:tc>
      </w:tr>
      <w:tr w:rsidR="008459CE" w:rsidRPr="006C203C" w14:paraId="6AE03C82" w14:textId="77777777" w:rsidTr="00D14249">
        <w:tc>
          <w:tcPr>
            <w:tcW w:w="2245" w:type="dxa"/>
            <w:tcBorders>
              <w:top w:val="single" w:sz="12" w:space="0" w:color="auto"/>
            </w:tcBorders>
            <w:vAlign w:val="center"/>
          </w:tcPr>
          <w:p w14:paraId="3824A997" w14:textId="77777777" w:rsidR="008459CE" w:rsidRPr="006C203C" w:rsidRDefault="008459CE" w:rsidP="000F35F1">
            <w:pPr>
              <w:jc w:val="center"/>
            </w:pPr>
            <w:r w:rsidRPr="006C203C">
              <w:t>Free will</w:t>
            </w:r>
          </w:p>
        </w:tc>
        <w:tc>
          <w:tcPr>
            <w:tcW w:w="1776" w:type="dxa"/>
            <w:tcBorders>
              <w:top w:val="single" w:sz="12" w:space="0" w:color="auto"/>
            </w:tcBorders>
            <w:vAlign w:val="center"/>
          </w:tcPr>
          <w:p w14:paraId="718ADC65" w14:textId="073A0162" w:rsidR="008459CE" w:rsidRPr="006C203C" w:rsidRDefault="00E96EA0" w:rsidP="000F35F1">
            <w:pPr>
              <w:jc w:val="center"/>
            </w:pPr>
            <w:r w:rsidRPr="006C203C">
              <w:t>6.21</w:t>
            </w:r>
            <m:oMath>
              <m:r>
                <w:rPr>
                  <w:rFonts w:ascii="Cambria Math" w:hAnsi="Cambria Math"/>
                </w:rPr>
                <m:t>±</m:t>
              </m:r>
            </m:oMath>
            <w:r w:rsidR="008459CE" w:rsidRPr="006C203C">
              <w:t>0.</w:t>
            </w:r>
            <w:r w:rsidRPr="006C203C">
              <w:t>80</w:t>
            </w:r>
          </w:p>
        </w:tc>
        <w:tc>
          <w:tcPr>
            <w:tcW w:w="1776" w:type="dxa"/>
            <w:tcBorders>
              <w:top w:val="single" w:sz="12" w:space="0" w:color="auto"/>
            </w:tcBorders>
            <w:vAlign w:val="center"/>
          </w:tcPr>
          <w:p w14:paraId="77360706" w14:textId="2B7859D1" w:rsidR="008459CE" w:rsidRPr="006C203C" w:rsidRDefault="008459CE" w:rsidP="000F35F1">
            <w:pPr>
              <w:jc w:val="center"/>
            </w:pPr>
            <w:r w:rsidRPr="006C203C">
              <w:t>3.</w:t>
            </w:r>
            <w:r w:rsidR="00E96EA0" w:rsidRPr="006C203C">
              <w:t>02</w:t>
            </w:r>
            <m:oMath>
              <m:r>
                <w:rPr>
                  <w:rFonts w:ascii="Cambria Math" w:hAnsi="Cambria Math"/>
                </w:rPr>
                <m:t>±</m:t>
              </m:r>
            </m:oMath>
            <w:r w:rsidRPr="006C203C">
              <w:t>1.</w:t>
            </w:r>
            <w:r w:rsidR="00E96EA0" w:rsidRPr="006C203C">
              <w:t>32</w:t>
            </w:r>
          </w:p>
        </w:tc>
        <w:tc>
          <w:tcPr>
            <w:tcW w:w="1776" w:type="dxa"/>
            <w:tcBorders>
              <w:top w:val="single" w:sz="12" w:space="0" w:color="auto"/>
            </w:tcBorders>
            <w:vAlign w:val="center"/>
          </w:tcPr>
          <w:p w14:paraId="6EB86697" w14:textId="33E2FAF6" w:rsidR="008459CE" w:rsidRPr="006C203C" w:rsidRDefault="00E96EA0" w:rsidP="000F35F1">
            <w:pPr>
              <w:jc w:val="center"/>
            </w:pPr>
            <w:r w:rsidRPr="006C203C">
              <w:t>6.15</w:t>
            </w:r>
            <m:oMath>
              <m:r>
                <w:rPr>
                  <w:rFonts w:ascii="Cambria Math" w:hAnsi="Cambria Math"/>
                </w:rPr>
                <m:t>±</m:t>
              </m:r>
            </m:oMath>
            <w:r w:rsidR="008459CE" w:rsidRPr="006C203C">
              <w:t>0.</w:t>
            </w:r>
            <w:r w:rsidRPr="006C203C">
              <w:t>8</w:t>
            </w:r>
            <w:r w:rsidR="008459CE" w:rsidRPr="006C203C">
              <w:t>3</w:t>
            </w:r>
          </w:p>
        </w:tc>
        <w:tc>
          <w:tcPr>
            <w:tcW w:w="1777" w:type="dxa"/>
            <w:tcBorders>
              <w:top w:val="single" w:sz="12" w:space="0" w:color="auto"/>
            </w:tcBorders>
            <w:vAlign w:val="center"/>
          </w:tcPr>
          <w:p w14:paraId="3344A0F9" w14:textId="3B9F5D7C" w:rsidR="008459CE" w:rsidRPr="006C203C" w:rsidRDefault="008459CE" w:rsidP="000F35F1">
            <w:pPr>
              <w:jc w:val="center"/>
            </w:pPr>
            <w:r w:rsidRPr="006C203C">
              <w:t>3.</w:t>
            </w:r>
            <w:r w:rsidR="00E96EA0" w:rsidRPr="006C203C">
              <w:t>0</w:t>
            </w:r>
            <w:r w:rsidRPr="006C203C">
              <w:t>2</w:t>
            </w:r>
            <m:oMath>
              <m:r>
                <w:rPr>
                  <w:rFonts w:ascii="Cambria Math" w:hAnsi="Cambria Math"/>
                </w:rPr>
                <m:t>±</m:t>
              </m:r>
            </m:oMath>
            <w:r w:rsidRPr="006C203C">
              <w:t>1.</w:t>
            </w:r>
            <w:r w:rsidR="00E96EA0" w:rsidRPr="006C203C">
              <w:t>53</w:t>
            </w:r>
          </w:p>
        </w:tc>
      </w:tr>
      <w:tr w:rsidR="008459CE" w:rsidRPr="006C203C" w14:paraId="74786FC4" w14:textId="77777777" w:rsidTr="00D14249">
        <w:tc>
          <w:tcPr>
            <w:tcW w:w="2245" w:type="dxa"/>
            <w:vAlign w:val="center"/>
          </w:tcPr>
          <w:p w14:paraId="377E2F14" w14:textId="77777777" w:rsidR="008459CE" w:rsidRPr="006C203C" w:rsidRDefault="008459CE" w:rsidP="000F35F1">
            <w:pPr>
              <w:jc w:val="center"/>
            </w:pPr>
            <w:r w:rsidRPr="006C203C">
              <w:lastRenderedPageBreak/>
              <w:t>Moral responsibility</w:t>
            </w:r>
          </w:p>
        </w:tc>
        <w:tc>
          <w:tcPr>
            <w:tcW w:w="1776" w:type="dxa"/>
            <w:vAlign w:val="center"/>
          </w:tcPr>
          <w:p w14:paraId="7EE0E2CF" w14:textId="5F8B294E" w:rsidR="008459CE" w:rsidRPr="006C203C" w:rsidRDefault="008459CE" w:rsidP="000F35F1">
            <w:pPr>
              <w:jc w:val="center"/>
            </w:pPr>
            <w:r w:rsidRPr="006C203C">
              <w:t>6.43</w:t>
            </w:r>
            <m:oMath>
              <m:r>
                <w:rPr>
                  <w:rFonts w:ascii="Cambria Math" w:hAnsi="Cambria Math"/>
                </w:rPr>
                <m:t>±</m:t>
              </m:r>
            </m:oMath>
            <w:r w:rsidRPr="006C203C">
              <w:t>0.76</w:t>
            </w:r>
          </w:p>
        </w:tc>
        <w:tc>
          <w:tcPr>
            <w:tcW w:w="1776" w:type="dxa"/>
            <w:vAlign w:val="center"/>
          </w:tcPr>
          <w:p w14:paraId="146A2985" w14:textId="2F420D98" w:rsidR="008459CE" w:rsidRPr="006C203C" w:rsidRDefault="008459CE" w:rsidP="000F35F1">
            <w:pPr>
              <w:jc w:val="center"/>
            </w:pPr>
            <w:r w:rsidRPr="006C203C">
              <w:t>3.95</w:t>
            </w:r>
            <m:oMath>
              <m:r>
                <w:rPr>
                  <w:rFonts w:ascii="Cambria Math" w:hAnsi="Cambria Math"/>
                </w:rPr>
                <m:t>±</m:t>
              </m:r>
            </m:oMath>
            <w:r w:rsidRPr="006C203C">
              <w:t>1.74</w:t>
            </w:r>
          </w:p>
        </w:tc>
        <w:tc>
          <w:tcPr>
            <w:tcW w:w="1776" w:type="dxa"/>
            <w:vAlign w:val="center"/>
          </w:tcPr>
          <w:p w14:paraId="47C792C8" w14:textId="62067515" w:rsidR="008459CE" w:rsidRPr="006C203C" w:rsidRDefault="008459CE" w:rsidP="000F35F1">
            <w:pPr>
              <w:jc w:val="center"/>
            </w:pPr>
            <w:r w:rsidRPr="006C203C">
              <w:t>5.93</w:t>
            </w:r>
            <m:oMath>
              <m:r>
                <w:rPr>
                  <w:rFonts w:ascii="Cambria Math" w:hAnsi="Cambria Math"/>
                </w:rPr>
                <m:t>±</m:t>
              </m:r>
            </m:oMath>
            <w:r w:rsidRPr="006C203C">
              <w:t>1.11</w:t>
            </w:r>
          </w:p>
        </w:tc>
        <w:tc>
          <w:tcPr>
            <w:tcW w:w="1777" w:type="dxa"/>
            <w:vAlign w:val="center"/>
          </w:tcPr>
          <w:p w14:paraId="4E56D6BA" w14:textId="3BDDBF40" w:rsidR="008459CE" w:rsidRPr="006C203C" w:rsidRDefault="008459CE" w:rsidP="000F35F1">
            <w:pPr>
              <w:jc w:val="center"/>
            </w:pPr>
            <w:r w:rsidRPr="006C203C">
              <w:t>3.58</w:t>
            </w:r>
            <m:oMath>
              <m:r>
                <w:rPr>
                  <w:rFonts w:ascii="Cambria Math" w:hAnsi="Cambria Math"/>
                </w:rPr>
                <m:t>±</m:t>
              </m:r>
            </m:oMath>
            <w:r w:rsidRPr="006C203C">
              <w:t>1.77</w:t>
            </w:r>
          </w:p>
        </w:tc>
      </w:tr>
    </w:tbl>
    <w:p w14:paraId="4B649602" w14:textId="77777777" w:rsidR="008459CE" w:rsidRPr="006C203C" w:rsidRDefault="008459CE" w:rsidP="008459CE">
      <w:pPr>
        <w:spacing w:line="480" w:lineRule="auto"/>
      </w:pPr>
      <w:r w:rsidRPr="006C203C">
        <w:t xml:space="preserve">Note: each cell is denoted in Mean </w:t>
      </w:r>
      <m:oMath>
        <m:r>
          <w:rPr>
            <w:rFonts w:ascii="Cambria Math" w:hAnsi="Cambria Math"/>
          </w:rPr>
          <m:t>±</m:t>
        </m:r>
      </m:oMath>
      <w:r w:rsidRPr="006C203C">
        <w:t xml:space="preserve"> SD (standard deviation).</w:t>
      </w:r>
    </w:p>
    <w:p w14:paraId="4F449AD3" w14:textId="4AAE1B6F" w:rsidR="008459CE" w:rsidRPr="006C203C" w:rsidRDefault="008459CE" w:rsidP="003A7B46">
      <w:pPr>
        <w:spacing w:line="480" w:lineRule="auto"/>
        <w:jc w:val="both"/>
      </w:pPr>
      <w:r w:rsidRPr="006C203C">
        <w:t xml:space="preserve">Furthermore, </w:t>
      </w:r>
      <w:r w:rsidR="003A7B46">
        <w:t xml:space="preserve">this time around, unlike in Study 1, we found that </w:t>
      </w:r>
      <w:r w:rsidR="00DB125B" w:rsidRPr="006C203C">
        <w:t xml:space="preserve">attributions of moral responsibility were higher than attributions of free will </w:t>
      </w:r>
      <w:r w:rsidRPr="006C203C">
        <w:t>across conditions (</w:t>
      </w:r>
      <w:r w:rsidRPr="006C203C">
        <w:rPr>
          <w:i/>
        </w:rPr>
        <w:t>t</w:t>
      </w:r>
      <w:r w:rsidRPr="006C203C">
        <w:t xml:space="preserve">(528)=-3.42, </w:t>
      </w:r>
      <w:r w:rsidRPr="006C203C">
        <w:rPr>
          <w:i/>
        </w:rPr>
        <w:t>p</w:t>
      </w:r>
      <w:r w:rsidRPr="006C203C">
        <w:t xml:space="preserve"> &lt; 0.001</w:t>
      </w:r>
      <w:r w:rsidR="00ED6731" w:rsidRPr="006C203C">
        <w:t xml:space="preserve">, </w:t>
      </w:r>
      <w:r w:rsidR="00ED6731" w:rsidRPr="006C203C">
        <w:rPr>
          <w:i/>
          <w:iCs/>
        </w:rPr>
        <w:t>d</w:t>
      </w:r>
      <w:r w:rsidR="00ED6731" w:rsidRPr="006C203C">
        <w:t xml:space="preserve"> = 0.19</w:t>
      </w:r>
      <w:r w:rsidRPr="006C203C">
        <w:t xml:space="preserve">). Regarding </w:t>
      </w:r>
      <w:r w:rsidR="00DB125B" w:rsidRPr="006C203C">
        <w:t xml:space="preserve">self-other </w:t>
      </w:r>
      <w:r w:rsidRPr="006C203C">
        <w:t>differences, in the deterministic scenario, we did not find</w:t>
      </w:r>
      <w:r w:rsidR="00DB125B" w:rsidRPr="006C203C">
        <w:t xml:space="preserve"> higher self-attributions of free will (</w:t>
      </w:r>
      <w:r w:rsidR="00DB125B" w:rsidRPr="006C203C">
        <w:rPr>
          <w:i/>
        </w:rPr>
        <w:t>t</w:t>
      </w:r>
      <w:r w:rsidR="00DB125B" w:rsidRPr="006C203C">
        <w:t xml:space="preserve">(131)=0.70, </w:t>
      </w:r>
      <w:r w:rsidR="00DB125B" w:rsidRPr="006C203C">
        <w:rPr>
          <w:i/>
        </w:rPr>
        <w:t>p</w:t>
      </w:r>
      <w:r w:rsidR="00DB125B" w:rsidRPr="006C203C">
        <w:t xml:space="preserve"> = 0.61) or moral responsibility</w:t>
      </w:r>
      <w:r w:rsidRPr="006C203C">
        <w:t xml:space="preserve"> (</w:t>
      </w:r>
      <w:r w:rsidRPr="006C203C">
        <w:rPr>
          <w:i/>
        </w:rPr>
        <w:t>t</w:t>
      </w:r>
      <w:r w:rsidRPr="006C203C">
        <w:t>(1</w:t>
      </w:r>
      <w:r w:rsidR="00923EC0" w:rsidRPr="006C203C">
        <w:t>3</w:t>
      </w:r>
      <w:r w:rsidRPr="006C203C">
        <w:t>1)=</w:t>
      </w:r>
      <w:r w:rsidR="00923EC0" w:rsidRPr="006C203C">
        <w:t>1.20</w:t>
      </w:r>
      <w:r w:rsidRPr="006C203C">
        <w:t xml:space="preserve">, </w:t>
      </w:r>
      <w:r w:rsidRPr="006C203C">
        <w:rPr>
          <w:i/>
        </w:rPr>
        <w:t>p</w:t>
      </w:r>
      <w:r w:rsidRPr="006C203C">
        <w:t xml:space="preserve"> = 0.23)</w:t>
      </w:r>
      <w:r w:rsidR="00DB125B" w:rsidRPr="006C203C">
        <w:t>.</w:t>
      </w:r>
      <w:r w:rsidRPr="006C203C">
        <w:t xml:space="preserve"> </w:t>
      </w:r>
    </w:p>
    <w:p w14:paraId="21F77C18" w14:textId="55E877FD" w:rsidR="00E80AE2" w:rsidRPr="006C203C" w:rsidRDefault="00C41611" w:rsidP="00E80AE2">
      <w:pPr>
        <w:spacing w:line="480" w:lineRule="auto"/>
        <w:jc w:val="both"/>
        <w:rPr>
          <w:i/>
        </w:rPr>
      </w:pPr>
      <w:r w:rsidRPr="006C203C">
        <w:rPr>
          <w:i/>
        </w:rPr>
        <w:t>3</w:t>
      </w:r>
      <w:r w:rsidR="00E80AE2" w:rsidRPr="006C203C">
        <w:rPr>
          <w:i/>
        </w:rPr>
        <w:t>.4.3. Discussion</w:t>
      </w:r>
    </w:p>
    <w:p w14:paraId="70E942B1" w14:textId="53A4743A" w:rsidR="00B005A9" w:rsidRPr="006C203C" w:rsidRDefault="00B005A9" w:rsidP="00E80AE2">
      <w:pPr>
        <w:spacing w:line="480" w:lineRule="auto"/>
        <w:jc w:val="both"/>
      </w:pPr>
      <w:r w:rsidRPr="006C203C">
        <w:t>For Study 2, our goal was to ramp up people’s incompatibilist intuitions by using a case involving neuro-determinism—that is, a case that talk</w:t>
      </w:r>
      <w:r w:rsidR="00E92E16">
        <w:t>s</w:t>
      </w:r>
      <w:r w:rsidRPr="006C203C">
        <w:t xml:space="preserve"> about the reductive nature of the brain and how it determines human thought and behavior. The question </w:t>
      </w:r>
      <w:r w:rsidR="00ED5C31" w:rsidRPr="006C203C">
        <w:t>was</w:t>
      </w:r>
      <w:r w:rsidRPr="006C203C">
        <w:t xml:space="preserve"> whether we would once again find evidence for natural incompatibilism using a concrete case with a morally neutral action—walking a dog in the park. The responses </w:t>
      </w:r>
      <w:r w:rsidR="00DB125B" w:rsidRPr="006C203C">
        <w:t xml:space="preserve">in Study 2 </w:t>
      </w:r>
      <w:r w:rsidRPr="006C203C">
        <w:t>where in line with S</w:t>
      </w:r>
      <w:r w:rsidR="002406DB" w:rsidRPr="006C203C">
        <w:t>t</w:t>
      </w:r>
      <w:r w:rsidRPr="006C203C">
        <w:t>udy 1. People who read the indeterministic scenario once again attributed free will and responsibility to the protagonist (whether the protagonist was them or someone else). The average ratings for these scenarios was 6</w:t>
      </w:r>
      <w:r w:rsidR="003A7B46">
        <w:t>.18</w:t>
      </w:r>
      <w:r w:rsidRPr="006C203C">
        <w:t xml:space="preserve"> for free will and </w:t>
      </w:r>
      <w:r w:rsidR="003A7B46">
        <w:t xml:space="preserve">6.17 for </w:t>
      </w:r>
      <w:r w:rsidRPr="006C203C">
        <w:t xml:space="preserve">responsibility. However, people who read the neuro-deterministic scenarios </w:t>
      </w:r>
      <w:r w:rsidR="00433D48" w:rsidRPr="006C203C">
        <w:t xml:space="preserve">had lower attributions of </w:t>
      </w:r>
      <w:r w:rsidRPr="006C203C">
        <w:t>free will (3.02) and responsibility (3.</w:t>
      </w:r>
      <w:r w:rsidR="004D52CC" w:rsidRPr="006C203C">
        <w:t>75</w:t>
      </w:r>
      <w:r w:rsidRPr="006C203C">
        <w:t>).</w:t>
      </w:r>
      <w:r w:rsidR="001675E2" w:rsidRPr="006C203C">
        <w:rPr>
          <w:rStyle w:val="FootnoteReference"/>
        </w:rPr>
        <w:footnoteReference w:id="22"/>
      </w:r>
      <w:r w:rsidRPr="006C203C">
        <w:t xml:space="preserve"> Once again, these scores were below the mid-point—providing more evidence for natural incompatibilism.</w:t>
      </w:r>
      <w:r w:rsidR="000A7101" w:rsidRPr="006C203C">
        <w:t xml:space="preserve"> These findings </w:t>
      </w:r>
      <w:r w:rsidR="00ED5C31" w:rsidRPr="006C203C">
        <w:t xml:space="preserve">comport </w:t>
      </w:r>
      <w:r w:rsidR="000A7101" w:rsidRPr="006C203C">
        <w:t xml:space="preserve">with our prediction. The same can be said when it comes to the statistically significant difference in Study 2 between intuitions about free will and moral responsibility. As expected, the former were weaker than the latter. However, we once again did not find a difference between the responses to the first-person vignettes and the third-person vignettes. Given the </w:t>
      </w:r>
      <w:r w:rsidR="000A7101" w:rsidRPr="006C203C">
        <w:lastRenderedPageBreak/>
        <w:t>literature on self-other differences when it comes to perceptions of agency and control, this is</w:t>
      </w:r>
      <w:r w:rsidR="00ED5C31" w:rsidRPr="006C203C">
        <w:t xml:space="preserve"> surprising</w:t>
      </w:r>
      <w:r w:rsidR="000A7101" w:rsidRPr="006C203C">
        <w:t>.</w:t>
      </w:r>
      <w:r w:rsidR="00ED5C31" w:rsidRPr="006C203C">
        <w:t xml:space="preserve"> We’re not sure what to make of our findings on this front.</w:t>
      </w:r>
    </w:p>
    <w:p w14:paraId="2E6067A2" w14:textId="62293AB4" w:rsidR="00E80AE2" w:rsidRPr="006C203C" w:rsidRDefault="00C41611" w:rsidP="00E80AE2">
      <w:pPr>
        <w:spacing w:line="480" w:lineRule="auto"/>
        <w:jc w:val="both"/>
        <w:rPr>
          <w:i/>
        </w:rPr>
      </w:pPr>
      <w:r w:rsidRPr="006C203C">
        <w:rPr>
          <w:i/>
        </w:rPr>
        <w:t>3</w:t>
      </w:r>
      <w:r w:rsidR="00E80AE2" w:rsidRPr="006C203C">
        <w:rPr>
          <w:i/>
        </w:rPr>
        <w:t>.5. Study 3: Immoral Indeterminism vs. Immoral Neurodeterminism</w:t>
      </w:r>
    </w:p>
    <w:p w14:paraId="43746D32" w14:textId="2E45C99C" w:rsidR="00E80AE2" w:rsidRPr="006C203C" w:rsidRDefault="00C41611" w:rsidP="00E80AE2">
      <w:pPr>
        <w:spacing w:line="480" w:lineRule="auto"/>
        <w:jc w:val="both"/>
        <w:rPr>
          <w:i/>
        </w:rPr>
      </w:pPr>
      <w:r w:rsidRPr="006C203C">
        <w:rPr>
          <w:i/>
        </w:rPr>
        <w:t>3</w:t>
      </w:r>
      <w:r w:rsidR="00E80AE2" w:rsidRPr="006C203C">
        <w:rPr>
          <w:i/>
        </w:rPr>
        <w:t>.5.1. Participants and Experimental Design</w:t>
      </w:r>
    </w:p>
    <w:p w14:paraId="648DEB9B" w14:textId="46BDF938" w:rsidR="00E80AE2" w:rsidRPr="006C203C" w:rsidRDefault="00E80AE2" w:rsidP="00E80AE2">
      <w:pPr>
        <w:spacing w:line="480" w:lineRule="auto"/>
        <w:jc w:val="both"/>
      </w:pPr>
      <w:r w:rsidRPr="006C203C">
        <w:t xml:space="preserve">We </w:t>
      </w:r>
      <w:r w:rsidR="00072843" w:rsidRPr="006C203C">
        <w:t xml:space="preserve">once again </w:t>
      </w:r>
      <w:r w:rsidRPr="006C203C">
        <w:t>predetermined a sample size of 75 for each condition for this study. Data collection was stopped on the day that the minimum number of participants started the study.</w:t>
      </w:r>
      <w:r w:rsidR="003E01FA" w:rsidRPr="006C203C">
        <w:t xml:space="preserve"> 3</w:t>
      </w:r>
      <w:r w:rsidR="00DA52FA" w:rsidRPr="006C203C">
        <w:t>41</w:t>
      </w:r>
      <w:r w:rsidRPr="006C203C">
        <w:t xml:space="preserve"> individuals started (and 281 individuals completed) this two-by-two (</w:t>
      </w:r>
      <w:r w:rsidR="007255E9">
        <w:t>I</w:t>
      </w:r>
      <w:r w:rsidRPr="006C203C">
        <w:t>ndeterminis</w:t>
      </w:r>
      <w:r w:rsidR="007255E9">
        <w:t>m</w:t>
      </w:r>
      <w:r w:rsidRPr="006C203C">
        <w:t xml:space="preserve"> vs. </w:t>
      </w:r>
      <w:r w:rsidR="007255E9">
        <w:t>N</w:t>
      </w:r>
      <w:r w:rsidRPr="006C203C">
        <w:t>eurodeterminis</w:t>
      </w:r>
      <w:r w:rsidR="007255E9">
        <w:t>m</w:t>
      </w:r>
      <w:r w:rsidRPr="006C203C">
        <w:t xml:space="preserve"> by </w:t>
      </w:r>
      <w:r w:rsidR="007255E9">
        <w:t>S</w:t>
      </w:r>
      <w:r w:rsidRPr="006C203C">
        <w:t xml:space="preserve">elf vs. </w:t>
      </w:r>
      <w:r w:rsidR="007255E9">
        <w:t>O</w:t>
      </w:r>
      <w:r w:rsidRPr="006C203C">
        <w:t xml:space="preserve">ther) between-subject study on </w:t>
      </w:r>
      <w:r w:rsidR="001D20D7">
        <w:t>MT</w:t>
      </w:r>
      <w:r w:rsidR="00E92E16">
        <w:t>urk</w:t>
      </w:r>
      <w:r w:rsidRPr="006C203C">
        <w:t xml:space="preserve"> for monetary compensation. Participant recruitment was restricted to individuals in the United States who had at least 1,000 previously accepted HITs and a prior approval rating of at least 98%. </w:t>
      </w:r>
      <w:r w:rsidR="008D6937" w:rsidRPr="006C203C">
        <w:t>35</w:t>
      </w:r>
      <w:r w:rsidR="009523EE" w:rsidRPr="006C203C">
        <w:t xml:space="preserve"> participants failed to follow instructions or failed to pass </w:t>
      </w:r>
      <w:r w:rsidR="00847830" w:rsidRPr="006C203C">
        <w:t xml:space="preserve">at least two out of three </w:t>
      </w:r>
      <w:r w:rsidR="009523EE" w:rsidRPr="006C203C">
        <w:t>comprehension questions, so d</w:t>
      </w:r>
      <w:r w:rsidRPr="006C203C">
        <w:t xml:space="preserve">ata were analyzed with the </w:t>
      </w:r>
      <w:r w:rsidR="008D6937" w:rsidRPr="006C203C">
        <w:t>246</w:t>
      </w:r>
      <w:r w:rsidRPr="006C203C">
        <w:t xml:space="preserve"> individuals (M</w:t>
      </w:r>
      <w:r w:rsidRPr="006C203C">
        <w:rPr>
          <w:vertAlign w:val="subscript"/>
        </w:rPr>
        <w:t>age</w:t>
      </w:r>
      <w:r w:rsidRPr="006C203C">
        <w:t xml:space="preserve"> = 40.0</w:t>
      </w:r>
      <w:r w:rsidR="008D6937" w:rsidRPr="006C203C">
        <w:t>3</w:t>
      </w:r>
      <w:r w:rsidRPr="006C203C">
        <w:t xml:space="preserve"> years, SD = 12.</w:t>
      </w:r>
      <w:r w:rsidR="008D6937" w:rsidRPr="006C203C">
        <w:t>52</w:t>
      </w:r>
      <w:r w:rsidRPr="006C203C">
        <w:t>, range</w:t>
      </w:r>
      <w:r w:rsidRPr="006C203C">
        <w:rPr>
          <w:vertAlign w:val="subscript"/>
        </w:rPr>
        <w:t>age</w:t>
      </w:r>
      <w:r w:rsidRPr="006C203C">
        <w:t xml:space="preserve"> = [</w:t>
      </w:r>
      <w:r w:rsidR="008D6937" w:rsidRPr="006C203C">
        <w:t>18</w:t>
      </w:r>
      <w:r w:rsidRPr="006C203C">
        <w:t>, 72], 1</w:t>
      </w:r>
      <w:r w:rsidR="008D6937" w:rsidRPr="006C203C">
        <w:t>21</w:t>
      </w:r>
      <w:r w:rsidRPr="006C203C">
        <w:t xml:space="preserve"> females). Each individual was randomly assigned to one of the four conditions. All studies reported herein were approved by the College of Charleston Institutional Review Board.</w:t>
      </w:r>
    </w:p>
    <w:p w14:paraId="33948E59" w14:textId="16057F5B" w:rsidR="00E80AE2" w:rsidRPr="006C203C" w:rsidRDefault="00E80AE2" w:rsidP="00072843">
      <w:pPr>
        <w:spacing w:line="480" w:lineRule="auto"/>
        <w:ind w:firstLine="720"/>
        <w:jc w:val="both"/>
      </w:pPr>
      <w:r w:rsidRPr="006C203C">
        <w:t>For this vignette-based study, there were four conditions: (a) Indeterminism +</w:t>
      </w:r>
      <w:r w:rsidR="00214A86" w:rsidRPr="006C203C">
        <w:t xml:space="preserve"> </w:t>
      </w:r>
      <w:r w:rsidRPr="006C203C">
        <w:t>Other, (b) Indeterminism + Self, (c) Neurodeterminism + Other, and (d) Neurodeterminism + Self. We used a between subject design, so each participant received one and only</w:t>
      </w:r>
      <w:r w:rsidR="00DB125B" w:rsidRPr="006C203C">
        <w:t xml:space="preserve"> one</w:t>
      </w:r>
      <w:r w:rsidRPr="006C203C">
        <w:t xml:space="preserve"> condition. For Study 3, both the vignettes and the statements were the same as Study 2 except that rather than deciding to walk a dog in the park, the agent in the scenario (either “Jim” or “you”) decided to </w:t>
      </w:r>
      <w:r w:rsidRPr="006C203C">
        <w:rPr>
          <w:i/>
          <w:iCs/>
        </w:rPr>
        <w:t>murder a stranger</w:t>
      </w:r>
      <w:r w:rsidRPr="006C203C">
        <w:t xml:space="preserve">. We once again used the same procedure for converting the third-person vignettes and statements into the first-person. </w:t>
      </w:r>
      <w:r w:rsidRPr="006C203C">
        <w:rPr>
          <w:rFonts w:eastAsiaTheme="minorHAnsi"/>
        </w:rPr>
        <w:t xml:space="preserve">After reading the vignette and responding to the 12 items, participants once again responded to the Free Will Inventory (Nadelhoffer et al., 2014) and </w:t>
      </w:r>
      <w:r w:rsidRPr="006C203C">
        <w:rPr>
          <w:rFonts w:eastAsiaTheme="minorHAnsi"/>
        </w:rPr>
        <w:lastRenderedPageBreak/>
        <w:t>provided some basic demographic information</w:t>
      </w:r>
      <w:r w:rsidR="00072843" w:rsidRPr="006C203C">
        <w:rPr>
          <w:rFonts w:eastAsiaTheme="minorHAnsi"/>
        </w:rPr>
        <w:t>—e.g., age, race, gender, education, income, political ideology, and religious orientation</w:t>
      </w:r>
      <w:r w:rsidRPr="006C203C">
        <w:rPr>
          <w:rFonts w:eastAsiaTheme="minorHAnsi"/>
        </w:rPr>
        <w:t>.</w:t>
      </w:r>
    </w:p>
    <w:p w14:paraId="6525BB87" w14:textId="276349CB" w:rsidR="00E80AE2" w:rsidRPr="006C203C" w:rsidRDefault="00C41611" w:rsidP="00E80AE2">
      <w:pPr>
        <w:spacing w:line="480" w:lineRule="auto"/>
        <w:jc w:val="both"/>
        <w:rPr>
          <w:i/>
        </w:rPr>
      </w:pPr>
      <w:r w:rsidRPr="006C203C">
        <w:rPr>
          <w:i/>
        </w:rPr>
        <w:t>3</w:t>
      </w:r>
      <w:r w:rsidR="00E80AE2" w:rsidRPr="006C203C">
        <w:rPr>
          <w:i/>
        </w:rPr>
        <w:t>.52</w:t>
      </w:r>
      <w:r w:rsidR="00343178" w:rsidRPr="006C203C">
        <w:rPr>
          <w:i/>
        </w:rPr>
        <w:t>.</w:t>
      </w:r>
      <w:r w:rsidR="00E80AE2" w:rsidRPr="006C203C">
        <w:rPr>
          <w:i/>
        </w:rPr>
        <w:t xml:space="preserve"> Results</w:t>
      </w:r>
    </w:p>
    <w:p w14:paraId="73982A05" w14:textId="010EAC4B" w:rsidR="00E80AE2" w:rsidRPr="006C203C" w:rsidRDefault="00E80AE2" w:rsidP="00E80AE2">
      <w:pPr>
        <w:spacing w:line="480" w:lineRule="auto"/>
        <w:jc w:val="both"/>
      </w:pPr>
      <w:r w:rsidRPr="006C203C">
        <w:t>To examine the effect of indeterministic and deterministic frames and self and other perspectives on intuition</w:t>
      </w:r>
      <w:r w:rsidR="00E92E16">
        <w:t>s</w:t>
      </w:r>
      <w:r w:rsidRPr="006C203C">
        <w:t xml:space="preserve"> about free will and moral responsibility as well as their interaction, we first aggregated and averaged </w:t>
      </w:r>
      <w:r w:rsidR="005D4C3E">
        <w:t>four</w:t>
      </w:r>
      <w:r w:rsidRPr="006C203C">
        <w:t xml:space="preserve"> free will questions </w:t>
      </w:r>
      <w:r w:rsidR="00383AE1">
        <w:t>(</w:t>
      </w:r>
      <w:r w:rsidR="00383AE1" w:rsidRPr="006C203C">
        <w:rPr>
          <w:rFonts w:eastAsiaTheme="minorHAnsi"/>
        </w:rPr>
        <w:t xml:space="preserve">Cronbach's </w:t>
      </w:r>
      <m:oMath>
        <m:r>
          <w:rPr>
            <w:rFonts w:ascii="Cambria Math" w:eastAsiaTheme="minorHAnsi" w:hAnsi="Cambria Math"/>
          </w:rPr>
          <m:t>α</m:t>
        </m:r>
      </m:oMath>
      <w:r w:rsidR="00383AE1">
        <w:rPr>
          <w:rFonts w:eastAsiaTheme="minorEastAsia"/>
        </w:rPr>
        <w:t xml:space="preserve"> = 0.90</w:t>
      </w:r>
      <w:r w:rsidR="00383AE1">
        <w:t xml:space="preserve">) </w:t>
      </w:r>
      <w:r w:rsidRPr="006C203C">
        <w:t>and t</w:t>
      </w:r>
      <w:r w:rsidR="005D4C3E">
        <w:t>wo</w:t>
      </w:r>
      <w:r w:rsidRPr="006C203C">
        <w:t xml:space="preserve"> moral responsibility questions </w:t>
      </w:r>
      <w:r w:rsidR="00383AE1">
        <w:t>(</w:t>
      </w:r>
      <w:r w:rsidR="00383AE1" w:rsidRPr="006C203C">
        <w:rPr>
          <w:rFonts w:eastAsiaTheme="minorHAnsi"/>
        </w:rPr>
        <w:t xml:space="preserve">Cronbach's </w:t>
      </w:r>
      <m:oMath>
        <m:r>
          <w:rPr>
            <w:rFonts w:ascii="Cambria Math" w:eastAsiaTheme="minorHAnsi" w:hAnsi="Cambria Math"/>
          </w:rPr>
          <m:t>α</m:t>
        </m:r>
      </m:oMath>
      <w:r w:rsidR="00383AE1">
        <w:rPr>
          <w:rFonts w:eastAsiaTheme="minorEastAsia"/>
        </w:rPr>
        <w:t xml:space="preserve"> = 0.86</w:t>
      </w:r>
      <w:r w:rsidR="00383AE1">
        <w:t xml:space="preserve">) </w:t>
      </w:r>
      <w:r w:rsidRPr="006C203C">
        <w:t>and then performed a two-way ANOVA and multiple comparison based on these two averages of</w:t>
      </w:r>
      <w:r w:rsidR="00072843" w:rsidRPr="006C203C">
        <w:t xml:space="preserve"> all participants </w:t>
      </w:r>
      <w:r w:rsidR="0000059A" w:rsidRPr="006C203C">
        <w:t>who passes at least two out of three comprehension questions</w:t>
      </w:r>
      <w:r w:rsidRPr="006C203C">
        <w:t>. Two-way ANOVAs indicated a main effect of indeterministic and deterministic frames on intuitions about free will (</w:t>
      </w:r>
      <w:r w:rsidRPr="006C203C">
        <w:rPr>
          <w:i/>
        </w:rPr>
        <w:t>F</w:t>
      </w:r>
      <w:r w:rsidRPr="006C203C">
        <w:t xml:space="preserve">(1, </w:t>
      </w:r>
      <w:r w:rsidR="00D62128" w:rsidRPr="006C203C">
        <w:t>242</w:t>
      </w:r>
      <w:r w:rsidRPr="006C203C">
        <w:t xml:space="preserve">) = </w:t>
      </w:r>
      <w:r w:rsidR="00EB77A8" w:rsidRPr="006C203C">
        <w:t>442.82</w:t>
      </w:r>
      <w:r w:rsidRPr="006C203C">
        <w:t xml:space="preserve">, </w:t>
      </w:r>
      <w:r w:rsidRPr="006C203C">
        <w:rPr>
          <w:i/>
        </w:rPr>
        <w:t>p</w:t>
      </w:r>
      <w:r w:rsidRPr="006C203C">
        <w:t xml:space="preserve"> &lt; 0.001</w:t>
      </w:r>
      <w:r w:rsidR="00BB5800"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=0.64</m:t>
        </m:r>
      </m:oMath>
      <w:r w:rsidRPr="006C203C">
        <w:t>) and intuitions about moral responsibility (</w:t>
      </w:r>
      <w:r w:rsidRPr="006C203C">
        <w:rPr>
          <w:i/>
        </w:rPr>
        <w:t>F</w:t>
      </w:r>
      <w:r w:rsidRPr="006C203C">
        <w:t xml:space="preserve">(1, </w:t>
      </w:r>
      <w:r w:rsidR="00D62128" w:rsidRPr="006C203C">
        <w:t>242</w:t>
      </w:r>
      <w:r w:rsidRPr="006C203C">
        <w:t xml:space="preserve">) = </w:t>
      </w:r>
      <w:r w:rsidR="00D62128" w:rsidRPr="006C203C">
        <w:t>235.09</w:t>
      </w:r>
      <w:r w:rsidRPr="006C203C">
        <w:t xml:space="preserve">, </w:t>
      </w:r>
      <w:r w:rsidRPr="006C203C">
        <w:rPr>
          <w:i/>
        </w:rPr>
        <w:t>p</w:t>
      </w:r>
      <w:r w:rsidRPr="006C203C">
        <w:t xml:space="preserve"> &lt; 0.001</w:t>
      </w:r>
      <w:r w:rsidR="00BB5800"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=0.47</m:t>
        </m:r>
      </m:oMath>
      <w:r w:rsidRPr="006C203C">
        <w:t>)</w:t>
      </w:r>
      <w:r w:rsidR="008A0A80" w:rsidRPr="006C203C">
        <w:t xml:space="preserve"> (Figure 3)</w:t>
      </w:r>
      <w:r w:rsidRPr="006C203C">
        <w:t>. We did find a main effect of self and other perspectives on intuitions about moral responsibility (</w:t>
      </w:r>
      <w:r w:rsidRPr="006C203C">
        <w:rPr>
          <w:i/>
        </w:rPr>
        <w:t>F</w:t>
      </w:r>
      <w:r w:rsidRPr="006C203C">
        <w:t xml:space="preserve">(1, </w:t>
      </w:r>
      <w:r w:rsidR="00D62128" w:rsidRPr="006C203C">
        <w:t>242</w:t>
      </w:r>
      <w:r w:rsidRPr="006C203C">
        <w:t xml:space="preserve">) = </w:t>
      </w:r>
      <w:r w:rsidR="00D62128" w:rsidRPr="006C203C">
        <w:t>13.19</w:t>
      </w:r>
      <w:r w:rsidRPr="006C203C">
        <w:t xml:space="preserve">, </w:t>
      </w:r>
      <w:r w:rsidRPr="006C203C">
        <w:rPr>
          <w:i/>
        </w:rPr>
        <w:t>p</w:t>
      </w:r>
      <w:r w:rsidRPr="006C203C">
        <w:t xml:space="preserve"> &lt; 0.001</w:t>
      </w:r>
      <w:r w:rsidR="00BB5800"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=0.026</m:t>
        </m:r>
      </m:oMath>
      <w:r w:rsidRPr="006C203C">
        <w:t>) but not on intuitions about free will (</w:t>
      </w:r>
      <w:r w:rsidRPr="006C203C">
        <w:rPr>
          <w:i/>
        </w:rPr>
        <w:t>F</w:t>
      </w:r>
      <w:r w:rsidRPr="006C203C">
        <w:t xml:space="preserve">(1, </w:t>
      </w:r>
      <w:r w:rsidR="00D62128" w:rsidRPr="006C203C">
        <w:t>242</w:t>
      </w:r>
      <w:r w:rsidRPr="006C203C">
        <w:t xml:space="preserve">) = </w:t>
      </w:r>
      <w:r w:rsidR="00EB77A8" w:rsidRPr="006C203C">
        <w:t>0.53</w:t>
      </w:r>
      <w:r w:rsidRPr="006C203C">
        <w:t xml:space="preserve">, </w:t>
      </w:r>
      <w:r w:rsidRPr="006C203C">
        <w:rPr>
          <w:i/>
        </w:rPr>
        <w:t>p</w:t>
      </w:r>
      <w:r w:rsidRPr="006C203C">
        <w:t xml:space="preserve"> = 0.</w:t>
      </w:r>
      <w:r w:rsidR="00EB77A8" w:rsidRPr="006C203C">
        <w:t>47</w:t>
      </w:r>
      <w:r w:rsidRPr="006C203C">
        <w:t xml:space="preserve">). We found </w:t>
      </w:r>
      <w:r w:rsidR="00EB77A8" w:rsidRPr="006C203C">
        <w:t>significant</w:t>
      </w:r>
      <w:r w:rsidRPr="006C203C">
        <w:t xml:space="preserve"> interaction between these two factors on free will (</w:t>
      </w:r>
      <w:r w:rsidRPr="006C203C">
        <w:rPr>
          <w:i/>
        </w:rPr>
        <w:t>F</w:t>
      </w:r>
      <w:r w:rsidRPr="006C203C">
        <w:t xml:space="preserve">(1, </w:t>
      </w:r>
      <w:r w:rsidR="00D62128" w:rsidRPr="006C203C">
        <w:t>242</w:t>
      </w:r>
      <w:r w:rsidRPr="006C203C">
        <w:t xml:space="preserve">) = </w:t>
      </w:r>
      <w:r w:rsidR="00EB77A8" w:rsidRPr="006C203C">
        <w:t>4.16</w:t>
      </w:r>
      <w:r w:rsidRPr="006C203C">
        <w:t xml:space="preserve">, </w:t>
      </w:r>
      <w:r w:rsidRPr="006C203C">
        <w:rPr>
          <w:i/>
        </w:rPr>
        <w:t>p</w:t>
      </w:r>
      <w:r w:rsidRPr="006C203C">
        <w:t xml:space="preserve"> = 0.0</w:t>
      </w:r>
      <w:r w:rsidR="00EB77A8" w:rsidRPr="006C203C">
        <w:t>43</w:t>
      </w:r>
      <w:r w:rsidR="0065041A" w:rsidRPr="006C203C">
        <w:t>,</w:t>
      </w:r>
      <m:oMath>
        <m:r>
          <w:rPr>
            <w:rFonts w:ascii="Cambria Math" w:hAnsi="Cambria Math"/>
          </w:rPr>
          <m:t xml:space="preserve"> </m:t>
        </m:r>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=0.006</m:t>
        </m:r>
      </m:oMath>
      <w:r w:rsidRPr="006C203C">
        <w:t>) and moral responsibility (</w:t>
      </w:r>
      <w:r w:rsidRPr="006C203C">
        <w:rPr>
          <w:i/>
        </w:rPr>
        <w:t>F</w:t>
      </w:r>
      <w:r w:rsidRPr="006C203C">
        <w:t xml:space="preserve">(1, </w:t>
      </w:r>
      <w:r w:rsidR="00D62128" w:rsidRPr="006C203C">
        <w:t>242</w:t>
      </w:r>
      <w:r w:rsidRPr="006C203C">
        <w:t xml:space="preserve">) = </w:t>
      </w:r>
      <w:r w:rsidR="00D62128" w:rsidRPr="006C203C">
        <w:t>10.33</w:t>
      </w:r>
      <w:r w:rsidRPr="006C203C">
        <w:t xml:space="preserve">, </w:t>
      </w:r>
      <w:r w:rsidRPr="006C203C">
        <w:rPr>
          <w:i/>
        </w:rPr>
        <w:t>p</w:t>
      </w:r>
      <w:r w:rsidRPr="006C203C">
        <w:t xml:space="preserve"> = 0.00</w:t>
      </w:r>
      <w:r w:rsidR="00D62128" w:rsidRPr="006C203C">
        <w:t>15</w:t>
      </w:r>
      <w:r w:rsidR="0065041A" w:rsidRPr="006C203C">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=0.021</m:t>
        </m:r>
      </m:oMath>
      <w:r w:rsidRPr="006C203C">
        <w:t xml:space="preserve">). </w:t>
      </w:r>
      <w:r w:rsidR="00BC1E57" w:rsidRPr="006C203C">
        <w:t xml:space="preserve">Results were similar when all subjects were included (see </w:t>
      </w:r>
      <w:r w:rsidR="00DA52FA" w:rsidRPr="006C203C">
        <w:t xml:space="preserve">Section </w:t>
      </w:r>
      <w:r w:rsidR="00EB77A8" w:rsidRPr="006C203C">
        <w:t>5</w:t>
      </w:r>
      <w:r w:rsidR="00BC1E57" w:rsidRPr="006C203C">
        <w:t xml:space="preserve"> in </w:t>
      </w:r>
      <w:r w:rsidR="00B005A9" w:rsidRPr="006C203C">
        <w:t>Supplemental Materials</w:t>
      </w:r>
      <w:r w:rsidR="00BC1E57" w:rsidRPr="006C203C">
        <w:t>).</w:t>
      </w:r>
    </w:p>
    <w:p w14:paraId="29244CAF" w14:textId="5DA08AEF" w:rsidR="005F3F06" w:rsidRPr="006C203C" w:rsidRDefault="00E80AE2" w:rsidP="00E80AE2">
      <w:pPr>
        <w:spacing w:line="480" w:lineRule="auto"/>
        <w:jc w:val="both"/>
      </w:pPr>
      <w:r w:rsidRPr="006C203C">
        <w:tab/>
        <w:t>We performed multiple comparison on indeterministic/deterministic frames and self/other perspectives across conditions corrected by Dunn and Sidák's approach. Regarding intuition about free will, four pairs were significantly different from each other (</w:t>
      </w:r>
      <w:r w:rsidRPr="006C203C">
        <w:rPr>
          <w:i/>
        </w:rPr>
        <w:t>p</w:t>
      </w:r>
      <w:r w:rsidRPr="006C203C">
        <w:t xml:space="preserve"> &lt; 0.001) but not the pair of Indeterministic-Other and Indeterministic-Self conditions (</w:t>
      </w:r>
      <w:r w:rsidRPr="006C203C">
        <w:rPr>
          <w:i/>
        </w:rPr>
        <w:t>p</w:t>
      </w:r>
      <w:r w:rsidRPr="006C203C">
        <w:t xml:space="preserve"> = </w:t>
      </w:r>
      <w:r w:rsidR="00A703A1" w:rsidRPr="006C203C">
        <w:t>0.93</w:t>
      </w:r>
      <w:r w:rsidRPr="006C203C">
        <w:t xml:space="preserve">) or the pair of </w:t>
      </w:r>
      <w:r w:rsidR="00606027" w:rsidRPr="006C203C">
        <w:t>Deterministic</w:t>
      </w:r>
      <w:r w:rsidRPr="006C203C">
        <w:t>-Other and Deterministic-Self conditions (</w:t>
      </w:r>
      <w:r w:rsidRPr="006C203C">
        <w:rPr>
          <w:i/>
        </w:rPr>
        <w:t>p</w:t>
      </w:r>
      <w:r w:rsidRPr="006C203C">
        <w:t xml:space="preserve"> = 0.</w:t>
      </w:r>
      <w:r w:rsidR="00A703A1" w:rsidRPr="006C203C">
        <w:t>27</w:t>
      </w:r>
      <w:r w:rsidRPr="006C203C">
        <w:t xml:space="preserve">). </w:t>
      </w:r>
      <w:r w:rsidR="005F3F06" w:rsidRPr="006C203C">
        <w:t>Specifically,</w:t>
      </w:r>
      <w:r w:rsidR="00B41578" w:rsidRPr="006C203C">
        <w:t xml:space="preserve"> attributions of free will to</w:t>
      </w:r>
      <w:r w:rsidR="005F3F06" w:rsidRPr="006C203C">
        <w:t xml:space="preserve"> the protagonists in indeterministic conditions were </w:t>
      </w:r>
      <w:r w:rsidR="00B41578" w:rsidRPr="006C203C">
        <w:t xml:space="preserve">lower </w:t>
      </w:r>
      <w:r w:rsidR="005F3F06" w:rsidRPr="006C203C">
        <w:t xml:space="preserve">than those in deterministic conditions (see Table 3 for more details). Similarly, we found the same results about moral responsibility. Five </w:t>
      </w:r>
      <w:r w:rsidR="005F3F06" w:rsidRPr="006C203C">
        <w:lastRenderedPageBreak/>
        <w:t>pairs were significantly different from each other (</w:t>
      </w:r>
      <w:r w:rsidR="005F3F06" w:rsidRPr="006C203C">
        <w:rPr>
          <w:i/>
        </w:rPr>
        <w:t>p</w:t>
      </w:r>
      <w:r w:rsidR="005F3F06" w:rsidRPr="006C203C">
        <w:t xml:space="preserve"> &lt; 0.001) but not the pair of Indeterministic-Other and Indeterministic-Self conditions (</w:t>
      </w:r>
      <w:r w:rsidR="005F3F06" w:rsidRPr="006C203C">
        <w:rPr>
          <w:i/>
        </w:rPr>
        <w:t>p</w:t>
      </w:r>
      <w:r w:rsidR="005F3F06" w:rsidRPr="006C203C">
        <w:t xml:space="preserve"> = 1.00). Overall, the protagonists in indeterministic conditions were perceived to have more moral responsibility than those in deterministic conditions (Table 3).</w:t>
      </w:r>
      <w:r w:rsidR="00942AC2" w:rsidRPr="006C203C">
        <w:t xml:space="preserve"> Results were similar when all subjects were included (see </w:t>
      </w:r>
      <w:r w:rsidR="00DA52FA" w:rsidRPr="006C203C">
        <w:t xml:space="preserve">Section </w:t>
      </w:r>
      <w:r w:rsidR="00A703A1" w:rsidRPr="006C203C">
        <w:t>5</w:t>
      </w:r>
      <w:r w:rsidR="00942AC2" w:rsidRPr="006C203C">
        <w:t xml:space="preserve"> in </w:t>
      </w:r>
      <w:r w:rsidR="00B005A9" w:rsidRPr="006C203C">
        <w:t>Supplemental Materials</w:t>
      </w:r>
      <w:r w:rsidR="00942AC2" w:rsidRPr="006C203C">
        <w:t>).</w:t>
      </w:r>
    </w:p>
    <w:p w14:paraId="64ABFDBD" w14:textId="0FA4BF16" w:rsidR="00E80AE2" w:rsidRPr="006C203C" w:rsidRDefault="00A37133" w:rsidP="00E80AE2">
      <w:pPr>
        <w:spacing w:line="480" w:lineRule="auto"/>
        <w:jc w:val="center"/>
      </w:pPr>
      <w:r w:rsidRPr="006C203C">
        <w:rPr>
          <w:noProof/>
        </w:rPr>
        <w:drawing>
          <wp:inline distT="0" distB="0" distL="0" distR="0" wp14:anchorId="3E4357E7" wp14:editId="2A4BBB5B">
            <wp:extent cx="5943600" cy="30568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IDvsimND_freewill_results_02162019_1.ai"/>
                    <pic:cNvPicPr/>
                  </pic:nvPicPr>
                  <pic:blipFill>
                    <a:blip r:embed="rId11">
                      <a:extLst>
                        <a:ext uri="{28A0092B-C50C-407E-A947-70E740481C1C}">
                          <a14:useLocalDpi xmlns:a14="http://schemas.microsoft.com/office/drawing/2010/main" val="0"/>
                        </a:ext>
                      </a:extLst>
                    </a:blip>
                    <a:stretch>
                      <a:fillRect/>
                    </a:stretch>
                  </pic:blipFill>
                  <pic:spPr>
                    <a:xfrm>
                      <a:off x="0" y="0"/>
                      <a:ext cx="5943600" cy="3056890"/>
                    </a:xfrm>
                    <a:prstGeom prst="rect">
                      <a:avLst/>
                    </a:prstGeom>
                  </pic:spPr>
                </pic:pic>
              </a:graphicData>
            </a:graphic>
          </wp:inline>
        </w:drawing>
      </w:r>
    </w:p>
    <w:p w14:paraId="35323618" w14:textId="237DFB13" w:rsidR="00E80AE2" w:rsidRPr="006C203C" w:rsidRDefault="00E80AE2" w:rsidP="000A7101">
      <w:pPr>
        <w:spacing w:line="480" w:lineRule="auto"/>
      </w:pPr>
      <w:r w:rsidRPr="006C203C">
        <w:t>Figure 3.</w:t>
      </w:r>
      <w:r w:rsidR="000A7101" w:rsidRPr="006C203C">
        <w:t xml:space="preserve"> Aggregated free will and moral responsibility ratings. Error bars indicate the standard error from the mean. </w:t>
      </w:r>
      <w:r w:rsidR="00A62CCC" w:rsidRPr="006C203C">
        <w:t>im</w:t>
      </w:r>
      <w:r w:rsidR="000A7101" w:rsidRPr="006C203C">
        <w:t xml:space="preserve">ID: </w:t>
      </w:r>
      <w:r w:rsidR="00A62CCC" w:rsidRPr="006C203C">
        <w:t xml:space="preserve">immoral </w:t>
      </w:r>
      <w:r w:rsidR="000A7101" w:rsidRPr="006C203C">
        <w:t xml:space="preserve">indeterministic; </w:t>
      </w:r>
      <w:r w:rsidR="00A62CCC" w:rsidRPr="006C203C">
        <w:t>im</w:t>
      </w:r>
      <w:r w:rsidR="000A7101" w:rsidRPr="006C203C">
        <w:t xml:space="preserve">ND: </w:t>
      </w:r>
      <w:r w:rsidR="00A62CCC" w:rsidRPr="006C203C">
        <w:t xml:space="preserve">immoral </w:t>
      </w:r>
      <w:r w:rsidR="000A7101" w:rsidRPr="006C203C">
        <w:t>neurodeterministic; O: other or the third-person perspective; S: self or the first-person perspective.</w:t>
      </w:r>
      <w:r w:rsidR="008E4137" w:rsidRPr="006C203C">
        <w:t xml:space="preserve"> Note: n.s. not significant; *** </w:t>
      </w:r>
      <w:r w:rsidR="008E4137" w:rsidRPr="006C203C">
        <w:rPr>
          <w:i/>
        </w:rPr>
        <w:t xml:space="preserve">p </w:t>
      </w:r>
      <w:r w:rsidR="008E4137" w:rsidRPr="006C203C">
        <w:t>&lt; 0.001.</w:t>
      </w:r>
    </w:p>
    <w:p w14:paraId="2E2457A5" w14:textId="77777777" w:rsidR="000660B7" w:rsidRPr="006C203C" w:rsidRDefault="000660B7" w:rsidP="000A7101">
      <w:pPr>
        <w:spacing w:line="480" w:lineRule="auto"/>
      </w:pPr>
    </w:p>
    <w:p w14:paraId="62B77158" w14:textId="2F45E427" w:rsidR="005F3F06" w:rsidRPr="006C203C" w:rsidRDefault="005F3F06" w:rsidP="005F3F06">
      <w:pPr>
        <w:spacing w:line="480" w:lineRule="auto"/>
        <w:jc w:val="center"/>
      </w:pPr>
      <w:r w:rsidRPr="006C203C">
        <w:t>Table 3.  Statistics of free will and moral responsibility 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776"/>
        <w:gridCol w:w="1776"/>
        <w:gridCol w:w="1776"/>
        <w:gridCol w:w="1777"/>
      </w:tblGrid>
      <w:tr w:rsidR="005F3F06" w:rsidRPr="006C203C" w14:paraId="77F0F5E9" w14:textId="77777777" w:rsidTr="0068030B">
        <w:tc>
          <w:tcPr>
            <w:tcW w:w="2245" w:type="dxa"/>
            <w:tcBorders>
              <w:top w:val="single" w:sz="12" w:space="0" w:color="auto"/>
              <w:bottom w:val="single" w:sz="12" w:space="0" w:color="auto"/>
            </w:tcBorders>
            <w:vAlign w:val="center"/>
          </w:tcPr>
          <w:p w14:paraId="32842B6A" w14:textId="77777777" w:rsidR="005F3F06" w:rsidRPr="006C203C" w:rsidRDefault="005F3F06" w:rsidP="000F35F1">
            <w:pPr>
              <w:jc w:val="center"/>
            </w:pPr>
          </w:p>
        </w:tc>
        <w:tc>
          <w:tcPr>
            <w:tcW w:w="1776" w:type="dxa"/>
            <w:tcBorders>
              <w:top w:val="single" w:sz="12" w:space="0" w:color="auto"/>
              <w:bottom w:val="single" w:sz="12" w:space="0" w:color="auto"/>
            </w:tcBorders>
            <w:vAlign w:val="center"/>
          </w:tcPr>
          <w:p w14:paraId="1382514F" w14:textId="4583BD0D" w:rsidR="005F3F06" w:rsidRPr="006C203C" w:rsidRDefault="00582753" w:rsidP="000F35F1">
            <w:pPr>
              <w:jc w:val="center"/>
            </w:pPr>
            <w:r w:rsidRPr="006C203C">
              <w:t>im</w:t>
            </w:r>
            <w:r w:rsidR="005F3F06" w:rsidRPr="006C203C">
              <w:t>ID-Other</w:t>
            </w:r>
          </w:p>
        </w:tc>
        <w:tc>
          <w:tcPr>
            <w:tcW w:w="1776" w:type="dxa"/>
            <w:tcBorders>
              <w:top w:val="single" w:sz="12" w:space="0" w:color="auto"/>
              <w:bottom w:val="single" w:sz="12" w:space="0" w:color="auto"/>
            </w:tcBorders>
            <w:vAlign w:val="center"/>
          </w:tcPr>
          <w:p w14:paraId="09760856" w14:textId="215E5108" w:rsidR="005F3F06" w:rsidRPr="006C203C" w:rsidRDefault="00582753" w:rsidP="000F35F1">
            <w:pPr>
              <w:jc w:val="center"/>
            </w:pPr>
            <w:r w:rsidRPr="006C203C">
              <w:t>imN</w:t>
            </w:r>
            <w:r w:rsidR="005F3F06" w:rsidRPr="006C203C">
              <w:t>D-Other</w:t>
            </w:r>
          </w:p>
        </w:tc>
        <w:tc>
          <w:tcPr>
            <w:tcW w:w="1776" w:type="dxa"/>
            <w:tcBorders>
              <w:top w:val="single" w:sz="12" w:space="0" w:color="auto"/>
              <w:bottom w:val="single" w:sz="12" w:space="0" w:color="auto"/>
            </w:tcBorders>
            <w:vAlign w:val="center"/>
          </w:tcPr>
          <w:p w14:paraId="102A8D68" w14:textId="7B0DCF21" w:rsidR="005F3F06" w:rsidRPr="006C203C" w:rsidRDefault="00582753" w:rsidP="000F35F1">
            <w:pPr>
              <w:jc w:val="center"/>
            </w:pPr>
            <w:r w:rsidRPr="006C203C">
              <w:t>im</w:t>
            </w:r>
            <w:r w:rsidR="005F3F06" w:rsidRPr="006C203C">
              <w:t>ID-Self</w:t>
            </w:r>
          </w:p>
        </w:tc>
        <w:tc>
          <w:tcPr>
            <w:tcW w:w="1777" w:type="dxa"/>
            <w:tcBorders>
              <w:top w:val="single" w:sz="12" w:space="0" w:color="auto"/>
              <w:bottom w:val="single" w:sz="12" w:space="0" w:color="auto"/>
            </w:tcBorders>
            <w:vAlign w:val="center"/>
          </w:tcPr>
          <w:p w14:paraId="4B7F912B" w14:textId="73E9F8C1" w:rsidR="005F3F06" w:rsidRPr="006C203C" w:rsidRDefault="00582753" w:rsidP="000F35F1">
            <w:pPr>
              <w:jc w:val="center"/>
            </w:pPr>
            <w:r w:rsidRPr="006C203C">
              <w:t>imN</w:t>
            </w:r>
            <w:r w:rsidR="005F3F06" w:rsidRPr="006C203C">
              <w:t>D-Self</w:t>
            </w:r>
          </w:p>
        </w:tc>
      </w:tr>
      <w:tr w:rsidR="005F3F06" w:rsidRPr="006C203C" w14:paraId="625A60C2" w14:textId="77777777" w:rsidTr="0068030B">
        <w:tc>
          <w:tcPr>
            <w:tcW w:w="2245" w:type="dxa"/>
            <w:tcBorders>
              <w:top w:val="single" w:sz="12" w:space="0" w:color="auto"/>
            </w:tcBorders>
            <w:vAlign w:val="center"/>
          </w:tcPr>
          <w:p w14:paraId="7216DCEF" w14:textId="77777777" w:rsidR="005F3F06" w:rsidRPr="006C203C" w:rsidRDefault="005F3F06" w:rsidP="000F35F1">
            <w:pPr>
              <w:jc w:val="center"/>
            </w:pPr>
            <w:r w:rsidRPr="006C203C">
              <w:t>Free will</w:t>
            </w:r>
          </w:p>
        </w:tc>
        <w:tc>
          <w:tcPr>
            <w:tcW w:w="1776" w:type="dxa"/>
            <w:tcBorders>
              <w:top w:val="single" w:sz="12" w:space="0" w:color="auto"/>
            </w:tcBorders>
            <w:vAlign w:val="center"/>
          </w:tcPr>
          <w:p w14:paraId="7226AF3D" w14:textId="42A1B0D8" w:rsidR="005F3F06" w:rsidRPr="006C203C" w:rsidRDefault="00E56F0F" w:rsidP="000F35F1">
            <w:pPr>
              <w:jc w:val="center"/>
            </w:pPr>
            <w:r w:rsidRPr="006C203C">
              <w:t>6.03</w:t>
            </w:r>
            <m:oMath>
              <m:r>
                <w:rPr>
                  <w:rFonts w:ascii="Cambria Math" w:hAnsi="Cambria Math"/>
                </w:rPr>
                <m:t>±</m:t>
              </m:r>
            </m:oMath>
            <w:r w:rsidR="005F3F06" w:rsidRPr="006C203C">
              <w:t>0.</w:t>
            </w:r>
            <w:r w:rsidRPr="006C203C">
              <w:t>94</w:t>
            </w:r>
          </w:p>
        </w:tc>
        <w:tc>
          <w:tcPr>
            <w:tcW w:w="1776" w:type="dxa"/>
            <w:tcBorders>
              <w:top w:val="single" w:sz="12" w:space="0" w:color="auto"/>
            </w:tcBorders>
            <w:vAlign w:val="center"/>
          </w:tcPr>
          <w:p w14:paraId="511D9F16" w14:textId="6DE2C3DA" w:rsidR="005F3F06" w:rsidRPr="006C203C" w:rsidRDefault="00E56F0F" w:rsidP="000F35F1">
            <w:pPr>
              <w:jc w:val="center"/>
            </w:pPr>
            <w:r w:rsidRPr="006C203C">
              <w:t>3.30</w:t>
            </w:r>
            <m:oMath>
              <m:r>
                <w:rPr>
                  <w:rFonts w:ascii="Cambria Math" w:hAnsi="Cambria Math"/>
                </w:rPr>
                <m:t>±1.49</m:t>
              </m:r>
            </m:oMath>
          </w:p>
        </w:tc>
        <w:tc>
          <w:tcPr>
            <w:tcW w:w="1776" w:type="dxa"/>
            <w:tcBorders>
              <w:top w:val="single" w:sz="12" w:space="0" w:color="auto"/>
            </w:tcBorders>
            <w:vAlign w:val="center"/>
          </w:tcPr>
          <w:p w14:paraId="786CE66E" w14:textId="754EB8C7" w:rsidR="005F3F06" w:rsidRPr="006C203C" w:rsidRDefault="00E56F0F" w:rsidP="000F35F1">
            <w:pPr>
              <w:jc w:val="center"/>
            </w:pPr>
            <w:r w:rsidRPr="006C203C">
              <w:t>6</w:t>
            </w:r>
            <w:r w:rsidR="005F3F06" w:rsidRPr="006C203C">
              <w:t>.22</w:t>
            </w:r>
            <m:oMath>
              <m:r>
                <w:rPr>
                  <w:rFonts w:ascii="Cambria Math" w:hAnsi="Cambria Math"/>
                </w:rPr>
                <m:t>±</m:t>
              </m:r>
            </m:oMath>
            <w:r w:rsidR="005F3F06" w:rsidRPr="006C203C">
              <w:t>0.</w:t>
            </w:r>
            <w:r w:rsidRPr="006C203C">
              <w:t>79</w:t>
            </w:r>
          </w:p>
        </w:tc>
        <w:tc>
          <w:tcPr>
            <w:tcW w:w="1777" w:type="dxa"/>
            <w:tcBorders>
              <w:top w:val="single" w:sz="12" w:space="0" w:color="auto"/>
            </w:tcBorders>
            <w:vAlign w:val="center"/>
          </w:tcPr>
          <w:p w14:paraId="04D10931" w14:textId="25A423B2" w:rsidR="005F3F06" w:rsidRPr="006C203C" w:rsidRDefault="00E56F0F" w:rsidP="000F35F1">
            <w:pPr>
              <w:jc w:val="center"/>
            </w:pPr>
            <w:r w:rsidRPr="006C203C">
              <w:t>2.90</w:t>
            </w:r>
            <m:oMath>
              <m:r>
                <w:rPr>
                  <w:rFonts w:ascii="Cambria Math" w:hAnsi="Cambria Math"/>
                </w:rPr>
                <m:t>±</m:t>
              </m:r>
            </m:oMath>
            <w:r w:rsidRPr="006C203C">
              <w:t>1.14</w:t>
            </w:r>
          </w:p>
        </w:tc>
      </w:tr>
      <w:tr w:rsidR="005F3F06" w:rsidRPr="006C203C" w14:paraId="3696B129" w14:textId="77777777" w:rsidTr="00943769">
        <w:tc>
          <w:tcPr>
            <w:tcW w:w="2245" w:type="dxa"/>
            <w:tcBorders>
              <w:bottom w:val="single" w:sz="12" w:space="0" w:color="auto"/>
            </w:tcBorders>
            <w:vAlign w:val="center"/>
          </w:tcPr>
          <w:p w14:paraId="403EE903" w14:textId="77777777" w:rsidR="005F3F06" w:rsidRPr="006C203C" w:rsidRDefault="005F3F06" w:rsidP="000F35F1">
            <w:pPr>
              <w:jc w:val="center"/>
            </w:pPr>
            <w:r w:rsidRPr="006C203C">
              <w:t>Moral responsibility</w:t>
            </w:r>
          </w:p>
        </w:tc>
        <w:tc>
          <w:tcPr>
            <w:tcW w:w="1776" w:type="dxa"/>
            <w:tcBorders>
              <w:bottom w:val="single" w:sz="12" w:space="0" w:color="auto"/>
            </w:tcBorders>
            <w:vAlign w:val="center"/>
          </w:tcPr>
          <w:p w14:paraId="487DFF91" w14:textId="73BC9B4E" w:rsidR="005F3F06" w:rsidRPr="006C203C" w:rsidRDefault="005F3F06" w:rsidP="000F35F1">
            <w:pPr>
              <w:jc w:val="center"/>
            </w:pPr>
            <w:r w:rsidRPr="006C203C">
              <w:t>6.39</w:t>
            </w:r>
            <m:oMath>
              <m:r>
                <w:rPr>
                  <w:rFonts w:ascii="Cambria Math" w:hAnsi="Cambria Math"/>
                </w:rPr>
                <m:t>±</m:t>
              </m:r>
            </m:oMath>
            <w:r w:rsidRPr="006C203C">
              <w:t>0.78</w:t>
            </w:r>
          </w:p>
        </w:tc>
        <w:tc>
          <w:tcPr>
            <w:tcW w:w="1776" w:type="dxa"/>
            <w:tcBorders>
              <w:bottom w:val="single" w:sz="12" w:space="0" w:color="auto"/>
            </w:tcBorders>
            <w:vAlign w:val="center"/>
          </w:tcPr>
          <w:p w14:paraId="24C23199" w14:textId="30363B01" w:rsidR="005F3F06" w:rsidRPr="006C203C" w:rsidRDefault="005F3F06" w:rsidP="000F35F1">
            <w:pPr>
              <w:jc w:val="center"/>
            </w:pPr>
            <w:r w:rsidRPr="006C203C">
              <w:t>4.60</w:t>
            </w:r>
            <m:oMath>
              <m:r>
                <w:rPr>
                  <w:rFonts w:ascii="Cambria Math" w:hAnsi="Cambria Math"/>
                </w:rPr>
                <m:t>±</m:t>
              </m:r>
            </m:oMath>
            <w:r w:rsidRPr="006C203C">
              <w:t>1.36</w:t>
            </w:r>
          </w:p>
        </w:tc>
        <w:tc>
          <w:tcPr>
            <w:tcW w:w="1776" w:type="dxa"/>
            <w:tcBorders>
              <w:bottom w:val="single" w:sz="12" w:space="0" w:color="auto"/>
            </w:tcBorders>
            <w:vAlign w:val="center"/>
          </w:tcPr>
          <w:p w14:paraId="48F57ED7" w14:textId="0FAE305F" w:rsidR="005F3F06" w:rsidRPr="006C203C" w:rsidRDefault="005F3F06" w:rsidP="000F35F1">
            <w:pPr>
              <w:jc w:val="center"/>
            </w:pPr>
            <w:r w:rsidRPr="006C203C">
              <w:t>6.32</w:t>
            </w:r>
            <m:oMath>
              <m:r>
                <w:rPr>
                  <w:rFonts w:ascii="Cambria Math" w:hAnsi="Cambria Math"/>
                </w:rPr>
                <m:t>±</m:t>
              </m:r>
            </m:oMath>
            <w:r w:rsidRPr="006C203C">
              <w:t>0.83</w:t>
            </w:r>
          </w:p>
        </w:tc>
        <w:tc>
          <w:tcPr>
            <w:tcW w:w="1777" w:type="dxa"/>
            <w:tcBorders>
              <w:bottom w:val="single" w:sz="12" w:space="0" w:color="auto"/>
            </w:tcBorders>
            <w:vAlign w:val="center"/>
          </w:tcPr>
          <w:p w14:paraId="0D0FEA28" w14:textId="41E468C7" w:rsidR="005F3F06" w:rsidRPr="006C203C" w:rsidRDefault="005F3F06" w:rsidP="000F35F1">
            <w:pPr>
              <w:jc w:val="center"/>
            </w:pPr>
            <w:r w:rsidRPr="006C203C">
              <w:t>3.58</w:t>
            </w:r>
            <m:oMath>
              <m:r>
                <w:rPr>
                  <w:rFonts w:ascii="Cambria Math" w:hAnsi="Cambria Math"/>
                </w:rPr>
                <m:t>±</m:t>
              </m:r>
            </m:oMath>
            <w:r w:rsidRPr="006C203C">
              <w:t>1.49</w:t>
            </w:r>
          </w:p>
        </w:tc>
      </w:tr>
    </w:tbl>
    <w:p w14:paraId="4E174750" w14:textId="77777777" w:rsidR="005F3F06" w:rsidRPr="006C203C" w:rsidRDefault="005F3F06" w:rsidP="005F3F06">
      <w:pPr>
        <w:spacing w:line="480" w:lineRule="auto"/>
      </w:pPr>
      <w:r w:rsidRPr="006C203C">
        <w:t xml:space="preserve">Note: each cell is denoted in Mean </w:t>
      </w:r>
      <m:oMath>
        <m:r>
          <w:rPr>
            <w:rFonts w:ascii="Cambria Math" w:hAnsi="Cambria Math"/>
          </w:rPr>
          <m:t>±</m:t>
        </m:r>
      </m:oMath>
      <w:r w:rsidRPr="006C203C">
        <w:t xml:space="preserve"> SD (standard deviation).</w:t>
      </w:r>
    </w:p>
    <w:p w14:paraId="10054929" w14:textId="77777777" w:rsidR="00DA52FA" w:rsidRPr="006C203C" w:rsidRDefault="00DA52FA" w:rsidP="00DA52FA">
      <w:pPr>
        <w:spacing w:line="480" w:lineRule="auto"/>
      </w:pPr>
    </w:p>
    <w:p w14:paraId="1557C1EE" w14:textId="7E6BE1D5" w:rsidR="005F3F06" w:rsidRPr="006C203C" w:rsidRDefault="005F3F06" w:rsidP="00B41578">
      <w:pPr>
        <w:spacing w:line="480" w:lineRule="auto"/>
        <w:jc w:val="both"/>
      </w:pPr>
      <w:r w:rsidRPr="006C203C">
        <w:lastRenderedPageBreak/>
        <w:t xml:space="preserve">Furthermore, we </w:t>
      </w:r>
      <w:r w:rsidR="003A7B46">
        <w:t xml:space="preserve">once again found that </w:t>
      </w:r>
      <w:r w:rsidR="00DB125B" w:rsidRPr="006C203C">
        <w:t xml:space="preserve">attributions </w:t>
      </w:r>
      <w:r w:rsidR="003A7B46">
        <w:t>of</w:t>
      </w:r>
      <w:r w:rsidR="00DB125B" w:rsidRPr="006C203C">
        <w:t xml:space="preserve"> moral responsibility were higher than attributions of free will </w:t>
      </w:r>
      <w:r w:rsidRPr="006C203C">
        <w:t xml:space="preserve">across </w:t>
      </w:r>
      <w:r w:rsidR="00DB125B" w:rsidRPr="006C203C">
        <w:t xml:space="preserve">all </w:t>
      </w:r>
      <w:r w:rsidRPr="006C203C">
        <w:t>conditions (</w:t>
      </w:r>
      <w:r w:rsidRPr="006C203C">
        <w:rPr>
          <w:i/>
        </w:rPr>
        <w:t>t</w:t>
      </w:r>
      <w:r w:rsidRPr="006C203C">
        <w:t>(490)=-</w:t>
      </w:r>
      <w:r w:rsidR="00AC39E5" w:rsidRPr="006C203C">
        <w:t>3</w:t>
      </w:r>
      <w:r w:rsidRPr="006C203C">
        <w:t>.</w:t>
      </w:r>
      <w:r w:rsidR="00AC39E5" w:rsidRPr="006C203C">
        <w:t>87</w:t>
      </w:r>
      <w:r w:rsidRPr="006C203C">
        <w:t xml:space="preserve">, </w:t>
      </w:r>
      <w:r w:rsidRPr="006C203C">
        <w:rPr>
          <w:i/>
        </w:rPr>
        <w:t>p</w:t>
      </w:r>
      <w:r w:rsidRPr="006C203C">
        <w:t xml:space="preserve"> &lt; 0.001</w:t>
      </w:r>
      <w:r w:rsidR="00905321" w:rsidRPr="006C203C">
        <w:t xml:space="preserve">, </w:t>
      </w:r>
      <m:oMath>
        <m:r>
          <w:rPr>
            <w:rFonts w:ascii="Cambria Math" w:hAnsi="Cambria Math"/>
          </w:rPr>
          <m:t>d=0.35</m:t>
        </m:r>
      </m:oMath>
      <w:r w:rsidRPr="006C203C">
        <w:t xml:space="preserve">). Regarding </w:t>
      </w:r>
      <w:r w:rsidR="00DB125B" w:rsidRPr="006C203C">
        <w:t xml:space="preserve">self-other </w:t>
      </w:r>
      <w:r w:rsidRPr="006C203C">
        <w:t xml:space="preserve">differences, in the </w:t>
      </w:r>
      <w:r w:rsidR="00291C54" w:rsidRPr="006C203C">
        <w:t>negatively</w:t>
      </w:r>
      <w:r w:rsidR="001D3668" w:rsidRPr="006C203C">
        <w:t xml:space="preserve"> </w:t>
      </w:r>
      <w:r w:rsidR="00291C54" w:rsidRPr="006C203C">
        <w:t>valenced neuro</w:t>
      </w:r>
      <w:r w:rsidRPr="006C203C">
        <w:t xml:space="preserve">deterministic scenario, we did not find </w:t>
      </w:r>
      <w:r w:rsidR="00B41578" w:rsidRPr="006C203C">
        <w:t xml:space="preserve">higher self-attributions of free </w:t>
      </w:r>
      <w:r w:rsidRPr="006C203C">
        <w:t>will</w:t>
      </w:r>
      <w:r w:rsidR="00B41578" w:rsidRPr="006C203C">
        <w:t xml:space="preserve"> </w:t>
      </w:r>
      <w:r w:rsidRPr="006C203C">
        <w:t>(</w:t>
      </w:r>
      <w:r w:rsidRPr="006C203C">
        <w:rPr>
          <w:i/>
        </w:rPr>
        <w:t>t</w:t>
      </w:r>
      <w:r w:rsidRPr="006C203C">
        <w:t>(121)=1.</w:t>
      </w:r>
      <w:r w:rsidR="00AC39E5" w:rsidRPr="006C203C">
        <w:t>66</w:t>
      </w:r>
      <w:r w:rsidRPr="006C203C">
        <w:t xml:space="preserve">, </w:t>
      </w:r>
      <w:r w:rsidRPr="006C203C">
        <w:rPr>
          <w:i/>
        </w:rPr>
        <w:t>p</w:t>
      </w:r>
      <w:r w:rsidRPr="006C203C">
        <w:t xml:space="preserve"> = 0.</w:t>
      </w:r>
      <w:r w:rsidR="00AC39E5" w:rsidRPr="006C203C">
        <w:t>10</w:t>
      </w:r>
      <w:r w:rsidRPr="006C203C">
        <w:t>)</w:t>
      </w:r>
      <w:r w:rsidR="003A7B46">
        <w:t>,</w:t>
      </w:r>
      <w:r w:rsidRPr="006C203C">
        <w:t xml:space="preserve"> but </w:t>
      </w:r>
      <w:r w:rsidR="00B41578" w:rsidRPr="006C203C">
        <w:t xml:space="preserve">we did find higher self-attributions of </w:t>
      </w:r>
      <w:r w:rsidRPr="006C203C">
        <w:t>responsibility</w:t>
      </w:r>
      <w:r w:rsidR="00B41578" w:rsidRPr="006C203C">
        <w:t xml:space="preserve"> </w:t>
      </w:r>
      <w:r w:rsidRPr="006C203C">
        <w:t>(</w:t>
      </w:r>
      <w:r w:rsidRPr="006C203C">
        <w:rPr>
          <w:i/>
        </w:rPr>
        <w:t>t</w:t>
      </w:r>
      <w:r w:rsidRPr="006C203C">
        <w:t xml:space="preserve">(121)=3.93, </w:t>
      </w:r>
      <w:r w:rsidRPr="006C203C">
        <w:rPr>
          <w:i/>
        </w:rPr>
        <w:t>p</w:t>
      </w:r>
      <w:r w:rsidRPr="006C203C">
        <w:t xml:space="preserve"> &lt; 0.001</w:t>
      </w:r>
      <w:r w:rsidR="001E1555" w:rsidRPr="006C203C">
        <w:t>,</w:t>
      </w:r>
      <m:oMath>
        <m:r>
          <w:rPr>
            <w:rFonts w:ascii="Cambria Math" w:hAnsi="Cambria Math"/>
          </w:rPr>
          <m:t xml:space="preserve"> d=0.71</m:t>
        </m:r>
      </m:oMath>
      <w:r w:rsidRPr="006C203C">
        <w:t>).</w:t>
      </w:r>
      <w:r w:rsidR="00291C54" w:rsidRPr="006C203C">
        <w:t xml:space="preserve"> In the negatively valenced indeterministic scenario, we did not find </w:t>
      </w:r>
      <w:r w:rsidR="00B41578" w:rsidRPr="006C203C">
        <w:t xml:space="preserve">higher self-attributions of free will </w:t>
      </w:r>
      <w:r w:rsidR="00291C54" w:rsidRPr="006C203C">
        <w:t>(</w:t>
      </w:r>
      <w:r w:rsidR="00291C54" w:rsidRPr="006C203C">
        <w:rPr>
          <w:i/>
        </w:rPr>
        <w:t>t</w:t>
      </w:r>
      <w:r w:rsidR="00291C54" w:rsidRPr="006C203C">
        <w:t>(121)=-</w:t>
      </w:r>
      <w:r w:rsidR="00AC39E5" w:rsidRPr="006C203C">
        <w:t>1.19</w:t>
      </w:r>
      <w:r w:rsidR="00291C54" w:rsidRPr="006C203C">
        <w:t xml:space="preserve">, </w:t>
      </w:r>
      <w:r w:rsidR="00291C54" w:rsidRPr="006C203C">
        <w:rPr>
          <w:i/>
        </w:rPr>
        <w:t>p</w:t>
      </w:r>
      <w:r w:rsidR="00291C54" w:rsidRPr="006C203C">
        <w:t xml:space="preserve"> = 0.</w:t>
      </w:r>
      <w:r w:rsidR="00AC39E5" w:rsidRPr="006C203C">
        <w:t>23</w:t>
      </w:r>
      <w:r w:rsidR="00291C54" w:rsidRPr="006C203C">
        <w:t xml:space="preserve">) or </w:t>
      </w:r>
      <w:r w:rsidR="00B41578" w:rsidRPr="006C203C">
        <w:t>high</w:t>
      </w:r>
      <w:r w:rsidR="00E92E16">
        <w:t>er</w:t>
      </w:r>
      <w:r w:rsidR="00B41578" w:rsidRPr="006C203C">
        <w:t xml:space="preserve"> self-attributions of </w:t>
      </w:r>
      <w:r w:rsidR="00291C54" w:rsidRPr="006C203C">
        <w:t>responsibility (</w:t>
      </w:r>
      <w:r w:rsidR="00291C54" w:rsidRPr="006C203C">
        <w:rPr>
          <w:i/>
        </w:rPr>
        <w:t>t</w:t>
      </w:r>
      <w:r w:rsidR="00291C54" w:rsidRPr="006C203C">
        <w:t xml:space="preserve">(121)=0.43, </w:t>
      </w:r>
      <w:r w:rsidR="00291C54" w:rsidRPr="006C203C">
        <w:rPr>
          <w:i/>
        </w:rPr>
        <w:t>p</w:t>
      </w:r>
      <w:r w:rsidR="00291C54" w:rsidRPr="006C203C">
        <w:t xml:space="preserve"> = 0.67)</w:t>
      </w:r>
      <w:r w:rsidR="00B41578" w:rsidRPr="006C203C">
        <w:t>.</w:t>
      </w:r>
    </w:p>
    <w:p w14:paraId="625208EA" w14:textId="1266828B" w:rsidR="00E80AE2" w:rsidRPr="006C203C" w:rsidRDefault="00C41611" w:rsidP="00E80AE2">
      <w:pPr>
        <w:spacing w:line="480" w:lineRule="auto"/>
        <w:jc w:val="both"/>
        <w:rPr>
          <w:i/>
        </w:rPr>
      </w:pPr>
      <w:r w:rsidRPr="006C203C">
        <w:rPr>
          <w:i/>
        </w:rPr>
        <w:t>3</w:t>
      </w:r>
      <w:r w:rsidR="00E80AE2" w:rsidRPr="006C203C">
        <w:rPr>
          <w:i/>
        </w:rPr>
        <w:t>.53</w:t>
      </w:r>
      <w:r w:rsidR="00343178" w:rsidRPr="006C203C">
        <w:rPr>
          <w:i/>
        </w:rPr>
        <w:t>.</w:t>
      </w:r>
      <w:r w:rsidR="00E80AE2" w:rsidRPr="006C203C">
        <w:rPr>
          <w:i/>
        </w:rPr>
        <w:t xml:space="preserve"> Discussion</w:t>
      </w:r>
    </w:p>
    <w:p w14:paraId="6EF109B0" w14:textId="739F3A75" w:rsidR="001D2137" w:rsidRPr="006C203C" w:rsidRDefault="001D2137" w:rsidP="00E80AE2">
      <w:pPr>
        <w:spacing w:line="480" w:lineRule="auto"/>
        <w:jc w:val="both"/>
      </w:pPr>
      <w:r w:rsidRPr="006C203C">
        <w:t>For Study 3, we used the same vignettes from Study 2 except for one key difference—rather than using a morally neutral action (namely, walking a dog) we used a morally charged action (namely, murdering a stranger). Given that negatively valenced vignettes have been found in the past to elicit compatibilist responses, we wanted to see if we could offset the negative affect by focusing participants attention on the difference between the unconditional and the conditional abilities to do otherwise. When it came to free will intuitions, that i</w:t>
      </w:r>
      <w:r w:rsidR="002406DB" w:rsidRPr="006C203C">
        <w:t>s</w:t>
      </w:r>
      <w:r w:rsidRPr="006C203C">
        <w:t xml:space="preserve"> precisely what we were able to do. In the indeterministic conditions, free will </w:t>
      </w:r>
      <w:r w:rsidR="007970D5">
        <w:t xml:space="preserve">ratings averaged </w:t>
      </w:r>
      <w:r w:rsidR="001675E2" w:rsidRPr="006C203C">
        <w:t xml:space="preserve">6.12. </w:t>
      </w:r>
      <w:r w:rsidRPr="006C203C">
        <w:t>In the deterministic conditions, on the other hand, the free will r</w:t>
      </w:r>
      <w:r w:rsidR="007970D5">
        <w:t>atings</w:t>
      </w:r>
      <w:r w:rsidRPr="006C203C">
        <w:t xml:space="preserve"> average</w:t>
      </w:r>
      <w:r w:rsidR="002406DB" w:rsidRPr="006C203C">
        <w:t>d</w:t>
      </w:r>
      <w:r w:rsidRPr="006C203C">
        <w:t xml:space="preserve"> 3.1—once again crossing the midpoint and once again provi</w:t>
      </w:r>
      <w:r w:rsidR="00ED5C31" w:rsidRPr="006C203C">
        <w:t>di</w:t>
      </w:r>
      <w:r w:rsidRPr="006C203C">
        <w:t>ng evidence for natural incompatibilism.</w:t>
      </w:r>
      <w:r w:rsidR="001675E2" w:rsidRPr="006C203C">
        <w:rPr>
          <w:rStyle w:val="FootnoteReference"/>
        </w:rPr>
        <w:footnoteReference w:id="23"/>
      </w:r>
      <w:r w:rsidRPr="006C203C">
        <w:t xml:space="preserve"> Perhaps unsurprisingly, intuitions about moral responsibility were stronger than free will intuitions. In the indeterministic scenarios, the </w:t>
      </w:r>
      <w:r w:rsidR="007970D5">
        <w:t xml:space="preserve">responsibility ratings averaged </w:t>
      </w:r>
      <w:r w:rsidR="001A6A8D" w:rsidRPr="006C203C">
        <w:t>6.36</w:t>
      </w:r>
      <w:r w:rsidR="007970D5">
        <w:t>, while in</w:t>
      </w:r>
      <w:r w:rsidRPr="006C203C">
        <w:t xml:space="preserve"> the deterministic scenarios, the </w:t>
      </w:r>
      <w:r w:rsidR="007970D5">
        <w:t xml:space="preserve">responsibility ratings averaged </w:t>
      </w:r>
      <w:r w:rsidRPr="006C203C">
        <w:t>4.</w:t>
      </w:r>
      <w:r w:rsidR="001A6A8D" w:rsidRPr="006C203C">
        <w:t>10</w:t>
      </w:r>
      <w:r w:rsidRPr="006C203C">
        <w:t xml:space="preserve">. While the </w:t>
      </w:r>
      <w:r w:rsidR="00ED5C31" w:rsidRPr="006C203C">
        <w:t xml:space="preserve">moral responsibility </w:t>
      </w:r>
      <w:r w:rsidRPr="006C203C">
        <w:t xml:space="preserve">scores in the deterministic condition were much lower than in the indeterministic condition, they failed, just barely, to cross the midpoint. This </w:t>
      </w:r>
      <w:r w:rsidRPr="006C203C">
        <w:lastRenderedPageBreak/>
        <w:t>suggests that people’s intuitions about free will and moral responsibility come apart in negatively valenced scenarios—which might explain some of the earlier findings by Nichols and Knobe (2007). As for self-other differences, while we did find a difference in one of the cases, as a general matter, we did not find the differences we expected from the outset.</w:t>
      </w:r>
      <w:r w:rsidR="001D5E09" w:rsidRPr="006C203C">
        <w:t xml:space="preserve"> More research would need to be done to figure out why</w:t>
      </w:r>
      <w:r w:rsidR="002406DB" w:rsidRPr="006C203C">
        <w:t xml:space="preserve"> our predictions on this front failed</w:t>
      </w:r>
      <w:r w:rsidR="001D5E09" w:rsidRPr="006C203C">
        <w:t>.</w:t>
      </w:r>
    </w:p>
    <w:p w14:paraId="541FEF4D" w14:textId="11B77E6A" w:rsidR="00E80AE2" w:rsidRPr="006C203C" w:rsidRDefault="00C41611" w:rsidP="00E80AE2">
      <w:pPr>
        <w:spacing w:line="480" w:lineRule="auto"/>
        <w:jc w:val="both"/>
        <w:rPr>
          <w:b/>
        </w:rPr>
      </w:pPr>
      <w:r w:rsidRPr="006C203C">
        <w:rPr>
          <w:b/>
        </w:rPr>
        <w:t>4</w:t>
      </w:r>
      <w:r w:rsidR="00E80AE2" w:rsidRPr="006C203C">
        <w:rPr>
          <w:b/>
        </w:rPr>
        <w:t xml:space="preserve">. </w:t>
      </w:r>
      <w:r w:rsidR="00236283" w:rsidRPr="006C203C">
        <w:rPr>
          <w:b/>
        </w:rPr>
        <w:t>Conclusions</w:t>
      </w:r>
    </w:p>
    <w:p w14:paraId="69E5AD21" w14:textId="372273FC" w:rsidR="00DB659B" w:rsidRDefault="002406DB" w:rsidP="00C918BB">
      <w:pPr>
        <w:spacing w:line="480" w:lineRule="auto"/>
        <w:jc w:val="both"/>
      </w:pPr>
      <w:r w:rsidRPr="006C203C">
        <w:t>There is an ongoing debate concerning the contours of people’s beliefs about free will and moral responsibility. Evidence for both natural compatibilism and natural incompatibilism ha</w:t>
      </w:r>
      <w:r w:rsidR="00B211ED" w:rsidRPr="006C203C">
        <w:t>s</w:t>
      </w:r>
      <w:r w:rsidRPr="006C203C">
        <w:t xml:space="preserve"> been put forward. As such, researchers have found themselves at an empirical stalemate—with each party to the debate trying to explain away the conflicting data. Our hypothesis was that not enough attention ha</w:t>
      </w:r>
      <w:r w:rsidR="00B211ED" w:rsidRPr="006C203C">
        <w:t>d</w:t>
      </w:r>
      <w:r w:rsidRPr="006C203C">
        <w:t xml:space="preserve"> been paid to the metaphysically crucial difference between the unconditional and the conditional abilities to do otherwise. So, we ran three preregistered, between-subject, vignette-based studies that focused on this issue. Across three studies involving concrete scenarios—including both morally neutral and negatively valenced actions—we found that people found determinism and neuro-determinism to undermine or challenge free will and responsibility. Given that we included improved comprehension checks to </w:t>
      </w:r>
      <w:r w:rsidR="0091258D">
        <w:t xml:space="preserve">better ensure </w:t>
      </w:r>
      <w:r w:rsidRPr="006C203C">
        <w:t>that participants were correctly understanding the indeterministic or deterministic nature of the scenarios (and the associated implications for agency), we humbly believe that we have provided compelling evidence for natural incompatibilism.</w:t>
      </w:r>
      <w:r w:rsidR="00A41A76" w:rsidRPr="006C203C">
        <w:rPr>
          <w:rStyle w:val="FootnoteReference"/>
        </w:rPr>
        <w:footnoteReference w:id="24"/>
      </w:r>
      <w:r w:rsidRPr="006C203C">
        <w:t xml:space="preserve"> While compatibilists will surely object to how we worded the scenarios, </w:t>
      </w:r>
      <w:r w:rsidRPr="006C203C">
        <w:lastRenderedPageBreak/>
        <w:t xml:space="preserve">we were careful to motivate how these </w:t>
      </w:r>
      <w:r w:rsidR="00E14626" w:rsidRPr="006C203C">
        <w:t>scenarios</w:t>
      </w:r>
      <w:r w:rsidRPr="006C203C">
        <w:t xml:space="preserve"> were designed. On our view, these </w:t>
      </w:r>
      <w:r w:rsidR="00E14626" w:rsidRPr="006C203C">
        <w:t>scenarios</w:t>
      </w:r>
      <w:r w:rsidRPr="006C203C">
        <w:t xml:space="preserve"> accurately describe some of the salient differences between determinism and indeterminism.</w:t>
      </w:r>
      <w:r w:rsidR="00B211ED" w:rsidRPr="006C203C">
        <w:t xml:space="preserve"> As such, defenders of natural compatibilism have some </w:t>
      </w:r>
      <w:r w:rsidR="00ED5C31" w:rsidRPr="006C203C">
        <w:t xml:space="preserve">further </w:t>
      </w:r>
      <w:r w:rsidR="00B211ED" w:rsidRPr="006C203C">
        <w:t>explaining to do.</w:t>
      </w:r>
    </w:p>
    <w:p w14:paraId="3CE24108" w14:textId="1F59A276" w:rsidR="00B84285" w:rsidRPr="00B84285" w:rsidRDefault="000A3804" w:rsidP="00B84285">
      <w:pPr>
        <w:spacing w:line="480" w:lineRule="auto"/>
        <w:jc w:val="both"/>
      </w:pPr>
      <w:r>
        <w:tab/>
        <w:t xml:space="preserve">One strategy compatibilists may be inclined to adopt is to </w:t>
      </w:r>
      <w:r w:rsidR="008E7A95">
        <w:t xml:space="preserve">attempt to </w:t>
      </w:r>
      <w:r w:rsidRPr="003D3A2D">
        <w:rPr>
          <w:i/>
          <w:iCs/>
        </w:rPr>
        <w:t xml:space="preserve">explain </w:t>
      </w:r>
      <w:r w:rsidR="008E7A95" w:rsidRPr="003D3A2D">
        <w:rPr>
          <w:i/>
          <w:iCs/>
        </w:rPr>
        <w:t>away</w:t>
      </w:r>
      <w:r w:rsidR="008E7A95">
        <w:t xml:space="preserve"> </w:t>
      </w:r>
      <w:r>
        <w:t xml:space="preserve">our findings. On this view, our deterministic stimuli </w:t>
      </w:r>
      <w:r w:rsidR="006B0817">
        <w:t xml:space="preserve">may have </w:t>
      </w:r>
      <w:r>
        <w:t>prime</w:t>
      </w:r>
      <w:r w:rsidR="006B0817">
        <w:t>d</w:t>
      </w:r>
      <w:r>
        <w:t xml:space="preserve"> </w:t>
      </w:r>
      <w:r w:rsidR="00B84285">
        <w:t>what Eddy Nahmias has called “</w:t>
      </w:r>
      <w:r>
        <w:t>bypassing</w:t>
      </w:r>
      <w:r w:rsidR="00B84285">
        <w:t>”</w:t>
      </w:r>
      <w:r>
        <w:t>—that is, the</w:t>
      </w:r>
      <w:r w:rsidR="00B84285">
        <w:t>se stimuli</w:t>
      </w:r>
      <w:r>
        <w:t xml:space="preserve"> </w:t>
      </w:r>
      <w:r w:rsidR="003D3A2D">
        <w:t xml:space="preserve">illicitly </w:t>
      </w:r>
      <w:r>
        <w:t>induce participants to think that the agent’s conscious beliefs, desires, and choices didn’t make a differen</w:t>
      </w:r>
      <w:r w:rsidR="008E7A95">
        <w:t>ce</w:t>
      </w:r>
      <w:r>
        <w:t xml:space="preserve"> in </w:t>
      </w:r>
      <w:r w:rsidR="008E7A95">
        <w:t xml:space="preserve">the agent’s behavior </w:t>
      </w:r>
      <w:r>
        <w:t>(Nahmias, 2011; Murray &amp; Nahmias, 2014</w:t>
      </w:r>
      <w:r w:rsidR="0091258D">
        <w:t>: cf. Rose &amp; Nichols, 2013</w:t>
      </w:r>
      <w:r>
        <w:t xml:space="preserve">). Because bypassing doesn’t conceptually follow from determinism, this provides the compatibilist </w:t>
      </w:r>
      <w:r w:rsidR="00B84285">
        <w:t xml:space="preserve">with </w:t>
      </w:r>
      <w:r>
        <w:t>an avenue for explaining away our findings</w:t>
      </w:r>
      <w:r w:rsidR="003D3A2D">
        <w:t xml:space="preserve"> since they suggest participants misunderstood the import of determinism</w:t>
      </w:r>
      <w:r>
        <w:t xml:space="preserve">. </w:t>
      </w:r>
      <w:r w:rsidR="00B84285">
        <w:t>We anticipated this response which is why we included an item that got at this worry—namely, “</w:t>
      </w:r>
      <w:r w:rsidR="00B84285" w:rsidRPr="00B84285">
        <w:rPr>
          <w:rFonts w:eastAsiaTheme="minorHAnsi"/>
        </w:rPr>
        <w:t>Jim’s choices and decisions make a difference in what he does.</w:t>
      </w:r>
      <w:r w:rsidR="00B84285">
        <w:rPr>
          <w:rFonts w:eastAsiaTheme="minorHAnsi"/>
        </w:rPr>
        <w:t>” Because this item had good reliability with the other free will items</w:t>
      </w:r>
      <w:r w:rsidR="007970D5">
        <w:rPr>
          <w:rFonts w:eastAsiaTheme="minorHAnsi"/>
        </w:rPr>
        <w:t xml:space="preserve"> (which is telling)</w:t>
      </w:r>
      <w:r w:rsidR="00B84285">
        <w:rPr>
          <w:rFonts w:eastAsiaTheme="minorHAnsi"/>
        </w:rPr>
        <w:t xml:space="preserve">, we aggregated them for the purposes of our main analyses. </w:t>
      </w:r>
      <w:r w:rsidR="008E7A95">
        <w:rPr>
          <w:rFonts w:eastAsiaTheme="minorHAnsi"/>
        </w:rPr>
        <w:t>But w</w:t>
      </w:r>
      <w:r w:rsidR="00B84285">
        <w:rPr>
          <w:rFonts w:eastAsiaTheme="minorHAnsi"/>
        </w:rPr>
        <w:t>e also included the disaggregated analyses of the individual free will items</w:t>
      </w:r>
      <w:r w:rsidR="003D3A2D">
        <w:rPr>
          <w:rFonts w:eastAsiaTheme="minorHAnsi"/>
        </w:rPr>
        <w:t xml:space="preserve"> (including the bypassing item)</w:t>
      </w:r>
      <w:r w:rsidR="00B84285">
        <w:rPr>
          <w:rFonts w:eastAsiaTheme="minorHAnsi"/>
        </w:rPr>
        <w:t xml:space="preserve"> in the Supplemental Materials. But this admittedly doesn’t get at whether bypassing </w:t>
      </w:r>
      <w:r w:rsidR="008E7A95">
        <w:rPr>
          <w:rFonts w:eastAsiaTheme="minorHAnsi"/>
        </w:rPr>
        <w:t xml:space="preserve">might </w:t>
      </w:r>
      <w:r w:rsidR="00B84285">
        <w:rPr>
          <w:rFonts w:eastAsiaTheme="minorHAnsi"/>
        </w:rPr>
        <w:t>partly explain our findings</w:t>
      </w:r>
      <w:r w:rsidR="008E7A95">
        <w:rPr>
          <w:rFonts w:eastAsiaTheme="minorHAnsi"/>
        </w:rPr>
        <w:t>.</w:t>
      </w:r>
    </w:p>
    <w:p w14:paraId="7806A972" w14:textId="0BB02B71" w:rsidR="003D3A2D" w:rsidRDefault="00B84285" w:rsidP="00C918BB">
      <w:pPr>
        <w:spacing w:line="480" w:lineRule="auto"/>
        <w:jc w:val="both"/>
      </w:pPr>
      <w:r>
        <w:tab/>
        <w:t xml:space="preserve">To </w:t>
      </w:r>
      <w:r w:rsidR="008E7A95">
        <w:t xml:space="preserve">shed light on </w:t>
      </w:r>
      <w:r>
        <w:t>whether our deterministic stimuli were inducing bypassing</w:t>
      </w:r>
      <w:r w:rsidR="008E7A95">
        <w:t xml:space="preserve"> intuitions</w:t>
      </w:r>
      <w:r>
        <w:t xml:space="preserve"> which in turn influenced participants intuitions about free will and responsibility, we first combined the data sets f</w:t>
      </w:r>
      <w:r w:rsidR="007970D5">
        <w:t>rom</w:t>
      </w:r>
      <w:r>
        <w:t xml:space="preserve"> our three studies. Then, following the method adopted by Murray and Nahmias (2014) we combined the free will items and the moral responsibility items (minus the aforementioned bypassing item)</w:t>
      </w:r>
      <w:r w:rsidR="00841C55">
        <w:t xml:space="preserve"> into a single variable</w:t>
      </w:r>
      <w:r>
        <w:t xml:space="preserve">. </w:t>
      </w:r>
      <w:r w:rsidR="007970D5">
        <w:t>Finally</w:t>
      </w:r>
      <w:r>
        <w:t xml:space="preserve">, we ran mediation analyses to test two </w:t>
      </w:r>
      <w:r w:rsidR="003D3A2D">
        <w:t xml:space="preserve">related </w:t>
      </w:r>
      <w:r>
        <w:t xml:space="preserve">models: (a) D vs. ID &gt; BP &gt; FW/MR, and (b) D vs. ID &gt; FW/MR &gt; BP. </w:t>
      </w:r>
      <w:r w:rsidR="008E7A95">
        <w:t xml:space="preserve">The complete analyses for these two models can be found in </w:t>
      </w:r>
      <w:r w:rsidR="00841C55">
        <w:t xml:space="preserve">Section 6 of </w:t>
      </w:r>
      <w:r w:rsidR="008E7A95">
        <w:t xml:space="preserve">the Supplemental Materials. Here we </w:t>
      </w:r>
      <w:r w:rsidR="008E7A95">
        <w:lastRenderedPageBreak/>
        <w:t xml:space="preserve">just want to point out that </w:t>
      </w:r>
      <w:r>
        <w:t xml:space="preserve">Murray and Nahmias (2014) found that BP mediated the relationship between D vs. ID and FW/MR—which they took to show that the deterministic stimuli were illicitly priming bypassing which </w:t>
      </w:r>
      <w:r w:rsidR="008E7A95">
        <w:t xml:space="preserve">was </w:t>
      </w:r>
      <w:r>
        <w:t>in t</w:t>
      </w:r>
      <w:r w:rsidR="00841C55">
        <w:t>urn</w:t>
      </w:r>
      <w:r>
        <w:t xml:space="preserve"> </w:t>
      </w:r>
      <w:r w:rsidR="008E7A95">
        <w:t xml:space="preserve">illicitly </w:t>
      </w:r>
      <w:r>
        <w:t>influenc</w:t>
      </w:r>
      <w:r w:rsidR="008E7A95">
        <w:t>ing</w:t>
      </w:r>
      <w:r>
        <w:t xml:space="preserve"> ascriptions of free will and responsibility. However, </w:t>
      </w:r>
      <w:r w:rsidR="006B043F">
        <w:t xml:space="preserve">the earlier work by </w:t>
      </w:r>
      <w:r>
        <w:t>Rose and Nichols (</w:t>
      </w:r>
      <w:r w:rsidR="008E7A95">
        <w:t>2013) s</w:t>
      </w:r>
      <w:r w:rsidR="006B043F">
        <w:t>uggested</w:t>
      </w:r>
      <w:r w:rsidR="008E7A95">
        <w:t xml:space="preserve"> that this conclusion was hasty. </w:t>
      </w:r>
      <w:r w:rsidR="006B043F">
        <w:t xml:space="preserve">Their data suggested </w:t>
      </w:r>
      <w:r w:rsidR="0091258D">
        <w:t xml:space="preserve">instead </w:t>
      </w:r>
      <w:r w:rsidR="008E7A95">
        <w:t xml:space="preserve">that FW/MR also mediates the relationship between D vs. ID and bypassing—which is </w:t>
      </w:r>
      <w:r w:rsidR="00841E93">
        <w:t xml:space="preserve">precisely </w:t>
      </w:r>
      <w:r w:rsidR="008E7A95">
        <w:t>what we found</w:t>
      </w:r>
      <w:r w:rsidR="003D3A2D">
        <w:t xml:space="preserve"> as well</w:t>
      </w:r>
      <w:r w:rsidR="008E7A95">
        <w:t xml:space="preserve">. </w:t>
      </w:r>
      <w:r w:rsidR="006B043F">
        <w:t xml:space="preserve">Because mediation models only get at correlation and not causal directionality, </w:t>
      </w:r>
      <w:r w:rsidR="008E7A95">
        <w:t>Rose and Nichols (2013) went on to use structural equation modeling</w:t>
      </w:r>
      <w:r w:rsidR="006B043F">
        <w:t xml:space="preserve"> </w:t>
      </w:r>
      <w:r w:rsidR="008E7A95">
        <w:t xml:space="preserve">to shed light on the </w:t>
      </w:r>
      <w:r w:rsidR="006B043F">
        <w:t xml:space="preserve">causal </w:t>
      </w:r>
      <w:r w:rsidR="008E7A95">
        <w:t>relationship between the variables</w:t>
      </w:r>
      <w:r w:rsidR="00841C55">
        <w:t xml:space="preserve">—which revealed </w:t>
      </w:r>
      <w:r w:rsidR="008E7A95">
        <w:t xml:space="preserve">that deterministic stimuli influence ascriptions of free will which in turn </w:t>
      </w:r>
      <w:r w:rsidR="00841C55">
        <w:t xml:space="preserve">influence </w:t>
      </w:r>
      <w:r w:rsidR="008E7A95">
        <w:t>bypassing intuitions</w:t>
      </w:r>
      <w:r w:rsidR="003D3A2D">
        <w:t xml:space="preserve"> (not the other way around)</w:t>
      </w:r>
      <w:r w:rsidR="008E7A95">
        <w:t xml:space="preserve">. </w:t>
      </w:r>
      <w:r w:rsidR="00841C55">
        <w:t>It seem</w:t>
      </w:r>
      <w:r w:rsidR="003D3A2D">
        <w:t>s</w:t>
      </w:r>
      <w:r w:rsidR="00841C55">
        <w:t xml:space="preserve"> </w:t>
      </w:r>
      <w:r w:rsidR="006B043F">
        <w:t>that</w:t>
      </w:r>
      <w:r w:rsidR="00841C55">
        <w:t xml:space="preserve"> </w:t>
      </w:r>
      <w:r w:rsidR="006B043F">
        <w:t xml:space="preserve">Murray, </w:t>
      </w:r>
      <w:r w:rsidR="00841C55">
        <w:t>Nahmias</w:t>
      </w:r>
      <w:r w:rsidR="006B043F">
        <w:t>, and others</w:t>
      </w:r>
      <w:r w:rsidR="00841C55">
        <w:t xml:space="preserve"> got the relationship backwards. </w:t>
      </w:r>
    </w:p>
    <w:p w14:paraId="0116DA50" w14:textId="2A371972" w:rsidR="000A3804" w:rsidRPr="006C203C" w:rsidRDefault="008E7A95" w:rsidP="003D3A2D">
      <w:pPr>
        <w:spacing w:line="480" w:lineRule="auto"/>
        <w:ind w:firstLine="720"/>
        <w:jc w:val="both"/>
      </w:pPr>
      <w:r>
        <w:t>Unfortunately, give how many dependent variables we used as part of our experimental design</w:t>
      </w:r>
      <w:r w:rsidR="006B043F">
        <w:t xml:space="preserve"> (since our focus was not </w:t>
      </w:r>
      <w:r w:rsidR="0091258D">
        <w:t xml:space="preserve">on </w:t>
      </w:r>
      <w:r w:rsidR="006B043F">
        <w:t>the issue of bypassing)</w:t>
      </w:r>
      <w:r>
        <w:t xml:space="preserve">, our data isn’t well-suited for structural equation modeling. However, given </w:t>
      </w:r>
      <w:r w:rsidR="00841C55">
        <w:t>w</w:t>
      </w:r>
      <w:r>
        <w:t>hat Rose and Nichols (2013) found and given that we, too, found that the relationship between bypassing intuitions and free will/responsibility intuitions was bidirectional, we think we have grounds for resisting the compatibilist’s attempt to explain away our findings. While it is admittedly possible that our deterministic stimuli elicited bypassing intuitions</w:t>
      </w:r>
      <w:r w:rsidR="006B043F">
        <w:t xml:space="preserve"> which influenced judgments about free will and responsibility</w:t>
      </w:r>
      <w:r>
        <w:t xml:space="preserve">, </w:t>
      </w:r>
      <w:r w:rsidR="004801DA">
        <w:t xml:space="preserve">given </w:t>
      </w:r>
      <w:r w:rsidR="00841E93">
        <w:t xml:space="preserve">both our mediation analyses and </w:t>
      </w:r>
      <w:r w:rsidR="004801DA">
        <w:t xml:space="preserve">the work by Rose and Nichols (2013), we think it is more likely </w:t>
      </w:r>
      <w:r>
        <w:t>that these stimuli elicited</w:t>
      </w:r>
      <w:r w:rsidR="006B043F">
        <w:t xml:space="preserve"> the opposite chain of judgments in a way that doesn’t undermine the findings</w:t>
      </w:r>
      <w:r>
        <w:t xml:space="preserve">. </w:t>
      </w:r>
      <w:r w:rsidR="003D3A2D">
        <w:t>So, u</w:t>
      </w:r>
      <w:r w:rsidR="00841C55">
        <w:t xml:space="preserve">nless and until </w:t>
      </w:r>
      <w:r w:rsidR="003D3A2D">
        <w:t xml:space="preserve">compatibilists </w:t>
      </w:r>
      <w:r w:rsidR="00841C55">
        <w:t>explain away the findings by Rose and Nichols (2013), we think we’re on relatively safe ground.</w:t>
      </w:r>
    </w:p>
    <w:p w14:paraId="68FC307A" w14:textId="5EA4E782" w:rsidR="004C18D1" w:rsidRPr="004C18D1" w:rsidRDefault="00B211ED" w:rsidP="004C18D1">
      <w:pPr>
        <w:spacing w:line="480" w:lineRule="auto"/>
        <w:ind w:firstLine="720"/>
        <w:jc w:val="both"/>
        <w:rPr>
          <w:rFonts w:eastAsiaTheme="minorHAnsi"/>
          <w:color w:val="000000"/>
        </w:rPr>
      </w:pPr>
      <w:r w:rsidRPr="004C18D1">
        <w:lastRenderedPageBreak/>
        <w:t>That said, our studies clearly have some limitations. First, we used exclusively online samples. And while, as we noted earlier, online data have been found to be just as reliable as (and more diverse than) data collected on college campuses, we hope to extend our work in the future by collecting data</w:t>
      </w:r>
      <w:r w:rsidR="005773B2" w:rsidRPr="004C18D1">
        <w:t xml:space="preserve"> from a convenience sample</w:t>
      </w:r>
      <w:r w:rsidRPr="004C18D1">
        <w:t xml:space="preserve">. Second, we only collected data from an American sample. So, we can’t generalize based on our findings. </w:t>
      </w:r>
      <w:r w:rsidR="004C18D1" w:rsidRPr="004C18D1">
        <w:t xml:space="preserve">After all, our online participants were drawn from a country that is </w:t>
      </w:r>
      <w:r w:rsidR="004C18D1" w:rsidRPr="004C18D1">
        <w:rPr>
          <w:rFonts w:eastAsiaTheme="minorHAnsi"/>
        </w:rPr>
        <w:t>Western, Educated, Industrialized, Rich, and Democratic (WEIRD</w:t>
      </w:r>
      <w:r w:rsidR="004C18D1" w:rsidRPr="004C18D1">
        <w:t xml:space="preserve">: Henrich, Heine, &amp; Norenzayan, 2010). While there are a limited number of cross cultural studies that have explored free will beliefs (Hainnikainen et al., 2019; Sarkissian et al., 2010; </w:t>
      </w:r>
      <w:r w:rsidR="004C18D1" w:rsidRPr="004C18D1">
        <w:rPr>
          <w:rFonts w:eastAsiaTheme="minorHAnsi"/>
          <w:color w:val="000000"/>
        </w:rPr>
        <w:t>Wisniewski et al., 2019), much work on this front remains to be done. In the meantime, it is worth noting that the bulk of the work on folk intuitions about free will has been done using WEIRD participants. Given that we were trying to respond to and build upon this research, it made sense for us to limit our attention to participants in the United States. But we are quick to acknowledge that more cross-cultural work is required before we will know whether our findings are stable.</w:t>
      </w:r>
      <w:r w:rsidR="004C18D1">
        <w:t xml:space="preserve"> Finally</w:t>
      </w:r>
      <w:r w:rsidRPr="004C18D1">
        <w:t xml:space="preserve">, while we used  concrete cases involving both morally neutral and negatively valenced actions, it could be illuminating to explore abstract cases and also positively valenced actions. This is another logical extension of our work that we would obviously welcome. </w:t>
      </w:r>
    </w:p>
    <w:p w14:paraId="5EC49257" w14:textId="2649FC91" w:rsidR="00B211ED" w:rsidRPr="006C203C" w:rsidRDefault="004C18D1" w:rsidP="004C18D1">
      <w:pPr>
        <w:spacing w:line="480" w:lineRule="auto"/>
        <w:ind w:firstLine="720"/>
        <w:jc w:val="both"/>
      </w:pPr>
      <w:r>
        <w:t>Despite these limitations</w:t>
      </w:r>
      <w:r w:rsidR="00B211ED" w:rsidRPr="006C203C">
        <w:t xml:space="preserve">, we think we have advanced the debate concerning natural compatibilism by providing new evidence that people find free will and </w:t>
      </w:r>
      <w:r w:rsidR="00710B3A" w:rsidRPr="006C203C">
        <w:t xml:space="preserve">responsibility </w:t>
      </w:r>
      <w:r w:rsidR="00B211ED" w:rsidRPr="006C203C">
        <w:t>to be incompatible with determinism.</w:t>
      </w:r>
      <w:r>
        <w:t xml:space="preserve"> When we made it clear to participants that determinism precluded the unconditional ability to do otherwise and that indeterminism allowed for it, their judgments about free will and responsibility were influenced accordingly. We think that the gathering evidence now suggests that most people are indeterminists who associate free will with the unconditionality to do otherwise—an ability that all parties to the free will debate agree is </w:t>
      </w:r>
      <w:r>
        <w:lastRenderedPageBreak/>
        <w:t xml:space="preserve">incompatible with determinism. While more work clearly remains to be done, for now we </w:t>
      </w:r>
      <w:r w:rsidR="00C663A1">
        <w:t xml:space="preserve">humbly </w:t>
      </w:r>
      <w:r>
        <w:t xml:space="preserve">think </w:t>
      </w:r>
      <w:r w:rsidR="00C663A1">
        <w:t xml:space="preserve">that </w:t>
      </w:r>
      <w:r>
        <w:t>we have shifted the empirical burden of proof squarely onto to the shoulders of the natural compatibilists who think that the conditional ability to do otherwise is supported by commonsense thinking</w:t>
      </w:r>
      <w:r w:rsidR="00C663A1">
        <w:t xml:space="preserve"> about free will and moral responsibility.</w:t>
      </w:r>
      <w:r w:rsidR="00C019B5" w:rsidRPr="006C203C">
        <w:rPr>
          <w:rStyle w:val="FootnoteReference"/>
        </w:rPr>
        <w:footnoteReference w:id="25"/>
      </w:r>
    </w:p>
    <w:p w14:paraId="1CBB6A6F" w14:textId="5F090FBF" w:rsidR="00CC5FD8" w:rsidRPr="006C203C" w:rsidRDefault="00587703" w:rsidP="003404BF">
      <w:pPr>
        <w:spacing w:line="480" w:lineRule="auto"/>
        <w:jc w:val="both"/>
        <w:rPr>
          <w:b/>
        </w:rPr>
      </w:pPr>
      <w:r w:rsidRPr="006C203C">
        <w:rPr>
          <w:b/>
        </w:rPr>
        <w:t>References</w:t>
      </w:r>
    </w:p>
    <w:p w14:paraId="3864608A" w14:textId="7DD85982" w:rsidR="001E5938" w:rsidRPr="006C203C" w:rsidRDefault="001E5938" w:rsidP="00CC5FD8">
      <w:pPr>
        <w:jc w:val="both"/>
        <w:rPr>
          <w:color w:val="1A1A1A"/>
        </w:rPr>
      </w:pPr>
      <w:r w:rsidRPr="006C203C">
        <w:t xml:space="preserve">Bloom, P. (2012). Free will does not exist. So what? </w:t>
      </w:r>
      <w:r w:rsidRPr="006C203C">
        <w:rPr>
          <w:i/>
        </w:rPr>
        <w:t>The Chronicle of Higher Education</w:t>
      </w:r>
      <w:r w:rsidRPr="006C203C">
        <w:t xml:space="preserve">. Retrieved May 22nd, 2019, from </w:t>
      </w:r>
      <w:hyperlink r:id="rId12" w:history="1">
        <w:r w:rsidRPr="006C203C">
          <w:rPr>
            <w:color w:val="0000FF"/>
            <w:u w:val="single"/>
          </w:rPr>
          <w:t>http://chronicle.com/article/Paul-Bloom/131170/</w:t>
        </w:r>
      </w:hyperlink>
    </w:p>
    <w:p w14:paraId="327D4B88" w14:textId="77777777" w:rsidR="001E5938" w:rsidRPr="006C203C" w:rsidRDefault="001E5938" w:rsidP="00CC5FD8">
      <w:pPr>
        <w:jc w:val="both"/>
        <w:rPr>
          <w:color w:val="1A1A1A"/>
        </w:rPr>
      </w:pPr>
    </w:p>
    <w:p w14:paraId="176AAFC0" w14:textId="3E573447" w:rsidR="00BA5841" w:rsidRPr="006C203C" w:rsidRDefault="00BA5841" w:rsidP="00CC5FD8">
      <w:pPr>
        <w:jc w:val="both"/>
      </w:pPr>
      <w:r w:rsidRPr="006C203C">
        <w:rPr>
          <w:color w:val="1A1A1A"/>
        </w:rPr>
        <w:t xml:space="preserve">Burhmester, M., Kwang, T., and Gosling, S. (2011). Amazon’s Mechanical Turk: A new source of inexpensive, yet high-quality data? </w:t>
      </w:r>
      <w:r w:rsidRPr="006C203C">
        <w:rPr>
          <w:i/>
          <w:color w:val="1A1A1A"/>
        </w:rPr>
        <w:t>Perspectives on Psychological Science</w:t>
      </w:r>
      <w:r w:rsidRPr="006C203C">
        <w:rPr>
          <w:color w:val="1A1A1A"/>
        </w:rPr>
        <w:t xml:space="preserve">, </w:t>
      </w:r>
      <w:r w:rsidRPr="006C203C">
        <w:rPr>
          <w:i/>
          <w:color w:val="1A1A1A"/>
        </w:rPr>
        <w:t>6</w:t>
      </w:r>
      <w:r w:rsidRPr="006C203C">
        <w:rPr>
          <w:color w:val="1A1A1A"/>
        </w:rPr>
        <w:t>, 3-5.</w:t>
      </w:r>
    </w:p>
    <w:p w14:paraId="613DED0A" w14:textId="77777777" w:rsidR="008B2C80" w:rsidRPr="006C203C" w:rsidRDefault="008B2C80" w:rsidP="00C918BB">
      <w:pPr>
        <w:jc w:val="both"/>
      </w:pPr>
    </w:p>
    <w:p w14:paraId="2A13789E" w14:textId="52B6137A" w:rsidR="008B2C80" w:rsidRPr="006C203C" w:rsidRDefault="007244EB" w:rsidP="00CC5FD8">
      <w:pPr>
        <w:spacing w:after="160"/>
        <w:jc w:val="both"/>
        <w:rPr>
          <w:rFonts w:eastAsiaTheme="minorHAnsi"/>
        </w:rPr>
      </w:pPr>
      <w:r w:rsidRPr="006C203C">
        <w:rPr>
          <w:rFonts w:eastAsiaTheme="minorHAnsi"/>
        </w:rPr>
        <w:t xml:space="preserve">Clark, C.J., Lugari, J.B., Ditto, P.H., Knobe, J., Shariff, A.F., Baumeister, R.F. (2014). Free to punish: A motivated account of free will belief. </w:t>
      </w:r>
      <w:r w:rsidRPr="006C203C">
        <w:rPr>
          <w:rFonts w:eastAsiaTheme="minorHAnsi"/>
          <w:i/>
        </w:rPr>
        <w:t>Journal of Personality and Social Psychology</w:t>
      </w:r>
      <w:r w:rsidRPr="006C203C">
        <w:rPr>
          <w:rFonts w:eastAsiaTheme="minorHAnsi"/>
        </w:rPr>
        <w:t xml:space="preserve">, </w:t>
      </w:r>
      <w:r w:rsidRPr="006C203C">
        <w:rPr>
          <w:rFonts w:eastAsiaTheme="minorHAnsi"/>
          <w:i/>
        </w:rPr>
        <w:t>106(4)</w:t>
      </w:r>
      <w:r w:rsidRPr="006C203C">
        <w:rPr>
          <w:rFonts w:eastAsiaTheme="minorHAnsi"/>
        </w:rPr>
        <w:t>, 501-513.</w:t>
      </w:r>
    </w:p>
    <w:p w14:paraId="435D16E8" w14:textId="02970BA5" w:rsidR="0007658F" w:rsidRPr="006C203C" w:rsidRDefault="0007658F" w:rsidP="00C918BB">
      <w:pPr>
        <w:pStyle w:val="Default"/>
        <w:shd w:val="clear" w:color="auto" w:fill="FFFFFF" w:themeFill="background1"/>
        <w:jc w:val="both"/>
      </w:pPr>
      <w:r w:rsidRPr="006C203C">
        <w:t xml:space="preserve">Deery, O., Bedke, M., &amp; Nichols, S. (2013). Phenomenal abilities: Incompatibilism and the </w:t>
      </w:r>
    </w:p>
    <w:p w14:paraId="0B40788B" w14:textId="130C6F9C" w:rsidR="0007658F" w:rsidRPr="006C203C" w:rsidRDefault="0007658F" w:rsidP="00C918BB">
      <w:pPr>
        <w:pStyle w:val="Default"/>
        <w:shd w:val="clear" w:color="auto" w:fill="FFFFFF" w:themeFill="background1"/>
        <w:jc w:val="both"/>
      </w:pPr>
      <w:r w:rsidRPr="006C203C">
        <w:t xml:space="preserve">experience of agency. In D. Shoemaker, </w:t>
      </w:r>
      <w:r w:rsidRPr="006C203C">
        <w:rPr>
          <w:i/>
        </w:rPr>
        <w:t>Oxford studies in agency and responsibility</w:t>
      </w:r>
      <w:r w:rsidRPr="006C203C">
        <w:t xml:space="preserve"> (pp. 126-150). New York: Oxford University Press.</w:t>
      </w:r>
    </w:p>
    <w:p w14:paraId="3534E214" w14:textId="77777777" w:rsidR="008B2C80" w:rsidRPr="006C203C" w:rsidRDefault="008B2C80" w:rsidP="00C918BB">
      <w:pPr>
        <w:jc w:val="both"/>
      </w:pPr>
    </w:p>
    <w:p w14:paraId="000E40E3" w14:textId="301F4D49" w:rsidR="00464507" w:rsidRPr="00464507" w:rsidRDefault="00464507" w:rsidP="00231405">
      <w:pPr>
        <w:spacing w:after="160" w:line="259" w:lineRule="auto"/>
        <w:jc w:val="both"/>
        <w:rPr>
          <w:rFonts w:eastAsiaTheme="minorHAnsi"/>
        </w:rPr>
      </w:pPr>
      <w:r w:rsidRPr="00464507">
        <w:t xml:space="preserve">Deery, O., Davis, T., &amp; Carey, J. (2015). The Free-Will Intuitions Scale and the question of natural compatibilism. </w:t>
      </w:r>
      <w:r w:rsidRPr="00464507">
        <w:rPr>
          <w:i/>
          <w:iCs/>
        </w:rPr>
        <w:t>Philosophical Psychology</w:t>
      </w:r>
      <w:r w:rsidRPr="00464507">
        <w:t>, 28(6), 776–801.</w:t>
      </w:r>
    </w:p>
    <w:p w14:paraId="54CD85F0" w14:textId="48625972" w:rsidR="00D6245F" w:rsidRPr="006C203C" w:rsidRDefault="008B2C80" w:rsidP="00231405">
      <w:pPr>
        <w:spacing w:after="160" w:line="259" w:lineRule="auto"/>
        <w:jc w:val="both"/>
        <w:rPr>
          <w:rFonts w:eastAsiaTheme="minorHAnsi"/>
        </w:rPr>
      </w:pPr>
      <w:r w:rsidRPr="006C203C">
        <w:rPr>
          <w:rFonts w:eastAsiaTheme="minorHAnsi"/>
        </w:rPr>
        <w:t xml:space="preserve">Ekstrom, L. </w:t>
      </w:r>
      <w:r w:rsidR="00913143" w:rsidRPr="006C203C">
        <w:rPr>
          <w:rFonts w:eastAsiaTheme="minorHAnsi"/>
        </w:rPr>
        <w:t>(</w:t>
      </w:r>
      <w:r w:rsidRPr="006C203C">
        <w:rPr>
          <w:rFonts w:eastAsiaTheme="minorHAnsi"/>
        </w:rPr>
        <w:t>2002</w:t>
      </w:r>
      <w:r w:rsidR="00913143" w:rsidRPr="006C203C">
        <w:rPr>
          <w:rFonts w:eastAsiaTheme="minorHAnsi"/>
        </w:rPr>
        <w:t>)</w:t>
      </w:r>
      <w:r w:rsidRPr="006C203C">
        <w:rPr>
          <w:rFonts w:eastAsiaTheme="minorHAnsi"/>
        </w:rPr>
        <w:t>. Libertarianism and Frankfurt-style cases. In R. Kane (</w:t>
      </w:r>
      <w:r w:rsidR="003E507C" w:rsidRPr="006C203C">
        <w:rPr>
          <w:rFonts w:eastAsiaTheme="minorHAnsi"/>
        </w:rPr>
        <w:t>E</w:t>
      </w:r>
      <w:r w:rsidRPr="006C203C">
        <w:rPr>
          <w:rFonts w:eastAsiaTheme="minorHAnsi"/>
        </w:rPr>
        <w:t xml:space="preserve">d.), </w:t>
      </w:r>
      <w:r w:rsidRPr="006C203C">
        <w:rPr>
          <w:rFonts w:eastAsiaTheme="minorHAnsi"/>
          <w:i/>
        </w:rPr>
        <w:t xml:space="preserve">The Oxford </w:t>
      </w:r>
      <w:r w:rsidR="003E507C" w:rsidRPr="006C203C">
        <w:rPr>
          <w:rFonts w:eastAsiaTheme="minorHAnsi"/>
          <w:i/>
        </w:rPr>
        <w:t>h</w:t>
      </w:r>
      <w:r w:rsidRPr="006C203C">
        <w:rPr>
          <w:rFonts w:eastAsiaTheme="minorHAnsi"/>
          <w:i/>
        </w:rPr>
        <w:t xml:space="preserve">andbook of </w:t>
      </w:r>
      <w:r w:rsidR="003E507C" w:rsidRPr="006C203C">
        <w:rPr>
          <w:rFonts w:eastAsiaTheme="minorHAnsi"/>
          <w:i/>
        </w:rPr>
        <w:t>f</w:t>
      </w:r>
      <w:r w:rsidRPr="006C203C">
        <w:rPr>
          <w:rFonts w:eastAsiaTheme="minorHAnsi"/>
          <w:i/>
        </w:rPr>
        <w:t xml:space="preserve">ree </w:t>
      </w:r>
      <w:r w:rsidR="003E507C" w:rsidRPr="006C203C">
        <w:rPr>
          <w:rFonts w:eastAsiaTheme="minorHAnsi"/>
          <w:i/>
        </w:rPr>
        <w:t>w</w:t>
      </w:r>
      <w:r w:rsidRPr="006C203C">
        <w:rPr>
          <w:rFonts w:eastAsiaTheme="minorHAnsi"/>
          <w:i/>
        </w:rPr>
        <w:t>ill</w:t>
      </w:r>
      <w:r w:rsidR="006932F2" w:rsidRPr="006C203C">
        <w:rPr>
          <w:rFonts w:eastAsiaTheme="minorHAnsi"/>
        </w:rPr>
        <w:t xml:space="preserve"> (pp. 309-323).</w:t>
      </w:r>
      <w:r w:rsidR="003E507C" w:rsidRPr="006C203C">
        <w:rPr>
          <w:rFonts w:eastAsiaTheme="minorHAnsi"/>
        </w:rPr>
        <w:t xml:space="preserve"> </w:t>
      </w:r>
      <w:r w:rsidRPr="006C203C">
        <w:rPr>
          <w:rFonts w:eastAsiaTheme="minorHAnsi"/>
        </w:rPr>
        <w:t>New York: Oxford University Press.</w:t>
      </w:r>
    </w:p>
    <w:p w14:paraId="6CBC1137" w14:textId="44D40684" w:rsidR="004E61F0" w:rsidRPr="006C203C" w:rsidRDefault="004E61F0" w:rsidP="00C918BB">
      <w:pPr>
        <w:jc w:val="both"/>
      </w:pPr>
      <w:r w:rsidRPr="006C203C">
        <w:rPr>
          <w:shd w:val="clear" w:color="auto" w:fill="FFFFFF"/>
        </w:rPr>
        <w:t>Feltz, A., Cokely, E. T., &amp; Nelson, B. (2016). Experimental philosophy needs to matter: Reply to Andow and Cova. </w:t>
      </w:r>
      <w:r w:rsidRPr="006C203C">
        <w:rPr>
          <w:rStyle w:val="Emphasis"/>
          <w:shd w:val="clear" w:color="auto" w:fill="FFFFFF"/>
        </w:rPr>
        <w:t>Philosophical Psychology, 29</w:t>
      </w:r>
      <w:r w:rsidRPr="006C203C">
        <w:rPr>
          <w:shd w:val="clear" w:color="auto" w:fill="FFFFFF"/>
        </w:rPr>
        <w:t>(4), 567-569.</w:t>
      </w:r>
    </w:p>
    <w:p w14:paraId="5984BFC8" w14:textId="77777777" w:rsidR="004E61F0" w:rsidRPr="006C203C" w:rsidRDefault="004E61F0" w:rsidP="00C918BB">
      <w:pPr>
        <w:jc w:val="both"/>
      </w:pPr>
    </w:p>
    <w:p w14:paraId="4777EB8A" w14:textId="6585CFE0" w:rsidR="00D6245F" w:rsidRPr="006C203C" w:rsidRDefault="00D6245F" w:rsidP="00C918BB">
      <w:pPr>
        <w:jc w:val="both"/>
      </w:pPr>
      <w:r w:rsidRPr="006C203C">
        <w:t xml:space="preserve">Feltz, A., &amp; Millan, M. (2013). An error theory for compatibilist intuitions. </w:t>
      </w:r>
      <w:r w:rsidRPr="006C203C">
        <w:rPr>
          <w:i/>
        </w:rPr>
        <w:t>Philosophical Psychology</w:t>
      </w:r>
      <w:r w:rsidRPr="006C203C">
        <w:t xml:space="preserve">, </w:t>
      </w:r>
      <w:r w:rsidRPr="006C203C">
        <w:rPr>
          <w:i/>
        </w:rPr>
        <w:t>28(4)</w:t>
      </w:r>
      <w:r w:rsidRPr="006C203C">
        <w:t>, 529-555.</w:t>
      </w:r>
    </w:p>
    <w:p w14:paraId="78F78851" w14:textId="77777777" w:rsidR="008B2C80" w:rsidRPr="006C203C" w:rsidRDefault="008B2C80" w:rsidP="00C918BB">
      <w:pPr>
        <w:jc w:val="both"/>
      </w:pPr>
    </w:p>
    <w:p w14:paraId="6A2D5F23" w14:textId="77777777" w:rsidR="00776493" w:rsidRPr="006C203C" w:rsidRDefault="00776493" w:rsidP="00776493">
      <w:pPr>
        <w:jc w:val="both"/>
      </w:pPr>
      <w:r w:rsidRPr="006C203C">
        <w:rPr>
          <w:color w:val="1A1A1A"/>
          <w:shd w:val="clear" w:color="auto" w:fill="FFFFFF"/>
        </w:rPr>
        <w:t xml:space="preserve">Frankfurt, H. (1969). Alternate possibilities and moral responsibility. </w:t>
      </w:r>
      <w:r w:rsidRPr="006C203C">
        <w:rPr>
          <w:rStyle w:val="Emphasis"/>
          <w:color w:val="1A1A1A"/>
          <w:shd w:val="clear" w:color="auto" w:fill="FFFFFF"/>
        </w:rPr>
        <w:t>Journal of Philosophy</w:t>
      </w:r>
      <w:r w:rsidRPr="006C203C">
        <w:rPr>
          <w:color w:val="1A1A1A"/>
          <w:shd w:val="clear" w:color="auto" w:fill="FFFFFF"/>
        </w:rPr>
        <w:t xml:space="preserve">, </w:t>
      </w:r>
      <w:r w:rsidRPr="006C203C">
        <w:rPr>
          <w:i/>
          <w:color w:val="1A1A1A"/>
          <w:shd w:val="clear" w:color="auto" w:fill="FFFFFF"/>
        </w:rPr>
        <w:t>66</w:t>
      </w:r>
      <w:r w:rsidRPr="006C203C">
        <w:rPr>
          <w:color w:val="1A1A1A"/>
          <w:shd w:val="clear" w:color="auto" w:fill="FFFFFF"/>
        </w:rPr>
        <w:t>, 829–39.</w:t>
      </w:r>
    </w:p>
    <w:p w14:paraId="69A7A5D1" w14:textId="77777777" w:rsidR="00776493" w:rsidRPr="006C203C" w:rsidRDefault="00776493" w:rsidP="00776493">
      <w:pPr>
        <w:jc w:val="both"/>
      </w:pPr>
    </w:p>
    <w:p w14:paraId="5F91368A" w14:textId="77777777" w:rsidR="00776493" w:rsidRPr="006C203C" w:rsidRDefault="00776493" w:rsidP="00776493">
      <w:pPr>
        <w:spacing w:line="276" w:lineRule="auto"/>
      </w:pPr>
      <w:r w:rsidRPr="006C203C">
        <w:t xml:space="preserve">Franklin, C. (2011). Neo-Frankfurtians and buffer cases: The new challenge to the </w:t>
      </w:r>
    </w:p>
    <w:p w14:paraId="60E63063" w14:textId="77777777" w:rsidR="00776493" w:rsidRPr="006C203C" w:rsidRDefault="00776493" w:rsidP="00776493">
      <w:pPr>
        <w:spacing w:line="276" w:lineRule="auto"/>
      </w:pPr>
      <w:r w:rsidRPr="006C203C">
        <w:t xml:space="preserve">principle of alternative possibilities. </w:t>
      </w:r>
      <w:r w:rsidRPr="006C203C">
        <w:rPr>
          <w:i/>
        </w:rPr>
        <w:t>Philosophical Studies</w:t>
      </w:r>
      <w:r w:rsidRPr="006C203C">
        <w:t xml:space="preserve">, </w:t>
      </w:r>
      <w:r w:rsidRPr="006C203C">
        <w:rPr>
          <w:i/>
        </w:rPr>
        <w:t>152</w:t>
      </w:r>
      <w:r w:rsidRPr="006C203C">
        <w:rPr>
          <w:i/>
          <w:color w:val="333333"/>
          <w:shd w:val="clear" w:color="auto" w:fill="FFFFFF"/>
        </w:rPr>
        <w:t>(2)</w:t>
      </w:r>
      <w:r w:rsidRPr="006C203C">
        <w:rPr>
          <w:color w:val="333333"/>
          <w:shd w:val="clear" w:color="auto" w:fill="FFFFFF"/>
        </w:rPr>
        <w:t>, 189–207.</w:t>
      </w:r>
    </w:p>
    <w:p w14:paraId="6A59107C" w14:textId="75DA4F84" w:rsidR="001E5938" w:rsidRPr="006C203C" w:rsidRDefault="00CC6A31" w:rsidP="00CC5FD8">
      <w:pPr>
        <w:shd w:val="clear" w:color="auto" w:fill="FFFFFF"/>
        <w:spacing w:before="100" w:beforeAutospacing="1" w:after="120" w:line="300" w:lineRule="atLeast"/>
        <w:rPr>
          <w:color w:val="1A1A1A"/>
        </w:rPr>
      </w:pPr>
      <w:r w:rsidRPr="006C203C">
        <w:rPr>
          <w:color w:val="1A1A1A"/>
        </w:rPr>
        <w:t>Ginet, C. (1996). In defense of the principle of alternative possibilities: Why I don't find Frankfurt's argument convincing. </w:t>
      </w:r>
      <w:r w:rsidRPr="006C203C">
        <w:rPr>
          <w:rStyle w:val="Emphasis"/>
          <w:color w:val="1A1A1A"/>
        </w:rPr>
        <w:t>Philosophical Perspectives</w:t>
      </w:r>
      <w:r w:rsidRPr="006C203C">
        <w:rPr>
          <w:color w:val="1A1A1A"/>
        </w:rPr>
        <w:t xml:space="preserve">, </w:t>
      </w:r>
      <w:r w:rsidRPr="006C203C">
        <w:rPr>
          <w:i/>
          <w:color w:val="1A1A1A"/>
        </w:rPr>
        <w:t>10</w:t>
      </w:r>
      <w:r w:rsidRPr="006C203C">
        <w:rPr>
          <w:color w:val="1A1A1A"/>
        </w:rPr>
        <w:t>, 403–17.</w:t>
      </w:r>
    </w:p>
    <w:p w14:paraId="7A0A57D4" w14:textId="7E896288" w:rsidR="001E5938" w:rsidRPr="006C203C" w:rsidRDefault="00C663A1" w:rsidP="001E5938">
      <w:pPr>
        <w:jc w:val="both"/>
        <w:rPr>
          <w:rFonts w:eastAsiaTheme="minorHAnsi"/>
        </w:rPr>
      </w:pPr>
      <w:r w:rsidRPr="00496E2D">
        <w:rPr>
          <w:rFonts w:cstheme="minorHAnsi"/>
        </w:rPr>
        <w:lastRenderedPageBreak/>
        <w:t xml:space="preserve">Henrich, J., Heine, S.J., &amp; Norenzayan, A. (2010). The weirdest people in the world? </w:t>
      </w:r>
      <w:r w:rsidRPr="00496E2D">
        <w:rPr>
          <w:rFonts w:cstheme="minorHAnsi"/>
          <w:i/>
          <w:iCs/>
        </w:rPr>
        <w:t>Behavioral and Brain Sciences</w:t>
      </w:r>
      <w:r w:rsidRPr="00496E2D">
        <w:rPr>
          <w:rFonts w:cstheme="minorHAnsi"/>
        </w:rPr>
        <w:t xml:space="preserve">, </w:t>
      </w:r>
      <w:r w:rsidRPr="00496E2D">
        <w:rPr>
          <w:rFonts w:cstheme="minorHAnsi"/>
          <w:i/>
          <w:iCs/>
        </w:rPr>
        <w:t>33</w:t>
      </w:r>
      <w:r w:rsidRPr="00496E2D">
        <w:rPr>
          <w:rFonts w:cstheme="minorHAnsi"/>
        </w:rPr>
        <w:t>(2-3), 61–83.</w:t>
      </w:r>
    </w:p>
    <w:p w14:paraId="1742DC00" w14:textId="77777777" w:rsidR="00C663A1" w:rsidRDefault="00C663A1" w:rsidP="001E5938">
      <w:pPr>
        <w:jc w:val="both"/>
        <w:rPr>
          <w:rFonts w:eastAsiaTheme="minorHAnsi"/>
        </w:rPr>
      </w:pPr>
    </w:p>
    <w:p w14:paraId="5CE1042D" w14:textId="585D884D" w:rsidR="001E5938" w:rsidRPr="006C203C" w:rsidRDefault="001E5938" w:rsidP="001E5938">
      <w:pPr>
        <w:jc w:val="both"/>
      </w:pPr>
      <w:r w:rsidRPr="006C203C">
        <w:rPr>
          <w:rFonts w:eastAsiaTheme="minorHAnsi"/>
        </w:rPr>
        <w:t xml:space="preserve">Knobe, J. (2014). Free will and the scientific vision. In E. Machery &amp; E. O’neill (Eds.), </w:t>
      </w:r>
      <w:r w:rsidRPr="006C203C">
        <w:rPr>
          <w:rFonts w:eastAsiaTheme="minorHAnsi"/>
          <w:i/>
        </w:rPr>
        <w:t>Current controversies in experimental philosophy</w:t>
      </w:r>
      <w:r w:rsidRPr="006C203C">
        <w:rPr>
          <w:rFonts w:eastAsiaTheme="minorHAnsi"/>
        </w:rPr>
        <w:t xml:space="preserve"> (pp. 69–85). New York: Routledge.</w:t>
      </w:r>
    </w:p>
    <w:p w14:paraId="2AD92B92" w14:textId="77777777" w:rsidR="001E5938" w:rsidRPr="006C203C" w:rsidRDefault="001E5938" w:rsidP="001E5938">
      <w:pPr>
        <w:jc w:val="both"/>
      </w:pPr>
    </w:p>
    <w:p w14:paraId="6DAC0692" w14:textId="0A7C47F4" w:rsidR="00CD0190" w:rsidRPr="006C203C" w:rsidRDefault="00CD0190" w:rsidP="00CD0190">
      <w:pPr>
        <w:spacing w:after="160"/>
        <w:jc w:val="both"/>
        <w:rPr>
          <w:rFonts w:eastAsiaTheme="minorHAnsi"/>
        </w:rPr>
      </w:pPr>
      <w:r w:rsidRPr="006C203C">
        <w:rPr>
          <w:rFonts w:eastAsiaTheme="minorHAnsi"/>
        </w:rPr>
        <w:t xml:space="preserve">Lerner, M.J. (1980). </w:t>
      </w:r>
      <w:r w:rsidRPr="006C203C">
        <w:rPr>
          <w:rFonts w:eastAsiaTheme="minorHAnsi"/>
          <w:i/>
        </w:rPr>
        <w:t>The belief in a just world: A fundamental delusion</w:t>
      </w:r>
      <w:r w:rsidRPr="006C203C">
        <w:rPr>
          <w:rFonts w:eastAsiaTheme="minorHAnsi"/>
        </w:rPr>
        <w:t>. New York: Plenum Press.</w:t>
      </w:r>
    </w:p>
    <w:p w14:paraId="7B6F9245" w14:textId="67C89198" w:rsidR="000A3804" w:rsidRDefault="000A3804" w:rsidP="0058049E">
      <w:pPr>
        <w:shd w:val="clear" w:color="auto" w:fill="FFFFFF"/>
        <w:spacing w:beforeAutospacing="1" w:afterAutospacing="1"/>
        <w:textAlignment w:val="baseline"/>
      </w:pPr>
      <w:r w:rsidRPr="000A3804">
        <w:t xml:space="preserve">Murray, D., &amp; Nahmias, E. (2014). Explaining away incompatibilist intuitions. </w:t>
      </w:r>
      <w:r w:rsidRPr="000A3804">
        <w:rPr>
          <w:i/>
          <w:iCs/>
          <w:bdr w:val="none" w:sz="0" w:space="0" w:color="auto" w:frame="1"/>
        </w:rPr>
        <w:t>Philosophy and Phenomenological Research</w:t>
      </w:r>
      <w:r w:rsidRPr="000A3804">
        <w:t>, 88(2), 434-467.</w:t>
      </w:r>
    </w:p>
    <w:p w14:paraId="364B6959" w14:textId="0A41A5F7" w:rsidR="000A3804" w:rsidRDefault="00CC5FD8" w:rsidP="00CC5FD8">
      <w:pPr>
        <w:pStyle w:val="Default"/>
        <w:shd w:val="clear" w:color="auto" w:fill="FFFFFF" w:themeFill="background1"/>
        <w:jc w:val="both"/>
      </w:pPr>
      <w:r w:rsidRPr="006C203C">
        <w:t xml:space="preserve">Nahmias, E. (2006). Folk fears about freedom and responsibility: Determinism vs. reductionism. </w:t>
      </w:r>
      <w:r w:rsidRPr="006C203C">
        <w:rPr>
          <w:i/>
        </w:rPr>
        <w:t>Journal of Cognition and Culture</w:t>
      </w:r>
      <w:r w:rsidRPr="006C203C">
        <w:t xml:space="preserve">, </w:t>
      </w:r>
      <w:r w:rsidRPr="006C203C">
        <w:rPr>
          <w:i/>
        </w:rPr>
        <w:t>6</w:t>
      </w:r>
      <w:r w:rsidRPr="006C203C">
        <w:t>, 215-237.</w:t>
      </w:r>
    </w:p>
    <w:p w14:paraId="32F0814D" w14:textId="7C1171C7" w:rsidR="00CC5FD8" w:rsidRPr="000A3804" w:rsidRDefault="000A3804" w:rsidP="000A3804">
      <w:pPr>
        <w:shd w:val="clear" w:color="auto" w:fill="FFFFFF"/>
        <w:spacing w:beforeAutospacing="1" w:afterAutospacing="1"/>
        <w:textAlignment w:val="baseline"/>
      </w:pPr>
      <w:r w:rsidRPr="000A3804">
        <w:t>Na</w:t>
      </w:r>
      <w:r>
        <w:t>h</w:t>
      </w:r>
      <w:r w:rsidRPr="000A3804">
        <w:t xml:space="preserve">mias, E. (2011). Intuitions about free will, determinism, and bypassing. In R. Kane (Ed.), </w:t>
      </w:r>
      <w:r w:rsidRPr="000A3804">
        <w:rPr>
          <w:i/>
          <w:iCs/>
          <w:bdr w:val="none" w:sz="0" w:space="0" w:color="auto" w:frame="1"/>
        </w:rPr>
        <w:t>The Oxford handbook of free will, 2nd Edition</w:t>
      </w:r>
      <w:r w:rsidRPr="000A3804">
        <w:t xml:space="preserve"> (pp. 555-576). New York: Oxford University Press. </w:t>
      </w:r>
    </w:p>
    <w:p w14:paraId="1DDBD862" w14:textId="7AEEB707" w:rsidR="00913143" w:rsidRPr="006C203C" w:rsidRDefault="00913143" w:rsidP="00C918BB">
      <w:pPr>
        <w:jc w:val="both"/>
        <w:rPr>
          <w:iCs/>
        </w:rPr>
      </w:pPr>
      <w:r w:rsidRPr="006C203C">
        <w:rPr>
          <w:iCs/>
        </w:rPr>
        <w:t xml:space="preserve">Nahmias, E., Morris, S., Nadelhoffer, T., &amp; Turner, J. (2004). </w:t>
      </w:r>
      <w:r w:rsidR="00D572E7" w:rsidRPr="006C203C">
        <w:rPr>
          <w:iCs/>
        </w:rPr>
        <w:t xml:space="preserve">The phenomenology of free will. </w:t>
      </w:r>
      <w:r w:rsidR="00D572E7" w:rsidRPr="006C203C">
        <w:rPr>
          <w:i/>
          <w:iCs/>
        </w:rPr>
        <w:t>The Journal of Consciousness Studies</w:t>
      </w:r>
      <w:r w:rsidR="00D572E7" w:rsidRPr="006C203C">
        <w:t xml:space="preserve">, </w:t>
      </w:r>
      <w:r w:rsidR="00D572E7" w:rsidRPr="006C203C">
        <w:rPr>
          <w:i/>
        </w:rPr>
        <w:t>11</w:t>
      </w:r>
      <w:r w:rsidR="00D572E7" w:rsidRPr="006C203C">
        <w:t>, 162-179.</w:t>
      </w:r>
    </w:p>
    <w:p w14:paraId="79513ECC" w14:textId="77777777" w:rsidR="00913143" w:rsidRPr="006C203C" w:rsidRDefault="00913143" w:rsidP="00C918BB">
      <w:pPr>
        <w:jc w:val="both"/>
        <w:rPr>
          <w:iCs/>
        </w:rPr>
      </w:pPr>
    </w:p>
    <w:p w14:paraId="06129791" w14:textId="3EE6230F" w:rsidR="00A84DFB" w:rsidRPr="006C203C" w:rsidRDefault="00A84DFB" w:rsidP="00C918BB">
      <w:pPr>
        <w:jc w:val="both"/>
      </w:pPr>
      <w:r w:rsidRPr="006C203C">
        <w:rPr>
          <w:iCs/>
        </w:rPr>
        <w:t xml:space="preserve">Nahmias, E., Morris, S., Nadelhoffer, T., &amp; Turner, J. </w:t>
      </w:r>
      <w:r w:rsidR="00913143" w:rsidRPr="006C203C">
        <w:rPr>
          <w:iCs/>
        </w:rPr>
        <w:t>(</w:t>
      </w:r>
      <w:r w:rsidRPr="006C203C">
        <w:rPr>
          <w:iCs/>
        </w:rPr>
        <w:t>2005</w:t>
      </w:r>
      <w:r w:rsidR="00913143" w:rsidRPr="006C203C">
        <w:rPr>
          <w:iCs/>
        </w:rPr>
        <w:t>)</w:t>
      </w:r>
      <w:r w:rsidRPr="006C203C">
        <w:rPr>
          <w:iCs/>
        </w:rPr>
        <w:t>.</w:t>
      </w:r>
      <w:r w:rsidRPr="006C203C">
        <w:t xml:space="preserve"> Surveying free will: Folk </w:t>
      </w:r>
    </w:p>
    <w:p w14:paraId="38640134" w14:textId="1E1FAB48" w:rsidR="00A84DFB" w:rsidRPr="006C203C" w:rsidRDefault="00A84DFB" w:rsidP="00C918BB">
      <w:pPr>
        <w:jc w:val="both"/>
        <w:rPr>
          <w:i/>
          <w:iCs/>
        </w:rPr>
      </w:pPr>
      <w:r w:rsidRPr="006C203C">
        <w:t xml:space="preserve">intuitions about free will and moral responsibility. </w:t>
      </w:r>
      <w:r w:rsidRPr="006C203C">
        <w:rPr>
          <w:i/>
          <w:iCs/>
        </w:rPr>
        <w:t xml:space="preserve">Philosophical </w:t>
      </w:r>
      <w:r w:rsidRPr="006C203C">
        <w:rPr>
          <w:iCs/>
        </w:rPr>
        <w:t>Psychology</w:t>
      </w:r>
      <w:r w:rsidR="00D572E7" w:rsidRPr="006C203C">
        <w:rPr>
          <w:iCs/>
        </w:rPr>
        <w:t xml:space="preserve">, </w:t>
      </w:r>
      <w:r w:rsidRPr="006C203C">
        <w:rPr>
          <w:i/>
          <w:iCs/>
        </w:rPr>
        <w:t>18(5)</w:t>
      </w:r>
      <w:r w:rsidRPr="006C203C">
        <w:rPr>
          <w:iCs/>
        </w:rPr>
        <w:t xml:space="preserve">, 561-584. </w:t>
      </w:r>
    </w:p>
    <w:p w14:paraId="6B2D1EC4" w14:textId="77777777" w:rsidR="008B2C80" w:rsidRPr="006C203C" w:rsidRDefault="008B2C80" w:rsidP="00C918BB">
      <w:pPr>
        <w:jc w:val="both"/>
        <w:rPr>
          <w:iCs/>
        </w:rPr>
      </w:pPr>
    </w:p>
    <w:p w14:paraId="704E474F" w14:textId="28E2F69A" w:rsidR="00A84DFB" w:rsidRPr="006C203C" w:rsidRDefault="00913143" w:rsidP="00C918BB">
      <w:pPr>
        <w:jc w:val="both"/>
        <w:rPr>
          <w:iCs/>
        </w:rPr>
      </w:pPr>
      <w:r w:rsidRPr="006C203C">
        <w:rPr>
          <w:iCs/>
        </w:rPr>
        <w:t>Nahmias, E., Morris, S., Nadelhoffer, T., &amp; Turner, J.</w:t>
      </w:r>
      <w:r w:rsidR="00A84DFB" w:rsidRPr="006C203C">
        <w:rPr>
          <w:iCs/>
        </w:rPr>
        <w:t xml:space="preserve"> </w:t>
      </w:r>
      <w:r w:rsidRPr="006C203C">
        <w:rPr>
          <w:iCs/>
        </w:rPr>
        <w:t>(</w:t>
      </w:r>
      <w:r w:rsidR="00A84DFB" w:rsidRPr="006C203C">
        <w:rPr>
          <w:iCs/>
        </w:rPr>
        <w:t>2006</w:t>
      </w:r>
      <w:r w:rsidRPr="006C203C">
        <w:rPr>
          <w:iCs/>
        </w:rPr>
        <w:t>)</w:t>
      </w:r>
      <w:r w:rsidR="00A84DFB" w:rsidRPr="006C203C">
        <w:rPr>
          <w:iCs/>
        </w:rPr>
        <w:t xml:space="preserve">. Is incompatibilism intuitive? </w:t>
      </w:r>
      <w:r w:rsidR="00A84DFB" w:rsidRPr="006C203C">
        <w:rPr>
          <w:i/>
          <w:iCs/>
        </w:rPr>
        <w:t>Philosophy and Phenomenological Research</w:t>
      </w:r>
      <w:r w:rsidR="00A84DFB" w:rsidRPr="006C203C">
        <w:rPr>
          <w:iCs/>
        </w:rPr>
        <w:t xml:space="preserve">, </w:t>
      </w:r>
      <w:r w:rsidR="00A84DFB" w:rsidRPr="006C203C">
        <w:rPr>
          <w:i/>
          <w:iCs/>
        </w:rPr>
        <w:t>73</w:t>
      </w:r>
      <w:r w:rsidR="00A84DFB" w:rsidRPr="006C203C">
        <w:rPr>
          <w:iCs/>
        </w:rPr>
        <w:t>, 28-53.</w:t>
      </w:r>
    </w:p>
    <w:p w14:paraId="17C0C00D" w14:textId="77777777" w:rsidR="008B2C80" w:rsidRPr="006C203C" w:rsidRDefault="008B2C80" w:rsidP="00C918BB">
      <w:pPr>
        <w:pStyle w:val="Default"/>
        <w:shd w:val="clear" w:color="auto" w:fill="FFFFFF" w:themeFill="background1"/>
        <w:jc w:val="both"/>
      </w:pPr>
    </w:p>
    <w:p w14:paraId="50C6BD2C" w14:textId="1A1B140B" w:rsidR="00A84DFB" w:rsidRPr="006C203C" w:rsidRDefault="00A84DFB" w:rsidP="00C918BB">
      <w:pPr>
        <w:pStyle w:val="Default"/>
        <w:shd w:val="clear" w:color="auto" w:fill="FFFFFF" w:themeFill="background1"/>
        <w:jc w:val="both"/>
      </w:pPr>
      <w:r w:rsidRPr="006C203C">
        <w:t xml:space="preserve">Nahmias, E., &amp; Murray, D. </w:t>
      </w:r>
      <w:r w:rsidR="00913143" w:rsidRPr="006C203C">
        <w:t>(</w:t>
      </w:r>
      <w:r w:rsidRPr="006C203C">
        <w:t>2011</w:t>
      </w:r>
      <w:r w:rsidR="00913143" w:rsidRPr="006C203C">
        <w:t>)</w:t>
      </w:r>
      <w:r w:rsidRPr="006C203C">
        <w:t xml:space="preserve">. Experimental philosophy on free will: An error theory for </w:t>
      </w:r>
    </w:p>
    <w:p w14:paraId="73542C6E" w14:textId="6E192FA4" w:rsidR="00A84DFB" w:rsidRPr="006C203C" w:rsidRDefault="00A84DFB" w:rsidP="00C918BB">
      <w:pPr>
        <w:pStyle w:val="Default"/>
        <w:shd w:val="clear" w:color="auto" w:fill="FFFFFF" w:themeFill="background1"/>
        <w:jc w:val="both"/>
      </w:pPr>
      <w:r w:rsidRPr="006C203C">
        <w:t xml:space="preserve">incompatibilist intuitions. In J. Aguilar, A. Buckareff, &amp; K. Frankish (Eds.), </w:t>
      </w:r>
      <w:r w:rsidRPr="006C203C">
        <w:rPr>
          <w:i/>
          <w:iCs/>
        </w:rPr>
        <w:t xml:space="preserve">New </w:t>
      </w:r>
      <w:r w:rsidR="00D572E7" w:rsidRPr="006C203C">
        <w:rPr>
          <w:i/>
          <w:iCs/>
        </w:rPr>
        <w:t>w</w:t>
      </w:r>
      <w:r w:rsidRPr="006C203C">
        <w:rPr>
          <w:i/>
          <w:iCs/>
        </w:rPr>
        <w:t xml:space="preserve">aves in </w:t>
      </w:r>
      <w:r w:rsidR="00D572E7" w:rsidRPr="006C203C">
        <w:rPr>
          <w:i/>
          <w:iCs/>
        </w:rPr>
        <w:t>p</w:t>
      </w:r>
      <w:r w:rsidRPr="006C203C">
        <w:rPr>
          <w:i/>
          <w:iCs/>
        </w:rPr>
        <w:t xml:space="preserve">hilosophy of </w:t>
      </w:r>
      <w:r w:rsidR="00D572E7" w:rsidRPr="006C203C">
        <w:rPr>
          <w:i/>
          <w:iCs/>
        </w:rPr>
        <w:t>a</w:t>
      </w:r>
      <w:r w:rsidRPr="006C203C">
        <w:rPr>
          <w:i/>
          <w:iCs/>
        </w:rPr>
        <w:t>ction</w:t>
      </w:r>
      <w:r w:rsidR="00D572E7" w:rsidRPr="006C203C">
        <w:t xml:space="preserve"> (pp. 189-216). New York: </w:t>
      </w:r>
      <w:r w:rsidRPr="006C203C">
        <w:t>Palgrave-Macmillan.</w:t>
      </w:r>
    </w:p>
    <w:p w14:paraId="5D18CF8D" w14:textId="1BDF4272" w:rsidR="004329F1" w:rsidRPr="006C203C" w:rsidRDefault="004329F1" w:rsidP="00C918BB">
      <w:pPr>
        <w:pStyle w:val="Default"/>
        <w:shd w:val="clear" w:color="auto" w:fill="FFFFFF" w:themeFill="background1"/>
        <w:jc w:val="both"/>
      </w:pPr>
    </w:p>
    <w:p w14:paraId="52C516F0" w14:textId="1E2AAFEE" w:rsidR="005008AE" w:rsidRPr="006C203C" w:rsidRDefault="004329F1" w:rsidP="00231405">
      <w:pPr>
        <w:pStyle w:val="Default"/>
        <w:shd w:val="clear" w:color="auto" w:fill="FFFFFF" w:themeFill="background1"/>
        <w:jc w:val="both"/>
      </w:pPr>
      <w:r w:rsidRPr="006C203C">
        <w:t xml:space="preserve">Nahmias, E., Shepard, J., &amp; Reuter, S. (2014). It’s OK if ‘my brain made me do it’: People’s intuitions about free will and neuroscientific prediction. </w:t>
      </w:r>
      <w:r w:rsidRPr="006C203C">
        <w:rPr>
          <w:i/>
        </w:rPr>
        <w:t>Cognition</w:t>
      </w:r>
      <w:r w:rsidRPr="006C203C">
        <w:t xml:space="preserve">, </w:t>
      </w:r>
      <w:r w:rsidRPr="006C203C">
        <w:rPr>
          <w:i/>
        </w:rPr>
        <w:t>133</w:t>
      </w:r>
      <w:r w:rsidRPr="006C203C">
        <w:t>, 502-516.</w:t>
      </w:r>
    </w:p>
    <w:p w14:paraId="3D6373EE" w14:textId="77777777" w:rsidR="005008AE" w:rsidRPr="006C203C" w:rsidRDefault="005008AE" w:rsidP="00C918BB">
      <w:pPr>
        <w:jc w:val="both"/>
      </w:pPr>
    </w:p>
    <w:p w14:paraId="0F2D0D40" w14:textId="1A2684E5" w:rsidR="00587703" w:rsidRPr="006C203C" w:rsidRDefault="00587703" w:rsidP="00C918BB">
      <w:pPr>
        <w:jc w:val="both"/>
      </w:pPr>
      <w:r w:rsidRPr="006C203C">
        <w:t xml:space="preserve">Nichols, S., &amp; Knobe, J. </w:t>
      </w:r>
      <w:r w:rsidR="00913143" w:rsidRPr="006C203C">
        <w:t>(</w:t>
      </w:r>
      <w:r w:rsidRPr="006C203C">
        <w:t>2007</w:t>
      </w:r>
      <w:r w:rsidR="00913143" w:rsidRPr="006C203C">
        <w:t>)</w:t>
      </w:r>
      <w:r w:rsidRPr="006C203C">
        <w:t xml:space="preserve">. Moral responsibility and determinism: The Cognitive science of folk intuition. </w:t>
      </w:r>
      <w:r w:rsidRPr="006C203C">
        <w:rPr>
          <w:i/>
          <w:iCs/>
        </w:rPr>
        <w:t>No</w:t>
      </w:r>
      <w:r w:rsidR="00913143" w:rsidRPr="006C203C">
        <w:rPr>
          <w:i/>
          <w:iCs/>
        </w:rPr>
        <w:t>û</w:t>
      </w:r>
      <w:r w:rsidRPr="006C203C">
        <w:rPr>
          <w:i/>
          <w:iCs/>
        </w:rPr>
        <w:t>s</w:t>
      </w:r>
      <w:r w:rsidRPr="006C203C">
        <w:t xml:space="preserve">, </w:t>
      </w:r>
      <w:r w:rsidRPr="006C203C">
        <w:rPr>
          <w:i/>
        </w:rPr>
        <w:t>41</w:t>
      </w:r>
      <w:r w:rsidRPr="006C203C">
        <w:t>, 663-685.</w:t>
      </w:r>
    </w:p>
    <w:p w14:paraId="2BBE08A6" w14:textId="77777777" w:rsidR="008B2C80" w:rsidRPr="006C203C" w:rsidRDefault="008B2C80" w:rsidP="00C918BB">
      <w:pPr>
        <w:jc w:val="both"/>
      </w:pPr>
    </w:p>
    <w:p w14:paraId="001C0D98" w14:textId="38ED2F97" w:rsidR="00BA5841" w:rsidRPr="006C203C" w:rsidRDefault="00BA5841" w:rsidP="00BA5841">
      <w:pPr>
        <w:spacing w:after="160"/>
        <w:jc w:val="both"/>
        <w:rPr>
          <w:rFonts w:eastAsiaTheme="minorHAnsi"/>
        </w:rPr>
      </w:pPr>
      <w:r w:rsidRPr="006C203C">
        <w:rPr>
          <w:rFonts w:eastAsiaTheme="minorHAnsi"/>
        </w:rPr>
        <w:t xml:space="preserve">Paolacci, G., Chandler, J., and Ipeirotis, P. (2010). Running experiments on Amazon Mechanical Turk. </w:t>
      </w:r>
      <w:r w:rsidRPr="006C203C">
        <w:rPr>
          <w:rFonts w:eastAsiaTheme="minorHAnsi"/>
          <w:i/>
        </w:rPr>
        <w:t>Judgment and Decision Making</w:t>
      </w:r>
      <w:r w:rsidRPr="006C203C">
        <w:rPr>
          <w:rFonts w:eastAsiaTheme="minorHAnsi"/>
        </w:rPr>
        <w:t>,</w:t>
      </w:r>
      <w:r w:rsidRPr="006C203C">
        <w:rPr>
          <w:rFonts w:eastAsiaTheme="minorHAnsi"/>
          <w:i/>
        </w:rPr>
        <w:t xml:space="preserve"> 5</w:t>
      </w:r>
      <w:r w:rsidRPr="006C203C">
        <w:rPr>
          <w:rFonts w:eastAsiaTheme="minorHAnsi"/>
        </w:rPr>
        <w:t>, 411-419.</w:t>
      </w:r>
    </w:p>
    <w:p w14:paraId="5529B4F4" w14:textId="0D2FDC1D" w:rsidR="00587703" w:rsidRPr="006C203C" w:rsidRDefault="00587703" w:rsidP="00C918BB">
      <w:pPr>
        <w:jc w:val="both"/>
      </w:pPr>
      <w:r w:rsidRPr="006C203C">
        <w:t xml:space="preserve">Pereboom, D. </w:t>
      </w:r>
      <w:r w:rsidR="00913143" w:rsidRPr="006C203C">
        <w:t>(</w:t>
      </w:r>
      <w:r w:rsidRPr="006C203C">
        <w:t>2001</w:t>
      </w:r>
      <w:r w:rsidR="00913143" w:rsidRPr="006C203C">
        <w:t>)</w:t>
      </w:r>
      <w:r w:rsidRPr="006C203C">
        <w:t xml:space="preserve">. </w:t>
      </w:r>
      <w:r w:rsidRPr="006C203C">
        <w:rPr>
          <w:i/>
        </w:rPr>
        <w:t xml:space="preserve">Living without free will. </w:t>
      </w:r>
      <w:r w:rsidRPr="006C203C">
        <w:t xml:space="preserve">Cambridge, UK: Cambridge University </w:t>
      </w:r>
    </w:p>
    <w:p w14:paraId="3C0FE376" w14:textId="77777777" w:rsidR="00587703" w:rsidRPr="006C203C" w:rsidRDefault="00587703" w:rsidP="00C918BB">
      <w:pPr>
        <w:jc w:val="both"/>
      </w:pPr>
      <w:r w:rsidRPr="006C203C">
        <w:t>Press.</w:t>
      </w:r>
    </w:p>
    <w:p w14:paraId="28EA6BE1" w14:textId="77777777" w:rsidR="008B2C80" w:rsidRPr="006C203C" w:rsidRDefault="008B2C80" w:rsidP="00C918BB">
      <w:pPr>
        <w:jc w:val="both"/>
      </w:pPr>
    </w:p>
    <w:p w14:paraId="7223DF61" w14:textId="4C785AAA" w:rsidR="00BA5841" w:rsidRPr="006C203C" w:rsidRDefault="00BA5841" w:rsidP="00BA5841">
      <w:pPr>
        <w:spacing w:after="160"/>
        <w:jc w:val="both"/>
        <w:rPr>
          <w:rFonts w:eastAsiaTheme="minorHAnsi"/>
        </w:rPr>
      </w:pPr>
      <w:r w:rsidRPr="006C203C">
        <w:rPr>
          <w:rFonts w:eastAsiaTheme="minorHAnsi"/>
        </w:rPr>
        <w:t xml:space="preserve">Rand, G. (2012). The promise of Mechanical Turk: How online labor markets can help theorists run behavioral experiments. </w:t>
      </w:r>
      <w:r w:rsidRPr="006C203C">
        <w:rPr>
          <w:rFonts w:eastAsiaTheme="minorHAnsi"/>
          <w:i/>
        </w:rPr>
        <w:t>Journal of Theoretical Biology</w:t>
      </w:r>
      <w:r w:rsidRPr="006C203C">
        <w:rPr>
          <w:rFonts w:eastAsiaTheme="minorHAnsi"/>
        </w:rPr>
        <w:t xml:space="preserve">, </w:t>
      </w:r>
      <w:r w:rsidRPr="006C203C">
        <w:rPr>
          <w:rFonts w:eastAsiaTheme="minorHAnsi"/>
          <w:i/>
        </w:rPr>
        <w:t>299</w:t>
      </w:r>
      <w:r w:rsidRPr="006C203C">
        <w:rPr>
          <w:rFonts w:eastAsiaTheme="minorHAnsi"/>
        </w:rPr>
        <w:t>, 172–179.</w:t>
      </w:r>
    </w:p>
    <w:p w14:paraId="2543D460" w14:textId="74EAE36E" w:rsidR="00571CAC" w:rsidRPr="006C203C" w:rsidRDefault="00571CAC" w:rsidP="00C918BB">
      <w:pPr>
        <w:jc w:val="both"/>
      </w:pPr>
      <w:r w:rsidRPr="006C203C">
        <w:lastRenderedPageBreak/>
        <w:t xml:space="preserve">Rose, D., Buckwalter, W., &amp; Nichols. (2016). Neuroscientific prediction and the intrusion of intuitive metaphysics. </w:t>
      </w:r>
      <w:r w:rsidRPr="006C203C">
        <w:rPr>
          <w:i/>
        </w:rPr>
        <w:t>Cognitive Science</w:t>
      </w:r>
      <w:r w:rsidRPr="006C203C">
        <w:t xml:space="preserve">, </w:t>
      </w:r>
      <w:r w:rsidRPr="006C203C">
        <w:rPr>
          <w:i/>
        </w:rPr>
        <w:t>41(2)</w:t>
      </w:r>
      <w:r w:rsidRPr="006C203C">
        <w:t>, 482-502.</w:t>
      </w:r>
    </w:p>
    <w:p w14:paraId="44646843" w14:textId="77777777" w:rsidR="00571CAC" w:rsidRPr="006C203C" w:rsidRDefault="00571CAC" w:rsidP="00C918BB">
      <w:pPr>
        <w:jc w:val="both"/>
      </w:pPr>
    </w:p>
    <w:p w14:paraId="1DE3268E" w14:textId="12E639CB" w:rsidR="00C918BB" w:rsidRPr="006C203C" w:rsidRDefault="00C918BB" w:rsidP="00C918BB">
      <w:pPr>
        <w:jc w:val="both"/>
      </w:pPr>
      <w:r w:rsidRPr="006C203C">
        <w:t xml:space="preserve">Rose, D., &amp; Nichols, S. (2013). The lesson of bypassing. </w:t>
      </w:r>
      <w:r w:rsidRPr="006C203C">
        <w:rPr>
          <w:i/>
        </w:rPr>
        <w:t>Review of Philosophy and Psychology</w:t>
      </w:r>
      <w:r w:rsidRPr="006C203C">
        <w:t xml:space="preserve">, </w:t>
      </w:r>
      <w:r w:rsidRPr="006C203C">
        <w:rPr>
          <w:i/>
        </w:rPr>
        <w:t>4</w:t>
      </w:r>
      <w:r w:rsidRPr="006C203C">
        <w:t>, 599-619.</w:t>
      </w:r>
    </w:p>
    <w:p w14:paraId="49951299" w14:textId="77777777" w:rsidR="00C918BB" w:rsidRPr="006C203C" w:rsidRDefault="00C918BB" w:rsidP="00C918BB">
      <w:pPr>
        <w:jc w:val="both"/>
      </w:pPr>
    </w:p>
    <w:p w14:paraId="71C4FF3A" w14:textId="2D804A9C" w:rsidR="00CC5FD8" w:rsidRPr="006C203C" w:rsidRDefault="007244EB" w:rsidP="00CC5FD8">
      <w:pPr>
        <w:spacing w:after="160"/>
        <w:jc w:val="both"/>
        <w:rPr>
          <w:rFonts w:eastAsiaTheme="minorHAnsi"/>
        </w:rPr>
      </w:pPr>
      <w:r w:rsidRPr="006C203C">
        <w:rPr>
          <w:rFonts w:eastAsiaTheme="minorHAnsi"/>
        </w:rPr>
        <w:t xml:space="preserve">Ross, L. (1977). The intuitive psychologist and his shortcomings: Distortions in the attribution process. In L. Berkowitz (Ed.), </w:t>
      </w:r>
      <w:r w:rsidRPr="006C203C">
        <w:rPr>
          <w:rFonts w:eastAsiaTheme="minorHAnsi"/>
          <w:i/>
        </w:rPr>
        <w:t>Advances in experimental social psychology</w:t>
      </w:r>
      <w:r w:rsidRPr="006C203C">
        <w:rPr>
          <w:rFonts w:eastAsiaTheme="minorHAnsi"/>
        </w:rPr>
        <w:t xml:space="preserve"> (Vol. 10, pp. 173–220). New York: Academic Press.</w:t>
      </w:r>
    </w:p>
    <w:p w14:paraId="5744BBD8" w14:textId="77777777" w:rsidR="00B211ED" w:rsidRPr="006C203C" w:rsidRDefault="00B211ED" w:rsidP="00B211ED">
      <w:pPr>
        <w:jc w:val="both"/>
      </w:pPr>
      <w:r w:rsidRPr="006C203C">
        <w:t>Sarkissian, H., Chatterjee, A., De Brigard, F., Knobe, J., Nichols, S., &amp; Sirker, S. (2010). Is belief in free will a cultural universal? Mind &amp; Language, 35, 346-358.</w:t>
      </w:r>
    </w:p>
    <w:p w14:paraId="6E5C7731" w14:textId="77777777" w:rsidR="00C918BB" w:rsidRPr="006C203C" w:rsidRDefault="00C918BB" w:rsidP="00C918BB">
      <w:pPr>
        <w:jc w:val="both"/>
      </w:pPr>
    </w:p>
    <w:p w14:paraId="7213BC66" w14:textId="2DBB122C" w:rsidR="00E13952" w:rsidRPr="006C203C" w:rsidRDefault="00E50F15" w:rsidP="00CC5FD8">
      <w:pPr>
        <w:spacing w:after="160"/>
        <w:jc w:val="both"/>
        <w:rPr>
          <w:rFonts w:eastAsiaTheme="minorHAnsi"/>
        </w:rPr>
      </w:pPr>
      <w:r w:rsidRPr="006C203C">
        <w:rPr>
          <w:rFonts w:eastAsiaTheme="minorHAnsi"/>
        </w:rPr>
        <w:t xml:space="preserve">Sidák, Z. (1967). Rectangular confidence regions for the means of multivariate normal  distributions. </w:t>
      </w:r>
      <w:r w:rsidRPr="006C203C">
        <w:rPr>
          <w:rFonts w:eastAsiaTheme="minorHAnsi"/>
          <w:i/>
        </w:rPr>
        <w:t>Journal of the American Statistical Association</w:t>
      </w:r>
      <w:r w:rsidRPr="006C203C">
        <w:rPr>
          <w:rFonts w:eastAsiaTheme="minorHAnsi"/>
        </w:rPr>
        <w:t xml:space="preserve">, </w:t>
      </w:r>
      <w:r w:rsidRPr="006C203C">
        <w:rPr>
          <w:rFonts w:eastAsiaTheme="minorHAnsi"/>
          <w:i/>
        </w:rPr>
        <w:t>62(318)</w:t>
      </w:r>
      <w:r w:rsidRPr="006C203C">
        <w:rPr>
          <w:rFonts w:eastAsiaTheme="minorHAnsi"/>
        </w:rPr>
        <w:t>, 626-633.</w:t>
      </w:r>
    </w:p>
    <w:p w14:paraId="7DE9249E" w14:textId="77777777" w:rsidR="000743F8" w:rsidRDefault="000743F8" w:rsidP="000743F8">
      <w:pPr>
        <w:tabs>
          <w:tab w:val="left" w:pos="284"/>
        </w:tabs>
        <w:autoSpaceDE w:val="0"/>
        <w:autoSpaceDN w:val="0"/>
        <w:adjustRightInd w:val="0"/>
        <w:spacing w:after="160" w:line="256" w:lineRule="auto"/>
        <w:ind w:left="851" w:hanging="851"/>
        <w:contextualSpacing/>
        <w:rPr>
          <w:rFonts w:eastAsiaTheme="minorHAnsi"/>
          <w:color w:val="000000" w:themeColor="text1"/>
          <w:shd w:val="clear" w:color="auto" w:fill="FFFFFF"/>
        </w:rPr>
      </w:pPr>
      <w:r w:rsidRPr="000743F8">
        <w:rPr>
          <w:rFonts w:eastAsiaTheme="minorHAnsi"/>
          <w:color w:val="000000"/>
        </w:rPr>
        <w:t xml:space="preserve">Simmons, J. P., Nelson, L. D., &amp; Simonsohn, U. (2012). A 21 word solution. </w:t>
      </w:r>
      <w:r w:rsidRPr="000743F8">
        <w:rPr>
          <w:rFonts w:eastAsiaTheme="minorHAnsi"/>
          <w:i/>
          <w:iCs/>
          <w:color w:val="000000" w:themeColor="text1"/>
        </w:rPr>
        <w:t>Dialogue: The</w:t>
      </w:r>
    </w:p>
    <w:p w14:paraId="11CD4C7B" w14:textId="41D9F647" w:rsidR="000743F8" w:rsidRPr="000743F8" w:rsidRDefault="000743F8" w:rsidP="000743F8">
      <w:pPr>
        <w:tabs>
          <w:tab w:val="left" w:pos="284"/>
        </w:tabs>
        <w:autoSpaceDE w:val="0"/>
        <w:autoSpaceDN w:val="0"/>
        <w:adjustRightInd w:val="0"/>
        <w:spacing w:after="160" w:line="256" w:lineRule="auto"/>
        <w:ind w:left="851" w:hanging="851"/>
        <w:contextualSpacing/>
        <w:rPr>
          <w:rFonts w:eastAsiaTheme="minorHAnsi"/>
          <w:i/>
          <w:iCs/>
          <w:color w:val="000000" w:themeColor="text1"/>
        </w:rPr>
      </w:pPr>
      <w:r w:rsidRPr="000743F8">
        <w:rPr>
          <w:rFonts w:eastAsiaTheme="minorHAnsi"/>
          <w:i/>
          <w:iCs/>
          <w:color w:val="000000" w:themeColor="text1"/>
        </w:rPr>
        <w:t>Official</w:t>
      </w:r>
      <w:r>
        <w:rPr>
          <w:rFonts w:eastAsiaTheme="minorHAnsi"/>
          <w:i/>
          <w:iCs/>
          <w:color w:val="000000" w:themeColor="text1"/>
        </w:rPr>
        <w:t xml:space="preserve"> </w:t>
      </w:r>
      <w:r w:rsidRPr="000743F8">
        <w:rPr>
          <w:rFonts w:eastAsiaTheme="minorHAnsi"/>
          <w:i/>
          <w:iCs/>
          <w:color w:val="000000" w:themeColor="text1"/>
        </w:rPr>
        <w:t>Newsletter of the Society for Personality and Social Psychology</w:t>
      </w:r>
      <w:r w:rsidRPr="000743F8">
        <w:rPr>
          <w:rFonts w:eastAsiaTheme="minorHAnsi"/>
          <w:color w:val="000000" w:themeColor="text1"/>
        </w:rPr>
        <w:t xml:space="preserve">, </w:t>
      </w:r>
      <w:r w:rsidRPr="000743F8">
        <w:rPr>
          <w:rFonts w:eastAsiaTheme="minorHAnsi"/>
          <w:i/>
          <w:iCs/>
          <w:color w:val="000000" w:themeColor="text1"/>
        </w:rPr>
        <w:t>26</w:t>
      </w:r>
      <w:r w:rsidRPr="000743F8">
        <w:rPr>
          <w:rFonts w:eastAsiaTheme="minorHAnsi"/>
          <w:color w:val="000000" w:themeColor="text1"/>
        </w:rPr>
        <w:t>, 4–7.</w:t>
      </w:r>
    </w:p>
    <w:p w14:paraId="0BFBBFA9" w14:textId="77777777" w:rsidR="000743F8" w:rsidRPr="000743F8" w:rsidRDefault="000743F8" w:rsidP="000743F8">
      <w:pPr>
        <w:tabs>
          <w:tab w:val="left" w:pos="284"/>
        </w:tabs>
        <w:autoSpaceDE w:val="0"/>
        <w:autoSpaceDN w:val="0"/>
        <w:adjustRightInd w:val="0"/>
        <w:spacing w:after="160" w:line="256" w:lineRule="auto"/>
        <w:ind w:left="851" w:hanging="851"/>
        <w:contextualSpacing/>
        <w:rPr>
          <w:rFonts w:eastAsiaTheme="minorHAnsi"/>
          <w:color w:val="000000" w:themeColor="text1"/>
        </w:rPr>
      </w:pPr>
      <w:hyperlink r:id="rId13" w:history="1">
        <w:r w:rsidRPr="000743F8">
          <w:rPr>
            <w:rFonts w:eastAsiaTheme="minorHAnsi"/>
            <w:color w:val="0000FF"/>
            <w:u w:val="single"/>
          </w:rPr>
          <w:t>http://dx.doi.org/10.2139/ssrn.2160588</w:t>
        </w:r>
      </w:hyperlink>
      <w:r w:rsidRPr="000743F8">
        <w:rPr>
          <w:rFonts w:eastAsiaTheme="minorHAnsi"/>
          <w:color w:val="000000" w:themeColor="text1"/>
        </w:rPr>
        <w:t xml:space="preserve"> </w:t>
      </w:r>
    </w:p>
    <w:p w14:paraId="6882AE26" w14:textId="77777777" w:rsidR="000743F8" w:rsidRDefault="000743F8" w:rsidP="007244EB">
      <w:pPr>
        <w:ind w:left="720" w:hanging="720"/>
        <w:jc w:val="both"/>
      </w:pPr>
    </w:p>
    <w:p w14:paraId="394C36EB" w14:textId="68859A70" w:rsidR="00231405" w:rsidRPr="006C203C" w:rsidRDefault="007244EB" w:rsidP="007244EB">
      <w:pPr>
        <w:ind w:left="720" w:hanging="720"/>
        <w:jc w:val="both"/>
      </w:pPr>
      <w:r w:rsidRPr="006C203C">
        <w:t>Taylor, S. &amp; Brown, J. (1988). Illusion and well-being: A social psychological perspective of</w:t>
      </w:r>
    </w:p>
    <w:p w14:paraId="6C8D8442" w14:textId="62399855" w:rsidR="007244EB" w:rsidRPr="006C203C" w:rsidRDefault="00231405" w:rsidP="00231405">
      <w:pPr>
        <w:ind w:left="720" w:hanging="720"/>
        <w:jc w:val="both"/>
      </w:pPr>
      <w:r w:rsidRPr="006C203C">
        <w:t>m</w:t>
      </w:r>
      <w:r w:rsidR="007244EB" w:rsidRPr="006C203C">
        <w:t>ental</w:t>
      </w:r>
      <w:r w:rsidRPr="006C203C">
        <w:t xml:space="preserve"> </w:t>
      </w:r>
      <w:r w:rsidR="007244EB" w:rsidRPr="006C203C">
        <w:t xml:space="preserve">health. </w:t>
      </w:r>
      <w:r w:rsidR="007244EB" w:rsidRPr="006C203C">
        <w:rPr>
          <w:i/>
        </w:rPr>
        <w:t>Psychological Bulletin</w:t>
      </w:r>
      <w:r w:rsidR="007244EB" w:rsidRPr="006C203C">
        <w:t xml:space="preserve">, </w:t>
      </w:r>
      <w:r w:rsidR="007244EB" w:rsidRPr="006C203C">
        <w:rPr>
          <w:i/>
        </w:rPr>
        <w:t>103(2)</w:t>
      </w:r>
      <w:r w:rsidR="007244EB" w:rsidRPr="006C203C">
        <w:t>, 193-210.</w:t>
      </w:r>
    </w:p>
    <w:p w14:paraId="7F35D4BE" w14:textId="77777777" w:rsidR="007244EB" w:rsidRPr="006C203C" w:rsidRDefault="007244EB" w:rsidP="00C918BB">
      <w:pPr>
        <w:jc w:val="both"/>
      </w:pPr>
    </w:p>
    <w:p w14:paraId="29B8F26E" w14:textId="77777777" w:rsidR="001E5938" w:rsidRPr="006C203C" w:rsidRDefault="001E5938" w:rsidP="001E5938">
      <w:pPr>
        <w:jc w:val="both"/>
        <w:rPr>
          <w:rFonts w:eastAsia="Cambria"/>
        </w:rPr>
      </w:pPr>
      <w:r w:rsidRPr="006C203C">
        <w:rPr>
          <w:rFonts w:eastAsia="Cambria"/>
        </w:rPr>
        <w:t xml:space="preserve">Turri, J. (2017). Exceptionalist naturalism: Human agency and the causal order. </w:t>
      </w:r>
      <w:r w:rsidRPr="006C203C">
        <w:rPr>
          <w:rFonts w:eastAsia="Cambria"/>
          <w:i/>
        </w:rPr>
        <w:t>The Quarterly Journal of Experimental Psychology</w:t>
      </w:r>
      <w:r w:rsidRPr="006C203C">
        <w:rPr>
          <w:rFonts w:eastAsia="Cambria"/>
        </w:rPr>
        <w:t xml:space="preserve">, 1-16. </w:t>
      </w:r>
      <w:hyperlink r:id="rId14" w:history="1">
        <w:r w:rsidRPr="006C203C">
          <w:rPr>
            <w:rFonts w:eastAsiaTheme="minorHAnsi"/>
            <w:color w:val="0000FF"/>
            <w:u w:val="single"/>
            <w:shd w:val="clear" w:color="auto" w:fill="FFFFFF"/>
          </w:rPr>
          <w:t>https://doi.org/10.1080/17470218.2016.1251472</w:t>
        </w:r>
      </w:hyperlink>
      <w:r w:rsidRPr="006C203C">
        <w:rPr>
          <w:rFonts w:eastAsiaTheme="minorHAnsi"/>
        </w:rPr>
        <w:t xml:space="preserve"> </w:t>
      </w:r>
    </w:p>
    <w:p w14:paraId="6894A633" w14:textId="77777777" w:rsidR="001E5938" w:rsidRPr="006C203C" w:rsidRDefault="001E5938" w:rsidP="00776493">
      <w:pPr>
        <w:spacing w:line="276" w:lineRule="auto"/>
      </w:pPr>
    </w:p>
    <w:p w14:paraId="5705FB5A" w14:textId="7C29BF16" w:rsidR="00776493" w:rsidRPr="006C203C" w:rsidRDefault="00776493" w:rsidP="00776493">
      <w:pPr>
        <w:spacing w:line="276" w:lineRule="auto"/>
      </w:pPr>
      <w:r w:rsidRPr="006C203C">
        <w:t xml:space="preserve">van Inwagen, P. (1978). Ability and responsibility. </w:t>
      </w:r>
      <w:r w:rsidRPr="006C203C">
        <w:rPr>
          <w:i/>
        </w:rPr>
        <w:t>Philosophical Review</w:t>
      </w:r>
      <w:r w:rsidRPr="006C203C">
        <w:t xml:space="preserve">, </w:t>
      </w:r>
      <w:r w:rsidRPr="006C203C">
        <w:rPr>
          <w:i/>
        </w:rPr>
        <w:t>87(2)</w:t>
      </w:r>
      <w:r w:rsidRPr="006C203C">
        <w:t xml:space="preserve">, </w:t>
      </w:r>
      <w:r w:rsidRPr="006C203C">
        <w:rPr>
          <w:color w:val="333333"/>
          <w:shd w:val="clear" w:color="auto" w:fill="FFFFFF"/>
        </w:rPr>
        <w:t>201-224.</w:t>
      </w:r>
    </w:p>
    <w:p w14:paraId="01E1F48E" w14:textId="77777777" w:rsidR="00E13952" w:rsidRPr="006C203C" w:rsidRDefault="00E13952" w:rsidP="00776493">
      <w:pPr>
        <w:spacing w:line="276" w:lineRule="auto"/>
      </w:pPr>
    </w:p>
    <w:p w14:paraId="451E3633" w14:textId="1FF48012" w:rsidR="00776493" w:rsidRPr="006C203C" w:rsidRDefault="00776493" w:rsidP="00776493">
      <w:pPr>
        <w:spacing w:line="276" w:lineRule="auto"/>
      </w:pPr>
      <w:r w:rsidRPr="006C203C">
        <w:t xml:space="preserve">Widerker, D. (1995). Libertarianism and Frankfurt’s attack on the principle of alternative </w:t>
      </w:r>
    </w:p>
    <w:p w14:paraId="7B5348D6" w14:textId="30DE2D15" w:rsidR="00776493" w:rsidRPr="006C203C" w:rsidRDefault="00776493" w:rsidP="00776493">
      <w:pPr>
        <w:spacing w:line="276" w:lineRule="auto"/>
      </w:pPr>
      <w:r w:rsidRPr="006C203C">
        <w:t xml:space="preserve">Possibilities. </w:t>
      </w:r>
      <w:r w:rsidRPr="006C203C">
        <w:rPr>
          <w:i/>
        </w:rPr>
        <w:t>Philosophical Review</w:t>
      </w:r>
      <w:r w:rsidRPr="006C203C">
        <w:t xml:space="preserve">, </w:t>
      </w:r>
      <w:r w:rsidRPr="006C203C">
        <w:rPr>
          <w:i/>
          <w:color w:val="1A1A1A"/>
          <w:shd w:val="clear" w:color="auto" w:fill="FFFFFF"/>
        </w:rPr>
        <w:t>104(2)</w:t>
      </w:r>
      <w:r w:rsidRPr="006C203C">
        <w:rPr>
          <w:color w:val="1A1A1A"/>
          <w:shd w:val="clear" w:color="auto" w:fill="FFFFFF"/>
        </w:rPr>
        <w:t>, 247–261.</w:t>
      </w:r>
    </w:p>
    <w:bookmarkEnd w:id="1"/>
    <w:p w14:paraId="18FD02B8" w14:textId="4C04E524" w:rsidR="008778CD" w:rsidRPr="006C203C" w:rsidRDefault="008778CD" w:rsidP="00C918BB">
      <w:pPr>
        <w:jc w:val="both"/>
      </w:pPr>
    </w:p>
    <w:p w14:paraId="72D76606" w14:textId="77777777" w:rsidR="00776493" w:rsidRPr="006C203C" w:rsidRDefault="00776493" w:rsidP="00C918BB">
      <w:pPr>
        <w:jc w:val="both"/>
      </w:pPr>
    </w:p>
    <w:p w14:paraId="77CDB8D3" w14:textId="77777777" w:rsidR="00F90535" w:rsidRPr="006C203C" w:rsidRDefault="00F90535" w:rsidP="00FF54DA">
      <w:pPr>
        <w:spacing w:line="276" w:lineRule="auto"/>
      </w:pPr>
    </w:p>
    <w:p w14:paraId="29331BAA" w14:textId="77777777" w:rsidR="00FF54DA" w:rsidRPr="006C203C" w:rsidRDefault="00FF54DA" w:rsidP="00FF54DA">
      <w:pPr>
        <w:spacing w:line="276" w:lineRule="auto"/>
        <w:rPr>
          <w:bCs/>
          <w:color w:val="000000"/>
        </w:rPr>
      </w:pPr>
    </w:p>
    <w:p w14:paraId="50F61B5F" w14:textId="77777777" w:rsidR="00FF54DA" w:rsidRPr="006C203C" w:rsidRDefault="00FF54DA" w:rsidP="00FF54DA">
      <w:pPr>
        <w:spacing w:line="276" w:lineRule="auto"/>
      </w:pPr>
    </w:p>
    <w:sectPr w:rsidR="00FF54DA" w:rsidRPr="006C20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E317A" w14:textId="77777777" w:rsidR="00023D08" w:rsidRDefault="00023D08" w:rsidP="008778CD">
      <w:r>
        <w:separator/>
      </w:r>
    </w:p>
  </w:endnote>
  <w:endnote w:type="continuationSeparator" w:id="0">
    <w:p w14:paraId="6EFD5585" w14:textId="77777777" w:rsidR="00023D08" w:rsidRDefault="00023D08" w:rsidP="0087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425847"/>
      <w:docPartObj>
        <w:docPartGallery w:val="Page Numbers (Bottom of Page)"/>
        <w:docPartUnique/>
      </w:docPartObj>
    </w:sdtPr>
    <w:sdtEndPr>
      <w:rPr>
        <w:noProof/>
      </w:rPr>
    </w:sdtEndPr>
    <w:sdtContent>
      <w:p w14:paraId="0F6B12A1" w14:textId="0453BD80" w:rsidR="003F15C8" w:rsidRDefault="003F15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39AEE" w14:textId="77777777" w:rsidR="003F15C8" w:rsidRDefault="003F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9302" w14:textId="77777777" w:rsidR="00023D08" w:rsidRDefault="00023D08" w:rsidP="008778CD">
      <w:r>
        <w:separator/>
      </w:r>
    </w:p>
  </w:footnote>
  <w:footnote w:type="continuationSeparator" w:id="0">
    <w:p w14:paraId="2BAE11F7" w14:textId="77777777" w:rsidR="00023D08" w:rsidRDefault="00023D08" w:rsidP="008778CD">
      <w:r>
        <w:continuationSeparator/>
      </w:r>
    </w:p>
  </w:footnote>
  <w:footnote w:id="1">
    <w:p w14:paraId="402636A4" w14:textId="6D51504E" w:rsidR="003F15C8" w:rsidRPr="006C203C" w:rsidRDefault="003F15C8" w:rsidP="00D029E6">
      <w:pPr>
        <w:pStyle w:val="FootnoteText"/>
        <w:jc w:val="both"/>
      </w:pPr>
      <w:r w:rsidRPr="006C203C">
        <w:rPr>
          <w:rStyle w:val="FootnoteReference"/>
        </w:rPr>
        <w:footnoteRef/>
      </w:r>
      <w:r w:rsidRPr="006C203C">
        <w:t xml:space="preserve"> In the wake of Harry Frankfurt’s classic paper, “Alternative Possibilities and Moral Responsibility” (1969), some compatibilists have rejected the idea that free will even requires the conditional ability to do otherwise. Critics have suggested that Frankfurt’s attempt to rid the free will debate of the so-called “principle of alternative possibilities” fails—e.g., Ekstrom (2002); Franklin (2011); Ginet (1996); van Inwagen (1978); Widerker (1995). Given the role that the ability to do otherwise has played, and continues to play, in the free will debate, for present purposes we are going to set Frankfurt-style arguments aside. So, when we talk about compatibilists in this paper, we are focusing on the philosophers who think that the conditional ability to do otherwise is required for free and responsible agency.</w:t>
      </w:r>
    </w:p>
  </w:footnote>
  <w:footnote w:id="2">
    <w:p w14:paraId="3A36BC9B" w14:textId="61F4ADC9" w:rsidR="003F15C8" w:rsidRPr="006C203C" w:rsidRDefault="003F15C8" w:rsidP="00D029E6">
      <w:pPr>
        <w:pStyle w:val="FootnoteText"/>
        <w:jc w:val="both"/>
      </w:pPr>
      <w:r w:rsidRPr="006C203C">
        <w:rPr>
          <w:rStyle w:val="FootnoteReference"/>
        </w:rPr>
        <w:footnoteRef/>
      </w:r>
      <w:r w:rsidRPr="006C203C">
        <w:t xml:space="preserve"> For exceptions to this trend, see </w:t>
      </w:r>
      <w:r w:rsidR="00593EAF" w:rsidRPr="006C203C">
        <w:t xml:space="preserve">Deery, Bedke, and Nichols (2013); </w:t>
      </w:r>
      <w:r w:rsidRPr="006C203C">
        <w:t xml:space="preserve">Deery, Davis, and Carey (2015); Nahmias et al. (2004). See </w:t>
      </w:r>
      <w:r w:rsidR="00593EAF" w:rsidRPr="006C203C">
        <w:t xml:space="preserve">§2 </w:t>
      </w:r>
      <w:r w:rsidRPr="006C203C">
        <w:t>for details.</w:t>
      </w:r>
      <w:r w:rsidR="00593EAF" w:rsidRPr="006C203C">
        <w:t xml:space="preserve"> </w:t>
      </w:r>
    </w:p>
  </w:footnote>
  <w:footnote w:id="3">
    <w:p w14:paraId="028C4CF7" w14:textId="72FB1BFD" w:rsidR="003F15C8" w:rsidRPr="006C203C" w:rsidRDefault="003F15C8" w:rsidP="00D029E6">
      <w:pPr>
        <w:pStyle w:val="FootnoteText"/>
        <w:jc w:val="both"/>
      </w:pPr>
      <w:r w:rsidRPr="006C203C">
        <w:rPr>
          <w:rStyle w:val="FootnoteReference"/>
        </w:rPr>
        <w:footnoteRef/>
      </w:r>
      <w:r w:rsidRPr="006C203C">
        <w:t xml:space="preserve"> There has been a lot of work in experimental philosophy on free will beliefs. We are only going to be able to focus on a narrow range of studies that are directly relevant to the task at hand.</w:t>
      </w:r>
    </w:p>
  </w:footnote>
  <w:footnote w:id="4">
    <w:p w14:paraId="7EE53067" w14:textId="068DED9A" w:rsidR="00003FF6" w:rsidRPr="006C203C" w:rsidRDefault="00003FF6" w:rsidP="00D029E6">
      <w:pPr>
        <w:pStyle w:val="FootnoteText"/>
        <w:jc w:val="both"/>
      </w:pPr>
      <w:r w:rsidRPr="006C203C">
        <w:rPr>
          <w:rStyle w:val="FootnoteReference"/>
        </w:rPr>
        <w:footnoteRef/>
      </w:r>
      <w:r w:rsidRPr="006C203C">
        <w:t xml:space="preserve"> The extant data make it clear that most people are pretheoretical </w:t>
      </w:r>
      <w:r w:rsidRPr="006C203C">
        <w:rPr>
          <w:i/>
          <w:iCs/>
        </w:rPr>
        <w:t>indeterminists</w:t>
      </w:r>
      <w:r w:rsidRPr="006C203C">
        <w:t xml:space="preserve"> (</w:t>
      </w:r>
      <w:r w:rsidR="00593EAF" w:rsidRPr="006C203C">
        <w:rPr>
          <w:rFonts w:eastAsiaTheme="minorHAnsi"/>
        </w:rPr>
        <w:t>Bloom, 2012; Knobe, 2014; Turri, 2017</w:t>
      </w:r>
      <w:r w:rsidRPr="006C203C">
        <w:t>). Consequently, participants often find descriptions of determinism to be</w:t>
      </w:r>
      <w:r w:rsidR="00593EAF" w:rsidRPr="006C203C">
        <w:t xml:space="preserve"> counter-intuitive if not</w:t>
      </w:r>
      <w:r w:rsidRPr="006C203C">
        <w:t xml:space="preserve"> implausible</w:t>
      </w:r>
      <w:r w:rsidR="00593EAF" w:rsidRPr="006C203C">
        <w:t xml:space="preserve"> or even impossible</w:t>
      </w:r>
      <w:r w:rsidRPr="006C203C">
        <w:t xml:space="preserve"> (see Nahmias et al. 2005; 2006).</w:t>
      </w:r>
      <w:r w:rsidR="00593EAF" w:rsidRPr="006C203C">
        <w:t xml:space="preserve"> </w:t>
      </w:r>
    </w:p>
  </w:footnote>
  <w:footnote w:id="5">
    <w:p w14:paraId="5A4EFD82" w14:textId="6B2672A1" w:rsidR="003F15C8" w:rsidRPr="006C203C" w:rsidRDefault="003F15C8" w:rsidP="00D029E6">
      <w:pPr>
        <w:pStyle w:val="FootnoteText"/>
        <w:jc w:val="both"/>
      </w:pPr>
      <w:r w:rsidRPr="006C203C">
        <w:rPr>
          <w:rStyle w:val="FootnoteReference"/>
        </w:rPr>
        <w:footnoteRef/>
      </w:r>
      <w:r w:rsidRPr="006C203C">
        <w:t xml:space="preserve"> Rather than using the term “determinism”—which is metaphysically loaded—Deery and colleagues introduced the notion of causal completeness: “According to causal completeness, everything that happens is fully caused by what happened before it. This is true from the very beginning of the universe, so that </w:t>
      </w:r>
      <w:r w:rsidR="00DB25B9" w:rsidRPr="006C203C">
        <w:t xml:space="preserve">what </w:t>
      </w:r>
      <w:r w:rsidRPr="006C203C">
        <w:t>happened in the beginning of the universe fully caused what happened next, and so on right up until the present. Causal completeness holds that everything is fully caused in this way, including people’s decisions” (2013, p. 133).</w:t>
      </w:r>
    </w:p>
  </w:footnote>
  <w:footnote w:id="6">
    <w:p w14:paraId="39222064" w14:textId="3BFAF740" w:rsidR="009B5FAC" w:rsidRPr="006C203C" w:rsidRDefault="009B5FAC" w:rsidP="00D029E6">
      <w:pPr>
        <w:autoSpaceDE w:val="0"/>
        <w:autoSpaceDN w:val="0"/>
        <w:adjustRightInd w:val="0"/>
        <w:jc w:val="both"/>
        <w:rPr>
          <w:rFonts w:eastAsiaTheme="minorHAnsi"/>
          <w:sz w:val="20"/>
          <w:szCs w:val="20"/>
        </w:rPr>
      </w:pPr>
      <w:r w:rsidRPr="006C203C">
        <w:rPr>
          <w:rStyle w:val="FootnoteReference"/>
          <w:sz w:val="20"/>
          <w:szCs w:val="20"/>
        </w:rPr>
        <w:footnoteRef/>
      </w:r>
      <w:r w:rsidRPr="006C203C">
        <w:rPr>
          <w:sz w:val="20"/>
          <w:szCs w:val="20"/>
        </w:rPr>
        <w:t xml:space="preserve"> What Deery and colleagues say here is problematic. They make it sound as if the conflict method can’t shed light on the deliberative process involved in arriving at a judgment about case. After all, the only data point we have </w:t>
      </w:r>
      <w:r w:rsidR="007A5D33" w:rsidRPr="006C203C">
        <w:rPr>
          <w:sz w:val="20"/>
          <w:szCs w:val="20"/>
        </w:rPr>
        <w:t xml:space="preserve">on this approach </w:t>
      </w:r>
      <w:r w:rsidRPr="006C203C">
        <w:rPr>
          <w:sz w:val="20"/>
          <w:szCs w:val="20"/>
        </w:rPr>
        <w:t xml:space="preserve">is the </w:t>
      </w:r>
      <w:r w:rsidRPr="006C203C">
        <w:rPr>
          <w:i/>
          <w:iCs/>
          <w:sz w:val="20"/>
          <w:szCs w:val="20"/>
        </w:rPr>
        <w:t>output</w:t>
      </w:r>
      <w:r w:rsidRPr="006C203C">
        <w:rPr>
          <w:sz w:val="20"/>
          <w:szCs w:val="20"/>
        </w:rPr>
        <w:t xml:space="preserve">. </w:t>
      </w:r>
      <w:r w:rsidR="007A5D33" w:rsidRPr="006C203C">
        <w:rPr>
          <w:sz w:val="20"/>
          <w:szCs w:val="20"/>
        </w:rPr>
        <w:t xml:space="preserve">On their view, </w:t>
      </w:r>
      <w:r w:rsidRPr="006C203C">
        <w:rPr>
          <w:rFonts w:eastAsiaTheme="minorHAnsi"/>
          <w:sz w:val="20"/>
          <w:szCs w:val="20"/>
        </w:rPr>
        <w:t>“</w:t>
      </w:r>
      <w:r w:rsidR="007A5D33" w:rsidRPr="006C203C">
        <w:rPr>
          <w:rFonts w:eastAsiaTheme="minorHAnsi"/>
          <w:sz w:val="20"/>
          <w:szCs w:val="20"/>
        </w:rPr>
        <w:t>t</w:t>
      </w:r>
      <w:r w:rsidRPr="006C203C">
        <w:rPr>
          <w:rFonts w:eastAsiaTheme="minorHAnsi"/>
          <w:sz w:val="20"/>
          <w:szCs w:val="20"/>
        </w:rPr>
        <w:t xml:space="preserve">his makes it look as though all respondents took their answers to be obvious” (Deery et al. 2015, p. 778). But we see no reason why this follows as a general rule. While it’s true that this is the case if researchers force participants to make </w:t>
      </w:r>
      <w:r w:rsidRPr="006C203C">
        <w:rPr>
          <w:rFonts w:eastAsiaTheme="minorHAnsi"/>
          <w:i/>
          <w:iCs/>
          <w:sz w:val="20"/>
          <w:szCs w:val="20"/>
        </w:rPr>
        <w:t>dichotomous</w:t>
      </w:r>
      <w:r w:rsidRPr="006C203C">
        <w:rPr>
          <w:rFonts w:eastAsiaTheme="minorHAnsi"/>
          <w:sz w:val="20"/>
          <w:szCs w:val="20"/>
        </w:rPr>
        <w:t xml:space="preserve"> choice</w:t>
      </w:r>
      <w:r w:rsidR="00AD61BD" w:rsidRPr="006C203C">
        <w:rPr>
          <w:rFonts w:eastAsiaTheme="minorHAnsi"/>
          <w:sz w:val="20"/>
          <w:szCs w:val="20"/>
        </w:rPr>
        <w:t>s</w:t>
      </w:r>
      <w:r w:rsidR="00B8702C">
        <w:rPr>
          <w:rFonts w:eastAsiaTheme="minorHAnsi"/>
          <w:sz w:val="20"/>
          <w:szCs w:val="20"/>
        </w:rPr>
        <w:t xml:space="preserve">. But </w:t>
      </w:r>
      <w:r w:rsidRPr="006C203C">
        <w:rPr>
          <w:rFonts w:eastAsiaTheme="minorHAnsi"/>
          <w:sz w:val="20"/>
          <w:szCs w:val="20"/>
        </w:rPr>
        <w:t xml:space="preserve">as </w:t>
      </w:r>
      <w:r w:rsidR="007A5D33" w:rsidRPr="006C203C">
        <w:rPr>
          <w:rFonts w:eastAsiaTheme="minorHAnsi"/>
          <w:sz w:val="20"/>
          <w:szCs w:val="20"/>
        </w:rPr>
        <w:t>is now much</w:t>
      </w:r>
      <w:r w:rsidRPr="006C203C">
        <w:rPr>
          <w:rFonts w:eastAsiaTheme="minorHAnsi"/>
          <w:sz w:val="20"/>
          <w:szCs w:val="20"/>
        </w:rPr>
        <w:t xml:space="preserve"> more standardly the case, researchers ask whether participants agree or disagree </w:t>
      </w:r>
      <w:r w:rsidRPr="006C203C">
        <w:rPr>
          <w:rFonts w:eastAsiaTheme="minorHAnsi"/>
          <w:i/>
          <w:iCs/>
          <w:sz w:val="20"/>
          <w:szCs w:val="20"/>
        </w:rPr>
        <w:t>and to what extent</w:t>
      </w:r>
      <w:r w:rsidRPr="006C203C">
        <w:rPr>
          <w:rFonts w:eastAsiaTheme="minorHAnsi"/>
          <w:sz w:val="20"/>
          <w:szCs w:val="20"/>
        </w:rPr>
        <w:t>. So,</w:t>
      </w:r>
      <w:r w:rsidR="00AD61BD" w:rsidRPr="006C203C">
        <w:rPr>
          <w:rFonts w:eastAsiaTheme="minorHAnsi"/>
          <w:sz w:val="20"/>
          <w:szCs w:val="20"/>
        </w:rPr>
        <w:t xml:space="preserve"> while</w:t>
      </w:r>
      <w:r w:rsidRPr="006C203C">
        <w:rPr>
          <w:rFonts w:eastAsiaTheme="minorHAnsi"/>
          <w:sz w:val="20"/>
          <w:szCs w:val="20"/>
        </w:rPr>
        <w:t xml:space="preserve"> some participants </w:t>
      </w:r>
      <w:r w:rsidRPr="006C203C">
        <w:rPr>
          <w:rFonts w:eastAsiaTheme="minorHAnsi"/>
          <w:i/>
          <w:iCs/>
          <w:sz w:val="20"/>
          <w:szCs w:val="20"/>
        </w:rPr>
        <w:t>somewhat agree</w:t>
      </w:r>
      <w:r w:rsidRPr="006C203C">
        <w:rPr>
          <w:rFonts w:eastAsiaTheme="minorHAnsi"/>
          <w:sz w:val="20"/>
          <w:szCs w:val="20"/>
        </w:rPr>
        <w:t xml:space="preserve"> o</w:t>
      </w:r>
      <w:r w:rsidR="00AD61BD" w:rsidRPr="006C203C">
        <w:rPr>
          <w:rFonts w:eastAsiaTheme="minorHAnsi"/>
          <w:sz w:val="20"/>
          <w:szCs w:val="20"/>
        </w:rPr>
        <w:t>thers</w:t>
      </w:r>
      <w:r w:rsidRPr="006C203C">
        <w:rPr>
          <w:rFonts w:eastAsiaTheme="minorHAnsi"/>
          <w:sz w:val="20"/>
          <w:szCs w:val="20"/>
        </w:rPr>
        <w:t xml:space="preserve"> </w:t>
      </w:r>
      <w:r w:rsidRPr="006C203C">
        <w:rPr>
          <w:rFonts w:eastAsiaTheme="minorHAnsi"/>
          <w:i/>
          <w:iCs/>
          <w:sz w:val="20"/>
          <w:szCs w:val="20"/>
        </w:rPr>
        <w:t>strongly agree</w:t>
      </w:r>
      <w:r w:rsidRPr="006C203C">
        <w:rPr>
          <w:rFonts w:eastAsiaTheme="minorHAnsi"/>
          <w:sz w:val="20"/>
          <w:szCs w:val="20"/>
        </w:rPr>
        <w:t xml:space="preserve">. In this way, the conflict method is able to shed light on how </w:t>
      </w:r>
      <w:r w:rsidRPr="006C203C">
        <w:rPr>
          <w:rFonts w:eastAsiaTheme="minorHAnsi"/>
          <w:i/>
          <w:iCs/>
          <w:sz w:val="20"/>
          <w:szCs w:val="20"/>
        </w:rPr>
        <w:t>obvious</w:t>
      </w:r>
      <w:r w:rsidRPr="006C203C">
        <w:rPr>
          <w:rFonts w:eastAsiaTheme="minorHAnsi"/>
          <w:sz w:val="20"/>
          <w:szCs w:val="20"/>
        </w:rPr>
        <w:t xml:space="preserve"> the judgment</w:t>
      </w:r>
      <w:r w:rsidR="00FA0EE8" w:rsidRPr="006C203C">
        <w:rPr>
          <w:rFonts w:eastAsiaTheme="minorHAnsi"/>
          <w:sz w:val="20"/>
          <w:szCs w:val="20"/>
        </w:rPr>
        <w:t>s</w:t>
      </w:r>
      <w:r w:rsidRPr="006C203C">
        <w:rPr>
          <w:rFonts w:eastAsiaTheme="minorHAnsi"/>
          <w:sz w:val="20"/>
          <w:szCs w:val="20"/>
        </w:rPr>
        <w:t xml:space="preserve"> seemed to participants. This is not to suggest that the </w:t>
      </w:r>
      <w:r w:rsidR="00AD61BD" w:rsidRPr="006C203C">
        <w:rPr>
          <w:rFonts w:eastAsiaTheme="minorHAnsi"/>
          <w:sz w:val="20"/>
          <w:szCs w:val="20"/>
        </w:rPr>
        <w:t xml:space="preserve">scale-based </w:t>
      </w:r>
      <w:r w:rsidRPr="006C203C">
        <w:rPr>
          <w:rFonts w:eastAsiaTheme="minorHAnsi"/>
          <w:sz w:val="20"/>
          <w:szCs w:val="20"/>
        </w:rPr>
        <w:t>approach isn’t a useful supplement, it’s just to say that the criticisms of the conflict method by Deery and colleagues don’t entirely hit the mark.</w:t>
      </w:r>
      <w:r w:rsidR="007A5D33" w:rsidRPr="006C203C">
        <w:rPr>
          <w:rFonts w:eastAsiaTheme="minorHAnsi"/>
          <w:sz w:val="20"/>
          <w:szCs w:val="20"/>
        </w:rPr>
        <w:t xml:space="preserve"> </w:t>
      </w:r>
    </w:p>
  </w:footnote>
  <w:footnote w:id="7">
    <w:p w14:paraId="2673DC05" w14:textId="47576470" w:rsidR="00DF780E" w:rsidRPr="006C203C" w:rsidRDefault="00DF780E" w:rsidP="00D029E6">
      <w:pPr>
        <w:pStyle w:val="FootnoteText"/>
        <w:jc w:val="both"/>
      </w:pPr>
      <w:r w:rsidRPr="006C203C">
        <w:rPr>
          <w:rStyle w:val="FootnoteReference"/>
        </w:rPr>
        <w:footnoteRef/>
      </w:r>
      <w:r w:rsidRPr="006C203C">
        <w:t xml:space="preserve"> This partly undercuts the claim by Deery and colleagues that their findings provide evidence that people are </w:t>
      </w:r>
      <w:r w:rsidRPr="006C203C">
        <w:rPr>
          <w:i/>
          <w:iCs/>
        </w:rPr>
        <w:t>both</w:t>
      </w:r>
      <w:r w:rsidRPr="006C203C">
        <w:t xml:space="preserve"> incompatibilists and compatibilists</w:t>
      </w:r>
      <w:r w:rsidR="00B62D87" w:rsidRPr="006C203C">
        <w:t xml:space="preserve"> (2015, p. 791)</w:t>
      </w:r>
      <w:r w:rsidRPr="006C203C">
        <w:t xml:space="preserve">. Until the two </w:t>
      </w:r>
      <w:r w:rsidR="00592E86" w:rsidRPr="006C203C">
        <w:t xml:space="preserve">views </w:t>
      </w:r>
      <w:r w:rsidRPr="006C203C">
        <w:t>are clearly parsed</w:t>
      </w:r>
      <w:r w:rsidR="00B62D87" w:rsidRPr="006C203C">
        <w:t xml:space="preserve">—which </w:t>
      </w:r>
      <w:r w:rsidR="00F46856" w:rsidRPr="006C203C">
        <w:t xml:space="preserve">we think </w:t>
      </w:r>
      <w:r w:rsidR="00B62D87" w:rsidRPr="006C203C">
        <w:t>a number of their items</w:t>
      </w:r>
      <w:r w:rsidR="00F46856" w:rsidRPr="006C203C">
        <w:t xml:space="preserve"> arguably</w:t>
      </w:r>
      <w:r w:rsidR="00B62D87" w:rsidRPr="006C203C">
        <w:t xml:space="preserve"> fail to do—you can’t draw this conclusion.</w:t>
      </w:r>
      <w:r w:rsidR="00D51476" w:rsidRPr="006C203C">
        <w:t xml:space="preserve"> As is always the case, the devil is the details of the wording. Because we take issue with how a number of items are worded, we don’t find their interpretation of their findings as compelling. </w:t>
      </w:r>
    </w:p>
  </w:footnote>
  <w:footnote w:id="8">
    <w:p w14:paraId="0D3972FD" w14:textId="77777777" w:rsidR="003F15C8" w:rsidRPr="006C203C" w:rsidRDefault="003F15C8" w:rsidP="00D029E6">
      <w:pPr>
        <w:pStyle w:val="FootnoteText"/>
        <w:jc w:val="both"/>
      </w:pPr>
      <w:r w:rsidRPr="006C203C">
        <w:rPr>
          <w:rStyle w:val="FootnoteReference"/>
        </w:rPr>
        <w:footnoteRef/>
      </w:r>
      <w:r w:rsidRPr="006C203C">
        <w:t xml:space="preserve"> This problem was highlighted recently by the work on intrusive metaphysics by Rose, Buckwalter, and Nichols (2017). </w:t>
      </w:r>
    </w:p>
  </w:footnote>
  <w:footnote w:id="9">
    <w:p w14:paraId="0D7A9B99" w14:textId="54749637" w:rsidR="003F15C8" w:rsidRPr="006C203C" w:rsidRDefault="003F15C8" w:rsidP="00D029E6">
      <w:pPr>
        <w:pStyle w:val="FootnoteText"/>
        <w:jc w:val="both"/>
        <w:rPr>
          <w:lang w:val="de-DE"/>
        </w:rPr>
      </w:pPr>
      <w:r w:rsidRPr="006C203C">
        <w:rPr>
          <w:rStyle w:val="FootnoteReference"/>
        </w:rPr>
        <w:footnoteRef/>
      </w:r>
      <w:r w:rsidRPr="006C203C">
        <w:t xml:space="preserve"> For more on neuroprediction and free will, see </w:t>
      </w:r>
      <w:r w:rsidR="0098118B" w:rsidRPr="006C203C">
        <w:t xml:space="preserve">Deery et al. </w:t>
      </w:r>
      <w:r w:rsidR="0098118B" w:rsidRPr="006C203C">
        <w:rPr>
          <w:lang w:val="de-DE"/>
        </w:rPr>
        <w:t xml:space="preserve">(2015); </w:t>
      </w:r>
      <w:r w:rsidRPr="006C203C">
        <w:rPr>
          <w:lang w:val="de-DE"/>
        </w:rPr>
        <w:t>Nahmias et al. (2007); Nahmias, Shepard, &amp; Reuter (2014); Rose, Buckwalter, &amp; Nichols (2017); Shepard &amp; Reuter (2012).</w:t>
      </w:r>
    </w:p>
  </w:footnote>
  <w:footnote w:id="10">
    <w:p w14:paraId="689FADA2" w14:textId="74DF99E9" w:rsidR="003F15C8" w:rsidRPr="006C203C" w:rsidRDefault="003F15C8" w:rsidP="00D029E6">
      <w:pPr>
        <w:pStyle w:val="FootnoteText"/>
        <w:jc w:val="both"/>
      </w:pPr>
      <w:r w:rsidRPr="006C203C">
        <w:rPr>
          <w:rStyle w:val="FootnoteReference"/>
        </w:rPr>
        <w:footnoteRef/>
      </w:r>
      <w:r w:rsidRPr="006C203C">
        <w:t xml:space="preserve"> We preregistered our studies both with AsPredicted and with the Open Science Framework (see here</w:t>
      </w:r>
      <w:r w:rsidR="000743F8" w:rsidRPr="000743F8">
        <w:rPr>
          <w:sz w:val="24"/>
          <w:szCs w:val="24"/>
        </w:rPr>
        <w:t xml:space="preserve"> </w:t>
      </w:r>
      <w:hyperlink r:id="rId1" w:history="1">
        <w:r w:rsidR="000743F8" w:rsidRPr="000743F8">
          <w:rPr>
            <w:color w:val="0000FF"/>
            <w:u w:val="single"/>
          </w:rPr>
          <w:t>https://osf.io/js8fa/</w:t>
        </w:r>
      </w:hyperlink>
      <w:r w:rsidRPr="000743F8">
        <w:t>).</w:t>
      </w:r>
      <w:r w:rsidRPr="006C203C">
        <w:t xml:space="preserve"> </w:t>
      </w:r>
    </w:p>
  </w:footnote>
  <w:footnote w:id="11">
    <w:p w14:paraId="0FBE67EF" w14:textId="6815B240" w:rsidR="00ED2BE4" w:rsidRDefault="00ED2BE4" w:rsidP="00D029E6">
      <w:pPr>
        <w:pStyle w:val="FootnoteText"/>
        <w:jc w:val="both"/>
      </w:pPr>
      <w:r>
        <w:rPr>
          <w:rStyle w:val="FootnoteReference"/>
        </w:rPr>
        <w:footnoteRef/>
      </w:r>
      <w:r>
        <w:t xml:space="preserve"> We are not denying that counter-factual possibilities are </w:t>
      </w:r>
      <w:r w:rsidRPr="00ED2BE4">
        <w:rPr>
          <w:i/>
          <w:iCs/>
        </w:rPr>
        <w:t>real</w:t>
      </w:r>
      <w:r>
        <w:t xml:space="preserve">—they are every bit as real as actual possibilities. We are just highlighting that agents have two kinds of possibilities in a deterministic universe—the one and only actual option available to them at the time of choice, and the myriad different options that could have been open to them had things been different. </w:t>
      </w:r>
    </w:p>
  </w:footnote>
  <w:footnote w:id="12">
    <w:p w14:paraId="70BCFE96" w14:textId="20181651" w:rsidR="00EB781D" w:rsidRPr="006C203C" w:rsidRDefault="00EB781D" w:rsidP="00D029E6">
      <w:pPr>
        <w:pStyle w:val="FootnoteText"/>
        <w:jc w:val="both"/>
      </w:pPr>
      <w:r w:rsidRPr="006C203C">
        <w:rPr>
          <w:rStyle w:val="FootnoteReference"/>
        </w:rPr>
        <w:footnoteRef/>
      </w:r>
      <w:r w:rsidRPr="006C203C">
        <w:t xml:space="preserve"> Someone might worry that we’re using metaphorical language. But </w:t>
      </w:r>
      <w:r w:rsidRPr="006C203C">
        <w:rPr>
          <w:shd w:val="clear" w:color="auto" w:fill="FFFFFF"/>
        </w:rPr>
        <w:t>we used metaphorical phrases because common language is often metaphorical. And since we can’t use the terms “determinism” and “indeterminism,” we wanted to convey their meaning in a way that would be vivid to the participants. That philosophers use precisely these kinds of metaphors themselves when trying to illustrate the meaning of determinism and indeterminism suggests they are useful as rhetorical tools.</w:t>
      </w:r>
    </w:p>
  </w:footnote>
  <w:footnote w:id="13">
    <w:p w14:paraId="2ED99061" w14:textId="713F53A5" w:rsidR="003F15C8" w:rsidRPr="006C203C" w:rsidRDefault="003F15C8" w:rsidP="00D029E6">
      <w:pPr>
        <w:pStyle w:val="FootnoteText"/>
        <w:jc w:val="both"/>
      </w:pPr>
      <w:r w:rsidRPr="006C203C">
        <w:rPr>
          <w:rStyle w:val="FootnoteReference"/>
        </w:rPr>
        <w:footnoteRef/>
      </w:r>
      <w:r w:rsidRPr="006C203C">
        <w:t xml:space="preserve"> </w:t>
      </w:r>
      <w:bookmarkStart w:id="3" w:name="_Hlk29311638"/>
      <w:r w:rsidRPr="006C203C">
        <w:t>You can find earlier discussions of fatalism and its relevance to the debate about natural compatibilism in Feltz &amp; Millan (2013); Nahmias (2006)</w:t>
      </w:r>
      <w:r w:rsidR="00DF780E" w:rsidRPr="006C203C">
        <w:t>; Nahmias &amp; Murray (2011)</w:t>
      </w:r>
      <w:r w:rsidRPr="006C203C">
        <w:t>.</w:t>
      </w:r>
      <w:bookmarkEnd w:id="3"/>
    </w:p>
  </w:footnote>
  <w:footnote w:id="14">
    <w:p w14:paraId="1E93D67F" w14:textId="09671E0D" w:rsidR="001143F3" w:rsidRDefault="001143F3" w:rsidP="00D029E6">
      <w:pPr>
        <w:pStyle w:val="FootnoteText"/>
        <w:jc w:val="both"/>
      </w:pPr>
      <w:r>
        <w:rPr>
          <w:rStyle w:val="FootnoteReference"/>
        </w:rPr>
        <w:footnoteRef/>
      </w:r>
      <w:r>
        <w:t xml:space="preserve"> The data set</w:t>
      </w:r>
      <w:r w:rsidR="003A7B46">
        <w:t xml:space="preserve"> </w:t>
      </w:r>
      <w:r>
        <w:t xml:space="preserve">for this preliminary study is available on our OSF page </w:t>
      </w:r>
      <w:r w:rsidR="003A7B46">
        <w:t xml:space="preserve">along </w:t>
      </w:r>
      <w:r>
        <w:t>with the rest of our materials.</w:t>
      </w:r>
    </w:p>
  </w:footnote>
  <w:footnote w:id="15">
    <w:p w14:paraId="19EC4BB0" w14:textId="6A255228" w:rsidR="003F15C8" w:rsidRPr="006C203C" w:rsidRDefault="003F15C8" w:rsidP="00D029E6">
      <w:pPr>
        <w:pStyle w:val="FootnoteText"/>
        <w:jc w:val="both"/>
      </w:pPr>
      <w:r w:rsidRPr="006C203C">
        <w:rPr>
          <w:rStyle w:val="FootnoteReference"/>
        </w:rPr>
        <w:footnoteRef/>
      </w:r>
      <w:r w:rsidRPr="006C203C">
        <w:t xml:space="preserve"> </w:t>
      </w:r>
      <w:r w:rsidR="001D20D7">
        <w:t xml:space="preserve">Mturk </w:t>
      </w:r>
      <w:r w:rsidRPr="006C203C">
        <w:t xml:space="preserve">is an online survey service that enables researchers to recruit and pay for participants for completing surveys of studies. For findings concerning the benefits of using MTurk—including the quality of the data and the improved diversity of the participant pool—see Burhmester, Kwang, &amp; Gosling </w:t>
      </w:r>
      <w:r w:rsidR="00EF1C8E" w:rsidRPr="006C203C">
        <w:t>(</w:t>
      </w:r>
      <w:r w:rsidRPr="006C203C">
        <w:t>2011</w:t>
      </w:r>
      <w:r w:rsidR="00EF1C8E" w:rsidRPr="006C203C">
        <w:t>)</w:t>
      </w:r>
      <w:r w:rsidRPr="006C203C">
        <w:t xml:space="preserve">; Paolacci, Chandler, &amp; Ipeirotis </w:t>
      </w:r>
      <w:r w:rsidR="00EF1C8E" w:rsidRPr="006C203C">
        <w:t>(</w:t>
      </w:r>
      <w:r w:rsidRPr="006C203C">
        <w:t>2010</w:t>
      </w:r>
      <w:r w:rsidR="00EF1C8E" w:rsidRPr="006C203C">
        <w:t>)</w:t>
      </w:r>
      <w:r w:rsidRPr="006C203C">
        <w:t xml:space="preserve">; Rand </w:t>
      </w:r>
      <w:r w:rsidR="00EF1C8E" w:rsidRPr="006C203C">
        <w:t>(</w:t>
      </w:r>
      <w:r w:rsidRPr="006C203C">
        <w:t>2012</w:t>
      </w:r>
      <w:r w:rsidR="00EF1C8E" w:rsidRPr="006C203C">
        <w:t>)</w:t>
      </w:r>
      <w:r w:rsidRPr="006C203C">
        <w:t>.</w:t>
      </w:r>
    </w:p>
  </w:footnote>
  <w:footnote w:id="16">
    <w:p w14:paraId="3A28AB79" w14:textId="1EC3E9A5" w:rsidR="003F15C8" w:rsidRPr="006C203C" w:rsidRDefault="003F15C8" w:rsidP="00D029E6">
      <w:pPr>
        <w:pStyle w:val="FootnoteText"/>
        <w:jc w:val="both"/>
      </w:pPr>
      <w:r w:rsidRPr="006C203C">
        <w:rPr>
          <w:rStyle w:val="FootnoteReference"/>
        </w:rPr>
        <w:footnoteRef/>
      </w:r>
      <w:r w:rsidRPr="006C203C">
        <w:t xml:space="preserve"> For our main analyses for all three studies, which aggregate the four free will-related items (free will, complete control, choices and decisions, and the illusion of control), this item was reverse scored. You can find analyses of the disaggregated items in Section 4 of the Supplemental Materials.</w:t>
      </w:r>
    </w:p>
  </w:footnote>
  <w:footnote w:id="17">
    <w:p w14:paraId="0AB40424" w14:textId="71164558" w:rsidR="003F15C8" w:rsidRPr="006C203C" w:rsidRDefault="003F15C8" w:rsidP="00D029E6">
      <w:pPr>
        <w:pStyle w:val="FootnoteText"/>
        <w:jc w:val="both"/>
      </w:pPr>
      <w:r w:rsidRPr="006C203C">
        <w:rPr>
          <w:rStyle w:val="FootnoteReference"/>
        </w:rPr>
        <w:footnoteRef/>
      </w:r>
      <w:r w:rsidRPr="006C203C">
        <w:t xml:space="preserve"> </w:t>
      </w:r>
      <w:bookmarkStart w:id="4" w:name="_Hlk15214244"/>
      <w:r w:rsidRPr="006C203C">
        <w:t xml:space="preserve">We originally planned to use items 7-12 as comprehension checks. However, upon further reflection, we noticed that Items 7 and 8 and Items 11 and 12 were each pairs of opposites. So, we settled on 7 and 11, respectively, since we used a 7-point scale that allowed people to agree or disagree with each item. We also decided that Item 10 was too vague and hence unsuitable as a comprehension check. That left us with items 7,9, and 11. We excluded all participants who missed at least two of these three comprehension checks. </w:t>
      </w:r>
      <w:r w:rsidR="00905E02" w:rsidRPr="006C203C">
        <w:t xml:space="preserve">It turns out that excluding participants didn’t make much of a difference when it comes to our central findings. See </w:t>
      </w:r>
      <w:r w:rsidR="00EF1C8E" w:rsidRPr="006C203C">
        <w:t xml:space="preserve">Section 5 of the </w:t>
      </w:r>
      <w:r w:rsidR="00905E02" w:rsidRPr="006C203C">
        <w:t>Supplemental Materials for analyses of the three studies that do</w:t>
      </w:r>
      <w:r w:rsidR="00781A53" w:rsidRPr="006C203C">
        <w:t xml:space="preserve">n’t </w:t>
      </w:r>
      <w:r w:rsidR="00905E02" w:rsidRPr="006C203C">
        <w:t>include exclusions.</w:t>
      </w:r>
      <w:r w:rsidRPr="006C203C">
        <w:t xml:space="preserve"> </w:t>
      </w:r>
      <w:bookmarkEnd w:id="4"/>
    </w:p>
  </w:footnote>
  <w:footnote w:id="18">
    <w:p w14:paraId="2EC93A01" w14:textId="1EFE558D" w:rsidR="003F15C8" w:rsidRPr="006C203C" w:rsidRDefault="003F15C8" w:rsidP="00D029E6">
      <w:pPr>
        <w:pStyle w:val="FootnoteText"/>
        <w:jc w:val="both"/>
      </w:pPr>
      <w:r w:rsidRPr="006C203C">
        <w:rPr>
          <w:rStyle w:val="FootnoteReference"/>
        </w:rPr>
        <w:footnoteRef/>
      </w:r>
      <w:r w:rsidRPr="006C203C">
        <w:t xml:space="preserve"> For all three studies, see Supplemental Materials for complete details.</w:t>
      </w:r>
    </w:p>
  </w:footnote>
  <w:footnote w:id="19">
    <w:p w14:paraId="6FD4E36A" w14:textId="49BF752D" w:rsidR="003F15C8" w:rsidRPr="006C203C" w:rsidRDefault="003F15C8" w:rsidP="00D029E6">
      <w:pPr>
        <w:pStyle w:val="FootnoteText"/>
        <w:jc w:val="both"/>
      </w:pPr>
      <w:r w:rsidRPr="006C203C">
        <w:rPr>
          <w:rStyle w:val="FootnoteReference"/>
        </w:rPr>
        <w:footnoteRef/>
      </w:r>
      <w:r w:rsidRPr="006C203C">
        <w:t xml:space="preserve"> Because we included FWI as an exploratory measure and we did not make any predictions concerning the results, we</w:t>
      </w:r>
      <w:r w:rsidR="001D20D7">
        <w:t xml:space="preserve"> do not discuss the results here although we</w:t>
      </w:r>
      <w:r w:rsidRPr="006C203C">
        <w:t xml:space="preserve"> have included the analys</w:t>
      </w:r>
      <w:r w:rsidR="001D20D7">
        <w:t>e</w:t>
      </w:r>
      <w:r w:rsidRPr="006C203C">
        <w:t xml:space="preserve">s of these findings </w:t>
      </w:r>
      <w:r w:rsidR="003A7B46">
        <w:t xml:space="preserve">from all three studies </w:t>
      </w:r>
      <w:r w:rsidRPr="006C203C">
        <w:t xml:space="preserve">in Section 3 of the Supplemental Materials. </w:t>
      </w:r>
    </w:p>
  </w:footnote>
  <w:footnote w:id="20">
    <w:p w14:paraId="01CC2E5C" w14:textId="01A269F2" w:rsidR="003F15C8" w:rsidRPr="006C203C" w:rsidRDefault="003F15C8" w:rsidP="00D029E6">
      <w:pPr>
        <w:pStyle w:val="FootnoteText"/>
        <w:jc w:val="both"/>
      </w:pPr>
      <w:r w:rsidRPr="006C203C">
        <w:rPr>
          <w:rStyle w:val="FootnoteReference"/>
        </w:rPr>
        <w:footnoteRef/>
      </w:r>
      <w:r w:rsidRPr="006C203C">
        <w:t xml:space="preserve"> The disaggregated analyses of these four items can be found in Section 4 of the Supplemental Materials. </w:t>
      </w:r>
    </w:p>
  </w:footnote>
  <w:footnote w:id="21">
    <w:p w14:paraId="4365BE7E" w14:textId="30513DCD" w:rsidR="003F15C8" w:rsidRPr="006C203C" w:rsidRDefault="003F15C8" w:rsidP="00D029E6">
      <w:pPr>
        <w:pStyle w:val="CommentText"/>
        <w:jc w:val="both"/>
      </w:pPr>
      <w:r w:rsidRPr="006C203C">
        <w:rPr>
          <w:rStyle w:val="FootnoteReference"/>
        </w:rPr>
        <w:footnoteRef/>
      </w:r>
      <w:r w:rsidRPr="006C203C">
        <w:t xml:space="preserve"> In the indeterministic scenarios, 5% disagreed with having free will (i.e., rated 1, 2, and 3), and 90% agreed (i.e., rated 5, 6, and 7); similarly, 5% disagreed with having moral responsibility (i.e., rated 1, 2, and 3), and 90% agreed (i.e., rated 5, 6, and 7). In the deterministic scenarios, 65% disagreed with having free will, and 22% agreed; whereas 44% disagreed with having moral responsibility and 37% agreed.</w:t>
      </w:r>
    </w:p>
  </w:footnote>
  <w:footnote w:id="22">
    <w:p w14:paraId="3913D797" w14:textId="1D1049DF" w:rsidR="003F15C8" w:rsidRPr="006C203C" w:rsidRDefault="003F15C8" w:rsidP="00D029E6">
      <w:pPr>
        <w:pStyle w:val="CommentText"/>
        <w:jc w:val="both"/>
      </w:pPr>
      <w:r w:rsidRPr="006C203C">
        <w:rPr>
          <w:rStyle w:val="FootnoteReference"/>
        </w:rPr>
        <w:footnoteRef/>
      </w:r>
      <w:r w:rsidRPr="006C203C">
        <w:t xml:space="preserve"> In the indeterministic scenarios, 5% disagreed with having free will (i.e., rated 1, 2, and 3), and 91% agreed (i.e., rated 5, 6, and 7); similarly, 2% disagreed with having moral responsibility (i.e., rated 1, 2, and 3), and 89% agreed (i.e., rated 5, 6, and 7). In the deterministic scenarios, 66% disagreed with having free will, and 25% agreed; whereas 45% disagreed with having moral responsibility and 38% agreed.</w:t>
      </w:r>
    </w:p>
  </w:footnote>
  <w:footnote w:id="23">
    <w:p w14:paraId="1A754056" w14:textId="5DD9AA56" w:rsidR="003F15C8" w:rsidRPr="006C203C" w:rsidRDefault="003F15C8" w:rsidP="00D029E6">
      <w:pPr>
        <w:pStyle w:val="CommentText"/>
        <w:jc w:val="both"/>
      </w:pPr>
      <w:r w:rsidRPr="006C203C">
        <w:rPr>
          <w:rStyle w:val="FootnoteReference"/>
        </w:rPr>
        <w:footnoteRef/>
      </w:r>
      <w:r w:rsidRPr="006C203C">
        <w:t xml:space="preserve"> In the indeterministic scenarios, 6% disagreed with having free will (i.e., rated 1, 2, and 3), and 90% agreed (i.e., rated 5, 6, and 7); similarly, 1% disagreed with having moral responsibility (i.e., rated 1, 2, and 3), and 93% agreed (i.e., rated 5, 6, and 7). In the deterministic scenarios, 65% disagreed with having free will, and 24% agreed; whereas 39% disagreed with having moral responsibility and 46% agreed.</w:t>
      </w:r>
    </w:p>
  </w:footnote>
  <w:footnote w:id="24">
    <w:p w14:paraId="354AE9E2" w14:textId="6E296748" w:rsidR="00A41A76" w:rsidRPr="006C203C" w:rsidRDefault="00A41A76" w:rsidP="00D029E6">
      <w:pPr>
        <w:jc w:val="both"/>
        <w:rPr>
          <w:rFonts w:eastAsiaTheme="minorHAnsi"/>
          <w:sz w:val="20"/>
          <w:szCs w:val="20"/>
          <w:shd w:val="clear" w:color="auto" w:fill="FFFFFF"/>
        </w:rPr>
      </w:pPr>
      <w:r w:rsidRPr="006C203C">
        <w:rPr>
          <w:rStyle w:val="FootnoteReference"/>
          <w:sz w:val="20"/>
          <w:szCs w:val="20"/>
        </w:rPr>
        <w:footnoteRef/>
      </w:r>
      <w:r w:rsidRPr="006C203C">
        <w:rPr>
          <w:sz w:val="20"/>
          <w:szCs w:val="20"/>
        </w:rPr>
        <w:t xml:space="preserve"> It is worth emphasizing that we are not suggesting that folk intuitions are univocal. Clearly not all participants have the same intuitions about the cases—some give compatibilist answers, some give incompatibilist answers, and some neither agree nor disagree with the statements</w:t>
      </w:r>
      <w:r w:rsidR="004E61F0" w:rsidRPr="006C203C">
        <w:rPr>
          <w:sz w:val="20"/>
          <w:szCs w:val="20"/>
        </w:rPr>
        <w:t xml:space="preserve">. As such, </w:t>
      </w:r>
      <w:r w:rsidR="004E61F0" w:rsidRPr="006C203C">
        <w:rPr>
          <w:i/>
          <w:iCs/>
          <w:sz w:val="20"/>
          <w:szCs w:val="20"/>
        </w:rPr>
        <w:t>pluralism</w:t>
      </w:r>
      <w:r w:rsidR="004E61F0" w:rsidRPr="006C203C">
        <w:rPr>
          <w:sz w:val="20"/>
          <w:szCs w:val="20"/>
        </w:rPr>
        <w:t xml:space="preserve"> is the only way to adequately capture folk intuitions. But just because pluralism is clearly the right view, we don’t agree with Feltz &amp; Nelson (2016) that this means that folk intuitions are </w:t>
      </w:r>
      <w:r w:rsidR="004E61F0" w:rsidRPr="006C203C">
        <w:rPr>
          <w:i/>
          <w:iCs/>
          <w:sz w:val="20"/>
          <w:szCs w:val="20"/>
        </w:rPr>
        <w:t>irrelevant</w:t>
      </w:r>
      <w:r w:rsidR="004E61F0" w:rsidRPr="006C203C">
        <w:rPr>
          <w:sz w:val="20"/>
          <w:szCs w:val="20"/>
        </w:rPr>
        <w:t xml:space="preserve"> to issues like natural compatibilism. </w:t>
      </w:r>
      <w:r w:rsidR="004E61F0" w:rsidRPr="006C203C">
        <w:rPr>
          <w:rFonts w:eastAsiaTheme="minorHAnsi"/>
          <w:sz w:val="20"/>
          <w:szCs w:val="20"/>
          <w:shd w:val="clear" w:color="auto" w:fill="FFFFFF"/>
        </w:rPr>
        <w:t xml:space="preserve">Even if intuition pluralism is true, we nevertheless think that our data speak to natural compatibilism—which is a </w:t>
      </w:r>
      <w:r w:rsidR="004E61F0" w:rsidRPr="006C203C">
        <w:rPr>
          <w:rFonts w:eastAsiaTheme="minorHAnsi"/>
          <w:i/>
          <w:iCs/>
          <w:sz w:val="20"/>
          <w:szCs w:val="20"/>
          <w:shd w:val="clear" w:color="auto" w:fill="FFFFFF"/>
        </w:rPr>
        <w:t>majoritarian view</w:t>
      </w:r>
      <w:r w:rsidR="004E61F0" w:rsidRPr="006C203C">
        <w:rPr>
          <w:rFonts w:eastAsiaTheme="minorHAnsi"/>
          <w:sz w:val="20"/>
          <w:szCs w:val="20"/>
          <w:shd w:val="clear" w:color="auto" w:fill="FFFFFF"/>
        </w:rPr>
        <w:t xml:space="preserve">. All that needs to true is that </w:t>
      </w:r>
      <w:r w:rsidR="004E61F0" w:rsidRPr="006C203C">
        <w:rPr>
          <w:rFonts w:eastAsiaTheme="minorHAnsi"/>
          <w:i/>
          <w:iCs/>
          <w:sz w:val="20"/>
          <w:szCs w:val="20"/>
          <w:shd w:val="clear" w:color="auto" w:fill="FFFFFF"/>
        </w:rPr>
        <w:t>most people</w:t>
      </w:r>
      <w:r w:rsidR="004E61F0" w:rsidRPr="006C203C">
        <w:rPr>
          <w:rFonts w:eastAsiaTheme="minorHAnsi"/>
          <w:sz w:val="20"/>
          <w:szCs w:val="20"/>
          <w:shd w:val="clear" w:color="auto" w:fill="FFFFFF"/>
        </w:rPr>
        <w:t xml:space="preserve"> are naturally compatibilists (or incompatibilists). So, just because not everyone has the same intuitions about free will, it doesn’t mean these intuitions can’t still be relevant to the debate about natural compatibilism. </w:t>
      </w:r>
    </w:p>
  </w:footnote>
  <w:footnote w:id="25">
    <w:p w14:paraId="5647064F" w14:textId="358161A2" w:rsidR="003F15C8" w:rsidRPr="006C203C" w:rsidRDefault="003F15C8" w:rsidP="00D029E6">
      <w:pPr>
        <w:pStyle w:val="FootnoteText"/>
        <w:jc w:val="both"/>
      </w:pPr>
      <w:r w:rsidRPr="006C203C">
        <w:rPr>
          <w:rStyle w:val="FootnoteReference"/>
        </w:rPr>
        <w:footnoteRef/>
      </w:r>
      <w:r w:rsidRPr="006C203C">
        <w:t xml:space="preserve"> This research did not receive any specific grant from funding agencies in the public, commercial, or not-for-profit sectors.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806" w:hanging="305"/>
      </w:pPr>
      <w:rPr>
        <w:rFonts w:ascii="Times New Roman" w:hAnsi="Times New Roman" w:cs="Times New Roman"/>
        <w:b w:val="0"/>
        <w:bCs w:val="0"/>
        <w:w w:val="105"/>
        <w:sz w:val="20"/>
        <w:szCs w:val="20"/>
      </w:rPr>
    </w:lvl>
    <w:lvl w:ilvl="1">
      <w:numFmt w:val="bullet"/>
      <w:lvlText w:val="•"/>
      <w:lvlJc w:val="left"/>
      <w:pPr>
        <w:ind w:left="1476" w:hanging="305"/>
      </w:pPr>
    </w:lvl>
    <w:lvl w:ilvl="2">
      <w:numFmt w:val="bullet"/>
      <w:lvlText w:val="•"/>
      <w:lvlJc w:val="left"/>
      <w:pPr>
        <w:ind w:left="2152" w:hanging="305"/>
      </w:pPr>
    </w:lvl>
    <w:lvl w:ilvl="3">
      <w:numFmt w:val="bullet"/>
      <w:lvlText w:val="•"/>
      <w:lvlJc w:val="left"/>
      <w:pPr>
        <w:ind w:left="2828" w:hanging="305"/>
      </w:pPr>
    </w:lvl>
    <w:lvl w:ilvl="4">
      <w:numFmt w:val="bullet"/>
      <w:lvlText w:val="•"/>
      <w:lvlJc w:val="left"/>
      <w:pPr>
        <w:ind w:left="3504" w:hanging="305"/>
      </w:pPr>
    </w:lvl>
    <w:lvl w:ilvl="5">
      <w:numFmt w:val="bullet"/>
      <w:lvlText w:val="•"/>
      <w:lvlJc w:val="left"/>
      <w:pPr>
        <w:ind w:left="4180" w:hanging="305"/>
      </w:pPr>
    </w:lvl>
    <w:lvl w:ilvl="6">
      <w:numFmt w:val="bullet"/>
      <w:lvlText w:val="•"/>
      <w:lvlJc w:val="left"/>
      <w:pPr>
        <w:ind w:left="4856" w:hanging="305"/>
      </w:pPr>
    </w:lvl>
    <w:lvl w:ilvl="7">
      <w:numFmt w:val="bullet"/>
      <w:lvlText w:val="•"/>
      <w:lvlJc w:val="left"/>
      <w:pPr>
        <w:ind w:left="5532" w:hanging="305"/>
      </w:pPr>
    </w:lvl>
    <w:lvl w:ilvl="8">
      <w:numFmt w:val="bullet"/>
      <w:lvlText w:val="•"/>
      <w:lvlJc w:val="left"/>
      <w:pPr>
        <w:ind w:left="6208" w:hanging="305"/>
      </w:pPr>
    </w:lvl>
  </w:abstractNum>
  <w:abstractNum w:abstractNumId="1" w15:restartNumberingAfterBreak="0">
    <w:nsid w:val="03446DDF"/>
    <w:multiLevelType w:val="hybridMultilevel"/>
    <w:tmpl w:val="FDA42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81ECD"/>
    <w:multiLevelType w:val="multilevel"/>
    <w:tmpl w:val="B25CF7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A22672"/>
    <w:multiLevelType w:val="hybridMultilevel"/>
    <w:tmpl w:val="B9F0B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084061"/>
    <w:multiLevelType w:val="multilevel"/>
    <w:tmpl w:val="216229D4"/>
    <w:lvl w:ilvl="0">
      <w:start w:val="1"/>
      <w:numFmt w:val="upperLetter"/>
      <w:lvlText w:val="%1."/>
      <w:lvlJc w:val="left"/>
      <w:pPr>
        <w:ind w:left="806" w:hanging="305"/>
      </w:pPr>
      <w:rPr>
        <w:b w:val="0"/>
        <w:bCs w:val="0"/>
        <w:w w:val="105"/>
        <w:sz w:val="20"/>
        <w:szCs w:val="20"/>
      </w:rPr>
    </w:lvl>
    <w:lvl w:ilvl="1">
      <w:numFmt w:val="bullet"/>
      <w:lvlText w:val="•"/>
      <w:lvlJc w:val="left"/>
      <w:pPr>
        <w:ind w:left="1476" w:hanging="305"/>
      </w:pPr>
    </w:lvl>
    <w:lvl w:ilvl="2">
      <w:numFmt w:val="bullet"/>
      <w:lvlText w:val="•"/>
      <w:lvlJc w:val="left"/>
      <w:pPr>
        <w:ind w:left="2152" w:hanging="305"/>
      </w:pPr>
    </w:lvl>
    <w:lvl w:ilvl="3">
      <w:numFmt w:val="bullet"/>
      <w:lvlText w:val="•"/>
      <w:lvlJc w:val="left"/>
      <w:pPr>
        <w:ind w:left="2828" w:hanging="305"/>
      </w:pPr>
    </w:lvl>
    <w:lvl w:ilvl="4">
      <w:numFmt w:val="bullet"/>
      <w:lvlText w:val="•"/>
      <w:lvlJc w:val="left"/>
      <w:pPr>
        <w:ind w:left="3504" w:hanging="305"/>
      </w:pPr>
    </w:lvl>
    <w:lvl w:ilvl="5">
      <w:numFmt w:val="bullet"/>
      <w:lvlText w:val="•"/>
      <w:lvlJc w:val="left"/>
      <w:pPr>
        <w:ind w:left="4180" w:hanging="305"/>
      </w:pPr>
    </w:lvl>
    <w:lvl w:ilvl="6">
      <w:numFmt w:val="bullet"/>
      <w:lvlText w:val="•"/>
      <w:lvlJc w:val="left"/>
      <w:pPr>
        <w:ind w:left="4856" w:hanging="305"/>
      </w:pPr>
    </w:lvl>
    <w:lvl w:ilvl="7">
      <w:numFmt w:val="bullet"/>
      <w:lvlText w:val="•"/>
      <w:lvlJc w:val="left"/>
      <w:pPr>
        <w:ind w:left="5532" w:hanging="305"/>
      </w:pPr>
    </w:lvl>
    <w:lvl w:ilvl="8">
      <w:numFmt w:val="bullet"/>
      <w:lvlText w:val="•"/>
      <w:lvlJc w:val="left"/>
      <w:pPr>
        <w:ind w:left="6208" w:hanging="305"/>
      </w:pPr>
    </w:lvl>
  </w:abstractNum>
  <w:abstractNum w:abstractNumId="5" w15:restartNumberingAfterBreak="0">
    <w:nsid w:val="2B19209F"/>
    <w:multiLevelType w:val="hybridMultilevel"/>
    <w:tmpl w:val="2BCA6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E7BEF"/>
    <w:multiLevelType w:val="multilevel"/>
    <w:tmpl w:val="F82A2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073940"/>
    <w:multiLevelType w:val="multilevel"/>
    <w:tmpl w:val="5B3EBCE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F6654EB"/>
    <w:multiLevelType w:val="multilevel"/>
    <w:tmpl w:val="F82A2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9C02F95"/>
    <w:multiLevelType w:val="multilevel"/>
    <w:tmpl w:val="F09E8D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AD40DC9"/>
    <w:multiLevelType w:val="multilevel"/>
    <w:tmpl w:val="F82A2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553B1C"/>
    <w:multiLevelType w:val="hybridMultilevel"/>
    <w:tmpl w:val="AC08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48275A"/>
    <w:multiLevelType w:val="multilevel"/>
    <w:tmpl w:val="D3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D2527"/>
    <w:multiLevelType w:val="hybridMultilevel"/>
    <w:tmpl w:val="5ECE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E0FC2"/>
    <w:multiLevelType w:val="hybridMultilevel"/>
    <w:tmpl w:val="4D5C2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6"/>
  </w:num>
  <w:num w:numId="7">
    <w:abstractNumId w:val="8"/>
  </w:num>
  <w:num w:numId="8">
    <w:abstractNumId w:val="14"/>
  </w:num>
  <w:num w:numId="9">
    <w:abstractNumId w:val="1"/>
  </w:num>
  <w:num w:numId="10">
    <w:abstractNumId w:val="2"/>
  </w:num>
  <w:num w:numId="11">
    <w:abstractNumId w:val="12"/>
  </w:num>
  <w:num w:numId="12">
    <w:abstractNumId w:val="7"/>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CD"/>
    <w:rsid w:val="0000059A"/>
    <w:rsid w:val="0000108A"/>
    <w:rsid w:val="00003FF6"/>
    <w:rsid w:val="000077B3"/>
    <w:rsid w:val="00020A91"/>
    <w:rsid w:val="00023D08"/>
    <w:rsid w:val="00025C0E"/>
    <w:rsid w:val="00041DB0"/>
    <w:rsid w:val="00056552"/>
    <w:rsid w:val="00063205"/>
    <w:rsid w:val="000660B7"/>
    <w:rsid w:val="00072843"/>
    <w:rsid w:val="00073951"/>
    <w:rsid w:val="000743F8"/>
    <w:rsid w:val="00075975"/>
    <w:rsid w:val="0007658F"/>
    <w:rsid w:val="00080350"/>
    <w:rsid w:val="00093C61"/>
    <w:rsid w:val="000A3804"/>
    <w:rsid w:val="000A7101"/>
    <w:rsid w:val="000B0D7F"/>
    <w:rsid w:val="000C5861"/>
    <w:rsid w:val="000D7B8C"/>
    <w:rsid w:val="000F0BB1"/>
    <w:rsid w:val="000F35F1"/>
    <w:rsid w:val="000F68B6"/>
    <w:rsid w:val="00100524"/>
    <w:rsid w:val="001026BC"/>
    <w:rsid w:val="001122C2"/>
    <w:rsid w:val="001143F3"/>
    <w:rsid w:val="001412EE"/>
    <w:rsid w:val="001540B9"/>
    <w:rsid w:val="00160A8B"/>
    <w:rsid w:val="00165D41"/>
    <w:rsid w:val="00165FA1"/>
    <w:rsid w:val="001675E2"/>
    <w:rsid w:val="001730B2"/>
    <w:rsid w:val="001768EF"/>
    <w:rsid w:val="00185B1E"/>
    <w:rsid w:val="00196965"/>
    <w:rsid w:val="001A1536"/>
    <w:rsid w:val="001A306A"/>
    <w:rsid w:val="001A6A8D"/>
    <w:rsid w:val="001A7A82"/>
    <w:rsid w:val="001B2136"/>
    <w:rsid w:val="001C2765"/>
    <w:rsid w:val="001C658E"/>
    <w:rsid w:val="001D20D7"/>
    <w:rsid w:val="001D2137"/>
    <w:rsid w:val="001D31DC"/>
    <w:rsid w:val="001D3668"/>
    <w:rsid w:val="001D5E09"/>
    <w:rsid w:val="001D67E7"/>
    <w:rsid w:val="001E1555"/>
    <w:rsid w:val="001E5938"/>
    <w:rsid w:val="001F14BB"/>
    <w:rsid w:val="00201DC2"/>
    <w:rsid w:val="00203CDB"/>
    <w:rsid w:val="002068B7"/>
    <w:rsid w:val="00212401"/>
    <w:rsid w:val="002144F0"/>
    <w:rsid w:val="00214A86"/>
    <w:rsid w:val="00231405"/>
    <w:rsid w:val="00233F82"/>
    <w:rsid w:val="00234D2F"/>
    <w:rsid w:val="00236283"/>
    <w:rsid w:val="002406DB"/>
    <w:rsid w:val="00240750"/>
    <w:rsid w:val="00247C3F"/>
    <w:rsid w:val="00251574"/>
    <w:rsid w:val="00291C54"/>
    <w:rsid w:val="00292BB8"/>
    <w:rsid w:val="00294CB1"/>
    <w:rsid w:val="00297C19"/>
    <w:rsid w:val="002C17A1"/>
    <w:rsid w:val="002D69E4"/>
    <w:rsid w:val="002E0D15"/>
    <w:rsid w:val="002E509F"/>
    <w:rsid w:val="002E7476"/>
    <w:rsid w:val="002E77EA"/>
    <w:rsid w:val="002F5CB7"/>
    <w:rsid w:val="002F71D5"/>
    <w:rsid w:val="003028FD"/>
    <w:rsid w:val="00336AA3"/>
    <w:rsid w:val="003404BF"/>
    <w:rsid w:val="003429D9"/>
    <w:rsid w:val="00343178"/>
    <w:rsid w:val="003440BB"/>
    <w:rsid w:val="00352DE2"/>
    <w:rsid w:val="00366D18"/>
    <w:rsid w:val="003725D5"/>
    <w:rsid w:val="0038137F"/>
    <w:rsid w:val="00383AE1"/>
    <w:rsid w:val="00385923"/>
    <w:rsid w:val="00397B40"/>
    <w:rsid w:val="003A7B46"/>
    <w:rsid w:val="003B0DCD"/>
    <w:rsid w:val="003C3E63"/>
    <w:rsid w:val="003D0B3F"/>
    <w:rsid w:val="003D3A2D"/>
    <w:rsid w:val="003D7BBA"/>
    <w:rsid w:val="003D7D6E"/>
    <w:rsid w:val="003E01FA"/>
    <w:rsid w:val="003E0896"/>
    <w:rsid w:val="003E507C"/>
    <w:rsid w:val="003F0098"/>
    <w:rsid w:val="003F0D55"/>
    <w:rsid w:val="003F15C8"/>
    <w:rsid w:val="003F1A18"/>
    <w:rsid w:val="003F28CE"/>
    <w:rsid w:val="003F5542"/>
    <w:rsid w:val="00405F36"/>
    <w:rsid w:val="00406147"/>
    <w:rsid w:val="00420D56"/>
    <w:rsid w:val="00427595"/>
    <w:rsid w:val="00431EFD"/>
    <w:rsid w:val="004329F1"/>
    <w:rsid w:val="00433D48"/>
    <w:rsid w:val="00435CEB"/>
    <w:rsid w:val="0043728B"/>
    <w:rsid w:val="00437BBF"/>
    <w:rsid w:val="0044406A"/>
    <w:rsid w:val="00464507"/>
    <w:rsid w:val="004646F4"/>
    <w:rsid w:val="004736D0"/>
    <w:rsid w:val="004801DA"/>
    <w:rsid w:val="00482DA9"/>
    <w:rsid w:val="00491CDE"/>
    <w:rsid w:val="004A0CEB"/>
    <w:rsid w:val="004A643D"/>
    <w:rsid w:val="004B3C70"/>
    <w:rsid w:val="004B724A"/>
    <w:rsid w:val="004C18D1"/>
    <w:rsid w:val="004D52CC"/>
    <w:rsid w:val="004E3282"/>
    <w:rsid w:val="004E61F0"/>
    <w:rsid w:val="004E6D7F"/>
    <w:rsid w:val="005008AE"/>
    <w:rsid w:val="005040E9"/>
    <w:rsid w:val="00504966"/>
    <w:rsid w:val="00520524"/>
    <w:rsid w:val="00526EFB"/>
    <w:rsid w:val="00536F8D"/>
    <w:rsid w:val="00543977"/>
    <w:rsid w:val="00550F7A"/>
    <w:rsid w:val="005533D2"/>
    <w:rsid w:val="00571CAC"/>
    <w:rsid w:val="005773B2"/>
    <w:rsid w:val="005778E3"/>
    <w:rsid w:val="0058049E"/>
    <w:rsid w:val="00582753"/>
    <w:rsid w:val="00585A0B"/>
    <w:rsid w:val="00587703"/>
    <w:rsid w:val="00587C0F"/>
    <w:rsid w:val="00592E86"/>
    <w:rsid w:val="00593EAF"/>
    <w:rsid w:val="005A518C"/>
    <w:rsid w:val="005A734D"/>
    <w:rsid w:val="005A7D1B"/>
    <w:rsid w:val="005B5A4C"/>
    <w:rsid w:val="005B7E3A"/>
    <w:rsid w:val="005C434E"/>
    <w:rsid w:val="005D47FB"/>
    <w:rsid w:val="005D4C3E"/>
    <w:rsid w:val="005E3B9E"/>
    <w:rsid w:val="005E4F04"/>
    <w:rsid w:val="005F3F06"/>
    <w:rsid w:val="00606027"/>
    <w:rsid w:val="00611078"/>
    <w:rsid w:val="00630936"/>
    <w:rsid w:val="00635495"/>
    <w:rsid w:val="0064034E"/>
    <w:rsid w:val="0064176D"/>
    <w:rsid w:val="0064602A"/>
    <w:rsid w:val="0065041A"/>
    <w:rsid w:val="00655F34"/>
    <w:rsid w:val="00666C63"/>
    <w:rsid w:val="0067684A"/>
    <w:rsid w:val="0068030B"/>
    <w:rsid w:val="006804AC"/>
    <w:rsid w:val="00683FAD"/>
    <w:rsid w:val="006932F2"/>
    <w:rsid w:val="0069505E"/>
    <w:rsid w:val="00696849"/>
    <w:rsid w:val="00696F77"/>
    <w:rsid w:val="006A196F"/>
    <w:rsid w:val="006A4B5D"/>
    <w:rsid w:val="006B043F"/>
    <w:rsid w:val="006B0817"/>
    <w:rsid w:val="006C203C"/>
    <w:rsid w:val="006C4E61"/>
    <w:rsid w:val="006C5282"/>
    <w:rsid w:val="006D44C7"/>
    <w:rsid w:val="006F09D3"/>
    <w:rsid w:val="007101F1"/>
    <w:rsid w:val="00710B3A"/>
    <w:rsid w:val="007244EB"/>
    <w:rsid w:val="007255E9"/>
    <w:rsid w:val="00731D2D"/>
    <w:rsid w:val="00744EF2"/>
    <w:rsid w:val="007565DE"/>
    <w:rsid w:val="00776493"/>
    <w:rsid w:val="00781A53"/>
    <w:rsid w:val="0078321D"/>
    <w:rsid w:val="00790260"/>
    <w:rsid w:val="00793DEF"/>
    <w:rsid w:val="007970D5"/>
    <w:rsid w:val="007A171D"/>
    <w:rsid w:val="007A358F"/>
    <w:rsid w:val="007A5D33"/>
    <w:rsid w:val="007B6D81"/>
    <w:rsid w:val="007C0452"/>
    <w:rsid w:val="007C7A44"/>
    <w:rsid w:val="008219BF"/>
    <w:rsid w:val="00823361"/>
    <w:rsid w:val="00841C55"/>
    <w:rsid w:val="00841E93"/>
    <w:rsid w:val="008459CE"/>
    <w:rsid w:val="00847830"/>
    <w:rsid w:val="0085502C"/>
    <w:rsid w:val="0087764D"/>
    <w:rsid w:val="008778CD"/>
    <w:rsid w:val="00881C61"/>
    <w:rsid w:val="0088765D"/>
    <w:rsid w:val="0089335F"/>
    <w:rsid w:val="008A0A80"/>
    <w:rsid w:val="008A1C83"/>
    <w:rsid w:val="008A39D3"/>
    <w:rsid w:val="008B2C80"/>
    <w:rsid w:val="008C2882"/>
    <w:rsid w:val="008D5A1A"/>
    <w:rsid w:val="008D5F62"/>
    <w:rsid w:val="008D6937"/>
    <w:rsid w:val="008E4137"/>
    <w:rsid w:val="008E7A95"/>
    <w:rsid w:val="008F149C"/>
    <w:rsid w:val="008F77E6"/>
    <w:rsid w:val="008F7D63"/>
    <w:rsid w:val="00905321"/>
    <w:rsid w:val="00905E02"/>
    <w:rsid w:val="0091258D"/>
    <w:rsid w:val="00913143"/>
    <w:rsid w:val="00915265"/>
    <w:rsid w:val="0091615F"/>
    <w:rsid w:val="00923EC0"/>
    <w:rsid w:val="00942AC2"/>
    <w:rsid w:val="00943769"/>
    <w:rsid w:val="0094746D"/>
    <w:rsid w:val="009523EE"/>
    <w:rsid w:val="009526EC"/>
    <w:rsid w:val="0095616B"/>
    <w:rsid w:val="00967A01"/>
    <w:rsid w:val="009715AE"/>
    <w:rsid w:val="0098109A"/>
    <w:rsid w:val="0098118B"/>
    <w:rsid w:val="00984459"/>
    <w:rsid w:val="00995216"/>
    <w:rsid w:val="009A1D00"/>
    <w:rsid w:val="009A4B3C"/>
    <w:rsid w:val="009A515B"/>
    <w:rsid w:val="009B5FAC"/>
    <w:rsid w:val="009B7925"/>
    <w:rsid w:val="009C19B6"/>
    <w:rsid w:val="009F1135"/>
    <w:rsid w:val="00A0007F"/>
    <w:rsid w:val="00A145E3"/>
    <w:rsid w:val="00A258D8"/>
    <w:rsid w:val="00A37133"/>
    <w:rsid w:val="00A411C5"/>
    <w:rsid w:val="00A41A76"/>
    <w:rsid w:val="00A61FE6"/>
    <w:rsid w:val="00A62CCC"/>
    <w:rsid w:val="00A703A1"/>
    <w:rsid w:val="00A7058E"/>
    <w:rsid w:val="00A7113B"/>
    <w:rsid w:val="00A76F9D"/>
    <w:rsid w:val="00A84DFB"/>
    <w:rsid w:val="00AA2E09"/>
    <w:rsid w:val="00AA6E44"/>
    <w:rsid w:val="00AA7609"/>
    <w:rsid w:val="00AC3247"/>
    <w:rsid w:val="00AC39E5"/>
    <w:rsid w:val="00AC5F40"/>
    <w:rsid w:val="00AD61BD"/>
    <w:rsid w:val="00AD7BBA"/>
    <w:rsid w:val="00AE155E"/>
    <w:rsid w:val="00AE2BEF"/>
    <w:rsid w:val="00AF1C88"/>
    <w:rsid w:val="00AF7A0B"/>
    <w:rsid w:val="00B005A9"/>
    <w:rsid w:val="00B074AA"/>
    <w:rsid w:val="00B211ED"/>
    <w:rsid w:val="00B21813"/>
    <w:rsid w:val="00B32AD4"/>
    <w:rsid w:val="00B32C41"/>
    <w:rsid w:val="00B33087"/>
    <w:rsid w:val="00B33EAA"/>
    <w:rsid w:val="00B3633D"/>
    <w:rsid w:val="00B41578"/>
    <w:rsid w:val="00B47648"/>
    <w:rsid w:val="00B62D87"/>
    <w:rsid w:val="00B6693B"/>
    <w:rsid w:val="00B721D0"/>
    <w:rsid w:val="00B77201"/>
    <w:rsid w:val="00B84285"/>
    <w:rsid w:val="00B8702C"/>
    <w:rsid w:val="00BA047B"/>
    <w:rsid w:val="00BA5841"/>
    <w:rsid w:val="00BB3F9C"/>
    <w:rsid w:val="00BB4934"/>
    <w:rsid w:val="00BB5800"/>
    <w:rsid w:val="00BB581C"/>
    <w:rsid w:val="00BC1E57"/>
    <w:rsid w:val="00BC2798"/>
    <w:rsid w:val="00BD02EE"/>
    <w:rsid w:val="00BD0FC8"/>
    <w:rsid w:val="00BD1570"/>
    <w:rsid w:val="00BD2DEB"/>
    <w:rsid w:val="00BD311B"/>
    <w:rsid w:val="00BD398D"/>
    <w:rsid w:val="00BD791B"/>
    <w:rsid w:val="00BE41D7"/>
    <w:rsid w:val="00BF024E"/>
    <w:rsid w:val="00BF1863"/>
    <w:rsid w:val="00C019B5"/>
    <w:rsid w:val="00C02095"/>
    <w:rsid w:val="00C10FD0"/>
    <w:rsid w:val="00C17D99"/>
    <w:rsid w:val="00C25265"/>
    <w:rsid w:val="00C27BB8"/>
    <w:rsid w:val="00C339EA"/>
    <w:rsid w:val="00C404CC"/>
    <w:rsid w:val="00C41611"/>
    <w:rsid w:val="00C416B4"/>
    <w:rsid w:val="00C43472"/>
    <w:rsid w:val="00C54120"/>
    <w:rsid w:val="00C62AFC"/>
    <w:rsid w:val="00C662E1"/>
    <w:rsid w:val="00C663A1"/>
    <w:rsid w:val="00C81436"/>
    <w:rsid w:val="00C846B9"/>
    <w:rsid w:val="00C918BB"/>
    <w:rsid w:val="00C93B38"/>
    <w:rsid w:val="00C948CD"/>
    <w:rsid w:val="00CA19E9"/>
    <w:rsid w:val="00CA2287"/>
    <w:rsid w:val="00CB599A"/>
    <w:rsid w:val="00CC3945"/>
    <w:rsid w:val="00CC5FD8"/>
    <w:rsid w:val="00CC6A31"/>
    <w:rsid w:val="00CD0190"/>
    <w:rsid w:val="00CD44AF"/>
    <w:rsid w:val="00CE625A"/>
    <w:rsid w:val="00CE6354"/>
    <w:rsid w:val="00D029E6"/>
    <w:rsid w:val="00D06446"/>
    <w:rsid w:val="00D072EB"/>
    <w:rsid w:val="00D1112F"/>
    <w:rsid w:val="00D117E8"/>
    <w:rsid w:val="00D14249"/>
    <w:rsid w:val="00D26063"/>
    <w:rsid w:val="00D33E5F"/>
    <w:rsid w:val="00D3460C"/>
    <w:rsid w:val="00D3764D"/>
    <w:rsid w:val="00D460A3"/>
    <w:rsid w:val="00D51476"/>
    <w:rsid w:val="00D52112"/>
    <w:rsid w:val="00D5231E"/>
    <w:rsid w:val="00D529A9"/>
    <w:rsid w:val="00D5405C"/>
    <w:rsid w:val="00D572E7"/>
    <w:rsid w:val="00D61FC9"/>
    <w:rsid w:val="00D62128"/>
    <w:rsid w:val="00D6245F"/>
    <w:rsid w:val="00D77C82"/>
    <w:rsid w:val="00D92A66"/>
    <w:rsid w:val="00D92F3B"/>
    <w:rsid w:val="00DA4032"/>
    <w:rsid w:val="00DA52FA"/>
    <w:rsid w:val="00DA5F88"/>
    <w:rsid w:val="00DB125B"/>
    <w:rsid w:val="00DB1487"/>
    <w:rsid w:val="00DB25B9"/>
    <w:rsid w:val="00DB2C00"/>
    <w:rsid w:val="00DB659B"/>
    <w:rsid w:val="00DB6B80"/>
    <w:rsid w:val="00DC186C"/>
    <w:rsid w:val="00DC29FF"/>
    <w:rsid w:val="00DC4040"/>
    <w:rsid w:val="00DD0920"/>
    <w:rsid w:val="00DD3DF3"/>
    <w:rsid w:val="00DF780E"/>
    <w:rsid w:val="00E13952"/>
    <w:rsid w:val="00E14626"/>
    <w:rsid w:val="00E32414"/>
    <w:rsid w:val="00E35B7A"/>
    <w:rsid w:val="00E3673B"/>
    <w:rsid w:val="00E45569"/>
    <w:rsid w:val="00E50F15"/>
    <w:rsid w:val="00E56F0F"/>
    <w:rsid w:val="00E576DD"/>
    <w:rsid w:val="00E60B1B"/>
    <w:rsid w:val="00E71EC9"/>
    <w:rsid w:val="00E7401D"/>
    <w:rsid w:val="00E74F56"/>
    <w:rsid w:val="00E76C54"/>
    <w:rsid w:val="00E80AE2"/>
    <w:rsid w:val="00E843A5"/>
    <w:rsid w:val="00E85864"/>
    <w:rsid w:val="00E92E16"/>
    <w:rsid w:val="00E96EA0"/>
    <w:rsid w:val="00EA7EAF"/>
    <w:rsid w:val="00EB2F17"/>
    <w:rsid w:val="00EB77A8"/>
    <w:rsid w:val="00EB781D"/>
    <w:rsid w:val="00EC0120"/>
    <w:rsid w:val="00EC018B"/>
    <w:rsid w:val="00ED077C"/>
    <w:rsid w:val="00ED1060"/>
    <w:rsid w:val="00ED2BE4"/>
    <w:rsid w:val="00ED5C31"/>
    <w:rsid w:val="00ED6731"/>
    <w:rsid w:val="00ED6B1A"/>
    <w:rsid w:val="00EE128E"/>
    <w:rsid w:val="00EF1C8E"/>
    <w:rsid w:val="00F0205C"/>
    <w:rsid w:val="00F05CE2"/>
    <w:rsid w:val="00F2264B"/>
    <w:rsid w:val="00F2351B"/>
    <w:rsid w:val="00F27034"/>
    <w:rsid w:val="00F36ECD"/>
    <w:rsid w:val="00F44BB9"/>
    <w:rsid w:val="00F46856"/>
    <w:rsid w:val="00F504E8"/>
    <w:rsid w:val="00F56DAA"/>
    <w:rsid w:val="00F64DA0"/>
    <w:rsid w:val="00F8327B"/>
    <w:rsid w:val="00F90535"/>
    <w:rsid w:val="00FA0EE8"/>
    <w:rsid w:val="00FD3BF6"/>
    <w:rsid w:val="00FE0D8B"/>
    <w:rsid w:val="00FF3BD1"/>
    <w:rsid w:val="00FF49E1"/>
    <w:rsid w:val="00FF54DA"/>
    <w:rsid w:val="00FF5754"/>
    <w:rsid w:val="00FF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C6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778CD"/>
    <w:rPr>
      <w:sz w:val="20"/>
      <w:szCs w:val="20"/>
    </w:rPr>
  </w:style>
  <w:style w:type="character" w:customStyle="1" w:styleId="FootnoteTextChar">
    <w:name w:val="Footnote Text Char"/>
    <w:basedOn w:val="DefaultParagraphFont"/>
    <w:link w:val="FootnoteText"/>
    <w:uiPriority w:val="99"/>
    <w:semiHidden/>
    <w:rsid w:val="008778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778CD"/>
    <w:rPr>
      <w:vertAlign w:val="superscript"/>
    </w:rPr>
  </w:style>
  <w:style w:type="character" w:styleId="Emphasis">
    <w:name w:val="Emphasis"/>
    <w:basedOn w:val="DefaultParagraphFont"/>
    <w:uiPriority w:val="20"/>
    <w:qFormat/>
    <w:rsid w:val="00587703"/>
    <w:rPr>
      <w:i/>
      <w:iCs/>
    </w:rPr>
  </w:style>
  <w:style w:type="character" w:customStyle="1" w:styleId="name">
    <w:name w:val="name"/>
    <w:basedOn w:val="DefaultParagraphFont"/>
    <w:rsid w:val="00587703"/>
  </w:style>
  <w:style w:type="character" w:customStyle="1" w:styleId="pubname">
    <w:name w:val="pub_name"/>
    <w:basedOn w:val="DefaultParagraphFont"/>
    <w:rsid w:val="00587703"/>
  </w:style>
  <w:style w:type="character" w:customStyle="1" w:styleId="bea-portal-theme-alibrisinvisible">
    <w:name w:val="bea-portal-theme-alibrisinvisible"/>
    <w:basedOn w:val="DefaultParagraphFont"/>
    <w:rsid w:val="00587703"/>
  </w:style>
  <w:style w:type="character" w:styleId="CommentReference">
    <w:name w:val="annotation reference"/>
    <w:basedOn w:val="DefaultParagraphFont"/>
    <w:semiHidden/>
    <w:rsid w:val="00D06446"/>
    <w:rPr>
      <w:sz w:val="16"/>
      <w:szCs w:val="16"/>
    </w:rPr>
  </w:style>
  <w:style w:type="paragraph" w:styleId="CommentText">
    <w:name w:val="annotation text"/>
    <w:basedOn w:val="Normal"/>
    <w:link w:val="CommentTextChar"/>
    <w:semiHidden/>
    <w:rsid w:val="00D06446"/>
    <w:rPr>
      <w:sz w:val="20"/>
      <w:szCs w:val="20"/>
    </w:rPr>
  </w:style>
  <w:style w:type="character" w:customStyle="1" w:styleId="CommentTextChar">
    <w:name w:val="Comment Text Char"/>
    <w:basedOn w:val="DefaultParagraphFont"/>
    <w:link w:val="CommentText"/>
    <w:semiHidden/>
    <w:rsid w:val="00D06446"/>
    <w:rPr>
      <w:rFonts w:ascii="Times New Roman" w:eastAsia="Times New Roman" w:hAnsi="Times New Roman" w:cs="Times New Roman"/>
      <w:sz w:val="20"/>
      <w:szCs w:val="20"/>
    </w:rPr>
  </w:style>
  <w:style w:type="paragraph" w:styleId="ListContinue2">
    <w:name w:val="List Continue 2"/>
    <w:basedOn w:val="Normal"/>
    <w:rsid w:val="00D06446"/>
    <w:pPr>
      <w:spacing w:after="120"/>
      <w:ind w:left="566"/>
    </w:pPr>
  </w:style>
  <w:style w:type="paragraph" w:styleId="BalloonText">
    <w:name w:val="Balloon Text"/>
    <w:basedOn w:val="Normal"/>
    <w:link w:val="BalloonTextChar"/>
    <w:uiPriority w:val="99"/>
    <w:semiHidden/>
    <w:unhideWhenUsed/>
    <w:rsid w:val="00D06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446"/>
    <w:rPr>
      <w:rFonts w:ascii="Segoe UI" w:eastAsia="Times New Roman" w:hAnsi="Segoe UI" w:cs="Segoe UI"/>
      <w:sz w:val="18"/>
      <w:szCs w:val="18"/>
    </w:rPr>
  </w:style>
  <w:style w:type="paragraph" w:customStyle="1" w:styleId="Default">
    <w:name w:val="Default"/>
    <w:rsid w:val="00666C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rger">
    <w:name w:val="larger"/>
    <w:basedOn w:val="DefaultParagraphFont"/>
    <w:rsid w:val="00635495"/>
  </w:style>
  <w:style w:type="paragraph" w:styleId="ListParagraph">
    <w:name w:val="List Paragraph"/>
    <w:basedOn w:val="Normal"/>
    <w:uiPriority w:val="34"/>
    <w:qFormat/>
    <w:rsid w:val="000077B3"/>
    <w:pPr>
      <w:ind w:left="720"/>
      <w:contextualSpacing/>
    </w:pPr>
  </w:style>
  <w:style w:type="paragraph" w:styleId="CommentSubject">
    <w:name w:val="annotation subject"/>
    <w:basedOn w:val="CommentText"/>
    <w:next w:val="CommentText"/>
    <w:link w:val="CommentSubjectChar"/>
    <w:uiPriority w:val="99"/>
    <w:semiHidden/>
    <w:unhideWhenUsed/>
    <w:rsid w:val="002F71D5"/>
    <w:rPr>
      <w:b/>
      <w:bCs/>
    </w:rPr>
  </w:style>
  <w:style w:type="character" w:customStyle="1" w:styleId="CommentSubjectChar">
    <w:name w:val="Comment Subject Char"/>
    <w:basedOn w:val="CommentTextChar"/>
    <w:link w:val="CommentSubject"/>
    <w:uiPriority w:val="99"/>
    <w:semiHidden/>
    <w:rsid w:val="002F71D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E77EA"/>
    <w:pPr>
      <w:tabs>
        <w:tab w:val="center" w:pos="4680"/>
        <w:tab w:val="right" w:pos="9360"/>
      </w:tabs>
    </w:pPr>
  </w:style>
  <w:style w:type="character" w:customStyle="1" w:styleId="HeaderChar">
    <w:name w:val="Header Char"/>
    <w:basedOn w:val="DefaultParagraphFont"/>
    <w:link w:val="Header"/>
    <w:uiPriority w:val="99"/>
    <w:rsid w:val="002E77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7EA"/>
    <w:pPr>
      <w:tabs>
        <w:tab w:val="center" w:pos="4680"/>
        <w:tab w:val="right" w:pos="9360"/>
      </w:tabs>
    </w:pPr>
  </w:style>
  <w:style w:type="character" w:customStyle="1" w:styleId="FooterChar">
    <w:name w:val="Footer Char"/>
    <w:basedOn w:val="DefaultParagraphFont"/>
    <w:link w:val="Footer"/>
    <w:uiPriority w:val="99"/>
    <w:rsid w:val="002E77EA"/>
    <w:rPr>
      <w:rFonts w:ascii="Times New Roman" w:eastAsia="Times New Roman" w:hAnsi="Times New Roman" w:cs="Times New Roman"/>
      <w:sz w:val="24"/>
      <w:szCs w:val="24"/>
    </w:rPr>
  </w:style>
  <w:style w:type="table" w:styleId="TableGrid">
    <w:name w:val="Table Grid"/>
    <w:basedOn w:val="TableNormal"/>
    <w:uiPriority w:val="39"/>
    <w:rsid w:val="001C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2765"/>
    <w:rPr>
      <w:color w:val="808080"/>
    </w:rPr>
  </w:style>
  <w:style w:type="character" w:styleId="Hyperlink">
    <w:name w:val="Hyperlink"/>
    <w:basedOn w:val="DefaultParagraphFont"/>
    <w:uiPriority w:val="99"/>
    <w:unhideWhenUsed/>
    <w:rsid w:val="001730B2"/>
    <w:rPr>
      <w:color w:val="0563C1" w:themeColor="hyperlink"/>
      <w:u w:val="single"/>
    </w:rPr>
  </w:style>
  <w:style w:type="character" w:styleId="UnresolvedMention">
    <w:name w:val="Unresolved Mention"/>
    <w:basedOn w:val="DefaultParagraphFont"/>
    <w:uiPriority w:val="99"/>
    <w:semiHidden/>
    <w:unhideWhenUsed/>
    <w:rsid w:val="001730B2"/>
    <w:rPr>
      <w:color w:val="605E5C"/>
      <w:shd w:val="clear" w:color="auto" w:fill="E1DFDD"/>
    </w:rPr>
  </w:style>
  <w:style w:type="paragraph" w:styleId="NormalWeb">
    <w:name w:val="Normal (Web)"/>
    <w:basedOn w:val="Normal"/>
    <w:uiPriority w:val="99"/>
    <w:semiHidden/>
    <w:unhideWhenUsed/>
    <w:rsid w:val="0004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62631">
      <w:bodyDiv w:val="1"/>
      <w:marLeft w:val="0"/>
      <w:marRight w:val="0"/>
      <w:marTop w:val="0"/>
      <w:marBottom w:val="0"/>
      <w:divBdr>
        <w:top w:val="none" w:sz="0" w:space="0" w:color="auto"/>
        <w:left w:val="none" w:sz="0" w:space="0" w:color="auto"/>
        <w:bottom w:val="none" w:sz="0" w:space="0" w:color="auto"/>
        <w:right w:val="none" w:sz="0" w:space="0" w:color="auto"/>
      </w:divBdr>
    </w:div>
    <w:div w:id="825782923">
      <w:bodyDiv w:val="1"/>
      <w:marLeft w:val="0"/>
      <w:marRight w:val="0"/>
      <w:marTop w:val="0"/>
      <w:marBottom w:val="0"/>
      <w:divBdr>
        <w:top w:val="none" w:sz="0" w:space="0" w:color="auto"/>
        <w:left w:val="none" w:sz="0" w:space="0" w:color="auto"/>
        <w:bottom w:val="none" w:sz="0" w:space="0" w:color="auto"/>
        <w:right w:val="none" w:sz="0" w:space="0" w:color="auto"/>
      </w:divBdr>
    </w:div>
    <w:div w:id="1031419327">
      <w:bodyDiv w:val="1"/>
      <w:marLeft w:val="0"/>
      <w:marRight w:val="0"/>
      <w:marTop w:val="0"/>
      <w:marBottom w:val="0"/>
      <w:divBdr>
        <w:top w:val="none" w:sz="0" w:space="0" w:color="auto"/>
        <w:left w:val="none" w:sz="0" w:space="0" w:color="auto"/>
        <w:bottom w:val="none" w:sz="0" w:space="0" w:color="auto"/>
        <w:right w:val="none" w:sz="0" w:space="0" w:color="auto"/>
      </w:divBdr>
    </w:div>
    <w:div w:id="1207983046">
      <w:bodyDiv w:val="1"/>
      <w:marLeft w:val="0"/>
      <w:marRight w:val="0"/>
      <w:marTop w:val="0"/>
      <w:marBottom w:val="0"/>
      <w:divBdr>
        <w:top w:val="none" w:sz="0" w:space="0" w:color="auto"/>
        <w:left w:val="none" w:sz="0" w:space="0" w:color="auto"/>
        <w:bottom w:val="none" w:sz="0" w:space="0" w:color="auto"/>
        <w:right w:val="none" w:sz="0" w:space="0" w:color="auto"/>
      </w:divBdr>
    </w:div>
    <w:div w:id="1449205107">
      <w:bodyDiv w:val="1"/>
      <w:marLeft w:val="0"/>
      <w:marRight w:val="0"/>
      <w:marTop w:val="0"/>
      <w:marBottom w:val="0"/>
      <w:divBdr>
        <w:top w:val="none" w:sz="0" w:space="0" w:color="auto"/>
        <w:left w:val="none" w:sz="0" w:space="0" w:color="auto"/>
        <w:bottom w:val="none" w:sz="0" w:space="0" w:color="auto"/>
        <w:right w:val="none" w:sz="0" w:space="0" w:color="auto"/>
      </w:divBdr>
      <w:divsChild>
        <w:div w:id="1160150370">
          <w:marLeft w:val="0"/>
          <w:marRight w:val="0"/>
          <w:marTop w:val="0"/>
          <w:marBottom w:val="0"/>
          <w:divBdr>
            <w:top w:val="none" w:sz="0" w:space="0" w:color="auto"/>
            <w:left w:val="none" w:sz="0" w:space="0" w:color="auto"/>
            <w:bottom w:val="none" w:sz="0" w:space="0" w:color="auto"/>
            <w:right w:val="none" w:sz="0" w:space="0" w:color="auto"/>
          </w:divBdr>
          <w:divsChild>
            <w:div w:id="832456360">
              <w:marLeft w:val="0"/>
              <w:marRight w:val="0"/>
              <w:marTop w:val="0"/>
              <w:marBottom w:val="0"/>
              <w:divBdr>
                <w:top w:val="none" w:sz="0" w:space="0" w:color="auto"/>
                <w:left w:val="none" w:sz="0" w:space="0" w:color="auto"/>
                <w:bottom w:val="none" w:sz="0" w:space="0" w:color="auto"/>
                <w:right w:val="none" w:sz="0" w:space="0" w:color="auto"/>
              </w:divBdr>
              <w:divsChild>
                <w:div w:id="1714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js8fa/" TargetMode="External"/><Relationship Id="rId13" Type="http://schemas.openxmlformats.org/officeDocument/2006/relationships/hyperlink" Target="http://dx.doi.org/10.2139/ssrn.21605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ronicle.com/article/Paul-Bloom/131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80%2F17470218.2016.125147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f.io/js8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9492-E450-42F8-9414-9574BFB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9876</Words>
  <Characters>60246</Characters>
  <Application>Microsoft Office Word</Application>
  <DocSecurity>0</DocSecurity>
  <Lines>1204</Lines>
  <Paragraphs>701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2019-03-26T21:46:00Z</dcterms:created>
  <dcterms:modified xsi:type="dcterms:W3CDTF">2020-01-07T23:33:00Z</dcterms:modified>
</cp:coreProperties>
</file>