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670BF" w14:textId="77777777" w:rsidR="00536D03" w:rsidRPr="00630A9E" w:rsidRDefault="00536D03" w:rsidP="008720B6">
      <w:pPr>
        <w:widowControl w:val="0"/>
        <w:ind w:right="-56" w:firstLine="426"/>
        <w:rPr>
          <w:rFonts w:ascii="Palatino" w:eastAsia="Droid Serif" w:hAnsi="Palatino" w:cstheme="minorHAnsi"/>
        </w:rPr>
      </w:pPr>
    </w:p>
    <w:p w14:paraId="2E546CD2" w14:textId="77777777" w:rsidR="00882164" w:rsidRDefault="00882164" w:rsidP="008720B6">
      <w:pPr>
        <w:widowControl w:val="0"/>
        <w:pBdr>
          <w:bottom w:val="single" w:sz="6" w:space="1" w:color="auto"/>
        </w:pBdr>
        <w:ind w:right="-56"/>
        <w:rPr>
          <w:rFonts w:ascii="Palatino" w:eastAsia="Droid Serif" w:hAnsi="Palatino" w:cstheme="minorHAnsi"/>
          <w:b/>
        </w:rPr>
      </w:pPr>
    </w:p>
    <w:p w14:paraId="552E873D" w14:textId="77777777" w:rsidR="00882164" w:rsidRDefault="00882164" w:rsidP="008720B6">
      <w:pPr>
        <w:widowControl w:val="0"/>
        <w:pBdr>
          <w:bottom w:val="single" w:sz="6" w:space="1" w:color="auto"/>
        </w:pBdr>
        <w:ind w:right="-56"/>
        <w:rPr>
          <w:rFonts w:ascii="Palatino" w:eastAsia="Droid Serif" w:hAnsi="Palatino" w:cstheme="minorHAnsi"/>
          <w:b/>
        </w:rPr>
      </w:pPr>
    </w:p>
    <w:p w14:paraId="2B7DC4D4" w14:textId="77777777" w:rsidR="00882164" w:rsidRDefault="00882164" w:rsidP="008720B6">
      <w:pPr>
        <w:widowControl w:val="0"/>
        <w:pBdr>
          <w:bottom w:val="single" w:sz="6" w:space="1" w:color="auto"/>
        </w:pBdr>
        <w:ind w:right="-56"/>
        <w:rPr>
          <w:rFonts w:ascii="Palatino" w:eastAsia="Droid Serif" w:hAnsi="Palatino" w:cstheme="minorHAnsi"/>
          <w:b/>
        </w:rPr>
      </w:pPr>
    </w:p>
    <w:p w14:paraId="507BA495" w14:textId="77777777" w:rsidR="00882164" w:rsidRDefault="00882164" w:rsidP="008720B6">
      <w:pPr>
        <w:widowControl w:val="0"/>
        <w:pBdr>
          <w:bottom w:val="single" w:sz="6" w:space="1" w:color="auto"/>
        </w:pBdr>
        <w:ind w:right="-56"/>
        <w:rPr>
          <w:rFonts w:ascii="Palatino" w:eastAsia="Droid Serif" w:hAnsi="Palatino" w:cstheme="minorHAnsi"/>
          <w:b/>
        </w:rPr>
      </w:pPr>
    </w:p>
    <w:p w14:paraId="049B5B19" w14:textId="77777777" w:rsidR="00882164" w:rsidRDefault="00882164" w:rsidP="008720B6">
      <w:pPr>
        <w:widowControl w:val="0"/>
        <w:pBdr>
          <w:bottom w:val="single" w:sz="6" w:space="1" w:color="auto"/>
        </w:pBdr>
        <w:ind w:right="-56"/>
        <w:rPr>
          <w:rFonts w:ascii="Palatino" w:eastAsia="Droid Serif" w:hAnsi="Palatino" w:cstheme="minorHAnsi"/>
          <w:b/>
        </w:rPr>
      </w:pPr>
    </w:p>
    <w:p w14:paraId="15BE21CC" w14:textId="77777777" w:rsidR="00882164" w:rsidRDefault="00882164" w:rsidP="008720B6">
      <w:pPr>
        <w:widowControl w:val="0"/>
        <w:pBdr>
          <w:bottom w:val="single" w:sz="6" w:space="1" w:color="auto"/>
        </w:pBdr>
        <w:ind w:right="-56"/>
        <w:rPr>
          <w:rFonts w:ascii="Palatino" w:eastAsia="Droid Serif" w:hAnsi="Palatino" w:cstheme="minorHAnsi"/>
          <w:b/>
        </w:rPr>
      </w:pPr>
    </w:p>
    <w:p w14:paraId="33387FEE" w14:textId="19908B6E" w:rsidR="003071C9" w:rsidRDefault="005F5B2A" w:rsidP="008720B6">
      <w:pPr>
        <w:widowControl w:val="0"/>
        <w:pBdr>
          <w:bottom w:val="single" w:sz="6" w:space="1" w:color="auto"/>
        </w:pBdr>
        <w:ind w:right="-56"/>
        <w:rPr>
          <w:rFonts w:ascii="Palatino" w:eastAsia="Droid Serif" w:hAnsi="Palatino" w:cstheme="minorHAnsi"/>
          <w:b/>
        </w:rPr>
      </w:pPr>
      <w:r w:rsidRPr="00630A9E">
        <w:rPr>
          <w:rFonts w:ascii="Palatino" w:eastAsia="Droid Serif" w:hAnsi="Palatino" w:cstheme="minorHAnsi"/>
          <w:b/>
        </w:rPr>
        <w:t>ACCESS</w:t>
      </w:r>
      <w:r w:rsidR="00882164">
        <w:rPr>
          <w:rFonts w:ascii="Palatino" w:eastAsia="Droid Serif" w:hAnsi="Palatino" w:cstheme="minorHAnsi"/>
          <w:b/>
        </w:rPr>
        <w:t xml:space="preserve">, </w:t>
      </w:r>
      <w:r w:rsidR="00CE1B51" w:rsidRPr="00630A9E">
        <w:rPr>
          <w:rFonts w:ascii="Palatino" w:eastAsia="Droid Serif" w:hAnsi="Palatino" w:cstheme="minorHAnsi"/>
          <w:b/>
        </w:rPr>
        <w:t>PROMULGATION</w:t>
      </w:r>
      <w:r w:rsidR="00882164">
        <w:rPr>
          <w:rFonts w:ascii="Palatino" w:eastAsia="Droid Serif" w:hAnsi="Palatino" w:cstheme="minorHAnsi"/>
          <w:b/>
        </w:rPr>
        <w:t>,</w:t>
      </w:r>
    </w:p>
    <w:p w14:paraId="65A5B042" w14:textId="7C1E5890" w:rsidR="00536D03" w:rsidRDefault="00882164" w:rsidP="008720B6">
      <w:pPr>
        <w:widowControl w:val="0"/>
        <w:pBdr>
          <w:bottom w:val="single" w:sz="6" w:space="1" w:color="auto"/>
        </w:pBdr>
        <w:ind w:right="-56"/>
        <w:rPr>
          <w:rFonts w:ascii="Palatino" w:eastAsia="Droid Serif" w:hAnsi="Palatino" w:cstheme="minorHAnsi"/>
          <w:b/>
        </w:rPr>
      </w:pPr>
      <w:r>
        <w:rPr>
          <w:rFonts w:ascii="Palatino" w:eastAsia="Droid Serif" w:hAnsi="Palatino" w:cstheme="minorHAnsi"/>
          <w:b/>
        </w:rPr>
        <w:t>AND PROPAGANDA</w:t>
      </w:r>
    </w:p>
    <w:p w14:paraId="56E99279" w14:textId="77777777" w:rsidR="00882164" w:rsidRPr="00261606" w:rsidRDefault="00882164" w:rsidP="008720B6">
      <w:pPr>
        <w:widowControl w:val="0"/>
        <w:pBdr>
          <w:bottom w:val="single" w:sz="6" w:space="1" w:color="auto"/>
        </w:pBdr>
        <w:ind w:right="-56"/>
        <w:rPr>
          <w:rFonts w:ascii="Palatino" w:eastAsia="Droid Serif" w:hAnsi="Palatino" w:cstheme="minorHAnsi"/>
          <w:b/>
        </w:rPr>
      </w:pPr>
    </w:p>
    <w:p w14:paraId="75E926AF" w14:textId="77777777" w:rsidR="00882164" w:rsidRDefault="00882164" w:rsidP="00F4617A">
      <w:pPr>
        <w:widowControl w:val="0"/>
        <w:ind w:right="-56"/>
        <w:jc w:val="both"/>
        <w:rPr>
          <w:rFonts w:ascii="Palatino" w:eastAsia="Droid Serif" w:hAnsi="Palatino" w:cstheme="minorHAnsi"/>
        </w:rPr>
      </w:pPr>
    </w:p>
    <w:p w14:paraId="1C72C170" w14:textId="3A234D86" w:rsidR="00F4617A" w:rsidRDefault="00F4617A" w:rsidP="00F4617A">
      <w:pPr>
        <w:widowControl w:val="0"/>
        <w:ind w:right="-56"/>
        <w:jc w:val="both"/>
        <w:rPr>
          <w:rFonts w:ascii="Palatino" w:eastAsia="Droid Serif" w:hAnsi="Palatino" w:cstheme="minorHAnsi"/>
        </w:rPr>
      </w:pPr>
    </w:p>
    <w:p w14:paraId="7761F348" w14:textId="03BEF6B0" w:rsidR="00882164" w:rsidRDefault="00882164" w:rsidP="00F4617A">
      <w:pPr>
        <w:widowControl w:val="0"/>
        <w:ind w:right="-56"/>
        <w:jc w:val="both"/>
        <w:rPr>
          <w:rFonts w:ascii="Palatino" w:eastAsia="Droid Serif" w:hAnsi="Palatino" w:cstheme="minorHAnsi"/>
        </w:rPr>
      </w:pPr>
    </w:p>
    <w:p w14:paraId="500A7635" w14:textId="77777777" w:rsidR="00882164" w:rsidRPr="00630A9E" w:rsidRDefault="00882164" w:rsidP="00F4617A">
      <w:pPr>
        <w:widowControl w:val="0"/>
        <w:ind w:right="-56"/>
        <w:jc w:val="both"/>
        <w:rPr>
          <w:rFonts w:ascii="Palatino" w:eastAsia="Droid Serif" w:hAnsi="Palatino" w:cstheme="minorHAnsi"/>
        </w:rPr>
      </w:pPr>
    </w:p>
    <w:p w14:paraId="66C09BBA" w14:textId="5923EA4B" w:rsidR="006E6A1B" w:rsidRPr="00630A9E" w:rsidRDefault="000B6689" w:rsidP="008720B6">
      <w:pPr>
        <w:widowControl w:val="0"/>
        <w:ind w:right="-56"/>
        <w:jc w:val="both"/>
        <w:rPr>
          <w:rFonts w:ascii="Palatino" w:eastAsia="Droid Serif" w:hAnsi="Palatino" w:cstheme="minorHAnsi"/>
        </w:rPr>
      </w:pPr>
      <w:r w:rsidRPr="00630A9E">
        <w:rPr>
          <w:rFonts w:ascii="Palatino" w:eastAsia="Droid Serif" w:hAnsi="Palatino" w:cstheme="minorHAnsi"/>
        </w:rPr>
        <w:t>T</w:t>
      </w:r>
      <w:r w:rsidR="00654D1C" w:rsidRPr="00630A9E">
        <w:rPr>
          <w:rFonts w:ascii="Palatino" w:eastAsia="Droid Serif" w:hAnsi="Palatino" w:cstheme="minorHAnsi"/>
        </w:rPr>
        <w:t>he</w:t>
      </w:r>
      <w:r w:rsidR="00900178" w:rsidRPr="00630A9E">
        <w:rPr>
          <w:rFonts w:ascii="Palatino" w:eastAsia="Droid Serif" w:hAnsi="Palatino" w:cstheme="minorHAnsi"/>
        </w:rPr>
        <w:t xml:space="preserve"> </w:t>
      </w:r>
      <w:r w:rsidR="00CD2CFB" w:rsidRPr="00630A9E">
        <w:rPr>
          <w:rFonts w:ascii="Palatino" w:eastAsia="Droid Serif" w:hAnsi="Palatino" w:cstheme="minorHAnsi"/>
        </w:rPr>
        <w:t>legal</w:t>
      </w:r>
      <w:r w:rsidR="00654D1C" w:rsidRPr="00630A9E">
        <w:rPr>
          <w:rFonts w:ascii="Palatino" w:eastAsia="Droid Serif" w:hAnsi="Palatino" w:cstheme="minorHAnsi"/>
        </w:rPr>
        <w:t xml:space="preserve"> ideal of publicity </w:t>
      </w:r>
      <w:r w:rsidR="00B65A11" w:rsidRPr="00630A9E">
        <w:rPr>
          <w:rFonts w:ascii="Palatino" w:eastAsia="Droid Serif" w:hAnsi="Palatino" w:cstheme="minorHAnsi"/>
        </w:rPr>
        <w:t xml:space="preserve">relies </w:t>
      </w:r>
      <w:r w:rsidR="00CE1B51" w:rsidRPr="00630A9E">
        <w:rPr>
          <w:rFonts w:ascii="Palatino" w:eastAsia="Droid Serif" w:hAnsi="Palatino" w:cstheme="minorHAnsi"/>
        </w:rPr>
        <w:t>principally</w:t>
      </w:r>
      <w:r w:rsidR="006C1198" w:rsidRPr="00630A9E">
        <w:rPr>
          <w:rFonts w:ascii="Palatino" w:eastAsia="Droid Serif" w:hAnsi="Palatino" w:cstheme="minorHAnsi"/>
        </w:rPr>
        <w:t xml:space="preserve"> on</w:t>
      </w:r>
      <w:r w:rsidR="00B65A11" w:rsidRPr="00630A9E">
        <w:rPr>
          <w:rFonts w:ascii="Palatino" w:eastAsia="Droid Serif" w:hAnsi="Palatino" w:cstheme="minorHAnsi"/>
        </w:rPr>
        <w:t xml:space="preserve"> the </w:t>
      </w:r>
      <w:r w:rsidR="00CD2CFB" w:rsidRPr="00630A9E">
        <w:rPr>
          <w:rFonts w:ascii="Palatino" w:eastAsia="Droid Serif" w:hAnsi="Palatino" w:cstheme="minorHAnsi"/>
        </w:rPr>
        <w:t>fact</w:t>
      </w:r>
      <w:r w:rsidR="00B65A11" w:rsidRPr="00630A9E">
        <w:rPr>
          <w:rFonts w:ascii="Palatino" w:eastAsia="Droid Serif" w:hAnsi="Palatino" w:cstheme="minorHAnsi"/>
        </w:rPr>
        <w:t xml:space="preserve"> of </w:t>
      </w:r>
      <w:r w:rsidRPr="00630A9E">
        <w:rPr>
          <w:rFonts w:ascii="Palatino" w:eastAsia="Droid Serif" w:hAnsi="Palatino" w:cstheme="minorHAnsi"/>
        </w:rPr>
        <w:t>PROMULGATION</w:t>
      </w:r>
      <w:r w:rsidR="006C1198" w:rsidRPr="00630A9E">
        <w:rPr>
          <w:rFonts w:ascii="Palatino" w:eastAsia="Droid Serif" w:hAnsi="Palatino" w:cstheme="minorHAnsi"/>
        </w:rPr>
        <w:t xml:space="preserve">, </w:t>
      </w:r>
      <w:r w:rsidR="00D83B2A" w:rsidRPr="00630A9E">
        <w:rPr>
          <w:rFonts w:ascii="Palatino" w:eastAsia="Droid Serif" w:hAnsi="Palatino" w:cstheme="minorHAnsi"/>
        </w:rPr>
        <w:t>or the expectation that valid law be publicized</w:t>
      </w:r>
      <w:r w:rsidR="000B60D4" w:rsidRPr="00630A9E">
        <w:rPr>
          <w:rFonts w:ascii="Palatino" w:eastAsia="Droid Serif" w:hAnsi="Palatino" w:cstheme="minorHAnsi"/>
        </w:rPr>
        <w:t xml:space="preserve"> to </w:t>
      </w:r>
      <w:r w:rsidR="003071C9">
        <w:rPr>
          <w:rFonts w:ascii="Palatino" w:eastAsia="Droid Serif" w:hAnsi="Palatino" w:cstheme="minorHAnsi"/>
        </w:rPr>
        <w:t xml:space="preserve">all </w:t>
      </w:r>
      <w:r w:rsidR="00CD2CFB" w:rsidRPr="00630A9E">
        <w:rPr>
          <w:rFonts w:ascii="Palatino" w:eastAsia="Droid Serif" w:hAnsi="Palatino" w:cstheme="minorHAnsi"/>
        </w:rPr>
        <w:t>those subject</w:t>
      </w:r>
      <w:r w:rsidR="005612FD">
        <w:rPr>
          <w:rFonts w:ascii="Palatino" w:eastAsia="Droid Serif" w:hAnsi="Palatino" w:cstheme="minorHAnsi"/>
        </w:rPr>
        <w:t>ed</w:t>
      </w:r>
      <w:r w:rsidR="00CD2CFB" w:rsidRPr="00630A9E">
        <w:rPr>
          <w:rFonts w:ascii="Palatino" w:eastAsia="Droid Serif" w:hAnsi="Palatino" w:cstheme="minorHAnsi"/>
        </w:rPr>
        <w:t xml:space="preserve"> to it</w:t>
      </w:r>
      <w:r w:rsidR="006C1198" w:rsidRPr="00630A9E">
        <w:rPr>
          <w:rFonts w:ascii="Palatino" w:eastAsia="Droid Serif" w:hAnsi="Palatino" w:cstheme="minorHAnsi"/>
        </w:rPr>
        <w:t>.</w:t>
      </w:r>
      <w:r w:rsidR="00022778" w:rsidRPr="00630A9E">
        <w:rPr>
          <w:rFonts w:ascii="Palatino" w:eastAsia="Droid Serif" w:hAnsi="Palatino" w:cstheme="minorHAnsi"/>
        </w:rPr>
        <w:t xml:space="preserve"> </w:t>
      </w:r>
      <w:bookmarkStart w:id="0" w:name="_GoBack"/>
      <w:bookmarkEnd w:id="0"/>
      <w:r w:rsidR="005612FD">
        <w:rPr>
          <w:rFonts w:ascii="Palatino" w:eastAsia="Droid Serif" w:hAnsi="Palatino" w:cstheme="minorHAnsi"/>
        </w:rPr>
        <w:t>And</w:t>
      </w:r>
      <w:r w:rsidR="00022778" w:rsidRPr="00630A9E">
        <w:rPr>
          <w:rFonts w:ascii="Palatino" w:eastAsia="Droid Serif" w:hAnsi="Palatino" w:cstheme="minorHAnsi"/>
        </w:rPr>
        <w:t xml:space="preserve"> </w:t>
      </w:r>
      <w:r w:rsidR="005612FD">
        <w:rPr>
          <w:rFonts w:ascii="Palatino" w:eastAsia="Droid Serif" w:hAnsi="Palatino" w:cstheme="minorHAnsi"/>
        </w:rPr>
        <w:t xml:space="preserve">historically, </w:t>
      </w:r>
      <w:r w:rsidR="00022778" w:rsidRPr="00630A9E">
        <w:rPr>
          <w:rFonts w:ascii="Palatino" w:eastAsia="Droid Serif" w:hAnsi="Palatino" w:cstheme="minorHAnsi"/>
        </w:rPr>
        <w:t>promulgation</w:t>
      </w:r>
      <w:r w:rsidRPr="00630A9E">
        <w:rPr>
          <w:rFonts w:ascii="Palatino" w:eastAsia="Droid Serif" w:hAnsi="Palatino" w:cstheme="minorHAnsi"/>
        </w:rPr>
        <w:t xml:space="preserve"> has always been one of the requirements of </w:t>
      </w:r>
      <w:r w:rsidR="00811F93" w:rsidRPr="00630A9E">
        <w:rPr>
          <w:rFonts w:ascii="Palatino" w:eastAsia="Droid Serif" w:hAnsi="Palatino" w:cstheme="minorHAnsi"/>
        </w:rPr>
        <w:t xml:space="preserve">valid </w:t>
      </w:r>
      <w:r w:rsidRPr="00630A9E">
        <w:rPr>
          <w:rFonts w:ascii="Palatino" w:eastAsia="Droid Serif" w:hAnsi="Palatino" w:cstheme="minorHAnsi"/>
        </w:rPr>
        <w:t xml:space="preserve">law. </w:t>
      </w:r>
      <w:r w:rsidR="005612FD">
        <w:rPr>
          <w:rFonts w:ascii="Palatino" w:eastAsia="Droid Serif" w:hAnsi="Palatino" w:cstheme="minorHAnsi"/>
        </w:rPr>
        <w:t>So</w:t>
      </w:r>
      <w:r w:rsidRPr="00630A9E">
        <w:rPr>
          <w:rFonts w:ascii="Palatino" w:eastAsia="Droid Serif" w:hAnsi="Palatino" w:cstheme="minorHAnsi"/>
        </w:rPr>
        <w:t>,</w:t>
      </w:r>
      <w:r w:rsidR="00F14554" w:rsidRPr="00630A9E">
        <w:rPr>
          <w:rFonts w:ascii="Palatino" w:eastAsia="Droid Serif" w:hAnsi="Palatino" w:cstheme="minorHAnsi"/>
        </w:rPr>
        <w:t xml:space="preserve"> </w:t>
      </w:r>
      <w:r w:rsidR="00C20E3A" w:rsidRPr="00630A9E">
        <w:rPr>
          <w:rFonts w:ascii="Palatino" w:eastAsia="Droid Serif" w:hAnsi="Palatino" w:cstheme="minorHAnsi"/>
        </w:rPr>
        <w:t>we sh</w:t>
      </w:r>
      <w:r w:rsidR="00EC5D7C" w:rsidRPr="00630A9E">
        <w:rPr>
          <w:rFonts w:ascii="Palatino" w:eastAsia="Droid Serif" w:hAnsi="Palatino" w:cstheme="minorHAnsi"/>
        </w:rPr>
        <w:t xml:space="preserve">ould </w:t>
      </w:r>
      <w:r w:rsidR="00C20E3A" w:rsidRPr="00630A9E">
        <w:rPr>
          <w:rFonts w:ascii="Palatino" w:eastAsia="Droid Serif" w:hAnsi="Palatino" w:cstheme="minorHAnsi"/>
        </w:rPr>
        <w:t>expect</w:t>
      </w:r>
      <w:r w:rsidR="00EC5D7C" w:rsidRPr="00630A9E">
        <w:rPr>
          <w:rFonts w:ascii="Palatino" w:eastAsia="Droid Serif" w:hAnsi="Palatino" w:cstheme="minorHAnsi"/>
        </w:rPr>
        <w:t xml:space="preserve"> philosophers of law to have a</w:t>
      </w:r>
      <w:r w:rsidR="00B65A11" w:rsidRPr="00630A9E">
        <w:rPr>
          <w:rFonts w:ascii="Palatino" w:eastAsia="Droid Serif" w:hAnsi="Palatino" w:cstheme="minorHAnsi"/>
        </w:rPr>
        <w:t>n explicit</w:t>
      </w:r>
      <w:r w:rsidR="00EC5D7C" w:rsidRPr="00630A9E">
        <w:rPr>
          <w:rFonts w:ascii="Palatino" w:eastAsia="Droid Serif" w:hAnsi="Palatino" w:cstheme="minorHAnsi"/>
        </w:rPr>
        <w:t xml:space="preserve"> theory about </w:t>
      </w:r>
      <w:r w:rsidR="00B65A11" w:rsidRPr="00630A9E">
        <w:rPr>
          <w:rFonts w:ascii="Palatino" w:eastAsia="Droid Serif" w:hAnsi="Palatino" w:cstheme="minorHAnsi"/>
        </w:rPr>
        <w:t>the</w:t>
      </w:r>
      <w:r w:rsidR="004C1500" w:rsidRPr="00630A9E">
        <w:rPr>
          <w:rFonts w:ascii="Palatino" w:eastAsia="Droid Serif" w:hAnsi="Palatino" w:cstheme="minorHAnsi"/>
        </w:rPr>
        <w:t xml:space="preserve"> nature, meaning, and function</w:t>
      </w:r>
      <w:r w:rsidR="00C20E3A" w:rsidRPr="00630A9E">
        <w:rPr>
          <w:rFonts w:ascii="Palatino" w:eastAsia="Droid Serif" w:hAnsi="Palatino" w:cstheme="minorHAnsi"/>
        </w:rPr>
        <w:t xml:space="preserve"> </w:t>
      </w:r>
      <w:r w:rsidR="00B65A11" w:rsidRPr="00630A9E">
        <w:rPr>
          <w:rFonts w:ascii="Palatino" w:eastAsia="Droid Serif" w:hAnsi="Palatino" w:cstheme="minorHAnsi"/>
        </w:rPr>
        <w:t xml:space="preserve">of </w:t>
      </w:r>
      <w:r w:rsidR="00022778" w:rsidRPr="00630A9E">
        <w:rPr>
          <w:rFonts w:ascii="Palatino" w:eastAsia="Droid Serif" w:hAnsi="Palatino" w:cstheme="minorHAnsi"/>
        </w:rPr>
        <w:t>the concept</w:t>
      </w:r>
      <w:r w:rsidR="00EC5D7C" w:rsidRPr="00630A9E">
        <w:rPr>
          <w:rFonts w:ascii="Palatino" w:eastAsia="Droid Serif" w:hAnsi="Palatino" w:cstheme="minorHAnsi"/>
        </w:rPr>
        <w:t xml:space="preserve">. </w:t>
      </w:r>
      <w:r w:rsidR="00501AAB" w:rsidRPr="00630A9E">
        <w:rPr>
          <w:rFonts w:ascii="Palatino" w:eastAsia="Droid Serif" w:hAnsi="Palatino" w:cstheme="minorHAnsi"/>
        </w:rPr>
        <w:t>Surprisingly,</w:t>
      </w:r>
      <w:r w:rsidR="00764099" w:rsidRPr="00630A9E">
        <w:rPr>
          <w:rFonts w:ascii="Palatino" w:eastAsia="Droid Serif" w:hAnsi="Palatino" w:cstheme="minorHAnsi"/>
        </w:rPr>
        <w:t xml:space="preserve"> t</w:t>
      </w:r>
      <w:r w:rsidR="00EC5D7C" w:rsidRPr="00630A9E">
        <w:rPr>
          <w:rFonts w:ascii="Palatino" w:eastAsia="Droid Serif" w:hAnsi="Palatino" w:cstheme="minorHAnsi"/>
        </w:rPr>
        <w:t xml:space="preserve">his is not so. </w:t>
      </w:r>
      <w:r w:rsidR="00BF38B1" w:rsidRPr="00630A9E">
        <w:rPr>
          <w:rFonts w:ascii="Palatino" w:eastAsia="Droid Serif" w:hAnsi="Palatino" w:cstheme="minorHAnsi"/>
        </w:rPr>
        <w:t>In practice, d</w:t>
      </w:r>
      <w:r w:rsidR="00EC5D7C" w:rsidRPr="00630A9E">
        <w:rPr>
          <w:rFonts w:ascii="Palatino" w:eastAsia="Droid Serif" w:hAnsi="Palatino" w:cstheme="minorHAnsi"/>
        </w:rPr>
        <w:t>iverse legal regimes</w:t>
      </w:r>
      <w:r w:rsidR="00DF5200" w:rsidRPr="00630A9E">
        <w:rPr>
          <w:rFonts w:ascii="Palatino" w:eastAsia="Droid Serif" w:hAnsi="Palatino" w:cstheme="minorHAnsi"/>
        </w:rPr>
        <w:t xml:space="preserve"> have been left to</w:t>
      </w:r>
      <w:r w:rsidR="00EC5D7C" w:rsidRPr="00630A9E">
        <w:rPr>
          <w:rFonts w:ascii="Palatino" w:eastAsia="Droid Serif" w:hAnsi="Palatino" w:cstheme="minorHAnsi"/>
        </w:rPr>
        <w:t xml:space="preserve"> define promulgation in </w:t>
      </w:r>
      <w:r w:rsidR="004C1500" w:rsidRPr="00630A9E">
        <w:rPr>
          <w:rFonts w:ascii="Palatino" w:eastAsia="Droid Serif" w:hAnsi="Palatino" w:cstheme="minorHAnsi"/>
        </w:rPr>
        <w:t xml:space="preserve">their </w:t>
      </w:r>
      <w:r w:rsidR="00EC5D7C" w:rsidRPr="00630A9E">
        <w:rPr>
          <w:rFonts w:ascii="Palatino" w:eastAsia="Droid Serif" w:hAnsi="Palatino" w:cstheme="minorHAnsi"/>
        </w:rPr>
        <w:t>diverse ways.</w:t>
      </w:r>
      <w:r w:rsidR="006E6A1B" w:rsidRPr="00630A9E">
        <w:rPr>
          <w:rStyle w:val="FootnoteReference"/>
          <w:rFonts w:ascii="Palatino" w:eastAsia="Droid Serif" w:hAnsi="Palatino" w:cstheme="minorHAnsi"/>
        </w:rPr>
        <w:footnoteReference w:id="1"/>
      </w:r>
      <w:r w:rsidR="006E6A1B" w:rsidRPr="00630A9E">
        <w:rPr>
          <w:rFonts w:ascii="Palatino" w:eastAsia="Droid Serif" w:hAnsi="Palatino" w:cstheme="minorHAnsi"/>
        </w:rPr>
        <w:t xml:space="preserve"> </w:t>
      </w:r>
      <w:r w:rsidR="00C93A52" w:rsidRPr="00630A9E">
        <w:rPr>
          <w:rFonts w:ascii="Palatino" w:eastAsia="Droid Serif" w:hAnsi="Palatino" w:cstheme="minorHAnsi"/>
        </w:rPr>
        <w:t>T</w:t>
      </w:r>
      <w:r w:rsidR="006E6A1B" w:rsidRPr="00630A9E">
        <w:rPr>
          <w:rFonts w:ascii="Palatino" w:eastAsia="Droid Serif" w:hAnsi="Palatino" w:cstheme="minorHAnsi"/>
        </w:rPr>
        <w:t xml:space="preserve">here is </w:t>
      </w:r>
      <w:r w:rsidR="002C1FCB" w:rsidRPr="00630A9E">
        <w:rPr>
          <w:rFonts w:ascii="Palatino" w:eastAsia="Droid Serif" w:hAnsi="Palatino" w:cstheme="minorHAnsi"/>
        </w:rPr>
        <w:t>no systematic</w:t>
      </w:r>
      <w:r w:rsidR="006E6A1B" w:rsidRPr="00630A9E">
        <w:rPr>
          <w:rFonts w:ascii="Palatino" w:eastAsia="Droid Serif" w:hAnsi="Palatino" w:cstheme="minorHAnsi"/>
        </w:rPr>
        <w:t xml:space="preserve"> attempt to explicate the concept</w:t>
      </w:r>
      <w:r w:rsidR="002C1FCB" w:rsidRPr="00630A9E">
        <w:rPr>
          <w:rFonts w:ascii="Palatino" w:eastAsia="Droid Serif" w:hAnsi="Palatino" w:cstheme="minorHAnsi"/>
        </w:rPr>
        <w:t xml:space="preserve"> in </w:t>
      </w:r>
      <w:r w:rsidR="007F2DB3" w:rsidRPr="00630A9E">
        <w:rPr>
          <w:rFonts w:ascii="Palatino" w:eastAsia="Droid Serif" w:hAnsi="Palatino" w:cstheme="minorHAnsi"/>
        </w:rPr>
        <w:t>relation to</w:t>
      </w:r>
      <w:r w:rsidR="006E6A1B" w:rsidRPr="00630A9E">
        <w:rPr>
          <w:rFonts w:ascii="Palatino" w:eastAsia="Droid Serif" w:hAnsi="Palatino" w:cstheme="minorHAnsi"/>
        </w:rPr>
        <w:t xml:space="preserve"> legal theory.</w:t>
      </w:r>
      <w:r w:rsidR="007F2DB3" w:rsidRPr="00630A9E">
        <w:rPr>
          <w:rFonts w:ascii="Palatino" w:eastAsia="Droid Serif" w:hAnsi="Palatino" w:cstheme="minorHAnsi"/>
        </w:rPr>
        <w:t xml:space="preserve"> </w:t>
      </w:r>
      <w:r w:rsidR="002E2D5C" w:rsidRPr="00630A9E">
        <w:rPr>
          <w:rFonts w:ascii="Palatino" w:eastAsia="Droid Serif" w:hAnsi="Palatino" w:cstheme="minorHAnsi"/>
        </w:rPr>
        <w:t xml:space="preserve">This is unfortunate, given the importance of the value of protected expectations </w:t>
      </w:r>
      <w:r w:rsidR="005612FD">
        <w:rPr>
          <w:rFonts w:ascii="Palatino" w:eastAsia="Droid Serif" w:hAnsi="Palatino" w:cstheme="minorHAnsi"/>
        </w:rPr>
        <w:t>to the</w:t>
      </w:r>
      <w:r w:rsidR="002E2D5C" w:rsidRPr="00630A9E">
        <w:rPr>
          <w:rFonts w:ascii="Palatino" w:eastAsia="Droid Serif" w:hAnsi="Palatino" w:cstheme="minorHAnsi"/>
        </w:rPr>
        <w:t xml:space="preserve"> rule of law.</w:t>
      </w:r>
      <w:r w:rsidR="00F13972" w:rsidRPr="00630A9E">
        <w:rPr>
          <w:rFonts w:ascii="Palatino" w:eastAsia="Droid Serif" w:hAnsi="Palatino" w:cstheme="minorHAnsi"/>
        </w:rPr>
        <w:t xml:space="preserve"> But it is especially unfortunate in an age of information</w:t>
      </w:r>
      <w:r w:rsidR="005612FD">
        <w:rPr>
          <w:rFonts w:ascii="Palatino" w:eastAsia="Droid Serif" w:hAnsi="Palatino" w:cstheme="minorHAnsi"/>
        </w:rPr>
        <w:t>;</w:t>
      </w:r>
      <w:r w:rsidR="00F13972" w:rsidRPr="00630A9E">
        <w:rPr>
          <w:rFonts w:ascii="Palatino" w:eastAsia="Droid Serif" w:hAnsi="Palatino" w:cstheme="minorHAnsi"/>
        </w:rPr>
        <w:t xml:space="preserve"> </w:t>
      </w:r>
      <w:r w:rsidR="005612FD">
        <w:rPr>
          <w:rFonts w:ascii="Palatino" w:eastAsia="Droid Serif" w:hAnsi="Palatino" w:cstheme="minorHAnsi"/>
        </w:rPr>
        <w:t>for i</w:t>
      </w:r>
      <w:r w:rsidR="00E349D4" w:rsidRPr="00630A9E">
        <w:rPr>
          <w:rFonts w:ascii="Palatino" w:eastAsia="Droid Serif" w:hAnsi="Palatino" w:cstheme="minorHAnsi"/>
        </w:rPr>
        <w:t xml:space="preserve">f we do not know under which conditions a legal system is promulgated, then </w:t>
      </w:r>
      <w:r w:rsidR="00735B8E" w:rsidRPr="00630A9E">
        <w:rPr>
          <w:rFonts w:ascii="Palatino" w:eastAsia="Droid Serif" w:hAnsi="Palatino" w:cstheme="minorHAnsi"/>
        </w:rPr>
        <w:t xml:space="preserve">it will not be clear </w:t>
      </w:r>
      <w:r w:rsidR="000E6AC8" w:rsidRPr="00630A9E">
        <w:rPr>
          <w:rFonts w:ascii="Palatino" w:eastAsia="Droid Serif" w:hAnsi="Palatino" w:cstheme="minorHAnsi"/>
        </w:rPr>
        <w:t xml:space="preserve">whether or not </w:t>
      </w:r>
      <w:r w:rsidR="00735B8E" w:rsidRPr="00630A9E">
        <w:rPr>
          <w:rFonts w:ascii="Palatino" w:eastAsia="Droid Serif" w:hAnsi="Palatino" w:cstheme="minorHAnsi"/>
        </w:rPr>
        <w:t>the reproduction of</w:t>
      </w:r>
      <w:r w:rsidR="0076666F" w:rsidRPr="00630A9E">
        <w:rPr>
          <w:rFonts w:ascii="Palatino" w:eastAsia="Droid Serif" w:hAnsi="Palatino" w:cstheme="minorHAnsi"/>
        </w:rPr>
        <w:t xml:space="preserve"> legal</w:t>
      </w:r>
      <w:r w:rsidR="00735B8E" w:rsidRPr="00630A9E">
        <w:rPr>
          <w:rFonts w:ascii="Palatino" w:eastAsia="Droid Serif" w:hAnsi="Palatino" w:cstheme="minorHAnsi"/>
        </w:rPr>
        <w:t xml:space="preserve"> </w:t>
      </w:r>
      <w:r w:rsidR="00735B8E" w:rsidRPr="00630A9E">
        <w:rPr>
          <w:rFonts w:ascii="Palatino" w:eastAsia="Droid Serif" w:hAnsi="Palatino" w:cstheme="minorHAnsi"/>
          <w:i/>
        </w:rPr>
        <w:t>mis</w:t>
      </w:r>
      <w:r w:rsidR="00735B8E" w:rsidRPr="00630A9E">
        <w:rPr>
          <w:rFonts w:ascii="Palatino" w:eastAsia="Droid Serif" w:hAnsi="Palatino" w:cstheme="minorHAnsi"/>
        </w:rPr>
        <w:t xml:space="preserve">information </w:t>
      </w:r>
      <w:r w:rsidR="000E6AC8" w:rsidRPr="00630A9E">
        <w:rPr>
          <w:rFonts w:ascii="Palatino" w:eastAsia="Droid Serif" w:hAnsi="Palatino" w:cstheme="minorHAnsi"/>
        </w:rPr>
        <w:t xml:space="preserve">is a cause for alarm </w:t>
      </w:r>
      <w:r w:rsidR="005612FD">
        <w:rPr>
          <w:rFonts w:ascii="Palatino" w:eastAsia="Droid Serif" w:hAnsi="Palatino" w:cstheme="minorHAnsi"/>
        </w:rPr>
        <w:t xml:space="preserve">(e.g., </w:t>
      </w:r>
      <w:r w:rsidR="007301CF" w:rsidRPr="00630A9E">
        <w:rPr>
          <w:rFonts w:ascii="Palatino" w:eastAsia="Droid Serif" w:hAnsi="Palatino" w:cstheme="minorHAnsi"/>
        </w:rPr>
        <w:t xml:space="preserve">as opposed </w:t>
      </w:r>
      <w:r w:rsidR="00230F96" w:rsidRPr="00630A9E">
        <w:rPr>
          <w:rFonts w:ascii="Palatino" w:eastAsia="Droid Serif" w:hAnsi="Palatino" w:cstheme="minorHAnsi"/>
        </w:rPr>
        <w:t>to</w:t>
      </w:r>
      <w:r w:rsidR="000E6AC8" w:rsidRPr="00630A9E">
        <w:rPr>
          <w:rFonts w:ascii="Palatino" w:eastAsia="Droid Serif" w:hAnsi="Palatino" w:cstheme="minorHAnsi"/>
        </w:rPr>
        <w:t xml:space="preserve"> </w:t>
      </w:r>
      <w:r w:rsidR="00DA0474" w:rsidRPr="00630A9E">
        <w:rPr>
          <w:rFonts w:ascii="Palatino" w:eastAsia="Droid Serif" w:hAnsi="Palatino" w:cstheme="minorHAnsi"/>
        </w:rPr>
        <w:t xml:space="preserve">the cost of doing </w:t>
      </w:r>
      <w:r w:rsidR="000E6AC8" w:rsidRPr="00630A9E">
        <w:rPr>
          <w:rFonts w:ascii="Palatino" w:eastAsia="Droid Serif" w:hAnsi="Palatino" w:cstheme="minorHAnsi"/>
        </w:rPr>
        <w:t xml:space="preserve">business in a </w:t>
      </w:r>
      <w:r w:rsidR="007301CF" w:rsidRPr="00630A9E">
        <w:rPr>
          <w:rFonts w:ascii="Palatino" w:eastAsia="Droid Serif" w:hAnsi="Palatino" w:cstheme="minorHAnsi"/>
        </w:rPr>
        <w:t xml:space="preserve">relatively </w:t>
      </w:r>
      <w:r w:rsidR="000E6AC8" w:rsidRPr="00630A9E">
        <w:rPr>
          <w:rFonts w:ascii="Palatino" w:eastAsia="Droid Serif" w:hAnsi="Palatino" w:cstheme="minorHAnsi"/>
        </w:rPr>
        <w:t>free society</w:t>
      </w:r>
      <w:r w:rsidR="005612FD">
        <w:rPr>
          <w:rFonts w:ascii="Palatino" w:eastAsia="Droid Serif" w:hAnsi="Palatino" w:cstheme="minorHAnsi"/>
        </w:rPr>
        <w:t>)</w:t>
      </w:r>
      <w:r w:rsidR="00E349D4" w:rsidRPr="00630A9E">
        <w:rPr>
          <w:rFonts w:ascii="Palatino" w:eastAsia="Droid Serif" w:hAnsi="Palatino" w:cstheme="minorHAnsi"/>
        </w:rPr>
        <w:t>.</w:t>
      </w:r>
    </w:p>
    <w:p w14:paraId="0080838A" w14:textId="673DA9D8" w:rsidR="00DD46A2" w:rsidRPr="00630A9E" w:rsidRDefault="006E6A1B"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Promulgation of law implies that the laws are know</w:t>
      </w:r>
      <w:r w:rsidR="00240049" w:rsidRPr="00630A9E">
        <w:rPr>
          <w:rFonts w:ascii="Palatino" w:eastAsia="Droid Serif" w:hAnsi="Palatino" w:cstheme="minorHAnsi"/>
        </w:rPr>
        <w:t>n</w:t>
      </w:r>
      <w:r w:rsidRPr="00630A9E">
        <w:rPr>
          <w:rFonts w:ascii="Palatino" w:eastAsia="Droid Serif" w:hAnsi="Palatino" w:cstheme="minorHAnsi"/>
        </w:rPr>
        <w:t xml:space="preserve"> to the</w:t>
      </w:r>
      <w:r w:rsidR="005612FD">
        <w:rPr>
          <w:rFonts w:ascii="Palatino" w:eastAsia="Droid Serif" w:hAnsi="Palatino" w:cstheme="minorHAnsi"/>
        </w:rPr>
        <w:t xml:space="preserve"> public,</w:t>
      </w:r>
      <w:r w:rsidRPr="00630A9E">
        <w:rPr>
          <w:rFonts w:ascii="Palatino" w:eastAsia="Droid Serif" w:hAnsi="Palatino" w:cstheme="minorHAnsi"/>
        </w:rPr>
        <w:t xml:space="preserve"> </w:t>
      </w:r>
      <w:r w:rsidR="005612FD">
        <w:rPr>
          <w:rFonts w:ascii="Palatino" w:eastAsia="Droid Serif" w:hAnsi="Palatino" w:cstheme="minorHAnsi"/>
        </w:rPr>
        <w:t xml:space="preserve">or </w:t>
      </w:r>
      <w:r w:rsidR="00240049" w:rsidRPr="00630A9E">
        <w:rPr>
          <w:rFonts w:ascii="Palatino" w:eastAsia="Droid Serif" w:hAnsi="Palatino" w:cstheme="minorHAnsi"/>
        </w:rPr>
        <w:t>the citizenry conceived of as a political body</w:t>
      </w:r>
      <w:r w:rsidRPr="00630A9E">
        <w:rPr>
          <w:rFonts w:ascii="Palatino" w:eastAsia="Droid Serif" w:hAnsi="Palatino" w:cstheme="minorHAnsi"/>
        </w:rPr>
        <w:t xml:space="preserve">. </w:t>
      </w:r>
      <w:r w:rsidR="005612FD">
        <w:rPr>
          <w:rFonts w:ascii="Palatino" w:eastAsia="Droid Serif" w:hAnsi="Palatino" w:cstheme="minorHAnsi"/>
        </w:rPr>
        <w:t>A</w:t>
      </w:r>
      <w:r w:rsidR="00240049" w:rsidRPr="00630A9E">
        <w:rPr>
          <w:rFonts w:ascii="Palatino" w:eastAsia="Droid Serif" w:hAnsi="Palatino" w:cstheme="minorHAnsi"/>
        </w:rPr>
        <w:t>t least two things are needed to secure promulgation</w:t>
      </w:r>
      <w:r w:rsidRPr="00630A9E">
        <w:rPr>
          <w:rFonts w:ascii="Palatino" w:eastAsia="Droid Serif" w:hAnsi="Palatino" w:cstheme="minorHAnsi"/>
        </w:rPr>
        <w:t xml:space="preserve">. First -- the study of promulgation must involve an inquiry into what it takes to be able to </w:t>
      </w:r>
      <w:r w:rsidRPr="00630A9E">
        <w:rPr>
          <w:rFonts w:ascii="Palatino" w:eastAsia="Droid Serif" w:hAnsi="Palatino" w:cstheme="minorHAnsi"/>
          <w:i/>
        </w:rPr>
        <w:t>access</w:t>
      </w:r>
      <w:r w:rsidRPr="00630A9E">
        <w:rPr>
          <w:rFonts w:ascii="Palatino" w:eastAsia="Droid Serif" w:hAnsi="Palatino" w:cstheme="minorHAnsi"/>
        </w:rPr>
        <w:t xml:space="preserve"> </w:t>
      </w:r>
      <w:r w:rsidR="00A4164F" w:rsidRPr="00630A9E">
        <w:rPr>
          <w:rFonts w:ascii="Palatino" w:eastAsia="Droid Serif" w:hAnsi="Palatino" w:cstheme="minorHAnsi"/>
        </w:rPr>
        <w:t>sources</w:t>
      </w:r>
      <w:r w:rsidRPr="00630A9E">
        <w:rPr>
          <w:rFonts w:ascii="Palatino" w:eastAsia="Droid Serif" w:hAnsi="Palatino" w:cstheme="minorHAnsi"/>
        </w:rPr>
        <w:t xml:space="preserve"> which disseminate knowledge of law</w:t>
      </w:r>
      <w:r w:rsidR="005F5B2A" w:rsidRPr="00630A9E">
        <w:rPr>
          <w:rFonts w:ascii="Palatino" w:eastAsia="Droid Serif" w:hAnsi="Palatino" w:cstheme="minorHAnsi"/>
        </w:rPr>
        <w:t xml:space="preserve"> – roughly, the conditions where it is rationally possible for citizens to know law</w:t>
      </w:r>
      <w:r w:rsidRPr="00630A9E">
        <w:rPr>
          <w:rFonts w:ascii="Palatino" w:eastAsia="Droid Serif" w:hAnsi="Palatino" w:cstheme="minorHAnsi"/>
        </w:rPr>
        <w:t>.</w:t>
      </w:r>
      <w:r w:rsidRPr="00630A9E">
        <w:rPr>
          <w:rStyle w:val="FootnoteReference"/>
          <w:rFonts w:ascii="Palatino" w:eastAsia="Droid Serif" w:hAnsi="Palatino" w:cstheme="minorHAnsi"/>
        </w:rPr>
        <w:footnoteReference w:id="2"/>
      </w:r>
      <w:r w:rsidRPr="00630A9E">
        <w:rPr>
          <w:rFonts w:ascii="Palatino" w:eastAsia="Droid Serif" w:hAnsi="Palatino" w:cstheme="minorHAnsi"/>
        </w:rPr>
        <w:t xml:space="preserve"> Second -- these </w:t>
      </w:r>
      <w:r w:rsidR="00A4164F" w:rsidRPr="00630A9E">
        <w:rPr>
          <w:rFonts w:ascii="Palatino" w:eastAsia="Droid Serif" w:hAnsi="Palatino" w:cstheme="minorHAnsi"/>
        </w:rPr>
        <w:t>sources</w:t>
      </w:r>
      <w:r w:rsidRPr="00630A9E">
        <w:rPr>
          <w:rFonts w:ascii="Palatino" w:eastAsia="Droid Serif" w:hAnsi="Palatino" w:cstheme="minorHAnsi"/>
        </w:rPr>
        <w:t xml:space="preserve"> should report correctly on the relevant kind of social institution,</w:t>
      </w:r>
      <w:r w:rsidR="005F5B2A" w:rsidRPr="00630A9E">
        <w:rPr>
          <w:rFonts w:ascii="Palatino" w:eastAsia="Droid Serif" w:hAnsi="Palatino" w:cstheme="minorHAnsi"/>
        </w:rPr>
        <w:t xml:space="preserve"> putting </w:t>
      </w:r>
      <w:r w:rsidR="00240049" w:rsidRPr="00630A9E">
        <w:rPr>
          <w:rFonts w:ascii="Palatino" w:eastAsia="Droid Serif" w:hAnsi="Palatino" w:cstheme="minorHAnsi"/>
        </w:rPr>
        <w:t>the skill</w:t>
      </w:r>
      <w:r w:rsidR="005F5B2A" w:rsidRPr="00630A9E">
        <w:rPr>
          <w:rFonts w:ascii="Palatino" w:eastAsia="Droid Serif" w:hAnsi="Palatino" w:cstheme="minorHAnsi"/>
        </w:rPr>
        <w:t xml:space="preserve"> of </w:t>
      </w:r>
      <w:r w:rsidRPr="00630A9E">
        <w:rPr>
          <w:rFonts w:ascii="Palatino" w:eastAsia="Droid Serif" w:hAnsi="Palatino" w:cstheme="minorHAnsi"/>
          <w:i/>
        </w:rPr>
        <w:t>discernment</w:t>
      </w:r>
      <w:r w:rsidR="005F5B2A" w:rsidRPr="00630A9E">
        <w:rPr>
          <w:rFonts w:ascii="Palatino" w:eastAsia="Droid Serif" w:hAnsi="Palatino" w:cstheme="minorHAnsi"/>
          <w:i/>
        </w:rPr>
        <w:t xml:space="preserve"> </w:t>
      </w:r>
      <w:r w:rsidR="005F5B2A" w:rsidRPr="00630A9E">
        <w:rPr>
          <w:rFonts w:ascii="Palatino" w:eastAsia="Droid Serif" w:hAnsi="Palatino" w:cstheme="minorHAnsi"/>
        </w:rPr>
        <w:t>into practice</w:t>
      </w:r>
      <w:r w:rsidRPr="00630A9E">
        <w:rPr>
          <w:rFonts w:ascii="Palatino" w:eastAsia="Droid Serif" w:hAnsi="Palatino" w:cstheme="minorHAnsi"/>
        </w:rPr>
        <w:t>.</w:t>
      </w:r>
      <w:r w:rsidR="005612FD">
        <w:rPr>
          <w:rStyle w:val="FootnoteReference"/>
          <w:rFonts w:ascii="Palatino" w:eastAsia="Droid Serif" w:hAnsi="Palatino" w:cstheme="minorHAnsi"/>
        </w:rPr>
        <w:footnoteReference w:id="3"/>
      </w:r>
      <w:r w:rsidRPr="00630A9E">
        <w:rPr>
          <w:rFonts w:ascii="Palatino" w:eastAsia="Droid Serif" w:hAnsi="Palatino" w:cstheme="minorHAnsi"/>
        </w:rPr>
        <w:t xml:space="preserve"> </w:t>
      </w:r>
      <w:r w:rsidR="00DD46A2" w:rsidRPr="00630A9E">
        <w:rPr>
          <w:rFonts w:ascii="Palatino" w:eastAsia="Droid Serif" w:hAnsi="Palatino" w:cstheme="minorHAnsi"/>
        </w:rPr>
        <w:t>The primary occupation of the present essay is to provide a theory of acces</w:t>
      </w:r>
      <w:r w:rsidR="008A1EF5" w:rsidRPr="00630A9E">
        <w:rPr>
          <w:rFonts w:ascii="Palatino" w:eastAsia="Droid Serif" w:hAnsi="Palatino" w:cstheme="minorHAnsi"/>
        </w:rPr>
        <w:t>s</w:t>
      </w:r>
      <w:r w:rsidR="006246B6" w:rsidRPr="00630A9E">
        <w:rPr>
          <w:rFonts w:ascii="Palatino" w:eastAsia="Droid Serif" w:hAnsi="Palatino" w:cstheme="minorHAnsi"/>
        </w:rPr>
        <w:t>ibility</w:t>
      </w:r>
      <w:r w:rsidR="008A1EF5" w:rsidRPr="00630A9E">
        <w:rPr>
          <w:rFonts w:ascii="Palatino" w:eastAsia="Droid Serif" w:hAnsi="Palatino" w:cstheme="minorHAnsi"/>
        </w:rPr>
        <w:t>,</w:t>
      </w:r>
      <w:r w:rsidR="00DD46A2" w:rsidRPr="00630A9E">
        <w:rPr>
          <w:rFonts w:ascii="Palatino" w:eastAsia="Droid Serif" w:hAnsi="Palatino" w:cstheme="minorHAnsi"/>
        </w:rPr>
        <w:t xml:space="preserve"> though the two conditions are intertwined.</w:t>
      </w:r>
    </w:p>
    <w:p w14:paraId="478F7B65" w14:textId="1E2812E7" w:rsidR="005612FD" w:rsidRDefault="006E6A1B"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 xml:space="preserve">Both </w:t>
      </w:r>
      <w:r w:rsidR="00240049" w:rsidRPr="00630A9E">
        <w:rPr>
          <w:rFonts w:ascii="Palatino" w:eastAsia="Droid Serif" w:hAnsi="Palatino" w:cstheme="minorHAnsi"/>
        </w:rPr>
        <w:t>requirements</w:t>
      </w:r>
      <w:r w:rsidR="00A30921" w:rsidRPr="00630A9E">
        <w:rPr>
          <w:rFonts w:ascii="Palatino" w:eastAsia="Droid Serif" w:hAnsi="Palatino" w:cstheme="minorHAnsi"/>
        </w:rPr>
        <w:t xml:space="preserve"> for access and discernment</w:t>
      </w:r>
      <w:r w:rsidRPr="00630A9E">
        <w:rPr>
          <w:rFonts w:ascii="Palatino" w:eastAsia="Droid Serif" w:hAnsi="Palatino" w:cstheme="minorHAnsi"/>
        </w:rPr>
        <w:t xml:space="preserve"> </w:t>
      </w:r>
      <w:r w:rsidR="00240049" w:rsidRPr="00630A9E">
        <w:rPr>
          <w:rFonts w:ascii="Palatino" w:eastAsia="Droid Serif" w:hAnsi="Palatino" w:cstheme="minorHAnsi"/>
        </w:rPr>
        <w:t>need</w:t>
      </w:r>
      <w:r w:rsidRPr="00630A9E">
        <w:rPr>
          <w:rFonts w:ascii="Palatino" w:eastAsia="Droid Serif" w:hAnsi="Palatino" w:cstheme="minorHAnsi"/>
        </w:rPr>
        <w:t xml:space="preserve"> to</w:t>
      </w:r>
      <w:r w:rsidR="00E65A6B" w:rsidRPr="00630A9E">
        <w:rPr>
          <w:rFonts w:ascii="Palatino" w:eastAsia="Droid Serif" w:hAnsi="Palatino" w:cstheme="minorHAnsi"/>
        </w:rPr>
        <w:t xml:space="preserve"> </w:t>
      </w:r>
      <w:r w:rsidR="00240049" w:rsidRPr="00630A9E">
        <w:rPr>
          <w:rFonts w:ascii="Palatino" w:eastAsia="Droid Serif" w:hAnsi="Palatino" w:cstheme="minorHAnsi"/>
        </w:rPr>
        <w:t>approximately</w:t>
      </w:r>
      <w:r w:rsidRPr="00630A9E">
        <w:rPr>
          <w:rFonts w:ascii="Palatino" w:eastAsia="Droid Serif" w:hAnsi="Palatino" w:cstheme="minorHAnsi"/>
        </w:rPr>
        <w:t xml:space="preserve"> </w:t>
      </w:r>
      <w:r w:rsidR="00E65A6B" w:rsidRPr="00630A9E">
        <w:rPr>
          <w:rFonts w:ascii="Palatino" w:eastAsia="Droid Serif" w:hAnsi="Palatino" w:cstheme="minorHAnsi"/>
        </w:rPr>
        <w:t>satisfy</w:t>
      </w:r>
      <w:r w:rsidRPr="00630A9E">
        <w:rPr>
          <w:rFonts w:ascii="Palatino" w:eastAsia="Droid Serif" w:hAnsi="Palatino" w:cstheme="minorHAnsi"/>
        </w:rPr>
        <w:t xml:space="preserve"> </w:t>
      </w:r>
      <w:r w:rsidR="00E65A6B" w:rsidRPr="00630A9E">
        <w:rPr>
          <w:rFonts w:ascii="Palatino" w:eastAsia="Droid Serif" w:hAnsi="Palatino" w:cstheme="minorHAnsi"/>
        </w:rPr>
        <w:t xml:space="preserve">the conditions for </w:t>
      </w:r>
      <w:r w:rsidR="00240049" w:rsidRPr="00630A9E">
        <w:rPr>
          <w:rFonts w:ascii="Palatino" w:eastAsia="Droid Serif" w:hAnsi="Palatino" w:cstheme="minorHAnsi"/>
        </w:rPr>
        <w:t xml:space="preserve">intellectual </w:t>
      </w:r>
      <w:r w:rsidR="00E65A6B" w:rsidRPr="00630A9E">
        <w:rPr>
          <w:rFonts w:ascii="Palatino" w:eastAsia="Droid Serif" w:hAnsi="Palatino" w:cstheme="minorHAnsi"/>
        </w:rPr>
        <w:t xml:space="preserve">good faith </w:t>
      </w:r>
      <w:r w:rsidR="00240049" w:rsidRPr="00630A9E">
        <w:rPr>
          <w:rFonts w:ascii="Palatino" w:eastAsia="Droid Serif" w:hAnsi="Palatino" w:cstheme="minorHAnsi"/>
        </w:rPr>
        <w:t xml:space="preserve">inquiry into </w:t>
      </w:r>
      <w:r w:rsidR="00E65A6B" w:rsidRPr="00630A9E">
        <w:rPr>
          <w:rFonts w:ascii="Palatino" w:eastAsia="Droid Serif" w:hAnsi="Palatino" w:cstheme="minorHAnsi"/>
        </w:rPr>
        <w:t>a legal system</w:t>
      </w:r>
      <w:r w:rsidR="00A6527E" w:rsidRPr="00630A9E">
        <w:rPr>
          <w:rFonts w:ascii="Palatino" w:eastAsia="Droid Serif" w:hAnsi="Palatino" w:cstheme="minorHAnsi"/>
        </w:rPr>
        <w:t xml:space="preserve"> (where those conditions are attempted specifications of the virtues </w:t>
      </w:r>
      <w:r w:rsidR="00DD46A2" w:rsidRPr="00630A9E">
        <w:rPr>
          <w:rFonts w:ascii="Palatino" w:eastAsia="Droid Serif" w:hAnsi="Palatino" w:cstheme="minorHAnsi"/>
        </w:rPr>
        <w:t>which make cooperative</w:t>
      </w:r>
      <w:r w:rsidR="00A6527E" w:rsidRPr="00630A9E">
        <w:rPr>
          <w:rFonts w:ascii="Palatino" w:eastAsia="Droid Serif" w:hAnsi="Palatino" w:cstheme="minorHAnsi"/>
        </w:rPr>
        <w:t xml:space="preserve"> discourse</w:t>
      </w:r>
      <w:r w:rsidR="00DD46A2" w:rsidRPr="00630A9E">
        <w:rPr>
          <w:rFonts w:ascii="Palatino" w:eastAsia="Droid Serif" w:hAnsi="Palatino" w:cstheme="minorHAnsi"/>
        </w:rPr>
        <w:t xml:space="preserve"> possible</w:t>
      </w:r>
      <w:r w:rsidR="00A6527E" w:rsidRPr="00630A9E">
        <w:rPr>
          <w:rFonts w:ascii="Palatino" w:eastAsia="Droid Serif" w:hAnsi="Palatino" w:cstheme="minorHAnsi"/>
        </w:rPr>
        <w:t>)</w:t>
      </w:r>
      <w:r w:rsidR="00E65A6B" w:rsidRPr="00630A9E">
        <w:rPr>
          <w:rFonts w:ascii="Palatino" w:eastAsia="Droid Serif" w:hAnsi="Palatino" w:cstheme="minorHAnsi"/>
        </w:rPr>
        <w:t xml:space="preserve">. </w:t>
      </w:r>
      <w:r w:rsidR="00240049" w:rsidRPr="00630A9E">
        <w:rPr>
          <w:rFonts w:ascii="Palatino" w:eastAsia="Droid Serif" w:hAnsi="Palatino" w:cstheme="minorHAnsi"/>
        </w:rPr>
        <w:t>Those conditions</w:t>
      </w:r>
      <w:r w:rsidR="00DD46A2" w:rsidRPr="00630A9E">
        <w:rPr>
          <w:rFonts w:ascii="Palatino" w:eastAsia="Droid Serif" w:hAnsi="Palatino" w:cstheme="minorHAnsi"/>
        </w:rPr>
        <w:t xml:space="preserve"> for good faith inquiry</w:t>
      </w:r>
      <w:r w:rsidR="00240049" w:rsidRPr="00630A9E">
        <w:rPr>
          <w:rFonts w:ascii="Palatino" w:eastAsia="Droid Serif" w:hAnsi="Palatino" w:cstheme="minorHAnsi"/>
        </w:rPr>
        <w:t xml:space="preserve"> </w:t>
      </w:r>
      <w:r w:rsidR="00F771D6" w:rsidRPr="00630A9E">
        <w:rPr>
          <w:rFonts w:ascii="Palatino" w:eastAsia="Droid Serif" w:hAnsi="Palatino" w:cstheme="minorHAnsi"/>
        </w:rPr>
        <w:t>form</w:t>
      </w:r>
      <w:r w:rsidR="007F2DB3" w:rsidRPr="00630A9E">
        <w:rPr>
          <w:rFonts w:ascii="Palatino" w:eastAsia="Droid Serif" w:hAnsi="Palatino" w:cstheme="minorHAnsi"/>
        </w:rPr>
        <w:t xml:space="preserve"> a framework that </w:t>
      </w:r>
      <w:r w:rsidR="00F771D6" w:rsidRPr="00630A9E">
        <w:rPr>
          <w:rFonts w:ascii="Palatino" w:eastAsia="Droid Serif" w:hAnsi="Palatino" w:cstheme="minorHAnsi"/>
        </w:rPr>
        <w:t>specif</w:t>
      </w:r>
      <w:r w:rsidR="003A4CB5" w:rsidRPr="00630A9E">
        <w:rPr>
          <w:rFonts w:ascii="Palatino" w:eastAsia="Droid Serif" w:hAnsi="Palatino" w:cstheme="minorHAnsi"/>
        </w:rPr>
        <w:t>y</w:t>
      </w:r>
      <w:r w:rsidR="00046F6D" w:rsidRPr="00630A9E">
        <w:rPr>
          <w:rFonts w:ascii="Palatino" w:eastAsia="Droid Serif" w:hAnsi="Palatino" w:cstheme="minorHAnsi"/>
        </w:rPr>
        <w:t xml:space="preserve"> (some of) the</w:t>
      </w:r>
      <w:r w:rsidR="007F2DB3" w:rsidRPr="00630A9E">
        <w:rPr>
          <w:rFonts w:ascii="Palatino" w:eastAsia="Droid Serif" w:hAnsi="Palatino" w:cstheme="minorHAnsi"/>
        </w:rPr>
        <w:t xml:space="preserve"> </w:t>
      </w:r>
      <w:r w:rsidR="00ED46EC" w:rsidRPr="00630A9E">
        <w:rPr>
          <w:rFonts w:ascii="Palatino" w:eastAsia="Droid Serif" w:hAnsi="Palatino" w:cstheme="minorHAnsi"/>
        </w:rPr>
        <w:t>general</w:t>
      </w:r>
      <w:r w:rsidR="007F2DB3" w:rsidRPr="00630A9E">
        <w:rPr>
          <w:rFonts w:ascii="Palatino" w:eastAsia="Droid Serif" w:hAnsi="Palatino" w:cstheme="minorHAnsi"/>
        </w:rPr>
        <w:t xml:space="preserve"> </w:t>
      </w:r>
      <w:r w:rsidR="003A4CB5" w:rsidRPr="00630A9E">
        <w:rPr>
          <w:rFonts w:ascii="Palatino" w:eastAsia="Droid Serif" w:hAnsi="Palatino" w:cstheme="minorHAnsi"/>
        </w:rPr>
        <w:t>traits</w:t>
      </w:r>
      <w:r w:rsidR="007F2DB3" w:rsidRPr="00630A9E">
        <w:rPr>
          <w:rFonts w:ascii="Palatino" w:eastAsia="Droid Serif" w:hAnsi="Palatino" w:cstheme="minorHAnsi"/>
        </w:rPr>
        <w:t xml:space="preserve"> </w:t>
      </w:r>
      <w:r w:rsidR="00046F6D" w:rsidRPr="00630A9E">
        <w:rPr>
          <w:rFonts w:ascii="Palatino" w:eastAsia="Droid Serif" w:hAnsi="Palatino" w:cstheme="minorHAnsi"/>
        </w:rPr>
        <w:t>of</w:t>
      </w:r>
      <w:r w:rsidR="003A4CB5" w:rsidRPr="00630A9E">
        <w:rPr>
          <w:rFonts w:ascii="Palatino" w:eastAsia="Droid Serif" w:hAnsi="Palatino" w:cstheme="minorHAnsi"/>
        </w:rPr>
        <w:t xml:space="preserve"> a</w:t>
      </w:r>
      <w:r w:rsidR="00E65A6B" w:rsidRPr="00630A9E">
        <w:rPr>
          <w:rFonts w:ascii="Palatino" w:eastAsia="Droid Serif" w:hAnsi="Palatino" w:cstheme="minorHAnsi"/>
        </w:rPr>
        <w:t xml:space="preserve"> legal theor</w:t>
      </w:r>
      <w:r w:rsidR="003A4CB5" w:rsidRPr="00630A9E">
        <w:rPr>
          <w:rFonts w:ascii="Palatino" w:eastAsia="Droid Serif" w:hAnsi="Palatino" w:cstheme="minorHAnsi"/>
        </w:rPr>
        <w:t>y</w:t>
      </w:r>
      <w:r w:rsidR="0018558C" w:rsidRPr="00630A9E">
        <w:rPr>
          <w:rFonts w:ascii="Palatino" w:eastAsia="Droid Serif" w:hAnsi="Palatino" w:cstheme="minorHAnsi"/>
        </w:rPr>
        <w:t xml:space="preserve"> for purposes</w:t>
      </w:r>
      <w:r w:rsidR="001441EB">
        <w:rPr>
          <w:rFonts w:ascii="Palatino" w:eastAsia="Droid Serif" w:hAnsi="Palatino" w:cstheme="minorHAnsi"/>
        </w:rPr>
        <w:t xml:space="preserve"> of diagnosing the nature of promulgation</w:t>
      </w:r>
      <w:r w:rsidR="003A4CB5" w:rsidRPr="00630A9E">
        <w:rPr>
          <w:rFonts w:ascii="Palatino" w:eastAsia="Droid Serif" w:hAnsi="Palatino" w:cstheme="minorHAnsi"/>
        </w:rPr>
        <w:t xml:space="preserve">, while also stating the respects in which legal theories have </w:t>
      </w:r>
      <w:r w:rsidR="00125742" w:rsidRPr="00630A9E">
        <w:rPr>
          <w:rFonts w:ascii="Palatino" w:eastAsia="Droid Serif" w:hAnsi="Palatino" w:cstheme="minorHAnsi"/>
        </w:rPr>
        <w:t xml:space="preserve">comparative </w:t>
      </w:r>
      <w:r w:rsidR="00E65A6B" w:rsidRPr="00630A9E">
        <w:rPr>
          <w:rFonts w:ascii="Palatino" w:eastAsia="Droid Serif" w:hAnsi="Palatino" w:cstheme="minorHAnsi"/>
        </w:rPr>
        <w:t>advantage</w:t>
      </w:r>
      <w:r w:rsidR="003A4CB5" w:rsidRPr="00630A9E">
        <w:rPr>
          <w:rFonts w:ascii="Palatino" w:eastAsia="Droid Serif" w:hAnsi="Palatino" w:cstheme="minorHAnsi"/>
        </w:rPr>
        <w:t>s or disadvantages</w:t>
      </w:r>
      <w:r w:rsidR="00E65A6B" w:rsidRPr="00630A9E">
        <w:rPr>
          <w:rFonts w:ascii="Palatino" w:eastAsia="Droid Serif" w:hAnsi="Palatino" w:cstheme="minorHAnsi"/>
        </w:rPr>
        <w:t xml:space="preserve"> </w:t>
      </w:r>
      <w:r w:rsidR="003A4CB5" w:rsidRPr="00630A9E">
        <w:rPr>
          <w:rFonts w:ascii="Palatino" w:eastAsia="Droid Serif" w:hAnsi="Palatino" w:cstheme="minorHAnsi"/>
        </w:rPr>
        <w:t>with respect to</w:t>
      </w:r>
      <w:r w:rsidR="00F771D6" w:rsidRPr="00630A9E">
        <w:rPr>
          <w:rFonts w:ascii="Palatino" w:eastAsia="Droid Serif" w:hAnsi="Palatino" w:cstheme="minorHAnsi"/>
        </w:rPr>
        <w:t xml:space="preserve"> </w:t>
      </w:r>
      <w:r w:rsidR="003A4CB5" w:rsidRPr="00630A9E">
        <w:rPr>
          <w:rFonts w:ascii="Palatino" w:eastAsia="Droid Serif" w:hAnsi="Palatino" w:cstheme="minorHAnsi"/>
        </w:rPr>
        <w:t xml:space="preserve">the </w:t>
      </w:r>
      <w:r w:rsidR="00F771D6" w:rsidRPr="00630A9E">
        <w:rPr>
          <w:rFonts w:ascii="Palatino" w:eastAsia="Droid Serif" w:hAnsi="Palatino" w:cstheme="minorHAnsi"/>
        </w:rPr>
        <w:t>transmission</w:t>
      </w:r>
      <w:r w:rsidR="003A4CB5" w:rsidRPr="00630A9E">
        <w:rPr>
          <w:rFonts w:ascii="Palatino" w:eastAsia="Droid Serif" w:hAnsi="Palatino" w:cstheme="minorHAnsi"/>
        </w:rPr>
        <w:t xml:space="preserve"> of law</w:t>
      </w:r>
      <w:r w:rsidRPr="00630A9E">
        <w:rPr>
          <w:rFonts w:ascii="Palatino" w:eastAsia="Droid Serif" w:hAnsi="Palatino" w:cstheme="minorHAnsi"/>
        </w:rPr>
        <w:t>.</w:t>
      </w:r>
    </w:p>
    <w:p w14:paraId="2CBDE2C2" w14:textId="11F635F8" w:rsidR="00000163" w:rsidRPr="00630A9E" w:rsidRDefault="001441EB" w:rsidP="008720B6">
      <w:pPr>
        <w:widowControl w:val="0"/>
        <w:ind w:right="-56" w:firstLine="426"/>
        <w:jc w:val="both"/>
        <w:rPr>
          <w:rFonts w:ascii="Palatino" w:eastAsia="Droid Serif" w:hAnsi="Palatino" w:cstheme="minorHAnsi"/>
        </w:rPr>
      </w:pPr>
      <w:r>
        <w:rPr>
          <w:rFonts w:ascii="Palatino" w:eastAsia="Droid Serif" w:hAnsi="Palatino" w:cstheme="minorHAnsi"/>
        </w:rPr>
        <w:t xml:space="preserve">In </w:t>
      </w:r>
      <w:r w:rsidR="005612FD">
        <w:rPr>
          <w:rFonts w:ascii="Palatino" w:eastAsia="Droid Serif" w:hAnsi="Palatino" w:cstheme="minorHAnsi"/>
        </w:rPr>
        <w:t>this</w:t>
      </w:r>
      <w:r>
        <w:rPr>
          <w:rFonts w:ascii="Palatino" w:eastAsia="Droid Serif" w:hAnsi="Palatino" w:cstheme="minorHAnsi"/>
        </w:rPr>
        <w:t xml:space="preserve"> </w:t>
      </w:r>
      <w:r w:rsidR="005612FD">
        <w:rPr>
          <w:rFonts w:ascii="Palatino" w:eastAsia="Droid Serif" w:hAnsi="Palatino" w:cstheme="minorHAnsi"/>
        </w:rPr>
        <w:t>essay,</w:t>
      </w:r>
      <w:r>
        <w:rPr>
          <w:rFonts w:ascii="Palatino" w:eastAsia="Droid Serif" w:hAnsi="Palatino" w:cstheme="minorHAnsi"/>
        </w:rPr>
        <w:t xml:space="preserve"> I adopt a framework rooted in discursive norms pioneered by analytic philosopher HP Grice. </w:t>
      </w:r>
      <w:r w:rsidR="006A3257" w:rsidRPr="00630A9E">
        <w:rPr>
          <w:rFonts w:ascii="Palatino" w:eastAsia="Droid Serif" w:hAnsi="Palatino" w:cstheme="minorHAnsi"/>
        </w:rPr>
        <w:t>I refer to the prevailing theory of access to law, the ‘no-theory theory’, and then</w:t>
      </w:r>
      <w:r w:rsidR="00350D6B" w:rsidRPr="00630A9E">
        <w:rPr>
          <w:rFonts w:ascii="Palatino" w:eastAsia="Droid Serif" w:hAnsi="Palatino" w:cstheme="minorHAnsi"/>
        </w:rPr>
        <w:t xml:space="preserve"> propose </w:t>
      </w:r>
      <w:r w:rsidR="00746115">
        <w:rPr>
          <w:rFonts w:ascii="Palatino" w:eastAsia="Droid Serif" w:hAnsi="Palatino" w:cstheme="minorHAnsi"/>
        </w:rPr>
        <w:t>two</w:t>
      </w:r>
      <w:r w:rsidR="006A3257" w:rsidRPr="00630A9E">
        <w:rPr>
          <w:rFonts w:ascii="Palatino" w:eastAsia="Droid Serif" w:hAnsi="Palatino" w:cstheme="minorHAnsi"/>
        </w:rPr>
        <w:t xml:space="preserve"> alternative</w:t>
      </w:r>
      <w:r w:rsidR="00746115">
        <w:rPr>
          <w:rFonts w:ascii="Palatino" w:eastAsia="Droid Serif" w:hAnsi="Palatino" w:cstheme="minorHAnsi"/>
        </w:rPr>
        <w:t>s</w:t>
      </w:r>
      <w:r w:rsidR="006A3257" w:rsidRPr="00630A9E">
        <w:rPr>
          <w:rFonts w:ascii="Palatino" w:eastAsia="Droid Serif" w:hAnsi="Palatino" w:cstheme="minorHAnsi"/>
        </w:rPr>
        <w:t>, the ‘</w:t>
      </w:r>
      <w:r w:rsidR="00746115">
        <w:rPr>
          <w:rFonts w:ascii="Palatino" w:eastAsia="Droid Serif" w:hAnsi="Palatino" w:cstheme="minorHAnsi"/>
        </w:rPr>
        <w:t>conveyance</w:t>
      </w:r>
      <w:r w:rsidR="006A3257" w:rsidRPr="00630A9E">
        <w:rPr>
          <w:rFonts w:ascii="Palatino" w:eastAsia="Droid Serif" w:hAnsi="Palatino" w:cstheme="minorHAnsi"/>
        </w:rPr>
        <w:t xml:space="preserve"> theory’</w:t>
      </w:r>
      <w:r w:rsidR="00746115">
        <w:rPr>
          <w:rFonts w:ascii="Palatino" w:eastAsia="Droid Serif" w:hAnsi="Palatino" w:cstheme="minorHAnsi"/>
        </w:rPr>
        <w:t xml:space="preserve"> and ‘agonistic </w:t>
      </w:r>
      <w:r w:rsidR="00746115">
        <w:rPr>
          <w:rFonts w:ascii="Palatino" w:eastAsia="Droid Serif" w:hAnsi="Palatino" w:cstheme="minorHAnsi"/>
        </w:rPr>
        <w:lastRenderedPageBreak/>
        <w:t>theory’</w:t>
      </w:r>
      <w:r w:rsidR="006A3257" w:rsidRPr="00630A9E">
        <w:rPr>
          <w:rFonts w:ascii="Palatino" w:eastAsia="Droid Serif" w:hAnsi="Palatino" w:cstheme="minorHAnsi"/>
        </w:rPr>
        <w:t>.</w:t>
      </w:r>
      <w:r w:rsidR="00350D6B" w:rsidRPr="00630A9E">
        <w:rPr>
          <w:rFonts w:ascii="Palatino" w:eastAsia="Droid Serif" w:hAnsi="Palatino" w:cstheme="minorHAnsi"/>
        </w:rPr>
        <w:t xml:space="preserve"> </w:t>
      </w:r>
      <w:r w:rsidR="00D45C75" w:rsidRPr="00630A9E">
        <w:rPr>
          <w:rFonts w:ascii="Palatino" w:eastAsia="Droid Serif" w:hAnsi="Palatino" w:cstheme="minorHAnsi"/>
        </w:rPr>
        <w:t>I suggest that</w:t>
      </w:r>
      <w:r w:rsidR="00046F6D" w:rsidRPr="00630A9E">
        <w:rPr>
          <w:rFonts w:ascii="Palatino" w:eastAsia="Droid Serif" w:hAnsi="Palatino" w:cstheme="minorHAnsi"/>
        </w:rPr>
        <w:t xml:space="preserve"> (at least) three kinds of </w:t>
      </w:r>
      <w:r w:rsidR="00350D6B" w:rsidRPr="00630A9E">
        <w:rPr>
          <w:rFonts w:ascii="Palatino" w:eastAsia="Droid Serif" w:hAnsi="Palatino" w:cstheme="minorHAnsi"/>
        </w:rPr>
        <w:t>models</w:t>
      </w:r>
      <w:r w:rsidR="009A611F" w:rsidRPr="00630A9E">
        <w:rPr>
          <w:rFonts w:ascii="Palatino" w:eastAsia="Droid Serif" w:hAnsi="Palatino" w:cstheme="minorHAnsi"/>
        </w:rPr>
        <w:t xml:space="preserve"> are consistent with the</w:t>
      </w:r>
      <w:r w:rsidR="00746115">
        <w:rPr>
          <w:rFonts w:ascii="Palatino" w:eastAsia="Droid Serif" w:hAnsi="Palatino" w:cstheme="minorHAnsi"/>
        </w:rPr>
        <w:t xml:space="preserve"> </w:t>
      </w:r>
      <w:r w:rsidR="009A611F" w:rsidRPr="00630A9E">
        <w:rPr>
          <w:rFonts w:ascii="Palatino" w:eastAsia="Droid Serif" w:hAnsi="Palatino" w:cstheme="minorHAnsi"/>
        </w:rPr>
        <w:t>theor</w:t>
      </w:r>
      <w:r w:rsidR="00746115">
        <w:rPr>
          <w:rFonts w:ascii="Palatino" w:eastAsia="Droid Serif" w:hAnsi="Palatino" w:cstheme="minorHAnsi"/>
        </w:rPr>
        <w:t>ies</w:t>
      </w:r>
      <w:r w:rsidR="009A611F" w:rsidRPr="00630A9E">
        <w:rPr>
          <w:rFonts w:ascii="Palatino" w:eastAsia="Droid Serif" w:hAnsi="Palatino" w:cstheme="minorHAnsi"/>
        </w:rPr>
        <w:t>,</w:t>
      </w:r>
      <w:r w:rsidR="00046F6D" w:rsidRPr="00630A9E">
        <w:rPr>
          <w:rFonts w:ascii="Palatino" w:eastAsia="Droid Serif" w:hAnsi="Palatino" w:cstheme="minorHAnsi"/>
        </w:rPr>
        <w:t xml:space="preserve"> </w:t>
      </w:r>
      <w:r w:rsidR="009A611F" w:rsidRPr="00630A9E">
        <w:rPr>
          <w:rFonts w:ascii="Palatino" w:eastAsia="Droid Serif" w:hAnsi="Palatino" w:cstheme="minorHAnsi"/>
        </w:rPr>
        <w:t>and can potentially</w:t>
      </w:r>
      <w:r w:rsidR="00046F6D" w:rsidRPr="00630A9E">
        <w:rPr>
          <w:rFonts w:ascii="Palatino" w:eastAsia="Droid Serif" w:hAnsi="Palatino" w:cstheme="minorHAnsi"/>
        </w:rPr>
        <w:t xml:space="preserve"> </w:t>
      </w:r>
      <w:r w:rsidR="00350D6B" w:rsidRPr="00630A9E">
        <w:rPr>
          <w:rFonts w:ascii="Palatino" w:eastAsia="Droid Serif" w:hAnsi="Palatino" w:cstheme="minorHAnsi"/>
        </w:rPr>
        <w:t xml:space="preserve">help </w:t>
      </w:r>
      <w:r w:rsidR="009A611F" w:rsidRPr="00630A9E">
        <w:rPr>
          <w:rFonts w:ascii="Palatino" w:eastAsia="Droid Serif" w:hAnsi="Palatino" w:cstheme="minorHAnsi"/>
        </w:rPr>
        <w:t>us understand</w:t>
      </w:r>
      <w:r w:rsidR="00046F6D" w:rsidRPr="00630A9E">
        <w:rPr>
          <w:rFonts w:ascii="Palatino" w:eastAsia="Droid Serif" w:hAnsi="Palatino" w:cstheme="minorHAnsi"/>
        </w:rPr>
        <w:t xml:space="preserve"> when law is successfully promulgated</w:t>
      </w:r>
      <w:r w:rsidR="006A3257" w:rsidRPr="00630A9E">
        <w:rPr>
          <w:rFonts w:ascii="Palatino" w:eastAsia="Droid Serif" w:hAnsi="Palatino" w:cstheme="minorHAnsi"/>
        </w:rPr>
        <w:t xml:space="preserve"> in particular legal contexts</w:t>
      </w:r>
      <w:r w:rsidR="00046F6D" w:rsidRPr="00630A9E">
        <w:rPr>
          <w:rFonts w:ascii="Palatino" w:eastAsia="Droid Serif" w:hAnsi="Palatino" w:cstheme="minorHAnsi"/>
        </w:rPr>
        <w:t xml:space="preserve">: </w:t>
      </w:r>
      <w:r w:rsidR="006E6A1B" w:rsidRPr="00630A9E">
        <w:rPr>
          <w:rFonts w:ascii="Palatino" w:eastAsia="Droid Serif" w:hAnsi="Palatino" w:cstheme="minorHAnsi"/>
        </w:rPr>
        <w:t xml:space="preserve">the </w:t>
      </w:r>
      <w:r w:rsidR="006E6A1B" w:rsidRPr="00630A9E">
        <w:rPr>
          <w:rFonts w:ascii="Palatino" w:eastAsia="Droid Serif" w:hAnsi="Palatino" w:cstheme="minorHAnsi"/>
          <w:i/>
        </w:rPr>
        <w:t xml:space="preserve">spread </w:t>
      </w:r>
      <w:r w:rsidR="00350D6B" w:rsidRPr="00630A9E">
        <w:rPr>
          <w:rFonts w:ascii="Palatino" w:eastAsia="Droid Serif" w:hAnsi="Palatino" w:cstheme="minorHAnsi"/>
          <w:i/>
        </w:rPr>
        <w:t>model</w:t>
      </w:r>
      <w:r w:rsidR="006E6A1B" w:rsidRPr="00630A9E">
        <w:rPr>
          <w:rFonts w:ascii="Palatino" w:eastAsia="Droid Serif" w:hAnsi="Palatino" w:cstheme="minorHAnsi"/>
        </w:rPr>
        <w:t xml:space="preserve">, the </w:t>
      </w:r>
      <w:r w:rsidR="006E6A1B" w:rsidRPr="00630A9E">
        <w:rPr>
          <w:rFonts w:ascii="Palatino" w:eastAsia="Droid Serif" w:hAnsi="Palatino" w:cstheme="minorHAnsi"/>
          <w:i/>
        </w:rPr>
        <w:t xml:space="preserve">chain </w:t>
      </w:r>
      <w:r w:rsidR="00350D6B" w:rsidRPr="00630A9E">
        <w:rPr>
          <w:rFonts w:ascii="Palatino" w:eastAsia="Droid Serif" w:hAnsi="Palatino" w:cstheme="minorHAnsi"/>
          <w:i/>
        </w:rPr>
        <w:t>model</w:t>
      </w:r>
      <w:r w:rsidR="006A3257" w:rsidRPr="00630A9E">
        <w:rPr>
          <w:rFonts w:ascii="Palatino" w:eastAsia="Droid Serif" w:hAnsi="Palatino" w:cstheme="minorHAnsi"/>
          <w:i/>
        </w:rPr>
        <w:t xml:space="preserve">, </w:t>
      </w:r>
      <w:r w:rsidR="006A3257" w:rsidRPr="00630A9E">
        <w:rPr>
          <w:rFonts w:ascii="Palatino" w:eastAsia="Droid Serif" w:hAnsi="Palatino" w:cstheme="minorHAnsi"/>
        </w:rPr>
        <w:t>and the</w:t>
      </w:r>
      <w:r w:rsidR="006A3257" w:rsidRPr="00630A9E">
        <w:rPr>
          <w:rFonts w:ascii="Palatino" w:eastAsia="Droid Serif" w:hAnsi="Palatino" w:cstheme="minorHAnsi"/>
          <w:i/>
        </w:rPr>
        <w:t xml:space="preserve"> </w:t>
      </w:r>
      <w:r w:rsidR="000953CE" w:rsidRPr="00630A9E">
        <w:rPr>
          <w:rFonts w:ascii="Palatino" w:eastAsia="Droid Serif" w:hAnsi="Palatino" w:cstheme="minorHAnsi"/>
          <w:i/>
        </w:rPr>
        <w:t>memetic</w:t>
      </w:r>
      <w:r w:rsidR="006A3257" w:rsidRPr="00630A9E">
        <w:rPr>
          <w:rFonts w:ascii="Palatino" w:eastAsia="Droid Serif" w:hAnsi="Palatino" w:cstheme="minorHAnsi"/>
          <w:i/>
        </w:rPr>
        <w:t xml:space="preserve"> model</w:t>
      </w:r>
      <w:r w:rsidR="006E6A1B" w:rsidRPr="00630A9E">
        <w:rPr>
          <w:rFonts w:ascii="Palatino" w:eastAsia="Droid Serif" w:hAnsi="Palatino" w:cstheme="minorHAnsi"/>
        </w:rPr>
        <w:t>.</w:t>
      </w:r>
      <w:r w:rsidR="005612FD">
        <w:rPr>
          <w:rStyle w:val="FootnoteReference"/>
          <w:rFonts w:ascii="Palatino" w:eastAsia="Droid Serif" w:hAnsi="Palatino" w:cstheme="minorHAnsi"/>
        </w:rPr>
        <w:footnoteReference w:id="4"/>
      </w:r>
      <w:r w:rsidR="006A3257" w:rsidRPr="00630A9E">
        <w:rPr>
          <w:rFonts w:ascii="Palatino" w:eastAsia="Droid Serif" w:hAnsi="Palatino" w:cstheme="minorHAnsi"/>
        </w:rPr>
        <w:t xml:space="preserve"> </w:t>
      </w:r>
      <w:r w:rsidR="00746115">
        <w:rPr>
          <w:rFonts w:ascii="Palatino" w:eastAsia="Droid Serif" w:hAnsi="Palatino" w:cstheme="minorHAnsi"/>
        </w:rPr>
        <w:t>I end the paper by comparing the two theories with respect to a case study</w:t>
      </w:r>
      <w:r w:rsidR="00A22C62">
        <w:rPr>
          <w:rFonts w:ascii="Palatino" w:eastAsia="Droid Serif" w:hAnsi="Palatino" w:cstheme="minorHAnsi"/>
        </w:rPr>
        <w:t>.</w:t>
      </w:r>
      <w:r>
        <w:rPr>
          <w:rFonts w:ascii="Palatino" w:eastAsia="Droid Serif" w:hAnsi="Palatino" w:cstheme="minorHAnsi"/>
        </w:rPr>
        <w:t xml:space="preserve"> </w:t>
      </w:r>
      <w:r w:rsidR="00746115">
        <w:rPr>
          <w:rFonts w:ascii="Palatino" w:eastAsia="Droid Serif" w:hAnsi="Palatino" w:cstheme="minorHAnsi"/>
        </w:rPr>
        <w:t>Throughout I will show that t</w:t>
      </w:r>
      <w:r w:rsidR="007247F6" w:rsidRPr="00630A9E">
        <w:rPr>
          <w:rFonts w:ascii="Palatino" w:eastAsia="Droid Serif" w:hAnsi="Palatino" w:cstheme="minorHAnsi"/>
        </w:rPr>
        <w:t xml:space="preserve">he </w:t>
      </w:r>
      <w:r w:rsidR="00746115">
        <w:rPr>
          <w:rFonts w:ascii="Palatino" w:eastAsia="Droid Serif" w:hAnsi="Palatino" w:cstheme="minorHAnsi"/>
        </w:rPr>
        <w:t>conveyance and agonistic</w:t>
      </w:r>
      <w:r w:rsidR="007247F6" w:rsidRPr="00630A9E">
        <w:rPr>
          <w:rFonts w:ascii="Palatino" w:eastAsia="Droid Serif" w:hAnsi="Palatino" w:cstheme="minorHAnsi"/>
        </w:rPr>
        <w:t xml:space="preserve"> theor</w:t>
      </w:r>
      <w:r w:rsidR="00746115">
        <w:rPr>
          <w:rFonts w:ascii="Palatino" w:eastAsia="Droid Serif" w:hAnsi="Palatino" w:cstheme="minorHAnsi"/>
        </w:rPr>
        <w:t>ies</w:t>
      </w:r>
      <w:r w:rsidR="007247F6" w:rsidRPr="00630A9E">
        <w:rPr>
          <w:rFonts w:ascii="Palatino" w:eastAsia="Droid Serif" w:hAnsi="Palatino" w:cstheme="minorHAnsi"/>
        </w:rPr>
        <w:t xml:space="preserve"> </w:t>
      </w:r>
      <w:r w:rsidR="00746115">
        <w:rPr>
          <w:rFonts w:ascii="Palatino" w:eastAsia="Droid Serif" w:hAnsi="Palatino" w:cstheme="minorHAnsi"/>
        </w:rPr>
        <w:t xml:space="preserve">have a </w:t>
      </w:r>
      <w:r w:rsidR="007247F6" w:rsidRPr="00630A9E">
        <w:rPr>
          <w:rFonts w:ascii="Palatino" w:eastAsia="Droid Serif" w:hAnsi="Palatino" w:cstheme="minorHAnsi"/>
        </w:rPr>
        <w:t xml:space="preserve">serious advantage over the no-theory theory, in that </w:t>
      </w:r>
      <w:r w:rsidR="00746115">
        <w:rPr>
          <w:rFonts w:ascii="Palatino" w:eastAsia="Droid Serif" w:hAnsi="Palatino" w:cstheme="minorHAnsi"/>
        </w:rPr>
        <w:t>they</w:t>
      </w:r>
      <w:r w:rsidR="007247F6" w:rsidRPr="00630A9E">
        <w:rPr>
          <w:rFonts w:ascii="Palatino" w:eastAsia="Droid Serif" w:hAnsi="Palatino" w:cstheme="minorHAnsi"/>
        </w:rPr>
        <w:t xml:space="preserve"> allow us to </w:t>
      </w:r>
      <w:r w:rsidR="00BF73D4">
        <w:rPr>
          <w:rFonts w:ascii="Palatino" w:eastAsia="Droid Serif" w:hAnsi="Palatino" w:cstheme="minorHAnsi"/>
        </w:rPr>
        <w:t xml:space="preserve">comparatively </w:t>
      </w:r>
      <w:r w:rsidR="007247F6" w:rsidRPr="00630A9E">
        <w:rPr>
          <w:rFonts w:ascii="Palatino" w:eastAsia="Droid Serif" w:hAnsi="Palatino" w:cstheme="minorHAnsi"/>
        </w:rPr>
        <w:t xml:space="preserve">examine the epistemic </w:t>
      </w:r>
      <w:r w:rsidR="00F5718E" w:rsidRPr="00630A9E">
        <w:rPr>
          <w:rFonts w:ascii="Palatino" w:eastAsia="Droid Serif" w:hAnsi="Palatino" w:cstheme="minorHAnsi"/>
        </w:rPr>
        <w:t>weaknesses</w:t>
      </w:r>
      <w:r w:rsidR="007247F6" w:rsidRPr="00630A9E">
        <w:rPr>
          <w:rFonts w:ascii="Palatino" w:eastAsia="Droid Serif" w:hAnsi="Palatino" w:cstheme="minorHAnsi"/>
        </w:rPr>
        <w:t xml:space="preserve"> </w:t>
      </w:r>
      <w:r w:rsidR="00F5718E" w:rsidRPr="00630A9E">
        <w:rPr>
          <w:rFonts w:ascii="Palatino" w:eastAsia="Droid Serif" w:hAnsi="Palatino" w:cstheme="minorHAnsi"/>
        </w:rPr>
        <w:t>of</w:t>
      </w:r>
      <w:r w:rsidR="00746115">
        <w:rPr>
          <w:rFonts w:ascii="Palatino" w:eastAsia="Droid Serif" w:hAnsi="Palatino" w:cstheme="minorHAnsi"/>
        </w:rPr>
        <w:t xml:space="preserve"> diverse</w:t>
      </w:r>
      <w:r w:rsidR="007247F6" w:rsidRPr="00630A9E">
        <w:rPr>
          <w:rFonts w:ascii="Palatino" w:eastAsia="Droid Serif" w:hAnsi="Palatino" w:cstheme="minorHAnsi"/>
        </w:rPr>
        <w:t xml:space="preserve"> theories of law</w:t>
      </w:r>
      <w:r w:rsidR="00F5718E" w:rsidRPr="00630A9E">
        <w:rPr>
          <w:rFonts w:ascii="Palatino" w:eastAsia="Droid Serif" w:hAnsi="Palatino" w:cstheme="minorHAnsi"/>
        </w:rPr>
        <w:t xml:space="preserve"> on the basis of their contents</w:t>
      </w:r>
      <w:r w:rsidR="007247F6" w:rsidRPr="00630A9E">
        <w:rPr>
          <w:rFonts w:ascii="Palatino" w:eastAsia="Droid Serif" w:hAnsi="Palatino" w:cstheme="minorHAnsi"/>
        </w:rPr>
        <w:t xml:space="preserve"> without </w:t>
      </w:r>
      <w:r w:rsidR="00BF73D4">
        <w:rPr>
          <w:rFonts w:ascii="Palatino" w:eastAsia="Droid Serif" w:hAnsi="Palatino" w:cstheme="minorHAnsi"/>
        </w:rPr>
        <w:t xml:space="preserve">pretending to false neutrality (i.e., by </w:t>
      </w:r>
      <w:r w:rsidR="007247F6" w:rsidRPr="00630A9E">
        <w:rPr>
          <w:rFonts w:ascii="Palatino" w:eastAsia="Droid Serif" w:hAnsi="Palatino" w:cstheme="minorHAnsi"/>
        </w:rPr>
        <w:t xml:space="preserve">assuming that every </w:t>
      </w:r>
      <w:r w:rsidR="00BF73D4">
        <w:rPr>
          <w:rFonts w:ascii="Palatino" w:eastAsia="Droid Serif" w:hAnsi="Palatino" w:cstheme="minorHAnsi"/>
        </w:rPr>
        <w:t xml:space="preserve">theoretical </w:t>
      </w:r>
      <w:r w:rsidR="007247F6" w:rsidRPr="00630A9E">
        <w:rPr>
          <w:rFonts w:ascii="Palatino" w:eastAsia="Droid Serif" w:hAnsi="Palatino" w:cstheme="minorHAnsi"/>
        </w:rPr>
        <w:t>context</w:t>
      </w:r>
      <w:r w:rsidR="00BF73D4">
        <w:rPr>
          <w:rFonts w:ascii="Palatino" w:eastAsia="Droid Serif" w:hAnsi="Palatino" w:cstheme="minorHAnsi"/>
        </w:rPr>
        <w:t xml:space="preserve"> of interpretation</w:t>
      </w:r>
      <w:r w:rsidR="007247F6" w:rsidRPr="00630A9E">
        <w:rPr>
          <w:rFonts w:ascii="Palatino" w:eastAsia="Droid Serif" w:hAnsi="Palatino" w:cstheme="minorHAnsi"/>
        </w:rPr>
        <w:t xml:space="preserve"> is </w:t>
      </w:r>
      <w:r w:rsidR="00BF73D4">
        <w:rPr>
          <w:rFonts w:ascii="Palatino" w:eastAsia="Droid Serif" w:hAnsi="Palatino" w:cstheme="minorHAnsi"/>
        </w:rPr>
        <w:t>equally good)</w:t>
      </w:r>
      <w:r w:rsidR="007247F6" w:rsidRPr="00630A9E">
        <w:rPr>
          <w:rFonts w:ascii="Palatino" w:eastAsia="Droid Serif" w:hAnsi="Palatino" w:cstheme="minorHAnsi"/>
        </w:rPr>
        <w:t>.</w:t>
      </w:r>
    </w:p>
    <w:p w14:paraId="6926DF63" w14:textId="79794961" w:rsidR="006E6A1B" w:rsidRPr="00630A9E" w:rsidRDefault="006E6A1B" w:rsidP="008720B6">
      <w:pPr>
        <w:widowControl w:val="0"/>
        <w:ind w:right="-56" w:firstLine="426"/>
        <w:jc w:val="both"/>
        <w:rPr>
          <w:rFonts w:ascii="Palatino" w:eastAsia="Droid Serif" w:hAnsi="Palatino" w:cstheme="minorHAnsi"/>
        </w:rPr>
      </w:pPr>
    </w:p>
    <w:p w14:paraId="6CEA7437" w14:textId="38D24C91" w:rsidR="006E6A1B" w:rsidRDefault="00C93D65" w:rsidP="00C93D65">
      <w:pPr>
        <w:widowControl w:val="0"/>
        <w:ind w:right="-56"/>
        <w:jc w:val="both"/>
        <w:rPr>
          <w:rFonts w:ascii="Palatino" w:eastAsia="Droid Serif" w:hAnsi="Palatino" w:cstheme="minorHAnsi"/>
          <w:b/>
        </w:rPr>
      </w:pPr>
      <w:r>
        <w:rPr>
          <w:rFonts w:ascii="Palatino" w:eastAsia="Droid Serif" w:hAnsi="Palatino" w:cstheme="minorHAnsi"/>
          <w:b/>
        </w:rPr>
        <w:t>An</w:t>
      </w:r>
      <w:r w:rsidR="008F1D23">
        <w:rPr>
          <w:rFonts w:ascii="Palatino" w:eastAsia="Droid Serif" w:hAnsi="Palatino" w:cstheme="minorHAnsi"/>
          <w:b/>
        </w:rPr>
        <w:t xml:space="preserve"> Epistemology of</w:t>
      </w:r>
      <w:r w:rsidR="00776CAD">
        <w:rPr>
          <w:rFonts w:ascii="Palatino" w:eastAsia="Droid Serif" w:hAnsi="Palatino" w:cstheme="minorHAnsi"/>
          <w:b/>
        </w:rPr>
        <w:t xml:space="preserve"> </w:t>
      </w:r>
      <w:r w:rsidR="00701560">
        <w:rPr>
          <w:rFonts w:ascii="Palatino" w:eastAsia="Droid Serif" w:hAnsi="Palatino" w:cstheme="minorHAnsi"/>
          <w:b/>
        </w:rPr>
        <w:t>Theoretical Disagreement</w:t>
      </w:r>
    </w:p>
    <w:p w14:paraId="22DA4532" w14:textId="77777777" w:rsidR="001B5972" w:rsidRPr="00261606" w:rsidRDefault="001B5972" w:rsidP="008720B6">
      <w:pPr>
        <w:widowControl w:val="0"/>
        <w:ind w:right="-56" w:firstLine="426"/>
        <w:jc w:val="both"/>
        <w:rPr>
          <w:rFonts w:ascii="Palatino" w:eastAsia="Droid Serif" w:hAnsi="Palatino" w:cstheme="minorHAnsi"/>
          <w:b/>
        </w:rPr>
      </w:pPr>
    </w:p>
    <w:p w14:paraId="2359582A" w14:textId="176E7A47" w:rsidR="00776CAD" w:rsidRDefault="00776CAD" w:rsidP="008720B6">
      <w:pPr>
        <w:widowControl w:val="0"/>
        <w:ind w:right="-56"/>
        <w:jc w:val="both"/>
        <w:rPr>
          <w:rFonts w:ascii="Palatino" w:eastAsia="Droid Serif" w:hAnsi="Palatino" w:cstheme="minorHAnsi"/>
        </w:rPr>
      </w:pPr>
      <w:r>
        <w:rPr>
          <w:rFonts w:ascii="Palatino" w:eastAsia="Droid Serif" w:hAnsi="Palatino" w:cstheme="minorHAnsi"/>
        </w:rPr>
        <w:t>As a project in general jurisprudence, the need for a theory of promulgation only arises if good faith theoretical disagreement is possible in the first place. Without a potential plurality of legal theories, there is no conceptually distinctive need to talk about promulgation.</w:t>
      </w:r>
      <w:r w:rsidR="008F1D23">
        <w:rPr>
          <w:rFonts w:ascii="Palatino" w:eastAsia="Droid Serif" w:hAnsi="Palatino" w:cstheme="minorHAnsi"/>
        </w:rPr>
        <w:t xml:space="preserve"> In this section, I offer a sketch of how we might think theoretical disagreement is possible.</w:t>
      </w:r>
    </w:p>
    <w:p w14:paraId="5295BEA8" w14:textId="5B43EE94" w:rsidR="0046303D" w:rsidRDefault="006E6A1B"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Suppose you have four philosophers, A, B, C, and D, who have theoretical disagreements about law.</w:t>
      </w:r>
      <w:r w:rsidR="00F40FAD" w:rsidRPr="00630A9E">
        <w:rPr>
          <w:rStyle w:val="FootnoteReference"/>
          <w:rFonts w:ascii="Palatino" w:eastAsia="Droid Serif" w:hAnsi="Palatino" w:cstheme="minorHAnsi"/>
        </w:rPr>
        <w:footnoteReference w:id="5"/>
      </w:r>
      <w:r w:rsidRPr="00630A9E">
        <w:rPr>
          <w:rFonts w:ascii="Palatino" w:eastAsia="Droid Serif" w:hAnsi="Palatino" w:cstheme="minorHAnsi"/>
        </w:rPr>
        <w:t xml:space="preserve"> A is a classic natural lawyer, B is a positivist, C is a pragmatist, and D is a pluralist. Each has a different </w:t>
      </w:r>
      <w:r w:rsidRPr="00D532FC">
        <w:rPr>
          <w:rFonts w:ascii="Palatino" w:eastAsia="Droid Serif" w:hAnsi="Palatino" w:cstheme="minorHAnsi"/>
        </w:rPr>
        <w:t>depiction of law</w:t>
      </w:r>
      <w:r w:rsidRPr="00630A9E">
        <w:rPr>
          <w:rFonts w:ascii="Palatino" w:eastAsia="Droid Serif" w:hAnsi="Palatino" w:cstheme="minorHAnsi"/>
        </w:rPr>
        <w:t xml:space="preserve">, </w:t>
      </w:r>
      <w:r w:rsidR="003F1EE2">
        <w:rPr>
          <w:rFonts w:ascii="Palatino" w:eastAsia="Droid Serif" w:hAnsi="Palatino" w:cstheme="minorHAnsi"/>
        </w:rPr>
        <w:t xml:space="preserve">occupying different </w:t>
      </w:r>
      <w:r w:rsidR="003F1EE2" w:rsidRPr="003F1EE2">
        <w:rPr>
          <w:rFonts w:ascii="Palatino" w:eastAsia="Droid Serif" w:hAnsi="Palatino" w:cstheme="minorHAnsi"/>
          <w:i/>
        </w:rPr>
        <w:t>contexts of interpretation</w:t>
      </w:r>
      <w:r w:rsidR="003F1EE2">
        <w:rPr>
          <w:rFonts w:ascii="Palatino" w:eastAsia="Droid Serif" w:hAnsi="Palatino" w:cstheme="minorHAnsi"/>
        </w:rPr>
        <w:t>, drawing upon</w:t>
      </w:r>
      <w:r w:rsidRPr="00630A9E">
        <w:rPr>
          <w:rFonts w:ascii="Palatino" w:eastAsia="Droid Serif" w:hAnsi="Palatino" w:cstheme="minorHAnsi"/>
        </w:rPr>
        <w:t xml:space="preserve"> different </w:t>
      </w:r>
      <w:r w:rsidR="003F1EE2">
        <w:rPr>
          <w:rFonts w:ascii="Palatino" w:eastAsia="Droid Serif" w:hAnsi="Palatino" w:cstheme="minorHAnsi"/>
        </w:rPr>
        <w:t>conceptual resources as they try</w:t>
      </w:r>
      <w:r w:rsidRPr="00630A9E">
        <w:rPr>
          <w:rFonts w:ascii="Palatino" w:eastAsia="Droid Serif" w:hAnsi="Palatino" w:cstheme="minorHAnsi"/>
        </w:rPr>
        <w:t xml:space="preserve"> to resolve questions about the nature</w:t>
      </w:r>
      <w:r w:rsidR="003F1EE2">
        <w:rPr>
          <w:rFonts w:ascii="Palatino" w:eastAsia="Droid Serif" w:hAnsi="Palatino" w:cstheme="minorHAnsi"/>
        </w:rPr>
        <w:t xml:space="preserve">, </w:t>
      </w:r>
      <w:r w:rsidRPr="00630A9E">
        <w:rPr>
          <w:rFonts w:ascii="Palatino" w:eastAsia="Droid Serif" w:hAnsi="Palatino" w:cstheme="minorHAnsi"/>
        </w:rPr>
        <w:t>function</w:t>
      </w:r>
      <w:r w:rsidR="003F1EE2">
        <w:rPr>
          <w:rFonts w:ascii="Palatino" w:eastAsia="Droid Serif" w:hAnsi="Palatino" w:cstheme="minorHAnsi"/>
        </w:rPr>
        <w:t>, and consequences</w:t>
      </w:r>
      <w:r w:rsidRPr="00630A9E">
        <w:rPr>
          <w:rFonts w:ascii="Palatino" w:eastAsia="Droid Serif" w:hAnsi="Palatino" w:cstheme="minorHAnsi"/>
        </w:rPr>
        <w:t xml:space="preserve"> of </w:t>
      </w:r>
      <w:r w:rsidR="00D532FC">
        <w:rPr>
          <w:rFonts w:ascii="Palatino" w:eastAsia="Droid Serif" w:hAnsi="Palatino" w:cstheme="minorHAnsi"/>
        </w:rPr>
        <w:t>law</w:t>
      </w:r>
      <w:r w:rsidRPr="00630A9E">
        <w:rPr>
          <w:rFonts w:ascii="Palatino" w:eastAsia="Droid Serif" w:hAnsi="Palatino" w:cstheme="minorHAnsi"/>
        </w:rPr>
        <w:t xml:space="preserve">. Suppose their depictions of law have one </w:t>
      </w:r>
      <w:r w:rsidRPr="00630A9E">
        <w:rPr>
          <w:rFonts w:ascii="Palatino" w:eastAsia="Droid Serif" w:hAnsi="Palatino" w:cstheme="minorHAnsi"/>
          <w:i/>
        </w:rPr>
        <w:t>minimal</w:t>
      </w:r>
      <w:r w:rsidRPr="00630A9E">
        <w:rPr>
          <w:rFonts w:ascii="Palatino" w:eastAsia="Droid Serif" w:hAnsi="Palatino" w:cstheme="minorHAnsi"/>
        </w:rPr>
        <w:t xml:space="preserve"> thing in common, which is the idea that laws involve rules and policies that issue from institutions that have the power to threaten formal sanction, and promulgated in principle.</w:t>
      </w:r>
      <w:r w:rsidR="005612FD">
        <w:rPr>
          <w:rStyle w:val="FootnoteReference"/>
          <w:rFonts w:ascii="Palatino" w:eastAsia="Droid Serif" w:hAnsi="Palatino" w:cstheme="minorHAnsi"/>
        </w:rPr>
        <w:t xml:space="preserve"> </w:t>
      </w:r>
      <w:r w:rsidRPr="00630A9E">
        <w:rPr>
          <w:rFonts w:ascii="Palatino" w:eastAsia="Droid Serif" w:hAnsi="Palatino" w:cstheme="minorHAnsi"/>
        </w:rPr>
        <w:t>Suppose, also, that they are all acquainted with the same empirical facts</w:t>
      </w:r>
      <w:r w:rsidR="000F4560" w:rsidRPr="00630A9E">
        <w:rPr>
          <w:rFonts w:ascii="Palatino" w:eastAsia="Droid Serif" w:hAnsi="Palatino" w:cstheme="minorHAnsi"/>
        </w:rPr>
        <w:t>, and each had an equivalent level of training</w:t>
      </w:r>
      <w:r w:rsidRPr="00630A9E">
        <w:rPr>
          <w:rFonts w:ascii="Palatino" w:eastAsia="Droid Serif" w:hAnsi="Palatino" w:cstheme="minorHAnsi"/>
        </w:rPr>
        <w:t xml:space="preserve">. And, finally, suppose they will wish to find out whether some ordinance, X, counts as </w:t>
      </w:r>
      <w:r w:rsidRPr="00630A9E">
        <w:rPr>
          <w:rFonts w:ascii="Palatino" w:eastAsia="Droid Serif" w:hAnsi="Palatino" w:cstheme="minorHAnsi"/>
          <w:i/>
        </w:rPr>
        <w:t>legally binding</w:t>
      </w:r>
      <w:r w:rsidR="000F4560" w:rsidRPr="00630A9E">
        <w:rPr>
          <w:rFonts w:ascii="Palatino" w:eastAsia="Droid Serif" w:hAnsi="Palatino" w:cstheme="minorHAnsi"/>
          <w:i/>
        </w:rPr>
        <w:t xml:space="preserve">, </w:t>
      </w:r>
      <w:r w:rsidR="000F4560" w:rsidRPr="00630A9E">
        <w:rPr>
          <w:rFonts w:ascii="Palatino" w:eastAsia="Droid Serif" w:hAnsi="Palatino" w:cstheme="minorHAnsi"/>
        </w:rPr>
        <w:t>in circumstances where the testimony of the relevant institution is ambiguous</w:t>
      </w:r>
      <w:r w:rsidRPr="00630A9E">
        <w:rPr>
          <w:rFonts w:ascii="Palatino" w:eastAsia="Droid Serif" w:hAnsi="Palatino" w:cstheme="minorHAnsi"/>
        </w:rPr>
        <w:t>. Would their theoretical disagreement about law matter to how they judge the legality of</w:t>
      </w:r>
      <w:r w:rsidR="003F1EE2">
        <w:rPr>
          <w:rFonts w:ascii="Palatino" w:eastAsia="Droid Serif" w:hAnsi="Palatino" w:cstheme="minorHAnsi"/>
        </w:rPr>
        <w:t xml:space="preserve"> institutional rule</w:t>
      </w:r>
      <w:r w:rsidRPr="00630A9E">
        <w:rPr>
          <w:rFonts w:ascii="Palatino" w:eastAsia="Droid Serif" w:hAnsi="Palatino" w:cstheme="minorHAnsi"/>
        </w:rPr>
        <w:t xml:space="preserve"> X, even if they are all being charitable? I think the answer is, yes, it </w:t>
      </w:r>
      <w:r w:rsidR="000F4560" w:rsidRPr="00630A9E">
        <w:rPr>
          <w:rFonts w:ascii="Palatino" w:eastAsia="Droid Serif" w:hAnsi="Palatino" w:cstheme="minorHAnsi"/>
        </w:rPr>
        <w:t>would</w:t>
      </w:r>
      <w:r w:rsidRPr="00630A9E">
        <w:rPr>
          <w:rFonts w:ascii="Palatino" w:eastAsia="Droid Serif" w:hAnsi="Palatino" w:cstheme="minorHAnsi"/>
        </w:rPr>
        <w:t xml:space="preserve">; for the diversity of approaches to the theoretical question of legal validity may produce potential epistemological consequences on their judgment, </w:t>
      </w:r>
      <w:r w:rsidR="00E74807" w:rsidRPr="00630A9E">
        <w:rPr>
          <w:rFonts w:ascii="Palatino" w:eastAsia="Droid Serif" w:hAnsi="Palatino" w:cstheme="minorHAnsi"/>
        </w:rPr>
        <w:t>e.g</w:t>
      </w:r>
      <w:r w:rsidRPr="00630A9E">
        <w:rPr>
          <w:rFonts w:ascii="Palatino" w:eastAsia="Droid Serif" w:hAnsi="Palatino" w:cstheme="minorHAnsi"/>
        </w:rPr>
        <w:t>., on how they judge the ways they can both begin and end their search in finding out what the law requires of them</w:t>
      </w:r>
      <w:r w:rsidR="00E74807" w:rsidRPr="00630A9E">
        <w:rPr>
          <w:rFonts w:ascii="Palatino" w:eastAsia="Droid Serif" w:hAnsi="Palatino" w:cstheme="minorHAnsi"/>
        </w:rPr>
        <w:t xml:space="preserve"> (</w:t>
      </w:r>
      <w:r w:rsidR="000F4560" w:rsidRPr="00630A9E">
        <w:rPr>
          <w:rFonts w:ascii="Palatino" w:eastAsia="Droid Serif" w:hAnsi="Palatino" w:cstheme="minorHAnsi"/>
        </w:rPr>
        <w:t>among other things</w:t>
      </w:r>
      <w:r w:rsidR="00E74807" w:rsidRPr="00630A9E">
        <w:rPr>
          <w:rFonts w:ascii="Palatino" w:eastAsia="Droid Serif" w:hAnsi="Palatino" w:cstheme="minorHAnsi"/>
        </w:rPr>
        <w:t>)</w:t>
      </w:r>
      <w:r w:rsidRPr="00630A9E">
        <w:rPr>
          <w:rFonts w:ascii="Palatino" w:eastAsia="Droid Serif" w:hAnsi="Palatino" w:cstheme="minorHAnsi"/>
        </w:rPr>
        <w:t xml:space="preserve">. Typically, we expect these disagreements to be most </w:t>
      </w:r>
      <w:r w:rsidR="000F4560" w:rsidRPr="00630A9E">
        <w:rPr>
          <w:rFonts w:ascii="Palatino" w:eastAsia="Droid Serif" w:hAnsi="Palatino" w:cstheme="minorHAnsi"/>
        </w:rPr>
        <w:t>quarrelsome</w:t>
      </w:r>
      <w:r w:rsidRPr="00630A9E">
        <w:rPr>
          <w:rFonts w:ascii="Palatino" w:eastAsia="Droid Serif" w:hAnsi="Palatino" w:cstheme="minorHAnsi"/>
        </w:rPr>
        <w:t xml:space="preserve"> </w:t>
      </w:r>
      <w:r w:rsidR="000F4560" w:rsidRPr="00630A9E">
        <w:rPr>
          <w:rFonts w:ascii="Palatino" w:eastAsia="Droid Serif" w:hAnsi="Palatino" w:cstheme="minorHAnsi"/>
        </w:rPr>
        <w:t>during</w:t>
      </w:r>
      <w:r w:rsidR="00E74807" w:rsidRPr="00630A9E">
        <w:rPr>
          <w:rFonts w:ascii="Palatino" w:eastAsia="Droid Serif" w:hAnsi="Palatino" w:cstheme="minorHAnsi"/>
        </w:rPr>
        <w:t xml:space="preserve"> the process of</w:t>
      </w:r>
      <w:r w:rsidRPr="00630A9E">
        <w:rPr>
          <w:rFonts w:ascii="Palatino" w:eastAsia="Droid Serif" w:hAnsi="Palatino" w:cstheme="minorHAnsi"/>
        </w:rPr>
        <w:t xml:space="preserve"> </w:t>
      </w:r>
      <w:r w:rsidRPr="00630A9E">
        <w:rPr>
          <w:rFonts w:ascii="Palatino" w:eastAsia="Droid Serif" w:hAnsi="Palatino" w:cstheme="minorHAnsi"/>
          <w:i/>
        </w:rPr>
        <w:t>discernment</w:t>
      </w:r>
      <w:r w:rsidRPr="00630A9E">
        <w:rPr>
          <w:rFonts w:ascii="Palatino" w:eastAsia="Droid Serif" w:hAnsi="Palatino" w:cstheme="minorHAnsi"/>
        </w:rPr>
        <w:t xml:space="preserve">, i.e., the level where there is a higher expectation of legal training and acquaintance with evidence </w:t>
      </w:r>
      <w:r w:rsidR="00701560">
        <w:rPr>
          <w:rFonts w:ascii="Palatino" w:eastAsia="Droid Serif" w:hAnsi="Palatino" w:cstheme="minorHAnsi"/>
        </w:rPr>
        <w:t>(</w:t>
      </w:r>
      <w:r w:rsidRPr="00630A9E">
        <w:rPr>
          <w:rFonts w:ascii="Palatino" w:eastAsia="Droid Serif" w:hAnsi="Palatino" w:cstheme="minorHAnsi"/>
        </w:rPr>
        <w:t>e.g., interpretation in judicial review</w:t>
      </w:r>
      <w:r w:rsidR="00701560">
        <w:rPr>
          <w:rFonts w:ascii="Palatino" w:eastAsia="Droid Serif" w:hAnsi="Palatino" w:cstheme="minorHAnsi"/>
        </w:rPr>
        <w:t>)</w:t>
      </w:r>
      <w:r w:rsidRPr="00630A9E">
        <w:rPr>
          <w:rFonts w:ascii="Palatino" w:eastAsia="Droid Serif" w:hAnsi="Palatino" w:cstheme="minorHAnsi"/>
        </w:rPr>
        <w:t>. But we can also even expect these disagreements to have</w:t>
      </w:r>
      <w:r w:rsidR="00BF73D4">
        <w:rPr>
          <w:rFonts w:ascii="Palatino" w:eastAsia="Droid Serif" w:hAnsi="Palatino" w:cstheme="minorHAnsi"/>
        </w:rPr>
        <w:t xml:space="preserve"> broader</w:t>
      </w:r>
      <w:r w:rsidRPr="00630A9E">
        <w:rPr>
          <w:rFonts w:ascii="Palatino" w:eastAsia="Droid Serif" w:hAnsi="Palatino" w:cstheme="minorHAnsi"/>
        </w:rPr>
        <w:t xml:space="preserve"> </w:t>
      </w:r>
      <w:r w:rsidR="00701560">
        <w:rPr>
          <w:rFonts w:ascii="Palatino" w:eastAsia="Droid Serif" w:hAnsi="Palatino" w:cstheme="minorHAnsi"/>
        </w:rPr>
        <w:t xml:space="preserve">epistemological consequences on </w:t>
      </w:r>
      <w:r w:rsidRPr="00630A9E">
        <w:rPr>
          <w:rFonts w:ascii="Palatino" w:eastAsia="Droid Serif" w:hAnsi="Palatino" w:cstheme="minorHAnsi"/>
        </w:rPr>
        <w:t>the sense of what forms of evidence are most salient in explanation</w:t>
      </w:r>
      <w:r w:rsidR="000F4560" w:rsidRPr="00630A9E">
        <w:rPr>
          <w:rFonts w:ascii="Palatino" w:eastAsia="Droid Serif" w:hAnsi="Palatino" w:cstheme="minorHAnsi"/>
        </w:rPr>
        <w:t xml:space="preserve"> (e.g., </w:t>
      </w:r>
      <w:r w:rsidRPr="00630A9E">
        <w:rPr>
          <w:rFonts w:ascii="Palatino" w:eastAsia="Droid Serif" w:hAnsi="Palatino" w:cstheme="minorHAnsi"/>
        </w:rPr>
        <w:t xml:space="preserve">towards social sources, community ideals, </w:t>
      </w:r>
      <w:r w:rsidRPr="00630A9E">
        <w:rPr>
          <w:rFonts w:ascii="Palatino" w:eastAsia="Droid Serif" w:hAnsi="Palatino" w:cstheme="minorHAnsi"/>
        </w:rPr>
        <w:lastRenderedPageBreak/>
        <w:t>coherence of judgment, and practical facts related to system design</w:t>
      </w:r>
      <w:r w:rsidR="000F4560" w:rsidRPr="00630A9E">
        <w:rPr>
          <w:rFonts w:ascii="Palatino" w:eastAsia="Droid Serif" w:hAnsi="Palatino" w:cstheme="minorHAnsi"/>
        </w:rPr>
        <w:t>)</w:t>
      </w:r>
      <w:r w:rsidRPr="00630A9E">
        <w:rPr>
          <w:rFonts w:ascii="Palatino" w:eastAsia="Droid Serif" w:hAnsi="Palatino" w:cstheme="minorHAnsi"/>
        </w:rPr>
        <w:t xml:space="preserve">. </w:t>
      </w:r>
      <w:r w:rsidR="00E74807" w:rsidRPr="00630A9E">
        <w:rPr>
          <w:rFonts w:ascii="Palatino" w:eastAsia="Droid Serif" w:hAnsi="Palatino" w:cstheme="minorHAnsi"/>
        </w:rPr>
        <w:t xml:space="preserve">This is the sense in which law must be </w:t>
      </w:r>
      <w:r w:rsidR="00E74807" w:rsidRPr="00630A9E">
        <w:rPr>
          <w:rFonts w:ascii="Palatino" w:eastAsia="Droid Serif" w:hAnsi="Palatino" w:cstheme="minorHAnsi"/>
          <w:i/>
        </w:rPr>
        <w:t>accessible</w:t>
      </w:r>
      <w:r w:rsidR="00BF73D4">
        <w:rPr>
          <w:rFonts w:ascii="Palatino" w:eastAsia="Droid Serif" w:hAnsi="Palatino" w:cstheme="minorHAnsi"/>
          <w:i/>
        </w:rPr>
        <w:t xml:space="preserve"> – </w:t>
      </w:r>
      <w:r w:rsidR="00BF73D4">
        <w:rPr>
          <w:rFonts w:ascii="Palatino" w:eastAsia="Droid Serif" w:hAnsi="Palatino" w:cstheme="minorHAnsi"/>
        </w:rPr>
        <w:t>it must be knowable to novice stakeholders, too</w:t>
      </w:r>
      <w:r w:rsidR="00E74807" w:rsidRPr="00630A9E">
        <w:rPr>
          <w:rFonts w:ascii="Palatino" w:eastAsia="Droid Serif" w:hAnsi="Palatino" w:cstheme="minorHAnsi"/>
        </w:rPr>
        <w:t>.</w:t>
      </w:r>
      <w:r w:rsidR="00E74807" w:rsidRPr="00630A9E">
        <w:rPr>
          <w:rStyle w:val="FootnoteReference"/>
          <w:rFonts w:ascii="Palatino" w:eastAsia="Droid Serif" w:hAnsi="Palatino" w:cstheme="minorHAnsi"/>
        </w:rPr>
        <w:footnoteReference w:id="6"/>
      </w:r>
      <w:r w:rsidR="00E74807" w:rsidRPr="00630A9E">
        <w:rPr>
          <w:rFonts w:ascii="Palatino" w:eastAsia="Droid Serif" w:hAnsi="Palatino" w:cstheme="minorHAnsi"/>
        </w:rPr>
        <w:t xml:space="preserve"> </w:t>
      </w:r>
      <w:r w:rsidR="00BF73D4">
        <w:rPr>
          <w:rFonts w:ascii="Palatino" w:eastAsia="Droid Serif" w:hAnsi="Palatino" w:cstheme="minorHAnsi"/>
        </w:rPr>
        <w:t>Since</w:t>
      </w:r>
      <w:r w:rsidRPr="00630A9E">
        <w:rPr>
          <w:rFonts w:ascii="Palatino" w:eastAsia="Droid Serif" w:hAnsi="Palatino" w:cstheme="minorHAnsi"/>
        </w:rPr>
        <w:t xml:space="preserve"> we can expect </w:t>
      </w:r>
      <w:r w:rsidR="00235625" w:rsidRPr="00630A9E">
        <w:rPr>
          <w:rFonts w:ascii="Palatino" w:eastAsia="Droid Serif" w:hAnsi="Palatino" w:cstheme="minorHAnsi"/>
        </w:rPr>
        <w:t>the</w:t>
      </w:r>
      <w:r w:rsidR="003F1EE2">
        <w:rPr>
          <w:rFonts w:ascii="Palatino" w:eastAsia="Droid Serif" w:hAnsi="Palatino" w:cstheme="minorHAnsi"/>
        </w:rPr>
        <w:t xml:space="preserve"> inquirers</w:t>
      </w:r>
      <w:r w:rsidR="00235625" w:rsidRPr="00630A9E">
        <w:rPr>
          <w:rFonts w:ascii="Palatino" w:eastAsia="Droid Serif" w:hAnsi="Palatino" w:cstheme="minorHAnsi"/>
        </w:rPr>
        <w:t xml:space="preserve"> to have </w:t>
      </w:r>
      <w:r w:rsidRPr="00630A9E">
        <w:rPr>
          <w:rFonts w:ascii="Palatino" w:eastAsia="Droid Serif" w:hAnsi="Palatino" w:cstheme="minorHAnsi"/>
        </w:rPr>
        <w:t xml:space="preserve">different </w:t>
      </w:r>
      <w:r w:rsidR="00235625" w:rsidRPr="00630A9E">
        <w:rPr>
          <w:rFonts w:ascii="Palatino" w:eastAsia="Droid Serif" w:hAnsi="Palatino" w:cstheme="minorHAnsi"/>
        </w:rPr>
        <w:t>beliefs</w:t>
      </w:r>
      <w:r w:rsidRPr="00630A9E">
        <w:rPr>
          <w:rFonts w:ascii="Palatino" w:eastAsia="Droid Serif" w:hAnsi="Palatino" w:cstheme="minorHAnsi"/>
        </w:rPr>
        <w:t xml:space="preserve"> about </w:t>
      </w:r>
      <w:r w:rsidR="00BC130F" w:rsidRPr="00630A9E">
        <w:rPr>
          <w:rFonts w:ascii="Palatino" w:eastAsia="Droid Serif" w:hAnsi="Palatino" w:cstheme="minorHAnsi"/>
        </w:rPr>
        <w:t>the</w:t>
      </w:r>
      <w:r w:rsidRPr="00630A9E">
        <w:rPr>
          <w:rFonts w:ascii="Palatino" w:eastAsia="Droid Serif" w:hAnsi="Palatino" w:cstheme="minorHAnsi"/>
        </w:rPr>
        <w:t xml:space="preserve"> agentic obligations</w:t>
      </w:r>
      <w:r w:rsidR="00BC130F" w:rsidRPr="00630A9E">
        <w:rPr>
          <w:rFonts w:ascii="Palatino" w:eastAsia="Droid Serif" w:hAnsi="Palatino" w:cstheme="minorHAnsi"/>
        </w:rPr>
        <w:t xml:space="preserve"> of </w:t>
      </w:r>
      <w:r w:rsidR="00BF73D4">
        <w:rPr>
          <w:rFonts w:ascii="Palatino" w:eastAsia="Droid Serif" w:hAnsi="Palatino" w:cstheme="minorHAnsi"/>
        </w:rPr>
        <w:t>novices --</w:t>
      </w:r>
      <w:r w:rsidRPr="00630A9E">
        <w:rPr>
          <w:rFonts w:ascii="Palatino" w:eastAsia="Droid Serif" w:hAnsi="Palatino" w:cstheme="minorHAnsi"/>
        </w:rPr>
        <w:t xml:space="preserve"> e.g., the depth of probity required</w:t>
      </w:r>
      <w:r w:rsidR="00AE625F" w:rsidRPr="00630A9E">
        <w:rPr>
          <w:rFonts w:ascii="Palatino" w:eastAsia="Droid Serif" w:hAnsi="Palatino" w:cstheme="minorHAnsi"/>
        </w:rPr>
        <w:t xml:space="preserve"> </w:t>
      </w:r>
      <w:r w:rsidR="000F4560" w:rsidRPr="00630A9E">
        <w:rPr>
          <w:rFonts w:ascii="Palatino" w:eastAsia="Droid Serif" w:hAnsi="Palatino" w:cstheme="minorHAnsi"/>
        </w:rPr>
        <w:t>and intuitive conditions for exculpation</w:t>
      </w:r>
      <w:r w:rsidR="00BF73D4">
        <w:rPr>
          <w:rFonts w:ascii="Palatino" w:eastAsia="Droid Serif" w:hAnsi="Palatino" w:cstheme="minorHAnsi"/>
        </w:rPr>
        <w:t xml:space="preserve"> – accessibility is worth caring about</w:t>
      </w:r>
      <w:r w:rsidRPr="00630A9E">
        <w:rPr>
          <w:rFonts w:ascii="Palatino" w:eastAsia="Droid Serif" w:hAnsi="Palatino" w:cstheme="minorHAnsi"/>
        </w:rPr>
        <w:t>.</w:t>
      </w:r>
      <w:r w:rsidR="00F40FAD" w:rsidRPr="00630A9E">
        <w:rPr>
          <w:rStyle w:val="FootnoteReference"/>
          <w:rFonts w:ascii="Palatino" w:eastAsia="Droid Serif" w:hAnsi="Palatino" w:cstheme="minorHAnsi"/>
        </w:rPr>
        <w:footnoteReference w:id="7"/>
      </w:r>
    </w:p>
    <w:p w14:paraId="55463C51" w14:textId="78A5DD7D" w:rsidR="006E6A1B" w:rsidRPr="00630A9E" w:rsidRDefault="000F4560"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T</w:t>
      </w:r>
      <w:r w:rsidR="006E6A1B" w:rsidRPr="00630A9E">
        <w:rPr>
          <w:rFonts w:ascii="Palatino" w:eastAsia="Droid Serif" w:hAnsi="Palatino" w:cstheme="minorHAnsi"/>
        </w:rPr>
        <w:t xml:space="preserve">hese </w:t>
      </w:r>
      <w:r w:rsidR="00271740">
        <w:rPr>
          <w:rFonts w:ascii="Palatino" w:eastAsia="Droid Serif" w:hAnsi="Palatino" w:cstheme="minorHAnsi"/>
        </w:rPr>
        <w:t>basic</w:t>
      </w:r>
      <w:r w:rsidR="006E6A1B" w:rsidRPr="00630A9E">
        <w:rPr>
          <w:rFonts w:ascii="Palatino" w:eastAsia="Droid Serif" w:hAnsi="Palatino" w:cstheme="minorHAnsi"/>
        </w:rPr>
        <w:t xml:space="preserve"> epistemological questions about law</w:t>
      </w:r>
      <w:r w:rsidRPr="00630A9E">
        <w:rPr>
          <w:rFonts w:ascii="Palatino" w:eastAsia="Droid Serif" w:hAnsi="Palatino" w:cstheme="minorHAnsi"/>
        </w:rPr>
        <w:t xml:space="preserve"> are most acute </w:t>
      </w:r>
      <w:r w:rsidR="009A7305" w:rsidRPr="00630A9E">
        <w:rPr>
          <w:rFonts w:ascii="Palatino" w:eastAsia="Droid Serif" w:hAnsi="Palatino" w:cstheme="minorHAnsi"/>
        </w:rPr>
        <w:t>when the inquirers</w:t>
      </w:r>
      <w:r w:rsidRPr="00630A9E">
        <w:rPr>
          <w:rFonts w:ascii="Palatino" w:eastAsia="Droid Serif" w:hAnsi="Palatino" w:cstheme="minorHAnsi"/>
        </w:rPr>
        <w:t xml:space="preserve"> possess relatively scant </w:t>
      </w:r>
      <w:r w:rsidR="009A7305" w:rsidRPr="00630A9E">
        <w:rPr>
          <w:rFonts w:ascii="Palatino" w:eastAsia="Droid Serif" w:hAnsi="Palatino" w:cstheme="minorHAnsi"/>
        </w:rPr>
        <w:t xml:space="preserve">testimonial </w:t>
      </w:r>
      <w:r w:rsidRPr="00630A9E">
        <w:rPr>
          <w:rFonts w:ascii="Palatino" w:eastAsia="Droid Serif" w:hAnsi="Palatino" w:cstheme="minorHAnsi"/>
        </w:rPr>
        <w:t xml:space="preserve">evidence </w:t>
      </w:r>
      <w:r w:rsidR="009A7305" w:rsidRPr="00630A9E">
        <w:rPr>
          <w:rFonts w:ascii="Palatino" w:eastAsia="Droid Serif" w:hAnsi="Palatino" w:cstheme="minorHAnsi"/>
        </w:rPr>
        <w:t>from the rulers, and minimal institutional training</w:t>
      </w:r>
      <w:r w:rsidR="006B5024" w:rsidRPr="00630A9E">
        <w:rPr>
          <w:rFonts w:ascii="Palatino" w:eastAsia="Droid Serif" w:hAnsi="Palatino" w:cstheme="minorHAnsi"/>
        </w:rPr>
        <w:t xml:space="preserve"> – when, in some vague sense, the person and the sign</w:t>
      </w:r>
      <w:r w:rsidR="003F1EE2">
        <w:rPr>
          <w:rFonts w:ascii="Palatino" w:eastAsia="Droid Serif" w:hAnsi="Palatino" w:cstheme="minorHAnsi"/>
        </w:rPr>
        <w:t xml:space="preserve"> of law</w:t>
      </w:r>
      <w:r w:rsidR="006B5024" w:rsidRPr="00630A9E">
        <w:rPr>
          <w:rFonts w:ascii="Palatino" w:eastAsia="Droid Serif" w:hAnsi="Palatino" w:cstheme="minorHAnsi"/>
        </w:rPr>
        <w:t xml:space="preserve"> </w:t>
      </w:r>
      <w:r w:rsidR="008D6A8D" w:rsidRPr="00630A9E">
        <w:rPr>
          <w:rFonts w:ascii="Palatino" w:eastAsia="Droid Serif" w:hAnsi="Palatino" w:cstheme="minorHAnsi"/>
        </w:rPr>
        <w:t xml:space="preserve">are in an epistemologically </w:t>
      </w:r>
      <w:r w:rsidR="00701560">
        <w:rPr>
          <w:rFonts w:ascii="Palatino" w:eastAsia="Droid Serif" w:hAnsi="Palatino" w:cstheme="minorHAnsi"/>
        </w:rPr>
        <w:t>frustrated</w:t>
      </w:r>
      <w:r w:rsidR="008D6A8D" w:rsidRPr="00630A9E">
        <w:rPr>
          <w:rFonts w:ascii="Palatino" w:eastAsia="Droid Serif" w:hAnsi="Palatino" w:cstheme="minorHAnsi"/>
        </w:rPr>
        <w:t xml:space="preserve"> </w:t>
      </w:r>
      <w:r w:rsidR="006B5024" w:rsidRPr="00630A9E">
        <w:rPr>
          <w:rFonts w:ascii="Palatino" w:eastAsia="Droid Serif" w:hAnsi="Palatino" w:cstheme="minorHAnsi"/>
        </w:rPr>
        <w:t>relat</w:t>
      </w:r>
      <w:r w:rsidR="008D6A8D" w:rsidRPr="00630A9E">
        <w:rPr>
          <w:rFonts w:ascii="Palatino" w:eastAsia="Droid Serif" w:hAnsi="Palatino" w:cstheme="minorHAnsi"/>
        </w:rPr>
        <w:t>ionship</w:t>
      </w:r>
      <w:r w:rsidR="009A7305" w:rsidRPr="00630A9E">
        <w:rPr>
          <w:rFonts w:ascii="Palatino" w:eastAsia="Droid Serif" w:hAnsi="Palatino" w:cstheme="minorHAnsi"/>
        </w:rPr>
        <w:t xml:space="preserve">. </w:t>
      </w:r>
      <w:r w:rsidR="00271740">
        <w:rPr>
          <w:rFonts w:ascii="Palatino" w:eastAsia="Droid Serif" w:hAnsi="Palatino" w:cstheme="minorHAnsi"/>
        </w:rPr>
        <w:t xml:space="preserve">But we are only interested in </w:t>
      </w:r>
      <w:r w:rsidR="00271740" w:rsidRPr="00271740">
        <w:rPr>
          <w:rFonts w:ascii="Palatino" w:eastAsia="Droid Serif" w:hAnsi="Palatino" w:cstheme="minorHAnsi"/>
          <w:i/>
        </w:rPr>
        <w:t>good faith</w:t>
      </w:r>
      <w:r w:rsidR="00271740">
        <w:rPr>
          <w:rFonts w:ascii="Palatino" w:eastAsia="Droid Serif" w:hAnsi="Palatino" w:cstheme="minorHAnsi"/>
        </w:rPr>
        <w:t xml:space="preserve"> frustrations. </w:t>
      </w:r>
      <w:r w:rsidR="009A7305" w:rsidRPr="00630A9E">
        <w:rPr>
          <w:rFonts w:ascii="Palatino" w:eastAsia="Droid Serif" w:hAnsi="Palatino" w:cstheme="minorHAnsi"/>
        </w:rPr>
        <w:t>We have access to law when law is knowable, based on the resources found at hand, so long as those resources</w:t>
      </w:r>
      <w:r w:rsidR="006E6A1B" w:rsidRPr="00630A9E">
        <w:rPr>
          <w:rFonts w:ascii="Palatino" w:eastAsia="Droid Serif" w:hAnsi="Palatino" w:cstheme="minorHAnsi"/>
        </w:rPr>
        <w:t xml:space="preserve"> are all based in genuine efforts to understand the thing they’re talking about</w:t>
      </w:r>
      <w:r w:rsidR="009A7305" w:rsidRPr="00630A9E">
        <w:rPr>
          <w:rFonts w:ascii="Palatino" w:eastAsia="Droid Serif" w:hAnsi="Palatino" w:cstheme="minorHAnsi"/>
        </w:rPr>
        <w:t>,</w:t>
      </w:r>
      <w:r w:rsidR="006E6A1B" w:rsidRPr="00630A9E">
        <w:rPr>
          <w:rFonts w:ascii="Palatino" w:eastAsia="Droid Serif" w:hAnsi="Palatino" w:cstheme="minorHAnsi"/>
        </w:rPr>
        <w:t xml:space="preserve"> and so meet the bare minimum requirements for being a rational disagreement that has any hope of rational resolution.</w:t>
      </w:r>
      <w:r w:rsidR="00452E0E" w:rsidRPr="00630A9E">
        <w:rPr>
          <w:rStyle w:val="FootnoteReference"/>
          <w:rFonts w:ascii="Palatino" w:eastAsia="Droid Serif" w:hAnsi="Palatino" w:cstheme="minorHAnsi"/>
        </w:rPr>
        <w:footnoteReference w:id="8"/>
      </w:r>
      <w:r w:rsidR="006E6A1B" w:rsidRPr="00630A9E">
        <w:rPr>
          <w:rFonts w:ascii="Palatino" w:eastAsia="Droid Serif" w:hAnsi="Palatino" w:cstheme="minorHAnsi"/>
        </w:rPr>
        <w:t xml:space="preserve"> The idea that each theory has opinions that have some </w:t>
      </w:r>
      <w:r w:rsidR="006E6A1B" w:rsidRPr="003F1EE2">
        <w:rPr>
          <w:rFonts w:ascii="Palatino" w:eastAsia="Droid Serif" w:hAnsi="Palatino" w:cstheme="minorHAnsi"/>
          <w:i/>
        </w:rPr>
        <w:t>hope</w:t>
      </w:r>
      <w:r w:rsidR="006E6A1B" w:rsidRPr="00630A9E">
        <w:rPr>
          <w:rFonts w:ascii="Palatino" w:eastAsia="Droid Serif" w:hAnsi="Palatino" w:cstheme="minorHAnsi"/>
        </w:rPr>
        <w:t xml:space="preserve"> of resolution is just to say that they are each speaking in </w:t>
      </w:r>
      <w:r w:rsidR="006E6A1B" w:rsidRPr="00630A9E">
        <w:rPr>
          <w:rFonts w:ascii="Palatino" w:eastAsia="Droid Serif" w:hAnsi="Palatino" w:cstheme="minorHAnsi"/>
          <w:i/>
        </w:rPr>
        <w:t>intellectual good faith</w:t>
      </w:r>
      <w:r w:rsidR="006E6A1B" w:rsidRPr="00630A9E">
        <w:rPr>
          <w:rFonts w:ascii="Palatino" w:eastAsia="Droid Serif" w:hAnsi="Palatino" w:cstheme="minorHAnsi"/>
        </w:rPr>
        <w:t xml:space="preserve"> according to their own lights</w:t>
      </w:r>
      <w:r w:rsidR="00014B0C">
        <w:rPr>
          <w:rFonts w:ascii="Palatino" w:eastAsia="Droid Serif" w:hAnsi="Palatino" w:cstheme="minorHAnsi"/>
        </w:rPr>
        <w:t xml:space="preserve"> (</w:t>
      </w:r>
      <w:r w:rsidR="00B54A6F">
        <w:rPr>
          <w:rFonts w:ascii="Palatino" w:eastAsia="Droid Serif" w:hAnsi="Palatino" w:cstheme="minorHAnsi"/>
        </w:rPr>
        <w:t xml:space="preserve">i.e., </w:t>
      </w:r>
      <w:r w:rsidR="00014B0C">
        <w:rPr>
          <w:rFonts w:ascii="Palatino" w:eastAsia="Droid Serif" w:hAnsi="Palatino" w:cstheme="minorHAnsi"/>
        </w:rPr>
        <w:t>severally)</w:t>
      </w:r>
      <w:r w:rsidR="006E6A1B" w:rsidRPr="00630A9E">
        <w:rPr>
          <w:rFonts w:ascii="Palatino" w:eastAsia="Droid Serif" w:hAnsi="Palatino" w:cstheme="minorHAnsi"/>
        </w:rPr>
        <w:t xml:space="preserve">, and at least </w:t>
      </w:r>
      <w:r w:rsidR="006E6A1B" w:rsidRPr="00630A9E">
        <w:rPr>
          <w:rFonts w:ascii="Palatino" w:eastAsia="Droid Serif" w:hAnsi="Palatino" w:cstheme="minorHAnsi"/>
          <w:i/>
        </w:rPr>
        <w:t>not</w:t>
      </w:r>
      <w:r w:rsidR="006E6A1B" w:rsidRPr="00630A9E">
        <w:rPr>
          <w:rFonts w:ascii="Palatino" w:eastAsia="Droid Serif" w:hAnsi="Palatino" w:cstheme="minorHAnsi"/>
        </w:rPr>
        <w:t xml:space="preserve"> in intellectual </w:t>
      </w:r>
      <w:r w:rsidR="006E6A1B" w:rsidRPr="00630A9E">
        <w:rPr>
          <w:rFonts w:ascii="Palatino" w:eastAsia="Droid Serif" w:hAnsi="Palatino" w:cstheme="minorHAnsi"/>
          <w:i/>
        </w:rPr>
        <w:t>bad</w:t>
      </w:r>
      <w:r w:rsidR="006E6A1B" w:rsidRPr="00630A9E">
        <w:rPr>
          <w:rFonts w:ascii="Palatino" w:eastAsia="Droid Serif" w:hAnsi="Palatino" w:cstheme="minorHAnsi"/>
        </w:rPr>
        <w:t xml:space="preserve"> faith by </w:t>
      </w:r>
      <w:r w:rsidR="006E6A1B" w:rsidRPr="00630A9E">
        <w:rPr>
          <w:rFonts w:ascii="Palatino" w:eastAsia="Droid Serif" w:hAnsi="Palatino" w:cstheme="minorHAnsi"/>
          <w:i/>
        </w:rPr>
        <w:t>each other’s</w:t>
      </w:r>
      <w:r w:rsidR="006E6A1B" w:rsidRPr="00630A9E">
        <w:rPr>
          <w:rFonts w:ascii="Palatino" w:eastAsia="Droid Serif" w:hAnsi="Palatino" w:cstheme="minorHAnsi"/>
        </w:rPr>
        <w:t xml:space="preserve"> lights</w:t>
      </w:r>
      <w:r w:rsidR="00014B0C">
        <w:rPr>
          <w:rFonts w:ascii="Palatino" w:eastAsia="Droid Serif" w:hAnsi="Palatino" w:cstheme="minorHAnsi"/>
        </w:rPr>
        <w:t xml:space="preserve"> (</w:t>
      </w:r>
      <w:r w:rsidR="00B54A6F">
        <w:rPr>
          <w:rFonts w:ascii="Palatino" w:eastAsia="Droid Serif" w:hAnsi="Palatino" w:cstheme="minorHAnsi"/>
        </w:rPr>
        <w:t xml:space="preserve">i.e., </w:t>
      </w:r>
      <w:r w:rsidR="00014B0C">
        <w:rPr>
          <w:rFonts w:ascii="Palatino" w:eastAsia="Droid Serif" w:hAnsi="Palatino" w:cstheme="minorHAnsi"/>
        </w:rPr>
        <w:t>jointly)</w:t>
      </w:r>
      <w:r w:rsidR="006E6A1B" w:rsidRPr="00630A9E">
        <w:rPr>
          <w:rFonts w:ascii="Palatino" w:eastAsia="Droid Serif" w:hAnsi="Palatino" w:cstheme="minorHAnsi"/>
        </w:rPr>
        <w:t xml:space="preserve">, </w:t>
      </w:r>
      <w:r w:rsidR="00014B0C">
        <w:rPr>
          <w:rFonts w:ascii="Palatino" w:eastAsia="Droid Serif" w:hAnsi="Palatino" w:cstheme="minorHAnsi"/>
        </w:rPr>
        <w:t>when both encounter</w:t>
      </w:r>
      <w:r w:rsidR="006E6A1B" w:rsidRPr="00630A9E">
        <w:rPr>
          <w:rFonts w:ascii="Palatino" w:eastAsia="Droid Serif" w:hAnsi="Palatino" w:cstheme="minorHAnsi"/>
        </w:rPr>
        <w:t xml:space="preserve"> the </w:t>
      </w:r>
      <w:r w:rsidR="00014B0C">
        <w:rPr>
          <w:rFonts w:ascii="Palatino" w:eastAsia="Droid Serif" w:hAnsi="Palatino" w:cstheme="minorHAnsi"/>
        </w:rPr>
        <w:t>same</w:t>
      </w:r>
      <w:r w:rsidR="006E6A1B" w:rsidRPr="00630A9E">
        <w:rPr>
          <w:rFonts w:ascii="Palatino" w:eastAsia="Droid Serif" w:hAnsi="Palatino" w:cstheme="minorHAnsi"/>
        </w:rPr>
        <w:t xml:space="preserve"> </w:t>
      </w:r>
      <w:r w:rsidR="003F1EE2">
        <w:rPr>
          <w:rFonts w:ascii="Palatino" w:eastAsia="Droid Serif" w:hAnsi="Palatino" w:cstheme="minorHAnsi"/>
        </w:rPr>
        <w:t>evidence</w:t>
      </w:r>
      <w:r w:rsidR="006E6A1B" w:rsidRPr="00630A9E">
        <w:rPr>
          <w:rFonts w:ascii="Palatino" w:eastAsia="Droid Serif" w:hAnsi="Palatino" w:cstheme="minorHAnsi"/>
        </w:rPr>
        <w:t>.</w:t>
      </w:r>
    </w:p>
    <w:p w14:paraId="6929E040" w14:textId="77777777" w:rsidR="00C93D65" w:rsidRDefault="006E6A1B" w:rsidP="00C93D65">
      <w:pPr>
        <w:widowControl w:val="0"/>
        <w:ind w:right="-56" w:firstLine="426"/>
        <w:jc w:val="both"/>
        <w:rPr>
          <w:rFonts w:ascii="Palatino" w:eastAsia="Droid Serif" w:hAnsi="Palatino" w:cstheme="minorHAnsi"/>
        </w:rPr>
      </w:pPr>
      <w:r w:rsidRPr="00630A9E">
        <w:rPr>
          <w:rFonts w:ascii="Palatino" w:eastAsia="Droid Serif" w:hAnsi="Palatino" w:cstheme="minorHAnsi"/>
        </w:rPr>
        <w:t xml:space="preserve">One way of talking about a depiction of law is to examine law as a </w:t>
      </w:r>
      <w:r w:rsidR="00271740">
        <w:rPr>
          <w:rFonts w:ascii="Palatino" w:eastAsia="Droid Serif" w:hAnsi="Palatino" w:cstheme="minorHAnsi"/>
          <w:i/>
        </w:rPr>
        <w:t>discourse,</w:t>
      </w:r>
      <w:r w:rsidRPr="00630A9E">
        <w:rPr>
          <w:rFonts w:ascii="Palatino" w:eastAsia="Droid Serif" w:hAnsi="Palatino" w:cstheme="minorHAnsi"/>
          <w:i/>
        </w:rPr>
        <w:t xml:space="preserve"> </w:t>
      </w:r>
      <w:r w:rsidRPr="00630A9E">
        <w:rPr>
          <w:rFonts w:ascii="Palatino" w:eastAsia="Droid Serif" w:hAnsi="Palatino" w:cstheme="minorHAnsi"/>
        </w:rPr>
        <w:t xml:space="preserve">i.e., a distinctive </w:t>
      </w:r>
      <w:r w:rsidR="008D13E0" w:rsidRPr="00630A9E">
        <w:rPr>
          <w:rFonts w:ascii="Palatino" w:eastAsia="Droid Serif" w:hAnsi="Palatino" w:cstheme="minorHAnsi"/>
        </w:rPr>
        <w:t>pattern</w:t>
      </w:r>
      <w:r w:rsidRPr="00630A9E">
        <w:rPr>
          <w:rFonts w:ascii="Palatino" w:eastAsia="Droid Serif" w:hAnsi="Palatino" w:cstheme="minorHAnsi"/>
        </w:rPr>
        <w:t xml:space="preserve"> of linguistic performance</w:t>
      </w:r>
      <w:r w:rsidR="008D13E0" w:rsidRPr="00630A9E">
        <w:rPr>
          <w:rFonts w:ascii="Palatino" w:eastAsia="Droid Serif" w:hAnsi="Palatino" w:cstheme="minorHAnsi"/>
        </w:rPr>
        <w:t>s</w:t>
      </w:r>
      <w:r w:rsidRPr="00630A9E">
        <w:rPr>
          <w:rFonts w:ascii="Palatino" w:eastAsia="Droid Serif" w:hAnsi="Palatino" w:cstheme="minorHAnsi"/>
        </w:rPr>
        <w:t xml:space="preserve"> which </w:t>
      </w:r>
      <w:r w:rsidR="008D13E0" w:rsidRPr="00630A9E">
        <w:rPr>
          <w:rFonts w:ascii="Palatino" w:eastAsia="Droid Serif" w:hAnsi="Palatino" w:cstheme="minorHAnsi"/>
        </w:rPr>
        <w:t>are</w:t>
      </w:r>
      <w:r w:rsidRPr="00630A9E">
        <w:rPr>
          <w:rFonts w:ascii="Palatino" w:eastAsia="Droid Serif" w:hAnsi="Palatino" w:cstheme="minorHAnsi"/>
        </w:rPr>
        <w:t xml:space="preserve"> </w:t>
      </w:r>
      <w:r w:rsidR="008D13E0" w:rsidRPr="00630A9E">
        <w:rPr>
          <w:rFonts w:ascii="Palatino" w:eastAsia="Droid Serif" w:hAnsi="Palatino" w:cstheme="minorHAnsi"/>
        </w:rPr>
        <w:t>demarcated</w:t>
      </w:r>
      <w:r w:rsidRPr="00630A9E">
        <w:rPr>
          <w:rFonts w:ascii="Palatino" w:eastAsia="Droid Serif" w:hAnsi="Palatino" w:cstheme="minorHAnsi"/>
        </w:rPr>
        <w:t xml:space="preserve"> according to identifiable</w:t>
      </w:r>
      <w:r w:rsidR="008D13E0" w:rsidRPr="00630A9E">
        <w:rPr>
          <w:rFonts w:ascii="Palatino" w:eastAsia="Droid Serif" w:hAnsi="Palatino" w:cstheme="minorHAnsi"/>
        </w:rPr>
        <w:t xml:space="preserve"> and unique</w:t>
      </w:r>
      <w:r w:rsidRPr="00630A9E">
        <w:rPr>
          <w:rFonts w:ascii="Palatino" w:eastAsia="Droid Serif" w:hAnsi="Palatino" w:cstheme="minorHAnsi"/>
        </w:rPr>
        <w:t xml:space="preserve"> presuppositions which settle </w:t>
      </w:r>
      <w:r w:rsidR="008D13E0" w:rsidRPr="00630A9E">
        <w:rPr>
          <w:rFonts w:ascii="Palatino" w:eastAsia="Droid Serif" w:hAnsi="Palatino" w:cstheme="minorHAnsi"/>
        </w:rPr>
        <w:t xml:space="preserve">general </w:t>
      </w:r>
      <w:r w:rsidRPr="00630A9E">
        <w:rPr>
          <w:rFonts w:ascii="Palatino" w:eastAsia="Droid Serif" w:hAnsi="Palatino" w:cstheme="minorHAnsi"/>
        </w:rPr>
        <w:t>aims and expectations for cooperative exchange of reasons.</w:t>
      </w:r>
      <w:r w:rsidR="00B83BF9">
        <w:rPr>
          <w:rStyle w:val="FootnoteReference"/>
          <w:rFonts w:ascii="Palatino" w:eastAsia="Droid Serif" w:hAnsi="Palatino" w:cstheme="minorHAnsi"/>
        </w:rPr>
        <w:footnoteReference w:id="9"/>
      </w:r>
      <w:r w:rsidRPr="00630A9E">
        <w:rPr>
          <w:rFonts w:ascii="Palatino" w:eastAsia="Droid Serif" w:hAnsi="Palatino" w:cstheme="minorHAnsi"/>
        </w:rPr>
        <w:t xml:space="preserve"> </w:t>
      </w:r>
      <w:r w:rsidR="008D13E0" w:rsidRPr="00630A9E">
        <w:rPr>
          <w:rFonts w:ascii="Palatino" w:eastAsia="Droid Serif" w:hAnsi="Palatino" w:cstheme="minorHAnsi"/>
        </w:rPr>
        <w:t>That is a mouthful, but happily, e</w:t>
      </w:r>
      <w:r w:rsidR="00D33225" w:rsidRPr="00630A9E">
        <w:rPr>
          <w:rFonts w:ascii="Palatino" w:eastAsia="Droid Serif" w:hAnsi="Palatino" w:cstheme="minorHAnsi"/>
        </w:rPr>
        <w:t>xamples of d</w:t>
      </w:r>
      <w:r w:rsidRPr="00630A9E">
        <w:rPr>
          <w:rFonts w:ascii="Palatino" w:eastAsia="Droid Serif" w:hAnsi="Palatino" w:cstheme="minorHAnsi"/>
        </w:rPr>
        <w:t>iscourses are familia</w:t>
      </w:r>
      <w:r w:rsidR="00D33225" w:rsidRPr="00630A9E">
        <w:rPr>
          <w:rFonts w:ascii="Palatino" w:eastAsia="Droid Serif" w:hAnsi="Palatino" w:cstheme="minorHAnsi"/>
        </w:rPr>
        <w:t>r</w:t>
      </w:r>
      <w:r w:rsidR="008D13E0" w:rsidRPr="00630A9E">
        <w:rPr>
          <w:rFonts w:ascii="Palatino" w:eastAsia="Droid Serif" w:hAnsi="Palatino" w:cstheme="minorHAnsi"/>
        </w:rPr>
        <w:t>:</w:t>
      </w:r>
      <w:r w:rsidRPr="00630A9E">
        <w:rPr>
          <w:rFonts w:ascii="Palatino" w:eastAsia="Droid Serif" w:hAnsi="Palatino" w:cstheme="minorHAnsi"/>
        </w:rPr>
        <w:t xml:space="preserve"> morality, politics, religion, science, literary criticism, and mathematics</w:t>
      </w:r>
      <w:r w:rsidR="008D13E0" w:rsidRPr="00630A9E">
        <w:rPr>
          <w:rFonts w:ascii="Palatino" w:eastAsia="Droid Serif" w:hAnsi="Palatino" w:cstheme="minorHAnsi"/>
        </w:rPr>
        <w:t>, etc</w:t>
      </w:r>
      <w:r w:rsidRPr="00630A9E">
        <w:rPr>
          <w:rFonts w:ascii="Palatino" w:eastAsia="Droid Serif" w:hAnsi="Palatino" w:cstheme="minorHAnsi"/>
        </w:rPr>
        <w:t xml:space="preserve">. </w:t>
      </w:r>
      <w:r w:rsidR="009A2C9A" w:rsidRPr="00630A9E">
        <w:rPr>
          <w:rFonts w:ascii="Palatino" w:eastAsia="Droid Serif" w:hAnsi="Palatino" w:cstheme="minorHAnsi"/>
        </w:rPr>
        <w:t>A r</w:t>
      </w:r>
      <w:r w:rsidRPr="00630A9E">
        <w:rPr>
          <w:rFonts w:ascii="Palatino" w:eastAsia="Droid Serif" w:hAnsi="Palatino" w:cstheme="minorHAnsi"/>
        </w:rPr>
        <w:t xml:space="preserve">ational discussion of such topics depends on deployment of presuppositions for </w:t>
      </w:r>
      <w:r w:rsidR="00D33225" w:rsidRPr="00630A9E">
        <w:rPr>
          <w:rFonts w:ascii="Palatino" w:eastAsia="Droid Serif" w:hAnsi="Palatino" w:cstheme="minorHAnsi"/>
        </w:rPr>
        <w:t xml:space="preserve">communicative </w:t>
      </w:r>
      <w:r w:rsidRPr="00630A9E">
        <w:rPr>
          <w:rFonts w:ascii="Palatino" w:eastAsia="Droid Serif" w:hAnsi="Palatino" w:cstheme="minorHAnsi"/>
        </w:rPr>
        <w:t>exchange</w:t>
      </w:r>
      <w:r w:rsidR="009A2C9A" w:rsidRPr="00630A9E">
        <w:rPr>
          <w:rFonts w:ascii="Palatino" w:eastAsia="Droid Serif" w:hAnsi="Palatino" w:cstheme="minorHAnsi"/>
        </w:rPr>
        <w:t xml:space="preserve"> </w:t>
      </w:r>
      <w:r w:rsidRPr="00630A9E">
        <w:rPr>
          <w:rFonts w:ascii="Palatino" w:eastAsia="Droid Serif" w:hAnsi="Palatino" w:cstheme="minorHAnsi"/>
        </w:rPr>
        <w:t xml:space="preserve">under the banner of a topic and its accompanying set of standards for evaluation, in a manner that can be rationally interpreted as an effort at </w:t>
      </w:r>
      <w:r w:rsidR="00D33225" w:rsidRPr="00630A9E">
        <w:rPr>
          <w:rFonts w:ascii="Palatino" w:eastAsia="Droid Serif" w:hAnsi="Palatino" w:cstheme="minorHAnsi"/>
        </w:rPr>
        <w:t>interaction</w:t>
      </w:r>
      <w:r w:rsidRPr="00630A9E">
        <w:rPr>
          <w:rFonts w:ascii="Palatino" w:eastAsia="Droid Serif" w:hAnsi="Palatino" w:cstheme="minorHAnsi"/>
        </w:rPr>
        <w:t xml:space="preserve"> in intellectual good faith.</w:t>
      </w:r>
      <w:r w:rsidR="008D13E0" w:rsidRPr="00630A9E">
        <w:rPr>
          <w:rFonts w:ascii="Palatino" w:eastAsia="Droid Serif" w:hAnsi="Palatino" w:cstheme="minorHAnsi"/>
        </w:rPr>
        <w:t xml:space="preserve"> </w:t>
      </w:r>
      <w:r w:rsidRPr="00630A9E">
        <w:rPr>
          <w:rFonts w:ascii="Palatino" w:eastAsia="Droid Serif" w:hAnsi="Palatino" w:cstheme="minorHAnsi"/>
        </w:rPr>
        <w:t xml:space="preserve">Without some kind of theoretical common ground in the form of a shared discourse, promulgation of law will be impossible, since no-one </w:t>
      </w:r>
      <w:r w:rsidR="00D33225" w:rsidRPr="00630A9E">
        <w:rPr>
          <w:rFonts w:ascii="Palatino" w:eastAsia="Droid Serif" w:hAnsi="Palatino" w:cstheme="minorHAnsi"/>
        </w:rPr>
        <w:t>would</w:t>
      </w:r>
      <w:r w:rsidRPr="00630A9E">
        <w:rPr>
          <w:rFonts w:ascii="Palatino" w:eastAsia="Droid Serif" w:hAnsi="Palatino" w:cstheme="minorHAnsi"/>
        </w:rPr>
        <w:t xml:space="preserve"> know anything about the nature of the phenomenon at issue</w:t>
      </w:r>
      <w:r w:rsidR="00D33225" w:rsidRPr="00630A9E">
        <w:rPr>
          <w:rFonts w:ascii="Palatino" w:eastAsia="Droid Serif" w:hAnsi="Palatino" w:cstheme="minorHAnsi"/>
        </w:rPr>
        <w:t xml:space="preserve">, such that it could be the </w:t>
      </w:r>
      <w:r w:rsidR="008D13E0" w:rsidRPr="00630A9E">
        <w:rPr>
          <w:rFonts w:ascii="Palatino" w:eastAsia="Droid Serif" w:hAnsi="Palatino" w:cstheme="minorHAnsi"/>
        </w:rPr>
        <w:t>object</w:t>
      </w:r>
      <w:r w:rsidR="00D33225" w:rsidRPr="00630A9E">
        <w:rPr>
          <w:rFonts w:ascii="Palatino" w:eastAsia="Droid Serif" w:hAnsi="Palatino" w:cstheme="minorHAnsi"/>
        </w:rPr>
        <w:t xml:space="preserve"> of joint attention</w:t>
      </w:r>
      <w:r w:rsidRPr="00630A9E">
        <w:rPr>
          <w:rFonts w:ascii="Palatino" w:eastAsia="Droid Serif" w:hAnsi="Palatino" w:cstheme="minorHAnsi"/>
        </w:rPr>
        <w:t>.</w:t>
      </w:r>
    </w:p>
    <w:p w14:paraId="45402451" w14:textId="6A7F0BBD" w:rsidR="00271740" w:rsidRDefault="00271740" w:rsidP="00C93D65">
      <w:pPr>
        <w:widowControl w:val="0"/>
        <w:ind w:right="-56" w:firstLine="426"/>
        <w:jc w:val="both"/>
        <w:rPr>
          <w:rFonts w:ascii="Palatino" w:eastAsia="Droid Serif" w:hAnsi="Palatino"/>
        </w:rPr>
      </w:pPr>
      <w:r w:rsidRPr="00C93D65">
        <w:rPr>
          <w:rFonts w:ascii="Palatino" w:eastAsia="Droid Serif" w:hAnsi="Palatino" w:cstheme="minorHAnsi"/>
        </w:rPr>
        <w:t xml:space="preserve">A central mechanism in any accounting of law is the idea of </w:t>
      </w:r>
      <w:r w:rsidRPr="00C93D65">
        <w:rPr>
          <w:rFonts w:ascii="Palatino" w:eastAsia="Droid Serif" w:hAnsi="Palatino" w:cstheme="minorHAnsi"/>
          <w:i/>
        </w:rPr>
        <w:t>risk</w:t>
      </w:r>
      <w:r w:rsidR="00E700E3" w:rsidRPr="00C93D65">
        <w:rPr>
          <w:rFonts w:ascii="Palatino" w:eastAsia="Droid Serif" w:hAnsi="Palatino" w:cstheme="minorHAnsi"/>
        </w:rPr>
        <w:t>.</w:t>
      </w:r>
      <w:r w:rsidRPr="00C93D65">
        <w:rPr>
          <w:rFonts w:ascii="Palatino" w:eastAsia="Droid Serif" w:hAnsi="Palatino" w:cstheme="minorHAnsi"/>
        </w:rPr>
        <w:t xml:space="preserve"> </w:t>
      </w:r>
      <w:r w:rsidR="00E700E3" w:rsidRPr="00C93D65">
        <w:rPr>
          <w:rFonts w:ascii="Palatino" w:eastAsia="Droid Serif" w:hAnsi="Palatino" w:cstheme="minorHAnsi"/>
        </w:rPr>
        <w:t>For one thing, we are understandably preoccupied with the ways legal theory intersects with</w:t>
      </w:r>
      <w:r w:rsidRPr="00C93D65">
        <w:rPr>
          <w:rFonts w:ascii="Palatino" w:eastAsia="Droid Serif" w:hAnsi="Palatino" w:cstheme="minorHAnsi"/>
          <w:i/>
        </w:rPr>
        <w:t xml:space="preserve"> risk of bodily harm</w:t>
      </w:r>
      <w:r w:rsidR="00B83BF9" w:rsidRPr="00C93D65">
        <w:rPr>
          <w:rFonts w:ascii="Palatino" w:eastAsia="Droid Serif" w:hAnsi="Palatino" w:cstheme="minorHAnsi"/>
        </w:rPr>
        <w:t>.</w:t>
      </w:r>
      <w:r w:rsidR="00E700E3" w:rsidRPr="00C93D65">
        <w:rPr>
          <w:rFonts w:ascii="Palatino" w:eastAsia="Droid Serif" w:hAnsi="Palatino" w:cstheme="minorHAnsi"/>
        </w:rPr>
        <w:t xml:space="preserve"> </w:t>
      </w:r>
      <w:r w:rsidRPr="00C93D65">
        <w:rPr>
          <w:rFonts w:ascii="Palatino" w:eastAsia="Droid Serif" w:hAnsi="Palatino" w:cstheme="minorHAnsi"/>
        </w:rPr>
        <w:t>But</w:t>
      </w:r>
      <w:r w:rsidR="00016994" w:rsidRPr="00C93D65">
        <w:rPr>
          <w:rFonts w:ascii="Palatino" w:eastAsia="Droid Serif" w:hAnsi="Palatino" w:cstheme="minorHAnsi"/>
        </w:rPr>
        <w:t xml:space="preserve"> in addition, and more generally, we are</w:t>
      </w:r>
      <w:r w:rsidR="00E700E3" w:rsidRPr="00C93D65">
        <w:rPr>
          <w:rFonts w:ascii="Palatino" w:eastAsia="Droid Serif" w:hAnsi="Palatino" w:cstheme="minorHAnsi"/>
        </w:rPr>
        <w:t xml:space="preserve"> also</w:t>
      </w:r>
      <w:r w:rsidR="00016994" w:rsidRPr="00C93D65">
        <w:rPr>
          <w:rFonts w:ascii="Palatino" w:eastAsia="Droid Serif" w:hAnsi="Palatino" w:cstheme="minorHAnsi"/>
        </w:rPr>
        <w:t xml:space="preserve"> able to worry about</w:t>
      </w:r>
      <w:r w:rsidRPr="00C93D65">
        <w:rPr>
          <w:rFonts w:ascii="Palatino" w:eastAsia="Droid Serif" w:hAnsi="Palatino" w:cstheme="minorHAnsi"/>
        </w:rPr>
        <w:t xml:space="preserve"> </w:t>
      </w:r>
      <w:r w:rsidRPr="00C93D65">
        <w:rPr>
          <w:rFonts w:ascii="Palatino" w:eastAsia="Droid Serif" w:hAnsi="Palatino" w:cstheme="minorHAnsi"/>
          <w:i/>
        </w:rPr>
        <w:t>epistemic risk</w:t>
      </w:r>
      <w:r w:rsidRPr="00C93D65">
        <w:rPr>
          <w:rFonts w:ascii="Palatino" w:eastAsia="Droid Serif" w:hAnsi="Palatino" w:cstheme="minorHAnsi"/>
        </w:rPr>
        <w:t xml:space="preserve">, </w:t>
      </w:r>
      <w:r w:rsidR="00016994" w:rsidRPr="00C93D65">
        <w:rPr>
          <w:rFonts w:ascii="Palatino" w:eastAsia="Droid Serif" w:hAnsi="Palatino" w:cstheme="minorHAnsi"/>
        </w:rPr>
        <w:t>the</w:t>
      </w:r>
      <w:r w:rsidRPr="00C93D65">
        <w:rPr>
          <w:rFonts w:ascii="Palatino" w:eastAsia="Droid Serif" w:hAnsi="Palatino" w:cstheme="minorHAnsi"/>
        </w:rPr>
        <w:t xml:space="preserve"> risk of being in error.</w:t>
      </w:r>
      <w:r w:rsidRPr="00C93D65">
        <w:rPr>
          <w:rStyle w:val="FootnoteReference"/>
          <w:rFonts w:ascii="Palatino" w:eastAsia="Droid Serif" w:hAnsi="Palatino" w:cstheme="minorHAnsi"/>
        </w:rPr>
        <w:footnoteReference w:id="10"/>
      </w:r>
      <w:r w:rsidRPr="00C93D65">
        <w:rPr>
          <w:rFonts w:ascii="Palatino" w:eastAsia="Droid Serif" w:hAnsi="Palatino" w:cstheme="minorHAnsi"/>
        </w:rPr>
        <w:t xml:space="preserve"> </w:t>
      </w:r>
      <w:r w:rsidR="00016994" w:rsidRPr="00C93D65">
        <w:rPr>
          <w:rFonts w:ascii="Palatino" w:eastAsia="Droid Serif" w:hAnsi="Palatino" w:cstheme="minorHAnsi"/>
        </w:rPr>
        <w:t>‘Epistemic risk’</w:t>
      </w:r>
      <w:r w:rsidRPr="00C93D65">
        <w:rPr>
          <w:rFonts w:ascii="Palatino" w:eastAsia="Droid Serif" w:hAnsi="Palatino" w:cstheme="minorHAnsi"/>
        </w:rPr>
        <w:t xml:space="preserve"> is a new way of speaking about a relatively common-sensical idea, which is that an infirmity of many different sorts of </w:t>
      </w:r>
      <w:r w:rsidR="00016994" w:rsidRPr="00C93D65">
        <w:rPr>
          <w:rFonts w:ascii="Palatino" w:eastAsia="Droid Serif" w:hAnsi="Palatino" w:cstheme="minorHAnsi"/>
        </w:rPr>
        <w:t>external</w:t>
      </w:r>
      <w:r w:rsidRPr="00C93D65">
        <w:rPr>
          <w:rFonts w:ascii="Palatino" w:eastAsia="Droid Serif" w:hAnsi="Palatino" w:cstheme="minorHAnsi"/>
        </w:rPr>
        <w:t xml:space="preserve"> conditions can lead someone to be at risk of making an error with respect to the thing they are making claims about (e.g., Gettier cases). </w:t>
      </w:r>
      <w:r w:rsidR="00C93D65" w:rsidRPr="00C93D65">
        <w:rPr>
          <w:rFonts w:ascii="Palatino" w:eastAsia="Droid Serif" w:hAnsi="Palatino"/>
        </w:rPr>
        <w:t xml:space="preserve">In normal epistemic contexts, </w:t>
      </w:r>
      <w:r w:rsidR="00C93D65">
        <w:rPr>
          <w:rFonts w:ascii="Palatino" w:eastAsia="Droid Serif" w:hAnsi="Palatino"/>
        </w:rPr>
        <w:t xml:space="preserve">having </w:t>
      </w:r>
      <w:r w:rsidR="00C93D65" w:rsidRPr="00C93D65">
        <w:rPr>
          <w:rFonts w:ascii="Palatino" w:eastAsia="Droid Serif" w:hAnsi="Palatino"/>
        </w:rPr>
        <w:t>low epistemic risk</w:t>
      </w:r>
      <w:r w:rsidR="00C93D65">
        <w:rPr>
          <w:rFonts w:ascii="Palatino" w:eastAsia="Droid Serif" w:hAnsi="Palatino"/>
        </w:rPr>
        <w:t xml:space="preserve"> in one’s judgment</w:t>
      </w:r>
      <w:r w:rsidR="00C93D65" w:rsidRPr="00C93D65">
        <w:rPr>
          <w:rFonts w:ascii="Palatino" w:eastAsia="Droid Serif" w:hAnsi="Palatino"/>
        </w:rPr>
        <w:t xml:space="preserve"> implies that the knower is more or less free from </w:t>
      </w:r>
      <w:r w:rsidR="00C93D65" w:rsidRPr="00C93D65">
        <w:rPr>
          <w:rFonts w:ascii="Palatino" w:eastAsia="Droid Serif" w:hAnsi="Palatino"/>
        </w:rPr>
        <w:lastRenderedPageBreak/>
        <w:t xml:space="preserve">bad luck – they have a justified and appropriate (e.g., reliable) belief that approaches truth. In the context of law, that implies a </w:t>
      </w:r>
      <w:r w:rsidR="00C93D65">
        <w:rPr>
          <w:rFonts w:ascii="Palatino" w:eastAsia="Droid Serif" w:hAnsi="Palatino"/>
        </w:rPr>
        <w:t>reasonable</w:t>
      </w:r>
      <w:r w:rsidR="00C93D65" w:rsidRPr="00C93D65">
        <w:rPr>
          <w:rFonts w:ascii="Palatino" w:eastAsia="Droid Serif" w:hAnsi="Palatino"/>
        </w:rPr>
        <w:t xml:space="preserve"> </w:t>
      </w:r>
      <w:r w:rsidR="00C93D65">
        <w:rPr>
          <w:rFonts w:ascii="Palatino" w:eastAsia="Droid Serif" w:hAnsi="Palatino"/>
        </w:rPr>
        <w:t>knower</w:t>
      </w:r>
      <w:r w:rsidR="00C93D65" w:rsidRPr="00C93D65">
        <w:rPr>
          <w:rFonts w:ascii="Palatino" w:eastAsia="Droid Serif" w:hAnsi="Palatino"/>
        </w:rPr>
        <w:t xml:space="preserve"> will be well-placed to accurately interpret and follow the law without either falling into ignorance or misinterpreting its requirements, possessing justified and appropriate belief that approaches truth.</w:t>
      </w:r>
      <w:r w:rsidR="00053970">
        <w:rPr>
          <w:rStyle w:val="FootnoteReference"/>
          <w:rFonts w:ascii="Palatino" w:eastAsia="Droid Serif" w:hAnsi="Palatino"/>
        </w:rPr>
        <w:footnoteReference w:id="11"/>
      </w:r>
    </w:p>
    <w:p w14:paraId="03EBB4F5" w14:textId="643EB258" w:rsidR="00C93D65" w:rsidRPr="00630A9E" w:rsidRDefault="00C93D65" w:rsidP="00C93D65">
      <w:pPr>
        <w:widowControl w:val="0"/>
        <w:ind w:right="-56" w:firstLine="426"/>
        <w:jc w:val="both"/>
        <w:rPr>
          <w:rFonts w:ascii="Palatino" w:eastAsia="Droid Serif" w:hAnsi="Palatino" w:cstheme="minorHAnsi"/>
        </w:rPr>
      </w:pPr>
      <w:r w:rsidRPr="00C93D65">
        <w:rPr>
          <w:rFonts w:ascii="Palatino" w:eastAsia="Droid Serif" w:hAnsi="Palatino" w:cstheme="minorHAnsi"/>
        </w:rPr>
        <w:t xml:space="preserve">The notion of risk is essentially probabilistic, and so I shall assume it can be usefully modeled in terms of Bayesian subjective probabilities. Any Bayesian estimate relies upon the existence and availability of </w:t>
      </w:r>
      <w:r w:rsidRPr="00C93D65">
        <w:rPr>
          <w:rFonts w:ascii="Palatino" w:eastAsia="Droid Serif" w:hAnsi="Palatino" w:cstheme="minorHAnsi"/>
          <w:i/>
        </w:rPr>
        <w:t>priors</w:t>
      </w:r>
      <w:r>
        <w:rPr>
          <w:rFonts w:ascii="Palatino" w:eastAsia="Droid Serif" w:hAnsi="Palatino" w:cstheme="minorHAnsi"/>
          <w:i/>
        </w:rPr>
        <w:t xml:space="preserve">, </w:t>
      </w:r>
      <w:r w:rsidRPr="00C93D65">
        <w:rPr>
          <w:rFonts w:ascii="Palatino" w:eastAsia="Droid Serif" w:hAnsi="Palatino" w:cstheme="minorHAnsi"/>
        </w:rPr>
        <w:t xml:space="preserve">or </w:t>
      </w:r>
      <w:r>
        <w:rPr>
          <w:rFonts w:ascii="Palatino" w:eastAsia="Droid Serif" w:hAnsi="Palatino" w:cstheme="minorHAnsi"/>
        </w:rPr>
        <w:t xml:space="preserve">unconditional </w:t>
      </w:r>
      <w:proofErr w:type="spellStart"/>
      <w:r>
        <w:rPr>
          <w:rFonts w:ascii="Palatino" w:eastAsia="Droid Serif" w:hAnsi="Palatino" w:cstheme="minorHAnsi"/>
        </w:rPr>
        <w:t>credences</w:t>
      </w:r>
      <w:proofErr w:type="spellEnd"/>
      <w:r w:rsidRPr="00C93D65">
        <w:rPr>
          <w:rFonts w:ascii="Palatino" w:eastAsia="Droid Serif" w:hAnsi="Palatino" w:cstheme="minorHAnsi"/>
        </w:rPr>
        <w:t>. Priors come in many forms. To take one example: our epistemic standards (i.e., telling us what counts as knowledge) are one sort of prior.</w:t>
      </w:r>
      <w:r w:rsidRPr="00C93D65">
        <w:rPr>
          <w:rFonts w:ascii="Palatino" w:eastAsia="Droid Serif" w:hAnsi="Palatino" w:cstheme="minorHAnsi"/>
          <w:vertAlign w:val="superscript"/>
        </w:rPr>
        <w:footnoteReference w:id="12"/>
      </w:r>
      <w:r w:rsidRPr="00C93D65">
        <w:rPr>
          <w:rFonts w:ascii="Palatino" w:eastAsia="Droid Serif" w:hAnsi="Palatino" w:cstheme="minorHAnsi"/>
        </w:rPr>
        <w:t xml:space="preserve"> </w:t>
      </w:r>
      <w:r>
        <w:rPr>
          <w:rFonts w:ascii="Palatino" w:eastAsia="Droid Serif" w:hAnsi="Palatino" w:cstheme="minorHAnsi"/>
        </w:rPr>
        <w:t>Lexical</w:t>
      </w:r>
      <w:r w:rsidRPr="00C93D65">
        <w:rPr>
          <w:rFonts w:ascii="Palatino" w:eastAsia="Droid Serif" w:hAnsi="Palatino" w:cstheme="minorHAnsi"/>
        </w:rPr>
        <w:t xml:space="preserve"> standards are another sort, i.e., concerning the knower’s assumptions about the nature of law and its constitutive features, often settled by the prevailing norms of discourse. (i.e., where discourses are a distinctive kind of linguistic performance which is regimented according to identifiable presuppositions which settle aims and expectations for cooperative exchange of reasons.</w:t>
      </w:r>
      <w:r w:rsidRPr="00C93D65">
        <w:rPr>
          <w:rFonts w:ascii="Palatino" w:eastAsia="Droid Serif" w:hAnsi="Palatino" w:cstheme="minorHAnsi"/>
          <w:vertAlign w:val="superscript"/>
        </w:rPr>
        <w:footnoteReference w:id="13"/>
      </w:r>
      <w:r w:rsidRPr="00C93D65">
        <w:rPr>
          <w:rFonts w:ascii="Palatino" w:eastAsia="Droid Serif" w:hAnsi="Palatino" w:cstheme="minorHAnsi"/>
        </w:rPr>
        <w:t xml:space="preserve">) In the context of epistemic risk assessment, all priors are </w:t>
      </w:r>
      <w:r>
        <w:rPr>
          <w:rFonts w:ascii="Palatino" w:eastAsia="Droid Serif" w:hAnsi="Palatino" w:cstheme="minorHAnsi"/>
        </w:rPr>
        <w:t>presumptions</w:t>
      </w:r>
      <w:r w:rsidRPr="00C93D65">
        <w:rPr>
          <w:rFonts w:ascii="Palatino" w:eastAsia="Droid Serif" w:hAnsi="Palatino" w:cstheme="minorHAnsi"/>
        </w:rPr>
        <w:t xml:space="preserve"> in an</w:t>
      </w:r>
      <w:r w:rsidR="00053970">
        <w:rPr>
          <w:rFonts w:ascii="Palatino" w:eastAsia="Droid Serif" w:hAnsi="Palatino" w:cstheme="minorHAnsi"/>
        </w:rPr>
        <w:t>y</w:t>
      </w:r>
      <w:r w:rsidRPr="00C93D65">
        <w:rPr>
          <w:rFonts w:ascii="Palatino" w:eastAsia="Droid Serif" w:hAnsi="Palatino" w:cstheme="minorHAnsi"/>
        </w:rPr>
        <w:t xml:space="preserve"> exchange that occurs in intellectual good-faith, </w:t>
      </w:r>
      <w:r w:rsidR="00053970">
        <w:rPr>
          <w:rFonts w:ascii="Palatino" w:eastAsia="Droid Serif" w:hAnsi="Palatino" w:cstheme="minorHAnsi"/>
        </w:rPr>
        <w:t xml:space="preserve">which </w:t>
      </w:r>
      <w:r w:rsidRPr="00C93D65">
        <w:rPr>
          <w:rFonts w:ascii="Palatino" w:eastAsia="Droid Serif" w:hAnsi="Palatino" w:cstheme="minorHAnsi"/>
        </w:rPr>
        <w:t xml:space="preserve">allow us to talk about the ways different people </w:t>
      </w:r>
      <w:r w:rsidR="00053970">
        <w:rPr>
          <w:rFonts w:ascii="Palatino" w:eastAsia="Droid Serif" w:hAnsi="Palatino" w:cstheme="minorHAnsi"/>
        </w:rPr>
        <w:t>face</w:t>
      </w:r>
      <w:r w:rsidRPr="00C93D65">
        <w:rPr>
          <w:rFonts w:ascii="Palatino" w:eastAsia="Droid Serif" w:hAnsi="Palatino" w:cstheme="minorHAnsi"/>
        </w:rPr>
        <w:t xml:space="preserve"> different epistemic risks when they try to go about trying to form beliefs concerning </w:t>
      </w:r>
      <w:r w:rsidR="0058066E">
        <w:rPr>
          <w:rFonts w:ascii="Palatino" w:eastAsia="Droid Serif" w:hAnsi="Palatino" w:cstheme="minorHAnsi"/>
        </w:rPr>
        <w:t xml:space="preserve">knowledge of </w:t>
      </w:r>
      <w:r w:rsidRPr="00C93D65">
        <w:rPr>
          <w:rFonts w:ascii="Palatino" w:eastAsia="Droid Serif" w:hAnsi="Palatino" w:cstheme="minorHAnsi"/>
        </w:rPr>
        <w:t xml:space="preserve">the </w:t>
      </w:r>
      <w:r w:rsidR="00053970">
        <w:rPr>
          <w:rFonts w:ascii="Palatino" w:eastAsia="Droid Serif" w:hAnsi="Palatino" w:cstheme="minorHAnsi"/>
        </w:rPr>
        <w:t>law</w:t>
      </w:r>
      <w:r w:rsidRPr="00C93D65">
        <w:rPr>
          <w:rFonts w:ascii="Palatino" w:eastAsia="Droid Serif" w:hAnsi="Palatino" w:cstheme="minorHAnsi"/>
        </w:rPr>
        <w:t xml:space="preserve">. </w:t>
      </w:r>
      <w:r w:rsidR="0058066E">
        <w:rPr>
          <w:rFonts w:ascii="Palatino" w:eastAsia="Droid Serif" w:hAnsi="Palatino" w:cstheme="minorHAnsi"/>
        </w:rPr>
        <w:t>W</w:t>
      </w:r>
      <w:r w:rsidRPr="00C93D65">
        <w:rPr>
          <w:rFonts w:ascii="Palatino" w:eastAsia="Droid Serif" w:hAnsi="Palatino" w:cstheme="minorHAnsi"/>
        </w:rPr>
        <w:t>e can begin to think about whether or not law is accessible</w:t>
      </w:r>
      <w:r w:rsidR="0058066E">
        <w:rPr>
          <w:rFonts w:ascii="Palatino" w:eastAsia="Droid Serif" w:hAnsi="Palatino" w:cstheme="minorHAnsi"/>
        </w:rPr>
        <w:t xml:space="preserve"> once we have a settled idea about the role that theoretical posits have as priors</w:t>
      </w:r>
      <w:r w:rsidRPr="00C93D65">
        <w:rPr>
          <w:rFonts w:ascii="Palatino" w:eastAsia="Droid Serif" w:hAnsi="Palatino" w:cstheme="minorHAnsi"/>
        </w:rPr>
        <w:t>.</w:t>
      </w:r>
    </w:p>
    <w:p w14:paraId="08938C02" w14:textId="646812A5" w:rsidR="006E6A1B" w:rsidRDefault="0058066E" w:rsidP="008720B6">
      <w:pPr>
        <w:widowControl w:val="0"/>
        <w:ind w:right="-56" w:firstLine="426"/>
        <w:jc w:val="both"/>
        <w:rPr>
          <w:rFonts w:ascii="Palatino" w:eastAsia="Droid Serif" w:hAnsi="Palatino" w:cstheme="minorHAnsi"/>
        </w:rPr>
      </w:pPr>
      <w:r w:rsidRPr="0058066E">
        <w:rPr>
          <w:rFonts w:ascii="Palatino" w:eastAsia="Droid Serif" w:hAnsi="Palatino" w:cstheme="minorHAnsi"/>
        </w:rPr>
        <w:t>Each discourse sets the prior probability assignments on some dimension(s) of comparison, on the assumption that</w:t>
      </w:r>
      <w:r>
        <w:rPr>
          <w:rFonts w:ascii="Palatino" w:eastAsia="Droid Serif" w:hAnsi="Palatino" w:cstheme="minorHAnsi"/>
        </w:rPr>
        <w:t xml:space="preserve"> </w:t>
      </w:r>
      <w:r w:rsidR="009F5928" w:rsidRPr="00630A9E">
        <w:rPr>
          <w:rFonts w:ascii="Palatino" w:eastAsia="Droid Serif" w:hAnsi="Palatino" w:cstheme="minorHAnsi"/>
        </w:rPr>
        <w:t>well-behaved discourses have the following features: (</w:t>
      </w:r>
      <w:proofErr w:type="spellStart"/>
      <w:r w:rsidR="009F5928" w:rsidRPr="00630A9E">
        <w:rPr>
          <w:rFonts w:ascii="Palatino" w:eastAsia="Droid Serif" w:hAnsi="Palatino" w:cstheme="minorHAnsi"/>
        </w:rPr>
        <w:t>i</w:t>
      </w:r>
      <w:proofErr w:type="spellEnd"/>
      <w:r w:rsidR="009F5928" w:rsidRPr="00630A9E">
        <w:rPr>
          <w:rFonts w:ascii="Palatino" w:eastAsia="Droid Serif" w:hAnsi="Palatino" w:cstheme="minorHAnsi"/>
        </w:rPr>
        <w:t>) some appropriate epistemic standard exists to demarcate justified and unjustified belief; (ii) the evidence is open to a specifiable range of permissible interpretations, and which is either near or far from meeting that standard of justification (i.e., within a margin of error); and (iii) the narrowness or wideness of the range of interpretation for the evidence</w:t>
      </w:r>
      <w:r w:rsidR="00142025">
        <w:rPr>
          <w:rFonts w:ascii="Palatino" w:eastAsia="Droid Serif" w:hAnsi="Palatino" w:cstheme="minorHAnsi"/>
        </w:rPr>
        <w:t>, for the citizen,</w:t>
      </w:r>
      <w:r w:rsidR="009F5928" w:rsidRPr="00630A9E">
        <w:rPr>
          <w:rFonts w:ascii="Palatino" w:eastAsia="Droid Serif" w:hAnsi="Palatino" w:cstheme="minorHAnsi"/>
        </w:rPr>
        <w:t xml:space="preserve"> </w:t>
      </w:r>
      <w:r w:rsidR="00142025">
        <w:rPr>
          <w:rFonts w:ascii="Palatino" w:eastAsia="Droid Serif" w:hAnsi="Palatino" w:cstheme="minorHAnsi"/>
        </w:rPr>
        <w:t>is anchored in</w:t>
      </w:r>
      <w:r w:rsidR="009F5928" w:rsidRPr="00630A9E">
        <w:rPr>
          <w:rFonts w:ascii="Palatino" w:eastAsia="Droid Serif" w:hAnsi="Palatino" w:cstheme="minorHAnsi"/>
        </w:rPr>
        <w:t xml:space="preserve"> </w:t>
      </w:r>
      <w:r w:rsidR="00142025">
        <w:rPr>
          <w:rFonts w:ascii="Palatino" w:eastAsia="Droid Serif" w:hAnsi="Palatino" w:cstheme="minorHAnsi"/>
        </w:rPr>
        <w:t>an appropriate theory of expert discernment of law (e.g., during judicial review)</w:t>
      </w:r>
      <w:r w:rsidR="009F5928" w:rsidRPr="00630A9E">
        <w:rPr>
          <w:rFonts w:ascii="Palatino" w:eastAsia="Droid Serif" w:hAnsi="Palatino" w:cstheme="minorHAnsi"/>
        </w:rPr>
        <w:t>.</w:t>
      </w:r>
      <w:r w:rsidR="009F5928" w:rsidRPr="00630A9E">
        <w:rPr>
          <w:rStyle w:val="FootnoteReference"/>
          <w:rFonts w:ascii="Palatino" w:eastAsia="Droid Serif" w:hAnsi="Palatino" w:cstheme="minorHAnsi"/>
        </w:rPr>
        <w:footnoteReference w:id="14"/>
      </w:r>
      <w:r w:rsidR="000E12DB" w:rsidRPr="00630A9E">
        <w:rPr>
          <w:rFonts w:ascii="Palatino" w:eastAsia="Droid Serif" w:hAnsi="Palatino" w:cstheme="minorHAnsi"/>
        </w:rPr>
        <w:t xml:space="preserve"> </w:t>
      </w:r>
      <w:r w:rsidR="009F5928" w:rsidRPr="00630A9E">
        <w:rPr>
          <w:rFonts w:ascii="Palatino" w:eastAsia="Droid Serif" w:hAnsi="Palatino" w:cstheme="minorHAnsi"/>
        </w:rPr>
        <w:t>This last point, (iii), is especially worth noting</w:t>
      </w:r>
      <w:r>
        <w:rPr>
          <w:rFonts w:ascii="Palatino" w:eastAsia="Droid Serif" w:hAnsi="Palatino" w:cstheme="minorHAnsi"/>
        </w:rPr>
        <w:t xml:space="preserve">, since we have to leave ourselves open to the possibility that some discourses are just plain unacceptable, in that they increase our risk of errors </w:t>
      </w:r>
      <w:r w:rsidR="00F4617A">
        <w:rPr>
          <w:rFonts w:ascii="Palatino" w:eastAsia="Droid Serif" w:hAnsi="Palatino" w:cstheme="minorHAnsi"/>
        </w:rPr>
        <w:t>when we try to figure out what the law wants from us</w:t>
      </w:r>
      <w:r>
        <w:rPr>
          <w:rFonts w:ascii="Palatino" w:eastAsia="Droid Serif" w:hAnsi="Palatino" w:cstheme="minorHAnsi"/>
        </w:rPr>
        <w:t>.</w:t>
      </w:r>
    </w:p>
    <w:p w14:paraId="60105DE8" w14:textId="3F4420AB" w:rsidR="00142025" w:rsidRPr="00142025" w:rsidRDefault="00142025" w:rsidP="00142025">
      <w:pPr>
        <w:widowControl w:val="0"/>
        <w:ind w:right="-56" w:firstLine="426"/>
        <w:jc w:val="both"/>
        <w:rPr>
          <w:rFonts w:ascii="Palatino" w:eastAsia="Droid Serif" w:hAnsi="Palatino" w:cstheme="minorHAnsi"/>
        </w:rPr>
      </w:pPr>
      <w:r w:rsidRPr="00142025">
        <w:rPr>
          <w:rFonts w:ascii="Palatino" w:eastAsia="Droid Serif" w:hAnsi="Palatino" w:cstheme="minorHAnsi"/>
        </w:rPr>
        <w:t xml:space="preserve">Now here’s the rub: given all that, how can we even try to talk about epistemic risk in the same breath as theoretical disagreement? It seems impossible -- comparative assessments of epistemic risk only make sense when held up against the backdrop of common priors. Yet I am interested in discourses related to law, especially of the sort that would weigh in on the disagreement between A, B, C, and D, and insofar as they provide some useful means of establishing how the actual ordinances of the rulers are ACCESSIBLE, i.e., on minimal assumptions about the demands of evidence and training needed for law to be knowable. A theory of accessibility requires us to find a way to talk about epistemic risk under conditions where at least some seemingly </w:t>
      </w:r>
      <w:r w:rsidRPr="00142025">
        <w:rPr>
          <w:rFonts w:ascii="Palatino" w:eastAsia="Droid Serif" w:hAnsi="Palatino" w:cstheme="minorHAnsi"/>
        </w:rPr>
        <w:lastRenderedPageBreak/>
        <w:t xml:space="preserve">foundational </w:t>
      </w:r>
      <w:r w:rsidR="00F4617A">
        <w:rPr>
          <w:rFonts w:ascii="Palatino" w:eastAsia="Droid Serif" w:hAnsi="Palatino" w:cstheme="minorHAnsi"/>
        </w:rPr>
        <w:t>matters</w:t>
      </w:r>
      <w:r w:rsidRPr="00142025">
        <w:rPr>
          <w:rFonts w:ascii="Palatino" w:eastAsia="Droid Serif" w:hAnsi="Palatino" w:cstheme="minorHAnsi"/>
        </w:rPr>
        <w:t xml:space="preserve"> are up for dispute.</w:t>
      </w:r>
      <w:r>
        <w:rPr>
          <w:rStyle w:val="FootnoteReference"/>
          <w:rFonts w:ascii="Palatino" w:eastAsia="Droid Serif" w:hAnsi="Palatino" w:cstheme="minorHAnsi"/>
        </w:rPr>
        <w:footnoteReference w:id="15"/>
      </w:r>
    </w:p>
    <w:p w14:paraId="19F794E6" w14:textId="5A8F474C" w:rsidR="00142025" w:rsidRPr="00630A9E" w:rsidRDefault="00142025" w:rsidP="00142025">
      <w:pPr>
        <w:widowControl w:val="0"/>
        <w:ind w:right="-56" w:firstLine="426"/>
        <w:jc w:val="both"/>
        <w:rPr>
          <w:rFonts w:ascii="Palatino" w:eastAsia="Droid Serif" w:hAnsi="Palatino" w:cstheme="minorHAnsi"/>
        </w:rPr>
      </w:pPr>
      <w:r w:rsidRPr="00142025">
        <w:rPr>
          <w:rFonts w:ascii="Palatino" w:eastAsia="Droid Serif" w:hAnsi="Palatino" w:cstheme="minorHAnsi"/>
        </w:rPr>
        <w:t>The question can be settled by specifying what counts as ‘intellectual good faith’ in communication.</w:t>
      </w:r>
    </w:p>
    <w:p w14:paraId="2410EC88" w14:textId="77777777" w:rsidR="00E700E3" w:rsidRDefault="00E700E3" w:rsidP="008720B6">
      <w:pPr>
        <w:widowControl w:val="0"/>
        <w:ind w:right="-56" w:firstLine="426"/>
        <w:jc w:val="both"/>
        <w:rPr>
          <w:rFonts w:ascii="Palatino" w:eastAsia="Droid Serif" w:hAnsi="Palatino" w:cstheme="minorHAnsi"/>
        </w:rPr>
      </w:pPr>
    </w:p>
    <w:p w14:paraId="42879228" w14:textId="5756E9EE" w:rsidR="00776CAD" w:rsidRDefault="006E6A1B" w:rsidP="00142025">
      <w:pPr>
        <w:widowControl w:val="0"/>
        <w:ind w:right="-56"/>
        <w:jc w:val="both"/>
        <w:rPr>
          <w:rFonts w:ascii="Palatino" w:eastAsia="Droid Serif" w:hAnsi="Palatino" w:cstheme="minorHAnsi"/>
        </w:rPr>
      </w:pPr>
      <w:r w:rsidRPr="00630A9E">
        <w:rPr>
          <w:rFonts w:ascii="Palatino" w:eastAsia="Droid Serif" w:hAnsi="Palatino" w:cstheme="minorHAnsi"/>
        </w:rPr>
        <w:t xml:space="preserve">Accessible law is knowable to </w:t>
      </w:r>
      <w:r w:rsidR="008F51E0">
        <w:rPr>
          <w:rFonts w:ascii="Palatino" w:eastAsia="Droid Serif" w:hAnsi="Palatino" w:cstheme="minorHAnsi"/>
        </w:rPr>
        <w:t>its stakeholders</w:t>
      </w:r>
      <w:r w:rsidR="00B83BF9">
        <w:rPr>
          <w:rFonts w:ascii="Palatino" w:eastAsia="Droid Serif" w:hAnsi="Palatino" w:cstheme="minorHAnsi"/>
        </w:rPr>
        <w:t>, i.e., the people to whom the law applies – typically, citizens</w:t>
      </w:r>
      <w:r w:rsidRPr="00630A9E">
        <w:rPr>
          <w:rFonts w:ascii="Palatino" w:eastAsia="Droid Serif" w:hAnsi="Palatino" w:cstheme="minorHAnsi"/>
        </w:rPr>
        <w:t>. In principle, if every</w:t>
      </w:r>
      <w:r w:rsidR="000B5A9E">
        <w:rPr>
          <w:rFonts w:ascii="Palatino" w:eastAsia="Droid Serif" w:hAnsi="Palatino" w:cstheme="minorHAnsi"/>
        </w:rPr>
        <w:t xml:space="preserve"> </w:t>
      </w:r>
      <w:r w:rsidR="00B83BF9">
        <w:rPr>
          <w:rFonts w:ascii="Palatino" w:eastAsia="Droid Serif" w:hAnsi="Palatino" w:cstheme="minorHAnsi"/>
        </w:rPr>
        <w:t>stakeholder</w:t>
      </w:r>
      <w:r w:rsidRPr="00630A9E">
        <w:rPr>
          <w:rFonts w:ascii="Palatino" w:eastAsia="Droid Serif" w:hAnsi="Palatino" w:cstheme="minorHAnsi"/>
        </w:rPr>
        <w:t xml:space="preserve"> knew </w:t>
      </w:r>
      <w:r w:rsidRPr="00630A9E">
        <w:rPr>
          <w:rFonts w:ascii="Palatino" w:eastAsia="Droid Serif" w:hAnsi="Palatino" w:cstheme="minorHAnsi"/>
          <w:i/>
        </w:rPr>
        <w:t>what each law is</w:t>
      </w:r>
      <w:r w:rsidRPr="00630A9E">
        <w:rPr>
          <w:rFonts w:ascii="Palatino" w:eastAsia="Droid Serif" w:hAnsi="Palatino" w:cstheme="minorHAnsi"/>
        </w:rPr>
        <w:t xml:space="preserve">, then it would be promulgated. </w:t>
      </w:r>
      <w:r w:rsidR="00776CAD">
        <w:rPr>
          <w:rFonts w:ascii="Palatino" w:eastAsia="Droid Serif" w:hAnsi="Palatino" w:cstheme="minorHAnsi"/>
        </w:rPr>
        <w:t>(</w:t>
      </w:r>
      <w:r w:rsidR="008F51E0">
        <w:rPr>
          <w:rFonts w:ascii="Palatino" w:eastAsia="Droid Serif" w:hAnsi="Palatino" w:cstheme="minorHAnsi"/>
        </w:rPr>
        <w:t xml:space="preserve">The fact </w:t>
      </w:r>
      <w:r w:rsidR="00776CAD">
        <w:rPr>
          <w:rFonts w:ascii="Palatino" w:eastAsia="Droid Serif" w:hAnsi="Palatino" w:cstheme="minorHAnsi"/>
        </w:rPr>
        <w:t xml:space="preserve">that </w:t>
      </w:r>
      <w:r w:rsidR="009B110C">
        <w:rPr>
          <w:rFonts w:ascii="Palatino" w:eastAsia="Droid Serif" w:hAnsi="Palatino" w:cstheme="minorHAnsi"/>
        </w:rPr>
        <w:t xml:space="preserve">rule </w:t>
      </w:r>
      <w:r w:rsidR="00776CAD">
        <w:rPr>
          <w:rFonts w:ascii="Palatino" w:eastAsia="Droid Serif" w:hAnsi="Palatino" w:cstheme="minorHAnsi"/>
        </w:rPr>
        <w:t>X is</w:t>
      </w:r>
      <w:r w:rsidR="008F51E0">
        <w:rPr>
          <w:rFonts w:ascii="Palatino" w:eastAsia="Droid Serif" w:hAnsi="Palatino" w:cstheme="minorHAnsi"/>
        </w:rPr>
        <w:t xml:space="preserve"> </w:t>
      </w:r>
      <w:r w:rsidR="00776CAD">
        <w:rPr>
          <w:rFonts w:ascii="Palatino" w:eastAsia="Droid Serif" w:hAnsi="Palatino" w:cstheme="minorHAnsi"/>
        </w:rPr>
        <w:t xml:space="preserve">common </w:t>
      </w:r>
      <w:r w:rsidR="008F51E0">
        <w:rPr>
          <w:rFonts w:ascii="Palatino" w:eastAsia="Droid Serif" w:hAnsi="Palatino" w:cstheme="minorHAnsi"/>
        </w:rPr>
        <w:t>knowledge</w:t>
      </w:r>
      <w:r w:rsidR="00776CAD">
        <w:rPr>
          <w:rFonts w:ascii="Palatino" w:eastAsia="Droid Serif" w:hAnsi="Palatino" w:cstheme="minorHAnsi"/>
        </w:rPr>
        <w:t xml:space="preserve"> </w:t>
      </w:r>
      <w:r w:rsidR="008F51E0">
        <w:rPr>
          <w:rFonts w:ascii="Palatino" w:eastAsia="Droid Serif" w:hAnsi="Palatino" w:cstheme="minorHAnsi"/>
        </w:rPr>
        <w:t xml:space="preserve">guarantees </w:t>
      </w:r>
      <w:r w:rsidR="00776CAD">
        <w:rPr>
          <w:rFonts w:ascii="Palatino" w:eastAsia="Droid Serif" w:hAnsi="Palatino" w:cstheme="minorHAnsi"/>
        </w:rPr>
        <w:t>that X is</w:t>
      </w:r>
      <w:r w:rsidR="008F51E0">
        <w:rPr>
          <w:rFonts w:ascii="Palatino" w:eastAsia="Droid Serif" w:hAnsi="Palatino" w:cstheme="minorHAnsi"/>
        </w:rPr>
        <w:t xml:space="preserve"> knowab</w:t>
      </w:r>
      <w:r w:rsidR="00776CAD">
        <w:rPr>
          <w:rFonts w:ascii="Palatino" w:eastAsia="Droid Serif" w:hAnsi="Palatino" w:cstheme="minorHAnsi"/>
        </w:rPr>
        <w:t>le</w:t>
      </w:r>
      <w:r w:rsidR="008F51E0">
        <w:rPr>
          <w:rFonts w:ascii="Palatino" w:eastAsia="Droid Serif" w:hAnsi="Palatino" w:cstheme="minorHAnsi"/>
        </w:rPr>
        <w:t>.</w:t>
      </w:r>
      <w:r w:rsidR="00776CAD">
        <w:rPr>
          <w:rFonts w:ascii="Palatino" w:eastAsia="Droid Serif" w:hAnsi="Palatino" w:cstheme="minorHAnsi"/>
        </w:rPr>
        <w:t>)</w:t>
      </w:r>
      <w:r w:rsidR="008F51E0">
        <w:rPr>
          <w:rFonts w:ascii="Palatino" w:eastAsia="Droid Serif" w:hAnsi="Palatino" w:cstheme="minorHAnsi"/>
        </w:rPr>
        <w:t xml:space="preserve"> </w:t>
      </w:r>
      <w:r w:rsidRPr="00630A9E">
        <w:rPr>
          <w:rFonts w:ascii="Palatino" w:eastAsia="Droid Serif" w:hAnsi="Palatino" w:cstheme="minorHAnsi"/>
        </w:rPr>
        <w:t>But this is not a realistic aspiration -- you cannot just gather up the members of a polity in a</w:t>
      </w:r>
      <w:r w:rsidR="00F401E9">
        <w:rPr>
          <w:rFonts w:ascii="Palatino" w:eastAsia="Droid Serif" w:hAnsi="Palatino" w:cstheme="minorHAnsi"/>
        </w:rPr>
        <w:t xml:space="preserve"> gym </w:t>
      </w:r>
      <w:r w:rsidRPr="00630A9E">
        <w:rPr>
          <w:rFonts w:ascii="Palatino" w:eastAsia="Droid Serif" w:hAnsi="Palatino" w:cstheme="minorHAnsi"/>
        </w:rPr>
        <w:t xml:space="preserve">and read off the </w:t>
      </w:r>
      <w:r w:rsidRPr="00630A9E">
        <w:rPr>
          <w:rFonts w:ascii="Palatino" w:eastAsia="Droid Serif" w:hAnsi="Palatino" w:cstheme="minorHAnsi"/>
          <w:i/>
        </w:rPr>
        <w:t>Criminal Code</w:t>
      </w:r>
      <w:r w:rsidRPr="00630A9E">
        <w:rPr>
          <w:rFonts w:ascii="Palatino" w:eastAsia="Droid Serif" w:hAnsi="Palatino" w:cstheme="minorHAnsi"/>
        </w:rPr>
        <w:t xml:space="preserve">. </w:t>
      </w:r>
      <w:r w:rsidR="00CA3762" w:rsidRPr="00630A9E">
        <w:rPr>
          <w:rFonts w:ascii="Palatino" w:eastAsia="Droid Serif" w:hAnsi="Palatino" w:cstheme="minorHAnsi"/>
        </w:rPr>
        <w:t>It is at least possible for</w:t>
      </w:r>
      <w:r w:rsidR="008F51E0">
        <w:rPr>
          <w:rFonts w:ascii="Palatino" w:eastAsia="Droid Serif" w:hAnsi="Palatino" w:cstheme="minorHAnsi"/>
        </w:rPr>
        <w:t xml:space="preserve"> all</w:t>
      </w:r>
      <w:r w:rsidR="00CA3762" w:rsidRPr="00630A9E">
        <w:rPr>
          <w:rFonts w:ascii="Palatino" w:eastAsia="Droid Serif" w:hAnsi="Palatino" w:cstheme="minorHAnsi"/>
        </w:rPr>
        <w:t xml:space="preserve"> citizens to be ignorant of </w:t>
      </w:r>
      <w:r w:rsidR="008F51E0">
        <w:rPr>
          <w:rFonts w:ascii="Palatino" w:eastAsia="Droid Serif" w:hAnsi="Palatino" w:cstheme="minorHAnsi"/>
        </w:rPr>
        <w:t xml:space="preserve">most of the </w:t>
      </w:r>
      <w:r w:rsidR="00CA3762" w:rsidRPr="00630A9E">
        <w:rPr>
          <w:rFonts w:ascii="Palatino" w:eastAsia="Droid Serif" w:hAnsi="Palatino" w:cstheme="minorHAnsi"/>
        </w:rPr>
        <w:t>law</w:t>
      </w:r>
      <w:r w:rsidR="008F51E0">
        <w:rPr>
          <w:rFonts w:ascii="Palatino" w:eastAsia="Droid Serif" w:hAnsi="Palatino" w:cstheme="minorHAnsi"/>
        </w:rPr>
        <w:t>s</w:t>
      </w:r>
      <w:r w:rsidR="00CA3762" w:rsidRPr="00630A9E">
        <w:rPr>
          <w:rFonts w:ascii="Palatino" w:eastAsia="Droid Serif" w:hAnsi="Palatino" w:cstheme="minorHAnsi"/>
        </w:rPr>
        <w:t>, and yet that law also be promulgated.</w:t>
      </w:r>
      <w:r w:rsidR="008F51E0">
        <w:rPr>
          <w:rFonts w:ascii="Palatino" w:eastAsia="Droid Serif" w:hAnsi="Palatino" w:cstheme="minorHAnsi"/>
        </w:rPr>
        <w:t xml:space="preserve"> So, to make sense of the idea that law is knowable, </w:t>
      </w:r>
      <w:r w:rsidRPr="00630A9E">
        <w:rPr>
          <w:rFonts w:ascii="Palatino" w:eastAsia="Droid Serif" w:hAnsi="Palatino" w:cstheme="minorHAnsi"/>
        </w:rPr>
        <w:t xml:space="preserve">we need </w:t>
      </w:r>
      <w:r w:rsidR="008F51E0">
        <w:rPr>
          <w:rFonts w:ascii="Palatino" w:eastAsia="Droid Serif" w:hAnsi="Palatino" w:cstheme="minorHAnsi"/>
        </w:rPr>
        <w:t>to</w:t>
      </w:r>
      <w:r w:rsidRPr="00630A9E">
        <w:rPr>
          <w:rFonts w:ascii="Palatino" w:eastAsia="Droid Serif" w:hAnsi="Palatino" w:cstheme="minorHAnsi"/>
        </w:rPr>
        <w:t xml:space="preserve"> suppose that, </w:t>
      </w:r>
      <w:r w:rsidRPr="00630A9E">
        <w:rPr>
          <w:rFonts w:ascii="Palatino" w:eastAsia="Droid Serif" w:hAnsi="Palatino" w:cstheme="minorHAnsi"/>
          <w:i/>
        </w:rPr>
        <w:t>at least sometimes</w:t>
      </w:r>
      <w:r w:rsidRPr="00630A9E">
        <w:rPr>
          <w:rFonts w:ascii="Palatino" w:eastAsia="Droid Serif" w:hAnsi="Palatino" w:cstheme="minorHAnsi"/>
        </w:rPr>
        <w:t xml:space="preserve">, a government can make otherwise valid law but fail to promulgate it by virtue of their </w:t>
      </w:r>
      <w:r w:rsidRPr="008F51E0">
        <w:rPr>
          <w:rFonts w:ascii="Palatino" w:eastAsia="Droid Serif" w:hAnsi="Palatino" w:cstheme="minorHAnsi"/>
        </w:rPr>
        <w:t>failure</w:t>
      </w:r>
      <w:r w:rsidR="008F51E0" w:rsidRPr="008F51E0">
        <w:rPr>
          <w:rFonts w:ascii="Palatino" w:eastAsia="Droid Serif" w:hAnsi="Palatino" w:cstheme="minorHAnsi"/>
        </w:rPr>
        <w:t xml:space="preserve"> to</w:t>
      </w:r>
      <w:r w:rsidRPr="008F51E0">
        <w:rPr>
          <w:rFonts w:ascii="Palatino" w:eastAsia="Droid Serif" w:hAnsi="Palatino" w:cstheme="minorHAnsi"/>
        </w:rPr>
        <w:t xml:space="preserve"> </w:t>
      </w:r>
      <w:r w:rsidR="008F51E0" w:rsidRPr="008F51E0">
        <w:rPr>
          <w:rFonts w:ascii="Palatino" w:eastAsia="Droid Serif" w:hAnsi="Palatino" w:cstheme="minorHAnsi"/>
        </w:rPr>
        <w:t>CONVEY information</w:t>
      </w:r>
      <w:r w:rsidR="008F51E0">
        <w:rPr>
          <w:rFonts w:ascii="Palatino" w:eastAsia="Droid Serif" w:hAnsi="Palatino" w:cstheme="minorHAnsi"/>
        </w:rPr>
        <w:t xml:space="preserve"> to stakeholders, and also that the public can fail to know law even though it is conveyed</w:t>
      </w:r>
      <w:r w:rsidRPr="00630A9E">
        <w:rPr>
          <w:rFonts w:ascii="Palatino" w:eastAsia="Droid Serif" w:hAnsi="Palatino" w:cstheme="minorHAnsi"/>
        </w:rPr>
        <w:t>.</w:t>
      </w:r>
      <w:r w:rsidR="00F40FAD" w:rsidRPr="00630A9E">
        <w:rPr>
          <w:rStyle w:val="FootnoteReference"/>
          <w:rFonts w:ascii="Palatino" w:eastAsia="Droid Serif" w:hAnsi="Palatino" w:cstheme="minorHAnsi"/>
        </w:rPr>
        <w:footnoteReference w:id="16"/>
      </w:r>
    </w:p>
    <w:p w14:paraId="0C978821" w14:textId="77C87EF1" w:rsidR="00D30F74" w:rsidRDefault="00CE3981" w:rsidP="008720B6">
      <w:pPr>
        <w:widowControl w:val="0"/>
        <w:ind w:right="-56" w:firstLine="426"/>
        <w:jc w:val="both"/>
        <w:rPr>
          <w:rFonts w:ascii="Palatino" w:eastAsia="Droid Serif" w:hAnsi="Palatino" w:cstheme="minorHAnsi"/>
        </w:rPr>
      </w:pPr>
      <w:r>
        <w:rPr>
          <w:rFonts w:ascii="Palatino" w:eastAsia="Droid Serif" w:hAnsi="Palatino" w:cstheme="minorHAnsi"/>
        </w:rPr>
        <w:t xml:space="preserve">To explain what </w:t>
      </w:r>
      <w:r w:rsidR="00776CAD">
        <w:rPr>
          <w:rFonts w:ascii="Palatino" w:eastAsia="Droid Serif" w:hAnsi="Palatino" w:cstheme="minorHAnsi"/>
        </w:rPr>
        <w:t>it</w:t>
      </w:r>
      <w:r>
        <w:rPr>
          <w:rFonts w:ascii="Palatino" w:eastAsia="Droid Serif" w:hAnsi="Palatino" w:cstheme="minorHAnsi"/>
        </w:rPr>
        <w:t xml:space="preserve"> means</w:t>
      </w:r>
      <w:r w:rsidR="00776CAD">
        <w:rPr>
          <w:rFonts w:ascii="Palatino" w:eastAsia="Droid Serif" w:hAnsi="Palatino" w:cstheme="minorHAnsi"/>
        </w:rPr>
        <w:t xml:space="preserve"> to ‘convey’ information to stakeholders</w:t>
      </w:r>
      <w:r>
        <w:rPr>
          <w:rFonts w:ascii="Palatino" w:eastAsia="Droid Serif" w:hAnsi="Palatino" w:cstheme="minorHAnsi"/>
        </w:rPr>
        <w:t>, I need to make a brief detour into Paul Grice’s pragmatics.</w:t>
      </w:r>
      <w:r w:rsidR="00776CAD">
        <w:rPr>
          <w:rFonts w:ascii="Palatino" w:eastAsia="Droid Serif" w:hAnsi="Palatino" w:cstheme="minorHAnsi"/>
        </w:rPr>
        <w:t xml:space="preserve"> </w:t>
      </w:r>
      <w:r w:rsidR="008F51E0">
        <w:rPr>
          <w:rFonts w:ascii="Palatino" w:eastAsia="Droid Serif" w:hAnsi="Palatino" w:cstheme="minorHAnsi"/>
        </w:rPr>
        <w:t xml:space="preserve">Grice held that </w:t>
      </w:r>
      <w:r w:rsidR="00D30F74">
        <w:rPr>
          <w:rFonts w:ascii="Palatino" w:eastAsia="Droid Serif" w:hAnsi="Palatino" w:cstheme="minorHAnsi"/>
        </w:rPr>
        <w:t xml:space="preserve">linguistic </w:t>
      </w:r>
      <w:r w:rsidR="00776CAD">
        <w:rPr>
          <w:rFonts w:ascii="Palatino" w:eastAsia="Droid Serif" w:hAnsi="Palatino" w:cstheme="minorHAnsi"/>
        </w:rPr>
        <w:t xml:space="preserve">(non-natural) </w:t>
      </w:r>
      <w:r w:rsidR="008F51E0">
        <w:rPr>
          <w:rFonts w:ascii="Palatino" w:eastAsia="Droid Serif" w:hAnsi="Palatino" w:cstheme="minorHAnsi"/>
        </w:rPr>
        <w:t xml:space="preserve">communication happens </w:t>
      </w:r>
      <w:r w:rsidR="00776CAD">
        <w:rPr>
          <w:rFonts w:ascii="Palatino" w:eastAsia="Droid Serif" w:hAnsi="Palatino" w:cstheme="minorHAnsi"/>
        </w:rPr>
        <w:t>through</w:t>
      </w:r>
      <w:r w:rsidR="008F51E0">
        <w:rPr>
          <w:rFonts w:ascii="Palatino" w:eastAsia="Droid Serif" w:hAnsi="Palatino" w:cstheme="minorHAnsi"/>
        </w:rPr>
        <w:t xml:space="preserve"> sophisticated</w:t>
      </w:r>
      <w:r w:rsidR="00D30F74">
        <w:rPr>
          <w:rFonts w:ascii="Palatino" w:eastAsia="Droid Serif" w:hAnsi="Palatino" w:cstheme="minorHAnsi"/>
        </w:rPr>
        <w:t xml:space="preserve"> signalling of intentions.</w:t>
      </w:r>
      <w:r w:rsidR="008F51E0">
        <w:rPr>
          <w:rFonts w:ascii="Palatino" w:eastAsia="Droid Serif" w:hAnsi="Palatino" w:cstheme="minorHAnsi"/>
        </w:rPr>
        <w:t xml:space="preserve"> </w:t>
      </w:r>
      <w:r w:rsidR="00D30F74">
        <w:rPr>
          <w:rFonts w:ascii="Palatino" w:eastAsia="Droid Serif" w:hAnsi="Palatino" w:cstheme="minorHAnsi"/>
        </w:rPr>
        <w:t>So, w</w:t>
      </w:r>
      <w:r w:rsidR="008F51E0">
        <w:rPr>
          <w:rFonts w:ascii="Palatino" w:eastAsia="Droid Serif" w:hAnsi="Palatino" w:cstheme="minorHAnsi"/>
        </w:rPr>
        <w:t xml:space="preserve">hen I </w:t>
      </w:r>
      <w:r w:rsidR="00D30F74">
        <w:rPr>
          <w:rFonts w:ascii="Palatino" w:eastAsia="Droid Serif" w:hAnsi="Palatino" w:cstheme="minorHAnsi"/>
        </w:rPr>
        <w:t>communicate something to you, I</w:t>
      </w:r>
      <w:r w:rsidR="00776CAD">
        <w:rPr>
          <w:rFonts w:ascii="Palatino" w:eastAsia="Droid Serif" w:hAnsi="Palatino" w:cstheme="minorHAnsi"/>
        </w:rPr>
        <w:t xml:space="preserve"> must: </w:t>
      </w:r>
      <w:proofErr w:type="spellStart"/>
      <w:r w:rsidR="00776CAD">
        <w:rPr>
          <w:rFonts w:ascii="Palatino" w:eastAsia="Droid Serif" w:hAnsi="Palatino" w:cstheme="minorHAnsi"/>
        </w:rPr>
        <w:t>i</w:t>
      </w:r>
      <w:proofErr w:type="spellEnd"/>
      <w:r w:rsidR="00776CAD">
        <w:rPr>
          <w:rFonts w:ascii="Palatino" w:eastAsia="Droid Serif" w:hAnsi="Palatino" w:cstheme="minorHAnsi"/>
        </w:rPr>
        <w:t>)</w:t>
      </w:r>
      <w:r w:rsidR="00D30F74">
        <w:rPr>
          <w:rFonts w:ascii="Palatino" w:eastAsia="Droid Serif" w:hAnsi="Palatino" w:cstheme="minorHAnsi"/>
        </w:rPr>
        <w:t xml:space="preserve"> </w:t>
      </w:r>
      <w:r w:rsidR="008F51E0">
        <w:rPr>
          <w:rFonts w:ascii="Palatino" w:eastAsia="Droid Serif" w:hAnsi="Palatino" w:cstheme="minorHAnsi"/>
        </w:rPr>
        <w:t xml:space="preserve">intentionally signal to you </w:t>
      </w:r>
      <w:r w:rsidR="00D30F74">
        <w:rPr>
          <w:rFonts w:ascii="Palatino" w:eastAsia="Droid Serif" w:hAnsi="Palatino" w:cstheme="minorHAnsi"/>
        </w:rPr>
        <w:t>a message,</w:t>
      </w:r>
      <w:r w:rsidR="00776CAD">
        <w:rPr>
          <w:rFonts w:ascii="Palatino" w:eastAsia="Droid Serif" w:hAnsi="Palatino" w:cstheme="minorHAnsi"/>
        </w:rPr>
        <w:t xml:space="preserve"> ii)</w:t>
      </w:r>
      <w:r w:rsidR="008F51E0">
        <w:rPr>
          <w:rFonts w:ascii="Palatino" w:eastAsia="Droid Serif" w:hAnsi="Palatino" w:cstheme="minorHAnsi"/>
        </w:rPr>
        <w:t xml:space="preserve"> with the intention that you recognize the signal </w:t>
      </w:r>
      <w:r w:rsidR="00D30F74">
        <w:rPr>
          <w:rFonts w:ascii="Palatino" w:eastAsia="Droid Serif" w:hAnsi="Palatino" w:cstheme="minorHAnsi"/>
        </w:rPr>
        <w:t>and its contents</w:t>
      </w:r>
      <w:r w:rsidR="008F51E0">
        <w:rPr>
          <w:rFonts w:ascii="Palatino" w:eastAsia="Droid Serif" w:hAnsi="Palatino" w:cstheme="minorHAnsi"/>
        </w:rPr>
        <w:t>, and</w:t>
      </w:r>
      <w:r w:rsidR="00776CAD">
        <w:rPr>
          <w:rFonts w:ascii="Palatino" w:eastAsia="Droid Serif" w:hAnsi="Palatino" w:cstheme="minorHAnsi"/>
        </w:rPr>
        <w:t xml:space="preserve"> iii)</w:t>
      </w:r>
      <w:r w:rsidR="00D30F74">
        <w:rPr>
          <w:rFonts w:ascii="Palatino" w:eastAsia="Droid Serif" w:hAnsi="Palatino" w:cstheme="minorHAnsi"/>
        </w:rPr>
        <w:t xml:space="preserve"> the further intention that</w:t>
      </w:r>
      <w:r w:rsidR="008F51E0">
        <w:rPr>
          <w:rFonts w:ascii="Palatino" w:eastAsia="Droid Serif" w:hAnsi="Palatino" w:cstheme="minorHAnsi"/>
        </w:rPr>
        <w:t xml:space="preserve"> </w:t>
      </w:r>
      <w:r w:rsidR="00D30F74">
        <w:rPr>
          <w:rFonts w:ascii="Palatino" w:eastAsia="Droid Serif" w:hAnsi="Palatino" w:cstheme="minorHAnsi"/>
        </w:rPr>
        <w:t>you</w:t>
      </w:r>
      <w:r w:rsidR="008F51E0">
        <w:rPr>
          <w:rFonts w:ascii="Palatino" w:eastAsia="Droid Serif" w:hAnsi="Palatino" w:cstheme="minorHAnsi"/>
        </w:rPr>
        <w:t xml:space="preserve"> </w:t>
      </w:r>
      <w:r w:rsidR="00D30F74">
        <w:rPr>
          <w:rFonts w:ascii="Palatino" w:eastAsia="Droid Serif" w:hAnsi="Palatino" w:cstheme="minorHAnsi"/>
        </w:rPr>
        <w:t>recognize that I was</w:t>
      </w:r>
      <w:r w:rsidR="008F51E0">
        <w:rPr>
          <w:rFonts w:ascii="Palatino" w:eastAsia="Droid Serif" w:hAnsi="Palatino" w:cstheme="minorHAnsi"/>
        </w:rPr>
        <w:t xml:space="preserve"> signalling the thing to you.</w:t>
      </w:r>
      <w:r w:rsidR="00D30F74">
        <w:rPr>
          <w:rFonts w:ascii="Palatino" w:eastAsia="Droid Serif" w:hAnsi="Palatino" w:cstheme="minorHAnsi"/>
        </w:rPr>
        <w:t xml:space="preserve"> He </w:t>
      </w:r>
      <w:r>
        <w:rPr>
          <w:rFonts w:ascii="Palatino" w:eastAsia="Droid Serif" w:hAnsi="Palatino" w:cstheme="minorHAnsi"/>
        </w:rPr>
        <w:t xml:space="preserve">also posited that we generally achieve clarity in our interlocutory exchanges by assuming cooperation. </w:t>
      </w:r>
      <w:r w:rsidRPr="00630A9E">
        <w:rPr>
          <w:rFonts w:ascii="Palatino" w:eastAsia="Droid Serif" w:hAnsi="Palatino" w:cstheme="minorHAnsi"/>
        </w:rPr>
        <w:t xml:space="preserve">For Grice, cooperation was judged according to four </w:t>
      </w:r>
      <w:r w:rsidR="009B110C">
        <w:rPr>
          <w:rFonts w:ascii="Palatino" w:eastAsia="Droid Serif" w:hAnsi="Palatino" w:cstheme="minorHAnsi"/>
        </w:rPr>
        <w:t>sub</w:t>
      </w:r>
      <w:r w:rsidRPr="00630A9E">
        <w:rPr>
          <w:rFonts w:ascii="Palatino" w:eastAsia="Droid Serif" w:hAnsi="Palatino" w:cstheme="minorHAnsi"/>
        </w:rPr>
        <w:t>maxims -- Quantity (e.g., “be informative”), Quality (e.g., “be reasonable”), Manner (“be clear and take your turn”), and Relation (e.g., “be relevant”).</w:t>
      </w:r>
      <w:r w:rsidRPr="00630A9E">
        <w:rPr>
          <w:rStyle w:val="FootnoteReference"/>
          <w:rFonts w:ascii="Palatino" w:eastAsia="Droid Serif" w:hAnsi="Palatino" w:cstheme="minorHAnsi"/>
        </w:rPr>
        <w:footnoteReference w:id="17"/>
      </w:r>
      <w:r w:rsidR="009B110C">
        <w:rPr>
          <w:rFonts w:ascii="Palatino" w:eastAsia="Droid Serif" w:hAnsi="Palatino" w:cstheme="minorHAnsi"/>
        </w:rPr>
        <w:t xml:space="preserve"> </w:t>
      </w:r>
      <w:r>
        <w:rPr>
          <w:rFonts w:ascii="Palatino" w:eastAsia="Droid Serif" w:hAnsi="Palatino" w:cstheme="minorHAnsi"/>
        </w:rPr>
        <w:t>He also noted that these cooperative maxims are themselves based on assumptions of aim, coordination, and expectation – what we can call ‘strategies’</w:t>
      </w:r>
      <w:r w:rsidR="009B110C">
        <w:rPr>
          <w:rFonts w:ascii="Palatino" w:eastAsia="Droid Serif" w:hAnsi="Palatino" w:cstheme="minorHAnsi"/>
        </w:rPr>
        <w:t xml:space="preserve"> for </w:t>
      </w:r>
      <w:r w:rsidR="004A4972">
        <w:rPr>
          <w:rFonts w:ascii="Palatino" w:eastAsia="Droid Serif" w:hAnsi="Palatino" w:cstheme="minorHAnsi"/>
        </w:rPr>
        <w:t>communication</w:t>
      </w:r>
      <w:r>
        <w:rPr>
          <w:rFonts w:ascii="Palatino" w:eastAsia="Droid Serif" w:hAnsi="Palatino" w:cstheme="minorHAnsi"/>
        </w:rPr>
        <w:t>.</w:t>
      </w:r>
    </w:p>
    <w:p w14:paraId="41612BE6" w14:textId="6A05C5DF" w:rsidR="00F401E9" w:rsidRDefault="00CE3981" w:rsidP="008720B6">
      <w:pPr>
        <w:widowControl w:val="0"/>
        <w:ind w:right="-56" w:firstLine="426"/>
        <w:jc w:val="both"/>
        <w:rPr>
          <w:rFonts w:ascii="Palatino" w:eastAsia="Droid Serif" w:hAnsi="Palatino" w:cstheme="minorHAnsi"/>
        </w:rPr>
      </w:pPr>
      <w:r>
        <w:rPr>
          <w:rFonts w:ascii="Palatino" w:eastAsia="Droid Serif" w:hAnsi="Palatino" w:cstheme="minorHAnsi"/>
        </w:rPr>
        <w:t>Gricean communication is too high a standard for promulgation.</w:t>
      </w:r>
      <w:r w:rsidR="005F39C8">
        <w:rPr>
          <w:rFonts w:ascii="Palatino" w:eastAsia="Droid Serif" w:hAnsi="Palatino" w:cstheme="minorHAnsi"/>
        </w:rPr>
        <w:t xml:space="preserve"> </w:t>
      </w:r>
      <w:r w:rsidR="00A86000">
        <w:rPr>
          <w:rFonts w:ascii="Palatino" w:eastAsia="Droid Serif" w:hAnsi="Palatino" w:cstheme="minorHAnsi"/>
        </w:rPr>
        <w:t>It</w:t>
      </w:r>
      <w:r w:rsidR="00F401E9">
        <w:rPr>
          <w:rFonts w:ascii="Palatino" w:eastAsia="Droid Serif" w:hAnsi="Palatino" w:cstheme="minorHAnsi"/>
        </w:rPr>
        <w:t xml:space="preserve"> is at least possible for a</w:t>
      </w:r>
      <w:r w:rsidR="005F39C8">
        <w:rPr>
          <w:rFonts w:ascii="Palatino" w:eastAsia="Droid Serif" w:hAnsi="Palatino" w:cstheme="minorHAnsi"/>
        </w:rPr>
        <w:t xml:space="preserve"> government </w:t>
      </w:r>
      <w:r w:rsidR="00F401E9">
        <w:rPr>
          <w:rFonts w:ascii="Palatino" w:eastAsia="Droid Serif" w:hAnsi="Palatino" w:cstheme="minorHAnsi"/>
        </w:rPr>
        <w:t>to</w:t>
      </w:r>
      <w:r w:rsidR="005F39C8">
        <w:rPr>
          <w:rFonts w:ascii="Palatino" w:eastAsia="Droid Serif" w:hAnsi="Palatino" w:cstheme="minorHAnsi"/>
        </w:rPr>
        <w:t xml:space="preserve"> promulgate law </w:t>
      </w:r>
      <w:r w:rsidR="00F401E9">
        <w:rPr>
          <w:rFonts w:ascii="Palatino" w:eastAsia="Droid Serif" w:hAnsi="Palatino" w:cstheme="minorHAnsi"/>
        </w:rPr>
        <w:t xml:space="preserve">to stakeholders </w:t>
      </w:r>
      <w:r w:rsidR="005F39C8">
        <w:rPr>
          <w:rFonts w:ascii="Palatino" w:eastAsia="Droid Serif" w:hAnsi="Palatino" w:cstheme="minorHAnsi"/>
        </w:rPr>
        <w:t xml:space="preserve">even if it does not </w:t>
      </w:r>
      <w:r w:rsidR="00F401E9">
        <w:rPr>
          <w:rFonts w:ascii="Palatino" w:eastAsia="Droid Serif" w:hAnsi="Palatino" w:cstheme="minorHAnsi"/>
        </w:rPr>
        <w:t>signal sophisticated Gricean intentions in the process</w:t>
      </w:r>
      <w:r w:rsidR="005F39C8">
        <w:rPr>
          <w:rFonts w:ascii="Palatino" w:eastAsia="Droid Serif" w:hAnsi="Palatino" w:cstheme="minorHAnsi"/>
        </w:rPr>
        <w:t>.</w:t>
      </w:r>
      <w:r>
        <w:rPr>
          <w:rFonts w:ascii="Palatino" w:eastAsia="Droid Serif" w:hAnsi="Palatino" w:cstheme="minorHAnsi"/>
        </w:rPr>
        <w:t xml:space="preserve"> </w:t>
      </w:r>
      <w:r w:rsidR="005F39C8">
        <w:rPr>
          <w:rFonts w:ascii="Palatino" w:eastAsia="Droid Serif" w:hAnsi="Palatino" w:cstheme="minorHAnsi"/>
        </w:rPr>
        <w:t>Instead</w:t>
      </w:r>
      <w:r>
        <w:rPr>
          <w:rFonts w:ascii="Palatino" w:eastAsia="Droid Serif" w:hAnsi="Palatino" w:cstheme="minorHAnsi"/>
        </w:rPr>
        <w:t xml:space="preserve">, </w:t>
      </w:r>
      <w:r w:rsidR="00F401E9">
        <w:rPr>
          <w:rFonts w:ascii="Palatino" w:eastAsia="Droid Serif" w:hAnsi="Palatino" w:cstheme="minorHAnsi"/>
        </w:rPr>
        <w:t xml:space="preserve">we should say that promulgation occurs through </w:t>
      </w:r>
      <w:r>
        <w:rPr>
          <w:rFonts w:ascii="Palatino" w:eastAsia="Droid Serif" w:hAnsi="Palatino" w:cstheme="minorHAnsi"/>
        </w:rPr>
        <w:t>conveyances</w:t>
      </w:r>
      <w:r w:rsidR="005F39C8">
        <w:rPr>
          <w:rFonts w:ascii="Palatino" w:eastAsia="Droid Serif" w:hAnsi="Palatino" w:cstheme="minorHAnsi"/>
        </w:rPr>
        <w:t xml:space="preserve"> --</w:t>
      </w:r>
      <w:r>
        <w:rPr>
          <w:rFonts w:ascii="Palatino" w:eastAsia="Droid Serif" w:hAnsi="Palatino" w:cstheme="minorHAnsi"/>
        </w:rPr>
        <w:t xml:space="preserve"> </w:t>
      </w:r>
      <w:r w:rsidR="00D30F74">
        <w:rPr>
          <w:rFonts w:ascii="Palatino" w:eastAsia="Droid Serif" w:hAnsi="Palatino" w:cstheme="minorHAnsi"/>
        </w:rPr>
        <w:t>a</w:t>
      </w:r>
      <w:r w:rsidR="006E6A1B" w:rsidRPr="00630A9E">
        <w:rPr>
          <w:rFonts w:ascii="Palatino" w:eastAsia="Droid Serif" w:hAnsi="Palatino" w:cstheme="minorHAnsi"/>
        </w:rPr>
        <w:t xml:space="preserve"> </w:t>
      </w:r>
      <w:r w:rsidR="00F401E9">
        <w:rPr>
          <w:rFonts w:ascii="Palatino" w:eastAsia="Droid Serif" w:hAnsi="Palatino" w:cstheme="minorHAnsi"/>
        </w:rPr>
        <w:t>message</w:t>
      </w:r>
      <w:r w:rsidR="00D30F74">
        <w:rPr>
          <w:rFonts w:ascii="Palatino" w:eastAsia="Droid Serif" w:hAnsi="Palatino" w:cstheme="minorHAnsi"/>
        </w:rPr>
        <w:t xml:space="preserve"> that</w:t>
      </w:r>
      <w:r w:rsidR="005F39C8">
        <w:rPr>
          <w:rFonts w:ascii="Palatino" w:eastAsia="Droid Serif" w:hAnsi="Palatino" w:cstheme="minorHAnsi"/>
        </w:rPr>
        <w:t xml:space="preserve"> </w:t>
      </w:r>
      <w:r>
        <w:rPr>
          <w:rFonts w:ascii="Palatino" w:eastAsia="Droid Serif" w:hAnsi="Palatino" w:cstheme="minorHAnsi"/>
        </w:rPr>
        <w:t>signal</w:t>
      </w:r>
      <w:r w:rsidR="00F401E9">
        <w:rPr>
          <w:rFonts w:ascii="Palatino" w:eastAsia="Droid Serif" w:hAnsi="Palatino" w:cstheme="minorHAnsi"/>
        </w:rPr>
        <w:t>s a belief</w:t>
      </w:r>
      <w:r w:rsidR="005F39C8">
        <w:rPr>
          <w:rFonts w:ascii="Palatino" w:eastAsia="Droid Serif" w:hAnsi="Palatino" w:cstheme="minorHAnsi"/>
        </w:rPr>
        <w:t xml:space="preserve"> to the intended audience, </w:t>
      </w:r>
      <w:r w:rsidR="00F401E9" w:rsidRPr="00F401E9">
        <w:rPr>
          <w:rFonts w:ascii="Palatino" w:eastAsia="Droid Serif" w:hAnsi="Palatino" w:cstheme="minorHAnsi"/>
          <w:i/>
        </w:rPr>
        <w:t>period</w:t>
      </w:r>
      <w:r w:rsidR="005F39C8">
        <w:rPr>
          <w:rFonts w:ascii="Palatino" w:eastAsia="Droid Serif" w:hAnsi="Palatino" w:cstheme="minorHAnsi"/>
        </w:rPr>
        <w:t>.</w:t>
      </w:r>
      <w:r w:rsidR="006E6A1B" w:rsidRPr="00630A9E">
        <w:rPr>
          <w:rFonts w:ascii="Palatino" w:eastAsia="Droid Serif" w:hAnsi="Palatino" w:cstheme="minorHAnsi"/>
        </w:rPr>
        <w:t xml:space="preserve"> </w:t>
      </w:r>
      <w:r w:rsidR="00F401E9">
        <w:rPr>
          <w:rFonts w:ascii="Palatino" w:eastAsia="Droid Serif" w:hAnsi="Palatino" w:cstheme="minorHAnsi"/>
        </w:rPr>
        <w:t xml:space="preserve">That expressly includes: (a) </w:t>
      </w:r>
      <w:r w:rsidR="00F401E9" w:rsidRPr="00F401E9">
        <w:rPr>
          <w:rFonts w:ascii="Palatino" w:eastAsia="Droid Serif" w:hAnsi="Palatino" w:cstheme="minorHAnsi"/>
          <w:i/>
        </w:rPr>
        <w:t>discre</w:t>
      </w:r>
      <w:r w:rsidR="00776CAD">
        <w:rPr>
          <w:rFonts w:ascii="Palatino" w:eastAsia="Droid Serif" w:hAnsi="Palatino" w:cstheme="minorHAnsi"/>
          <w:i/>
        </w:rPr>
        <w:t>e</w:t>
      </w:r>
      <w:r w:rsidR="00F401E9" w:rsidRPr="00F401E9">
        <w:rPr>
          <w:rFonts w:ascii="Palatino" w:eastAsia="Droid Serif" w:hAnsi="Palatino" w:cstheme="minorHAnsi"/>
          <w:i/>
        </w:rPr>
        <w:t>t signals</w:t>
      </w:r>
      <w:r w:rsidR="00F401E9">
        <w:rPr>
          <w:rFonts w:ascii="Palatino" w:eastAsia="Droid Serif" w:hAnsi="Palatino" w:cstheme="minorHAnsi"/>
        </w:rPr>
        <w:t>, i.e., where stakeholders don’t know it was the government that communicated the rule</w:t>
      </w:r>
      <w:r w:rsidR="00776CAD">
        <w:rPr>
          <w:rFonts w:ascii="Palatino" w:eastAsia="Droid Serif" w:hAnsi="Palatino" w:cstheme="minorHAnsi"/>
        </w:rPr>
        <w:t>,</w:t>
      </w:r>
      <w:r w:rsidR="00F401E9">
        <w:rPr>
          <w:rFonts w:ascii="Palatino" w:eastAsia="Droid Serif" w:hAnsi="Palatino" w:cstheme="minorHAnsi"/>
        </w:rPr>
        <w:t xml:space="preserve"> and (b) </w:t>
      </w:r>
      <w:r w:rsidR="00F401E9" w:rsidRPr="00F401E9">
        <w:rPr>
          <w:rFonts w:ascii="Palatino" w:eastAsia="Droid Serif" w:hAnsi="Palatino" w:cstheme="minorHAnsi"/>
          <w:i/>
        </w:rPr>
        <w:t>delayed signals</w:t>
      </w:r>
      <w:r w:rsidR="00F401E9">
        <w:rPr>
          <w:rFonts w:ascii="Palatino" w:eastAsia="Droid Serif" w:hAnsi="Palatino" w:cstheme="minorHAnsi"/>
        </w:rPr>
        <w:t>, i.e., where</w:t>
      </w:r>
      <w:r w:rsidR="001D26F8">
        <w:rPr>
          <w:rFonts w:ascii="Palatino" w:eastAsia="Droid Serif" w:hAnsi="Palatino" w:cstheme="minorHAnsi"/>
        </w:rPr>
        <w:t xml:space="preserve"> government intends for a message to achieve uptake,</w:t>
      </w:r>
      <w:r w:rsidR="00F401E9">
        <w:rPr>
          <w:rFonts w:ascii="Palatino" w:eastAsia="Droid Serif" w:hAnsi="Palatino" w:cstheme="minorHAnsi"/>
        </w:rPr>
        <w:t xml:space="preserve"> </w:t>
      </w:r>
      <w:r w:rsidR="00812171">
        <w:rPr>
          <w:rFonts w:ascii="Palatino" w:eastAsia="Droid Serif" w:hAnsi="Palatino" w:cstheme="minorHAnsi"/>
        </w:rPr>
        <w:t xml:space="preserve">but </w:t>
      </w:r>
      <w:r w:rsidR="00F401E9">
        <w:rPr>
          <w:rFonts w:ascii="Palatino" w:eastAsia="Droid Serif" w:hAnsi="Palatino" w:cstheme="minorHAnsi"/>
        </w:rPr>
        <w:t xml:space="preserve">stakeholders take no notice of it due to lack of solicitude, </w:t>
      </w:r>
      <w:r w:rsidR="00776CAD">
        <w:rPr>
          <w:rFonts w:ascii="Palatino" w:eastAsia="Droid Serif" w:hAnsi="Palatino" w:cstheme="minorHAnsi"/>
        </w:rPr>
        <w:t>but who can</w:t>
      </w:r>
      <w:r w:rsidR="00F401E9">
        <w:rPr>
          <w:rFonts w:ascii="Palatino" w:eastAsia="Droid Serif" w:hAnsi="Palatino" w:cstheme="minorHAnsi"/>
        </w:rPr>
        <w:t xml:space="preserve"> correctly apprehend it upon </w:t>
      </w:r>
      <w:r w:rsidR="00812171">
        <w:rPr>
          <w:rFonts w:ascii="Palatino" w:eastAsia="Droid Serif" w:hAnsi="Palatino" w:cstheme="minorHAnsi"/>
        </w:rPr>
        <w:t>attention</w:t>
      </w:r>
      <w:r w:rsidR="00F401E9">
        <w:rPr>
          <w:rFonts w:ascii="Palatino" w:eastAsia="Droid Serif" w:hAnsi="Palatino" w:cstheme="minorHAnsi"/>
        </w:rPr>
        <w:t>.</w:t>
      </w:r>
      <w:r w:rsidR="001D26F8">
        <w:rPr>
          <w:rFonts w:ascii="Palatino" w:eastAsia="Droid Serif" w:hAnsi="Palatino" w:cstheme="minorHAnsi"/>
        </w:rPr>
        <w:t xml:space="preserve"> Both of these cover senses in which law is accessible to a public but not known, or known imperfectly.</w:t>
      </w:r>
      <w:r w:rsidR="004A4972">
        <w:rPr>
          <w:rFonts w:ascii="Palatino" w:eastAsia="Droid Serif" w:hAnsi="Palatino" w:cstheme="minorHAnsi"/>
        </w:rPr>
        <w:t xml:space="preserve"> But one hopes they are marginal cases,</w:t>
      </w:r>
      <w:r w:rsidR="00812171">
        <w:rPr>
          <w:rFonts w:ascii="Palatino" w:eastAsia="Droid Serif" w:hAnsi="Palatino" w:cstheme="minorHAnsi"/>
        </w:rPr>
        <w:t xml:space="preserve"> </w:t>
      </w:r>
      <w:r w:rsidR="004A4972">
        <w:rPr>
          <w:rFonts w:ascii="Palatino" w:eastAsia="Droid Serif" w:hAnsi="Palatino" w:cstheme="minorHAnsi"/>
        </w:rPr>
        <w:t>a</w:t>
      </w:r>
      <w:r w:rsidR="00812171">
        <w:rPr>
          <w:rFonts w:ascii="Palatino" w:eastAsia="Droid Serif" w:hAnsi="Palatino" w:cstheme="minorHAnsi"/>
        </w:rPr>
        <w:t>nd</w:t>
      </w:r>
      <w:r w:rsidR="004A4972">
        <w:rPr>
          <w:rFonts w:ascii="Palatino" w:eastAsia="Droid Serif" w:hAnsi="Palatino" w:cstheme="minorHAnsi"/>
        </w:rPr>
        <w:t xml:space="preserve"> that</w:t>
      </w:r>
      <w:r w:rsidR="00812171">
        <w:rPr>
          <w:rFonts w:ascii="Palatino" w:eastAsia="Droid Serif" w:hAnsi="Palatino" w:cstheme="minorHAnsi"/>
        </w:rPr>
        <w:t xml:space="preserve"> promulgation also includes</w:t>
      </w:r>
      <w:r w:rsidR="004A4972">
        <w:rPr>
          <w:rFonts w:ascii="Palatino" w:eastAsia="Droid Serif" w:hAnsi="Palatino" w:cstheme="minorHAnsi"/>
        </w:rPr>
        <w:t xml:space="preserve"> Gricean</w:t>
      </w:r>
      <w:r w:rsidR="00812171">
        <w:rPr>
          <w:rFonts w:ascii="Palatino" w:eastAsia="Droid Serif" w:hAnsi="Palatino" w:cstheme="minorHAnsi"/>
        </w:rPr>
        <w:t xml:space="preserve"> (c) communicative signals</w:t>
      </w:r>
      <w:r w:rsidR="004A4972">
        <w:rPr>
          <w:rFonts w:ascii="Palatino" w:eastAsia="Droid Serif" w:hAnsi="Palatino" w:cstheme="minorHAnsi"/>
        </w:rPr>
        <w:t xml:space="preserve"> (</w:t>
      </w:r>
      <w:r w:rsidR="00812171">
        <w:rPr>
          <w:rFonts w:ascii="Palatino" w:eastAsia="Droid Serif" w:hAnsi="Palatino" w:cstheme="minorHAnsi"/>
        </w:rPr>
        <w:t>with the proviso that successful communication of a law at any given time will only be partially distributed among stakeholders</w:t>
      </w:r>
      <w:r w:rsidR="004A4972">
        <w:rPr>
          <w:rFonts w:ascii="Palatino" w:eastAsia="Droid Serif" w:hAnsi="Palatino" w:cstheme="minorHAnsi"/>
        </w:rPr>
        <w:t>)</w:t>
      </w:r>
      <w:r w:rsidR="00812171">
        <w:rPr>
          <w:rFonts w:ascii="Palatino" w:eastAsia="Droid Serif" w:hAnsi="Palatino" w:cstheme="minorHAnsi"/>
        </w:rPr>
        <w:t>.</w:t>
      </w:r>
    </w:p>
    <w:p w14:paraId="47C57825" w14:textId="1D9E643D" w:rsidR="005F39C8" w:rsidRDefault="00F4617A" w:rsidP="008720B6">
      <w:pPr>
        <w:widowControl w:val="0"/>
        <w:ind w:right="-56" w:firstLine="426"/>
        <w:jc w:val="both"/>
        <w:rPr>
          <w:rFonts w:ascii="Palatino" w:eastAsia="Droid Serif" w:hAnsi="Palatino" w:cstheme="minorHAnsi"/>
        </w:rPr>
      </w:pPr>
      <w:r>
        <w:rPr>
          <w:rFonts w:ascii="Palatino" w:eastAsia="Droid Serif" w:hAnsi="Palatino" w:cstheme="minorHAnsi"/>
        </w:rPr>
        <w:t>C</w:t>
      </w:r>
      <w:r w:rsidR="005F39C8">
        <w:rPr>
          <w:rFonts w:ascii="Palatino" w:eastAsia="Droid Serif" w:hAnsi="Palatino" w:cstheme="minorHAnsi"/>
        </w:rPr>
        <w:t>onveyances</w:t>
      </w:r>
      <w:r w:rsidR="006E6A1B" w:rsidRPr="00630A9E">
        <w:rPr>
          <w:rFonts w:ascii="Palatino" w:eastAsia="Droid Serif" w:hAnsi="Palatino" w:cstheme="minorHAnsi"/>
        </w:rPr>
        <w:t xml:space="preserve"> </w:t>
      </w:r>
      <w:r>
        <w:rPr>
          <w:rFonts w:ascii="Palatino" w:eastAsia="Droid Serif" w:hAnsi="Palatino" w:cstheme="minorHAnsi"/>
        </w:rPr>
        <w:t xml:space="preserve">only have the content that they do when a good-faith interpreter takes </w:t>
      </w:r>
      <w:r>
        <w:rPr>
          <w:rFonts w:ascii="Palatino" w:eastAsia="Droid Serif" w:hAnsi="Palatino" w:cstheme="minorHAnsi"/>
        </w:rPr>
        <w:lastRenderedPageBreak/>
        <w:t xml:space="preserve">up an appropriate </w:t>
      </w:r>
      <w:r w:rsidR="00D30F74">
        <w:rPr>
          <w:rFonts w:ascii="Palatino" w:eastAsia="Droid Serif" w:hAnsi="Palatino" w:cstheme="minorHAnsi"/>
        </w:rPr>
        <w:t>strateg</w:t>
      </w:r>
      <w:r>
        <w:rPr>
          <w:rFonts w:ascii="Palatino" w:eastAsia="Droid Serif" w:hAnsi="Palatino" w:cstheme="minorHAnsi"/>
        </w:rPr>
        <w:t>y for their interpretation</w:t>
      </w:r>
      <w:r w:rsidR="006E6A1B" w:rsidRPr="00630A9E">
        <w:rPr>
          <w:rFonts w:ascii="Palatino" w:eastAsia="Droid Serif" w:hAnsi="Palatino" w:cstheme="minorHAnsi"/>
        </w:rPr>
        <w:t>.</w:t>
      </w:r>
      <w:r w:rsidR="00445081" w:rsidRPr="00630A9E">
        <w:rPr>
          <w:rStyle w:val="FootnoteReference"/>
          <w:rFonts w:ascii="Palatino" w:eastAsia="Droid Serif" w:hAnsi="Palatino" w:cstheme="minorHAnsi"/>
        </w:rPr>
        <w:footnoteReference w:id="18"/>
      </w:r>
      <w:r w:rsidR="00445081" w:rsidRPr="00630A9E">
        <w:rPr>
          <w:rFonts w:ascii="Palatino" w:eastAsia="Droid Serif" w:hAnsi="Palatino" w:cstheme="minorHAnsi"/>
        </w:rPr>
        <w:t xml:space="preserve"> </w:t>
      </w:r>
      <w:r>
        <w:rPr>
          <w:rFonts w:ascii="Palatino" w:eastAsia="Droid Serif" w:hAnsi="Palatino" w:cstheme="minorHAnsi"/>
        </w:rPr>
        <w:t>The cooperative strategy is only one of many. Indeed, f</w:t>
      </w:r>
      <w:r w:rsidR="006E6A1B" w:rsidRPr="00630A9E">
        <w:rPr>
          <w:rFonts w:ascii="Palatino" w:eastAsia="Droid Serif" w:hAnsi="Palatino" w:cstheme="minorHAnsi"/>
        </w:rPr>
        <w:t xml:space="preserve">or </w:t>
      </w:r>
      <w:r w:rsidR="005F39C8">
        <w:rPr>
          <w:rFonts w:ascii="Palatino" w:eastAsia="Droid Serif" w:hAnsi="Palatino" w:cstheme="minorHAnsi"/>
        </w:rPr>
        <w:t>many</w:t>
      </w:r>
      <w:r w:rsidR="006E6A1B" w:rsidRPr="00630A9E">
        <w:rPr>
          <w:rFonts w:ascii="Palatino" w:eastAsia="Droid Serif" w:hAnsi="Palatino" w:cstheme="minorHAnsi"/>
        </w:rPr>
        <w:t xml:space="preserve"> purposes, failures </w:t>
      </w:r>
      <w:r w:rsidR="005F39C8">
        <w:rPr>
          <w:rFonts w:ascii="Palatino" w:eastAsia="Droid Serif" w:hAnsi="Palatino" w:cstheme="minorHAnsi"/>
        </w:rPr>
        <w:t>to</w:t>
      </w:r>
      <w:r w:rsidR="006E6A1B" w:rsidRPr="00630A9E">
        <w:rPr>
          <w:rFonts w:ascii="Palatino" w:eastAsia="Droid Serif" w:hAnsi="Palatino" w:cstheme="minorHAnsi"/>
        </w:rPr>
        <w:t xml:space="preserve"> </w:t>
      </w:r>
      <w:r w:rsidR="00D30F74">
        <w:rPr>
          <w:rFonts w:ascii="Palatino" w:eastAsia="Droid Serif" w:hAnsi="Palatino" w:cstheme="minorHAnsi"/>
        </w:rPr>
        <w:t>convey</w:t>
      </w:r>
      <w:r w:rsidR="005F39C8">
        <w:rPr>
          <w:rFonts w:ascii="Palatino" w:eastAsia="Droid Serif" w:hAnsi="Palatino" w:cstheme="minorHAnsi"/>
        </w:rPr>
        <w:t xml:space="preserve"> a law</w:t>
      </w:r>
      <w:r w:rsidR="006E6A1B" w:rsidRPr="00630A9E">
        <w:rPr>
          <w:rFonts w:ascii="Palatino" w:eastAsia="Droid Serif" w:hAnsi="Palatino" w:cstheme="minorHAnsi"/>
        </w:rPr>
        <w:t xml:space="preserve"> are</w:t>
      </w:r>
      <w:r w:rsidR="00812171">
        <w:rPr>
          <w:rFonts w:ascii="Palatino" w:eastAsia="Droid Serif" w:hAnsi="Palatino" w:cstheme="minorHAnsi"/>
        </w:rPr>
        <w:t xml:space="preserve"> also</w:t>
      </w:r>
      <w:r w:rsidR="006E6A1B" w:rsidRPr="00630A9E">
        <w:rPr>
          <w:rFonts w:ascii="Palatino" w:eastAsia="Droid Serif" w:hAnsi="Palatino" w:cstheme="minorHAnsi"/>
        </w:rPr>
        <w:t xml:space="preserve"> more or less identifiable as </w:t>
      </w:r>
      <w:r w:rsidR="00B54A6F" w:rsidRPr="00B54A6F">
        <w:rPr>
          <w:rFonts w:ascii="Palatino" w:eastAsia="Droid Serif" w:hAnsi="Palatino" w:cstheme="minorHAnsi"/>
          <w:i/>
        </w:rPr>
        <w:t>predictable</w:t>
      </w:r>
      <w:r w:rsidR="00B54A6F">
        <w:rPr>
          <w:rFonts w:ascii="Palatino" w:eastAsia="Droid Serif" w:hAnsi="Palatino" w:cstheme="minorHAnsi"/>
        </w:rPr>
        <w:t xml:space="preserve"> </w:t>
      </w:r>
      <w:r w:rsidR="006E6A1B" w:rsidRPr="00B54A6F">
        <w:rPr>
          <w:rFonts w:ascii="Palatino" w:eastAsia="Droid Serif" w:hAnsi="Palatino" w:cstheme="minorHAnsi"/>
          <w:i/>
        </w:rPr>
        <w:t xml:space="preserve">failures to </w:t>
      </w:r>
      <w:r w:rsidR="00B54A6F" w:rsidRPr="00B54A6F">
        <w:rPr>
          <w:rFonts w:ascii="Palatino" w:eastAsia="Droid Serif" w:hAnsi="Palatino" w:cstheme="minorHAnsi"/>
          <w:i/>
        </w:rPr>
        <w:t>even try</w:t>
      </w:r>
      <w:r w:rsidR="00B54A6F">
        <w:rPr>
          <w:rFonts w:ascii="Palatino" w:eastAsia="Droid Serif" w:hAnsi="Palatino" w:cstheme="minorHAnsi"/>
        </w:rPr>
        <w:t xml:space="preserve"> to </w:t>
      </w:r>
      <w:r w:rsidR="006E6A1B" w:rsidRPr="00630A9E">
        <w:rPr>
          <w:rFonts w:ascii="Palatino" w:eastAsia="Droid Serif" w:hAnsi="Palatino" w:cstheme="minorHAnsi"/>
        </w:rPr>
        <w:t>cooperate in Grice’s sense</w:t>
      </w:r>
      <w:r w:rsidR="00B54A6F">
        <w:rPr>
          <w:rFonts w:ascii="Palatino" w:eastAsia="Droid Serif" w:hAnsi="Palatino" w:cstheme="minorHAnsi"/>
        </w:rPr>
        <w:t>.</w:t>
      </w:r>
      <w:r w:rsidR="006E6A1B" w:rsidRPr="00630A9E">
        <w:rPr>
          <w:rFonts w:ascii="Palatino" w:eastAsia="Droid Serif" w:hAnsi="Palatino" w:cstheme="minorHAnsi"/>
        </w:rPr>
        <w:t xml:space="preserve"> </w:t>
      </w:r>
      <w:r w:rsidR="00B54A6F">
        <w:rPr>
          <w:rFonts w:ascii="Palatino" w:eastAsia="Droid Serif" w:hAnsi="Palatino" w:cstheme="minorHAnsi"/>
        </w:rPr>
        <w:t xml:space="preserve">(The police lie about the law all the time, for example, and are permitted to do so.) In such conditions, it is a mistake to think of ourselves as in </w:t>
      </w:r>
      <w:r w:rsidR="00F8207F">
        <w:rPr>
          <w:rFonts w:ascii="Palatino" w:eastAsia="Droid Serif" w:hAnsi="Palatino" w:cstheme="minorHAnsi"/>
        </w:rPr>
        <w:t xml:space="preserve">cooperative </w:t>
      </w:r>
      <w:r w:rsidR="00B54A6F">
        <w:rPr>
          <w:rFonts w:ascii="Palatino" w:eastAsia="Droid Serif" w:hAnsi="Palatino" w:cstheme="minorHAnsi"/>
        </w:rPr>
        <w:t>conversation, since we can</w:t>
      </w:r>
      <w:r w:rsidR="00F8207F">
        <w:rPr>
          <w:rFonts w:ascii="Palatino" w:eastAsia="Droid Serif" w:hAnsi="Palatino" w:cstheme="minorHAnsi"/>
        </w:rPr>
        <w:t>’t rely on</w:t>
      </w:r>
      <w:r w:rsidR="00B54A6F">
        <w:rPr>
          <w:rFonts w:ascii="Palatino" w:eastAsia="Droid Serif" w:hAnsi="Palatino" w:cstheme="minorHAnsi"/>
        </w:rPr>
        <w:t xml:space="preserve"> </w:t>
      </w:r>
      <w:r w:rsidR="006E6A1B" w:rsidRPr="00F8207F">
        <w:rPr>
          <w:rFonts w:ascii="Palatino" w:eastAsia="Droid Serif" w:hAnsi="Palatino" w:cstheme="minorHAnsi"/>
          <w:i/>
        </w:rPr>
        <w:t>presuppos</w:t>
      </w:r>
      <w:r w:rsidR="00B54A6F" w:rsidRPr="00F8207F">
        <w:rPr>
          <w:rFonts w:ascii="Palatino" w:eastAsia="Droid Serif" w:hAnsi="Palatino" w:cstheme="minorHAnsi"/>
          <w:i/>
        </w:rPr>
        <w:t>itions</w:t>
      </w:r>
      <w:r w:rsidR="00B54A6F">
        <w:rPr>
          <w:rFonts w:ascii="Palatino" w:eastAsia="Droid Serif" w:hAnsi="Palatino" w:cstheme="minorHAnsi"/>
        </w:rPr>
        <w:t xml:space="preserve"> of</w:t>
      </w:r>
      <w:r w:rsidR="006E6A1B" w:rsidRPr="00630A9E">
        <w:rPr>
          <w:rFonts w:ascii="Palatino" w:eastAsia="Droid Serif" w:hAnsi="Palatino" w:cstheme="minorHAnsi"/>
        </w:rPr>
        <w:t xml:space="preserve"> aim, coordination, and expectation</w:t>
      </w:r>
      <w:r>
        <w:rPr>
          <w:rFonts w:ascii="Palatino" w:eastAsia="Droid Serif" w:hAnsi="Palatino" w:cstheme="minorHAnsi"/>
        </w:rPr>
        <w:t xml:space="preserve"> – those expectations will, instead, have to be constantly updated in further communication, not as priors, but as conditional </w:t>
      </w:r>
      <w:proofErr w:type="spellStart"/>
      <w:r>
        <w:rPr>
          <w:rFonts w:ascii="Palatino" w:eastAsia="Droid Serif" w:hAnsi="Palatino" w:cstheme="minorHAnsi"/>
        </w:rPr>
        <w:t>credences</w:t>
      </w:r>
      <w:proofErr w:type="spellEnd"/>
      <w:r>
        <w:rPr>
          <w:rFonts w:ascii="Palatino" w:eastAsia="Droid Serif" w:hAnsi="Palatino" w:cstheme="minorHAnsi"/>
        </w:rPr>
        <w:t xml:space="preserve">. </w:t>
      </w:r>
    </w:p>
    <w:p w14:paraId="7A4BA61E" w14:textId="77777777" w:rsidR="007F27DA" w:rsidRDefault="007F27DA" w:rsidP="008720B6">
      <w:pPr>
        <w:widowControl w:val="0"/>
        <w:ind w:right="-56" w:firstLine="426"/>
        <w:jc w:val="both"/>
        <w:rPr>
          <w:rFonts w:ascii="Palatino" w:eastAsia="Droid Serif" w:hAnsi="Palatino" w:cstheme="minorHAnsi"/>
        </w:rPr>
      </w:pPr>
    </w:p>
    <w:p w14:paraId="0ACAABAF" w14:textId="273BED2D" w:rsidR="006E6A1B" w:rsidRPr="00630A9E" w:rsidRDefault="006E6A1B" w:rsidP="008720B6">
      <w:pPr>
        <w:widowControl w:val="0"/>
        <w:ind w:right="-56"/>
        <w:jc w:val="both"/>
        <w:rPr>
          <w:rFonts w:ascii="Palatino" w:eastAsia="Droid Serif" w:hAnsi="Palatino" w:cstheme="minorHAnsi"/>
        </w:rPr>
      </w:pPr>
      <w:r w:rsidRPr="00630A9E">
        <w:rPr>
          <w:rFonts w:ascii="Palatino" w:eastAsia="Droid Serif" w:hAnsi="Palatino" w:cstheme="minorHAnsi"/>
        </w:rPr>
        <w:t xml:space="preserve">Four criteria specify the standards of inference that are necessary in order to judge some attempt at promulgation as </w:t>
      </w:r>
      <w:r w:rsidR="009B110C">
        <w:rPr>
          <w:rFonts w:ascii="Palatino" w:eastAsia="Droid Serif" w:hAnsi="Palatino" w:cstheme="minorHAnsi"/>
        </w:rPr>
        <w:t xml:space="preserve">a </w:t>
      </w:r>
      <w:r w:rsidR="004A4972">
        <w:rPr>
          <w:rFonts w:ascii="Palatino" w:eastAsia="Droid Serif" w:hAnsi="Palatino" w:cstheme="minorHAnsi"/>
        </w:rPr>
        <w:t xml:space="preserve">strategic </w:t>
      </w:r>
      <w:r w:rsidR="009B110C">
        <w:rPr>
          <w:rFonts w:ascii="Palatino" w:eastAsia="Droid Serif" w:hAnsi="Palatino" w:cstheme="minorHAnsi"/>
        </w:rPr>
        <w:t xml:space="preserve">bid at </w:t>
      </w:r>
      <w:r w:rsidR="004A4972">
        <w:rPr>
          <w:rFonts w:ascii="Palatino" w:eastAsia="Droid Serif" w:hAnsi="Palatino" w:cstheme="minorHAnsi"/>
        </w:rPr>
        <w:t>communication</w:t>
      </w:r>
      <w:r w:rsidRPr="00630A9E">
        <w:rPr>
          <w:rFonts w:ascii="Palatino" w:eastAsia="Droid Serif" w:hAnsi="Palatino" w:cstheme="minorHAnsi"/>
        </w:rPr>
        <w:t>, and contribute to our understanding of how to keep score in our language-games in good (or non-bad) faith. Each is generally presupposed during the course of charitable interpretation, though the principles can be applied more or less strictly, depending on the particularities of their subject matter</w:t>
      </w:r>
      <w:r w:rsidR="009A52C5" w:rsidRPr="00630A9E">
        <w:rPr>
          <w:rFonts w:ascii="Palatino" w:eastAsia="Droid Serif" w:hAnsi="Palatino" w:cstheme="minorHAnsi"/>
        </w:rPr>
        <w:t xml:space="preserve">. </w:t>
      </w:r>
      <w:r w:rsidRPr="00630A9E">
        <w:rPr>
          <w:rFonts w:ascii="Palatino" w:eastAsia="Droid Serif" w:hAnsi="Palatino" w:cstheme="minorHAnsi"/>
        </w:rPr>
        <w:t>I refer to these criteria as Integrity, Humility, Fidelity, and Candor.</w:t>
      </w:r>
      <w:r w:rsidRPr="00630A9E">
        <w:rPr>
          <w:rFonts w:ascii="Palatino" w:eastAsia="Droid Serif" w:hAnsi="Palatino" w:cstheme="minorHAnsi"/>
          <w:i/>
        </w:rPr>
        <w:t xml:space="preserve"> </w:t>
      </w:r>
      <w:r w:rsidRPr="00630A9E">
        <w:rPr>
          <w:rFonts w:ascii="Palatino" w:eastAsia="Droid Serif" w:hAnsi="Palatino" w:cstheme="minorHAnsi"/>
        </w:rPr>
        <w:t>INTEGRITY is a dimension of evaluation rooted in the respects in which we can see a discourse as being a more or less coherent force upon the internal lives of knowing subjects. To have integrity is to maintain a coherent story, based on precedent and statute, which more or less endures. If it were phrased in terms of maxims, it might include, “Act collectively according to maxims that endure,” or “Endeavor to justify our future in light of your past, and vice-versa.” The value of integrity reflects Grice’s advice that, in conversation, interlocutors should not just abruptly “shove off or start doing something else”.</w:t>
      </w:r>
      <w:r w:rsidRPr="00630A9E">
        <w:rPr>
          <w:rStyle w:val="FootnoteReference"/>
          <w:rFonts w:ascii="Palatino" w:eastAsia="Droid Serif" w:hAnsi="Palatino" w:cstheme="minorHAnsi"/>
        </w:rPr>
        <w:footnoteReference w:id="19"/>
      </w:r>
      <w:r w:rsidRPr="00630A9E">
        <w:rPr>
          <w:rFonts w:ascii="Palatino" w:eastAsia="Droid Serif" w:hAnsi="Palatino" w:cstheme="minorHAnsi"/>
        </w:rPr>
        <w:t xml:space="preserve"> </w:t>
      </w:r>
      <w:r w:rsidR="004A4972">
        <w:rPr>
          <w:rFonts w:ascii="Palatino" w:eastAsia="Droid Serif" w:hAnsi="Palatino" w:cstheme="minorHAnsi"/>
        </w:rPr>
        <w:t>For example: a</w:t>
      </w:r>
      <w:r w:rsidRPr="00630A9E">
        <w:rPr>
          <w:rFonts w:ascii="Palatino" w:eastAsia="Droid Serif" w:hAnsi="Palatino" w:cstheme="minorHAnsi"/>
        </w:rPr>
        <w:t xml:space="preserve"> legislature that overturns its laws every year can be described as one that fails to have integrity in this sense.</w:t>
      </w:r>
    </w:p>
    <w:p w14:paraId="0A8F9081" w14:textId="4E6A1258" w:rsidR="006E6A1B" w:rsidRPr="00630A9E" w:rsidRDefault="006E6A1B"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But, again, the value is scalar, so can be pursued to a maximum or minimum degree. At most, integrity in law demands the endurance of second-order preferences encoded in principles which persist through deliberation -- e.g., rights of political morality, or the logical application of principles embedded precedent in common-law, etc. But at the very least, the value of integration requires that a theory account for the present apparent qualities of a legal system through historical evolution based on convergence of contingent forces.</w:t>
      </w:r>
      <w:r w:rsidRPr="00630A9E">
        <w:rPr>
          <w:rStyle w:val="FootnoteReference"/>
          <w:rFonts w:ascii="Palatino" w:eastAsia="Droid Serif" w:hAnsi="Palatino" w:cstheme="minorHAnsi"/>
        </w:rPr>
        <w:footnoteReference w:id="20"/>
      </w:r>
      <w:r w:rsidRPr="00630A9E">
        <w:rPr>
          <w:rFonts w:ascii="Palatino" w:eastAsia="Droid Serif" w:hAnsi="Palatino" w:cstheme="minorHAnsi"/>
        </w:rPr>
        <w:t xml:space="preserve"> Anyone who treats law as </w:t>
      </w:r>
      <w:r w:rsidRPr="00630A9E">
        <w:rPr>
          <w:rFonts w:ascii="Palatino" w:eastAsia="Droid Serif" w:hAnsi="Palatino" w:cstheme="minorHAnsi"/>
          <w:i/>
        </w:rPr>
        <w:t>merely</w:t>
      </w:r>
      <w:r w:rsidRPr="00630A9E">
        <w:rPr>
          <w:rFonts w:ascii="Palatino" w:eastAsia="Droid Serif" w:hAnsi="Palatino" w:cstheme="minorHAnsi"/>
        </w:rPr>
        <w:t xml:space="preserve"> a branch of history, or </w:t>
      </w:r>
      <w:r w:rsidRPr="00630A9E">
        <w:rPr>
          <w:rFonts w:ascii="Palatino" w:eastAsia="Droid Serif" w:hAnsi="Palatino" w:cstheme="minorHAnsi"/>
          <w:i/>
        </w:rPr>
        <w:t>merely</w:t>
      </w:r>
      <w:r w:rsidRPr="00630A9E">
        <w:rPr>
          <w:rFonts w:ascii="Palatino" w:eastAsia="Droid Serif" w:hAnsi="Palatino" w:cstheme="minorHAnsi"/>
        </w:rPr>
        <w:t xml:space="preserve"> an instrument of unrestrained moral inclination, will not be trustworthy as legal knowers.</w:t>
      </w:r>
    </w:p>
    <w:p w14:paraId="329DE26C" w14:textId="7C2A6054" w:rsidR="006E6A1B" w:rsidRPr="00630A9E" w:rsidRDefault="006E6A1B" w:rsidP="008720B6">
      <w:pPr>
        <w:widowControl w:val="0"/>
        <w:ind w:right="-56" w:firstLine="426"/>
        <w:contextualSpacing/>
        <w:jc w:val="both"/>
        <w:rPr>
          <w:rFonts w:ascii="Palatino" w:eastAsia="Droid Serif" w:hAnsi="Palatino" w:cstheme="minorHAnsi"/>
        </w:rPr>
      </w:pPr>
      <w:r w:rsidRPr="00630A9E">
        <w:rPr>
          <w:rFonts w:ascii="Palatino" w:eastAsia="Droid Serif" w:hAnsi="Palatino" w:cstheme="minorHAnsi"/>
        </w:rPr>
        <w:t xml:space="preserve">The value of HUMILITY expresses the dimension of analysis where law is evaluated from the external point of view, conferring reasons for belief in proper action which could be grasped and upheld by a third-person observer who had no prior investment in definitional quarrels. It might be summarized as the Columbo principle: “direct your judgments, as far as possible, through reliance on the facts, such that you do not render judgment upon things that are not yours to legislate”. In the legal context, that typically includes maxims which counsel </w:t>
      </w:r>
      <w:r w:rsidRPr="00630A9E">
        <w:rPr>
          <w:rFonts w:ascii="Palatino" w:eastAsia="Droid Serif" w:hAnsi="Palatino" w:cstheme="minorHAnsi"/>
          <w:i/>
        </w:rPr>
        <w:t xml:space="preserve">deference </w:t>
      </w:r>
      <w:r w:rsidRPr="00630A9E">
        <w:rPr>
          <w:rFonts w:ascii="Palatino" w:eastAsia="Droid Serif" w:hAnsi="Palatino" w:cstheme="minorHAnsi"/>
        </w:rPr>
        <w:t xml:space="preserve">either to rulers or subjects: “Let the people themselves decide the criteria that determine what counts as a legal person,” or “Honor the counsel of experts, insofar as knowledge of facts bears on public policy,” or “Treat the judge’s verdict in a case as reason to think that the accused deserves the verdict as a matter of law.” Humility reflects the general expectation that interlocutors should try to be sensitive to signalling, entangled in mutually dependent moves, so far </w:t>
      </w:r>
      <w:r w:rsidRPr="00630A9E">
        <w:rPr>
          <w:rFonts w:ascii="Palatino" w:eastAsia="Droid Serif" w:hAnsi="Palatino" w:cstheme="minorHAnsi"/>
        </w:rPr>
        <w:lastRenderedPageBreak/>
        <w:t>as is consistent with the potential exchange of reasons.</w:t>
      </w:r>
    </w:p>
    <w:p w14:paraId="45B020CB" w14:textId="308A9E2E" w:rsidR="006E6A1B" w:rsidRPr="00630A9E" w:rsidRDefault="006E6A1B" w:rsidP="008720B6">
      <w:pPr>
        <w:widowControl w:val="0"/>
        <w:ind w:right="-56" w:firstLine="426"/>
        <w:contextualSpacing/>
        <w:jc w:val="both"/>
        <w:rPr>
          <w:rFonts w:ascii="Palatino" w:eastAsia="Droid Serif" w:hAnsi="Palatino" w:cstheme="minorHAnsi"/>
        </w:rPr>
      </w:pPr>
      <w:r w:rsidRPr="00630A9E">
        <w:rPr>
          <w:rFonts w:ascii="Palatino" w:eastAsia="Droid Serif" w:hAnsi="Palatino" w:cstheme="minorHAnsi"/>
        </w:rPr>
        <w:t xml:space="preserve">At minimum, a view expresses humility insofar as it is </w:t>
      </w:r>
      <w:r w:rsidRPr="00630A9E">
        <w:rPr>
          <w:rFonts w:ascii="Palatino" w:eastAsia="Droid Serif" w:hAnsi="Palatino" w:cstheme="minorHAnsi"/>
          <w:i/>
        </w:rPr>
        <w:t>anti-nominalist</w:t>
      </w:r>
      <w:r w:rsidRPr="00630A9E">
        <w:rPr>
          <w:rFonts w:ascii="Palatino" w:eastAsia="Droid Serif" w:hAnsi="Palatino" w:cstheme="minorHAnsi"/>
        </w:rPr>
        <w:t xml:space="preserve">: i.e., so long as it acknowledges that more is at stake in the characterization of legal facts than a mere dispute over nomenclature. Anyone who says that ‘law’ is </w:t>
      </w:r>
      <w:r w:rsidRPr="00630A9E">
        <w:rPr>
          <w:rFonts w:ascii="Palatino" w:eastAsia="Droid Serif" w:hAnsi="Palatino" w:cstheme="minorHAnsi"/>
          <w:i/>
        </w:rPr>
        <w:t xml:space="preserve">just a word – </w:t>
      </w:r>
      <w:r w:rsidRPr="00630A9E">
        <w:rPr>
          <w:rFonts w:ascii="Palatino" w:eastAsia="Droid Serif" w:hAnsi="Palatino" w:cstheme="minorHAnsi"/>
        </w:rPr>
        <w:t xml:space="preserve">anyone, in other words, who suffers from the </w:t>
      </w:r>
      <w:r w:rsidRPr="00630A9E">
        <w:rPr>
          <w:rFonts w:ascii="Palatino" w:eastAsia="Droid Serif" w:hAnsi="Palatino" w:cstheme="minorHAnsi"/>
          <w:i/>
        </w:rPr>
        <w:t>semantic sting --</w:t>
      </w:r>
      <w:r w:rsidRPr="00630A9E">
        <w:rPr>
          <w:rFonts w:ascii="Palatino" w:eastAsia="Droid Serif" w:hAnsi="Palatino" w:cstheme="minorHAnsi"/>
        </w:rPr>
        <w:t xml:space="preserve"> is someone who can be relied upon to get the law wrong.</w:t>
      </w:r>
      <w:r w:rsidR="00F40FAD" w:rsidRPr="00630A9E">
        <w:rPr>
          <w:rStyle w:val="FootnoteReference"/>
          <w:rFonts w:ascii="Palatino" w:eastAsia="Droid Serif" w:hAnsi="Palatino" w:cstheme="minorHAnsi"/>
        </w:rPr>
        <w:footnoteReference w:id="21"/>
      </w:r>
      <w:r w:rsidRPr="00630A9E">
        <w:rPr>
          <w:rFonts w:ascii="Palatino" w:eastAsia="Droid Serif" w:hAnsi="Palatino" w:cstheme="minorHAnsi"/>
        </w:rPr>
        <w:t xml:space="preserve"> For claim that the substance of a disagreement is merely verbal is, in some sense, an attempt at coordination; but it is not an especially rational attempt at coordination. It is rather more like an attempt at brinksmanship in bargaining, i.e., that either I am right about our shared subject matter, or our dispute is merely verbal. Recognition of the ideal of humility is just to recognize that you are not </w:t>
      </w:r>
      <w:r w:rsidR="00A86000">
        <w:rPr>
          <w:rFonts w:ascii="Palatino" w:eastAsia="Droid Serif" w:hAnsi="Palatino" w:cstheme="minorHAnsi"/>
        </w:rPr>
        <w:t>the sole participant</w:t>
      </w:r>
      <w:r w:rsidRPr="00630A9E">
        <w:rPr>
          <w:rFonts w:ascii="Palatino" w:eastAsia="Droid Serif" w:hAnsi="Palatino" w:cstheme="minorHAnsi"/>
        </w:rPr>
        <w:t xml:space="preserve"> in an exchange, and that significance is both shared and shared rationally.</w:t>
      </w:r>
    </w:p>
    <w:p w14:paraId="7CA93C1F" w14:textId="6C81CBDA" w:rsidR="006E6A1B" w:rsidRPr="00630A9E" w:rsidRDefault="006E6A1B" w:rsidP="008720B6">
      <w:pPr>
        <w:widowControl w:val="0"/>
        <w:ind w:right="-56" w:firstLine="426"/>
        <w:contextualSpacing/>
        <w:jc w:val="both"/>
        <w:rPr>
          <w:rFonts w:ascii="Palatino" w:eastAsia="Droid Serif" w:hAnsi="Palatino" w:cstheme="minorHAnsi"/>
        </w:rPr>
      </w:pPr>
      <w:r w:rsidRPr="00630A9E">
        <w:rPr>
          <w:rFonts w:ascii="Palatino" w:eastAsia="Droid Serif" w:hAnsi="Palatino" w:cstheme="minorHAnsi"/>
        </w:rPr>
        <w:t xml:space="preserve">FIDELITY gives expression to the idea that </w:t>
      </w:r>
      <w:r w:rsidR="00934D9B" w:rsidRPr="00630A9E">
        <w:rPr>
          <w:rFonts w:ascii="Palatino" w:eastAsia="Droid Serif" w:hAnsi="Palatino" w:cstheme="minorHAnsi"/>
        </w:rPr>
        <w:t>subjects</w:t>
      </w:r>
      <w:r w:rsidRPr="00630A9E">
        <w:rPr>
          <w:rFonts w:ascii="Palatino" w:eastAsia="Droid Serif" w:hAnsi="Palatino" w:cstheme="minorHAnsi"/>
        </w:rPr>
        <w:t xml:space="preserve"> deserve to know something about what their interests are, and deserve to know the choice of means that rulers have in trying to manage resources related to those interests. The aim of fidelity is </w:t>
      </w:r>
      <w:r w:rsidRPr="00630A9E">
        <w:rPr>
          <w:rFonts w:ascii="Palatino" w:eastAsia="Droid Serif" w:hAnsi="Palatino" w:cstheme="minorHAnsi"/>
          <w:i/>
        </w:rPr>
        <w:t>pursuit of the ends by appropriate deliberative means</w:t>
      </w:r>
      <w:r w:rsidRPr="00630A9E">
        <w:rPr>
          <w:rFonts w:ascii="Palatino" w:eastAsia="Droid Serif" w:hAnsi="Palatino" w:cstheme="minorHAnsi"/>
        </w:rPr>
        <w:t xml:space="preserve">, regardless of whether those ends be substantial requirements of justice (rights), </w:t>
      </w:r>
      <w:r w:rsidR="00934D9B" w:rsidRPr="00630A9E">
        <w:rPr>
          <w:rFonts w:ascii="Palatino" w:eastAsia="Droid Serif" w:hAnsi="Palatino" w:cstheme="minorHAnsi"/>
        </w:rPr>
        <w:t>order (rules), prudence</w:t>
      </w:r>
      <w:r w:rsidRPr="00630A9E">
        <w:rPr>
          <w:rFonts w:ascii="Palatino" w:eastAsia="Droid Serif" w:hAnsi="Palatino" w:cstheme="minorHAnsi"/>
        </w:rPr>
        <w:t xml:space="preserve"> (policy), or obedience to command (fiat). A system displays the virtue of fidelity to its maximum extent insofar as </w:t>
      </w:r>
      <w:r w:rsidR="008C0F7E" w:rsidRPr="00630A9E">
        <w:rPr>
          <w:rFonts w:ascii="Palatino" w:eastAsia="Droid Serif" w:hAnsi="Palatino" w:cstheme="minorHAnsi"/>
        </w:rPr>
        <w:t>the</w:t>
      </w:r>
      <w:r w:rsidRPr="00630A9E">
        <w:rPr>
          <w:rFonts w:ascii="Palatino" w:eastAsia="Droid Serif" w:hAnsi="Palatino" w:cstheme="minorHAnsi"/>
        </w:rPr>
        <w:t xml:space="preserve"> core aims and standards of deliberation are </w:t>
      </w:r>
      <w:r w:rsidRPr="00630A9E">
        <w:rPr>
          <w:rFonts w:ascii="Palatino" w:eastAsia="Droid Serif" w:hAnsi="Palatino" w:cstheme="minorHAnsi"/>
          <w:i/>
        </w:rPr>
        <w:t>optimizing</w:t>
      </w:r>
      <w:r w:rsidRPr="00630A9E">
        <w:rPr>
          <w:rFonts w:ascii="Palatino" w:eastAsia="Droid Serif" w:hAnsi="Palatino" w:cstheme="minorHAnsi"/>
        </w:rPr>
        <w:t xml:space="preserve"> as opposed to merely satisficing conditions. Someone fails to respect law insofar as they indulge in </w:t>
      </w:r>
      <w:proofErr w:type="spellStart"/>
      <w:r w:rsidRPr="00630A9E">
        <w:rPr>
          <w:rFonts w:ascii="Palatino" w:eastAsia="Droid Serif" w:hAnsi="Palatino" w:cstheme="minorHAnsi"/>
          <w:i/>
        </w:rPr>
        <w:t>avant</w:t>
      </w:r>
      <w:proofErr w:type="spellEnd"/>
      <w:r w:rsidRPr="00630A9E">
        <w:rPr>
          <w:rFonts w:ascii="Palatino" w:eastAsia="Droid Serif" w:hAnsi="Palatino" w:cstheme="minorHAnsi"/>
          <w:i/>
        </w:rPr>
        <w:t xml:space="preserve"> </w:t>
      </w:r>
      <w:proofErr w:type="spellStart"/>
      <w:r w:rsidRPr="00630A9E">
        <w:rPr>
          <w:rFonts w:ascii="Palatino" w:eastAsia="Droid Serif" w:hAnsi="Palatino" w:cstheme="minorHAnsi"/>
          <w:i/>
        </w:rPr>
        <w:t>garde</w:t>
      </w:r>
      <w:proofErr w:type="spellEnd"/>
      <w:r w:rsidRPr="00630A9E">
        <w:rPr>
          <w:rFonts w:ascii="Palatino" w:eastAsia="Droid Serif" w:hAnsi="Palatino" w:cstheme="minorHAnsi"/>
          <w:i/>
        </w:rPr>
        <w:t xml:space="preserve"> </w:t>
      </w:r>
      <w:r w:rsidRPr="00630A9E">
        <w:rPr>
          <w:rFonts w:ascii="Palatino" w:eastAsia="Droid Serif" w:hAnsi="Palatino" w:cstheme="minorHAnsi"/>
        </w:rPr>
        <w:t>levels of creative discretion in the ascription of a rule to a practice or vice-versa</w:t>
      </w:r>
      <w:r w:rsidR="008C0F7E" w:rsidRPr="00630A9E">
        <w:rPr>
          <w:rFonts w:ascii="Palatino" w:eastAsia="Droid Serif" w:hAnsi="Palatino" w:cstheme="minorHAnsi"/>
        </w:rPr>
        <w:t>, i.e., they enjoy powers of “strong discretion”, and are simply not bound by authoritative standards</w:t>
      </w:r>
      <w:r w:rsidRPr="00630A9E">
        <w:rPr>
          <w:rFonts w:ascii="Palatino" w:eastAsia="Droid Serif" w:hAnsi="Palatino" w:cstheme="minorHAnsi"/>
        </w:rPr>
        <w:t>.</w:t>
      </w:r>
      <w:r w:rsidR="00F40FAD" w:rsidRPr="00630A9E">
        <w:rPr>
          <w:rStyle w:val="FootnoteReference"/>
          <w:rFonts w:ascii="Palatino" w:eastAsia="Droid Serif" w:hAnsi="Palatino" w:cstheme="minorHAnsi"/>
        </w:rPr>
        <w:footnoteReference w:id="22"/>
      </w:r>
      <w:r w:rsidRPr="00630A9E">
        <w:rPr>
          <w:rFonts w:ascii="Palatino" w:eastAsia="Droid Serif" w:hAnsi="Palatino" w:cstheme="minorHAnsi"/>
        </w:rPr>
        <w:t xml:space="preserve"> The value of fidelity maps onto the expectation that, broadly speaking, interlocutors must have a set of shared aims and subject matter.</w:t>
      </w:r>
    </w:p>
    <w:p w14:paraId="21FD805B" w14:textId="41069C48" w:rsidR="006E6A1B" w:rsidRDefault="006E6A1B" w:rsidP="008720B6">
      <w:pPr>
        <w:widowControl w:val="0"/>
        <w:ind w:right="-56" w:firstLine="426"/>
        <w:contextualSpacing/>
        <w:jc w:val="both"/>
        <w:rPr>
          <w:rFonts w:ascii="Palatino" w:eastAsia="Droid Serif" w:hAnsi="Palatino" w:cstheme="minorHAnsi"/>
        </w:rPr>
      </w:pPr>
      <w:r w:rsidRPr="00630A9E">
        <w:rPr>
          <w:rFonts w:ascii="Palatino" w:eastAsia="Droid Serif" w:hAnsi="Palatino" w:cstheme="minorHAnsi"/>
        </w:rPr>
        <w:t xml:space="preserve">Finally, the value of CANDOR gives expression to the idea that the law should be transparent and not misleading – i.e., a law where “what you see is what you get”, where legal word and legal deed follow the very same line. The aim of candor is the </w:t>
      </w:r>
      <w:r w:rsidRPr="00630A9E">
        <w:rPr>
          <w:rFonts w:ascii="Palatino" w:eastAsia="Droid Serif" w:hAnsi="Palatino" w:cstheme="minorHAnsi"/>
          <w:i/>
        </w:rPr>
        <w:t>coordination of the facts of a practice with apprehended rules</w:t>
      </w:r>
      <w:r w:rsidRPr="00630A9E">
        <w:rPr>
          <w:rFonts w:ascii="Palatino" w:eastAsia="Droid Serif" w:hAnsi="Palatino" w:cstheme="minorHAnsi"/>
        </w:rPr>
        <w:t xml:space="preserve">. The value of candor is </w:t>
      </w:r>
      <w:r w:rsidRPr="00630A9E">
        <w:rPr>
          <w:rFonts w:ascii="Palatino" w:eastAsia="Droid Serif" w:hAnsi="Palatino" w:cstheme="minorHAnsi"/>
          <w:i/>
        </w:rPr>
        <w:t>derivative</w:t>
      </w:r>
      <w:r w:rsidRPr="00630A9E">
        <w:rPr>
          <w:rFonts w:ascii="Palatino" w:eastAsia="Droid Serif" w:hAnsi="Palatino" w:cstheme="minorHAnsi"/>
        </w:rPr>
        <w:t>, in the sense that it is a function of two ideals already mentioned, integrity and humility, issuing from the requirement that a conversation generally proceed in an orderly way in order to facilitate mutual expectations. Generally speaking, our conception of what is valued across time from the first-person point of view should run roughly in parallel to our conception of the facts about legal practice, observable as third-persons</w:t>
      </w:r>
      <w:r w:rsidR="005A1885" w:rsidRPr="00630A9E">
        <w:rPr>
          <w:rFonts w:ascii="Palatino" w:eastAsia="Droid Serif" w:hAnsi="Palatino" w:cstheme="minorHAnsi"/>
        </w:rPr>
        <w:t xml:space="preserve"> – our running commentary has to make the most sense of our actual legal common ground</w:t>
      </w:r>
      <w:r w:rsidRPr="00630A9E">
        <w:rPr>
          <w:rFonts w:ascii="Palatino" w:eastAsia="Droid Serif" w:hAnsi="Palatino" w:cstheme="minorHAnsi"/>
        </w:rPr>
        <w:t>.</w:t>
      </w:r>
      <w:r w:rsidR="005A1885" w:rsidRPr="00630A9E">
        <w:rPr>
          <w:rFonts w:ascii="Palatino" w:eastAsia="Droid Serif" w:hAnsi="Palatino" w:cstheme="minorHAnsi"/>
        </w:rPr>
        <w:t xml:space="preserve"> </w:t>
      </w:r>
      <w:r w:rsidRPr="00630A9E">
        <w:rPr>
          <w:rFonts w:ascii="Palatino" w:eastAsia="Droid Serif" w:hAnsi="Palatino" w:cstheme="minorHAnsi"/>
        </w:rPr>
        <w:t>The need for a derivative ideal of this kind is important for the purposes of diagnosis</w:t>
      </w:r>
      <w:r w:rsidR="005A1885" w:rsidRPr="00630A9E">
        <w:rPr>
          <w:rFonts w:ascii="Palatino" w:eastAsia="Droid Serif" w:hAnsi="Palatino" w:cstheme="minorHAnsi"/>
        </w:rPr>
        <w:t>, both in law and in other discourses;</w:t>
      </w:r>
      <w:r w:rsidRPr="00630A9E">
        <w:rPr>
          <w:rFonts w:ascii="Palatino" w:eastAsia="Droid Serif" w:hAnsi="Palatino" w:cstheme="minorHAnsi"/>
        </w:rPr>
        <w:t xml:space="preserve"> for it is a fact that </w:t>
      </w:r>
      <w:r w:rsidRPr="00630A9E">
        <w:rPr>
          <w:rFonts w:ascii="Palatino" w:eastAsia="Droid Serif" w:hAnsi="Palatino" w:cstheme="minorHAnsi"/>
          <w:i/>
        </w:rPr>
        <w:t>every conversation is already a meta-conversation</w:t>
      </w:r>
      <w:r w:rsidRPr="00630A9E">
        <w:rPr>
          <w:rFonts w:ascii="Palatino" w:eastAsia="Droid Serif" w:hAnsi="Palatino" w:cstheme="minorHAnsi"/>
        </w:rPr>
        <w:t>, with a structure of presuppositions that can be potentially raised to the status of being contents at issue</w:t>
      </w:r>
      <w:r w:rsidR="004B5201" w:rsidRPr="00630A9E">
        <w:rPr>
          <w:rFonts w:ascii="Palatino" w:eastAsia="Droid Serif" w:hAnsi="Palatino" w:cstheme="minorHAnsi"/>
        </w:rPr>
        <w:t>.</w:t>
      </w:r>
      <w:r w:rsidRPr="00630A9E">
        <w:rPr>
          <w:rFonts w:ascii="Palatino" w:eastAsia="Droid Serif" w:hAnsi="Palatino" w:cstheme="minorHAnsi"/>
        </w:rPr>
        <w:t xml:space="preserve"> </w:t>
      </w:r>
      <w:r w:rsidR="005A1885" w:rsidRPr="00630A9E">
        <w:rPr>
          <w:rFonts w:ascii="Palatino" w:eastAsia="Droid Serif" w:hAnsi="Palatino" w:cstheme="minorHAnsi"/>
        </w:rPr>
        <w:t>During the course of everyday life, we usually accommodate shifts in presuppositions, making them seem invisible.</w:t>
      </w:r>
      <w:r w:rsidR="005A1885" w:rsidRPr="00630A9E">
        <w:rPr>
          <w:rStyle w:val="FootnoteReference"/>
          <w:rFonts w:ascii="Palatino" w:eastAsia="Droid Serif" w:hAnsi="Palatino" w:cstheme="minorHAnsi"/>
        </w:rPr>
        <w:footnoteReference w:id="23"/>
      </w:r>
      <w:r w:rsidR="005A1885" w:rsidRPr="00630A9E">
        <w:rPr>
          <w:rFonts w:ascii="Palatino" w:eastAsia="Droid Serif" w:hAnsi="Palatino" w:cstheme="minorHAnsi"/>
        </w:rPr>
        <w:t xml:space="preserve"> Yet sometimes the divergence of presuppositions creates significant friction -- on those occasions, t</w:t>
      </w:r>
      <w:r w:rsidR="004B5201" w:rsidRPr="00630A9E">
        <w:rPr>
          <w:rFonts w:ascii="Palatino" w:eastAsia="Droid Serif" w:hAnsi="Palatino" w:cstheme="minorHAnsi"/>
        </w:rPr>
        <w:t>h</w:t>
      </w:r>
      <w:r w:rsidR="005A1885" w:rsidRPr="00630A9E">
        <w:rPr>
          <w:rFonts w:ascii="Palatino" w:eastAsia="Droid Serif" w:hAnsi="Palatino" w:cstheme="minorHAnsi"/>
        </w:rPr>
        <w:t>e</w:t>
      </w:r>
      <w:r w:rsidR="004B5201" w:rsidRPr="00630A9E">
        <w:rPr>
          <w:rFonts w:ascii="Palatino" w:eastAsia="Droid Serif" w:hAnsi="Palatino" w:cstheme="minorHAnsi"/>
        </w:rPr>
        <w:t xml:space="preserve"> ‘meta-conversation’ is</w:t>
      </w:r>
      <w:r w:rsidRPr="00630A9E">
        <w:rPr>
          <w:rFonts w:ascii="Palatino" w:eastAsia="Droid Serif" w:hAnsi="Palatino" w:cstheme="minorHAnsi"/>
        </w:rPr>
        <w:t xml:space="preserve"> </w:t>
      </w:r>
      <w:r w:rsidR="005A1885" w:rsidRPr="00630A9E">
        <w:rPr>
          <w:rFonts w:ascii="Palatino" w:eastAsia="Droid Serif" w:hAnsi="Palatino" w:cstheme="minorHAnsi"/>
        </w:rPr>
        <w:t>exposed</w:t>
      </w:r>
      <w:r w:rsidRPr="00630A9E">
        <w:rPr>
          <w:rFonts w:ascii="Palatino" w:eastAsia="Droid Serif" w:hAnsi="Palatino" w:cstheme="minorHAnsi"/>
        </w:rPr>
        <w:t>.</w:t>
      </w:r>
    </w:p>
    <w:p w14:paraId="688C2749" w14:textId="352CFAD6" w:rsidR="006E6A1B" w:rsidRPr="00630A9E" w:rsidRDefault="006E6A1B" w:rsidP="008720B6">
      <w:pPr>
        <w:widowControl w:val="0"/>
        <w:ind w:right="-56" w:firstLine="426"/>
        <w:contextualSpacing/>
        <w:jc w:val="both"/>
        <w:rPr>
          <w:rFonts w:ascii="Palatino" w:eastAsia="Droid Serif" w:hAnsi="Palatino" w:cstheme="minorHAnsi"/>
        </w:rPr>
      </w:pPr>
      <w:r w:rsidRPr="00630A9E">
        <w:rPr>
          <w:rFonts w:ascii="Palatino" w:eastAsia="Droid Serif" w:hAnsi="Palatino" w:cstheme="minorHAnsi"/>
        </w:rPr>
        <w:t xml:space="preserve">This is not a complete list. I assume that these criteria are individually necessary but not jointly sufficient directions for any actually existing discourse, and could be as easily applied to law as it could to any other discourse. Yet, without some desiderata that help us conceive of the bare subject matter of law, there will be no hope for a </w:t>
      </w:r>
      <w:r w:rsidRPr="00630A9E">
        <w:rPr>
          <w:rFonts w:ascii="Palatino" w:eastAsia="Droid Serif" w:hAnsi="Palatino" w:cstheme="minorHAnsi"/>
        </w:rPr>
        <w:lastRenderedPageBreak/>
        <w:t>theoretical disagreement to have even a reasonable chance of being resolved, and subsequently dash any chance of figuring out which particular laws they are meant to follow given a slim evidentiary basis. At least, A, B, C, and D should all be able to expect these criteria to be honored by the rulers of a system, if there is any hope that the law is accessible, let alone discernable.</w:t>
      </w:r>
    </w:p>
    <w:p w14:paraId="4AE17EA3" w14:textId="60379D49" w:rsidR="00142025" w:rsidRDefault="00A86000" w:rsidP="008720B6">
      <w:pPr>
        <w:widowControl w:val="0"/>
        <w:ind w:right="-56" w:firstLine="426"/>
        <w:contextualSpacing/>
        <w:jc w:val="both"/>
        <w:rPr>
          <w:rFonts w:ascii="Palatino" w:eastAsia="Droid Serif" w:hAnsi="Palatino" w:cstheme="minorHAnsi"/>
        </w:rPr>
      </w:pPr>
      <w:r>
        <w:rPr>
          <w:rFonts w:ascii="Palatino" w:eastAsia="Droid Serif" w:hAnsi="Palatino" w:cstheme="minorHAnsi"/>
        </w:rPr>
        <w:t xml:space="preserve">These requirements both constitute and regulate </w:t>
      </w:r>
      <w:r w:rsidR="006E6A1B" w:rsidRPr="00630A9E">
        <w:rPr>
          <w:rFonts w:ascii="Palatino" w:eastAsia="Droid Serif" w:hAnsi="Palatino" w:cstheme="minorHAnsi"/>
        </w:rPr>
        <w:t>intellectual good faith</w:t>
      </w:r>
      <w:r>
        <w:rPr>
          <w:rFonts w:ascii="Palatino" w:eastAsia="Droid Serif" w:hAnsi="Palatino" w:cstheme="minorHAnsi"/>
        </w:rPr>
        <w:t xml:space="preserve"> participation in a discourse</w:t>
      </w:r>
      <w:r w:rsidR="006E6A1B" w:rsidRPr="00630A9E">
        <w:rPr>
          <w:rFonts w:ascii="Palatino" w:eastAsia="Droid Serif" w:hAnsi="Palatino" w:cstheme="minorHAnsi"/>
        </w:rPr>
        <w:t xml:space="preserve">. By ‘good faith’, I have meant values of an </w:t>
      </w:r>
      <w:r w:rsidR="006E6A1B" w:rsidRPr="004A4972">
        <w:rPr>
          <w:rFonts w:ascii="Palatino" w:eastAsia="Droid Serif" w:hAnsi="Palatino" w:cstheme="minorHAnsi"/>
        </w:rPr>
        <w:t>interpersonal</w:t>
      </w:r>
      <w:r w:rsidR="006E6A1B" w:rsidRPr="00630A9E">
        <w:rPr>
          <w:rFonts w:ascii="Palatino" w:eastAsia="Droid Serif" w:hAnsi="Palatino" w:cstheme="minorHAnsi"/>
        </w:rPr>
        <w:t xml:space="preserve"> discourse which make it possible for rulers to </w:t>
      </w:r>
      <w:r w:rsidR="007C3DAD">
        <w:rPr>
          <w:rFonts w:ascii="Palatino" w:eastAsia="Droid Serif" w:hAnsi="Palatino" w:cstheme="minorHAnsi"/>
        </w:rPr>
        <w:t>convey law</w:t>
      </w:r>
      <w:r w:rsidR="006E6A1B" w:rsidRPr="00630A9E">
        <w:rPr>
          <w:rFonts w:ascii="Palatino" w:eastAsia="Droid Serif" w:hAnsi="Palatino" w:cstheme="minorHAnsi"/>
        </w:rPr>
        <w:t xml:space="preserve">, providing conditions under which law </w:t>
      </w:r>
      <w:r w:rsidR="00DD6A0B">
        <w:rPr>
          <w:rFonts w:ascii="Palatino" w:eastAsia="Droid Serif" w:hAnsi="Palatino" w:cstheme="minorHAnsi"/>
        </w:rPr>
        <w:t>can be</w:t>
      </w:r>
      <w:r w:rsidR="006E6A1B" w:rsidRPr="00630A9E">
        <w:rPr>
          <w:rFonts w:ascii="Palatino" w:eastAsia="Droid Serif" w:hAnsi="Palatino" w:cstheme="minorHAnsi"/>
        </w:rPr>
        <w:t xml:space="preserve"> </w:t>
      </w:r>
      <w:r w:rsidR="00EB05A0">
        <w:rPr>
          <w:rFonts w:ascii="Palatino" w:eastAsia="Droid Serif" w:hAnsi="Palatino" w:cstheme="minorHAnsi"/>
        </w:rPr>
        <w:t xml:space="preserve">rationally </w:t>
      </w:r>
      <w:r w:rsidR="00DD6A0B">
        <w:rPr>
          <w:rFonts w:ascii="Palatino" w:eastAsia="Droid Serif" w:hAnsi="Palatino" w:cstheme="minorHAnsi"/>
        </w:rPr>
        <w:t>‘taken up’</w:t>
      </w:r>
      <w:r w:rsidR="006E6A1B" w:rsidRPr="00630A9E">
        <w:rPr>
          <w:rFonts w:ascii="Palatino" w:eastAsia="Droid Serif" w:hAnsi="Palatino" w:cstheme="minorHAnsi"/>
        </w:rPr>
        <w:t xml:space="preserve"> </w:t>
      </w:r>
      <w:r w:rsidR="00DD6A0B">
        <w:rPr>
          <w:rFonts w:ascii="Palatino" w:eastAsia="Droid Serif" w:hAnsi="Palatino" w:cstheme="minorHAnsi"/>
        </w:rPr>
        <w:t>by</w:t>
      </w:r>
      <w:r w:rsidR="00EB05A0">
        <w:rPr>
          <w:rFonts w:ascii="Palatino" w:eastAsia="Droid Serif" w:hAnsi="Palatino" w:cstheme="minorHAnsi"/>
        </w:rPr>
        <w:t xml:space="preserve"> citizens</w:t>
      </w:r>
      <w:r w:rsidR="006E6A1B" w:rsidRPr="00630A9E">
        <w:rPr>
          <w:rFonts w:ascii="Palatino" w:eastAsia="Droid Serif" w:hAnsi="Palatino" w:cstheme="minorHAnsi"/>
        </w:rPr>
        <w:t>.</w:t>
      </w:r>
      <w:r w:rsidR="00DD6A0B">
        <w:rPr>
          <w:rStyle w:val="FootnoteReference"/>
          <w:rFonts w:ascii="Palatino" w:eastAsia="Droid Serif" w:hAnsi="Palatino" w:cstheme="minorHAnsi"/>
        </w:rPr>
        <w:footnoteReference w:id="24"/>
      </w:r>
    </w:p>
    <w:p w14:paraId="39402CD0" w14:textId="77777777" w:rsidR="00DD6A0B" w:rsidRPr="00DD6A0B" w:rsidRDefault="00DD6A0B" w:rsidP="00DD6A0B">
      <w:pPr>
        <w:widowControl w:val="0"/>
        <w:ind w:right="-56" w:firstLine="426"/>
        <w:jc w:val="both"/>
        <w:rPr>
          <w:rFonts w:ascii="Palatino" w:eastAsia="Droid Serif" w:hAnsi="Palatino" w:cstheme="minorHAnsi"/>
        </w:rPr>
      </w:pPr>
      <w:r w:rsidRPr="00DD6A0B">
        <w:rPr>
          <w:rFonts w:ascii="Palatino" w:eastAsia="Droid Serif" w:hAnsi="Palatino" w:cstheme="minorHAnsi"/>
        </w:rPr>
        <w:t>The four virtues of good faith are an attempt to lay out the essential preconditions for conversational cooperation, i.e., attempts to state the necessary conditions for the application of its maxims. But, as I have stressed, these virtues are also an attempt to set out what we care about when we set out our conditions for better or worse bids at cooperation, in such a way that would help distinguish between gradations of cooperation, which carry forward in our assessments of epistemic risk.</w:t>
      </w:r>
    </w:p>
    <w:p w14:paraId="6E040838" w14:textId="77777777" w:rsidR="00DD6A0B" w:rsidRPr="00DD6A0B" w:rsidRDefault="00DD6A0B" w:rsidP="00DD6A0B">
      <w:pPr>
        <w:widowControl w:val="0"/>
        <w:ind w:right="-56" w:firstLine="426"/>
        <w:jc w:val="both"/>
        <w:rPr>
          <w:rFonts w:ascii="Palatino" w:eastAsia="Droid Serif" w:hAnsi="Palatino" w:cstheme="minorHAnsi"/>
        </w:rPr>
      </w:pPr>
    </w:p>
    <w:p w14:paraId="2BBC3253" w14:textId="77777777" w:rsidR="00DD6A0B" w:rsidRPr="00DD6A0B" w:rsidRDefault="00DD6A0B" w:rsidP="00DD6A0B">
      <w:pPr>
        <w:widowControl w:val="0"/>
        <w:numPr>
          <w:ilvl w:val="0"/>
          <w:numId w:val="10"/>
        </w:numPr>
        <w:ind w:right="-56"/>
        <w:jc w:val="both"/>
        <w:rPr>
          <w:rFonts w:ascii="Palatino" w:eastAsia="Droid Serif" w:hAnsi="Palatino" w:cstheme="minorHAnsi"/>
        </w:rPr>
      </w:pPr>
      <w:r w:rsidRPr="00DD6A0B">
        <w:rPr>
          <w:rFonts w:ascii="Palatino" w:eastAsia="Droid Serif" w:hAnsi="Palatino" w:cstheme="minorHAnsi"/>
          <w:b/>
        </w:rPr>
        <w:t>Integrity</w:t>
      </w:r>
      <w:r w:rsidRPr="00DD6A0B">
        <w:rPr>
          <w:rFonts w:ascii="Palatino" w:eastAsia="Droid Serif" w:hAnsi="Palatino" w:cstheme="minorHAnsi"/>
        </w:rPr>
        <w:t>. All other things equal, it seems that we are in a better position to know the law when it has integrity, simply by virtue of the fact that the cooperative maxims (especially, Quality and Relation) are possible without the assumption that the topic of discussion (e.g., law) is both stable and tractable under scrutiny. (</w:t>
      </w:r>
      <w:r w:rsidRPr="00DD6A0B">
        <w:rPr>
          <w:rFonts w:ascii="Palatino" w:eastAsia="Droid Serif" w:hAnsi="Palatino" w:cstheme="minorHAnsi"/>
          <w:i/>
        </w:rPr>
        <w:t>Example</w:t>
      </w:r>
      <w:r w:rsidRPr="00DD6A0B">
        <w:rPr>
          <w:rFonts w:ascii="Palatino" w:eastAsia="Droid Serif" w:hAnsi="Palatino" w:cstheme="minorHAnsi"/>
        </w:rPr>
        <w:t>. On my reading of Foucault, the law is determined through the strategic interaction of embodied persons in a system of power-relations, and discovered through the use of his genealogical method.</w:t>
      </w:r>
      <w:r w:rsidRPr="00DD6A0B">
        <w:rPr>
          <w:rFonts w:ascii="Palatino" w:eastAsia="Droid Serif" w:hAnsi="Palatino" w:cstheme="minorHAnsi"/>
          <w:vertAlign w:val="superscript"/>
        </w:rPr>
        <w:footnoteReference w:id="25"/>
      </w:r>
      <w:r w:rsidRPr="00DD6A0B">
        <w:rPr>
          <w:rFonts w:ascii="Palatino" w:eastAsia="Droid Serif" w:hAnsi="Palatino" w:cstheme="minorHAnsi"/>
        </w:rPr>
        <w:t xml:space="preserve"> If this is this what law is, then it is rather difficult to know who to trust during a civil rout. Indeed, that is likely Foucault’s point -- history is full of contingencies. In that respect, his theory minimizes integrity.)</w:t>
      </w:r>
    </w:p>
    <w:p w14:paraId="6DE355DE" w14:textId="77777777" w:rsidR="00DD6A0B" w:rsidRPr="00DD6A0B" w:rsidRDefault="00DD6A0B" w:rsidP="00DD6A0B">
      <w:pPr>
        <w:widowControl w:val="0"/>
        <w:numPr>
          <w:ilvl w:val="0"/>
          <w:numId w:val="10"/>
        </w:numPr>
        <w:ind w:right="-56"/>
        <w:jc w:val="both"/>
        <w:rPr>
          <w:rFonts w:ascii="Palatino" w:eastAsia="Droid Serif" w:hAnsi="Palatino" w:cstheme="minorHAnsi"/>
        </w:rPr>
      </w:pPr>
      <w:r w:rsidRPr="00DD6A0B">
        <w:rPr>
          <w:rFonts w:ascii="Palatino" w:eastAsia="Droid Serif" w:hAnsi="Palatino" w:cstheme="minorHAnsi"/>
          <w:b/>
        </w:rPr>
        <w:t>Humility</w:t>
      </w:r>
      <w:r w:rsidRPr="00DD6A0B">
        <w:rPr>
          <w:rFonts w:ascii="Palatino" w:eastAsia="Droid Serif" w:hAnsi="Palatino" w:cstheme="minorHAnsi"/>
        </w:rPr>
        <w:t xml:space="preserve"> involves necessary reference to evidence of facts that exist independently of merely subjective (i.e., willful) interpretation, whether that be empirical facts or logical universals -- e.g., empirically grounded predictions of the verdicts of judges or effects on bodies and behaviors. All other things equal, it seems as though we are better off as knowers when the law is humble, since one cannot even begin to consider obedience to Quality without a sense of what ordinances count as false or unjustified, by virtue of its connection to evidence. </w:t>
      </w:r>
      <w:r w:rsidRPr="00DD6A0B">
        <w:rPr>
          <w:rFonts w:ascii="Palatino" w:eastAsia="Droid Serif" w:hAnsi="Palatino" w:cstheme="minorHAnsi"/>
          <w:i/>
        </w:rPr>
        <w:t>(Example</w:t>
      </w:r>
      <w:r w:rsidRPr="00DD6A0B">
        <w:rPr>
          <w:rFonts w:ascii="Palatino" w:eastAsia="Droid Serif" w:hAnsi="Palatino" w:cstheme="minorHAnsi"/>
          <w:b/>
        </w:rPr>
        <w:t xml:space="preserve">. </w:t>
      </w:r>
      <w:r w:rsidRPr="00DD6A0B">
        <w:rPr>
          <w:rFonts w:ascii="Palatino" w:eastAsia="Droid Serif" w:hAnsi="Palatino" w:cstheme="minorHAnsi"/>
        </w:rPr>
        <w:t xml:space="preserve">It is a happy fact that most canonical theories of law are directed towards evaluative or explanatory concerns and not just semantics. Legal nihilism is not a common view amongst </w:t>
      </w:r>
      <w:proofErr w:type="spellStart"/>
      <w:r w:rsidRPr="00DD6A0B">
        <w:rPr>
          <w:rFonts w:ascii="Palatino" w:eastAsia="Droid Serif" w:hAnsi="Palatino" w:cstheme="minorHAnsi"/>
        </w:rPr>
        <w:t>jurisprudes</w:t>
      </w:r>
      <w:proofErr w:type="spellEnd"/>
      <w:r w:rsidRPr="00DD6A0B">
        <w:rPr>
          <w:rFonts w:ascii="Palatino" w:eastAsia="Droid Serif" w:hAnsi="Palatino" w:cstheme="minorHAnsi"/>
        </w:rPr>
        <w:t xml:space="preserve">. </w:t>
      </w:r>
      <w:r w:rsidRPr="00DD6A0B">
        <w:rPr>
          <w:rFonts w:ascii="Palatino" w:eastAsia="Droid Serif" w:hAnsi="Palatino" w:cstheme="minorHAnsi"/>
        </w:rPr>
        <w:lastRenderedPageBreak/>
        <w:t xml:space="preserve">Austin is perhaps the one theorist who has been most frequently accused of hubris, owing to his high rhetoric about competing theories as ‘nonsense’. Yet this is maybe overstating things, since many sections of his </w:t>
      </w:r>
      <w:r w:rsidRPr="00DD6A0B">
        <w:rPr>
          <w:rFonts w:ascii="Palatino" w:eastAsia="Droid Serif" w:hAnsi="Palatino" w:cstheme="minorHAnsi"/>
          <w:i/>
        </w:rPr>
        <w:t xml:space="preserve">Province of Jurisprudence Determined </w:t>
      </w:r>
      <w:r w:rsidRPr="00DD6A0B">
        <w:rPr>
          <w:rFonts w:ascii="Palatino" w:eastAsia="Droid Serif" w:hAnsi="Palatino" w:cstheme="minorHAnsi"/>
        </w:rPr>
        <w:t>show that he was ultimately concerned with the focal meaning of law, or law ‘strictly speaking’.</w:t>
      </w:r>
      <w:r w:rsidRPr="00DD6A0B">
        <w:rPr>
          <w:rFonts w:ascii="Palatino" w:eastAsia="Droid Serif" w:hAnsi="Palatino" w:cstheme="minorHAnsi"/>
          <w:vertAlign w:val="superscript"/>
        </w:rPr>
        <w:footnoteReference w:id="26"/>
      </w:r>
      <w:r w:rsidRPr="00DD6A0B">
        <w:rPr>
          <w:rFonts w:ascii="Palatino" w:eastAsia="Droid Serif" w:hAnsi="Palatino" w:cstheme="minorHAnsi"/>
        </w:rPr>
        <w:t xml:space="preserve"> Still, we can ask legitimate questions about whether his conception of focal meaning is well motivated, in such a way that would distinguish it from technical meaning.)</w:t>
      </w:r>
    </w:p>
    <w:p w14:paraId="45621CEF" w14:textId="77777777" w:rsidR="00DD6A0B" w:rsidRPr="00DD6A0B" w:rsidRDefault="00DD6A0B" w:rsidP="00DD6A0B">
      <w:pPr>
        <w:widowControl w:val="0"/>
        <w:numPr>
          <w:ilvl w:val="0"/>
          <w:numId w:val="10"/>
        </w:numPr>
        <w:ind w:right="-56"/>
        <w:jc w:val="both"/>
        <w:rPr>
          <w:rFonts w:ascii="Palatino" w:eastAsia="Droid Serif" w:hAnsi="Palatino" w:cstheme="minorHAnsi"/>
        </w:rPr>
      </w:pPr>
      <w:r w:rsidRPr="00DD6A0B">
        <w:rPr>
          <w:rFonts w:ascii="Palatino" w:eastAsia="Droid Serif" w:hAnsi="Palatino" w:cstheme="minorHAnsi"/>
          <w:b/>
        </w:rPr>
        <w:t>Fidelity</w:t>
      </w:r>
      <w:r w:rsidRPr="00DD6A0B">
        <w:rPr>
          <w:rFonts w:ascii="Palatino" w:eastAsia="Droid Serif" w:hAnsi="Palatino" w:cstheme="minorHAnsi"/>
        </w:rPr>
        <w:t>. An especially complex system of laws, with procedural rules that are finely tuned to meet the unique demands of diverse substantial contexts, would be a system that displayed the maximum honor to the value of fidelity. Yet, because the conditions for success in satisfying various goals are often based on controversies that fall short of common knowledge, they involve forms of nested reasoning with a bafflingly large division of labour. Hence, it is all-other-things-equal better if the demands for fidelity rest in the middle, satisficing range. Without a satisficing conception of fidelity, a legal system runs the risk of undermining Manner and Quality. (</w:t>
      </w:r>
      <w:r w:rsidRPr="00DD6A0B">
        <w:rPr>
          <w:rFonts w:ascii="Palatino" w:eastAsia="Droid Serif" w:hAnsi="Palatino" w:cstheme="minorHAnsi"/>
          <w:i/>
        </w:rPr>
        <w:t>Examples</w:t>
      </w:r>
      <w:r w:rsidRPr="00DD6A0B">
        <w:rPr>
          <w:rFonts w:ascii="Palatino" w:eastAsia="Droid Serif" w:hAnsi="Palatino" w:cstheme="minorHAnsi"/>
        </w:rPr>
        <w:t xml:space="preserve">. There are two ways of imposing epistemic risks through fidelity -- through (a) excessive fidelity, or (b) deficit thereof. It is rather easy to identify such theorists at the level of </w:t>
      </w:r>
      <w:r w:rsidRPr="00DD6A0B">
        <w:rPr>
          <w:rFonts w:ascii="Palatino" w:eastAsia="Droid Serif" w:hAnsi="Palatino" w:cstheme="minorHAnsi"/>
          <w:i/>
        </w:rPr>
        <w:t>discernment</w:t>
      </w:r>
      <w:r w:rsidRPr="00DD6A0B">
        <w:rPr>
          <w:rFonts w:ascii="Palatino" w:eastAsia="Droid Serif" w:hAnsi="Palatino" w:cstheme="minorHAnsi"/>
        </w:rPr>
        <w:t xml:space="preserve"> – e.g., Dworkin’s theory embraces a ‘unique right answers’ or perfectionist thesis, while Karl Llewelyn endorses strong discretion. For a theory of </w:t>
      </w:r>
      <w:r w:rsidRPr="00DD6A0B">
        <w:rPr>
          <w:rFonts w:ascii="Palatino" w:eastAsia="Droid Serif" w:hAnsi="Palatino" w:cstheme="minorHAnsi"/>
          <w:i/>
        </w:rPr>
        <w:t>access</w:t>
      </w:r>
      <w:r w:rsidRPr="00DD6A0B">
        <w:rPr>
          <w:rFonts w:ascii="Palatino" w:eastAsia="Droid Serif" w:hAnsi="Palatino" w:cstheme="minorHAnsi"/>
        </w:rPr>
        <w:t>, Aquinas endorsed a conception of law that was moored in a rich multilayered conception of the good and the right, chiefly accomplished through reference to divine law.)</w:t>
      </w:r>
      <w:r w:rsidRPr="00DD6A0B">
        <w:rPr>
          <w:rFonts w:ascii="Palatino" w:eastAsia="Droid Serif" w:hAnsi="Palatino" w:cstheme="minorHAnsi"/>
          <w:vertAlign w:val="superscript"/>
        </w:rPr>
        <w:footnoteReference w:id="27"/>
      </w:r>
    </w:p>
    <w:p w14:paraId="5FFCDD41" w14:textId="77777777" w:rsidR="00DD6A0B" w:rsidRPr="00DD6A0B" w:rsidRDefault="00DD6A0B" w:rsidP="00DD6A0B">
      <w:pPr>
        <w:widowControl w:val="0"/>
        <w:numPr>
          <w:ilvl w:val="0"/>
          <w:numId w:val="10"/>
        </w:numPr>
        <w:ind w:right="-56"/>
        <w:jc w:val="both"/>
        <w:rPr>
          <w:rFonts w:ascii="Palatino" w:eastAsia="Droid Serif" w:hAnsi="Palatino" w:cstheme="minorHAnsi"/>
        </w:rPr>
      </w:pPr>
      <w:r w:rsidRPr="00DD6A0B">
        <w:rPr>
          <w:rFonts w:ascii="Palatino" w:eastAsia="Droid Serif" w:hAnsi="Palatino" w:cstheme="minorHAnsi"/>
          <w:b/>
        </w:rPr>
        <w:t>Candor</w:t>
      </w:r>
      <w:r w:rsidRPr="00DD6A0B">
        <w:rPr>
          <w:rFonts w:ascii="Palatino" w:eastAsia="Droid Serif" w:hAnsi="Palatino" w:cstheme="minorHAnsi"/>
        </w:rPr>
        <w:t xml:space="preserve"> is at its minimum when integrity is disproportionate to humility – either because a legal theory posits rules that are indifferent to observable practice, or because reasons play a relatively small role in establishing what counts as law. To the extent that integrity and humility have a proportionate fit, the system can be said to have honored the value of candor at its maximum. Without candor, we can hardly begin satisfy expectations of Quantity, either as sovereign or subjects, because there will be no sense of what must count as a minimally good explanation of how law works. (</w:t>
      </w:r>
      <w:r w:rsidRPr="00DD6A0B">
        <w:rPr>
          <w:rFonts w:ascii="Palatino" w:eastAsia="Droid Serif" w:hAnsi="Palatino" w:cstheme="minorHAnsi"/>
          <w:i/>
        </w:rPr>
        <w:t>Examples</w:t>
      </w:r>
      <w:r w:rsidRPr="00DD6A0B">
        <w:rPr>
          <w:rFonts w:ascii="Palatino" w:eastAsia="Droid Serif" w:hAnsi="Palatino" w:cstheme="minorHAnsi"/>
        </w:rPr>
        <w:t>. In this area, for reasons mentioned, we might include Foucault, who proposed a vision of law that could not ever be accused of being obvious. Similar observations could be made, broadly speaking, for critical theories of a certain kind. e.g., on one reading of Marx, the law lacks any integrity, being a superstructure that operates as a function of the frictions of the material-economic base; and yet he takes full advantage of the legal concept of property, and deploys it in a relatively sophisticated conception of value in exchange, in a manner that suggests at least some legal phenomena have robust explanatory role. And, sure enough, one cannot accuse Marxian theory of being obvious or candid in the relevant sense.)</w:t>
      </w:r>
    </w:p>
    <w:p w14:paraId="428A08AF" w14:textId="77777777" w:rsidR="004A2B9A" w:rsidRPr="00630A9E" w:rsidRDefault="004A2B9A" w:rsidP="008720B6">
      <w:pPr>
        <w:widowControl w:val="0"/>
        <w:ind w:right="-56" w:firstLine="426"/>
        <w:jc w:val="both"/>
        <w:rPr>
          <w:rFonts w:ascii="Palatino" w:eastAsia="Droid Serif" w:hAnsi="Palatino" w:cstheme="minorHAnsi"/>
        </w:rPr>
      </w:pPr>
    </w:p>
    <w:p w14:paraId="25D4F532" w14:textId="01D42CCD" w:rsidR="006E6A1B" w:rsidRPr="00630A9E" w:rsidRDefault="008F0C4C" w:rsidP="008720B6">
      <w:pPr>
        <w:widowControl w:val="0"/>
        <w:ind w:right="-56"/>
        <w:jc w:val="both"/>
        <w:rPr>
          <w:rFonts w:ascii="Palatino" w:eastAsia="Droid Serif" w:hAnsi="Palatino" w:cstheme="minorHAnsi"/>
        </w:rPr>
      </w:pPr>
      <w:r>
        <w:rPr>
          <w:rFonts w:ascii="Palatino" w:eastAsia="Droid Serif" w:hAnsi="Palatino" w:cstheme="minorHAnsi"/>
        </w:rPr>
        <w:t>As noted above, the</w:t>
      </w:r>
      <w:r w:rsidR="006E6A1B" w:rsidRPr="00630A9E">
        <w:rPr>
          <w:rFonts w:ascii="Palatino" w:eastAsia="Droid Serif" w:hAnsi="Palatino" w:cstheme="minorHAnsi"/>
        </w:rPr>
        <w:t xml:space="preserve"> first three</w:t>
      </w:r>
      <w:r>
        <w:rPr>
          <w:rFonts w:ascii="Palatino" w:eastAsia="Droid Serif" w:hAnsi="Palatino" w:cstheme="minorHAnsi"/>
        </w:rPr>
        <w:t xml:space="preserve"> virtues -- fidelity, integrity, and humility --</w:t>
      </w:r>
      <w:r w:rsidR="006E6A1B" w:rsidRPr="00630A9E">
        <w:rPr>
          <w:rFonts w:ascii="Palatino" w:eastAsia="Droid Serif" w:hAnsi="Palatino" w:cstheme="minorHAnsi"/>
        </w:rPr>
        <w:t xml:space="preserve"> </w:t>
      </w:r>
      <w:r>
        <w:rPr>
          <w:rFonts w:ascii="Palatino" w:eastAsia="Droid Serif" w:hAnsi="Palatino" w:cstheme="minorHAnsi"/>
        </w:rPr>
        <w:t xml:space="preserve">reflect variables that were </w:t>
      </w:r>
      <w:r w:rsidR="00DD6A0B">
        <w:rPr>
          <w:rFonts w:ascii="Palatino" w:eastAsia="Droid Serif" w:hAnsi="Palatino" w:cstheme="minorHAnsi"/>
        </w:rPr>
        <w:t>noted</w:t>
      </w:r>
      <w:r w:rsidR="006E6A1B" w:rsidRPr="00630A9E">
        <w:rPr>
          <w:rFonts w:ascii="Palatino" w:eastAsia="Droid Serif" w:hAnsi="Palatino" w:cstheme="minorHAnsi"/>
        </w:rPr>
        <w:t xml:space="preserve"> by Grice himself</w:t>
      </w:r>
      <w:r w:rsidR="00DD6A0B">
        <w:rPr>
          <w:rFonts w:ascii="Palatino" w:eastAsia="Droid Serif" w:hAnsi="Palatino" w:cstheme="minorHAnsi"/>
        </w:rPr>
        <w:t>:</w:t>
      </w:r>
      <w:r>
        <w:rPr>
          <w:rFonts w:ascii="Palatino" w:eastAsia="Droid Serif" w:hAnsi="Palatino" w:cstheme="minorHAnsi"/>
        </w:rPr>
        <w:t xml:space="preserve"> i.e., presuppositions of aim, expectation, and coordination (respectively)</w:t>
      </w:r>
      <w:r w:rsidR="006E6A1B" w:rsidRPr="00630A9E">
        <w:rPr>
          <w:rFonts w:ascii="Palatino" w:eastAsia="Droid Serif" w:hAnsi="Palatino" w:cstheme="minorHAnsi"/>
        </w:rPr>
        <w:t>.</w:t>
      </w:r>
      <w:r w:rsidR="00583ADC" w:rsidRPr="00630A9E">
        <w:rPr>
          <w:rStyle w:val="FootnoteReference"/>
          <w:rFonts w:ascii="Palatino" w:eastAsia="Droid Serif" w:hAnsi="Palatino" w:cstheme="minorHAnsi"/>
        </w:rPr>
        <w:footnoteReference w:id="28"/>
      </w:r>
      <w:r>
        <w:rPr>
          <w:rFonts w:ascii="Palatino" w:eastAsia="Droid Serif" w:hAnsi="Palatino" w:cstheme="minorHAnsi"/>
        </w:rPr>
        <w:t xml:space="preserve"> But I have added a </w:t>
      </w:r>
      <w:r w:rsidR="006E6A1B" w:rsidRPr="00630A9E">
        <w:rPr>
          <w:rFonts w:ascii="Palatino" w:eastAsia="Droid Serif" w:hAnsi="Palatino" w:cstheme="minorHAnsi"/>
        </w:rPr>
        <w:t xml:space="preserve">fourth </w:t>
      </w:r>
      <w:r>
        <w:rPr>
          <w:rFonts w:ascii="Palatino" w:eastAsia="Droid Serif" w:hAnsi="Palatino" w:cstheme="minorHAnsi"/>
        </w:rPr>
        <w:t>virtue</w:t>
      </w:r>
      <w:r w:rsidR="006E6A1B" w:rsidRPr="00630A9E">
        <w:rPr>
          <w:rFonts w:ascii="Palatino" w:eastAsia="Droid Serif" w:hAnsi="Palatino" w:cstheme="minorHAnsi"/>
        </w:rPr>
        <w:t>, candor</w:t>
      </w:r>
      <w:r>
        <w:rPr>
          <w:rFonts w:ascii="Palatino" w:eastAsia="Droid Serif" w:hAnsi="Palatino" w:cstheme="minorHAnsi"/>
        </w:rPr>
        <w:t xml:space="preserve">, which is a </w:t>
      </w:r>
      <w:r>
        <w:rPr>
          <w:rFonts w:ascii="Palatino" w:eastAsia="Droid Serif" w:hAnsi="Palatino" w:cstheme="minorHAnsi"/>
        </w:rPr>
        <w:lastRenderedPageBreak/>
        <w:t>necessary addition for the current project</w:t>
      </w:r>
      <w:r w:rsidR="006E6A1B" w:rsidRPr="00630A9E">
        <w:rPr>
          <w:rFonts w:ascii="Palatino" w:eastAsia="Droid Serif" w:hAnsi="Palatino" w:cstheme="minorHAnsi"/>
        </w:rPr>
        <w:t xml:space="preserve">. For Grice’s project was to distinguish between the ways we understand </w:t>
      </w:r>
      <w:r w:rsidR="006E6A1B" w:rsidRPr="00630A9E">
        <w:rPr>
          <w:rFonts w:ascii="Palatino" w:eastAsia="Droid Serif" w:hAnsi="Palatino" w:cstheme="minorHAnsi"/>
          <w:i/>
        </w:rPr>
        <w:t>what is implicated</w:t>
      </w:r>
      <w:r w:rsidR="006E6A1B" w:rsidRPr="00630A9E">
        <w:rPr>
          <w:rFonts w:ascii="Palatino" w:eastAsia="Droid Serif" w:hAnsi="Palatino" w:cstheme="minorHAnsi"/>
        </w:rPr>
        <w:t xml:space="preserve"> in relation to </w:t>
      </w:r>
      <w:r w:rsidR="006E6A1B" w:rsidRPr="00630A9E">
        <w:rPr>
          <w:rFonts w:ascii="Palatino" w:eastAsia="Droid Serif" w:hAnsi="Palatino" w:cstheme="minorHAnsi"/>
          <w:i/>
        </w:rPr>
        <w:t>what is said</w:t>
      </w:r>
      <w:r w:rsidR="006E6A1B" w:rsidRPr="00630A9E">
        <w:rPr>
          <w:rFonts w:ascii="Palatino" w:eastAsia="Droid Serif" w:hAnsi="Palatino" w:cstheme="minorHAnsi"/>
        </w:rPr>
        <w:t>.</w:t>
      </w:r>
      <w:r w:rsidR="00583ADC" w:rsidRPr="00630A9E">
        <w:rPr>
          <w:rStyle w:val="FootnoteReference"/>
          <w:rFonts w:ascii="Palatino" w:eastAsia="Droid Serif" w:hAnsi="Palatino" w:cstheme="minorHAnsi"/>
        </w:rPr>
        <w:footnoteReference w:id="29"/>
      </w:r>
      <w:r w:rsidR="006E6A1B" w:rsidRPr="00630A9E">
        <w:rPr>
          <w:rFonts w:ascii="Palatino" w:eastAsia="Droid Serif" w:hAnsi="Palatino" w:cstheme="minorHAnsi"/>
        </w:rPr>
        <w:t xml:space="preserve"> Our task in investigating promulgation is to understand </w:t>
      </w:r>
      <w:r w:rsidR="006E6A1B" w:rsidRPr="00630A9E">
        <w:rPr>
          <w:rFonts w:ascii="Palatino" w:eastAsia="Droid Serif" w:hAnsi="Palatino" w:cstheme="minorHAnsi"/>
          <w:i/>
        </w:rPr>
        <w:t xml:space="preserve">what is conveyed in good faith -- </w:t>
      </w:r>
      <w:r w:rsidR="006E6A1B" w:rsidRPr="00630A9E">
        <w:rPr>
          <w:rFonts w:ascii="Palatino" w:eastAsia="Droid Serif" w:hAnsi="Palatino" w:cstheme="minorHAnsi"/>
        </w:rPr>
        <w:t xml:space="preserve">regardless of whether </w:t>
      </w:r>
      <w:r w:rsidR="00116ACF" w:rsidRPr="00630A9E">
        <w:rPr>
          <w:rFonts w:ascii="Palatino" w:eastAsia="Droid Serif" w:hAnsi="Palatino" w:cstheme="minorHAnsi"/>
        </w:rPr>
        <w:t>the conveyance</w:t>
      </w:r>
      <w:r w:rsidR="006E6A1B" w:rsidRPr="00630A9E">
        <w:rPr>
          <w:rFonts w:ascii="Palatino" w:eastAsia="Droid Serif" w:hAnsi="Palatino" w:cstheme="minorHAnsi"/>
        </w:rPr>
        <w:t xml:space="preserve"> was implicated, said, or </w:t>
      </w:r>
      <w:r w:rsidR="00583ADC" w:rsidRPr="00630A9E">
        <w:rPr>
          <w:rFonts w:ascii="Palatino" w:eastAsia="Droid Serif" w:hAnsi="Palatino" w:cstheme="minorHAnsi"/>
        </w:rPr>
        <w:t>what have you</w:t>
      </w:r>
      <w:r w:rsidR="00116ACF" w:rsidRPr="00630A9E">
        <w:rPr>
          <w:rFonts w:ascii="Palatino" w:eastAsia="Droid Serif" w:hAnsi="Palatino" w:cstheme="minorHAnsi"/>
        </w:rPr>
        <w:t>.</w:t>
      </w:r>
      <w:r w:rsidR="00116ACF" w:rsidRPr="00630A9E">
        <w:rPr>
          <w:rStyle w:val="FootnoteReference"/>
          <w:rFonts w:ascii="Palatino" w:eastAsia="Droid Serif" w:hAnsi="Palatino" w:cstheme="minorHAnsi"/>
        </w:rPr>
        <w:footnoteReference w:id="30"/>
      </w:r>
      <w:r w:rsidR="00116ACF" w:rsidRPr="00630A9E">
        <w:rPr>
          <w:rFonts w:ascii="Palatino" w:eastAsia="Droid Serif" w:hAnsi="Palatino" w:cstheme="minorHAnsi"/>
        </w:rPr>
        <w:t xml:space="preserve"> It is instead a conversation about focus – i.e., </w:t>
      </w:r>
      <w:r w:rsidR="006E6A1B" w:rsidRPr="00630A9E">
        <w:rPr>
          <w:rFonts w:ascii="Palatino" w:eastAsia="Droid Serif" w:hAnsi="Palatino" w:cstheme="minorHAnsi"/>
        </w:rPr>
        <w:t xml:space="preserve">to distinguish between those contents that are at issue in the conversation from those which are only at issue in the meta-conversation, i.e., the conversation about what the aims, standards, and procedures of the conversation ought to be. That distinction, in turn, only requires us to take notice of the ways that the (roughly) stable aspects of discourse (“integrity”) interface with apparent bids at coordination in the moment (“humility”), especially in cases of potential dissonance which would </w:t>
      </w:r>
      <w:r w:rsidR="009C6A50">
        <w:rPr>
          <w:rFonts w:ascii="Palatino" w:eastAsia="Droid Serif" w:hAnsi="Palatino" w:cstheme="minorHAnsi"/>
        </w:rPr>
        <w:t>trigger a search for clues of meaning by</w:t>
      </w:r>
      <w:r w:rsidR="006E6A1B" w:rsidRPr="00630A9E">
        <w:rPr>
          <w:rFonts w:ascii="Palatino" w:eastAsia="Droid Serif" w:hAnsi="Palatino" w:cstheme="minorHAnsi"/>
        </w:rPr>
        <w:t xml:space="preserve"> the interpreter’s empathetic inner detective. In such cases, the listener faces a choice of either going along with the confusing terms of the discussion (</w:t>
      </w:r>
      <w:r w:rsidR="004D4A33" w:rsidRPr="00630A9E">
        <w:rPr>
          <w:rFonts w:ascii="Palatino" w:eastAsia="Droid Serif" w:hAnsi="Palatino" w:cstheme="minorHAnsi"/>
        </w:rPr>
        <w:t>keeping</w:t>
      </w:r>
      <w:r w:rsidR="006E6A1B" w:rsidRPr="00630A9E">
        <w:rPr>
          <w:rFonts w:ascii="Palatino" w:eastAsia="Droid Serif" w:hAnsi="Palatino" w:cstheme="minorHAnsi"/>
        </w:rPr>
        <w:t xml:space="preserve"> the meta-conversation </w:t>
      </w:r>
      <w:r w:rsidR="004D4A33" w:rsidRPr="00630A9E">
        <w:rPr>
          <w:rFonts w:ascii="Palatino" w:eastAsia="Droid Serif" w:hAnsi="Palatino" w:cstheme="minorHAnsi"/>
        </w:rPr>
        <w:t>in the background</w:t>
      </w:r>
      <w:r w:rsidR="006E6A1B" w:rsidRPr="00630A9E">
        <w:rPr>
          <w:rFonts w:ascii="Palatino" w:eastAsia="Droid Serif" w:hAnsi="Palatino" w:cstheme="minorHAnsi"/>
        </w:rPr>
        <w:t>), or problematizing the terms of the discussion by making confusions plain (</w:t>
      </w:r>
      <w:r w:rsidR="004D4A33" w:rsidRPr="00630A9E">
        <w:rPr>
          <w:rFonts w:ascii="Palatino" w:eastAsia="Droid Serif" w:hAnsi="Palatino" w:cstheme="minorHAnsi"/>
        </w:rPr>
        <w:t>raising</w:t>
      </w:r>
      <w:r w:rsidR="006E6A1B" w:rsidRPr="00630A9E">
        <w:rPr>
          <w:rFonts w:ascii="Palatino" w:eastAsia="Droid Serif" w:hAnsi="Palatino" w:cstheme="minorHAnsi"/>
        </w:rPr>
        <w:t xml:space="preserve"> the meta-conversation </w:t>
      </w:r>
      <w:r w:rsidR="004D4A33" w:rsidRPr="00630A9E">
        <w:rPr>
          <w:rFonts w:ascii="Palatino" w:eastAsia="Droid Serif" w:hAnsi="Palatino" w:cstheme="minorHAnsi"/>
        </w:rPr>
        <w:t>to the level where its contents are</w:t>
      </w:r>
      <w:r w:rsidR="006E6A1B" w:rsidRPr="00630A9E">
        <w:rPr>
          <w:rFonts w:ascii="Palatino" w:eastAsia="Droid Serif" w:hAnsi="Palatino" w:cstheme="minorHAnsi"/>
        </w:rPr>
        <w:t xml:space="preserve"> at-issue).</w:t>
      </w:r>
      <w:r w:rsidR="00AB2CE2" w:rsidRPr="00630A9E">
        <w:rPr>
          <w:rStyle w:val="FootnoteReference"/>
          <w:rFonts w:ascii="Palatino" w:eastAsia="Droid Serif" w:hAnsi="Palatino" w:cstheme="minorHAnsi"/>
        </w:rPr>
        <w:footnoteReference w:id="31"/>
      </w:r>
      <w:r w:rsidR="006E6A1B" w:rsidRPr="00630A9E">
        <w:rPr>
          <w:rFonts w:ascii="Palatino" w:eastAsia="Droid Serif" w:hAnsi="Palatino" w:cstheme="minorHAnsi"/>
        </w:rPr>
        <w:t xml:space="preserve"> Problematization, or raising the meta-conversation to the level of being at-issue within the conversation, demonstrates more candor rather than less, in the context of</w:t>
      </w:r>
      <w:r w:rsidR="00583ADC" w:rsidRPr="00630A9E">
        <w:rPr>
          <w:rFonts w:ascii="Palatino" w:eastAsia="Droid Serif" w:hAnsi="Palatino" w:cstheme="minorHAnsi"/>
        </w:rPr>
        <w:t xml:space="preserve"> responding to</w:t>
      </w:r>
      <w:r w:rsidR="00691BD4" w:rsidRPr="00630A9E">
        <w:rPr>
          <w:rFonts w:ascii="Palatino" w:eastAsia="Droid Serif" w:hAnsi="Palatino" w:cstheme="minorHAnsi"/>
        </w:rPr>
        <w:t xml:space="preserve"> the sort of cognitive</w:t>
      </w:r>
      <w:r w:rsidR="006E6A1B" w:rsidRPr="00630A9E">
        <w:rPr>
          <w:rFonts w:ascii="Palatino" w:eastAsia="Droid Serif" w:hAnsi="Palatino" w:cstheme="minorHAnsi"/>
        </w:rPr>
        <w:t xml:space="preserve"> dissonance</w:t>
      </w:r>
      <w:r w:rsidR="00691BD4" w:rsidRPr="00630A9E">
        <w:rPr>
          <w:rFonts w:ascii="Palatino" w:eastAsia="Droid Serif" w:hAnsi="Palatino" w:cstheme="minorHAnsi"/>
        </w:rPr>
        <w:t xml:space="preserve"> that </w:t>
      </w:r>
      <w:r w:rsidR="00AB2CE2" w:rsidRPr="00630A9E">
        <w:rPr>
          <w:rFonts w:ascii="Palatino" w:eastAsia="Droid Serif" w:hAnsi="Palatino" w:cstheme="minorHAnsi"/>
        </w:rPr>
        <w:t>might</w:t>
      </w:r>
      <w:r w:rsidR="00691BD4" w:rsidRPr="00630A9E">
        <w:rPr>
          <w:rFonts w:ascii="Palatino" w:eastAsia="Droid Serif" w:hAnsi="Palatino" w:cstheme="minorHAnsi"/>
        </w:rPr>
        <w:t xml:space="preserve"> prompt </w:t>
      </w:r>
      <w:r w:rsidR="00AB2CE2" w:rsidRPr="00630A9E">
        <w:rPr>
          <w:rFonts w:ascii="Palatino" w:eastAsia="Droid Serif" w:hAnsi="Palatino" w:cstheme="minorHAnsi"/>
        </w:rPr>
        <w:t>a listener to go searching for implicit content</w:t>
      </w:r>
      <w:r w:rsidR="006E6A1B" w:rsidRPr="00630A9E">
        <w:rPr>
          <w:rFonts w:ascii="Palatino" w:eastAsia="Droid Serif" w:hAnsi="Palatino" w:cstheme="minorHAnsi"/>
        </w:rPr>
        <w:t>.</w:t>
      </w:r>
    </w:p>
    <w:p w14:paraId="5DD49BAA" w14:textId="533A99AC" w:rsidR="00DD6A0B" w:rsidRDefault="00DD6A0B" w:rsidP="00DD6A0B">
      <w:pPr>
        <w:widowControl w:val="0"/>
        <w:ind w:right="-56" w:firstLine="426"/>
        <w:jc w:val="both"/>
        <w:rPr>
          <w:rFonts w:ascii="Palatino" w:eastAsia="Droid Serif" w:hAnsi="Palatino" w:cstheme="minorHAnsi"/>
        </w:rPr>
      </w:pPr>
      <w:r w:rsidRPr="00DD6A0B">
        <w:rPr>
          <w:rFonts w:ascii="Palatino" w:eastAsia="Droid Serif" w:hAnsi="Palatino" w:cstheme="minorHAnsi"/>
        </w:rPr>
        <w:t>The scheme of virtues is also useful in practical legal contexts</w:t>
      </w:r>
      <w:r>
        <w:rPr>
          <w:rFonts w:ascii="Palatino" w:eastAsia="Droid Serif" w:hAnsi="Palatino" w:cstheme="minorHAnsi"/>
        </w:rPr>
        <w:t>, entirely putting aside questions related to promulgation of law</w:t>
      </w:r>
      <w:r w:rsidRPr="00DD6A0B">
        <w:rPr>
          <w:rFonts w:ascii="Palatino" w:eastAsia="Droid Serif" w:hAnsi="Palatino" w:cstheme="minorHAnsi"/>
        </w:rPr>
        <w:t>. Consider, again, the case of ‘conflict of interest’. In clear cases, it will be obvious what actions will truly risk a loss of loyalty in a solicitor-client relationship. But in opaque cases, our first answer to ‘are you at risk of loss of loyalty?’ is not going to be settled by reference to common facts that would by assessable by the maxim of quality. It must instead be answered by some working concept of what it means to have integrity, or what it means to keep faith with your client, confined by requirements of competence -- such that a particular action or inaction would qualitatively alter the relationship between solicitor and client. Intellectual good faith requires us all to always try to satisfy those virtues, and also, to always succeed in finding some overlapping agreement over what it would mean to satisfy them, resulting in priors that we can use in the assessment of epistemic risks.</w:t>
      </w:r>
    </w:p>
    <w:p w14:paraId="64A557AE" w14:textId="3712F978" w:rsidR="006E6A1B" w:rsidRDefault="006E6A1B"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 xml:space="preserve">Another reason to think that this schema is an advantage is that it does not need to operate over all and only Gricean intentions. Indeed, in the limiting case, we might consider a whole range of interesting perlocutionary acts that convey </w:t>
      </w:r>
      <w:r w:rsidR="00A96D41">
        <w:rPr>
          <w:rFonts w:ascii="Palatino" w:eastAsia="Droid Serif" w:hAnsi="Palatino" w:cstheme="minorHAnsi"/>
        </w:rPr>
        <w:t xml:space="preserve">only </w:t>
      </w:r>
      <w:r w:rsidRPr="00630A9E">
        <w:rPr>
          <w:rFonts w:ascii="Palatino" w:eastAsia="Droid Serif" w:hAnsi="Palatino" w:cstheme="minorHAnsi"/>
        </w:rPr>
        <w:t xml:space="preserve">a </w:t>
      </w:r>
      <w:proofErr w:type="spellStart"/>
      <w:r w:rsidR="00DD6A0B">
        <w:rPr>
          <w:rFonts w:ascii="Palatino" w:eastAsia="Droid Serif" w:hAnsi="Palatino" w:cstheme="minorHAnsi"/>
        </w:rPr>
        <w:t>dogwhistled</w:t>
      </w:r>
      <w:proofErr w:type="spellEnd"/>
      <w:r w:rsidR="00A96D41">
        <w:rPr>
          <w:rFonts w:ascii="Palatino" w:eastAsia="Droid Serif" w:hAnsi="Palatino" w:cstheme="minorHAnsi"/>
        </w:rPr>
        <w:t xml:space="preserve"> </w:t>
      </w:r>
      <w:r w:rsidRPr="00630A9E">
        <w:rPr>
          <w:rFonts w:ascii="Palatino" w:eastAsia="Droid Serif" w:hAnsi="Palatino" w:cstheme="minorHAnsi"/>
        </w:rPr>
        <w:t>message, issu</w:t>
      </w:r>
      <w:r w:rsidR="00A96D41">
        <w:rPr>
          <w:rFonts w:ascii="Palatino" w:eastAsia="Droid Serif" w:hAnsi="Palatino" w:cstheme="minorHAnsi"/>
        </w:rPr>
        <w:t>ing</w:t>
      </w:r>
      <w:r w:rsidRPr="00630A9E">
        <w:rPr>
          <w:rFonts w:ascii="Palatino" w:eastAsia="Droid Serif" w:hAnsi="Palatino" w:cstheme="minorHAnsi"/>
        </w:rPr>
        <w:t xml:space="preserve"> from unsophisticated communicative intentions. e.g., </w:t>
      </w:r>
      <w:r w:rsidRPr="00630A9E">
        <w:rPr>
          <w:rFonts w:ascii="Palatino" w:eastAsia="Droid Serif" w:hAnsi="Palatino" w:cstheme="minorHAnsi"/>
          <w:i/>
        </w:rPr>
        <w:t xml:space="preserve">mere clues </w:t>
      </w:r>
      <w:r w:rsidRPr="00630A9E">
        <w:rPr>
          <w:rFonts w:ascii="Palatino" w:eastAsia="Droid Serif" w:hAnsi="Palatino" w:cstheme="minorHAnsi"/>
        </w:rPr>
        <w:t xml:space="preserve">about the state of policy offered from unnamed sources, or a sudden ostentatious change in police tactics, signalling at the very least a change in local </w:t>
      </w:r>
      <w:r w:rsidRPr="00630A9E">
        <w:rPr>
          <w:rFonts w:ascii="Palatino" w:eastAsia="Droid Serif" w:hAnsi="Palatino" w:cstheme="minorHAnsi"/>
        </w:rPr>
        <w:lastRenderedPageBreak/>
        <w:t>strategies (if not outright changes in policy, principle, and rule).</w:t>
      </w:r>
      <w:r w:rsidR="005E62F7" w:rsidRPr="00630A9E">
        <w:rPr>
          <w:rStyle w:val="FootnoteReference"/>
          <w:rFonts w:ascii="Palatino" w:eastAsia="Droid Serif" w:hAnsi="Palatino" w:cstheme="minorHAnsi"/>
        </w:rPr>
        <w:footnoteReference w:id="32"/>
      </w:r>
      <w:r w:rsidRPr="00630A9E">
        <w:rPr>
          <w:rFonts w:ascii="Palatino" w:eastAsia="Droid Serif" w:hAnsi="Palatino" w:cstheme="minorHAnsi"/>
        </w:rPr>
        <w:t xml:space="preserve"> And, pulling the circle together -- each theory of law demands relatively more or less evidence to interpret in good faith, and has correspondingly different ideas about what to make of unsophisticated (indeed, natural) signalling. A final point, relevant to the philosophy of law, is that the categories invoke ideals that are already laden in the aspirations of many traditions of legal theory, perhaps most explicitly and succinctly articulated by Lon Fuller’s classic taxonomy of failures to make law.</w:t>
      </w:r>
      <w:r w:rsidR="0006353F" w:rsidRPr="00630A9E">
        <w:rPr>
          <w:rStyle w:val="FootnoteReference"/>
          <w:rFonts w:ascii="Palatino" w:eastAsia="Droid Serif" w:hAnsi="Palatino" w:cstheme="minorHAnsi"/>
        </w:rPr>
        <w:footnoteReference w:id="33"/>
      </w:r>
    </w:p>
    <w:p w14:paraId="6DF94B08" w14:textId="40F0967F" w:rsidR="00053970" w:rsidRPr="00630A9E" w:rsidRDefault="00053970" w:rsidP="00053970">
      <w:pPr>
        <w:widowControl w:val="0"/>
        <w:ind w:right="-56" w:firstLine="426"/>
        <w:jc w:val="both"/>
        <w:rPr>
          <w:rFonts w:ascii="Palatino" w:eastAsia="Droid Serif" w:hAnsi="Palatino" w:cstheme="minorHAnsi"/>
        </w:rPr>
      </w:pPr>
      <w:r w:rsidRPr="00053970">
        <w:rPr>
          <w:rFonts w:ascii="Palatino" w:eastAsia="Droid Serif" w:hAnsi="Palatino" w:cstheme="minorHAnsi"/>
        </w:rPr>
        <w:t xml:space="preserve">The main disadvantage of this framework is that it starts with a relatively tractable and potentially formal discussion of quantifiable epistemic risk, and ends up in qualitative territory, i.e., evaluating different choices of priors in terms of virtues which settle issues in the pragmatics of discourse. But this is simply a reflection of </w:t>
      </w:r>
      <w:r w:rsidRPr="00053970">
        <w:rPr>
          <w:rFonts w:ascii="Palatino" w:eastAsia="Droid Serif" w:hAnsi="Palatino" w:cstheme="minorHAnsi"/>
          <w:i/>
        </w:rPr>
        <w:t xml:space="preserve">how it </w:t>
      </w:r>
      <w:r w:rsidR="002A4D47">
        <w:rPr>
          <w:rFonts w:ascii="Palatino" w:eastAsia="Droid Serif" w:hAnsi="Palatino" w:cstheme="minorHAnsi"/>
          <w:i/>
        </w:rPr>
        <w:t>goes</w:t>
      </w:r>
      <w:r w:rsidRPr="00053970">
        <w:rPr>
          <w:rFonts w:ascii="Palatino" w:eastAsia="Droid Serif" w:hAnsi="Palatino" w:cstheme="minorHAnsi"/>
        </w:rPr>
        <w:t xml:space="preserve"> with priors in Bayesian reasoning.</w:t>
      </w:r>
    </w:p>
    <w:p w14:paraId="28746729" w14:textId="77777777" w:rsidR="00A07985" w:rsidRPr="00630A9E" w:rsidRDefault="00A07985" w:rsidP="008720B6">
      <w:pPr>
        <w:widowControl w:val="0"/>
        <w:ind w:right="-56" w:firstLine="426"/>
        <w:jc w:val="both"/>
        <w:rPr>
          <w:rFonts w:ascii="Palatino" w:eastAsia="Droid Serif" w:hAnsi="Palatino" w:cstheme="minorHAnsi"/>
          <w:highlight w:val="yellow"/>
        </w:rPr>
      </w:pPr>
    </w:p>
    <w:p w14:paraId="705AEF53" w14:textId="09A36A05" w:rsidR="003A4556" w:rsidRDefault="003A4556" w:rsidP="008720B6">
      <w:pPr>
        <w:widowControl w:val="0"/>
        <w:ind w:right="-56"/>
        <w:jc w:val="both"/>
        <w:rPr>
          <w:rFonts w:ascii="Palatino" w:eastAsia="Droid Serif" w:hAnsi="Palatino" w:cstheme="minorHAnsi"/>
          <w:b/>
        </w:rPr>
      </w:pPr>
      <w:r w:rsidRPr="00630A9E">
        <w:rPr>
          <w:rFonts w:ascii="Palatino" w:eastAsia="Droid Serif" w:hAnsi="Palatino" w:cstheme="minorHAnsi"/>
          <w:b/>
        </w:rPr>
        <w:t>Theories</w:t>
      </w:r>
      <w:r w:rsidR="00776CAD">
        <w:rPr>
          <w:rFonts w:ascii="Palatino" w:eastAsia="Droid Serif" w:hAnsi="Palatino" w:cstheme="minorHAnsi"/>
          <w:b/>
        </w:rPr>
        <w:t xml:space="preserve"> of </w:t>
      </w:r>
      <w:r w:rsidR="003D3171">
        <w:rPr>
          <w:rFonts w:ascii="Palatino" w:eastAsia="Droid Serif" w:hAnsi="Palatino" w:cstheme="minorHAnsi"/>
          <w:b/>
        </w:rPr>
        <w:t>Accessibility</w:t>
      </w:r>
    </w:p>
    <w:p w14:paraId="79914E3C" w14:textId="77777777" w:rsidR="001B5972" w:rsidRPr="001B5972" w:rsidRDefault="001B5972" w:rsidP="008720B6">
      <w:pPr>
        <w:widowControl w:val="0"/>
        <w:ind w:right="-56" w:firstLine="426"/>
        <w:jc w:val="both"/>
        <w:rPr>
          <w:rFonts w:ascii="Palatino" w:eastAsia="Droid Serif" w:hAnsi="Palatino" w:cstheme="minorHAnsi"/>
          <w:b/>
        </w:rPr>
      </w:pPr>
    </w:p>
    <w:p w14:paraId="6FDC4C44" w14:textId="310C5888" w:rsidR="00053970" w:rsidRPr="00053970" w:rsidRDefault="00053970" w:rsidP="00053970">
      <w:pPr>
        <w:widowControl w:val="0"/>
        <w:ind w:right="-56"/>
        <w:jc w:val="both"/>
        <w:rPr>
          <w:rFonts w:ascii="Palatino" w:eastAsia="Droid Serif" w:hAnsi="Palatino" w:cstheme="minorHAnsi"/>
        </w:rPr>
      </w:pPr>
      <w:r w:rsidRPr="00053970">
        <w:rPr>
          <w:rFonts w:ascii="Palatino" w:eastAsia="Droid Serif" w:hAnsi="Palatino" w:cstheme="minorHAnsi"/>
        </w:rPr>
        <w:t>Without any pretense of this being an exhaustive list, there are at least three approaches you might take towards the accessibility of law</w:t>
      </w:r>
      <w:r>
        <w:rPr>
          <w:rFonts w:ascii="Palatino" w:eastAsia="Droid Serif" w:hAnsi="Palatino" w:cstheme="minorHAnsi"/>
        </w:rPr>
        <w:t>:</w:t>
      </w:r>
    </w:p>
    <w:p w14:paraId="7166C73F" w14:textId="77777777" w:rsidR="00053970" w:rsidRPr="00053970" w:rsidRDefault="00053970" w:rsidP="00053970">
      <w:pPr>
        <w:widowControl w:val="0"/>
        <w:ind w:right="-56"/>
        <w:jc w:val="both"/>
        <w:rPr>
          <w:rFonts w:ascii="Palatino" w:eastAsia="Droid Serif" w:hAnsi="Palatino" w:cstheme="minorHAnsi"/>
        </w:rPr>
      </w:pPr>
    </w:p>
    <w:p w14:paraId="0EF6ABC2" w14:textId="7C077233" w:rsidR="00053970" w:rsidRPr="00053970" w:rsidRDefault="00053970" w:rsidP="00053970">
      <w:pPr>
        <w:widowControl w:val="0"/>
        <w:numPr>
          <w:ilvl w:val="0"/>
          <w:numId w:val="11"/>
        </w:numPr>
        <w:ind w:right="-56"/>
        <w:jc w:val="both"/>
        <w:rPr>
          <w:rFonts w:ascii="Palatino" w:eastAsia="Droid Serif" w:hAnsi="Palatino" w:cstheme="minorHAnsi"/>
        </w:rPr>
      </w:pPr>
      <w:r w:rsidRPr="00053970">
        <w:rPr>
          <w:rFonts w:ascii="Palatino" w:eastAsia="Droid Serif" w:hAnsi="Palatino" w:cstheme="minorHAnsi"/>
        </w:rPr>
        <w:t>One might want to adopt a ‘</w:t>
      </w:r>
      <w:r w:rsidRPr="00053970">
        <w:rPr>
          <w:rFonts w:ascii="Palatino" w:eastAsia="Droid Serif" w:hAnsi="Palatino" w:cstheme="minorHAnsi"/>
          <w:i/>
        </w:rPr>
        <w:t>no-theory theory’</w:t>
      </w:r>
      <w:r w:rsidRPr="00053970">
        <w:rPr>
          <w:rFonts w:ascii="Palatino" w:eastAsia="Droid Serif" w:hAnsi="Palatino" w:cstheme="minorHAnsi"/>
        </w:rPr>
        <w:t xml:space="preserve">, that a law is accessible if and only if the relevant legal </w:t>
      </w:r>
      <w:r w:rsidR="000D7D65">
        <w:rPr>
          <w:rFonts w:ascii="Palatino" w:eastAsia="Droid Serif" w:hAnsi="Palatino" w:cstheme="minorHAnsi"/>
        </w:rPr>
        <w:t>institutions</w:t>
      </w:r>
      <w:r w:rsidRPr="00053970">
        <w:rPr>
          <w:rFonts w:ascii="Palatino" w:eastAsia="Droid Serif" w:hAnsi="Palatino" w:cstheme="minorHAnsi"/>
        </w:rPr>
        <w:t xml:space="preserve"> say so. </w:t>
      </w:r>
    </w:p>
    <w:p w14:paraId="2827EC4C" w14:textId="5AC6A6EA" w:rsidR="00053970" w:rsidRPr="00053970" w:rsidRDefault="00053970" w:rsidP="00053970">
      <w:pPr>
        <w:widowControl w:val="0"/>
        <w:numPr>
          <w:ilvl w:val="0"/>
          <w:numId w:val="11"/>
        </w:numPr>
        <w:ind w:right="-56"/>
        <w:jc w:val="both"/>
        <w:rPr>
          <w:rFonts w:ascii="Palatino" w:eastAsia="Droid Serif" w:hAnsi="Palatino" w:cstheme="minorHAnsi"/>
        </w:rPr>
      </w:pPr>
      <w:r w:rsidRPr="00053970">
        <w:rPr>
          <w:rFonts w:ascii="Palatino" w:eastAsia="Droid Serif" w:hAnsi="Palatino" w:cstheme="minorHAnsi"/>
        </w:rPr>
        <w:t>One might want to adopt the ‘</w:t>
      </w:r>
      <w:r w:rsidR="000D7D65">
        <w:rPr>
          <w:rFonts w:ascii="Palatino" w:eastAsia="Droid Serif" w:hAnsi="Palatino" w:cstheme="minorHAnsi"/>
          <w:i/>
        </w:rPr>
        <w:t>conveyance</w:t>
      </w:r>
      <w:r w:rsidRPr="00053970">
        <w:rPr>
          <w:rFonts w:ascii="Palatino" w:eastAsia="Droid Serif" w:hAnsi="Palatino" w:cstheme="minorHAnsi"/>
          <w:i/>
        </w:rPr>
        <w:t xml:space="preserve"> theory’</w:t>
      </w:r>
      <w:r w:rsidRPr="00053970">
        <w:rPr>
          <w:rFonts w:ascii="Palatino" w:eastAsia="Droid Serif" w:hAnsi="Palatino" w:cstheme="minorHAnsi"/>
        </w:rPr>
        <w:t xml:space="preserve">, according to which a law is accessible just in case </w:t>
      </w:r>
      <w:r w:rsidR="000D7D65">
        <w:rPr>
          <w:rFonts w:ascii="Palatino" w:eastAsia="Droid Serif" w:hAnsi="Palatino" w:cstheme="minorHAnsi"/>
        </w:rPr>
        <w:t>it is conveyed in a way that demonstrates respect for its audience.</w:t>
      </w:r>
    </w:p>
    <w:p w14:paraId="1EA0E9A4" w14:textId="185B9A61" w:rsidR="00053970" w:rsidRPr="00053970" w:rsidRDefault="00053970" w:rsidP="00053970">
      <w:pPr>
        <w:widowControl w:val="0"/>
        <w:numPr>
          <w:ilvl w:val="0"/>
          <w:numId w:val="11"/>
        </w:numPr>
        <w:ind w:right="-56"/>
        <w:jc w:val="both"/>
        <w:rPr>
          <w:rFonts w:ascii="Palatino" w:eastAsia="Droid Serif" w:hAnsi="Palatino" w:cstheme="minorHAnsi"/>
        </w:rPr>
      </w:pPr>
      <w:r w:rsidRPr="00053970">
        <w:rPr>
          <w:rFonts w:ascii="Palatino" w:eastAsia="Droid Serif" w:hAnsi="Palatino" w:cstheme="minorHAnsi"/>
        </w:rPr>
        <w:t xml:space="preserve">Finally, one might want to adopt </w:t>
      </w:r>
      <w:r w:rsidR="000D7D65">
        <w:rPr>
          <w:rFonts w:ascii="Palatino" w:eastAsia="Droid Serif" w:hAnsi="Palatino" w:cstheme="minorHAnsi"/>
        </w:rPr>
        <w:t>the ‘</w:t>
      </w:r>
      <w:r w:rsidR="000D7D65" w:rsidRPr="000D7D65">
        <w:rPr>
          <w:rFonts w:ascii="Palatino" w:eastAsia="Droid Serif" w:hAnsi="Palatino" w:cstheme="minorHAnsi"/>
          <w:i/>
        </w:rPr>
        <w:t>agonistic</w:t>
      </w:r>
      <w:r w:rsidR="000D7D65">
        <w:rPr>
          <w:rFonts w:ascii="Palatino" w:eastAsia="Droid Serif" w:hAnsi="Palatino" w:cstheme="minorHAnsi"/>
        </w:rPr>
        <w:t xml:space="preserve"> </w:t>
      </w:r>
      <w:r w:rsidRPr="00053970">
        <w:rPr>
          <w:rFonts w:ascii="Palatino" w:eastAsia="Droid Serif" w:hAnsi="Palatino" w:cstheme="minorHAnsi"/>
          <w:i/>
        </w:rPr>
        <w:t>theory’</w:t>
      </w:r>
      <w:r w:rsidRPr="00053970">
        <w:rPr>
          <w:rFonts w:ascii="Palatino" w:eastAsia="Droid Serif" w:hAnsi="Palatino" w:cstheme="minorHAnsi"/>
        </w:rPr>
        <w:t xml:space="preserve">, stating that law is accessible just in case </w:t>
      </w:r>
      <w:r w:rsidR="000D7D65">
        <w:rPr>
          <w:rFonts w:ascii="Palatino" w:eastAsia="Droid Serif" w:hAnsi="Palatino" w:cstheme="minorHAnsi"/>
        </w:rPr>
        <w:t>it conforms to the prevailing ideologies of a population.</w:t>
      </w:r>
    </w:p>
    <w:p w14:paraId="7947EB12" w14:textId="77777777" w:rsidR="00053970" w:rsidRDefault="00053970" w:rsidP="008720B6">
      <w:pPr>
        <w:widowControl w:val="0"/>
        <w:ind w:right="-56"/>
        <w:jc w:val="both"/>
        <w:rPr>
          <w:rFonts w:ascii="Palatino" w:eastAsia="Droid Serif" w:hAnsi="Palatino" w:cstheme="minorHAnsi"/>
        </w:rPr>
      </w:pPr>
    </w:p>
    <w:p w14:paraId="48FE7CD9" w14:textId="091720ED" w:rsidR="00B835F1" w:rsidRPr="00630A9E" w:rsidRDefault="00B835F1" w:rsidP="008720B6">
      <w:pPr>
        <w:widowControl w:val="0"/>
        <w:ind w:right="-56"/>
        <w:jc w:val="both"/>
        <w:rPr>
          <w:rFonts w:ascii="Palatino" w:eastAsia="Droid Serif" w:hAnsi="Palatino" w:cstheme="minorHAnsi"/>
        </w:rPr>
      </w:pPr>
      <w:r w:rsidRPr="00630A9E">
        <w:rPr>
          <w:rFonts w:ascii="Palatino" w:eastAsia="Droid Serif" w:hAnsi="Palatino" w:cstheme="minorHAnsi"/>
        </w:rPr>
        <w:t>The prevailing conception of promulgation is what I call the ‘NO-THEORY THEORY’. On this view, there is no advantage in trying to address the particular epistemic requirements of legal theory; for</w:t>
      </w:r>
      <w:r w:rsidRPr="00630A9E">
        <w:rPr>
          <w:rFonts w:ascii="Palatino" w:eastAsia="Droid Serif" w:hAnsi="Palatino" w:cstheme="minorHAnsi"/>
          <w:i/>
        </w:rPr>
        <w:t xml:space="preserve"> a law is accessible so long as the relevant legal </w:t>
      </w:r>
      <w:r w:rsidR="001B5972">
        <w:rPr>
          <w:rFonts w:ascii="Palatino" w:eastAsia="Droid Serif" w:hAnsi="Palatino" w:cstheme="minorHAnsi"/>
          <w:i/>
        </w:rPr>
        <w:t xml:space="preserve">theory </w:t>
      </w:r>
      <w:r w:rsidRPr="00630A9E">
        <w:rPr>
          <w:rFonts w:ascii="Palatino" w:eastAsia="Droid Serif" w:hAnsi="Palatino" w:cstheme="minorHAnsi"/>
          <w:i/>
        </w:rPr>
        <w:t>says so</w:t>
      </w:r>
      <w:r w:rsidR="001B5972">
        <w:rPr>
          <w:rFonts w:ascii="Palatino" w:eastAsia="Droid Serif" w:hAnsi="Palatino" w:cstheme="minorHAnsi"/>
          <w:i/>
        </w:rPr>
        <w:t xml:space="preserve"> (or relevant legal </w:t>
      </w:r>
      <w:r w:rsidR="00053970">
        <w:rPr>
          <w:rFonts w:ascii="Palatino" w:eastAsia="Droid Serif" w:hAnsi="Palatino" w:cstheme="minorHAnsi"/>
          <w:i/>
        </w:rPr>
        <w:t>institutions</w:t>
      </w:r>
      <w:r w:rsidR="001B5972">
        <w:rPr>
          <w:rFonts w:ascii="Palatino" w:eastAsia="Droid Serif" w:hAnsi="Palatino" w:cstheme="minorHAnsi"/>
          <w:i/>
        </w:rPr>
        <w:t xml:space="preserve"> say so)</w:t>
      </w:r>
      <w:r w:rsidRPr="00630A9E">
        <w:rPr>
          <w:rFonts w:ascii="Palatino" w:eastAsia="Droid Serif" w:hAnsi="Palatino" w:cstheme="minorHAnsi"/>
          <w:i/>
        </w:rPr>
        <w:t xml:space="preserve">. </w:t>
      </w:r>
      <w:r w:rsidRPr="00630A9E">
        <w:rPr>
          <w:rFonts w:ascii="Palatino" w:eastAsia="Droid Serif" w:hAnsi="Palatino" w:cstheme="minorHAnsi"/>
        </w:rPr>
        <w:t>Attempts to spell out some such theory of promulgation are attempts at redundancy. And the no-theory theory enjoys a default position in philosophy of law, simply by virtue of the fact that there is, as a matter of fact, no theory out there to be found.</w:t>
      </w:r>
    </w:p>
    <w:p w14:paraId="732B676C" w14:textId="30E35296" w:rsidR="00B835F1" w:rsidRPr="00630A9E" w:rsidRDefault="00B835F1"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On this theory, as far as I can tell, the standard of justification that a legal regime has to meet</w:t>
      </w:r>
      <w:r w:rsidR="009F0F60" w:rsidRPr="00630A9E">
        <w:rPr>
          <w:rFonts w:ascii="Palatino" w:eastAsia="Droid Serif" w:hAnsi="Palatino" w:cstheme="minorHAnsi"/>
        </w:rPr>
        <w:t xml:space="preserve"> for promulgation</w:t>
      </w:r>
      <w:r w:rsidRPr="00630A9E">
        <w:rPr>
          <w:rFonts w:ascii="Palatino" w:eastAsia="Droid Serif" w:hAnsi="Palatino" w:cstheme="minorHAnsi"/>
        </w:rPr>
        <w:t xml:space="preserve"> just is the standard of good faith</w:t>
      </w:r>
      <w:r w:rsidR="009F0F60" w:rsidRPr="00630A9E">
        <w:rPr>
          <w:rFonts w:ascii="Palatino" w:eastAsia="Droid Serif" w:hAnsi="Palatino" w:cstheme="minorHAnsi"/>
        </w:rPr>
        <w:t xml:space="preserve"> they have to meet for legislation</w:t>
      </w:r>
      <w:r w:rsidRPr="00630A9E">
        <w:rPr>
          <w:rFonts w:ascii="Palatino" w:eastAsia="Droid Serif" w:hAnsi="Palatino" w:cstheme="minorHAnsi"/>
        </w:rPr>
        <w:t xml:space="preserve"> -- </w:t>
      </w:r>
      <w:r w:rsidRPr="00630A9E">
        <w:rPr>
          <w:rFonts w:ascii="Palatino" w:eastAsia="Droid Serif" w:hAnsi="Palatino" w:cstheme="minorHAnsi"/>
          <w:i/>
        </w:rPr>
        <w:t>period</w:t>
      </w:r>
      <w:r w:rsidRPr="00630A9E">
        <w:rPr>
          <w:rFonts w:ascii="Palatino" w:eastAsia="Droid Serif" w:hAnsi="Palatino" w:cstheme="minorHAnsi"/>
        </w:rPr>
        <w:t>.</w:t>
      </w:r>
      <w:r w:rsidRPr="00630A9E">
        <w:rPr>
          <w:rFonts w:ascii="Palatino" w:eastAsia="Droid Serif" w:hAnsi="Palatino" w:cstheme="minorHAnsi"/>
          <w:vertAlign w:val="superscript"/>
        </w:rPr>
        <w:footnoteReference w:id="34"/>
      </w:r>
      <w:r w:rsidRPr="00630A9E">
        <w:rPr>
          <w:rFonts w:ascii="Palatino" w:eastAsia="Droid Serif" w:hAnsi="Palatino" w:cstheme="minorHAnsi"/>
        </w:rPr>
        <w:t xml:space="preserve"> A government has </w:t>
      </w:r>
      <w:r w:rsidR="00A96D41">
        <w:rPr>
          <w:rFonts w:ascii="Palatino" w:eastAsia="Droid Serif" w:hAnsi="Palatino" w:cstheme="minorHAnsi"/>
        </w:rPr>
        <w:t>conveyed a message</w:t>
      </w:r>
      <w:r w:rsidRPr="00630A9E">
        <w:rPr>
          <w:rFonts w:ascii="Palatino" w:eastAsia="Droid Serif" w:hAnsi="Palatino" w:cstheme="minorHAnsi"/>
        </w:rPr>
        <w:t xml:space="preserve"> to the </w:t>
      </w:r>
      <w:r w:rsidR="00A96D41">
        <w:rPr>
          <w:rFonts w:ascii="Palatino" w:eastAsia="Droid Serif" w:hAnsi="Palatino" w:cstheme="minorHAnsi"/>
        </w:rPr>
        <w:t>public</w:t>
      </w:r>
      <w:r w:rsidRPr="00630A9E">
        <w:rPr>
          <w:rFonts w:ascii="Palatino" w:eastAsia="Droid Serif" w:hAnsi="Palatino" w:cstheme="minorHAnsi"/>
        </w:rPr>
        <w:t xml:space="preserve"> just in case they have met those </w:t>
      </w:r>
      <w:r w:rsidR="00A07985" w:rsidRPr="00630A9E">
        <w:rPr>
          <w:rFonts w:ascii="Palatino" w:eastAsia="Droid Serif" w:hAnsi="Palatino" w:cstheme="minorHAnsi"/>
        </w:rPr>
        <w:t>discursive</w:t>
      </w:r>
      <w:r w:rsidRPr="00630A9E">
        <w:rPr>
          <w:rFonts w:ascii="Palatino" w:eastAsia="Droid Serif" w:hAnsi="Palatino" w:cstheme="minorHAnsi"/>
        </w:rPr>
        <w:t xml:space="preserve"> conditions by their own lights. Hence, even if, curiously, every single actual subject is ignorant of the passage of new legislation, the relevant legal rule might still count as promulgated, just because the legislature was a legitimate representation of the people.</w:t>
      </w:r>
      <w:r w:rsidRPr="00630A9E">
        <w:rPr>
          <w:rFonts w:ascii="Palatino" w:eastAsia="Droid Serif" w:hAnsi="Palatino" w:cstheme="minorHAnsi"/>
          <w:vertAlign w:val="superscript"/>
        </w:rPr>
        <w:footnoteReference w:id="35"/>
      </w:r>
      <w:r w:rsidRPr="00630A9E">
        <w:rPr>
          <w:rFonts w:ascii="Palatino" w:eastAsia="Droid Serif" w:hAnsi="Palatino" w:cstheme="minorHAnsi"/>
        </w:rPr>
        <w:t xml:space="preserve"> Law, insofar as it is law, sets its own epistemic standard.</w:t>
      </w:r>
    </w:p>
    <w:p w14:paraId="632B8049" w14:textId="274DDD2D" w:rsidR="00B835F1" w:rsidRPr="00630A9E" w:rsidRDefault="00B835F1"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lastRenderedPageBreak/>
        <w:t xml:space="preserve">There are some reasons why the ‘no-theory theory’ might be thought to be the reigning champion. For one thing, the no-theory theory at least respects the right of institutions to autonomously determine the conditions of their own success, instead of leaving it into the hands of partisan theory. It also (correctly) understands that the promulgation of law is sensitive to the contents of legal theories in practical application -- so, e.g., it understands that what counts as promulgation for medieval law under a Thomistic system will not necessarily, in effect, be identical to promulgation of law in a democratic republic under positivism. Quite so. And this is just to say that the no-theory theory honors </w:t>
      </w:r>
      <w:r w:rsidR="00815192">
        <w:rPr>
          <w:rFonts w:ascii="Palatino" w:eastAsia="Droid Serif" w:hAnsi="Palatino" w:cstheme="minorHAnsi"/>
        </w:rPr>
        <w:t xml:space="preserve">both </w:t>
      </w:r>
      <w:r w:rsidRPr="00630A9E">
        <w:rPr>
          <w:rFonts w:ascii="Palatino" w:eastAsia="Droid Serif" w:hAnsi="Palatino" w:cstheme="minorHAnsi"/>
        </w:rPr>
        <w:t>the conceptual autonomy of legal systems</w:t>
      </w:r>
      <w:r w:rsidR="00815192">
        <w:rPr>
          <w:rFonts w:ascii="Palatino" w:eastAsia="Droid Serif" w:hAnsi="Palatino" w:cstheme="minorHAnsi"/>
        </w:rPr>
        <w:t xml:space="preserve">, and its hegemonic authority </w:t>
      </w:r>
      <w:r w:rsidR="002966C2">
        <w:rPr>
          <w:rFonts w:ascii="Palatino" w:eastAsia="Droid Serif" w:hAnsi="Palatino" w:cstheme="minorHAnsi"/>
        </w:rPr>
        <w:t xml:space="preserve">to judge </w:t>
      </w:r>
      <w:r w:rsidR="00815192">
        <w:rPr>
          <w:rFonts w:ascii="Palatino" w:eastAsia="Droid Serif" w:hAnsi="Palatino" w:cstheme="minorHAnsi"/>
        </w:rPr>
        <w:t>all issues in its domain</w:t>
      </w:r>
      <w:r w:rsidRPr="00630A9E">
        <w:rPr>
          <w:rFonts w:ascii="Palatino" w:eastAsia="Droid Serif" w:hAnsi="Palatino" w:cstheme="minorHAnsi"/>
        </w:rPr>
        <w:t>.</w:t>
      </w:r>
    </w:p>
    <w:p w14:paraId="7B14332C" w14:textId="2EF3F2E7" w:rsidR="00B835F1" w:rsidRPr="00630A9E" w:rsidRDefault="00B835F1"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Yet the no-theory theory is defective</w:t>
      </w:r>
      <w:r w:rsidR="00D84F2A" w:rsidRPr="00630A9E">
        <w:rPr>
          <w:rFonts w:ascii="Palatino" w:eastAsia="Droid Serif" w:hAnsi="Palatino" w:cstheme="minorHAnsi"/>
        </w:rPr>
        <w:t xml:space="preserve"> in at least </w:t>
      </w:r>
      <w:r w:rsidR="0050278B">
        <w:rPr>
          <w:rFonts w:ascii="Palatino" w:eastAsia="Droid Serif" w:hAnsi="Palatino" w:cstheme="minorHAnsi"/>
        </w:rPr>
        <w:t>four</w:t>
      </w:r>
      <w:r w:rsidR="00D84F2A" w:rsidRPr="00630A9E">
        <w:rPr>
          <w:rFonts w:ascii="Palatino" w:eastAsia="Droid Serif" w:hAnsi="Palatino" w:cstheme="minorHAnsi"/>
        </w:rPr>
        <w:t xml:space="preserve"> respects</w:t>
      </w:r>
      <w:r w:rsidRPr="00630A9E">
        <w:rPr>
          <w:rFonts w:ascii="Palatino" w:eastAsia="Droid Serif" w:hAnsi="Palatino" w:cstheme="minorHAnsi"/>
        </w:rPr>
        <w:t xml:space="preserve">. </w:t>
      </w:r>
      <w:r w:rsidR="00D84F2A" w:rsidRPr="00630A9E">
        <w:rPr>
          <w:rFonts w:ascii="Palatino" w:eastAsia="Droid Serif" w:hAnsi="Palatino" w:cstheme="minorHAnsi"/>
        </w:rPr>
        <w:t xml:space="preserve">First, and most importantly, it </w:t>
      </w:r>
      <w:r w:rsidR="009C6A50">
        <w:rPr>
          <w:rFonts w:ascii="Palatino" w:eastAsia="Droid Serif" w:hAnsi="Palatino" w:cstheme="minorHAnsi"/>
        </w:rPr>
        <w:t>absolves itself of any responsibility to</w:t>
      </w:r>
      <w:r w:rsidR="00D84F2A" w:rsidRPr="00630A9E">
        <w:rPr>
          <w:rFonts w:ascii="Palatino" w:eastAsia="Droid Serif" w:hAnsi="Palatino" w:cstheme="minorHAnsi"/>
        </w:rPr>
        <w:t xml:space="preserve"> pay attention to the </w:t>
      </w:r>
      <w:r w:rsidR="00D84F2A" w:rsidRPr="00630A9E">
        <w:rPr>
          <w:rFonts w:ascii="Palatino" w:eastAsia="Droid Serif" w:hAnsi="Palatino" w:cstheme="minorHAnsi"/>
          <w:i/>
        </w:rPr>
        <w:t>central themes</w:t>
      </w:r>
      <w:r w:rsidR="00D84F2A" w:rsidRPr="00630A9E">
        <w:rPr>
          <w:rFonts w:ascii="Palatino" w:eastAsia="Droid Serif" w:hAnsi="Palatino" w:cstheme="minorHAnsi"/>
        </w:rPr>
        <w:t xml:space="preserve"> of a theory of accessibility, i.e., that it</w:t>
      </w:r>
      <w:r w:rsidR="00D47D73" w:rsidRPr="00630A9E">
        <w:rPr>
          <w:rFonts w:ascii="Palatino" w:eastAsia="Droid Serif" w:hAnsi="Palatino" w:cstheme="minorHAnsi"/>
        </w:rPr>
        <w:t xml:space="preserve"> ought to</w:t>
      </w:r>
      <w:r w:rsidR="00D84F2A" w:rsidRPr="00630A9E">
        <w:rPr>
          <w:rFonts w:ascii="Palatino" w:eastAsia="Droid Serif" w:hAnsi="Palatino" w:cstheme="minorHAnsi"/>
        </w:rPr>
        <w:t xml:space="preserve"> </w:t>
      </w:r>
      <w:r w:rsidR="009C6A50">
        <w:rPr>
          <w:rFonts w:ascii="Palatino" w:eastAsia="Droid Serif" w:hAnsi="Palatino" w:cstheme="minorHAnsi"/>
        </w:rPr>
        <w:t>explain the</w:t>
      </w:r>
      <w:r w:rsidR="00D84F2A" w:rsidRPr="00630A9E">
        <w:rPr>
          <w:rFonts w:ascii="Palatino" w:eastAsia="Droid Serif" w:hAnsi="Palatino" w:cstheme="minorHAnsi"/>
        </w:rPr>
        <w:t xml:space="preserve"> </w:t>
      </w:r>
      <w:r w:rsidR="00D47D73" w:rsidRPr="00630A9E">
        <w:rPr>
          <w:rFonts w:ascii="Palatino" w:eastAsia="Droid Serif" w:hAnsi="Palatino" w:cstheme="minorHAnsi"/>
        </w:rPr>
        <w:t xml:space="preserve">epistemic </w:t>
      </w:r>
      <w:r w:rsidR="00D84F2A" w:rsidRPr="00630A9E">
        <w:rPr>
          <w:rFonts w:ascii="Palatino" w:eastAsia="Droid Serif" w:hAnsi="Palatino" w:cstheme="minorHAnsi"/>
        </w:rPr>
        <w:t>relationship between a good-faith subject</w:t>
      </w:r>
      <w:r w:rsidR="00D854CB">
        <w:rPr>
          <w:rFonts w:ascii="Palatino" w:eastAsia="Droid Serif" w:hAnsi="Palatino" w:cstheme="minorHAnsi"/>
        </w:rPr>
        <w:t>, the</w:t>
      </w:r>
      <w:r w:rsidR="00D84F2A" w:rsidRPr="00630A9E">
        <w:rPr>
          <w:rFonts w:ascii="Palatino" w:eastAsia="Droid Serif" w:hAnsi="Palatino" w:cstheme="minorHAnsi"/>
        </w:rPr>
        <w:t xml:space="preserve"> signal</w:t>
      </w:r>
      <w:r w:rsidR="00D854CB">
        <w:rPr>
          <w:rFonts w:ascii="Palatino" w:eastAsia="Droid Serif" w:hAnsi="Palatino" w:cstheme="minorHAnsi"/>
        </w:rPr>
        <w:t>, and the distance between them</w:t>
      </w:r>
      <w:r w:rsidR="00D84F2A" w:rsidRPr="00630A9E">
        <w:rPr>
          <w:rFonts w:ascii="Palatino" w:eastAsia="Droid Serif" w:hAnsi="Palatino" w:cstheme="minorHAnsi"/>
        </w:rPr>
        <w:t>. Second,</w:t>
      </w:r>
      <w:r w:rsidRPr="00630A9E">
        <w:rPr>
          <w:rFonts w:ascii="Palatino" w:eastAsia="Droid Serif" w:hAnsi="Palatino" w:cstheme="minorHAnsi"/>
        </w:rPr>
        <w:t xml:space="preserve"> </w:t>
      </w:r>
      <w:r w:rsidR="00D84F2A" w:rsidRPr="00630A9E">
        <w:rPr>
          <w:rFonts w:ascii="Palatino" w:eastAsia="Droid Serif" w:hAnsi="Palatino" w:cstheme="minorHAnsi"/>
        </w:rPr>
        <w:t xml:space="preserve">it </w:t>
      </w:r>
      <w:r w:rsidR="00D47D73" w:rsidRPr="00630A9E">
        <w:rPr>
          <w:rFonts w:ascii="Palatino" w:eastAsia="Droid Serif" w:hAnsi="Palatino" w:cstheme="minorHAnsi"/>
        </w:rPr>
        <w:t>exaggerates</w:t>
      </w:r>
      <w:r w:rsidR="009C6A50">
        <w:rPr>
          <w:rFonts w:ascii="Palatino" w:eastAsia="Droid Serif" w:hAnsi="Palatino" w:cstheme="minorHAnsi"/>
        </w:rPr>
        <w:t xml:space="preserve"> the significance of</w:t>
      </w:r>
      <w:r w:rsidR="00D47D73" w:rsidRPr="00630A9E">
        <w:rPr>
          <w:rFonts w:ascii="Palatino" w:eastAsia="Droid Serif" w:hAnsi="Palatino" w:cstheme="minorHAnsi"/>
        </w:rPr>
        <w:t xml:space="preserve"> a true premise (i.e., that promulgation is context-sensitive)</w:t>
      </w:r>
      <w:r w:rsidR="009C6A50">
        <w:rPr>
          <w:rFonts w:ascii="Palatino" w:eastAsia="Droid Serif" w:hAnsi="Palatino" w:cstheme="minorHAnsi"/>
        </w:rPr>
        <w:t xml:space="preserve"> and infers</w:t>
      </w:r>
      <w:r w:rsidR="00D47D73" w:rsidRPr="00630A9E">
        <w:rPr>
          <w:rFonts w:ascii="Palatino" w:eastAsia="Droid Serif" w:hAnsi="Palatino" w:cstheme="minorHAnsi"/>
        </w:rPr>
        <w:t xml:space="preserve"> a false conclusion (i.e., that</w:t>
      </w:r>
      <w:r w:rsidRPr="00630A9E">
        <w:rPr>
          <w:rFonts w:ascii="Palatino" w:eastAsia="Droid Serif" w:hAnsi="Palatino" w:cstheme="minorHAnsi"/>
        </w:rPr>
        <w:t xml:space="preserve"> there is nothing general</w:t>
      </w:r>
      <w:r w:rsidR="00D84F2A" w:rsidRPr="00630A9E">
        <w:rPr>
          <w:rFonts w:ascii="Palatino" w:eastAsia="Droid Serif" w:hAnsi="Palatino" w:cstheme="minorHAnsi"/>
        </w:rPr>
        <w:t>ly informative</w:t>
      </w:r>
      <w:r w:rsidRPr="00630A9E">
        <w:rPr>
          <w:rFonts w:ascii="Palatino" w:eastAsia="Droid Serif" w:hAnsi="Palatino" w:cstheme="minorHAnsi"/>
        </w:rPr>
        <w:t xml:space="preserve"> to say about the ways that a legal theory</w:t>
      </w:r>
      <w:r w:rsidR="00D47D73" w:rsidRPr="00630A9E">
        <w:rPr>
          <w:rFonts w:ascii="Palatino" w:eastAsia="Droid Serif" w:hAnsi="Palatino" w:cstheme="minorHAnsi"/>
        </w:rPr>
        <w:t xml:space="preserve"> </w:t>
      </w:r>
      <w:r w:rsidRPr="00630A9E">
        <w:rPr>
          <w:rFonts w:ascii="Palatino" w:eastAsia="Droid Serif" w:hAnsi="Palatino" w:cstheme="minorHAnsi"/>
        </w:rPr>
        <w:t>affects uptake</w:t>
      </w:r>
      <w:r w:rsidR="00D47D73" w:rsidRPr="00630A9E">
        <w:rPr>
          <w:rFonts w:ascii="Palatino" w:eastAsia="Droid Serif" w:hAnsi="Palatino" w:cstheme="minorHAnsi"/>
        </w:rPr>
        <w:t>)</w:t>
      </w:r>
      <w:r w:rsidRPr="00630A9E">
        <w:rPr>
          <w:rFonts w:ascii="Palatino" w:eastAsia="Droid Serif" w:hAnsi="Palatino" w:cstheme="minorHAnsi"/>
        </w:rPr>
        <w:t xml:space="preserve">. </w:t>
      </w:r>
      <w:r w:rsidR="00D47D73" w:rsidRPr="00630A9E">
        <w:rPr>
          <w:rFonts w:ascii="Palatino" w:eastAsia="Droid Serif" w:hAnsi="Palatino" w:cstheme="minorHAnsi"/>
        </w:rPr>
        <w:t xml:space="preserve">Third, and as a result, </w:t>
      </w:r>
      <w:r w:rsidRPr="00630A9E">
        <w:rPr>
          <w:rFonts w:ascii="Palatino" w:eastAsia="Droid Serif" w:hAnsi="Palatino" w:cstheme="minorHAnsi"/>
        </w:rPr>
        <w:t xml:space="preserve">it forces us to assume that the burdens of legal education rest on laypeople </w:t>
      </w:r>
      <w:r w:rsidRPr="00630A9E">
        <w:rPr>
          <w:rFonts w:ascii="Palatino" w:eastAsia="Droid Serif" w:hAnsi="Palatino" w:cstheme="minorHAnsi"/>
          <w:i/>
        </w:rPr>
        <w:t>by default</w:t>
      </w:r>
      <w:r w:rsidR="00D47D73" w:rsidRPr="00630A9E">
        <w:rPr>
          <w:rFonts w:ascii="Palatino" w:eastAsia="Droid Serif" w:hAnsi="Palatino" w:cstheme="minorHAnsi"/>
        </w:rPr>
        <w:t xml:space="preserve"> --</w:t>
      </w:r>
      <w:r w:rsidRPr="00630A9E">
        <w:rPr>
          <w:rFonts w:ascii="Palatino" w:eastAsia="Droid Serif" w:hAnsi="Palatino" w:cstheme="minorHAnsi"/>
        </w:rPr>
        <w:t xml:space="preserve"> </w:t>
      </w:r>
      <w:r w:rsidR="00D47D73" w:rsidRPr="00630A9E">
        <w:rPr>
          <w:rFonts w:ascii="Palatino" w:eastAsia="Droid Serif" w:hAnsi="Palatino" w:cstheme="minorHAnsi"/>
        </w:rPr>
        <w:t>a</w:t>
      </w:r>
      <w:r w:rsidRPr="00630A9E">
        <w:rPr>
          <w:rFonts w:ascii="Palatino" w:eastAsia="Droid Serif" w:hAnsi="Palatino" w:cstheme="minorHAnsi"/>
        </w:rPr>
        <w:t xml:space="preserve"> </w:t>
      </w:r>
      <w:r w:rsidR="009C6A50">
        <w:rPr>
          <w:rFonts w:ascii="Palatino" w:eastAsia="Droid Serif" w:hAnsi="Palatino" w:cstheme="minorHAnsi"/>
        </w:rPr>
        <w:t>potential</w:t>
      </w:r>
      <w:r w:rsidRPr="00630A9E">
        <w:rPr>
          <w:rFonts w:ascii="Palatino" w:eastAsia="Droid Serif" w:hAnsi="Palatino" w:cstheme="minorHAnsi"/>
        </w:rPr>
        <w:t xml:space="preserve"> </w:t>
      </w:r>
      <w:r w:rsidR="009C6A50">
        <w:rPr>
          <w:rFonts w:ascii="Palatino" w:eastAsia="Droid Serif" w:hAnsi="Palatino" w:cstheme="minorHAnsi"/>
        </w:rPr>
        <w:t xml:space="preserve">epistemic </w:t>
      </w:r>
      <w:r w:rsidR="00D47D73" w:rsidRPr="00630A9E">
        <w:rPr>
          <w:rFonts w:ascii="Palatino" w:eastAsia="Droid Serif" w:hAnsi="Palatino" w:cstheme="minorHAnsi"/>
        </w:rPr>
        <w:t>injustice.</w:t>
      </w:r>
      <w:r w:rsidRPr="00630A9E">
        <w:rPr>
          <w:rFonts w:ascii="Palatino" w:eastAsia="Droid Serif" w:hAnsi="Palatino" w:cstheme="minorHAnsi"/>
        </w:rPr>
        <w:t xml:space="preserve"> </w:t>
      </w:r>
      <w:r w:rsidR="00D47D73" w:rsidRPr="00630A9E">
        <w:rPr>
          <w:rFonts w:ascii="Palatino" w:eastAsia="Droid Serif" w:hAnsi="Palatino" w:cstheme="minorHAnsi"/>
        </w:rPr>
        <w:t>Fourth,</w:t>
      </w:r>
      <w:r w:rsidRPr="00630A9E">
        <w:rPr>
          <w:rFonts w:ascii="Palatino" w:eastAsia="Droid Serif" w:hAnsi="Palatino" w:cstheme="minorHAnsi"/>
        </w:rPr>
        <w:t xml:space="preserve"> it is highly unobvious that the default position can be determined by a legal theory or regime </w:t>
      </w:r>
      <w:r w:rsidRPr="00630A9E">
        <w:rPr>
          <w:rFonts w:ascii="Palatino" w:eastAsia="Droid Serif" w:hAnsi="Palatino" w:cstheme="minorHAnsi"/>
          <w:i/>
        </w:rPr>
        <w:t>full stop</w:t>
      </w:r>
      <w:r w:rsidRPr="00630A9E">
        <w:rPr>
          <w:rFonts w:ascii="Palatino" w:eastAsia="Droid Serif" w:hAnsi="Palatino" w:cstheme="minorHAnsi"/>
        </w:rPr>
        <w:t>, in isolation from questions raised by social epistemology</w:t>
      </w:r>
      <w:r w:rsidR="00D47D73" w:rsidRPr="00630A9E">
        <w:rPr>
          <w:rFonts w:ascii="Palatino" w:eastAsia="Droid Serif" w:hAnsi="Palatino" w:cstheme="minorHAnsi"/>
        </w:rPr>
        <w:t>, insofar as the idea of ‘knowability’ is taken seriously</w:t>
      </w:r>
      <w:r w:rsidRPr="00630A9E">
        <w:rPr>
          <w:rFonts w:ascii="Palatino" w:eastAsia="Droid Serif" w:hAnsi="Palatino" w:cstheme="minorHAnsi"/>
        </w:rPr>
        <w:t>.</w:t>
      </w:r>
    </w:p>
    <w:p w14:paraId="77C27C5B" w14:textId="55CA86FC" w:rsidR="00B835F1" w:rsidRPr="00630A9E" w:rsidRDefault="00B835F1"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 xml:space="preserve">That does not mean the no-theory theory cannot be defended. So, for instance, the </w:t>
      </w:r>
      <w:r w:rsidR="00877AEC">
        <w:rPr>
          <w:rFonts w:ascii="Palatino" w:eastAsia="Droid Serif" w:hAnsi="Palatino" w:cstheme="minorHAnsi"/>
        </w:rPr>
        <w:t>no-theory</w:t>
      </w:r>
      <w:r w:rsidRPr="00630A9E">
        <w:rPr>
          <w:rFonts w:ascii="Palatino" w:eastAsia="Droid Serif" w:hAnsi="Palatino" w:cstheme="minorHAnsi"/>
        </w:rPr>
        <w:t xml:space="preserve"> theorist could simply reject the requirement of conceptual autonomy, arguing that the legal systems have their own specific internalized conception of epistemology which is </w:t>
      </w:r>
      <w:r w:rsidRPr="00630A9E">
        <w:rPr>
          <w:rFonts w:ascii="Palatino" w:eastAsia="Droid Serif" w:hAnsi="Palatino" w:cstheme="minorHAnsi"/>
          <w:i/>
        </w:rPr>
        <w:t>incommensurable</w:t>
      </w:r>
      <w:r w:rsidRPr="00630A9E">
        <w:rPr>
          <w:rFonts w:ascii="Palatino" w:eastAsia="Droid Serif" w:hAnsi="Palatino" w:cstheme="minorHAnsi"/>
        </w:rPr>
        <w:t xml:space="preserve"> with any others. If that is right, then it would be a hallucination to say that promulgation is a single virtue of all canonical legal theories have in common, contrary to appearances. There is, instead, ‘promulgation-for-us’, and ‘promulgation-for-you’, and so on. If that is the situation we are in, there is little hope for our friends A, B, C, and D to arrive at any genuine agreement without resorting to irrational means.</w:t>
      </w:r>
      <w:r w:rsidR="003A4556" w:rsidRPr="00630A9E">
        <w:rPr>
          <w:rFonts w:ascii="Palatino" w:eastAsia="Droid Serif" w:hAnsi="Palatino" w:cstheme="minorHAnsi"/>
        </w:rPr>
        <w:t xml:space="preserve"> This is good reason to seek alternatives.</w:t>
      </w:r>
    </w:p>
    <w:p w14:paraId="1B448EE6" w14:textId="1B853674" w:rsidR="006E6A1B" w:rsidRPr="00630A9E" w:rsidRDefault="006E6A1B" w:rsidP="008720B6">
      <w:pPr>
        <w:widowControl w:val="0"/>
        <w:ind w:right="-56" w:firstLine="426"/>
        <w:jc w:val="both"/>
        <w:rPr>
          <w:rFonts w:ascii="Palatino" w:eastAsia="Droid Serif" w:hAnsi="Palatino" w:cstheme="minorHAnsi"/>
        </w:rPr>
      </w:pPr>
    </w:p>
    <w:p w14:paraId="6C3A959E" w14:textId="1C07A8E6" w:rsidR="006E6A1B" w:rsidRPr="00630A9E" w:rsidRDefault="003A4556" w:rsidP="008720B6">
      <w:pPr>
        <w:widowControl w:val="0"/>
        <w:ind w:right="-56"/>
        <w:jc w:val="both"/>
        <w:rPr>
          <w:rFonts w:ascii="Palatino" w:eastAsia="Droid Serif" w:hAnsi="Palatino" w:cstheme="minorHAnsi"/>
        </w:rPr>
      </w:pPr>
      <w:r w:rsidRPr="00630A9E">
        <w:rPr>
          <w:rFonts w:ascii="Palatino" w:eastAsia="Droid Serif" w:hAnsi="Palatino" w:cstheme="minorHAnsi"/>
        </w:rPr>
        <w:t xml:space="preserve">Our negative comments about the no-theory theory above ought to function as positive restrictions on our choice of alternatives. </w:t>
      </w:r>
      <w:r w:rsidR="006E6A1B" w:rsidRPr="00630A9E">
        <w:rPr>
          <w:rFonts w:ascii="Palatino" w:eastAsia="Droid Serif" w:hAnsi="Palatino" w:cstheme="minorHAnsi"/>
        </w:rPr>
        <w:t xml:space="preserve">A theory of access ought to articulate a concept of knowability that applies to diverse legal regimes and outputs various assessments of epistemic risk. So, the concept has to be compatible with a plurality of different answers to foundational questions about law – e.g., the ones held by A, B, C, and D. In that sense, it has to be </w:t>
      </w:r>
      <w:r w:rsidR="006E6A1B" w:rsidRPr="00630A9E">
        <w:rPr>
          <w:rFonts w:ascii="Palatino" w:eastAsia="Droid Serif" w:hAnsi="Palatino" w:cstheme="minorHAnsi"/>
          <w:i/>
        </w:rPr>
        <w:t xml:space="preserve">conceptually modest </w:t>
      </w:r>
      <w:r w:rsidR="006E6A1B" w:rsidRPr="00630A9E">
        <w:rPr>
          <w:rFonts w:ascii="Palatino" w:eastAsia="Droid Serif" w:hAnsi="Palatino" w:cstheme="minorHAnsi"/>
        </w:rPr>
        <w:t xml:space="preserve">in the ways that it identifies areas of commonality between discourses about law -- i.e., without rejecting any legal theory outright and absolutely, even if it might seem outlandish on first blush. Since the four criteria apply to all discourses, they are appropriately modest in that sense. Also, a theory of access must treat promulgation seriously, i.e., as a </w:t>
      </w:r>
      <w:r w:rsidR="006E6A1B" w:rsidRPr="00630A9E">
        <w:rPr>
          <w:rFonts w:ascii="Palatino" w:eastAsia="Droid Serif" w:hAnsi="Palatino" w:cstheme="minorHAnsi"/>
          <w:i/>
        </w:rPr>
        <w:t>relatively</w:t>
      </w:r>
      <w:r w:rsidR="006E6A1B" w:rsidRPr="00630A9E">
        <w:rPr>
          <w:rFonts w:ascii="Palatino" w:eastAsia="Droid Serif" w:hAnsi="Palatino" w:cstheme="minorHAnsi"/>
        </w:rPr>
        <w:t xml:space="preserve"> </w:t>
      </w:r>
      <w:r w:rsidR="006E6A1B" w:rsidRPr="00630A9E">
        <w:rPr>
          <w:rFonts w:ascii="Palatino" w:eastAsia="Droid Serif" w:hAnsi="Palatino" w:cstheme="minorHAnsi"/>
          <w:i/>
        </w:rPr>
        <w:t xml:space="preserve">autonomous </w:t>
      </w:r>
      <w:r w:rsidR="006E6A1B" w:rsidRPr="00630A9E">
        <w:rPr>
          <w:rFonts w:ascii="Palatino" w:eastAsia="Droid Serif" w:hAnsi="Palatino" w:cstheme="minorHAnsi"/>
        </w:rPr>
        <w:t>conceptual domain, in the sense that it must acknowledge the comparative differences between theories for the sake of offering a critical diagnosis of their epistemological strengths and weaknesses (as far as they relate to standards of knowability). This can be accomplished by noticing the degree to which the criteria are deployed, such that they add differential weight to estimations of epistemic risk as priors.</w:t>
      </w:r>
    </w:p>
    <w:p w14:paraId="62C01448" w14:textId="5F7039AC" w:rsidR="006E6A1B" w:rsidRPr="00630A9E" w:rsidRDefault="006E6A1B"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 xml:space="preserve">In effect, a theory of access ought to be powerful enough that it is able to yield judgments about whether or not the rulers have been successful at </w:t>
      </w:r>
      <w:r w:rsidR="00E25334">
        <w:rPr>
          <w:rFonts w:ascii="Palatino" w:eastAsia="Droid Serif" w:hAnsi="Palatino" w:cstheme="minorHAnsi"/>
        </w:rPr>
        <w:t>conveying law</w:t>
      </w:r>
      <w:r w:rsidRPr="00630A9E">
        <w:rPr>
          <w:rFonts w:ascii="Palatino" w:eastAsia="Droid Serif" w:hAnsi="Palatino" w:cstheme="minorHAnsi"/>
        </w:rPr>
        <w:t xml:space="preserve">. Ideally, it might yield </w:t>
      </w:r>
      <w:r w:rsidR="009A611F" w:rsidRPr="00630A9E">
        <w:rPr>
          <w:rFonts w:ascii="Palatino" w:eastAsia="Droid Serif" w:hAnsi="Palatino" w:cstheme="minorHAnsi"/>
        </w:rPr>
        <w:t>four</w:t>
      </w:r>
      <w:r w:rsidRPr="00630A9E">
        <w:rPr>
          <w:rFonts w:ascii="Palatino" w:eastAsia="Droid Serif" w:hAnsi="Palatino" w:cstheme="minorHAnsi"/>
        </w:rPr>
        <w:t xml:space="preserve"> sorts of judgment:</w:t>
      </w:r>
    </w:p>
    <w:p w14:paraId="57AFDB7E" w14:textId="77777777" w:rsidR="006E6A1B" w:rsidRPr="00630A9E" w:rsidRDefault="006E6A1B" w:rsidP="008720B6">
      <w:pPr>
        <w:widowControl w:val="0"/>
        <w:ind w:right="-56" w:firstLine="426"/>
        <w:jc w:val="both"/>
        <w:rPr>
          <w:rFonts w:ascii="Palatino" w:eastAsia="Droid Serif" w:hAnsi="Palatino" w:cstheme="minorHAnsi"/>
        </w:rPr>
      </w:pPr>
    </w:p>
    <w:p w14:paraId="3DDE9623" w14:textId="6061F4B5" w:rsidR="006E6A1B" w:rsidRPr="00630A9E" w:rsidRDefault="006E6A1B"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lastRenderedPageBreak/>
        <w:t>(</w:t>
      </w:r>
      <w:proofErr w:type="spellStart"/>
      <w:r w:rsidR="00116ACF" w:rsidRPr="00630A9E">
        <w:rPr>
          <w:rFonts w:ascii="Palatino" w:eastAsia="Droid Serif" w:hAnsi="Palatino" w:cstheme="minorHAnsi"/>
        </w:rPr>
        <w:t>i</w:t>
      </w:r>
      <w:proofErr w:type="spellEnd"/>
      <w:r w:rsidRPr="00630A9E">
        <w:rPr>
          <w:rFonts w:ascii="Palatino" w:eastAsia="Droid Serif" w:hAnsi="Palatino" w:cstheme="minorHAnsi"/>
        </w:rPr>
        <w:t xml:space="preserve">) A theory should recognize that, in some conditions, the amount of epistemic risk is TOLERABLE, and therefore yield a judgment that law is accessible, hence promulgated. Failures to cooperate along these lines may or may not be judged as failures to cooperate, though they must be judged as </w:t>
      </w:r>
      <w:r w:rsidR="00E25334">
        <w:rPr>
          <w:rFonts w:ascii="Palatino" w:eastAsia="Droid Serif" w:hAnsi="Palatino" w:cstheme="minorHAnsi"/>
        </w:rPr>
        <w:t>positive strategic attempts to coordinate</w:t>
      </w:r>
      <w:r w:rsidRPr="00630A9E">
        <w:rPr>
          <w:rFonts w:ascii="Palatino" w:eastAsia="Droid Serif" w:hAnsi="Palatino" w:cstheme="minorHAnsi"/>
        </w:rPr>
        <w:t>. A conveyance is tolerable in this respect so long as the assumptions of good faith reduce the epistemic risks of subjects to a point where the range of interpretation of some piece of evidence fully meet or exceed the standard of justification.</w:t>
      </w:r>
    </w:p>
    <w:p w14:paraId="73CF0B5B" w14:textId="30A9E6A6" w:rsidR="006E6A1B" w:rsidRPr="00630A9E" w:rsidRDefault="006E6A1B"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w:t>
      </w:r>
      <w:r w:rsidR="00116ACF" w:rsidRPr="00630A9E">
        <w:rPr>
          <w:rFonts w:ascii="Palatino" w:eastAsia="Droid Serif" w:hAnsi="Palatino" w:cstheme="minorHAnsi"/>
        </w:rPr>
        <w:t>ii</w:t>
      </w:r>
      <w:r w:rsidRPr="00630A9E">
        <w:rPr>
          <w:rFonts w:ascii="Palatino" w:eastAsia="Droid Serif" w:hAnsi="Palatino" w:cstheme="minorHAnsi"/>
        </w:rPr>
        <w:t>) It must, under other conditions, observe that epistemic risks are INTOLERABLE, producing vulnerabilities in the population that might interfere with uptake. Which is to say, some conveyance is intolerable so long as the conditions of good faith result in a situation where the range of interpretations straddle the standard required for justification; and, finally,</w:t>
      </w:r>
    </w:p>
    <w:p w14:paraId="56A40052" w14:textId="4F54E184" w:rsidR="006E6A1B" w:rsidRPr="00630A9E" w:rsidRDefault="006E6A1B"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w:t>
      </w:r>
      <w:r w:rsidR="00116ACF" w:rsidRPr="00630A9E">
        <w:rPr>
          <w:rFonts w:ascii="Palatino" w:eastAsia="Droid Serif" w:hAnsi="Palatino" w:cstheme="minorHAnsi"/>
        </w:rPr>
        <w:t>iii</w:t>
      </w:r>
      <w:r w:rsidRPr="00630A9E">
        <w:rPr>
          <w:rFonts w:ascii="Palatino" w:eastAsia="Droid Serif" w:hAnsi="Palatino" w:cstheme="minorHAnsi"/>
        </w:rPr>
        <w:t xml:space="preserve">) It must recognize conditions for promulgation FAILURE for some subset of conditions where epistemic risks are intolerable, i.e., which </w:t>
      </w:r>
      <w:r w:rsidRPr="00630A9E">
        <w:rPr>
          <w:rFonts w:ascii="Palatino" w:eastAsia="Droid Serif" w:hAnsi="Palatino" w:cstheme="minorHAnsi"/>
          <w:i/>
        </w:rPr>
        <w:t>must</w:t>
      </w:r>
      <w:r w:rsidRPr="00630A9E">
        <w:rPr>
          <w:rFonts w:ascii="Palatino" w:eastAsia="Droid Serif" w:hAnsi="Palatino" w:cstheme="minorHAnsi"/>
        </w:rPr>
        <w:t xml:space="preserve"> be judged as </w:t>
      </w:r>
      <w:r w:rsidR="00E25334">
        <w:rPr>
          <w:rFonts w:ascii="Palatino" w:eastAsia="Droid Serif" w:hAnsi="Palatino" w:cstheme="minorHAnsi"/>
        </w:rPr>
        <w:t>failures to convey law</w:t>
      </w:r>
      <w:r w:rsidRPr="00630A9E">
        <w:rPr>
          <w:rFonts w:ascii="Palatino" w:eastAsia="Droid Serif" w:hAnsi="Palatino" w:cstheme="minorHAnsi"/>
        </w:rPr>
        <w:t xml:space="preserve">. In this way, the assumptions of good faith are grossly inadequate, in such a way that the range of interpretations fail to meet the appropriate standard of justification. </w:t>
      </w:r>
    </w:p>
    <w:p w14:paraId="366E4084" w14:textId="71A907C2" w:rsidR="006E6A1B" w:rsidRPr="00630A9E" w:rsidRDefault="006E6A1B"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w:t>
      </w:r>
      <w:r w:rsidR="00116ACF" w:rsidRPr="00630A9E">
        <w:rPr>
          <w:rFonts w:ascii="Palatino" w:eastAsia="Droid Serif" w:hAnsi="Palatino" w:cstheme="minorHAnsi"/>
        </w:rPr>
        <w:t>iv</w:t>
      </w:r>
      <w:r w:rsidRPr="00630A9E">
        <w:rPr>
          <w:rFonts w:ascii="Palatino" w:eastAsia="Droid Serif" w:hAnsi="Palatino" w:cstheme="minorHAnsi"/>
        </w:rPr>
        <w:t xml:space="preserve">) It must recognize that, under some unfortunate conditions, the epistemic risks in the situation are INDETERMINATE -- i.e., all our attempts at modelling risks of error cannot help but result in judgment of promulgation failure. Those conditions are, roughly, whenever the margin of error provided by a theory of law, and applied at the judicial level, </w:t>
      </w:r>
      <w:r w:rsidR="00457928" w:rsidRPr="00630A9E">
        <w:rPr>
          <w:rFonts w:ascii="Palatino" w:eastAsia="Droid Serif" w:hAnsi="Palatino" w:cstheme="minorHAnsi"/>
        </w:rPr>
        <w:t>is sufficiently severe</w:t>
      </w:r>
      <w:r w:rsidRPr="00630A9E">
        <w:rPr>
          <w:rFonts w:ascii="Palatino" w:eastAsia="Droid Serif" w:hAnsi="Palatino" w:cstheme="minorHAnsi"/>
        </w:rPr>
        <w:t xml:space="preserve"> that </w:t>
      </w:r>
      <w:r w:rsidR="00445081" w:rsidRPr="00630A9E">
        <w:rPr>
          <w:rFonts w:ascii="Palatino" w:eastAsia="Droid Serif" w:hAnsi="Palatino" w:cstheme="minorHAnsi"/>
        </w:rPr>
        <w:t>our estimation of risk</w:t>
      </w:r>
      <w:r w:rsidRPr="00630A9E">
        <w:rPr>
          <w:rFonts w:ascii="Palatino" w:eastAsia="Droid Serif" w:hAnsi="Palatino" w:cstheme="minorHAnsi"/>
        </w:rPr>
        <w:t xml:space="preserve"> cannot help but be intolerable</w:t>
      </w:r>
      <w:r w:rsidR="00445081" w:rsidRPr="00630A9E">
        <w:rPr>
          <w:rFonts w:ascii="Palatino" w:eastAsia="Droid Serif" w:hAnsi="Palatino" w:cstheme="minorHAnsi"/>
        </w:rPr>
        <w:t>, come what may.</w:t>
      </w:r>
    </w:p>
    <w:p w14:paraId="5FD0C307" w14:textId="64BADCC4" w:rsidR="006E6A1B" w:rsidRPr="00630A9E" w:rsidRDefault="006E6A1B"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So long as the theory is conceptually autonomous</w:t>
      </w:r>
      <w:r w:rsidR="0050278B">
        <w:rPr>
          <w:rFonts w:ascii="Palatino" w:eastAsia="Droid Serif" w:hAnsi="Palatino" w:cstheme="minorHAnsi"/>
        </w:rPr>
        <w:t xml:space="preserve"> from our favorite story of legal validity</w:t>
      </w:r>
      <w:r w:rsidRPr="00630A9E">
        <w:rPr>
          <w:rFonts w:ascii="Palatino" w:eastAsia="Droid Serif" w:hAnsi="Palatino" w:cstheme="minorHAnsi"/>
        </w:rPr>
        <w:t>, the distinction between (1), (2), and (3) should arise from epistemological considerations related to justification of beliefs from evidence, not</w:t>
      </w:r>
      <w:r w:rsidR="003A4556" w:rsidRPr="00630A9E">
        <w:rPr>
          <w:rFonts w:ascii="Palatino" w:eastAsia="Droid Serif" w:hAnsi="Palatino" w:cstheme="minorHAnsi"/>
        </w:rPr>
        <w:t xml:space="preserve"> just</w:t>
      </w:r>
      <w:r w:rsidRPr="00630A9E">
        <w:rPr>
          <w:rFonts w:ascii="Palatino" w:eastAsia="Droid Serif" w:hAnsi="Palatino" w:cstheme="minorHAnsi"/>
        </w:rPr>
        <w:t xml:space="preserve"> by fiat from a theory of law.</w:t>
      </w:r>
      <w:r w:rsidR="003A4556" w:rsidRPr="00630A9E">
        <w:rPr>
          <w:rFonts w:ascii="Palatino" w:eastAsia="Droid Serif" w:hAnsi="Palatino" w:cstheme="minorHAnsi"/>
        </w:rPr>
        <w:t xml:space="preserve"> Though, of course, theories of law add weight to </w:t>
      </w:r>
      <w:r w:rsidR="00163A7B" w:rsidRPr="00630A9E">
        <w:rPr>
          <w:rFonts w:ascii="Palatino" w:eastAsia="Droid Serif" w:hAnsi="Palatino" w:cstheme="minorHAnsi"/>
        </w:rPr>
        <w:t>our risk estimates</w:t>
      </w:r>
      <w:r w:rsidR="003A4556" w:rsidRPr="00630A9E">
        <w:rPr>
          <w:rFonts w:ascii="Palatino" w:eastAsia="Droid Serif" w:hAnsi="Palatino" w:cstheme="minorHAnsi"/>
        </w:rPr>
        <w:t xml:space="preserve">, that </w:t>
      </w:r>
      <w:r w:rsidR="00AB1DD3" w:rsidRPr="00630A9E">
        <w:rPr>
          <w:rFonts w:ascii="Palatino" w:eastAsia="Droid Serif" w:hAnsi="Palatino" w:cstheme="minorHAnsi"/>
        </w:rPr>
        <w:t xml:space="preserve">normative </w:t>
      </w:r>
      <w:r w:rsidR="003A4556" w:rsidRPr="00630A9E">
        <w:rPr>
          <w:rFonts w:ascii="Palatino" w:eastAsia="Droid Serif" w:hAnsi="Palatino" w:cstheme="minorHAnsi"/>
        </w:rPr>
        <w:t>weight is only partial</w:t>
      </w:r>
      <w:r w:rsidR="00163A7B" w:rsidRPr="00630A9E">
        <w:rPr>
          <w:rFonts w:ascii="Palatino" w:eastAsia="Droid Serif" w:hAnsi="Palatino" w:cstheme="minorHAnsi"/>
        </w:rPr>
        <w:t>.</w:t>
      </w:r>
    </w:p>
    <w:p w14:paraId="1BEDEC4D" w14:textId="77777777" w:rsidR="009A611F" w:rsidRPr="00630A9E" w:rsidRDefault="009A611F" w:rsidP="008720B6">
      <w:pPr>
        <w:widowControl w:val="0"/>
        <w:ind w:right="-56" w:firstLine="426"/>
        <w:jc w:val="both"/>
        <w:rPr>
          <w:rFonts w:ascii="Palatino" w:eastAsia="Droid Serif" w:hAnsi="Palatino" w:cstheme="minorHAnsi"/>
        </w:rPr>
      </w:pPr>
    </w:p>
    <w:p w14:paraId="5D7D2550" w14:textId="0CD42A4C" w:rsidR="00635214" w:rsidRPr="00630A9E" w:rsidRDefault="006E6A1B" w:rsidP="008720B6">
      <w:pPr>
        <w:widowControl w:val="0"/>
        <w:ind w:right="-56"/>
        <w:jc w:val="both"/>
        <w:rPr>
          <w:rFonts w:ascii="Palatino" w:eastAsia="Droid Serif" w:hAnsi="Palatino" w:cstheme="minorHAnsi"/>
        </w:rPr>
      </w:pPr>
      <w:r w:rsidRPr="00630A9E">
        <w:rPr>
          <w:rFonts w:ascii="Palatino" w:eastAsia="Droid Serif" w:hAnsi="Palatino" w:cstheme="minorHAnsi"/>
        </w:rPr>
        <w:t>These considerations, now made explicit, should allow us to finally arrive at the following conceptual gambit</w:t>
      </w:r>
      <w:r w:rsidR="009A611F" w:rsidRPr="00630A9E">
        <w:rPr>
          <w:rFonts w:ascii="Palatino" w:eastAsia="Droid Serif" w:hAnsi="Palatino" w:cstheme="minorHAnsi"/>
        </w:rPr>
        <w:t xml:space="preserve">: the </w:t>
      </w:r>
      <w:r w:rsidR="00746115">
        <w:rPr>
          <w:rFonts w:ascii="Palatino" w:eastAsia="Droid Serif" w:hAnsi="Palatino" w:cstheme="minorHAnsi"/>
        </w:rPr>
        <w:t>CONVEYANCE</w:t>
      </w:r>
      <w:r w:rsidR="009A611F" w:rsidRPr="00630A9E">
        <w:rPr>
          <w:rFonts w:ascii="Palatino" w:eastAsia="Droid Serif" w:hAnsi="Palatino" w:cstheme="minorHAnsi"/>
        </w:rPr>
        <w:t xml:space="preserve"> THEORY of access</w:t>
      </w:r>
      <w:r w:rsidRPr="00630A9E">
        <w:rPr>
          <w:rFonts w:ascii="Palatino" w:eastAsia="Droid Serif" w:hAnsi="Palatino" w:cstheme="minorHAnsi"/>
        </w:rPr>
        <w:t xml:space="preserve">. </w:t>
      </w:r>
      <w:r w:rsidR="009A611F" w:rsidRPr="00630A9E">
        <w:rPr>
          <w:rFonts w:ascii="Palatino" w:eastAsia="Droid Serif" w:hAnsi="Palatino" w:cstheme="minorHAnsi"/>
        </w:rPr>
        <w:t>On this view, a</w:t>
      </w:r>
      <w:r w:rsidRPr="00630A9E">
        <w:rPr>
          <w:rFonts w:ascii="Palatino" w:eastAsia="Droid Serif" w:hAnsi="Palatino" w:cstheme="minorHAnsi"/>
        </w:rPr>
        <w:t xml:space="preserve"> law is accessible, for some signal (p) and some law (q), so long as signal (p) conveys the law (q) </w:t>
      </w:r>
      <w:r w:rsidR="00B835F1" w:rsidRPr="00630A9E">
        <w:rPr>
          <w:rFonts w:ascii="Palatino" w:eastAsia="Droid Serif" w:hAnsi="Palatino" w:cstheme="minorHAnsi"/>
        </w:rPr>
        <w:t>provided</w:t>
      </w:r>
      <w:r w:rsidRPr="00630A9E">
        <w:rPr>
          <w:rFonts w:ascii="Palatino" w:eastAsia="Droid Serif" w:hAnsi="Palatino" w:cstheme="minorHAnsi"/>
        </w:rPr>
        <w:t xml:space="preserve"> </w:t>
      </w:r>
      <w:r w:rsidR="00B835F1" w:rsidRPr="00630A9E">
        <w:rPr>
          <w:rFonts w:ascii="Palatino" w:eastAsia="Droid Serif" w:hAnsi="Palatino" w:cstheme="minorHAnsi"/>
        </w:rPr>
        <w:t>that:</w:t>
      </w:r>
      <w:r w:rsidRPr="00630A9E">
        <w:rPr>
          <w:rFonts w:ascii="Palatino" w:eastAsia="Droid Serif" w:hAnsi="Palatino" w:cstheme="minorHAnsi"/>
        </w:rPr>
        <w:t xml:space="preserve"> (</w:t>
      </w:r>
      <w:r w:rsidRPr="00630A9E">
        <w:rPr>
          <w:rFonts w:ascii="Palatino" w:eastAsia="Droid Serif" w:hAnsi="Palatino" w:cstheme="minorHAnsi"/>
          <w:b/>
          <w:u w:val="single"/>
        </w:rPr>
        <w:t>1</w:t>
      </w:r>
      <w:r w:rsidRPr="00630A9E">
        <w:rPr>
          <w:rFonts w:ascii="Palatino" w:eastAsia="Droid Serif" w:hAnsi="Palatino" w:cstheme="minorHAnsi"/>
        </w:rPr>
        <w:t xml:space="preserve">) subjects </w:t>
      </w:r>
      <w:r w:rsidRPr="00630A9E">
        <w:rPr>
          <w:rFonts w:ascii="Palatino" w:eastAsia="Droid Serif" w:hAnsi="Palatino" w:cstheme="minorHAnsi"/>
          <w:i/>
        </w:rPr>
        <w:t>assume</w:t>
      </w:r>
      <w:r w:rsidRPr="00630A9E">
        <w:rPr>
          <w:rFonts w:ascii="Palatino" w:eastAsia="Droid Serif" w:hAnsi="Palatino" w:cstheme="minorHAnsi"/>
        </w:rPr>
        <w:t xml:space="preserve"> that the rulers believe they communicated a law in good faith (e.g., according to a rule of recognition); (</w:t>
      </w:r>
      <w:r w:rsidRPr="00630A9E">
        <w:rPr>
          <w:rFonts w:ascii="Palatino" w:eastAsia="Droid Serif" w:hAnsi="Palatino" w:cstheme="minorHAnsi"/>
          <w:b/>
          <w:u w:val="single"/>
        </w:rPr>
        <w:t>2</w:t>
      </w:r>
      <w:r w:rsidRPr="00630A9E">
        <w:rPr>
          <w:rFonts w:ascii="Palatino" w:eastAsia="Droid Serif" w:hAnsi="Palatino" w:cstheme="minorHAnsi"/>
        </w:rPr>
        <w:t xml:space="preserve">) subjects have a </w:t>
      </w:r>
      <w:r w:rsidR="00A07985" w:rsidRPr="00630A9E">
        <w:rPr>
          <w:rFonts w:ascii="Palatino" w:eastAsia="Droid Serif" w:hAnsi="Palatino" w:cstheme="minorHAnsi"/>
        </w:rPr>
        <w:t>sincere reasonable</w:t>
      </w:r>
      <w:r w:rsidRPr="00630A9E">
        <w:rPr>
          <w:rFonts w:ascii="Palatino" w:eastAsia="Droid Serif" w:hAnsi="Palatino" w:cstheme="minorHAnsi"/>
        </w:rPr>
        <w:t xml:space="preserve"> belief that the rulers are not conveying (q) in intellectual bad faith, according to subjects’ own lights (e.g., according to some identification rule, which is assumed to approximate the rules of recognition); (</w:t>
      </w:r>
      <w:r w:rsidRPr="00630A9E">
        <w:rPr>
          <w:rFonts w:ascii="Palatino" w:eastAsia="Droid Serif" w:hAnsi="Palatino" w:cstheme="minorHAnsi"/>
          <w:b/>
          <w:u w:val="single"/>
        </w:rPr>
        <w:t>3</w:t>
      </w:r>
      <w:r w:rsidRPr="00630A9E">
        <w:rPr>
          <w:rFonts w:ascii="Palatino" w:eastAsia="Droid Serif" w:hAnsi="Palatino" w:cstheme="minorHAnsi"/>
        </w:rPr>
        <w:t>) the evidence on hand supports (</w:t>
      </w:r>
      <w:r w:rsidRPr="00630A9E">
        <w:rPr>
          <w:rFonts w:ascii="Palatino" w:eastAsia="Droid Serif" w:hAnsi="Palatino" w:cstheme="minorHAnsi"/>
          <w:b/>
          <w:u w:val="single"/>
        </w:rPr>
        <w:t>2</w:t>
      </w:r>
      <w:r w:rsidRPr="00630A9E">
        <w:rPr>
          <w:rFonts w:ascii="Palatino" w:eastAsia="Droid Serif" w:hAnsi="Palatino" w:cstheme="minorHAnsi"/>
        </w:rPr>
        <w:t>) on the assumption of (</w:t>
      </w:r>
      <w:r w:rsidRPr="00630A9E">
        <w:rPr>
          <w:rFonts w:ascii="Palatino" w:eastAsia="Droid Serif" w:hAnsi="Palatino" w:cstheme="minorHAnsi"/>
          <w:b/>
          <w:u w:val="single"/>
        </w:rPr>
        <w:t>1</w:t>
      </w:r>
      <w:r w:rsidRPr="00630A9E">
        <w:rPr>
          <w:rFonts w:ascii="Palatino" w:eastAsia="Droid Serif" w:hAnsi="Palatino" w:cstheme="minorHAnsi"/>
        </w:rPr>
        <w:t>)</w:t>
      </w:r>
      <w:r w:rsidR="005A7EB4" w:rsidRPr="00630A9E">
        <w:rPr>
          <w:rFonts w:ascii="Palatino" w:eastAsia="Droid Serif" w:hAnsi="Palatino" w:cstheme="minorHAnsi"/>
        </w:rPr>
        <w:t>.</w:t>
      </w:r>
      <w:r w:rsidR="00BA2A6C" w:rsidRPr="00630A9E">
        <w:rPr>
          <w:rStyle w:val="FootnoteReference"/>
          <w:rFonts w:ascii="Palatino" w:eastAsia="Droid Serif" w:hAnsi="Palatino" w:cstheme="minorHAnsi"/>
        </w:rPr>
        <w:footnoteReference w:id="36"/>
      </w:r>
      <w:r w:rsidR="005A7EB4" w:rsidRPr="00630A9E">
        <w:rPr>
          <w:rFonts w:ascii="Palatino" w:eastAsia="Droid Serif" w:hAnsi="Palatino" w:cstheme="minorHAnsi"/>
        </w:rPr>
        <w:t xml:space="preserve"> </w:t>
      </w:r>
      <w:r w:rsidRPr="00630A9E">
        <w:rPr>
          <w:rFonts w:ascii="Palatino" w:eastAsia="Droid Serif" w:hAnsi="Palatino" w:cstheme="minorHAnsi"/>
        </w:rPr>
        <w:t xml:space="preserve">In other words, access to law demands that subjects assume their rulers believe of themselves they are trustworthy messengers about law, and on that basis, that subjects be able to infer from the evidence that their rulers are trustworthy messengers about the contents of that particular law (according to their own lights). </w:t>
      </w:r>
      <w:r w:rsidR="00FB24F6" w:rsidRPr="00630A9E">
        <w:rPr>
          <w:rFonts w:ascii="Palatino" w:eastAsia="Droid Serif" w:hAnsi="Palatino" w:cstheme="minorHAnsi"/>
        </w:rPr>
        <w:t>A corollary of the assumption in (</w:t>
      </w:r>
      <w:r w:rsidR="00FB24F6" w:rsidRPr="00630A9E">
        <w:rPr>
          <w:rFonts w:ascii="Palatino" w:eastAsia="Droid Serif" w:hAnsi="Palatino" w:cstheme="minorHAnsi"/>
          <w:b/>
          <w:u w:val="single"/>
        </w:rPr>
        <w:t>1</w:t>
      </w:r>
      <w:r w:rsidR="00FB24F6" w:rsidRPr="00630A9E">
        <w:rPr>
          <w:rFonts w:ascii="Palatino" w:eastAsia="Droid Serif" w:hAnsi="Palatino" w:cstheme="minorHAnsi"/>
        </w:rPr>
        <w:t xml:space="preserve">) is the idea that any theory of law that produces an indeterminate epistemic risk estimate will be dis-preferred, relative to other theories. </w:t>
      </w:r>
      <w:r w:rsidRPr="00630A9E">
        <w:rPr>
          <w:rFonts w:ascii="Palatino" w:eastAsia="Droid Serif" w:hAnsi="Palatino" w:cstheme="minorHAnsi"/>
        </w:rPr>
        <w:t>Notably, (</w:t>
      </w:r>
      <w:r w:rsidRPr="00630A9E">
        <w:rPr>
          <w:rFonts w:ascii="Palatino" w:eastAsia="Droid Serif" w:hAnsi="Palatino" w:cstheme="minorHAnsi"/>
          <w:b/>
          <w:u w:val="single"/>
        </w:rPr>
        <w:t>2</w:t>
      </w:r>
      <w:r w:rsidRPr="00630A9E">
        <w:rPr>
          <w:rFonts w:ascii="Palatino" w:eastAsia="Droid Serif" w:hAnsi="Palatino" w:cstheme="minorHAnsi"/>
        </w:rPr>
        <w:t xml:space="preserve">) does not require the subject to infer that the rulers have </w:t>
      </w:r>
      <w:r w:rsidRPr="00630A9E">
        <w:rPr>
          <w:rFonts w:ascii="Palatino" w:eastAsia="Droid Serif" w:hAnsi="Palatino" w:cstheme="minorHAnsi"/>
          <w:i/>
        </w:rPr>
        <w:t>complex</w:t>
      </w:r>
      <w:r w:rsidRPr="00630A9E">
        <w:rPr>
          <w:rFonts w:ascii="Palatino" w:eastAsia="Droid Serif" w:hAnsi="Palatino" w:cstheme="minorHAnsi"/>
        </w:rPr>
        <w:t xml:space="preserve"> Gricean intentions to communicate meaning (e.g., </w:t>
      </w:r>
      <w:r w:rsidRPr="00630A9E">
        <w:rPr>
          <w:rFonts w:ascii="Palatino" w:eastAsia="Droid Serif" w:hAnsi="Palatino" w:cstheme="minorHAnsi"/>
          <w:bCs/>
          <w:iCs/>
        </w:rPr>
        <w:t>that</w:t>
      </w:r>
      <w:r w:rsidRPr="00630A9E">
        <w:rPr>
          <w:rFonts w:ascii="Palatino" w:eastAsia="Droid Serif" w:hAnsi="Palatino" w:cstheme="minorHAnsi"/>
          <w:bCs/>
          <w:i/>
          <w:iCs/>
        </w:rPr>
        <w:t xml:space="preserve"> </w:t>
      </w:r>
      <w:r w:rsidRPr="00630A9E">
        <w:rPr>
          <w:rFonts w:ascii="Palatino" w:eastAsia="Droid Serif" w:hAnsi="Palatino" w:cstheme="minorHAnsi"/>
        </w:rPr>
        <w:t xml:space="preserve">a legislature intended for their signalling of x to produce some effect in subjects by means of the subjects recognizing that </w:t>
      </w:r>
      <w:r w:rsidRPr="00630A9E">
        <w:rPr>
          <w:rFonts w:ascii="Palatino" w:eastAsia="Droid Serif" w:hAnsi="Palatino" w:cstheme="minorHAnsi"/>
        </w:rPr>
        <w:lastRenderedPageBreak/>
        <w:t xml:space="preserve">intention), since it is </w:t>
      </w:r>
      <w:r w:rsidRPr="00630A9E">
        <w:rPr>
          <w:rFonts w:ascii="Palatino" w:eastAsia="Droid Serif" w:hAnsi="Palatino" w:cstheme="minorHAnsi"/>
          <w:i/>
        </w:rPr>
        <w:t>at least possible</w:t>
      </w:r>
      <w:r w:rsidRPr="00630A9E">
        <w:rPr>
          <w:rFonts w:ascii="Palatino" w:eastAsia="Droid Serif" w:hAnsi="Palatino" w:cstheme="minorHAnsi"/>
        </w:rPr>
        <w:t xml:space="preserve"> for the information to be conveyed without the legislature putting any intentional effort into making it known</w:t>
      </w:r>
      <w:r w:rsidR="0045509C">
        <w:rPr>
          <w:rFonts w:ascii="Palatino" w:eastAsia="Droid Serif" w:hAnsi="Palatino" w:cstheme="minorHAnsi"/>
        </w:rPr>
        <w:t xml:space="preserve"> (e.g., in discrete law, or delayed law)</w:t>
      </w:r>
      <w:r w:rsidRPr="00630A9E">
        <w:rPr>
          <w:rFonts w:ascii="Palatino" w:eastAsia="Droid Serif" w:hAnsi="Palatino" w:cstheme="minorHAnsi"/>
        </w:rPr>
        <w:t>. And yet the beliefs that the people have about the significance of (p) must be more justifiable than not.</w:t>
      </w:r>
    </w:p>
    <w:p w14:paraId="4DDFF23B" w14:textId="5EE4EA23" w:rsidR="00A07985" w:rsidRPr="00630A9E" w:rsidRDefault="006E6A1B"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The difficulty is in making sense of the nature of that reasonable belief, on the assumption that the evidence in itself (p) is only a slight indication of a message (q).</w:t>
      </w:r>
      <w:r w:rsidR="00635214" w:rsidRPr="00630A9E">
        <w:rPr>
          <w:rFonts w:ascii="Palatino" w:eastAsia="Droid Serif" w:hAnsi="Palatino" w:cstheme="minorHAnsi"/>
        </w:rPr>
        <w:t xml:space="preserve"> We can imagine, for any number of contexts, there may be a number of models that might specify the standards of reasonable belief.</w:t>
      </w:r>
      <w:r w:rsidR="00757882" w:rsidRPr="00630A9E">
        <w:rPr>
          <w:rFonts w:ascii="Palatino" w:eastAsia="Droid Serif" w:hAnsi="Palatino" w:cstheme="minorHAnsi"/>
        </w:rPr>
        <w:t xml:space="preserve"> The important point, for now, is that facts about promulgation are also evaluations of how things are run.</w:t>
      </w:r>
    </w:p>
    <w:p w14:paraId="51D4EE66" w14:textId="77777777" w:rsidR="00CA131C" w:rsidRPr="00630A9E" w:rsidRDefault="00CA131C" w:rsidP="008720B6">
      <w:pPr>
        <w:widowControl w:val="0"/>
        <w:ind w:right="-56" w:firstLine="426"/>
        <w:jc w:val="both"/>
        <w:rPr>
          <w:rFonts w:ascii="Palatino" w:eastAsia="Droid Serif" w:hAnsi="Palatino" w:cstheme="minorHAnsi"/>
          <w:highlight w:val="yellow"/>
        </w:rPr>
      </w:pPr>
    </w:p>
    <w:p w14:paraId="7B316CAE" w14:textId="397FF227" w:rsidR="00536BED" w:rsidRPr="00630A9E" w:rsidRDefault="001A3426" w:rsidP="008720B6">
      <w:pPr>
        <w:widowControl w:val="0"/>
        <w:ind w:right="-56"/>
        <w:jc w:val="both"/>
        <w:rPr>
          <w:rFonts w:ascii="Palatino" w:eastAsia="Droid Serif" w:hAnsi="Palatino" w:cstheme="minorHAnsi"/>
        </w:rPr>
      </w:pPr>
      <w:r w:rsidRPr="00630A9E">
        <w:rPr>
          <w:rFonts w:ascii="Palatino" w:eastAsia="Droid Serif" w:hAnsi="Palatino" w:cstheme="minorHAnsi"/>
        </w:rPr>
        <w:t xml:space="preserve">Yet there is </w:t>
      </w:r>
      <w:r w:rsidR="00CA131C" w:rsidRPr="00630A9E">
        <w:rPr>
          <w:rFonts w:ascii="Palatino" w:eastAsia="Droid Serif" w:hAnsi="Palatino" w:cstheme="minorHAnsi"/>
        </w:rPr>
        <w:t xml:space="preserve">at least </w:t>
      </w:r>
      <w:r w:rsidRPr="00630A9E">
        <w:rPr>
          <w:rFonts w:ascii="Palatino" w:eastAsia="Droid Serif" w:hAnsi="Palatino" w:cstheme="minorHAnsi"/>
        </w:rPr>
        <w:t xml:space="preserve">one serious alternative to the </w:t>
      </w:r>
      <w:r w:rsidR="00746115">
        <w:rPr>
          <w:rFonts w:ascii="Palatino" w:eastAsia="Droid Serif" w:hAnsi="Palatino" w:cstheme="minorHAnsi"/>
        </w:rPr>
        <w:t>conveyance</w:t>
      </w:r>
      <w:r w:rsidRPr="00630A9E">
        <w:rPr>
          <w:rFonts w:ascii="Palatino" w:eastAsia="Droid Serif" w:hAnsi="Palatino" w:cstheme="minorHAnsi"/>
        </w:rPr>
        <w:t xml:space="preserve"> theory which is worth considering, which I will refer to as the AGONISTIC</w:t>
      </w:r>
      <w:r w:rsidR="00757882" w:rsidRPr="00630A9E">
        <w:rPr>
          <w:rFonts w:ascii="Palatino" w:eastAsia="Droid Serif" w:hAnsi="Palatino" w:cstheme="minorHAnsi"/>
        </w:rPr>
        <w:t xml:space="preserve"> </w:t>
      </w:r>
      <w:r w:rsidRPr="00630A9E">
        <w:rPr>
          <w:rFonts w:ascii="Palatino" w:eastAsia="Droid Serif" w:hAnsi="Palatino" w:cstheme="minorHAnsi"/>
        </w:rPr>
        <w:t>THEORY.</w:t>
      </w:r>
      <w:r w:rsidRPr="00630A9E">
        <w:rPr>
          <w:rStyle w:val="FootnoteReference"/>
          <w:rFonts w:ascii="Palatino" w:eastAsia="Droid Serif" w:hAnsi="Palatino" w:cstheme="minorHAnsi"/>
        </w:rPr>
        <w:footnoteReference w:id="37"/>
      </w:r>
      <w:r w:rsidRPr="00630A9E">
        <w:rPr>
          <w:rFonts w:ascii="Palatino" w:eastAsia="Droid Serif" w:hAnsi="Palatino" w:cstheme="minorHAnsi"/>
        </w:rPr>
        <w:t xml:space="preserve"> It involves the </w:t>
      </w:r>
      <w:r w:rsidR="00310244" w:rsidRPr="00630A9E">
        <w:rPr>
          <w:rFonts w:ascii="Palatino" w:eastAsia="Droid Serif" w:hAnsi="Palatino" w:cstheme="minorHAnsi"/>
        </w:rPr>
        <w:t>union</w:t>
      </w:r>
      <w:r w:rsidRPr="00630A9E">
        <w:rPr>
          <w:rFonts w:ascii="Palatino" w:eastAsia="Droid Serif" w:hAnsi="Palatino" w:cstheme="minorHAnsi"/>
        </w:rPr>
        <w:t xml:space="preserve"> of </w:t>
      </w:r>
      <w:r w:rsidR="00310244" w:rsidRPr="00630A9E">
        <w:rPr>
          <w:rFonts w:ascii="Palatino" w:eastAsia="Droid Serif" w:hAnsi="Palatino" w:cstheme="minorHAnsi"/>
        </w:rPr>
        <w:t>three theses in social and political philosophy:</w:t>
      </w:r>
    </w:p>
    <w:p w14:paraId="4D2A68B6" w14:textId="5E7E2551" w:rsidR="00310244" w:rsidRPr="00630A9E" w:rsidRDefault="00310244" w:rsidP="008720B6">
      <w:pPr>
        <w:pStyle w:val="ListParagraph"/>
        <w:widowControl w:val="0"/>
        <w:numPr>
          <w:ilvl w:val="0"/>
          <w:numId w:val="21"/>
        </w:numPr>
        <w:ind w:left="0" w:right="-56" w:firstLine="426"/>
        <w:jc w:val="both"/>
        <w:rPr>
          <w:rFonts w:ascii="Palatino" w:eastAsia="Droid Serif" w:hAnsi="Palatino" w:cstheme="minorHAnsi"/>
        </w:rPr>
      </w:pPr>
      <w:r w:rsidRPr="00630A9E">
        <w:rPr>
          <w:rFonts w:ascii="Palatino" w:eastAsia="Droid Serif" w:hAnsi="Palatino" w:cstheme="minorHAnsi"/>
          <w:i/>
        </w:rPr>
        <w:t>Power-knowledge</w:t>
      </w:r>
      <w:r w:rsidR="00536BED" w:rsidRPr="00630A9E">
        <w:rPr>
          <w:rFonts w:ascii="Palatino" w:eastAsia="Droid Serif" w:hAnsi="Palatino" w:cstheme="minorHAnsi"/>
          <w:i/>
        </w:rPr>
        <w:t xml:space="preserve"> thesis</w:t>
      </w:r>
      <w:r w:rsidRPr="00630A9E">
        <w:rPr>
          <w:rFonts w:ascii="Palatino" w:eastAsia="Droid Serif" w:hAnsi="Palatino" w:cstheme="minorHAnsi"/>
        </w:rPr>
        <w:t xml:space="preserve">. The </w:t>
      </w:r>
      <w:r w:rsidR="00746115">
        <w:rPr>
          <w:rFonts w:ascii="Palatino" w:eastAsia="Droid Serif" w:hAnsi="Palatino" w:cstheme="minorHAnsi"/>
        </w:rPr>
        <w:t>conveyance</w:t>
      </w:r>
      <w:r w:rsidRPr="00630A9E">
        <w:rPr>
          <w:rFonts w:ascii="Palatino" w:eastAsia="Droid Serif" w:hAnsi="Palatino" w:cstheme="minorHAnsi"/>
        </w:rPr>
        <w:t xml:space="preserve"> theory operates on the assumption that promulgation and authority can be analytically distinguished as inputs into a qualitative estimation of epistemic risk. </w:t>
      </w:r>
      <w:r w:rsidR="00D20B71" w:rsidRPr="00630A9E">
        <w:rPr>
          <w:rFonts w:ascii="Palatino" w:eastAsia="Droid Serif" w:hAnsi="Palatino" w:cstheme="minorHAnsi"/>
        </w:rPr>
        <w:t xml:space="preserve">But </w:t>
      </w:r>
      <w:r w:rsidRPr="00630A9E">
        <w:rPr>
          <w:rFonts w:ascii="Palatino" w:eastAsia="Droid Serif" w:hAnsi="Palatino" w:cstheme="minorHAnsi"/>
        </w:rPr>
        <w:t>there is a sense in which</w:t>
      </w:r>
      <w:r w:rsidR="00D20B71" w:rsidRPr="00630A9E">
        <w:rPr>
          <w:rFonts w:ascii="Palatino" w:eastAsia="Droid Serif" w:hAnsi="Palatino" w:cstheme="minorHAnsi"/>
        </w:rPr>
        <w:t xml:space="preserve"> </w:t>
      </w:r>
      <w:r w:rsidRPr="00630A9E">
        <w:rPr>
          <w:rFonts w:ascii="Palatino" w:eastAsia="Droid Serif" w:hAnsi="Palatino" w:cstheme="minorHAnsi"/>
        </w:rPr>
        <w:t>the</w:t>
      </w:r>
      <w:r w:rsidR="00785445" w:rsidRPr="00630A9E">
        <w:rPr>
          <w:rFonts w:ascii="Palatino" w:eastAsia="Droid Serif" w:hAnsi="Palatino" w:cstheme="minorHAnsi"/>
        </w:rPr>
        <w:t xml:space="preserve"> </w:t>
      </w:r>
      <w:r w:rsidR="00F93358" w:rsidRPr="00630A9E">
        <w:rPr>
          <w:rFonts w:ascii="Palatino" w:eastAsia="Droid Serif" w:hAnsi="Palatino" w:cstheme="minorHAnsi"/>
        </w:rPr>
        <w:t>two related</w:t>
      </w:r>
      <w:r w:rsidR="00D20B71" w:rsidRPr="00630A9E">
        <w:rPr>
          <w:rFonts w:ascii="Palatino" w:eastAsia="Droid Serif" w:hAnsi="Palatino" w:cstheme="minorHAnsi"/>
        </w:rPr>
        <w:t xml:space="preserve"> </w:t>
      </w:r>
      <w:r w:rsidR="00785445" w:rsidRPr="00630A9E">
        <w:rPr>
          <w:rFonts w:ascii="Palatino" w:eastAsia="Droid Serif" w:hAnsi="Palatino" w:cstheme="minorHAnsi"/>
        </w:rPr>
        <w:t>phenomena</w:t>
      </w:r>
      <w:r w:rsidR="00D20B71" w:rsidRPr="00630A9E">
        <w:rPr>
          <w:rFonts w:ascii="Palatino" w:eastAsia="Droid Serif" w:hAnsi="Palatino" w:cstheme="minorHAnsi"/>
        </w:rPr>
        <w:t xml:space="preserve"> – of know</w:t>
      </w:r>
      <w:r w:rsidR="00785445" w:rsidRPr="00630A9E">
        <w:rPr>
          <w:rFonts w:ascii="Palatino" w:eastAsia="Droid Serif" w:hAnsi="Palatino" w:cstheme="minorHAnsi"/>
        </w:rPr>
        <w:t>ing (</w:t>
      </w:r>
      <w:r w:rsidR="00785445" w:rsidRPr="00630A9E">
        <w:rPr>
          <w:rFonts w:ascii="Palatino" w:eastAsia="Droid Serif" w:hAnsi="Palatino" w:cstheme="minorHAnsi"/>
          <w:i/>
        </w:rPr>
        <w:t>savoir</w:t>
      </w:r>
      <w:r w:rsidR="00785445" w:rsidRPr="00630A9E">
        <w:rPr>
          <w:rFonts w:ascii="Palatino" w:eastAsia="Droid Serif" w:hAnsi="Palatino" w:cstheme="minorHAnsi"/>
        </w:rPr>
        <w:t>)</w:t>
      </w:r>
      <w:r w:rsidR="00D20B71" w:rsidRPr="00630A9E">
        <w:rPr>
          <w:rFonts w:ascii="Palatino" w:eastAsia="Droid Serif" w:hAnsi="Palatino" w:cstheme="minorHAnsi"/>
        </w:rPr>
        <w:t xml:space="preserve"> and power</w:t>
      </w:r>
      <w:r w:rsidR="00785445" w:rsidRPr="00630A9E">
        <w:rPr>
          <w:rFonts w:ascii="Palatino" w:eastAsia="Droid Serif" w:hAnsi="Palatino" w:cstheme="minorHAnsi"/>
        </w:rPr>
        <w:t xml:space="preserve"> (</w:t>
      </w:r>
      <w:proofErr w:type="spellStart"/>
      <w:r w:rsidR="00785445" w:rsidRPr="00630A9E">
        <w:rPr>
          <w:rFonts w:ascii="Palatino" w:eastAsia="Droid Serif" w:hAnsi="Palatino" w:cstheme="minorHAnsi"/>
          <w:i/>
        </w:rPr>
        <w:t>pouvoir</w:t>
      </w:r>
      <w:proofErr w:type="spellEnd"/>
      <w:r w:rsidR="00785445" w:rsidRPr="00630A9E">
        <w:rPr>
          <w:rFonts w:ascii="Palatino" w:eastAsia="Droid Serif" w:hAnsi="Palatino" w:cstheme="minorHAnsi"/>
        </w:rPr>
        <w:t>)</w:t>
      </w:r>
      <w:r w:rsidR="00D20B71" w:rsidRPr="00630A9E">
        <w:rPr>
          <w:rFonts w:ascii="Palatino" w:eastAsia="Droid Serif" w:hAnsi="Palatino" w:cstheme="minorHAnsi"/>
        </w:rPr>
        <w:t xml:space="preserve"> – cannot be pulled apart</w:t>
      </w:r>
      <w:r w:rsidRPr="00630A9E">
        <w:rPr>
          <w:rFonts w:ascii="Palatino" w:eastAsia="Droid Serif" w:hAnsi="Palatino" w:cstheme="minorHAnsi"/>
        </w:rPr>
        <w:t>.</w:t>
      </w:r>
      <w:r w:rsidR="00E526D8" w:rsidRPr="00630A9E">
        <w:rPr>
          <w:rFonts w:ascii="Palatino" w:eastAsia="Droid Serif" w:hAnsi="Palatino" w:cstheme="minorHAnsi"/>
        </w:rPr>
        <w:t xml:space="preserve"> </w:t>
      </w:r>
      <w:r w:rsidRPr="00630A9E">
        <w:rPr>
          <w:rFonts w:ascii="Palatino" w:eastAsia="Droid Serif" w:hAnsi="Palatino" w:cstheme="minorHAnsi"/>
        </w:rPr>
        <w:t>In this sense,</w:t>
      </w:r>
      <w:r w:rsidR="00E45842" w:rsidRPr="00630A9E">
        <w:rPr>
          <w:rFonts w:ascii="Palatino" w:eastAsia="Droid Serif" w:hAnsi="Palatino" w:cstheme="minorHAnsi"/>
        </w:rPr>
        <w:t xml:space="preserve"> </w:t>
      </w:r>
      <w:r w:rsidR="00E526D8" w:rsidRPr="00630A9E">
        <w:rPr>
          <w:rFonts w:ascii="Palatino" w:eastAsia="Droid Serif" w:hAnsi="Palatino" w:cstheme="minorHAnsi"/>
        </w:rPr>
        <w:t xml:space="preserve">one cannot speak of </w:t>
      </w:r>
      <w:r w:rsidR="00E526D8" w:rsidRPr="00630A9E">
        <w:rPr>
          <w:rFonts w:ascii="Palatino" w:eastAsia="Droid Serif" w:hAnsi="Palatino" w:cstheme="minorHAnsi"/>
          <w:i/>
        </w:rPr>
        <w:t>conveyance</w:t>
      </w:r>
      <w:r w:rsidR="00E526D8" w:rsidRPr="00630A9E">
        <w:rPr>
          <w:rFonts w:ascii="Palatino" w:eastAsia="Droid Serif" w:hAnsi="Palatino" w:cstheme="minorHAnsi"/>
        </w:rPr>
        <w:t xml:space="preserve"> of law without also </w:t>
      </w:r>
      <w:r w:rsidR="00044D7D" w:rsidRPr="00630A9E">
        <w:rPr>
          <w:rFonts w:ascii="Palatino" w:eastAsia="Droid Serif" w:hAnsi="Palatino" w:cstheme="minorHAnsi"/>
        </w:rPr>
        <w:t xml:space="preserve">necessarily </w:t>
      </w:r>
      <w:r w:rsidR="00E526D8" w:rsidRPr="00630A9E">
        <w:rPr>
          <w:rFonts w:ascii="Palatino" w:eastAsia="Droid Serif" w:hAnsi="Palatino" w:cstheme="minorHAnsi"/>
        </w:rPr>
        <w:t xml:space="preserve">talking about </w:t>
      </w:r>
      <w:r w:rsidR="00E526D8" w:rsidRPr="00630A9E">
        <w:rPr>
          <w:rFonts w:ascii="Palatino" w:eastAsia="Droid Serif" w:hAnsi="Palatino" w:cstheme="minorHAnsi"/>
          <w:i/>
        </w:rPr>
        <w:t>conscription</w:t>
      </w:r>
      <w:r w:rsidR="00E526D8" w:rsidRPr="00630A9E">
        <w:rPr>
          <w:rFonts w:ascii="Palatino" w:eastAsia="Droid Serif" w:hAnsi="Palatino" w:cstheme="minorHAnsi"/>
        </w:rPr>
        <w:t xml:space="preserve"> to it</w:t>
      </w:r>
      <w:r w:rsidR="00E45842" w:rsidRPr="00630A9E">
        <w:rPr>
          <w:rFonts w:ascii="Palatino" w:eastAsia="Droid Serif" w:hAnsi="Palatino" w:cstheme="minorHAnsi"/>
        </w:rPr>
        <w:t>.</w:t>
      </w:r>
    </w:p>
    <w:p w14:paraId="456CD370" w14:textId="286A86D8" w:rsidR="00CA131C" w:rsidRPr="00630A9E" w:rsidRDefault="00536BED" w:rsidP="008720B6">
      <w:pPr>
        <w:pStyle w:val="ListParagraph"/>
        <w:widowControl w:val="0"/>
        <w:numPr>
          <w:ilvl w:val="0"/>
          <w:numId w:val="21"/>
        </w:numPr>
        <w:ind w:left="0" w:right="-56" w:firstLine="426"/>
        <w:jc w:val="both"/>
        <w:rPr>
          <w:rFonts w:ascii="Palatino" w:eastAsia="Droid Serif" w:hAnsi="Palatino" w:cstheme="minorHAnsi"/>
        </w:rPr>
      </w:pPr>
      <w:r w:rsidRPr="00630A9E">
        <w:rPr>
          <w:rFonts w:ascii="Palatino" w:eastAsia="Droid Serif" w:hAnsi="Palatino" w:cstheme="minorHAnsi"/>
          <w:i/>
        </w:rPr>
        <w:t xml:space="preserve">Agonistic conception of </w:t>
      </w:r>
      <w:r w:rsidR="0096374F" w:rsidRPr="00630A9E">
        <w:rPr>
          <w:rFonts w:ascii="Palatino" w:eastAsia="Droid Serif" w:hAnsi="Palatino" w:cstheme="minorHAnsi"/>
          <w:i/>
        </w:rPr>
        <w:t>power</w:t>
      </w:r>
      <w:r w:rsidR="00141460" w:rsidRPr="00630A9E">
        <w:rPr>
          <w:rFonts w:ascii="Palatino" w:eastAsia="Droid Serif" w:hAnsi="Palatino" w:cstheme="minorHAnsi"/>
        </w:rPr>
        <w:t>.</w:t>
      </w:r>
      <w:r w:rsidR="00757882" w:rsidRPr="00630A9E">
        <w:rPr>
          <w:rFonts w:ascii="Palatino" w:eastAsia="Droid Serif" w:hAnsi="Palatino" w:cstheme="minorHAnsi"/>
        </w:rPr>
        <w:t xml:space="preserve"> That is to say, agents are always in a constant struggle, actively </w:t>
      </w:r>
      <w:r w:rsidR="00992B4A" w:rsidRPr="00630A9E">
        <w:rPr>
          <w:rFonts w:ascii="Palatino" w:eastAsia="Droid Serif" w:hAnsi="Palatino" w:cstheme="minorHAnsi"/>
        </w:rPr>
        <w:t>seeking</w:t>
      </w:r>
      <w:r w:rsidR="00757882" w:rsidRPr="00630A9E">
        <w:rPr>
          <w:rFonts w:ascii="Palatino" w:eastAsia="Droid Serif" w:hAnsi="Palatino" w:cstheme="minorHAnsi"/>
        </w:rPr>
        <w:t xml:space="preserve"> to maximize their own ability to do stuff, and to be </w:t>
      </w:r>
      <w:r w:rsidR="00992B4A" w:rsidRPr="00630A9E">
        <w:rPr>
          <w:rFonts w:ascii="Palatino" w:eastAsia="Droid Serif" w:hAnsi="Palatino" w:cstheme="minorHAnsi"/>
        </w:rPr>
        <w:t>established</w:t>
      </w:r>
      <w:r w:rsidR="00757882" w:rsidRPr="00630A9E">
        <w:rPr>
          <w:rFonts w:ascii="Palatino" w:eastAsia="Droid Serif" w:hAnsi="Palatino" w:cstheme="minorHAnsi"/>
        </w:rPr>
        <w:t xml:space="preserve"> as being the ones through whom stuff gets done.</w:t>
      </w:r>
      <w:r w:rsidR="002F602F" w:rsidRPr="00630A9E">
        <w:rPr>
          <w:rFonts w:ascii="Palatino" w:eastAsia="Droid Serif" w:hAnsi="Palatino" w:cstheme="minorHAnsi"/>
        </w:rPr>
        <w:t xml:space="preserve"> Contrary to appearances they are never passive </w:t>
      </w:r>
      <w:r w:rsidR="00F13916" w:rsidRPr="00630A9E">
        <w:rPr>
          <w:rFonts w:ascii="Palatino" w:eastAsia="Droid Serif" w:hAnsi="Palatino" w:cstheme="minorHAnsi"/>
        </w:rPr>
        <w:t>receivers</w:t>
      </w:r>
      <w:r w:rsidR="002F602F" w:rsidRPr="00630A9E">
        <w:rPr>
          <w:rFonts w:ascii="Palatino" w:eastAsia="Droid Serif" w:hAnsi="Palatino" w:cstheme="minorHAnsi"/>
        </w:rPr>
        <w:t>.</w:t>
      </w:r>
    </w:p>
    <w:p w14:paraId="5C06F178" w14:textId="6C66A972" w:rsidR="00CA131C" w:rsidRDefault="00E22F72" w:rsidP="008720B6">
      <w:pPr>
        <w:pStyle w:val="ListParagraph"/>
        <w:widowControl w:val="0"/>
        <w:numPr>
          <w:ilvl w:val="0"/>
          <w:numId w:val="21"/>
        </w:numPr>
        <w:ind w:left="0" w:right="-56" w:firstLine="426"/>
        <w:jc w:val="both"/>
        <w:rPr>
          <w:rFonts w:ascii="Palatino" w:eastAsia="Droid Serif" w:hAnsi="Palatino" w:cstheme="minorHAnsi"/>
        </w:rPr>
      </w:pPr>
      <w:r>
        <w:rPr>
          <w:rFonts w:ascii="Palatino" w:eastAsia="Droid Serif" w:hAnsi="Palatino" w:cstheme="minorHAnsi"/>
          <w:i/>
        </w:rPr>
        <w:t>Performative</w:t>
      </w:r>
      <w:r w:rsidR="00757882" w:rsidRPr="00630A9E">
        <w:rPr>
          <w:rFonts w:ascii="Palatino" w:eastAsia="Droid Serif" w:hAnsi="Palatino" w:cstheme="minorHAnsi"/>
          <w:i/>
        </w:rPr>
        <w:t xml:space="preserve"> </w:t>
      </w:r>
      <w:r w:rsidR="00536BED" w:rsidRPr="00630A9E">
        <w:rPr>
          <w:rFonts w:ascii="Palatino" w:eastAsia="Droid Serif" w:hAnsi="Palatino" w:cstheme="minorHAnsi"/>
          <w:i/>
        </w:rPr>
        <w:t>conception of theory</w:t>
      </w:r>
      <w:r w:rsidR="00757882" w:rsidRPr="00630A9E">
        <w:rPr>
          <w:rFonts w:ascii="Palatino" w:eastAsia="Droid Serif" w:hAnsi="Palatino" w:cstheme="minorHAnsi"/>
        </w:rPr>
        <w:t>. If we take (</w:t>
      </w:r>
      <w:r w:rsidR="002F602F" w:rsidRPr="00630A9E">
        <w:rPr>
          <w:rFonts w:ascii="Palatino" w:eastAsia="Droid Serif" w:hAnsi="Palatino" w:cstheme="minorHAnsi"/>
        </w:rPr>
        <w:t>a</w:t>
      </w:r>
      <w:r w:rsidR="00757882" w:rsidRPr="00630A9E">
        <w:rPr>
          <w:rFonts w:ascii="Palatino" w:eastAsia="Droid Serif" w:hAnsi="Palatino" w:cstheme="minorHAnsi"/>
        </w:rPr>
        <w:t>-</w:t>
      </w:r>
      <w:r w:rsidR="002F602F" w:rsidRPr="00630A9E">
        <w:rPr>
          <w:rFonts w:ascii="Palatino" w:eastAsia="Droid Serif" w:hAnsi="Palatino" w:cstheme="minorHAnsi"/>
        </w:rPr>
        <w:t>b</w:t>
      </w:r>
      <w:r w:rsidR="00757882" w:rsidRPr="00630A9E">
        <w:rPr>
          <w:rFonts w:ascii="Palatino" w:eastAsia="Droid Serif" w:hAnsi="Palatino" w:cstheme="minorHAnsi"/>
        </w:rPr>
        <w:t xml:space="preserve">) seriously, then </w:t>
      </w:r>
      <w:r w:rsidR="00536BED" w:rsidRPr="00630A9E">
        <w:rPr>
          <w:rFonts w:ascii="Palatino" w:eastAsia="Droid Serif" w:hAnsi="Palatino" w:cstheme="minorHAnsi"/>
        </w:rPr>
        <w:t xml:space="preserve">every theory of promulgation is </w:t>
      </w:r>
      <w:r w:rsidR="00F13916" w:rsidRPr="00630A9E">
        <w:rPr>
          <w:rFonts w:ascii="Palatino" w:eastAsia="Droid Serif" w:hAnsi="Palatino" w:cstheme="minorHAnsi"/>
        </w:rPr>
        <w:t>itself</w:t>
      </w:r>
      <w:r w:rsidR="002F602F" w:rsidRPr="00630A9E">
        <w:rPr>
          <w:rFonts w:ascii="Palatino" w:eastAsia="Droid Serif" w:hAnsi="Palatino" w:cstheme="minorHAnsi"/>
        </w:rPr>
        <w:t xml:space="preserve"> </w:t>
      </w:r>
      <w:r w:rsidR="00F13916" w:rsidRPr="00630A9E">
        <w:rPr>
          <w:rFonts w:ascii="Palatino" w:eastAsia="Droid Serif" w:hAnsi="Palatino" w:cstheme="minorHAnsi"/>
        </w:rPr>
        <w:t xml:space="preserve">just </w:t>
      </w:r>
      <w:r w:rsidR="00536BED" w:rsidRPr="00630A9E">
        <w:rPr>
          <w:rFonts w:ascii="Palatino" w:eastAsia="Droid Serif" w:hAnsi="Palatino" w:cstheme="minorHAnsi"/>
        </w:rPr>
        <w:t>propaganda.</w:t>
      </w:r>
    </w:p>
    <w:p w14:paraId="63134B11" w14:textId="77777777" w:rsidR="00B64026" w:rsidRPr="00B64026" w:rsidRDefault="00B64026" w:rsidP="008720B6">
      <w:pPr>
        <w:widowControl w:val="0"/>
        <w:ind w:right="-56" w:firstLine="426"/>
        <w:jc w:val="both"/>
        <w:rPr>
          <w:rFonts w:ascii="Palatino" w:eastAsia="Droid Serif" w:hAnsi="Palatino" w:cstheme="minorHAnsi"/>
        </w:rPr>
      </w:pPr>
    </w:p>
    <w:p w14:paraId="208E0FCA" w14:textId="453ACAA4" w:rsidR="006246B6" w:rsidRDefault="004A1049" w:rsidP="008720B6">
      <w:pPr>
        <w:widowControl w:val="0"/>
        <w:ind w:right="-56"/>
        <w:jc w:val="both"/>
        <w:rPr>
          <w:rFonts w:ascii="Palatino" w:eastAsia="Droid Serif" w:hAnsi="Palatino" w:cstheme="minorHAnsi"/>
        </w:rPr>
      </w:pPr>
      <w:r w:rsidRPr="00630A9E">
        <w:rPr>
          <w:rFonts w:ascii="Palatino" w:eastAsia="Droid Serif" w:hAnsi="Palatino" w:cstheme="minorHAnsi"/>
        </w:rPr>
        <w:t>Thesis (c</w:t>
      </w:r>
      <w:r w:rsidR="00CA131C" w:rsidRPr="00630A9E">
        <w:rPr>
          <w:rFonts w:ascii="Palatino" w:eastAsia="Droid Serif" w:hAnsi="Palatino" w:cstheme="minorHAnsi"/>
        </w:rPr>
        <w:t>)</w:t>
      </w:r>
      <w:r w:rsidRPr="00630A9E">
        <w:rPr>
          <w:rFonts w:ascii="Palatino" w:eastAsia="Droid Serif" w:hAnsi="Palatino" w:cstheme="minorHAnsi"/>
        </w:rPr>
        <w:t xml:space="preserve"> directly challenges the </w:t>
      </w:r>
      <w:r w:rsidR="00746115">
        <w:rPr>
          <w:rFonts w:ascii="Palatino" w:eastAsia="Droid Serif" w:hAnsi="Palatino" w:cstheme="minorHAnsi"/>
        </w:rPr>
        <w:t>conveyance</w:t>
      </w:r>
      <w:r w:rsidRPr="00630A9E">
        <w:rPr>
          <w:rFonts w:ascii="Palatino" w:eastAsia="Droid Serif" w:hAnsi="Palatino" w:cstheme="minorHAnsi"/>
        </w:rPr>
        <w:t xml:space="preserve"> theory</w:t>
      </w:r>
      <w:r w:rsidR="00CA131C" w:rsidRPr="00630A9E">
        <w:rPr>
          <w:rFonts w:ascii="Palatino" w:eastAsia="Droid Serif" w:hAnsi="Palatino" w:cstheme="minorHAnsi"/>
        </w:rPr>
        <w:t>.</w:t>
      </w:r>
      <w:r w:rsidR="00213D6A" w:rsidRPr="00630A9E">
        <w:rPr>
          <w:rFonts w:ascii="Palatino" w:eastAsia="Droid Serif" w:hAnsi="Palatino" w:cstheme="minorHAnsi"/>
        </w:rPr>
        <w:t xml:space="preserve"> For </w:t>
      </w:r>
      <w:r w:rsidRPr="00630A9E">
        <w:rPr>
          <w:rFonts w:ascii="Palatino" w:eastAsia="Droid Serif" w:hAnsi="Palatino" w:cstheme="minorHAnsi"/>
        </w:rPr>
        <w:t xml:space="preserve">the </w:t>
      </w:r>
      <w:r w:rsidR="00746115">
        <w:rPr>
          <w:rFonts w:ascii="Palatino" w:eastAsia="Droid Serif" w:hAnsi="Palatino" w:cstheme="minorHAnsi"/>
        </w:rPr>
        <w:t>conveyance</w:t>
      </w:r>
      <w:r w:rsidRPr="00630A9E">
        <w:rPr>
          <w:rFonts w:ascii="Palatino" w:eastAsia="Droid Serif" w:hAnsi="Palatino" w:cstheme="minorHAnsi"/>
        </w:rPr>
        <w:t xml:space="preserve"> theory</w:t>
      </w:r>
      <w:r w:rsidR="00213D6A" w:rsidRPr="00630A9E">
        <w:rPr>
          <w:rFonts w:ascii="Palatino" w:eastAsia="Droid Serif" w:hAnsi="Palatino" w:cstheme="minorHAnsi"/>
        </w:rPr>
        <w:t xml:space="preserve"> asserts that</w:t>
      </w:r>
      <w:r w:rsidRPr="00630A9E">
        <w:rPr>
          <w:rFonts w:ascii="Palatino" w:eastAsia="Droid Serif" w:hAnsi="Palatino" w:cstheme="minorHAnsi"/>
        </w:rPr>
        <w:t xml:space="preserve"> it is possible for us to </w:t>
      </w:r>
      <w:r w:rsidR="00CE2511">
        <w:rPr>
          <w:rFonts w:ascii="Palatino" w:eastAsia="Droid Serif" w:hAnsi="Palatino" w:cstheme="minorHAnsi"/>
        </w:rPr>
        <w:t xml:space="preserve">offer a </w:t>
      </w:r>
      <w:r w:rsidR="006246B6" w:rsidRPr="00630A9E">
        <w:rPr>
          <w:rFonts w:ascii="Palatino" w:eastAsia="Droid Serif" w:hAnsi="Palatino" w:cstheme="minorHAnsi"/>
        </w:rPr>
        <w:t>rational reconstruct</w:t>
      </w:r>
      <w:r w:rsidR="00CE2511">
        <w:rPr>
          <w:rFonts w:ascii="Palatino" w:eastAsia="Droid Serif" w:hAnsi="Palatino" w:cstheme="minorHAnsi"/>
        </w:rPr>
        <w:t>ion</w:t>
      </w:r>
      <w:r w:rsidR="006246B6" w:rsidRPr="00630A9E">
        <w:rPr>
          <w:rFonts w:ascii="Palatino" w:eastAsia="Droid Serif" w:hAnsi="Palatino" w:cstheme="minorHAnsi"/>
        </w:rPr>
        <w:t xml:space="preserve"> of the ways we interpret our presuppositions </w:t>
      </w:r>
      <w:r w:rsidR="00CE2511">
        <w:rPr>
          <w:rFonts w:ascii="Palatino" w:eastAsia="Droid Serif" w:hAnsi="Palatino" w:cstheme="minorHAnsi"/>
        </w:rPr>
        <w:t>in</w:t>
      </w:r>
      <w:r w:rsidR="006246B6" w:rsidRPr="00630A9E">
        <w:rPr>
          <w:rFonts w:ascii="Palatino" w:eastAsia="Droid Serif" w:hAnsi="Palatino" w:cstheme="minorHAnsi"/>
        </w:rPr>
        <w:t xml:space="preserve"> communication</w:t>
      </w:r>
      <w:r w:rsidR="00CE2511">
        <w:rPr>
          <w:rFonts w:ascii="Palatino" w:eastAsia="Droid Serif" w:hAnsi="Palatino" w:cstheme="minorHAnsi"/>
        </w:rPr>
        <w:t>, in such a way that allows us to assign epistemic risk</w:t>
      </w:r>
      <w:r w:rsidR="006246B6" w:rsidRPr="00630A9E">
        <w:rPr>
          <w:rFonts w:ascii="Palatino" w:eastAsia="Droid Serif" w:hAnsi="Palatino" w:cstheme="minorHAnsi"/>
        </w:rPr>
        <w:t>.</w:t>
      </w:r>
      <w:r w:rsidR="00F13916" w:rsidRPr="00630A9E">
        <w:rPr>
          <w:rFonts w:ascii="Palatino" w:eastAsia="Droid Serif" w:hAnsi="Palatino" w:cstheme="minorHAnsi"/>
        </w:rPr>
        <w:t xml:space="preserve"> </w:t>
      </w:r>
      <w:r w:rsidR="006246B6" w:rsidRPr="00630A9E">
        <w:rPr>
          <w:rFonts w:ascii="Palatino" w:eastAsia="Droid Serif" w:hAnsi="Palatino" w:cstheme="minorHAnsi"/>
        </w:rPr>
        <w:t>The idea is</w:t>
      </w:r>
      <w:r w:rsidR="00F13916" w:rsidRPr="00630A9E">
        <w:rPr>
          <w:rFonts w:ascii="Palatino" w:eastAsia="Droid Serif" w:hAnsi="Palatino" w:cstheme="minorHAnsi"/>
        </w:rPr>
        <w:t xml:space="preserve"> that th</w:t>
      </w:r>
      <w:r w:rsidR="006246B6" w:rsidRPr="00630A9E">
        <w:rPr>
          <w:rFonts w:ascii="Palatino" w:eastAsia="Droid Serif" w:hAnsi="Palatino" w:cstheme="minorHAnsi"/>
        </w:rPr>
        <w:t>e</w:t>
      </w:r>
      <w:r w:rsidR="00F13916" w:rsidRPr="00630A9E">
        <w:rPr>
          <w:rFonts w:ascii="Palatino" w:eastAsia="Droid Serif" w:hAnsi="Palatino" w:cstheme="minorHAnsi"/>
        </w:rPr>
        <w:t xml:space="preserve"> </w:t>
      </w:r>
      <w:r w:rsidR="006246B6" w:rsidRPr="00630A9E">
        <w:rPr>
          <w:rFonts w:ascii="Palatino" w:eastAsia="Droid Serif" w:hAnsi="Palatino" w:cstheme="minorHAnsi"/>
        </w:rPr>
        <w:t>attempt to set out the conditions for good faith interaction</w:t>
      </w:r>
      <w:r w:rsidR="00F13916" w:rsidRPr="00630A9E">
        <w:rPr>
          <w:rFonts w:ascii="Palatino" w:eastAsia="Droid Serif" w:hAnsi="Palatino" w:cstheme="minorHAnsi"/>
        </w:rPr>
        <w:t xml:space="preserve"> can make a difference</w:t>
      </w:r>
      <w:r w:rsidR="00213D6A" w:rsidRPr="00630A9E">
        <w:rPr>
          <w:rFonts w:ascii="Palatino" w:eastAsia="Droid Serif" w:hAnsi="Palatino" w:cstheme="minorHAnsi"/>
        </w:rPr>
        <w:t xml:space="preserve"> </w:t>
      </w:r>
      <w:r w:rsidR="00F13916" w:rsidRPr="00630A9E">
        <w:rPr>
          <w:rFonts w:ascii="Palatino" w:eastAsia="Droid Serif" w:hAnsi="Palatino" w:cstheme="minorHAnsi"/>
        </w:rPr>
        <w:t>to</w:t>
      </w:r>
      <w:r w:rsidR="00213D6A" w:rsidRPr="00630A9E">
        <w:rPr>
          <w:rFonts w:ascii="Palatino" w:eastAsia="Droid Serif" w:hAnsi="Palatino" w:cstheme="minorHAnsi"/>
        </w:rPr>
        <w:t xml:space="preserve"> a critical evaluation of </w:t>
      </w:r>
      <w:r w:rsidR="00447697" w:rsidRPr="00630A9E">
        <w:rPr>
          <w:rFonts w:ascii="Palatino" w:eastAsia="Droid Serif" w:hAnsi="Palatino" w:cstheme="minorHAnsi"/>
        </w:rPr>
        <w:t>publicity</w:t>
      </w:r>
      <w:r w:rsidR="006246B6" w:rsidRPr="00630A9E">
        <w:rPr>
          <w:rFonts w:ascii="Palatino" w:eastAsia="Droid Serif" w:hAnsi="Palatino" w:cstheme="minorHAnsi"/>
        </w:rPr>
        <w:t>, understood as a value that is honored by all legal systems</w:t>
      </w:r>
      <w:r w:rsidR="00F13916" w:rsidRPr="00630A9E">
        <w:rPr>
          <w:rFonts w:ascii="Palatino" w:eastAsia="Droid Serif" w:hAnsi="Palatino" w:cstheme="minorHAnsi"/>
        </w:rPr>
        <w:t>.</w:t>
      </w:r>
      <w:r w:rsidRPr="00630A9E">
        <w:rPr>
          <w:rFonts w:ascii="Palatino" w:eastAsia="Droid Serif" w:hAnsi="Palatino" w:cstheme="minorHAnsi"/>
        </w:rPr>
        <w:t xml:space="preserve"> The agonistic conception of theory denies that there is any such thing as </w:t>
      </w:r>
      <w:r w:rsidR="00CE2511">
        <w:rPr>
          <w:rFonts w:ascii="Palatino" w:eastAsia="Droid Serif" w:hAnsi="Palatino" w:cstheme="minorHAnsi"/>
        </w:rPr>
        <w:t xml:space="preserve">a rational </w:t>
      </w:r>
      <w:r w:rsidRPr="00630A9E">
        <w:rPr>
          <w:rFonts w:ascii="Palatino" w:eastAsia="Droid Serif" w:hAnsi="Palatino" w:cstheme="minorHAnsi"/>
        </w:rPr>
        <w:t>diagnosis</w:t>
      </w:r>
      <w:r w:rsidR="00A96D41">
        <w:rPr>
          <w:rFonts w:ascii="Palatino" w:eastAsia="Droid Serif" w:hAnsi="Palatino" w:cstheme="minorHAnsi"/>
        </w:rPr>
        <w:t xml:space="preserve"> of that kind.</w:t>
      </w:r>
      <w:r w:rsidR="006246B6" w:rsidRPr="00630A9E">
        <w:rPr>
          <w:rFonts w:ascii="Palatino" w:eastAsia="Droid Serif" w:hAnsi="Palatino" w:cstheme="minorHAnsi"/>
        </w:rPr>
        <w:t xml:space="preserve"> </w:t>
      </w:r>
      <w:r w:rsidR="00A96D41">
        <w:rPr>
          <w:rFonts w:ascii="Palatino" w:eastAsia="Droid Serif" w:hAnsi="Palatino" w:cstheme="minorHAnsi"/>
        </w:rPr>
        <w:t>I</w:t>
      </w:r>
      <w:r w:rsidR="006246B6" w:rsidRPr="00630A9E">
        <w:rPr>
          <w:rFonts w:ascii="Palatino" w:eastAsia="Droid Serif" w:hAnsi="Palatino" w:cstheme="minorHAnsi"/>
        </w:rPr>
        <w:t xml:space="preserve">t replaces </w:t>
      </w:r>
      <w:r w:rsidR="00CE2511">
        <w:rPr>
          <w:rFonts w:ascii="Palatino" w:eastAsia="Droid Serif" w:hAnsi="Palatino" w:cstheme="minorHAnsi"/>
        </w:rPr>
        <w:t xml:space="preserve">ahistorical </w:t>
      </w:r>
      <w:r w:rsidR="006246B6" w:rsidRPr="00630A9E">
        <w:rPr>
          <w:rFonts w:ascii="Palatino" w:eastAsia="Droid Serif" w:hAnsi="Palatino" w:cstheme="minorHAnsi"/>
        </w:rPr>
        <w:t>rational reconstruction with historical analysis (or “genealogy”, for Foucault)</w:t>
      </w:r>
      <w:r w:rsidRPr="00630A9E">
        <w:rPr>
          <w:rFonts w:ascii="Palatino" w:eastAsia="Droid Serif" w:hAnsi="Palatino" w:cstheme="minorHAnsi"/>
        </w:rPr>
        <w:t>.</w:t>
      </w:r>
      <w:r w:rsidR="00A96D41">
        <w:rPr>
          <w:rFonts w:ascii="Palatino" w:eastAsia="Droid Serif" w:hAnsi="Palatino" w:cstheme="minorHAnsi"/>
        </w:rPr>
        <w:t xml:space="preserve"> Instead of cooperation, there is a struggle for power over the terms of the conversation. Instead of general epistemic risk, there is only local risk of harm, based on the perception of the ways that a population strategizes.</w:t>
      </w:r>
    </w:p>
    <w:p w14:paraId="2A8F76CC" w14:textId="62E74CC9" w:rsidR="00CE2511" w:rsidRPr="00630A9E" w:rsidRDefault="00E22F72" w:rsidP="008720B6">
      <w:pPr>
        <w:widowControl w:val="0"/>
        <w:ind w:right="-56" w:firstLine="426"/>
        <w:jc w:val="both"/>
        <w:rPr>
          <w:rFonts w:ascii="Palatino" w:eastAsia="Droid Serif" w:hAnsi="Palatino" w:cstheme="minorHAnsi"/>
        </w:rPr>
      </w:pPr>
      <w:r>
        <w:rPr>
          <w:rFonts w:ascii="Palatino" w:eastAsia="Droid Serif" w:hAnsi="Palatino" w:cstheme="minorHAnsi"/>
        </w:rPr>
        <w:t xml:space="preserve">As I see it, the two </w:t>
      </w:r>
      <w:r w:rsidR="00A8263A">
        <w:rPr>
          <w:rFonts w:ascii="Palatino" w:eastAsia="Droid Serif" w:hAnsi="Palatino" w:cstheme="minorHAnsi"/>
        </w:rPr>
        <w:t>theories</w:t>
      </w:r>
      <w:r>
        <w:rPr>
          <w:rFonts w:ascii="Palatino" w:eastAsia="Droid Serif" w:hAnsi="Palatino" w:cstheme="minorHAnsi"/>
        </w:rPr>
        <w:t xml:space="preserve"> are irreconcilable on an epistemological level. </w:t>
      </w:r>
      <w:r w:rsidR="00CE2511">
        <w:rPr>
          <w:rFonts w:ascii="Palatino" w:eastAsia="Droid Serif" w:hAnsi="Palatino" w:cstheme="minorHAnsi"/>
        </w:rPr>
        <w:t>The conveyance theory asserts that it</w:t>
      </w:r>
      <w:r w:rsidR="00CE2511" w:rsidRPr="00CE2511">
        <w:rPr>
          <w:rFonts w:ascii="Palatino" w:eastAsia="Droid Serif" w:hAnsi="Palatino" w:cstheme="minorHAnsi"/>
        </w:rPr>
        <w:t xml:space="preserve"> is difficult to decouple the virtues of integrity, humility, and candor from aspects of the human condition which </w:t>
      </w:r>
      <w:r w:rsidR="00CE2511">
        <w:rPr>
          <w:rFonts w:ascii="Palatino" w:eastAsia="Droid Serif" w:hAnsi="Palatino" w:cstheme="minorHAnsi"/>
        </w:rPr>
        <w:t>are</w:t>
      </w:r>
      <w:r w:rsidR="00CE2511" w:rsidRPr="00CE2511">
        <w:rPr>
          <w:rFonts w:ascii="Palatino" w:eastAsia="Droid Serif" w:hAnsi="Palatino" w:cstheme="minorHAnsi"/>
        </w:rPr>
        <w:t xml:space="preserve"> worthy of concern in their own right -- i.e., the continuity of past and future, sensitivity to error, and desired equivalence between assertion and assent (respectively).</w:t>
      </w:r>
      <w:r w:rsidR="00CE2511">
        <w:rPr>
          <w:rFonts w:ascii="Palatino" w:eastAsia="Droid Serif" w:hAnsi="Palatino" w:cstheme="minorHAnsi"/>
        </w:rPr>
        <w:t xml:space="preserve"> We </w:t>
      </w:r>
      <w:r w:rsidR="00A4501B">
        <w:rPr>
          <w:rFonts w:ascii="Palatino" w:eastAsia="Droid Serif" w:hAnsi="Palatino" w:cstheme="minorHAnsi"/>
        </w:rPr>
        <w:t>‘</w:t>
      </w:r>
      <w:r w:rsidR="00CE2511">
        <w:rPr>
          <w:rFonts w:ascii="Palatino" w:eastAsia="Droid Serif" w:hAnsi="Palatino" w:cstheme="minorHAnsi"/>
        </w:rPr>
        <w:t>keep score</w:t>
      </w:r>
      <w:r w:rsidR="00A4501B">
        <w:rPr>
          <w:rFonts w:ascii="Palatino" w:eastAsia="Droid Serif" w:hAnsi="Palatino" w:cstheme="minorHAnsi"/>
        </w:rPr>
        <w:t>’</w:t>
      </w:r>
      <w:r w:rsidR="00CE2511">
        <w:rPr>
          <w:rFonts w:ascii="Palatino" w:eastAsia="Droid Serif" w:hAnsi="Palatino" w:cstheme="minorHAnsi"/>
        </w:rPr>
        <w:t xml:space="preserve"> in our conversations about knowledge of law</w:t>
      </w:r>
      <w:r w:rsidR="00A4501B">
        <w:rPr>
          <w:rFonts w:ascii="Palatino" w:eastAsia="Droid Serif" w:hAnsi="Palatino" w:cstheme="minorHAnsi"/>
        </w:rPr>
        <w:t xml:space="preserve"> by reference to the ways we interpret these virtues – without the</w:t>
      </w:r>
      <w:r>
        <w:rPr>
          <w:rFonts w:ascii="Palatino" w:eastAsia="Droid Serif" w:hAnsi="Palatino" w:cstheme="minorHAnsi"/>
        </w:rPr>
        <w:t>se rough-grained overlapping virtues</w:t>
      </w:r>
      <w:r w:rsidR="00A4501B">
        <w:rPr>
          <w:rFonts w:ascii="Palatino" w:eastAsia="Droid Serif" w:hAnsi="Palatino" w:cstheme="minorHAnsi"/>
        </w:rPr>
        <w:t>, there’s no way to talk about epistemic risk across conversational contexts</w:t>
      </w:r>
      <w:r w:rsidR="00CE2511">
        <w:rPr>
          <w:rFonts w:ascii="Palatino" w:eastAsia="Droid Serif" w:hAnsi="Palatino" w:cstheme="minorHAnsi"/>
        </w:rPr>
        <w:t>. The agonistic theory</w:t>
      </w:r>
      <w:r>
        <w:rPr>
          <w:rFonts w:ascii="Palatino" w:eastAsia="Droid Serif" w:hAnsi="Palatino" w:cstheme="minorHAnsi"/>
        </w:rPr>
        <w:t xml:space="preserve"> replies -- yes, exactly. </w:t>
      </w:r>
      <w:r>
        <w:rPr>
          <w:rFonts w:ascii="Palatino" w:eastAsia="Droid Serif" w:hAnsi="Palatino" w:cstheme="minorHAnsi"/>
        </w:rPr>
        <w:lastRenderedPageBreak/>
        <w:t>It</w:t>
      </w:r>
      <w:r w:rsidR="00CE2511">
        <w:rPr>
          <w:rFonts w:ascii="Palatino" w:eastAsia="Droid Serif" w:hAnsi="Palatino" w:cstheme="minorHAnsi"/>
        </w:rPr>
        <w:t xml:space="preserve"> proposes that these virtues are only special cases of strategic aims in the pursuit of power</w:t>
      </w:r>
      <w:r w:rsidR="00A8263A">
        <w:rPr>
          <w:rFonts w:ascii="Palatino" w:eastAsia="Droid Serif" w:hAnsi="Palatino" w:cstheme="minorHAnsi"/>
        </w:rPr>
        <w:t xml:space="preserve"> in one very particular sort of liberal doctrine</w:t>
      </w:r>
      <w:r w:rsidR="00A4501B">
        <w:rPr>
          <w:rFonts w:ascii="Palatino" w:eastAsia="Droid Serif" w:hAnsi="Palatino" w:cstheme="minorHAnsi"/>
        </w:rPr>
        <w:t xml:space="preserve">, and hence denies that there </w:t>
      </w:r>
      <w:r>
        <w:rPr>
          <w:rFonts w:ascii="Palatino" w:eastAsia="Droid Serif" w:hAnsi="Palatino" w:cstheme="minorHAnsi"/>
        </w:rPr>
        <w:t>are</w:t>
      </w:r>
      <w:r w:rsidR="00A4501B">
        <w:rPr>
          <w:rFonts w:ascii="Palatino" w:eastAsia="Droid Serif" w:hAnsi="Palatino" w:cstheme="minorHAnsi"/>
        </w:rPr>
        <w:t xml:space="preserve"> any such thing as cross-contextual epistemic risk assessments.</w:t>
      </w:r>
      <w:r>
        <w:rPr>
          <w:rFonts w:ascii="Palatino" w:eastAsia="Droid Serif" w:hAnsi="Palatino" w:cstheme="minorHAnsi"/>
        </w:rPr>
        <w:t xml:space="preserve"> You have your picture of law, I have mine, and both are just part of a game of power and ideology.</w:t>
      </w:r>
      <w:r w:rsidR="00A8263A">
        <w:rPr>
          <w:rFonts w:ascii="Palatino" w:eastAsia="Droid Serif" w:hAnsi="Palatino" w:cstheme="minorHAnsi"/>
        </w:rPr>
        <w:t xml:space="preserve"> The only way to judge someone’s intellectual good faith is to see whether their strategies are worth having.</w:t>
      </w:r>
    </w:p>
    <w:p w14:paraId="277AA637" w14:textId="7D48C0EF" w:rsidR="00213D6A" w:rsidRPr="00630A9E" w:rsidRDefault="004A1049"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 xml:space="preserve">Let me see if I can put this </w:t>
      </w:r>
      <w:r w:rsidR="003C56E0">
        <w:rPr>
          <w:rFonts w:ascii="Palatino" w:eastAsia="Droid Serif" w:hAnsi="Palatino" w:cstheme="minorHAnsi"/>
        </w:rPr>
        <w:t>approach</w:t>
      </w:r>
      <w:r w:rsidRPr="00630A9E">
        <w:rPr>
          <w:rFonts w:ascii="Palatino" w:eastAsia="Droid Serif" w:hAnsi="Palatino" w:cstheme="minorHAnsi"/>
        </w:rPr>
        <w:t xml:space="preserve"> in its best light.</w:t>
      </w:r>
    </w:p>
    <w:p w14:paraId="2528E489" w14:textId="6DCB5D25" w:rsidR="00C63B1F" w:rsidRPr="00630A9E" w:rsidRDefault="00213D6A"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A</w:t>
      </w:r>
      <w:r w:rsidR="00CA131C" w:rsidRPr="00630A9E">
        <w:rPr>
          <w:rFonts w:ascii="Palatino" w:eastAsia="Droid Serif" w:hAnsi="Palatino" w:cstheme="minorHAnsi"/>
        </w:rPr>
        <w:t>s we saw above, o</w:t>
      </w:r>
      <w:r w:rsidR="00E45842" w:rsidRPr="00630A9E">
        <w:rPr>
          <w:rFonts w:ascii="Palatino" w:eastAsia="Droid Serif" w:hAnsi="Palatino" w:cstheme="minorHAnsi"/>
        </w:rPr>
        <w:t>ne of the assumptions of t</w:t>
      </w:r>
      <w:r w:rsidR="005264CA" w:rsidRPr="00630A9E">
        <w:rPr>
          <w:rFonts w:ascii="Palatino" w:eastAsia="Droid Serif" w:hAnsi="Palatino" w:cstheme="minorHAnsi"/>
        </w:rPr>
        <w:t xml:space="preserve">he </w:t>
      </w:r>
      <w:r w:rsidR="00746115">
        <w:rPr>
          <w:rFonts w:ascii="Palatino" w:eastAsia="Droid Serif" w:hAnsi="Palatino" w:cstheme="minorHAnsi"/>
        </w:rPr>
        <w:t>conveyance</w:t>
      </w:r>
      <w:r w:rsidR="00C34E49" w:rsidRPr="00630A9E">
        <w:rPr>
          <w:rFonts w:ascii="Palatino" w:eastAsia="Droid Serif" w:hAnsi="Palatino" w:cstheme="minorHAnsi"/>
        </w:rPr>
        <w:t xml:space="preserve"> </w:t>
      </w:r>
      <w:r w:rsidR="005264CA" w:rsidRPr="00630A9E">
        <w:rPr>
          <w:rFonts w:ascii="Palatino" w:eastAsia="Droid Serif" w:hAnsi="Palatino" w:cstheme="minorHAnsi"/>
        </w:rPr>
        <w:t>theory</w:t>
      </w:r>
      <w:r w:rsidR="00E45842" w:rsidRPr="00630A9E">
        <w:rPr>
          <w:rFonts w:ascii="Palatino" w:eastAsia="Droid Serif" w:hAnsi="Palatino" w:cstheme="minorHAnsi"/>
        </w:rPr>
        <w:t xml:space="preserve"> is that it </w:t>
      </w:r>
      <w:r w:rsidR="00447697" w:rsidRPr="00630A9E">
        <w:rPr>
          <w:rFonts w:ascii="Palatino" w:eastAsia="Droid Serif" w:hAnsi="Palatino" w:cstheme="minorHAnsi"/>
        </w:rPr>
        <w:t>ought to be</w:t>
      </w:r>
      <w:r w:rsidR="00E45842" w:rsidRPr="00630A9E">
        <w:rPr>
          <w:rFonts w:ascii="Palatino" w:eastAsia="Droid Serif" w:hAnsi="Palatino" w:cstheme="minorHAnsi"/>
        </w:rPr>
        <w:t xml:space="preserve"> conceptually </w:t>
      </w:r>
      <w:r w:rsidR="00E45842" w:rsidRPr="00630A9E">
        <w:rPr>
          <w:rFonts w:ascii="Palatino" w:eastAsia="Droid Serif" w:hAnsi="Palatino" w:cstheme="minorHAnsi"/>
          <w:i/>
        </w:rPr>
        <w:t>modest</w:t>
      </w:r>
      <w:r w:rsidR="00CA131C" w:rsidRPr="00630A9E">
        <w:rPr>
          <w:rFonts w:ascii="Palatino" w:eastAsia="Droid Serif" w:hAnsi="Palatino" w:cstheme="minorHAnsi"/>
        </w:rPr>
        <w:t xml:space="preserve"> --</w:t>
      </w:r>
      <w:r w:rsidR="00F6158C" w:rsidRPr="00630A9E">
        <w:rPr>
          <w:rFonts w:ascii="Palatino" w:eastAsia="Droid Serif" w:hAnsi="Palatino" w:cstheme="minorHAnsi"/>
        </w:rPr>
        <w:t xml:space="preserve"> </w:t>
      </w:r>
      <w:r w:rsidR="00CA131C" w:rsidRPr="00630A9E">
        <w:rPr>
          <w:rFonts w:ascii="Palatino" w:eastAsia="Droid Serif" w:hAnsi="Palatino" w:cstheme="minorHAnsi"/>
        </w:rPr>
        <w:t>i.e.,</w:t>
      </w:r>
      <w:r w:rsidR="00F6158C" w:rsidRPr="00630A9E">
        <w:rPr>
          <w:rFonts w:ascii="Palatino" w:eastAsia="Droid Serif" w:hAnsi="Palatino" w:cstheme="minorHAnsi"/>
        </w:rPr>
        <w:t xml:space="preserve"> it </w:t>
      </w:r>
      <w:r w:rsidR="00447697" w:rsidRPr="00630A9E">
        <w:rPr>
          <w:rFonts w:ascii="Palatino" w:eastAsia="Droid Serif" w:hAnsi="Palatino" w:cstheme="minorHAnsi"/>
        </w:rPr>
        <w:t xml:space="preserve">has to </w:t>
      </w:r>
      <w:r w:rsidR="00757882" w:rsidRPr="00630A9E">
        <w:rPr>
          <w:rFonts w:ascii="Palatino" w:eastAsia="Droid Serif" w:hAnsi="Palatino" w:cstheme="minorHAnsi"/>
        </w:rPr>
        <w:t>assume</w:t>
      </w:r>
      <w:r w:rsidR="00447697" w:rsidRPr="00630A9E">
        <w:rPr>
          <w:rFonts w:ascii="Palatino" w:eastAsia="Droid Serif" w:hAnsi="Palatino" w:cstheme="minorHAnsi"/>
        </w:rPr>
        <w:t xml:space="preserve"> that</w:t>
      </w:r>
      <w:r w:rsidR="00F6158C" w:rsidRPr="00630A9E">
        <w:rPr>
          <w:rFonts w:ascii="Palatino" w:eastAsia="Droid Serif" w:hAnsi="Palatino" w:cstheme="minorHAnsi"/>
        </w:rPr>
        <w:t xml:space="preserve"> theoretical disagreements </w:t>
      </w:r>
      <w:r w:rsidR="00757882" w:rsidRPr="00630A9E">
        <w:rPr>
          <w:rFonts w:ascii="Palatino" w:eastAsia="Droid Serif" w:hAnsi="Palatino" w:cstheme="minorHAnsi"/>
        </w:rPr>
        <w:t>are</w:t>
      </w:r>
      <w:r w:rsidR="00F6158C" w:rsidRPr="00630A9E">
        <w:rPr>
          <w:rFonts w:ascii="Palatino" w:eastAsia="Droid Serif" w:hAnsi="Palatino" w:cstheme="minorHAnsi"/>
        </w:rPr>
        <w:t xml:space="preserve"> possible</w:t>
      </w:r>
      <w:r w:rsidR="00757882" w:rsidRPr="00630A9E">
        <w:rPr>
          <w:rFonts w:ascii="Palatino" w:eastAsia="Droid Serif" w:hAnsi="Palatino" w:cstheme="minorHAnsi"/>
        </w:rPr>
        <w:t xml:space="preserve"> in good faith</w:t>
      </w:r>
      <w:r w:rsidR="00E45842" w:rsidRPr="00630A9E">
        <w:rPr>
          <w:rFonts w:ascii="Palatino" w:eastAsia="Droid Serif" w:hAnsi="Palatino" w:cstheme="minorHAnsi"/>
        </w:rPr>
        <w:t xml:space="preserve">. </w:t>
      </w:r>
      <w:r w:rsidR="00C63B1F" w:rsidRPr="00630A9E">
        <w:rPr>
          <w:rFonts w:ascii="Palatino" w:eastAsia="Droid Serif" w:hAnsi="Palatino" w:cstheme="minorHAnsi"/>
        </w:rPr>
        <w:t>As a result</w:t>
      </w:r>
      <w:r w:rsidR="00F6158C" w:rsidRPr="00630A9E">
        <w:rPr>
          <w:rFonts w:ascii="Palatino" w:eastAsia="Droid Serif" w:hAnsi="Palatino" w:cstheme="minorHAnsi"/>
        </w:rPr>
        <w:t>, the</w:t>
      </w:r>
      <w:r w:rsidR="00C34E49" w:rsidRPr="00630A9E">
        <w:rPr>
          <w:rFonts w:ascii="Palatino" w:eastAsia="Droid Serif" w:hAnsi="Palatino" w:cstheme="minorHAnsi"/>
        </w:rPr>
        <w:t xml:space="preserve"> very idea of sovereign </w:t>
      </w:r>
      <w:r w:rsidR="00C63B1F" w:rsidRPr="00630A9E">
        <w:rPr>
          <w:rFonts w:ascii="Palatino" w:eastAsia="Droid Serif" w:hAnsi="Palatino" w:cstheme="minorHAnsi"/>
        </w:rPr>
        <w:t>supremacy</w:t>
      </w:r>
      <w:r w:rsidR="00C34E49" w:rsidRPr="00630A9E">
        <w:rPr>
          <w:rFonts w:ascii="Palatino" w:eastAsia="Droid Serif" w:hAnsi="Palatino" w:cstheme="minorHAnsi"/>
        </w:rPr>
        <w:t xml:space="preserve"> </w:t>
      </w:r>
      <w:r w:rsidR="00C63B1F" w:rsidRPr="00630A9E">
        <w:rPr>
          <w:rFonts w:ascii="Palatino" w:eastAsia="Droid Serif" w:hAnsi="Palatino" w:cstheme="minorHAnsi"/>
        </w:rPr>
        <w:t>is</w:t>
      </w:r>
      <w:r w:rsidR="00F6158C" w:rsidRPr="00630A9E">
        <w:rPr>
          <w:rFonts w:ascii="Palatino" w:eastAsia="Droid Serif" w:hAnsi="Palatino" w:cstheme="minorHAnsi"/>
        </w:rPr>
        <w:t xml:space="preserve"> not </w:t>
      </w:r>
      <w:r w:rsidR="00C63B1F" w:rsidRPr="00630A9E">
        <w:rPr>
          <w:rFonts w:ascii="Palatino" w:eastAsia="Droid Serif" w:hAnsi="Palatino" w:cstheme="minorHAnsi"/>
        </w:rPr>
        <w:t>dismissed out of hand</w:t>
      </w:r>
      <w:r w:rsidR="00CA131C" w:rsidRPr="00630A9E">
        <w:rPr>
          <w:rFonts w:ascii="Palatino" w:eastAsia="Droid Serif" w:hAnsi="Palatino" w:cstheme="minorHAnsi"/>
        </w:rPr>
        <w:t xml:space="preserve"> --</w:t>
      </w:r>
      <w:r w:rsidR="00C63B1F" w:rsidRPr="00630A9E">
        <w:rPr>
          <w:rFonts w:ascii="Palatino" w:eastAsia="Droid Serif" w:hAnsi="Palatino" w:cstheme="minorHAnsi"/>
        </w:rPr>
        <w:t xml:space="preserve"> rather, it is relegated to a particular kind of legal theory</w:t>
      </w:r>
      <w:r w:rsidR="00C34E49" w:rsidRPr="00630A9E">
        <w:rPr>
          <w:rFonts w:ascii="Palatino" w:eastAsia="Droid Serif" w:hAnsi="Palatino" w:cstheme="minorHAnsi"/>
        </w:rPr>
        <w:t>.</w:t>
      </w:r>
      <w:r w:rsidR="00C63B1F" w:rsidRPr="00630A9E">
        <w:rPr>
          <w:rFonts w:ascii="Palatino" w:eastAsia="Droid Serif" w:hAnsi="Palatino" w:cstheme="minorHAnsi"/>
        </w:rPr>
        <w:t xml:space="preserve"> </w:t>
      </w:r>
      <w:r w:rsidR="00992B4A" w:rsidRPr="00630A9E">
        <w:rPr>
          <w:rFonts w:ascii="Palatino" w:eastAsia="Droid Serif" w:hAnsi="Palatino" w:cstheme="minorHAnsi"/>
        </w:rPr>
        <w:t>In this way, to echo one memorable quote</w:t>
      </w:r>
      <w:r w:rsidR="004A1049" w:rsidRPr="00630A9E">
        <w:rPr>
          <w:rFonts w:ascii="Palatino" w:eastAsia="Droid Serif" w:hAnsi="Palatino" w:cstheme="minorHAnsi"/>
        </w:rPr>
        <w:t xml:space="preserve"> from Foucault</w:t>
      </w:r>
      <w:r w:rsidR="00992B4A" w:rsidRPr="00630A9E">
        <w:rPr>
          <w:rFonts w:ascii="Palatino" w:eastAsia="Droid Serif" w:hAnsi="Palatino" w:cstheme="minorHAnsi"/>
        </w:rPr>
        <w:t xml:space="preserve">, </w:t>
      </w:r>
      <w:r w:rsidR="002F602F" w:rsidRPr="00630A9E">
        <w:rPr>
          <w:rFonts w:ascii="Palatino" w:eastAsia="Droid Serif" w:hAnsi="Palatino" w:cstheme="minorHAnsi"/>
        </w:rPr>
        <w:t xml:space="preserve">the </w:t>
      </w:r>
      <w:r w:rsidR="00746115">
        <w:rPr>
          <w:rFonts w:ascii="Palatino" w:eastAsia="Droid Serif" w:hAnsi="Palatino" w:cstheme="minorHAnsi"/>
        </w:rPr>
        <w:t>conveyance</w:t>
      </w:r>
      <w:r w:rsidR="002F602F" w:rsidRPr="00630A9E">
        <w:rPr>
          <w:rFonts w:ascii="Palatino" w:eastAsia="Droid Serif" w:hAnsi="Palatino" w:cstheme="minorHAnsi"/>
        </w:rPr>
        <w:t xml:space="preserve"> theory does</w:t>
      </w:r>
      <w:r w:rsidR="00992B4A" w:rsidRPr="00630A9E">
        <w:rPr>
          <w:rFonts w:ascii="Palatino" w:eastAsia="Droid Serif" w:hAnsi="Palatino" w:cstheme="minorHAnsi"/>
        </w:rPr>
        <w:t xml:space="preserve"> </w:t>
      </w:r>
      <w:r w:rsidR="002F602F" w:rsidRPr="00630A9E">
        <w:rPr>
          <w:rFonts w:ascii="Palatino" w:eastAsia="Droid Serif" w:hAnsi="Palatino" w:cstheme="minorHAnsi"/>
        </w:rPr>
        <w:t>not</w:t>
      </w:r>
      <w:r w:rsidR="00992B4A" w:rsidRPr="00630A9E">
        <w:rPr>
          <w:rFonts w:ascii="Palatino" w:eastAsia="Droid Serif" w:hAnsi="Palatino" w:cstheme="minorHAnsi"/>
        </w:rPr>
        <w:t xml:space="preserve"> </w:t>
      </w:r>
      <w:r w:rsidR="002F602F" w:rsidRPr="00630A9E">
        <w:rPr>
          <w:rFonts w:ascii="Palatino" w:eastAsia="Droid Serif" w:hAnsi="Palatino" w:cstheme="minorHAnsi"/>
        </w:rPr>
        <w:t>‘</w:t>
      </w:r>
      <w:r w:rsidR="00992B4A" w:rsidRPr="00630A9E">
        <w:rPr>
          <w:rFonts w:ascii="Palatino" w:eastAsia="Droid Serif" w:hAnsi="Palatino" w:cstheme="minorHAnsi"/>
        </w:rPr>
        <w:t xml:space="preserve">cut off the king’s head’ in </w:t>
      </w:r>
      <w:r w:rsidR="002F602F" w:rsidRPr="00630A9E">
        <w:rPr>
          <w:rFonts w:ascii="Palatino" w:eastAsia="Droid Serif" w:hAnsi="Palatino" w:cstheme="minorHAnsi"/>
        </w:rPr>
        <w:t>its</w:t>
      </w:r>
      <w:r w:rsidR="00992B4A" w:rsidRPr="00630A9E">
        <w:rPr>
          <w:rFonts w:ascii="Palatino" w:eastAsia="Droid Serif" w:hAnsi="Palatino" w:cstheme="minorHAnsi"/>
        </w:rPr>
        <w:t xml:space="preserve"> fundamental political convictions. </w:t>
      </w:r>
      <w:r w:rsidR="002F602F" w:rsidRPr="00630A9E">
        <w:rPr>
          <w:rFonts w:ascii="Palatino" w:eastAsia="Droid Serif" w:hAnsi="Palatino" w:cstheme="minorHAnsi"/>
        </w:rPr>
        <w:t xml:space="preserve">Rather, it </w:t>
      </w:r>
      <w:r w:rsidR="004A1049" w:rsidRPr="00630A9E">
        <w:rPr>
          <w:rFonts w:ascii="Palatino" w:eastAsia="Droid Serif" w:hAnsi="Palatino" w:cstheme="minorHAnsi"/>
        </w:rPr>
        <w:t>treats</w:t>
      </w:r>
      <w:r w:rsidR="002F602F" w:rsidRPr="00630A9E">
        <w:rPr>
          <w:rFonts w:ascii="Palatino" w:eastAsia="Droid Serif" w:hAnsi="Palatino" w:cstheme="minorHAnsi"/>
        </w:rPr>
        <w:t xml:space="preserve"> </w:t>
      </w:r>
      <w:r w:rsidR="004A1049" w:rsidRPr="00630A9E">
        <w:rPr>
          <w:rFonts w:ascii="Palatino" w:eastAsia="Droid Serif" w:hAnsi="Palatino" w:cstheme="minorHAnsi"/>
        </w:rPr>
        <w:t>the theory of power as an auxiliary hypothesis in</w:t>
      </w:r>
      <w:r w:rsidR="00C63B1F" w:rsidRPr="00630A9E">
        <w:rPr>
          <w:rFonts w:ascii="Palatino" w:eastAsia="Droid Serif" w:hAnsi="Palatino" w:cstheme="minorHAnsi"/>
        </w:rPr>
        <w:t xml:space="preserve"> </w:t>
      </w:r>
      <w:r w:rsidR="002F602F" w:rsidRPr="00630A9E">
        <w:rPr>
          <w:rFonts w:ascii="Palatino" w:eastAsia="Droid Serif" w:hAnsi="Palatino" w:cstheme="minorHAnsi"/>
        </w:rPr>
        <w:t xml:space="preserve">a theory of </w:t>
      </w:r>
      <w:r w:rsidR="004A1049" w:rsidRPr="00630A9E">
        <w:rPr>
          <w:rFonts w:ascii="Palatino" w:eastAsia="Droid Serif" w:hAnsi="Palatino" w:cstheme="minorHAnsi"/>
        </w:rPr>
        <w:t>law, of which there are potentially several.</w:t>
      </w:r>
    </w:p>
    <w:p w14:paraId="007F74B2" w14:textId="6AD0C72B" w:rsidR="00CC148E" w:rsidRPr="00630A9E" w:rsidRDefault="00C63B1F"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However, the very idea of conceptual modesty</w:t>
      </w:r>
      <w:r w:rsidR="00F6158C" w:rsidRPr="00630A9E">
        <w:rPr>
          <w:rFonts w:ascii="Palatino" w:eastAsia="Droid Serif" w:hAnsi="Palatino" w:cstheme="minorHAnsi"/>
        </w:rPr>
        <w:t xml:space="preserve"> </w:t>
      </w:r>
      <w:r w:rsidRPr="00630A9E">
        <w:rPr>
          <w:rFonts w:ascii="Palatino" w:eastAsia="Droid Serif" w:hAnsi="Palatino" w:cstheme="minorHAnsi"/>
        </w:rPr>
        <w:t>might seem</w:t>
      </w:r>
      <w:r w:rsidR="00F6158C" w:rsidRPr="00630A9E">
        <w:rPr>
          <w:rFonts w:ascii="Palatino" w:eastAsia="Droid Serif" w:hAnsi="Palatino" w:cstheme="minorHAnsi"/>
        </w:rPr>
        <w:t xml:space="preserve"> </w:t>
      </w:r>
      <w:r w:rsidR="00F93358" w:rsidRPr="00630A9E">
        <w:rPr>
          <w:rFonts w:ascii="Palatino" w:eastAsia="Droid Serif" w:hAnsi="Palatino" w:cstheme="minorHAnsi"/>
        </w:rPr>
        <w:t xml:space="preserve">so </w:t>
      </w:r>
      <w:r w:rsidR="00F6158C" w:rsidRPr="00630A9E">
        <w:rPr>
          <w:rFonts w:ascii="Palatino" w:eastAsia="Droid Serif" w:hAnsi="Palatino" w:cstheme="minorHAnsi"/>
        </w:rPr>
        <w:t>ecumenical</w:t>
      </w:r>
      <w:r w:rsidRPr="00630A9E">
        <w:rPr>
          <w:rFonts w:ascii="Palatino" w:eastAsia="Droid Serif" w:hAnsi="Palatino" w:cstheme="minorHAnsi"/>
        </w:rPr>
        <w:t xml:space="preserve"> </w:t>
      </w:r>
      <w:r w:rsidR="00F93358" w:rsidRPr="00630A9E">
        <w:rPr>
          <w:rFonts w:ascii="Palatino" w:eastAsia="Droid Serif" w:hAnsi="Palatino" w:cstheme="minorHAnsi"/>
        </w:rPr>
        <w:t xml:space="preserve">that it borders on </w:t>
      </w:r>
      <w:r w:rsidRPr="00630A9E">
        <w:rPr>
          <w:rFonts w:ascii="Palatino" w:eastAsia="Droid Serif" w:hAnsi="Palatino" w:cstheme="minorHAnsi"/>
        </w:rPr>
        <w:t>servility.</w:t>
      </w:r>
      <w:r w:rsidR="00536BED" w:rsidRPr="00630A9E">
        <w:rPr>
          <w:rFonts w:ascii="Palatino" w:eastAsia="Droid Serif" w:hAnsi="Palatino" w:cstheme="minorHAnsi"/>
        </w:rPr>
        <w:t xml:space="preserve"> </w:t>
      </w:r>
      <w:r w:rsidRPr="00630A9E">
        <w:rPr>
          <w:rFonts w:ascii="Palatino" w:eastAsia="Droid Serif" w:hAnsi="Palatino" w:cstheme="minorHAnsi"/>
        </w:rPr>
        <w:t>S</w:t>
      </w:r>
      <w:r w:rsidR="00F6158C" w:rsidRPr="00630A9E">
        <w:rPr>
          <w:rFonts w:ascii="Palatino" w:eastAsia="Droid Serif" w:hAnsi="Palatino" w:cstheme="minorHAnsi"/>
        </w:rPr>
        <w:t>uppose</w:t>
      </w:r>
      <w:r w:rsidR="00630A9E">
        <w:rPr>
          <w:rFonts w:ascii="Palatino" w:eastAsia="Droid Serif" w:hAnsi="Palatino" w:cstheme="minorHAnsi"/>
        </w:rPr>
        <w:t xml:space="preserve"> that </w:t>
      </w:r>
      <w:r w:rsidRPr="00630A9E">
        <w:rPr>
          <w:rFonts w:ascii="Palatino" w:eastAsia="Droid Serif" w:hAnsi="Palatino" w:cstheme="minorHAnsi"/>
        </w:rPr>
        <w:t>we were to say that</w:t>
      </w:r>
      <w:r w:rsidR="00CC148E" w:rsidRPr="00630A9E">
        <w:rPr>
          <w:rFonts w:ascii="Palatino" w:eastAsia="Droid Serif" w:hAnsi="Palatino" w:cstheme="minorHAnsi"/>
        </w:rPr>
        <w:t xml:space="preserve"> institutional</w:t>
      </w:r>
      <w:r w:rsidRPr="00630A9E">
        <w:rPr>
          <w:rFonts w:ascii="Palatino" w:eastAsia="Droid Serif" w:hAnsi="Palatino" w:cstheme="minorHAnsi"/>
        </w:rPr>
        <w:t xml:space="preserve"> facts</w:t>
      </w:r>
      <w:r w:rsidR="00F6158C" w:rsidRPr="00630A9E">
        <w:rPr>
          <w:rFonts w:ascii="Palatino" w:eastAsia="Droid Serif" w:hAnsi="Palatino" w:cstheme="minorHAnsi"/>
        </w:rPr>
        <w:t xml:space="preserve"> about power </w:t>
      </w:r>
      <w:r w:rsidRPr="00630A9E">
        <w:rPr>
          <w:rFonts w:ascii="Palatino" w:eastAsia="Droid Serif" w:hAnsi="Palatino" w:cstheme="minorHAnsi"/>
        </w:rPr>
        <w:t>are</w:t>
      </w:r>
      <w:r w:rsidR="00F6158C" w:rsidRPr="00630A9E">
        <w:rPr>
          <w:rFonts w:ascii="Palatino" w:eastAsia="Droid Serif" w:hAnsi="Palatino" w:cstheme="minorHAnsi"/>
        </w:rPr>
        <w:t xml:space="preserve"> prior to </w:t>
      </w:r>
      <w:r w:rsidRPr="00630A9E">
        <w:rPr>
          <w:rFonts w:ascii="Palatino" w:eastAsia="Droid Serif" w:hAnsi="Palatino" w:cstheme="minorHAnsi"/>
        </w:rPr>
        <w:t xml:space="preserve">our conception of </w:t>
      </w:r>
      <w:r w:rsidR="00630A9E">
        <w:rPr>
          <w:rFonts w:ascii="Palatino" w:eastAsia="Droid Serif" w:hAnsi="Palatino" w:cstheme="minorHAnsi"/>
        </w:rPr>
        <w:t>how</w:t>
      </w:r>
      <w:r w:rsidR="00692029">
        <w:rPr>
          <w:rFonts w:ascii="Palatino" w:eastAsia="Droid Serif" w:hAnsi="Palatino" w:cstheme="minorHAnsi"/>
        </w:rPr>
        <w:t xml:space="preserve"> to best</w:t>
      </w:r>
      <w:r w:rsidR="00630A9E">
        <w:rPr>
          <w:rFonts w:ascii="Palatino" w:eastAsia="Droid Serif" w:hAnsi="Palatino" w:cstheme="minorHAnsi"/>
        </w:rPr>
        <w:t xml:space="preserve"> keep up with the practice of conversational</w:t>
      </w:r>
      <w:r w:rsidRPr="00630A9E">
        <w:rPr>
          <w:rFonts w:ascii="Palatino" w:eastAsia="Droid Serif" w:hAnsi="Palatino" w:cstheme="minorHAnsi"/>
        </w:rPr>
        <w:t xml:space="preserve"> </w:t>
      </w:r>
      <w:r w:rsidR="00630A9E">
        <w:rPr>
          <w:rFonts w:ascii="Palatino" w:eastAsia="Droid Serif" w:hAnsi="Palatino" w:cstheme="minorHAnsi"/>
        </w:rPr>
        <w:t>score-keeping</w:t>
      </w:r>
      <w:r w:rsidRPr="00630A9E">
        <w:rPr>
          <w:rFonts w:ascii="Palatino" w:eastAsia="Droid Serif" w:hAnsi="Palatino" w:cstheme="minorHAnsi"/>
        </w:rPr>
        <w:t>.</w:t>
      </w:r>
      <w:r w:rsidR="00CC148E" w:rsidRPr="00630A9E">
        <w:rPr>
          <w:rFonts w:ascii="Palatino" w:eastAsia="Droid Serif" w:hAnsi="Palatino" w:cstheme="minorHAnsi"/>
        </w:rPr>
        <w:t xml:space="preserve"> </w:t>
      </w:r>
      <w:r w:rsidR="00630A9E" w:rsidRPr="00630A9E">
        <w:rPr>
          <w:rFonts w:ascii="Palatino" w:eastAsia="Droid Serif" w:hAnsi="Palatino" w:cstheme="minorHAnsi"/>
        </w:rPr>
        <w:t>In that case</w:t>
      </w:r>
      <w:r w:rsidR="00692029">
        <w:rPr>
          <w:rFonts w:ascii="Palatino" w:eastAsia="Droid Serif" w:hAnsi="Palatino" w:cstheme="minorHAnsi"/>
        </w:rPr>
        <w:t>,</w:t>
      </w:r>
      <w:r w:rsidR="00630A9E" w:rsidRPr="00630A9E">
        <w:rPr>
          <w:rFonts w:ascii="Palatino" w:eastAsia="Droid Serif" w:hAnsi="Palatino" w:cstheme="minorHAnsi"/>
        </w:rPr>
        <w:t xml:space="preserve"> we would have to </w:t>
      </w:r>
      <w:r w:rsidR="00CC148E" w:rsidRPr="00630A9E">
        <w:rPr>
          <w:rFonts w:ascii="Palatino" w:eastAsia="Droid Serif" w:hAnsi="Palatino" w:cstheme="minorHAnsi"/>
        </w:rPr>
        <w:t>define ‘good faith interaction’ very differently</w:t>
      </w:r>
      <w:r w:rsidR="00630A9E" w:rsidRPr="00630A9E">
        <w:rPr>
          <w:rFonts w:ascii="Palatino" w:eastAsia="Droid Serif" w:hAnsi="Palatino" w:cstheme="minorHAnsi"/>
        </w:rPr>
        <w:t xml:space="preserve"> from</w:t>
      </w:r>
      <w:r w:rsidR="00692029">
        <w:rPr>
          <w:rFonts w:ascii="Palatino" w:eastAsia="Droid Serif" w:hAnsi="Palatino" w:cstheme="minorHAnsi"/>
        </w:rPr>
        <w:t xml:space="preserve"> how we understood it in</w:t>
      </w:r>
      <w:r w:rsidR="00630A9E" w:rsidRPr="00630A9E">
        <w:rPr>
          <w:rFonts w:ascii="Palatino" w:eastAsia="Droid Serif" w:hAnsi="Palatino" w:cstheme="minorHAnsi"/>
        </w:rPr>
        <w:t xml:space="preserve"> the </w:t>
      </w:r>
      <w:r w:rsidR="00746115">
        <w:rPr>
          <w:rFonts w:ascii="Palatino" w:eastAsia="Droid Serif" w:hAnsi="Palatino" w:cstheme="minorHAnsi"/>
        </w:rPr>
        <w:t>conveyance</w:t>
      </w:r>
      <w:r w:rsidR="00630A9E" w:rsidRPr="00630A9E">
        <w:rPr>
          <w:rFonts w:ascii="Palatino" w:eastAsia="Droid Serif" w:hAnsi="Palatino" w:cstheme="minorHAnsi"/>
        </w:rPr>
        <w:t xml:space="preserve"> theory</w:t>
      </w:r>
      <w:r w:rsidR="00692029">
        <w:rPr>
          <w:rFonts w:ascii="Palatino" w:eastAsia="Droid Serif" w:hAnsi="Palatino" w:cstheme="minorHAnsi"/>
        </w:rPr>
        <w:t>. We would have to</w:t>
      </w:r>
      <w:r w:rsidR="00CC148E" w:rsidRPr="00630A9E">
        <w:rPr>
          <w:rFonts w:ascii="Palatino" w:eastAsia="Droid Serif" w:hAnsi="Palatino" w:cstheme="minorHAnsi"/>
        </w:rPr>
        <w:t xml:space="preserve"> dispens</w:t>
      </w:r>
      <w:r w:rsidR="00692029">
        <w:rPr>
          <w:rFonts w:ascii="Palatino" w:eastAsia="Droid Serif" w:hAnsi="Palatino" w:cstheme="minorHAnsi"/>
        </w:rPr>
        <w:t>e</w:t>
      </w:r>
      <w:r w:rsidR="00CC148E" w:rsidRPr="00630A9E">
        <w:rPr>
          <w:rFonts w:ascii="Palatino" w:eastAsia="Droid Serif" w:hAnsi="Palatino" w:cstheme="minorHAnsi"/>
        </w:rPr>
        <w:t xml:space="preserve"> with the requirements of integrity and humility</w:t>
      </w:r>
      <w:r w:rsidR="00630A9E" w:rsidRPr="00630A9E">
        <w:rPr>
          <w:rFonts w:ascii="Palatino" w:eastAsia="Droid Serif" w:hAnsi="Palatino" w:cstheme="minorHAnsi"/>
        </w:rPr>
        <w:t xml:space="preserve"> (neither of which are particularly strategic)</w:t>
      </w:r>
      <w:r w:rsidR="00692029">
        <w:rPr>
          <w:rFonts w:ascii="Palatino" w:eastAsia="Droid Serif" w:hAnsi="Palatino" w:cstheme="minorHAnsi"/>
        </w:rPr>
        <w:t>,</w:t>
      </w:r>
      <w:r w:rsidR="00630A9E" w:rsidRPr="00630A9E">
        <w:rPr>
          <w:rFonts w:ascii="Palatino" w:eastAsia="Droid Serif" w:hAnsi="Palatino" w:cstheme="minorHAnsi"/>
        </w:rPr>
        <w:t xml:space="preserve"> and</w:t>
      </w:r>
      <w:r w:rsidR="00692029">
        <w:rPr>
          <w:rFonts w:ascii="Palatino" w:eastAsia="Droid Serif" w:hAnsi="Palatino" w:cstheme="minorHAnsi"/>
        </w:rPr>
        <w:t xml:space="preserve"> would have to interpret power-seeking as an overriding</w:t>
      </w:r>
      <w:r w:rsidR="00630A9E" w:rsidRPr="00630A9E">
        <w:rPr>
          <w:rFonts w:ascii="Palatino" w:eastAsia="Droid Serif" w:hAnsi="Palatino" w:cstheme="minorHAnsi"/>
        </w:rPr>
        <w:t xml:space="preserve"> aim of discourse</w:t>
      </w:r>
      <w:r w:rsidR="00CC148E" w:rsidRPr="00630A9E">
        <w:rPr>
          <w:rFonts w:ascii="Palatino" w:eastAsia="Droid Serif" w:hAnsi="Palatino" w:cstheme="minorHAnsi"/>
        </w:rPr>
        <w:t>.</w:t>
      </w:r>
      <w:r w:rsidR="00692029">
        <w:rPr>
          <w:rFonts w:ascii="Palatino" w:eastAsia="Droid Serif" w:hAnsi="Palatino" w:cstheme="minorHAnsi"/>
        </w:rPr>
        <w:t xml:space="preserve"> </w:t>
      </w:r>
      <w:r w:rsidR="00CC148E" w:rsidRPr="00630A9E">
        <w:rPr>
          <w:rFonts w:ascii="Palatino" w:eastAsia="Droid Serif" w:hAnsi="Palatino" w:cstheme="minorHAnsi"/>
        </w:rPr>
        <w:t>Finally,</w:t>
      </w:r>
      <w:r w:rsidRPr="00630A9E">
        <w:rPr>
          <w:rFonts w:ascii="Palatino" w:eastAsia="Droid Serif" w:hAnsi="Palatino" w:cstheme="minorHAnsi"/>
        </w:rPr>
        <w:t xml:space="preserve"> s</w:t>
      </w:r>
      <w:r w:rsidR="00F6158C" w:rsidRPr="00630A9E">
        <w:rPr>
          <w:rFonts w:ascii="Palatino" w:eastAsia="Droid Serif" w:hAnsi="Palatino" w:cstheme="minorHAnsi"/>
        </w:rPr>
        <w:t xml:space="preserve">uppose </w:t>
      </w:r>
      <w:r w:rsidRPr="00630A9E">
        <w:rPr>
          <w:rFonts w:ascii="Palatino" w:eastAsia="Droid Serif" w:hAnsi="Palatino" w:cstheme="minorHAnsi"/>
        </w:rPr>
        <w:t>that power</w:t>
      </w:r>
      <w:r w:rsidR="00D92066" w:rsidRPr="00630A9E">
        <w:rPr>
          <w:rFonts w:ascii="Palatino" w:eastAsia="Droid Serif" w:hAnsi="Palatino" w:cstheme="minorHAnsi"/>
        </w:rPr>
        <w:t xml:space="preserve"> in a civil context</w:t>
      </w:r>
      <w:r w:rsidRPr="00630A9E">
        <w:rPr>
          <w:rFonts w:ascii="Palatino" w:eastAsia="Droid Serif" w:hAnsi="Palatino" w:cstheme="minorHAnsi"/>
        </w:rPr>
        <w:t xml:space="preserve"> </w:t>
      </w:r>
      <w:r w:rsidR="00FD61B9" w:rsidRPr="00630A9E">
        <w:rPr>
          <w:rFonts w:ascii="Palatino" w:eastAsia="Droid Serif" w:hAnsi="Palatino" w:cstheme="minorHAnsi"/>
        </w:rPr>
        <w:t xml:space="preserve">is </w:t>
      </w:r>
      <w:r w:rsidR="00C9386A" w:rsidRPr="00630A9E">
        <w:rPr>
          <w:rFonts w:ascii="Palatino" w:eastAsia="Droid Serif" w:hAnsi="Palatino" w:cstheme="minorHAnsi"/>
          <w:i/>
        </w:rPr>
        <w:t>always an active struggle</w:t>
      </w:r>
      <w:r w:rsidR="00EF05DB" w:rsidRPr="00630A9E">
        <w:rPr>
          <w:rFonts w:ascii="Palatino" w:eastAsia="Droid Serif" w:hAnsi="Palatino" w:cstheme="minorHAnsi"/>
          <w:i/>
        </w:rPr>
        <w:t xml:space="preserve"> </w:t>
      </w:r>
      <w:r w:rsidR="00D92066" w:rsidRPr="00630A9E">
        <w:rPr>
          <w:rFonts w:ascii="Palatino" w:eastAsia="Droid Serif" w:hAnsi="Palatino" w:cstheme="minorHAnsi"/>
        </w:rPr>
        <w:t>(</w:t>
      </w:r>
      <w:r w:rsidR="00EF05DB" w:rsidRPr="00630A9E">
        <w:rPr>
          <w:rFonts w:ascii="Palatino" w:eastAsia="Droid Serif" w:hAnsi="Palatino" w:cstheme="minorHAnsi"/>
        </w:rPr>
        <w:t>or a strategic choice to withdraw in light of some broader struggle</w:t>
      </w:r>
      <w:r w:rsidR="00D92066" w:rsidRPr="00630A9E">
        <w:rPr>
          <w:rFonts w:ascii="Palatino" w:eastAsia="Droid Serif" w:hAnsi="Palatino" w:cstheme="minorHAnsi"/>
        </w:rPr>
        <w:t>)</w:t>
      </w:r>
      <w:r w:rsidR="00EF05DB" w:rsidRPr="00630A9E">
        <w:rPr>
          <w:rFonts w:ascii="Palatino" w:eastAsia="Droid Serif" w:hAnsi="Palatino" w:cstheme="minorHAnsi"/>
        </w:rPr>
        <w:t xml:space="preserve">, and </w:t>
      </w:r>
      <w:r w:rsidR="00044D7D" w:rsidRPr="00630A9E">
        <w:rPr>
          <w:rFonts w:ascii="Palatino" w:eastAsia="Droid Serif" w:hAnsi="Palatino" w:cstheme="minorHAnsi"/>
        </w:rPr>
        <w:t>never</w:t>
      </w:r>
      <w:r w:rsidR="00C9386A" w:rsidRPr="00630A9E">
        <w:rPr>
          <w:rFonts w:ascii="Palatino" w:eastAsia="Droid Serif" w:hAnsi="Palatino" w:cstheme="minorHAnsi"/>
        </w:rPr>
        <w:t xml:space="preserve"> passive </w:t>
      </w:r>
      <w:r w:rsidR="00992B4A" w:rsidRPr="00630A9E">
        <w:rPr>
          <w:rFonts w:ascii="Palatino" w:eastAsia="Droid Serif" w:hAnsi="Palatino" w:cstheme="minorHAnsi"/>
        </w:rPr>
        <w:t>subordination</w:t>
      </w:r>
      <w:r w:rsidR="00C9386A" w:rsidRPr="00630A9E">
        <w:rPr>
          <w:rFonts w:ascii="Palatino" w:eastAsia="Droid Serif" w:hAnsi="Palatino" w:cstheme="minorHAnsi"/>
        </w:rPr>
        <w:t>.</w:t>
      </w:r>
      <w:r w:rsidR="005264CA" w:rsidRPr="00630A9E">
        <w:rPr>
          <w:rFonts w:ascii="Palatino" w:eastAsia="Droid Serif" w:hAnsi="Palatino" w:cstheme="minorHAnsi"/>
        </w:rPr>
        <w:t xml:space="preserve"> </w:t>
      </w:r>
      <w:r w:rsidR="00E72A35" w:rsidRPr="00630A9E">
        <w:rPr>
          <w:rFonts w:ascii="Palatino" w:eastAsia="Droid Serif" w:hAnsi="Palatino" w:cstheme="minorHAnsi"/>
        </w:rPr>
        <w:t xml:space="preserve">If that were the case, then any </w:t>
      </w:r>
      <w:r w:rsidR="00CC148E" w:rsidRPr="00630A9E">
        <w:rPr>
          <w:rFonts w:ascii="Palatino" w:eastAsia="Droid Serif" w:hAnsi="Palatino" w:cstheme="minorHAnsi"/>
        </w:rPr>
        <w:t>legal theory</w:t>
      </w:r>
      <w:r w:rsidR="00E72A35" w:rsidRPr="00630A9E">
        <w:rPr>
          <w:rFonts w:ascii="Palatino" w:eastAsia="Droid Serif" w:hAnsi="Palatino" w:cstheme="minorHAnsi"/>
        </w:rPr>
        <w:t xml:space="preserve"> </w:t>
      </w:r>
      <w:r w:rsidR="00CC148E" w:rsidRPr="00630A9E">
        <w:rPr>
          <w:rFonts w:ascii="Palatino" w:eastAsia="Droid Serif" w:hAnsi="Palatino" w:cstheme="minorHAnsi"/>
        </w:rPr>
        <w:t>that</w:t>
      </w:r>
      <w:r w:rsidR="00E72A35" w:rsidRPr="00630A9E">
        <w:rPr>
          <w:rFonts w:ascii="Palatino" w:eastAsia="Droid Serif" w:hAnsi="Palatino" w:cstheme="minorHAnsi"/>
        </w:rPr>
        <w:t xml:space="preserve"> was not already conditioned to these facts about power would be</w:t>
      </w:r>
      <w:r w:rsidR="00692029">
        <w:rPr>
          <w:rFonts w:ascii="Palatino" w:eastAsia="Droid Serif" w:hAnsi="Palatino" w:cstheme="minorHAnsi"/>
        </w:rPr>
        <w:t xml:space="preserve"> considered to be</w:t>
      </w:r>
      <w:r w:rsidR="00E72A35" w:rsidRPr="00630A9E">
        <w:rPr>
          <w:rFonts w:ascii="Palatino" w:eastAsia="Droid Serif" w:hAnsi="Palatino" w:cstheme="minorHAnsi"/>
        </w:rPr>
        <w:t xml:space="preserve"> in bad faith</w:t>
      </w:r>
      <w:r w:rsidR="00692029">
        <w:rPr>
          <w:rFonts w:ascii="Palatino" w:eastAsia="Droid Serif" w:hAnsi="Palatino" w:cstheme="minorHAnsi"/>
        </w:rPr>
        <w:t>, while everything else would just be another bid in the ongoing dominance game</w:t>
      </w:r>
      <w:r w:rsidR="00536BED" w:rsidRPr="00630A9E">
        <w:rPr>
          <w:rFonts w:ascii="Palatino" w:eastAsia="Droid Serif" w:hAnsi="Palatino" w:cstheme="minorHAnsi"/>
        </w:rPr>
        <w:t>.</w:t>
      </w:r>
    </w:p>
    <w:p w14:paraId="1AE21071" w14:textId="1EFAD833" w:rsidR="00CC148E" w:rsidRDefault="00992B4A"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In effect</w:t>
      </w:r>
      <w:r w:rsidR="00002CBE" w:rsidRPr="00630A9E">
        <w:rPr>
          <w:rFonts w:ascii="Palatino" w:eastAsia="Droid Serif" w:hAnsi="Palatino" w:cstheme="minorHAnsi"/>
        </w:rPr>
        <w:t>,</w:t>
      </w:r>
      <w:r w:rsidRPr="00630A9E">
        <w:rPr>
          <w:rFonts w:ascii="Palatino" w:eastAsia="Droid Serif" w:hAnsi="Palatino" w:cstheme="minorHAnsi"/>
        </w:rPr>
        <w:t xml:space="preserve"> then, one might propose an alternative theory</w:t>
      </w:r>
      <w:r w:rsidR="002F602F" w:rsidRPr="00630A9E">
        <w:rPr>
          <w:rFonts w:ascii="Palatino" w:eastAsia="Droid Serif" w:hAnsi="Palatino" w:cstheme="minorHAnsi"/>
        </w:rPr>
        <w:t xml:space="preserve"> of promulgation which says </w:t>
      </w:r>
      <w:r w:rsidR="00384150" w:rsidRPr="00630A9E">
        <w:rPr>
          <w:rFonts w:ascii="Palatino" w:eastAsia="Droid Serif" w:hAnsi="Palatino" w:cstheme="minorHAnsi"/>
        </w:rPr>
        <w:t>law is accessible just in case</w:t>
      </w:r>
      <w:r w:rsidRPr="00630A9E">
        <w:rPr>
          <w:rFonts w:ascii="Palatino" w:eastAsia="Droid Serif" w:hAnsi="Palatino" w:cstheme="minorHAnsi"/>
        </w:rPr>
        <w:t>:</w:t>
      </w:r>
      <w:r w:rsidR="00002CBE" w:rsidRPr="00630A9E">
        <w:rPr>
          <w:rFonts w:ascii="Palatino" w:eastAsia="Droid Serif" w:hAnsi="Palatino" w:cstheme="minorHAnsi"/>
        </w:rPr>
        <w:t xml:space="preserve"> </w:t>
      </w:r>
      <w:r w:rsidR="00EF05DB" w:rsidRPr="00630A9E">
        <w:rPr>
          <w:rFonts w:ascii="Palatino" w:eastAsia="Droid Serif" w:hAnsi="Palatino" w:cstheme="minorHAnsi"/>
        </w:rPr>
        <w:t>(</w:t>
      </w:r>
      <w:r w:rsidR="00EF05DB" w:rsidRPr="00630A9E">
        <w:rPr>
          <w:rFonts w:ascii="Palatino" w:eastAsia="Droid Serif" w:hAnsi="Palatino" w:cstheme="minorHAnsi"/>
          <w:b/>
          <w:u w:val="single"/>
        </w:rPr>
        <w:t>1</w:t>
      </w:r>
      <w:r w:rsidR="00692029">
        <w:rPr>
          <w:rFonts w:ascii="Palatino" w:eastAsia="Droid Serif" w:hAnsi="Palatino" w:cstheme="minorHAnsi"/>
          <w:b/>
          <w:u w:val="single"/>
        </w:rPr>
        <w:t>’</w:t>
      </w:r>
      <w:r w:rsidR="00EF05DB" w:rsidRPr="00630A9E">
        <w:rPr>
          <w:rFonts w:ascii="Palatino" w:eastAsia="Droid Serif" w:hAnsi="Palatino" w:cstheme="minorHAnsi"/>
        </w:rPr>
        <w:t>) a</w:t>
      </w:r>
      <w:r w:rsidR="00D92066" w:rsidRPr="00630A9E">
        <w:rPr>
          <w:rFonts w:ascii="Palatino" w:eastAsia="Droid Serif" w:hAnsi="Palatino" w:cstheme="minorHAnsi"/>
        </w:rPr>
        <w:t xml:space="preserve"> population</w:t>
      </w:r>
      <w:r w:rsidR="00002CBE" w:rsidRPr="00630A9E">
        <w:rPr>
          <w:rFonts w:ascii="Palatino" w:eastAsia="Droid Serif" w:hAnsi="Palatino" w:cstheme="minorHAnsi"/>
        </w:rPr>
        <w:t xml:space="preserve"> conditionally act</w:t>
      </w:r>
      <w:r w:rsidR="00D92066" w:rsidRPr="00630A9E">
        <w:rPr>
          <w:rFonts w:ascii="Palatino" w:eastAsia="Droid Serif" w:hAnsi="Palatino" w:cstheme="minorHAnsi"/>
        </w:rPr>
        <w:t>ed</w:t>
      </w:r>
      <w:r w:rsidR="00002CBE" w:rsidRPr="00630A9E">
        <w:rPr>
          <w:rFonts w:ascii="Palatino" w:eastAsia="Droid Serif" w:hAnsi="Palatino" w:cstheme="minorHAnsi"/>
        </w:rPr>
        <w:t xml:space="preserve"> as if they believe that it </w:t>
      </w:r>
      <w:r w:rsidR="00EF05DB" w:rsidRPr="00630A9E">
        <w:rPr>
          <w:rFonts w:ascii="Palatino" w:eastAsia="Droid Serif" w:hAnsi="Palatino" w:cstheme="minorHAnsi"/>
        </w:rPr>
        <w:t xml:space="preserve">is </w:t>
      </w:r>
      <w:r w:rsidR="00002CBE" w:rsidRPr="00630A9E">
        <w:rPr>
          <w:rFonts w:ascii="Palatino" w:eastAsia="Droid Serif" w:hAnsi="Palatino" w:cstheme="minorHAnsi"/>
        </w:rPr>
        <w:t>benefi</w:t>
      </w:r>
      <w:r w:rsidR="00EF05DB" w:rsidRPr="00630A9E">
        <w:rPr>
          <w:rFonts w:ascii="Palatino" w:eastAsia="Droid Serif" w:hAnsi="Palatino" w:cstheme="minorHAnsi"/>
        </w:rPr>
        <w:t>cial</w:t>
      </w:r>
      <w:r w:rsidR="00002CBE" w:rsidRPr="00630A9E">
        <w:rPr>
          <w:rFonts w:ascii="Palatino" w:eastAsia="Droid Serif" w:hAnsi="Palatino" w:cstheme="minorHAnsi"/>
        </w:rPr>
        <w:t xml:space="preserve"> to recognize</w:t>
      </w:r>
      <w:r w:rsidR="00384150" w:rsidRPr="00630A9E">
        <w:rPr>
          <w:rFonts w:ascii="Palatino" w:eastAsia="Droid Serif" w:hAnsi="Palatino" w:cstheme="minorHAnsi"/>
        </w:rPr>
        <w:t xml:space="preserve"> some arbitrary stimulus (p) as a law</w:t>
      </w:r>
      <w:r w:rsidR="00002CBE" w:rsidRPr="00630A9E">
        <w:rPr>
          <w:rFonts w:ascii="Palatino" w:eastAsia="Droid Serif" w:hAnsi="Palatino" w:cstheme="minorHAnsi"/>
        </w:rPr>
        <w:t xml:space="preserve"> </w:t>
      </w:r>
      <w:r w:rsidR="00384150" w:rsidRPr="00630A9E">
        <w:rPr>
          <w:rFonts w:ascii="Palatino" w:eastAsia="Droid Serif" w:hAnsi="Palatino" w:cstheme="minorHAnsi"/>
        </w:rPr>
        <w:t>(q)</w:t>
      </w:r>
      <w:r w:rsidRPr="00630A9E">
        <w:rPr>
          <w:rFonts w:ascii="Palatino" w:eastAsia="Droid Serif" w:hAnsi="Palatino" w:cstheme="minorHAnsi"/>
        </w:rPr>
        <w:t xml:space="preserve">; </w:t>
      </w:r>
      <w:r w:rsidR="00EF05DB" w:rsidRPr="00630A9E">
        <w:rPr>
          <w:rFonts w:ascii="Palatino" w:eastAsia="Droid Serif" w:hAnsi="Palatino" w:cstheme="minorHAnsi"/>
        </w:rPr>
        <w:t>and (</w:t>
      </w:r>
      <w:r w:rsidR="00EF05DB" w:rsidRPr="00630A9E">
        <w:rPr>
          <w:rFonts w:ascii="Palatino" w:eastAsia="Droid Serif" w:hAnsi="Palatino" w:cstheme="minorHAnsi"/>
          <w:b/>
          <w:u w:val="single"/>
        </w:rPr>
        <w:t>2</w:t>
      </w:r>
      <w:r w:rsidR="00692029">
        <w:rPr>
          <w:rFonts w:ascii="Palatino" w:eastAsia="Droid Serif" w:hAnsi="Palatino" w:cstheme="minorHAnsi"/>
          <w:b/>
          <w:u w:val="single"/>
        </w:rPr>
        <w:t>’</w:t>
      </w:r>
      <w:r w:rsidR="00EF05DB" w:rsidRPr="00630A9E">
        <w:rPr>
          <w:rFonts w:ascii="Palatino" w:eastAsia="Droid Serif" w:hAnsi="Palatino" w:cstheme="minorHAnsi"/>
        </w:rPr>
        <w:t xml:space="preserve">) </w:t>
      </w:r>
      <w:r w:rsidR="00D92066" w:rsidRPr="00630A9E">
        <w:rPr>
          <w:rFonts w:ascii="Palatino" w:eastAsia="Droid Serif" w:hAnsi="Palatino" w:cstheme="minorHAnsi"/>
        </w:rPr>
        <w:t xml:space="preserve">were able to recognize themselves as empowered agents in </w:t>
      </w:r>
      <w:r w:rsidR="00384150" w:rsidRPr="00630A9E">
        <w:rPr>
          <w:rFonts w:ascii="Palatino" w:eastAsia="Droid Serif" w:hAnsi="Palatino" w:cstheme="minorHAnsi"/>
        </w:rPr>
        <w:t>arguing for the link between (p) and (q)</w:t>
      </w:r>
      <w:r w:rsidR="00EF05DB" w:rsidRPr="00630A9E">
        <w:rPr>
          <w:rFonts w:ascii="Palatino" w:eastAsia="Droid Serif" w:hAnsi="Palatino" w:cstheme="minorHAnsi"/>
        </w:rPr>
        <w:t>.</w:t>
      </w:r>
      <w:r w:rsidR="00D92066" w:rsidRPr="00630A9E">
        <w:rPr>
          <w:rFonts w:ascii="Palatino" w:eastAsia="Droid Serif" w:hAnsi="Palatino" w:cstheme="minorHAnsi"/>
        </w:rPr>
        <w:t xml:space="preserve"> In that case, it would not </w:t>
      </w:r>
      <w:r w:rsidR="0012781D" w:rsidRPr="00630A9E">
        <w:rPr>
          <w:rFonts w:ascii="Palatino" w:eastAsia="Droid Serif" w:hAnsi="Palatino" w:cstheme="minorHAnsi"/>
        </w:rPr>
        <w:t>make a theoretical difference</w:t>
      </w:r>
      <w:r w:rsidR="004F4763">
        <w:rPr>
          <w:rFonts w:ascii="Palatino" w:eastAsia="Droid Serif" w:hAnsi="Palatino" w:cstheme="minorHAnsi"/>
        </w:rPr>
        <w:t xml:space="preserve"> to the promulgation of law</w:t>
      </w:r>
      <w:r w:rsidR="00D92066" w:rsidRPr="00630A9E">
        <w:rPr>
          <w:rFonts w:ascii="Palatino" w:eastAsia="Droid Serif" w:hAnsi="Palatino" w:cstheme="minorHAnsi"/>
        </w:rPr>
        <w:t xml:space="preserve"> if </w:t>
      </w:r>
      <w:r w:rsidR="00447697" w:rsidRPr="00630A9E">
        <w:rPr>
          <w:rFonts w:ascii="Palatino" w:eastAsia="Droid Serif" w:hAnsi="Palatino" w:cstheme="minorHAnsi"/>
        </w:rPr>
        <w:t xml:space="preserve">at </w:t>
      </w:r>
      <w:r w:rsidR="00447697" w:rsidRPr="004F4763">
        <w:rPr>
          <w:rFonts w:ascii="Palatino" w:eastAsia="Droid Serif" w:hAnsi="Palatino" w:cstheme="minorHAnsi"/>
          <w:i/>
        </w:rPr>
        <w:t xml:space="preserve">some particular historical </w:t>
      </w:r>
      <w:proofErr w:type="gramStart"/>
      <w:r w:rsidR="00CE678F" w:rsidRPr="004F4763">
        <w:rPr>
          <w:rFonts w:ascii="Palatino" w:eastAsia="Droid Serif" w:hAnsi="Palatino" w:cstheme="minorHAnsi"/>
          <w:i/>
        </w:rPr>
        <w:t>moment</w:t>
      </w:r>
      <w:proofErr w:type="gramEnd"/>
      <w:r w:rsidR="00447697" w:rsidRPr="00630A9E">
        <w:rPr>
          <w:rFonts w:ascii="Palatino" w:eastAsia="Droid Serif" w:hAnsi="Palatino" w:cstheme="minorHAnsi"/>
        </w:rPr>
        <w:t xml:space="preserve"> </w:t>
      </w:r>
      <w:r w:rsidR="00CE678F" w:rsidRPr="00630A9E">
        <w:rPr>
          <w:rFonts w:ascii="Palatino" w:eastAsia="Droid Serif" w:hAnsi="Palatino" w:cstheme="minorHAnsi"/>
        </w:rPr>
        <w:t>the</w:t>
      </w:r>
      <w:r w:rsidR="00D92066" w:rsidRPr="00630A9E">
        <w:rPr>
          <w:rFonts w:ascii="Palatino" w:eastAsia="Droid Serif" w:hAnsi="Palatino" w:cstheme="minorHAnsi"/>
        </w:rPr>
        <w:t xml:space="preserve"> strategic </w:t>
      </w:r>
      <w:r w:rsidR="00277FDC">
        <w:rPr>
          <w:rFonts w:ascii="Palatino" w:eastAsia="Droid Serif" w:hAnsi="Palatino" w:cstheme="minorHAnsi"/>
        </w:rPr>
        <w:t>beliefs</w:t>
      </w:r>
      <w:r w:rsidR="00CE678F" w:rsidRPr="00630A9E">
        <w:rPr>
          <w:rFonts w:ascii="Palatino" w:eastAsia="Droid Serif" w:hAnsi="Palatino" w:cstheme="minorHAnsi"/>
        </w:rPr>
        <w:t xml:space="preserve"> </w:t>
      </w:r>
      <w:r w:rsidR="00277FDC">
        <w:rPr>
          <w:rFonts w:ascii="Palatino" w:eastAsia="Droid Serif" w:hAnsi="Palatino" w:cstheme="minorHAnsi"/>
        </w:rPr>
        <w:t>about the demands of the law happened</w:t>
      </w:r>
      <w:r w:rsidR="004F4763">
        <w:rPr>
          <w:rFonts w:ascii="Palatino" w:eastAsia="Droid Serif" w:hAnsi="Palatino" w:cstheme="minorHAnsi"/>
        </w:rPr>
        <w:t xml:space="preserve"> to</w:t>
      </w:r>
      <w:r w:rsidR="00277FDC">
        <w:rPr>
          <w:rFonts w:ascii="Palatino" w:eastAsia="Droid Serif" w:hAnsi="Palatino" w:cstheme="minorHAnsi"/>
        </w:rPr>
        <w:t xml:space="preserve"> conform to </w:t>
      </w:r>
      <w:r w:rsidR="004F4763">
        <w:rPr>
          <w:rFonts w:ascii="Palatino" w:eastAsia="Droid Serif" w:hAnsi="Palatino" w:cstheme="minorHAnsi"/>
        </w:rPr>
        <w:t>the</w:t>
      </w:r>
      <w:r w:rsidR="00D92066" w:rsidRPr="00630A9E">
        <w:rPr>
          <w:rFonts w:ascii="Palatino" w:eastAsia="Droid Serif" w:hAnsi="Palatino" w:cstheme="minorHAnsi"/>
        </w:rPr>
        <w:t xml:space="preserve"> </w:t>
      </w:r>
      <w:r w:rsidR="0090108D">
        <w:rPr>
          <w:rFonts w:ascii="Palatino" w:eastAsia="Droid Serif" w:hAnsi="Palatino" w:cstheme="minorHAnsi"/>
        </w:rPr>
        <w:t xml:space="preserve">actual </w:t>
      </w:r>
      <w:r w:rsidR="00277FDC">
        <w:rPr>
          <w:rFonts w:ascii="Palatino" w:eastAsia="Droid Serif" w:hAnsi="Palatino" w:cstheme="minorHAnsi"/>
        </w:rPr>
        <w:t xml:space="preserve">demands of the </w:t>
      </w:r>
      <w:r w:rsidR="00D92066" w:rsidRPr="00630A9E">
        <w:rPr>
          <w:rFonts w:ascii="Palatino" w:eastAsia="Droid Serif" w:hAnsi="Palatino" w:cstheme="minorHAnsi"/>
        </w:rPr>
        <w:t>king</w:t>
      </w:r>
      <w:r w:rsidR="00447697" w:rsidRPr="00630A9E">
        <w:rPr>
          <w:rFonts w:ascii="Palatino" w:eastAsia="Droid Serif" w:hAnsi="Palatino" w:cstheme="minorHAnsi"/>
        </w:rPr>
        <w:t>.</w:t>
      </w:r>
      <w:r w:rsidR="00D92066" w:rsidRPr="00630A9E">
        <w:rPr>
          <w:rFonts w:ascii="Palatino" w:eastAsia="Droid Serif" w:hAnsi="Palatino" w:cstheme="minorHAnsi"/>
        </w:rPr>
        <w:t xml:space="preserve"> </w:t>
      </w:r>
      <w:r w:rsidR="00447697" w:rsidRPr="00630A9E">
        <w:rPr>
          <w:rFonts w:ascii="Palatino" w:eastAsia="Droid Serif" w:hAnsi="Palatino" w:cstheme="minorHAnsi"/>
        </w:rPr>
        <w:t>For</w:t>
      </w:r>
      <w:r w:rsidR="00D92066" w:rsidRPr="00630A9E">
        <w:rPr>
          <w:rFonts w:ascii="Palatino" w:eastAsia="Droid Serif" w:hAnsi="Palatino" w:cstheme="minorHAnsi"/>
        </w:rPr>
        <w:t xml:space="preserve"> the underlying </w:t>
      </w:r>
      <w:r w:rsidR="00CE678F" w:rsidRPr="00630A9E">
        <w:rPr>
          <w:rFonts w:ascii="Palatino" w:eastAsia="Droid Serif" w:hAnsi="Palatino" w:cstheme="minorHAnsi"/>
        </w:rPr>
        <w:t xml:space="preserve">explanation of </w:t>
      </w:r>
      <w:r w:rsidR="00277FDC">
        <w:rPr>
          <w:rFonts w:ascii="Palatino" w:eastAsia="Droid Serif" w:hAnsi="Palatino" w:cstheme="minorHAnsi"/>
        </w:rPr>
        <w:t xml:space="preserve">that collective decision to </w:t>
      </w:r>
      <w:r w:rsidR="0090108D">
        <w:rPr>
          <w:rFonts w:ascii="Palatino" w:eastAsia="Droid Serif" w:hAnsi="Palatino" w:cstheme="minorHAnsi"/>
        </w:rPr>
        <w:t>conform to</w:t>
      </w:r>
      <w:r w:rsidR="00CE678F" w:rsidRPr="00630A9E">
        <w:rPr>
          <w:rFonts w:ascii="Palatino" w:eastAsia="Droid Serif" w:hAnsi="Palatino" w:cstheme="minorHAnsi"/>
        </w:rPr>
        <w:t xml:space="preserve"> </w:t>
      </w:r>
      <w:r w:rsidR="00A46A81" w:rsidRPr="00630A9E">
        <w:rPr>
          <w:rFonts w:ascii="Palatino" w:eastAsia="Droid Serif" w:hAnsi="Palatino" w:cstheme="minorHAnsi"/>
        </w:rPr>
        <w:t>royal</w:t>
      </w:r>
      <w:r w:rsidR="00CE678F" w:rsidRPr="00630A9E">
        <w:rPr>
          <w:rFonts w:ascii="Palatino" w:eastAsia="Droid Serif" w:hAnsi="Palatino" w:cstheme="minorHAnsi"/>
        </w:rPr>
        <w:t xml:space="preserve"> </w:t>
      </w:r>
      <w:r w:rsidR="0090108D">
        <w:rPr>
          <w:rFonts w:ascii="Palatino" w:eastAsia="Droid Serif" w:hAnsi="Palatino" w:cstheme="minorHAnsi"/>
        </w:rPr>
        <w:t>decree</w:t>
      </w:r>
      <w:r w:rsidR="00CE678F" w:rsidRPr="00630A9E">
        <w:rPr>
          <w:rFonts w:ascii="Palatino" w:eastAsia="Droid Serif" w:hAnsi="Palatino" w:cstheme="minorHAnsi"/>
        </w:rPr>
        <w:t xml:space="preserve"> tells us</w:t>
      </w:r>
      <w:r w:rsidR="00D92066" w:rsidRPr="00630A9E">
        <w:rPr>
          <w:rFonts w:ascii="Palatino" w:eastAsia="Droid Serif" w:hAnsi="Palatino" w:cstheme="minorHAnsi"/>
        </w:rPr>
        <w:t xml:space="preserve"> </w:t>
      </w:r>
      <w:r w:rsidR="00447697" w:rsidRPr="00630A9E">
        <w:rPr>
          <w:rFonts w:ascii="Palatino" w:eastAsia="Droid Serif" w:hAnsi="Palatino" w:cstheme="minorHAnsi"/>
        </w:rPr>
        <w:t>that</w:t>
      </w:r>
      <w:r w:rsidR="00CE678F" w:rsidRPr="00630A9E">
        <w:rPr>
          <w:rFonts w:ascii="Palatino" w:eastAsia="Droid Serif" w:hAnsi="Palatino" w:cstheme="minorHAnsi"/>
        </w:rPr>
        <w:t>, under slightly different conditions, power could have been placed elsewhere.</w:t>
      </w:r>
      <w:r w:rsidR="00277FDC">
        <w:rPr>
          <w:rFonts w:ascii="Palatino" w:eastAsia="Droid Serif" w:hAnsi="Palatino" w:cstheme="minorHAnsi"/>
        </w:rPr>
        <w:t xml:space="preserve"> In this way of speaking, law is</w:t>
      </w:r>
      <w:r w:rsidR="0090108D">
        <w:rPr>
          <w:rFonts w:ascii="Palatino" w:eastAsia="Droid Serif" w:hAnsi="Palatino" w:cstheme="minorHAnsi"/>
        </w:rPr>
        <w:t xml:space="preserve"> accessible just in case</w:t>
      </w:r>
      <w:r w:rsidR="00277FDC">
        <w:rPr>
          <w:rFonts w:ascii="Palatino" w:eastAsia="Droid Serif" w:hAnsi="Palatino" w:cstheme="minorHAnsi"/>
        </w:rPr>
        <w:t xml:space="preserve"> it</w:t>
      </w:r>
      <w:r w:rsidR="0090108D">
        <w:rPr>
          <w:rFonts w:ascii="Palatino" w:eastAsia="Droid Serif" w:hAnsi="Palatino" w:cstheme="minorHAnsi"/>
        </w:rPr>
        <w:t xml:space="preserve"> conforms</w:t>
      </w:r>
      <w:r w:rsidR="00277FDC">
        <w:rPr>
          <w:rFonts w:ascii="Palatino" w:eastAsia="Droid Serif" w:hAnsi="Palatino" w:cstheme="minorHAnsi"/>
        </w:rPr>
        <w:t xml:space="preserve"> </w:t>
      </w:r>
      <w:r w:rsidR="0090108D">
        <w:rPr>
          <w:rFonts w:ascii="Palatino" w:eastAsia="Droid Serif" w:hAnsi="Palatino" w:cstheme="minorHAnsi"/>
        </w:rPr>
        <w:t>to</w:t>
      </w:r>
      <w:r w:rsidR="00277FDC">
        <w:rPr>
          <w:rFonts w:ascii="Palatino" w:eastAsia="Droid Serif" w:hAnsi="Palatino" w:cstheme="minorHAnsi"/>
        </w:rPr>
        <w:t xml:space="preserve"> the most </w:t>
      </w:r>
      <w:r w:rsidR="0090108D">
        <w:rPr>
          <w:rFonts w:ascii="Palatino" w:eastAsia="Droid Serif" w:hAnsi="Palatino" w:cstheme="minorHAnsi"/>
        </w:rPr>
        <w:t>congenial</w:t>
      </w:r>
      <w:r w:rsidR="00277FDC">
        <w:rPr>
          <w:rFonts w:ascii="Palatino" w:eastAsia="Droid Serif" w:hAnsi="Palatino" w:cstheme="minorHAnsi"/>
        </w:rPr>
        <w:t xml:space="preserve"> ideologies</w:t>
      </w:r>
      <w:r w:rsidR="0090108D">
        <w:rPr>
          <w:rFonts w:ascii="Palatino" w:eastAsia="Droid Serif" w:hAnsi="Palatino" w:cstheme="minorHAnsi"/>
        </w:rPr>
        <w:t xml:space="preserve"> of a population, insofar as those ideologies can effectively coerce and cajole the offices of government.</w:t>
      </w:r>
    </w:p>
    <w:p w14:paraId="2CA64B83" w14:textId="77777777" w:rsidR="00D52EA2" w:rsidRPr="00630A9E" w:rsidRDefault="00D52EA2" w:rsidP="008720B6">
      <w:pPr>
        <w:widowControl w:val="0"/>
        <w:ind w:right="-56" w:firstLine="426"/>
        <w:jc w:val="both"/>
        <w:rPr>
          <w:rFonts w:ascii="Palatino" w:eastAsia="Droid Serif" w:hAnsi="Palatino" w:cstheme="minorHAnsi"/>
        </w:rPr>
      </w:pPr>
    </w:p>
    <w:p w14:paraId="0600D2EC" w14:textId="743D650B" w:rsidR="008114AE" w:rsidRDefault="00CE02F8" w:rsidP="008720B6">
      <w:pPr>
        <w:widowControl w:val="0"/>
        <w:ind w:right="-56"/>
        <w:jc w:val="both"/>
        <w:rPr>
          <w:rFonts w:ascii="Palatino" w:eastAsia="Droid Serif" w:hAnsi="Palatino" w:cstheme="minorHAnsi"/>
        </w:rPr>
      </w:pPr>
      <w:r>
        <w:rPr>
          <w:rFonts w:ascii="Palatino" w:eastAsia="Droid Serif" w:hAnsi="Palatino" w:cstheme="minorHAnsi"/>
        </w:rPr>
        <w:t>There are good reasons to find</w:t>
      </w:r>
      <w:r w:rsidR="00A46A81" w:rsidRPr="00083605">
        <w:rPr>
          <w:rFonts w:ascii="Palatino" w:eastAsia="Droid Serif" w:hAnsi="Palatino" w:cstheme="minorHAnsi"/>
        </w:rPr>
        <w:t xml:space="preserve"> the agonistic theory of </w:t>
      </w:r>
      <w:r w:rsidR="005F2369" w:rsidRPr="00083605">
        <w:rPr>
          <w:rFonts w:ascii="Palatino" w:eastAsia="Droid Serif" w:hAnsi="Palatino" w:cstheme="minorHAnsi"/>
        </w:rPr>
        <w:t>accessibility</w:t>
      </w:r>
      <w:r>
        <w:rPr>
          <w:rFonts w:ascii="Palatino" w:eastAsia="Droid Serif" w:hAnsi="Palatino" w:cstheme="minorHAnsi"/>
        </w:rPr>
        <w:t xml:space="preserve"> unattractive</w:t>
      </w:r>
      <w:r w:rsidR="00A46A81" w:rsidRPr="00083605">
        <w:rPr>
          <w:rFonts w:ascii="Palatino" w:eastAsia="Droid Serif" w:hAnsi="Palatino" w:cstheme="minorHAnsi"/>
        </w:rPr>
        <w:t>.</w:t>
      </w:r>
      <w:r w:rsidR="00D20B71" w:rsidRPr="00083605">
        <w:rPr>
          <w:rFonts w:ascii="Palatino" w:eastAsia="Droid Serif" w:hAnsi="Palatino" w:cstheme="minorHAnsi"/>
        </w:rPr>
        <w:t xml:space="preserve"> </w:t>
      </w:r>
      <w:r w:rsidR="00026E51">
        <w:rPr>
          <w:rFonts w:ascii="Palatino" w:eastAsia="Droid Serif" w:hAnsi="Palatino" w:cstheme="minorHAnsi"/>
        </w:rPr>
        <w:t xml:space="preserve">The first and possibly most important objection is that, </w:t>
      </w:r>
      <w:r w:rsidR="00D52EA2">
        <w:rPr>
          <w:rFonts w:ascii="Palatino" w:eastAsia="Droid Serif" w:hAnsi="Palatino" w:cstheme="minorHAnsi"/>
        </w:rPr>
        <w:t>when it comes to</w:t>
      </w:r>
      <w:r w:rsidR="00026E51">
        <w:rPr>
          <w:rFonts w:ascii="Palatino" w:eastAsia="Droid Serif" w:hAnsi="Palatino" w:cstheme="minorHAnsi"/>
        </w:rPr>
        <w:t xml:space="preserve"> the </w:t>
      </w:r>
      <w:r w:rsidR="00D52EA2">
        <w:rPr>
          <w:rFonts w:ascii="Palatino" w:eastAsia="Droid Serif" w:hAnsi="Palatino" w:cstheme="minorHAnsi"/>
        </w:rPr>
        <w:t xml:space="preserve">agonistic </w:t>
      </w:r>
      <w:r w:rsidR="00026E51">
        <w:rPr>
          <w:rFonts w:ascii="Palatino" w:eastAsia="Droid Serif" w:hAnsi="Palatino" w:cstheme="minorHAnsi"/>
        </w:rPr>
        <w:t>theory</w:t>
      </w:r>
      <w:r w:rsidR="00D52EA2">
        <w:rPr>
          <w:rFonts w:ascii="Palatino" w:eastAsia="Droid Serif" w:hAnsi="Palatino" w:cstheme="minorHAnsi"/>
        </w:rPr>
        <w:t>,</w:t>
      </w:r>
      <w:r w:rsidR="00026E51">
        <w:rPr>
          <w:rFonts w:ascii="Palatino" w:eastAsia="Droid Serif" w:hAnsi="Palatino" w:cstheme="minorHAnsi"/>
        </w:rPr>
        <w:t xml:space="preserve"> </w:t>
      </w:r>
      <w:r w:rsidR="00D52EA2">
        <w:rPr>
          <w:rFonts w:ascii="Palatino" w:eastAsia="Droid Serif" w:hAnsi="Palatino" w:cstheme="minorHAnsi"/>
        </w:rPr>
        <w:t>the</w:t>
      </w:r>
      <w:r w:rsidR="00026E51">
        <w:rPr>
          <w:rFonts w:ascii="Palatino" w:eastAsia="Droid Serif" w:hAnsi="Palatino" w:cstheme="minorHAnsi"/>
        </w:rPr>
        <w:t xml:space="preserve"> </w:t>
      </w:r>
      <w:r w:rsidR="00D52EA2">
        <w:rPr>
          <w:rFonts w:ascii="Palatino" w:eastAsia="Droid Serif" w:hAnsi="Palatino" w:cstheme="minorHAnsi"/>
        </w:rPr>
        <w:t xml:space="preserve">intuitive </w:t>
      </w:r>
      <w:r w:rsidR="00026E51">
        <w:rPr>
          <w:rFonts w:ascii="Palatino" w:eastAsia="Droid Serif" w:hAnsi="Palatino" w:cstheme="minorHAnsi"/>
        </w:rPr>
        <w:t xml:space="preserve">idea of ‘accessibility’ (i.e., kind of </w:t>
      </w:r>
      <w:r w:rsidR="001B5972">
        <w:rPr>
          <w:rFonts w:ascii="Palatino" w:eastAsia="Droid Serif" w:hAnsi="Palatino" w:cstheme="minorHAnsi"/>
        </w:rPr>
        <w:t>open</w:t>
      </w:r>
      <w:r w:rsidR="00026E51">
        <w:rPr>
          <w:rFonts w:ascii="Palatino" w:eastAsia="Droid Serif" w:hAnsi="Palatino" w:cstheme="minorHAnsi"/>
        </w:rPr>
        <w:t xml:space="preserve"> flow of information from government to citizen) is abandoned, and replaced by a theory that says law is accessible just in case people effectively want it to be.</w:t>
      </w:r>
      <w:r w:rsidR="00D52EA2">
        <w:rPr>
          <w:rFonts w:ascii="Palatino" w:eastAsia="Droid Serif" w:hAnsi="Palatino" w:cstheme="minorHAnsi"/>
        </w:rPr>
        <w:t xml:space="preserve"> This looks like a perverse result.</w:t>
      </w:r>
      <w:r w:rsidR="008114AE">
        <w:rPr>
          <w:rFonts w:ascii="Palatino" w:eastAsia="Droid Serif" w:hAnsi="Palatino" w:cstheme="minorHAnsi"/>
        </w:rPr>
        <w:t xml:space="preserve"> If this is what the agonistic theory wants to say, then one might just as easily accuse the agonistic theory of </w:t>
      </w:r>
      <w:r w:rsidR="008114AE" w:rsidRPr="00FC04A4">
        <w:rPr>
          <w:rFonts w:ascii="Palatino" w:eastAsia="Droid Serif" w:hAnsi="Palatino" w:cstheme="minorHAnsi"/>
          <w:i/>
        </w:rPr>
        <w:t>changing the subject</w:t>
      </w:r>
      <w:r w:rsidR="008114AE">
        <w:rPr>
          <w:rFonts w:ascii="Palatino" w:eastAsia="Droid Serif" w:hAnsi="Palatino" w:cstheme="minorHAnsi"/>
        </w:rPr>
        <w:t xml:space="preserve"> away from accessibility to something else.</w:t>
      </w:r>
    </w:p>
    <w:p w14:paraId="220D4F4F" w14:textId="228FFEBA" w:rsidR="00026E51" w:rsidRDefault="00D52EA2" w:rsidP="008720B6">
      <w:pPr>
        <w:widowControl w:val="0"/>
        <w:ind w:right="-56" w:firstLine="426"/>
        <w:jc w:val="both"/>
        <w:rPr>
          <w:rFonts w:ascii="Palatino" w:eastAsia="Droid Serif" w:hAnsi="Palatino" w:cstheme="minorHAnsi"/>
        </w:rPr>
      </w:pPr>
      <w:r>
        <w:rPr>
          <w:rFonts w:ascii="Palatino" w:eastAsia="Droid Serif" w:hAnsi="Palatino" w:cstheme="minorHAnsi"/>
        </w:rPr>
        <w:t xml:space="preserve">And yet </w:t>
      </w:r>
      <w:r w:rsidR="008114AE">
        <w:rPr>
          <w:rFonts w:ascii="Palatino" w:eastAsia="Droid Serif" w:hAnsi="Palatino" w:cstheme="minorHAnsi"/>
        </w:rPr>
        <w:t>there is more to it than meets the eye</w:t>
      </w:r>
      <w:r>
        <w:rPr>
          <w:rFonts w:ascii="Palatino" w:eastAsia="Droid Serif" w:hAnsi="Palatino" w:cstheme="minorHAnsi"/>
        </w:rPr>
        <w:t xml:space="preserve">. For there is no question as to whether or not the </w:t>
      </w:r>
      <w:r w:rsidRPr="008114AE">
        <w:rPr>
          <w:rFonts w:ascii="Palatino" w:eastAsia="Droid Serif" w:hAnsi="Palatino" w:cstheme="minorHAnsi"/>
          <w:i/>
        </w:rPr>
        <w:t>rhetoric</w:t>
      </w:r>
      <w:r>
        <w:rPr>
          <w:rFonts w:ascii="Palatino" w:eastAsia="Droid Serif" w:hAnsi="Palatino" w:cstheme="minorHAnsi"/>
        </w:rPr>
        <w:t xml:space="preserve"> of accessibility has effects on power</w:t>
      </w:r>
      <w:r w:rsidR="008114AE">
        <w:rPr>
          <w:rFonts w:ascii="Palatino" w:eastAsia="Droid Serif" w:hAnsi="Palatino" w:cstheme="minorHAnsi"/>
        </w:rPr>
        <w:t>, especially in mitigating or enhancing claims of responsibility</w:t>
      </w:r>
      <w:r>
        <w:rPr>
          <w:rFonts w:ascii="Palatino" w:eastAsia="Droid Serif" w:hAnsi="Palatino" w:cstheme="minorHAnsi"/>
        </w:rPr>
        <w:t xml:space="preserve">. </w:t>
      </w:r>
      <w:r w:rsidR="008114AE">
        <w:rPr>
          <w:rFonts w:ascii="Palatino" w:eastAsia="Droid Serif" w:hAnsi="Palatino" w:cstheme="minorHAnsi"/>
        </w:rPr>
        <w:t>(</w:t>
      </w:r>
      <w:r>
        <w:rPr>
          <w:rFonts w:ascii="Palatino" w:eastAsia="Droid Serif" w:hAnsi="Palatino" w:cstheme="minorHAnsi"/>
        </w:rPr>
        <w:t xml:space="preserve">e.g., </w:t>
      </w:r>
      <w:r w:rsidR="008114AE">
        <w:rPr>
          <w:rFonts w:ascii="Palatino" w:eastAsia="Droid Serif" w:hAnsi="Palatino" w:cstheme="minorHAnsi"/>
        </w:rPr>
        <w:t>‘</w:t>
      </w:r>
      <w:r>
        <w:rPr>
          <w:rFonts w:ascii="Palatino" w:eastAsia="Droid Serif" w:hAnsi="Palatino" w:cstheme="minorHAnsi"/>
        </w:rPr>
        <w:t>plausible deniability</w:t>
      </w:r>
      <w:r w:rsidR="008114AE">
        <w:rPr>
          <w:rFonts w:ascii="Palatino" w:eastAsia="Droid Serif" w:hAnsi="Palatino" w:cstheme="minorHAnsi"/>
        </w:rPr>
        <w:t>’</w:t>
      </w:r>
      <w:r>
        <w:rPr>
          <w:rFonts w:ascii="Palatino" w:eastAsia="Droid Serif" w:hAnsi="Palatino" w:cstheme="minorHAnsi"/>
        </w:rPr>
        <w:t xml:space="preserve"> is</w:t>
      </w:r>
      <w:r w:rsidR="008114AE">
        <w:rPr>
          <w:rFonts w:ascii="Palatino" w:eastAsia="Droid Serif" w:hAnsi="Palatino" w:cstheme="minorHAnsi"/>
        </w:rPr>
        <w:t xml:space="preserve"> often </w:t>
      </w:r>
      <w:r>
        <w:rPr>
          <w:rFonts w:ascii="Palatino" w:eastAsia="Droid Serif" w:hAnsi="Palatino" w:cstheme="minorHAnsi"/>
        </w:rPr>
        <w:t xml:space="preserve">an effective </w:t>
      </w:r>
      <w:r>
        <w:rPr>
          <w:rFonts w:ascii="Palatino" w:eastAsia="Droid Serif" w:hAnsi="Palatino" w:cstheme="minorHAnsi"/>
        </w:rPr>
        <w:lastRenderedPageBreak/>
        <w:t>rhetorical defense.</w:t>
      </w:r>
      <w:r w:rsidR="008114AE">
        <w:rPr>
          <w:rFonts w:ascii="Palatino" w:eastAsia="Droid Serif" w:hAnsi="Palatino" w:cstheme="minorHAnsi"/>
        </w:rPr>
        <w:t>)</w:t>
      </w:r>
      <w:r>
        <w:rPr>
          <w:rFonts w:ascii="Palatino" w:eastAsia="Droid Serif" w:hAnsi="Palatino" w:cstheme="minorHAnsi"/>
        </w:rPr>
        <w:t xml:space="preserve"> The agonistic theory</w:t>
      </w:r>
      <w:r w:rsidR="00D15259">
        <w:rPr>
          <w:rFonts w:ascii="Palatino" w:eastAsia="Droid Serif" w:hAnsi="Palatino" w:cstheme="minorHAnsi"/>
        </w:rPr>
        <w:t xml:space="preserve">’s gambit is </w:t>
      </w:r>
      <w:r w:rsidR="008114AE">
        <w:rPr>
          <w:rFonts w:ascii="Palatino" w:eastAsia="Droid Serif" w:hAnsi="Palatino" w:cstheme="minorHAnsi"/>
        </w:rPr>
        <w:t xml:space="preserve">that </w:t>
      </w:r>
      <w:r w:rsidR="00D15259">
        <w:rPr>
          <w:rFonts w:ascii="Palatino" w:eastAsia="Droid Serif" w:hAnsi="Palatino" w:cstheme="minorHAnsi"/>
        </w:rPr>
        <w:t xml:space="preserve">it treats this </w:t>
      </w:r>
      <w:r w:rsidR="008114AE">
        <w:rPr>
          <w:rFonts w:ascii="Palatino" w:eastAsia="Droid Serif" w:hAnsi="Palatino" w:cstheme="minorHAnsi"/>
        </w:rPr>
        <w:t xml:space="preserve">empirical fact </w:t>
      </w:r>
      <w:r w:rsidR="00D15259">
        <w:rPr>
          <w:rFonts w:ascii="Palatino" w:eastAsia="Droid Serif" w:hAnsi="Palatino" w:cstheme="minorHAnsi"/>
        </w:rPr>
        <w:t>about how people get away with the things they say as if it were</w:t>
      </w:r>
      <w:r w:rsidR="008114AE">
        <w:rPr>
          <w:rFonts w:ascii="Palatino" w:eastAsia="Droid Serif" w:hAnsi="Palatino" w:cstheme="minorHAnsi"/>
        </w:rPr>
        <w:t xml:space="preserve"> constitutive of accessibility</w:t>
      </w:r>
      <w:r w:rsidR="00D15259">
        <w:rPr>
          <w:rFonts w:ascii="Palatino" w:eastAsia="Droid Serif" w:hAnsi="Palatino" w:cstheme="minorHAnsi"/>
        </w:rPr>
        <w:t>.</w:t>
      </w:r>
      <w:r w:rsidR="008114AE">
        <w:rPr>
          <w:rFonts w:ascii="Palatino" w:eastAsia="Droid Serif" w:hAnsi="Palatino" w:cstheme="minorHAnsi"/>
        </w:rPr>
        <w:t xml:space="preserve"> </w:t>
      </w:r>
      <w:r w:rsidR="003C56E0">
        <w:rPr>
          <w:rFonts w:ascii="Palatino" w:eastAsia="Droid Serif" w:hAnsi="Palatino" w:cstheme="minorHAnsi"/>
        </w:rPr>
        <w:t>And</w:t>
      </w:r>
      <w:r w:rsidR="00D15259">
        <w:rPr>
          <w:rFonts w:ascii="Palatino" w:eastAsia="Droid Serif" w:hAnsi="Palatino" w:cstheme="minorHAnsi"/>
        </w:rPr>
        <w:t xml:space="preserve"> there might be something to </w:t>
      </w:r>
      <w:r w:rsidR="003C56E0">
        <w:rPr>
          <w:rFonts w:ascii="Palatino" w:eastAsia="Droid Serif" w:hAnsi="Palatino" w:cstheme="minorHAnsi"/>
        </w:rPr>
        <w:t>the agonistic theory’s hypothesis</w:t>
      </w:r>
      <w:r w:rsidR="00D15259">
        <w:rPr>
          <w:rFonts w:ascii="Palatino" w:eastAsia="Droid Serif" w:hAnsi="Palatino" w:cstheme="minorHAnsi"/>
        </w:rPr>
        <w:t>, if we are empiric</w:t>
      </w:r>
      <w:r w:rsidR="003C56E0">
        <w:rPr>
          <w:rFonts w:ascii="Palatino" w:eastAsia="Droid Serif" w:hAnsi="Palatino" w:cstheme="minorHAnsi"/>
        </w:rPr>
        <w:t>ally-minded and care about ordinary language use</w:t>
      </w:r>
      <w:r w:rsidR="00D15259">
        <w:rPr>
          <w:rFonts w:ascii="Palatino" w:eastAsia="Droid Serif" w:hAnsi="Palatino" w:cstheme="minorHAnsi"/>
        </w:rPr>
        <w:t xml:space="preserve">. For if we decide that an </w:t>
      </w:r>
      <w:r w:rsidR="008114AE">
        <w:rPr>
          <w:rFonts w:ascii="Palatino" w:eastAsia="Droid Serif" w:hAnsi="Palatino" w:cstheme="minorHAnsi"/>
        </w:rPr>
        <w:t xml:space="preserve">examination of </w:t>
      </w:r>
      <w:r w:rsidR="00D15259">
        <w:rPr>
          <w:rFonts w:ascii="Palatino" w:eastAsia="Droid Serif" w:hAnsi="Palatino" w:cstheme="minorHAnsi"/>
        </w:rPr>
        <w:t>the concept of ‘accessibility’</w:t>
      </w:r>
      <w:r w:rsidR="008114AE">
        <w:rPr>
          <w:rFonts w:ascii="Palatino" w:eastAsia="Droid Serif" w:hAnsi="Palatino" w:cstheme="minorHAnsi"/>
        </w:rPr>
        <w:t xml:space="preserve"> must reflect</w:t>
      </w:r>
      <w:r w:rsidR="00D15259">
        <w:rPr>
          <w:rFonts w:ascii="Palatino" w:eastAsia="Droid Serif" w:hAnsi="Palatino" w:cstheme="minorHAnsi"/>
        </w:rPr>
        <w:t xml:space="preserve"> the</w:t>
      </w:r>
      <w:r w:rsidR="008114AE">
        <w:rPr>
          <w:rFonts w:ascii="Palatino" w:eastAsia="Droid Serif" w:hAnsi="Palatino" w:cstheme="minorHAnsi"/>
        </w:rPr>
        <w:t xml:space="preserve"> ordinary strategies that people use </w:t>
      </w:r>
      <w:r w:rsidR="00D15259">
        <w:rPr>
          <w:rFonts w:ascii="Palatino" w:eastAsia="Droid Serif" w:hAnsi="Palatino" w:cstheme="minorHAnsi"/>
        </w:rPr>
        <w:t>when</w:t>
      </w:r>
      <w:r w:rsidR="008114AE">
        <w:rPr>
          <w:rFonts w:ascii="Palatino" w:eastAsia="Droid Serif" w:hAnsi="Palatino" w:cstheme="minorHAnsi"/>
        </w:rPr>
        <w:t xml:space="preserve"> talking about the notion,</w:t>
      </w:r>
      <w:r w:rsidR="00D15259">
        <w:rPr>
          <w:rFonts w:ascii="Palatino" w:eastAsia="Droid Serif" w:hAnsi="Palatino" w:cstheme="minorHAnsi"/>
        </w:rPr>
        <w:t xml:space="preserve"> then </w:t>
      </w:r>
      <w:r w:rsidR="003C56E0">
        <w:rPr>
          <w:rFonts w:ascii="Palatino" w:eastAsia="Droid Serif" w:hAnsi="Palatino" w:cstheme="minorHAnsi"/>
        </w:rPr>
        <w:t>we have to</w:t>
      </w:r>
      <w:r w:rsidR="00D15259">
        <w:rPr>
          <w:rFonts w:ascii="Palatino" w:eastAsia="Droid Serif" w:hAnsi="Palatino" w:cstheme="minorHAnsi"/>
        </w:rPr>
        <w:t xml:space="preserve"> </w:t>
      </w:r>
      <w:r w:rsidR="003C56E0">
        <w:rPr>
          <w:rFonts w:ascii="Palatino" w:eastAsia="Droid Serif" w:hAnsi="Palatino" w:cstheme="minorHAnsi"/>
        </w:rPr>
        <w:t xml:space="preserve">incorporate all </w:t>
      </w:r>
      <w:r w:rsidR="00D15259">
        <w:rPr>
          <w:rFonts w:ascii="Palatino" w:eastAsia="Droid Serif" w:hAnsi="Palatino" w:cstheme="minorHAnsi"/>
        </w:rPr>
        <w:t>significant articulations of the idea, no matter how perverse they seem</w:t>
      </w:r>
      <w:r w:rsidR="003C56E0">
        <w:rPr>
          <w:rFonts w:ascii="Palatino" w:eastAsia="Droid Serif" w:hAnsi="Palatino" w:cstheme="minorHAnsi"/>
        </w:rPr>
        <w:t xml:space="preserve"> </w:t>
      </w:r>
      <w:proofErr w:type="spellStart"/>
      <w:r w:rsidR="003C56E0" w:rsidRPr="003C56E0">
        <w:rPr>
          <w:rFonts w:ascii="Palatino" w:eastAsia="Droid Serif" w:hAnsi="Palatino" w:cstheme="minorHAnsi"/>
          <w:i/>
        </w:rPr>
        <w:t>apriori</w:t>
      </w:r>
      <w:proofErr w:type="spellEnd"/>
      <w:r w:rsidR="00D15259">
        <w:rPr>
          <w:rFonts w:ascii="Palatino" w:eastAsia="Droid Serif" w:hAnsi="Palatino" w:cstheme="minorHAnsi"/>
        </w:rPr>
        <w:t>.</w:t>
      </w:r>
      <w:r w:rsidR="00053C99">
        <w:rPr>
          <w:rFonts w:ascii="Palatino" w:eastAsia="Droid Serif" w:hAnsi="Palatino" w:cstheme="minorHAnsi"/>
        </w:rPr>
        <w:t xml:space="preserve"> </w:t>
      </w:r>
      <w:r w:rsidR="003C56E0">
        <w:rPr>
          <w:rFonts w:ascii="Palatino" w:eastAsia="Droid Serif" w:hAnsi="Palatino" w:cstheme="minorHAnsi"/>
        </w:rPr>
        <w:t>So</w:t>
      </w:r>
      <w:r w:rsidR="00CE2511">
        <w:rPr>
          <w:rFonts w:ascii="Palatino" w:eastAsia="Droid Serif" w:hAnsi="Palatino" w:cstheme="minorHAnsi"/>
        </w:rPr>
        <w:t>,</w:t>
      </w:r>
      <w:r w:rsidR="003C56E0">
        <w:rPr>
          <w:rFonts w:ascii="Palatino" w:eastAsia="Droid Serif" w:hAnsi="Palatino" w:cstheme="minorHAnsi"/>
        </w:rPr>
        <w:t xml:space="preserve"> the </w:t>
      </w:r>
      <w:r w:rsidR="00053C99">
        <w:rPr>
          <w:rFonts w:ascii="Palatino" w:eastAsia="Droid Serif" w:hAnsi="Palatino" w:cstheme="minorHAnsi"/>
        </w:rPr>
        <w:t>agonistic theor</w:t>
      </w:r>
      <w:r w:rsidR="00CE2511">
        <w:rPr>
          <w:rFonts w:ascii="Palatino" w:eastAsia="Droid Serif" w:hAnsi="Palatino" w:cstheme="minorHAnsi"/>
        </w:rPr>
        <w:t>ist could argue that they</w:t>
      </w:r>
      <w:r w:rsidR="00053C99">
        <w:rPr>
          <w:rFonts w:ascii="Palatino" w:eastAsia="Droid Serif" w:hAnsi="Palatino" w:cstheme="minorHAnsi"/>
        </w:rPr>
        <w:t xml:space="preserve"> </w:t>
      </w:r>
      <w:r w:rsidR="003C56E0">
        <w:rPr>
          <w:rFonts w:ascii="Palatino" w:eastAsia="Droid Serif" w:hAnsi="Palatino" w:cstheme="minorHAnsi"/>
        </w:rPr>
        <w:t xml:space="preserve">do not </w:t>
      </w:r>
      <w:r w:rsidR="00053C99">
        <w:rPr>
          <w:rFonts w:ascii="Palatino" w:eastAsia="Droid Serif" w:hAnsi="Palatino" w:cstheme="minorHAnsi"/>
        </w:rPr>
        <w:t>change the subject</w:t>
      </w:r>
      <w:r w:rsidR="00CE2511">
        <w:rPr>
          <w:rFonts w:ascii="Palatino" w:eastAsia="Droid Serif" w:hAnsi="Palatino" w:cstheme="minorHAnsi"/>
        </w:rPr>
        <w:t>,</w:t>
      </w:r>
      <w:r w:rsidR="003C56E0">
        <w:rPr>
          <w:rFonts w:ascii="Palatino" w:eastAsia="Droid Serif" w:hAnsi="Palatino" w:cstheme="minorHAnsi"/>
        </w:rPr>
        <w:t xml:space="preserve"> so much as take it seriously</w:t>
      </w:r>
      <w:r w:rsidR="00053C99">
        <w:rPr>
          <w:rFonts w:ascii="Palatino" w:eastAsia="Droid Serif" w:hAnsi="Palatino" w:cstheme="minorHAnsi"/>
        </w:rPr>
        <w:t>.</w:t>
      </w:r>
    </w:p>
    <w:p w14:paraId="25B8FC3E" w14:textId="77777777" w:rsidR="00CB2D30" w:rsidRDefault="00CB2D30" w:rsidP="008720B6">
      <w:pPr>
        <w:widowControl w:val="0"/>
        <w:ind w:right="-56" w:firstLine="426"/>
        <w:jc w:val="both"/>
        <w:rPr>
          <w:rFonts w:ascii="Palatino" w:eastAsia="Droid Serif" w:hAnsi="Palatino" w:cstheme="minorHAnsi"/>
        </w:rPr>
      </w:pPr>
    </w:p>
    <w:p w14:paraId="6B8A893C" w14:textId="34EA785C" w:rsidR="00FC04A4" w:rsidRDefault="003C56E0" w:rsidP="008720B6">
      <w:pPr>
        <w:widowControl w:val="0"/>
        <w:ind w:right="-56"/>
        <w:jc w:val="both"/>
        <w:rPr>
          <w:rFonts w:ascii="Palatino" w:eastAsia="Droid Serif" w:hAnsi="Palatino" w:cstheme="minorHAnsi"/>
        </w:rPr>
      </w:pPr>
      <w:r>
        <w:rPr>
          <w:rFonts w:ascii="Palatino" w:eastAsia="Droid Serif" w:hAnsi="Palatino" w:cstheme="minorHAnsi"/>
        </w:rPr>
        <w:t>O</w:t>
      </w:r>
      <w:r w:rsidR="00CB2D30">
        <w:rPr>
          <w:rFonts w:ascii="Palatino" w:eastAsia="Droid Serif" w:hAnsi="Palatino" w:cstheme="minorHAnsi"/>
        </w:rPr>
        <w:t>verall, I see far more promise in the conveyance theory than the agonistic one.</w:t>
      </w:r>
      <w:r w:rsidR="00FC04A4">
        <w:rPr>
          <w:rFonts w:ascii="Palatino" w:eastAsia="Droid Serif" w:hAnsi="Palatino" w:cstheme="minorHAnsi"/>
        </w:rPr>
        <w:t xml:space="preserve"> </w:t>
      </w:r>
      <w:r>
        <w:rPr>
          <w:rFonts w:ascii="Palatino" w:eastAsia="Droid Serif" w:hAnsi="Palatino" w:cstheme="minorHAnsi"/>
        </w:rPr>
        <w:t xml:space="preserve">Some of my objections are ethical, and some political. </w:t>
      </w:r>
      <w:r w:rsidR="00C462B0">
        <w:rPr>
          <w:rFonts w:ascii="Palatino" w:eastAsia="Droid Serif" w:hAnsi="Palatino" w:cstheme="minorHAnsi"/>
        </w:rPr>
        <w:t>But</w:t>
      </w:r>
      <w:r>
        <w:rPr>
          <w:rFonts w:ascii="Palatino" w:eastAsia="Droid Serif" w:hAnsi="Palatino" w:cstheme="minorHAnsi"/>
        </w:rPr>
        <w:t>, in the diagnosis of promulgation, I confess</w:t>
      </w:r>
      <w:r w:rsidR="00C462B0">
        <w:rPr>
          <w:rFonts w:ascii="Palatino" w:eastAsia="Droid Serif" w:hAnsi="Palatino" w:cstheme="minorHAnsi"/>
        </w:rPr>
        <w:t xml:space="preserve"> </w:t>
      </w:r>
      <w:r>
        <w:rPr>
          <w:rFonts w:ascii="Palatino" w:eastAsia="Droid Serif" w:hAnsi="Palatino" w:cstheme="minorHAnsi"/>
        </w:rPr>
        <w:t>that</w:t>
      </w:r>
      <w:r w:rsidR="00C462B0">
        <w:rPr>
          <w:rFonts w:ascii="Palatino" w:eastAsia="Droid Serif" w:hAnsi="Palatino" w:cstheme="minorHAnsi"/>
        </w:rPr>
        <w:t xml:space="preserve"> </w:t>
      </w:r>
      <w:r>
        <w:rPr>
          <w:rFonts w:ascii="Palatino" w:eastAsia="Droid Serif" w:hAnsi="Palatino" w:cstheme="minorHAnsi"/>
        </w:rPr>
        <w:t xml:space="preserve">it </w:t>
      </w:r>
      <w:r w:rsidR="00C462B0">
        <w:rPr>
          <w:rFonts w:ascii="Palatino" w:eastAsia="Droid Serif" w:hAnsi="Palatino" w:cstheme="minorHAnsi"/>
        </w:rPr>
        <w:t xml:space="preserve">is </w:t>
      </w:r>
      <w:r>
        <w:rPr>
          <w:rFonts w:ascii="Palatino" w:eastAsia="Droid Serif" w:hAnsi="Palatino" w:cstheme="minorHAnsi"/>
        </w:rPr>
        <w:t>a candidate theory</w:t>
      </w:r>
      <w:r w:rsidR="00FC04A4">
        <w:rPr>
          <w:rFonts w:ascii="Palatino" w:eastAsia="Droid Serif" w:hAnsi="Palatino" w:cstheme="minorHAnsi"/>
        </w:rPr>
        <w:t>.</w:t>
      </w:r>
    </w:p>
    <w:p w14:paraId="003029F4" w14:textId="77E0210C" w:rsidR="004365C6" w:rsidRPr="00630A9E" w:rsidRDefault="00B87B75" w:rsidP="008720B6">
      <w:pPr>
        <w:widowControl w:val="0"/>
        <w:ind w:right="-56" w:firstLine="426"/>
        <w:jc w:val="both"/>
        <w:rPr>
          <w:rFonts w:ascii="Palatino" w:eastAsia="Droid Serif" w:hAnsi="Palatino" w:cstheme="minorHAnsi"/>
        </w:rPr>
      </w:pPr>
      <w:r>
        <w:rPr>
          <w:rFonts w:ascii="Palatino" w:eastAsia="Droid Serif" w:hAnsi="Palatino" w:cstheme="minorHAnsi"/>
        </w:rPr>
        <w:t>Our task</w:t>
      </w:r>
      <w:r w:rsidR="00C462B0">
        <w:rPr>
          <w:rFonts w:ascii="Palatino" w:eastAsia="Droid Serif" w:hAnsi="Palatino" w:cstheme="minorHAnsi"/>
        </w:rPr>
        <w:t xml:space="preserve"> now</w:t>
      </w:r>
      <w:r>
        <w:rPr>
          <w:rFonts w:ascii="Palatino" w:eastAsia="Droid Serif" w:hAnsi="Palatino" w:cstheme="minorHAnsi"/>
        </w:rPr>
        <w:t xml:space="preserve"> is to look at how the theories interact with our reasons for cases. </w:t>
      </w:r>
      <w:r w:rsidR="00EE55ED">
        <w:rPr>
          <w:rFonts w:ascii="Palatino" w:eastAsia="Droid Serif" w:hAnsi="Palatino" w:cstheme="minorHAnsi"/>
        </w:rPr>
        <w:t xml:space="preserve">At </w:t>
      </w:r>
      <w:r w:rsidR="00CB2D30">
        <w:rPr>
          <w:rFonts w:ascii="Palatino" w:eastAsia="Droid Serif" w:hAnsi="Palatino" w:cstheme="minorHAnsi"/>
        </w:rPr>
        <w:t xml:space="preserve">the end of the day, the choice between the agonistic theory and the conveyance theory depends on their power to make sense of the idea of accessibility </w:t>
      </w:r>
      <w:r>
        <w:rPr>
          <w:rFonts w:ascii="Palatino" w:eastAsia="Droid Serif" w:hAnsi="Palatino" w:cstheme="minorHAnsi"/>
        </w:rPr>
        <w:t>when applied</w:t>
      </w:r>
      <w:r w:rsidR="00CB2D30">
        <w:rPr>
          <w:rFonts w:ascii="Palatino" w:eastAsia="Droid Serif" w:hAnsi="Palatino" w:cstheme="minorHAnsi"/>
        </w:rPr>
        <w:t xml:space="preserve">. </w:t>
      </w:r>
      <w:r>
        <w:rPr>
          <w:rFonts w:ascii="Palatino" w:eastAsia="Droid Serif" w:hAnsi="Palatino" w:cstheme="minorHAnsi"/>
        </w:rPr>
        <w:t>T</w:t>
      </w:r>
      <w:r w:rsidR="00662FC8" w:rsidRPr="00BE0EF2">
        <w:rPr>
          <w:rFonts w:ascii="Palatino" w:eastAsia="Droid Serif" w:hAnsi="Palatino" w:cstheme="minorHAnsi"/>
        </w:rPr>
        <w:t>o understand which is preferable, one must see how they relate to different models</w:t>
      </w:r>
      <w:r w:rsidR="006246B6" w:rsidRPr="00BE0EF2">
        <w:rPr>
          <w:rFonts w:ascii="Palatino" w:eastAsia="Droid Serif" w:hAnsi="Palatino" w:cstheme="minorHAnsi"/>
        </w:rPr>
        <w:t>, and then</w:t>
      </w:r>
      <w:r w:rsidR="00CE678F" w:rsidRPr="00BE0EF2">
        <w:rPr>
          <w:rFonts w:ascii="Palatino" w:eastAsia="Droid Serif" w:hAnsi="Palatino" w:cstheme="minorHAnsi"/>
        </w:rPr>
        <w:t xml:space="preserve"> apply the lessons</w:t>
      </w:r>
      <w:r w:rsidR="006246B6" w:rsidRPr="00BE0EF2">
        <w:rPr>
          <w:rFonts w:ascii="Palatino" w:eastAsia="Droid Serif" w:hAnsi="Palatino" w:cstheme="minorHAnsi"/>
        </w:rPr>
        <w:t xml:space="preserve"> to particular legal cases</w:t>
      </w:r>
      <w:r>
        <w:rPr>
          <w:rFonts w:ascii="Palatino" w:eastAsia="Droid Serif" w:hAnsi="Palatino" w:cstheme="minorHAnsi"/>
        </w:rPr>
        <w:t>.</w:t>
      </w:r>
    </w:p>
    <w:p w14:paraId="4F5946D0" w14:textId="77777777" w:rsidR="008350E6" w:rsidRPr="00630A9E" w:rsidRDefault="008350E6" w:rsidP="008720B6">
      <w:pPr>
        <w:widowControl w:val="0"/>
        <w:ind w:right="-56" w:firstLine="426"/>
        <w:jc w:val="both"/>
        <w:rPr>
          <w:rFonts w:ascii="Palatino" w:eastAsia="Droid Serif" w:hAnsi="Palatino" w:cstheme="minorHAnsi"/>
          <w:highlight w:val="yellow"/>
        </w:rPr>
      </w:pPr>
    </w:p>
    <w:p w14:paraId="2A298BB4" w14:textId="56FC6C6D" w:rsidR="006E6A1B" w:rsidRDefault="00350D6B" w:rsidP="008720B6">
      <w:pPr>
        <w:widowControl w:val="0"/>
        <w:ind w:right="-56"/>
        <w:jc w:val="both"/>
        <w:rPr>
          <w:rFonts w:ascii="Palatino" w:eastAsia="Droid Serif" w:hAnsi="Palatino" w:cstheme="minorHAnsi"/>
          <w:b/>
        </w:rPr>
      </w:pPr>
      <w:r w:rsidRPr="00630A9E">
        <w:rPr>
          <w:rFonts w:ascii="Palatino" w:eastAsia="Droid Serif" w:hAnsi="Palatino" w:cstheme="minorHAnsi"/>
          <w:b/>
        </w:rPr>
        <w:t>Models</w:t>
      </w:r>
      <w:r w:rsidR="003D3171">
        <w:rPr>
          <w:rFonts w:ascii="Palatino" w:eastAsia="Droid Serif" w:hAnsi="Palatino" w:cstheme="minorHAnsi"/>
          <w:b/>
        </w:rPr>
        <w:t xml:space="preserve"> of Justification</w:t>
      </w:r>
    </w:p>
    <w:p w14:paraId="1A3167BE" w14:textId="77777777" w:rsidR="001B5972" w:rsidRPr="00630A9E" w:rsidRDefault="001B5972" w:rsidP="008720B6">
      <w:pPr>
        <w:widowControl w:val="0"/>
        <w:ind w:right="-56" w:firstLine="426"/>
        <w:jc w:val="both"/>
        <w:rPr>
          <w:rFonts w:ascii="Palatino" w:eastAsia="Droid Serif" w:hAnsi="Palatino" w:cstheme="minorHAnsi"/>
          <w:b/>
        </w:rPr>
      </w:pPr>
    </w:p>
    <w:p w14:paraId="110A6B14" w14:textId="57A2C2F8" w:rsidR="001C17DD" w:rsidRPr="00630A9E" w:rsidRDefault="006E6A1B" w:rsidP="008720B6">
      <w:pPr>
        <w:widowControl w:val="0"/>
        <w:ind w:right="-56"/>
        <w:jc w:val="both"/>
        <w:rPr>
          <w:rFonts w:ascii="Palatino" w:eastAsia="Droid Serif" w:hAnsi="Palatino" w:cstheme="minorHAnsi"/>
        </w:rPr>
      </w:pPr>
      <w:r w:rsidRPr="00630A9E">
        <w:rPr>
          <w:rFonts w:ascii="Palatino" w:eastAsia="Droid Serif" w:hAnsi="Palatino" w:cstheme="minorHAnsi"/>
        </w:rPr>
        <w:t>Taking th</w:t>
      </w:r>
      <w:r w:rsidR="003A4556" w:rsidRPr="00630A9E">
        <w:rPr>
          <w:rFonts w:ascii="Palatino" w:eastAsia="Droid Serif" w:hAnsi="Palatino" w:cstheme="minorHAnsi"/>
        </w:rPr>
        <w:t xml:space="preserve">e </w:t>
      </w:r>
      <w:r w:rsidR="00746115">
        <w:rPr>
          <w:rFonts w:ascii="Palatino" w:eastAsia="Droid Serif" w:hAnsi="Palatino" w:cstheme="minorHAnsi"/>
        </w:rPr>
        <w:t>conveyance</w:t>
      </w:r>
      <w:r w:rsidR="003A4556" w:rsidRPr="00630A9E">
        <w:rPr>
          <w:rFonts w:ascii="Palatino" w:eastAsia="Droid Serif" w:hAnsi="Palatino" w:cstheme="minorHAnsi"/>
        </w:rPr>
        <w:t xml:space="preserve"> </w:t>
      </w:r>
      <w:r w:rsidR="00FC04A4">
        <w:rPr>
          <w:rFonts w:ascii="Palatino" w:eastAsia="Droid Serif" w:hAnsi="Palatino" w:cstheme="minorHAnsi"/>
        </w:rPr>
        <w:t xml:space="preserve">and agonistic </w:t>
      </w:r>
      <w:r w:rsidR="003A4556" w:rsidRPr="00630A9E">
        <w:rPr>
          <w:rFonts w:ascii="Palatino" w:eastAsia="Droid Serif" w:hAnsi="Palatino" w:cstheme="minorHAnsi"/>
        </w:rPr>
        <w:t>theor</w:t>
      </w:r>
      <w:r w:rsidR="00FC04A4">
        <w:rPr>
          <w:rFonts w:ascii="Palatino" w:eastAsia="Droid Serif" w:hAnsi="Palatino" w:cstheme="minorHAnsi"/>
        </w:rPr>
        <w:t>ies</w:t>
      </w:r>
      <w:r w:rsidR="003A4556" w:rsidRPr="00630A9E">
        <w:rPr>
          <w:rFonts w:ascii="Palatino" w:eastAsia="Droid Serif" w:hAnsi="Palatino" w:cstheme="minorHAnsi"/>
        </w:rPr>
        <w:t xml:space="preserve"> </w:t>
      </w:r>
      <w:r w:rsidRPr="00630A9E">
        <w:rPr>
          <w:rFonts w:ascii="Palatino" w:eastAsia="Droid Serif" w:hAnsi="Palatino" w:cstheme="minorHAnsi"/>
        </w:rPr>
        <w:t>as point</w:t>
      </w:r>
      <w:r w:rsidR="00FC04A4">
        <w:rPr>
          <w:rFonts w:ascii="Palatino" w:eastAsia="Droid Serif" w:hAnsi="Palatino" w:cstheme="minorHAnsi"/>
        </w:rPr>
        <w:t>s</w:t>
      </w:r>
      <w:r w:rsidRPr="00630A9E">
        <w:rPr>
          <w:rFonts w:ascii="Palatino" w:eastAsia="Droid Serif" w:hAnsi="Palatino" w:cstheme="minorHAnsi"/>
        </w:rPr>
        <w:t xml:space="preserve"> of departure, we are now in a place to think about the different kinds of </w:t>
      </w:r>
      <w:r w:rsidR="00C83610" w:rsidRPr="00630A9E">
        <w:rPr>
          <w:rFonts w:ascii="Palatino" w:eastAsia="Droid Serif" w:hAnsi="Palatino" w:cstheme="minorHAnsi"/>
        </w:rPr>
        <w:t>models</w:t>
      </w:r>
      <w:r w:rsidRPr="00630A9E">
        <w:rPr>
          <w:rFonts w:ascii="Palatino" w:eastAsia="Droid Serif" w:hAnsi="Palatino" w:cstheme="minorHAnsi"/>
        </w:rPr>
        <w:t xml:space="preserve"> that would account for the nature of </w:t>
      </w:r>
      <w:r w:rsidR="00C83610" w:rsidRPr="00630A9E">
        <w:rPr>
          <w:rFonts w:ascii="Palatino" w:eastAsia="Droid Serif" w:hAnsi="Palatino" w:cstheme="minorHAnsi"/>
        </w:rPr>
        <w:t>the</w:t>
      </w:r>
      <w:r w:rsidRPr="00630A9E">
        <w:rPr>
          <w:rFonts w:ascii="Palatino" w:eastAsia="Droid Serif" w:hAnsi="Palatino" w:cstheme="minorHAnsi"/>
        </w:rPr>
        <w:t xml:space="preserve"> </w:t>
      </w:r>
      <w:r w:rsidR="00A07985" w:rsidRPr="00630A9E">
        <w:rPr>
          <w:rFonts w:ascii="Palatino" w:eastAsia="Droid Serif" w:hAnsi="Palatino" w:cstheme="minorHAnsi"/>
        </w:rPr>
        <w:t>reasonable</w:t>
      </w:r>
      <w:r w:rsidRPr="00630A9E">
        <w:rPr>
          <w:rFonts w:ascii="Palatino" w:eastAsia="Droid Serif" w:hAnsi="Palatino" w:cstheme="minorHAnsi"/>
        </w:rPr>
        <w:t xml:space="preserve"> belief that operates in (</w:t>
      </w:r>
      <w:r w:rsidRPr="00630A9E">
        <w:rPr>
          <w:rFonts w:ascii="Palatino" w:eastAsia="Droid Serif" w:hAnsi="Palatino" w:cstheme="minorHAnsi"/>
          <w:b/>
          <w:u w:val="single"/>
        </w:rPr>
        <w:t>2</w:t>
      </w:r>
      <w:r w:rsidRPr="00630A9E">
        <w:rPr>
          <w:rFonts w:ascii="Palatino" w:eastAsia="Droid Serif" w:hAnsi="Palatino" w:cstheme="minorHAnsi"/>
        </w:rPr>
        <w:t>)</w:t>
      </w:r>
      <w:r w:rsidR="00FC04A4">
        <w:rPr>
          <w:rFonts w:ascii="Palatino" w:eastAsia="Droid Serif" w:hAnsi="Palatino" w:cstheme="minorHAnsi"/>
        </w:rPr>
        <w:t xml:space="preserve"> and (</w:t>
      </w:r>
      <w:r w:rsidR="00FC04A4" w:rsidRPr="00FC04A4">
        <w:rPr>
          <w:rFonts w:ascii="Palatino" w:eastAsia="Droid Serif" w:hAnsi="Palatino" w:cstheme="minorHAnsi"/>
          <w:b/>
          <w:u w:val="single"/>
        </w:rPr>
        <w:t>2’</w:t>
      </w:r>
      <w:r w:rsidR="00FC04A4">
        <w:rPr>
          <w:rFonts w:ascii="Palatino" w:eastAsia="Droid Serif" w:hAnsi="Palatino" w:cstheme="minorHAnsi"/>
        </w:rPr>
        <w:t>)</w:t>
      </w:r>
      <w:r w:rsidR="00C83610" w:rsidRPr="00630A9E">
        <w:rPr>
          <w:rFonts w:ascii="Palatino" w:eastAsia="Droid Serif" w:hAnsi="Palatino" w:cstheme="minorHAnsi"/>
        </w:rPr>
        <w:t>.</w:t>
      </w:r>
    </w:p>
    <w:p w14:paraId="62A48C4C" w14:textId="5DA72C8E" w:rsidR="006E6A1B" w:rsidRPr="00630A9E" w:rsidRDefault="006E6A1B" w:rsidP="008720B6">
      <w:pPr>
        <w:widowControl w:val="0"/>
        <w:ind w:right="-56" w:firstLine="426"/>
        <w:jc w:val="both"/>
        <w:rPr>
          <w:rFonts w:ascii="Palatino" w:eastAsia="Droid Serif" w:hAnsi="Palatino" w:cstheme="minorHAnsi"/>
        </w:rPr>
      </w:pPr>
    </w:p>
    <w:p w14:paraId="71652178" w14:textId="1A672C7C" w:rsidR="006E6A1B" w:rsidRPr="00630A9E" w:rsidRDefault="006E6A1B" w:rsidP="008720B6">
      <w:pPr>
        <w:pStyle w:val="ListParagraph"/>
        <w:widowControl w:val="0"/>
        <w:numPr>
          <w:ilvl w:val="0"/>
          <w:numId w:val="14"/>
        </w:numPr>
        <w:ind w:left="0" w:right="-56" w:firstLine="426"/>
        <w:jc w:val="both"/>
        <w:rPr>
          <w:rFonts w:ascii="Palatino" w:eastAsia="Droid Serif" w:hAnsi="Palatino" w:cstheme="minorHAnsi"/>
          <w:i/>
        </w:rPr>
      </w:pPr>
      <w:r w:rsidRPr="00630A9E">
        <w:rPr>
          <w:rFonts w:ascii="Palatino" w:eastAsia="Droid Serif" w:hAnsi="Palatino" w:cstheme="minorHAnsi"/>
        </w:rPr>
        <w:t xml:space="preserve">SPREAD </w:t>
      </w:r>
      <w:r w:rsidR="00B835F1" w:rsidRPr="00630A9E">
        <w:rPr>
          <w:rFonts w:ascii="Palatino" w:eastAsia="Droid Serif" w:hAnsi="Palatino" w:cstheme="minorHAnsi"/>
        </w:rPr>
        <w:t>MODEL</w:t>
      </w:r>
      <w:r w:rsidRPr="00630A9E">
        <w:rPr>
          <w:rFonts w:ascii="Palatino" w:eastAsia="Droid Serif" w:hAnsi="Palatino" w:cstheme="minorHAnsi"/>
          <w:i/>
        </w:rPr>
        <w:t xml:space="preserve">: </w:t>
      </w:r>
      <w:r w:rsidR="00754C0C" w:rsidRPr="00630A9E">
        <w:rPr>
          <w:rFonts w:ascii="Palatino" w:eastAsia="Droid Serif" w:hAnsi="Palatino" w:cstheme="minorHAnsi"/>
          <w:i/>
        </w:rPr>
        <w:t xml:space="preserve">good faith </w:t>
      </w:r>
      <w:r w:rsidR="00B835F1" w:rsidRPr="00630A9E">
        <w:rPr>
          <w:rFonts w:ascii="Palatino" w:eastAsia="Droid Serif" w:hAnsi="Palatino" w:cstheme="minorHAnsi"/>
          <w:i/>
        </w:rPr>
        <w:t xml:space="preserve">beliefs are reasonable </w:t>
      </w:r>
      <w:r w:rsidRPr="00630A9E">
        <w:rPr>
          <w:rFonts w:ascii="Palatino" w:eastAsia="Droid Serif" w:hAnsi="Palatino" w:cstheme="minorHAnsi"/>
          <w:i/>
        </w:rPr>
        <w:t>just in case</w:t>
      </w:r>
      <w:r w:rsidR="007F1F7B" w:rsidRPr="00630A9E">
        <w:rPr>
          <w:rFonts w:ascii="Palatino" w:eastAsia="Droid Serif" w:hAnsi="Palatino" w:cstheme="minorHAnsi"/>
          <w:i/>
        </w:rPr>
        <w:t xml:space="preserve"> the subjects find </w:t>
      </w:r>
      <w:r w:rsidR="00B835F1" w:rsidRPr="00630A9E">
        <w:rPr>
          <w:rFonts w:ascii="Palatino" w:eastAsia="Droid Serif" w:hAnsi="Palatino" w:cstheme="minorHAnsi"/>
          <w:i/>
        </w:rPr>
        <w:t>t</w:t>
      </w:r>
      <w:r w:rsidR="00662FC8" w:rsidRPr="00630A9E">
        <w:rPr>
          <w:rFonts w:ascii="Palatino" w:eastAsia="Droid Serif" w:hAnsi="Palatino" w:cstheme="minorHAnsi"/>
          <w:i/>
        </w:rPr>
        <w:t>hat the signs that express the demands of law are close-by.</w:t>
      </w:r>
    </w:p>
    <w:p w14:paraId="0CA0218A" w14:textId="77777777" w:rsidR="003A4556" w:rsidRPr="00630A9E" w:rsidRDefault="003A4556" w:rsidP="008720B6">
      <w:pPr>
        <w:widowControl w:val="0"/>
        <w:ind w:right="-56" w:firstLine="426"/>
        <w:jc w:val="both"/>
        <w:rPr>
          <w:rFonts w:ascii="Palatino" w:hAnsi="Palatino" w:cstheme="minorHAnsi"/>
        </w:rPr>
      </w:pPr>
    </w:p>
    <w:p w14:paraId="120AF932" w14:textId="1466F6A5" w:rsidR="006E6A1B" w:rsidRPr="00630A9E" w:rsidRDefault="003A4556" w:rsidP="008720B6">
      <w:pPr>
        <w:widowControl w:val="0"/>
        <w:ind w:right="-56" w:firstLine="426"/>
        <w:jc w:val="both"/>
        <w:rPr>
          <w:rFonts w:ascii="Palatino" w:hAnsi="Palatino" w:cstheme="minorHAnsi"/>
        </w:rPr>
      </w:pPr>
      <w:r w:rsidRPr="00630A9E">
        <w:rPr>
          <w:rFonts w:ascii="Palatino" w:hAnsi="Palatino" w:cstheme="minorHAnsi"/>
        </w:rPr>
        <w:t>This</w:t>
      </w:r>
      <w:r w:rsidR="006E6A1B" w:rsidRPr="00630A9E">
        <w:rPr>
          <w:rFonts w:ascii="Palatino" w:hAnsi="Palatino" w:cstheme="minorHAnsi"/>
        </w:rPr>
        <w:t xml:space="preserve"> view belongs at least in rough outlines to Jeremy Bentham.</w:t>
      </w:r>
      <w:r w:rsidR="0006353F" w:rsidRPr="00630A9E">
        <w:rPr>
          <w:rStyle w:val="FootnoteReference"/>
          <w:rFonts w:ascii="Palatino" w:hAnsi="Palatino" w:cstheme="minorHAnsi"/>
        </w:rPr>
        <w:footnoteReference w:id="38"/>
      </w:r>
      <w:r w:rsidR="006E6A1B" w:rsidRPr="00630A9E">
        <w:rPr>
          <w:rFonts w:ascii="Palatino" w:hAnsi="Palatino" w:cstheme="minorHAnsi"/>
        </w:rPr>
        <w:t xml:space="preserve"> </w:t>
      </w:r>
      <w:r w:rsidRPr="00630A9E">
        <w:rPr>
          <w:rFonts w:ascii="Palatino" w:hAnsi="Palatino" w:cstheme="minorHAnsi"/>
        </w:rPr>
        <w:t>On</w:t>
      </w:r>
      <w:r w:rsidR="006E6A1B" w:rsidRPr="00630A9E">
        <w:rPr>
          <w:rFonts w:ascii="Palatino" w:hAnsi="Palatino" w:cstheme="minorHAnsi"/>
        </w:rPr>
        <w:t xml:space="preserve"> this</w:t>
      </w:r>
      <w:r w:rsidRPr="00630A9E">
        <w:rPr>
          <w:rFonts w:ascii="Palatino" w:hAnsi="Palatino" w:cstheme="minorHAnsi"/>
        </w:rPr>
        <w:t xml:space="preserve"> very demanding</w:t>
      </w:r>
      <w:r w:rsidR="006E6A1B" w:rsidRPr="00630A9E">
        <w:rPr>
          <w:rFonts w:ascii="Palatino" w:hAnsi="Palatino" w:cstheme="minorHAnsi"/>
        </w:rPr>
        <w:t xml:space="preserve"> </w:t>
      </w:r>
      <w:r w:rsidRPr="00630A9E">
        <w:rPr>
          <w:rFonts w:ascii="Palatino" w:hAnsi="Palatino" w:cstheme="minorHAnsi"/>
        </w:rPr>
        <w:t>model of a legal environment</w:t>
      </w:r>
      <w:r w:rsidR="006E6A1B" w:rsidRPr="00630A9E">
        <w:rPr>
          <w:rFonts w:ascii="Palatino" w:hAnsi="Palatino" w:cstheme="minorHAnsi"/>
        </w:rPr>
        <w:t xml:space="preserve">, </w:t>
      </w:r>
      <w:r w:rsidR="00E03CF6" w:rsidRPr="00630A9E">
        <w:rPr>
          <w:rFonts w:ascii="Palatino" w:hAnsi="Palatino" w:cstheme="minorHAnsi"/>
        </w:rPr>
        <w:t xml:space="preserve">a system of </w:t>
      </w:r>
      <w:r w:rsidR="00EE1738" w:rsidRPr="00630A9E">
        <w:rPr>
          <w:rFonts w:ascii="Palatino" w:hAnsi="Palatino" w:cstheme="minorHAnsi"/>
        </w:rPr>
        <w:t>law</w:t>
      </w:r>
      <w:r w:rsidR="006E6A1B" w:rsidRPr="00630A9E">
        <w:rPr>
          <w:rFonts w:ascii="Palatino" w:hAnsi="Palatino" w:cstheme="minorHAnsi"/>
        </w:rPr>
        <w:t xml:space="preserve"> </w:t>
      </w:r>
      <w:r w:rsidR="00E03CF6" w:rsidRPr="00630A9E">
        <w:rPr>
          <w:rFonts w:ascii="Palatino" w:hAnsi="Palatino" w:cstheme="minorHAnsi"/>
        </w:rPr>
        <w:t>has shown respect for the people just in case</w:t>
      </w:r>
      <w:r w:rsidR="006E6A1B" w:rsidRPr="00630A9E">
        <w:rPr>
          <w:rFonts w:ascii="Palatino" w:hAnsi="Palatino" w:cstheme="minorHAnsi"/>
        </w:rPr>
        <w:t xml:space="preserve"> </w:t>
      </w:r>
      <w:r w:rsidR="00E03CF6" w:rsidRPr="00630A9E">
        <w:rPr>
          <w:rFonts w:ascii="Palatino" w:hAnsi="Palatino" w:cstheme="minorHAnsi"/>
        </w:rPr>
        <w:t>its</w:t>
      </w:r>
      <w:r w:rsidR="006E6A1B" w:rsidRPr="00630A9E">
        <w:rPr>
          <w:rFonts w:ascii="Palatino" w:hAnsi="Palatino" w:cstheme="minorHAnsi"/>
        </w:rPr>
        <w:t xml:space="preserve"> rules have</w:t>
      </w:r>
      <w:r w:rsidR="00E03CF6" w:rsidRPr="00630A9E">
        <w:rPr>
          <w:rFonts w:ascii="Palatino" w:hAnsi="Palatino" w:cstheme="minorHAnsi"/>
        </w:rPr>
        <w:t xml:space="preserve"> been</w:t>
      </w:r>
      <w:r w:rsidR="006E6A1B" w:rsidRPr="00630A9E">
        <w:rPr>
          <w:rFonts w:ascii="Palatino" w:hAnsi="Palatino" w:cstheme="minorHAnsi"/>
        </w:rPr>
        <w:t xml:space="preserve"> </w:t>
      </w:r>
      <w:r w:rsidR="006E6A1B" w:rsidRPr="00630A9E">
        <w:rPr>
          <w:rFonts w:ascii="Palatino" w:hAnsi="Palatino" w:cstheme="minorHAnsi"/>
          <w:i/>
        </w:rPr>
        <w:t>spread</w:t>
      </w:r>
      <w:r w:rsidR="00F70BDE" w:rsidRPr="00630A9E">
        <w:rPr>
          <w:rFonts w:ascii="Palatino" w:hAnsi="Palatino" w:cstheme="minorHAnsi"/>
          <w:i/>
        </w:rPr>
        <w:t xml:space="preserve"> </w:t>
      </w:r>
      <w:r w:rsidR="00F70BDE" w:rsidRPr="00630A9E">
        <w:rPr>
          <w:rFonts w:ascii="Palatino" w:hAnsi="Palatino" w:cstheme="minorHAnsi"/>
        </w:rPr>
        <w:t xml:space="preserve">across </w:t>
      </w:r>
      <w:r w:rsidR="00E03CF6" w:rsidRPr="00630A9E">
        <w:rPr>
          <w:rFonts w:ascii="Palatino" w:hAnsi="Palatino" w:cstheme="minorHAnsi"/>
        </w:rPr>
        <w:t>the</w:t>
      </w:r>
      <w:r w:rsidR="00F70BDE" w:rsidRPr="00630A9E">
        <w:rPr>
          <w:rFonts w:ascii="Palatino" w:hAnsi="Palatino" w:cstheme="minorHAnsi"/>
        </w:rPr>
        <w:t xml:space="preserve"> population</w:t>
      </w:r>
      <w:r w:rsidR="00E03CF6" w:rsidRPr="00630A9E">
        <w:rPr>
          <w:rFonts w:ascii="Palatino" w:hAnsi="Palatino" w:cstheme="minorHAnsi"/>
        </w:rPr>
        <w:t>, intelligible without the need of any human intermediary</w:t>
      </w:r>
      <w:r w:rsidR="006E6A1B" w:rsidRPr="00630A9E">
        <w:rPr>
          <w:rFonts w:ascii="Palatino" w:hAnsi="Palatino" w:cstheme="minorHAnsi"/>
        </w:rPr>
        <w:t>.</w:t>
      </w:r>
      <w:r w:rsidR="00E03CF6" w:rsidRPr="00630A9E">
        <w:rPr>
          <w:rStyle w:val="FootnoteReference"/>
          <w:rFonts w:ascii="Palatino" w:hAnsi="Palatino" w:cstheme="minorHAnsi"/>
        </w:rPr>
        <w:footnoteReference w:id="39"/>
      </w:r>
      <w:r w:rsidR="006E6A1B" w:rsidRPr="00630A9E">
        <w:rPr>
          <w:rFonts w:ascii="Palatino" w:hAnsi="Palatino" w:cstheme="minorHAnsi"/>
        </w:rPr>
        <w:t xml:space="preserve"> Call this ‘</w:t>
      </w:r>
      <w:r w:rsidR="006E6A1B" w:rsidRPr="00630A9E">
        <w:rPr>
          <w:rFonts w:ascii="Palatino" w:hAnsi="Palatino" w:cstheme="minorHAnsi"/>
          <w:i/>
        </w:rPr>
        <w:t>spread</w:t>
      </w:r>
      <w:r w:rsidR="00635214" w:rsidRPr="00630A9E">
        <w:rPr>
          <w:rFonts w:ascii="Palatino" w:hAnsi="Palatino" w:cstheme="minorHAnsi"/>
          <w:i/>
        </w:rPr>
        <w:t xml:space="preserve"> model</w:t>
      </w:r>
      <w:r w:rsidR="006E6A1B" w:rsidRPr="00630A9E">
        <w:rPr>
          <w:rFonts w:ascii="Palatino" w:hAnsi="Palatino" w:cstheme="minorHAnsi"/>
          <w:i/>
        </w:rPr>
        <w:t>’</w:t>
      </w:r>
      <w:r w:rsidR="006E6A1B" w:rsidRPr="00630A9E">
        <w:rPr>
          <w:rFonts w:ascii="Palatino" w:hAnsi="Palatino" w:cstheme="minorHAnsi"/>
        </w:rPr>
        <w:t xml:space="preserve">. </w:t>
      </w:r>
      <w:r w:rsidR="00D85E27" w:rsidRPr="00630A9E">
        <w:rPr>
          <w:rFonts w:ascii="Palatino" w:hAnsi="Palatino" w:cstheme="minorHAnsi"/>
        </w:rPr>
        <w:t>O</w:t>
      </w:r>
      <w:r w:rsidR="00F70BDE" w:rsidRPr="00630A9E">
        <w:rPr>
          <w:rFonts w:ascii="Palatino" w:hAnsi="Palatino" w:cstheme="minorHAnsi"/>
        </w:rPr>
        <w:t>n this account, p</w:t>
      </w:r>
      <w:r w:rsidR="006E6A1B" w:rsidRPr="00630A9E">
        <w:rPr>
          <w:rFonts w:ascii="Palatino" w:hAnsi="Palatino" w:cstheme="minorHAnsi"/>
        </w:rPr>
        <w:t xml:space="preserve">romulgation of law requires nothing less than a comprehensive </w:t>
      </w:r>
      <w:r w:rsidR="00D85E27" w:rsidRPr="00630A9E">
        <w:rPr>
          <w:rFonts w:ascii="Palatino" w:hAnsi="Palatino" w:cstheme="minorHAnsi"/>
        </w:rPr>
        <w:t>symbolling system</w:t>
      </w:r>
      <w:r w:rsidR="006E6A1B" w:rsidRPr="00630A9E">
        <w:rPr>
          <w:rFonts w:ascii="Palatino" w:hAnsi="Palatino" w:cstheme="minorHAnsi"/>
        </w:rPr>
        <w:t xml:space="preserve">, where the laypeople are </w:t>
      </w:r>
      <w:r w:rsidR="00F70BDE" w:rsidRPr="00630A9E">
        <w:rPr>
          <w:rFonts w:ascii="Palatino" w:hAnsi="Palatino" w:cstheme="minorHAnsi"/>
        </w:rPr>
        <w:t xml:space="preserve">directly </w:t>
      </w:r>
      <w:r w:rsidR="006E6A1B" w:rsidRPr="00630A9E">
        <w:rPr>
          <w:rFonts w:ascii="Palatino" w:hAnsi="Palatino" w:cstheme="minorHAnsi"/>
        </w:rPr>
        <w:t xml:space="preserve">presented with the </w:t>
      </w:r>
      <w:r w:rsidR="00D85E27" w:rsidRPr="00630A9E">
        <w:rPr>
          <w:rFonts w:ascii="Palatino" w:hAnsi="Palatino" w:cstheme="minorHAnsi"/>
        </w:rPr>
        <w:t xml:space="preserve">general </w:t>
      </w:r>
      <w:r w:rsidR="006E6A1B" w:rsidRPr="00630A9E">
        <w:rPr>
          <w:rFonts w:ascii="Palatino" w:hAnsi="Palatino" w:cstheme="minorHAnsi"/>
        </w:rPr>
        <w:t>foundational maxims or principles of law</w:t>
      </w:r>
      <w:r w:rsidR="00D85E27" w:rsidRPr="00630A9E">
        <w:rPr>
          <w:rFonts w:ascii="Palatino" w:hAnsi="Palatino" w:cstheme="minorHAnsi"/>
        </w:rPr>
        <w:t>, and where particular laws (and their rationales) are advertised in salient contexts</w:t>
      </w:r>
      <w:r w:rsidR="006E6A1B" w:rsidRPr="00630A9E">
        <w:rPr>
          <w:rFonts w:ascii="Palatino" w:hAnsi="Palatino" w:cstheme="minorHAnsi"/>
        </w:rPr>
        <w:t xml:space="preserve">. On this view, a </w:t>
      </w:r>
      <w:r w:rsidR="00F70BDE" w:rsidRPr="00630A9E">
        <w:rPr>
          <w:rFonts w:ascii="Palatino" w:hAnsi="Palatino" w:cstheme="minorHAnsi"/>
        </w:rPr>
        <w:t>significant</w:t>
      </w:r>
      <w:r w:rsidR="006E6A1B" w:rsidRPr="00630A9E">
        <w:rPr>
          <w:rFonts w:ascii="Palatino" w:hAnsi="Palatino" w:cstheme="minorHAnsi"/>
        </w:rPr>
        <w:t xml:space="preserve"> distance exists between the conditions of good faith and the standard of justification, such that </w:t>
      </w:r>
      <w:r w:rsidR="00D85E27" w:rsidRPr="00630A9E">
        <w:rPr>
          <w:rFonts w:ascii="Palatino" w:hAnsi="Palatino" w:cstheme="minorHAnsi"/>
        </w:rPr>
        <w:t xml:space="preserve">must be </w:t>
      </w:r>
      <w:r w:rsidR="006E6A1B" w:rsidRPr="00630A9E">
        <w:rPr>
          <w:rFonts w:ascii="Palatino" w:hAnsi="Palatino" w:cstheme="minorHAnsi"/>
        </w:rPr>
        <w:t>covered by the evidence.</w:t>
      </w:r>
      <w:r w:rsidR="00F70BDE" w:rsidRPr="00630A9E">
        <w:rPr>
          <w:rFonts w:ascii="Palatino" w:hAnsi="Palatino" w:cstheme="minorHAnsi"/>
        </w:rPr>
        <w:t xml:space="preserve"> </w:t>
      </w:r>
      <w:r w:rsidR="00D85E27" w:rsidRPr="00630A9E">
        <w:rPr>
          <w:rFonts w:ascii="Palatino" w:hAnsi="Palatino" w:cstheme="minorHAnsi"/>
        </w:rPr>
        <w:t>Anything</w:t>
      </w:r>
      <w:r w:rsidR="00F70BDE" w:rsidRPr="00630A9E">
        <w:rPr>
          <w:rFonts w:ascii="Palatino" w:hAnsi="Palatino" w:cstheme="minorHAnsi"/>
        </w:rPr>
        <w:t xml:space="preserve"> </w:t>
      </w:r>
      <w:r w:rsidR="00D85E27" w:rsidRPr="00630A9E">
        <w:rPr>
          <w:rFonts w:ascii="Palatino" w:hAnsi="Palatino" w:cstheme="minorHAnsi"/>
        </w:rPr>
        <w:t>less than that</w:t>
      </w:r>
      <w:r w:rsidR="00F70BDE" w:rsidRPr="00630A9E">
        <w:rPr>
          <w:rFonts w:ascii="Palatino" w:hAnsi="Palatino" w:cstheme="minorHAnsi"/>
        </w:rPr>
        <w:t xml:space="preserve"> </w:t>
      </w:r>
      <w:r w:rsidR="00D85E27" w:rsidRPr="00630A9E">
        <w:rPr>
          <w:rFonts w:ascii="Palatino" w:hAnsi="Palatino" w:cstheme="minorHAnsi"/>
        </w:rPr>
        <w:t>would be</w:t>
      </w:r>
      <w:r w:rsidR="007B4686" w:rsidRPr="00630A9E">
        <w:rPr>
          <w:rFonts w:ascii="Palatino" w:hAnsi="Palatino" w:cstheme="minorHAnsi"/>
        </w:rPr>
        <w:t xml:space="preserve"> unreasonable, on this view. </w:t>
      </w:r>
      <w:r w:rsidR="007B4686" w:rsidRPr="00630A9E">
        <w:rPr>
          <w:rFonts w:ascii="Palatino" w:eastAsia="Droid Serif" w:hAnsi="Palatino" w:cstheme="minorHAnsi"/>
        </w:rPr>
        <w:t>The system is Protestant in spirit, as the citizen has unmediated access to the general demands of the sovereign office.</w:t>
      </w:r>
    </w:p>
    <w:p w14:paraId="540484F5" w14:textId="6927AE58" w:rsidR="006E6A1B" w:rsidRPr="00630A9E" w:rsidRDefault="006E6A1B" w:rsidP="008720B6">
      <w:pPr>
        <w:widowControl w:val="0"/>
        <w:ind w:right="-56" w:firstLine="426"/>
        <w:jc w:val="both"/>
        <w:rPr>
          <w:rFonts w:ascii="Palatino" w:hAnsi="Palatino" w:cstheme="minorHAnsi"/>
        </w:rPr>
      </w:pPr>
      <w:r w:rsidRPr="00630A9E">
        <w:rPr>
          <w:rFonts w:ascii="Palatino" w:hAnsi="Palatino" w:cstheme="minorHAnsi"/>
        </w:rPr>
        <w:t xml:space="preserve">On </w:t>
      </w:r>
      <w:r w:rsidR="00F70BDE" w:rsidRPr="00630A9E">
        <w:rPr>
          <w:rFonts w:ascii="Palatino" w:hAnsi="Palatino" w:cstheme="minorHAnsi"/>
        </w:rPr>
        <w:t>the spread model</w:t>
      </w:r>
      <w:r w:rsidRPr="00630A9E">
        <w:rPr>
          <w:rFonts w:ascii="Palatino" w:hAnsi="Palatino" w:cstheme="minorHAnsi"/>
        </w:rPr>
        <w:t>, assuming that evidence in itself does not do much to bridge the gap, we have access to law just in case the following contextual features succeed:</w:t>
      </w:r>
    </w:p>
    <w:p w14:paraId="3BD647EB" w14:textId="77777777" w:rsidR="006E6A1B" w:rsidRPr="00630A9E" w:rsidRDefault="006E6A1B" w:rsidP="008720B6">
      <w:pPr>
        <w:widowControl w:val="0"/>
        <w:ind w:right="-56" w:firstLine="426"/>
        <w:jc w:val="both"/>
        <w:rPr>
          <w:rFonts w:ascii="Palatino" w:hAnsi="Palatino" w:cstheme="minorHAnsi"/>
        </w:rPr>
      </w:pPr>
    </w:p>
    <w:p w14:paraId="4DAFFB45" w14:textId="563A0DB4" w:rsidR="00C82F79" w:rsidRPr="00C82F79" w:rsidRDefault="00C82F79" w:rsidP="008720B6">
      <w:pPr>
        <w:pStyle w:val="ListParagraph"/>
        <w:widowControl w:val="0"/>
        <w:numPr>
          <w:ilvl w:val="0"/>
          <w:numId w:val="3"/>
        </w:numPr>
        <w:ind w:left="0" w:right="-56" w:firstLine="426"/>
        <w:jc w:val="both"/>
        <w:rPr>
          <w:rFonts w:ascii="Palatino" w:eastAsia="Times New Roman" w:hAnsi="Palatino" w:cstheme="minorHAnsi"/>
        </w:rPr>
      </w:pPr>
      <w:r>
        <w:rPr>
          <w:rFonts w:ascii="Palatino" w:eastAsia="Times New Roman" w:hAnsi="Palatino" w:cstheme="minorHAnsi"/>
        </w:rPr>
        <w:t xml:space="preserve">Enough </w:t>
      </w:r>
      <w:r w:rsidRPr="00C82F79">
        <w:rPr>
          <w:rFonts w:ascii="Palatino" w:eastAsia="Times New Roman" w:hAnsi="Palatino" w:cstheme="minorHAnsi"/>
          <w:i/>
        </w:rPr>
        <w:t>stakeholders</w:t>
      </w:r>
      <w:r>
        <w:rPr>
          <w:rFonts w:ascii="Palatino" w:eastAsia="Times New Roman" w:hAnsi="Palatino" w:cstheme="minorHAnsi"/>
        </w:rPr>
        <w:t xml:space="preserve"> (s) have signs close-by;</w:t>
      </w:r>
    </w:p>
    <w:p w14:paraId="19EB2B7F" w14:textId="48B4CEC6" w:rsidR="006E6A1B" w:rsidRPr="00630A9E" w:rsidRDefault="006E6A1B" w:rsidP="008720B6">
      <w:pPr>
        <w:widowControl w:val="0"/>
        <w:numPr>
          <w:ilvl w:val="0"/>
          <w:numId w:val="3"/>
        </w:numPr>
        <w:ind w:left="0" w:right="-56" w:firstLine="426"/>
        <w:jc w:val="both"/>
        <w:rPr>
          <w:rFonts w:ascii="Palatino" w:eastAsia="Droid Serif" w:hAnsi="Palatino" w:cstheme="minorHAnsi"/>
        </w:rPr>
      </w:pPr>
      <w:r w:rsidRPr="00630A9E">
        <w:rPr>
          <w:rFonts w:ascii="Palatino" w:eastAsia="Droid Serif" w:hAnsi="Palatino" w:cstheme="minorHAnsi"/>
        </w:rPr>
        <w:t xml:space="preserve">These </w:t>
      </w:r>
      <w:r w:rsidR="00C82F79">
        <w:rPr>
          <w:rFonts w:ascii="Palatino" w:eastAsia="Droid Serif" w:hAnsi="Palatino" w:cstheme="minorHAnsi"/>
        </w:rPr>
        <w:t>stakeholders</w:t>
      </w:r>
      <w:r w:rsidRPr="00630A9E">
        <w:rPr>
          <w:rFonts w:ascii="Palatino" w:eastAsia="Droid Serif" w:hAnsi="Palatino" w:cstheme="minorHAnsi"/>
        </w:rPr>
        <w:t xml:space="preserve"> operate in a </w:t>
      </w:r>
      <w:r w:rsidR="004436F4" w:rsidRPr="00630A9E">
        <w:rPr>
          <w:rFonts w:ascii="Palatino" w:eastAsia="Droid Serif" w:hAnsi="Palatino" w:cstheme="minorHAnsi"/>
          <w:i/>
        </w:rPr>
        <w:t>normal</w:t>
      </w:r>
      <w:r w:rsidRPr="00630A9E">
        <w:rPr>
          <w:rFonts w:ascii="Palatino" w:eastAsia="Droid Serif" w:hAnsi="Palatino" w:cstheme="minorHAnsi"/>
          <w:i/>
        </w:rPr>
        <w:t xml:space="preserve"> communication environment</w:t>
      </w:r>
      <w:r w:rsidRPr="00630A9E">
        <w:rPr>
          <w:rFonts w:ascii="Palatino" w:eastAsia="Droid Serif" w:hAnsi="Palatino" w:cstheme="minorHAnsi"/>
        </w:rPr>
        <w:t xml:space="preserve"> (n). </w:t>
      </w:r>
    </w:p>
    <w:p w14:paraId="1E847F45" w14:textId="1173D1B5" w:rsidR="00C82F79" w:rsidRPr="00630A9E" w:rsidRDefault="006E6A1B"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br/>
        <w:t xml:space="preserve">Notably, judicial officials have no necessary role in interpreting the law, and the </w:t>
      </w:r>
      <w:r w:rsidR="00D85E27" w:rsidRPr="00630A9E">
        <w:rPr>
          <w:rFonts w:ascii="Palatino" w:eastAsia="Droid Serif" w:hAnsi="Palatino" w:cstheme="minorHAnsi"/>
        </w:rPr>
        <w:t xml:space="preserve">offices </w:t>
      </w:r>
      <w:r w:rsidR="00D85E27" w:rsidRPr="00630A9E">
        <w:rPr>
          <w:rFonts w:ascii="Palatino" w:eastAsia="Droid Serif" w:hAnsi="Palatino" w:cstheme="minorHAnsi"/>
        </w:rPr>
        <w:lastRenderedPageBreak/>
        <w:t>of government</w:t>
      </w:r>
      <w:r w:rsidRPr="00630A9E">
        <w:rPr>
          <w:rFonts w:ascii="Palatino" w:eastAsia="Droid Serif" w:hAnsi="Palatino" w:cstheme="minorHAnsi"/>
        </w:rPr>
        <w:t xml:space="preserve"> have little or no role in dispensing advice concerning the body of laws. Law is promulgated just in case it is, broadly speaking, known.</w:t>
      </w:r>
      <w:r w:rsidR="00C82F79">
        <w:rPr>
          <w:rStyle w:val="FootnoteReference"/>
          <w:rFonts w:ascii="Palatino" w:eastAsia="Droid Serif" w:hAnsi="Palatino" w:cstheme="minorHAnsi"/>
        </w:rPr>
        <w:footnoteReference w:id="40"/>
      </w:r>
      <w:r w:rsidR="005972FE">
        <w:rPr>
          <w:rFonts w:ascii="Palatino" w:eastAsia="Droid Serif" w:hAnsi="Palatino" w:cstheme="minorHAnsi"/>
        </w:rPr>
        <w:t xml:space="preserve"> Although there is perhaps a sense in which discreet and delayed law could still exist, they would differ from properly communicated law as a matter of degree, not kind.</w:t>
      </w:r>
    </w:p>
    <w:p w14:paraId="055409C5" w14:textId="3224E40A" w:rsidR="00BA34EE" w:rsidRPr="00630A9E" w:rsidRDefault="00856D4A"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The spread model demands quite a lot from the government, and helps itself to several normative and explanatory assumptions.</w:t>
      </w:r>
      <w:r w:rsidR="006E6A1B" w:rsidRPr="00630A9E">
        <w:rPr>
          <w:rFonts w:ascii="Palatino" w:eastAsia="Droid Serif" w:hAnsi="Palatino" w:cstheme="minorHAnsi"/>
        </w:rPr>
        <w:t xml:space="preserve"> </w:t>
      </w:r>
      <w:r w:rsidRPr="00630A9E">
        <w:rPr>
          <w:rFonts w:ascii="Palatino" w:eastAsia="Droid Serif" w:hAnsi="Palatino" w:cstheme="minorHAnsi"/>
        </w:rPr>
        <w:t>It</w:t>
      </w:r>
      <w:r w:rsidR="006E6A1B" w:rsidRPr="00630A9E">
        <w:rPr>
          <w:rFonts w:ascii="Palatino" w:eastAsia="Droid Serif" w:hAnsi="Palatino" w:cstheme="minorHAnsi"/>
        </w:rPr>
        <w:t xml:space="preserve"> assume</w:t>
      </w:r>
      <w:r w:rsidRPr="00630A9E">
        <w:rPr>
          <w:rFonts w:ascii="Palatino" w:eastAsia="Droid Serif" w:hAnsi="Palatino" w:cstheme="minorHAnsi"/>
        </w:rPr>
        <w:t>s</w:t>
      </w:r>
      <w:r w:rsidR="006E6A1B" w:rsidRPr="00630A9E">
        <w:rPr>
          <w:rFonts w:ascii="Palatino" w:eastAsia="Droid Serif" w:hAnsi="Palatino" w:cstheme="minorHAnsi"/>
        </w:rPr>
        <w:t xml:space="preserve"> that the codes of the sovereign will </w:t>
      </w:r>
      <w:r w:rsidRPr="00630A9E">
        <w:rPr>
          <w:rFonts w:ascii="Palatino" w:eastAsia="Droid Serif" w:hAnsi="Palatino" w:cstheme="minorHAnsi"/>
        </w:rPr>
        <w:t xml:space="preserve">in fact </w:t>
      </w:r>
      <w:r w:rsidR="006E6A1B" w:rsidRPr="00630A9E">
        <w:rPr>
          <w:rFonts w:ascii="Palatino" w:eastAsia="Droid Serif" w:hAnsi="Palatino" w:cstheme="minorHAnsi"/>
        </w:rPr>
        <w:t xml:space="preserve">be well-reasoned in accordance with the </w:t>
      </w:r>
      <w:r w:rsidR="00C72D03">
        <w:rPr>
          <w:rFonts w:ascii="Palatino" w:eastAsia="Droid Serif" w:hAnsi="Palatino" w:cstheme="minorHAnsi"/>
        </w:rPr>
        <w:t>appropriate</w:t>
      </w:r>
      <w:r w:rsidR="006E6A1B" w:rsidRPr="00630A9E">
        <w:rPr>
          <w:rFonts w:ascii="Palatino" w:eastAsia="Droid Serif" w:hAnsi="Palatino" w:cstheme="minorHAnsi"/>
        </w:rPr>
        <w:t xml:space="preserve"> </w:t>
      </w:r>
      <w:r w:rsidR="00C72D03">
        <w:rPr>
          <w:rFonts w:ascii="Palatino" w:eastAsia="Droid Serif" w:hAnsi="Palatino" w:cstheme="minorHAnsi"/>
        </w:rPr>
        <w:t>theory</w:t>
      </w:r>
      <w:r w:rsidR="006E6A1B" w:rsidRPr="00630A9E">
        <w:rPr>
          <w:rFonts w:ascii="Palatino" w:eastAsia="Droid Serif" w:hAnsi="Palatino" w:cstheme="minorHAnsi"/>
        </w:rPr>
        <w:t xml:space="preserve"> of law</w:t>
      </w:r>
      <w:r w:rsidR="00C72D03">
        <w:rPr>
          <w:rFonts w:ascii="Palatino" w:eastAsia="Droid Serif" w:hAnsi="Palatino" w:cstheme="minorHAnsi"/>
        </w:rPr>
        <w:t xml:space="preserve"> operating in the jurisdiction</w:t>
      </w:r>
      <w:r w:rsidRPr="00630A9E">
        <w:rPr>
          <w:rFonts w:ascii="Palatino" w:eastAsia="Droid Serif" w:hAnsi="Palatino" w:cstheme="minorHAnsi"/>
        </w:rPr>
        <w:t>, in such a way that the dictates of the rulers will more or less protect the expectations of the public</w:t>
      </w:r>
      <w:r w:rsidR="00760B05" w:rsidRPr="00630A9E">
        <w:rPr>
          <w:rFonts w:ascii="Palatino" w:eastAsia="Droid Serif" w:hAnsi="Palatino" w:cstheme="minorHAnsi"/>
        </w:rPr>
        <w:t xml:space="preserve"> (e.g., utilitarian legal positivism, for Bentham), or at least have an intelligible basis in policy or principle.</w:t>
      </w:r>
      <w:r w:rsidRPr="00630A9E">
        <w:rPr>
          <w:rFonts w:ascii="Palatino" w:eastAsia="Droid Serif" w:hAnsi="Palatino" w:cstheme="minorHAnsi"/>
        </w:rPr>
        <w:t xml:space="preserve"> </w:t>
      </w:r>
      <w:r w:rsidR="007B4686" w:rsidRPr="00630A9E">
        <w:rPr>
          <w:rFonts w:ascii="Palatino" w:eastAsia="Droid Serif" w:hAnsi="Palatino" w:cstheme="minorHAnsi"/>
        </w:rPr>
        <w:t xml:space="preserve">That can only be secured by strict </w:t>
      </w:r>
      <w:r w:rsidR="007B4686" w:rsidRPr="00630A9E">
        <w:rPr>
          <w:rFonts w:ascii="Palatino" w:eastAsia="Droid Serif" w:hAnsi="Palatino" w:cstheme="minorHAnsi"/>
          <w:i/>
        </w:rPr>
        <w:t>codification</w:t>
      </w:r>
      <w:r w:rsidR="007B4686" w:rsidRPr="00630A9E">
        <w:rPr>
          <w:rFonts w:ascii="Palatino" w:eastAsia="Droid Serif" w:hAnsi="Palatino" w:cstheme="minorHAnsi"/>
        </w:rPr>
        <w:t xml:space="preserve"> of laws, which (when assembled) must be austere, coherent, and complete. </w:t>
      </w:r>
      <w:r w:rsidR="006E6A1B" w:rsidRPr="00630A9E">
        <w:rPr>
          <w:rFonts w:ascii="Palatino" w:eastAsia="Droid Serif" w:hAnsi="Palatino" w:cstheme="minorHAnsi"/>
        </w:rPr>
        <w:t xml:space="preserve">For another thing, </w:t>
      </w:r>
      <w:r w:rsidRPr="00630A9E">
        <w:rPr>
          <w:rFonts w:ascii="Palatino" w:eastAsia="Droid Serif" w:hAnsi="Palatino" w:cstheme="minorHAnsi"/>
        </w:rPr>
        <w:t>the</w:t>
      </w:r>
      <w:r w:rsidR="007B4686" w:rsidRPr="00630A9E">
        <w:rPr>
          <w:rFonts w:ascii="Palatino" w:eastAsia="Droid Serif" w:hAnsi="Palatino" w:cstheme="minorHAnsi"/>
        </w:rPr>
        <w:t xml:space="preserve"> spread</w:t>
      </w:r>
      <w:r w:rsidRPr="00630A9E">
        <w:rPr>
          <w:rFonts w:ascii="Palatino" w:eastAsia="Droid Serif" w:hAnsi="Palatino" w:cstheme="minorHAnsi"/>
        </w:rPr>
        <w:t xml:space="preserve"> model</w:t>
      </w:r>
      <w:r w:rsidR="006E6A1B" w:rsidRPr="00630A9E">
        <w:rPr>
          <w:rFonts w:ascii="Palatino" w:eastAsia="Droid Serif" w:hAnsi="Palatino" w:cstheme="minorHAnsi"/>
        </w:rPr>
        <w:t xml:space="preserve"> assumes that a settled code will converge upon obvious right answers when a case is inevitably put before the judiciary</w:t>
      </w:r>
      <w:r w:rsidR="00760B05" w:rsidRPr="00630A9E">
        <w:rPr>
          <w:rFonts w:ascii="Palatino" w:eastAsia="Droid Serif" w:hAnsi="Palatino" w:cstheme="minorHAnsi"/>
        </w:rPr>
        <w:t>, in such a way that all hands could acknowledge the correct theory of discernment and recognize how it applies to a case.</w:t>
      </w:r>
      <w:r w:rsidR="006E6A1B" w:rsidRPr="00630A9E">
        <w:rPr>
          <w:rFonts w:ascii="Palatino" w:eastAsia="Droid Serif" w:hAnsi="Palatino" w:cstheme="minorHAnsi"/>
        </w:rPr>
        <w:t xml:space="preserve"> </w:t>
      </w:r>
      <w:r w:rsidR="00760B05" w:rsidRPr="00630A9E">
        <w:rPr>
          <w:rFonts w:ascii="Palatino" w:eastAsia="Droid Serif" w:hAnsi="Palatino" w:cstheme="minorHAnsi"/>
        </w:rPr>
        <w:t xml:space="preserve">Yet, in fact, there is always a </w:t>
      </w:r>
      <w:r w:rsidR="006E6A1B" w:rsidRPr="00630A9E">
        <w:rPr>
          <w:rFonts w:ascii="Palatino" w:eastAsia="Droid Serif" w:hAnsi="Palatino" w:cstheme="minorHAnsi"/>
        </w:rPr>
        <w:t xml:space="preserve">danger of misinterpretation </w:t>
      </w:r>
      <w:r w:rsidR="00760B05" w:rsidRPr="00630A9E">
        <w:rPr>
          <w:rFonts w:ascii="Palatino" w:eastAsia="Droid Serif" w:hAnsi="Palatino" w:cstheme="minorHAnsi"/>
        </w:rPr>
        <w:t>of the rules by the courts, or by the people -- there are no guarantees that popular knowledge of the right theory of interpretation</w:t>
      </w:r>
      <w:r w:rsidR="007B4686" w:rsidRPr="00630A9E">
        <w:rPr>
          <w:rFonts w:ascii="Palatino" w:eastAsia="Droid Serif" w:hAnsi="Palatino" w:cstheme="minorHAnsi"/>
        </w:rPr>
        <w:t xml:space="preserve"> under judicial review</w:t>
      </w:r>
      <w:r w:rsidR="00760B05" w:rsidRPr="00630A9E">
        <w:rPr>
          <w:rFonts w:ascii="Palatino" w:eastAsia="Droid Serif" w:hAnsi="Palatino" w:cstheme="minorHAnsi"/>
        </w:rPr>
        <w:t xml:space="preserve"> will </w:t>
      </w:r>
      <w:r w:rsidR="007B4686" w:rsidRPr="00630A9E">
        <w:rPr>
          <w:rFonts w:ascii="Palatino" w:eastAsia="Droid Serif" w:hAnsi="Palatino" w:cstheme="minorHAnsi"/>
        </w:rPr>
        <w:t>protect anyone’s expectations of what statutes demand</w:t>
      </w:r>
      <w:r w:rsidR="006E6A1B" w:rsidRPr="00630A9E">
        <w:rPr>
          <w:rFonts w:ascii="Palatino" w:eastAsia="Droid Serif" w:hAnsi="Palatino" w:cstheme="minorHAnsi"/>
        </w:rPr>
        <w:t xml:space="preserve">. And, finally, the spread </w:t>
      </w:r>
      <w:r w:rsidR="00F70BDE" w:rsidRPr="00630A9E">
        <w:rPr>
          <w:rFonts w:ascii="Palatino" w:eastAsia="Droid Serif" w:hAnsi="Palatino" w:cstheme="minorHAnsi"/>
        </w:rPr>
        <w:t>model</w:t>
      </w:r>
      <w:r w:rsidR="006E6A1B" w:rsidRPr="00630A9E">
        <w:rPr>
          <w:rFonts w:ascii="Palatino" w:eastAsia="Droid Serif" w:hAnsi="Palatino" w:cstheme="minorHAnsi"/>
        </w:rPr>
        <w:t xml:space="preserve"> </w:t>
      </w:r>
      <w:r w:rsidR="007B4686" w:rsidRPr="00630A9E">
        <w:rPr>
          <w:rFonts w:ascii="Palatino" w:eastAsia="Droid Serif" w:hAnsi="Palatino" w:cstheme="minorHAnsi"/>
        </w:rPr>
        <w:t>provides anyone who is in</w:t>
      </w:r>
      <w:r w:rsidR="006E6A1B" w:rsidRPr="00630A9E">
        <w:rPr>
          <w:rFonts w:ascii="Palatino" w:eastAsia="Droid Serif" w:hAnsi="Palatino" w:cstheme="minorHAnsi"/>
        </w:rPr>
        <w:t xml:space="preserve"> ignorance of the law </w:t>
      </w:r>
      <w:r w:rsidR="007B4686" w:rsidRPr="00630A9E">
        <w:rPr>
          <w:rFonts w:ascii="Palatino" w:eastAsia="Droid Serif" w:hAnsi="Palatino" w:cstheme="minorHAnsi"/>
        </w:rPr>
        <w:t>with a</w:t>
      </w:r>
      <w:r w:rsidR="006E6A1B" w:rsidRPr="00630A9E">
        <w:rPr>
          <w:rFonts w:ascii="Palatino" w:eastAsia="Droid Serif" w:hAnsi="Palatino" w:cstheme="minorHAnsi"/>
        </w:rPr>
        <w:t xml:space="preserve"> legitimate excuse for </w:t>
      </w:r>
      <w:r w:rsidR="007B4686" w:rsidRPr="00630A9E">
        <w:rPr>
          <w:rFonts w:ascii="Palatino" w:eastAsia="Droid Serif" w:hAnsi="Palatino" w:cstheme="minorHAnsi"/>
        </w:rPr>
        <w:t xml:space="preserve">non-compliance, just in case they have </w:t>
      </w:r>
      <w:r w:rsidR="006E6A1B" w:rsidRPr="00630A9E">
        <w:rPr>
          <w:rFonts w:ascii="Palatino" w:eastAsia="Droid Serif" w:hAnsi="Palatino" w:cstheme="minorHAnsi"/>
        </w:rPr>
        <w:t>plausible deniability.</w:t>
      </w:r>
    </w:p>
    <w:p w14:paraId="1782DFFD" w14:textId="33468BA3" w:rsidR="006E6A1B" w:rsidRPr="00630A9E" w:rsidRDefault="00BA34EE"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 xml:space="preserve">There are some reasons why the spread model might be useful in articulating promulgation for a context with respect to some laws. </w:t>
      </w:r>
      <w:r w:rsidR="007A58BA" w:rsidRPr="00630A9E">
        <w:rPr>
          <w:rFonts w:ascii="Palatino" w:eastAsia="Droid Serif" w:hAnsi="Palatino" w:cstheme="minorHAnsi"/>
        </w:rPr>
        <w:t xml:space="preserve">To its credit, the spread </w:t>
      </w:r>
      <w:r w:rsidR="00F70BDE" w:rsidRPr="00630A9E">
        <w:rPr>
          <w:rFonts w:ascii="Palatino" w:eastAsia="Droid Serif" w:hAnsi="Palatino" w:cstheme="minorHAnsi"/>
        </w:rPr>
        <w:t>model</w:t>
      </w:r>
      <w:r w:rsidR="006E6A1B" w:rsidRPr="00630A9E">
        <w:rPr>
          <w:rFonts w:ascii="Palatino" w:eastAsia="Droid Serif" w:hAnsi="Palatino" w:cstheme="minorHAnsi"/>
        </w:rPr>
        <w:t xml:space="preserve"> seem</w:t>
      </w:r>
      <w:r w:rsidR="007A58BA" w:rsidRPr="00630A9E">
        <w:rPr>
          <w:rFonts w:ascii="Palatino" w:eastAsia="Droid Serif" w:hAnsi="Palatino" w:cstheme="minorHAnsi"/>
        </w:rPr>
        <w:t>s</w:t>
      </w:r>
      <w:r w:rsidR="006E6A1B" w:rsidRPr="00630A9E">
        <w:rPr>
          <w:rFonts w:ascii="Palatino" w:eastAsia="Droid Serif" w:hAnsi="Palatino" w:cstheme="minorHAnsi"/>
        </w:rPr>
        <w:t xml:space="preserve"> to</w:t>
      </w:r>
      <w:r w:rsidR="007A58BA" w:rsidRPr="00630A9E">
        <w:rPr>
          <w:rFonts w:ascii="Palatino" w:eastAsia="Droid Serif" w:hAnsi="Palatino" w:cstheme="minorHAnsi"/>
        </w:rPr>
        <w:t xml:space="preserve"> resonates with the idea that a republic ought to be constituted in such a way that it is structured as a </w:t>
      </w:r>
      <w:r w:rsidR="007A58BA" w:rsidRPr="00630A9E">
        <w:rPr>
          <w:rFonts w:ascii="Palatino" w:eastAsia="Droid Serif" w:hAnsi="Palatino" w:cstheme="minorHAnsi"/>
          <w:i/>
        </w:rPr>
        <w:t>nation of laws and not persons</w:t>
      </w:r>
      <w:r w:rsidR="007A58BA" w:rsidRPr="00630A9E">
        <w:rPr>
          <w:rFonts w:ascii="Palatino" w:eastAsia="Droid Serif" w:hAnsi="Palatino" w:cstheme="minorHAnsi"/>
        </w:rPr>
        <w:t xml:space="preserve">, in the sense that its subjects are to be governed by codes which are </w:t>
      </w:r>
      <w:r w:rsidRPr="00630A9E">
        <w:rPr>
          <w:rFonts w:ascii="Palatino" w:eastAsia="Droid Serif" w:hAnsi="Palatino" w:cstheme="minorHAnsi"/>
        </w:rPr>
        <w:t>(</w:t>
      </w:r>
      <w:r w:rsidR="007A58BA" w:rsidRPr="00630A9E">
        <w:rPr>
          <w:rFonts w:ascii="Palatino" w:eastAsia="Droid Serif" w:hAnsi="Palatino" w:cstheme="minorHAnsi"/>
        </w:rPr>
        <w:t xml:space="preserve">in </w:t>
      </w:r>
      <w:r w:rsidRPr="00630A9E">
        <w:rPr>
          <w:rFonts w:ascii="Palatino" w:eastAsia="Droid Serif" w:hAnsi="Palatino" w:cstheme="minorHAnsi"/>
        </w:rPr>
        <w:t>a</w:t>
      </w:r>
      <w:r w:rsidR="007A58BA" w:rsidRPr="00630A9E">
        <w:rPr>
          <w:rFonts w:ascii="Palatino" w:eastAsia="Droid Serif" w:hAnsi="Palatino" w:cstheme="minorHAnsi"/>
        </w:rPr>
        <w:t xml:space="preserve"> sense</w:t>
      </w:r>
      <w:r w:rsidRPr="00630A9E">
        <w:rPr>
          <w:rFonts w:ascii="Palatino" w:eastAsia="Droid Serif" w:hAnsi="Palatino" w:cstheme="minorHAnsi"/>
        </w:rPr>
        <w:t>)</w:t>
      </w:r>
      <w:r w:rsidR="007A58BA" w:rsidRPr="00630A9E">
        <w:rPr>
          <w:rFonts w:ascii="Palatino" w:eastAsia="Droid Serif" w:hAnsi="Palatino" w:cstheme="minorHAnsi"/>
        </w:rPr>
        <w:t xml:space="preserve"> independent of </w:t>
      </w:r>
      <w:r w:rsidR="00C72D03">
        <w:rPr>
          <w:rFonts w:ascii="Palatino" w:eastAsia="Droid Serif" w:hAnsi="Palatino" w:cstheme="minorHAnsi"/>
        </w:rPr>
        <w:t xml:space="preserve">the willful interpretation of </w:t>
      </w:r>
      <w:r w:rsidR="00E03CF6" w:rsidRPr="00630A9E">
        <w:rPr>
          <w:rFonts w:ascii="Palatino" w:eastAsia="Droid Serif" w:hAnsi="Palatino" w:cstheme="minorHAnsi"/>
        </w:rPr>
        <w:t xml:space="preserve">particular </w:t>
      </w:r>
      <w:r w:rsidR="007A58BA" w:rsidRPr="00630A9E">
        <w:rPr>
          <w:rFonts w:ascii="Palatino" w:eastAsia="Droid Serif" w:hAnsi="Palatino" w:cstheme="minorHAnsi"/>
        </w:rPr>
        <w:t>persons.</w:t>
      </w:r>
      <w:r w:rsidR="009410F4" w:rsidRPr="00630A9E">
        <w:rPr>
          <w:rFonts w:ascii="Palatino" w:eastAsia="Droid Serif" w:hAnsi="Palatino" w:cstheme="minorHAnsi"/>
        </w:rPr>
        <w:t xml:space="preserve"> Moreover, for </w:t>
      </w:r>
      <w:r w:rsidR="008548B7" w:rsidRPr="00630A9E">
        <w:rPr>
          <w:rFonts w:ascii="Palatino" w:eastAsia="Droid Serif" w:hAnsi="Palatino" w:cstheme="minorHAnsi"/>
        </w:rPr>
        <w:t>those of us who expect that the value of respect implies a value towards respecting subjects who are epistemically</w:t>
      </w:r>
      <w:r w:rsidR="009410F4" w:rsidRPr="00630A9E">
        <w:rPr>
          <w:rFonts w:ascii="Palatino" w:eastAsia="Droid Serif" w:hAnsi="Palatino" w:cstheme="minorHAnsi"/>
        </w:rPr>
        <w:t xml:space="preserve"> risk-averse</w:t>
      </w:r>
      <w:r w:rsidR="008548B7" w:rsidRPr="00630A9E">
        <w:rPr>
          <w:rFonts w:ascii="Palatino" w:eastAsia="Droid Serif" w:hAnsi="Palatino" w:cstheme="minorHAnsi"/>
        </w:rPr>
        <w:t xml:space="preserve">, this model </w:t>
      </w:r>
      <w:r w:rsidR="00CA41D8" w:rsidRPr="00630A9E">
        <w:rPr>
          <w:rFonts w:ascii="Palatino" w:eastAsia="Droid Serif" w:hAnsi="Palatino" w:cstheme="minorHAnsi"/>
        </w:rPr>
        <w:t>might</w:t>
      </w:r>
      <w:r w:rsidR="008548B7" w:rsidRPr="00630A9E">
        <w:rPr>
          <w:rFonts w:ascii="Palatino" w:eastAsia="Droid Serif" w:hAnsi="Palatino" w:cstheme="minorHAnsi"/>
        </w:rPr>
        <w:t xml:space="preserve"> seem appealing.</w:t>
      </w:r>
    </w:p>
    <w:p w14:paraId="336C87AE" w14:textId="07577D98" w:rsidR="007B4686" w:rsidRPr="00630A9E" w:rsidRDefault="007B4686"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Yet, f</w:t>
      </w:r>
      <w:r w:rsidR="00BA34EE" w:rsidRPr="00630A9E">
        <w:rPr>
          <w:rFonts w:ascii="Palatino" w:eastAsia="Droid Serif" w:hAnsi="Palatino" w:cstheme="minorHAnsi"/>
        </w:rPr>
        <w:t xml:space="preserve">or any </w:t>
      </w:r>
      <w:r w:rsidR="00607E55" w:rsidRPr="00630A9E">
        <w:rPr>
          <w:rFonts w:ascii="Palatino" w:eastAsia="Droid Serif" w:hAnsi="Palatino" w:cstheme="minorHAnsi"/>
        </w:rPr>
        <w:t xml:space="preserve">legal </w:t>
      </w:r>
      <w:r w:rsidR="00BA34EE" w:rsidRPr="00630A9E">
        <w:rPr>
          <w:rFonts w:ascii="Palatino" w:eastAsia="Droid Serif" w:hAnsi="Palatino" w:cstheme="minorHAnsi"/>
        </w:rPr>
        <w:t>context that is governed by the spread model, the range of legal theories which provide potentially tolerable epistemic risk is whittled down to a narrow range.</w:t>
      </w:r>
      <w:r w:rsidR="00C00A50" w:rsidRPr="00630A9E">
        <w:rPr>
          <w:rFonts w:ascii="Palatino" w:eastAsia="Droid Serif" w:hAnsi="Palatino" w:cstheme="minorHAnsi"/>
        </w:rPr>
        <w:t xml:space="preserve"> </w:t>
      </w:r>
      <w:r w:rsidR="00010D72" w:rsidRPr="00630A9E">
        <w:rPr>
          <w:rFonts w:ascii="Palatino" w:eastAsia="Droid Serif" w:hAnsi="Palatino" w:cstheme="minorHAnsi"/>
        </w:rPr>
        <w:t>The inability of the common-law tradition to explain itself to everyone on plain terms was, by and large, the nature of Bentham’s complaint against the common-law tradition – h</w:t>
      </w:r>
      <w:r w:rsidR="00181539" w:rsidRPr="00630A9E">
        <w:rPr>
          <w:rFonts w:ascii="Palatino" w:eastAsia="Droid Serif" w:hAnsi="Palatino" w:cstheme="minorHAnsi"/>
        </w:rPr>
        <w:t xml:space="preserve">e </w:t>
      </w:r>
      <w:r w:rsidR="00010D72" w:rsidRPr="00630A9E">
        <w:rPr>
          <w:rFonts w:ascii="Palatino" w:eastAsia="Droid Serif" w:hAnsi="Palatino" w:cstheme="minorHAnsi"/>
        </w:rPr>
        <w:t>sought to dismantle it. Also, p</w:t>
      </w:r>
      <w:r w:rsidR="00C00A50" w:rsidRPr="00630A9E">
        <w:rPr>
          <w:rFonts w:ascii="Palatino" w:eastAsia="Droid Serif" w:hAnsi="Palatino" w:cstheme="minorHAnsi"/>
        </w:rPr>
        <w:t xml:space="preserve">resumably, </w:t>
      </w:r>
      <w:r w:rsidR="00181539" w:rsidRPr="00630A9E">
        <w:rPr>
          <w:rFonts w:ascii="Palatino" w:eastAsia="Droid Serif" w:hAnsi="Palatino" w:cstheme="minorHAnsi"/>
        </w:rPr>
        <w:t xml:space="preserve">the </w:t>
      </w:r>
      <w:r w:rsidRPr="00630A9E">
        <w:rPr>
          <w:rFonts w:ascii="Palatino" w:eastAsia="Droid Serif" w:hAnsi="Palatino" w:cstheme="minorHAnsi"/>
        </w:rPr>
        <w:t xml:space="preserve">spread </w:t>
      </w:r>
      <w:r w:rsidR="00181539" w:rsidRPr="00630A9E">
        <w:rPr>
          <w:rFonts w:ascii="Palatino" w:eastAsia="Droid Serif" w:hAnsi="Palatino" w:cstheme="minorHAnsi"/>
        </w:rPr>
        <w:t>model</w:t>
      </w:r>
      <w:r w:rsidRPr="00630A9E">
        <w:rPr>
          <w:rFonts w:ascii="Palatino" w:eastAsia="Droid Serif" w:hAnsi="Palatino" w:cstheme="minorHAnsi"/>
        </w:rPr>
        <w:t xml:space="preserve"> will be broadly inconsistent with </w:t>
      </w:r>
      <w:r w:rsidR="00C00A50" w:rsidRPr="00630A9E">
        <w:rPr>
          <w:rFonts w:ascii="Palatino" w:eastAsia="Droid Serif" w:hAnsi="Palatino" w:cstheme="minorHAnsi"/>
        </w:rPr>
        <w:t>the</w:t>
      </w:r>
      <w:r w:rsidR="00C34338" w:rsidRPr="00630A9E">
        <w:rPr>
          <w:rFonts w:ascii="Palatino" w:eastAsia="Droid Serif" w:hAnsi="Palatino" w:cstheme="minorHAnsi"/>
        </w:rPr>
        <w:t xml:space="preserve"> mid-career (i.e., ‘</w:t>
      </w:r>
      <w:r w:rsidR="00C34338" w:rsidRPr="00630A9E">
        <w:rPr>
          <w:rFonts w:ascii="Palatino" w:eastAsia="Droid Serif" w:hAnsi="Palatino" w:cstheme="minorHAnsi"/>
          <w:i/>
        </w:rPr>
        <w:t xml:space="preserve">Discipline &amp; Punish’ </w:t>
      </w:r>
      <w:r w:rsidR="00C34338" w:rsidRPr="00630A9E">
        <w:rPr>
          <w:rFonts w:ascii="Palatino" w:eastAsia="Droid Serif" w:hAnsi="Palatino" w:cstheme="minorHAnsi"/>
        </w:rPr>
        <w:t xml:space="preserve">era) </w:t>
      </w:r>
      <w:r w:rsidR="00C00A50" w:rsidRPr="00630A9E">
        <w:rPr>
          <w:rFonts w:ascii="Palatino" w:eastAsia="Droid Serif" w:hAnsi="Palatino" w:cstheme="minorHAnsi"/>
        </w:rPr>
        <w:t>Foucauldian</w:t>
      </w:r>
      <w:r w:rsidR="002C1FCB" w:rsidRPr="00630A9E">
        <w:rPr>
          <w:rFonts w:ascii="Palatino" w:eastAsia="Droid Serif" w:hAnsi="Palatino" w:cstheme="minorHAnsi"/>
        </w:rPr>
        <w:t xml:space="preserve"> </w:t>
      </w:r>
      <w:r w:rsidR="00C00A50" w:rsidRPr="00630A9E">
        <w:rPr>
          <w:rFonts w:ascii="Palatino" w:eastAsia="Droid Serif" w:hAnsi="Palatino" w:cstheme="minorHAnsi"/>
        </w:rPr>
        <w:t xml:space="preserve">picture of law, </w:t>
      </w:r>
      <w:r w:rsidR="002C1FCB" w:rsidRPr="00630A9E">
        <w:rPr>
          <w:rFonts w:ascii="Palatino" w:eastAsia="Droid Serif" w:hAnsi="Palatino" w:cstheme="minorHAnsi"/>
        </w:rPr>
        <w:t>for whom the law is only properly evaluated with the combined tools of the social sciences</w:t>
      </w:r>
      <w:r w:rsidR="00F23C88" w:rsidRPr="00630A9E">
        <w:rPr>
          <w:rFonts w:ascii="Palatino" w:eastAsia="Droid Serif" w:hAnsi="Palatino" w:cstheme="minorHAnsi"/>
        </w:rPr>
        <w:t xml:space="preserve"> and accounted for in a strategic interaction of bodies and behaviors</w:t>
      </w:r>
      <w:r w:rsidR="004B538C" w:rsidRPr="00630A9E">
        <w:rPr>
          <w:rFonts w:ascii="Palatino" w:eastAsia="Droid Serif" w:hAnsi="Palatino" w:cstheme="minorHAnsi"/>
        </w:rPr>
        <w:t xml:space="preserve">, in </w:t>
      </w:r>
      <w:r w:rsidR="00B6688B" w:rsidRPr="00630A9E">
        <w:rPr>
          <w:rFonts w:ascii="Palatino" w:eastAsia="Droid Serif" w:hAnsi="Palatino" w:cstheme="minorHAnsi"/>
        </w:rPr>
        <w:t xml:space="preserve">something like </w:t>
      </w:r>
      <w:r w:rsidR="004B538C" w:rsidRPr="00630A9E">
        <w:rPr>
          <w:rFonts w:ascii="Palatino" w:eastAsia="Droid Serif" w:hAnsi="Palatino" w:cstheme="minorHAnsi"/>
        </w:rPr>
        <w:t xml:space="preserve">a </w:t>
      </w:r>
      <w:r w:rsidR="00B6688B" w:rsidRPr="00630A9E">
        <w:rPr>
          <w:rFonts w:ascii="Palatino" w:eastAsia="Droid Serif" w:hAnsi="Palatino" w:cstheme="minorHAnsi"/>
        </w:rPr>
        <w:t>low-scale civil war of all against all</w:t>
      </w:r>
      <w:r w:rsidR="00C00A50" w:rsidRPr="00630A9E">
        <w:rPr>
          <w:rFonts w:ascii="Palatino" w:eastAsia="Droid Serif" w:hAnsi="Palatino" w:cstheme="minorHAnsi"/>
        </w:rPr>
        <w:t>.</w:t>
      </w:r>
    </w:p>
    <w:p w14:paraId="219065D9" w14:textId="5F401729" w:rsidR="00D85E27" w:rsidRPr="00630A9E" w:rsidRDefault="00BA34EE"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Nor</w:t>
      </w:r>
      <w:r w:rsidR="007B4686" w:rsidRPr="00630A9E">
        <w:rPr>
          <w:rFonts w:ascii="Palatino" w:eastAsia="Droid Serif" w:hAnsi="Palatino" w:cstheme="minorHAnsi"/>
        </w:rPr>
        <w:t xml:space="preserve"> (</w:t>
      </w:r>
      <w:r w:rsidRPr="00630A9E">
        <w:rPr>
          <w:rFonts w:ascii="Palatino" w:eastAsia="Droid Serif" w:hAnsi="Palatino" w:cstheme="minorHAnsi"/>
        </w:rPr>
        <w:t>it would seem</w:t>
      </w:r>
      <w:r w:rsidR="007B4686" w:rsidRPr="00630A9E">
        <w:rPr>
          <w:rFonts w:ascii="Palatino" w:eastAsia="Droid Serif" w:hAnsi="Palatino" w:cstheme="minorHAnsi"/>
        </w:rPr>
        <w:t>)</w:t>
      </w:r>
      <w:r w:rsidRPr="00630A9E">
        <w:rPr>
          <w:rFonts w:ascii="Palatino" w:eastAsia="Droid Serif" w:hAnsi="Palatino" w:cstheme="minorHAnsi"/>
        </w:rPr>
        <w:t xml:space="preserve"> could one conceive of law as promulgated under a simplified vision of legal realism, given that it is not remotely obvious to most lay-folk how to predict the decisions of the judiciary for any particular case</w:t>
      </w:r>
      <w:r w:rsidR="00B16DA0" w:rsidRPr="00630A9E">
        <w:rPr>
          <w:rFonts w:ascii="Palatino" w:eastAsia="Droid Serif" w:hAnsi="Palatino" w:cstheme="minorHAnsi"/>
        </w:rPr>
        <w:t xml:space="preserve"> unless they had some interpretive theory in tow</w:t>
      </w:r>
      <w:r w:rsidRPr="00630A9E">
        <w:rPr>
          <w:rFonts w:ascii="Palatino" w:eastAsia="Droid Serif" w:hAnsi="Palatino" w:cstheme="minorHAnsi"/>
        </w:rPr>
        <w:t>.</w:t>
      </w:r>
      <w:r w:rsidR="007F1F7B" w:rsidRPr="00630A9E">
        <w:rPr>
          <w:rFonts w:ascii="Palatino" w:eastAsia="Droid Serif" w:hAnsi="Palatino" w:cstheme="minorHAnsi"/>
        </w:rPr>
        <w:t xml:space="preserve"> </w:t>
      </w:r>
      <w:r w:rsidR="00D85E27" w:rsidRPr="00630A9E">
        <w:rPr>
          <w:rFonts w:ascii="Palatino" w:eastAsia="Droid Serif" w:hAnsi="Palatino" w:cstheme="minorHAnsi"/>
        </w:rPr>
        <w:t xml:space="preserve">Nor, presumably, could law be promulgated if its theory of discernment required </w:t>
      </w:r>
      <w:r w:rsidR="007B4686" w:rsidRPr="00630A9E">
        <w:rPr>
          <w:rFonts w:ascii="Palatino" w:eastAsia="Droid Serif" w:hAnsi="Palatino" w:cstheme="minorHAnsi"/>
        </w:rPr>
        <w:t xml:space="preserve">a </w:t>
      </w:r>
      <w:r w:rsidR="00D85E27" w:rsidRPr="00630A9E">
        <w:rPr>
          <w:rFonts w:ascii="Palatino" w:eastAsia="Droid Serif" w:hAnsi="Palatino" w:cstheme="minorHAnsi"/>
        </w:rPr>
        <w:t>perfectionist jurisprudence</w:t>
      </w:r>
      <w:r w:rsidR="007B4686" w:rsidRPr="00630A9E">
        <w:rPr>
          <w:rFonts w:ascii="Palatino" w:eastAsia="Droid Serif" w:hAnsi="Palatino" w:cstheme="minorHAnsi"/>
        </w:rPr>
        <w:t>, which may flout the ideal of protected expectations.</w:t>
      </w:r>
    </w:p>
    <w:p w14:paraId="5483E624" w14:textId="4424E133" w:rsidR="007F1F7B" w:rsidRPr="00630A9E" w:rsidRDefault="00122BDF"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In the absence of resources to promulgate particular laws</w:t>
      </w:r>
      <w:r w:rsidR="00F23C88" w:rsidRPr="00630A9E">
        <w:rPr>
          <w:rFonts w:ascii="Palatino" w:eastAsia="Droid Serif" w:hAnsi="Palatino" w:cstheme="minorHAnsi"/>
        </w:rPr>
        <w:t xml:space="preserve">, the spread </w:t>
      </w:r>
      <w:r w:rsidR="00B16DA0" w:rsidRPr="00630A9E">
        <w:rPr>
          <w:rFonts w:ascii="Palatino" w:eastAsia="Droid Serif" w:hAnsi="Palatino" w:cstheme="minorHAnsi"/>
        </w:rPr>
        <w:t>model</w:t>
      </w:r>
      <w:r w:rsidR="00C00A50" w:rsidRPr="00630A9E">
        <w:rPr>
          <w:rFonts w:ascii="Palatino" w:eastAsia="Droid Serif" w:hAnsi="Palatino" w:cstheme="minorHAnsi"/>
        </w:rPr>
        <w:t xml:space="preserve"> </w:t>
      </w:r>
      <w:r w:rsidR="00F23C88" w:rsidRPr="00630A9E">
        <w:rPr>
          <w:rFonts w:ascii="Palatino" w:eastAsia="Droid Serif" w:hAnsi="Palatino" w:cstheme="minorHAnsi"/>
        </w:rPr>
        <w:t xml:space="preserve">might find that </w:t>
      </w:r>
      <w:r w:rsidRPr="00630A9E">
        <w:rPr>
          <w:rFonts w:ascii="Palatino" w:eastAsia="Droid Serif" w:hAnsi="Palatino" w:cstheme="minorHAnsi"/>
        </w:rPr>
        <w:t xml:space="preserve">the constitutional aspects of </w:t>
      </w:r>
      <w:r w:rsidR="00B16DA0" w:rsidRPr="00630A9E">
        <w:rPr>
          <w:rFonts w:ascii="Palatino" w:eastAsia="Droid Serif" w:hAnsi="Palatino" w:cstheme="minorHAnsi"/>
        </w:rPr>
        <w:t>law can only be promulgated</w:t>
      </w:r>
      <w:r w:rsidR="00F23C88" w:rsidRPr="00630A9E">
        <w:rPr>
          <w:rFonts w:ascii="Palatino" w:eastAsia="Droid Serif" w:hAnsi="Palatino" w:cstheme="minorHAnsi"/>
        </w:rPr>
        <w:t xml:space="preserve"> insofar as the</w:t>
      </w:r>
      <w:r w:rsidR="00B16DA0" w:rsidRPr="00630A9E">
        <w:rPr>
          <w:rFonts w:ascii="Palatino" w:eastAsia="Droid Serif" w:hAnsi="Palatino" w:cstheme="minorHAnsi"/>
        </w:rPr>
        <w:t xml:space="preserve"> demands of the</w:t>
      </w:r>
      <w:r w:rsidR="00F23C88" w:rsidRPr="00630A9E">
        <w:rPr>
          <w:rFonts w:ascii="Palatino" w:eastAsia="Droid Serif" w:hAnsi="Palatino" w:cstheme="minorHAnsi"/>
        </w:rPr>
        <w:t xml:space="preserve"> rulers</w:t>
      </w:r>
      <w:r w:rsidR="007F1F7B" w:rsidRPr="00630A9E">
        <w:rPr>
          <w:rFonts w:ascii="Palatino" w:eastAsia="Droid Serif" w:hAnsi="Palatino" w:cstheme="minorHAnsi"/>
        </w:rPr>
        <w:t xml:space="preserve"> </w:t>
      </w:r>
      <w:r w:rsidR="00B16DA0" w:rsidRPr="00630A9E">
        <w:rPr>
          <w:rFonts w:ascii="Palatino" w:eastAsia="Droid Serif" w:hAnsi="Palatino" w:cstheme="minorHAnsi"/>
        </w:rPr>
        <w:t>piggyback on</w:t>
      </w:r>
      <w:r w:rsidR="007F1F7B" w:rsidRPr="00630A9E">
        <w:rPr>
          <w:rFonts w:ascii="Palatino" w:eastAsia="Droid Serif" w:hAnsi="Palatino" w:cstheme="minorHAnsi"/>
        </w:rPr>
        <w:t xml:space="preserve"> </w:t>
      </w:r>
      <w:r w:rsidR="006A2ECA" w:rsidRPr="00630A9E">
        <w:rPr>
          <w:rFonts w:ascii="Palatino" w:eastAsia="Droid Serif" w:hAnsi="Palatino" w:cstheme="minorHAnsi"/>
        </w:rPr>
        <w:t>ordinary</w:t>
      </w:r>
      <w:r w:rsidR="00F23C88" w:rsidRPr="00630A9E">
        <w:rPr>
          <w:rFonts w:ascii="Palatino" w:eastAsia="Droid Serif" w:hAnsi="Palatino" w:cstheme="minorHAnsi"/>
        </w:rPr>
        <w:t xml:space="preserve"> (ostensibly natural)</w:t>
      </w:r>
      <w:r w:rsidR="006A2ECA" w:rsidRPr="00630A9E">
        <w:rPr>
          <w:rFonts w:ascii="Palatino" w:eastAsia="Droid Serif" w:hAnsi="Palatino" w:cstheme="minorHAnsi"/>
        </w:rPr>
        <w:t xml:space="preserve"> states of affairs. </w:t>
      </w:r>
      <w:r w:rsidR="00A046CC" w:rsidRPr="00630A9E">
        <w:rPr>
          <w:rFonts w:ascii="Palatino" w:eastAsia="Droid Serif" w:hAnsi="Palatino" w:cstheme="minorHAnsi"/>
        </w:rPr>
        <w:t xml:space="preserve">So, </w:t>
      </w:r>
      <w:r w:rsidR="006A2ECA" w:rsidRPr="00630A9E">
        <w:rPr>
          <w:rFonts w:ascii="Palatino" w:eastAsia="Droid Serif" w:hAnsi="Palatino" w:cstheme="minorHAnsi"/>
        </w:rPr>
        <w:t xml:space="preserve">Austin’s positivistic conception of law -- i.e., habits of deference to a ruler -- can likely be observed well enough for the folk to be able to say, “Law is whatever the sovereign </w:t>
      </w:r>
      <w:r w:rsidR="006A2ECA" w:rsidRPr="00630A9E">
        <w:rPr>
          <w:rFonts w:ascii="Palatino" w:eastAsia="Droid Serif" w:hAnsi="Palatino" w:cstheme="minorHAnsi"/>
        </w:rPr>
        <w:lastRenderedPageBreak/>
        <w:t>says it is</w:t>
      </w:r>
      <w:r w:rsidR="00607E55" w:rsidRPr="00630A9E">
        <w:rPr>
          <w:rFonts w:ascii="Palatino" w:eastAsia="Droid Serif" w:hAnsi="Palatino" w:cstheme="minorHAnsi"/>
        </w:rPr>
        <w:t xml:space="preserve">”, </w:t>
      </w:r>
      <w:r w:rsidR="00B16DA0" w:rsidRPr="00630A9E">
        <w:rPr>
          <w:rFonts w:ascii="Palatino" w:eastAsia="Droid Serif" w:hAnsi="Palatino" w:cstheme="minorHAnsi"/>
        </w:rPr>
        <w:t>which at least settles the constitutional question (if nothing else).</w:t>
      </w:r>
      <w:r w:rsidR="006A2ECA" w:rsidRPr="00630A9E">
        <w:rPr>
          <w:rFonts w:ascii="Palatino" w:eastAsia="Droid Serif" w:hAnsi="Palatino" w:cstheme="minorHAnsi"/>
        </w:rPr>
        <w:t xml:space="preserve"> </w:t>
      </w:r>
      <w:r w:rsidR="00BA34EE" w:rsidRPr="00630A9E">
        <w:rPr>
          <w:rFonts w:ascii="Palatino" w:eastAsia="Droid Serif" w:hAnsi="Palatino" w:cstheme="minorHAnsi"/>
        </w:rPr>
        <w:t>And perhaps</w:t>
      </w:r>
      <w:r w:rsidR="00F23C88" w:rsidRPr="00630A9E">
        <w:rPr>
          <w:rFonts w:ascii="Palatino" w:eastAsia="Droid Serif" w:hAnsi="Palatino" w:cstheme="minorHAnsi"/>
        </w:rPr>
        <w:t xml:space="preserve"> s</w:t>
      </w:r>
      <w:r w:rsidR="006A2ECA" w:rsidRPr="00630A9E">
        <w:rPr>
          <w:rFonts w:ascii="Palatino" w:eastAsia="Droid Serif" w:hAnsi="Palatino" w:cstheme="minorHAnsi"/>
        </w:rPr>
        <w:t xml:space="preserve">ome </w:t>
      </w:r>
      <w:r w:rsidR="00A046CC" w:rsidRPr="00630A9E">
        <w:rPr>
          <w:rFonts w:ascii="Palatino" w:eastAsia="Droid Serif" w:hAnsi="Palatino" w:cstheme="minorHAnsi"/>
        </w:rPr>
        <w:t>political</w:t>
      </w:r>
      <w:r w:rsidR="006A2ECA" w:rsidRPr="00630A9E">
        <w:rPr>
          <w:rFonts w:ascii="Palatino" w:eastAsia="Droid Serif" w:hAnsi="Palatino" w:cstheme="minorHAnsi"/>
        </w:rPr>
        <w:t xml:space="preserve"> theories</w:t>
      </w:r>
      <w:r w:rsidR="00A046CC" w:rsidRPr="00630A9E">
        <w:rPr>
          <w:rFonts w:ascii="Palatino" w:eastAsia="Droid Serif" w:hAnsi="Palatino" w:cstheme="minorHAnsi"/>
        </w:rPr>
        <w:t xml:space="preserve"> of law, </w:t>
      </w:r>
      <w:r w:rsidR="008471A2" w:rsidRPr="00630A9E">
        <w:rPr>
          <w:rFonts w:ascii="Palatino" w:eastAsia="Droid Serif" w:hAnsi="Palatino" w:cstheme="minorHAnsi"/>
        </w:rPr>
        <w:t>e.g., Carl Schmitt’s</w:t>
      </w:r>
      <w:r w:rsidR="00A046CC" w:rsidRPr="00630A9E">
        <w:rPr>
          <w:rFonts w:ascii="Palatino" w:eastAsia="Droid Serif" w:hAnsi="Palatino" w:cstheme="minorHAnsi"/>
        </w:rPr>
        <w:t>,</w:t>
      </w:r>
      <w:r w:rsidR="008471A2" w:rsidRPr="00630A9E">
        <w:rPr>
          <w:rFonts w:ascii="Palatino" w:eastAsia="Droid Serif" w:hAnsi="Palatino" w:cstheme="minorHAnsi"/>
        </w:rPr>
        <w:t xml:space="preserve"> </w:t>
      </w:r>
      <w:r w:rsidR="006A2ECA" w:rsidRPr="00630A9E">
        <w:rPr>
          <w:rFonts w:ascii="Palatino" w:eastAsia="Droid Serif" w:hAnsi="Palatino" w:cstheme="minorHAnsi"/>
        </w:rPr>
        <w:t xml:space="preserve">would likely also appeal to the spread </w:t>
      </w:r>
      <w:r w:rsidR="00856D4A" w:rsidRPr="00630A9E">
        <w:rPr>
          <w:rFonts w:ascii="Palatino" w:eastAsia="Droid Serif" w:hAnsi="Palatino" w:cstheme="minorHAnsi"/>
        </w:rPr>
        <w:t>model</w:t>
      </w:r>
      <w:r w:rsidR="006A2ECA" w:rsidRPr="00630A9E">
        <w:rPr>
          <w:rFonts w:ascii="Palatino" w:eastAsia="Droid Serif" w:hAnsi="Palatino" w:cstheme="minorHAnsi"/>
        </w:rPr>
        <w:t xml:space="preserve"> as well</w:t>
      </w:r>
      <w:r w:rsidR="008471A2" w:rsidRPr="00630A9E">
        <w:rPr>
          <w:rFonts w:ascii="Palatino" w:eastAsia="Droid Serif" w:hAnsi="Palatino" w:cstheme="minorHAnsi"/>
        </w:rPr>
        <w:t xml:space="preserve">, so long as they try to explain the normativity of conventions in terms of the </w:t>
      </w:r>
      <w:r w:rsidR="00AE6656" w:rsidRPr="00630A9E">
        <w:rPr>
          <w:rFonts w:ascii="Palatino" w:eastAsia="Droid Serif" w:hAnsi="Palatino" w:cstheme="minorHAnsi"/>
        </w:rPr>
        <w:t xml:space="preserve">orthodox </w:t>
      </w:r>
      <w:r w:rsidR="006124CD" w:rsidRPr="00630A9E">
        <w:rPr>
          <w:rFonts w:ascii="Palatino" w:eastAsia="Droid Serif" w:hAnsi="Palatino" w:cstheme="minorHAnsi"/>
        </w:rPr>
        <w:t xml:space="preserve">political </w:t>
      </w:r>
      <w:r w:rsidR="00AE6656" w:rsidRPr="00630A9E">
        <w:rPr>
          <w:rFonts w:ascii="Palatino" w:eastAsia="Droid Serif" w:hAnsi="Palatino" w:cstheme="minorHAnsi"/>
        </w:rPr>
        <w:t>mythology.</w:t>
      </w:r>
    </w:p>
    <w:p w14:paraId="4543CF15" w14:textId="77777777" w:rsidR="006E6A1B" w:rsidRPr="00630A9E" w:rsidRDefault="006E6A1B" w:rsidP="008720B6">
      <w:pPr>
        <w:widowControl w:val="0"/>
        <w:ind w:right="-56" w:firstLine="426"/>
        <w:jc w:val="both"/>
        <w:rPr>
          <w:rFonts w:ascii="Palatino" w:eastAsia="Droid Serif" w:hAnsi="Palatino" w:cstheme="minorHAnsi"/>
        </w:rPr>
      </w:pPr>
    </w:p>
    <w:p w14:paraId="2766CF9D" w14:textId="22D3CCCF" w:rsidR="006E6A1B" w:rsidRPr="00630A9E" w:rsidRDefault="006E6A1B" w:rsidP="008720B6">
      <w:pPr>
        <w:pStyle w:val="ListParagraph"/>
        <w:widowControl w:val="0"/>
        <w:numPr>
          <w:ilvl w:val="0"/>
          <w:numId w:val="14"/>
        </w:numPr>
        <w:ind w:left="0" w:right="-56" w:firstLine="426"/>
        <w:jc w:val="both"/>
        <w:rPr>
          <w:rFonts w:ascii="Palatino" w:eastAsia="Droid Serif" w:hAnsi="Palatino" w:cstheme="minorHAnsi"/>
        </w:rPr>
      </w:pPr>
      <w:r w:rsidRPr="00630A9E">
        <w:rPr>
          <w:rFonts w:ascii="Palatino" w:eastAsia="Droid Serif" w:hAnsi="Palatino" w:cstheme="minorHAnsi"/>
        </w:rPr>
        <w:t xml:space="preserve">CHAIN </w:t>
      </w:r>
      <w:r w:rsidR="00635214" w:rsidRPr="00630A9E">
        <w:rPr>
          <w:rFonts w:ascii="Palatino" w:eastAsia="Droid Serif" w:hAnsi="Palatino" w:cstheme="minorHAnsi"/>
        </w:rPr>
        <w:t>MODEL</w:t>
      </w:r>
      <w:r w:rsidRPr="00630A9E">
        <w:rPr>
          <w:rFonts w:ascii="Palatino" w:eastAsia="Droid Serif" w:hAnsi="Palatino" w:cstheme="minorHAnsi"/>
        </w:rPr>
        <w:t xml:space="preserve">: </w:t>
      </w:r>
      <w:r w:rsidR="00754C0C" w:rsidRPr="00630A9E">
        <w:rPr>
          <w:rFonts w:ascii="Palatino" w:eastAsia="Droid Serif" w:hAnsi="Palatino" w:cstheme="minorHAnsi"/>
          <w:i/>
        </w:rPr>
        <w:t>good faith</w:t>
      </w:r>
      <w:r w:rsidR="00754C0C" w:rsidRPr="00630A9E">
        <w:rPr>
          <w:rFonts w:ascii="Palatino" w:eastAsia="Droid Serif" w:hAnsi="Palatino" w:cstheme="minorHAnsi"/>
        </w:rPr>
        <w:t xml:space="preserve"> </w:t>
      </w:r>
      <w:r w:rsidR="00754C0C" w:rsidRPr="00630A9E">
        <w:rPr>
          <w:rFonts w:ascii="Palatino" w:eastAsia="Droid Serif" w:hAnsi="Palatino" w:cstheme="minorHAnsi"/>
          <w:i/>
        </w:rPr>
        <w:t>beliefs are reasonable</w:t>
      </w:r>
      <w:r w:rsidRPr="00630A9E">
        <w:rPr>
          <w:rFonts w:ascii="Palatino" w:eastAsia="Droid Serif" w:hAnsi="Palatino" w:cstheme="minorHAnsi"/>
          <w:i/>
        </w:rPr>
        <w:t xml:space="preserve"> just in case</w:t>
      </w:r>
      <w:r w:rsidR="00EA0BB5">
        <w:rPr>
          <w:rFonts w:ascii="Palatino" w:eastAsia="Droid Serif" w:hAnsi="Palatino" w:cstheme="minorHAnsi"/>
          <w:i/>
        </w:rPr>
        <w:t xml:space="preserve"> subjects find</w:t>
      </w:r>
      <w:r w:rsidRPr="00630A9E">
        <w:rPr>
          <w:rFonts w:ascii="Palatino" w:eastAsia="Droid Serif" w:hAnsi="Palatino" w:cstheme="minorHAnsi"/>
          <w:i/>
        </w:rPr>
        <w:t xml:space="preserve"> experts are </w:t>
      </w:r>
      <w:r w:rsidR="00707D8D">
        <w:rPr>
          <w:rFonts w:ascii="Palatino" w:eastAsia="Droid Serif" w:hAnsi="Palatino" w:cstheme="minorHAnsi"/>
          <w:i/>
        </w:rPr>
        <w:t>close-by</w:t>
      </w:r>
      <w:r w:rsidRPr="00630A9E">
        <w:rPr>
          <w:rFonts w:ascii="Palatino" w:eastAsia="Droid Serif" w:hAnsi="Palatino" w:cstheme="minorHAnsi"/>
          <w:i/>
        </w:rPr>
        <w:t xml:space="preserve"> and available to give reports</w:t>
      </w:r>
      <w:r w:rsidR="00AE7579" w:rsidRPr="00630A9E">
        <w:rPr>
          <w:rFonts w:ascii="Palatino" w:eastAsia="Droid Serif" w:hAnsi="Palatino" w:cstheme="minorHAnsi"/>
          <w:i/>
        </w:rPr>
        <w:t>.</w:t>
      </w:r>
    </w:p>
    <w:p w14:paraId="42ED0F3C" w14:textId="77777777" w:rsidR="009A402E" w:rsidRPr="00630A9E" w:rsidRDefault="009A402E" w:rsidP="008720B6">
      <w:pPr>
        <w:widowControl w:val="0"/>
        <w:ind w:right="-56" w:firstLine="426"/>
        <w:jc w:val="both"/>
        <w:rPr>
          <w:rFonts w:ascii="Palatino" w:eastAsia="Droid Serif" w:hAnsi="Palatino" w:cstheme="minorHAnsi"/>
        </w:rPr>
      </w:pPr>
    </w:p>
    <w:p w14:paraId="65189BA8" w14:textId="25FBF223" w:rsidR="006E6A1B" w:rsidRPr="00630A9E" w:rsidRDefault="006E6A1B" w:rsidP="008720B6">
      <w:pPr>
        <w:widowControl w:val="0"/>
        <w:ind w:right="-56"/>
        <w:jc w:val="both"/>
        <w:rPr>
          <w:rFonts w:ascii="Palatino" w:eastAsia="Droid Serif" w:hAnsi="Palatino" w:cstheme="minorHAnsi"/>
        </w:rPr>
      </w:pPr>
      <w:r w:rsidRPr="00630A9E">
        <w:rPr>
          <w:rFonts w:ascii="Palatino" w:eastAsia="Droid Serif" w:hAnsi="Palatino" w:cstheme="minorHAnsi"/>
        </w:rPr>
        <w:t xml:space="preserve">This </w:t>
      </w:r>
      <w:r w:rsidR="002204B2" w:rsidRPr="00630A9E">
        <w:rPr>
          <w:rFonts w:ascii="Palatino" w:eastAsia="Droid Serif" w:hAnsi="Palatino" w:cstheme="minorHAnsi"/>
        </w:rPr>
        <w:t>second</w:t>
      </w:r>
      <w:r w:rsidRPr="00630A9E">
        <w:rPr>
          <w:rFonts w:ascii="Palatino" w:eastAsia="Droid Serif" w:hAnsi="Palatino" w:cstheme="minorHAnsi"/>
        </w:rPr>
        <w:t xml:space="preserve"> view tries to </w:t>
      </w:r>
      <w:r w:rsidR="00AE7579" w:rsidRPr="00630A9E">
        <w:rPr>
          <w:rFonts w:ascii="Palatino" w:eastAsia="Droid Serif" w:hAnsi="Palatino" w:cstheme="minorHAnsi"/>
        </w:rPr>
        <w:t>soften the hard edges of</w:t>
      </w:r>
      <w:r w:rsidRPr="00630A9E">
        <w:rPr>
          <w:rFonts w:ascii="Palatino" w:eastAsia="Droid Serif" w:hAnsi="Palatino" w:cstheme="minorHAnsi"/>
        </w:rPr>
        <w:t xml:space="preserve"> the spread </w:t>
      </w:r>
      <w:r w:rsidR="00AE7579" w:rsidRPr="00630A9E">
        <w:rPr>
          <w:rFonts w:ascii="Palatino" w:eastAsia="Droid Serif" w:hAnsi="Palatino" w:cstheme="minorHAnsi"/>
        </w:rPr>
        <w:t>model</w:t>
      </w:r>
      <w:r w:rsidRPr="00630A9E">
        <w:rPr>
          <w:rFonts w:ascii="Palatino" w:eastAsia="Droid Serif" w:hAnsi="Palatino" w:cstheme="minorHAnsi"/>
        </w:rPr>
        <w:t xml:space="preserve"> by acknowledging that the evidence of what law requires </w:t>
      </w:r>
      <w:r w:rsidR="00AE7579" w:rsidRPr="00630A9E">
        <w:rPr>
          <w:rFonts w:ascii="Palatino" w:eastAsia="Droid Serif" w:hAnsi="Palatino" w:cstheme="minorHAnsi"/>
        </w:rPr>
        <w:t>is</w:t>
      </w:r>
      <w:r w:rsidRPr="00630A9E">
        <w:rPr>
          <w:rFonts w:ascii="Palatino" w:eastAsia="Droid Serif" w:hAnsi="Palatino" w:cstheme="minorHAnsi"/>
        </w:rPr>
        <w:t xml:space="preserve"> sometimes far from </w:t>
      </w:r>
      <w:r w:rsidR="00AE7579" w:rsidRPr="00630A9E">
        <w:rPr>
          <w:rFonts w:ascii="Palatino" w:eastAsia="Droid Serif" w:hAnsi="Palatino" w:cstheme="minorHAnsi"/>
        </w:rPr>
        <w:t>convenient, and yet that the rulers have nevertheless provided sufficient indication of what it requires</w:t>
      </w:r>
      <w:r w:rsidR="00732FB5" w:rsidRPr="00630A9E">
        <w:rPr>
          <w:rFonts w:ascii="Palatino" w:eastAsia="Droid Serif" w:hAnsi="Palatino" w:cstheme="minorHAnsi"/>
        </w:rPr>
        <w:t xml:space="preserve"> to demonstrate respect subjects as knowers</w:t>
      </w:r>
      <w:r w:rsidRPr="00630A9E">
        <w:rPr>
          <w:rFonts w:ascii="Palatino" w:eastAsia="Droid Serif" w:hAnsi="Palatino" w:cstheme="minorHAnsi"/>
        </w:rPr>
        <w:t xml:space="preserve">. According to this view, promulgation occurs insofar as laypeople </w:t>
      </w:r>
      <w:r w:rsidRPr="00630A9E">
        <w:rPr>
          <w:rFonts w:ascii="Palatino" w:eastAsia="Droid Serif" w:hAnsi="Palatino" w:cstheme="minorHAnsi"/>
          <w:i/>
        </w:rPr>
        <w:t xml:space="preserve">know who to defer to </w:t>
      </w:r>
      <w:r w:rsidRPr="00630A9E">
        <w:rPr>
          <w:rFonts w:ascii="Palatino" w:eastAsia="Droid Serif" w:hAnsi="Palatino" w:cstheme="minorHAnsi"/>
        </w:rPr>
        <w:t xml:space="preserve">in matters of legal concern -- to whom they should look to have their expectations calibrated. This is just to say that we must believe that there is a </w:t>
      </w:r>
      <w:r w:rsidRPr="00630A9E">
        <w:rPr>
          <w:rFonts w:ascii="Palatino" w:eastAsia="Droid Serif" w:hAnsi="Palatino" w:cstheme="minorHAnsi"/>
          <w:i/>
        </w:rPr>
        <w:t>chain of deference</w:t>
      </w:r>
      <w:r w:rsidRPr="00630A9E">
        <w:rPr>
          <w:rFonts w:ascii="Palatino" w:eastAsia="Droid Serif" w:hAnsi="Palatino" w:cstheme="minorHAnsi"/>
        </w:rPr>
        <w:t xml:space="preserve"> that holds between a population and its legal rulers, and that </w:t>
      </w:r>
      <w:r w:rsidR="00E02E6C" w:rsidRPr="00630A9E">
        <w:rPr>
          <w:rFonts w:ascii="Palatino" w:eastAsia="Droid Serif" w:hAnsi="Palatino" w:cstheme="minorHAnsi"/>
        </w:rPr>
        <w:t>sources of dissemination</w:t>
      </w:r>
      <w:r w:rsidRPr="00630A9E">
        <w:rPr>
          <w:rFonts w:ascii="Palatino" w:eastAsia="Droid Serif" w:hAnsi="Palatino" w:cstheme="minorHAnsi"/>
        </w:rPr>
        <w:t xml:space="preserve"> function as an intermediary between subjects and their rulers. On this view, there is </w:t>
      </w:r>
      <w:r w:rsidRPr="00630A9E">
        <w:rPr>
          <w:rFonts w:ascii="Palatino" w:eastAsia="Droid Serif" w:hAnsi="Palatino" w:cstheme="minorHAnsi"/>
          <w:i/>
        </w:rPr>
        <w:t>not one, but two</w:t>
      </w:r>
      <w:r w:rsidRPr="00630A9E">
        <w:rPr>
          <w:rFonts w:ascii="Palatino" w:eastAsia="Droid Serif" w:hAnsi="Palatino" w:cstheme="minorHAnsi"/>
        </w:rPr>
        <w:t xml:space="preserve"> overlapping efforts to know law, with two different but complementary standards: first, there is the lower justificatory standard that has to be met by the people in figuring out</w:t>
      </w:r>
      <w:r w:rsidR="00732FB5" w:rsidRPr="00630A9E">
        <w:rPr>
          <w:rFonts w:ascii="Palatino" w:eastAsia="Droid Serif" w:hAnsi="Palatino" w:cstheme="minorHAnsi"/>
        </w:rPr>
        <w:t xml:space="preserve"> who counts as</w:t>
      </w:r>
      <w:r w:rsidRPr="00630A9E">
        <w:rPr>
          <w:rFonts w:ascii="Palatino" w:eastAsia="Droid Serif" w:hAnsi="Palatino" w:cstheme="minorHAnsi"/>
        </w:rPr>
        <w:t xml:space="preserve"> </w:t>
      </w:r>
      <w:r w:rsidR="00732FB5" w:rsidRPr="00630A9E">
        <w:rPr>
          <w:rFonts w:ascii="Palatino" w:eastAsia="Droid Serif" w:hAnsi="Palatino" w:cstheme="minorHAnsi"/>
        </w:rPr>
        <w:t>an</w:t>
      </w:r>
      <w:r w:rsidRPr="00630A9E">
        <w:rPr>
          <w:rFonts w:ascii="Palatino" w:eastAsia="Droid Serif" w:hAnsi="Palatino" w:cstheme="minorHAnsi"/>
        </w:rPr>
        <w:t xml:space="preserve"> expert</w:t>
      </w:r>
      <w:r w:rsidR="00732FB5" w:rsidRPr="00630A9E">
        <w:rPr>
          <w:rFonts w:ascii="Palatino" w:eastAsia="Droid Serif" w:hAnsi="Palatino" w:cstheme="minorHAnsi"/>
        </w:rPr>
        <w:t xml:space="preserve"> (e.g., typically, the officials themselves)</w:t>
      </w:r>
      <w:r w:rsidRPr="00630A9E">
        <w:rPr>
          <w:rFonts w:ascii="Palatino" w:eastAsia="Droid Serif" w:hAnsi="Palatino" w:cstheme="minorHAnsi"/>
        </w:rPr>
        <w:t>, and then a higher standard that the experts have to meet to know the law.</w:t>
      </w:r>
      <w:r w:rsidR="00732FB5" w:rsidRPr="00630A9E">
        <w:rPr>
          <w:rFonts w:ascii="Palatino" w:eastAsia="Droid Serif" w:hAnsi="Palatino" w:cstheme="minorHAnsi"/>
        </w:rPr>
        <w:t xml:space="preserve"> It is, if you like, a bureaucratic or Catholicized view of social epistemology, depending on an intellectual division of labor.</w:t>
      </w:r>
    </w:p>
    <w:p w14:paraId="7CD9A190" w14:textId="2559C645" w:rsidR="006E6A1B" w:rsidRPr="00630A9E" w:rsidRDefault="006E6A1B"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 xml:space="preserve">To be more specific, the chain is intact insofar as subjects have access to </w:t>
      </w:r>
      <w:r w:rsidR="00E02E6C" w:rsidRPr="00630A9E">
        <w:rPr>
          <w:rFonts w:ascii="Palatino" w:eastAsia="Droid Serif" w:hAnsi="Palatino" w:cstheme="minorHAnsi"/>
        </w:rPr>
        <w:t>sources of promulgation</w:t>
      </w:r>
      <w:r w:rsidRPr="00630A9E">
        <w:rPr>
          <w:rFonts w:ascii="Palatino" w:eastAsia="Droid Serif" w:hAnsi="Palatino" w:cstheme="minorHAnsi"/>
        </w:rPr>
        <w:t xml:space="preserve"> which recommend a rule, such that </w:t>
      </w:r>
      <w:r w:rsidR="00732FB5" w:rsidRPr="00630A9E">
        <w:rPr>
          <w:rFonts w:ascii="Palatino" w:eastAsia="Droid Serif" w:hAnsi="Palatino" w:cstheme="minorHAnsi"/>
        </w:rPr>
        <w:t>the following</w:t>
      </w:r>
      <w:r w:rsidRPr="00630A9E">
        <w:rPr>
          <w:rFonts w:ascii="Palatino" w:eastAsia="Droid Serif" w:hAnsi="Palatino" w:cstheme="minorHAnsi"/>
        </w:rPr>
        <w:t xml:space="preserve"> requirements are satisfied:</w:t>
      </w:r>
    </w:p>
    <w:p w14:paraId="4417FF3B" w14:textId="77777777" w:rsidR="006E6A1B" w:rsidRPr="00630A9E" w:rsidRDefault="006E6A1B" w:rsidP="008720B6">
      <w:pPr>
        <w:widowControl w:val="0"/>
        <w:ind w:right="-56" w:firstLine="426"/>
        <w:jc w:val="both"/>
        <w:rPr>
          <w:rFonts w:ascii="Palatino" w:eastAsia="Droid Serif" w:hAnsi="Palatino" w:cstheme="minorHAnsi"/>
        </w:rPr>
      </w:pPr>
    </w:p>
    <w:p w14:paraId="67A76641" w14:textId="32643A6C" w:rsidR="006E6A1B" w:rsidRPr="00630A9E" w:rsidRDefault="00C82F79" w:rsidP="008720B6">
      <w:pPr>
        <w:widowControl w:val="0"/>
        <w:numPr>
          <w:ilvl w:val="0"/>
          <w:numId w:val="13"/>
        </w:numPr>
        <w:ind w:left="0" w:right="-56" w:firstLine="426"/>
        <w:jc w:val="both"/>
        <w:rPr>
          <w:rFonts w:ascii="Palatino" w:eastAsia="Droid Serif" w:hAnsi="Palatino" w:cstheme="minorHAnsi"/>
        </w:rPr>
      </w:pPr>
      <w:r>
        <w:rPr>
          <w:rFonts w:ascii="Palatino" w:eastAsia="Droid Serif" w:hAnsi="Palatino" w:cstheme="minorHAnsi"/>
          <w:i/>
        </w:rPr>
        <w:t>Stakeholders</w:t>
      </w:r>
      <w:r w:rsidR="006E6A1B" w:rsidRPr="00630A9E">
        <w:rPr>
          <w:rFonts w:ascii="Palatino" w:eastAsia="Droid Serif" w:hAnsi="Palatino" w:cstheme="minorHAnsi"/>
        </w:rPr>
        <w:t xml:space="preserve"> (s) have enough legal experts (e) at hand, and sufficient evidence to know that they are credible experts of law (“</w:t>
      </w:r>
      <w:r w:rsidR="006E6A1B" w:rsidRPr="00630A9E">
        <w:rPr>
          <w:rFonts w:ascii="Palatino" w:eastAsia="Droid Serif" w:hAnsi="Palatino" w:cstheme="minorHAnsi"/>
          <w:i/>
        </w:rPr>
        <w:t>meta-expertise</w:t>
      </w:r>
      <w:r w:rsidR="006E6A1B" w:rsidRPr="00630A9E">
        <w:rPr>
          <w:rFonts w:ascii="Palatino" w:eastAsia="Droid Serif" w:hAnsi="Palatino" w:cstheme="minorHAnsi"/>
        </w:rPr>
        <w:t>”);</w:t>
      </w:r>
    </w:p>
    <w:p w14:paraId="1C0AB411" w14:textId="23732122" w:rsidR="006E6A1B" w:rsidRPr="00630A9E" w:rsidRDefault="006E6A1B" w:rsidP="008720B6">
      <w:pPr>
        <w:widowControl w:val="0"/>
        <w:numPr>
          <w:ilvl w:val="0"/>
          <w:numId w:val="13"/>
        </w:numPr>
        <w:ind w:left="0" w:right="-56" w:firstLine="426"/>
        <w:jc w:val="both"/>
        <w:rPr>
          <w:rFonts w:ascii="Palatino" w:eastAsia="Droid Serif" w:hAnsi="Palatino" w:cstheme="minorHAnsi"/>
        </w:rPr>
      </w:pPr>
      <w:r w:rsidRPr="00630A9E">
        <w:rPr>
          <w:rFonts w:ascii="Palatino" w:eastAsia="Droid Serif" w:hAnsi="Palatino" w:cstheme="minorHAnsi"/>
        </w:rPr>
        <w:t xml:space="preserve">Those </w:t>
      </w:r>
      <w:r w:rsidRPr="00630A9E">
        <w:rPr>
          <w:rFonts w:ascii="Palatino" w:eastAsia="Droid Serif" w:hAnsi="Palatino" w:cstheme="minorHAnsi"/>
          <w:i/>
        </w:rPr>
        <w:t>experts</w:t>
      </w:r>
      <w:r w:rsidRPr="00630A9E">
        <w:rPr>
          <w:rFonts w:ascii="Palatino" w:eastAsia="Droid Serif" w:hAnsi="Palatino" w:cstheme="minorHAnsi"/>
        </w:rPr>
        <w:t xml:space="preserve"> (e) know the appropriate </w:t>
      </w:r>
      <w:r w:rsidR="00B455E1" w:rsidRPr="00630A9E">
        <w:rPr>
          <w:rFonts w:ascii="Palatino" w:eastAsia="Droid Serif" w:hAnsi="Palatino" w:cstheme="minorHAnsi"/>
        </w:rPr>
        <w:t>theory</w:t>
      </w:r>
      <w:r w:rsidRPr="00630A9E">
        <w:rPr>
          <w:rFonts w:ascii="Palatino" w:eastAsia="Droid Serif" w:hAnsi="Palatino" w:cstheme="minorHAnsi"/>
        </w:rPr>
        <w:t xml:space="preserve"> </w:t>
      </w:r>
      <w:r w:rsidR="00B455E1" w:rsidRPr="00630A9E">
        <w:rPr>
          <w:rFonts w:ascii="Palatino" w:eastAsia="Droid Serif" w:hAnsi="Palatino" w:cstheme="minorHAnsi"/>
        </w:rPr>
        <w:t>of</w:t>
      </w:r>
      <w:r w:rsidRPr="00630A9E">
        <w:rPr>
          <w:rFonts w:ascii="Palatino" w:eastAsia="Droid Serif" w:hAnsi="Palatino" w:cstheme="minorHAnsi"/>
        </w:rPr>
        <w:t xml:space="preserve"> </w:t>
      </w:r>
      <w:r w:rsidRPr="00630A9E">
        <w:rPr>
          <w:rFonts w:ascii="Palatino" w:eastAsia="Droid Serif" w:hAnsi="Palatino" w:cstheme="minorHAnsi"/>
          <w:i/>
        </w:rPr>
        <w:t>discernment</w:t>
      </w:r>
      <w:r w:rsidR="00421930">
        <w:rPr>
          <w:rFonts w:ascii="Palatino" w:eastAsia="Droid Serif" w:hAnsi="Palatino" w:cstheme="minorHAnsi"/>
          <w:i/>
        </w:rPr>
        <w:t xml:space="preserve">, </w:t>
      </w:r>
      <w:r w:rsidR="00837318">
        <w:rPr>
          <w:rFonts w:ascii="Palatino" w:eastAsia="Droid Serif" w:hAnsi="Palatino" w:cstheme="minorHAnsi"/>
        </w:rPr>
        <w:t>with</w:t>
      </w:r>
      <w:r w:rsidR="00421930" w:rsidRPr="00421930">
        <w:rPr>
          <w:rFonts w:ascii="Palatino" w:eastAsia="Droid Serif" w:hAnsi="Palatino" w:cstheme="minorHAnsi"/>
        </w:rPr>
        <w:t xml:space="preserve"> </w:t>
      </w:r>
      <w:r w:rsidR="00421930">
        <w:rPr>
          <w:rFonts w:ascii="Palatino" w:eastAsia="Droid Serif" w:hAnsi="Palatino" w:cstheme="minorHAnsi"/>
        </w:rPr>
        <w:t>signs</w:t>
      </w:r>
      <w:r w:rsidR="00B37B79">
        <w:rPr>
          <w:rFonts w:ascii="Palatino" w:eastAsia="Droid Serif" w:hAnsi="Palatino" w:cstheme="minorHAnsi"/>
        </w:rPr>
        <w:t xml:space="preserve"> of the law </w:t>
      </w:r>
      <w:r w:rsidR="00421930">
        <w:rPr>
          <w:rFonts w:ascii="Palatino" w:eastAsia="Droid Serif" w:hAnsi="Palatino" w:cstheme="minorHAnsi"/>
        </w:rPr>
        <w:t>close-by</w:t>
      </w:r>
      <w:r w:rsidR="00837318">
        <w:rPr>
          <w:rFonts w:ascii="Palatino" w:eastAsia="Droid Serif" w:hAnsi="Palatino" w:cstheme="minorHAnsi"/>
        </w:rPr>
        <w:t xml:space="preserve"> </w:t>
      </w:r>
      <w:r w:rsidR="00837318" w:rsidRPr="00837318">
        <w:rPr>
          <w:rFonts w:ascii="Palatino" w:eastAsia="Droid Serif" w:hAnsi="Palatino" w:cstheme="minorHAnsi"/>
          <w:i/>
        </w:rPr>
        <w:t>to them</w:t>
      </w:r>
      <w:r w:rsidRPr="00630A9E">
        <w:rPr>
          <w:rFonts w:ascii="Palatino" w:eastAsia="Droid Serif" w:hAnsi="Palatino" w:cstheme="minorHAnsi"/>
        </w:rPr>
        <w:t>;</w:t>
      </w:r>
    </w:p>
    <w:p w14:paraId="61AAAB98" w14:textId="1816C95B" w:rsidR="006E6A1B" w:rsidRPr="00630A9E" w:rsidRDefault="006E6A1B" w:rsidP="008720B6">
      <w:pPr>
        <w:widowControl w:val="0"/>
        <w:numPr>
          <w:ilvl w:val="0"/>
          <w:numId w:val="13"/>
        </w:numPr>
        <w:ind w:left="0" w:right="-56" w:firstLine="426"/>
        <w:jc w:val="both"/>
        <w:rPr>
          <w:rFonts w:ascii="Palatino" w:eastAsia="Droid Serif" w:hAnsi="Palatino" w:cstheme="minorHAnsi"/>
        </w:rPr>
      </w:pPr>
      <w:r w:rsidRPr="00630A9E">
        <w:rPr>
          <w:rFonts w:ascii="Palatino" w:eastAsia="Droid Serif" w:hAnsi="Palatino" w:cstheme="minorHAnsi"/>
        </w:rPr>
        <w:t xml:space="preserve">Both laypersons and experts operate in a </w:t>
      </w:r>
      <w:r w:rsidR="004436F4" w:rsidRPr="00630A9E">
        <w:rPr>
          <w:rFonts w:ascii="Palatino" w:eastAsia="Droid Serif" w:hAnsi="Palatino" w:cstheme="minorHAnsi"/>
          <w:i/>
        </w:rPr>
        <w:t>normal</w:t>
      </w:r>
      <w:r w:rsidRPr="00630A9E">
        <w:rPr>
          <w:rFonts w:ascii="Palatino" w:eastAsia="Droid Serif" w:hAnsi="Palatino" w:cstheme="minorHAnsi"/>
          <w:i/>
        </w:rPr>
        <w:t xml:space="preserve"> communication environment</w:t>
      </w:r>
      <w:r w:rsidRPr="00630A9E">
        <w:rPr>
          <w:rFonts w:ascii="Palatino" w:eastAsia="Droid Serif" w:hAnsi="Palatino" w:cstheme="minorHAnsi"/>
        </w:rPr>
        <w:t xml:space="preserve"> (n).</w:t>
      </w:r>
    </w:p>
    <w:p w14:paraId="6B85C1A1" w14:textId="77777777" w:rsidR="006E6A1B" w:rsidRPr="00630A9E" w:rsidRDefault="006E6A1B" w:rsidP="008720B6">
      <w:pPr>
        <w:widowControl w:val="0"/>
        <w:ind w:right="-56" w:firstLine="426"/>
        <w:jc w:val="both"/>
        <w:rPr>
          <w:rFonts w:ascii="Palatino" w:eastAsia="Droid Serif" w:hAnsi="Palatino" w:cstheme="minorHAnsi"/>
        </w:rPr>
      </w:pPr>
    </w:p>
    <w:p w14:paraId="6B82AEB1" w14:textId="0EE94E1D" w:rsidR="00732FB5" w:rsidRPr="00630A9E" w:rsidRDefault="006E6A1B"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 xml:space="preserve">Here, much like the spread </w:t>
      </w:r>
      <w:r w:rsidR="00AE7579" w:rsidRPr="00630A9E">
        <w:rPr>
          <w:rFonts w:ascii="Palatino" w:eastAsia="Droid Serif" w:hAnsi="Palatino" w:cstheme="minorHAnsi"/>
        </w:rPr>
        <w:t>model</w:t>
      </w:r>
      <w:r w:rsidRPr="00630A9E">
        <w:rPr>
          <w:rFonts w:ascii="Palatino" w:eastAsia="Droid Serif" w:hAnsi="Palatino" w:cstheme="minorHAnsi"/>
        </w:rPr>
        <w:t xml:space="preserve">, (1) includes reference to the appropriate picture of law whatever it may be. But, unlike the spread </w:t>
      </w:r>
      <w:r w:rsidR="00AE7579" w:rsidRPr="00630A9E">
        <w:rPr>
          <w:rFonts w:ascii="Palatino" w:eastAsia="Droid Serif" w:hAnsi="Palatino" w:cstheme="minorHAnsi"/>
        </w:rPr>
        <w:t>model</w:t>
      </w:r>
      <w:r w:rsidRPr="00630A9E">
        <w:rPr>
          <w:rFonts w:ascii="Palatino" w:eastAsia="Droid Serif" w:hAnsi="Palatino" w:cstheme="minorHAnsi"/>
        </w:rPr>
        <w:t xml:space="preserve">, </w:t>
      </w:r>
      <w:r w:rsidR="00AE7579" w:rsidRPr="00630A9E">
        <w:rPr>
          <w:rFonts w:ascii="Palatino" w:eastAsia="Droid Serif" w:hAnsi="Palatino" w:cstheme="minorHAnsi"/>
        </w:rPr>
        <w:t>the chain model</w:t>
      </w:r>
      <w:r w:rsidRPr="00630A9E">
        <w:rPr>
          <w:rFonts w:ascii="Palatino" w:eastAsia="Droid Serif" w:hAnsi="Palatino" w:cstheme="minorHAnsi"/>
        </w:rPr>
        <w:t xml:space="preserve"> allows that actual knowledge of the whole of the law might not be comprehensively known by laypersons. Instead, a feature of (2) is its reliance on a body of experts who themselves may </w:t>
      </w:r>
      <w:r w:rsidR="00732FB5" w:rsidRPr="00630A9E">
        <w:rPr>
          <w:rFonts w:ascii="Palatino" w:eastAsia="Droid Serif" w:hAnsi="Palatino" w:cstheme="minorHAnsi"/>
        </w:rPr>
        <w:t>discern the demands of</w:t>
      </w:r>
      <w:r w:rsidRPr="00630A9E">
        <w:rPr>
          <w:rFonts w:ascii="Palatino" w:eastAsia="Droid Serif" w:hAnsi="Palatino" w:cstheme="minorHAnsi"/>
        </w:rPr>
        <w:t xml:space="preserve"> law, </w:t>
      </w:r>
      <w:r w:rsidR="00732FB5" w:rsidRPr="00630A9E">
        <w:rPr>
          <w:rFonts w:ascii="Palatino" w:eastAsia="Droid Serif" w:hAnsi="Palatino" w:cstheme="minorHAnsi"/>
        </w:rPr>
        <w:t>typically by a combination of advanced training and by knowing</w:t>
      </w:r>
      <w:r w:rsidRPr="00630A9E">
        <w:rPr>
          <w:rFonts w:ascii="Palatino" w:eastAsia="Droid Serif" w:hAnsi="Palatino" w:cstheme="minorHAnsi"/>
        </w:rPr>
        <w:t xml:space="preserve"> </w:t>
      </w:r>
      <w:r w:rsidR="00732FB5" w:rsidRPr="00630A9E">
        <w:rPr>
          <w:rFonts w:ascii="Palatino" w:eastAsia="Droid Serif" w:hAnsi="Palatino" w:cstheme="minorHAnsi"/>
        </w:rPr>
        <w:t xml:space="preserve">the </w:t>
      </w:r>
      <w:r w:rsidRPr="00630A9E">
        <w:rPr>
          <w:rFonts w:ascii="Palatino" w:eastAsia="Droid Serif" w:hAnsi="Palatino" w:cstheme="minorHAnsi"/>
        </w:rPr>
        <w:t>details</w:t>
      </w:r>
      <w:r w:rsidR="00732FB5" w:rsidRPr="00630A9E">
        <w:rPr>
          <w:rFonts w:ascii="Palatino" w:eastAsia="Droid Serif" w:hAnsi="Palatino" w:cstheme="minorHAnsi"/>
        </w:rPr>
        <w:t xml:space="preserve"> of</w:t>
      </w:r>
      <w:r w:rsidRPr="00630A9E">
        <w:rPr>
          <w:rFonts w:ascii="Palatino" w:eastAsia="Droid Serif" w:hAnsi="Palatino" w:cstheme="minorHAnsi"/>
        </w:rPr>
        <w:t xml:space="preserve"> rules of </w:t>
      </w:r>
      <w:r w:rsidR="00732FB5" w:rsidRPr="00630A9E">
        <w:rPr>
          <w:rFonts w:ascii="Palatino" w:eastAsia="Droid Serif" w:hAnsi="Palatino" w:cstheme="minorHAnsi"/>
        </w:rPr>
        <w:t>interpretation</w:t>
      </w:r>
      <w:r w:rsidRPr="00630A9E">
        <w:rPr>
          <w:rFonts w:ascii="Palatino" w:eastAsia="Droid Serif" w:hAnsi="Palatino" w:cstheme="minorHAnsi"/>
        </w:rPr>
        <w:t xml:space="preserve"> </w:t>
      </w:r>
      <w:r w:rsidR="00732FB5" w:rsidRPr="00630A9E">
        <w:rPr>
          <w:rFonts w:ascii="Palatino" w:eastAsia="Droid Serif" w:hAnsi="Palatino" w:cstheme="minorHAnsi"/>
        </w:rPr>
        <w:t>and</w:t>
      </w:r>
      <w:r w:rsidRPr="00630A9E">
        <w:rPr>
          <w:rFonts w:ascii="Palatino" w:eastAsia="Droid Serif" w:hAnsi="Palatino" w:cstheme="minorHAnsi"/>
        </w:rPr>
        <w:t xml:space="preserve"> deliberation during the process of judicial review.</w:t>
      </w:r>
      <w:r w:rsidR="00732FB5" w:rsidRPr="00630A9E">
        <w:rPr>
          <w:rFonts w:ascii="Palatino" w:eastAsia="Droid Serif" w:hAnsi="Palatino" w:cstheme="minorHAnsi"/>
        </w:rPr>
        <w:t xml:space="preserve"> </w:t>
      </w:r>
      <w:r w:rsidR="00C85BDF" w:rsidRPr="00630A9E">
        <w:rPr>
          <w:rFonts w:ascii="Palatino" w:eastAsia="Droid Serif" w:hAnsi="Palatino" w:cstheme="minorHAnsi"/>
        </w:rPr>
        <w:t xml:space="preserve">Notably, the chain of deference is supposed to be a chain of </w:t>
      </w:r>
      <w:r w:rsidR="00C85BDF" w:rsidRPr="00630A9E">
        <w:rPr>
          <w:rFonts w:ascii="Palatino" w:eastAsia="Droid Serif" w:hAnsi="Palatino" w:cstheme="minorHAnsi"/>
          <w:i/>
        </w:rPr>
        <w:t>rational</w:t>
      </w:r>
      <w:r w:rsidR="009A5B96" w:rsidRPr="00630A9E">
        <w:rPr>
          <w:rFonts w:ascii="Palatino" w:eastAsia="Droid Serif" w:hAnsi="Palatino" w:cstheme="minorHAnsi"/>
          <w:i/>
        </w:rPr>
        <w:t xml:space="preserve">, intentional </w:t>
      </w:r>
      <w:r w:rsidR="00C85BDF" w:rsidRPr="00630A9E">
        <w:rPr>
          <w:rFonts w:ascii="Palatino" w:eastAsia="Droid Serif" w:hAnsi="Palatino" w:cstheme="minorHAnsi"/>
        </w:rPr>
        <w:t xml:space="preserve">deference. To have access to the law is to have access to a regimented set of standards in the evaluation of </w:t>
      </w:r>
      <w:r w:rsidR="00732FB5" w:rsidRPr="00630A9E">
        <w:rPr>
          <w:rFonts w:ascii="Palatino" w:eastAsia="Droid Serif" w:hAnsi="Palatino" w:cstheme="minorHAnsi"/>
        </w:rPr>
        <w:t>who counts as a genuinely knowledgeable official</w:t>
      </w:r>
      <w:r w:rsidR="00C85BDF" w:rsidRPr="00630A9E">
        <w:rPr>
          <w:rFonts w:ascii="Palatino" w:eastAsia="Droid Serif" w:hAnsi="Palatino" w:cstheme="minorHAnsi"/>
        </w:rPr>
        <w:t xml:space="preserve"> under some description</w:t>
      </w:r>
      <w:r w:rsidR="00732FB5" w:rsidRPr="00630A9E">
        <w:rPr>
          <w:rFonts w:ascii="Palatino" w:eastAsia="Droid Serif" w:hAnsi="Palatino" w:cstheme="minorHAnsi"/>
        </w:rPr>
        <w:t xml:space="preserve">. </w:t>
      </w:r>
    </w:p>
    <w:p w14:paraId="17BEA7AE" w14:textId="043EAE3F" w:rsidR="006E6A1B" w:rsidRPr="00630A9E" w:rsidRDefault="009A5B96" w:rsidP="008720B6">
      <w:pPr>
        <w:widowControl w:val="0"/>
        <w:ind w:right="-56" w:firstLine="426"/>
        <w:jc w:val="both"/>
        <w:rPr>
          <w:rFonts w:ascii="Palatino" w:eastAsia="Droid Serif" w:hAnsi="Palatino" w:cstheme="minorHAnsi"/>
        </w:rPr>
      </w:pPr>
      <w:r w:rsidRPr="00630A9E">
        <w:rPr>
          <w:rFonts w:ascii="Palatino" w:eastAsia="Droid Serif" w:hAnsi="Palatino" w:cstheme="minorHAnsi"/>
        </w:rPr>
        <w:t>Does the spread model constitutively disavow any particular legal theories? i.e., does it entail an authoritarian model, as opposed to a communitarian one? I would like to think that the answer is no. For our central preoccupation is the transmission of information about law, whatever form it takes; so, the issuances of legal officials to subjects need only take the form</w:t>
      </w:r>
      <w:r w:rsidR="00732FB5" w:rsidRPr="00630A9E">
        <w:rPr>
          <w:rFonts w:ascii="Palatino" w:eastAsia="Droid Serif" w:hAnsi="Palatino" w:cstheme="minorHAnsi"/>
        </w:rPr>
        <w:t xml:space="preserve"> of </w:t>
      </w:r>
      <w:r w:rsidR="00732FB5" w:rsidRPr="00630A9E">
        <w:rPr>
          <w:rFonts w:ascii="Palatino" w:eastAsia="Droid Serif" w:hAnsi="Palatino" w:cstheme="minorHAnsi"/>
          <w:i/>
        </w:rPr>
        <w:t>binding</w:t>
      </w:r>
      <w:r w:rsidR="00732FB5" w:rsidRPr="00630A9E">
        <w:rPr>
          <w:rFonts w:ascii="Palatino" w:eastAsia="Droid Serif" w:hAnsi="Palatino" w:cstheme="minorHAnsi"/>
        </w:rPr>
        <w:t xml:space="preserve"> </w:t>
      </w:r>
      <w:r w:rsidR="00732FB5" w:rsidRPr="00630A9E">
        <w:rPr>
          <w:rFonts w:ascii="Palatino" w:eastAsia="Droid Serif" w:hAnsi="Palatino" w:cstheme="minorHAnsi"/>
          <w:i/>
        </w:rPr>
        <w:t>advice</w:t>
      </w:r>
      <w:r w:rsidR="00732FB5" w:rsidRPr="00630A9E">
        <w:rPr>
          <w:rFonts w:ascii="Palatino" w:eastAsia="Droid Serif" w:hAnsi="Palatino" w:cstheme="minorHAnsi"/>
        </w:rPr>
        <w:t xml:space="preserve">, not necessarily command. </w:t>
      </w:r>
      <w:r w:rsidRPr="00630A9E">
        <w:rPr>
          <w:rFonts w:ascii="Palatino" w:eastAsia="Droid Serif" w:hAnsi="Palatino" w:cstheme="minorHAnsi"/>
        </w:rPr>
        <w:t xml:space="preserve">In this respect, promulgation may involve the transfer of mere ‘soft law’, not ‘hard law’ with </w:t>
      </w:r>
      <w:r w:rsidRPr="00630A9E">
        <w:rPr>
          <w:rFonts w:ascii="Palatino" w:eastAsia="Droid Serif" w:hAnsi="Palatino" w:cstheme="minorHAnsi"/>
        </w:rPr>
        <w:lastRenderedPageBreak/>
        <w:t>peremptory force, depending on your legal theory.</w:t>
      </w:r>
      <w:r w:rsidR="006E6A1B" w:rsidRPr="00630A9E">
        <w:rPr>
          <w:rStyle w:val="FootnoteReference"/>
          <w:rFonts w:ascii="Palatino" w:eastAsia="Droid Serif" w:hAnsi="Palatino" w:cstheme="minorHAnsi"/>
        </w:rPr>
        <w:footnoteReference w:id="41"/>
      </w:r>
    </w:p>
    <w:p w14:paraId="6E2683F8" w14:textId="57E5F0E5" w:rsidR="00234793" w:rsidRPr="00630A9E" w:rsidRDefault="000611B2" w:rsidP="008720B6">
      <w:pPr>
        <w:widowControl w:val="0"/>
        <w:ind w:right="-56" w:firstLine="426"/>
        <w:jc w:val="both"/>
        <w:rPr>
          <w:rFonts w:ascii="Palatino" w:hAnsi="Palatino" w:cstheme="minorHAnsi"/>
        </w:rPr>
      </w:pPr>
      <w:r w:rsidRPr="00630A9E">
        <w:rPr>
          <w:rFonts w:ascii="Palatino" w:hAnsi="Palatino" w:cstheme="minorHAnsi"/>
        </w:rPr>
        <w:t xml:space="preserve">Why would anyone hold </w:t>
      </w:r>
      <w:r w:rsidR="0070163F" w:rsidRPr="00630A9E">
        <w:rPr>
          <w:rFonts w:ascii="Palatino" w:hAnsi="Palatino" w:cstheme="minorHAnsi"/>
        </w:rPr>
        <w:t xml:space="preserve">the ‘chain </w:t>
      </w:r>
      <w:r w:rsidR="009A5B96" w:rsidRPr="00630A9E">
        <w:rPr>
          <w:rFonts w:ascii="Palatino" w:hAnsi="Palatino" w:cstheme="minorHAnsi"/>
        </w:rPr>
        <w:t>model’</w:t>
      </w:r>
      <w:r w:rsidRPr="00630A9E">
        <w:rPr>
          <w:rFonts w:ascii="Palatino" w:hAnsi="Palatino" w:cstheme="minorHAnsi"/>
        </w:rPr>
        <w:t>? There are</w:t>
      </w:r>
      <w:r w:rsidR="004A3066" w:rsidRPr="00630A9E">
        <w:rPr>
          <w:rFonts w:ascii="Palatino" w:hAnsi="Palatino" w:cstheme="minorHAnsi"/>
        </w:rPr>
        <w:t xml:space="preserve"> at least</w:t>
      </w:r>
      <w:r w:rsidRPr="00630A9E">
        <w:rPr>
          <w:rFonts w:ascii="Palatino" w:hAnsi="Palatino" w:cstheme="minorHAnsi"/>
        </w:rPr>
        <w:t xml:space="preserve"> </w:t>
      </w:r>
      <w:r w:rsidR="00754C0C" w:rsidRPr="00630A9E">
        <w:rPr>
          <w:rFonts w:ascii="Palatino" w:hAnsi="Palatino" w:cstheme="minorHAnsi"/>
        </w:rPr>
        <w:t>three</w:t>
      </w:r>
      <w:r w:rsidRPr="00630A9E">
        <w:rPr>
          <w:rFonts w:ascii="Palatino" w:hAnsi="Palatino" w:cstheme="minorHAnsi"/>
        </w:rPr>
        <w:t xml:space="preserve"> main advantages. First, </w:t>
      </w:r>
      <w:r w:rsidR="003A60DB" w:rsidRPr="00630A9E">
        <w:rPr>
          <w:rFonts w:ascii="Palatino" w:hAnsi="Palatino" w:cstheme="minorHAnsi"/>
        </w:rPr>
        <w:t xml:space="preserve">the chain </w:t>
      </w:r>
      <w:r w:rsidR="00AE7579" w:rsidRPr="00630A9E">
        <w:rPr>
          <w:rFonts w:ascii="Palatino" w:hAnsi="Palatino" w:cstheme="minorHAnsi"/>
        </w:rPr>
        <w:t>model</w:t>
      </w:r>
      <w:r w:rsidR="003A60DB" w:rsidRPr="00630A9E">
        <w:rPr>
          <w:rFonts w:ascii="Palatino" w:hAnsi="Palatino" w:cstheme="minorHAnsi"/>
        </w:rPr>
        <w:t xml:space="preserve"> </w:t>
      </w:r>
      <w:r w:rsidR="009A5B96" w:rsidRPr="00630A9E">
        <w:rPr>
          <w:rFonts w:ascii="Palatino" w:hAnsi="Palatino" w:cstheme="minorHAnsi"/>
        </w:rPr>
        <w:t>treats</w:t>
      </w:r>
      <w:r w:rsidR="003A60DB" w:rsidRPr="00630A9E">
        <w:rPr>
          <w:rFonts w:ascii="Palatino" w:hAnsi="Palatino" w:cstheme="minorHAnsi"/>
        </w:rPr>
        <w:t xml:space="preserve"> laypersons as </w:t>
      </w:r>
      <w:r w:rsidR="009A5B96" w:rsidRPr="00630A9E">
        <w:rPr>
          <w:rFonts w:ascii="Palatino" w:hAnsi="Palatino" w:cstheme="minorHAnsi"/>
        </w:rPr>
        <w:t>autonomous</w:t>
      </w:r>
      <w:r w:rsidR="00AE7579" w:rsidRPr="00630A9E">
        <w:rPr>
          <w:rFonts w:ascii="Palatino" w:hAnsi="Palatino" w:cstheme="minorHAnsi"/>
        </w:rPr>
        <w:t xml:space="preserve"> epistemic agents</w:t>
      </w:r>
      <w:r w:rsidR="003A60DB" w:rsidRPr="00630A9E">
        <w:rPr>
          <w:rFonts w:ascii="Palatino" w:hAnsi="Palatino" w:cstheme="minorHAnsi"/>
        </w:rPr>
        <w:t>,</w:t>
      </w:r>
      <w:r w:rsidR="00AE7579" w:rsidRPr="00630A9E">
        <w:rPr>
          <w:rFonts w:ascii="Palatino" w:hAnsi="Palatino" w:cstheme="minorHAnsi"/>
        </w:rPr>
        <w:t xml:space="preserve"> not</w:t>
      </w:r>
      <w:r w:rsidR="009A5B96" w:rsidRPr="00630A9E">
        <w:rPr>
          <w:rFonts w:ascii="Palatino" w:hAnsi="Palatino" w:cstheme="minorHAnsi"/>
        </w:rPr>
        <w:t xml:space="preserve"> as</w:t>
      </w:r>
      <w:r w:rsidR="00AE7579" w:rsidRPr="00630A9E">
        <w:rPr>
          <w:rFonts w:ascii="Palatino" w:hAnsi="Palatino" w:cstheme="minorHAnsi"/>
        </w:rPr>
        <w:t xml:space="preserve"> cultural dopes,</w:t>
      </w:r>
      <w:r w:rsidR="003A60DB" w:rsidRPr="00630A9E">
        <w:rPr>
          <w:rFonts w:ascii="Palatino" w:hAnsi="Palatino" w:cstheme="minorHAnsi"/>
        </w:rPr>
        <w:t xml:space="preserve"> </w:t>
      </w:r>
      <w:r w:rsidR="009A5B96" w:rsidRPr="00630A9E">
        <w:rPr>
          <w:rFonts w:ascii="Palatino" w:hAnsi="Palatino" w:cstheme="minorHAnsi"/>
        </w:rPr>
        <w:t>since it</w:t>
      </w:r>
      <w:r w:rsidR="003A60DB" w:rsidRPr="00630A9E">
        <w:rPr>
          <w:rFonts w:ascii="Palatino" w:hAnsi="Palatino" w:cstheme="minorHAnsi"/>
        </w:rPr>
        <w:t xml:space="preserve"> </w:t>
      </w:r>
      <w:r w:rsidR="00AE7579" w:rsidRPr="00630A9E">
        <w:rPr>
          <w:rFonts w:ascii="Palatino" w:hAnsi="Palatino" w:cstheme="minorHAnsi"/>
        </w:rPr>
        <w:t>giv</w:t>
      </w:r>
      <w:r w:rsidR="009A5B96" w:rsidRPr="00630A9E">
        <w:rPr>
          <w:rFonts w:ascii="Palatino" w:hAnsi="Palatino" w:cstheme="minorHAnsi"/>
        </w:rPr>
        <w:t>es</w:t>
      </w:r>
      <w:r w:rsidR="00AE7579" w:rsidRPr="00630A9E">
        <w:rPr>
          <w:rFonts w:ascii="Palatino" w:hAnsi="Palatino" w:cstheme="minorHAnsi"/>
        </w:rPr>
        <w:t xml:space="preserve"> the law a human voice which is capable of answering </w:t>
      </w:r>
      <w:r w:rsidR="00754C0C" w:rsidRPr="00630A9E">
        <w:rPr>
          <w:rFonts w:ascii="Palatino" w:hAnsi="Palatino" w:cstheme="minorHAnsi"/>
        </w:rPr>
        <w:t>actual questions</w:t>
      </w:r>
      <w:r w:rsidR="003A60DB" w:rsidRPr="00630A9E">
        <w:rPr>
          <w:rFonts w:ascii="Palatino" w:hAnsi="Palatino" w:cstheme="minorHAnsi"/>
        </w:rPr>
        <w:t xml:space="preserve">. </w:t>
      </w:r>
      <w:r w:rsidR="00754C0C" w:rsidRPr="00630A9E">
        <w:rPr>
          <w:rFonts w:ascii="Palatino" w:hAnsi="Palatino" w:cstheme="minorHAnsi"/>
        </w:rPr>
        <w:t>Second, i</w:t>
      </w:r>
      <w:r w:rsidR="00D21293" w:rsidRPr="00630A9E">
        <w:rPr>
          <w:rFonts w:ascii="Palatino" w:hAnsi="Palatino" w:cstheme="minorHAnsi"/>
        </w:rPr>
        <w:t>t</w:t>
      </w:r>
      <w:r w:rsidRPr="00630A9E">
        <w:rPr>
          <w:rFonts w:ascii="Palatino" w:hAnsi="Palatino" w:cstheme="minorHAnsi"/>
        </w:rPr>
        <w:t xml:space="preserve"> allows us to avoid demanding that laypersons </w:t>
      </w:r>
      <w:r w:rsidR="00754C0C" w:rsidRPr="00630A9E">
        <w:rPr>
          <w:rFonts w:ascii="Palatino" w:hAnsi="Palatino" w:cstheme="minorHAnsi"/>
        </w:rPr>
        <w:t xml:space="preserve">either </w:t>
      </w:r>
      <w:r w:rsidRPr="00630A9E">
        <w:rPr>
          <w:rFonts w:ascii="Palatino" w:hAnsi="Palatino" w:cstheme="minorHAnsi"/>
        </w:rPr>
        <w:t xml:space="preserve">have full knowledge of the penal code. All we need to say is that they knew who to ask. </w:t>
      </w:r>
      <w:r w:rsidR="00754C0C" w:rsidRPr="00630A9E">
        <w:rPr>
          <w:rFonts w:ascii="Palatino" w:hAnsi="Palatino" w:cstheme="minorHAnsi"/>
        </w:rPr>
        <w:t>Third</w:t>
      </w:r>
      <w:r w:rsidRPr="00630A9E">
        <w:rPr>
          <w:rFonts w:ascii="Palatino" w:hAnsi="Palatino" w:cstheme="minorHAnsi"/>
        </w:rPr>
        <w:t xml:space="preserve">, and as a result, </w:t>
      </w:r>
      <w:r w:rsidR="003A60DB" w:rsidRPr="00630A9E">
        <w:rPr>
          <w:rFonts w:ascii="Palatino" w:hAnsi="Palatino" w:cstheme="minorHAnsi"/>
        </w:rPr>
        <w:t xml:space="preserve">the </w:t>
      </w:r>
      <w:r w:rsidR="009A5B96" w:rsidRPr="00630A9E">
        <w:rPr>
          <w:rFonts w:ascii="Palatino" w:hAnsi="Palatino" w:cstheme="minorHAnsi"/>
        </w:rPr>
        <w:t>model</w:t>
      </w:r>
      <w:r w:rsidRPr="00630A9E">
        <w:rPr>
          <w:rFonts w:ascii="Palatino" w:hAnsi="Palatino" w:cstheme="minorHAnsi"/>
        </w:rPr>
        <w:t xml:space="preserve"> provides </w:t>
      </w:r>
      <w:r w:rsidR="009A5B96" w:rsidRPr="00630A9E">
        <w:rPr>
          <w:rFonts w:ascii="Palatino" w:hAnsi="Palatino" w:cstheme="minorHAnsi"/>
        </w:rPr>
        <w:t>a legal theory (or legal culture supported by a theory)</w:t>
      </w:r>
      <w:r w:rsidRPr="00630A9E">
        <w:rPr>
          <w:rFonts w:ascii="Palatino" w:hAnsi="Palatino" w:cstheme="minorHAnsi"/>
        </w:rPr>
        <w:t xml:space="preserve"> with a</w:t>
      </w:r>
      <w:r w:rsidR="009A5B96" w:rsidRPr="00630A9E">
        <w:rPr>
          <w:rFonts w:ascii="Palatino" w:hAnsi="Palatino" w:cstheme="minorHAnsi"/>
        </w:rPr>
        <w:t xml:space="preserve">n independent </w:t>
      </w:r>
      <w:r w:rsidRPr="00630A9E">
        <w:rPr>
          <w:rFonts w:ascii="Palatino" w:hAnsi="Palatino" w:cstheme="minorHAnsi"/>
        </w:rPr>
        <w:t xml:space="preserve">basis for holding </w:t>
      </w:r>
      <w:r w:rsidR="00322CAF" w:rsidRPr="00630A9E">
        <w:rPr>
          <w:rFonts w:ascii="Palatino" w:hAnsi="Palatino" w:cstheme="minorHAnsi"/>
        </w:rPr>
        <w:t>lay</w:t>
      </w:r>
      <w:r w:rsidRPr="00630A9E">
        <w:rPr>
          <w:rFonts w:ascii="Palatino" w:hAnsi="Palatino" w:cstheme="minorHAnsi"/>
        </w:rPr>
        <w:t>people accountable for breaking the law in spite of their ignorance</w:t>
      </w:r>
      <w:r w:rsidR="009A5B96" w:rsidRPr="00630A9E">
        <w:rPr>
          <w:rFonts w:ascii="Palatino" w:hAnsi="Palatino" w:cstheme="minorHAnsi"/>
        </w:rPr>
        <w:t>,</w:t>
      </w:r>
      <w:r w:rsidR="00940040" w:rsidRPr="00630A9E">
        <w:rPr>
          <w:rFonts w:ascii="Palatino" w:hAnsi="Palatino" w:cstheme="minorHAnsi"/>
        </w:rPr>
        <w:t xml:space="preserve"> without necessarily </w:t>
      </w:r>
      <w:r w:rsidR="00754C0C" w:rsidRPr="00630A9E">
        <w:rPr>
          <w:rFonts w:ascii="Palatino" w:hAnsi="Palatino" w:cstheme="minorHAnsi"/>
        </w:rPr>
        <w:t>grounding that maxim in</w:t>
      </w:r>
      <w:r w:rsidR="00940040" w:rsidRPr="00630A9E">
        <w:rPr>
          <w:rFonts w:ascii="Palatino" w:hAnsi="Palatino" w:cstheme="minorHAnsi"/>
        </w:rPr>
        <w:t xml:space="preserve"> moral intuition</w:t>
      </w:r>
      <w:r w:rsidR="009A5B96" w:rsidRPr="00630A9E">
        <w:rPr>
          <w:rFonts w:ascii="Palatino" w:hAnsi="Palatino" w:cstheme="minorHAnsi"/>
        </w:rPr>
        <w:t xml:space="preserve"> (whose independence as a criterion is up for debate)</w:t>
      </w:r>
      <w:r w:rsidRPr="00630A9E">
        <w:rPr>
          <w:rFonts w:ascii="Palatino" w:hAnsi="Palatino" w:cstheme="minorHAnsi"/>
        </w:rPr>
        <w:t>.</w:t>
      </w:r>
    </w:p>
    <w:p w14:paraId="754043AB" w14:textId="19C3CDF5" w:rsidR="00E63D76" w:rsidRPr="00630A9E" w:rsidRDefault="003A60DB" w:rsidP="008720B6">
      <w:pPr>
        <w:widowControl w:val="0"/>
        <w:ind w:right="-56" w:firstLine="426"/>
        <w:jc w:val="both"/>
        <w:rPr>
          <w:rFonts w:ascii="Palatino" w:hAnsi="Palatino" w:cstheme="minorHAnsi"/>
        </w:rPr>
      </w:pPr>
      <w:r w:rsidRPr="00630A9E">
        <w:rPr>
          <w:rFonts w:ascii="Palatino" w:hAnsi="Palatino" w:cstheme="minorHAnsi"/>
        </w:rPr>
        <w:t xml:space="preserve">Why not </w:t>
      </w:r>
      <w:r w:rsidR="007A53FC" w:rsidRPr="00630A9E">
        <w:rPr>
          <w:rFonts w:ascii="Palatino" w:hAnsi="Palatino" w:cstheme="minorHAnsi"/>
        </w:rPr>
        <w:t xml:space="preserve">take up the chain </w:t>
      </w:r>
      <w:r w:rsidR="00754C0C" w:rsidRPr="00630A9E">
        <w:rPr>
          <w:rFonts w:ascii="Palatino" w:hAnsi="Palatino" w:cstheme="minorHAnsi"/>
        </w:rPr>
        <w:t>model</w:t>
      </w:r>
      <w:r w:rsidR="007A53FC" w:rsidRPr="00630A9E">
        <w:rPr>
          <w:rFonts w:ascii="Palatino" w:hAnsi="Palatino" w:cstheme="minorHAnsi"/>
        </w:rPr>
        <w:t xml:space="preserve">? It might be felt that the </w:t>
      </w:r>
      <w:r w:rsidR="00754C0C" w:rsidRPr="00630A9E">
        <w:rPr>
          <w:rFonts w:ascii="Palatino" w:hAnsi="Palatino" w:cstheme="minorHAnsi"/>
        </w:rPr>
        <w:t>deferring party</w:t>
      </w:r>
      <w:r w:rsidR="007A53FC" w:rsidRPr="00630A9E">
        <w:rPr>
          <w:rFonts w:ascii="Palatino" w:hAnsi="Palatino" w:cstheme="minorHAnsi"/>
        </w:rPr>
        <w:t xml:space="preserve"> gives too much ground to expertise, in cases where no such expertise</w:t>
      </w:r>
      <w:r w:rsidR="009A5B96" w:rsidRPr="00630A9E">
        <w:rPr>
          <w:rFonts w:ascii="Palatino" w:hAnsi="Palatino" w:cstheme="minorHAnsi"/>
        </w:rPr>
        <w:t xml:space="preserve"> ought to</w:t>
      </w:r>
      <w:r w:rsidR="007A53FC" w:rsidRPr="00630A9E">
        <w:rPr>
          <w:rFonts w:ascii="Palatino" w:hAnsi="Palatino" w:cstheme="minorHAnsi"/>
        </w:rPr>
        <w:t xml:space="preserve"> exist. </w:t>
      </w:r>
      <w:r w:rsidR="00754C0C" w:rsidRPr="00630A9E">
        <w:rPr>
          <w:rFonts w:ascii="Palatino" w:hAnsi="Palatino" w:cstheme="minorHAnsi"/>
        </w:rPr>
        <w:t>So, consider</w:t>
      </w:r>
      <w:r w:rsidR="007A53FC" w:rsidRPr="00630A9E">
        <w:rPr>
          <w:rFonts w:ascii="Palatino" w:hAnsi="Palatino" w:cstheme="minorHAnsi"/>
        </w:rPr>
        <w:t xml:space="preserve"> Bentham</w:t>
      </w:r>
      <w:r w:rsidR="00865CE5" w:rsidRPr="00630A9E">
        <w:rPr>
          <w:rFonts w:ascii="Palatino" w:hAnsi="Palatino" w:cstheme="minorHAnsi"/>
        </w:rPr>
        <w:t>’s codification project</w:t>
      </w:r>
      <w:r w:rsidR="00754C0C" w:rsidRPr="00630A9E">
        <w:rPr>
          <w:rFonts w:ascii="Palatino" w:hAnsi="Palatino" w:cstheme="minorHAnsi"/>
        </w:rPr>
        <w:t xml:space="preserve"> --</w:t>
      </w:r>
      <w:r w:rsidR="00865CE5" w:rsidRPr="00630A9E">
        <w:rPr>
          <w:rFonts w:ascii="Palatino" w:hAnsi="Palatino" w:cstheme="minorHAnsi"/>
        </w:rPr>
        <w:t xml:space="preserve"> </w:t>
      </w:r>
      <w:r w:rsidR="00754C0C" w:rsidRPr="00630A9E">
        <w:rPr>
          <w:rFonts w:ascii="Palatino" w:hAnsi="Palatino" w:cstheme="minorHAnsi"/>
        </w:rPr>
        <w:t>o</w:t>
      </w:r>
      <w:r w:rsidR="00865CE5" w:rsidRPr="00630A9E">
        <w:rPr>
          <w:rFonts w:ascii="Palatino" w:hAnsi="Palatino" w:cstheme="minorHAnsi"/>
        </w:rPr>
        <w:t>n first blush, it seems that he would object to the chain theory</w:t>
      </w:r>
      <w:r w:rsidR="00754C0C" w:rsidRPr="00630A9E">
        <w:rPr>
          <w:rFonts w:ascii="Palatino" w:hAnsi="Palatino" w:cstheme="minorHAnsi"/>
        </w:rPr>
        <w:t>,</w:t>
      </w:r>
      <w:r w:rsidR="00865CE5" w:rsidRPr="00630A9E">
        <w:rPr>
          <w:rFonts w:ascii="Palatino" w:hAnsi="Palatino" w:cstheme="minorHAnsi"/>
        </w:rPr>
        <w:t xml:space="preserve"> </w:t>
      </w:r>
      <w:r w:rsidR="00754C0C" w:rsidRPr="00630A9E">
        <w:rPr>
          <w:rFonts w:ascii="Palatino" w:hAnsi="Palatino" w:cstheme="minorHAnsi"/>
        </w:rPr>
        <w:t xml:space="preserve">since </w:t>
      </w:r>
      <w:r w:rsidR="007A53FC" w:rsidRPr="00630A9E">
        <w:rPr>
          <w:rFonts w:ascii="Palatino" w:hAnsi="Palatino" w:cstheme="minorHAnsi"/>
        </w:rPr>
        <w:t>he wanted t</w:t>
      </w:r>
      <w:r w:rsidR="0054187F" w:rsidRPr="00630A9E">
        <w:rPr>
          <w:rFonts w:ascii="Palatino" w:hAnsi="Palatino" w:cstheme="minorHAnsi"/>
        </w:rPr>
        <w:t>o do away with the lawyer class</w:t>
      </w:r>
      <w:r w:rsidR="00754C0C" w:rsidRPr="00630A9E">
        <w:rPr>
          <w:rFonts w:ascii="Palatino" w:hAnsi="Palatino" w:cstheme="minorHAnsi"/>
        </w:rPr>
        <w:t>.</w:t>
      </w:r>
      <w:r w:rsidR="0054187F" w:rsidRPr="00630A9E">
        <w:rPr>
          <w:rFonts w:ascii="Palatino" w:hAnsi="Palatino" w:cstheme="minorHAnsi"/>
        </w:rPr>
        <w:t xml:space="preserve"> </w:t>
      </w:r>
      <w:r w:rsidR="009A5B96" w:rsidRPr="00630A9E">
        <w:rPr>
          <w:rFonts w:ascii="Palatino" w:hAnsi="Palatino" w:cstheme="minorHAnsi"/>
        </w:rPr>
        <w:t xml:space="preserve">For anyone who finds this aspect of Bentham’s positivism appealing, that may seem like reasons to think that the chain model is of very little use. </w:t>
      </w:r>
      <w:r w:rsidR="0054187F" w:rsidRPr="00630A9E">
        <w:rPr>
          <w:rFonts w:ascii="Palatino" w:hAnsi="Palatino" w:cstheme="minorHAnsi"/>
        </w:rPr>
        <w:t>B</w:t>
      </w:r>
      <w:r w:rsidR="007A53FC" w:rsidRPr="00630A9E">
        <w:rPr>
          <w:rFonts w:ascii="Palatino" w:hAnsi="Palatino" w:cstheme="minorHAnsi"/>
        </w:rPr>
        <w:t>ut</w:t>
      </w:r>
      <w:r w:rsidR="009A5B96" w:rsidRPr="00630A9E">
        <w:rPr>
          <w:rFonts w:ascii="Palatino" w:hAnsi="Palatino" w:cstheme="minorHAnsi"/>
        </w:rPr>
        <w:t>, in fact,</w:t>
      </w:r>
      <w:r w:rsidR="007A53FC" w:rsidRPr="00630A9E">
        <w:rPr>
          <w:rFonts w:ascii="Palatino" w:hAnsi="Palatino" w:cstheme="minorHAnsi"/>
        </w:rPr>
        <w:t xml:space="preserve"> that</w:t>
      </w:r>
      <w:r w:rsidR="009A5B96" w:rsidRPr="00630A9E">
        <w:rPr>
          <w:rFonts w:ascii="Palatino" w:hAnsi="Palatino" w:cstheme="minorHAnsi"/>
        </w:rPr>
        <w:t xml:space="preserve"> objection</w:t>
      </w:r>
      <w:r w:rsidR="00754C0C" w:rsidRPr="00630A9E">
        <w:rPr>
          <w:rFonts w:ascii="Palatino" w:hAnsi="Palatino" w:cstheme="minorHAnsi"/>
        </w:rPr>
        <w:t xml:space="preserve"> is too quick;</w:t>
      </w:r>
      <w:r w:rsidR="007A53FC" w:rsidRPr="00630A9E">
        <w:rPr>
          <w:rFonts w:ascii="Palatino" w:hAnsi="Palatino" w:cstheme="minorHAnsi"/>
        </w:rPr>
        <w:t xml:space="preserve"> </w:t>
      </w:r>
      <w:r w:rsidR="00754C0C" w:rsidRPr="00630A9E">
        <w:rPr>
          <w:rFonts w:ascii="Palatino" w:hAnsi="Palatino" w:cstheme="minorHAnsi"/>
        </w:rPr>
        <w:t>for, indeed,</w:t>
      </w:r>
      <w:r w:rsidR="007A53FC" w:rsidRPr="00630A9E">
        <w:rPr>
          <w:rFonts w:ascii="Palatino" w:hAnsi="Palatino" w:cstheme="minorHAnsi"/>
        </w:rPr>
        <w:t xml:space="preserve"> </w:t>
      </w:r>
      <w:r w:rsidR="00865CE5" w:rsidRPr="00630A9E">
        <w:rPr>
          <w:rFonts w:ascii="Palatino" w:hAnsi="Palatino" w:cstheme="minorHAnsi"/>
        </w:rPr>
        <w:t>Bentham</w:t>
      </w:r>
      <w:r w:rsidR="007A53FC" w:rsidRPr="00630A9E">
        <w:rPr>
          <w:rFonts w:ascii="Palatino" w:hAnsi="Palatino" w:cstheme="minorHAnsi"/>
        </w:rPr>
        <w:t xml:space="preserve"> </w:t>
      </w:r>
      <w:r w:rsidR="0054187F" w:rsidRPr="00630A9E">
        <w:rPr>
          <w:rFonts w:ascii="Palatino" w:hAnsi="Palatino" w:cstheme="minorHAnsi"/>
        </w:rPr>
        <w:t xml:space="preserve">himself wished to replace legal professionals with a comprehensive pedagogical institution of teachers and </w:t>
      </w:r>
      <w:r w:rsidR="00D21293" w:rsidRPr="00630A9E">
        <w:rPr>
          <w:rFonts w:ascii="Palatino" w:hAnsi="Palatino" w:cstheme="minorHAnsi"/>
        </w:rPr>
        <w:t>lawyer-</w:t>
      </w:r>
      <w:r w:rsidR="0054187F" w:rsidRPr="00630A9E">
        <w:rPr>
          <w:rFonts w:ascii="Palatino" w:hAnsi="Palatino" w:cstheme="minorHAnsi"/>
        </w:rPr>
        <w:t>poets</w:t>
      </w:r>
      <w:r w:rsidR="00E63D76" w:rsidRPr="00630A9E">
        <w:rPr>
          <w:rFonts w:ascii="Palatino" w:hAnsi="Palatino" w:cstheme="minorHAnsi"/>
        </w:rPr>
        <w:t>.</w:t>
      </w:r>
      <w:r w:rsidR="006E6A1B" w:rsidRPr="00630A9E">
        <w:rPr>
          <w:rStyle w:val="FootnoteReference"/>
          <w:rFonts w:ascii="Palatino" w:hAnsi="Palatino" w:cstheme="minorHAnsi"/>
        </w:rPr>
        <w:footnoteReference w:id="42"/>
      </w:r>
      <w:r w:rsidR="006E6A1B" w:rsidRPr="00630A9E">
        <w:rPr>
          <w:rFonts w:ascii="Palatino" w:hAnsi="Palatino" w:cstheme="minorHAnsi"/>
        </w:rPr>
        <w:t xml:space="preserve"> </w:t>
      </w:r>
      <w:r w:rsidR="00865CE5" w:rsidRPr="00630A9E">
        <w:rPr>
          <w:rFonts w:ascii="Palatino" w:hAnsi="Palatino" w:cstheme="minorHAnsi"/>
        </w:rPr>
        <w:t xml:space="preserve">His problem was not with </w:t>
      </w:r>
      <w:r w:rsidR="00865CE5" w:rsidRPr="00630A9E">
        <w:rPr>
          <w:rFonts w:ascii="Palatino" w:hAnsi="Palatino" w:cstheme="minorHAnsi"/>
          <w:i/>
        </w:rPr>
        <w:t>experts</w:t>
      </w:r>
      <w:r w:rsidR="00754C0C" w:rsidRPr="00630A9E">
        <w:rPr>
          <w:rFonts w:ascii="Palatino" w:hAnsi="Palatino" w:cstheme="minorHAnsi"/>
        </w:rPr>
        <w:t>,</w:t>
      </w:r>
      <w:r w:rsidR="00865CE5" w:rsidRPr="00630A9E">
        <w:rPr>
          <w:rFonts w:ascii="Palatino" w:hAnsi="Palatino" w:cstheme="minorHAnsi"/>
        </w:rPr>
        <w:t xml:space="preserve"> it was with the peculiar form of </w:t>
      </w:r>
      <w:r w:rsidR="00865CE5" w:rsidRPr="00630A9E">
        <w:rPr>
          <w:rFonts w:ascii="Palatino" w:hAnsi="Palatino" w:cstheme="minorHAnsi"/>
          <w:i/>
        </w:rPr>
        <w:t xml:space="preserve">disorganized </w:t>
      </w:r>
      <w:r w:rsidR="00865CE5" w:rsidRPr="00630A9E">
        <w:rPr>
          <w:rFonts w:ascii="Palatino" w:hAnsi="Palatino" w:cstheme="minorHAnsi"/>
        </w:rPr>
        <w:t>expertise</w:t>
      </w:r>
      <w:r w:rsidR="00865CE5" w:rsidRPr="00630A9E">
        <w:rPr>
          <w:rFonts w:ascii="Palatino" w:hAnsi="Palatino" w:cstheme="minorHAnsi"/>
          <w:i/>
        </w:rPr>
        <w:t xml:space="preserve"> </w:t>
      </w:r>
      <w:r w:rsidR="00865CE5" w:rsidRPr="00630A9E">
        <w:rPr>
          <w:rFonts w:ascii="Palatino" w:hAnsi="Palatino" w:cstheme="minorHAnsi"/>
        </w:rPr>
        <w:t>found in customary law.</w:t>
      </w:r>
    </w:p>
    <w:p w14:paraId="7653BBB4" w14:textId="4FE078B5" w:rsidR="00791087" w:rsidRPr="00630A9E" w:rsidRDefault="00011D2B" w:rsidP="008720B6">
      <w:pPr>
        <w:widowControl w:val="0"/>
        <w:ind w:right="-56" w:firstLine="426"/>
        <w:jc w:val="both"/>
        <w:rPr>
          <w:rFonts w:ascii="Palatino" w:hAnsi="Palatino" w:cstheme="minorHAnsi"/>
        </w:rPr>
      </w:pPr>
      <w:r w:rsidRPr="00630A9E">
        <w:rPr>
          <w:rFonts w:ascii="Palatino" w:hAnsi="Palatino" w:cstheme="minorHAnsi"/>
        </w:rPr>
        <w:t>A deeper problem with the model is that it leaves the ‘chains’ undertheorized. For, h</w:t>
      </w:r>
      <w:r w:rsidR="00B56611" w:rsidRPr="00630A9E">
        <w:rPr>
          <w:rFonts w:ascii="Palatino" w:hAnsi="Palatino" w:cstheme="minorHAnsi"/>
        </w:rPr>
        <w:t>idden within</w:t>
      </w:r>
      <w:r w:rsidR="000F0413" w:rsidRPr="00630A9E">
        <w:rPr>
          <w:rFonts w:ascii="Palatino" w:hAnsi="Palatino" w:cstheme="minorHAnsi"/>
        </w:rPr>
        <w:t xml:space="preserve"> the first maxim of</w:t>
      </w:r>
      <w:r w:rsidR="00B56611" w:rsidRPr="00630A9E">
        <w:rPr>
          <w:rFonts w:ascii="Palatino" w:hAnsi="Palatino" w:cstheme="minorHAnsi"/>
        </w:rPr>
        <w:t xml:space="preserve"> the chain </w:t>
      </w:r>
      <w:r w:rsidR="00754C0C" w:rsidRPr="00630A9E">
        <w:rPr>
          <w:rFonts w:ascii="Palatino" w:hAnsi="Palatino" w:cstheme="minorHAnsi"/>
        </w:rPr>
        <w:t>model</w:t>
      </w:r>
      <w:r w:rsidR="000F0413" w:rsidRPr="00630A9E">
        <w:rPr>
          <w:rFonts w:ascii="Palatino" w:hAnsi="Palatino" w:cstheme="minorHAnsi"/>
        </w:rPr>
        <w:t>, (1),</w:t>
      </w:r>
      <w:r w:rsidR="00B56611" w:rsidRPr="00630A9E">
        <w:rPr>
          <w:rFonts w:ascii="Palatino" w:hAnsi="Palatino" w:cstheme="minorHAnsi"/>
        </w:rPr>
        <w:t xml:space="preserve"> is the expectation that we can solve the so-called ‘expert problem’ in social epistemology</w:t>
      </w:r>
      <w:r w:rsidR="000F0413" w:rsidRPr="00630A9E">
        <w:rPr>
          <w:rFonts w:ascii="Palatino" w:hAnsi="Palatino" w:cstheme="minorHAnsi"/>
        </w:rPr>
        <w:t xml:space="preserve"> (</w:t>
      </w:r>
      <w:r w:rsidR="00B56611" w:rsidRPr="00630A9E">
        <w:rPr>
          <w:rFonts w:ascii="Palatino" w:hAnsi="Palatino" w:cstheme="minorHAnsi"/>
        </w:rPr>
        <w:t xml:space="preserve">i.e., the problem </w:t>
      </w:r>
      <w:r w:rsidR="000F0413" w:rsidRPr="00630A9E">
        <w:rPr>
          <w:rFonts w:ascii="Palatino" w:hAnsi="Palatino" w:cstheme="minorHAnsi"/>
        </w:rPr>
        <w:t>that</w:t>
      </w:r>
      <w:r w:rsidR="00B56611" w:rsidRPr="00630A9E">
        <w:rPr>
          <w:rFonts w:ascii="Palatino" w:hAnsi="Palatino" w:cstheme="minorHAnsi"/>
        </w:rPr>
        <w:t xml:space="preserve"> novices face when trying to identify </w:t>
      </w:r>
      <w:r w:rsidR="000F0413" w:rsidRPr="00630A9E">
        <w:rPr>
          <w:rFonts w:ascii="Palatino" w:hAnsi="Palatino" w:cstheme="minorHAnsi"/>
        </w:rPr>
        <w:t xml:space="preserve">credible </w:t>
      </w:r>
      <w:r w:rsidR="00B56611" w:rsidRPr="00630A9E">
        <w:rPr>
          <w:rFonts w:ascii="Palatino" w:hAnsi="Palatino" w:cstheme="minorHAnsi"/>
        </w:rPr>
        <w:t>experts</w:t>
      </w:r>
      <w:r w:rsidR="000F0413" w:rsidRPr="00630A9E">
        <w:rPr>
          <w:rFonts w:ascii="Palatino" w:hAnsi="Palatino" w:cstheme="minorHAnsi"/>
        </w:rPr>
        <w:t>)</w:t>
      </w:r>
      <w:r w:rsidR="00B56611" w:rsidRPr="00630A9E">
        <w:rPr>
          <w:rFonts w:ascii="Palatino" w:hAnsi="Palatino" w:cstheme="minorHAnsi"/>
        </w:rPr>
        <w:t>.</w:t>
      </w:r>
      <w:r w:rsidR="00583ADC" w:rsidRPr="00630A9E">
        <w:rPr>
          <w:rStyle w:val="FootnoteReference"/>
          <w:rFonts w:ascii="Palatino" w:hAnsi="Palatino" w:cstheme="minorHAnsi"/>
        </w:rPr>
        <w:footnoteReference w:id="43"/>
      </w:r>
      <w:r w:rsidR="002339D2" w:rsidRPr="00630A9E">
        <w:rPr>
          <w:rFonts w:ascii="Palatino" w:hAnsi="Palatino" w:cstheme="minorHAnsi"/>
        </w:rPr>
        <w:t xml:space="preserve"> </w:t>
      </w:r>
      <w:r w:rsidR="00952941" w:rsidRPr="00630A9E">
        <w:rPr>
          <w:rFonts w:ascii="Palatino" w:hAnsi="Palatino" w:cstheme="minorHAnsi"/>
        </w:rPr>
        <w:t xml:space="preserve">To have that, the novices must have a kind of </w:t>
      </w:r>
      <w:r w:rsidR="00952941" w:rsidRPr="00630A9E">
        <w:rPr>
          <w:rFonts w:ascii="Palatino" w:hAnsi="Palatino" w:cstheme="minorHAnsi"/>
          <w:i/>
        </w:rPr>
        <w:t>meta-expertise</w:t>
      </w:r>
      <w:r w:rsidR="00952941" w:rsidRPr="00630A9E">
        <w:rPr>
          <w:rFonts w:ascii="Palatino" w:hAnsi="Palatino" w:cstheme="minorHAnsi"/>
        </w:rPr>
        <w:t>; t</w:t>
      </w:r>
      <w:r w:rsidR="002339D2" w:rsidRPr="00630A9E">
        <w:rPr>
          <w:rFonts w:ascii="Palatino" w:hAnsi="Palatino" w:cstheme="minorHAnsi"/>
        </w:rPr>
        <w:t>he puzzle is in finding a criterion for finding experts that does not itself presuppose that the novice has expert knowledge.</w:t>
      </w:r>
      <w:r w:rsidR="006E6A1B" w:rsidRPr="00630A9E">
        <w:rPr>
          <w:rStyle w:val="FootnoteReference"/>
          <w:rFonts w:ascii="Palatino" w:hAnsi="Palatino" w:cstheme="minorHAnsi"/>
        </w:rPr>
        <w:footnoteReference w:id="44"/>
      </w:r>
      <w:r w:rsidR="006E6A1B" w:rsidRPr="00630A9E">
        <w:rPr>
          <w:rFonts w:ascii="Palatino" w:hAnsi="Palatino" w:cstheme="minorHAnsi"/>
        </w:rPr>
        <w:t xml:space="preserve"> </w:t>
      </w:r>
      <w:r w:rsidRPr="00630A9E">
        <w:rPr>
          <w:rFonts w:ascii="Palatino" w:hAnsi="Palatino" w:cstheme="minorHAnsi"/>
        </w:rPr>
        <w:t xml:space="preserve">I think this problem is easy to overexaggerate; for the </w:t>
      </w:r>
      <w:r w:rsidR="002339D2" w:rsidRPr="00630A9E">
        <w:rPr>
          <w:rFonts w:ascii="Palatino" w:hAnsi="Palatino" w:cstheme="minorHAnsi"/>
        </w:rPr>
        <w:t>methodological suggestion of this paper is that, whatever they decide, the laity must have at least minimal</w:t>
      </w:r>
      <w:r w:rsidR="0049444E" w:rsidRPr="00630A9E">
        <w:rPr>
          <w:rFonts w:ascii="Palatino" w:hAnsi="Palatino" w:cstheme="minorHAnsi"/>
        </w:rPr>
        <w:t>ly satisfactory</w:t>
      </w:r>
      <w:r w:rsidR="002339D2" w:rsidRPr="00630A9E">
        <w:rPr>
          <w:rFonts w:ascii="Palatino" w:hAnsi="Palatino" w:cstheme="minorHAnsi"/>
        </w:rPr>
        <w:t xml:space="preserve"> </w:t>
      </w:r>
      <w:r w:rsidR="000F0413" w:rsidRPr="00630A9E">
        <w:rPr>
          <w:rFonts w:ascii="Palatino" w:hAnsi="Palatino" w:cstheme="minorHAnsi"/>
        </w:rPr>
        <w:t>training</w:t>
      </w:r>
      <w:r w:rsidRPr="00630A9E">
        <w:rPr>
          <w:rFonts w:ascii="Palatino" w:hAnsi="Palatino" w:cstheme="minorHAnsi"/>
        </w:rPr>
        <w:t xml:space="preserve"> </w:t>
      </w:r>
      <w:r w:rsidR="000F0413" w:rsidRPr="00630A9E">
        <w:rPr>
          <w:rFonts w:ascii="Palatino" w:hAnsi="Palatino" w:cstheme="minorHAnsi"/>
        </w:rPr>
        <w:t xml:space="preserve">rooted in </w:t>
      </w:r>
      <w:r w:rsidRPr="00630A9E">
        <w:rPr>
          <w:rFonts w:ascii="Palatino" w:hAnsi="Palatino" w:cstheme="minorHAnsi"/>
        </w:rPr>
        <w:t>a minimally adequate</w:t>
      </w:r>
      <w:r w:rsidR="000F0413" w:rsidRPr="00630A9E">
        <w:rPr>
          <w:rFonts w:ascii="Palatino" w:hAnsi="Palatino" w:cstheme="minorHAnsi"/>
        </w:rPr>
        <w:t xml:space="preserve"> conception of discourse</w:t>
      </w:r>
      <w:r w:rsidRPr="00630A9E">
        <w:rPr>
          <w:rFonts w:ascii="Palatino" w:hAnsi="Palatino" w:cstheme="minorHAnsi"/>
        </w:rPr>
        <w:t xml:space="preserve"> (not disintegrated, hubristic, insouciant, or taciturn)</w:t>
      </w:r>
      <w:r w:rsidR="000F0413" w:rsidRPr="00630A9E">
        <w:rPr>
          <w:rFonts w:ascii="Palatino" w:hAnsi="Palatino" w:cstheme="minorHAnsi"/>
        </w:rPr>
        <w:t xml:space="preserve"> which ostensibly resonates with the prevailing conception of law within a particular legal cultur</w:t>
      </w:r>
      <w:r w:rsidR="002339D2" w:rsidRPr="00630A9E">
        <w:rPr>
          <w:rFonts w:ascii="Palatino" w:hAnsi="Palatino" w:cstheme="minorHAnsi"/>
        </w:rPr>
        <w:t xml:space="preserve">e. </w:t>
      </w:r>
      <w:r w:rsidR="0049444E" w:rsidRPr="00630A9E">
        <w:rPr>
          <w:rFonts w:ascii="Palatino" w:hAnsi="Palatino" w:cstheme="minorHAnsi"/>
        </w:rPr>
        <w:t xml:space="preserve">This </w:t>
      </w:r>
      <w:r w:rsidR="00E14010" w:rsidRPr="00630A9E">
        <w:rPr>
          <w:rFonts w:ascii="Palatino" w:hAnsi="Palatino" w:cstheme="minorHAnsi"/>
        </w:rPr>
        <w:t>minimal amount of training is</w:t>
      </w:r>
      <w:r w:rsidR="0049444E" w:rsidRPr="00630A9E">
        <w:rPr>
          <w:rFonts w:ascii="Palatino" w:hAnsi="Palatino" w:cstheme="minorHAnsi"/>
        </w:rPr>
        <w:t xml:space="preserve"> </w:t>
      </w:r>
      <w:r w:rsidR="00E14010" w:rsidRPr="00630A9E">
        <w:rPr>
          <w:rFonts w:ascii="Palatino" w:hAnsi="Palatino" w:cstheme="minorHAnsi"/>
        </w:rPr>
        <w:t>inadequate</w:t>
      </w:r>
      <w:r w:rsidR="0049444E" w:rsidRPr="00630A9E">
        <w:rPr>
          <w:rFonts w:ascii="Palatino" w:hAnsi="Palatino" w:cstheme="minorHAnsi"/>
        </w:rPr>
        <w:t xml:space="preserve"> </w:t>
      </w:r>
      <w:r w:rsidR="00E14010" w:rsidRPr="00630A9E">
        <w:rPr>
          <w:rFonts w:ascii="Palatino" w:hAnsi="Palatino" w:cstheme="minorHAnsi"/>
        </w:rPr>
        <w:t xml:space="preserve">as a </w:t>
      </w:r>
      <w:r w:rsidR="00E14010" w:rsidRPr="00630A9E">
        <w:rPr>
          <w:rFonts w:ascii="Palatino" w:hAnsi="Palatino" w:cstheme="minorHAnsi"/>
          <w:i/>
        </w:rPr>
        <w:t>solution</w:t>
      </w:r>
      <w:r w:rsidR="00E14010" w:rsidRPr="00630A9E">
        <w:rPr>
          <w:rFonts w:ascii="Palatino" w:hAnsi="Palatino" w:cstheme="minorHAnsi"/>
        </w:rPr>
        <w:t xml:space="preserve"> to the novice-expert problem</w:t>
      </w:r>
      <w:r w:rsidR="0049444E" w:rsidRPr="00630A9E">
        <w:rPr>
          <w:rFonts w:ascii="Palatino" w:hAnsi="Palatino" w:cstheme="minorHAnsi"/>
        </w:rPr>
        <w:t>,</w:t>
      </w:r>
      <w:r w:rsidR="00400C72" w:rsidRPr="00630A9E">
        <w:rPr>
          <w:rFonts w:ascii="Palatino" w:hAnsi="Palatino" w:cstheme="minorHAnsi"/>
        </w:rPr>
        <w:t xml:space="preserve"> of course,</w:t>
      </w:r>
      <w:r w:rsidR="0049444E" w:rsidRPr="00630A9E">
        <w:rPr>
          <w:rFonts w:ascii="Palatino" w:hAnsi="Palatino" w:cstheme="minorHAnsi"/>
        </w:rPr>
        <w:t xml:space="preserve"> as it leaves </w:t>
      </w:r>
      <w:r w:rsidR="00400C72" w:rsidRPr="00630A9E">
        <w:rPr>
          <w:rFonts w:ascii="Palatino" w:hAnsi="Palatino" w:cstheme="minorHAnsi"/>
        </w:rPr>
        <w:t>the layperson vulnerable</w:t>
      </w:r>
      <w:r w:rsidR="0049444E" w:rsidRPr="00630A9E">
        <w:rPr>
          <w:rFonts w:ascii="Palatino" w:hAnsi="Palatino" w:cstheme="minorHAnsi"/>
        </w:rPr>
        <w:t xml:space="preserve"> </w:t>
      </w:r>
      <w:r w:rsidR="00400C72" w:rsidRPr="00630A9E">
        <w:rPr>
          <w:rFonts w:ascii="Palatino" w:hAnsi="Palatino" w:cstheme="minorHAnsi"/>
        </w:rPr>
        <w:t xml:space="preserve">to </w:t>
      </w:r>
      <w:r w:rsidR="0049444E" w:rsidRPr="00630A9E">
        <w:rPr>
          <w:rFonts w:ascii="Palatino" w:hAnsi="Palatino" w:cstheme="minorHAnsi"/>
        </w:rPr>
        <w:t>a rather large range of epistemic risk</w:t>
      </w:r>
      <w:r w:rsidR="00400C72" w:rsidRPr="00630A9E">
        <w:rPr>
          <w:rFonts w:ascii="Palatino" w:hAnsi="Palatino" w:cstheme="minorHAnsi"/>
        </w:rPr>
        <w:t>s</w:t>
      </w:r>
      <w:r w:rsidR="00942D2D" w:rsidRPr="00630A9E">
        <w:rPr>
          <w:rFonts w:ascii="Palatino" w:hAnsi="Palatino" w:cstheme="minorHAnsi"/>
        </w:rPr>
        <w:t>.</w:t>
      </w:r>
      <w:r w:rsidR="00A04A51" w:rsidRPr="00630A9E">
        <w:rPr>
          <w:rStyle w:val="FootnoteReference"/>
          <w:rFonts w:ascii="Palatino" w:hAnsi="Palatino" w:cstheme="minorHAnsi"/>
        </w:rPr>
        <w:footnoteReference w:id="45"/>
      </w:r>
      <w:r w:rsidR="00942D2D" w:rsidRPr="00630A9E">
        <w:rPr>
          <w:rFonts w:ascii="Palatino" w:hAnsi="Palatino" w:cstheme="minorHAnsi"/>
        </w:rPr>
        <w:t xml:space="preserve"> That is,</w:t>
      </w:r>
      <w:r w:rsidR="00E14010" w:rsidRPr="00630A9E">
        <w:rPr>
          <w:rFonts w:ascii="Palatino" w:hAnsi="Palatino" w:cstheme="minorHAnsi"/>
        </w:rPr>
        <w:t xml:space="preserve"> they are still </w:t>
      </w:r>
      <w:r w:rsidR="00942D2D" w:rsidRPr="00630A9E">
        <w:rPr>
          <w:rFonts w:ascii="Palatino" w:hAnsi="Palatino" w:cstheme="minorHAnsi"/>
        </w:rPr>
        <w:t xml:space="preserve">potentially </w:t>
      </w:r>
      <w:r w:rsidR="00E14010" w:rsidRPr="00630A9E">
        <w:rPr>
          <w:rFonts w:ascii="Palatino" w:hAnsi="Palatino" w:cstheme="minorHAnsi"/>
        </w:rPr>
        <w:t xml:space="preserve">vulnerable to </w:t>
      </w:r>
      <w:r w:rsidR="00942D2D" w:rsidRPr="00630A9E">
        <w:rPr>
          <w:rFonts w:ascii="Palatino" w:hAnsi="Palatino" w:cstheme="minorHAnsi"/>
        </w:rPr>
        <w:t>being snookered by discredited agents whose infamy falls short of formal expulsion --</w:t>
      </w:r>
      <w:r w:rsidR="00E14010" w:rsidRPr="00630A9E">
        <w:rPr>
          <w:rFonts w:ascii="Palatino" w:hAnsi="Palatino" w:cstheme="minorHAnsi"/>
        </w:rPr>
        <w:t xml:space="preserve"> </w:t>
      </w:r>
      <w:r w:rsidR="00942D2D" w:rsidRPr="00630A9E">
        <w:rPr>
          <w:rFonts w:ascii="Palatino" w:hAnsi="Palatino" w:cstheme="minorHAnsi"/>
        </w:rPr>
        <w:t>e.g.,</w:t>
      </w:r>
      <w:r w:rsidR="00400C72" w:rsidRPr="00630A9E">
        <w:rPr>
          <w:rFonts w:ascii="Palatino" w:hAnsi="Palatino" w:cstheme="minorHAnsi"/>
        </w:rPr>
        <w:t xml:space="preserve"> the corrupt officer with a shiny badge, the dishonest lawyer who is </w:t>
      </w:r>
      <w:r w:rsidR="00942D2D" w:rsidRPr="00630A9E">
        <w:rPr>
          <w:rFonts w:ascii="Palatino" w:hAnsi="Palatino" w:cstheme="minorHAnsi"/>
        </w:rPr>
        <w:t>on the take</w:t>
      </w:r>
      <w:r w:rsidR="00400C72" w:rsidRPr="00630A9E">
        <w:rPr>
          <w:rFonts w:ascii="Palatino" w:hAnsi="Palatino" w:cstheme="minorHAnsi"/>
        </w:rPr>
        <w:t>, and so on. But in these conditions, there is nothing else to say except that</w:t>
      </w:r>
      <w:r w:rsidR="0049444E" w:rsidRPr="00630A9E">
        <w:rPr>
          <w:rFonts w:ascii="Palatino" w:hAnsi="Palatino" w:cstheme="minorHAnsi"/>
        </w:rPr>
        <w:t xml:space="preserve"> the legal culture itself is on the hook for providing sufficient and exhaustive evidence about who counts as credible</w:t>
      </w:r>
      <w:r w:rsidR="00400C72" w:rsidRPr="00630A9E">
        <w:rPr>
          <w:rFonts w:ascii="Palatino" w:hAnsi="Palatino" w:cstheme="minorHAnsi"/>
        </w:rPr>
        <w:t xml:space="preserve">, for all those citizens who are </w:t>
      </w:r>
      <w:r w:rsidR="00942D2D" w:rsidRPr="00630A9E">
        <w:rPr>
          <w:rFonts w:ascii="Palatino" w:hAnsi="Palatino" w:cstheme="minorHAnsi"/>
        </w:rPr>
        <w:t xml:space="preserve">capable of </w:t>
      </w:r>
      <w:proofErr w:type="spellStart"/>
      <w:r w:rsidR="00942D2D" w:rsidRPr="00630A9E">
        <w:rPr>
          <w:rFonts w:ascii="Palatino" w:hAnsi="Palatino" w:cstheme="minorHAnsi"/>
        </w:rPr>
        <w:t>blunderproofing</w:t>
      </w:r>
      <w:proofErr w:type="spellEnd"/>
      <w:r w:rsidR="00942D2D" w:rsidRPr="00630A9E">
        <w:rPr>
          <w:rFonts w:ascii="Palatino" w:hAnsi="Palatino" w:cstheme="minorHAnsi"/>
        </w:rPr>
        <w:t xml:space="preserve"> their judgments</w:t>
      </w:r>
      <w:r w:rsidR="00400C72" w:rsidRPr="00630A9E">
        <w:rPr>
          <w:rFonts w:ascii="Palatino" w:hAnsi="Palatino" w:cstheme="minorHAnsi"/>
        </w:rPr>
        <w:t xml:space="preserve">. </w:t>
      </w:r>
      <w:r w:rsidR="0049444E" w:rsidRPr="00630A9E">
        <w:rPr>
          <w:rFonts w:ascii="Palatino" w:hAnsi="Palatino" w:cstheme="minorHAnsi"/>
        </w:rPr>
        <w:t>If that evidence of who counts as an expert is not at hand</w:t>
      </w:r>
      <w:r w:rsidR="00400C72" w:rsidRPr="00630A9E">
        <w:rPr>
          <w:rFonts w:ascii="Palatino" w:hAnsi="Palatino" w:cstheme="minorHAnsi"/>
        </w:rPr>
        <w:t xml:space="preserve">, </w:t>
      </w:r>
      <w:r w:rsidR="0049444E" w:rsidRPr="00630A9E">
        <w:rPr>
          <w:rFonts w:ascii="Palatino" w:hAnsi="Palatino" w:cstheme="minorHAnsi"/>
        </w:rPr>
        <w:t>then the risk of error shall be so great as to make estimates</w:t>
      </w:r>
      <w:r w:rsidR="00400C72" w:rsidRPr="00630A9E">
        <w:rPr>
          <w:rFonts w:ascii="Palatino" w:hAnsi="Palatino" w:cstheme="minorHAnsi"/>
        </w:rPr>
        <w:t xml:space="preserve"> of credibility</w:t>
      </w:r>
      <w:r w:rsidR="0049444E" w:rsidRPr="00630A9E">
        <w:rPr>
          <w:rFonts w:ascii="Palatino" w:hAnsi="Palatino" w:cstheme="minorHAnsi"/>
        </w:rPr>
        <w:t xml:space="preserve"> indeterminate</w:t>
      </w:r>
      <w:r w:rsidR="00B455E1" w:rsidRPr="00630A9E">
        <w:rPr>
          <w:rFonts w:ascii="Palatino" w:hAnsi="Palatino" w:cstheme="minorHAnsi"/>
        </w:rPr>
        <w:t>; in which case, t</w:t>
      </w:r>
      <w:r w:rsidR="00400C72" w:rsidRPr="00630A9E">
        <w:rPr>
          <w:rFonts w:ascii="Palatino" w:hAnsi="Palatino" w:cstheme="minorHAnsi"/>
        </w:rPr>
        <w:t>he ‘chain’ of deference shall be broken.</w:t>
      </w:r>
    </w:p>
    <w:p w14:paraId="75B00FB0" w14:textId="77777777" w:rsidR="00AD10B6" w:rsidRPr="00630A9E" w:rsidRDefault="00AD10B6" w:rsidP="008720B6">
      <w:pPr>
        <w:widowControl w:val="0"/>
        <w:ind w:right="-56" w:firstLine="426"/>
        <w:jc w:val="both"/>
        <w:rPr>
          <w:rFonts w:ascii="Palatino" w:hAnsi="Palatino" w:cstheme="minorHAnsi"/>
        </w:rPr>
      </w:pPr>
    </w:p>
    <w:p w14:paraId="0EC6A30F" w14:textId="4F9481A2" w:rsidR="00347584" w:rsidRPr="00630A9E" w:rsidRDefault="00B53E47" w:rsidP="008720B6">
      <w:pPr>
        <w:pStyle w:val="ListParagraph"/>
        <w:widowControl w:val="0"/>
        <w:numPr>
          <w:ilvl w:val="0"/>
          <w:numId w:val="14"/>
        </w:numPr>
        <w:ind w:left="0" w:right="-56" w:firstLine="426"/>
        <w:jc w:val="both"/>
        <w:rPr>
          <w:rFonts w:ascii="Palatino" w:hAnsi="Palatino" w:cstheme="minorHAnsi"/>
        </w:rPr>
      </w:pPr>
      <w:r w:rsidRPr="00630A9E">
        <w:rPr>
          <w:rFonts w:ascii="Palatino" w:hAnsi="Palatino" w:cstheme="minorHAnsi"/>
        </w:rPr>
        <w:t>MEMETIC</w:t>
      </w:r>
      <w:r w:rsidR="00791087" w:rsidRPr="00630A9E">
        <w:rPr>
          <w:rFonts w:ascii="Palatino" w:hAnsi="Palatino" w:cstheme="minorHAnsi"/>
        </w:rPr>
        <w:t xml:space="preserve"> MODEL</w:t>
      </w:r>
      <w:r w:rsidR="00754C0C" w:rsidRPr="00630A9E">
        <w:rPr>
          <w:rFonts w:ascii="Palatino" w:hAnsi="Palatino" w:cstheme="minorHAnsi"/>
        </w:rPr>
        <w:t xml:space="preserve">: </w:t>
      </w:r>
      <w:r w:rsidR="00754C0C" w:rsidRPr="00630A9E">
        <w:rPr>
          <w:rFonts w:ascii="Palatino" w:hAnsi="Palatino" w:cstheme="minorHAnsi"/>
          <w:i/>
        </w:rPr>
        <w:t>good faith</w:t>
      </w:r>
      <w:r w:rsidR="00754C0C" w:rsidRPr="00630A9E">
        <w:rPr>
          <w:rFonts w:ascii="Palatino" w:hAnsi="Palatino" w:cstheme="minorHAnsi"/>
        </w:rPr>
        <w:t xml:space="preserve"> </w:t>
      </w:r>
      <w:r w:rsidR="00754C0C" w:rsidRPr="00630A9E">
        <w:rPr>
          <w:rFonts w:ascii="Palatino" w:hAnsi="Palatino" w:cstheme="minorHAnsi"/>
          <w:i/>
        </w:rPr>
        <w:t>beliefs are reasonable</w:t>
      </w:r>
      <w:r w:rsidR="00EA0BB5">
        <w:rPr>
          <w:rFonts w:ascii="Palatino" w:hAnsi="Palatino" w:cstheme="minorHAnsi"/>
          <w:i/>
        </w:rPr>
        <w:t xml:space="preserve"> to subjects</w:t>
      </w:r>
      <w:r w:rsidR="00754C0C" w:rsidRPr="00630A9E">
        <w:rPr>
          <w:rFonts w:ascii="Palatino" w:hAnsi="Palatino" w:cstheme="minorHAnsi"/>
          <w:i/>
        </w:rPr>
        <w:t xml:space="preserve"> </w:t>
      </w:r>
      <w:r w:rsidR="00AD10B6" w:rsidRPr="00630A9E">
        <w:rPr>
          <w:rFonts w:ascii="Palatino" w:hAnsi="Palatino" w:cstheme="minorHAnsi"/>
          <w:i/>
        </w:rPr>
        <w:t xml:space="preserve">in an unsatisfactory </w:t>
      </w:r>
      <w:r w:rsidR="00024AA6" w:rsidRPr="00630A9E">
        <w:rPr>
          <w:rFonts w:ascii="Palatino" w:hAnsi="Palatino" w:cstheme="minorHAnsi"/>
          <w:i/>
        </w:rPr>
        <w:t xml:space="preserve">environment </w:t>
      </w:r>
      <w:r w:rsidR="00AD10B6" w:rsidRPr="00630A9E">
        <w:rPr>
          <w:rFonts w:ascii="Palatino" w:hAnsi="Palatino" w:cstheme="minorHAnsi"/>
          <w:i/>
        </w:rPr>
        <w:t xml:space="preserve">only if sources with clout are </w:t>
      </w:r>
      <w:r w:rsidR="00707D8D">
        <w:rPr>
          <w:rFonts w:ascii="Palatino" w:hAnsi="Palatino" w:cstheme="minorHAnsi"/>
          <w:i/>
        </w:rPr>
        <w:t>close-by</w:t>
      </w:r>
      <w:r w:rsidR="00754C0C" w:rsidRPr="00630A9E">
        <w:rPr>
          <w:rFonts w:ascii="Palatino" w:hAnsi="Palatino" w:cstheme="minorHAnsi"/>
          <w:i/>
        </w:rPr>
        <w:t>.</w:t>
      </w:r>
    </w:p>
    <w:p w14:paraId="7140F264" w14:textId="440ECE2F" w:rsidR="00024AA6" w:rsidRPr="00630A9E" w:rsidRDefault="00024AA6" w:rsidP="008720B6">
      <w:pPr>
        <w:widowControl w:val="0"/>
        <w:ind w:right="-56" w:firstLine="426"/>
        <w:jc w:val="both"/>
        <w:rPr>
          <w:rFonts w:ascii="Palatino" w:hAnsi="Palatino" w:cstheme="minorHAnsi"/>
        </w:rPr>
      </w:pPr>
    </w:p>
    <w:p w14:paraId="6FC14B54" w14:textId="5631623D" w:rsidR="00AD10B6" w:rsidRPr="00630A9E" w:rsidRDefault="00AD10B6" w:rsidP="008720B6">
      <w:pPr>
        <w:widowControl w:val="0"/>
        <w:ind w:right="-56" w:firstLine="426"/>
        <w:jc w:val="both"/>
        <w:rPr>
          <w:rFonts w:ascii="Palatino" w:hAnsi="Palatino" w:cstheme="minorHAnsi"/>
        </w:rPr>
      </w:pPr>
      <w:r w:rsidRPr="00630A9E">
        <w:rPr>
          <w:rFonts w:ascii="Palatino" w:hAnsi="Palatino" w:cstheme="minorHAnsi"/>
        </w:rPr>
        <w:t xml:space="preserve">In the previous two models, the assumption was that the communications environment was normal (n): all participants had shared resources, conventions, and common ground that were normally sufficient to secure linguistic cooperation. </w:t>
      </w:r>
      <w:r w:rsidR="00471C99" w:rsidRPr="00630A9E">
        <w:rPr>
          <w:rFonts w:ascii="Palatino" w:hAnsi="Palatino" w:cstheme="minorHAnsi"/>
        </w:rPr>
        <w:t>In contrast, t</w:t>
      </w:r>
      <w:r w:rsidRPr="00630A9E">
        <w:rPr>
          <w:rFonts w:ascii="Palatino" w:hAnsi="Palatino" w:cstheme="minorHAnsi"/>
        </w:rPr>
        <w:t xml:space="preserve">his final model assumes that our communications environments can be </w:t>
      </w:r>
      <w:r w:rsidRPr="00630A9E">
        <w:rPr>
          <w:rFonts w:ascii="Palatino" w:hAnsi="Palatino" w:cstheme="minorHAnsi"/>
          <w:i/>
        </w:rPr>
        <w:t>unsatisfactory</w:t>
      </w:r>
      <w:r w:rsidRPr="00630A9E">
        <w:rPr>
          <w:rFonts w:ascii="Palatino" w:hAnsi="Palatino" w:cstheme="minorHAnsi"/>
        </w:rPr>
        <w:t xml:space="preserve">, irrespective of whether or not they are normal. </w:t>
      </w:r>
      <w:r w:rsidR="00EC771C" w:rsidRPr="00630A9E">
        <w:rPr>
          <w:rFonts w:ascii="Palatino" w:hAnsi="Palatino" w:cstheme="minorHAnsi"/>
        </w:rPr>
        <w:t>And then the question is</w:t>
      </w:r>
      <w:r w:rsidR="0008128E" w:rsidRPr="00630A9E">
        <w:rPr>
          <w:rFonts w:ascii="Palatino" w:hAnsi="Palatino" w:cstheme="minorHAnsi"/>
        </w:rPr>
        <w:t xml:space="preserve"> -- </w:t>
      </w:r>
      <w:r w:rsidR="00EC771C" w:rsidRPr="00630A9E">
        <w:rPr>
          <w:rFonts w:ascii="Palatino" w:hAnsi="Palatino" w:cstheme="minorHAnsi"/>
        </w:rPr>
        <w:t xml:space="preserve">what mechanisms or processes could possibly maintain </w:t>
      </w:r>
      <w:r w:rsidR="00471C99" w:rsidRPr="00630A9E">
        <w:rPr>
          <w:rFonts w:ascii="Palatino" w:hAnsi="Palatino" w:cstheme="minorHAnsi"/>
        </w:rPr>
        <w:t xml:space="preserve">the rule of </w:t>
      </w:r>
      <w:r w:rsidR="00EC771C" w:rsidRPr="00630A9E">
        <w:rPr>
          <w:rFonts w:ascii="Palatino" w:hAnsi="Palatino" w:cstheme="minorHAnsi"/>
        </w:rPr>
        <w:t xml:space="preserve">law, if communication with the sources of law </w:t>
      </w:r>
      <w:r w:rsidR="00471C99" w:rsidRPr="00630A9E">
        <w:rPr>
          <w:rFonts w:ascii="Palatino" w:hAnsi="Palatino" w:cstheme="minorHAnsi"/>
        </w:rPr>
        <w:t>are</w:t>
      </w:r>
      <w:r w:rsidR="00EC771C" w:rsidRPr="00630A9E">
        <w:rPr>
          <w:rFonts w:ascii="Palatino" w:hAnsi="Palatino" w:cstheme="minorHAnsi"/>
        </w:rPr>
        <w:t xml:space="preserve"> occluded</w:t>
      </w:r>
      <w:r w:rsidR="0008128E" w:rsidRPr="00630A9E">
        <w:rPr>
          <w:rFonts w:ascii="Palatino" w:hAnsi="Palatino" w:cstheme="minorHAnsi"/>
        </w:rPr>
        <w:t xml:space="preserve">? </w:t>
      </w:r>
      <w:r w:rsidR="00EC771C" w:rsidRPr="00630A9E">
        <w:rPr>
          <w:rFonts w:ascii="Palatino" w:hAnsi="Palatino" w:cstheme="minorHAnsi"/>
        </w:rPr>
        <w:t>One natural suggestion is to propose</w:t>
      </w:r>
      <w:r w:rsidR="00471C99" w:rsidRPr="00630A9E">
        <w:rPr>
          <w:rFonts w:ascii="Palatino" w:hAnsi="Palatino" w:cstheme="minorHAnsi"/>
        </w:rPr>
        <w:t xml:space="preserve"> (</w:t>
      </w:r>
      <w:r w:rsidR="00EC771C" w:rsidRPr="00630A9E">
        <w:rPr>
          <w:rFonts w:ascii="Palatino" w:hAnsi="Palatino" w:cstheme="minorHAnsi"/>
        </w:rPr>
        <w:t xml:space="preserve">in the spirit of </w:t>
      </w:r>
      <w:r w:rsidR="00471C99" w:rsidRPr="00630A9E">
        <w:rPr>
          <w:rFonts w:ascii="Palatino" w:hAnsi="Palatino" w:cstheme="minorHAnsi"/>
        </w:rPr>
        <w:t>classic</w:t>
      </w:r>
      <w:r w:rsidR="00EC771C" w:rsidRPr="00630A9E">
        <w:rPr>
          <w:rFonts w:ascii="Palatino" w:hAnsi="Palatino" w:cstheme="minorHAnsi"/>
        </w:rPr>
        <w:t xml:space="preserve"> common-law</w:t>
      </w:r>
      <w:r w:rsidR="00471C99" w:rsidRPr="00630A9E">
        <w:rPr>
          <w:rFonts w:ascii="Palatino" w:hAnsi="Palatino" w:cstheme="minorHAnsi"/>
        </w:rPr>
        <w:t>)</w:t>
      </w:r>
      <w:r w:rsidR="00EC771C" w:rsidRPr="00630A9E">
        <w:rPr>
          <w:rFonts w:ascii="Palatino" w:hAnsi="Palatino" w:cstheme="minorHAnsi"/>
        </w:rPr>
        <w:t xml:space="preserve"> that in such environments the practice of law is systematically delegated to </w:t>
      </w:r>
      <w:r w:rsidR="00471C99" w:rsidRPr="00630A9E">
        <w:rPr>
          <w:rFonts w:ascii="Palatino" w:hAnsi="Palatino" w:cstheme="minorHAnsi"/>
        </w:rPr>
        <w:t xml:space="preserve">a body of </w:t>
      </w:r>
      <w:r w:rsidR="00EC771C" w:rsidRPr="00630A9E">
        <w:rPr>
          <w:rFonts w:ascii="Palatino" w:hAnsi="Palatino" w:cstheme="minorHAnsi"/>
          <w:i/>
        </w:rPr>
        <w:t>pseudo-experts</w:t>
      </w:r>
      <w:r w:rsidR="00471C99" w:rsidRPr="00630A9E">
        <w:rPr>
          <w:rFonts w:ascii="Palatino" w:hAnsi="Palatino" w:cstheme="minorHAnsi"/>
          <w:i/>
        </w:rPr>
        <w:t>,</w:t>
      </w:r>
      <w:r w:rsidR="00EC771C" w:rsidRPr="00630A9E">
        <w:rPr>
          <w:rFonts w:ascii="Palatino" w:hAnsi="Palatino" w:cstheme="minorHAnsi"/>
        </w:rPr>
        <w:t xml:space="preserve"> who have sufficient clout to exercise provisional discretion in making up the demands of law. Here, there is no deference from subjects to experts, so much as deference by one ordinary level of subjects to another extraordinary set of subjects, on the understanding that the sovereign will take the</w:t>
      </w:r>
      <w:r w:rsidR="00471C99" w:rsidRPr="00630A9E">
        <w:rPr>
          <w:rFonts w:ascii="Palatino" w:hAnsi="Palatino" w:cstheme="minorHAnsi"/>
        </w:rPr>
        <w:t xml:space="preserve"> latter seriously when or if they have the chance to perform judicial review</w:t>
      </w:r>
      <w:r w:rsidR="00EC771C" w:rsidRPr="00630A9E">
        <w:rPr>
          <w:rFonts w:ascii="Palatino" w:hAnsi="Palatino" w:cstheme="minorHAnsi"/>
        </w:rPr>
        <w:t>.</w:t>
      </w:r>
      <w:r w:rsidR="00471C99" w:rsidRPr="00630A9E">
        <w:rPr>
          <w:rFonts w:ascii="Palatino" w:hAnsi="Palatino" w:cstheme="minorHAnsi"/>
        </w:rPr>
        <w:t xml:space="preserve"> This is</w:t>
      </w:r>
      <w:r w:rsidR="00D36875">
        <w:rPr>
          <w:rFonts w:ascii="Palatino" w:hAnsi="Palatino" w:cstheme="minorHAnsi"/>
        </w:rPr>
        <w:t xml:space="preserve"> a </w:t>
      </w:r>
      <w:proofErr w:type="spellStart"/>
      <w:r w:rsidR="00471E6F">
        <w:rPr>
          <w:rFonts w:ascii="Palatino" w:hAnsi="Palatino" w:cstheme="minorHAnsi"/>
        </w:rPr>
        <w:t>Thrasymachusian</w:t>
      </w:r>
      <w:proofErr w:type="spellEnd"/>
      <w:r w:rsidR="00471C99" w:rsidRPr="00630A9E">
        <w:rPr>
          <w:rFonts w:ascii="Palatino" w:hAnsi="Palatino" w:cstheme="minorHAnsi"/>
        </w:rPr>
        <w:t xml:space="preserve"> conception of promulgation</w:t>
      </w:r>
      <w:r w:rsidR="00014C53" w:rsidRPr="00630A9E">
        <w:rPr>
          <w:rFonts w:ascii="Palatino" w:hAnsi="Palatino" w:cstheme="minorHAnsi"/>
        </w:rPr>
        <w:t>, in the sense that certain systems of governance operate through the testimony of those who have internalized discipline and the power to impose same</w:t>
      </w:r>
      <w:r w:rsidR="00471C99" w:rsidRPr="00630A9E">
        <w:rPr>
          <w:rFonts w:ascii="Palatino" w:hAnsi="Palatino" w:cstheme="minorHAnsi"/>
        </w:rPr>
        <w:t>.</w:t>
      </w:r>
    </w:p>
    <w:p w14:paraId="0708CA21" w14:textId="548F4CD9" w:rsidR="00AD10B6" w:rsidRPr="00630A9E" w:rsidRDefault="00471C99" w:rsidP="008720B6">
      <w:pPr>
        <w:widowControl w:val="0"/>
        <w:ind w:right="-56" w:firstLine="426"/>
        <w:jc w:val="both"/>
        <w:rPr>
          <w:rFonts w:ascii="Palatino" w:hAnsi="Palatino" w:cstheme="minorHAnsi"/>
        </w:rPr>
      </w:pPr>
      <w:r w:rsidRPr="00630A9E">
        <w:rPr>
          <w:rFonts w:ascii="Palatino" w:hAnsi="Palatino" w:cstheme="minorHAnsi"/>
        </w:rPr>
        <w:t xml:space="preserve">One way of thinking, metaphorically, about this idea of promulgation is to conceive of it as the dissemination of </w:t>
      </w:r>
      <w:r w:rsidR="00B53E47" w:rsidRPr="00630A9E">
        <w:rPr>
          <w:rFonts w:ascii="Palatino" w:hAnsi="Palatino" w:cstheme="minorHAnsi"/>
        </w:rPr>
        <w:t>memes</w:t>
      </w:r>
      <w:r w:rsidR="00631632">
        <w:rPr>
          <w:rFonts w:ascii="Palatino" w:hAnsi="Palatino" w:cstheme="minorHAnsi"/>
        </w:rPr>
        <w:t>. The idea of a meme is itself a contentious (and fanciful) intellectual construct, but the vague idea is easy to pinpoint: a meme is an idea that spreads, and spreads insofar as it resonates successfully enough to be reproduced.</w:t>
      </w:r>
      <w:r w:rsidR="00C41FCE" w:rsidRPr="00630A9E">
        <w:rPr>
          <w:rFonts w:ascii="Palatino" w:hAnsi="Palatino" w:cstheme="minorHAnsi"/>
        </w:rPr>
        <w:t xml:space="preserve"> </w:t>
      </w:r>
      <w:r w:rsidR="00631632">
        <w:rPr>
          <w:rFonts w:ascii="Palatino" w:hAnsi="Palatino" w:cstheme="minorHAnsi"/>
        </w:rPr>
        <w:t>So, in the first instance, e</w:t>
      </w:r>
      <w:r w:rsidR="00C41FCE" w:rsidRPr="00630A9E">
        <w:rPr>
          <w:rFonts w:ascii="Palatino" w:hAnsi="Palatino" w:cstheme="minorHAnsi"/>
        </w:rPr>
        <w:t xml:space="preserve">ach </w:t>
      </w:r>
      <w:r w:rsidR="00B53E47" w:rsidRPr="00630A9E">
        <w:rPr>
          <w:rFonts w:ascii="Palatino" w:hAnsi="Palatino" w:cstheme="minorHAnsi"/>
        </w:rPr>
        <w:t>meme</w:t>
      </w:r>
      <w:r w:rsidR="00C41FCE" w:rsidRPr="00630A9E">
        <w:rPr>
          <w:rFonts w:ascii="Palatino" w:hAnsi="Palatino" w:cstheme="minorHAnsi"/>
        </w:rPr>
        <w:t xml:space="preserve"> </w:t>
      </w:r>
      <w:r w:rsidR="0008128E" w:rsidRPr="00630A9E">
        <w:rPr>
          <w:rFonts w:ascii="Palatino" w:hAnsi="Palatino" w:cstheme="minorHAnsi"/>
        </w:rPr>
        <w:t>issu</w:t>
      </w:r>
      <w:r w:rsidR="00B53E47" w:rsidRPr="00630A9E">
        <w:rPr>
          <w:rFonts w:ascii="Palatino" w:hAnsi="Palatino" w:cstheme="minorHAnsi"/>
        </w:rPr>
        <w:t>es</w:t>
      </w:r>
      <w:r w:rsidR="00C41FCE" w:rsidRPr="00630A9E">
        <w:rPr>
          <w:rFonts w:ascii="Palatino" w:hAnsi="Palatino" w:cstheme="minorHAnsi"/>
        </w:rPr>
        <w:t xml:space="preserve"> from the </w:t>
      </w:r>
      <w:r w:rsidR="00631632">
        <w:rPr>
          <w:rFonts w:ascii="Palatino" w:hAnsi="Palatino" w:cstheme="minorHAnsi"/>
        </w:rPr>
        <w:t xml:space="preserve">official </w:t>
      </w:r>
      <w:r w:rsidR="00C41FCE" w:rsidRPr="00630A9E">
        <w:rPr>
          <w:rFonts w:ascii="Palatino" w:hAnsi="Palatino" w:cstheme="minorHAnsi"/>
        </w:rPr>
        <w:t>source</w:t>
      </w:r>
      <w:r w:rsidR="0008128E" w:rsidRPr="00630A9E">
        <w:rPr>
          <w:rFonts w:ascii="Palatino" w:hAnsi="Palatino" w:cstheme="minorHAnsi"/>
        </w:rPr>
        <w:t xml:space="preserve"> of law</w:t>
      </w:r>
      <w:r w:rsidR="00631632">
        <w:rPr>
          <w:rFonts w:ascii="Palatino" w:hAnsi="Palatino" w:cstheme="minorHAnsi"/>
        </w:rPr>
        <w:t xml:space="preserve"> (legislature, executive, judiciary)</w:t>
      </w:r>
      <w:r w:rsidR="00C41FCE" w:rsidRPr="00630A9E">
        <w:rPr>
          <w:rFonts w:ascii="Palatino" w:hAnsi="Palatino" w:cstheme="minorHAnsi"/>
        </w:rPr>
        <w:t>, but</w:t>
      </w:r>
      <w:r w:rsidR="0008128E" w:rsidRPr="00630A9E">
        <w:rPr>
          <w:rFonts w:ascii="Palatino" w:hAnsi="Palatino" w:cstheme="minorHAnsi"/>
        </w:rPr>
        <w:t xml:space="preserve"> then</w:t>
      </w:r>
      <w:r w:rsidR="00C41FCE" w:rsidRPr="00630A9E">
        <w:rPr>
          <w:rFonts w:ascii="Palatino" w:hAnsi="Palatino" w:cstheme="minorHAnsi"/>
        </w:rPr>
        <w:t xml:space="preserve"> </w:t>
      </w:r>
      <w:r w:rsidR="0008128E" w:rsidRPr="00630A9E">
        <w:rPr>
          <w:rFonts w:ascii="Palatino" w:hAnsi="Palatino" w:cstheme="minorHAnsi"/>
        </w:rPr>
        <w:t>‘spreads’ its conception of what law wants</w:t>
      </w:r>
      <w:r w:rsidR="00C41FCE" w:rsidRPr="00630A9E">
        <w:rPr>
          <w:rFonts w:ascii="Palatino" w:hAnsi="Palatino" w:cstheme="minorHAnsi"/>
        </w:rPr>
        <w:t xml:space="preserve"> independently and autonomously</w:t>
      </w:r>
      <w:r w:rsidR="004566F7" w:rsidRPr="00630A9E">
        <w:rPr>
          <w:rFonts w:ascii="Palatino" w:hAnsi="Palatino" w:cstheme="minorHAnsi"/>
        </w:rPr>
        <w:t xml:space="preserve"> from what it can properly discern from the government</w:t>
      </w:r>
      <w:r w:rsidR="0008128E" w:rsidRPr="00630A9E">
        <w:rPr>
          <w:rFonts w:ascii="Palatino" w:hAnsi="Palatino" w:cstheme="minorHAnsi"/>
        </w:rPr>
        <w:t xml:space="preserve">, until </w:t>
      </w:r>
      <w:r w:rsidR="00B53E47" w:rsidRPr="00630A9E">
        <w:rPr>
          <w:rFonts w:ascii="Palatino" w:hAnsi="Palatino" w:cstheme="minorHAnsi"/>
        </w:rPr>
        <w:t xml:space="preserve">eventually </w:t>
      </w:r>
      <w:r w:rsidR="0008128E" w:rsidRPr="00630A9E">
        <w:rPr>
          <w:rFonts w:ascii="Palatino" w:hAnsi="Palatino" w:cstheme="minorHAnsi"/>
        </w:rPr>
        <w:t>overruled</w:t>
      </w:r>
      <w:r w:rsidRPr="00630A9E">
        <w:rPr>
          <w:rFonts w:ascii="Palatino" w:hAnsi="Palatino" w:cstheme="minorHAnsi"/>
        </w:rPr>
        <w:t>.</w:t>
      </w:r>
      <w:r w:rsidR="0008128E" w:rsidRPr="00630A9E">
        <w:rPr>
          <w:rFonts w:ascii="Palatino" w:hAnsi="Palatino" w:cstheme="minorHAnsi"/>
        </w:rPr>
        <w:t xml:space="preserve"> Hence:</w:t>
      </w:r>
    </w:p>
    <w:p w14:paraId="461A0868" w14:textId="77777777" w:rsidR="00AD10B6" w:rsidRPr="00630A9E" w:rsidRDefault="00AD10B6" w:rsidP="008720B6">
      <w:pPr>
        <w:widowControl w:val="0"/>
        <w:ind w:right="-56" w:firstLine="426"/>
        <w:jc w:val="both"/>
        <w:rPr>
          <w:rFonts w:ascii="Palatino" w:hAnsi="Palatino" w:cstheme="minorHAnsi"/>
        </w:rPr>
      </w:pPr>
    </w:p>
    <w:p w14:paraId="37AC854B" w14:textId="7191B929" w:rsidR="002274E1" w:rsidRPr="00630A9E" w:rsidRDefault="002274E1" w:rsidP="008720B6">
      <w:pPr>
        <w:widowControl w:val="0"/>
        <w:numPr>
          <w:ilvl w:val="0"/>
          <w:numId w:val="18"/>
        </w:numPr>
        <w:ind w:left="0" w:right="-56" w:firstLine="426"/>
        <w:jc w:val="both"/>
        <w:rPr>
          <w:rFonts w:ascii="Palatino" w:hAnsi="Palatino" w:cstheme="minorHAnsi"/>
        </w:rPr>
      </w:pPr>
      <w:r w:rsidRPr="00630A9E">
        <w:rPr>
          <w:rFonts w:ascii="Palatino" w:hAnsi="Palatino" w:cstheme="minorHAnsi"/>
        </w:rPr>
        <w:t>Enough</w:t>
      </w:r>
      <w:r w:rsidRPr="00630A9E">
        <w:rPr>
          <w:rFonts w:ascii="Palatino" w:hAnsi="Palatino" w:cstheme="minorHAnsi"/>
          <w:i/>
        </w:rPr>
        <w:t xml:space="preserve"> </w:t>
      </w:r>
      <w:r w:rsidR="00C82F79">
        <w:rPr>
          <w:rFonts w:ascii="Palatino" w:hAnsi="Palatino" w:cstheme="minorHAnsi"/>
          <w:i/>
        </w:rPr>
        <w:t>stakeholders</w:t>
      </w:r>
      <w:r w:rsidRPr="00630A9E">
        <w:rPr>
          <w:rFonts w:ascii="Palatino" w:hAnsi="Palatino" w:cstheme="minorHAnsi"/>
        </w:rPr>
        <w:t xml:space="preserve"> (s) have legal </w:t>
      </w:r>
      <w:r w:rsidR="00024AA6" w:rsidRPr="00630A9E">
        <w:rPr>
          <w:rFonts w:ascii="Palatino" w:hAnsi="Palatino" w:cstheme="minorHAnsi"/>
        </w:rPr>
        <w:t xml:space="preserve">sources </w:t>
      </w:r>
      <w:r w:rsidR="00111B10">
        <w:rPr>
          <w:rFonts w:ascii="Palatino" w:hAnsi="Palatino" w:cstheme="minorHAnsi"/>
        </w:rPr>
        <w:t>close-by</w:t>
      </w:r>
      <w:r w:rsidR="00024AA6" w:rsidRPr="00630A9E">
        <w:rPr>
          <w:rFonts w:ascii="Palatino" w:hAnsi="Palatino" w:cstheme="minorHAnsi"/>
        </w:rPr>
        <w:t xml:space="preserve"> (experts or signs);</w:t>
      </w:r>
    </w:p>
    <w:p w14:paraId="6DA0BB99" w14:textId="5D64CA15" w:rsidR="00024AA6" w:rsidRPr="00630A9E" w:rsidRDefault="00B455E1" w:rsidP="008720B6">
      <w:pPr>
        <w:widowControl w:val="0"/>
        <w:numPr>
          <w:ilvl w:val="0"/>
          <w:numId w:val="18"/>
        </w:numPr>
        <w:ind w:left="0" w:right="-56" w:firstLine="426"/>
        <w:jc w:val="both"/>
        <w:rPr>
          <w:rFonts w:ascii="Palatino" w:hAnsi="Palatino" w:cstheme="minorHAnsi"/>
        </w:rPr>
      </w:pPr>
      <w:r w:rsidRPr="00630A9E">
        <w:rPr>
          <w:rFonts w:ascii="Palatino" w:hAnsi="Palatino" w:cstheme="minorHAnsi"/>
        </w:rPr>
        <w:t>At least some of those</w:t>
      </w:r>
      <w:r w:rsidR="002274E1" w:rsidRPr="00630A9E">
        <w:rPr>
          <w:rFonts w:ascii="Palatino" w:hAnsi="Palatino" w:cstheme="minorHAnsi"/>
        </w:rPr>
        <w:t xml:space="preserve"> </w:t>
      </w:r>
      <w:r w:rsidR="00EC0A6B">
        <w:rPr>
          <w:rFonts w:ascii="Palatino" w:hAnsi="Palatino" w:cstheme="minorHAnsi"/>
        </w:rPr>
        <w:t>stakeholders</w:t>
      </w:r>
      <w:r w:rsidR="002274E1" w:rsidRPr="00630A9E">
        <w:rPr>
          <w:rFonts w:ascii="Palatino" w:hAnsi="Palatino" w:cstheme="minorHAnsi"/>
        </w:rPr>
        <w:t xml:space="preserve"> and experts operate in a </w:t>
      </w:r>
      <w:r w:rsidR="002274E1" w:rsidRPr="00630A9E">
        <w:rPr>
          <w:rFonts w:ascii="Palatino" w:hAnsi="Palatino" w:cstheme="minorHAnsi"/>
          <w:i/>
        </w:rPr>
        <w:t>satisfactory communication environment</w:t>
      </w:r>
      <w:r w:rsidR="002274E1" w:rsidRPr="00630A9E">
        <w:rPr>
          <w:rFonts w:ascii="Palatino" w:hAnsi="Palatino" w:cstheme="minorHAnsi"/>
        </w:rPr>
        <w:t xml:space="preserve"> (</w:t>
      </w:r>
      <w:r w:rsidR="004436F4" w:rsidRPr="00630A9E">
        <w:rPr>
          <w:rFonts w:ascii="Palatino" w:hAnsi="Palatino" w:cstheme="minorHAnsi"/>
        </w:rPr>
        <w:t>m</w:t>
      </w:r>
      <w:r w:rsidR="002274E1" w:rsidRPr="00630A9E">
        <w:rPr>
          <w:rFonts w:ascii="Palatino" w:hAnsi="Palatino" w:cstheme="minorHAnsi"/>
        </w:rPr>
        <w:t>)</w:t>
      </w:r>
      <w:r w:rsidRPr="00630A9E">
        <w:rPr>
          <w:rFonts w:ascii="Palatino" w:hAnsi="Palatino" w:cstheme="minorHAnsi"/>
        </w:rPr>
        <w:t>;</w:t>
      </w:r>
    </w:p>
    <w:p w14:paraId="73F810E7" w14:textId="2D163BD9" w:rsidR="00AD10B6" w:rsidRPr="00630A9E" w:rsidRDefault="00AD10B6" w:rsidP="008720B6">
      <w:pPr>
        <w:widowControl w:val="0"/>
        <w:numPr>
          <w:ilvl w:val="0"/>
          <w:numId w:val="18"/>
        </w:numPr>
        <w:ind w:left="0" w:right="-56" w:firstLine="426"/>
        <w:jc w:val="both"/>
        <w:rPr>
          <w:rFonts w:ascii="Palatino" w:hAnsi="Palatino" w:cstheme="minorHAnsi"/>
        </w:rPr>
      </w:pPr>
      <w:r w:rsidRPr="00630A9E">
        <w:rPr>
          <w:rFonts w:ascii="Palatino" w:hAnsi="Palatino" w:cstheme="minorHAnsi"/>
        </w:rPr>
        <w:t>Of</w:t>
      </w:r>
      <w:r w:rsidR="006F0E0B" w:rsidRPr="00630A9E">
        <w:rPr>
          <w:rFonts w:ascii="Palatino" w:hAnsi="Palatino" w:cstheme="minorHAnsi"/>
        </w:rPr>
        <w:t xml:space="preserve"> t</w:t>
      </w:r>
      <w:r w:rsidR="00B455E1" w:rsidRPr="00630A9E">
        <w:rPr>
          <w:rFonts w:ascii="Palatino" w:hAnsi="Palatino" w:cstheme="minorHAnsi"/>
        </w:rPr>
        <w:t>hose (s) who operate in an unsatisfactory environment (</w:t>
      </w:r>
      <w:r w:rsidR="0035041C" w:rsidRPr="00630A9E">
        <w:rPr>
          <w:rFonts w:ascii="Palatino" w:hAnsi="Palatino" w:cstheme="minorHAnsi"/>
        </w:rPr>
        <w:t>~</w:t>
      </w:r>
      <w:r w:rsidR="004436F4" w:rsidRPr="00630A9E">
        <w:rPr>
          <w:rFonts w:ascii="Palatino" w:hAnsi="Palatino" w:cstheme="minorHAnsi"/>
        </w:rPr>
        <w:t>m</w:t>
      </w:r>
      <w:r w:rsidR="00B455E1" w:rsidRPr="00630A9E">
        <w:rPr>
          <w:rFonts w:ascii="Palatino" w:hAnsi="Palatino" w:cstheme="minorHAnsi"/>
        </w:rPr>
        <w:t>)</w:t>
      </w:r>
      <w:r w:rsidRPr="00630A9E">
        <w:rPr>
          <w:rFonts w:ascii="Palatino" w:hAnsi="Palatino" w:cstheme="minorHAnsi"/>
        </w:rPr>
        <w:t>, a sufficient number</w:t>
      </w:r>
      <w:r w:rsidR="00B455E1" w:rsidRPr="00630A9E">
        <w:rPr>
          <w:rFonts w:ascii="Palatino" w:hAnsi="Palatino" w:cstheme="minorHAnsi"/>
        </w:rPr>
        <w:t xml:space="preserve"> </w:t>
      </w:r>
      <w:r w:rsidRPr="00630A9E">
        <w:rPr>
          <w:rFonts w:ascii="Palatino" w:hAnsi="Palatino" w:cstheme="minorHAnsi"/>
        </w:rPr>
        <w:t>have access to sources</w:t>
      </w:r>
      <w:r w:rsidR="00111B10">
        <w:rPr>
          <w:rFonts w:ascii="Palatino" w:hAnsi="Palatino" w:cstheme="minorHAnsi"/>
        </w:rPr>
        <w:t xml:space="preserve"> in a satisfactory environment</w:t>
      </w:r>
      <w:r w:rsidRPr="00630A9E">
        <w:rPr>
          <w:rFonts w:ascii="Palatino" w:hAnsi="Palatino" w:cstheme="minorHAnsi"/>
        </w:rPr>
        <w:t xml:space="preserve"> with </w:t>
      </w:r>
      <w:r w:rsidRPr="00630A9E">
        <w:rPr>
          <w:rFonts w:ascii="Palatino" w:hAnsi="Palatino" w:cstheme="minorHAnsi"/>
          <w:i/>
        </w:rPr>
        <w:t>clout</w:t>
      </w:r>
      <w:r w:rsidR="00024AA6" w:rsidRPr="00630A9E">
        <w:rPr>
          <w:rFonts w:ascii="Palatino" w:hAnsi="Palatino" w:cstheme="minorHAnsi"/>
        </w:rPr>
        <w:t>.</w:t>
      </w:r>
    </w:p>
    <w:p w14:paraId="2B3C576C" w14:textId="0578DB36" w:rsidR="00AD10B6" w:rsidRPr="00630A9E" w:rsidRDefault="00AD10B6" w:rsidP="008720B6">
      <w:pPr>
        <w:widowControl w:val="0"/>
        <w:ind w:right="-56" w:firstLine="426"/>
        <w:jc w:val="both"/>
        <w:rPr>
          <w:rFonts w:ascii="Palatino" w:hAnsi="Palatino" w:cstheme="minorHAnsi"/>
          <w:highlight w:val="yellow"/>
        </w:rPr>
      </w:pPr>
    </w:p>
    <w:p w14:paraId="65932275" w14:textId="25DA4FA3" w:rsidR="003B1ED3" w:rsidRPr="00630A9E" w:rsidRDefault="00002C50" w:rsidP="008720B6">
      <w:pPr>
        <w:widowControl w:val="0"/>
        <w:ind w:right="-56" w:firstLine="426"/>
        <w:jc w:val="both"/>
        <w:rPr>
          <w:rFonts w:ascii="Palatino" w:hAnsi="Palatino" w:cstheme="minorHAnsi"/>
        </w:rPr>
      </w:pPr>
      <w:r w:rsidRPr="00630A9E">
        <w:rPr>
          <w:rFonts w:ascii="Palatino" w:hAnsi="Palatino" w:cstheme="minorHAnsi"/>
        </w:rPr>
        <w:t xml:space="preserve">This view might </w:t>
      </w:r>
      <w:r w:rsidRPr="00630A9E">
        <w:rPr>
          <w:rFonts w:ascii="Palatino" w:hAnsi="Palatino" w:cstheme="minorHAnsi"/>
          <w:i/>
        </w:rPr>
        <w:t>seem</w:t>
      </w:r>
      <w:r w:rsidRPr="00630A9E">
        <w:rPr>
          <w:rFonts w:ascii="Palatino" w:hAnsi="Palatino" w:cstheme="minorHAnsi"/>
        </w:rPr>
        <w:t xml:space="preserve"> incompatible </w:t>
      </w:r>
      <w:r w:rsidRPr="00630A9E">
        <w:rPr>
          <w:rFonts w:ascii="Palatino" w:hAnsi="Palatino" w:cstheme="minorHAnsi"/>
          <w:i/>
        </w:rPr>
        <w:t>in principle</w:t>
      </w:r>
      <w:r w:rsidRPr="00630A9E">
        <w:rPr>
          <w:rFonts w:ascii="Palatino" w:hAnsi="Palatino" w:cstheme="minorHAnsi"/>
        </w:rPr>
        <w:t xml:space="preserve"> with other theories of law. </w:t>
      </w:r>
      <w:r w:rsidR="004A3066" w:rsidRPr="00630A9E">
        <w:rPr>
          <w:rFonts w:ascii="Palatino" w:hAnsi="Palatino" w:cstheme="minorHAnsi"/>
        </w:rPr>
        <w:t>To be sure, i</w:t>
      </w:r>
      <w:r w:rsidRPr="00630A9E">
        <w:rPr>
          <w:rFonts w:ascii="Palatino" w:hAnsi="Palatino" w:cstheme="minorHAnsi"/>
        </w:rPr>
        <w:t>t is, in rough outlines at least, a ‘</w:t>
      </w:r>
      <w:r w:rsidR="00B53E47" w:rsidRPr="00630A9E">
        <w:rPr>
          <w:rFonts w:ascii="Palatino" w:hAnsi="Palatino" w:cstheme="minorHAnsi"/>
        </w:rPr>
        <w:t>legal-</w:t>
      </w:r>
      <w:r w:rsidRPr="00630A9E">
        <w:rPr>
          <w:rFonts w:ascii="Palatino" w:hAnsi="Palatino" w:cstheme="minorHAnsi"/>
        </w:rPr>
        <w:t>pluralist-friendly’ conception of access</w:t>
      </w:r>
      <w:r w:rsidR="00B53E47" w:rsidRPr="00630A9E">
        <w:rPr>
          <w:rFonts w:ascii="Palatino" w:hAnsi="Palatino" w:cstheme="minorHAnsi"/>
        </w:rPr>
        <w:t>.</w:t>
      </w:r>
      <w:r w:rsidR="004A3066" w:rsidRPr="00630A9E">
        <w:rPr>
          <w:rFonts w:ascii="Palatino" w:hAnsi="Palatino" w:cstheme="minorHAnsi"/>
        </w:rPr>
        <w:t xml:space="preserve"> </w:t>
      </w:r>
      <w:r w:rsidR="00B53E47" w:rsidRPr="00630A9E">
        <w:rPr>
          <w:rFonts w:ascii="Palatino" w:hAnsi="Palatino" w:cstheme="minorHAnsi"/>
        </w:rPr>
        <w:t>A</w:t>
      </w:r>
      <w:r w:rsidR="004A3066" w:rsidRPr="00630A9E">
        <w:rPr>
          <w:rFonts w:ascii="Palatino" w:hAnsi="Palatino" w:cstheme="minorHAnsi"/>
        </w:rPr>
        <w:t>nd, to be sure, it is very seriously incompatible with Bentham’s codification project, and with the tradition of civil law generally.</w:t>
      </w:r>
      <w:r w:rsidR="004566F7" w:rsidRPr="00630A9E">
        <w:rPr>
          <w:rFonts w:ascii="Palatino" w:hAnsi="Palatino" w:cstheme="minorHAnsi"/>
        </w:rPr>
        <w:t xml:space="preserve"> </w:t>
      </w:r>
      <w:r w:rsidR="003B1ED3" w:rsidRPr="00630A9E">
        <w:rPr>
          <w:rFonts w:ascii="Palatino" w:hAnsi="Palatino" w:cstheme="minorHAnsi"/>
        </w:rPr>
        <w:t>But the case should not be overstated. From the outset, I have supposed that all hands may agree that law is an institution with powers of formal sanction; and it is difficult to imagine an institution that is not constituted by relations of power.</w:t>
      </w:r>
      <w:r w:rsidR="00F74021" w:rsidRPr="00630A9E">
        <w:rPr>
          <w:rFonts w:ascii="Palatino" w:hAnsi="Palatino" w:cstheme="minorHAnsi"/>
        </w:rPr>
        <w:t xml:space="preserve"> Nor is it necessarily inconsistent with</w:t>
      </w:r>
      <w:r w:rsidR="00B53E47" w:rsidRPr="00630A9E">
        <w:rPr>
          <w:rFonts w:ascii="Palatino" w:hAnsi="Palatino" w:cstheme="minorHAnsi"/>
        </w:rPr>
        <w:t xml:space="preserve"> </w:t>
      </w:r>
      <w:r w:rsidR="00ED74EB" w:rsidRPr="00630A9E">
        <w:rPr>
          <w:rFonts w:ascii="Palatino" w:hAnsi="Palatino" w:cstheme="minorHAnsi"/>
        </w:rPr>
        <w:t xml:space="preserve">sovereign </w:t>
      </w:r>
      <w:r w:rsidR="00B53E47" w:rsidRPr="00630A9E">
        <w:rPr>
          <w:rFonts w:ascii="Palatino" w:hAnsi="Palatino" w:cstheme="minorHAnsi"/>
        </w:rPr>
        <w:t>supremacy</w:t>
      </w:r>
      <w:r w:rsidR="00ED74EB" w:rsidRPr="00630A9E">
        <w:rPr>
          <w:rFonts w:ascii="Palatino" w:hAnsi="Palatino" w:cstheme="minorHAnsi"/>
        </w:rPr>
        <w:t xml:space="preserve">, since the </w:t>
      </w:r>
      <w:r w:rsidR="00B53E47" w:rsidRPr="00630A9E">
        <w:rPr>
          <w:rFonts w:ascii="Palatino" w:hAnsi="Palatino" w:cstheme="minorHAnsi"/>
        </w:rPr>
        <w:t>legitimate sources of law</w:t>
      </w:r>
      <w:r w:rsidR="00ED74EB" w:rsidRPr="00630A9E">
        <w:rPr>
          <w:rFonts w:ascii="Palatino" w:hAnsi="Palatino" w:cstheme="minorHAnsi"/>
        </w:rPr>
        <w:t xml:space="preserve"> can always disavow and annul any pundits.</w:t>
      </w:r>
    </w:p>
    <w:p w14:paraId="1665D638" w14:textId="77777777" w:rsidR="0023736B" w:rsidRDefault="004566F7" w:rsidP="008720B6">
      <w:pPr>
        <w:widowControl w:val="0"/>
        <w:ind w:right="-56" w:firstLine="426"/>
        <w:jc w:val="both"/>
        <w:rPr>
          <w:rFonts w:ascii="Palatino" w:hAnsi="Palatino" w:cstheme="minorHAnsi"/>
        </w:rPr>
      </w:pPr>
      <w:r w:rsidRPr="00630A9E">
        <w:rPr>
          <w:rFonts w:ascii="Palatino" w:hAnsi="Palatino" w:cstheme="minorHAnsi"/>
        </w:rPr>
        <w:t xml:space="preserve">It may appeal, of course, to those who believe that they are respected as knowers even when </w:t>
      </w:r>
      <w:r w:rsidR="003B1ED3" w:rsidRPr="00630A9E">
        <w:rPr>
          <w:rFonts w:ascii="Palatino" w:hAnsi="Palatino" w:cstheme="minorHAnsi"/>
        </w:rPr>
        <w:t xml:space="preserve">they </w:t>
      </w:r>
      <w:r w:rsidRPr="00630A9E">
        <w:rPr>
          <w:rFonts w:ascii="Palatino" w:hAnsi="Palatino" w:cstheme="minorHAnsi"/>
        </w:rPr>
        <w:t xml:space="preserve">face significant epistemic risks. </w:t>
      </w:r>
      <w:r w:rsidR="003B1ED3" w:rsidRPr="00630A9E">
        <w:rPr>
          <w:rFonts w:ascii="Palatino" w:hAnsi="Palatino" w:cstheme="minorHAnsi"/>
        </w:rPr>
        <w:t>‘Common sense’ epistemologists may find themselves amenable to this approach. Yet t</w:t>
      </w:r>
      <w:r w:rsidRPr="00630A9E">
        <w:rPr>
          <w:rFonts w:ascii="Palatino" w:hAnsi="Palatino" w:cstheme="minorHAnsi"/>
        </w:rPr>
        <w:t xml:space="preserve">he main downside, of course, is that a system that displays these properties, to the extent that it does, is a system of </w:t>
      </w:r>
      <w:r w:rsidRPr="00630A9E">
        <w:rPr>
          <w:rFonts w:ascii="Palatino" w:hAnsi="Palatino" w:cstheme="minorHAnsi"/>
          <w:i/>
        </w:rPr>
        <w:t>private governance</w:t>
      </w:r>
      <w:r w:rsidRPr="00630A9E">
        <w:rPr>
          <w:rFonts w:ascii="Palatino" w:hAnsi="Palatino" w:cstheme="minorHAnsi"/>
        </w:rPr>
        <w:t xml:space="preserve">. It is sharply, and perhaps defiantly, out of step with the historical aspirations </w:t>
      </w:r>
      <w:r w:rsidR="00AE586F" w:rsidRPr="00630A9E">
        <w:rPr>
          <w:rFonts w:ascii="Palatino" w:hAnsi="Palatino" w:cstheme="minorHAnsi"/>
        </w:rPr>
        <w:t>of</w:t>
      </w:r>
      <w:r w:rsidRPr="00630A9E">
        <w:rPr>
          <w:rFonts w:ascii="Palatino" w:hAnsi="Palatino" w:cstheme="minorHAnsi"/>
        </w:rPr>
        <w:t xml:space="preserve"> liberal democratic theory</w:t>
      </w:r>
      <w:r w:rsidR="00ED74EB" w:rsidRPr="00630A9E">
        <w:rPr>
          <w:rFonts w:ascii="Palatino" w:hAnsi="Palatino" w:cstheme="minorHAnsi"/>
        </w:rPr>
        <w:t xml:space="preserve">, which prefers to conceive of promulgation as </w:t>
      </w:r>
      <w:r w:rsidR="00ED74EB" w:rsidRPr="00630A9E">
        <w:rPr>
          <w:rFonts w:ascii="Palatino" w:hAnsi="Palatino" w:cstheme="minorHAnsi"/>
        </w:rPr>
        <w:lastRenderedPageBreak/>
        <w:t xml:space="preserve">the sort of thing where all subjects have </w:t>
      </w:r>
      <w:r w:rsidR="00ED74EB" w:rsidRPr="00630A9E">
        <w:rPr>
          <w:rFonts w:ascii="Palatino" w:hAnsi="Palatino" w:cstheme="minorHAnsi"/>
          <w:i/>
        </w:rPr>
        <w:t>equal</w:t>
      </w:r>
      <w:r w:rsidR="00ED74EB" w:rsidRPr="00630A9E">
        <w:rPr>
          <w:rFonts w:ascii="Palatino" w:hAnsi="Palatino" w:cstheme="minorHAnsi"/>
        </w:rPr>
        <w:t xml:space="preserve"> access</w:t>
      </w:r>
      <w:r w:rsidRPr="00630A9E">
        <w:rPr>
          <w:rFonts w:ascii="Palatino" w:hAnsi="Palatino" w:cstheme="minorHAnsi"/>
        </w:rPr>
        <w:t>.</w:t>
      </w:r>
    </w:p>
    <w:p w14:paraId="054EE724" w14:textId="1C673105" w:rsidR="0023736B" w:rsidRDefault="0023736B" w:rsidP="008720B6">
      <w:pPr>
        <w:widowControl w:val="0"/>
        <w:ind w:right="-56" w:firstLine="426"/>
        <w:jc w:val="both"/>
        <w:rPr>
          <w:rFonts w:ascii="Palatino" w:hAnsi="Palatino" w:cstheme="minorHAnsi"/>
        </w:rPr>
      </w:pPr>
    </w:p>
    <w:p w14:paraId="2F3F4AB5" w14:textId="220DE0F6" w:rsidR="00D618D4" w:rsidRDefault="00D618D4" w:rsidP="008720B6">
      <w:pPr>
        <w:widowControl w:val="0"/>
        <w:ind w:right="-56"/>
        <w:jc w:val="both"/>
        <w:rPr>
          <w:rFonts w:ascii="Palatino" w:hAnsi="Palatino" w:cstheme="minorHAnsi"/>
          <w:b/>
        </w:rPr>
      </w:pPr>
      <w:r w:rsidRPr="00D618D4">
        <w:rPr>
          <w:rFonts w:ascii="Palatino" w:hAnsi="Palatino" w:cstheme="minorHAnsi"/>
          <w:b/>
        </w:rPr>
        <w:t>Case study</w:t>
      </w:r>
    </w:p>
    <w:p w14:paraId="097BFC50" w14:textId="77777777" w:rsidR="001B5972" w:rsidRPr="00D618D4" w:rsidRDefault="001B5972" w:rsidP="008720B6">
      <w:pPr>
        <w:widowControl w:val="0"/>
        <w:ind w:right="-56" w:firstLine="426"/>
        <w:jc w:val="both"/>
        <w:rPr>
          <w:rFonts w:ascii="Palatino" w:hAnsi="Palatino" w:cstheme="minorHAnsi"/>
          <w:b/>
        </w:rPr>
      </w:pPr>
    </w:p>
    <w:p w14:paraId="5D02B093" w14:textId="7533E7D0" w:rsidR="00891835" w:rsidRDefault="003721C7" w:rsidP="008720B6">
      <w:pPr>
        <w:widowControl w:val="0"/>
        <w:ind w:right="-56"/>
        <w:jc w:val="both"/>
        <w:rPr>
          <w:rFonts w:ascii="Palatino" w:hAnsi="Palatino" w:cstheme="minorHAnsi"/>
        </w:rPr>
      </w:pPr>
      <w:r w:rsidRPr="00630A9E">
        <w:rPr>
          <w:rFonts w:ascii="Palatino" w:hAnsi="Palatino" w:cstheme="minorHAnsi"/>
        </w:rPr>
        <w:t>This is</w:t>
      </w:r>
      <w:r w:rsidR="007936B9" w:rsidRPr="00630A9E">
        <w:rPr>
          <w:rFonts w:ascii="Palatino" w:hAnsi="Palatino" w:cstheme="minorHAnsi"/>
        </w:rPr>
        <w:t xml:space="preserve"> just a small sample of potential models </w:t>
      </w:r>
      <w:r w:rsidRPr="00630A9E">
        <w:rPr>
          <w:rFonts w:ascii="Palatino" w:hAnsi="Palatino" w:cstheme="minorHAnsi"/>
        </w:rPr>
        <w:t>for</w:t>
      </w:r>
      <w:r w:rsidR="007936B9" w:rsidRPr="00630A9E">
        <w:rPr>
          <w:rFonts w:ascii="Palatino" w:hAnsi="Palatino" w:cstheme="minorHAnsi"/>
        </w:rPr>
        <w:t xml:space="preserve"> the standard of reasonable belief</w:t>
      </w:r>
      <w:r w:rsidRPr="00630A9E">
        <w:rPr>
          <w:rFonts w:ascii="Palatino" w:hAnsi="Palatino" w:cstheme="minorHAnsi"/>
        </w:rPr>
        <w:t>, and may fit diverse legal environments and institutions.</w:t>
      </w:r>
      <w:r w:rsidR="00EA0BB5">
        <w:rPr>
          <w:rFonts w:ascii="Palatino" w:hAnsi="Palatino" w:cstheme="minorHAnsi"/>
        </w:rPr>
        <w:t xml:space="preserve"> But how do they fare, in the context of theory</w:t>
      </w:r>
      <w:r w:rsidR="00952638">
        <w:rPr>
          <w:rFonts w:ascii="Palatino" w:hAnsi="Palatino" w:cstheme="minorHAnsi"/>
        </w:rPr>
        <w:t>,</w:t>
      </w:r>
      <w:r w:rsidR="00EA0BB5">
        <w:rPr>
          <w:rFonts w:ascii="Palatino" w:hAnsi="Palatino" w:cstheme="minorHAnsi"/>
        </w:rPr>
        <w:t xml:space="preserve"> </w:t>
      </w:r>
      <w:r w:rsidR="00952638">
        <w:rPr>
          <w:rFonts w:ascii="Palatino" w:hAnsi="Palatino" w:cstheme="minorHAnsi"/>
        </w:rPr>
        <w:t>a</w:t>
      </w:r>
      <w:r w:rsidR="00EA0BB5">
        <w:rPr>
          <w:rFonts w:ascii="Palatino" w:hAnsi="Palatino" w:cstheme="minorHAnsi"/>
        </w:rPr>
        <w:t xml:space="preserve">nd </w:t>
      </w:r>
      <w:r w:rsidR="00952638">
        <w:rPr>
          <w:rFonts w:ascii="Palatino" w:hAnsi="Palatino" w:cstheme="minorHAnsi"/>
        </w:rPr>
        <w:t xml:space="preserve">to what extent </w:t>
      </w:r>
      <w:r w:rsidR="00EA0BB5">
        <w:rPr>
          <w:rFonts w:ascii="Palatino" w:hAnsi="Palatino" w:cstheme="minorHAnsi"/>
        </w:rPr>
        <w:t>are we willing to stomach the results insofar as they apply to cases?</w:t>
      </w:r>
      <w:r w:rsidR="0023736B">
        <w:rPr>
          <w:rFonts w:ascii="Palatino" w:hAnsi="Palatino" w:cstheme="minorHAnsi"/>
        </w:rPr>
        <w:t xml:space="preserve"> I will consider an especially </w:t>
      </w:r>
      <w:r w:rsidR="000B537D">
        <w:rPr>
          <w:rFonts w:ascii="Palatino" w:hAnsi="Palatino" w:cstheme="minorHAnsi"/>
        </w:rPr>
        <w:t>vivid</w:t>
      </w:r>
      <w:r w:rsidR="0023736B">
        <w:rPr>
          <w:rFonts w:ascii="Palatino" w:hAnsi="Palatino" w:cstheme="minorHAnsi"/>
        </w:rPr>
        <w:t xml:space="preserve"> case of apparent promulgation failure related to the </w:t>
      </w:r>
      <w:r w:rsidR="000B537D">
        <w:rPr>
          <w:rFonts w:ascii="Palatino" w:hAnsi="Palatino" w:cstheme="minorHAnsi"/>
        </w:rPr>
        <w:t xml:space="preserve">2010 </w:t>
      </w:r>
      <w:r w:rsidR="0023736B">
        <w:rPr>
          <w:rFonts w:ascii="Palatino" w:hAnsi="Palatino" w:cstheme="minorHAnsi"/>
        </w:rPr>
        <w:t>G20 Summit in Toronto.</w:t>
      </w:r>
    </w:p>
    <w:p w14:paraId="78A3F8A3" w14:textId="77777777" w:rsidR="00891835" w:rsidRDefault="00891835" w:rsidP="008720B6">
      <w:pPr>
        <w:widowControl w:val="0"/>
        <w:ind w:right="-56" w:firstLine="426"/>
        <w:jc w:val="both"/>
        <w:rPr>
          <w:rFonts w:ascii="Palatino" w:hAnsi="Palatino" w:cstheme="minorHAnsi"/>
        </w:rPr>
      </w:pPr>
    </w:p>
    <w:p w14:paraId="214CE9C4" w14:textId="6A55DA63" w:rsidR="00891835" w:rsidRDefault="00891835" w:rsidP="008720B6">
      <w:pPr>
        <w:widowControl w:val="0"/>
        <w:ind w:right="-56"/>
        <w:jc w:val="both"/>
        <w:rPr>
          <w:rFonts w:ascii="Palatino" w:hAnsi="Palatino" w:cstheme="minorHAnsi"/>
        </w:rPr>
      </w:pPr>
      <w:r>
        <w:rPr>
          <w:rFonts w:ascii="Palatino" w:hAnsi="Palatino" w:cstheme="minorHAnsi"/>
        </w:rPr>
        <w:t>During the period of June 2010,</w:t>
      </w:r>
      <w:r w:rsidRPr="0023736B">
        <w:rPr>
          <w:rFonts w:ascii="Palatino" w:hAnsi="Palatino" w:cstheme="minorHAnsi"/>
        </w:rPr>
        <w:t xml:space="preserve"> eight square city blocks </w:t>
      </w:r>
      <w:r w:rsidR="00821AA4">
        <w:rPr>
          <w:rFonts w:ascii="Palatino" w:hAnsi="Palatino" w:cstheme="minorHAnsi"/>
        </w:rPr>
        <w:t>of</w:t>
      </w:r>
      <w:r>
        <w:rPr>
          <w:rFonts w:ascii="Palatino" w:hAnsi="Palatino" w:cstheme="minorHAnsi"/>
        </w:rPr>
        <w:t xml:space="preserve"> downtown </w:t>
      </w:r>
      <w:r w:rsidRPr="0023736B">
        <w:rPr>
          <w:rFonts w:ascii="Palatino" w:hAnsi="Palatino" w:cstheme="minorHAnsi"/>
        </w:rPr>
        <w:t xml:space="preserve">Toronto were </w:t>
      </w:r>
      <w:r>
        <w:rPr>
          <w:rFonts w:ascii="Palatino" w:hAnsi="Palatino" w:cstheme="minorHAnsi"/>
        </w:rPr>
        <w:t>designated ‘</w:t>
      </w:r>
      <w:r w:rsidRPr="0023736B">
        <w:rPr>
          <w:rFonts w:ascii="Palatino" w:hAnsi="Palatino" w:cstheme="minorHAnsi"/>
        </w:rPr>
        <w:t xml:space="preserve">public </w:t>
      </w:r>
      <w:proofErr w:type="gramStart"/>
      <w:r w:rsidRPr="0023736B">
        <w:rPr>
          <w:rFonts w:ascii="Palatino" w:hAnsi="Palatino" w:cstheme="minorHAnsi"/>
        </w:rPr>
        <w:t>works</w:t>
      </w:r>
      <w:r>
        <w:rPr>
          <w:rFonts w:ascii="Palatino" w:hAnsi="Palatino" w:cstheme="minorHAnsi"/>
        </w:rPr>
        <w:t>’</w:t>
      </w:r>
      <w:proofErr w:type="gramEnd"/>
      <w:r w:rsidRPr="0023736B">
        <w:rPr>
          <w:rFonts w:ascii="Palatino" w:hAnsi="Palatino" w:cstheme="minorHAnsi"/>
        </w:rPr>
        <w:t xml:space="preserve"> by</w:t>
      </w:r>
      <w:r>
        <w:rPr>
          <w:rFonts w:ascii="Palatino" w:hAnsi="Palatino" w:cstheme="minorHAnsi"/>
        </w:rPr>
        <w:t xml:space="preserve"> the provincial government. The</w:t>
      </w:r>
      <w:r w:rsidR="006002BE">
        <w:rPr>
          <w:rFonts w:ascii="Palatino" w:hAnsi="Palatino" w:cstheme="minorHAnsi"/>
        </w:rPr>
        <w:t xml:space="preserve"> interdiction</w:t>
      </w:r>
      <w:r>
        <w:rPr>
          <w:rFonts w:ascii="Palatino" w:hAnsi="Palatino" w:cstheme="minorHAnsi"/>
        </w:rPr>
        <w:t xml:space="preserve"> zone was set up </w:t>
      </w:r>
      <w:r w:rsidRPr="0023736B">
        <w:rPr>
          <w:rFonts w:ascii="Palatino" w:hAnsi="Palatino" w:cstheme="minorHAnsi"/>
        </w:rPr>
        <w:t xml:space="preserve">in order to </w:t>
      </w:r>
      <w:r>
        <w:rPr>
          <w:rFonts w:ascii="Palatino" w:hAnsi="Palatino" w:cstheme="minorHAnsi"/>
        </w:rPr>
        <w:t>secure the grounds and immediate area of</w:t>
      </w:r>
      <w:r w:rsidRPr="0023736B">
        <w:rPr>
          <w:rFonts w:ascii="Palatino" w:hAnsi="Palatino" w:cstheme="minorHAnsi"/>
        </w:rPr>
        <w:t xml:space="preserve"> </w:t>
      </w:r>
      <w:r>
        <w:rPr>
          <w:rFonts w:ascii="Palatino" w:hAnsi="Palatino" w:cstheme="minorHAnsi"/>
        </w:rPr>
        <w:t>the G20</w:t>
      </w:r>
      <w:r w:rsidRPr="0023736B">
        <w:rPr>
          <w:rFonts w:ascii="Palatino" w:hAnsi="Palatino" w:cstheme="minorHAnsi"/>
        </w:rPr>
        <w:t xml:space="preserve"> meeting</w:t>
      </w:r>
      <w:r>
        <w:rPr>
          <w:rFonts w:ascii="Palatino" w:hAnsi="Palatino" w:cstheme="minorHAnsi"/>
        </w:rPr>
        <w:t xml:space="preserve"> and to protect the attendees. The zone was</w:t>
      </w:r>
      <w:r w:rsidR="006002BE">
        <w:rPr>
          <w:rFonts w:ascii="Palatino" w:hAnsi="Palatino" w:cstheme="minorHAnsi"/>
        </w:rPr>
        <w:t xml:space="preserve"> physically</w:t>
      </w:r>
      <w:r>
        <w:rPr>
          <w:rFonts w:ascii="Palatino" w:hAnsi="Palatino" w:cstheme="minorHAnsi"/>
        </w:rPr>
        <w:t xml:space="preserve"> enclosed in a metal fence</w:t>
      </w:r>
      <w:r w:rsidR="006002BE">
        <w:rPr>
          <w:rFonts w:ascii="Palatino" w:hAnsi="Palatino" w:cstheme="minorHAnsi"/>
        </w:rPr>
        <w:t>, ostensibly marking its boundary</w:t>
      </w:r>
      <w:r>
        <w:rPr>
          <w:rFonts w:ascii="Palatino" w:hAnsi="Palatino" w:cstheme="minorHAnsi"/>
        </w:rPr>
        <w:t>. Police restricted entry into and out of the interdiction zone, and were given enhanced civic powers related to warrantless search and use of force.</w:t>
      </w:r>
      <w:r>
        <w:rPr>
          <w:rStyle w:val="FootnoteReference"/>
          <w:rFonts w:ascii="Palatino" w:hAnsi="Palatino" w:cstheme="minorHAnsi"/>
        </w:rPr>
        <w:footnoteReference w:id="46"/>
      </w:r>
      <w:r>
        <w:rPr>
          <w:rFonts w:ascii="Palatino" w:hAnsi="Palatino" w:cstheme="minorHAnsi"/>
        </w:rPr>
        <w:t xml:space="preserve"> </w:t>
      </w:r>
    </w:p>
    <w:p w14:paraId="1EB0B608" w14:textId="77777777" w:rsidR="00891835" w:rsidRDefault="00891835" w:rsidP="008720B6">
      <w:pPr>
        <w:widowControl w:val="0"/>
        <w:ind w:right="-56" w:firstLine="426"/>
        <w:jc w:val="both"/>
        <w:rPr>
          <w:rFonts w:ascii="Palatino" w:hAnsi="Palatino" w:cstheme="minorHAnsi"/>
        </w:rPr>
      </w:pPr>
      <w:r>
        <w:rPr>
          <w:rFonts w:ascii="Palatino" w:hAnsi="Palatino" w:cstheme="minorHAnsi"/>
        </w:rPr>
        <w:t>These extra powers were put in force by a regulation of the Act passed by the Ministry. Conventional opinion is that the relevant r</w:t>
      </w:r>
      <w:r w:rsidRPr="0023736B">
        <w:rPr>
          <w:rFonts w:ascii="Palatino" w:hAnsi="Palatino" w:cstheme="minorHAnsi"/>
        </w:rPr>
        <w:t xml:space="preserve">egulation </w:t>
      </w:r>
      <w:r>
        <w:rPr>
          <w:rFonts w:ascii="Palatino" w:hAnsi="Palatino" w:cstheme="minorHAnsi"/>
        </w:rPr>
        <w:t>(</w:t>
      </w:r>
      <w:r w:rsidRPr="0023736B">
        <w:rPr>
          <w:rFonts w:ascii="Palatino" w:hAnsi="Palatino" w:cstheme="minorHAnsi"/>
        </w:rPr>
        <w:t>233/10</w:t>
      </w:r>
      <w:r>
        <w:rPr>
          <w:rFonts w:ascii="Palatino" w:hAnsi="Palatino" w:cstheme="minorHAnsi"/>
        </w:rPr>
        <w:t xml:space="preserve">), the </w:t>
      </w:r>
      <w:r w:rsidRPr="00D02468">
        <w:rPr>
          <w:rFonts w:ascii="Palatino" w:hAnsi="Palatino" w:cstheme="minorHAnsi"/>
          <w:i/>
        </w:rPr>
        <w:t>Designation of Public Works,</w:t>
      </w:r>
      <w:r>
        <w:rPr>
          <w:rFonts w:ascii="Palatino" w:hAnsi="Palatino" w:cstheme="minorHAnsi"/>
        </w:rPr>
        <w:t xml:space="preserve"> was lawful. The regulation was a precise specification of an old, obscure, and little-used statute, the </w:t>
      </w:r>
      <w:r w:rsidRPr="008E472B">
        <w:rPr>
          <w:rFonts w:ascii="Palatino" w:hAnsi="Palatino" w:cstheme="minorHAnsi"/>
          <w:i/>
        </w:rPr>
        <w:t>Public Works Protection Act</w:t>
      </w:r>
      <w:r>
        <w:rPr>
          <w:rFonts w:ascii="Palatino" w:hAnsi="Palatino" w:cstheme="minorHAnsi"/>
          <w:i/>
        </w:rPr>
        <w:t xml:space="preserve"> </w:t>
      </w:r>
      <w:r w:rsidRPr="00670693">
        <w:rPr>
          <w:rFonts w:ascii="Palatino" w:hAnsi="Palatino" w:cstheme="minorHAnsi"/>
        </w:rPr>
        <w:t>(</w:t>
      </w:r>
      <w:r w:rsidRPr="004A61F9">
        <w:rPr>
          <w:rFonts w:ascii="Palatino" w:hAnsi="Palatino" w:cstheme="minorHAnsi"/>
          <w:i/>
        </w:rPr>
        <w:t>PWPA</w:t>
      </w:r>
      <w:r w:rsidRPr="00670693">
        <w:rPr>
          <w:rFonts w:ascii="Palatino" w:hAnsi="Palatino" w:cstheme="minorHAnsi"/>
        </w:rPr>
        <w:t>).</w:t>
      </w:r>
      <w:r>
        <w:rPr>
          <w:rStyle w:val="FootnoteReference"/>
          <w:rFonts w:ascii="Palatino" w:hAnsi="Palatino" w:cstheme="minorHAnsi"/>
        </w:rPr>
        <w:footnoteReference w:id="47"/>
      </w:r>
      <w:r w:rsidRPr="008E472B">
        <w:rPr>
          <w:rFonts w:ascii="Palatino" w:hAnsi="Palatino" w:cstheme="minorHAnsi"/>
        </w:rPr>
        <w:t xml:space="preserve"> </w:t>
      </w:r>
      <w:r>
        <w:rPr>
          <w:rFonts w:ascii="Palatino" w:hAnsi="Palatino" w:cstheme="minorHAnsi"/>
        </w:rPr>
        <w:t>T</w:t>
      </w:r>
      <w:r w:rsidRPr="008E472B">
        <w:rPr>
          <w:rFonts w:ascii="Palatino" w:hAnsi="Palatino" w:cstheme="minorHAnsi"/>
        </w:rPr>
        <w:t xml:space="preserve">he </w:t>
      </w:r>
      <w:r>
        <w:rPr>
          <w:rFonts w:ascii="Palatino" w:hAnsi="Palatino" w:cstheme="minorHAnsi"/>
          <w:i/>
        </w:rPr>
        <w:t xml:space="preserve">PWPA </w:t>
      </w:r>
      <w:r>
        <w:rPr>
          <w:rFonts w:ascii="Palatino" w:hAnsi="Palatino" w:cstheme="minorHAnsi"/>
        </w:rPr>
        <w:t xml:space="preserve">derived from legislation enacted for the purpose of restricting access to official spaces during the Second World War, e.g., courthouses and power plants, so that they would not be subjected to sabotage by the Axis or its sympathizers. Surprisingly, all sidewalks and roadways in Canada automatically fell under the scope of the </w:t>
      </w:r>
      <w:r w:rsidRPr="004A61F9">
        <w:rPr>
          <w:rFonts w:ascii="Palatino" w:hAnsi="Palatino" w:cstheme="minorHAnsi"/>
          <w:i/>
        </w:rPr>
        <w:t>PWPA</w:t>
      </w:r>
      <w:r>
        <w:rPr>
          <w:rFonts w:ascii="Palatino" w:hAnsi="Palatino" w:cstheme="minorHAnsi"/>
        </w:rPr>
        <w:t xml:space="preserve">. In this respect, the </w:t>
      </w:r>
      <w:r w:rsidRPr="004A61F9">
        <w:rPr>
          <w:rFonts w:ascii="Palatino" w:hAnsi="Palatino" w:cstheme="minorHAnsi"/>
          <w:i/>
        </w:rPr>
        <w:t>Regulation</w:t>
      </w:r>
      <w:r>
        <w:rPr>
          <w:rFonts w:ascii="Palatino" w:hAnsi="Palatino" w:cstheme="minorHAnsi"/>
        </w:rPr>
        <w:t xml:space="preserve"> only explicitly activated those powers already found in the </w:t>
      </w:r>
      <w:r w:rsidRPr="0030489E">
        <w:rPr>
          <w:rFonts w:ascii="Palatino" w:hAnsi="Palatino" w:cstheme="minorHAnsi"/>
          <w:i/>
        </w:rPr>
        <w:t>Act</w:t>
      </w:r>
      <w:r>
        <w:rPr>
          <w:rFonts w:ascii="Palatino" w:hAnsi="Palatino" w:cstheme="minorHAnsi"/>
        </w:rPr>
        <w:t>.</w:t>
      </w:r>
      <w:r>
        <w:rPr>
          <w:rStyle w:val="FootnoteReference"/>
          <w:rFonts w:ascii="Palatino" w:hAnsi="Palatino" w:cstheme="minorHAnsi"/>
        </w:rPr>
        <w:footnoteReference w:id="48"/>
      </w:r>
    </w:p>
    <w:p w14:paraId="7C4422B9" w14:textId="293B6DFF" w:rsidR="00891835" w:rsidRDefault="00891835" w:rsidP="008720B6">
      <w:pPr>
        <w:widowControl w:val="0"/>
        <w:ind w:right="-56" w:firstLine="426"/>
        <w:jc w:val="both"/>
        <w:rPr>
          <w:rFonts w:ascii="Palatino" w:hAnsi="Palatino" w:cstheme="minorHAnsi"/>
        </w:rPr>
      </w:pPr>
      <w:r>
        <w:rPr>
          <w:rFonts w:ascii="Palatino" w:hAnsi="Palatino" w:cstheme="minorHAnsi"/>
        </w:rPr>
        <w:t xml:space="preserve">The regulation to the </w:t>
      </w:r>
      <w:r w:rsidRPr="00F67B1E">
        <w:rPr>
          <w:rFonts w:ascii="Palatino" w:hAnsi="Palatino" w:cstheme="minorHAnsi"/>
          <w:i/>
        </w:rPr>
        <w:t>Act</w:t>
      </w:r>
      <w:r>
        <w:rPr>
          <w:rFonts w:ascii="Palatino" w:hAnsi="Palatino" w:cstheme="minorHAnsi"/>
        </w:rPr>
        <w:t xml:space="preserve"> (233/10) was published in two official government venues, the </w:t>
      </w:r>
      <w:r w:rsidRPr="00F805AA">
        <w:rPr>
          <w:rFonts w:ascii="Palatino" w:hAnsi="Palatino" w:cstheme="minorHAnsi"/>
          <w:i/>
        </w:rPr>
        <w:t>Ontario Gazette</w:t>
      </w:r>
      <w:r>
        <w:rPr>
          <w:rFonts w:ascii="Palatino" w:hAnsi="Palatino" w:cstheme="minorHAnsi"/>
        </w:rPr>
        <w:t xml:space="preserve"> and the </w:t>
      </w:r>
      <w:r w:rsidRPr="00AE69BA">
        <w:rPr>
          <w:rFonts w:ascii="Palatino" w:hAnsi="Palatino" w:cstheme="minorHAnsi"/>
          <w:i/>
        </w:rPr>
        <w:t>Ontario</w:t>
      </w:r>
      <w:r>
        <w:rPr>
          <w:rFonts w:ascii="Palatino" w:hAnsi="Palatino" w:cstheme="minorHAnsi"/>
        </w:rPr>
        <w:t xml:space="preserve"> </w:t>
      </w:r>
      <w:r w:rsidRPr="00FE4A6B">
        <w:rPr>
          <w:rFonts w:ascii="Palatino" w:hAnsi="Palatino" w:cstheme="minorHAnsi"/>
          <w:i/>
        </w:rPr>
        <w:t>e-Laws</w:t>
      </w:r>
      <w:r>
        <w:rPr>
          <w:rFonts w:ascii="Palatino" w:hAnsi="Palatino" w:cstheme="minorHAnsi"/>
        </w:rPr>
        <w:t xml:space="preserve"> website. However, both venues are problematic. The publication in the </w:t>
      </w:r>
      <w:r w:rsidRPr="00F67B1E">
        <w:rPr>
          <w:rFonts w:ascii="Palatino" w:hAnsi="Palatino" w:cstheme="minorHAnsi"/>
          <w:i/>
        </w:rPr>
        <w:t>Gazette</w:t>
      </w:r>
      <w:r>
        <w:rPr>
          <w:rFonts w:ascii="Palatino" w:hAnsi="Palatino" w:cstheme="minorHAnsi"/>
        </w:rPr>
        <w:t xml:space="preserve"> only </w:t>
      </w:r>
      <w:r w:rsidRPr="00FE4A6B">
        <w:rPr>
          <w:rFonts w:ascii="Palatino" w:hAnsi="Palatino" w:cstheme="minorHAnsi"/>
          <w:i/>
        </w:rPr>
        <w:t>appeared after the Regulation itself had lapsed</w:t>
      </w:r>
      <w:r>
        <w:rPr>
          <w:rFonts w:ascii="Palatino" w:hAnsi="Palatino" w:cstheme="minorHAnsi"/>
          <w:i/>
        </w:rPr>
        <w:t xml:space="preserve">, </w:t>
      </w:r>
      <w:r>
        <w:rPr>
          <w:rFonts w:ascii="Palatino" w:hAnsi="Palatino" w:cstheme="minorHAnsi"/>
        </w:rPr>
        <w:t xml:space="preserve">so obviously can’t qualify as prior notice in any sense. At best, the law can only be thought to have been promulgated through </w:t>
      </w:r>
      <w:r w:rsidRPr="00FE4A6B">
        <w:rPr>
          <w:rFonts w:ascii="Palatino" w:hAnsi="Palatino" w:cstheme="minorHAnsi"/>
          <w:i/>
        </w:rPr>
        <w:t>e-Laws</w:t>
      </w:r>
      <w:r>
        <w:rPr>
          <w:rFonts w:ascii="Palatino" w:hAnsi="Palatino" w:cstheme="minorHAnsi"/>
        </w:rPr>
        <w:t xml:space="preserve">. However, </w:t>
      </w:r>
      <w:r w:rsidRPr="0030489E">
        <w:rPr>
          <w:rFonts w:ascii="Palatino" w:hAnsi="Palatino" w:cstheme="minorHAnsi"/>
          <w:i/>
        </w:rPr>
        <w:t>e-Laws</w:t>
      </w:r>
      <w:r>
        <w:rPr>
          <w:rFonts w:ascii="Palatino" w:hAnsi="Palatino" w:cstheme="minorHAnsi"/>
        </w:rPr>
        <w:t xml:space="preserve"> is a legal search engine</w:t>
      </w:r>
      <w:r w:rsidR="006D27D3">
        <w:rPr>
          <w:rFonts w:ascii="Palatino" w:hAnsi="Palatino" w:cstheme="minorHAnsi"/>
        </w:rPr>
        <w:t xml:space="preserve"> and database</w:t>
      </w:r>
      <w:r>
        <w:rPr>
          <w:rFonts w:ascii="Palatino" w:hAnsi="Palatino" w:cstheme="minorHAnsi"/>
        </w:rPr>
        <w:t xml:space="preserve">, not </w:t>
      </w:r>
      <w:r w:rsidR="006002BE">
        <w:rPr>
          <w:rFonts w:ascii="Palatino" w:hAnsi="Palatino" w:cstheme="minorHAnsi"/>
        </w:rPr>
        <w:t xml:space="preserve">designed as </w:t>
      </w:r>
      <w:r>
        <w:rPr>
          <w:rFonts w:ascii="Palatino" w:hAnsi="Palatino" w:cstheme="minorHAnsi"/>
        </w:rPr>
        <w:t xml:space="preserve">a bulletin or periodical which </w:t>
      </w:r>
      <w:r w:rsidRPr="006002BE">
        <w:rPr>
          <w:rFonts w:ascii="Palatino" w:hAnsi="Palatino" w:cstheme="minorHAnsi"/>
        </w:rPr>
        <w:t>serves notice</w:t>
      </w:r>
      <w:r w:rsidR="006002BE">
        <w:rPr>
          <w:rFonts w:ascii="Palatino" w:hAnsi="Palatino" w:cstheme="minorHAnsi"/>
        </w:rPr>
        <w:t xml:space="preserve"> through outreach</w:t>
      </w:r>
      <w:r>
        <w:rPr>
          <w:rFonts w:ascii="Palatino" w:hAnsi="Palatino" w:cstheme="minorHAnsi"/>
        </w:rPr>
        <w:t>.</w:t>
      </w:r>
    </w:p>
    <w:p w14:paraId="5CF520E5" w14:textId="77777777" w:rsidR="00891835" w:rsidRDefault="00891835" w:rsidP="008720B6">
      <w:pPr>
        <w:widowControl w:val="0"/>
        <w:ind w:right="-56" w:firstLine="426"/>
        <w:jc w:val="both"/>
        <w:rPr>
          <w:rFonts w:ascii="Palatino" w:hAnsi="Palatino" w:cstheme="minorHAnsi"/>
        </w:rPr>
      </w:pPr>
      <w:r>
        <w:rPr>
          <w:rFonts w:ascii="Palatino" w:hAnsi="Palatino" w:cstheme="minorHAnsi"/>
        </w:rPr>
        <w:t xml:space="preserve">The </w:t>
      </w:r>
      <w:r w:rsidRPr="00D4427D">
        <w:rPr>
          <w:rFonts w:ascii="Palatino" w:hAnsi="Palatino" w:cstheme="minorHAnsi"/>
          <w:i/>
        </w:rPr>
        <w:t>Regulation</w:t>
      </w:r>
      <w:r>
        <w:rPr>
          <w:rFonts w:ascii="Palatino" w:hAnsi="Palatino" w:cstheme="minorHAnsi"/>
        </w:rPr>
        <w:t xml:space="preserve"> applied narrowly to certain public areas of Toronto. For that reason, the main stakeholders of that </w:t>
      </w:r>
      <w:r w:rsidRPr="0030489E">
        <w:rPr>
          <w:rFonts w:ascii="Palatino" w:hAnsi="Palatino" w:cstheme="minorHAnsi"/>
          <w:i/>
        </w:rPr>
        <w:t>Regulation</w:t>
      </w:r>
      <w:r>
        <w:rPr>
          <w:rFonts w:ascii="Palatino" w:hAnsi="Palatino" w:cstheme="minorHAnsi"/>
        </w:rPr>
        <w:t xml:space="preserve"> were those in the vicinity of Toronto for that period.</w:t>
      </w:r>
    </w:p>
    <w:p w14:paraId="42FBDD9D" w14:textId="1A0460A7" w:rsidR="00891835" w:rsidRDefault="006D27D3" w:rsidP="008720B6">
      <w:pPr>
        <w:widowControl w:val="0"/>
        <w:ind w:right="-56" w:firstLine="426"/>
        <w:jc w:val="both"/>
        <w:rPr>
          <w:rFonts w:ascii="Palatino" w:hAnsi="Palatino" w:cstheme="minorHAnsi"/>
        </w:rPr>
      </w:pPr>
      <w:r>
        <w:rPr>
          <w:rFonts w:ascii="Palatino" w:hAnsi="Palatino" w:cstheme="minorHAnsi"/>
        </w:rPr>
        <w:t>To put it mildly, i</w:t>
      </w:r>
      <w:r w:rsidR="00891835">
        <w:rPr>
          <w:rFonts w:ascii="Palatino" w:hAnsi="Palatino" w:cstheme="minorHAnsi"/>
        </w:rPr>
        <w:t xml:space="preserve">t is not obvious that the </w:t>
      </w:r>
      <w:r w:rsidR="00891835" w:rsidRPr="00D02468">
        <w:rPr>
          <w:rFonts w:ascii="Palatino" w:hAnsi="Palatino" w:cstheme="minorHAnsi"/>
          <w:i/>
        </w:rPr>
        <w:t>PWPA</w:t>
      </w:r>
      <w:r w:rsidR="00891835">
        <w:rPr>
          <w:rFonts w:ascii="Palatino" w:hAnsi="Palatino" w:cstheme="minorHAnsi"/>
        </w:rPr>
        <w:t xml:space="preserve"> was constitutional under the Canadian </w:t>
      </w:r>
      <w:r w:rsidR="00891835" w:rsidRPr="00184CCE">
        <w:rPr>
          <w:rFonts w:ascii="Palatino" w:hAnsi="Palatino" w:cstheme="minorHAnsi"/>
          <w:i/>
        </w:rPr>
        <w:t>Charte</w:t>
      </w:r>
      <w:r w:rsidR="00891835">
        <w:rPr>
          <w:rFonts w:ascii="Palatino" w:hAnsi="Palatino" w:cstheme="minorHAnsi"/>
          <w:i/>
        </w:rPr>
        <w:t>r</w:t>
      </w:r>
      <w:r w:rsidR="00891835">
        <w:rPr>
          <w:rFonts w:ascii="Palatino" w:hAnsi="Palatino" w:cstheme="minorHAnsi"/>
        </w:rPr>
        <w:t>.</w:t>
      </w:r>
      <w:r w:rsidR="00891835">
        <w:rPr>
          <w:rStyle w:val="FootnoteReference"/>
          <w:rFonts w:ascii="Palatino" w:hAnsi="Palatino" w:cstheme="minorHAnsi"/>
        </w:rPr>
        <w:footnoteReference w:id="49"/>
      </w:r>
      <w:r w:rsidR="00891835">
        <w:rPr>
          <w:rFonts w:ascii="Palatino" w:hAnsi="Palatino" w:cstheme="minorHAnsi"/>
        </w:rPr>
        <w:t xml:space="preserve"> It is also not clear that the </w:t>
      </w:r>
      <w:r w:rsidR="00891835" w:rsidRPr="00821AA4">
        <w:rPr>
          <w:rFonts w:ascii="Palatino" w:hAnsi="Palatino" w:cstheme="minorHAnsi"/>
          <w:i/>
        </w:rPr>
        <w:t>Regulation</w:t>
      </w:r>
      <w:r w:rsidR="00891835">
        <w:rPr>
          <w:rFonts w:ascii="Palatino" w:hAnsi="Palatino" w:cstheme="minorHAnsi"/>
        </w:rPr>
        <w:t xml:space="preserve"> </w:t>
      </w:r>
      <w:r w:rsidR="00821AA4">
        <w:rPr>
          <w:rFonts w:ascii="Palatino" w:hAnsi="Palatino" w:cstheme="minorHAnsi"/>
        </w:rPr>
        <w:t>was consistent with</w:t>
      </w:r>
      <w:r w:rsidR="00891835">
        <w:rPr>
          <w:rFonts w:ascii="Palatino" w:hAnsi="Palatino" w:cstheme="minorHAnsi"/>
        </w:rPr>
        <w:t xml:space="preserve"> the purposes </w:t>
      </w:r>
      <w:r w:rsidR="00821AA4">
        <w:rPr>
          <w:rFonts w:ascii="Palatino" w:hAnsi="Palatino" w:cstheme="minorHAnsi"/>
        </w:rPr>
        <w:t>of</w:t>
      </w:r>
      <w:r w:rsidR="00891835">
        <w:rPr>
          <w:rFonts w:ascii="Palatino" w:hAnsi="Palatino" w:cstheme="minorHAnsi"/>
        </w:rPr>
        <w:t xml:space="preserve"> the </w:t>
      </w:r>
      <w:r w:rsidR="00891835" w:rsidRPr="007C356D">
        <w:rPr>
          <w:rFonts w:ascii="Palatino" w:hAnsi="Palatino" w:cstheme="minorHAnsi"/>
          <w:i/>
        </w:rPr>
        <w:t>Act</w:t>
      </w:r>
      <w:r w:rsidR="00891835">
        <w:rPr>
          <w:rFonts w:ascii="Palatino" w:hAnsi="Palatino" w:cstheme="minorHAnsi"/>
        </w:rPr>
        <w:t>.</w:t>
      </w:r>
      <w:r w:rsidR="00891835">
        <w:rPr>
          <w:rStyle w:val="FootnoteReference"/>
          <w:rFonts w:ascii="Palatino" w:hAnsi="Palatino" w:cstheme="minorHAnsi"/>
        </w:rPr>
        <w:footnoteReference w:id="50"/>
      </w:r>
      <w:r w:rsidR="00891835">
        <w:rPr>
          <w:rFonts w:ascii="Palatino" w:hAnsi="Palatino" w:cstheme="minorHAnsi"/>
        </w:rPr>
        <w:t xml:space="preserve"> </w:t>
      </w:r>
      <w:r w:rsidR="00821AA4">
        <w:rPr>
          <w:rFonts w:ascii="Palatino" w:hAnsi="Palatino" w:cstheme="minorHAnsi"/>
        </w:rPr>
        <w:t>But putting both aside</w:t>
      </w:r>
      <w:r w:rsidR="00891835">
        <w:rPr>
          <w:rFonts w:ascii="Palatino" w:hAnsi="Palatino" w:cstheme="minorHAnsi"/>
        </w:rPr>
        <w:t xml:space="preserve">, the legal status of the </w:t>
      </w:r>
      <w:r w:rsidR="00891835" w:rsidRPr="00D02468">
        <w:rPr>
          <w:rFonts w:ascii="Palatino" w:hAnsi="Palatino" w:cstheme="minorHAnsi"/>
          <w:i/>
        </w:rPr>
        <w:t>enforcement</w:t>
      </w:r>
      <w:r w:rsidR="00891835">
        <w:rPr>
          <w:rFonts w:ascii="Palatino" w:hAnsi="Palatino" w:cstheme="minorHAnsi"/>
        </w:rPr>
        <w:t xml:space="preserve"> of the </w:t>
      </w:r>
      <w:r w:rsidR="00891835" w:rsidRPr="000B537D">
        <w:rPr>
          <w:rFonts w:ascii="Palatino" w:hAnsi="Palatino" w:cstheme="minorHAnsi"/>
          <w:i/>
        </w:rPr>
        <w:t>Regulation</w:t>
      </w:r>
      <w:r w:rsidR="00891835">
        <w:rPr>
          <w:rFonts w:ascii="Palatino" w:hAnsi="Palatino" w:cstheme="minorHAnsi"/>
        </w:rPr>
        <w:t xml:space="preserve"> is murky. For example, strictly speaking, the government set the legal jurisdiction of the </w:t>
      </w:r>
      <w:r w:rsidR="00891835" w:rsidRPr="007C356D">
        <w:rPr>
          <w:rFonts w:ascii="Palatino" w:hAnsi="Palatino" w:cstheme="minorHAnsi"/>
        </w:rPr>
        <w:t>interdiction</w:t>
      </w:r>
      <w:r w:rsidR="00891835">
        <w:rPr>
          <w:rFonts w:ascii="Palatino" w:hAnsi="Palatino" w:cstheme="minorHAnsi"/>
          <w:i/>
        </w:rPr>
        <w:t xml:space="preserve"> </w:t>
      </w:r>
      <w:r w:rsidR="00891835">
        <w:rPr>
          <w:rFonts w:ascii="Palatino" w:hAnsi="Palatino" w:cstheme="minorHAnsi"/>
        </w:rPr>
        <w:t xml:space="preserve">zone </w:t>
      </w:r>
      <w:r w:rsidR="00891835" w:rsidRPr="00EC7DA9">
        <w:rPr>
          <w:rFonts w:ascii="Palatino" w:hAnsi="Palatino" w:cstheme="minorHAnsi"/>
          <w:i/>
        </w:rPr>
        <w:t>at</w:t>
      </w:r>
      <w:r w:rsidR="00891835">
        <w:rPr>
          <w:rFonts w:ascii="Palatino" w:hAnsi="Palatino" w:cstheme="minorHAnsi"/>
        </w:rPr>
        <w:t xml:space="preserve"> a particular line of enclosure which was cordoned off by a metal fence. However, the Chief of Police exaggerated the </w:t>
      </w:r>
      <w:r w:rsidR="008E236D">
        <w:rPr>
          <w:rFonts w:ascii="Palatino" w:hAnsi="Palatino" w:cstheme="minorHAnsi"/>
        </w:rPr>
        <w:t>legal</w:t>
      </w:r>
      <w:r w:rsidR="00891835">
        <w:rPr>
          <w:rFonts w:ascii="Palatino" w:hAnsi="Palatino" w:cstheme="minorHAnsi"/>
        </w:rPr>
        <w:t xml:space="preserve"> </w:t>
      </w:r>
      <w:r w:rsidR="008E236D">
        <w:rPr>
          <w:rFonts w:ascii="Palatino" w:hAnsi="Palatino" w:cstheme="minorHAnsi"/>
        </w:rPr>
        <w:t>edge of the interdiction zone</w:t>
      </w:r>
      <w:r w:rsidR="00891835">
        <w:rPr>
          <w:rFonts w:ascii="Palatino" w:hAnsi="Palatino" w:cstheme="minorHAnsi"/>
        </w:rPr>
        <w:t xml:space="preserve"> </w:t>
      </w:r>
      <w:r w:rsidR="008E236D">
        <w:rPr>
          <w:rFonts w:ascii="Palatino" w:hAnsi="Palatino" w:cstheme="minorHAnsi"/>
        </w:rPr>
        <w:t>as</w:t>
      </w:r>
      <w:r w:rsidR="00891835">
        <w:rPr>
          <w:rFonts w:ascii="Palatino" w:hAnsi="Palatino" w:cstheme="minorHAnsi"/>
        </w:rPr>
        <w:t xml:space="preserve"> five meters out from the </w:t>
      </w:r>
      <w:r w:rsidR="008E236D">
        <w:rPr>
          <w:rFonts w:ascii="Palatino" w:hAnsi="Palatino" w:cstheme="minorHAnsi"/>
        </w:rPr>
        <w:t xml:space="preserve">physical </w:t>
      </w:r>
      <w:r w:rsidR="00891835">
        <w:rPr>
          <w:rFonts w:ascii="Palatino" w:hAnsi="Palatino" w:cstheme="minorHAnsi"/>
        </w:rPr>
        <w:t xml:space="preserve">enclosure – </w:t>
      </w:r>
      <w:r w:rsidR="008E236D">
        <w:rPr>
          <w:rFonts w:ascii="Palatino" w:hAnsi="Palatino" w:cstheme="minorHAnsi"/>
        </w:rPr>
        <w:t xml:space="preserve">the </w:t>
      </w:r>
      <w:r w:rsidR="00891835">
        <w:rPr>
          <w:rFonts w:ascii="Palatino" w:hAnsi="Palatino" w:cstheme="minorHAnsi"/>
        </w:rPr>
        <w:t xml:space="preserve">‘five metres rule’. When confronted with the rule by the media after the end of the conference, the Chief </w:t>
      </w:r>
      <w:r w:rsidR="00891835">
        <w:rPr>
          <w:rFonts w:ascii="Palatino" w:hAnsi="Palatino" w:cstheme="minorHAnsi"/>
        </w:rPr>
        <w:lastRenderedPageBreak/>
        <w:t>acknowledged the misrepresentation.</w:t>
      </w:r>
      <w:r w:rsidR="00891835">
        <w:rPr>
          <w:rStyle w:val="FootnoteReference"/>
          <w:rFonts w:ascii="Palatino" w:hAnsi="Palatino" w:cstheme="minorHAnsi"/>
        </w:rPr>
        <w:footnoteReference w:id="51"/>
      </w:r>
      <w:r w:rsidR="00891835">
        <w:rPr>
          <w:rFonts w:ascii="Palatino" w:hAnsi="Palatino" w:cstheme="minorHAnsi"/>
        </w:rPr>
        <w:t xml:space="preserve"> </w:t>
      </w:r>
      <w:r w:rsidR="008E236D">
        <w:rPr>
          <w:rFonts w:ascii="Palatino" w:hAnsi="Palatino" w:cstheme="minorHAnsi"/>
        </w:rPr>
        <w:t>T</w:t>
      </w:r>
      <w:r w:rsidR="00891835">
        <w:rPr>
          <w:rFonts w:ascii="Palatino" w:hAnsi="Palatino" w:cstheme="minorHAnsi"/>
        </w:rPr>
        <w:t xml:space="preserve">he five-metres rule was not in the jurisdiction set by the </w:t>
      </w:r>
      <w:r w:rsidR="00891835" w:rsidRPr="00F67B1E">
        <w:rPr>
          <w:rFonts w:ascii="Palatino" w:hAnsi="Palatino" w:cstheme="minorHAnsi"/>
          <w:i/>
        </w:rPr>
        <w:t>Regulation</w:t>
      </w:r>
      <w:r w:rsidR="00891835">
        <w:rPr>
          <w:rFonts w:ascii="Palatino" w:hAnsi="Palatino" w:cstheme="minorHAnsi"/>
        </w:rPr>
        <w:t>.</w:t>
      </w:r>
      <w:r w:rsidR="00891835">
        <w:rPr>
          <w:rStyle w:val="FootnoteReference"/>
          <w:rFonts w:ascii="Palatino" w:hAnsi="Palatino" w:cstheme="minorHAnsi"/>
        </w:rPr>
        <w:footnoteReference w:id="52"/>
      </w:r>
    </w:p>
    <w:p w14:paraId="5371A381" w14:textId="5579FBFD" w:rsidR="00891835" w:rsidRPr="006A1AFE" w:rsidRDefault="00891835" w:rsidP="008720B6">
      <w:pPr>
        <w:widowControl w:val="0"/>
        <w:ind w:right="-56" w:firstLine="426"/>
        <w:jc w:val="both"/>
        <w:rPr>
          <w:rFonts w:ascii="Palatino" w:hAnsi="Palatino" w:cstheme="minorHAnsi"/>
        </w:rPr>
      </w:pPr>
      <w:r>
        <w:rPr>
          <w:rFonts w:ascii="Palatino" w:hAnsi="Palatino" w:cstheme="minorHAnsi"/>
        </w:rPr>
        <w:t>M</w:t>
      </w:r>
      <w:r w:rsidRPr="006A1AFE">
        <w:rPr>
          <w:rFonts w:ascii="Palatino" w:hAnsi="Palatino" w:cstheme="minorHAnsi"/>
        </w:rPr>
        <w:t xml:space="preserve">any of the events surrounding the G20 summit occurred on territory where the law did </w:t>
      </w:r>
      <w:r>
        <w:rPr>
          <w:rFonts w:ascii="Palatino" w:hAnsi="Palatino" w:cstheme="minorHAnsi"/>
        </w:rPr>
        <w:t>ostensibly</w:t>
      </w:r>
      <w:r w:rsidRPr="006A1AFE">
        <w:rPr>
          <w:rFonts w:ascii="Palatino" w:hAnsi="Palatino" w:cstheme="minorHAnsi"/>
        </w:rPr>
        <w:t xml:space="preserve"> apply. However, the </w:t>
      </w:r>
      <w:r>
        <w:rPr>
          <w:rFonts w:ascii="Palatino" w:hAnsi="Palatino" w:cstheme="minorHAnsi"/>
        </w:rPr>
        <w:t xml:space="preserve">grounding of the </w:t>
      </w:r>
      <w:r w:rsidRPr="005F683E">
        <w:rPr>
          <w:rFonts w:ascii="Palatino" w:hAnsi="Palatino" w:cstheme="minorHAnsi"/>
          <w:i/>
        </w:rPr>
        <w:t>Regulation</w:t>
      </w:r>
      <w:r>
        <w:rPr>
          <w:rFonts w:ascii="Palatino" w:hAnsi="Palatino" w:cstheme="minorHAnsi"/>
        </w:rPr>
        <w:t xml:space="preserve"> in the </w:t>
      </w:r>
      <w:r w:rsidRPr="005F683E">
        <w:rPr>
          <w:rFonts w:ascii="Palatino" w:hAnsi="Palatino" w:cstheme="minorHAnsi"/>
          <w:i/>
        </w:rPr>
        <w:t>PWPA</w:t>
      </w:r>
      <w:r>
        <w:rPr>
          <w:rFonts w:ascii="Palatino" w:hAnsi="Palatino" w:cstheme="minorHAnsi"/>
        </w:rPr>
        <w:t xml:space="preserve"> </w:t>
      </w:r>
      <w:r w:rsidRPr="006A1AFE">
        <w:rPr>
          <w:rFonts w:ascii="Palatino" w:hAnsi="Palatino" w:cstheme="minorHAnsi"/>
        </w:rPr>
        <w:t xml:space="preserve">was not </w:t>
      </w:r>
      <w:r>
        <w:rPr>
          <w:rFonts w:ascii="Palatino" w:hAnsi="Palatino" w:cstheme="minorHAnsi"/>
        </w:rPr>
        <w:t xml:space="preserve">effectively </w:t>
      </w:r>
      <w:r w:rsidRPr="006A1AFE">
        <w:rPr>
          <w:rFonts w:ascii="Palatino" w:hAnsi="Palatino" w:cstheme="minorHAnsi"/>
        </w:rPr>
        <w:t>conveyed to citizens</w:t>
      </w:r>
      <w:r>
        <w:rPr>
          <w:rFonts w:ascii="Palatino" w:hAnsi="Palatino" w:cstheme="minorHAnsi"/>
        </w:rPr>
        <w:t xml:space="preserve"> or officers</w:t>
      </w:r>
      <w:r w:rsidRPr="006A1AFE">
        <w:rPr>
          <w:rFonts w:ascii="Palatino" w:hAnsi="Palatino" w:cstheme="minorHAnsi"/>
        </w:rPr>
        <w:t xml:space="preserve"> on demand.</w:t>
      </w:r>
      <w:r>
        <w:rPr>
          <w:rStyle w:val="FootnoteReference"/>
          <w:rFonts w:ascii="Palatino" w:hAnsi="Palatino" w:cstheme="minorHAnsi"/>
        </w:rPr>
        <w:footnoteReference w:id="53"/>
      </w:r>
      <w:r w:rsidRPr="006A1AFE">
        <w:rPr>
          <w:rFonts w:ascii="Palatino" w:hAnsi="Palatino" w:cstheme="minorHAnsi"/>
        </w:rPr>
        <w:t xml:space="preserve"> </w:t>
      </w:r>
      <w:r>
        <w:rPr>
          <w:rFonts w:ascii="Palatino" w:hAnsi="Palatino" w:cstheme="minorHAnsi"/>
        </w:rPr>
        <w:t>Because the security related to the event required a massive coordinated effort of many government enforcement agencies, the chain of command was opaque to insiders.</w:t>
      </w:r>
      <w:r>
        <w:rPr>
          <w:rStyle w:val="FootnoteReference"/>
          <w:rFonts w:ascii="Palatino" w:hAnsi="Palatino" w:cstheme="minorHAnsi"/>
        </w:rPr>
        <w:footnoteReference w:id="54"/>
      </w:r>
      <w:r>
        <w:rPr>
          <w:rFonts w:ascii="Palatino" w:hAnsi="Palatino" w:cstheme="minorHAnsi"/>
        </w:rPr>
        <w:t xml:space="preserve"> </w:t>
      </w:r>
      <w:r w:rsidRPr="006A1AFE">
        <w:rPr>
          <w:rFonts w:ascii="Palatino" w:hAnsi="Palatino" w:cstheme="minorHAnsi"/>
        </w:rPr>
        <w:t xml:space="preserve">When one officer was confronted by a civilian with the </w:t>
      </w:r>
      <w:r w:rsidRPr="006A1AFE">
        <w:rPr>
          <w:rFonts w:ascii="Palatino" w:hAnsi="Palatino" w:cstheme="minorHAnsi"/>
          <w:i/>
        </w:rPr>
        <w:t>Canadian Charter of Rights and Freedoms</w:t>
      </w:r>
      <w:r w:rsidRPr="006A1AFE">
        <w:rPr>
          <w:rFonts w:ascii="Palatino" w:hAnsi="Palatino" w:cstheme="minorHAnsi"/>
        </w:rPr>
        <w:t>, the officer replied</w:t>
      </w:r>
      <w:r>
        <w:rPr>
          <w:rFonts w:ascii="Palatino" w:hAnsi="Palatino" w:cstheme="minorHAnsi"/>
        </w:rPr>
        <w:t xml:space="preserve"> on video:</w:t>
      </w:r>
      <w:r w:rsidRPr="006A1AFE">
        <w:rPr>
          <w:rFonts w:ascii="Palatino" w:hAnsi="Palatino" w:cstheme="minorHAnsi"/>
        </w:rPr>
        <w:t xml:space="preserve"> “This </w:t>
      </w:r>
      <w:proofErr w:type="spellStart"/>
      <w:r>
        <w:rPr>
          <w:rFonts w:ascii="Palatino" w:hAnsi="Palatino" w:cstheme="minorHAnsi"/>
        </w:rPr>
        <w:t>ain’t</w:t>
      </w:r>
      <w:proofErr w:type="spellEnd"/>
      <w:r w:rsidRPr="006A1AFE">
        <w:rPr>
          <w:rFonts w:ascii="Palatino" w:hAnsi="Palatino" w:cstheme="minorHAnsi"/>
        </w:rPr>
        <w:t xml:space="preserve"> Canada anymore.</w:t>
      </w:r>
      <w:r w:rsidR="007414BE">
        <w:rPr>
          <w:rFonts w:ascii="Palatino" w:hAnsi="Palatino" w:cstheme="minorHAnsi"/>
        </w:rPr>
        <w:t>”</w:t>
      </w:r>
      <w:r>
        <w:rPr>
          <w:rStyle w:val="FootnoteReference"/>
          <w:rFonts w:ascii="Palatino" w:hAnsi="Palatino" w:cstheme="minorHAnsi"/>
        </w:rPr>
        <w:footnoteReference w:id="55"/>
      </w:r>
    </w:p>
    <w:p w14:paraId="499A730A" w14:textId="34FCA768" w:rsidR="00891835" w:rsidRDefault="00891835" w:rsidP="008720B6">
      <w:pPr>
        <w:widowControl w:val="0"/>
        <w:ind w:right="-56" w:firstLine="426"/>
        <w:jc w:val="both"/>
        <w:rPr>
          <w:rFonts w:ascii="Palatino" w:hAnsi="Palatino" w:cstheme="minorHAnsi"/>
        </w:rPr>
      </w:pPr>
      <w:r>
        <w:rPr>
          <w:rFonts w:ascii="Palatino" w:hAnsi="Palatino" w:cstheme="minorHAnsi"/>
        </w:rPr>
        <w:t xml:space="preserve">The result of this regulation was one of the largest mass arrests in Canadian history. Thousands of citizens were subjected to extreme treatment by the authorities e.g., teargassing and </w:t>
      </w:r>
      <w:proofErr w:type="spellStart"/>
      <w:r>
        <w:rPr>
          <w:rFonts w:ascii="Palatino" w:hAnsi="Palatino" w:cstheme="minorHAnsi"/>
        </w:rPr>
        <w:t>kettling</w:t>
      </w:r>
      <w:proofErr w:type="spellEnd"/>
      <w:r>
        <w:rPr>
          <w:rFonts w:ascii="Palatino" w:hAnsi="Palatino" w:cstheme="minorHAnsi"/>
        </w:rPr>
        <w:t xml:space="preserve">. Roughly 1,100 citizens were arrested </w:t>
      </w:r>
      <w:r w:rsidRPr="00EC7DA9">
        <w:rPr>
          <w:rFonts w:ascii="Palatino" w:hAnsi="Palatino" w:cstheme="minorHAnsi"/>
        </w:rPr>
        <w:t>and detained</w:t>
      </w:r>
      <w:r>
        <w:rPr>
          <w:rFonts w:ascii="Palatino" w:hAnsi="Palatino" w:cstheme="minorHAnsi"/>
        </w:rPr>
        <w:t xml:space="preserve">. Many were housed in atrocious conditions. Many of the people involved with the G20 incident expressed confusion about the legality of their situation, both in terms of the content and validity of the </w:t>
      </w:r>
      <w:r w:rsidRPr="00323BBB">
        <w:rPr>
          <w:rFonts w:ascii="Palatino" w:hAnsi="Palatino" w:cstheme="minorHAnsi"/>
          <w:i/>
        </w:rPr>
        <w:t>Act</w:t>
      </w:r>
      <w:r>
        <w:rPr>
          <w:rFonts w:ascii="Palatino" w:hAnsi="Palatino" w:cstheme="minorHAnsi"/>
        </w:rPr>
        <w:t xml:space="preserve">. The confusion was comprehensive, covering (a) citizens, (b) media, and (c) enforcement officials. Indeed, the scope and grounds of the legal provision were only made clear to stakeholders after the </w:t>
      </w:r>
      <w:r w:rsidRPr="00E82B00">
        <w:rPr>
          <w:rFonts w:ascii="Palatino" w:hAnsi="Palatino" w:cstheme="minorHAnsi"/>
          <w:i/>
        </w:rPr>
        <w:t>Regulation</w:t>
      </w:r>
      <w:r>
        <w:rPr>
          <w:rFonts w:ascii="Palatino" w:hAnsi="Palatino" w:cstheme="minorHAnsi"/>
        </w:rPr>
        <w:t xml:space="preserve"> was advertised in the news-media and after the mass arrests.</w:t>
      </w:r>
    </w:p>
    <w:p w14:paraId="453C250B" w14:textId="77777777" w:rsidR="00891835" w:rsidRDefault="00891835" w:rsidP="008720B6">
      <w:pPr>
        <w:widowControl w:val="0"/>
        <w:ind w:right="-56" w:firstLine="426"/>
        <w:jc w:val="both"/>
        <w:rPr>
          <w:rFonts w:ascii="Palatino" w:hAnsi="Palatino" w:cstheme="minorHAnsi"/>
        </w:rPr>
      </w:pPr>
      <w:r>
        <w:rPr>
          <w:rFonts w:ascii="Palatino" w:hAnsi="Palatino" w:cstheme="minorHAnsi"/>
        </w:rPr>
        <w:t xml:space="preserve">The </w:t>
      </w:r>
      <w:r w:rsidRPr="000B537D">
        <w:rPr>
          <w:rFonts w:ascii="Palatino" w:hAnsi="Palatino" w:cstheme="minorHAnsi"/>
          <w:i/>
        </w:rPr>
        <w:t>Regulation</w:t>
      </w:r>
      <w:r>
        <w:rPr>
          <w:rFonts w:ascii="Palatino" w:hAnsi="Palatino" w:cstheme="minorHAnsi"/>
        </w:rPr>
        <w:t xml:space="preserve"> lapsed at the end of the Conference. Afterwards, public opinion and media reporting after the incident were split. One major Canadian editorial programme (</w:t>
      </w:r>
      <w:r>
        <w:rPr>
          <w:rFonts w:ascii="Palatino" w:hAnsi="Palatino" w:cstheme="minorHAnsi"/>
          <w:i/>
        </w:rPr>
        <w:t>T</w:t>
      </w:r>
      <w:r w:rsidRPr="00AE69BA">
        <w:rPr>
          <w:rFonts w:ascii="Palatino" w:hAnsi="Palatino" w:cstheme="minorHAnsi"/>
          <w:i/>
        </w:rPr>
        <w:t>he Fifth Estate</w:t>
      </w:r>
      <w:r>
        <w:rPr>
          <w:rFonts w:ascii="Palatino" w:hAnsi="Palatino" w:cstheme="minorHAnsi"/>
        </w:rPr>
        <w:t>) summarized popular opinion towards those who were arrested and detained: “You should have stayed at home”.</w:t>
      </w:r>
      <w:r>
        <w:rPr>
          <w:rStyle w:val="FootnoteReference"/>
          <w:rFonts w:ascii="Palatino" w:hAnsi="Palatino" w:cstheme="minorHAnsi"/>
        </w:rPr>
        <w:footnoteReference w:id="56"/>
      </w:r>
      <w:r>
        <w:rPr>
          <w:rFonts w:ascii="Palatino" w:hAnsi="Palatino" w:cstheme="minorHAnsi"/>
        </w:rPr>
        <w:t xml:space="preserve"> Some journalists who participated in the event decried the extreme use of force as police brutality.</w:t>
      </w:r>
      <w:r w:rsidRPr="006A1AFE">
        <w:rPr>
          <w:rStyle w:val="FootnoteReference"/>
          <w:rFonts w:ascii="Palatino" w:hAnsi="Palatino" w:cstheme="minorHAnsi"/>
        </w:rPr>
        <w:t xml:space="preserve"> </w:t>
      </w:r>
      <w:r>
        <w:rPr>
          <w:rStyle w:val="FootnoteReference"/>
          <w:rFonts w:ascii="Palatino" w:hAnsi="Palatino" w:cstheme="minorHAnsi"/>
        </w:rPr>
        <w:footnoteReference w:id="57"/>
      </w:r>
    </w:p>
    <w:p w14:paraId="2F65EBBE" w14:textId="77777777" w:rsidR="00891835" w:rsidRDefault="00891835" w:rsidP="008720B6">
      <w:pPr>
        <w:widowControl w:val="0"/>
        <w:ind w:right="-56" w:firstLine="426"/>
        <w:jc w:val="both"/>
        <w:rPr>
          <w:rFonts w:ascii="Palatino" w:hAnsi="Palatino" w:cstheme="minorHAnsi"/>
        </w:rPr>
      </w:pPr>
      <w:r>
        <w:rPr>
          <w:rFonts w:ascii="Palatino" w:hAnsi="Palatino" w:cstheme="minorHAnsi"/>
        </w:rPr>
        <w:t>The judicial and governmental post-mortem was damning. The official opposition argued that the government had indulged in “secret law”.</w:t>
      </w:r>
      <w:r>
        <w:rPr>
          <w:rStyle w:val="FootnoteReference"/>
          <w:rFonts w:ascii="Palatino" w:hAnsi="Palatino" w:cstheme="minorHAnsi"/>
        </w:rPr>
        <w:footnoteReference w:id="58"/>
      </w:r>
      <w:r>
        <w:rPr>
          <w:rFonts w:ascii="Palatino" w:hAnsi="Palatino" w:cstheme="minorHAnsi"/>
        </w:rPr>
        <w:t xml:space="preserve"> The ombudsman of Ontario of the time, André Marin, argued that the law was technically (but badly) promulgated.</w:t>
      </w:r>
      <w:r>
        <w:rPr>
          <w:rStyle w:val="FootnoteReference"/>
          <w:rFonts w:ascii="Palatino" w:hAnsi="Palatino" w:cstheme="minorHAnsi"/>
        </w:rPr>
        <w:footnoteReference w:id="59"/>
      </w:r>
      <w:r>
        <w:rPr>
          <w:rFonts w:ascii="Palatino" w:hAnsi="Palatino" w:cstheme="minorHAnsi"/>
        </w:rPr>
        <w:t xml:space="preserve"> Former Chief Justice Roy McMurtry condemned both the </w:t>
      </w:r>
      <w:r w:rsidRPr="00E84DD1">
        <w:rPr>
          <w:rFonts w:ascii="Palatino" w:hAnsi="Palatino" w:cstheme="minorHAnsi"/>
          <w:i/>
        </w:rPr>
        <w:t>Regulation</w:t>
      </w:r>
      <w:r>
        <w:rPr>
          <w:rFonts w:ascii="Palatino" w:hAnsi="Palatino" w:cstheme="minorHAnsi"/>
        </w:rPr>
        <w:t xml:space="preserve"> and the </w:t>
      </w:r>
      <w:r w:rsidRPr="00E84DD1">
        <w:rPr>
          <w:rFonts w:ascii="Palatino" w:hAnsi="Palatino" w:cstheme="minorHAnsi"/>
          <w:i/>
        </w:rPr>
        <w:t>Act</w:t>
      </w:r>
      <w:r>
        <w:rPr>
          <w:rFonts w:ascii="Palatino" w:hAnsi="Palatino" w:cstheme="minorHAnsi"/>
        </w:rPr>
        <w:t>.</w:t>
      </w:r>
      <w:r>
        <w:rPr>
          <w:rStyle w:val="FootnoteReference"/>
          <w:rFonts w:ascii="Palatino" w:hAnsi="Palatino" w:cstheme="minorHAnsi"/>
        </w:rPr>
        <w:footnoteReference w:id="60"/>
      </w:r>
    </w:p>
    <w:p w14:paraId="74119C35" w14:textId="65F9A6E3" w:rsidR="00891835" w:rsidRDefault="00891835" w:rsidP="008720B6">
      <w:pPr>
        <w:widowControl w:val="0"/>
        <w:ind w:right="-56" w:firstLine="426"/>
        <w:jc w:val="both"/>
        <w:rPr>
          <w:rFonts w:ascii="Palatino" w:hAnsi="Palatino" w:cstheme="minorHAnsi"/>
        </w:rPr>
      </w:pPr>
      <w:r>
        <w:rPr>
          <w:rFonts w:ascii="Palatino" w:hAnsi="Palatino" w:cstheme="minorHAnsi"/>
        </w:rPr>
        <w:t xml:space="preserve">In 2015 the </w:t>
      </w:r>
      <w:r w:rsidRPr="00AE69BA">
        <w:rPr>
          <w:rFonts w:ascii="Palatino" w:hAnsi="Palatino" w:cstheme="minorHAnsi"/>
          <w:i/>
        </w:rPr>
        <w:t>PWPA</w:t>
      </w:r>
      <w:r>
        <w:rPr>
          <w:rFonts w:ascii="Palatino" w:hAnsi="Palatino" w:cstheme="minorHAnsi"/>
        </w:rPr>
        <w:t xml:space="preserve"> was repealed by the government.</w:t>
      </w:r>
    </w:p>
    <w:p w14:paraId="62A28255" w14:textId="45DF1151" w:rsidR="00891835" w:rsidRDefault="00891835" w:rsidP="008720B6">
      <w:pPr>
        <w:widowControl w:val="0"/>
        <w:ind w:right="-56" w:firstLine="426"/>
        <w:jc w:val="both"/>
        <w:rPr>
          <w:rFonts w:ascii="Palatino" w:hAnsi="Palatino" w:cstheme="minorHAnsi"/>
        </w:rPr>
      </w:pPr>
      <w:r>
        <w:rPr>
          <w:rFonts w:ascii="Palatino" w:hAnsi="Palatino" w:cstheme="minorHAnsi"/>
        </w:rPr>
        <w:t xml:space="preserve">In the interim, some of those few protesters who were brought up on charges were </w:t>
      </w:r>
      <w:r>
        <w:rPr>
          <w:rFonts w:ascii="Palatino" w:hAnsi="Palatino" w:cstheme="minorHAnsi"/>
        </w:rPr>
        <w:lastRenderedPageBreak/>
        <w:t>ordered by the Court not to speak to the press as part of their bail conditions.</w:t>
      </w:r>
      <w:r>
        <w:rPr>
          <w:rStyle w:val="FootnoteReference"/>
          <w:rFonts w:ascii="Palatino" w:hAnsi="Palatino" w:cstheme="minorHAnsi"/>
        </w:rPr>
        <w:footnoteReference w:id="61"/>
      </w:r>
    </w:p>
    <w:p w14:paraId="0F6ED212" w14:textId="77777777" w:rsidR="00891835" w:rsidRDefault="00891835" w:rsidP="008720B6">
      <w:pPr>
        <w:widowControl w:val="0"/>
        <w:ind w:right="-56" w:firstLine="426"/>
        <w:jc w:val="both"/>
        <w:rPr>
          <w:rFonts w:ascii="Palatino" w:hAnsi="Palatino" w:cstheme="minorHAnsi"/>
        </w:rPr>
      </w:pPr>
    </w:p>
    <w:p w14:paraId="7A15E18E" w14:textId="30237866" w:rsidR="00891835" w:rsidRPr="00891835" w:rsidRDefault="00891835" w:rsidP="008720B6">
      <w:pPr>
        <w:widowControl w:val="0"/>
        <w:ind w:right="-56" w:firstLine="426"/>
        <w:jc w:val="both"/>
        <w:rPr>
          <w:rFonts w:ascii="Palatino" w:hAnsi="Palatino" w:cstheme="minorHAnsi"/>
        </w:rPr>
      </w:pPr>
      <w:r>
        <w:rPr>
          <w:rFonts w:ascii="Palatino" w:hAnsi="Palatino" w:cstheme="minorHAnsi"/>
        </w:rPr>
        <w:t>Those are the pertinent facts</w:t>
      </w:r>
      <w:r w:rsidR="00821AA4">
        <w:rPr>
          <w:rFonts w:ascii="Palatino" w:hAnsi="Palatino" w:cstheme="minorHAnsi"/>
        </w:rPr>
        <w:t xml:space="preserve"> of the case</w:t>
      </w:r>
      <w:r>
        <w:rPr>
          <w:rFonts w:ascii="Palatino" w:hAnsi="Palatino" w:cstheme="minorHAnsi"/>
        </w:rPr>
        <w:t xml:space="preserve"> so far as I understand them. Now we are obliged to address the issue head-on: was the G20 Regulation promulgated? There are at least five possible options, seen below (Fig. 1):</w:t>
      </w:r>
    </w:p>
    <w:p w14:paraId="347B03AA" w14:textId="22F938F0" w:rsidR="00891835" w:rsidRDefault="00891835" w:rsidP="008720B6">
      <w:pPr>
        <w:widowControl w:val="0"/>
        <w:ind w:right="-56" w:firstLine="426"/>
        <w:jc w:val="both"/>
        <w:rPr>
          <w:rFonts w:ascii="Palatino" w:hAnsi="Palatino" w:cstheme="minorHAnsi"/>
        </w:rPr>
      </w:pPr>
    </w:p>
    <w:p w14:paraId="4E0A0DA3" w14:textId="77777777" w:rsidR="000B5A9E" w:rsidRDefault="000B5A9E" w:rsidP="008720B6">
      <w:pPr>
        <w:widowControl w:val="0"/>
        <w:ind w:right="-56" w:firstLine="426"/>
        <w:jc w:val="both"/>
        <w:rPr>
          <w:rFonts w:ascii="Palatino" w:hAnsi="Palatino" w:cstheme="minorHAnsi"/>
        </w:rPr>
      </w:pPr>
    </w:p>
    <w:tbl>
      <w:tblPr>
        <w:tblStyle w:val="TableGrid"/>
        <w:tblW w:w="0" w:type="auto"/>
        <w:tblInd w:w="523" w:type="dxa"/>
        <w:tblLook w:val="04A0" w:firstRow="1" w:lastRow="0" w:firstColumn="1" w:lastColumn="0" w:noHBand="0" w:noVBand="1"/>
      </w:tblPr>
      <w:tblGrid>
        <w:gridCol w:w="2017"/>
        <w:gridCol w:w="2041"/>
        <w:gridCol w:w="1969"/>
        <w:gridCol w:w="2218"/>
      </w:tblGrid>
      <w:tr w:rsidR="00891835" w14:paraId="74A18411" w14:textId="77777777" w:rsidTr="00773A99">
        <w:tc>
          <w:tcPr>
            <w:tcW w:w="2017" w:type="dxa"/>
          </w:tcPr>
          <w:p w14:paraId="6E486CFE" w14:textId="3688A949" w:rsidR="00891835" w:rsidRDefault="009B2C53" w:rsidP="008720B6">
            <w:pPr>
              <w:widowControl w:val="0"/>
              <w:ind w:right="-56" w:firstLine="426"/>
              <w:jc w:val="both"/>
              <w:rPr>
                <w:rFonts w:ascii="Palatino" w:hAnsi="Palatino" w:cstheme="minorHAnsi"/>
              </w:rPr>
            </w:pPr>
            <w:r>
              <w:rPr>
                <w:rFonts w:ascii="Palatino" w:hAnsi="Palatino" w:cstheme="minorHAnsi"/>
              </w:rPr>
              <w:t>Fig 1.</w:t>
            </w:r>
          </w:p>
        </w:tc>
        <w:tc>
          <w:tcPr>
            <w:tcW w:w="2041" w:type="dxa"/>
          </w:tcPr>
          <w:p w14:paraId="6B8A3D1D" w14:textId="77777777" w:rsidR="00891835" w:rsidRDefault="00891835" w:rsidP="008720B6">
            <w:pPr>
              <w:widowControl w:val="0"/>
              <w:ind w:right="-56" w:firstLine="426"/>
              <w:jc w:val="both"/>
              <w:rPr>
                <w:rFonts w:ascii="Palatino" w:hAnsi="Palatino" w:cstheme="minorHAnsi"/>
              </w:rPr>
            </w:pPr>
            <w:r>
              <w:rPr>
                <w:rFonts w:ascii="Palatino" w:hAnsi="Palatino" w:cstheme="minorHAnsi"/>
              </w:rPr>
              <w:t>Spread model</w:t>
            </w:r>
          </w:p>
        </w:tc>
        <w:tc>
          <w:tcPr>
            <w:tcW w:w="1969" w:type="dxa"/>
          </w:tcPr>
          <w:p w14:paraId="315770A8" w14:textId="77777777" w:rsidR="00891835" w:rsidRDefault="00891835" w:rsidP="008720B6">
            <w:pPr>
              <w:widowControl w:val="0"/>
              <w:ind w:right="-56" w:firstLine="426"/>
              <w:jc w:val="both"/>
              <w:rPr>
                <w:rFonts w:ascii="Palatino" w:hAnsi="Palatino" w:cstheme="minorHAnsi"/>
              </w:rPr>
            </w:pPr>
            <w:r>
              <w:rPr>
                <w:rFonts w:ascii="Palatino" w:hAnsi="Palatino" w:cstheme="minorHAnsi"/>
              </w:rPr>
              <w:t>Chain model</w:t>
            </w:r>
          </w:p>
        </w:tc>
        <w:tc>
          <w:tcPr>
            <w:tcW w:w="2218" w:type="dxa"/>
          </w:tcPr>
          <w:p w14:paraId="02899EE6" w14:textId="77777777" w:rsidR="00891835" w:rsidRDefault="00891835" w:rsidP="008720B6">
            <w:pPr>
              <w:widowControl w:val="0"/>
              <w:ind w:right="-56" w:firstLine="426"/>
              <w:jc w:val="both"/>
              <w:rPr>
                <w:rFonts w:ascii="Palatino" w:hAnsi="Palatino" w:cstheme="minorHAnsi"/>
              </w:rPr>
            </w:pPr>
            <w:r>
              <w:rPr>
                <w:rFonts w:ascii="Palatino" w:hAnsi="Palatino" w:cstheme="minorHAnsi"/>
              </w:rPr>
              <w:t>Memetic model</w:t>
            </w:r>
          </w:p>
        </w:tc>
      </w:tr>
      <w:tr w:rsidR="00891835" w14:paraId="0E907ABD" w14:textId="77777777" w:rsidTr="00773A99">
        <w:tc>
          <w:tcPr>
            <w:tcW w:w="2017" w:type="dxa"/>
          </w:tcPr>
          <w:p w14:paraId="735467F3" w14:textId="77777777" w:rsidR="00891835" w:rsidRDefault="00891835" w:rsidP="008720B6">
            <w:pPr>
              <w:widowControl w:val="0"/>
              <w:ind w:right="-56" w:firstLine="426"/>
              <w:jc w:val="both"/>
              <w:rPr>
                <w:rFonts w:ascii="Palatino" w:hAnsi="Palatino" w:cstheme="minorHAnsi"/>
              </w:rPr>
            </w:pPr>
            <w:r>
              <w:rPr>
                <w:rFonts w:ascii="Palatino" w:hAnsi="Palatino" w:cstheme="minorHAnsi"/>
              </w:rPr>
              <w:t>Conveyance theory</w:t>
            </w:r>
          </w:p>
        </w:tc>
        <w:tc>
          <w:tcPr>
            <w:tcW w:w="2041" w:type="dxa"/>
            <w:vAlign w:val="center"/>
          </w:tcPr>
          <w:p w14:paraId="0824DC14" w14:textId="0E108E5F" w:rsidR="00891835" w:rsidRDefault="00C82F79" w:rsidP="008720B6">
            <w:pPr>
              <w:widowControl w:val="0"/>
              <w:ind w:right="-56" w:firstLine="426"/>
              <w:jc w:val="center"/>
              <w:rPr>
                <w:rFonts w:ascii="Palatino" w:hAnsi="Palatino" w:cstheme="minorHAnsi"/>
              </w:rPr>
            </w:pPr>
            <w:r>
              <w:rPr>
                <w:rFonts w:ascii="Palatino" w:hAnsi="Palatino" w:cstheme="minorHAnsi"/>
              </w:rPr>
              <w:t>I</w:t>
            </w:r>
          </w:p>
        </w:tc>
        <w:tc>
          <w:tcPr>
            <w:tcW w:w="1969" w:type="dxa"/>
            <w:vAlign w:val="center"/>
          </w:tcPr>
          <w:p w14:paraId="091B960E" w14:textId="665060C2" w:rsidR="00891835" w:rsidRDefault="00C82F79" w:rsidP="008720B6">
            <w:pPr>
              <w:widowControl w:val="0"/>
              <w:ind w:right="-56" w:firstLine="426"/>
              <w:jc w:val="center"/>
              <w:rPr>
                <w:rFonts w:ascii="Palatino" w:hAnsi="Palatino" w:cstheme="minorHAnsi"/>
              </w:rPr>
            </w:pPr>
            <w:r>
              <w:rPr>
                <w:rFonts w:ascii="Palatino" w:hAnsi="Palatino" w:cstheme="minorHAnsi"/>
              </w:rPr>
              <w:t>II</w:t>
            </w:r>
          </w:p>
        </w:tc>
        <w:tc>
          <w:tcPr>
            <w:tcW w:w="2218" w:type="dxa"/>
            <w:vAlign w:val="center"/>
          </w:tcPr>
          <w:p w14:paraId="02583FB3" w14:textId="432C1D98" w:rsidR="00891835" w:rsidRDefault="00C82F79" w:rsidP="008720B6">
            <w:pPr>
              <w:widowControl w:val="0"/>
              <w:ind w:right="-56" w:firstLine="426"/>
              <w:jc w:val="center"/>
              <w:rPr>
                <w:rFonts w:ascii="Palatino" w:hAnsi="Palatino" w:cstheme="minorHAnsi"/>
              </w:rPr>
            </w:pPr>
            <w:r>
              <w:rPr>
                <w:rFonts w:ascii="Palatino" w:hAnsi="Palatino" w:cstheme="minorHAnsi"/>
              </w:rPr>
              <w:t>IV</w:t>
            </w:r>
          </w:p>
        </w:tc>
      </w:tr>
      <w:tr w:rsidR="00891835" w14:paraId="5D9AA829" w14:textId="77777777" w:rsidTr="00773A99">
        <w:tc>
          <w:tcPr>
            <w:tcW w:w="2017" w:type="dxa"/>
          </w:tcPr>
          <w:p w14:paraId="57C16DCB" w14:textId="77777777" w:rsidR="00891835" w:rsidRDefault="00891835" w:rsidP="008720B6">
            <w:pPr>
              <w:widowControl w:val="0"/>
              <w:ind w:right="-56" w:firstLine="426"/>
              <w:jc w:val="both"/>
              <w:rPr>
                <w:rFonts w:ascii="Palatino" w:hAnsi="Palatino" w:cstheme="minorHAnsi"/>
              </w:rPr>
            </w:pPr>
            <w:r>
              <w:rPr>
                <w:rFonts w:ascii="Palatino" w:hAnsi="Palatino" w:cstheme="minorHAnsi"/>
              </w:rPr>
              <w:t>Agonistic theory</w:t>
            </w:r>
          </w:p>
        </w:tc>
        <w:tc>
          <w:tcPr>
            <w:tcW w:w="2041" w:type="dxa"/>
            <w:shd w:val="clear" w:color="auto" w:fill="000000" w:themeFill="text1"/>
            <w:vAlign w:val="center"/>
          </w:tcPr>
          <w:p w14:paraId="329DDA04" w14:textId="77777777" w:rsidR="00891835" w:rsidRDefault="00891835" w:rsidP="008720B6">
            <w:pPr>
              <w:widowControl w:val="0"/>
              <w:ind w:right="-56" w:firstLine="426"/>
              <w:jc w:val="center"/>
              <w:rPr>
                <w:rFonts w:ascii="Palatino" w:hAnsi="Palatino" w:cstheme="minorHAnsi"/>
              </w:rPr>
            </w:pPr>
          </w:p>
        </w:tc>
        <w:tc>
          <w:tcPr>
            <w:tcW w:w="1969" w:type="dxa"/>
            <w:vAlign w:val="center"/>
          </w:tcPr>
          <w:p w14:paraId="6CC19A0D" w14:textId="2A0202E2" w:rsidR="00891835" w:rsidRDefault="00C82F79" w:rsidP="008720B6">
            <w:pPr>
              <w:widowControl w:val="0"/>
              <w:ind w:right="-56" w:firstLine="426"/>
              <w:jc w:val="center"/>
              <w:rPr>
                <w:rFonts w:ascii="Palatino" w:hAnsi="Palatino" w:cstheme="minorHAnsi"/>
              </w:rPr>
            </w:pPr>
            <w:r>
              <w:rPr>
                <w:rFonts w:ascii="Palatino" w:hAnsi="Palatino" w:cstheme="minorHAnsi"/>
              </w:rPr>
              <w:t>III</w:t>
            </w:r>
          </w:p>
        </w:tc>
        <w:tc>
          <w:tcPr>
            <w:tcW w:w="2218" w:type="dxa"/>
            <w:vAlign w:val="center"/>
          </w:tcPr>
          <w:p w14:paraId="5A3FD351" w14:textId="33820CA8" w:rsidR="00891835" w:rsidRDefault="00C82F79" w:rsidP="008720B6">
            <w:pPr>
              <w:widowControl w:val="0"/>
              <w:ind w:right="-56" w:firstLine="426"/>
              <w:jc w:val="center"/>
              <w:rPr>
                <w:rFonts w:ascii="Palatino" w:hAnsi="Palatino" w:cstheme="minorHAnsi"/>
              </w:rPr>
            </w:pPr>
            <w:r>
              <w:rPr>
                <w:rFonts w:ascii="Palatino" w:hAnsi="Palatino" w:cstheme="minorHAnsi"/>
              </w:rPr>
              <w:t>V</w:t>
            </w:r>
          </w:p>
        </w:tc>
      </w:tr>
    </w:tbl>
    <w:p w14:paraId="11320FA7" w14:textId="77777777" w:rsidR="00891835" w:rsidRDefault="00891835" w:rsidP="008720B6">
      <w:pPr>
        <w:widowControl w:val="0"/>
        <w:ind w:right="-56" w:firstLine="426"/>
        <w:jc w:val="both"/>
        <w:rPr>
          <w:rFonts w:ascii="Palatino" w:hAnsi="Palatino" w:cstheme="minorHAnsi"/>
        </w:rPr>
      </w:pPr>
    </w:p>
    <w:p w14:paraId="30280423" w14:textId="0AA8FA38" w:rsidR="00891835" w:rsidRDefault="00891835" w:rsidP="008720B6">
      <w:pPr>
        <w:widowControl w:val="0"/>
        <w:ind w:right="-56"/>
        <w:jc w:val="both"/>
        <w:rPr>
          <w:rFonts w:ascii="Palatino" w:hAnsi="Palatino" w:cstheme="minorHAnsi"/>
        </w:rPr>
      </w:pPr>
      <w:r>
        <w:rPr>
          <w:rFonts w:ascii="Palatino" w:hAnsi="Palatino" w:cstheme="minorHAnsi"/>
        </w:rPr>
        <w:t>(</w:t>
      </w:r>
      <w:r w:rsidR="00C82F79">
        <w:rPr>
          <w:rFonts w:ascii="Palatino" w:hAnsi="Palatino" w:cstheme="minorHAnsi"/>
        </w:rPr>
        <w:t>I</w:t>
      </w:r>
      <w:r>
        <w:rPr>
          <w:rFonts w:ascii="Palatino" w:hAnsi="Palatino" w:cstheme="minorHAnsi"/>
        </w:rPr>
        <w:t>)</w:t>
      </w:r>
    </w:p>
    <w:p w14:paraId="488F3C94" w14:textId="665746FF" w:rsidR="00891835" w:rsidRPr="000B5A9E" w:rsidRDefault="00C82F79" w:rsidP="008720B6">
      <w:pPr>
        <w:widowControl w:val="0"/>
        <w:ind w:right="-56"/>
        <w:jc w:val="both"/>
        <w:rPr>
          <w:rFonts w:ascii="Palatino" w:hAnsi="Palatino" w:cstheme="minorHAnsi"/>
        </w:rPr>
      </w:pPr>
      <w:r>
        <w:rPr>
          <w:rFonts w:ascii="Palatino" w:hAnsi="Palatino" w:cstheme="minorHAnsi"/>
        </w:rPr>
        <w:t>For</w:t>
      </w:r>
      <w:r w:rsidR="00891835">
        <w:rPr>
          <w:rFonts w:ascii="Palatino" w:hAnsi="Palatino" w:cstheme="minorHAnsi"/>
        </w:rPr>
        <w:t xml:space="preserve"> the spread model, there is no sense in which this case was promulgated. </w:t>
      </w:r>
      <w:r>
        <w:rPr>
          <w:rFonts w:ascii="Palatino" w:hAnsi="Palatino" w:cstheme="minorHAnsi"/>
        </w:rPr>
        <w:t>On this view, i</w:t>
      </w:r>
      <w:r w:rsidR="00891835">
        <w:rPr>
          <w:rFonts w:ascii="Palatino" w:hAnsi="Palatino" w:cstheme="minorHAnsi"/>
        </w:rPr>
        <w:t xml:space="preserve">t is </w:t>
      </w:r>
      <w:r w:rsidR="00891835" w:rsidRPr="00E82B00">
        <w:rPr>
          <w:rFonts w:ascii="Palatino" w:hAnsi="Palatino" w:cstheme="minorHAnsi"/>
          <w:i/>
        </w:rPr>
        <w:t>simply irrelevant</w:t>
      </w:r>
      <w:r w:rsidR="00891835">
        <w:rPr>
          <w:rFonts w:ascii="Palatino" w:hAnsi="Palatino" w:cstheme="minorHAnsi"/>
        </w:rPr>
        <w:t xml:space="preserve"> that the </w:t>
      </w:r>
      <w:r w:rsidR="00891835" w:rsidRPr="00F805AA">
        <w:rPr>
          <w:rFonts w:ascii="Palatino" w:hAnsi="Palatino" w:cstheme="minorHAnsi"/>
          <w:i/>
        </w:rPr>
        <w:t>Regulation</w:t>
      </w:r>
      <w:r w:rsidR="00891835">
        <w:rPr>
          <w:rFonts w:ascii="Palatino" w:hAnsi="Palatino" w:cstheme="minorHAnsi"/>
        </w:rPr>
        <w:t xml:space="preserve"> appeared somewhere in the depths of the </w:t>
      </w:r>
      <w:r w:rsidR="00891835" w:rsidRPr="00460FFC">
        <w:rPr>
          <w:rFonts w:ascii="Palatino" w:hAnsi="Palatino" w:cstheme="minorHAnsi"/>
          <w:i/>
        </w:rPr>
        <w:t>e-Laws</w:t>
      </w:r>
      <w:r w:rsidR="00891835">
        <w:rPr>
          <w:rFonts w:ascii="Palatino" w:hAnsi="Palatino" w:cstheme="minorHAnsi"/>
        </w:rPr>
        <w:t xml:space="preserve"> database, since all hands agree that signs of the </w:t>
      </w:r>
      <w:r w:rsidR="00891835" w:rsidRPr="00C82F79">
        <w:rPr>
          <w:rFonts w:ascii="Palatino" w:hAnsi="Palatino" w:cstheme="minorHAnsi"/>
          <w:i/>
        </w:rPr>
        <w:t>Regulation</w:t>
      </w:r>
      <w:r w:rsidR="00891835">
        <w:rPr>
          <w:rFonts w:ascii="Palatino" w:hAnsi="Palatino" w:cstheme="minorHAnsi"/>
        </w:rPr>
        <w:t xml:space="preserve"> were nowhere close-by to any of the stakeholders. It follows that, </w:t>
      </w:r>
      <w:r w:rsidR="00B10165">
        <w:rPr>
          <w:rFonts w:ascii="Palatino" w:hAnsi="Palatino" w:cstheme="minorHAnsi"/>
        </w:rPr>
        <w:t xml:space="preserve">even the </w:t>
      </w:r>
      <w:r w:rsidR="00891835">
        <w:rPr>
          <w:rFonts w:ascii="Palatino" w:hAnsi="Palatino" w:cstheme="minorHAnsi"/>
        </w:rPr>
        <w:t xml:space="preserve">ombudsperson </w:t>
      </w:r>
      <w:r w:rsidR="00B10165">
        <w:rPr>
          <w:rFonts w:ascii="Palatino" w:hAnsi="Palatino" w:cstheme="minorHAnsi"/>
        </w:rPr>
        <w:t xml:space="preserve">erred in his judgment about the promulgation of the law. </w:t>
      </w:r>
      <w:r w:rsidR="00B10165" w:rsidRPr="00C82F79">
        <w:rPr>
          <w:rFonts w:ascii="Palatino" w:hAnsi="Palatino" w:cstheme="minorHAnsi"/>
        </w:rPr>
        <w:t>It was</w:t>
      </w:r>
      <w:r w:rsidR="00B10165" w:rsidRPr="00C82F79">
        <w:rPr>
          <w:rFonts w:ascii="Palatino" w:hAnsi="Palatino" w:cstheme="minorHAnsi"/>
          <w:i/>
        </w:rPr>
        <w:t xml:space="preserve"> not even technically </w:t>
      </w:r>
      <w:r w:rsidR="00B10165" w:rsidRPr="00C82F79">
        <w:rPr>
          <w:rFonts w:ascii="Palatino" w:hAnsi="Palatino" w:cstheme="minorHAnsi"/>
        </w:rPr>
        <w:t>disseminated</w:t>
      </w:r>
      <w:r w:rsidR="00B10165" w:rsidRPr="00C82F79">
        <w:rPr>
          <w:rFonts w:ascii="Palatino" w:hAnsi="Palatino" w:cstheme="minorHAnsi"/>
          <w:i/>
        </w:rPr>
        <w:t>.</w:t>
      </w:r>
    </w:p>
    <w:p w14:paraId="3939D8EE" w14:textId="4925110E" w:rsidR="00C82F79" w:rsidRDefault="00C82F79" w:rsidP="008720B6">
      <w:pPr>
        <w:widowControl w:val="0"/>
        <w:ind w:right="-56" w:firstLine="426"/>
        <w:jc w:val="both"/>
        <w:rPr>
          <w:rFonts w:ascii="Palatino" w:hAnsi="Palatino" w:cstheme="minorHAnsi"/>
        </w:rPr>
      </w:pPr>
      <w:r>
        <w:rPr>
          <w:rFonts w:ascii="Palatino" w:hAnsi="Palatino" w:cstheme="minorHAnsi"/>
        </w:rPr>
        <w:tab/>
        <w:t>One of the features of the spread model is that it requires a normal communications environment. In this case, the environment was relatively chaotic. So, again, one must infer that the law was not accessible.</w:t>
      </w:r>
    </w:p>
    <w:p w14:paraId="3E51843B" w14:textId="7D13D9D1" w:rsidR="00891835" w:rsidRDefault="00891835" w:rsidP="008720B6">
      <w:pPr>
        <w:widowControl w:val="0"/>
        <w:ind w:right="-56" w:firstLine="426"/>
        <w:jc w:val="both"/>
        <w:rPr>
          <w:rFonts w:ascii="Palatino" w:hAnsi="Palatino" w:cstheme="minorHAnsi"/>
        </w:rPr>
      </w:pPr>
      <w:r>
        <w:rPr>
          <w:rFonts w:ascii="Palatino" w:hAnsi="Palatino" w:cstheme="minorHAnsi"/>
        </w:rPr>
        <w:t xml:space="preserve">It is worth </w:t>
      </w:r>
      <w:r w:rsidR="00C82F79">
        <w:rPr>
          <w:rFonts w:ascii="Palatino" w:hAnsi="Palatino" w:cstheme="minorHAnsi"/>
        </w:rPr>
        <w:t>emphasizing</w:t>
      </w:r>
      <w:r>
        <w:rPr>
          <w:rFonts w:ascii="Palatino" w:hAnsi="Palatino" w:cstheme="minorHAnsi"/>
        </w:rPr>
        <w:t xml:space="preserve"> that </w:t>
      </w:r>
      <w:r w:rsidRPr="00E82B00">
        <w:rPr>
          <w:rFonts w:ascii="Palatino" w:hAnsi="Palatino" w:cstheme="minorHAnsi"/>
          <w:i/>
        </w:rPr>
        <w:t>only</w:t>
      </w:r>
      <w:r>
        <w:rPr>
          <w:rFonts w:ascii="Palatino" w:hAnsi="Palatino" w:cstheme="minorHAnsi"/>
        </w:rPr>
        <w:t xml:space="preserve"> the conveyance theory is able to use the spread model. For </w:t>
      </w:r>
      <w:r w:rsidRPr="00F805AA">
        <w:rPr>
          <w:rFonts w:ascii="Palatino" w:hAnsi="Palatino" w:cstheme="minorHAnsi"/>
          <w:i/>
        </w:rPr>
        <w:t>the spread model has no place in the agonistic theory</w:t>
      </w:r>
      <w:r>
        <w:rPr>
          <w:rFonts w:ascii="Palatino" w:hAnsi="Palatino" w:cstheme="minorHAnsi"/>
        </w:rPr>
        <w:t>. Recall, the spread model is a connection between sign and interpreter</w:t>
      </w:r>
      <w:r w:rsidR="00421930">
        <w:rPr>
          <w:rFonts w:ascii="Palatino" w:hAnsi="Palatino" w:cstheme="minorHAnsi"/>
        </w:rPr>
        <w:t>;</w:t>
      </w:r>
      <w:r>
        <w:rPr>
          <w:rFonts w:ascii="Palatino" w:hAnsi="Palatino" w:cstheme="minorHAnsi"/>
        </w:rPr>
        <w:t xml:space="preserve"> social questions are abstracted away, or treated as strictly irrelevant to the question of whether or not some content is accessible. This model of justification is perfectly intelligible to the conveyance theory, since that theory really only requires the right sort of reasonable attribution of content to the right </w:t>
      </w:r>
      <w:r w:rsidR="00421930">
        <w:rPr>
          <w:rFonts w:ascii="Palatino" w:hAnsi="Palatino" w:cstheme="minorHAnsi"/>
        </w:rPr>
        <w:t>sort</w:t>
      </w:r>
      <w:r>
        <w:rPr>
          <w:rFonts w:ascii="Palatino" w:hAnsi="Palatino" w:cstheme="minorHAnsi"/>
        </w:rPr>
        <w:t xml:space="preserve"> of sign. In contrast, because the agonistic theory is steeped in the social, it cannot take the spread model seriously.</w:t>
      </w:r>
    </w:p>
    <w:p w14:paraId="7D9817D7" w14:textId="21B6D1E6" w:rsidR="00C72D03" w:rsidRPr="005972FE" w:rsidRDefault="00C72D03" w:rsidP="008720B6">
      <w:pPr>
        <w:widowControl w:val="0"/>
        <w:ind w:right="-56" w:firstLine="426"/>
        <w:jc w:val="both"/>
        <w:rPr>
          <w:rFonts w:ascii="Palatino" w:hAnsi="Palatino" w:cstheme="minorHAnsi"/>
        </w:rPr>
      </w:pPr>
      <w:r>
        <w:rPr>
          <w:rFonts w:ascii="Palatino" w:hAnsi="Palatino" w:cstheme="minorHAnsi"/>
        </w:rPr>
        <w:t xml:space="preserve">The downside of the spread model is that it does not realistically conform to Canadian law. In </w:t>
      </w:r>
      <w:r w:rsidRPr="00C72D03">
        <w:rPr>
          <w:rFonts w:ascii="Palatino" w:hAnsi="Palatino" w:cstheme="minorHAnsi"/>
          <w:i/>
        </w:rPr>
        <w:t>R v Nova Scotia Pharmaceutical Society</w:t>
      </w:r>
      <w:r>
        <w:rPr>
          <w:rFonts w:ascii="Palatino" w:hAnsi="Palatino" w:cstheme="minorHAnsi"/>
        </w:rPr>
        <w:t xml:space="preserve">, the Canadian </w:t>
      </w:r>
      <w:r w:rsidRPr="00C72D03">
        <w:rPr>
          <w:rFonts w:ascii="Palatino" w:hAnsi="Palatino" w:cstheme="minorHAnsi"/>
          <w:i/>
        </w:rPr>
        <w:t>Charter of Rights and Freedoms</w:t>
      </w:r>
      <w:r>
        <w:rPr>
          <w:rFonts w:ascii="Palatino" w:hAnsi="Palatino" w:cstheme="minorHAnsi"/>
        </w:rPr>
        <w:t xml:space="preserve"> was interpreted in terms of the doctrine of fair </w:t>
      </w:r>
      <w:r w:rsidRPr="005972FE">
        <w:rPr>
          <w:rFonts w:ascii="Palatino" w:hAnsi="Palatino" w:cstheme="minorHAnsi"/>
        </w:rPr>
        <w:t>notice.</w:t>
      </w:r>
      <w:r w:rsidR="00F84AB7">
        <w:rPr>
          <w:rStyle w:val="FootnoteReference"/>
          <w:rFonts w:ascii="Palatino" w:hAnsi="Palatino" w:cstheme="minorHAnsi"/>
        </w:rPr>
        <w:footnoteReference w:id="62"/>
      </w:r>
      <w:r w:rsidRPr="005972FE">
        <w:rPr>
          <w:rFonts w:ascii="Palatino" w:hAnsi="Palatino" w:cstheme="minorHAnsi"/>
        </w:rPr>
        <w:t xml:space="preserve"> </w:t>
      </w:r>
      <w:r w:rsidR="005972FE">
        <w:rPr>
          <w:rFonts w:ascii="Palatino" w:hAnsi="Palatino" w:cstheme="minorHAnsi"/>
        </w:rPr>
        <w:t>In t</w:t>
      </w:r>
      <w:r w:rsidR="005972FE" w:rsidRPr="005972FE">
        <w:rPr>
          <w:rFonts w:ascii="Palatino" w:hAnsi="Palatino" w:cstheme="minorHAnsi"/>
        </w:rPr>
        <w:t>hat decision</w:t>
      </w:r>
      <w:r w:rsidR="005972FE">
        <w:rPr>
          <w:rFonts w:ascii="Palatino" w:hAnsi="Palatino" w:cstheme="minorHAnsi"/>
        </w:rPr>
        <w:t>,</w:t>
      </w:r>
      <w:r w:rsidR="005972FE" w:rsidRPr="005972FE">
        <w:rPr>
          <w:rFonts w:ascii="Palatino" w:hAnsi="Palatino" w:cstheme="minorHAnsi"/>
        </w:rPr>
        <w:t xml:space="preserve"> </w:t>
      </w:r>
      <w:r w:rsidR="005972FE">
        <w:rPr>
          <w:rFonts w:ascii="Palatino" w:hAnsi="Palatino" w:cstheme="minorHAnsi"/>
        </w:rPr>
        <w:t xml:space="preserve">the Court determined that </w:t>
      </w:r>
      <w:r w:rsidR="005972FE" w:rsidRPr="005972FE">
        <w:rPr>
          <w:rFonts w:ascii="Palatino" w:hAnsi="Palatino" w:cstheme="minorHAnsi"/>
        </w:rPr>
        <w:t xml:space="preserve">promulgation </w:t>
      </w:r>
      <w:r w:rsidR="005972FE">
        <w:rPr>
          <w:rFonts w:ascii="Palatino" w:hAnsi="Palatino" w:cstheme="minorHAnsi"/>
        </w:rPr>
        <w:t xml:space="preserve">occurs when </w:t>
      </w:r>
      <w:r w:rsidR="005972FE" w:rsidRPr="005972FE">
        <w:rPr>
          <w:rFonts w:ascii="Palatino" w:hAnsi="Palatino" w:cstheme="minorHAnsi"/>
          <w:i/>
        </w:rPr>
        <w:t>substantial</w:t>
      </w:r>
      <w:r w:rsidR="005972FE" w:rsidRPr="005972FE">
        <w:rPr>
          <w:rFonts w:ascii="Palatino" w:hAnsi="Palatino" w:cstheme="minorHAnsi"/>
        </w:rPr>
        <w:t xml:space="preserve"> and </w:t>
      </w:r>
      <w:r w:rsidR="005972FE" w:rsidRPr="005972FE">
        <w:rPr>
          <w:rFonts w:ascii="Palatino" w:hAnsi="Palatino" w:cstheme="minorHAnsi"/>
          <w:i/>
        </w:rPr>
        <w:t>formal</w:t>
      </w:r>
      <w:r w:rsidR="005972FE" w:rsidRPr="005972FE">
        <w:rPr>
          <w:rFonts w:ascii="Palatino" w:hAnsi="Palatino" w:cstheme="minorHAnsi"/>
        </w:rPr>
        <w:t xml:space="preserve"> terms</w:t>
      </w:r>
      <w:r w:rsidR="005972FE">
        <w:rPr>
          <w:rFonts w:ascii="Palatino" w:hAnsi="Palatino" w:cstheme="minorHAnsi"/>
          <w:i/>
        </w:rPr>
        <w:t xml:space="preserve"> </w:t>
      </w:r>
      <w:r w:rsidR="005972FE" w:rsidRPr="005972FE">
        <w:rPr>
          <w:rFonts w:ascii="Palatino" w:hAnsi="Palatino" w:cstheme="minorHAnsi"/>
        </w:rPr>
        <w:t>have been met (roughly, conditions of access and discernment).</w:t>
      </w:r>
      <w:r w:rsidR="005972FE">
        <w:rPr>
          <w:rFonts w:ascii="Palatino" w:hAnsi="Palatino" w:cstheme="minorHAnsi"/>
        </w:rPr>
        <w:t xml:space="preserve"> ‘Substantial’ fair notice is treated in terms of the presuppositions of the prevailing conventional morality of the country which allow a reasonable person to judge that certain conduct is subjected restriction by law. But if the spread </w:t>
      </w:r>
      <w:r w:rsidR="00207CAF">
        <w:rPr>
          <w:rFonts w:ascii="Palatino" w:hAnsi="Palatino" w:cstheme="minorHAnsi"/>
        </w:rPr>
        <w:t>model</w:t>
      </w:r>
      <w:r w:rsidR="005972FE">
        <w:rPr>
          <w:rFonts w:ascii="Palatino" w:hAnsi="Palatino" w:cstheme="minorHAnsi"/>
        </w:rPr>
        <w:t xml:space="preserve"> were correct, then the substantial aspect of fair notice could </w:t>
      </w:r>
      <w:r w:rsidR="00207CAF">
        <w:rPr>
          <w:rFonts w:ascii="Palatino" w:hAnsi="Palatino" w:cstheme="minorHAnsi"/>
        </w:rPr>
        <w:t>only</w:t>
      </w:r>
      <w:r w:rsidR="005972FE">
        <w:rPr>
          <w:rFonts w:ascii="Palatino" w:hAnsi="Palatino" w:cstheme="minorHAnsi"/>
        </w:rPr>
        <w:t xml:space="preserve"> </w:t>
      </w:r>
      <w:r w:rsidR="00207CAF">
        <w:rPr>
          <w:rFonts w:ascii="Palatino" w:hAnsi="Palatino" w:cstheme="minorHAnsi"/>
        </w:rPr>
        <w:t xml:space="preserve">be relied upon </w:t>
      </w:r>
      <w:r w:rsidR="005972FE">
        <w:rPr>
          <w:rFonts w:ascii="Palatino" w:hAnsi="Palatino" w:cstheme="minorHAnsi"/>
        </w:rPr>
        <w:t>in a Benthamite codification utopia</w:t>
      </w:r>
      <w:r w:rsidR="00207CAF">
        <w:rPr>
          <w:rFonts w:ascii="Palatino" w:hAnsi="Palatino" w:cstheme="minorHAnsi"/>
        </w:rPr>
        <w:t>. I think it is fair to say that Canada’s legal regime falls short of Bentham’s standards.</w:t>
      </w:r>
    </w:p>
    <w:p w14:paraId="42CFFECF" w14:textId="77777777" w:rsidR="00891835" w:rsidRDefault="00891835" w:rsidP="008720B6">
      <w:pPr>
        <w:widowControl w:val="0"/>
        <w:ind w:right="-56" w:firstLine="426"/>
        <w:jc w:val="both"/>
        <w:rPr>
          <w:rFonts w:ascii="Palatino" w:hAnsi="Palatino" w:cstheme="minorHAnsi"/>
        </w:rPr>
      </w:pPr>
    </w:p>
    <w:p w14:paraId="4E7BCF30" w14:textId="5BE6BE2E" w:rsidR="00891835" w:rsidRDefault="00891835" w:rsidP="008720B6">
      <w:pPr>
        <w:widowControl w:val="0"/>
        <w:ind w:right="-56"/>
        <w:jc w:val="both"/>
        <w:rPr>
          <w:rFonts w:ascii="Palatino" w:hAnsi="Palatino" w:cstheme="minorHAnsi"/>
        </w:rPr>
      </w:pPr>
      <w:r>
        <w:rPr>
          <w:rFonts w:ascii="Palatino" w:hAnsi="Palatino" w:cstheme="minorHAnsi"/>
        </w:rPr>
        <w:t>(</w:t>
      </w:r>
      <w:r w:rsidR="00C82F79">
        <w:rPr>
          <w:rFonts w:ascii="Palatino" w:hAnsi="Palatino" w:cstheme="minorHAnsi"/>
        </w:rPr>
        <w:t>II</w:t>
      </w:r>
      <w:r>
        <w:rPr>
          <w:rFonts w:ascii="Palatino" w:hAnsi="Palatino" w:cstheme="minorHAnsi"/>
        </w:rPr>
        <w:t>)</w:t>
      </w:r>
    </w:p>
    <w:p w14:paraId="150CB7FD" w14:textId="3DEAFE31" w:rsidR="00421930" w:rsidRDefault="00891835" w:rsidP="008720B6">
      <w:pPr>
        <w:widowControl w:val="0"/>
        <w:ind w:right="-56"/>
        <w:jc w:val="both"/>
        <w:rPr>
          <w:rFonts w:ascii="Palatino" w:hAnsi="Palatino" w:cstheme="minorHAnsi"/>
        </w:rPr>
      </w:pPr>
      <w:r>
        <w:rPr>
          <w:rFonts w:ascii="Palatino" w:hAnsi="Palatino" w:cstheme="minorHAnsi"/>
        </w:rPr>
        <w:t>If we pass on to the chain model, we find there are robust grounds to say that this was a case of promulgation failure. However, the reasoning that leads to the conclusion is somewhat different from that we found in</w:t>
      </w:r>
      <w:r w:rsidR="008363AA">
        <w:rPr>
          <w:rFonts w:ascii="Palatino" w:hAnsi="Palatino" w:cstheme="minorHAnsi"/>
        </w:rPr>
        <w:t xml:space="preserve"> the spread model</w:t>
      </w:r>
      <w:r>
        <w:rPr>
          <w:rFonts w:ascii="Palatino" w:hAnsi="Palatino" w:cstheme="minorHAnsi"/>
        </w:rPr>
        <w:t xml:space="preserve">. </w:t>
      </w:r>
      <w:r w:rsidR="008363AA">
        <w:rPr>
          <w:rFonts w:ascii="Palatino" w:hAnsi="Palatino" w:cstheme="minorHAnsi"/>
        </w:rPr>
        <w:t>T</w:t>
      </w:r>
      <w:r>
        <w:rPr>
          <w:rFonts w:ascii="Palatino" w:hAnsi="Palatino" w:cstheme="minorHAnsi"/>
        </w:rPr>
        <w:t>he failure of access</w:t>
      </w:r>
      <w:r w:rsidR="00421930">
        <w:rPr>
          <w:rFonts w:ascii="Palatino" w:hAnsi="Palatino" w:cstheme="minorHAnsi"/>
        </w:rPr>
        <w:t xml:space="preserve"> </w:t>
      </w:r>
      <w:r w:rsidR="00421930">
        <w:rPr>
          <w:rFonts w:ascii="Palatino" w:hAnsi="Palatino" w:cstheme="minorHAnsi"/>
        </w:rPr>
        <w:lastRenderedPageBreak/>
        <w:t>described here</w:t>
      </w:r>
      <w:r>
        <w:rPr>
          <w:rFonts w:ascii="Palatino" w:hAnsi="Palatino" w:cstheme="minorHAnsi"/>
        </w:rPr>
        <w:t xml:space="preserve"> does not issue from the fact that citizens had no </w:t>
      </w:r>
      <w:r w:rsidR="008363AA">
        <w:rPr>
          <w:rFonts w:ascii="Palatino" w:hAnsi="Palatino" w:cstheme="minorHAnsi"/>
        </w:rPr>
        <w:t>sources of law</w:t>
      </w:r>
      <w:r>
        <w:rPr>
          <w:rFonts w:ascii="Palatino" w:hAnsi="Palatino" w:cstheme="minorHAnsi"/>
        </w:rPr>
        <w:t xml:space="preserve"> close-by</w:t>
      </w:r>
      <w:r w:rsidR="008363AA">
        <w:rPr>
          <w:rFonts w:ascii="Palatino" w:hAnsi="Palatino" w:cstheme="minorHAnsi"/>
        </w:rPr>
        <w:t xml:space="preserve">, since – unlike the spread model – the chain model recognizes that there were. The differences owe to the fact that the chain model relies on the idea that these sources were </w:t>
      </w:r>
      <w:r w:rsidR="008363AA" w:rsidRPr="008363AA">
        <w:rPr>
          <w:rFonts w:ascii="Palatino" w:hAnsi="Palatino" w:cstheme="minorHAnsi"/>
          <w:i/>
        </w:rPr>
        <w:t>experts</w:t>
      </w:r>
      <w:r w:rsidR="008363AA">
        <w:rPr>
          <w:rFonts w:ascii="Palatino" w:hAnsi="Palatino" w:cstheme="minorHAnsi"/>
        </w:rPr>
        <w:t>:</w:t>
      </w:r>
      <w:r>
        <w:rPr>
          <w:rFonts w:ascii="Palatino" w:hAnsi="Palatino" w:cstheme="minorHAnsi"/>
        </w:rPr>
        <w:t xml:space="preserve"> </w:t>
      </w:r>
      <w:r w:rsidR="008363AA">
        <w:rPr>
          <w:rFonts w:ascii="Palatino" w:hAnsi="Palatino" w:cstheme="minorHAnsi"/>
        </w:rPr>
        <w:t>e.g., the</w:t>
      </w:r>
      <w:r>
        <w:rPr>
          <w:rFonts w:ascii="Palatino" w:hAnsi="Palatino" w:cstheme="minorHAnsi"/>
        </w:rPr>
        <w:t xml:space="preserve"> media, professors, enforcement officers.</w:t>
      </w:r>
      <w:r w:rsidR="008363AA">
        <w:rPr>
          <w:rFonts w:ascii="Palatino" w:hAnsi="Palatino" w:cstheme="minorHAnsi"/>
        </w:rPr>
        <w:t xml:space="preserve"> And there were plenty of them.</w:t>
      </w:r>
    </w:p>
    <w:p w14:paraId="36F69F20" w14:textId="5E91ABD4" w:rsidR="00421930" w:rsidRDefault="008363AA" w:rsidP="008720B6">
      <w:pPr>
        <w:widowControl w:val="0"/>
        <w:ind w:right="-56" w:firstLine="426"/>
        <w:jc w:val="both"/>
        <w:rPr>
          <w:rFonts w:ascii="Palatino" w:hAnsi="Palatino" w:cstheme="minorHAnsi"/>
        </w:rPr>
      </w:pPr>
      <w:r>
        <w:rPr>
          <w:rFonts w:ascii="Palatino" w:hAnsi="Palatino" w:cstheme="minorHAnsi"/>
        </w:rPr>
        <w:t>Instead,</w:t>
      </w:r>
      <w:r w:rsidR="00891835">
        <w:rPr>
          <w:rFonts w:ascii="Palatino" w:hAnsi="Palatino" w:cstheme="minorHAnsi"/>
        </w:rPr>
        <w:t xml:space="preserve"> </w:t>
      </w:r>
      <w:r w:rsidR="00421930">
        <w:rPr>
          <w:rFonts w:ascii="Palatino" w:hAnsi="Palatino" w:cstheme="minorHAnsi"/>
        </w:rPr>
        <w:t>the failure of access</w:t>
      </w:r>
      <w:r w:rsidR="00891835">
        <w:rPr>
          <w:rFonts w:ascii="Palatino" w:hAnsi="Palatino" w:cstheme="minorHAnsi"/>
        </w:rPr>
        <w:t xml:space="preserve"> issued from the fact that these experts </w:t>
      </w:r>
      <w:r w:rsidR="00891835" w:rsidRPr="005A3A10">
        <w:rPr>
          <w:rFonts w:ascii="Palatino" w:hAnsi="Palatino" w:cstheme="minorHAnsi"/>
          <w:i/>
        </w:rPr>
        <w:t>had no knowledge to impart</w:t>
      </w:r>
      <w:r w:rsidR="00891835">
        <w:rPr>
          <w:rFonts w:ascii="Palatino" w:hAnsi="Palatino" w:cstheme="minorHAnsi"/>
          <w:i/>
        </w:rPr>
        <w:t>,</w:t>
      </w:r>
      <w:r w:rsidR="00891835">
        <w:rPr>
          <w:rFonts w:ascii="Palatino" w:hAnsi="Palatino" w:cstheme="minorHAnsi"/>
        </w:rPr>
        <w:t xml:space="preserve"> due to ignorance of the </w:t>
      </w:r>
      <w:r w:rsidR="00421930" w:rsidRPr="00421930">
        <w:rPr>
          <w:rFonts w:ascii="Palatino" w:hAnsi="Palatino" w:cstheme="minorHAnsi"/>
          <w:i/>
        </w:rPr>
        <w:t>R</w:t>
      </w:r>
      <w:r w:rsidR="00891835" w:rsidRPr="00421930">
        <w:rPr>
          <w:rFonts w:ascii="Palatino" w:hAnsi="Palatino" w:cstheme="minorHAnsi"/>
          <w:i/>
        </w:rPr>
        <w:t>egulation</w:t>
      </w:r>
      <w:r w:rsidR="00891835">
        <w:rPr>
          <w:rFonts w:ascii="Palatino" w:hAnsi="Palatino" w:cstheme="minorHAnsi"/>
        </w:rPr>
        <w:t xml:space="preserve">. There were, perhaps, some experts who knew of the </w:t>
      </w:r>
      <w:r w:rsidR="000B5A9E" w:rsidRPr="000B5A9E">
        <w:rPr>
          <w:rFonts w:ascii="Palatino" w:hAnsi="Palatino" w:cstheme="minorHAnsi"/>
          <w:i/>
        </w:rPr>
        <w:t>R</w:t>
      </w:r>
      <w:r w:rsidR="00891835" w:rsidRPr="000B5A9E">
        <w:rPr>
          <w:rFonts w:ascii="Palatino" w:hAnsi="Palatino" w:cstheme="minorHAnsi"/>
          <w:i/>
        </w:rPr>
        <w:t>egulation</w:t>
      </w:r>
      <w:r w:rsidR="00891835">
        <w:rPr>
          <w:rFonts w:ascii="Palatino" w:hAnsi="Palatino" w:cstheme="minorHAnsi"/>
        </w:rPr>
        <w:t xml:space="preserve"> – maybe the ones who were in the room when </w:t>
      </w:r>
      <w:r w:rsidR="000B5A9E">
        <w:rPr>
          <w:rFonts w:ascii="Palatino" w:hAnsi="Palatino" w:cstheme="minorHAnsi"/>
        </w:rPr>
        <w:t>it</w:t>
      </w:r>
      <w:r w:rsidR="00891835">
        <w:rPr>
          <w:rFonts w:ascii="Palatino" w:hAnsi="Palatino" w:cstheme="minorHAnsi"/>
        </w:rPr>
        <w:t xml:space="preserve"> was passed. </w:t>
      </w:r>
      <w:r w:rsidR="00421930">
        <w:rPr>
          <w:rFonts w:ascii="Palatino" w:hAnsi="Palatino" w:cstheme="minorHAnsi"/>
        </w:rPr>
        <w:t>And m</w:t>
      </w:r>
      <w:r w:rsidR="00891835">
        <w:rPr>
          <w:rFonts w:ascii="Palatino" w:hAnsi="Palatino" w:cstheme="minorHAnsi"/>
        </w:rPr>
        <w:t xml:space="preserve">aybe one of these people with insider knowledge even shared their knowledge to someone else. But if so, there is no evidence to believe that these </w:t>
      </w:r>
      <w:r w:rsidR="000B5A9E">
        <w:rPr>
          <w:rFonts w:ascii="Palatino" w:hAnsi="Palatino" w:cstheme="minorHAnsi"/>
        </w:rPr>
        <w:t xml:space="preserve">notional </w:t>
      </w:r>
      <w:r w:rsidR="00891835">
        <w:rPr>
          <w:rFonts w:ascii="Palatino" w:hAnsi="Palatino" w:cstheme="minorHAnsi"/>
        </w:rPr>
        <w:t>experts</w:t>
      </w:r>
      <w:r w:rsidR="00421930">
        <w:rPr>
          <w:rFonts w:ascii="Palatino" w:hAnsi="Palatino" w:cstheme="minorHAnsi"/>
        </w:rPr>
        <w:t xml:space="preserve"> possessed of</w:t>
      </w:r>
      <w:r w:rsidR="00891835">
        <w:rPr>
          <w:rFonts w:ascii="Palatino" w:hAnsi="Palatino" w:cstheme="minorHAnsi"/>
        </w:rPr>
        <w:t xml:space="preserve"> insider knowledge were close-by the stakeholders</w:t>
      </w:r>
      <w:r w:rsidR="000B5A9E">
        <w:rPr>
          <w:rFonts w:ascii="Palatino" w:hAnsi="Palatino" w:cstheme="minorHAnsi"/>
        </w:rPr>
        <w:t xml:space="preserve"> in </w:t>
      </w:r>
      <w:r w:rsidR="00891835">
        <w:rPr>
          <w:rFonts w:ascii="Palatino" w:hAnsi="Palatino" w:cstheme="minorHAnsi"/>
        </w:rPr>
        <w:t>a sufficient number to make a difference.</w:t>
      </w:r>
      <w:r w:rsidR="00421930">
        <w:rPr>
          <w:rFonts w:ascii="Palatino" w:hAnsi="Palatino" w:cstheme="minorHAnsi"/>
        </w:rPr>
        <w:t xml:space="preserve"> Nor, on the face of it, is there any sense that such experts were in a normal communications environment.</w:t>
      </w:r>
    </w:p>
    <w:p w14:paraId="51968CFF" w14:textId="1E63E455" w:rsidR="00421930" w:rsidRDefault="00421930" w:rsidP="008720B6">
      <w:pPr>
        <w:widowControl w:val="0"/>
        <w:ind w:right="-56" w:firstLine="426"/>
        <w:jc w:val="both"/>
        <w:rPr>
          <w:rFonts w:ascii="Palatino" w:hAnsi="Palatino" w:cstheme="minorHAnsi"/>
        </w:rPr>
      </w:pPr>
      <w:r>
        <w:rPr>
          <w:rFonts w:ascii="Palatino" w:hAnsi="Palatino" w:cstheme="minorHAnsi"/>
        </w:rPr>
        <w:t>So, t</w:t>
      </w:r>
      <w:r w:rsidR="00891835">
        <w:rPr>
          <w:rFonts w:ascii="Palatino" w:hAnsi="Palatino" w:cstheme="minorHAnsi"/>
        </w:rPr>
        <w:t xml:space="preserve">he chain model permits a judgment that the law was inaccessible. Insofar as the conveyance theory regards the chain model as a standard for setting what counts as respect for knowers (B), it is obliged to recognize the very serious ways in which the experts </w:t>
      </w:r>
      <w:r w:rsidR="00837318">
        <w:rPr>
          <w:rFonts w:ascii="Palatino" w:hAnsi="Palatino" w:cstheme="minorHAnsi"/>
        </w:rPr>
        <w:t>were not able to deploy their skills of discernment</w:t>
      </w:r>
      <w:r w:rsidR="00861E69">
        <w:rPr>
          <w:rFonts w:ascii="Palatino" w:hAnsi="Palatino" w:cstheme="minorHAnsi"/>
        </w:rPr>
        <w:t xml:space="preserve"> in good faith.</w:t>
      </w:r>
    </w:p>
    <w:p w14:paraId="397AD881" w14:textId="6FAABC64" w:rsidR="00D90C0F" w:rsidRDefault="00421930" w:rsidP="008720B6">
      <w:pPr>
        <w:widowControl w:val="0"/>
        <w:ind w:right="-56" w:firstLine="426"/>
        <w:jc w:val="both"/>
        <w:rPr>
          <w:rFonts w:ascii="Palatino" w:hAnsi="Palatino" w:cstheme="minorHAnsi"/>
        </w:rPr>
      </w:pPr>
      <w:r>
        <w:rPr>
          <w:rFonts w:ascii="Palatino" w:hAnsi="Palatino" w:cstheme="minorHAnsi"/>
        </w:rPr>
        <w:t xml:space="preserve">A complicating factor, in this case, is that the Chief of Police </w:t>
      </w:r>
      <w:r>
        <w:rPr>
          <w:rFonts w:ascii="Palatino" w:hAnsi="Palatino" w:cstheme="minorHAnsi"/>
          <w:i/>
        </w:rPr>
        <w:t>misrepresented</w:t>
      </w:r>
      <w:r w:rsidRPr="002C499B">
        <w:rPr>
          <w:rFonts w:ascii="Palatino" w:hAnsi="Palatino" w:cstheme="minorHAnsi"/>
          <w:i/>
        </w:rPr>
        <w:t xml:space="preserve"> </w:t>
      </w:r>
      <w:r>
        <w:rPr>
          <w:rFonts w:ascii="Palatino" w:hAnsi="Palatino" w:cstheme="minorHAnsi"/>
        </w:rPr>
        <w:t>the law’s demands</w:t>
      </w:r>
      <w:r w:rsidR="007A77A7">
        <w:rPr>
          <w:rFonts w:ascii="Palatino" w:hAnsi="Palatino" w:cstheme="minorHAnsi"/>
        </w:rPr>
        <w:t xml:space="preserve"> with the five-metre rule</w:t>
      </w:r>
      <w:r>
        <w:rPr>
          <w:rFonts w:ascii="Palatino" w:hAnsi="Palatino" w:cstheme="minorHAnsi"/>
        </w:rPr>
        <w:t xml:space="preserve">, </w:t>
      </w:r>
      <w:r w:rsidR="007A77A7">
        <w:rPr>
          <w:rFonts w:ascii="Palatino" w:hAnsi="Palatino" w:cstheme="minorHAnsi"/>
        </w:rPr>
        <w:t xml:space="preserve">resulting in </w:t>
      </w:r>
      <w:r>
        <w:rPr>
          <w:rFonts w:ascii="Palatino" w:hAnsi="Palatino" w:cstheme="minorHAnsi"/>
        </w:rPr>
        <w:t>officially induced</w:t>
      </w:r>
      <w:r w:rsidR="007A77A7">
        <w:rPr>
          <w:rFonts w:ascii="Palatino" w:hAnsi="Palatino" w:cstheme="minorHAnsi"/>
        </w:rPr>
        <w:t xml:space="preserve"> error</w:t>
      </w:r>
      <w:r>
        <w:rPr>
          <w:rFonts w:ascii="Palatino" w:hAnsi="Palatino" w:cstheme="minorHAnsi"/>
        </w:rPr>
        <w:t>.</w:t>
      </w:r>
      <w:r w:rsidR="00BD3657">
        <w:rPr>
          <w:rFonts w:ascii="Palatino" w:hAnsi="Palatino" w:cstheme="minorHAnsi"/>
        </w:rPr>
        <w:t xml:space="preserve"> That itself put stakeholders at greater epistemic risk, in retrospect.</w:t>
      </w:r>
      <w:r>
        <w:rPr>
          <w:rFonts w:ascii="Palatino" w:hAnsi="Palatino" w:cstheme="minorHAnsi"/>
        </w:rPr>
        <w:t xml:space="preserve"> </w:t>
      </w:r>
      <w:r w:rsidR="00BD3657">
        <w:rPr>
          <w:rFonts w:ascii="Palatino" w:hAnsi="Palatino" w:cstheme="minorHAnsi"/>
        </w:rPr>
        <w:t>In prospect, the evaluation is somewhat less clear; if citizens had discovered the misinformation during the event, it could be reasonably expected to question the credibility of officers of law to report correctly on matters of law; but they did not.</w:t>
      </w:r>
    </w:p>
    <w:p w14:paraId="3619171D" w14:textId="6BE1B83F" w:rsidR="00D90C0F" w:rsidRDefault="000F3BD0" w:rsidP="008720B6">
      <w:pPr>
        <w:widowControl w:val="0"/>
        <w:ind w:right="-56" w:firstLine="426"/>
        <w:jc w:val="both"/>
        <w:rPr>
          <w:rFonts w:ascii="Palatino" w:hAnsi="Palatino" w:cstheme="minorHAnsi"/>
        </w:rPr>
      </w:pPr>
      <w:r>
        <w:rPr>
          <w:rFonts w:ascii="Palatino" w:hAnsi="Palatino" w:cstheme="minorHAnsi"/>
        </w:rPr>
        <w:t>Be that as it may,</w:t>
      </w:r>
      <w:r w:rsidR="00D90C0F">
        <w:rPr>
          <w:rFonts w:ascii="Palatino" w:hAnsi="Palatino" w:cstheme="minorHAnsi"/>
        </w:rPr>
        <w:t xml:space="preserve"> we are not left tongue-tied when we evaluate the case.</w:t>
      </w:r>
      <w:r w:rsidR="00BD3657">
        <w:rPr>
          <w:rFonts w:ascii="Palatino" w:hAnsi="Palatino" w:cstheme="minorHAnsi"/>
        </w:rPr>
        <w:t xml:space="preserve"> </w:t>
      </w:r>
      <w:r w:rsidR="00D90C0F">
        <w:rPr>
          <w:rFonts w:ascii="Palatino" w:hAnsi="Palatino" w:cstheme="minorHAnsi"/>
        </w:rPr>
        <w:t>For whatever we say, during</w:t>
      </w:r>
      <w:r w:rsidR="00BD3657">
        <w:rPr>
          <w:rFonts w:ascii="Palatino" w:hAnsi="Palatino" w:cstheme="minorHAnsi"/>
        </w:rPr>
        <w:t xml:space="preserve"> the course of the conversation, we will need to talk about the</w:t>
      </w:r>
      <w:r w:rsidR="00861E69">
        <w:rPr>
          <w:rFonts w:ascii="Palatino" w:hAnsi="Palatino" w:cstheme="minorHAnsi"/>
        </w:rPr>
        <w:t xml:space="preserve"> failure</w:t>
      </w:r>
      <w:r w:rsidR="00BD3657">
        <w:rPr>
          <w:rFonts w:ascii="Palatino" w:hAnsi="Palatino" w:cstheme="minorHAnsi"/>
        </w:rPr>
        <w:t>s</w:t>
      </w:r>
      <w:r w:rsidR="00861E69">
        <w:rPr>
          <w:rFonts w:ascii="Palatino" w:hAnsi="Palatino" w:cstheme="minorHAnsi"/>
        </w:rPr>
        <w:t xml:space="preserve"> of fidelity and candor</w:t>
      </w:r>
      <w:r w:rsidR="00BD3657">
        <w:rPr>
          <w:rFonts w:ascii="Palatino" w:hAnsi="Palatino" w:cstheme="minorHAnsi"/>
        </w:rPr>
        <w:t xml:space="preserve"> in the system</w:t>
      </w:r>
      <w:r w:rsidR="00861E69">
        <w:rPr>
          <w:rFonts w:ascii="Palatino" w:hAnsi="Palatino" w:cstheme="minorHAnsi"/>
        </w:rPr>
        <w:t>; and the Chief’s express lack of remorse</w:t>
      </w:r>
      <w:r w:rsidR="00C768A5">
        <w:rPr>
          <w:rFonts w:ascii="Palatino" w:hAnsi="Palatino" w:cstheme="minorHAnsi"/>
        </w:rPr>
        <w:t xml:space="preserve"> </w:t>
      </w:r>
      <w:r w:rsidR="00861E69">
        <w:rPr>
          <w:rFonts w:ascii="Palatino" w:hAnsi="Palatino" w:cstheme="minorHAnsi"/>
        </w:rPr>
        <w:t>(</w:t>
      </w:r>
      <w:r w:rsidR="00525572">
        <w:rPr>
          <w:rFonts w:ascii="Palatino" w:hAnsi="Palatino" w:cstheme="minorHAnsi"/>
        </w:rPr>
        <w:t>he</w:t>
      </w:r>
      <w:r w:rsidR="00861E69">
        <w:rPr>
          <w:rFonts w:ascii="Palatino" w:hAnsi="Palatino" w:cstheme="minorHAnsi"/>
        </w:rPr>
        <w:t xml:space="preserve"> wanted to </w:t>
      </w:r>
      <w:r w:rsidR="00525572">
        <w:rPr>
          <w:rFonts w:ascii="Palatino" w:hAnsi="Palatino" w:cstheme="minorHAnsi"/>
        </w:rPr>
        <w:t>“</w:t>
      </w:r>
      <w:r w:rsidR="00861E69">
        <w:rPr>
          <w:rFonts w:ascii="Palatino" w:hAnsi="Palatino" w:cstheme="minorHAnsi"/>
        </w:rPr>
        <w:t>keep the criminals out”)</w:t>
      </w:r>
      <w:r w:rsidR="00183205">
        <w:rPr>
          <w:rFonts w:ascii="Palatino" w:hAnsi="Palatino" w:cstheme="minorHAnsi"/>
        </w:rPr>
        <w:t>, and an absence of material consequences</w:t>
      </w:r>
      <w:r w:rsidR="00BD3657">
        <w:rPr>
          <w:rFonts w:ascii="Palatino" w:hAnsi="Palatino" w:cstheme="minorHAnsi"/>
        </w:rPr>
        <w:t xml:space="preserve"> for the misrepresentation,</w:t>
      </w:r>
      <w:r w:rsidR="00861E69">
        <w:rPr>
          <w:rFonts w:ascii="Palatino" w:hAnsi="Palatino" w:cstheme="minorHAnsi"/>
        </w:rPr>
        <w:t xml:space="preserve"> </w:t>
      </w:r>
      <w:r w:rsidR="00D90C0F">
        <w:rPr>
          <w:rFonts w:ascii="Palatino" w:hAnsi="Palatino" w:cstheme="minorHAnsi"/>
        </w:rPr>
        <w:t xml:space="preserve">overall </w:t>
      </w:r>
      <w:r w:rsidR="00C768A5">
        <w:rPr>
          <w:rFonts w:ascii="Palatino" w:hAnsi="Palatino" w:cstheme="minorHAnsi"/>
        </w:rPr>
        <w:t>reflects a legal system better characterized in terms of</w:t>
      </w:r>
      <w:r w:rsidR="00861E69">
        <w:rPr>
          <w:rFonts w:ascii="Palatino" w:hAnsi="Palatino" w:cstheme="minorHAnsi"/>
        </w:rPr>
        <w:t xml:space="preserve"> hubris than humility.</w:t>
      </w:r>
      <w:r w:rsidR="00525572">
        <w:rPr>
          <w:rStyle w:val="FootnoteReference"/>
          <w:rFonts w:ascii="Palatino" w:hAnsi="Palatino" w:cstheme="minorHAnsi"/>
        </w:rPr>
        <w:footnoteReference w:id="63"/>
      </w:r>
      <w:r w:rsidR="00BD3657">
        <w:rPr>
          <w:rFonts w:ascii="Palatino" w:hAnsi="Palatino" w:cstheme="minorHAnsi"/>
        </w:rPr>
        <w:t xml:space="preserve"> </w:t>
      </w:r>
      <w:r w:rsidR="00D90C0F">
        <w:rPr>
          <w:rFonts w:ascii="Palatino" w:hAnsi="Palatino" w:cstheme="minorHAnsi"/>
        </w:rPr>
        <w:t>And the</w:t>
      </w:r>
      <w:r w:rsidR="002E55CA">
        <w:rPr>
          <w:rFonts w:ascii="Palatino" w:hAnsi="Palatino" w:cstheme="minorHAnsi"/>
        </w:rPr>
        <w:t xml:space="preserve"> misrepresentation</w:t>
      </w:r>
      <w:r w:rsidR="00D90C0F">
        <w:rPr>
          <w:rFonts w:ascii="Palatino" w:hAnsi="Palatino" w:cstheme="minorHAnsi"/>
        </w:rPr>
        <w:t xml:space="preserve"> of the five-metres rule</w:t>
      </w:r>
      <w:r w:rsidR="00421930">
        <w:rPr>
          <w:rFonts w:ascii="Palatino" w:hAnsi="Palatino" w:cstheme="minorHAnsi"/>
        </w:rPr>
        <w:t xml:space="preserve"> still matters</w:t>
      </w:r>
      <w:r w:rsidR="00861E69">
        <w:rPr>
          <w:rFonts w:ascii="Palatino" w:hAnsi="Palatino" w:cstheme="minorHAnsi"/>
        </w:rPr>
        <w:t xml:space="preserve"> to the integrity of law</w:t>
      </w:r>
      <w:r w:rsidR="002E55CA">
        <w:rPr>
          <w:rFonts w:ascii="Palatino" w:hAnsi="Palatino" w:cstheme="minorHAnsi"/>
        </w:rPr>
        <w:t xml:space="preserve"> --</w:t>
      </w:r>
      <w:r w:rsidR="00421930">
        <w:rPr>
          <w:rFonts w:ascii="Palatino" w:hAnsi="Palatino" w:cstheme="minorHAnsi"/>
        </w:rPr>
        <w:t xml:space="preserve"> accuracy and sincerity are themselves generally the sort of things one discovers only in hindsight</w:t>
      </w:r>
      <w:r w:rsidR="002E55CA">
        <w:rPr>
          <w:rFonts w:ascii="Palatino" w:hAnsi="Palatino" w:cstheme="minorHAnsi"/>
        </w:rPr>
        <w:t xml:space="preserve">, but the damage to </w:t>
      </w:r>
      <w:r w:rsidR="00D90C0F">
        <w:rPr>
          <w:rFonts w:ascii="Palatino" w:hAnsi="Palatino" w:cstheme="minorHAnsi"/>
        </w:rPr>
        <w:t xml:space="preserve">the conditions for </w:t>
      </w:r>
      <w:r w:rsidR="002E55CA">
        <w:rPr>
          <w:rFonts w:ascii="Palatino" w:hAnsi="Palatino" w:cstheme="minorHAnsi"/>
        </w:rPr>
        <w:t xml:space="preserve">trust </w:t>
      </w:r>
      <w:r w:rsidR="00D90C0F">
        <w:rPr>
          <w:rFonts w:ascii="Palatino" w:hAnsi="Palatino" w:cstheme="minorHAnsi"/>
        </w:rPr>
        <w:t>were breached</w:t>
      </w:r>
      <w:r w:rsidR="002E55CA">
        <w:rPr>
          <w:rFonts w:ascii="Palatino" w:hAnsi="Palatino" w:cstheme="minorHAnsi"/>
        </w:rPr>
        <w:t xml:space="preserve"> with the falsehood, not </w:t>
      </w:r>
      <w:r w:rsidR="00D90C0F">
        <w:rPr>
          <w:rFonts w:ascii="Palatino" w:hAnsi="Palatino" w:cstheme="minorHAnsi"/>
        </w:rPr>
        <w:t>its discovery</w:t>
      </w:r>
      <w:r w:rsidR="002E55CA">
        <w:rPr>
          <w:rFonts w:ascii="Palatino" w:hAnsi="Palatino" w:cstheme="minorHAnsi"/>
        </w:rPr>
        <w:t>.</w:t>
      </w:r>
    </w:p>
    <w:p w14:paraId="2E527359" w14:textId="7985F2BF" w:rsidR="00891835" w:rsidRDefault="00D90C0F" w:rsidP="008720B6">
      <w:pPr>
        <w:widowControl w:val="0"/>
        <w:ind w:right="-56" w:firstLine="426"/>
        <w:jc w:val="both"/>
        <w:rPr>
          <w:rFonts w:ascii="Palatino" w:hAnsi="Palatino" w:cstheme="minorHAnsi"/>
        </w:rPr>
      </w:pPr>
      <w:r>
        <w:rPr>
          <w:rFonts w:ascii="Palatino" w:hAnsi="Palatino" w:cstheme="minorHAnsi"/>
        </w:rPr>
        <w:t xml:space="preserve">So, </w:t>
      </w:r>
      <w:r w:rsidR="000910B2">
        <w:rPr>
          <w:rFonts w:ascii="Palatino" w:hAnsi="Palatino" w:cstheme="minorHAnsi"/>
        </w:rPr>
        <w:t xml:space="preserve">even </w:t>
      </w:r>
      <w:r>
        <w:rPr>
          <w:rFonts w:ascii="Palatino" w:hAnsi="Palatino" w:cstheme="minorHAnsi"/>
        </w:rPr>
        <w:t xml:space="preserve">if we didn’t already know that </w:t>
      </w:r>
      <w:r w:rsidR="000910B2">
        <w:rPr>
          <w:rFonts w:ascii="Palatino" w:hAnsi="Palatino" w:cstheme="minorHAnsi"/>
        </w:rPr>
        <w:t>the five-metres rule</w:t>
      </w:r>
      <w:r>
        <w:rPr>
          <w:rFonts w:ascii="Palatino" w:hAnsi="Palatino" w:cstheme="minorHAnsi"/>
        </w:rPr>
        <w:t xml:space="preserve"> involved an officially induced error, we would still have reason to suspect that the legal environment placed stakeholders at intolerable epistemic risk. The</w:t>
      </w:r>
      <w:r w:rsidR="00EC0A6B">
        <w:rPr>
          <w:rFonts w:ascii="Palatino" w:hAnsi="Palatino" w:cstheme="minorHAnsi"/>
        </w:rPr>
        <w:t xml:space="preserve"> misrepresentation failed to demonstrate respect to stakeholders and experts as knowers. </w:t>
      </w:r>
      <w:r>
        <w:rPr>
          <w:rFonts w:ascii="Palatino" w:hAnsi="Palatino" w:cstheme="minorHAnsi"/>
        </w:rPr>
        <w:t>Insofar as this is true</w:t>
      </w:r>
      <w:r w:rsidR="00EC0A6B">
        <w:rPr>
          <w:rFonts w:ascii="Palatino" w:hAnsi="Palatino" w:cstheme="minorHAnsi"/>
        </w:rPr>
        <w:t>, the conveyance theorist who uses the chain model has very serious reasons to doubt that promulgation was successful</w:t>
      </w:r>
      <w:r w:rsidR="000910B2">
        <w:rPr>
          <w:rFonts w:ascii="Palatino" w:hAnsi="Palatino" w:cstheme="minorHAnsi"/>
        </w:rPr>
        <w:t>, or even attempted</w:t>
      </w:r>
      <w:r w:rsidR="00EC0A6B">
        <w:rPr>
          <w:rFonts w:ascii="Palatino" w:hAnsi="Palatino" w:cstheme="minorHAnsi"/>
        </w:rPr>
        <w:t>.</w:t>
      </w:r>
      <w:r w:rsidR="000910B2">
        <w:rPr>
          <w:rFonts w:ascii="Palatino" w:hAnsi="Palatino" w:cstheme="minorHAnsi"/>
        </w:rPr>
        <w:t xml:space="preserve"> The </w:t>
      </w:r>
      <w:r w:rsidR="000910B2" w:rsidRPr="000910B2">
        <w:rPr>
          <w:rFonts w:ascii="Palatino" w:hAnsi="Palatino" w:cstheme="minorHAnsi"/>
          <w:i/>
        </w:rPr>
        <w:t>Regulation</w:t>
      </w:r>
      <w:r w:rsidR="000910B2">
        <w:rPr>
          <w:rFonts w:ascii="Palatino" w:hAnsi="Palatino" w:cstheme="minorHAnsi"/>
        </w:rPr>
        <w:t xml:space="preserve"> was not even conveyed discreetly, or on delay</w:t>
      </w:r>
      <w:r w:rsidR="006E5656">
        <w:rPr>
          <w:rFonts w:ascii="Palatino" w:hAnsi="Palatino" w:cstheme="minorHAnsi"/>
        </w:rPr>
        <w:t xml:space="preserve">, </w:t>
      </w:r>
      <w:r w:rsidR="000910B2">
        <w:rPr>
          <w:rFonts w:ascii="Palatino" w:hAnsi="Palatino" w:cstheme="minorHAnsi"/>
        </w:rPr>
        <w:t>so much as it was not accessible at all.</w:t>
      </w:r>
    </w:p>
    <w:p w14:paraId="46CABC31" w14:textId="6AA275EB" w:rsidR="006E5656" w:rsidRDefault="000910B2" w:rsidP="008720B6">
      <w:pPr>
        <w:widowControl w:val="0"/>
        <w:ind w:right="-56" w:firstLine="426"/>
        <w:jc w:val="both"/>
        <w:rPr>
          <w:rFonts w:ascii="Palatino" w:hAnsi="Palatino" w:cstheme="minorHAnsi"/>
        </w:rPr>
      </w:pPr>
      <w:r>
        <w:rPr>
          <w:rFonts w:ascii="Palatino" w:hAnsi="Palatino" w:cstheme="minorHAnsi"/>
        </w:rPr>
        <w:t xml:space="preserve"> </w:t>
      </w:r>
      <w:r w:rsidR="00891835">
        <w:rPr>
          <w:rFonts w:ascii="Palatino" w:hAnsi="Palatino" w:cstheme="minorHAnsi"/>
        </w:rPr>
        <w:t>On the other hand, there is also a</w:t>
      </w:r>
      <w:r w:rsidR="00861E69">
        <w:rPr>
          <w:rFonts w:ascii="Palatino" w:hAnsi="Palatino" w:cstheme="minorHAnsi"/>
        </w:rPr>
        <w:t xml:space="preserve"> minor</w:t>
      </w:r>
      <w:r w:rsidR="00891835">
        <w:rPr>
          <w:rFonts w:ascii="Palatino" w:hAnsi="Palatino" w:cstheme="minorHAnsi"/>
        </w:rPr>
        <w:t xml:space="preserve"> sense in which we can say that this was not a promulgation failure</w:t>
      </w:r>
      <w:r w:rsidR="00FA7DBE">
        <w:rPr>
          <w:rFonts w:ascii="Palatino" w:hAnsi="Palatino" w:cstheme="minorHAnsi"/>
        </w:rPr>
        <w:t>.</w:t>
      </w:r>
      <w:r w:rsidR="00891835">
        <w:rPr>
          <w:rFonts w:ascii="Palatino" w:hAnsi="Palatino" w:cstheme="minorHAnsi"/>
        </w:rPr>
        <w:t xml:space="preserve"> </w:t>
      </w:r>
      <w:r w:rsidR="00FA7DBE">
        <w:rPr>
          <w:rFonts w:ascii="Palatino" w:hAnsi="Palatino" w:cstheme="minorHAnsi"/>
        </w:rPr>
        <w:t>We can, after all,</w:t>
      </w:r>
      <w:r w:rsidR="00891835">
        <w:rPr>
          <w:rFonts w:ascii="Palatino" w:hAnsi="Palatino" w:cstheme="minorHAnsi"/>
        </w:rPr>
        <w:t xml:space="preserve"> appeal to the </w:t>
      </w:r>
      <w:r w:rsidR="00EC0A6B" w:rsidRPr="00EC0A6B">
        <w:rPr>
          <w:rFonts w:ascii="Palatino" w:hAnsi="Palatino" w:cstheme="minorHAnsi"/>
        </w:rPr>
        <w:t>fact</w:t>
      </w:r>
      <w:r w:rsidR="00EC0A6B">
        <w:rPr>
          <w:rFonts w:ascii="Palatino" w:hAnsi="Palatino" w:cstheme="minorHAnsi"/>
          <w:i/>
        </w:rPr>
        <w:t xml:space="preserve"> </w:t>
      </w:r>
      <w:r w:rsidR="00EC0A6B">
        <w:rPr>
          <w:rFonts w:ascii="Palatino" w:hAnsi="Palatino" w:cstheme="minorHAnsi"/>
        </w:rPr>
        <w:t>that</w:t>
      </w:r>
      <w:r w:rsidR="00891835">
        <w:rPr>
          <w:rFonts w:ascii="Palatino" w:hAnsi="Palatino" w:cstheme="minorHAnsi"/>
        </w:rPr>
        <w:t xml:space="preserve"> </w:t>
      </w:r>
      <w:r w:rsidR="00EC0A6B">
        <w:rPr>
          <w:rFonts w:ascii="Palatino" w:hAnsi="Palatino" w:cstheme="minorHAnsi"/>
        </w:rPr>
        <w:t xml:space="preserve">the law appeared in the </w:t>
      </w:r>
      <w:r w:rsidR="00EC0A6B" w:rsidRPr="00EC0A6B">
        <w:rPr>
          <w:rFonts w:ascii="Palatino" w:hAnsi="Palatino" w:cstheme="minorHAnsi"/>
          <w:i/>
        </w:rPr>
        <w:t>e-Laws</w:t>
      </w:r>
      <w:r w:rsidR="00EC0A6B">
        <w:rPr>
          <w:rFonts w:ascii="Palatino" w:hAnsi="Palatino" w:cstheme="minorHAnsi"/>
        </w:rPr>
        <w:t xml:space="preserve"> database</w:t>
      </w:r>
      <w:r w:rsidR="00861E69">
        <w:rPr>
          <w:rFonts w:ascii="Palatino" w:hAnsi="Palatino" w:cstheme="minorHAnsi"/>
        </w:rPr>
        <w:t>.</w:t>
      </w:r>
      <w:r w:rsidR="00FA7DBE">
        <w:rPr>
          <w:rFonts w:ascii="Palatino" w:hAnsi="Palatino" w:cstheme="minorHAnsi"/>
        </w:rPr>
        <w:t xml:space="preserve"> </w:t>
      </w:r>
      <w:r w:rsidR="00861E69">
        <w:rPr>
          <w:rFonts w:ascii="Palatino" w:hAnsi="Palatino" w:cstheme="minorHAnsi"/>
        </w:rPr>
        <w:t xml:space="preserve">If you contort your concept of the integrity of law, then we might be able to say that this bare step is enough to </w:t>
      </w:r>
      <w:r w:rsidR="00C379F5">
        <w:rPr>
          <w:rFonts w:ascii="Palatino" w:hAnsi="Palatino" w:cstheme="minorHAnsi"/>
        </w:rPr>
        <w:t>treat</w:t>
      </w:r>
      <w:r w:rsidR="00861E69">
        <w:rPr>
          <w:rFonts w:ascii="Palatino" w:hAnsi="Palatino" w:cstheme="minorHAnsi"/>
        </w:rPr>
        <w:t xml:space="preserve"> </w:t>
      </w:r>
      <w:r w:rsidR="00C379F5">
        <w:rPr>
          <w:rFonts w:ascii="Palatino" w:hAnsi="Palatino" w:cstheme="minorHAnsi"/>
        </w:rPr>
        <w:t>the law</w:t>
      </w:r>
      <w:r w:rsidR="00861E69">
        <w:rPr>
          <w:rFonts w:ascii="Palatino" w:hAnsi="Palatino" w:cstheme="minorHAnsi"/>
        </w:rPr>
        <w:t xml:space="preserve"> as </w:t>
      </w:r>
      <w:r w:rsidR="00C379F5">
        <w:rPr>
          <w:rFonts w:ascii="Palatino" w:hAnsi="Palatino" w:cstheme="minorHAnsi"/>
        </w:rPr>
        <w:t>accessible</w:t>
      </w:r>
      <w:r w:rsidR="00861E69">
        <w:rPr>
          <w:rFonts w:ascii="Palatino" w:hAnsi="Palatino" w:cstheme="minorHAnsi"/>
        </w:rPr>
        <w:t xml:space="preserve">. </w:t>
      </w:r>
      <w:r w:rsidR="00EC0A6B">
        <w:rPr>
          <w:rFonts w:ascii="Palatino" w:hAnsi="Palatino" w:cstheme="minorHAnsi"/>
        </w:rPr>
        <w:t>And it cannot be denied that there were at least a few experts close-by: e.g., t</w:t>
      </w:r>
      <w:r w:rsidR="00FA7DBE">
        <w:rPr>
          <w:rFonts w:ascii="Palatino" w:hAnsi="Palatino" w:cstheme="minorHAnsi"/>
        </w:rPr>
        <w:t xml:space="preserve">he Chief of Police likely knew the contents of the </w:t>
      </w:r>
      <w:r w:rsidR="00FA7DBE" w:rsidRPr="00C379F5">
        <w:rPr>
          <w:rFonts w:ascii="Palatino" w:hAnsi="Palatino" w:cstheme="minorHAnsi"/>
          <w:i/>
        </w:rPr>
        <w:t>Regulation</w:t>
      </w:r>
      <w:r w:rsidR="00EC0A6B">
        <w:rPr>
          <w:rFonts w:ascii="Palatino" w:hAnsi="Palatino" w:cstheme="minorHAnsi"/>
        </w:rPr>
        <w:t xml:space="preserve">, regardless of what </w:t>
      </w:r>
      <w:r w:rsidR="00C379F5">
        <w:rPr>
          <w:rFonts w:ascii="Palatino" w:hAnsi="Palatino" w:cstheme="minorHAnsi"/>
        </w:rPr>
        <w:t xml:space="preserve">details </w:t>
      </w:r>
      <w:r w:rsidR="00EC0A6B">
        <w:rPr>
          <w:rFonts w:ascii="Palatino" w:hAnsi="Palatino" w:cstheme="minorHAnsi"/>
        </w:rPr>
        <w:t>he</w:t>
      </w:r>
      <w:r w:rsidR="00C379F5">
        <w:rPr>
          <w:rFonts w:ascii="Palatino" w:hAnsi="Palatino" w:cstheme="minorHAnsi"/>
        </w:rPr>
        <w:t xml:space="preserve"> actually</w:t>
      </w:r>
      <w:r w:rsidR="00EC0A6B">
        <w:rPr>
          <w:rFonts w:ascii="Palatino" w:hAnsi="Palatino" w:cstheme="minorHAnsi"/>
        </w:rPr>
        <w:t xml:space="preserve"> </w:t>
      </w:r>
      <w:r w:rsidR="00C379F5">
        <w:rPr>
          <w:rFonts w:ascii="Palatino" w:hAnsi="Palatino" w:cstheme="minorHAnsi"/>
        </w:rPr>
        <w:t>conveyed</w:t>
      </w:r>
      <w:r w:rsidR="00FA7DBE">
        <w:rPr>
          <w:rFonts w:ascii="Palatino" w:hAnsi="Palatino" w:cstheme="minorHAnsi"/>
        </w:rPr>
        <w:t>.</w:t>
      </w:r>
    </w:p>
    <w:p w14:paraId="7CEF5AEA" w14:textId="61FC5957" w:rsidR="00891835" w:rsidRDefault="006E5656" w:rsidP="008720B6">
      <w:pPr>
        <w:widowControl w:val="0"/>
        <w:ind w:right="-56" w:firstLine="426"/>
        <w:jc w:val="both"/>
        <w:rPr>
          <w:rFonts w:ascii="Palatino" w:hAnsi="Palatino" w:cstheme="minorHAnsi"/>
        </w:rPr>
      </w:pPr>
      <w:r>
        <w:rPr>
          <w:rFonts w:ascii="Palatino" w:hAnsi="Palatino" w:cstheme="minorHAnsi"/>
        </w:rPr>
        <w:t>Still,</w:t>
      </w:r>
      <w:r w:rsidR="00D90C0F">
        <w:rPr>
          <w:rFonts w:ascii="Palatino" w:hAnsi="Palatino" w:cstheme="minorHAnsi"/>
        </w:rPr>
        <w:t xml:space="preserve"> on-balance, this seems like thin soup. At best, it seems</w:t>
      </w:r>
      <w:r w:rsidR="00C379F5">
        <w:rPr>
          <w:rFonts w:ascii="Palatino" w:hAnsi="Palatino" w:cstheme="minorHAnsi"/>
        </w:rPr>
        <w:t xml:space="preserve"> </w:t>
      </w:r>
      <w:r w:rsidR="002263C3">
        <w:rPr>
          <w:rFonts w:ascii="Palatino" w:hAnsi="Palatino" w:cstheme="minorHAnsi"/>
        </w:rPr>
        <w:t xml:space="preserve">minimally plausible </w:t>
      </w:r>
      <w:r w:rsidR="00D90C0F">
        <w:rPr>
          <w:rFonts w:ascii="Palatino" w:hAnsi="Palatino" w:cstheme="minorHAnsi"/>
        </w:rPr>
        <w:t>to say</w:t>
      </w:r>
      <w:r w:rsidR="00C379F5">
        <w:rPr>
          <w:rFonts w:ascii="Palatino" w:hAnsi="Palatino" w:cstheme="minorHAnsi"/>
        </w:rPr>
        <w:t xml:space="preserve"> </w:t>
      </w:r>
      <w:r w:rsidR="00891835">
        <w:rPr>
          <w:rFonts w:ascii="Palatino" w:hAnsi="Palatino" w:cstheme="minorHAnsi"/>
        </w:rPr>
        <w:t xml:space="preserve">that the rule was officially or technically </w:t>
      </w:r>
      <w:r w:rsidR="00C379F5">
        <w:rPr>
          <w:rFonts w:ascii="Palatino" w:hAnsi="Palatino" w:cstheme="minorHAnsi"/>
        </w:rPr>
        <w:t>discernable</w:t>
      </w:r>
      <w:r w:rsidR="00BE13B3">
        <w:rPr>
          <w:rFonts w:ascii="Palatino" w:hAnsi="Palatino" w:cstheme="minorHAnsi"/>
        </w:rPr>
        <w:t xml:space="preserve"> to experts of a certain kind </w:t>
      </w:r>
      <w:r w:rsidR="00D90C0F">
        <w:rPr>
          <w:rFonts w:ascii="Palatino" w:hAnsi="Palatino" w:cstheme="minorHAnsi"/>
        </w:rPr>
        <w:t>(</w:t>
      </w:r>
      <w:r w:rsidR="00BE13B3">
        <w:rPr>
          <w:rFonts w:ascii="Palatino" w:hAnsi="Palatino" w:cstheme="minorHAnsi"/>
        </w:rPr>
        <w:t>and insufficient size</w:t>
      </w:r>
      <w:r w:rsidR="00D90C0F">
        <w:rPr>
          <w:rFonts w:ascii="Palatino" w:hAnsi="Palatino" w:cstheme="minorHAnsi"/>
        </w:rPr>
        <w:t>)</w:t>
      </w:r>
      <w:r w:rsidR="00EC0A6B">
        <w:rPr>
          <w:rFonts w:ascii="Palatino" w:hAnsi="Palatino" w:cstheme="minorHAnsi"/>
        </w:rPr>
        <w:t>.</w:t>
      </w:r>
      <w:r>
        <w:rPr>
          <w:rFonts w:ascii="Palatino" w:hAnsi="Palatino" w:cstheme="minorHAnsi"/>
        </w:rPr>
        <w:t xml:space="preserve"> </w:t>
      </w:r>
      <w:r w:rsidR="002263C3">
        <w:rPr>
          <w:rFonts w:ascii="Palatino" w:hAnsi="Palatino" w:cstheme="minorHAnsi"/>
        </w:rPr>
        <w:t>Yet</w:t>
      </w:r>
      <w:r>
        <w:rPr>
          <w:rFonts w:ascii="Palatino" w:hAnsi="Palatino" w:cstheme="minorHAnsi"/>
        </w:rPr>
        <w:t xml:space="preserve"> </w:t>
      </w:r>
      <w:r w:rsidR="002263C3">
        <w:rPr>
          <w:rFonts w:ascii="Palatino" w:hAnsi="Palatino" w:cstheme="minorHAnsi"/>
        </w:rPr>
        <w:t>the question of discernment</w:t>
      </w:r>
      <w:r>
        <w:rPr>
          <w:rFonts w:ascii="Palatino" w:hAnsi="Palatino" w:cstheme="minorHAnsi"/>
        </w:rPr>
        <w:t xml:space="preserve"> is not strictly appropriate to a </w:t>
      </w:r>
      <w:r>
        <w:rPr>
          <w:rFonts w:ascii="Palatino" w:hAnsi="Palatino" w:cstheme="minorHAnsi"/>
        </w:rPr>
        <w:lastRenderedPageBreak/>
        <w:t xml:space="preserve">discussion of </w:t>
      </w:r>
      <w:r w:rsidR="002263C3">
        <w:rPr>
          <w:rFonts w:ascii="Palatino" w:hAnsi="Palatino" w:cstheme="minorHAnsi"/>
        </w:rPr>
        <w:t>accessibility of law</w:t>
      </w:r>
      <w:r w:rsidR="00D90C0F">
        <w:rPr>
          <w:rFonts w:ascii="Palatino" w:hAnsi="Palatino" w:cstheme="minorHAnsi"/>
        </w:rPr>
        <w:t xml:space="preserve">. </w:t>
      </w:r>
      <w:r w:rsidR="002263C3">
        <w:rPr>
          <w:rFonts w:ascii="Palatino" w:hAnsi="Palatino" w:cstheme="minorHAnsi"/>
        </w:rPr>
        <w:t>And, worse</w:t>
      </w:r>
      <w:r w:rsidR="00D90C0F">
        <w:rPr>
          <w:rFonts w:ascii="Palatino" w:hAnsi="Palatino" w:cstheme="minorHAnsi"/>
        </w:rPr>
        <w:t>,</w:t>
      </w:r>
      <w:r w:rsidR="00891835">
        <w:rPr>
          <w:rFonts w:ascii="Palatino" w:hAnsi="Palatino" w:cstheme="minorHAnsi"/>
        </w:rPr>
        <w:t xml:space="preserve"> it is doubtful that pedantic qualifications of this sort will demonstrate respect for even the sensitive and discerning expert </w:t>
      </w:r>
      <w:r w:rsidR="00C379F5">
        <w:rPr>
          <w:rFonts w:ascii="Palatino" w:hAnsi="Palatino" w:cstheme="minorHAnsi"/>
        </w:rPr>
        <w:t>that</w:t>
      </w:r>
      <w:r w:rsidR="00891835">
        <w:rPr>
          <w:rFonts w:ascii="Palatino" w:hAnsi="Palatino" w:cstheme="minorHAnsi"/>
        </w:rPr>
        <w:t xml:space="preserve"> was operating </w:t>
      </w:r>
      <w:r w:rsidR="00C379F5">
        <w:rPr>
          <w:rFonts w:ascii="Palatino" w:hAnsi="Palatino" w:cstheme="minorHAnsi"/>
        </w:rPr>
        <w:t xml:space="preserve">during the lifetime of the </w:t>
      </w:r>
      <w:r w:rsidR="00C379F5" w:rsidRPr="00C379F5">
        <w:rPr>
          <w:rFonts w:ascii="Palatino" w:hAnsi="Palatino" w:cstheme="minorHAnsi"/>
          <w:i/>
        </w:rPr>
        <w:t>Regulation</w:t>
      </w:r>
      <w:r w:rsidR="00D90C0F">
        <w:rPr>
          <w:rFonts w:ascii="Palatino" w:hAnsi="Palatino" w:cstheme="minorHAnsi"/>
          <w:i/>
        </w:rPr>
        <w:t>.</w:t>
      </w:r>
    </w:p>
    <w:p w14:paraId="3B15074A" w14:textId="2C23ECE0" w:rsidR="00EC0A6B" w:rsidRPr="00BE13B3" w:rsidRDefault="00EC0A6B" w:rsidP="008720B6">
      <w:pPr>
        <w:widowControl w:val="0"/>
        <w:ind w:right="-56" w:firstLine="426"/>
        <w:jc w:val="both"/>
        <w:rPr>
          <w:rFonts w:ascii="Palatino" w:hAnsi="Palatino" w:cstheme="minorHAnsi"/>
        </w:rPr>
      </w:pPr>
      <w:r>
        <w:rPr>
          <w:rFonts w:ascii="Palatino" w:hAnsi="Palatino" w:cstheme="minorHAnsi"/>
        </w:rPr>
        <w:t xml:space="preserve">If one doubts the particulars of the conveyance theory, or think that I have given the government a hard time in this particular case, one ought to ask the one question that overrides them all, and which the conveyance theorist tries to establish as best they can. </w:t>
      </w:r>
      <w:r w:rsidRPr="00EC0A6B">
        <w:rPr>
          <w:rFonts w:ascii="Palatino" w:hAnsi="Palatino" w:cstheme="minorHAnsi"/>
          <w:i/>
        </w:rPr>
        <w:t>Were stakeholders in a tolerable state of epistemic risk</w:t>
      </w:r>
      <w:r>
        <w:rPr>
          <w:rFonts w:ascii="Palatino" w:hAnsi="Palatino" w:cstheme="minorHAnsi"/>
          <w:i/>
        </w:rPr>
        <w:t>, when making judgments about what the law required of them</w:t>
      </w:r>
      <w:r w:rsidRPr="004A7041">
        <w:rPr>
          <w:rFonts w:ascii="Palatino" w:hAnsi="Palatino" w:cstheme="minorHAnsi"/>
        </w:rPr>
        <w:t xml:space="preserve">? </w:t>
      </w:r>
      <w:r w:rsidR="004A7041" w:rsidRPr="004A7041">
        <w:rPr>
          <w:rFonts w:ascii="Palatino" w:hAnsi="Palatino" w:cstheme="minorHAnsi"/>
        </w:rPr>
        <w:t xml:space="preserve">Do we believe, in other words, that the </w:t>
      </w:r>
      <w:r w:rsidR="004A7041" w:rsidRPr="00C379F5">
        <w:rPr>
          <w:rFonts w:ascii="Palatino" w:hAnsi="Palatino" w:cstheme="minorHAnsi"/>
          <w:i/>
        </w:rPr>
        <w:t>Regulation</w:t>
      </w:r>
      <w:r w:rsidR="004A7041" w:rsidRPr="004A7041">
        <w:rPr>
          <w:rFonts w:ascii="Palatino" w:hAnsi="Palatino" w:cstheme="minorHAnsi"/>
        </w:rPr>
        <w:t xml:space="preserve"> was</w:t>
      </w:r>
      <w:r w:rsidR="004A7041">
        <w:rPr>
          <w:rFonts w:ascii="Palatino" w:hAnsi="Palatino" w:cstheme="minorHAnsi"/>
          <w:i/>
        </w:rPr>
        <w:t xml:space="preserve"> </w:t>
      </w:r>
      <w:proofErr w:type="spellStart"/>
      <w:r w:rsidR="004A7041">
        <w:rPr>
          <w:rFonts w:ascii="Palatino" w:hAnsi="Palatino" w:cstheme="minorHAnsi"/>
          <w:i/>
        </w:rPr>
        <w:t>blunderproofed</w:t>
      </w:r>
      <w:proofErr w:type="spellEnd"/>
      <w:r w:rsidR="004A7041">
        <w:rPr>
          <w:rFonts w:ascii="Palatino" w:hAnsi="Palatino" w:cstheme="minorHAnsi"/>
          <w:i/>
        </w:rPr>
        <w:t xml:space="preserve">? </w:t>
      </w:r>
      <w:r w:rsidR="006002BE">
        <w:rPr>
          <w:rFonts w:ascii="Palatino" w:hAnsi="Palatino" w:cstheme="minorHAnsi"/>
        </w:rPr>
        <w:t xml:space="preserve">If an officer of law asserts a legal absurdity like, “This </w:t>
      </w:r>
      <w:proofErr w:type="spellStart"/>
      <w:r w:rsidR="006002BE">
        <w:rPr>
          <w:rFonts w:ascii="Palatino" w:hAnsi="Palatino" w:cstheme="minorHAnsi"/>
        </w:rPr>
        <w:t>ain’t</w:t>
      </w:r>
      <w:proofErr w:type="spellEnd"/>
      <w:r w:rsidR="006002BE">
        <w:rPr>
          <w:rFonts w:ascii="Palatino" w:hAnsi="Palatino" w:cstheme="minorHAnsi"/>
        </w:rPr>
        <w:t xml:space="preserve"> Canada anymore,” </w:t>
      </w:r>
      <w:r w:rsidR="007414BE">
        <w:rPr>
          <w:rFonts w:ascii="Palatino" w:hAnsi="Palatino" w:cstheme="minorHAnsi"/>
        </w:rPr>
        <w:t>you need not</w:t>
      </w:r>
      <w:r w:rsidR="006002BE">
        <w:rPr>
          <w:rFonts w:ascii="Palatino" w:hAnsi="Palatino" w:cstheme="minorHAnsi"/>
        </w:rPr>
        <w:t xml:space="preserve"> </w:t>
      </w:r>
      <w:r w:rsidR="007414BE">
        <w:rPr>
          <w:rFonts w:ascii="Palatino" w:hAnsi="Palatino" w:cstheme="minorHAnsi"/>
        </w:rPr>
        <w:t>wonder long</w:t>
      </w:r>
      <w:r w:rsidR="006002BE">
        <w:rPr>
          <w:rFonts w:ascii="Palatino" w:hAnsi="Palatino" w:cstheme="minorHAnsi"/>
        </w:rPr>
        <w:t>.</w:t>
      </w:r>
    </w:p>
    <w:p w14:paraId="0320498B" w14:textId="77777777" w:rsidR="00363FF9" w:rsidRDefault="00363FF9" w:rsidP="008720B6">
      <w:pPr>
        <w:widowControl w:val="0"/>
        <w:ind w:right="-56" w:firstLine="426"/>
        <w:jc w:val="both"/>
        <w:rPr>
          <w:rFonts w:ascii="Palatino" w:hAnsi="Palatino" w:cstheme="minorHAnsi"/>
        </w:rPr>
      </w:pPr>
    </w:p>
    <w:p w14:paraId="447781F8" w14:textId="7BABCF83" w:rsidR="00891835" w:rsidRDefault="00891835" w:rsidP="008720B6">
      <w:pPr>
        <w:widowControl w:val="0"/>
        <w:ind w:right="-56"/>
        <w:jc w:val="both"/>
        <w:rPr>
          <w:rFonts w:ascii="Palatino" w:hAnsi="Palatino" w:cstheme="minorHAnsi"/>
        </w:rPr>
      </w:pPr>
      <w:r>
        <w:rPr>
          <w:rFonts w:ascii="Palatino" w:hAnsi="Palatino" w:cstheme="minorHAnsi"/>
        </w:rPr>
        <w:t>(</w:t>
      </w:r>
      <w:r w:rsidR="00C82F79">
        <w:rPr>
          <w:rFonts w:ascii="Palatino" w:hAnsi="Palatino" w:cstheme="minorHAnsi"/>
        </w:rPr>
        <w:t>III</w:t>
      </w:r>
      <w:r>
        <w:rPr>
          <w:rFonts w:ascii="Palatino" w:hAnsi="Palatino" w:cstheme="minorHAnsi"/>
        </w:rPr>
        <w:t>)</w:t>
      </w:r>
    </w:p>
    <w:p w14:paraId="6B38A771" w14:textId="777C972E" w:rsidR="00BE13B3" w:rsidRDefault="00BE13B3" w:rsidP="008720B6">
      <w:pPr>
        <w:widowControl w:val="0"/>
        <w:ind w:right="-56"/>
        <w:jc w:val="both"/>
        <w:rPr>
          <w:rFonts w:ascii="Palatino" w:hAnsi="Palatino" w:cstheme="minorHAnsi"/>
        </w:rPr>
      </w:pPr>
      <w:r>
        <w:rPr>
          <w:rFonts w:ascii="Palatino" w:hAnsi="Palatino" w:cstheme="minorHAnsi"/>
        </w:rPr>
        <w:t>Switching over to the agonistic</w:t>
      </w:r>
      <w:r w:rsidR="00891835">
        <w:rPr>
          <w:rFonts w:ascii="Palatino" w:hAnsi="Palatino" w:cstheme="minorHAnsi"/>
        </w:rPr>
        <w:t xml:space="preserve"> theory</w:t>
      </w:r>
      <w:r>
        <w:rPr>
          <w:rFonts w:ascii="Palatino" w:hAnsi="Palatino" w:cstheme="minorHAnsi"/>
        </w:rPr>
        <w:t xml:space="preserve"> and</w:t>
      </w:r>
      <w:r w:rsidR="00891835">
        <w:rPr>
          <w:rFonts w:ascii="Palatino" w:hAnsi="Palatino" w:cstheme="minorHAnsi"/>
        </w:rPr>
        <w:t xml:space="preserve"> chain model, we are obliged to ask: who ended up with the most power in this particular kind of information game?</w:t>
      </w:r>
    </w:p>
    <w:p w14:paraId="057FC2FD" w14:textId="57C993D1" w:rsidR="00891835" w:rsidRDefault="00FA7DBE" w:rsidP="008720B6">
      <w:pPr>
        <w:widowControl w:val="0"/>
        <w:ind w:right="-56" w:firstLine="426"/>
        <w:jc w:val="both"/>
        <w:rPr>
          <w:rFonts w:ascii="Palatino" w:hAnsi="Palatino" w:cstheme="minorHAnsi"/>
        </w:rPr>
      </w:pPr>
      <w:r>
        <w:rPr>
          <w:rFonts w:ascii="Palatino" w:hAnsi="Palatino" w:cstheme="minorHAnsi"/>
        </w:rPr>
        <w:t>To review:</w:t>
      </w:r>
    </w:p>
    <w:p w14:paraId="62BA7299" w14:textId="20E8D71B" w:rsidR="00891835" w:rsidRDefault="00891835" w:rsidP="008720B6">
      <w:pPr>
        <w:pStyle w:val="ListParagraph"/>
        <w:widowControl w:val="0"/>
        <w:numPr>
          <w:ilvl w:val="0"/>
          <w:numId w:val="22"/>
        </w:numPr>
        <w:ind w:left="0" w:right="-56" w:firstLine="426"/>
        <w:jc w:val="both"/>
        <w:rPr>
          <w:rFonts w:ascii="Palatino" w:hAnsi="Palatino" w:cstheme="minorHAnsi"/>
        </w:rPr>
      </w:pPr>
      <w:r w:rsidRPr="00C91D30">
        <w:rPr>
          <w:rFonts w:ascii="Palatino" w:hAnsi="Palatino" w:cstheme="minorHAnsi"/>
        </w:rPr>
        <w:t xml:space="preserve">The chief of police’s strategy was to </w:t>
      </w:r>
      <w:r w:rsidR="00BE13B3">
        <w:rPr>
          <w:rFonts w:ascii="Palatino" w:hAnsi="Palatino" w:cstheme="minorHAnsi"/>
        </w:rPr>
        <w:t>misrepresent</w:t>
      </w:r>
      <w:r w:rsidRPr="00C91D30">
        <w:rPr>
          <w:rFonts w:ascii="Palatino" w:hAnsi="Palatino" w:cstheme="minorHAnsi"/>
        </w:rPr>
        <w:t xml:space="preserve"> the </w:t>
      </w:r>
      <w:r>
        <w:rPr>
          <w:rFonts w:ascii="Palatino" w:hAnsi="Palatino" w:cstheme="minorHAnsi"/>
        </w:rPr>
        <w:t xml:space="preserve">scope of the </w:t>
      </w:r>
      <w:r w:rsidRPr="00C91D30">
        <w:rPr>
          <w:rFonts w:ascii="Palatino" w:hAnsi="Palatino" w:cstheme="minorHAnsi"/>
        </w:rPr>
        <w:t xml:space="preserve">law. The </w:t>
      </w:r>
      <w:r w:rsidR="00BE13B3">
        <w:rPr>
          <w:rFonts w:ascii="Palatino" w:hAnsi="Palatino" w:cstheme="minorHAnsi"/>
        </w:rPr>
        <w:t>misrepresentation</w:t>
      </w:r>
      <w:r w:rsidRPr="00C91D30">
        <w:rPr>
          <w:rFonts w:ascii="Palatino" w:hAnsi="Palatino" w:cstheme="minorHAnsi"/>
        </w:rPr>
        <w:t xml:space="preserve"> was successful in controlling bodies and behaviors in the context he cared about at the time, </w:t>
      </w:r>
      <w:r>
        <w:rPr>
          <w:rFonts w:ascii="Palatino" w:hAnsi="Palatino" w:cstheme="minorHAnsi"/>
        </w:rPr>
        <w:t>and exposed as untruth by his own admission</w:t>
      </w:r>
      <w:r w:rsidRPr="00C91D30">
        <w:rPr>
          <w:rFonts w:ascii="Palatino" w:hAnsi="Palatino" w:cstheme="minorHAnsi"/>
        </w:rPr>
        <w:t>. Despite receiving widespread media criticism, he served out his term until retirement</w:t>
      </w:r>
      <w:r w:rsidR="00BE13B3">
        <w:rPr>
          <w:rFonts w:ascii="Palatino" w:hAnsi="Palatino" w:cstheme="minorHAnsi"/>
        </w:rPr>
        <w:t xml:space="preserve"> in 2015. He is currently a decorated Member of Parliament as part of the official opposition, where he serves in the government’s </w:t>
      </w:r>
      <w:r w:rsidR="00BE13B3" w:rsidRPr="00BE13B3">
        <w:rPr>
          <w:rFonts w:ascii="Palatino" w:hAnsi="Palatino" w:cstheme="minorHAnsi"/>
          <w:i/>
        </w:rPr>
        <w:t>Cabinet</w:t>
      </w:r>
      <w:r w:rsidR="00BE13B3">
        <w:rPr>
          <w:rFonts w:ascii="Palatino" w:hAnsi="Palatino" w:cstheme="minorHAnsi"/>
          <w:i/>
        </w:rPr>
        <w:t xml:space="preserve"> </w:t>
      </w:r>
      <w:r w:rsidR="00BE13B3">
        <w:rPr>
          <w:rFonts w:ascii="Palatino" w:hAnsi="Palatino" w:cstheme="minorHAnsi"/>
        </w:rPr>
        <w:t xml:space="preserve">as the </w:t>
      </w:r>
      <w:r w:rsidR="00BE13B3" w:rsidRPr="00BE13B3">
        <w:rPr>
          <w:rFonts w:ascii="Palatino" w:hAnsi="Palatino" w:cstheme="minorHAnsi"/>
          <w:i/>
        </w:rPr>
        <w:t>Minister of Public Safety and Emergency Preparedness</w:t>
      </w:r>
      <w:r w:rsidR="00BE13B3">
        <w:rPr>
          <w:rFonts w:ascii="Palatino" w:hAnsi="Palatino" w:cstheme="minorHAnsi"/>
        </w:rPr>
        <w:t>.</w:t>
      </w:r>
      <w:r w:rsidR="00BE13B3">
        <w:rPr>
          <w:rStyle w:val="FootnoteReference"/>
          <w:rFonts w:ascii="Palatino" w:hAnsi="Palatino" w:cstheme="minorHAnsi"/>
        </w:rPr>
        <w:footnoteReference w:id="64"/>
      </w:r>
    </w:p>
    <w:p w14:paraId="25CB4B0C" w14:textId="58F04E81" w:rsidR="00891835" w:rsidRDefault="00891835" w:rsidP="008720B6">
      <w:pPr>
        <w:pStyle w:val="ListParagraph"/>
        <w:widowControl w:val="0"/>
        <w:numPr>
          <w:ilvl w:val="0"/>
          <w:numId w:val="22"/>
        </w:numPr>
        <w:ind w:left="0" w:right="-56" w:firstLine="426"/>
        <w:jc w:val="both"/>
        <w:rPr>
          <w:rFonts w:ascii="Palatino" w:hAnsi="Palatino" w:cstheme="minorHAnsi"/>
        </w:rPr>
      </w:pPr>
      <w:r>
        <w:rPr>
          <w:rFonts w:ascii="Palatino" w:hAnsi="Palatino" w:cstheme="minorHAnsi"/>
        </w:rPr>
        <w:t>Street-level police subsequently gave a mixture of correct and incorrect legal advice. They enforced a rule that most observers agree was not law (the ‘five-meters rule’)</w:t>
      </w:r>
      <w:r w:rsidR="00BE13B3">
        <w:rPr>
          <w:rFonts w:ascii="Palatino" w:hAnsi="Palatino" w:cstheme="minorHAnsi"/>
        </w:rPr>
        <w:t>. Their strategy was one of deference to the Chief of Police.</w:t>
      </w:r>
    </w:p>
    <w:p w14:paraId="030AE1AE" w14:textId="360CCAA2" w:rsidR="00891835" w:rsidRDefault="00891835" w:rsidP="008720B6">
      <w:pPr>
        <w:pStyle w:val="ListParagraph"/>
        <w:widowControl w:val="0"/>
        <w:numPr>
          <w:ilvl w:val="0"/>
          <w:numId w:val="22"/>
        </w:numPr>
        <w:ind w:left="0" w:right="-56" w:firstLine="426"/>
        <w:jc w:val="both"/>
        <w:rPr>
          <w:rFonts w:ascii="Palatino" w:hAnsi="Palatino" w:cstheme="minorHAnsi"/>
        </w:rPr>
      </w:pPr>
      <w:r>
        <w:rPr>
          <w:rFonts w:ascii="Palatino" w:hAnsi="Palatino" w:cstheme="minorHAnsi"/>
        </w:rPr>
        <w:t xml:space="preserve">Various public servants condemned the </w:t>
      </w:r>
      <w:r w:rsidRPr="00C41DD6">
        <w:rPr>
          <w:rFonts w:ascii="Palatino" w:hAnsi="Palatino" w:cstheme="minorHAnsi"/>
          <w:i/>
        </w:rPr>
        <w:t>Regulation</w:t>
      </w:r>
      <w:r>
        <w:rPr>
          <w:rFonts w:ascii="Palatino" w:hAnsi="Palatino" w:cstheme="minorHAnsi"/>
        </w:rPr>
        <w:t xml:space="preserve">, leading to the repeal of the </w:t>
      </w:r>
      <w:r w:rsidRPr="00BE13B3">
        <w:rPr>
          <w:rFonts w:ascii="Palatino" w:hAnsi="Palatino" w:cstheme="minorHAnsi"/>
          <w:i/>
        </w:rPr>
        <w:t>Act</w:t>
      </w:r>
      <w:r>
        <w:rPr>
          <w:rFonts w:ascii="Palatino" w:hAnsi="Palatino" w:cstheme="minorHAnsi"/>
        </w:rPr>
        <w:t>. Former Chief Justice Roy McMurtry condemned both the regulation and the Act.</w:t>
      </w:r>
      <w:r>
        <w:rPr>
          <w:rStyle w:val="FootnoteReference"/>
          <w:rFonts w:ascii="Palatino" w:hAnsi="Palatino" w:cstheme="minorHAnsi"/>
        </w:rPr>
        <w:footnoteReference w:id="65"/>
      </w:r>
      <w:r>
        <w:rPr>
          <w:rFonts w:ascii="Palatino" w:hAnsi="Palatino" w:cstheme="minorHAnsi"/>
        </w:rPr>
        <w:t xml:space="preserve"> </w:t>
      </w:r>
      <w:r w:rsidRPr="00C91D30">
        <w:rPr>
          <w:rFonts w:ascii="Palatino" w:hAnsi="Palatino" w:cstheme="minorHAnsi"/>
        </w:rPr>
        <w:t>The Ombudsperson of Ontario, Andr</w:t>
      </w:r>
      <w:r>
        <w:rPr>
          <w:rFonts w:ascii="Palatino" w:hAnsi="Palatino" w:cstheme="minorHAnsi"/>
        </w:rPr>
        <w:t>é</w:t>
      </w:r>
      <w:r w:rsidRPr="00C91D30">
        <w:rPr>
          <w:rFonts w:ascii="Palatino" w:hAnsi="Palatino" w:cstheme="minorHAnsi"/>
        </w:rPr>
        <w:t xml:space="preserve"> Marin, condemned the </w:t>
      </w:r>
      <w:r>
        <w:rPr>
          <w:rFonts w:ascii="Palatino" w:hAnsi="Palatino" w:cstheme="minorHAnsi"/>
        </w:rPr>
        <w:t xml:space="preserve">Act, the </w:t>
      </w:r>
      <w:r w:rsidRPr="00C41DD6">
        <w:rPr>
          <w:rFonts w:ascii="Palatino" w:hAnsi="Palatino" w:cstheme="minorHAnsi"/>
          <w:i/>
        </w:rPr>
        <w:t>Regulation</w:t>
      </w:r>
      <w:r>
        <w:rPr>
          <w:rFonts w:ascii="Palatino" w:hAnsi="Palatino" w:cstheme="minorHAnsi"/>
        </w:rPr>
        <w:t>, and its implementation</w:t>
      </w:r>
      <w:r w:rsidRPr="00C91D30">
        <w:rPr>
          <w:rFonts w:ascii="Palatino" w:hAnsi="Palatino" w:cstheme="minorHAnsi"/>
        </w:rPr>
        <w:t>.</w:t>
      </w:r>
      <w:r>
        <w:rPr>
          <w:rStyle w:val="FootnoteReference"/>
          <w:rFonts w:ascii="Palatino" w:hAnsi="Palatino" w:cstheme="minorHAnsi"/>
        </w:rPr>
        <w:footnoteReference w:id="66"/>
      </w:r>
      <w:r w:rsidR="00BE13B3">
        <w:rPr>
          <w:rFonts w:ascii="Palatino" w:hAnsi="Palatino" w:cstheme="minorHAnsi"/>
        </w:rPr>
        <w:t xml:space="preserve">Their strategy, jointly and severally, was defiance. </w:t>
      </w:r>
    </w:p>
    <w:p w14:paraId="53808D47" w14:textId="77777777" w:rsidR="00891835" w:rsidRPr="00C91D30" w:rsidRDefault="00891835" w:rsidP="008720B6">
      <w:pPr>
        <w:pStyle w:val="ListParagraph"/>
        <w:widowControl w:val="0"/>
        <w:numPr>
          <w:ilvl w:val="0"/>
          <w:numId w:val="22"/>
        </w:numPr>
        <w:ind w:left="0" w:right="-56" w:firstLine="426"/>
        <w:jc w:val="both"/>
        <w:rPr>
          <w:rFonts w:ascii="Palatino" w:hAnsi="Palatino" w:cstheme="minorHAnsi"/>
        </w:rPr>
      </w:pPr>
      <w:r>
        <w:rPr>
          <w:rFonts w:ascii="Palatino" w:hAnsi="Palatino" w:cstheme="minorHAnsi"/>
        </w:rPr>
        <w:t xml:space="preserve">It was not uncommon to find that media reporting of the event was negative, with some journalists testifying to police brutality. Journalists involved in covering the incident report being unable to corroborate the legality of the </w:t>
      </w:r>
      <w:r w:rsidRPr="00BE13B3">
        <w:rPr>
          <w:rFonts w:ascii="Palatino" w:hAnsi="Palatino" w:cstheme="minorHAnsi"/>
          <w:i/>
        </w:rPr>
        <w:t>Regulation</w:t>
      </w:r>
      <w:r>
        <w:rPr>
          <w:rFonts w:ascii="Palatino" w:hAnsi="Palatino" w:cstheme="minorHAnsi"/>
        </w:rPr>
        <w:t xml:space="preserve"> during the period.</w:t>
      </w:r>
    </w:p>
    <w:p w14:paraId="05B8B810" w14:textId="2C613724" w:rsidR="00891835" w:rsidRDefault="00891835" w:rsidP="008720B6">
      <w:pPr>
        <w:pStyle w:val="ListParagraph"/>
        <w:widowControl w:val="0"/>
        <w:numPr>
          <w:ilvl w:val="0"/>
          <w:numId w:val="22"/>
        </w:numPr>
        <w:ind w:left="0" w:right="-56" w:firstLine="426"/>
        <w:jc w:val="both"/>
        <w:rPr>
          <w:rFonts w:ascii="Palatino" w:hAnsi="Palatino" w:cstheme="minorHAnsi"/>
        </w:rPr>
      </w:pPr>
      <w:r>
        <w:rPr>
          <w:rFonts w:ascii="Palatino" w:hAnsi="Palatino" w:cstheme="minorHAnsi"/>
        </w:rPr>
        <w:t>Most of those who were arrested and detained during the conference were released without charge.</w:t>
      </w:r>
      <w:r w:rsidR="00272D39">
        <w:rPr>
          <w:rFonts w:ascii="Palatino" w:hAnsi="Palatino" w:cstheme="minorHAnsi"/>
        </w:rPr>
        <w:t xml:space="preserve"> The strategy of an aggregate is hard to express, but we can say that it was a mixture of defiance, indifference, and accommodation to the commands of enforcement officials.</w:t>
      </w:r>
    </w:p>
    <w:p w14:paraId="493F7D69" w14:textId="77777777" w:rsidR="009B2C53" w:rsidRDefault="009B2C53" w:rsidP="008720B6">
      <w:pPr>
        <w:widowControl w:val="0"/>
        <w:ind w:right="-56" w:firstLine="426"/>
        <w:jc w:val="both"/>
        <w:rPr>
          <w:rFonts w:ascii="Palatino" w:hAnsi="Palatino" w:cstheme="minorHAnsi"/>
        </w:rPr>
      </w:pPr>
    </w:p>
    <w:p w14:paraId="2AB3D8E5" w14:textId="74933256" w:rsidR="00272D39" w:rsidRDefault="00272D39" w:rsidP="008720B6">
      <w:pPr>
        <w:widowControl w:val="0"/>
        <w:ind w:right="-56" w:firstLine="426"/>
        <w:jc w:val="both"/>
        <w:rPr>
          <w:rFonts w:ascii="Palatino" w:hAnsi="Palatino" w:cstheme="minorHAnsi"/>
        </w:rPr>
      </w:pPr>
      <w:r>
        <w:rPr>
          <w:rFonts w:ascii="Palatino" w:hAnsi="Palatino" w:cstheme="minorHAnsi"/>
        </w:rPr>
        <w:t>In</w:t>
      </w:r>
      <w:r w:rsidR="00891835">
        <w:rPr>
          <w:rFonts w:ascii="Palatino" w:hAnsi="Palatino" w:cstheme="minorHAnsi"/>
        </w:rPr>
        <w:t xml:space="preserve"> the long run the agonistic theory and chain model ought to conclude that the law was not accessible</w:t>
      </w:r>
      <w:r>
        <w:rPr>
          <w:rFonts w:ascii="Palatino" w:hAnsi="Palatino" w:cstheme="minorHAnsi"/>
        </w:rPr>
        <w:t xml:space="preserve"> – but only</w:t>
      </w:r>
      <w:r w:rsidR="00891835">
        <w:rPr>
          <w:rFonts w:ascii="Palatino" w:hAnsi="Palatino" w:cstheme="minorHAnsi"/>
        </w:rPr>
        <w:t xml:space="preserve"> because the story we tell about the legitimation of the law just didn’t pan out. Given Canadian complacency, </w:t>
      </w:r>
      <w:r>
        <w:rPr>
          <w:rFonts w:ascii="Palatino" w:hAnsi="Palatino" w:cstheme="minorHAnsi"/>
        </w:rPr>
        <w:t xml:space="preserve">the government’s </w:t>
      </w:r>
      <w:r w:rsidRPr="00272D39">
        <w:rPr>
          <w:rFonts w:ascii="Palatino" w:hAnsi="Palatino" w:cstheme="minorHAnsi"/>
          <w:i/>
        </w:rPr>
        <w:t>Regulation</w:t>
      </w:r>
      <w:r w:rsidR="00891835">
        <w:rPr>
          <w:rFonts w:ascii="Palatino" w:hAnsi="Palatino" w:cstheme="minorHAnsi"/>
        </w:rPr>
        <w:t xml:space="preserve"> was a ‘nice try’</w:t>
      </w:r>
      <w:r>
        <w:rPr>
          <w:rFonts w:ascii="Palatino" w:hAnsi="Palatino" w:cstheme="minorHAnsi"/>
        </w:rPr>
        <w:t xml:space="preserve"> (so to speak)</w:t>
      </w:r>
      <w:r w:rsidR="00891835">
        <w:rPr>
          <w:rFonts w:ascii="Palatino" w:hAnsi="Palatino" w:cstheme="minorHAnsi"/>
        </w:rPr>
        <w:t xml:space="preserve"> -- but, ultimately, history judges it otherwise. So, perhaps the long-run strategy wasn’t successful, and therefore, historically, we must say the </w:t>
      </w:r>
      <w:r w:rsidR="00891835" w:rsidRPr="001D62E5">
        <w:rPr>
          <w:rFonts w:ascii="Palatino" w:hAnsi="Palatino" w:cstheme="minorHAnsi"/>
          <w:i/>
        </w:rPr>
        <w:t>Regulation</w:t>
      </w:r>
      <w:r w:rsidR="00891835">
        <w:rPr>
          <w:rFonts w:ascii="Palatino" w:hAnsi="Palatino" w:cstheme="minorHAnsi"/>
        </w:rPr>
        <w:t xml:space="preserve"> was not accessible.</w:t>
      </w:r>
    </w:p>
    <w:p w14:paraId="736499F3" w14:textId="1E150B88" w:rsidR="00272D39" w:rsidRDefault="00891835" w:rsidP="008720B6">
      <w:pPr>
        <w:widowControl w:val="0"/>
        <w:ind w:right="-56" w:firstLine="426"/>
        <w:jc w:val="both"/>
        <w:rPr>
          <w:rFonts w:ascii="Palatino" w:hAnsi="Palatino" w:cstheme="minorHAnsi"/>
        </w:rPr>
      </w:pPr>
      <w:r>
        <w:rPr>
          <w:rFonts w:ascii="Palatino" w:hAnsi="Palatino" w:cstheme="minorHAnsi"/>
        </w:rPr>
        <w:t>However, in the short-run, the agonistic theory would have</w:t>
      </w:r>
      <w:r w:rsidR="00272D39">
        <w:rPr>
          <w:rFonts w:ascii="Palatino" w:hAnsi="Palatino" w:cstheme="minorHAnsi"/>
        </w:rPr>
        <w:t xml:space="preserve"> the</w:t>
      </w:r>
      <w:r>
        <w:rPr>
          <w:rFonts w:ascii="Palatino" w:hAnsi="Palatino" w:cstheme="minorHAnsi"/>
        </w:rPr>
        <w:t xml:space="preserve"> freedom to say that </w:t>
      </w:r>
      <w:r>
        <w:rPr>
          <w:rFonts w:ascii="Palatino" w:hAnsi="Palatino" w:cstheme="minorHAnsi"/>
        </w:rPr>
        <w:lastRenderedPageBreak/>
        <w:t xml:space="preserve">the law was accessible. The reason: although the </w:t>
      </w:r>
      <w:r w:rsidRPr="001D62E5">
        <w:rPr>
          <w:rFonts w:ascii="Palatino" w:hAnsi="Palatino" w:cstheme="minorHAnsi"/>
          <w:i/>
        </w:rPr>
        <w:t>Regulation</w:t>
      </w:r>
      <w:r>
        <w:rPr>
          <w:rFonts w:ascii="Palatino" w:hAnsi="Palatino" w:cstheme="minorHAnsi"/>
        </w:rPr>
        <w:t xml:space="preserve"> was not clearly conveyed to the population, and although it was read by the Chief of Police in ways that have no legal effect (e.g., the five-metres rule), the </w:t>
      </w:r>
      <w:r w:rsidRPr="00323BBB">
        <w:rPr>
          <w:rFonts w:ascii="Palatino" w:hAnsi="Palatino" w:cstheme="minorHAnsi"/>
          <w:i/>
        </w:rPr>
        <w:t>Regulation</w:t>
      </w:r>
      <w:r>
        <w:rPr>
          <w:rFonts w:ascii="Palatino" w:hAnsi="Palatino" w:cstheme="minorHAnsi"/>
        </w:rPr>
        <w:t xml:space="preserve"> also provided adequate legal grounds to </w:t>
      </w:r>
      <w:r w:rsidR="00272D39">
        <w:rPr>
          <w:rFonts w:ascii="Palatino" w:hAnsi="Palatino" w:cstheme="minorHAnsi"/>
        </w:rPr>
        <w:t xml:space="preserve">effectively </w:t>
      </w:r>
      <w:r>
        <w:rPr>
          <w:rFonts w:ascii="Palatino" w:hAnsi="Palatino" w:cstheme="minorHAnsi"/>
        </w:rPr>
        <w:t>militarize the</w:t>
      </w:r>
      <w:r w:rsidR="00272D39">
        <w:rPr>
          <w:rFonts w:ascii="Palatino" w:hAnsi="Palatino" w:cstheme="minorHAnsi"/>
        </w:rPr>
        <w:t xml:space="preserve"> interdiction</w:t>
      </w:r>
      <w:r>
        <w:rPr>
          <w:rFonts w:ascii="Palatino" w:hAnsi="Palatino" w:cstheme="minorHAnsi"/>
        </w:rPr>
        <w:t xml:space="preserve"> area for the time-period it covered.</w:t>
      </w:r>
    </w:p>
    <w:p w14:paraId="1A79EB12" w14:textId="6E202B14" w:rsidR="00891835" w:rsidRDefault="00891835" w:rsidP="008720B6">
      <w:pPr>
        <w:widowControl w:val="0"/>
        <w:ind w:right="-56" w:firstLine="426"/>
        <w:jc w:val="both"/>
        <w:rPr>
          <w:rFonts w:ascii="Palatino" w:hAnsi="Palatino" w:cstheme="minorHAnsi"/>
        </w:rPr>
      </w:pPr>
      <w:r>
        <w:rPr>
          <w:rFonts w:ascii="Palatino" w:hAnsi="Palatino" w:cstheme="minorHAnsi"/>
        </w:rPr>
        <w:t>Of course, these two positions are contradictory</w:t>
      </w:r>
      <w:r w:rsidR="00272D39">
        <w:rPr>
          <w:rFonts w:ascii="Palatino" w:hAnsi="Palatino" w:cstheme="minorHAnsi"/>
        </w:rPr>
        <w:t>.</w:t>
      </w:r>
      <w:r>
        <w:rPr>
          <w:rFonts w:ascii="Palatino" w:hAnsi="Palatino" w:cstheme="minorHAnsi"/>
        </w:rPr>
        <w:t xml:space="preserve"> </w:t>
      </w:r>
      <w:r w:rsidR="00272D39">
        <w:rPr>
          <w:rFonts w:ascii="Palatino" w:hAnsi="Palatino" w:cstheme="minorHAnsi"/>
        </w:rPr>
        <w:t xml:space="preserve">The issue at hand is, “Was this law accessible or not?”, and </w:t>
      </w:r>
      <w:r>
        <w:rPr>
          <w:rFonts w:ascii="Palatino" w:hAnsi="Palatino" w:cstheme="minorHAnsi"/>
        </w:rPr>
        <w:t xml:space="preserve">the </w:t>
      </w:r>
      <w:r w:rsidR="00C379F5">
        <w:rPr>
          <w:rFonts w:ascii="Palatino" w:hAnsi="Palatino" w:cstheme="minorHAnsi"/>
        </w:rPr>
        <w:t>agonistic</w:t>
      </w:r>
      <w:r>
        <w:rPr>
          <w:rFonts w:ascii="Palatino" w:hAnsi="Palatino" w:cstheme="minorHAnsi"/>
        </w:rPr>
        <w:t xml:space="preserve"> theory would have us say that is was both</w:t>
      </w:r>
      <w:r w:rsidR="00272D39">
        <w:rPr>
          <w:rFonts w:ascii="Palatino" w:hAnsi="Palatino" w:cstheme="minorHAnsi"/>
        </w:rPr>
        <w:t xml:space="preserve"> was and it wasn’t.</w:t>
      </w:r>
      <w:r w:rsidR="00C379F5">
        <w:rPr>
          <w:rFonts w:ascii="Palatino" w:hAnsi="Palatino" w:cstheme="minorHAnsi"/>
        </w:rPr>
        <w:t xml:space="preserve"> For the integrity of law does not factor into the agonistic theorist’s inner deliberations, just who gets away with what and how.</w:t>
      </w:r>
      <w:r w:rsidR="00272D39">
        <w:rPr>
          <w:rFonts w:ascii="Palatino" w:hAnsi="Palatino" w:cstheme="minorHAnsi"/>
        </w:rPr>
        <w:t xml:space="preserve"> </w:t>
      </w:r>
      <w:r w:rsidR="00C379F5">
        <w:rPr>
          <w:rFonts w:ascii="Palatino" w:hAnsi="Palatino" w:cstheme="minorHAnsi"/>
        </w:rPr>
        <w:t>Instead, i</w:t>
      </w:r>
      <w:r w:rsidR="00272D39">
        <w:rPr>
          <w:rFonts w:ascii="Palatino" w:hAnsi="Palatino" w:cstheme="minorHAnsi"/>
        </w:rPr>
        <w:t xml:space="preserve">n the short term, </w:t>
      </w:r>
      <w:r w:rsidR="00C379F5">
        <w:rPr>
          <w:rFonts w:ascii="Palatino" w:hAnsi="Palatino" w:cstheme="minorHAnsi"/>
        </w:rPr>
        <w:t>the agonistic theory</w:t>
      </w:r>
      <w:r w:rsidR="00272D39">
        <w:rPr>
          <w:rFonts w:ascii="Palatino" w:hAnsi="Palatino" w:cstheme="minorHAnsi"/>
        </w:rPr>
        <w:t xml:space="preserve"> would have us say that the law was accessible, and in the long-term, it was not. B</w:t>
      </w:r>
      <w:r>
        <w:rPr>
          <w:rFonts w:ascii="Palatino" w:hAnsi="Palatino" w:cstheme="minorHAnsi"/>
        </w:rPr>
        <w:t xml:space="preserve">ut that just goes to show that the theory revels in idea that </w:t>
      </w:r>
      <w:r w:rsidR="00272D39">
        <w:rPr>
          <w:rFonts w:ascii="Palatino" w:hAnsi="Palatino" w:cstheme="minorHAnsi"/>
        </w:rPr>
        <w:t>there is no point in making</w:t>
      </w:r>
      <w:r>
        <w:rPr>
          <w:rFonts w:ascii="Palatino" w:hAnsi="Palatino" w:cstheme="minorHAnsi"/>
        </w:rPr>
        <w:t xml:space="preserve"> assessments</w:t>
      </w:r>
      <w:r w:rsidR="00272D39">
        <w:rPr>
          <w:rFonts w:ascii="Palatino" w:hAnsi="Palatino" w:cstheme="minorHAnsi"/>
        </w:rPr>
        <w:t xml:space="preserve"> of epistemic risk and hoping for clear answers that are not themselves steeped in strategic assessments.</w:t>
      </w:r>
    </w:p>
    <w:p w14:paraId="37AB2D03" w14:textId="77777777" w:rsidR="00FA7DBE" w:rsidRDefault="00FA7DBE" w:rsidP="008720B6">
      <w:pPr>
        <w:widowControl w:val="0"/>
        <w:ind w:right="-56" w:firstLine="426"/>
        <w:jc w:val="both"/>
        <w:rPr>
          <w:rFonts w:ascii="Palatino" w:hAnsi="Palatino" w:cstheme="minorHAnsi"/>
        </w:rPr>
      </w:pPr>
    </w:p>
    <w:p w14:paraId="7B11A5C0" w14:textId="6371EAC2" w:rsidR="00FA7DBE" w:rsidRDefault="00FA7DBE" w:rsidP="008720B6">
      <w:pPr>
        <w:widowControl w:val="0"/>
        <w:ind w:right="-56"/>
        <w:jc w:val="both"/>
        <w:rPr>
          <w:rFonts w:ascii="Palatino" w:hAnsi="Palatino" w:cstheme="minorHAnsi"/>
        </w:rPr>
      </w:pPr>
      <w:r>
        <w:rPr>
          <w:rFonts w:ascii="Palatino" w:hAnsi="Palatino" w:cstheme="minorHAnsi"/>
        </w:rPr>
        <w:t>(</w:t>
      </w:r>
      <w:r w:rsidR="00C82F79">
        <w:rPr>
          <w:rFonts w:ascii="Palatino" w:hAnsi="Palatino" w:cstheme="minorHAnsi"/>
        </w:rPr>
        <w:t>IV</w:t>
      </w:r>
      <w:r>
        <w:rPr>
          <w:rFonts w:ascii="Palatino" w:hAnsi="Palatino" w:cstheme="minorHAnsi"/>
        </w:rPr>
        <w:t>)</w:t>
      </w:r>
    </w:p>
    <w:p w14:paraId="523BE04A" w14:textId="1DE356DF" w:rsidR="00891835" w:rsidRDefault="004A7041" w:rsidP="008720B6">
      <w:pPr>
        <w:widowControl w:val="0"/>
        <w:ind w:right="-56"/>
        <w:jc w:val="both"/>
        <w:rPr>
          <w:rFonts w:ascii="Palatino" w:hAnsi="Palatino" w:cstheme="minorHAnsi"/>
        </w:rPr>
      </w:pPr>
      <w:r>
        <w:rPr>
          <w:rFonts w:ascii="Palatino" w:hAnsi="Palatino" w:cstheme="minorHAnsi"/>
        </w:rPr>
        <w:t>Both the chain and spread models ask us to only consider something promulgated just in case all hands are in a satisfactory communications environment. But this is, perhaps, too quick. Perhaps we need to acknowledge that a communications environment is often quite defective or unusual. So, t</w:t>
      </w:r>
      <w:r w:rsidR="00891835">
        <w:rPr>
          <w:rFonts w:ascii="Palatino" w:hAnsi="Palatino" w:cstheme="minorHAnsi"/>
        </w:rPr>
        <w:t>he</w:t>
      </w:r>
      <w:r>
        <w:rPr>
          <w:rFonts w:ascii="Palatino" w:hAnsi="Palatino" w:cstheme="minorHAnsi"/>
        </w:rPr>
        <w:t xml:space="preserve"> memetic</w:t>
      </w:r>
      <w:r w:rsidR="00891835">
        <w:rPr>
          <w:rFonts w:ascii="Palatino" w:hAnsi="Palatino" w:cstheme="minorHAnsi"/>
        </w:rPr>
        <w:t xml:space="preserve"> model demands two things from people in an unsatisfactory communications environment: first, that </w:t>
      </w:r>
      <w:r>
        <w:rPr>
          <w:rFonts w:ascii="Palatino" w:hAnsi="Palatino" w:cstheme="minorHAnsi"/>
        </w:rPr>
        <w:t>stakeholders</w:t>
      </w:r>
      <w:r w:rsidR="00891835">
        <w:rPr>
          <w:rFonts w:ascii="Palatino" w:hAnsi="Palatino" w:cstheme="minorHAnsi"/>
        </w:rPr>
        <w:t xml:space="preserve"> </w:t>
      </w:r>
      <w:r w:rsidR="00891835" w:rsidRPr="004A7041">
        <w:rPr>
          <w:rFonts w:ascii="Palatino" w:hAnsi="Palatino" w:cstheme="minorHAnsi"/>
          <w:i/>
        </w:rPr>
        <w:t>c</w:t>
      </w:r>
      <w:r w:rsidRPr="004A7041">
        <w:rPr>
          <w:rFonts w:ascii="Palatino" w:hAnsi="Palatino" w:cstheme="minorHAnsi"/>
          <w:i/>
        </w:rPr>
        <w:t>ould</w:t>
      </w:r>
      <w:r w:rsidR="00891835">
        <w:rPr>
          <w:rFonts w:ascii="Palatino" w:hAnsi="Palatino" w:cstheme="minorHAnsi"/>
        </w:rPr>
        <w:t xml:space="preserve"> </w:t>
      </w:r>
      <w:r>
        <w:rPr>
          <w:rFonts w:ascii="Palatino" w:hAnsi="Palatino" w:cstheme="minorHAnsi"/>
        </w:rPr>
        <w:t>get advice from</w:t>
      </w:r>
      <w:r w:rsidR="00891835">
        <w:rPr>
          <w:rFonts w:ascii="Palatino" w:hAnsi="Palatino" w:cstheme="minorHAnsi"/>
        </w:rPr>
        <w:t xml:space="preserve"> experts </w:t>
      </w:r>
      <w:r w:rsidR="00891835" w:rsidRPr="004A7041">
        <w:rPr>
          <w:rFonts w:ascii="Palatino" w:hAnsi="Palatino" w:cstheme="minorHAnsi"/>
          <w:i/>
        </w:rPr>
        <w:t>with clout</w:t>
      </w:r>
      <w:r w:rsidR="00FA7DBE">
        <w:rPr>
          <w:rFonts w:ascii="Palatino" w:hAnsi="Palatino" w:cstheme="minorHAnsi"/>
        </w:rPr>
        <w:t>, and second, that those experts</w:t>
      </w:r>
      <w:r>
        <w:rPr>
          <w:rFonts w:ascii="Palatino" w:hAnsi="Palatino" w:cstheme="minorHAnsi"/>
        </w:rPr>
        <w:t xml:space="preserve"> with clout</w:t>
      </w:r>
      <w:r w:rsidR="00891835">
        <w:rPr>
          <w:rFonts w:ascii="Palatino" w:hAnsi="Palatino" w:cstheme="minorHAnsi"/>
        </w:rPr>
        <w:t xml:space="preserve"> </w:t>
      </w:r>
      <w:r>
        <w:rPr>
          <w:rFonts w:ascii="Palatino" w:hAnsi="Palatino" w:cstheme="minorHAnsi"/>
        </w:rPr>
        <w:t xml:space="preserve">themselves </w:t>
      </w:r>
      <w:r w:rsidR="00891835">
        <w:rPr>
          <w:rFonts w:ascii="Palatino" w:hAnsi="Palatino" w:cstheme="minorHAnsi"/>
        </w:rPr>
        <w:t>exist in a satisfactory communications environment. The appeal to clout is necessary in order to break through the noise</w:t>
      </w:r>
      <w:r>
        <w:rPr>
          <w:rFonts w:ascii="Palatino" w:hAnsi="Palatino" w:cstheme="minorHAnsi"/>
        </w:rPr>
        <w:t>.</w:t>
      </w:r>
    </w:p>
    <w:p w14:paraId="35886DDF" w14:textId="72A6A6EC" w:rsidR="00B2223E" w:rsidRDefault="00B2223E" w:rsidP="008720B6">
      <w:pPr>
        <w:widowControl w:val="0"/>
        <w:ind w:right="-56" w:firstLine="426"/>
        <w:jc w:val="both"/>
        <w:rPr>
          <w:rFonts w:ascii="Palatino" w:hAnsi="Palatino" w:cstheme="minorHAnsi"/>
        </w:rPr>
      </w:pPr>
      <w:r>
        <w:rPr>
          <w:rFonts w:ascii="Palatino" w:hAnsi="Palatino" w:cstheme="minorHAnsi"/>
        </w:rPr>
        <w:tab/>
        <w:t xml:space="preserve">In any number of cases, for the conveyance theory, the verdicts of the memetic model could be vastly different from those of the chain model. The memetic model provides an extra layer of consideration, allowing for conditions that are less than perfect. </w:t>
      </w:r>
      <w:r w:rsidR="00B37B79">
        <w:rPr>
          <w:rFonts w:ascii="Palatino" w:hAnsi="Palatino" w:cstheme="minorHAnsi"/>
        </w:rPr>
        <w:t>So, w</w:t>
      </w:r>
      <w:r>
        <w:rPr>
          <w:rFonts w:ascii="Palatino" w:hAnsi="Palatino" w:cstheme="minorHAnsi"/>
        </w:rPr>
        <w:t xml:space="preserve">e can imagine </w:t>
      </w:r>
      <w:r w:rsidR="00B37B79">
        <w:rPr>
          <w:rFonts w:ascii="Palatino" w:hAnsi="Palatino" w:cstheme="minorHAnsi"/>
        </w:rPr>
        <w:t>cases where some rule is accessible by the chain model but not the memetic one</w:t>
      </w:r>
      <w:r w:rsidR="00837318">
        <w:rPr>
          <w:rFonts w:ascii="Palatino" w:hAnsi="Palatino" w:cstheme="minorHAnsi"/>
        </w:rPr>
        <w:t xml:space="preserve"> -- </w:t>
      </w:r>
      <w:r w:rsidR="00B37B79">
        <w:rPr>
          <w:rFonts w:ascii="Palatino" w:hAnsi="Palatino" w:cstheme="minorHAnsi"/>
        </w:rPr>
        <w:t xml:space="preserve">e.g., </w:t>
      </w:r>
      <w:r w:rsidR="00837318">
        <w:rPr>
          <w:rFonts w:ascii="Palatino" w:hAnsi="Palatino" w:cstheme="minorHAnsi"/>
        </w:rPr>
        <w:t>in cases of especially boring law, where all hands exist in a normal communications environment but where the experts are not especially well ‘networked’</w:t>
      </w:r>
      <w:r w:rsidR="00B37B79">
        <w:rPr>
          <w:rFonts w:ascii="Palatino" w:hAnsi="Palatino" w:cstheme="minorHAnsi"/>
        </w:rPr>
        <w:t xml:space="preserve">. </w:t>
      </w:r>
      <w:r w:rsidR="00837318">
        <w:rPr>
          <w:rFonts w:ascii="Palatino" w:hAnsi="Palatino" w:cstheme="minorHAnsi"/>
        </w:rPr>
        <w:t xml:space="preserve">We can also imagine a reverse case – cases of whiz-bang law, </w:t>
      </w:r>
      <w:r w:rsidR="00B37B79">
        <w:rPr>
          <w:rFonts w:ascii="Palatino" w:hAnsi="Palatino" w:cstheme="minorHAnsi"/>
        </w:rPr>
        <w:t>e.g.,</w:t>
      </w:r>
      <w:r w:rsidR="00837318">
        <w:rPr>
          <w:rFonts w:ascii="Palatino" w:hAnsi="Palatino" w:cstheme="minorHAnsi"/>
        </w:rPr>
        <w:t xml:space="preserve"> where</w:t>
      </w:r>
      <w:r w:rsidR="00B37B79">
        <w:rPr>
          <w:rFonts w:ascii="Palatino" w:hAnsi="Palatino" w:cstheme="minorHAnsi"/>
        </w:rPr>
        <w:t xml:space="preserve"> the communications environment </w:t>
      </w:r>
      <w:r w:rsidR="00837318">
        <w:rPr>
          <w:rFonts w:ascii="Palatino" w:hAnsi="Palatino" w:cstheme="minorHAnsi"/>
        </w:rPr>
        <w:t>is</w:t>
      </w:r>
      <w:r w:rsidR="00B37B79">
        <w:rPr>
          <w:rFonts w:ascii="Palatino" w:hAnsi="Palatino" w:cstheme="minorHAnsi"/>
        </w:rPr>
        <w:t xml:space="preserve"> unsatisfactory</w:t>
      </w:r>
      <w:r w:rsidR="00837318">
        <w:rPr>
          <w:rFonts w:ascii="Palatino" w:hAnsi="Palatino" w:cstheme="minorHAnsi"/>
        </w:rPr>
        <w:t>, but concurring experts do have clout</w:t>
      </w:r>
      <w:r w:rsidR="00B37B79">
        <w:rPr>
          <w:rFonts w:ascii="Palatino" w:hAnsi="Palatino" w:cstheme="minorHAnsi"/>
        </w:rPr>
        <w:t>.</w:t>
      </w:r>
    </w:p>
    <w:p w14:paraId="659901CB" w14:textId="2E28CA29" w:rsidR="00837318" w:rsidRDefault="00837318" w:rsidP="008720B6">
      <w:pPr>
        <w:widowControl w:val="0"/>
        <w:ind w:right="-56" w:firstLine="426"/>
        <w:jc w:val="both"/>
        <w:rPr>
          <w:rFonts w:ascii="Palatino" w:hAnsi="Palatino" w:cstheme="minorHAnsi"/>
        </w:rPr>
      </w:pPr>
      <w:r>
        <w:rPr>
          <w:rFonts w:ascii="Palatino" w:hAnsi="Palatino" w:cstheme="minorHAnsi"/>
        </w:rPr>
        <w:t>However</w:t>
      </w:r>
      <w:r w:rsidR="004A7041">
        <w:rPr>
          <w:rFonts w:ascii="Palatino" w:hAnsi="Palatino" w:cstheme="minorHAnsi"/>
        </w:rPr>
        <w:t>,</w:t>
      </w:r>
      <w:r>
        <w:rPr>
          <w:rFonts w:ascii="Palatino" w:hAnsi="Palatino" w:cstheme="minorHAnsi"/>
        </w:rPr>
        <w:t xml:space="preserve"> in this case, and in terms of the conveyance theory, the judgments of both models are similar.</w:t>
      </w:r>
    </w:p>
    <w:p w14:paraId="4B59460A" w14:textId="63200F36" w:rsidR="004A7041" w:rsidRDefault="00837318" w:rsidP="008720B6">
      <w:pPr>
        <w:widowControl w:val="0"/>
        <w:ind w:right="-56" w:firstLine="426"/>
        <w:jc w:val="both"/>
        <w:rPr>
          <w:rFonts w:ascii="Palatino" w:hAnsi="Palatino" w:cstheme="minorHAnsi"/>
        </w:rPr>
      </w:pPr>
      <w:r>
        <w:rPr>
          <w:rFonts w:ascii="Palatino" w:hAnsi="Palatino" w:cstheme="minorHAnsi"/>
        </w:rPr>
        <w:t>O</w:t>
      </w:r>
      <w:r w:rsidR="00891835">
        <w:rPr>
          <w:rFonts w:ascii="Palatino" w:hAnsi="Palatino" w:cstheme="minorHAnsi"/>
        </w:rPr>
        <w:t>n th</w:t>
      </w:r>
      <w:r>
        <w:rPr>
          <w:rFonts w:ascii="Palatino" w:hAnsi="Palatino" w:cstheme="minorHAnsi"/>
        </w:rPr>
        <w:t>e memetic</w:t>
      </w:r>
      <w:r w:rsidR="00891835">
        <w:rPr>
          <w:rFonts w:ascii="Palatino" w:hAnsi="Palatino" w:cstheme="minorHAnsi"/>
        </w:rPr>
        <w:t xml:space="preserve"> model, the mass ignorance of the arrestees did not even bear on the question of whether or not the </w:t>
      </w:r>
      <w:r w:rsidR="00891835" w:rsidRPr="00E6784B">
        <w:rPr>
          <w:rFonts w:ascii="Palatino" w:hAnsi="Palatino" w:cstheme="minorHAnsi"/>
          <w:i/>
        </w:rPr>
        <w:t>Regulation</w:t>
      </w:r>
      <w:r w:rsidR="00891835">
        <w:rPr>
          <w:rFonts w:ascii="Palatino" w:hAnsi="Palatino" w:cstheme="minorHAnsi"/>
        </w:rPr>
        <w:t xml:space="preserve"> was accessible or not.</w:t>
      </w:r>
      <w:r>
        <w:rPr>
          <w:rFonts w:ascii="Palatino" w:hAnsi="Palatino" w:cstheme="minorHAnsi"/>
        </w:rPr>
        <w:t xml:space="preserve"> Mass confusion is irrelevant</w:t>
      </w:r>
      <w:r w:rsidR="00C379F5">
        <w:rPr>
          <w:rFonts w:ascii="Palatino" w:hAnsi="Palatino" w:cstheme="minorHAnsi"/>
        </w:rPr>
        <w:t xml:space="preserve"> </w:t>
      </w:r>
      <w:r w:rsidR="002263C3">
        <w:rPr>
          <w:rFonts w:ascii="Palatino" w:hAnsi="Palatino" w:cstheme="minorHAnsi"/>
        </w:rPr>
        <w:t>–</w:t>
      </w:r>
      <w:r w:rsidR="00C379F5">
        <w:rPr>
          <w:rFonts w:ascii="Palatino" w:hAnsi="Palatino" w:cstheme="minorHAnsi"/>
        </w:rPr>
        <w:t xml:space="preserve"> </w:t>
      </w:r>
      <w:r>
        <w:rPr>
          <w:rFonts w:ascii="Palatino" w:hAnsi="Palatino" w:cstheme="minorHAnsi"/>
        </w:rPr>
        <w:t>the</w:t>
      </w:r>
      <w:r w:rsidR="002263C3">
        <w:rPr>
          <w:rFonts w:ascii="Palatino" w:hAnsi="Palatino" w:cstheme="minorHAnsi"/>
        </w:rPr>
        <w:t xml:space="preserve"> intuitions behind the</w:t>
      </w:r>
      <w:r>
        <w:rPr>
          <w:rFonts w:ascii="Palatino" w:hAnsi="Palatino" w:cstheme="minorHAnsi"/>
        </w:rPr>
        <w:t xml:space="preserve"> ‘spread model’ </w:t>
      </w:r>
      <w:r w:rsidR="002263C3">
        <w:rPr>
          <w:rFonts w:ascii="Palatino" w:hAnsi="Palatino" w:cstheme="minorHAnsi"/>
        </w:rPr>
        <w:t>are</w:t>
      </w:r>
      <w:r>
        <w:rPr>
          <w:rFonts w:ascii="Palatino" w:hAnsi="Palatino" w:cstheme="minorHAnsi"/>
        </w:rPr>
        <w:t xml:space="preserve"> repudiated.</w:t>
      </w:r>
      <w:r w:rsidR="004A7041">
        <w:rPr>
          <w:rFonts w:ascii="Palatino" w:hAnsi="Palatino" w:cstheme="minorHAnsi"/>
        </w:rPr>
        <w:t xml:space="preserve"> The question</w:t>
      </w:r>
      <w:r w:rsidR="00C379F5">
        <w:rPr>
          <w:rFonts w:ascii="Palatino" w:hAnsi="Palatino" w:cstheme="minorHAnsi"/>
        </w:rPr>
        <w:t>, instead,</w:t>
      </w:r>
      <w:r w:rsidR="004A7041">
        <w:rPr>
          <w:rFonts w:ascii="Palatino" w:hAnsi="Palatino" w:cstheme="minorHAnsi"/>
        </w:rPr>
        <w:t xml:space="preserve"> is whether there were experts with clout close-by</w:t>
      </w:r>
      <w:r>
        <w:rPr>
          <w:rFonts w:ascii="Palatino" w:hAnsi="Palatino" w:cstheme="minorHAnsi"/>
        </w:rPr>
        <w:t xml:space="preserve"> to offer remedy</w:t>
      </w:r>
      <w:r w:rsidR="004A7041">
        <w:rPr>
          <w:rFonts w:ascii="Palatino" w:hAnsi="Palatino" w:cstheme="minorHAnsi"/>
        </w:rPr>
        <w:t>.</w:t>
      </w:r>
    </w:p>
    <w:p w14:paraId="6C603BDB" w14:textId="10A41450" w:rsidR="00B2223E" w:rsidRDefault="004A7041" w:rsidP="008720B6">
      <w:pPr>
        <w:widowControl w:val="0"/>
        <w:ind w:right="-56" w:firstLine="426"/>
        <w:jc w:val="both"/>
        <w:rPr>
          <w:rFonts w:ascii="Palatino" w:hAnsi="Palatino" w:cstheme="minorHAnsi"/>
        </w:rPr>
      </w:pPr>
      <w:r>
        <w:rPr>
          <w:rFonts w:ascii="Palatino" w:hAnsi="Palatino" w:cstheme="minorHAnsi"/>
        </w:rPr>
        <w:t>The</w:t>
      </w:r>
      <w:r w:rsidR="00B2223E">
        <w:rPr>
          <w:rFonts w:ascii="Palatino" w:hAnsi="Palatino" w:cstheme="minorHAnsi"/>
        </w:rPr>
        <w:t xml:space="preserve"> media and</w:t>
      </w:r>
      <w:r>
        <w:rPr>
          <w:rFonts w:ascii="Palatino" w:hAnsi="Palatino" w:cstheme="minorHAnsi"/>
        </w:rPr>
        <w:t xml:space="preserve"> street-level police had clout, and were, in some sense, more experts in law than the average person. Yet it is unclear that the quality of their knowledge was able to satisfy our expectation that </w:t>
      </w:r>
      <w:r w:rsidR="00891835">
        <w:rPr>
          <w:rFonts w:ascii="Palatino" w:hAnsi="Palatino" w:cstheme="minorHAnsi"/>
        </w:rPr>
        <w:t>the</w:t>
      </w:r>
      <w:r>
        <w:rPr>
          <w:rFonts w:ascii="Palatino" w:hAnsi="Palatino" w:cstheme="minorHAnsi"/>
        </w:rPr>
        <w:t xml:space="preserve">y be </w:t>
      </w:r>
      <w:r w:rsidR="00891835">
        <w:rPr>
          <w:rFonts w:ascii="Palatino" w:hAnsi="Palatino" w:cstheme="minorHAnsi"/>
        </w:rPr>
        <w:t>capa</w:t>
      </w:r>
      <w:r>
        <w:rPr>
          <w:rFonts w:ascii="Palatino" w:hAnsi="Palatino" w:cstheme="minorHAnsi"/>
        </w:rPr>
        <w:t>ble of</w:t>
      </w:r>
      <w:r w:rsidR="00891835">
        <w:rPr>
          <w:rFonts w:ascii="Palatino" w:hAnsi="Palatino" w:cstheme="minorHAnsi"/>
        </w:rPr>
        <w:t xml:space="preserve"> demonstrat</w:t>
      </w:r>
      <w:r>
        <w:rPr>
          <w:rFonts w:ascii="Palatino" w:hAnsi="Palatino" w:cstheme="minorHAnsi"/>
        </w:rPr>
        <w:t>ing</w:t>
      </w:r>
      <w:r w:rsidR="00891835">
        <w:rPr>
          <w:rFonts w:ascii="Palatino" w:hAnsi="Palatino" w:cstheme="minorHAnsi"/>
        </w:rPr>
        <w:t xml:space="preserve"> appropriate respect for citizens as knowers.</w:t>
      </w:r>
      <w:r w:rsidR="00B2223E">
        <w:rPr>
          <w:rFonts w:ascii="Palatino" w:hAnsi="Palatino" w:cstheme="minorHAnsi"/>
        </w:rPr>
        <w:t xml:space="preserve"> It is unclear whether these parties </w:t>
      </w:r>
      <w:r w:rsidR="00891835">
        <w:rPr>
          <w:rFonts w:ascii="Palatino" w:hAnsi="Palatino" w:cstheme="minorHAnsi"/>
        </w:rPr>
        <w:t xml:space="preserve">could attest to the validity, contents, and scope of the </w:t>
      </w:r>
      <w:r w:rsidR="00891835" w:rsidRPr="00E6784B">
        <w:rPr>
          <w:rFonts w:ascii="Palatino" w:hAnsi="Palatino" w:cstheme="minorHAnsi"/>
          <w:i/>
        </w:rPr>
        <w:t>Regulation</w:t>
      </w:r>
      <w:r w:rsidR="00891835">
        <w:rPr>
          <w:rFonts w:ascii="Palatino" w:hAnsi="Palatino" w:cstheme="minorHAnsi"/>
        </w:rPr>
        <w:t>.</w:t>
      </w:r>
      <w:r w:rsidR="00C379F5">
        <w:rPr>
          <w:rFonts w:ascii="Palatino" w:hAnsi="Palatino" w:cstheme="minorHAnsi"/>
        </w:rPr>
        <w:t xml:space="preserve"> It is decidedly unclear that some officials behaved in good faith</w:t>
      </w:r>
      <w:r w:rsidR="009943BA">
        <w:rPr>
          <w:rFonts w:ascii="Palatino" w:hAnsi="Palatino" w:cstheme="minorHAnsi"/>
        </w:rPr>
        <w:t xml:space="preserve"> --</w:t>
      </w:r>
      <w:r w:rsidR="00C379F5">
        <w:rPr>
          <w:rFonts w:ascii="Palatino" w:hAnsi="Palatino" w:cstheme="minorHAnsi"/>
        </w:rPr>
        <w:t xml:space="preserve"> e.g., the </w:t>
      </w:r>
      <w:r w:rsidR="002263C3">
        <w:rPr>
          <w:rFonts w:ascii="Palatino" w:hAnsi="Palatino" w:cstheme="minorHAnsi"/>
        </w:rPr>
        <w:t xml:space="preserve">un-Canadian </w:t>
      </w:r>
      <w:r w:rsidR="00C379F5">
        <w:rPr>
          <w:rFonts w:ascii="Palatino" w:hAnsi="Palatino" w:cstheme="minorHAnsi"/>
        </w:rPr>
        <w:t>officer</w:t>
      </w:r>
      <w:r w:rsidR="002263C3">
        <w:rPr>
          <w:rFonts w:ascii="Palatino" w:hAnsi="Palatino" w:cstheme="minorHAnsi"/>
        </w:rPr>
        <w:t>,</w:t>
      </w:r>
      <w:r w:rsidR="00C379F5">
        <w:rPr>
          <w:rFonts w:ascii="Palatino" w:hAnsi="Palatino" w:cstheme="minorHAnsi"/>
        </w:rPr>
        <w:t xml:space="preserve"> </w:t>
      </w:r>
      <w:r w:rsidR="009943BA">
        <w:rPr>
          <w:rFonts w:ascii="Palatino" w:hAnsi="Palatino" w:cstheme="minorHAnsi"/>
        </w:rPr>
        <w:t xml:space="preserve">or the Chief of Police </w:t>
      </w:r>
      <w:r w:rsidR="002263C3">
        <w:rPr>
          <w:rFonts w:ascii="Palatino" w:hAnsi="Palatino" w:cstheme="minorHAnsi"/>
        </w:rPr>
        <w:t>– but we are more interested in how these events reflect the ways a legal system relates to its stakeholders. And it is not clear that the system operated in good faith on the evidence</w:t>
      </w:r>
      <w:r w:rsidR="009943BA">
        <w:rPr>
          <w:rFonts w:ascii="Palatino" w:hAnsi="Palatino" w:cstheme="minorHAnsi"/>
        </w:rPr>
        <w:t>.</w:t>
      </w:r>
    </w:p>
    <w:p w14:paraId="5E184D0D" w14:textId="54C3F96C" w:rsidR="00891835" w:rsidRDefault="00B2223E" w:rsidP="008720B6">
      <w:pPr>
        <w:widowControl w:val="0"/>
        <w:ind w:right="-56" w:firstLine="426"/>
        <w:jc w:val="both"/>
        <w:rPr>
          <w:rFonts w:ascii="Palatino" w:hAnsi="Palatino" w:cstheme="minorHAnsi"/>
        </w:rPr>
      </w:pPr>
      <w:r>
        <w:rPr>
          <w:rFonts w:ascii="Palatino" w:hAnsi="Palatino" w:cstheme="minorHAnsi"/>
        </w:rPr>
        <w:t>To be sure,</w:t>
      </w:r>
      <w:r w:rsidR="00891835">
        <w:rPr>
          <w:rFonts w:ascii="Palatino" w:hAnsi="Palatino" w:cstheme="minorHAnsi"/>
        </w:rPr>
        <w:t xml:space="preserve"> </w:t>
      </w:r>
      <w:r>
        <w:rPr>
          <w:rFonts w:ascii="Palatino" w:hAnsi="Palatino" w:cstheme="minorHAnsi"/>
        </w:rPr>
        <w:t>it is entirely possible that some</w:t>
      </w:r>
      <w:r w:rsidR="00891835">
        <w:rPr>
          <w:rFonts w:ascii="Palatino" w:hAnsi="Palatino" w:cstheme="minorHAnsi"/>
        </w:rPr>
        <w:t xml:space="preserve"> experts did exist that could</w:t>
      </w:r>
      <w:r>
        <w:rPr>
          <w:rFonts w:ascii="Palatino" w:hAnsi="Palatino" w:cstheme="minorHAnsi"/>
        </w:rPr>
        <w:t xml:space="preserve"> have</w:t>
      </w:r>
      <w:r w:rsidR="00891835">
        <w:rPr>
          <w:rFonts w:ascii="Palatino" w:hAnsi="Palatino" w:cstheme="minorHAnsi"/>
        </w:rPr>
        <w:t xml:space="preserve"> testif</w:t>
      </w:r>
      <w:r>
        <w:rPr>
          <w:rFonts w:ascii="Palatino" w:hAnsi="Palatino" w:cstheme="minorHAnsi"/>
        </w:rPr>
        <w:t>ied</w:t>
      </w:r>
      <w:r w:rsidR="00891835">
        <w:rPr>
          <w:rFonts w:ascii="Palatino" w:hAnsi="Palatino" w:cstheme="minorHAnsi"/>
        </w:rPr>
        <w:t xml:space="preserve"> to the contents of the </w:t>
      </w:r>
      <w:r w:rsidR="00891835" w:rsidRPr="00682752">
        <w:rPr>
          <w:rFonts w:ascii="Palatino" w:hAnsi="Palatino" w:cstheme="minorHAnsi"/>
          <w:i/>
        </w:rPr>
        <w:t>Regulation</w:t>
      </w:r>
      <w:r>
        <w:rPr>
          <w:rFonts w:ascii="Palatino" w:hAnsi="Palatino" w:cstheme="minorHAnsi"/>
        </w:rPr>
        <w:t>.</w:t>
      </w:r>
      <w:r w:rsidR="00891835">
        <w:rPr>
          <w:rFonts w:ascii="Palatino" w:hAnsi="Palatino" w:cstheme="minorHAnsi"/>
        </w:rPr>
        <w:t xml:space="preserve"> </w:t>
      </w:r>
      <w:r>
        <w:rPr>
          <w:rFonts w:ascii="Palatino" w:hAnsi="Palatino" w:cstheme="minorHAnsi"/>
        </w:rPr>
        <w:t xml:space="preserve">Yet </w:t>
      </w:r>
      <w:r w:rsidR="00891835">
        <w:rPr>
          <w:rFonts w:ascii="Palatino" w:hAnsi="Palatino" w:cstheme="minorHAnsi"/>
        </w:rPr>
        <w:t>there was not a sufficient number of them with clout to convey the information to citizens</w:t>
      </w:r>
      <w:r>
        <w:rPr>
          <w:rFonts w:ascii="Palatino" w:hAnsi="Palatino" w:cstheme="minorHAnsi"/>
        </w:rPr>
        <w:t xml:space="preserve"> -- </w:t>
      </w:r>
      <w:r w:rsidR="00891835">
        <w:rPr>
          <w:rFonts w:ascii="Palatino" w:hAnsi="Palatino" w:cstheme="minorHAnsi"/>
        </w:rPr>
        <w:t>certainly not enough to override the misinformation from the Chief of Police, with respect to the five metre rule.</w:t>
      </w:r>
      <w:r>
        <w:rPr>
          <w:rFonts w:ascii="Palatino" w:hAnsi="Palatino" w:cstheme="minorHAnsi"/>
        </w:rPr>
        <w:t xml:space="preserve"> So,</w:t>
      </w:r>
      <w:r w:rsidR="00891835">
        <w:rPr>
          <w:rFonts w:ascii="Palatino" w:hAnsi="Palatino" w:cstheme="minorHAnsi"/>
        </w:rPr>
        <w:t xml:space="preserve"> </w:t>
      </w:r>
      <w:r>
        <w:rPr>
          <w:rFonts w:ascii="Palatino" w:hAnsi="Palatino" w:cstheme="minorHAnsi"/>
        </w:rPr>
        <w:t>a</w:t>
      </w:r>
      <w:r w:rsidR="00891835">
        <w:rPr>
          <w:rFonts w:ascii="Palatino" w:hAnsi="Palatino" w:cstheme="minorHAnsi"/>
        </w:rPr>
        <w:t xml:space="preserve">gain, the conveyance theory cannot escape the conclusion that the law was not accessible </w:t>
      </w:r>
      <w:r w:rsidR="00891835">
        <w:rPr>
          <w:rFonts w:ascii="Palatino" w:hAnsi="Palatino" w:cstheme="minorHAnsi"/>
        </w:rPr>
        <w:lastRenderedPageBreak/>
        <w:t>except in a formal or technical sense</w:t>
      </w:r>
      <w:r w:rsidR="009943BA">
        <w:rPr>
          <w:rFonts w:ascii="Palatino" w:hAnsi="Palatino" w:cstheme="minorHAnsi"/>
        </w:rPr>
        <w:t>, which is irrelevant to judgments of the accessibility of law</w:t>
      </w:r>
      <w:r w:rsidR="00891835">
        <w:rPr>
          <w:rFonts w:ascii="Palatino" w:hAnsi="Palatino" w:cstheme="minorHAnsi"/>
        </w:rPr>
        <w:t>.</w:t>
      </w:r>
    </w:p>
    <w:p w14:paraId="2DDF62B2" w14:textId="77777777" w:rsidR="00075A23" w:rsidRDefault="00075A23" w:rsidP="008720B6">
      <w:pPr>
        <w:widowControl w:val="0"/>
        <w:ind w:right="-56" w:firstLine="426"/>
        <w:jc w:val="both"/>
        <w:rPr>
          <w:rFonts w:ascii="Palatino" w:hAnsi="Palatino" w:cstheme="minorHAnsi"/>
        </w:rPr>
      </w:pPr>
    </w:p>
    <w:p w14:paraId="53E3D77A" w14:textId="528A3266" w:rsidR="00B2223E" w:rsidRDefault="00FA7DBE" w:rsidP="008720B6">
      <w:pPr>
        <w:widowControl w:val="0"/>
        <w:ind w:right="-56"/>
        <w:jc w:val="both"/>
        <w:rPr>
          <w:rFonts w:ascii="Palatino" w:hAnsi="Palatino" w:cstheme="minorHAnsi"/>
        </w:rPr>
      </w:pPr>
      <w:r>
        <w:rPr>
          <w:rFonts w:ascii="Palatino" w:hAnsi="Palatino" w:cstheme="minorHAnsi"/>
        </w:rPr>
        <w:t>(</w:t>
      </w:r>
      <w:r w:rsidR="00C82F79">
        <w:rPr>
          <w:rFonts w:ascii="Palatino" w:hAnsi="Palatino" w:cstheme="minorHAnsi"/>
        </w:rPr>
        <w:t>V</w:t>
      </w:r>
      <w:r>
        <w:rPr>
          <w:rFonts w:ascii="Palatino" w:hAnsi="Palatino" w:cstheme="minorHAnsi"/>
        </w:rPr>
        <w:t>)</w:t>
      </w:r>
      <w:r>
        <w:rPr>
          <w:rFonts w:ascii="Palatino" w:hAnsi="Palatino" w:cstheme="minorHAnsi"/>
        </w:rPr>
        <w:br/>
      </w:r>
      <w:r w:rsidR="00891835">
        <w:rPr>
          <w:rFonts w:ascii="Palatino" w:hAnsi="Palatino" w:cstheme="minorHAnsi"/>
        </w:rPr>
        <w:t xml:space="preserve">The </w:t>
      </w:r>
      <w:r w:rsidR="00B2223E">
        <w:rPr>
          <w:rFonts w:ascii="Palatino" w:hAnsi="Palatino" w:cstheme="minorHAnsi"/>
        </w:rPr>
        <w:t xml:space="preserve">memetic </w:t>
      </w:r>
      <w:r w:rsidR="00891835">
        <w:rPr>
          <w:rFonts w:ascii="Palatino" w:hAnsi="Palatino" w:cstheme="minorHAnsi"/>
        </w:rPr>
        <w:t>model is deployed somewhat differently in the hands of the agonistic theory. According to th</w:t>
      </w:r>
      <w:r w:rsidR="00B2223E">
        <w:rPr>
          <w:rFonts w:ascii="Palatino" w:hAnsi="Palatino" w:cstheme="minorHAnsi"/>
        </w:rPr>
        <w:t>e agonistic</w:t>
      </w:r>
      <w:r w:rsidR="00891835">
        <w:rPr>
          <w:rFonts w:ascii="Palatino" w:hAnsi="Palatino" w:cstheme="minorHAnsi"/>
        </w:rPr>
        <w:t xml:space="preserve"> theory, the street-level officers were the experts, to the extent that their conduct was consistent with the </w:t>
      </w:r>
      <w:r w:rsidR="00891835" w:rsidRPr="0069114E">
        <w:rPr>
          <w:rFonts w:ascii="Palatino" w:hAnsi="Palatino" w:cstheme="minorHAnsi"/>
          <w:i/>
        </w:rPr>
        <w:t>Regulation</w:t>
      </w:r>
      <w:r w:rsidR="00891835">
        <w:rPr>
          <w:rFonts w:ascii="Palatino" w:hAnsi="Palatino" w:cstheme="minorHAnsi"/>
        </w:rPr>
        <w:t xml:space="preserve">. </w:t>
      </w:r>
      <w:r w:rsidR="005D1911">
        <w:rPr>
          <w:rFonts w:ascii="Palatino" w:hAnsi="Palatino" w:cstheme="minorHAnsi"/>
        </w:rPr>
        <w:t>They, being police, had clout.</w:t>
      </w:r>
      <w:r w:rsidR="00891835">
        <w:rPr>
          <w:rFonts w:ascii="Palatino" w:hAnsi="Palatino" w:cstheme="minorHAnsi"/>
        </w:rPr>
        <w:t xml:space="preserve"> It is immaterial whether or not they conveyed respect for knowers, on the agonistic theory</w:t>
      </w:r>
      <w:r w:rsidR="005D1911">
        <w:rPr>
          <w:rFonts w:ascii="Palatino" w:hAnsi="Palatino" w:cstheme="minorHAnsi"/>
        </w:rPr>
        <w:t>, and irrelevant whether we say stakeholders were put at epistemic risk</w:t>
      </w:r>
      <w:r w:rsidR="00891835">
        <w:rPr>
          <w:rFonts w:ascii="Palatino" w:hAnsi="Palatino" w:cstheme="minorHAnsi"/>
        </w:rPr>
        <w:t>. The</w:t>
      </w:r>
      <w:r w:rsidR="005D1911">
        <w:rPr>
          <w:rFonts w:ascii="Palatino" w:hAnsi="Palatino" w:cstheme="minorHAnsi"/>
        </w:rPr>
        <w:t xml:space="preserve"> fact is that the</w:t>
      </w:r>
      <w:r w:rsidR="00891835">
        <w:rPr>
          <w:rFonts w:ascii="Palatino" w:hAnsi="Palatino" w:cstheme="minorHAnsi"/>
        </w:rPr>
        <w:t xml:space="preserve"> police successfully received orders that were (more or less) lawful, through a recognizable chain of command, from duly authorized parties. </w:t>
      </w:r>
      <w:r w:rsidR="005D1911">
        <w:rPr>
          <w:rFonts w:ascii="Palatino" w:hAnsi="Palatino" w:cstheme="minorHAnsi"/>
        </w:rPr>
        <w:t>And t</w:t>
      </w:r>
      <w:r w:rsidR="00891835">
        <w:rPr>
          <w:rFonts w:ascii="Palatino" w:hAnsi="Palatino" w:cstheme="minorHAnsi"/>
        </w:rPr>
        <w:t xml:space="preserve">hey promulgated that law </w:t>
      </w:r>
      <w:r w:rsidR="00891835" w:rsidRPr="00AF6D91">
        <w:rPr>
          <w:rFonts w:ascii="Palatino" w:hAnsi="Palatino" w:cstheme="minorHAnsi"/>
          <w:i/>
        </w:rPr>
        <w:t>de facto</w:t>
      </w:r>
      <w:r w:rsidR="00891835">
        <w:rPr>
          <w:rFonts w:ascii="Palatino" w:hAnsi="Palatino" w:cstheme="minorHAnsi"/>
        </w:rPr>
        <w:t>, at the point of the baton.</w:t>
      </w:r>
    </w:p>
    <w:p w14:paraId="785CECEB" w14:textId="77777777" w:rsidR="005D1911" w:rsidRDefault="00891835" w:rsidP="008720B6">
      <w:pPr>
        <w:widowControl w:val="0"/>
        <w:ind w:right="-56" w:firstLine="426"/>
        <w:jc w:val="both"/>
        <w:rPr>
          <w:rFonts w:ascii="Palatino" w:hAnsi="Palatino" w:cstheme="minorHAnsi"/>
        </w:rPr>
      </w:pPr>
      <w:r>
        <w:rPr>
          <w:rFonts w:ascii="Palatino" w:hAnsi="Palatino" w:cstheme="minorHAnsi"/>
        </w:rPr>
        <w:t>But, again, this success only applied in the short-term, and one can easily see a possible world that is not terribly distant from our own where the legislation was never repealed. In that world, one might expect the citizens and government of the state to be satisfied that some rule is accessible just in case the police say so, and insofar as citizens expect the government to pursue conventional demands of peace and order.</w:t>
      </w:r>
      <w:r w:rsidR="005D1911">
        <w:rPr>
          <w:rFonts w:ascii="Palatino" w:hAnsi="Palatino" w:cstheme="minorHAnsi"/>
        </w:rPr>
        <w:t xml:space="preserve"> But not this world, at least not for now.</w:t>
      </w:r>
    </w:p>
    <w:p w14:paraId="5D08175D" w14:textId="1FE79344" w:rsidR="0002702A" w:rsidRDefault="0002702A" w:rsidP="008720B6">
      <w:pPr>
        <w:widowControl w:val="0"/>
        <w:ind w:right="-56" w:firstLine="426"/>
        <w:jc w:val="both"/>
        <w:rPr>
          <w:rFonts w:ascii="Palatino" w:hAnsi="Palatino" w:cstheme="minorHAnsi"/>
        </w:rPr>
      </w:pPr>
    </w:p>
    <w:p w14:paraId="43BF75C7" w14:textId="2BB94188" w:rsidR="008F3401" w:rsidRDefault="008F3401" w:rsidP="008720B6">
      <w:pPr>
        <w:widowControl w:val="0"/>
        <w:ind w:right="-56" w:firstLine="426"/>
        <w:jc w:val="both"/>
        <w:rPr>
          <w:rFonts w:ascii="Palatino" w:hAnsi="Palatino" w:cstheme="minorHAnsi"/>
        </w:rPr>
      </w:pPr>
      <w:r>
        <w:rPr>
          <w:rFonts w:ascii="Palatino" w:hAnsi="Palatino" w:cstheme="minorHAnsi"/>
        </w:rPr>
        <w:t xml:space="preserve">Overall, </w:t>
      </w:r>
      <w:r w:rsidR="00660E67">
        <w:rPr>
          <w:rFonts w:ascii="Palatino" w:hAnsi="Palatino" w:cstheme="minorHAnsi"/>
        </w:rPr>
        <w:t>I</w:t>
      </w:r>
      <w:r w:rsidR="00DC6D95">
        <w:rPr>
          <w:rFonts w:ascii="Palatino" w:hAnsi="Palatino" w:cstheme="minorHAnsi"/>
        </w:rPr>
        <w:t xml:space="preserve"> </w:t>
      </w:r>
      <w:r w:rsidR="00D618D4">
        <w:rPr>
          <w:rFonts w:ascii="Palatino" w:hAnsi="Palatino" w:cstheme="minorHAnsi"/>
        </w:rPr>
        <w:t>prefer the</w:t>
      </w:r>
      <w:r w:rsidR="00DC6D95">
        <w:rPr>
          <w:rFonts w:ascii="Palatino" w:hAnsi="Palatino" w:cstheme="minorHAnsi"/>
        </w:rPr>
        <w:t xml:space="preserve"> </w:t>
      </w:r>
      <w:r w:rsidR="009A6E14">
        <w:rPr>
          <w:rFonts w:ascii="Palatino" w:hAnsi="Palatino" w:cstheme="minorHAnsi"/>
        </w:rPr>
        <w:t>conveyance theory.</w:t>
      </w:r>
      <w:r w:rsidR="00660E67">
        <w:rPr>
          <w:rFonts w:ascii="Palatino" w:hAnsi="Palatino" w:cstheme="minorHAnsi"/>
        </w:rPr>
        <w:t xml:space="preserve"> </w:t>
      </w:r>
      <w:r w:rsidR="00C72D03">
        <w:rPr>
          <w:rFonts w:ascii="Palatino" w:hAnsi="Palatino" w:cstheme="minorHAnsi"/>
        </w:rPr>
        <w:t>It</w:t>
      </w:r>
      <w:r>
        <w:rPr>
          <w:rFonts w:ascii="Palatino" w:hAnsi="Palatino" w:cstheme="minorHAnsi"/>
        </w:rPr>
        <w:t xml:space="preserve"> makes better sense of </w:t>
      </w:r>
      <w:r w:rsidR="00C72D03">
        <w:rPr>
          <w:rFonts w:ascii="Palatino" w:hAnsi="Palatino" w:cstheme="minorHAnsi"/>
        </w:rPr>
        <w:t xml:space="preserve">the legal ideal of publicity by treating it </w:t>
      </w:r>
      <w:r>
        <w:rPr>
          <w:rFonts w:ascii="Palatino" w:hAnsi="Palatino" w:cstheme="minorHAnsi"/>
        </w:rPr>
        <w:t xml:space="preserve">as something other than just theoretical fiat or a grand chessboard. </w:t>
      </w:r>
      <w:r w:rsidR="00660E67">
        <w:rPr>
          <w:rFonts w:ascii="Palatino" w:hAnsi="Palatino" w:cstheme="minorHAnsi"/>
        </w:rPr>
        <w:t xml:space="preserve">It </w:t>
      </w:r>
      <w:r w:rsidR="00B53A69">
        <w:rPr>
          <w:rFonts w:ascii="Palatino" w:hAnsi="Palatino" w:cstheme="minorHAnsi"/>
        </w:rPr>
        <w:t>acknowledges certain</w:t>
      </w:r>
      <w:r w:rsidR="00660E67">
        <w:rPr>
          <w:rFonts w:ascii="Palatino" w:hAnsi="Palatino" w:cstheme="minorHAnsi"/>
        </w:rPr>
        <w:t xml:space="preserve"> context-invariant </w:t>
      </w:r>
      <w:r w:rsidR="00B53A69">
        <w:rPr>
          <w:rFonts w:ascii="Palatino" w:hAnsi="Palatino" w:cstheme="minorHAnsi"/>
        </w:rPr>
        <w:t>virtues which</w:t>
      </w:r>
      <w:r w:rsidR="00857D07">
        <w:rPr>
          <w:rFonts w:ascii="Palatino" w:hAnsi="Palatino" w:cstheme="minorHAnsi"/>
        </w:rPr>
        <w:t xml:space="preserve"> (prior to interpretation) allow for broad comparison of </w:t>
      </w:r>
      <w:r>
        <w:rPr>
          <w:rFonts w:ascii="Palatino" w:hAnsi="Palatino" w:cstheme="minorHAnsi"/>
        </w:rPr>
        <w:t>legal-theoretic</w:t>
      </w:r>
      <w:r w:rsidR="00857D07">
        <w:rPr>
          <w:rFonts w:ascii="Palatino" w:hAnsi="Palatino" w:cstheme="minorHAnsi"/>
        </w:rPr>
        <w:t xml:space="preserve"> contexts, and (after analysis) establish</w:t>
      </w:r>
      <w:r w:rsidR="006002BE">
        <w:rPr>
          <w:rFonts w:ascii="Palatino" w:hAnsi="Palatino" w:cstheme="minorHAnsi"/>
        </w:rPr>
        <w:t xml:space="preserve"> </w:t>
      </w:r>
      <w:r w:rsidR="00411A71">
        <w:rPr>
          <w:rFonts w:ascii="Palatino" w:hAnsi="Palatino" w:cstheme="minorHAnsi"/>
        </w:rPr>
        <w:t xml:space="preserve">fine-grained </w:t>
      </w:r>
      <w:r w:rsidR="00660E67">
        <w:rPr>
          <w:rFonts w:ascii="Palatino" w:hAnsi="Palatino" w:cstheme="minorHAnsi"/>
        </w:rPr>
        <w:t xml:space="preserve">structure </w:t>
      </w:r>
      <w:r w:rsidR="006002BE">
        <w:rPr>
          <w:rFonts w:ascii="Palatino" w:hAnsi="Palatino" w:cstheme="minorHAnsi"/>
        </w:rPr>
        <w:t xml:space="preserve">to </w:t>
      </w:r>
      <w:r w:rsidR="00857D07">
        <w:rPr>
          <w:rFonts w:ascii="Palatino" w:hAnsi="Palatino" w:cstheme="minorHAnsi"/>
        </w:rPr>
        <w:t>those</w:t>
      </w:r>
      <w:r w:rsidR="00660E67">
        <w:rPr>
          <w:rFonts w:ascii="Palatino" w:hAnsi="Palatino" w:cstheme="minorHAnsi"/>
        </w:rPr>
        <w:t xml:space="preserve"> contexts.</w:t>
      </w:r>
      <w:r w:rsidR="006002BE">
        <w:rPr>
          <w:rFonts w:ascii="Palatino" w:hAnsi="Palatino" w:cstheme="minorHAnsi"/>
        </w:rPr>
        <w:t xml:space="preserve"> </w:t>
      </w:r>
      <w:r>
        <w:rPr>
          <w:rFonts w:ascii="Palatino" w:hAnsi="Palatino" w:cstheme="minorHAnsi"/>
        </w:rPr>
        <w:t>It</w:t>
      </w:r>
      <w:r w:rsidR="006002BE">
        <w:rPr>
          <w:rFonts w:ascii="Palatino" w:hAnsi="Palatino" w:cstheme="minorHAnsi"/>
        </w:rPr>
        <w:t xml:space="preserve"> </w:t>
      </w:r>
      <w:r w:rsidR="00B53A69">
        <w:rPr>
          <w:rFonts w:ascii="Palatino" w:hAnsi="Palatino" w:cstheme="minorHAnsi"/>
        </w:rPr>
        <w:t>argues that we can make summary</w:t>
      </w:r>
      <w:r w:rsidR="006002BE">
        <w:rPr>
          <w:rFonts w:ascii="Palatino" w:hAnsi="Palatino" w:cstheme="minorHAnsi"/>
        </w:rPr>
        <w:t xml:space="preserve"> evaluations of epistemic risk</w:t>
      </w:r>
      <w:r w:rsidR="00B53A69">
        <w:rPr>
          <w:rFonts w:ascii="Palatino" w:hAnsi="Palatino" w:cstheme="minorHAnsi"/>
        </w:rPr>
        <w:t xml:space="preserve"> for legal systems</w:t>
      </w:r>
      <w:r>
        <w:rPr>
          <w:rFonts w:ascii="Palatino" w:hAnsi="Palatino" w:cstheme="minorHAnsi"/>
        </w:rPr>
        <w:t xml:space="preserve">, in a way that </w:t>
      </w:r>
      <w:r w:rsidR="0002702A">
        <w:rPr>
          <w:rFonts w:ascii="Palatino" w:hAnsi="Palatino" w:cstheme="minorHAnsi"/>
        </w:rPr>
        <w:t>sets up a motivated discussion of which legal theories do better service to the value of publicity</w:t>
      </w:r>
      <w:r w:rsidR="006002BE">
        <w:rPr>
          <w:rFonts w:ascii="Palatino" w:hAnsi="Palatino" w:cstheme="minorHAnsi"/>
        </w:rPr>
        <w:t>.</w:t>
      </w:r>
      <w:r w:rsidR="0002702A">
        <w:rPr>
          <w:rFonts w:ascii="Palatino" w:hAnsi="Palatino" w:cstheme="minorHAnsi"/>
        </w:rPr>
        <w:t xml:space="preserve"> </w:t>
      </w:r>
      <w:r w:rsidR="00C72D03">
        <w:rPr>
          <w:rFonts w:ascii="Palatino" w:hAnsi="Palatino" w:cstheme="minorHAnsi"/>
        </w:rPr>
        <w:t>And it provides a space for epistemic justice, insofar as we need to go about examination of what it means to respect a population as knowers.</w:t>
      </w:r>
    </w:p>
    <w:p w14:paraId="746DA596" w14:textId="7FE1E509" w:rsidR="008F3401" w:rsidRDefault="00B53A69" w:rsidP="008720B6">
      <w:pPr>
        <w:widowControl w:val="0"/>
        <w:ind w:right="-56" w:firstLine="426"/>
        <w:jc w:val="both"/>
        <w:rPr>
          <w:rFonts w:ascii="Palatino" w:hAnsi="Palatino" w:cstheme="minorHAnsi"/>
        </w:rPr>
      </w:pPr>
      <w:r>
        <w:rPr>
          <w:rFonts w:ascii="Palatino" w:hAnsi="Palatino" w:cstheme="minorHAnsi"/>
        </w:rPr>
        <w:t>Still</w:t>
      </w:r>
      <w:r w:rsidR="003176E0">
        <w:rPr>
          <w:rFonts w:ascii="Palatino" w:hAnsi="Palatino" w:cstheme="minorHAnsi"/>
        </w:rPr>
        <w:t>,</w:t>
      </w:r>
      <w:r w:rsidR="00921BE9">
        <w:rPr>
          <w:rFonts w:ascii="Palatino" w:hAnsi="Palatino" w:cstheme="minorHAnsi"/>
        </w:rPr>
        <w:t xml:space="preserve"> the important </w:t>
      </w:r>
      <w:r w:rsidR="003176E0">
        <w:rPr>
          <w:rFonts w:ascii="Palatino" w:hAnsi="Palatino" w:cstheme="minorHAnsi"/>
        </w:rPr>
        <w:t>question</w:t>
      </w:r>
      <w:r w:rsidR="00921BE9">
        <w:rPr>
          <w:rFonts w:ascii="Palatino" w:hAnsi="Palatino" w:cstheme="minorHAnsi"/>
        </w:rPr>
        <w:t xml:space="preserve"> </w:t>
      </w:r>
      <w:r w:rsidR="003176E0">
        <w:rPr>
          <w:rFonts w:ascii="Palatino" w:hAnsi="Palatino" w:cstheme="minorHAnsi"/>
        </w:rPr>
        <w:t>is</w:t>
      </w:r>
      <w:r>
        <w:rPr>
          <w:rFonts w:ascii="Palatino" w:hAnsi="Palatino" w:cstheme="minorHAnsi"/>
        </w:rPr>
        <w:t xml:space="preserve"> --</w:t>
      </w:r>
      <w:r w:rsidR="003176E0">
        <w:rPr>
          <w:rFonts w:ascii="Palatino" w:hAnsi="Palatino" w:cstheme="minorHAnsi"/>
        </w:rPr>
        <w:t xml:space="preserve"> what do we make of</w:t>
      </w:r>
      <w:r w:rsidR="00660E67">
        <w:rPr>
          <w:rFonts w:ascii="Palatino" w:hAnsi="Palatino" w:cstheme="minorHAnsi"/>
        </w:rPr>
        <w:t xml:space="preserve"> the very idea of</w:t>
      </w:r>
      <w:r w:rsidR="00921BE9">
        <w:rPr>
          <w:rFonts w:ascii="Palatino" w:hAnsi="Palatino" w:cstheme="minorHAnsi"/>
        </w:rPr>
        <w:t xml:space="preserve"> a theory of promulgation</w:t>
      </w:r>
      <w:r w:rsidR="003176E0">
        <w:rPr>
          <w:rFonts w:ascii="Palatino" w:hAnsi="Palatino" w:cstheme="minorHAnsi"/>
        </w:rPr>
        <w:t>?</w:t>
      </w:r>
      <w:r w:rsidR="00660E67">
        <w:rPr>
          <w:rFonts w:ascii="Palatino" w:hAnsi="Palatino" w:cstheme="minorHAnsi"/>
        </w:rPr>
        <w:t xml:space="preserve"> </w:t>
      </w:r>
      <w:r>
        <w:rPr>
          <w:rFonts w:ascii="Palatino" w:hAnsi="Palatino" w:cstheme="minorHAnsi"/>
        </w:rPr>
        <w:t>I</w:t>
      </w:r>
      <w:r w:rsidR="00660E67">
        <w:rPr>
          <w:rFonts w:ascii="Palatino" w:hAnsi="Palatino" w:cstheme="minorHAnsi"/>
        </w:rPr>
        <w:t>t should be acknowledged that</w:t>
      </w:r>
      <w:r w:rsidR="00921BE9">
        <w:rPr>
          <w:rFonts w:ascii="Palatino" w:hAnsi="Palatino" w:cstheme="minorHAnsi"/>
        </w:rPr>
        <w:t xml:space="preserve"> </w:t>
      </w:r>
      <w:r w:rsidR="00660E67">
        <w:rPr>
          <w:rFonts w:ascii="Palatino" w:hAnsi="Palatino" w:cstheme="minorHAnsi"/>
        </w:rPr>
        <w:t>e</w:t>
      </w:r>
      <w:r w:rsidR="003108DD">
        <w:rPr>
          <w:rFonts w:ascii="Palatino" w:hAnsi="Palatino" w:cstheme="minorHAnsi"/>
        </w:rPr>
        <w:t xml:space="preserve">ven the </w:t>
      </w:r>
      <w:r>
        <w:rPr>
          <w:rFonts w:ascii="Palatino" w:hAnsi="Palatino" w:cstheme="minorHAnsi"/>
        </w:rPr>
        <w:t xml:space="preserve">potentially </w:t>
      </w:r>
      <w:r w:rsidR="00D75B34">
        <w:rPr>
          <w:rFonts w:ascii="Palatino" w:hAnsi="Palatino" w:cstheme="minorHAnsi"/>
        </w:rPr>
        <w:t xml:space="preserve">misguided </w:t>
      </w:r>
      <w:r w:rsidR="003108DD">
        <w:rPr>
          <w:rFonts w:ascii="Palatino" w:hAnsi="Palatino" w:cstheme="minorHAnsi"/>
        </w:rPr>
        <w:t xml:space="preserve">answers of the agonistic theory </w:t>
      </w:r>
      <w:r>
        <w:rPr>
          <w:rFonts w:ascii="Palatino" w:hAnsi="Palatino" w:cstheme="minorHAnsi"/>
        </w:rPr>
        <w:t>supply some basis for legal argument</w:t>
      </w:r>
      <w:r w:rsidR="0002702A">
        <w:rPr>
          <w:rFonts w:ascii="Palatino" w:hAnsi="Palatino" w:cstheme="minorHAnsi"/>
        </w:rPr>
        <w:t xml:space="preserve"> concerning access to law</w:t>
      </w:r>
      <w:r>
        <w:rPr>
          <w:rFonts w:ascii="Palatino" w:hAnsi="Palatino" w:cstheme="minorHAnsi"/>
        </w:rPr>
        <w:t xml:space="preserve">. The ‘no-theory theory’ </w:t>
      </w:r>
      <w:r w:rsidR="00857D07">
        <w:rPr>
          <w:rFonts w:ascii="Palatino" w:hAnsi="Palatino" w:cstheme="minorHAnsi"/>
        </w:rPr>
        <w:t xml:space="preserve">does </w:t>
      </w:r>
      <w:r w:rsidR="000A1F42">
        <w:rPr>
          <w:rFonts w:ascii="Palatino" w:hAnsi="Palatino" w:cstheme="minorHAnsi"/>
        </w:rPr>
        <w:t>even less.</w:t>
      </w:r>
      <w:r w:rsidR="001B3315">
        <w:rPr>
          <w:rFonts w:ascii="Palatino" w:hAnsi="Palatino" w:cstheme="minorHAnsi"/>
        </w:rPr>
        <w:t xml:space="preserve"> My hope is that, by giving a name to the </w:t>
      </w:r>
      <w:r w:rsidR="001B3315" w:rsidRPr="001B3315">
        <w:rPr>
          <w:rFonts w:ascii="Palatino" w:hAnsi="Palatino" w:cstheme="minorHAnsi"/>
          <w:i/>
        </w:rPr>
        <w:t>status quo</w:t>
      </w:r>
      <w:r w:rsidR="001B3315">
        <w:rPr>
          <w:rFonts w:ascii="Palatino" w:hAnsi="Palatino" w:cstheme="minorHAnsi"/>
        </w:rPr>
        <w:t xml:space="preserve"> view, and articulating philosophical alternatives, we will be in a position to </w:t>
      </w:r>
      <w:r w:rsidR="00FD6B62">
        <w:rPr>
          <w:rFonts w:ascii="Palatino" w:hAnsi="Palatino" w:cstheme="minorHAnsi"/>
        </w:rPr>
        <w:t xml:space="preserve">generate a system of </w:t>
      </w:r>
      <w:r w:rsidR="001B3315">
        <w:rPr>
          <w:rFonts w:ascii="Palatino" w:hAnsi="Palatino" w:cstheme="minorHAnsi"/>
        </w:rPr>
        <w:t>productive</w:t>
      </w:r>
      <w:r w:rsidR="00FD6B62">
        <w:rPr>
          <w:rFonts w:ascii="Palatino" w:hAnsi="Palatino" w:cstheme="minorHAnsi"/>
        </w:rPr>
        <w:t xml:space="preserve"> insights</w:t>
      </w:r>
      <w:r w:rsidR="001B3315">
        <w:rPr>
          <w:rFonts w:ascii="Palatino" w:hAnsi="Palatino" w:cstheme="minorHAnsi"/>
        </w:rPr>
        <w:t xml:space="preserve"> </w:t>
      </w:r>
      <w:r w:rsidR="00FD6B62">
        <w:rPr>
          <w:rFonts w:ascii="Palatino" w:hAnsi="Palatino" w:cstheme="minorHAnsi"/>
        </w:rPr>
        <w:t>in</w:t>
      </w:r>
      <w:r w:rsidR="001B3315">
        <w:rPr>
          <w:rFonts w:ascii="Palatino" w:hAnsi="Palatino" w:cstheme="minorHAnsi"/>
        </w:rPr>
        <w:t xml:space="preserve"> an underdeveloped area of legal philosophy.</w:t>
      </w:r>
    </w:p>
    <w:sectPr w:rsidR="008F3401" w:rsidSect="00615A33">
      <w:headerReference w:type="even" r:id="rId8"/>
      <w:headerReference w:type="default" r:id="rId9"/>
      <w:footerReference w:type="even" r:id="rId10"/>
      <w:footerReference w:type="default" r:id="rId11"/>
      <w:pgSz w:w="12180" w:h="16780"/>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A236A" w14:textId="77777777" w:rsidR="00BF11E3" w:rsidRDefault="00BF11E3">
      <w:r>
        <w:separator/>
      </w:r>
    </w:p>
  </w:endnote>
  <w:endnote w:type="continuationSeparator" w:id="0">
    <w:p w14:paraId="072C2BFE" w14:textId="77777777" w:rsidR="00BF11E3" w:rsidRDefault="00BF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roid Serif">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753299"/>
      <w:docPartObj>
        <w:docPartGallery w:val="Page Numbers (Bottom of Page)"/>
        <w:docPartUnique/>
      </w:docPartObj>
    </w:sdtPr>
    <w:sdtEndPr>
      <w:rPr>
        <w:rStyle w:val="PageNumber"/>
      </w:rPr>
    </w:sdtEndPr>
    <w:sdtContent>
      <w:p w14:paraId="3A5BA570" w14:textId="71D8C6A6" w:rsidR="00F4617A" w:rsidRDefault="00F4617A" w:rsidP="005B63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B4EDE4" w14:textId="77777777" w:rsidR="00F4617A" w:rsidRDefault="00F4617A" w:rsidP="00CE1B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97E8" w14:textId="5696458C" w:rsidR="00F4617A" w:rsidRDefault="00F4617A" w:rsidP="005B63D7">
    <w:pPr>
      <w:pStyle w:val="Footer"/>
      <w:framePr w:wrap="none" w:vAnchor="text" w:hAnchor="margin" w:xAlign="right" w:y="1"/>
      <w:rPr>
        <w:rStyle w:val="PageNumber"/>
      </w:rPr>
    </w:pPr>
  </w:p>
  <w:p w14:paraId="1409F567" w14:textId="77777777" w:rsidR="00F4617A" w:rsidRDefault="00F4617A" w:rsidP="00CE1B51">
    <w:pPr>
      <w:widowControl w:val="0"/>
      <w:tabs>
        <w:tab w:val="center" w:pos="4680"/>
        <w:tab w:val="right" w:pos="9360"/>
      </w:tabs>
      <w:spacing w:after="96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22858" w14:textId="77777777" w:rsidR="00BF11E3" w:rsidRDefault="00BF11E3">
      <w:r>
        <w:separator/>
      </w:r>
    </w:p>
  </w:footnote>
  <w:footnote w:type="continuationSeparator" w:id="0">
    <w:p w14:paraId="04CBB6BE" w14:textId="77777777" w:rsidR="00BF11E3" w:rsidRDefault="00BF11E3">
      <w:r>
        <w:continuationSeparator/>
      </w:r>
    </w:p>
  </w:footnote>
  <w:footnote w:id="1">
    <w:p w14:paraId="6689E0B4" w14:textId="0ACFA56B" w:rsidR="00F4617A" w:rsidRPr="000953CE" w:rsidRDefault="00F4617A" w:rsidP="00471E6F">
      <w:r w:rsidRPr="000953CE">
        <w:rPr>
          <w:rStyle w:val="FootnoteReference"/>
        </w:rPr>
        <w:footnoteRef/>
      </w:r>
      <w:r w:rsidRPr="000953CE">
        <w:t xml:space="preserve"> </w:t>
      </w:r>
      <w:r w:rsidRPr="00471E6F">
        <w:rPr>
          <w:rFonts w:asciiTheme="minorHAnsi" w:hAnsiTheme="minorHAnsi" w:cstheme="minorHAnsi"/>
          <w:sz w:val="20"/>
        </w:rPr>
        <w:t xml:space="preserve">e.g.: </w:t>
      </w:r>
      <w:r w:rsidRPr="00471E6F">
        <w:rPr>
          <w:rFonts w:asciiTheme="minorHAnsi" w:hAnsiTheme="minorHAnsi" w:cstheme="minorHAnsi"/>
          <w:spacing w:val="-3"/>
          <w:sz w:val="20"/>
        </w:rPr>
        <w:t xml:space="preserve">R </w:t>
      </w:r>
      <w:r w:rsidRPr="00471E6F">
        <w:rPr>
          <w:rFonts w:asciiTheme="minorHAnsi" w:hAnsiTheme="minorHAnsi" w:cstheme="minorHAnsi"/>
          <w:i/>
          <w:iCs/>
          <w:spacing w:val="-3"/>
          <w:sz w:val="20"/>
        </w:rPr>
        <w:t>v</w:t>
      </w:r>
      <w:r w:rsidRPr="00471E6F">
        <w:rPr>
          <w:rFonts w:asciiTheme="minorHAnsi" w:hAnsiTheme="minorHAnsi" w:cstheme="minorHAnsi"/>
          <w:spacing w:val="-3"/>
          <w:sz w:val="20"/>
        </w:rPr>
        <w:t xml:space="preserve"> Nova Scotia Pharmaceutical Society, [1992] 2 SCR 606</w:t>
      </w:r>
      <w:r w:rsidRPr="00471E6F">
        <w:rPr>
          <w:rFonts w:asciiTheme="minorHAnsi" w:hAnsiTheme="minorHAnsi" w:cstheme="minorHAnsi"/>
          <w:sz w:val="20"/>
        </w:rPr>
        <w:t>;</w:t>
      </w:r>
      <w:r>
        <w:rPr>
          <w:rFonts w:asciiTheme="minorHAnsi" w:hAnsiTheme="minorHAnsi" w:cstheme="minorHAnsi"/>
          <w:sz w:val="20"/>
        </w:rPr>
        <w:t xml:space="preserve"> </w:t>
      </w:r>
      <w:r w:rsidRPr="00471E6F">
        <w:rPr>
          <w:rFonts w:asciiTheme="minorHAnsi" w:hAnsiTheme="minorHAnsi" w:cstheme="minorHAnsi"/>
          <w:sz w:val="20"/>
        </w:rPr>
        <w:t>Great Britain, Committee for Promulgation of the Statutes,</w:t>
      </w:r>
      <w:r w:rsidRPr="00471E6F">
        <w:rPr>
          <w:rFonts w:asciiTheme="minorHAnsi" w:hAnsiTheme="minorHAnsi" w:cstheme="minorHAnsi"/>
          <w:iCs/>
          <w:sz w:val="20"/>
        </w:rPr>
        <w:t xml:space="preserve"> </w:t>
      </w:r>
      <w:r w:rsidRPr="00471E6F">
        <w:rPr>
          <w:rFonts w:asciiTheme="minorHAnsi" w:hAnsiTheme="minorHAnsi" w:cstheme="minorHAnsi"/>
          <w:i/>
          <w:iCs/>
          <w:sz w:val="20"/>
        </w:rPr>
        <w:t>Report from the Committee</w:t>
      </w:r>
      <w:r w:rsidRPr="00471E6F">
        <w:rPr>
          <w:rFonts w:asciiTheme="minorHAnsi" w:hAnsiTheme="minorHAnsi" w:cstheme="minorHAnsi"/>
          <w:sz w:val="20"/>
        </w:rPr>
        <w:t xml:space="preserve"> (Great Britain House of Commons, 1796).</w:t>
      </w:r>
    </w:p>
  </w:footnote>
  <w:footnote w:id="2">
    <w:p w14:paraId="1CF4FDF4" w14:textId="1B1541AA" w:rsidR="00F4617A" w:rsidRPr="000953CE" w:rsidRDefault="00F4617A" w:rsidP="00082EE0">
      <w:pPr>
        <w:pStyle w:val="FootnoteText"/>
        <w:jc w:val="both"/>
      </w:pPr>
      <w:r w:rsidRPr="000953CE">
        <w:rPr>
          <w:rStyle w:val="FootnoteReference"/>
        </w:rPr>
        <w:footnoteRef/>
      </w:r>
      <w:r w:rsidRPr="000953CE">
        <w:t xml:space="preserve"> </w:t>
      </w:r>
      <w:r>
        <w:t xml:space="preserve">Claire </w:t>
      </w:r>
      <w:r w:rsidRPr="000953CE">
        <w:t>Grant</w:t>
      </w:r>
      <w:r>
        <w:t>, “</w:t>
      </w:r>
      <w:r w:rsidRPr="00AA57E0">
        <w:t>Promulgation and the Law</w:t>
      </w:r>
      <w:r>
        <w:t>,”</w:t>
      </w:r>
      <w:r w:rsidRPr="000953CE">
        <w:t xml:space="preserve"> </w:t>
      </w:r>
      <w:r w:rsidRPr="00AA57E0">
        <w:rPr>
          <w:i/>
        </w:rPr>
        <w:t>International Journal Of Law In Context</w:t>
      </w:r>
      <w:r w:rsidRPr="00FF28B0">
        <w:t>,</w:t>
      </w:r>
      <w:r w:rsidRPr="000953CE">
        <w:t xml:space="preserve"> </w:t>
      </w:r>
      <w:r>
        <w:t xml:space="preserve">(2006): </w:t>
      </w:r>
      <w:r w:rsidRPr="000953CE">
        <w:t>321-331</w:t>
      </w:r>
      <w:r>
        <w:t>.</w:t>
      </w:r>
    </w:p>
  </w:footnote>
  <w:footnote w:id="3">
    <w:p w14:paraId="43A9AE8B" w14:textId="59E6185B" w:rsidR="00F4617A" w:rsidRPr="005612FD" w:rsidRDefault="00F4617A">
      <w:pPr>
        <w:pStyle w:val="FootnoteText"/>
        <w:rPr>
          <w:lang w:val="en-US"/>
        </w:rPr>
      </w:pPr>
      <w:r>
        <w:rPr>
          <w:rStyle w:val="FootnoteReference"/>
        </w:rPr>
        <w:footnoteRef/>
      </w:r>
      <w:r>
        <w:t xml:space="preserve"> </w:t>
      </w:r>
      <w:r w:rsidRPr="005612FD">
        <w:t>A ‘source’ of promulgation means a site, venue, or vector by which a legal rule is disseminated, where legal content is reproduced, not necessarily the legal authority itself.</w:t>
      </w:r>
    </w:p>
  </w:footnote>
  <w:footnote w:id="4">
    <w:p w14:paraId="2D945A96" w14:textId="4020840B" w:rsidR="00F4617A" w:rsidRPr="005612FD" w:rsidRDefault="00F4617A" w:rsidP="005612FD">
      <w:pPr>
        <w:pStyle w:val="FootnoteText"/>
        <w:jc w:val="both"/>
      </w:pPr>
      <w:r>
        <w:rPr>
          <w:rStyle w:val="FootnoteReference"/>
        </w:rPr>
        <w:footnoteRef/>
      </w:r>
      <w:r>
        <w:t xml:space="preserve"> </w:t>
      </w:r>
      <w:r w:rsidRPr="005612FD">
        <w:t>There are at least three grades of inquiry -- frameworks, theories, and models. At the most general level, a framework provides an essential vocabulary and salient set of questions for some domain of discussion, in order to evaluate how well inquiry is getting on. Theories provide sets of systematically interconnected judgments that (purport to) answer some set of questions introduced in a framework, and which (ostensibly) help us to explain some phenomenon of interest. And models are descriptions of ideal cases, used either in order to think through the ways that a theory might be brought to bear on narrow contexts, or in order to produce a clear description of a relatively complex reality. Frameworks and models are always suited for a purpose or set of purposes and so judged as more-or-less useful, while theories are meant to be judged directly for their validity, truth, or rightness.</w:t>
      </w:r>
    </w:p>
  </w:footnote>
  <w:footnote w:id="5">
    <w:p w14:paraId="1688AEE3" w14:textId="77777777" w:rsidR="00F4617A" w:rsidRDefault="00F4617A" w:rsidP="00082EE0">
      <w:pPr>
        <w:pStyle w:val="FootnoteText"/>
        <w:jc w:val="both"/>
        <w:rPr>
          <w:lang w:val="en-US"/>
        </w:rPr>
      </w:pPr>
      <w:r w:rsidRPr="000953CE">
        <w:rPr>
          <w:rStyle w:val="FootnoteReference"/>
        </w:rPr>
        <w:footnoteRef/>
      </w:r>
      <w:r w:rsidRPr="000953CE">
        <w:t xml:space="preserve"> </w:t>
      </w:r>
      <w:r w:rsidRPr="000953CE">
        <w:rPr>
          <w:lang w:val="en-US"/>
        </w:rPr>
        <w:t>Some deny that there is any merit to these sorts of disagreements</w:t>
      </w:r>
      <w:r>
        <w:rPr>
          <w:lang w:val="en-US"/>
        </w:rPr>
        <w:t xml:space="preserve">, e.g.: </w:t>
      </w:r>
    </w:p>
    <w:p w14:paraId="49EAAD55" w14:textId="307BED75" w:rsidR="00F4617A" w:rsidRDefault="00F4617A" w:rsidP="00082EE0">
      <w:pPr>
        <w:pStyle w:val="FootnoteText"/>
        <w:jc w:val="both"/>
      </w:pPr>
      <w:r>
        <w:rPr>
          <w:lang w:val="en-US"/>
        </w:rPr>
        <w:t xml:space="preserve">Brian </w:t>
      </w:r>
      <w:r w:rsidRPr="000953CE">
        <w:rPr>
          <w:lang w:val="en-US"/>
        </w:rPr>
        <w:t>Leiter</w:t>
      </w:r>
      <w:r>
        <w:rPr>
          <w:lang w:val="en-US"/>
        </w:rPr>
        <w:t>,</w:t>
      </w:r>
      <w:r w:rsidRPr="000953CE">
        <w:rPr>
          <w:lang w:val="en-US"/>
        </w:rPr>
        <w:t xml:space="preserve"> “Explaining Theoretical Disagreement</w:t>
      </w:r>
      <w:r>
        <w:rPr>
          <w:lang w:val="en-US"/>
        </w:rPr>
        <w:t>,</w:t>
      </w:r>
      <w:r w:rsidRPr="000953CE">
        <w:rPr>
          <w:lang w:val="en-US"/>
        </w:rPr>
        <w:t xml:space="preserve">” </w:t>
      </w:r>
      <w:r w:rsidRPr="00AA57E0">
        <w:rPr>
          <w:i/>
        </w:rPr>
        <w:t>Philosophical Issues: A Supplement to Nous</w:t>
      </w:r>
      <w:r w:rsidRPr="000953CE">
        <w:t xml:space="preserve"> 76</w:t>
      </w:r>
      <w:r>
        <w:t xml:space="preserve">, (2009): </w:t>
      </w:r>
      <w:r w:rsidRPr="000953CE">
        <w:t>64-79.</w:t>
      </w:r>
    </w:p>
    <w:p w14:paraId="1D516A30" w14:textId="6612853E" w:rsidR="00F4617A" w:rsidRPr="00F54DC2" w:rsidRDefault="00F4617A" w:rsidP="00082EE0">
      <w:pPr>
        <w:pStyle w:val="FootnoteText"/>
        <w:jc w:val="both"/>
        <w:rPr>
          <w:lang w:val="en-US"/>
        </w:rPr>
      </w:pPr>
      <w:r>
        <w:rPr>
          <w:lang w:val="en-US"/>
        </w:rPr>
        <w:t>To the extent that this is correct, the ‘no-theory theory’ is all we need.</w:t>
      </w:r>
    </w:p>
  </w:footnote>
  <w:footnote w:id="6">
    <w:p w14:paraId="2E5316AC" w14:textId="580CE587" w:rsidR="00F4617A" w:rsidRPr="000953CE" w:rsidRDefault="00F4617A" w:rsidP="00082EE0">
      <w:pPr>
        <w:pStyle w:val="FootnoteText"/>
        <w:jc w:val="both"/>
        <w:rPr>
          <w:lang w:val="en-US"/>
        </w:rPr>
      </w:pPr>
      <w:r w:rsidRPr="000953CE">
        <w:rPr>
          <w:rStyle w:val="FootnoteReference"/>
        </w:rPr>
        <w:footnoteRef/>
      </w:r>
      <w:r w:rsidRPr="000953CE">
        <w:t xml:space="preserve"> </w:t>
      </w:r>
      <w:r>
        <w:t>The</w:t>
      </w:r>
      <w:r w:rsidRPr="000953CE">
        <w:rPr>
          <w:lang w:val="en-US"/>
        </w:rPr>
        <w:t xml:space="preserve"> </w:t>
      </w:r>
      <w:r>
        <w:rPr>
          <w:lang w:val="en-US"/>
        </w:rPr>
        <w:t>literature on</w:t>
      </w:r>
      <w:r w:rsidRPr="000953CE">
        <w:rPr>
          <w:lang w:val="en-US"/>
        </w:rPr>
        <w:t xml:space="preserve"> </w:t>
      </w:r>
      <w:r>
        <w:rPr>
          <w:lang w:val="en-US"/>
        </w:rPr>
        <w:t>physical</w:t>
      </w:r>
      <w:r w:rsidRPr="000953CE">
        <w:rPr>
          <w:lang w:val="en-US"/>
        </w:rPr>
        <w:t xml:space="preserve"> accessibility </w:t>
      </w:r>
      <w:r>
        <w:rPr>
          <w:lang w:val="en-US"/>
        </w:rPr>
        <w:t>seems to have more in common with</w:t>
      </w:r>
      <w:r w:rsidRPr="000953CE">
        <w:rPr>
          <w:lang w:val="en-US"/>
        </w:rPr>
        <w:t xml:space="preserve"> civil engineering than philosophy. </w:t>
      </w:r>
      <w:r>
        <w:rPr>
          <w:lang w:val="en-US"/>
        </w:rPr>
        <w:t>e.g.</w:t>
      </w:r>
      <w:r w:rsidRPr="000953CE">
        <w:rPr>
          <w:lang w:val="en-US"/>
        </w:rPr>
        <w:t>:</w:t>
      </w:r>
    </w:p>
    <w:p w14:paraId="3571EEFD" w14:textId="5AE65CC0" w:rsidR="00F4617A" w:rsidRPr="00F54DC2" w:rsidRDefault="00F4617A" w:rsidP="00F54DC2">
      <w:pPr>
        <w:pStyle w:val="FootnoteText"/>
        <w:jc w:val="both"/>
        <w:rPr>
          <w:i/>
          <w:iCs/>
        </w:rPr>
      </w:pPr>
      <w:r>
        <w:t xml:space="preserve">A </w:t>
      </w:r>
      <w:proofErr w:type="spellStart"/>
      <w:r w:rsidRPr="000953CE">
        <w:t>Karlqvist</w:t>
      </w:r>
      <w:proofErr w:type="spellEnd"/>
      <w:r w:rsidRPr="000953CE">
        <w:t>,</w:t>
      </w:r>
      <w:r>
        <w:t xml:space="preserve"> </w:t>
      </w:r>
      <w:r w:rsidRPr="000953CE">
        <w:t>"Some theoretical aspects of accessibility-based location models</w:t>
      </w:r>
      <w:r>
        <w:t>,</w:t>
      </w:r>
      <w:r w:rsidRPr="000953CE">
        <w:t xml:space="preserve">" </w:t>
      </w:r>
      <w:r>
        <w:t xml:space="preserve">in </w:t>
      </w:r>
      <w:r w:rsidRPr="000953CE">
        <w:rPr>
          <w:i/>
          <w:iCs/>
        </w:rPr>
        <w:t>Dynamic Allocation of Urban Space</w:t>
      </w:r>
      <w:r>
        <w:rPr>
          <w:i/>
          <w:iCs/>
        </w:rPr>
        <w:t>,</w:t>
      </w:r>
      <w:r w:rsidRPr="000953CE">
        <w:rPr>
          <w:i/>
          <w:iCs/>
        </w:rPr>
        <w:t xml:space="preserve"> </w:t>
      </w:r>
      <w:r>
        <w:t>e</w:t>
      </w:r>
      <w:r w:rsidRPr="000953CE">
        <w:t>ds</w:t>
      </w:r>
      <w:r>
        <w:t>.</w:t>
      </w:r>
      <w:r w:rsidRPr="000953CE">
        <w:t xml:space="preserve"> A </w:t>
      </w:r>
      <w:proofErr w:type="spellStart"/>
      <w:r w:rsidRPr="000953CE">
        <w:t>Karlqvist</w:t>
      </w:r>
      <w:proofErr w:type="spellEnd"/>
      <w:r w:rsidRPr="000953CE">
        <w:t xml:space="preserve">, </w:t>
      </w:r>
      <w:r>
        <w:t>et al.</w:t>
      </w:r>
      <w:r w:rsidRPr="000953CE">
        <w:t xml:space="preserve"> (Lexington, Mass</w:t>
      </w:r>
      <w:r>
        <w:t>:</w:t>
      </w:r>
      <w:r w:rsidRPr="00DE220B">
        <w:t xml:space="preserve"> </w:t>
      </w:r>
      <w:r w:rsidRPr="000953CE">
        <w:t>D C Heath</w:t>
      </w:r>
      <w:r>
        <w:t>, 1975</w:t>
      </w:r>
      <w:r w:rsidRPr="000953CE">
        <w:t>)</w:t>
      </w:r>
      <w:r>
        <w:t>.</w:t>
      </w:r>
    </w:p>
  </w:footnote>
  <w:footnote w:id="7">
    <w:p w14:paraId="15FE3076" w14:textId="586CF76F" w:rsidR="00F4617A" w:rsidRPr="000953CE" w:rsidRDefault="00F4617A" w:rsidP="00082EE0">
      <w:pPr>
        <w:pStyle w:val="FootnoteText"/>
        <w:jc w:val="both"/>
        <w:rPr>
          <w:lang w:val="en-US"/>
        </w:rPr>
      </w:pPr>
      <w:r w:rsidRPr="000953CE">
        <w:rPr>
          <w:rStyle w:val="FootnoteReference"/>
        </w:rPr>
        <w:footnoteRef/>
      </w:r>
      <w:r w:rsidRPr="000953CE">
        <w:t xml:space="preserve"> </w:t>
      </w:r>
      <w:r w:rsidRPr="000953CE">
        <w:rPr>
          <w:lang w:val="en-US"/>
        </w:rPr>
        <w:t>Officially induced error being a prime example, as in:</w:t>
      </w:r>
    </w:p>
    <w:p w14:paraId="0B35265B" w14:textId="3DC2D937" w:rsidR="00F4617A" w:rsidRPr="000953CE" w:rsidRDefault="00F4617A" w:rsidP="00082EE0">
      <w:pPr>
        <w:pStyle w:val="FootnoteText"/>
        <w:jc w:val="both"/>
        <w:rPr>
          <w:highlight w:val="yellow"/>
        </w:rPr>
      </w:pPr>
      <w:r w:rsidRPr="000953CE">
        <w:rPr>
          <w:lang w:val="en-US"/>
        </w:rPr>
        <w:t>R v Clifford</w:t>
      </w:r>
      <w:r>
        <w:rPr>
          <w:lang w:val="en-US"/>
        </w:rPr>
        <w:t>,</w:t>
      </w:r>
      <w:r w:rsidRPr="000953CE">
        <w:rPr>
          <w:lang w:val="en-US"/>
        </w:rPr>
        <w:t xml:space="preserve"> 2014</w:t>
      </w:r>
      <w:r w:rsidRPr="000953CE">
        <w:rPr>
          <w:rFonts w:ascii="Times New Roman" w:eastAsia="Times New Roman" w:hAnsi="Times New Roman" w:cs="Times New Roman"/>
          <w:color w:val="auto"/>
        </w:rPr>
        <w:t xml:space="preserve"> </w:t>
      </w:r>
      <w:r w:rsidRPr="000953CE">
        <w:t>ONSC 2388.</w:t>
      </w:r>
    </w:p>
  </w:footnote>
  <w:footnote w:id="8">
    <w:p w14:paraId="6E9BF5D2" w14:textId="77777777" w:rsidR="00F4617A" w:rsidRDefault="00F4617A" w:rsidP="00082EE0">
      <w:pPr>
        <w:pStyle w:val="FootnoteText"/>
        <w:jc w:val="both"/>
      </w:pPr>
      <w:r w:rsidRPr="000953CE">
        <w:rPr>
          <w:rStyle w:val="FootnoteReference"/>
        </w:rPr>
        <w:footnoteRef/>
      </w:r>
      <w:r w:rsidRPr="000953CE">
        <w:t xml:space="preserve"> As a complement to the conception of “bad faith” </w:t>
      </w:r>
      <w:r>
        <w:t>in</w:t>
      </w:r>
      <w:r w:rsidRPr="000953CE">
        <w:t>:</w:t>
      </w:r>
      <w:r>
        <w:t xml:space="preserve"> </w:t>
      </w:r>
    </w:p>
    <w:p w14:paraId="23CE867D" w14:textId="07E723BB" w:rsidR="00F4617A" w:rsidRPr="00F54DC2" w:rsidRDefault="00F4617A" w:rsidP="00082EE0">
      <w:pPr>
        <w:pStyle w:val="FootnoteText"/>
        <w:jc w:val="both"/>
      </w:pPr>
      <w:proofErr w:type="spellStart"/>
      <w:r w:rsidRPr="000953CE">
        <w:t>Berislav</w:t>
      </w:r>
      <w:proofErr w:type="spellEnd"/>
      <w:r w:rsidRPr="000953CE">
        <w:t xml:space="preserve"> </w:t>
      </w:r>
      <w:proofErr w:type="spellStart"/>
      <w:r w:rsidRPr="000953CE">
        <w:t>Marušić</w:t>
      </w:r>
      <w:proofErr w:type="spellEnd"/>
      <w:r>
        <w:t xml:space="preserve">, </w:t>
      </w:r>
      <w:r w:rsidRPr="00532D1B">
        <w:rPr>
          <w:i/>
        </w:rPr>
        <w:t>Evidence and Agency</w:t>
      </w:r>
      <w:r w:rsidRPr="000953CE">
        <w:t xml:space="preserve"> </w:t>
      </w:r>
      <w:r>
        <w:t>(</w:t>
      </w:r>
      <w:r w:rsidRPr="000953CE">
        <w:t xml:space="preserve">New </w:t>
      </w:r>
      <w:proofErr w:type="spellStart"/>
      <w:r w:rsidRPr="000953CE">
        <w:t>York:OUP</w:t>
      </w:r>
      <w:proofErr w:type="spellEnd"/>
      <w:r>
        <w:t>, 2015).</w:t>
      </w:r>
    </w:p>
  </w:footnote>
  <w:footnote w:id="9">
    <w:p w14:paraId="2111139A" w14:textId="70C4216E" w:rsidR="00F4617A" w:rsidRPr="00A7419B" w:rsidRDefault="00F4617A">
      <w:pPr>
        <w:pStyle w:val="FootnoteText"/>
        <w:rPr>
          <w:lang w:val="en-US"/>
        </w:rPr>
      </w:pPr>
      <w:r w:rsidRPr="00A7419B">
        <w:rPr>
          <w:rStyle w:val="FootnoteReference"/>
        </w:rPr>
        <w:footnoteRef/>
      </w:r>
      <w:r w:rsidRPr="00A7419B">
        <w:t xml:space="preserve"> </w:t>
      </w:r>
      <w:r w:rsidRPr="00A7419B">
        <w:rPr>
          <w:lang w:val="en-US"/>
        </w:rPr>
        <w:t xml:space="preserve">Crispin Wright, </w:t>
      </w:r>
      <w:r w:rsidRPr="00A7419B">
        <w:rPr>
          <w:i/>
          <w:lang w:val="en-US"/>
        </w:rPr>
        <w:t xml:space="preserve">Truth and Objectivity </w:t>
      </w:r>
      <w:r w:rsidRPr="00A7419B">
        <w:rPr>
          <w:lang w:val="en-US"/>
        </w:rPr>
        <w:t>(</w:t>
      </w:r>
      <w:proofErr w:type="spellStart"/>
      <w:proofErr w:type="gramStart"/>
      <w:r w:rsidRPr="00A7419B">
        <w:rPr>
          <w:lang w:val="en-US"/>
        </w:rPr>
        <w:t>Cambridge:Harvard</w:t>
      </w:r>
      <w:proofErr w:type="spellEnd"/>
      <w:proofErr w:type="gramEnd"/>
      <w:r w:rsidRPr="00A7419B">
        <w:rPr>
          <w:lang w:val="en-US"/>
        </w:rPr>
        <w:t>).</w:t>
      </w:r>
    </w:p>
  </w:footnote>
  <w:footnote w:id="10">
    <w:p w14:paraId="3C89E7D1" w14:textId="77777777" w:rsidR="00F4617A" w:rsidRPr="000953CE" w:rsidRDefault="00F4617A" w:rsidP="00271740">
      <w:pPr>
        <w:pStyle w:val="FootnoteText"/>
        <w:jc w:val="both"/>
      </w:pPr>
      <w:r w:rsidRPr="000953CE">
        <w:rPr>
          <w:rStyle w:val="FootnoteReference"/>
        </w:rPr>
        <w:footnoteRef/>
      </w:r>
      <w:r w:rsidRPr="000953CE">
        <w:t xml:space="preserve"> The notion of epistemic risk issues from Pritchard’s (2016) paper</w:t>
      </w:r>
      <w:r>
        <w:t>. My conception differs from his in that it is modified by discursive context</w:t>
      </w:r>
      <w:r w:rsidRPr="000953CE">
        <w:t>.</w:t>
      </w:r>
      <w:r>
        <w:t xml:space="preserve"> However, since I think we can compare contexts, my hope is that our views can be reconciled.</w:t>
      </w:r>
    </w:p>
    <w:p w14:paraId="118F21EF" w14:textId="77777777" w:rsidR="00F4617A" w:rsidRPr="000953CE" w:rsidRDefault="00F4617A" w:rsidP="00271740">
      <w:pPr>
        <w:pStyle w:val="FootnoteText"/>
        <w:jc w:val="both"/>
      </w:pPr>
      <w:r>
        <w:t xml:space="preserve">Duncan </w:t>
      </w:r>
      <w:r w:rsidRPr="000953CE">
        <w:t>Pritchard</w:t>
      </w:r>
      <w:r>
        <w:t xml:space="preserve">, </w:t>
      </w:r>
      <w:r w:rsidRPr="000953CE">
        <w:t>"Epistemic Risk</w:t>
      </w:r>
      <w:r>
        <w:t>,</w:t>
      </w:r>
      <w:r w:rsidRPr="000953CE">
        <w:t xml:space="preserve">" </w:t>
      </w:r>
      <w:r w:rsidRPr="00675875">
        <w:rPr>
          <w:i/>
        </w:rPr>
        <w:t>The Journal of Philosophy</w:t>
      </w:r>
      <w:r w:rsidRPr="000953CE">
        <w:t xml:space="preserve"> 113</w:t>
      </w:r>
      <w:r>
        <w:t>,</w:t>
      </w:r>
      <w:r w:rsidRPr="000953CE">
        <w:t xml:space="preserve"> </w:t>
      </w:r>
      <w:r>
        <w:t xml:space="preserve">no. </w:t>
      </w:r>
      <w:r w:rsidRPr="000953CE">
        <w:t>11</w:t>
      </w:r>
      <w:r>
        <w:t xml:space="preserve"> (2016):</w:t>
      </w:r>
      <w:r w:rsidRPr="000953CE">
        <w:t xml:space="preserve"> 550-571.</w:t>
      </w:r>
    </w:p>
  </w:footnote>
  <w:footnote w:id="11">
    <w:p w14:paraId="26F23EE8" w14:textId="17284EAD" w:rsidR="00F4617A" w:rsidRPr="00053970" w:rsidRDefault="00F4617A" w:rsidP="00053970">
      <w:pPr>
        <w:pStyle w:val="FootnoteText"/>
        <w:jc w:val="both"/>
        <w:rPr>
          <w:lang w:val="en-US"/>
        </w:rPr>
      </w:pPr>
      <w:r>
        <w:rPr>
          <w:rStyle w:val="FootnoteReference"/>
        </w:rPr>
        <w:footnoteRef/>
      </w:r>
      <w:r>
        <w:t xml:space="preserve"> </w:t>
      </w:r>
      <w:r w:rsidRPr="00053970">
        <w:t>The centerpiece of the idea of epistemic risk is its ability to substitute ‘approximate truth’ for ‘truth’</w:t>
      </w:r>
      <w:r>
        <w:t xml:space="preserve">, without turning into a </w:t>
      </w:r>
      <w:proofErr w:type="spellStart"/>
      <w:r>
        <w:t>fallibilist</w:t>
      </w:r>
      <w:proofErr w:type="spellEnd"/>
      <w:r>
        <w:t xml:space="preserve"> about knowledge</w:t>
      </w:r>
      <w:r w:rsidRPr="00053970">
        <w:t xml:space="preserve">. From a </w:t>
      </w:r>
      <w:r>
        <w:t xml:space="preserve">moderate </w:t>
      </w:r>
      <w:r w:rsidRPr="00053970">
        <w:t xml:space="preserve">skeptic’s point of view, truth is essential to knowledge, </w:t>
      </w:r>
      <w:r>
        <w:t>yet</w:t>
      </w:r>
      <w:r w:rsidRPr="00053970">
        <w:t xml:space="preserve"> is elusive in practical contexts as we try to go about the business of knowing things.</w:t>
      </w:r>
    </w:p>
  </w:footnote>
  <w:footnote w:id="12">
    <w:p w14:paraId="31A6971E" w14:textId="77777777" w:rsidR="00F4617A" w:rsidRPr="00CE0D0A" w:rsidRDefault="00F4617A" w:rsidP="00C93D65">
      <w:pPr>
        <w:pStyle w:val="FootnoteText"/>
        <w:rPr>
          <w:lang w:val="en-US"/>
        </w:rPr>
      </w:pPr>
      <w:r>
        <w:rPr>
          <w:rStyle w:val="FootnoteReference"/>
        </w:rPr>
        <w:footnoteRef/>
      </w:r>
      <w:r>
        <w:t xml:space="preserve"> </w:t>
      </w:r>
      <w:r>
        <w:rPr>
          <w:lang w:val="en-US"/>
        </w:rPr>
        <w:t xml:space="preserve">I owe this thought to Brendan </w:t>
      </w:r>
      <w:proofErr w:type="spellStart"/>
      <w:r>
        <w:rPr>
          <w:lang w:val="en-US"/>
        </w:rPr>
        <w:t>Fitelson</w:t>
      </w:r>
      <w:proofErr w:type="spellEnd"/>
      <w:r>
        <w:rPr>
          <w:lang w:val="en-US"/>
        </w:rPr>
        <w:t>.</w:t>
      </w:r>
    </w:p>
  </w:footnote>
  <w:footnote w:id="13">
    <w:p w14:paraId="5F0027BF" w14:textId="77777777" w:rsidR="00F4617A" w:rsidRPr="00AD79FB" w:rsidRDefault="00F4617A" w:rsidP="00C93D65">
      <w:pPr>
        <w:pStyle w:val="FootnoteText"/>
      </w:pPr>
      <w:r>
        <w:rPr>
          <w:rStyle w:val="FootnoteReference"/>
        </w:rPr>
        <w:footnoteRef/>
      </w:r>
      <w:r>
        <w:t xml:space="preserve"> </w:t>
      </w:r>
      <w:r w:rsidRPr="00AD79FB">
        <w:t xml:space="preserve">Grice, HP. 1975. "Logic and conversation." In </w:t>
      </w:r>
      <w:r w:rsidRPr="00AD79FB">
        <w:rPr>
          <w:i/>
        </w:rPr>
        <w:t>Syntax and semantics, volume 3: Speech acts</w:t>
      </w:r>
      <w:r w:rsidRPr="00AD79FB">
        <w:t>, by P &amp; Jerry Morgan Cole. New York: Academic.</w:t>
      </w:r>
    </w:p>
  </w:footnote>
  <w:footnote w:id="14">
    <w:p w14:paraId="14801210" w14:textId="147086F0" w:rsidR="00F4617A" w:rsidRDefault="00F4617A" w:rsidP="00082EE0">
      <w:pPr>
        <w:pStyle w:val="FootnoteText"/>
        <w:jc w:val="both"/>
      </w:pPr>
      <w:r w:rsidRPr="000953CE">
        <w:rPr>
          <w:rStyle w:val="FootnoteReference"/>
        </w:rPr>
        <w:footnoteRef/>
      </w:r>
      <w:r w:rsidRPr="000953CE">
        <w:t xml:space="preserve"> Though the concept of ‘epistemic risk’ is of recent </w:t>
      </w:r>
      <w:r>
        <w:t>vintage,</w:t>
      </w:r>
      <w:r w:rsidRPr="000953CE">
        <w:t xml:space="preserve"> the rough idea echoes earlier insights in legal philosophy. </w:t>
      </w:r>
      <w:r>
        <w:t>e.g., Fuller’s unfortunate King Rex:</w:t>
      </w:r>
    </w:p>
    <w:p w14:paraId="7054084C" w14:textId="0CCB8F5A" w:rsidR="00F4617A" w:rsidRPr="000953CE" w:rsidRDefault="00F4617A" w:rsidP="00082EE0">
      <w:pPr>
        <w:pStyle w:val="FootnoteText"/>
        <w:jc w:val="both"/>
      </w:pPr>
      <w:r>
        <w:t xml:space="preserve">Lon </w:t>
      </w:r>
      <w:r w:rsidRPr="000953CE">
        <w:t xml:space="preserve">Fuller, </w:t>
      </w:r>
      <w:r w:rsidRPr="000953CE">
        <w:rPr>
          <w:i/>
          <w:iCs/>
        </w:rPr>
        <w:t xml:space="preserve">Anatomy of Law </w:t>
      </w:r>
      <w:r>
        <w:rPr>
          <w:i/>
          <w:iCs/>
        </w:rPr>
        <w:t>(</w:t>
      </w:r>
      <w:r w:rsidRPr="000953CE">
        <w:t>Middlesex: Pelican Books</w:t>
      </w:r>
      <w:r>
        <w:t>, 1971).</w:t>
      </w:r>
    </w:p>
  </w:footnote>
  <w:footnote w:id="15">
    <w:p w14:paraId="0B1AB229" w14:textId="6DD5DFC5" w:rsidR="00F4617A" w:rsidRPr="00142025" w:rsidRDefault="00F4617A" w:rsidP="00142025">
      <w:pPr>
        <w:pStyle w:val="FootnoteText"/>
        <w:jc w:val="both"/>
      </w:pPr>
      <w:r>
        <w:rPr>
          <w:rStyle w:val="FootnoteReference"/>
        </w:rPr>
        <w:footnoteRef/>
      </w:r>
      <w:r>
        <w:t xml:space="preserve"> </w:t>
      </w:r>
      <w:r w:rsidRPr="00142025">
        <w:t>This is not, incidentally, a special case related to the issue of promulgation or accessibility. It is a general problem. Consider, e.g., the notion of ‘conflict of interest’, for a solicitor. In cases of conflict of interest, the lawyer has a risk of losing loyalty to their client. Introspectively, it seems that what counts as ‘loyalty’ is not a fixed notion, mapping directly onto situations in the world. It is a matter of interpretation -- there are clear cases of disloyalty, and many penumbral ones, which depend on intermediary values which affect our conditional judgments. So, two different people may disagree with what counts as disloyalty, and therefore, seemingly, have incommensurable risk-assessments.</w:t>
      </w:r>
    </w:p>
  </w:footnote>
  <w:footnote w:id="16">
    <w:p w14:paraId="7826E58C" w14:textId="74783F5D" w:rsidR="00F4617A" w:rsidRPr="000953CE" w:rsidRDefault="00F4617A" w:rsidP="008F51E0">
      <w:pPr>
        <w:pStyle w:val="FootnoteText"/>
        <w:rPr>
          <w:lang w:val="en-US"/>
        </w:rPr>
      </w:pPr>
      <w:r w:rsidRPr="000953CE">
        <w:rPr>
          <w:rStyle w:val="FootnoteReference"/>
        </w:rPr>
        <w:footnoteRef/>
      </w:r>
      <w:r w:rsidRPr="000953CE">
        <w:t xml:space="preserve"> </w:t>
      </w:r>
      <w:r>
        <w:t>In contrast to Gricean communicative intentions:</w:t>
      </w:r>
      <w:r>
        <w:br/>
        <w:t xml:space="preserve">HP </w:t>
      </w:r>
      <w:r w:rsidRPr="000953CE">
        <w:rPr>
          <w:lang w:val="en-US"/>
        </w:rPr>
        <w:t>Grice, “Meaning</w:t>
      </w:r>
      <w:r>
        <w:rPr>
          <w:lang w:val="en-US"/>
        </w:rPr>
        <w:t>,</w:t>
      </w:r>
      <w:r w:rsidRPr="000953CE">
        <w:rPr>
          <w:lang w:val="en-US"/>
        </w:rPr>
        <w:t xml:space="preserve">” </w:t>
      </w:r>
      <w:r w:rsidRPr="00532D1B">
        <w:rPr>
          <w:i/>
          <w:lang w:val="en-US"/>
        </w:rPr>
        <w:t>The Philosophical Review</w:t>
      </w:r>
      <w:r w:rsidRPr="000953CE">
        <w:rPr>
          <w:lang w:val="en-US"/>
        </w:rPr>
        <w:t xml:space="preserve"> 66</w:t>
      </w:r>
      <w:r>
        <w:rPr>
          <w:lang w:val="en-US"/>
        </w:rPr>
        <w:t>, no.</w:t>
      </w:r>
      <w:r w:rsidRPr="000953CE">
        <w:rPr>
          <w:lang w:val="en-US"/>
        </w:rPr>
        <w:t>3 (Jul.1957)</w:t>
      </w:r>
      <w:r>
        <w:rPr>
          <w:lang w:val="en-US"/>
        </w:rPr>
        <w:t>.</w:t>
      </w:r>
    </w:p>
  </w:footnote>
  <w:footnote w:id="17">
    <w:p w14:paraId="42C7CF1F" w14:textId="77777777" w:rsidR="00F4617A" w:rsidRPr="000953CE" w:rsidRDefault="00F4617A" w:rsidP="00CE3981">
      <w:pPr>
        <w:pStyle w:val="FootnoteText"/>
        <w:jc w:val="both"/>
        <w:rPr>
          <w:lang w:val="en-US"/>
        </w:rPr>
      </w:pPr>
      <w:r w:rsidRPr="000953CE">
        <w:rPr>
          <w:rStyle w:val="FootnoteReference"/>
        </w:rPr>
        <w:footnoteRef/>
      </w:r>
      <w:r w:rsidRPr="000953CE">
        <w:t xml:space="preserve"> </w:t>
      </w:r>
      <w:r w:rsidRPr="000953CE">
        <w:rPr>
          <w:lang w:val="en-US"/>
        </w:rPr>
        <w:t xml:space="preserve">Grice, </w:t>
      </w:r>
      <w:r>
        <w:rPr>
          <w:lang w:val="en-US"/>
        </w:rPr>
        <w:t>“Logic</w:t>
      </w:r>
      <w:r w:rsidRPr="000953CE">
        <w:rPr>
          <w:lang w:val="en-US"/>
        </w:rPr>
        <w:t>.</w:t>
      </w:r>
      <w:r>
        <w:rPr>
          <w:lang w:val="en-US"/>
        </w:rPr>
        <w:t>”</w:t>
      </w:r>
    </w:p>
  </w:footnote>
  <w:footnote w:id="18">
    <w:p w14:paraId="3604B427" w14:textId="3326D1E1" w:rsidR="00F4617A" w:rsidRPr="000953CE" w:rsidRDefault="00F4617A" w:rsidP="00082EE0">
      <w:pPr>
        <w:pStyle w:val="FootnoteText"/>
        <w:jc w:val="both"/>
      </w:pPr>
      <w:r w:rsidRPr="000953CE">
        <w:rPr>
          <w:rStyle w:val="FootnoteReference"/>
        </w:rPr>
        <w:footnoteRef/>
      </w:r>
      <w:r w:rsidRPr="000953CE">
        <w:t xml:space="preserve"> </w:t>
      </w:r>
      <w:r>
        <w:t xml:space="preserve">HP </w:t>
      </w:r>
      <w:r w:rsidRPr="000953CE">
        <w:t>Grice, "Logic and conversation</w:t>
      </w:r>
      <w:r>
        <w:t>,”</w:t>
      </w:r>
      <w:r w:rsidRPr="000953CE">
        <w:t xml:space="preserve"> </w:t>
      </w:r>
      <w:r>
        <w:t>i</w:t>
      </w:r>
      <w:r w:rsidRPr="000953CE">
        <w:t xml:space="preserve">n </w:t>
      </w:r>
      <w:r w:rsidRPr="000953CE">
        <w:rPr>
          <w:i/>
        </w:rPr>
        <w:t>Syntax and semantics, volume 3: Speech acts</w:t>
      </w:r>
      <w:r w:rsidRPr="000953CE">
        <w:t xml:space="preserve">, </w:t>
      </w:r>
      <w:r>
        <w:t xml:space="preserve">eds. </w:t>
      </w:r>
      <w:r w:rsidRPr="000953CE">
        <w:t xml:space="preserve">Jerry Morgan </w:t>
      </w:r>
      <w:r>
        <w:t xml:space="preserve">&amp; P </w:t>
      </w:r>
      <w:r w:rsidRPr="000953CE">
        <w:t xml:space="preserve">Cole </w:t>
      </w:r>
      <w:r>
        <w:t>(</w:t>
      </w:r>
      <w:r w:rsidRPr="000953CE">
        <w:t>New York: Academic</w:t>
      </w:r>
      <w:r>
        <w:t>, 1975).</w:t>
      </w:r>
    </w:p>
  </w:footnote>
  <w:footnote w:id="19">
    <w:p w14:paraId="18A531E7" w14:textId="08228B40" w:rsidR="00F4617A" w:rsidRPr="000953CE" w:rsidRDefault="00F4617A" w:rsidP="00082EE0">
      <w:pPr>
        <w:pStyle w:val="FootnoteText"/>
        <w:jc w:val="both"/>
        <w:rPr>
          <w:lang w:val="en-US"/>
        </w:rPr>
      </w:pPr>
      <w:r w:rsidRPr="000953CE">
        <w:rPr>
          <w:rStyle w:val="FootnoteReference"/>
        </w:rPr>
        <w:footnoteRef/>
      </w:r>
      <w:r w:rsidRPr="000953CE">
        <w:t xml:space="preserve"> </w:t>
      </w:r>
      <w:r w:rsidRPr="000953CE">
        <w:rPr>
          <w:lang w:val="en-US"/>
        </w:rPr>
        <w:t xml:space="preserve">Grice, </w:t>
      </w:r>
      <w:r>
        <w:rPr>
          <w:lang w:val="en-US"/>
        </w:rPr>
        <w:t xml:space="preserve">“Logic,” </w:t>
      </w:r>
      <w:r w:rsidRPr="000953CE">
        <w:rPr>
          <w:lang w:val="en-US"/>
        </w:rPr>
        <w:t>48</w:t>
      </w:r>
      <w:r>
        <w:rPr>
          <w:lang w:val="en-US"/>
        </w:rPr>
        <w:t>.</w:t>
      </w:r>
    </w:p>
  </w:footnote>
  <w:footnote w:id="20">
    <w:p w14:paraId="0ED8193F" w14:textId="28A96427" w:rsidR="00F4617A" w:rsidRPr="000953CE" w:rsidRDefault="00F4617A" w:rsidP="00082EE0">
      <w:pPr>
        <w:pStyle w:val="FootnoteText"/>
        <w:jc w:val="both"/>
        <w:rPr>
          <w:lang w:val="en-US"/>
        </w:rPr>
      </w:pPr>
      <w:r w:rsidRPr="000953CE">
        <w:rPr>
          <w:rStyle w:val="FootnoteReference"/>
        </w:rPr>
        <w:footnoteRef/>
      </w:r>
      <w:r w:rsidRPr="000953CE">
        <w:t xml:space="preserve"> </w:t>
      </w:r>
      <w:r>
        <w:t xml:space="preserve">Michel </w:t>
      </w:r>
      <w:r w:rsidRPr="000953CE">
        <w:t>Foucault</w:t>
      </w:r>
      <w:r>
        <w:t xml:space="preserve">, </w:t>
      </w:r>
      <w:r w:rsidRPr="000953CE">
        <w:rPr>
          <w:i/>
        </w:rPr>
        <w:t>Discipline and Punish: The Birth of the Prison</w:t>
      </w:r>
      <w:r>
        <w:rPr>
          <w:i/>
        </w:rPr>
        <w:t>,</w:t>
      </w:r>
      <w:r w:rsidRPr="000953CE">
        <w:t xml:space="preserve"> </w:t>
      </w:r>
      <w:r>
        <w:t>(</w:t>
      </w:r>
      <w:r w:rsidRPr="000953CE">
        <w:t>New York: Vintage Books</w:t>
      </w:r>
      <w:r>
        <w:t xml:space="preserve">, 1977) at </w:t>
      </w:r>
      <w:r w:rsidRPr="000953CE">
        <w:t>395-6.</w:t>
      </w:r>
    </w:p>
  </w:footnote>
  <w:footnote w:id="21">
    <w:p w14:paraId="7B2423CC" w14:textId="2B355A4E" w:rsidR="00F4617A" w:rsidRPr="000953CE" w:rsidRDefault="00F4617A" w:rsidP="00082EE0">
      <w:pPr>
        <w:pStyle w:val="FootnoteText"/>
        <w:jc w:val="both"/>
        <w:rPr>
          <w:highlight w:val="yellow"/>
        </w:rPr>
      </w:pPr>
      <w:r w:rsidRPr="000953CE">
        <w:rPr>
          <w:rStyle w:val="FootnoteReference"/>
        </w:rPr>
        <w:footnoteRef/>
      </w:r>
      <w:r w:rsidRPr="000953CE">
        <w:t xml:space="preserve"> </w:t>
      </w:r>
      <w:r>
        <w:t xml:space="preserve">Ronald </w:t>
      </w:r>
      <w:r w:rsidRPr="000953CE">
        <w:t>Dworkin</w:t>
      </w:r>
      <w:r>
        <w:t xml:space="preserve">, </w:t>
      </w:r>
      <w:r w:rsidRPr="000953CE">
        <w:rPr>
          <w:i/>
        </w:rPr>
        <w:t>Law's Empire</w:t>
      </w:r>
      <w:r>
        <w:rPr>
          <w:i/>
        </w:rPr>
        <w:t>,</w:t>
      </w:r>
      <w:r w:rsidRPr="000953CE">
        <w:t xml:space="preserve"> </w:t>
      </w:r>
      <w:r>
        <w:t>(</w:t>
      </w:r>
      <w:r w:rsidRPr="000953CE">
        <w:t>Cambridge: Harvard University Press</w:t>
      </w:r>
      <w:r>
        <w:t>, 1986).</w:t>
      </w:r>
    </w:p>
  </w:footnote>
  <w:footnote w:id="22">
    <w:p w14:paraId="62A27941" w14:textId="5A4A088F" w:rsidR="00F4617A" w:rsidRPr="000953CE" w:rsidRDefault="00F4617A" w:rsidP="00082EE0">
      <w:pPr>
        <w:pStyle w:val="FootnoteText"/>
        <w:jc w:val="both"/>
        <w:rPr>
          <w:lang w:val="en-US"/>
        </w:rPr>
      </w:pPr>
      <w:r w:rsidRPr="000953CE">
        <w:rPr>
          <w:rStyle w:val="FootnoteReference"/>
        </w:rPr>
        <w:footnoteRef/>
      </w:r>
      <w:r w:rsidRPr="000953CE">
        <w:t xml:space="preserve"> </w:t>
      </w:r>
      <w:r>
        <w:t xml:space="preserve">Roger </w:t>
      </w:r>
      <w:r w:rsidRPr="000953CE">
        <w:rPr>
          <w:lang w:val="en-US"/>
        </w:rPr>
        <w:t>Shiner, “Hart on Judicial Discretion</w:t>
      </w:r>
      <w:r>
        <w:rPr>
          <w:lang w:val="en-US"/>
        </w:rPr>
        <w:t>,</w:t>
      </w:r>
      <w:r w:rsidRPr="000953CE">
        <w:rPr>
          <w:lang w:val="en-US"/>
        </w:rPr>
        <w:t xml:space="preserve">” </w:t>
      </w:r>
      <w:r w:rsidRPr="00974A57">
        <w:rPr>
          <w:i/>
          <w:lang w:val="en-US"/>
        </w:rPr>
        <w:t>Current Legal Problems</w:t>
      </w:r>
      <w:r>
        <w:rPr>
          <w:i/>
          <w:lang w:val="en-US"/>
        </w:rPr>
        <w:t xml:space="preserve"> </w:t>
      </w:r>
      <w:r w:rsidRPr="00974A57">
        <w:rPr>
          <w:lang w:val="en-US"/>
        </w:rPr>
        <w:t>40</w:t>
      </w:r>
      <w:r>
        <w:rPr>
          <w:i/>
          <w:lang w:val="en-US"/>
        </w:rPr>
        <w:t xml:space="preserve">, </w:t>
      </w:r>
      <w:r w:rsidRPr="00974A57">
        <w:rPr>
          <w:lang w:val="en-US"/>
        </w:rPr>
        <w:t xml:space="preserve">no. 1 </w:t>
      </w:r>
      <w:r>
        <w:rPr>
          <w:lang w:val="en-US"/>
        </w:rPr>
        <w:t>(2011).</w:t>
      </w:r>
    </w:p>
  </w:footnote>
  <w:footnote w:id="23">
    <w:p w14:paraId="72FD64C7" w14:textId="7A1AEB53" w:rsidR="00F4617A" w:rsidRPr="000953CE" w:rsidRDefault="00F4617A" w:rsidP="00082EE0">
      <w:pPr>
        <w:pStyle w:val="FootnoteText"/>
        <w:jc w:val="both"/>
      </w:pPr>
      <w:r w:rsidRPr="000953CE">
        <w:rPr>
          <w:rStyle w:val="FootnoteReference"/>
        </w:rPr>
        <w:footnoteRef/>
      </w:r>
      <w:r w:rsidRPr="000953CE">
        <w:t xml:space="preserve"> </w:t>
      </w:r>
      <w:r>
        <w:t>A ‘meta-conversation’ refers to the hypothesis</w:t>
      </w:r>
      <w:r w:rsidRPr="000953CE">
        <w:t xml:space="preserve"> that we are </w:t>
      </w:r>
      <w:r>
        <w:t xml:space="preserve">always </w:t>
      </w:r>
      <w:r w:rsidRPr="000953CE">
        <w:t>engaged in an exchange of implicit presuppositions</w:t>
      </w:r>
      <w:r>
        <w:t xml:space="preserve"> </w:t>
      </w:r>
      <w:r w:rsidRPr="000953CE">
        <w:t>which partially establish our shared common ground</w:t>
      </w:r>
      <w:r>
        <w:t>.</w:t>
      </w:r>
      <w:r w:rsidRPr="000953CE">
        <w:t xml:space="preserve"> </w:t>
      </w:r>
      <w:r>
        <w:t>For example, s</w:t>
      </w:r>
      <w:r w:rsidRPr="000953CE">
        <w:t>ee:</w:t>
      </w:r>
    </w:p>
    <w:p w14:paraId="78393100" w14:textId="79FCBE05" w:rsidR="00F4617A" w:rsidRPr="00F54DC2" w:rsidRDefault="00F4617A" w:rsidP="00F54DC2">
      <w:pPr>
        <w:pStyle w:val="FootnoteText"/>
        <w:jc w:val="both"/>
      </w:pPr>
      <w:r>
        <w:t xml:space="preserve">Rae </w:t>
      </w:r>
      <w:r w:rsidRPr="000953CE">
        <w:t>Langton</w:t>
      </w:r>
      <w:r>
        <w:t xml:space="preserve">, </w:t>
      </w:r>
      <w:r w:rsidRPr="000953CE">
        <w:t>“</w:t>
      </w:r>
      <w:r w:rsidRPr="000953CE">
        <w:rPr>
          <w:bCs/>
        </w:rPr>
        <w:t>Beyond Belief: Pragmatics in Hate Speech and Pornography</w:t>
      </w:r>
      <w:r>
        <w:rPr>
          <w:bCs/>
        </w:rPr>
        <w:t>,</w:t>
      </w:r>
      <w:r w:rsidRPr="000953CE">
        <w:rPr>
          <w:bCs/>
        </w:rPr>
        <w:t>”</w:t>
      </w:r>
      <w:r>
        <w:rPr>
          <w:bCs/>
        </w:rPr>
        <w:t xml:space="preserve"> in</w:t>
      </w:r>
      <w:r w:rsidRPr="000953CE">
        <w:t xml:space="preserve"> </w:t>
      </w:r>
      <w:r w:rsidRPr="000953CE">
        <w:rPr>
          <w:i/>
          <w:iCs/>
        </w:rPr>
        <w:t>Speech and Harm: Controversies Over Free Speech</w:t>
      </w:r>
      <w:r>
        <w:rPr>
          <w:i/>
          <w:iCs/>
        </w:rPr>
        <w:t xml:space="preserve">, </w:t>
      </w:r>
      <w:r w:rsidRPr="00974A57">
        <w:rPr>
          <w:iCs/>
        </w:rPr>
        <w:t>eds</w:t>
      </w:r>
      <w:r>
        <w:rPr>
          <w:i/>
          <w:iCs/>
        </w:rPr>
        <w:t xml:space="preserve">. </w:t>
      </w:r>
      <w:r w:rsidRPr="008350E6">
        <w:rPr>
          <w:iCs/>
        </w:rPr>
        <w:t>Mary Kate McGowan</w:t>
      </w:r>
      <w:r>
        <w:rPr>
          <w:iCs/>
        </w:rPr>
        <w:t xml:space="preserve"> &amp;</w:t>
      </w:r>
      <w:r w:rsidRPr="008350E6">
        <w:rPr>
          <w:iCs/>
        </w:rPr>
        <w:t xml:space="preserve"> </w:t>
      </w:r>
      <w:proofErr w:type="spellStart"/>
      <w:r w:rsidRPr="008350E6">
        <w:rPr>
          <w:iCs/>
        </w:rPr>
        <w:t>Ishani</w:t>
      </w:r>
      <w:proofErr w:type="spellEnd"/>
      <w:r w:rsidRPr="008350E6">
        <w:rPr>
          <w:iCs/>
        </w:rPr>
        <w:t xml:space="preserve"> Maitra</w:t>
      </w:r>
      <w:r>
        <w:rPr>
          <w:iCs/>
        </w:rPr>
        <w:t>,</w:t>
      </w:r>
      <w:r>
        <w:rPr>
          <w:i/>
          <w:iCs/>
        </w:rPr>
        <w:t xml:space="preserve"> </w:t>
      </w:r>
      <w:r>
        <w:t>(</w:t>
      </w:r>
      <w:proofErr w:type="spellStart"/>
      <w:r w:rsidRPr="000953CE">
        <w:t>Oxford:Oxford</w:t>
      </w:r>
      <w:proofErr w:type="spellEnd"/>
      <w:r>
        <w:t>, 2012)</w:t>
      </w:r>
      <w:r w:rsidRPr="000953CE">
        <w:t>.</w:t>
      </w:r>
    </w:p>
  </w:footnote>
  <w:footnote w:id="24">
    <w:p w14:paraId="5099EE68" w14:textId="10CCBBCE" w:rsidR="00F4617A" w:rsidRDefault="00F4617A" w:rsidP="00DD6A0B">
      <w:pPr>
        <w:pStyle w:val="FootnoteText"/>
        <w:jc w:val="both"/>
      </w:pPr>
      <w:r>
        <w:rPr>
          <w:rStyle w:val="FootnoteReference"/>
        </w:rPr>
        <w:footnoteRef/>
      </w:r>
      <w:r>
        <w:t xml:space="preserve"> </w:t>
      </w:r>
      <w:r w:rsidRPr="00DD6A0B">
        <w:t>I have overlooked subjective conditions related to the requirements of</w:t>
      </w:r>
      <w:r>
        <w:t xml:space="preserve"> good</w:t>
      </w:r>
      <w:r w:rsidRPr="00DD6A0B">
        <w:t xml:space="preserve"> character that might be reliable preconditions for reasonable uptake; these, I suppose, fall under the heading of ‘good will’. I have also focused on the intellectual aspects of good faith and not the sentimental aspects, not because sentiments are </w:t>
      </w:r>
      <w:r w:rsidRPr="00DD6A0B">
        <w:rPr>
          <w:i/>
        </w:rPr>
        <w:t>un</w:t>
      </w:r>
      <w:r w:rsidRPr="00DD6A0B">
        <w:t>important to promulgation and epistemic risk (e.g., as far as they bear on motivated inference), but only because I am less confident that I have sorted through the complexities of the relationship between the sentiments and uptake.</w:t>
      </w:r>
    </w:p>
    <w:p w14:paraId="631A5E4C" w14:textId="059A5F2F" w:rsidR="00F4617A" w:rsidRPr="00DD6A0B" w:rsidRDefault="00F4617A" w:rsidP="00DD6A0B">
      <w:pPr>
        <w:pStyle w:val="FootnoteText"/>
        <w:ind w:firstLine="720"/>
        <w:jc w:val="both"/>
      </w:pPr>
      <w:r w:rsidRPr="00DD6A0B">
        <w:t xml:space="preserve">Another tacit requirement of intellectual good faith is that, when successful, it suggests participants be in a position to take up a </w:t>
      </w:r>
      <w:r w:rsidRPr="00DD6A0B">
        <w:rPr>
          <w:i/>
        </w:rPr>
        <w:t>minimal explanatory effort</w:t>
      </w:r>
      <w:r w:rsidRPr="00DD6A0B">
        <w:t>, i.e., an effort to explain what law is and what it demands. So, an effort should count as minimally satisfactory insofar as the novice has the capacity to make judgments about civil affairs that are free of errors of an especially egregious kind, which we might call ‘</w:t>
      </w:r>
      <w:proofErr w:type="gramStart"/>
      <w:r w:rsidRPr="00DD6A0B">
        <w:rPr>
          <w:i/>
        </w:rPr>
        <w:t>blunders’</w:t>
      </w:r>
      <w:proofErr w:type="gramEnd"/>
      <w:r w:rsidRPr="00DD6A0B">
        <w:t xml:space="preserve">. Here, a blunder is distinguished between </w:t>
      </w:r>
      <w:r w:rsidRPr="00DD6A0B">
        <w:rPr>
          <w:i/>
        </w:rPr>
        <w:t>mere mistakes</w:t>
      </w:r>
      <w:r w:rsidRPr="00DD6A0B">
        <w:t xml:space="preserve"> or </w:t>
      </w:r>
      <w:r w:rsidRPr="00DD6A0B">
        <w:rPr>
          <w:i/>
        </w:rPr>
        <w:t>errors</w:t>
      </w:r>
      <w:r w:rsidRPr="00DD6A0B">
        <w:t>, in that its irrationality does not owe to mere failures in collecting data, but rather to defects of intentionality. That, in turn, means they must possess some obvious virtues of epistemic agency -- e.g., responsiveness to reasons, interprets evidence in proportion to data, and an inclination to take responsibility for judgment, etc. But these, too, are aspects of the good will.</w:t>
      </w:r>
    </w:p>
  </w:footnote>
  <w:footnote w:id="25">
    <w:p w14:paraId="02C0FE0E" w14:textId="77777777" w:rsidR="00F4617A" w:rsidRPr="0006353F" w:rsidRDefault="00F4617A" w:rsidP="00DD6A0B">
      <w:pPr>
        <w:pStyle w:val="FootnoteText"/>
      </w:pPr>
      <w:r>
        <w:rPr>
          <w:rStyle w:val="FootnoteReference"/>
        </w:rPr>
        <w:footnoteRef/>
      </w:r>
      <w:r>
        <w:t xml:space="preserve"> </w:t>
      </w:r>
      <w:r w:rsidRPr="0006353F">
        <w:t xml:space="preserve">Foucault, Michel. 1977. </w:t>
      </w:r>
      <w:r w:rsidRPr="0006353F">
        <w:rPr>
          <w:i/>
        </w:rPr>
        <w:t>Discipline and Punish: The Birth of the Prison.</w:t>
      </w:r>
      <w:r w:rsidRPr="0006353F">
        <w:t xml:space="preserve"> New York: Vintage Books.</w:t>
      </w:r>
    </w:p>
  </w:footnote>
  <w:footnote w:id="26">
    <w:p w14:paraId="40DF00BB" w14:textId="77777777" w:rsidR="00F4617A" w:rsidRDefault="00F4617A" w:rsidP="00DD6A0B">
      <w:pPr>
        <w:pStyle w:val="FootnoteText"/>
      </w:pPr>
      <w:r>
        <w:rPr>
          <w:rStyle w:val="FootnoteReference"/>
        </w:rPr>
        <w:footnoteRef/>
      </w:r>
      <w:r>
        <w:t xml:space="preserve"> </w:t>
      </w:r>
      <w:r w:rsidRPr="00475A20">
        <w:t xml:space="preserve">Dworkin, Ronald. 1986. </w:t>
      </w:r>
      <w:r w:rsidRPr="00475A20">
        <w:rPr>
          <w:i/>
        </w:rPr>
        <w:t>Law's Empire.</w:t>
      </w:r>
      <w:r w:rsidRPr="00475A20">
        <w:t xml:space="preserve"> Cambridge: Harvard University Press.</w:t>
      </w:r>
    </w:p>
    <w:p w14:paraId="462BCEC4" w14:textId="77777777" w:rsidR="00F4617A" w:rsidRPr="00475A20" w:rsidRDefault="00F4617A" w:rsidP="00DD6A0B">
      <w:pPr>
        <w:pStyle w:val="FootnoteText"/>
      </w:pPr>
      <w:r w:rsidRPr="00475A20">
        <w:t xml:space="preserve">Austin, John. 1995. </w:t>
      </w:r>
      <w:r w:rsidRPr="00475A20">
        <w:rPr>
          <w:i/>
        </w:rPr>
        <w:t>The Province of Jurisprudence Determined.</w:t>
      </w:r>
      <w:r w:rsidRPr="00475A20">
        <w:t xml:space="preserve"> Cambridge: Cambridge University Press.</w:t>
      </w:r>
    </w:p>
  </w:footnote>
  <w:footnote w:id="27">
    <w:p w14:paraId="19A814F7" w14:textId="77777777" w:rsidR="00F4617A" w:rsidRPr="00475A20" w:rsidRDefault="00F4617A" w:rsidP="00DD6A0B">
      <w:pPr>
        <w:pStyle w:val="FootnoteText"/>
      </w:pPr>
      <w:r>
        <w:rPr>
          <w:rStyle w:val="FootnoteReference"/>
        </w:rPr>
        <w:footnoteRef/>
      </w:r>
      <w:r>
        <w:t xml:space="preserve"> </w:t>
      </w:r>
      <w:r w:rsidRPr="00475A20">
        <w:t xml:space="preserve">Aquinas, Thomas. 1944. </w:t>
      </w:r>
      <w:r w:rsidRPr="00475A20">
        <w:rPr>
          <w:i/>
        </w:rPr>
        <w:t>Basic Writings of Saint Thomas Aquinas.</w:t>
      </w:r>
      <w:r w:rsidRPr="00475A20">
        <w:t xml:space="preserve"> Edited by Anton C. </w:t>
      </w:r>
      <w:proofErr w:type="spellStart"/>
      <w:r w:rsidRPr="00475A20">
        <w:t>Pegis</w:t>
      </w:r>
      <w:proofErr w:type="spellEnd"/>
      <w:r w:rsidRPr="00475A20">
        <w:t>. Vols. I-II. New York: Random House.</w:t>
      </w:r>
    </w:p>
  </w:footnote>
  <w:footnote w:id="28">
    <w:p w14:paraId="6F9358C5" w14:textId="57670AC6" w:rsidR="00F4617A" w:rsidRPr="000953CE" w:rsidRDefault="00F4617A" w:rsidP="00082EE0">
      <w:pPr>
        <w:pStyle w:val="FootnoteText"/>
        <w:jc w:val="both"/>
        <w:rPr>
          <w:lang w:val="en-US"/>
        </w:rPr>
      </w:pPr>
      <w:r w:rsidRPr="000953CE">
        <w:rPr>
          <w:rStyle w:val="FootnoteReference"/>
        </w:rPr>
        <w:footnoteRef/>
      </w:r>
      <w:r w:rsidRPr="000953CE">
        <w:t xml:space="preserve"> </w:t>
      </w:r>
      <w:r w:rsidRPr="000953CE">
        <w:rPr>
          <w:lang w:val="en-US"/>
        </w:rPr>
        <w:t>Grice, 1975</w:t>
      </w:r>
      <w:r>
        <w:rPr>
          <w:lang w:val="en-US"/>
        </w:rPr>
        <w:t>,</w:t>
      </w:r>
      <w:r w:rsidRPr="000953CE">
        <w:rPr>
          <w:lang w:val="en-US"/>
        </w:rPr>
        <w:t xml:space="preserve"> </w:t>
      </w:r>
      <w:r>
        <w:rPr>
          <w:lang w:val="en-US"/>
        </w:rPr>
        <w:t>i</w:t>
      </w:r>
      <w:r w:rsidRPr="000953CE">
        <w:rPr>
          <w:lang w:val="en-US"/>
        </w:rPr>
        <w:t xml:space="preserve">bid. </w:t>
      </w:r>
    </w:p>
  </w:footnote>
  <w:footnote w:id="29">
    <w:p w14:paraId="64B9076C" w14:textId="041092BB" w:rsidR="00F4617A" w:rsidRDefault="00F4617A" w:rsidP="00DD6A0B">
      <w:pPr>
        <w:pStyle w:val="FootnoteText"/>
        <w:jc w:val="both"/>
      </w:pPr>
      <w:r w:rsidRPr="00737FA2">
        <w:rPr>
          <w:rStyle w:val="FootnoteReference"/>
        </w:rPr>
        <w:footnoteRef/>
      </w:r>
      <w:r w:rsidRPr="00737FA2">
        <w:t xml:space="preserve"> </w:t>
      </w:r>
      <w:r w:rsidRPr="009C6A50">
        <w:t xml:space="preserve">The idea was to notice that what is said amounts to being a system of entailments; that the literal meaning of what is said is a sophisticated </w:t>
      </w:r>
      <w:r w:rsidRPr="009C6A50">
        <w:rPr>
          <w:i/>
        </w:rPr>
        <w:t>general</w:t>
      </w:r>
      <w:r w:rsidRPr="009C6A50">
        <w:t xml:space="preserve"> intention of a speaker to communicate, and where implicatures are found in specific contexts by the use of similarly sophisticated intentions</w:t>
      </w:r>
      <w:r>
        <w:t xml:space="preserve">. </w:t>
      </w:r>
      <w:r w:rsidRPr="008F0C4C">
        <w:t xml:space="preserve">To be sure, not everyone is entirely satisfied with Grice’s distinction between these two classes of speech, owing to some unclarity over whether (and on what conditions) some verbal offerings can be taken back (i.e., </w:t>
      </w:r>
      <w:r w:rsidRPr="008F0C4C">
        <w:rPr>
          <w:i/>
        </w:rPr>
        <w:t>cancelled</w:t>
      </w:r>
      <w:r w:rsidRPr="008F0C4C">
        <w:t>).</w:t>
      </w:r>
      <w:r>
        <w:t xml:space="preserve"> See:</w:t>
      </w:r>
    </w:p>
    <w:p w14:paraId="43F8E539" w14:textId="715F0112" w:rsidR="00F4617A" w:rsidRPr="008F0C4C" w:rsidRDefault="00F4617A" w:rsidP="00F54DC2">
      <w:pPr>
        <w:pStyle w:val="FootnoteText"/>
      </w:pPr>
      <w:r w:rsidRPr="00737FA2">
        <w:t xml:space="preserve">Gregor </w:t>
      </w:r>
      <w:r w:rsidRPr="00737FA2">
        <w:rPr>
          <w:lang w:val="en-US"/>
        </w:rPr>
        <w:t xml:space="preserve">Walczak, “On </w:t>
      </w:r>
      <w:proofErr w:type="spellStart"/>
      <w:r w:rsidRPr="00737FA2">
        <w:rPr>
          <w:lang w:val="en-US"/>
        </w:rPr>
        <w:t>explicatures</w:t>
      </w:r>
      <w:proofErr w:type="spellEnd"/>
      <w:r w:rsidRPr="00737FA2">
        <w:rPr>
          <w:lang w:val="en-US"/>
        </w:rPr>
        <w:t xml:space="preserve">, cancellability and cancellation”, </w:t>
      </w:r>
      <w:proofErr w:type="spellStart"/>
      <w:r w:rsidRPr="00737FA2">
        <w:rPr>
          <w:i/>
          <w:lang w:val="en-US"/>
        </w:rPr>
        <w:t>Springerplus</w:t>
      </w:r>
      <w:proofErr w:type="spellEnd"/>
      <w:r w:rsidRPr="00737FA2">
        <w:rPr>
          <w:lang w:val="en-US"/>
        </w:rPr>
        <w:t xml:space="preserve"> 5, no. 1 (2016) </w:t>
      </w:r>
      <w:hyperlink r:id="rId1" w:history="1">
        <w:r w:rsidRPr="00737FA2">
          <w:rPr>
            <w:rStyle w:val="Hyperlink"/>
            <w:lang w:val="en-US"/>
          </w:rPr>
          <w:t>https://www.ncbi.nlm.nih.gov/pmc/articles/PMC4949192/</w:t>
        </w:r>
      </w:hyperlink>
    </w:p>
  </w:footnote>
  <w:footnote w:id="30">
    <w:p w14:paraId="64BCE61D" w14:textId="587136B9" w:rsidR="00F4617A" w:rsidRPr="000953CE" w:rsidRDefault="00F4617A" w:rsidP="00082EE0">
      <w:pPr>
        <w:pStyle w:val="FootnoteText"/>
        <w:jc w:val="both"/>
        <w:rPr>
          <w:lang w:val="en-US"/>
        </w:rPr>
      </w:pPr>
      <w:r w:rsidRPr="000953CE">
        <w:rPr>
          <w:rStyle w:val="FootnoteReference"/>
        </w:rPr>
        <w:footnoteRef/>
      </w:r>
      <w:r w:rsidRPr="000953CE">
        <w:t xml:space="preserve"> </w:t>
      </w:r>
      <w:r>
        <w:t>O</w:t>
      </w:r>
      <w:r w:rsidRPr="000953CE">
        <w:t xml:space="preserve">ur task is not necessarily to do with the transmission of Gricean </w:t>
      </w:r>
      <w:r w:rsidRPr="000953CE">
        <w:rPr>
          <w:i/>
        </w:rPr>
        <w:t>meanin</w:t>
      </w:r>
      <w:r>
        <w:rPr>
          <w:i/>
        </w:rPr>
        <w:t>g</w:t>
      </w:r>
      <w:r w:rsidRPr="000953CE">
        <w:t xml:space="preserve">, if we take meaning to be </w:t>
      </w:r>
      <w:r w:rsidRPr="00F54DC2">
        <w:rPr>
          <w:i/>
        </w:rPr>
        <w:t>definitely</w:t>
      </w:r>
      <w:r w:rsidRPr="000953CE">
        <w:t xml:space="preserve"> </w:t>
      </w:r>
      <w:r w:rsidRPr="000953CE">
        <w:rPr>
          <w:i/>
        </w:rPr>
        <w:t>natural</w:t>
      </w:r>
      <w:r w:rsidRPr="000953CE">
        <w:t xml:space="preserve"> or </w:t>
      </w:r>
      <w:r w:rsidRPr="000953CE">
        <w:rPr>
          <w:i/>
        </w:rPr>
        <w:t>non-natural</w:t>
      </w:r>
      <w:r w:rsidRPr="000953CE">
        <w:t>.</w:t>
      </w:r>
    </w:p>
  </w:footnote>
  <w:footnote w:id="31">
    <w:p w14:paraId="7E427628" w14:textId="29F5A506" w:rsidR="00F4617A" w:rsidRPr="000953CE" w:rsidRDefault="00F4617A" w:rsidP="00082EE0">
      <w:pPr>
        <w:pStyle w:val="FootnoteText"/>
        <w:jc w:val="both"/>
        <w:rPr>
          <w:lang w:val="en-US"/>
        </w:rPr>
      </w:pPr>
      <w:r w:rsidRPr="000953CE">
        <w:rPr>
          <w:rStyle w:val="FootnoteReference"/>
        </w:rPr>
        <w:footnoteRef/>
      </w:r>
      <w:r w:rsidRPr="000953CE">
        <w:t xml:space="preserve"> </w:t>
      </w:r>
      <w:r>
        <w:t xml:space="preserve">SE </w:t>
      </w:r>
      <w:r w:rsidRPr="000953CE">
        <w:rPr>
          <w:lang w:val="en-US"/>
        </w:rPr>
        <w:t xml:space="preserve">Murray treats not-at-issue content as </w:t>
      </w:r>
      <w:r>
        <w:rPr>
          <w:lang w:val="en-US"/>
        </w:rPr>
        <w:t>being</w:t>
      </w:r>
      <w:r w:rsidRPr="000953CE">
        <w:rPr>
          <w:lang w:val="en-US"/>
        </w:rPr>
        <w:t xml:space="preserve"> tacit proposals for updating common ground for the sake of structuring contexts.</w:t>
      </w:r>
      <w:r>
        <w:rPr>
          <w:lang w:val="en-US"/>
        </w:rPr>
        <w:t xml:space="preserve"> The notion of ‘meta-conversation’, as I use it here, assumes something like Murray’s articulation of the idea.</w:t>
      </w:r>
    </w:p>
    <w:p w14:paraId="4B9549CF" w14:textId="48EC3D8F" w:rsidR="00F4617A" w:rsidRPr="000953CE" w:rsidRDefault="00F4617A" w:rsidP="00082EE0">
      <w:pPr>
        <w:pStyle w:val="FootnoteText"/>
        <w:jc w:val="both"/>
        <w:rPr>
          <w:lang w:val="en-US"/>
        </w:rPr>
      </w:pPr>
      <w:r>
        <w:rPr>
          <w:lang w:val="en-US"/>
        </w:rPr>
        <w:t xml:space="preserve">Sarah E </w:t>
      </w:r>
      <w:r w:rsidRPr="000953CE">
        <w:rPr>
          <w:lang w:val="en-US"/>
        </w:rPr>
        <w:t>Murray</w:t>
      </w:r>
      <w:r>
        <w:rPr>
          <w:lang w:val="en-US"/>
        </w:rPr>
        <w:t xml:space="preserve">, </w:t>
      </w:r>
      <w:r w:rsidRPr="000953CE">
        <w:rPr>
          <w:lang w:val="en-US"/>
        </w:rPr>
        <w:t>“Varieties of Update</w:t>
      </w:r>
      <w:r>
        <w:rPr>
          <w:lang w:val="en-US"/>
        </w:rPr>
        <w:t>,</w:t>
      </w:r>
      <w:r w:rsidRPr="000953CE">
        <w:rPr>
          <w:lang w:val="en-US"/>
        </w:rPr>
        <w:t xml:space="preserve">” </w:t>
      </w:r>
      <w:r w:rsidRPr="00DE1FAB">
        <w:rPr>
          <w:i/>
          <w:lang w:val="en-US"/>
        </w:rPr>
        <w:t>Semantics and Pragmatics</w:t>
      </w:r>
      <w:r w:rsidRPr="000953CE">
        <w:rPr>
          <w:lang w:val="en-US"/>
        </w:rPr>
        <w:t xml:space="preserve"> 7</w:t>
      </w:r>
      <w:r>
        <w:rPr>
          <w:lang w:val="en-US"/>
        </w:rPr>
        <w:t xml:space="preserve">, no. </w:t>
      </w:r>
      <w:r w:rsidRPr="000953CE">
        <w:rPr>
          <w:lang w:val="en-US"/>
        </w:rPr>
        <w:t>2</w:t>
      </w:r>
      <w:r>
        <w:rPr>
          <w:lang w:val="en-US"/>
        </w:rPr>
        <w:t xml:space="preserve"> (2014).</w:t>
      </w:r>
    </w:p>
  </w:footnote>
  <w:footnote w:id="32">
    <w:p w14:paraId="49ADE1EC" w14:textId="4E26210D" w:rsidR="00F4617A" w:rsidRPr="000953CE" w:rsidRDefault="00F4617A" w:rsidP="00082EE0">
      <w:pPr>
        <w:pStyle w:val="FootnoteText"/>
        <w:jc w:val="both"/>
        <w:rPr>
          <w:lang w:val="en-US"/>
        </w:rPr>
      </w:pPr>
      <w:r w:rsidRPr="000953CE">
        <w:rPr>
          <w:rStyle w:val="FootnoteReference"/>
        </w:rPr>
        <w:footnoteRef/>
      </w:r>
      <w:r w:rsidRPr="000953CE">
        <w:t xml:space="preserve"> </w:t>
      </w:r>
      <w:r w:rsidRPr="000953CE">
        <w:rPr>
          <w:lang w:val="en-US"/>
        </w:rPr>
        <w:t>Grice, 1957, ibid.</w:t>
      </w:r>
    </w:p>
  </w:footnote>
  <w:footnote w:id="33">
    <w:p w14:paraId="3F9DD2A9" w14:textId="0BE3E781" w:rsidR="00F4617A" w:rsidRPr="000953CE" w:rsidRDefault="00F4617A" w:rsidP="00082EE0">
      <w:pPr>
        <w:pStyle w:val="FootnoteText"/>
        <w:jc w:val="both"/>
      </w:pPr>
      <w:r w:rsidRPr="000953CE">
        <w:rPr>
          <w:rStyle w:val="FootnoteReference"/>
        </w:rPr>
        <w:footnoteRef/>
      </w:r>
      <w:r w:rsidRPr="000953CE">
        <w:t xml:space="preserve"> </w:t>
      </w:r>
      <w:r>
        <w:t xml:space="preserve">Lon </w:t>
      </w:r>
      <w:r w:rsidRPr="000953CE">
        <w:t>Fuller,</w:t>
      </w:r>
      <w:r>
        <w:t xml:space="preserve">  </w:t>
      </w:r>
      <w:r w:rsidRPr="000953CE">
        <w:t>"Positivism and Fidelity to Law: A Reply to Professor Hart"</w:t>
      </w:r>
      <w:r>
        <w:t>,</w:t>
      </w:r>
      <w:r w:rsidRPr="000953CE">
        <w:t xml:space="preserve"> </w:t>
      </w:r>
      <w:r w:rsidRPr="00DE1FAB">
        <w:rPr>
          <w:i/>
        </w:rPr>
        <w:t>Harvard Law Review</w:t>
      </w:r>
      <w:r w:rsidRPr="000953CE">
        <w:t xml:space="preserve"> 71</w:t>
      </w:r>
      <w:r>
        <w:t>, no.</w:t>
      </w:r>
      <w:r w:rsidRPr="000953CE">
        <w:t xml:space="preserve"> 630</w:t>
      </w:r>
      <w:r>
        <w:t xml:space="preserve"> (1958).</w:t>
      </w:r>
    </w:p>
    <w:p w14:paraId="7A957088" w14:textId="57F95F48" w:rsidR="00F4617A" w:rsidRPr="000953CE" w:rsidRDefault="00F4617A" w:rsidP="00082EE0">
      <w:pPr>
        <w:pStyle w:val="FootnoteText"/>
        <w:jc w:val="both"/>
      </w:pPr>
      <w:r>
        <w:t>Lon Fuller,</w:t>
      </w:r>
      <w:r w:rsidRPr="000953CE">
        <w:t xml:space="preserve"> </w:t>
      </w:r>
      <w:r w:rsidRPr="000953CE">
        <w:rPr>
          <w:i/>
        </w:rPr>
        <w:t>The Morality of Law</w:t>
      </w:r>
      <w:r w:rsidRPr="000953CE">
        <w:t xml:space="preserve"> </w:t>
      </w:r>
      <w:r>
        <w:t>(</w:t>
      </w:r>
      <w:r w:rsidRPr="000953CE">
        <w:t>New Haven: Yale University Press</w:t>
      </w:r>
      <w:r>
        <w:t>, 1964).</w:t>
      </w:r>
    </w:p>
  </w:footnote>
  <w:footnote w:id="34">
    <w:p w14:paraId="3E823CCE" w14:textId="77255AD5" w:rsidR="00F4617A" w:rsidRPr="000953CE" w:rsidRDefault="00F4617A" w:rsidP="00082EE0">
      <w:pPr>
        <w:pStyle w:val="FootnoteText"/>
        <w:jc w:val="both"/>
      </w:pPr>
      <w:r w:rsidRPr="000953CE">
        <w:rPr>
          <w:rStyle w:val="FootnoteReference"/>
        </w:rPr>
        <w:footnoteRef/>
      </w:r>
      <w:r w:rsidRPr="000953CE">
        <w:t xml:space="preserve"> In a useful but neglected essay from last century, Gilbert Bailey observed that “the history of promulgation does not fit snugly into a set of syllogisms”</w:t>
      </w:r>
      <w:r>
        <w:t>, since</w:t>
      </w:r>
      <w:r w:rsidRPr="000953CE">
        <w:t xml:space="preserve"> promulgation </w:t>
      </w:r>
      <w:r>
        <w:t xml:space="preserve">is content-sensitive. Fair. But </w:t>
      </w:r>
      <w:r>
        <w:rPr>
          <w:i/>
        </w:rPr>
        <w:t>p</w:t>
      </w:r>
      <w:r w:rsidRPr="000953CE">
        <w:rPr>
          <w:i/>
        </w:rPr>
        <w:t>ace</w:t>
      </w:r>
      <w:r w:rsidRPr="000953CE">
        <w:t xml:space="preserve"> Bailey, </w:t>
      </w:r>
      <w:r>
        <w:t xml:space="preserve">I think </w:t>
      </w:r>
      <w:r w:rsidRPr="000953CE">
        <w:t xml:space="preserve">the relationship between the two domains is not so </w:t>
      </w:r>
      <w:r w:rsidRPr="000953CE">
        <w:rPr>
          <w:i/>
        </w:rPr>
        <w:t xml:space="preserve">ad hoc </w:t>
      </w:r>
      <w:r w:rsidRPr="000953CE">
        <w:t>as to avoid a theory.</w:t>
      </w:r>
    </w:p>
    <w:p w14:paraId="788916FA" w14:textId="15F904C4" w:rsidR="00F4617A" w:rsidRPr="000953CE" w:rsidRDefault="00F4617A" w:rsidP="00082EE0">
      <w:pPr>
        <w:pStyle w:val="FootnoteText"/>
        <w:jc w:val="both"/>
      </w:pPr>
      <w:r>
        <w:t xml:space="preserve">Gilbert </w:t>
      </w:r>
      <w:r w:rsidRPr="000953CE">
        <w:t>Bailey</w:t>
      </w:r>
      <w:r>
        <w:t xml:space="preserve">, </w:t>
      </w:r>
      <w:r w:rsidRPr="000953CE">
        <w:t>“The Promulgation of Law</w:t>
      </w:r>
      <w:r>
        <w:t>,</w:t>
      </w:r>
      <w:r w:rsidRPr="000953CE">
        <w:t xml:space="preserve">” </w:t>
      </w:r>
      <w:r w:rsidRPr="00DE1FAB">
        <w:rPr>
          <w:i/>
        </w:rPr>
        <w:t>The American Political Science Review</w:t>
      </w:r>
      <w:r w:rsidRPr="000953CE">
        <w:t xml:space="preserve"> 35</w:t>
      </w:r>
      <w:r>
        <w:t xml:space="preserve">, no. </w:t>
      </w:r>
      <w:r w:rsidRPr="000953CE">
        <w:t>6</w:t>
      </w:r>
      <w:r>
        <w:t xml:space="preserve"> (1941)</w:t>
      </w:r>
      <w:r w:rsidRPr="000953CE">
        <w:t xml:space="preserve"> </w:t>
      </w:r>
      <w:r>
        <w:t xml:space="preserve">at </w:t>
      </w:r>
      <w:r w:rsidRPr="000953CE">
        <w:t>1064-6</w:t>
      </w:r>
      <w:r>
        <w:t>5.</w:t>
      </w:r>
    </w:p>
  </w:footnote>
  <w:footnote w:id="35">
    <w:p w14:paraId="3E437B04" w14:textId="66BCB499" w:rsidR="00F4617A" w:rsidRPr="000953CE" w:rsidRDefault="00F4617A" w:rsidP="00082EE0">
      <w:pPr>
        <w:pStyle w:val="FootnoteText"/>
        <w:jc w:val="both"/>
        <w:rPr>
          <w:lang w:val="en-US"/>
        </w:rPr>
      </w:pPr>
      <w:r w:rsidRPr="000953CE">
        <w:rPr>
          <w:rStyle w:val="FootnoteReference"/>
        </w:rPr>
        <w:footnoteRef/>
      </w:r>
      <w:r w:rsidRPr="000953CE">
        <w:t xml:space="preserve"> </w:t>
      </w:r>
      <w:r w:rsidRPr="000953CE">
        <w:rPr>
          <w:lang w:val="en-US"/>
        </w:rPr>
        <w:t xml:space="preserve">This is the ‘fiction of constructive presence’, and enjoyed support from both Austin and Blackstone. See Bailey, </w:t>
      </w:r>
      <w:r w:rsidRPr="00DE1FAB">
        <w:rPr>
          <w:i/>
          <w:lang w:val="en-US"/>
        </w:rPr>
        <w:t>supra</w:t>
      </w:r>
      <w:r>
        <w:rPr>
          <w:lang w:val="en-US"/>
        </w:rPr>
        <w:t xml:space="preserve"> note 30</w:t>
      </w:r>
      <w:r w:rsidRPr="000953CE">
        <w:rPr>
          <w:lang w:val="en-US"/>
        </w:rPr>
        <w:t>, and some useful</w:t>
      </w:r>
      <w:r>
        <w:rPr>
          <w:lang w:val="en-US"/>
        </w:rPr>
        <w:t xml:space="preserve"> related</w:t>
      </w:r>
      <w:r w:rsidRPr="000953CE">
        <w:rPr>
          <w:lang w:val="en-US"/>
        </w:rPr>
        <w:t xml:space="preserve"> discussion in:</w:t>
      </w:r>
    </w:p>
    <w:p w14:paraId="3DD32E95" w14:textId="096BC106" w:rsidR="00F4617A" w:rsidRPr="000953CE" w:rsidRDefault="00F4617A" w:rsidP="00082EE0">
      <w:pPr>
        <w:pStyle w:val="FootnoteText"/>
        <w:jc w:val="both"/>
        <w:rPr>
          <w:lang w:val="en-US"/>
        </w:rPr>
      </w:pPr>
      <w:r w:rsidRPr="000953CE">
        <w:rPr>
          <w:lang w:val="en-US"/>
        </w:rPr>
        <w:t>Christopher</w:t>
      </w:r>
      <w:r>
        <w:rPr>
          <w:lang w:val="en-US"/>
        </w:rPr>
        <w:t xml:space="preserve"> </w:t>
      </w:r>
      <w:proofErr w:type="spellStart"/>
      <w:r>
        <w:rPr>
          <w:lang w:val="en-US"/>
        </w:rPr>
        <w:t>Kutz</w:t>
      </w:r>
      <w:proofErr w:type="spellEnd"/>
      <w:r>
        <w:rPr>
          <w:lang w:val="en-US"/>
        </w:rPr>
        <w:t>,</w:t>
      </w:r>
      <w:r w:rsidRPr="000953CE">
        <w:rPr>
          <w:lang w:val="en-US"/>
        </w:rPr>
        <w:t xml:space="preserve"> "Secret Law and the Value of Publicity</w:t>
      </w:r>
      <w:r>
        <w:rPr>
          <w:lang w:val="en-US"/>
        </w:rPr>
        <w:t>,</w:t>
      </w:r>
      <w:r w:rsidRPr="000953CE">
        <w:rPr>
          <w:lang w:val="en-US"/>
        </w:rPr>
        <w:t xml:space="preserve">" </w:t>
      </w:r>
      <w:r w:rsidRPr="000953CE">
        <w:rPr>
          <w:i/>
          <w:iCs/>
          <w:lang w:val="en-US"/>
        </w:rPr>
        <w:t>Ratio Juris</w:t>
      </w:r>
      <w:r w:rsidRPr="000953CE">
        <w:rPr>
          <w:lang w:val="en-US"/>
        </w:rPr>
        <w:t xml:space="preserve"> 22</w:t>
      </w:r>
      <w:r>
        <w:rPr>
          <w:lang w:val="en-US"/>
        </w:rPr>
        <w:t>,</w:t>
      </w:r>
      <w:r w:rsidRPr="000953CE">
        <w:rPr>
          <w:lang w:val="en-US"/>
        </w:rPr>
        <w:t xml:space="preserve"> </w:t>
      </w:r>
      <w:r>
        <w:rPr>
          <w:lang w:val="en-US"/>
        </w:rPr>
        <w:t xml:space="preserve">no </w:t>
      </w:r>
      <w:r w:rsidRPr="000953CE">
        <w:rPr>
          <w:lang w:val="en-US"/>
        </w:rPr>
        <w:t>2</w:t>
      </w:r>
      <w:r>
        <w:rPr>
          <w:lang w:val="en-US"/>
        </w:rPr>
        <w:t xml:space="preserve"> (2013)</w:t>
      </w:r>
      <w:r w:rsidRPr="000953CE">
        <w:rPr>
          <w:lang w:val="en-US"/>
        </w:rPr>
        <w:t xml:space="preserve"> </w:t>
      </w:r>
      <w:r>
        <w:rPr>
          <w:lang w:val="en-US"/>
        </w:rPr>
        <w:t xml:space="preserve">at </w:t>
      </w:r>
      <w:r w:rsidRPr="000953CE">
        <w:rPr>
          <w:lang w:val="en-US"/>
        </w:rPr>
        <w:t>197-217.</w:t>
      </w:r>
    </w:p>
  </w:footnote>
  <w:footnote w:id="36">
    <w:p w14:paraId="4069CC19" w14:textId="4C19CC95" w:rsidR="00F4617A" w:rsidRPr="000953CE" w:rsidRDefault="00F4617A" w:rsidP="00082EE0">
      <w:pPr>
        <w:pStyle w:val="FootnoteText"/>
        <w:jc w:val="both"/>
      </w:pPr>
      <w:r w:rsidRPr="000953CE">
        <w:rPr>
          <w:rStyle w:val="FootnoteReference"/>
        </w:rPr>
        <w:footnoteRef/>
      </w:r>
      <w:r w:rsidRPr="000953CE">
        <w:t xml:space="preserve"> </w:t>
      </w:r>
      <w:r>
        <w:t>‘I</w:t>
      </w:r>
      <w:r w:rsidRPr="000953CE">
        <w:t xml:space="preserve">dentification rules’ are </w:t>
      </w:r>
      <w:r>
        <w:t xml:space="preserve">Jules </w:t>
      </w:r>
      <w:r w:rsidRPr="000953CE">
        <w:t>Coleman’s criteria for accepted public standards for the identification of offices.</w:t>
      </w:r>
    </w:p>
    <w:p w14:paraId="4395B8A9" w14:textId="2932C008" w:rsidR="00F4617A" w:rsidRPr="000953CE" w:rsidRDefault="00F4617A" w:rsidP="00082EE0">
      <w:pPr>
        <w:pStyle w:val="FootnoteText"/>
        <w:jc w:val="both"/>
        <w:rPr>
          <w:lang w:val="en-US"/>
        </w:rPr>
      </w:pPr>
      <w:r>
        <w:rPr>
          <w:lang w:val="en-US"/>
        </w:rPr>
        <w:t xml:space="preserve">Jules </w:t>
      </w:r>
      <w:r w:rsidRPr="000953CE">
        <w:rPr>
          <w:lang w:val="en-US"/>
        </w:rPr>
        <w:t>Coleman</w:t>
      </w:r>
      <w:r>
        <w:rPr>
          <w:lang w:val="en-US"/>
        </w:rPr>
        <w:t>,</w:t>
      </w:r>
      <w:r w:rsidRPr="000953CE">
        <w:rPr>
          <w:lang w:val="en-US"/>
        </w:rPr>
        <w:t xml:space="preserve"> “Reason and Authority,” </w:t>
      </w:r>
      <w:r>
        <w:rPr>
          <w:lang w:val="en-US"/>
        </w:rPr>
        <w:t xml:space="preserve">in </w:t>
      </w:r>
      <w:r w:rsidRPr="000953CE">
        <w:rPr>
          <w:i/>
          <w:lang w:val="en-US"/>
        </w:rPr>
        <w:t>The Autonomy of Law: Essays on Legal Positivism</w:t>
      </w:r>
      <w:r>
        <w:rPr>
          <w:i/>
          <w:lang w:val="en-US"/>
        </w:rPr>
        <w:t xml:space="preserve">, </w:t>
      </w:r>
      <w:r>
        <w:rPr>
          <w:lang w:val="en-US"/>
        </w:rPr>
        <w:t>ed.</w:t>
      </w:r>
      <w:r w:rsidRPr="000953CE">
        <w:rPr>
          <w:lang w:val="en-US"/>
        </w:rPr>
        <w:t xml:space="preserve"> R. George</w:t>
      </w:r>
      <w:r>
        <w:rPr>
          <w:lang w:val="en-US"/>
        </w:rPr>
        <w:t xml:space="preserve"> </w:t>
      </w:r>
      <w:r w:rsidRPr="000953CE">
        <w:rPr>
          <w:lang w:val="en-US"/>
        </w:rPr>
        <w:t>(Oxford University Press, 1995)</w:t>
      </w:r>
      <w:r>
        <w:rPr>
          <w:lang w:val="en-US"/>
        </w:rPr>
        <w:t>.</w:t>
      </w:r>
    </w:p>
  </w:footnote>
  <w:footnote w:id="37">
    <w:p w14:paraId="7D33DE0C" w14:textId="25F7741C" w:rsidR="00F4617A" w:rsidRPr="000953CE" w:rsidRDefault="00F4617A" w:rsidP="00082EE0">
      <w:pPr>
        <w:pStyle w:val="FootnoteText"/>
        <w:jc w:val="both"/>
      </w:pPr>
      <w:r w:rsidRPr="000953CE">
        <w:rPr>
          <w:rStyle w:val="FootnoteReference"/>
        </w:rPr>
        <w:footnoteRef/>
      </w:r>
      <w:r w:rsidRPr="000953CE">
        <w:t xml:space="preserve"> It is inspired by a particular strand of thought in mid-career ‘genealogy-era’ Foucault, as depicted in Thomas Lemke’s narration. See:</w:t>
      </w:r>
    </w:p>
    <w:p w14:paraId="4F0A64EF" w14:textId="1D1D62CC" w:rsidR="00F4617A" w:rsidRPr="000953CE" w:rsidRDefault="00F4617A" w:rsidP="00082EE0">
      <w:pPr>
        <w:pStyle w:val="FootnoteText"/>
        <w:jc w:val="both"/>
      </w:pPr>
      <w:r>
        <w:t xml:space="preserve">Thomas </w:t>
      </w:r>
      <w:r w:rsidRPr="000953CE">
        <w:t>Lemke</w:t>
      </w:r>
      <w:r>
        <w:t>,</w:t>
      </w:r>
      <w:r w:rsidRPr="000953CE">
        <w:t xml:space="preserve"> </w:t>
      </w:r>
      <w:r w:rsidRPr="000953CE">
        <w:rPr>
          <w:i/>
        </w:rPr>
        <w:t>Foucault’s Analysis of Governmentality: A Critique of Political Reason</w:t>
      </w:r>
      <w:r w:rsidRPr="000953CE">
        <w:t xml:space="preserve"> </w:t>
      </w:r>
      <w:r>
        <w:t>(</w:t>
      </w:r>
      <w:r w:rsidRPr="000953CE">
        <w:t xml:space="preserve">New </w:t>
      </w:r>
      <w:proofErr w:type="spellStart"/>
      <w:r w:rsidRPr="000953CE">
        <w:t>York:Verso</w:t>
      </w:r>
      <w:proofErr w:type="spellEnd"/>
      <w:r>
        <w:t xml:space="preserve">, 2019) at </w:t>
      </w:r>
      <w:r w:rsidRPr="000953CE">
        <w:t>86-124</w:t>
      </w:r>
      <w:r>
        <w:t>.</w:t>
      </w:r>
    </w:p>
  </w:footnote>
  <w:footnote w:id="38">
    <w:p w14:paraId="1BB6BA6D" w14:textId="05FDEBF5" w:rsidR="00F4617A" w:rsidRPr="000953CE" w:rsidRDefault="00F4617A" w:rsidP="00082EE0">
      <w:pPr>
        <w:pStyle w:val="FootnoteText"/>
        <w:jc w:val="both"/>
      </w:pPr>
      <w:r w:rsidRPr="00737FA2">
        <w:rPr>
          <w:rStyle w:val="FootnoteReference"/>
        </w:rPr>
        <w:footnoteRef/>
      </w:r>
      <w:r w:rsidRPr="00737FA2">
        <w:t xml:space="preserve"> Jeremy Bentham, "Papers Relative to Codification and Public Instruction," in </w:t>
      </w:r>
      <w:r w:rsidRPr="00737FA2">
        <w:rPr>
          <w:i/>
          <w:iCs/>
        </w:rPr>
        <w:t>The Collected Works of Jeremy Bentham</w:t>
      </w:r>
      <w:r w:rsidRPr="00737FA2">
        <w:t xml:space="preserve"> (Charlottesville: Clarendon, 2000).</w:t>
      </w:r>
    </w:p>
  </w:footnote>
  <w:footnote w:id="39">
    <w:p w14:paraId="1DF3AC9B" w14:textId="7B108D56" w:rsidR="00F4617A" w:rsidRPr="000953CE" w:rsidRDefault="00F4617A" w:rsidP="00082EE0">
      <w:pPr>
        <w:pStyle w:val="FootnoteText"/>
        <w:jc w:val="both"/>
        <w:rPr>
          <w:lang w:val="en-US"/>
        </w:rPr>
      </w:pPr>
      <w:r w:rsidRPr="000953CE">
        <w:rPr>
          <w:rStyle w:val="FootnoteReference"/>
        </w:rPr>
        <w:footnoteRef/>
      </w:r>
      <w:r>
        <w:t xml:space="preserve"> Gerald</w:t>
      </w:r>
      <w:r w:rsidRPr="000953CE">
        <w:t xml:space="preserve"> </w:t>
      </w:r>
      <w:proofErr w:type="spellStart"/>
      <w:r w:rsidRPr="000953CE">
        <w:t>Postema</w:t>
      </w:r>
      <w:proofErr w:type="spellEnd"/>
      <w:r w:rsidRPr="000953CE">
        <w:t xml:space="preserve">, </w:t>
      </w:r>
      <w:r w:rsidRPr="000953CE">
        <w:rPr>
          <w:i/>
        </w:rPr>
        <w:t>Bentham and the Common-Law Tradition</w:t>
      </w:r>
      <w:r w:rsidRPr="000953CE">
        <w:t xml:space="preserve"> </w:t>
      </w:r>
      <w:r>
        <w:t>(</w:t>
      </w:r>
      <w:proofErr w:type="spellStart"/>
      <w:r>
        <w:t>Oxford:</w:t>
      </w:r>
      <w:r w:rsidRPr="000953CE">
        <w:t>Clarendon</w:t>
      </w:r>
      <w:proofErr w:type="spellEnd"/>
      <w:r>
        <w:t xml:space="preserve">, 1986) at </w:t>
      </w:r>
      <w:r w:rsidRPr="000953CE">
        <w:t>425</w:t>
      </w:r>
      <w:r>
        <w:t>.</w:t>
      </w:r>
    </w:p>
  </w:footnote>
  <w:footnote w:id="40">
    <w:p w14:paraId="0693EDD3" w14:textId="28492C67" w:rsidR="00F4617A" w:rsidRPr="00C82F79" w:rsidRDefault="00F4617A" w:rsidP="00082EE0">
      <w:pPr>
        <w:pStyle w:val="FootnoteText"/>
        <w:jc w:val="both"/>
        <w:rPr>
          <w:lang w:val="en-US"/>
        </w:rPr>
      </w:pPr>
      <w:r>
        <w:rPr>
          <w:rStyle w:val="FootnoteReference"/>
        </w:rPr>
        <w:footnoteRef/>
      </w:r>
      <w:r>
        <w:t xml:space="preserve"> Treat</w:t>
      </w:r>
      <w:r>
        <w:rPr>
          <w:lang w:val="en-US"/>
        </w:rPr>
        <w:t xml:space="preserve"> “close-by” as an indexical term.</w:t>
      </w:r>
    </w:p>
  </w:footnote>
  <w:footnote w:id="41">
    <w:p w14:paraId="2AC1789F" w14:textId="78014324" w:rsidR="00F4617A" w:rsidRPr="000953CE" w:rsidRDefault="00F4617A" w:rsidP="00082EE0">
      <w:pPr>
        <w:pStyle w:val="FootnoteText"/>
        <w:jc w:val="both"/>
      </w:pPr>
      <w:r w:rsidRPr="000953CE">
        <w:rPr>
          <w:rStyle w:val="FootnoteReference"/>
        </w:rPr>
        <w:footnoteRef/>
      </w:r>
      <w:r w:rsidRPr="000953CE">
        <w:t xml:space="preserve"> </w:t>
      </w:r>
      <w:r>
        <w:t xml:space="preserve">Andrei </w:t>
      </w:r>
      <w:proofErr w:type="spellStart"/>
      <w:r w:rsidRPr="000953CE">
        <w:t>Marmor</w:t>
      </w:r>
      <w:proofErr w:type="spellEnd"/>
      <w:r>
        <w:t>,</w:t>
      </w:r>
      <w:r w:rsidRPr="000953CE">
        <w:t xml:space="preserve"> “Soft Law, Authoritative Advice, and Nonbinding Agreements</w:t>
      </w:r>
      <w:r>
        <w:t>,</w:t>
      </w:r>
      <w:r w:rsidRPr="000953CE">
        <w:t xml:space="preserve">” </w:t>
      </w:r>
      <w:r w:rsidRPr="00DE1FAB">
        <w:rPr>
          <w:i/>
        </w:rPr>
        <w:t>Cornell Legal Studies Research Paper</w:t>
      </w:r>
      <w:r w:rsidRPr="000953CE">
        <w:rPr>
          <w:u w:val="single"/>
        </w:rPr>
        <w:t xml:space="preserve"> </w:t>
      </w:r>
      <w:r w:rsidRPr="000953CE">
        <w:t>No. 17-24</w:t>
      </w:r>
      <w:r>
        <w:t xml:space="preserve">, updated </w:t>
      </w:r>
      <w:r w:rsidRPr="000953CE">
        <w:t>May 14, 2017</w:t>
      </w:r>
      <w:r>
        <w:t xml:space="preserve">, </w:t>
      </w:r>
      <w:hyperlink r:id="rId2" w:history="1">
        <w:r w:rsidRPr="00F45809">
          <w:rPr>
            <w:rStyle w:val="Hyperlink"/>
          </w:rPr>
          <w:t>https://ssrn.com/abstract=2968128</w:t>
        </w:r>
      </w:hyperlink>
      <w:r w:rsidRPr="000953CE">
        <w:t xml:space="preserve"> </w:t>
      </w:r>
    </w:p>
  </w:footnote>
  <w:footnote w:id="42">
    <w:p w14:paraId="75EE0905" w14:textId="489D0778" w:rsidR="00F4617A" w:rsidRPr="000953CE" w:rsidRDefault="00F4617A" w:rsidP="00082EE0">
      <w:pPr>
        <w:pStyle w:val="FootnoteText"/>
        <w:jc w:val="both"/>
        <w:rPr>
          <w:lang w:val="en-US"/>
        </w:rPr>
      </w:pPr>
      <w:r w:rsidRPr="000953CE">
        <w:rPr>
          <w:rStyle w:val="FootnoteReference"/>
        </w:rPr>
        <w:footnoteRef/>
      </w:r>
      <w:r w:rsidRPr="000953CE">
        <w:t xml:space="preserve"> Bailey,</w:t>
      </w:r>
      <w:r>
        <w:t xml:space="preserve"> “Promulgation,” </w:t>
      </w:r>
      <w:r w:rsidRPr="000953CE">
        <w:t>1072</w:t>
      </w:r>
      <w:r>
        <w:t>.</w:t>
      </w:r>
    </w:p>
  </w:footnote>
  <w:footnote w:id="43">
    <w:p w14:paraId="77A1598D" w14:textId="4EA0CDF8" w:rsidR="00F4617A" w:rsidRPr="000953CE" w:rsidRDefault="00F4617A" w:rsidP="00082EE0">
      <w:pPr>
        <w:pStyle w:val="FootnoteText"/>
        <w:jc w:val="both"/>
      </w:pPr>
      <w:r w:rsidRPr="000953CE">
        <w:rPr>
          <w:rStyle w:val="FootnoteReference"/>
        </w:rPr>
        <w:footnoteRef/>
      </w:r>
      <w:r w:rsidRPr="000953CE">
        <w:t xml:space="preserve"> </w:t>
      </w:r>
      <w:r>
        <w:t xml:space="preserve">Miranda </w:t>
      </w:r>
      <w:r w:rsidRPr="000953CE">
        <w:t>Fricker</w:t>
      </w:r>
      <w:r>
        <w:t>,</w:t>
      </w:r>
      <w:r w:rsidRPr="000953CE">
        <w:t xml:space="preserve"> "Rational Authority and Social Power: Towards a Truly Social Epistemology</w:t>
      </w:r>
      <w:r>
        <w:t>,”</w:t>
      </w:r>
      <w:r w:rsidRPr="000953CE">
        <w:t xml:space="preserve"> </w:t>
      </w:r>
      <w:r>
        <w:t>i</w:t>
      </w:r>
      <w:r w:rsidRPr="000953CE">
        <w:t xml:space="preserve">n </w:t>
      </w:r>
      <w:r w:rsidRPr="000953CE">
        <w:rPr>
          <w:i/>
        </w:rPr>
        <w:t>Social Epistemology: Essential Readings</w:t>
      </w:r>
      <w:r w:rsidRPr="000953CE">
        <w:t xml:space="preserve">, </w:t>
      </w:r>
      <w:r>
        <w:t>eds.</w:t>
      </w:r>
      <w:r w:rsidRPr="000953CE">
        <w:t xml:space="preserve"> Alvin Goldman &amp; Dennis Whitcomb </w:t>
      </w:r>
      <w:r>
        <w:t>(</w:t>
      </w:r>
      <w:r w:rsidRPr="000953CE">
        <w:t>New York: Oxford University Press</w:t>
      </w:r>
      <w:r>
        <w:t>, 2011) at 54-70.</w:t>
      </w:r>
    </w:p>
  </w:footnote>
  <w:footnote w:id="44">
    <w:p w14:paraId="4E5FBB70" w14:textId="228BB58C" w:rsidR="00F4617A" w:rsidRPr="000953CE" w:rsidRDefault="00F4617A" w:rsidP="00082EE0">
      <w:pPr>
        <w:pStyle w:val="FootnoteText"/>
        <w:jc w:val="both"/>
      </w:pPr>
      <w:r w:rsidRPr="000953CE">
        <w:rPr>
          <w:rStyle w:val="FootnoteReference"/>
        </w:rPr>
        <w:footnoteRef/>
      </w:r>
      <w:r w:rsidRPr="000953CE">
        <w:t xml:space="preserve"> </w:t>
      </w:r>
      <w:r>
        <w:t xml:space="preserve">Harry </w:t>
      </w:r>
      <w:r w:rsidRPr="000953CE">
        <w:rPr>
          <w:lang w:val="en-US"/>
        </w:rPr>
        <w:t>Collins,</w:t>
      </w:r>
      <w:r>
        <w:rPr>
          <w:lang w:val="en-US"/>
        </w:rPr>
        <w:t xml:space="preserve"> </w:t>
      </w:r>
      <w:r w:rsidRPr="000953CE">
        <w:rPr>
          <w:lang w:val="en-US"/>
        </w:rPr>
        <w:t>“Rejecting knowledge claims inside and outside science</w:t>
      </w:r>
      <w:r>
        <w:rPr>
          <w:lang w:val="en-US"/>
        </w:rPr>
        <w:t>,</w:t>
      </w:r>
      <w:r w:rsidRPr="000953CE">
        <w:rPr>
          <w:lang w:val="en-US"/>
        </w:rPr>
        <w:t xml:space="preserve">” </w:t>
      </w:r>
      <w:r w:rsidRPr="00DE1FAB">
        <w:rPr>
          <w:i/>
          <w:lang w:val="en-US"/>
        </w:rPr>
        <w:t xml:space="preserve">Social </w:t>
      </w:r>
      <w:r>
        <w:rPr>
          <w:i/>
          <w:lang w:val="en-US"/>
        </w:rPr>
        <w:t>S</w:t>
      </w:r>
      <w:r w:rsidRPr="00DE1FAB">
        <w:rPr>
          <w:i/>
          <w:lang w:val="en-US"/>
        </w:rPr>
        <w:t xml:space="preserve">tudies of </w:t>
      </w:r>
      <w:r>
        <w:rPr>
          <w:i/>
          <w:lang w:val="en-US"/>
        </w:rPr>
        <w:t>S</w:t>
      </w:r>
      <w:r w:rsidRPr="00DE1FAB">
        <w:rPr>
          <w:i/>
          <w:lang w:val="en-US"/>
        </w:rPr>
        <w:t>cience</w:t>
      </w:r>
      <w:r>
        <w:rPr>
          <w:lang w:val="en-US"/>
        </w:rPr>
        <w:t>,</w:t>
      </w:r>
      <w:r w:rsidRPr="000953CE">
        <w:rPr>
          <w:lang w:val="en-US"/>
        </w:rPr>
        <w:t xml:space="preserve"> 44</w:t>
      </w:r>
      <w:r>
        <w:rPr>
          <w:lang w:val="en-US"/>
        </w:rPr>
        <w:t xml:space="preserve"> no.</w:t>
      </w:r>
      <w:r w:rsidRPr="000953CE">
        <w:rPr>
          <w:lang w:val="en-US"/>
        </w:rPr>
        <w:t>5</w:t>
      </w:r>
      <w:r>
        <w:rPr>
          <w:lang w:val="en-US"/>
        </w:rPr>
        <w:t xml:space="preserve"> (2014).</w:t>
      </w:r>
    </w:p>
  </w:footnote>
  <w:footnote w:id="45">
    <w:p w14:paraId="20D3311B" w14:textId="772130B0" w:rsidR="00F4617A" w:rsidRPr="000953CE" w:rsidRDefault="00F4617A" w:rsidP="00082EE0">
      <w:pPr>
        <w:pStyle w:val="FootnoteText"/>
        <w:jc w:val="both"/>
        <w:rPr>
          <w:lang w:val="en-US"/>
        </w:rPr>
      </w:pPr>
      <w:r w:rsidRPr="000953CE">
        <w:rPr>
          <w:rStyle w:val="FootnoteReference"/>
        </w:rPr>
        <w:footnoteRef/>
      </w:r>
      <w:r w:rsidRPr="000953CE">
        <w:t xml:space="preserve"> </w:t>
      </w:r>
      <w:r w:rsidRPr="000953CE">
        <w:rPr>
          <w:lang w:val="en-US"/>
        </w:rPr>
        <w:t>Some of which are helpfully surveyed in:</w:t>
      </w:r>
    </w:p>
    <w:p w14:paraId="4F55CE91" w14:textId="46803E22" w:rsidR="00F4617A" w:rsidRPr="000953CE" w:rsidRDefault="00F4617A" w:rsidP="00082EE0">
      <w:pPr>
        <w:pStyle w:val="FootnoteText"/>
        <w:jc w:val="both"/>
        <w:rPr>
          <w:lang w:val="en-US"/>
        </w:rPr>
      </w:pPr>
      <w:r>
        <w:rPr>
          <w:lang w:val="en-US"/>
        </w:rPr>
        <w:t xml:space="preserve">Alexander A </w:t>
      </w:r>
      <w:r w:rsidRPr="000953CE">
        <w:rPr>
          <w:lang w:val="en-US"/>
        </w:rPr>
        <w:t>Guerrero</w:t>
      </w:r>
      <w:r>
        <w:rPr>
          <w:lang w:val="en-US"/>
        </w:rPr>
        <w:t>,</w:t>
      </w:r>
      <w:r w:rsidRPr="000953CE">
        <w:rPr>
          <w:lang w:val="en-US"/>
        </w:rPr>
        <w:t xml:space="preserve"> “Living with ignorance in a world of experts”</w:t>
      </w:r>
      <w:r>
        <w:rPr>
          <w:lang w:val="en-US"/>
        </w:rPr>
        <w:t>,</w:t>
      </w:r>
      <w:r w:rsidRPr="000953CE">
        <w:rPr>
          <w:lang w:val="en-US"/>
        </w:rPr>
        <w:t xml:space="preserve"> ed. Rik Peels</w:t>
      </w:r>
      <w:r>
        <w:rPr>
          <w:lang w:val="en-US"/>
        </w:rPr>
        <w:t>,</w:t>
      </w:r>
      <w:r w:rsidRPr="000953CE">
        <w:rPr>
          <w:lang w:val="en-US"/>
        </w:rPr>
        <w:t xml:space="preserve"> in </w:t>
      </w:r>
      <w:r w:rsidRPr="000953CE">
        <w:rPr>
          <w:i/>
          <w:lang w:val="en-US"/>
        </w:rPr>
        <w:t>Perspectives on Ignorance from Moral and Social Philosophy</w:t>
      </w:r>
      <w:r>
        <w:rPr>
          <w:lang w:val="en-US"/>
        </w:rPr>
        <w:t xml:space="preserve"> (New </w:t>
      </w:r>
      <w:proofErr w:type="spellStart"/>
      <w:proofErr w:type="gramStart"/>
      <w:r>
        <w:rPr>
          <w:lang w:val="en-US"/>
        </w:rPr>
        <w:t>York:</w:t>
      </w:r>
      <w:r w:rsidRPr="000953CE">
        <w:rPr>
          <w:lang w:val="en-US"/>
        </w:rPr>
        <w:t>Routledge</w:t>
      </w:r>
      <w:proofErr w:type="spellEnd"/>
      <w:proofErr w:type="gramEnd"/>
      <w:r>
        <w:rPr>
          <w:lang w:val="en-US"/>
        </w:rPr>
        <w:t>, 2016).</w:t>
      </w:r>
    </w:p>
  </w:footnote>
  <w:footnote w:id="46">
    <w:p w14:paraId="6AED72BE" w14:textId="3F0FFB64" w:rsidR="00F4617A" w:rsidRPr="00184CCE" w:rsidRDefault="00F4617A" w:rsidP="00082EE0">
      <w:pPr>
        <w:pStyle w:val="FootnoteText"/>
        <w:jc w:val="both"/>
        <w:rPr>
          <w:lang w:val="en-US"/>
        </w:rPr>
      </w:pPr>
      <w:r>
        <w:rPr>
          <w:rStyle w:val="FootnoteReference"/>
        </w:rPr>
        <w:footnoteRef/>
      </w:r>
      <w:r>
        <w:t xml:space="preserve"> </w:t>
      </w:r>
      <w:r w:rsidRPr="00184CCE">
        <w:rPr>
          <w:i/>
          <w:lang w:val="en-US"/>
        </w:rPr>
        <w:t>Public Works Protection Act</w:t>
      </w:r>
      <w:r w:rsidRPr="00184CCE">
        <w:rPr>
          <w:lang w:val="en-US"/>
        </w:rPr>
        <w:t>, RSO 1990, c P.55</w:t>
      </w:r>
      <w:r>
        <w:rPr>
          <w:lang w:val="en-US"/>
        </w:rPr>
        <w:t>, s 3.</w:t>
      </w:r>
    </w:p>
  </w:footnote>
  <w:footnote w:id="47">
    <w:p w14:paraId="3257CA5A" w14:textId="77777777" w:rsidR="00F4617A" w:rsidRPr="00D47793" w:rsidRDefault="00F4617A" w:rsidP="00082EE0">
      <w:pPr>
        <w:pStyle w:val="FootnoteText"/>
        <w:jc w:val="both"/>
        <w:rPr>
          <w:lang w:val="en-US"/>
        </w:rPr>
      </w:pPr>
      <w:r>
        <w:rPr>
          <w:rStyle w:val="FootnoteReference"/>
        </w:rPr>
        <w:footnoteRef/>
      </w:r>
      <w:r>
        <w:t xml:space="preserve"> </w:t>
      </w:r>
      <w:r w:rsidRPr="00D47793">
        <w:rPr>
          <w:i/>
          <w:lang w:val="en-US"/>
        </w:rPr>
        <w:t>Public Works Protection Act</w:t>
      </w:r>
      <w:r>
        <w:rPr>
          <w:lang w:val="en-US"/>
        </w:rPr>
        <w:t xml:space="preserve">, RSO 1990, c P.55, </w:t>
      </w:r>
      <w:r w:rsidRPr="00D47793">
        <w:rPr>
          <w:i/>
          <w:lang w:val="en-US"/>
        </w:rPr>
        <w:t>Designation of Public Works</w:t>
      </w:r>
      <w:r>
        <w:rPr>
          <w:lang w:val="en-US"/>
        </w:rPr>
        <w:t>, O Reg 233/10.</w:t>
      </w:r>
    </w:p>
  </w:footnote>
  <w:footnote w:id="48">
    <w:p w14:paraId="6CFAA4C0" w14:textId="1CD12A15" w:rsidR="00F4617A" w:rsidRPr="004A61F9" w:rsidRDefault="00F4617A" w:rsidP="00082EE0">
      <w:pPr>
        <w:pStyle w:val="FootnoteText"/>
        <w:jc w:val="both"/>
      </w:pPr>
      <w:r>
        <w:rPr>
          <w:rStyle w:val="FootnoteReference"/>
        </w:rPr>
        <w:footnoteRef/>
      </w:r>
      <w:r>
        <w:t xml:space="preserve"> Andre </w:t>
      </w:r>
      <w:r w:rsidRPr="004A61F9">
        <w:t>Marin</w:t>
      </w:r>
      <w:r>
        <w:t>,</w:t>
      </w:r>
      <w:r w:rsidRPr="004A61F9">
        <w:t xml:space="preserve"> </w:t>
      </w:r>
      <w:r w:rsidRPr="004A61F9">
        <w:rPr>
          <w:i/>
          <w:iCs/>
        </w:rPr>
        <w:t xml:space="preserve">Caught in the Act: Investigation into the Ministry of Community Safety and Correctional </w:t>
      </w:r>
    </w:p>
    <w:p w14:paraId="23866275" w14:textId="34265395" w:rsidR="00F4617A" w:rsidRPr="00D36875" w:rsidRDefault="00F4617A" w:rsidP="00082EE0">
      <w:pPr>
        <w:pStyle w:val="FootnoteText"/>
        <w:jc w:val="both"/>
      </w:pPr>
      <w:r w:rsidRPr="004A61F9">
        <w:rPr>
          <w:i/>
          <w:iCs/>
        </w:rPr>
        <w:t>Services' conduct in Relation to Ontario Regulation 233/10 under the Public Works Protection Act</w:t>
      </w:r>
      <w:r>
        <w:rPr>
          <w:i/>
          <w:iCs/>
        </w:rPr>
        <w:t>,</w:t>
      </w:r>
      <w:r>
        <w:t xml:space="preserve"> </w:t>
      </w:r>
      <w:r w:rsidRPr="004A61F9">
        <w:t>Ombudsman Report, Ombudsman Ontario</w:t>
      </w:r>
      <w:r>
        <w:t xml:space="preserve"> (2010) at §132-3.</w:t>
      </w:r>
    </w:p>
  </w:footnote>
  <w:footnote w:id="49">
    <w:p w14:paraId="757BE87C" w14:textId="40A4DD8D" w:rsidR="00F4617A" w:rsidRPr="00130249" w:rsidRDefault="00F4617A" w:rsidP="00082EE0">
      <w:pPr>
        <w:pStyle w:val="FootnoteText"/>
        <w:jc w:val="both"/>
        <w:rPr>
          <w:lang w:val="en-US"/>
        </w:rPr>
      </w:pPr>
      <w:r w:rsidRPr="00130249">
        <w:rPr>
          <w:rStyle w:val="FootnoteReference"/>
        </w:rPr>
        <w:footnoteRef/>
      </w:r>
      <w:r w:rsidRPr="00130249">
        <w:t xml:space="preserve"> </w:t>
      </w:r>
      <w:r w:rsidRPr="00130249">
        <w:rPr>
          <w:lang w:val="en-US"/>
        </w:rPr>
        <w:t>Marin, “Caught,” §10.</w:t>
      </w:r>
    </w:p>
  </w:footnote>
  <w:footnote w:id="50">
    <w:p w14:paraId="2D92CFEA" w14:textId="0FBC9C6D" w:rsidR="00F4617A" w:rsidRPr="00130249" w:rsidRDefault="00F4617A" w:rsidP="00082EE0">
      <w:pPr>
        <w:pStyle w:val="FootnoteText"/>
        <w:jc w:val="both"/>
        <w:rPr>
          <w:lang w:val="en-US"/>
        </w:rPr>
      </w:pPr>
      <w:r w:rsidRPr="00130249">
        <w:rPr>
          <w:rStyle w:val="FootnoteReference"/>
        </w:rPr>
        <w:footnoteRef/>
      </w:r>
      <w:r w:rsidRPr="00130249">
        <w:t xml:space="preserve"> </w:t>
      </w:r>
      <w:r w:rsidRPr="00130249">
        <w:rPr>
          <w:lang w:val="en-US"/>
        </w:rPr>
        <w:t>Marin, “Caught,” §11.</w:t>
      </w:r>
    </w:p>
  </w:footnote>
  <w:footnote w:id="51">
    <w:p w14:paraId="743F0904" w14:textId="4D273B0C" w:rsidR="00F4617A" w:rsidRPr="00130249" w:rsidRDefault="00F4617A" w:rsidP="00130249">
      <w:pPr>
        <w:pStyle w:val="FootnoteText"/>
      </w:pPr>
      <w:r w:rsidRPr="00130249">
        <w:rPr>
          <w:rStyle w:val="FootnoteReference"/>
        </w:rPr>
        <w:footnoteRef/>
      </w:r>
      <w:r w:rsidRPr="00130249">
        <w:t xml:space="preserve"> Adam </w:t>
      </w:r>
      <w:proofErr w:type="spellStart"/>
      <w:r w:rsidRPr="00130249">
        <w:t>Radwanski</w:t>
      </w:r>
      <w:proofErr w:type="spellEnd"/>
      <w:r w:rsidRPr="00130249">
        <w:t xml:space="preserve">, “A Timeline on the G20 Five-metre rule that didn’t exist,” </w:t>
      </w:r>
      <w:r w:rsidRPr="00130249">
        <w:rPr>
          <w:i/>
          <w:iCs/>
        </w:rPr>
        <w:t xml:space="preserve">The Globe and Mail, </w:t>
      </w:r>
      <w:r w:rsidRPr="00130249">
        <w:t xml:space="preserve">July 1 2010, </w:t>
      </w:r>
      <w:hyperlink r:id="rId3" w:history="1">
        <w:r w:rsidRPr="00130249">
          <w:rPr>
            <w:rStyle w:val="Hyperlink"/>
          </w:rPr>
          <w:t>http://www.theglobeandmail.com/news/politics/adam-radwanski/a-timeline-on-the-g20-five-metre-rule-that-didnt-exist/article1626001/</w:t>
        </w:r>
      </w:hyperlink>
    </w:p>
    <w:p w14:paraId="3149C375" w14:textId="3D252430" w:rsidR="00F4617A" w:rsidRPr="00130249" w:rsidRDefault="00F4617A" w:rsidP="00082EE0">
      <w:pPr>
        <w:pStyle w:val="FootnoteText"/>
        <w:jc w:val="both"/>
      </w:pPr>
      <w:r w:rsidRPr="00130249">
        <w:t>Marin, “Caught,” §186.</w:t>
      </w:r>
    </w:p>
  </w:footnote>
  <w:footnote w:id="52">
    <w:p w14:paraId="39D41B6E" w14:textId="3F33727D" w:rsidR="00F4617A" w:rsidRPr="00D36875" w:rsidRDefault="00F4617A" w:rsidP="00082EE0">
      <w:pPr>
        <w:pStyle w:val="FootnoteText"/>
        <w:jc w:val="both"/>
        <w:rPr>
          <w:highlight w:val="yellow"/>
        </w:rPr>
      </w:pPr>
      <w:r w:rsidRPr="00075A23">
        <w:rPr>
          <w:rStyle w:val="FootnoteReference"/>
        </w:rPr>
        <w:footnoteRef/>
      </w:r>
      <w:r w:rsidRPr="00075A23">
        <w:t xml:space="preserve"> Gerry McNeilly, </w:t>
      </w:r>
      <w:r w:rsidRPr="00075A23">
        <w:rPr>
          <w:i/>
          <w:iCs/>
        </w:rPr>
        <w:t xml:space="preserve">Policing the Right to Protest: G20 Systemic Review Report, </w:t>
      </w:r>
      <w:r w:rsidRPr="00075A23">
        <w:t>Systemic Review, Office of the Independent Police Review Director (2012).</w:t>
      </w:r>
    </w:p>
  </w:footnote>
  <w:footnote w:id="53">
    <w:p w14:paraId="192D0AA7" w14:textId="78A9D4EB" w:rsidR="00F4617A" w:rsidRPr="00130249" w:rsidRDefault="00F4617A" w:rsidP="00082EE0">
      <w:pPr>
        <w:pStyle w:val="FootnoteText"/>
        <w:jc w:val="both"/>
        <w:rPr>
          <w:lang w:val="en-US"/>
        </w:rPr>
      </w:pPr>
      <w:r w:rsidRPr="00130249">
        <w:rPr>
          <w:rStyle w:val="FootnoteReference"/>
        </w:rPr>
        <w:footnoteRef/>
      </w:r>
      <w:r w:rsidRPr="00130249">
        <w:t xml:space="preserve"> </w:t>
      </w:r>
      <w:r w:rsidRPr="00130249">
        <w:rPr>
          <w:lang w:val="en-US"/>
        </w:rPr>
        <w:t>Marin, “Caught,” §12-16.</w:t>
      </w:r>
    </w:p>
  </w:footnote>
  <w:footnote w:id="54">
    <w:p w14:paraId="6FFE6B47" w14:textId="75A5B3E6" w:rsidR="00F4617A" w:rsidRPr="00130249" w:rsidRDefault="00F4617A" w:rsidP="00082EE0">
      <w:pPr>
        <w:pStyle w:val="FootnoteText"/>
        <w:jc w:val="both"/>
      </w:pPr>
      <w:r w:rsidRPr="00130249">
        <w:rPr>
          <w:rStyle w:val="FootnoteReference"/>
        </w:rPr>
        <w:footnoteRef/>
      </w:r>
      <w:r w:rsidRPr="00130249">
        <w:t xml:space="preserve"> Robyn Doolittle, “Chain of command questioned in G20,” </w:t>
      </w:r>
      <w:r w:rsidRPr="00130249">
        <w:rPr>
          <w:i/>
        </w:rPr>
        <w:t>Toronto Star,</w:t>
      </w:r>
      <w:r w:rsidRPr="00130249">
        <w:t xml:space="preserve"> July 10, 2010, http://www.thestar.com/news/gta/torontog20summit/article/834287--chain-of-command-questioned-in- g20</w:t>
      </w:r>
    </w:p>
  </w:footnote>
  <w:footnote w:id="55">
    <w:p w14:paraId="0E666EFE" w14:textId="3A52C29C" w:rsidR="00F4617A" w:rsidRPr="004F42DA" w:rsidRDefault="00F4617A" w:rsidP="00130249">
      <w:pPr>
        <w:pStyle w:val="FootnoteText"/>
        <w:rPr>
          <w:lang w:val="en-US"/>
        </w:rPr>
      </w:pPr>
      <w:r w:rsidRPr="004F42DA">
        <w:rPr>
          <w:rStyle w:val="FootnoteReference"/>
        </w:rPr>
        <w:footnoteRef/>
      </w:r>
      <w:r w:rsidRPr="004F42DA">
        <w:t xml:space="preserve"> </w:t>
      </w:r>
      <w:proofErr w:type="spellStart"/>
      <w:r w:rsidRPr="004F42DA">
        <w:t>mikesmusings</w:t>
      </w:r>
      <w:proofErr w:type="spellEnd"/>
      <w:r w:rsidRPr="004F42DA">
        <w:t xml:space="preserve">, “This isn’t Canada anymore.” </w:t>
      </w:r>
      <w:proofErr w:type="spellStart"/>
      <w:r w:rsidRPr="004F42DA">
        <w:t>Youtube</w:t>
      </w:r>
      <w:proofErr w:type="spellEnd"/>
      <w:r w:rsidRPr="004F42DA">
        <w:t xml:space="preserve"> Media, 13 Sept 2010, </w:t>
      </w:r>
      <w:hyperlink r:id="rId4" w:history="1">
        <w:r w:rsidRPr="004F42DA">
          <w:rPr>
            <w:rStyle w:val="Hyperlink"/>
          </w:rPr>
          <w:t>https://youtu.be/E7tE-BArgHM</w:t>
        </w:r>
      </w:hyperlink>
      <w:r w:rsidRPr="004F42DA">
        <w:t xml:space="preserve"> </w:t>
      </w:r>
    </w:p>
  </w:footnote>
  <w:footnote w:id="56">
    <w:p w14:paraId="06D83949" w14:textId="398B3248" w:rsidR="00F4617A" w:rsidRPr="00D36875" w:rsidRDefault="00F4617A" w:rsidP="004F42DA">
      <w:pPr>
        <w:pStyle w:val="FootnoteText"/>
        <w:rPr>
          <w:highlight w:val="yellow"/>
        </w:rPr>
      </w:pPr>
      <w:r w:rsidRPr="004F42DA">
        <w:rPr>
          <w:rStyle w:val="FootnoteReference"/>
        </w:rPr>
        <w:footnoteRef/>
      </w:r>
      <w:r w:rsidRPr="004F42DA">
        <w:t xml:space="preserve"> CBC News, The Fifth Estate, “</w:t>
      </w:r>
      <w:r w:rsidRPr="004F42DA">
        <w:rPr>
          <w:i/>
          <w:iCs/>
        </w:rPr>
        <w:t xml:space="preserve">You Should Have Stayed At Home,” </w:t>
      </w:r>
      <w:proofErr w:type="spellStart"/>
      <w:r w:rsidRPr="004F42DA">
        <w:rPr>
          <w:iCs/>
        </w:rPr>
        <w:t>Youtube</w:t>
      </w:r>
      <w:proofErr w:type="spellEnd"/>
      <w:r w:rsidRPr="004F42DA">
        <w:rPr>
          <w:iCs/>
        </w:rPr>
        <w:t xml:space="preserve"> Media,  </w:t>
      </w:r>
      <w:r>
        <w:rPr>
          <w:iCs/>
        </w:rPr>
        <w:t xml:space="preserve">3 </w:t>
      </w:r>
      <w:r w:rsidRPr="004F42DA">
        <w:rPr>
          <w:iCs/>
        </w:rPr>
        <w:t>Sep</w:t>
      </w:r>
      <w:r>
        <w:rPr>
          <w:iCs/>
        </w:rPr>
        <w:t>t</w:t>
      </w:r>
      <w:r w:rsidRPr="004F42DA">
        <w:rPr>
          <w:iCs/>
        </w:rPr>
        <w:t xml:space="preserve"> 2014,</w:t>
      </w:r>
      <w:r w:rsidRPr="004F42DA">
        <w:rPr>
          <w:i/>
          <w:iCs/>
        </w:rPr>
        <w:t xml:space="preserve"> </w:t>
      </w:r>
      <w:r w:rsidRPr="004F42DA">
        <w:t>http://www.youtube.com/watch?v=sX0BbLc_PIk</w:t>
      </w:r>
    </w:p>
  </w:footnote>
  <w:footnote w:id="57">
    <w:p w14:paraId="301A5C71" w14:textId="20DB1988" w:rsidR="00F4617A" w:rsidRPr="00D36875" w:rsidRDefault="00F4617A" w:rsidP="00D36875">
      <w:pPr>
        <w:rPr>
          <w:rFonts w:asciiTheme="minorHAnsi" w:hAnsiTheme="minorHAnsi" w:cstheme="minorHAnsi"/>
          <w:sz w:val="20"/>
        </w:rPr>
      </w:pPr>
      <w:r w:rsidRPr="00D36875">
        <w:rPr>
          <w:rStyle w:val="FootnoteReference"/>
        </w:rPr>
        <w:footnoteRef/>
      </w:r>
      <w:r w:rsidRPr="00D36875">
        <w:rPr>
          <w:rFonts w:asciiTheme="minorHAnsi" w:hAnsiTheme="minorHAnsi" w:cstheme="minorHAnsi"/>
          <w:sz w:val="20"/>
        </w:rPr>
        <w:t xml:space="preserve"> Richard</w:t>
      </w:r>
      <w:r>
        <w:rPr>
          <w:rFonts w:asciiTheme="minorHAnsi" w:hAnsiTheme="minorHAnsi" w:cstheme="minorHAnsi"/>
          <w:sz w:val="20"/>
        </w:rPr>
        <w:t xml:space="preserve"> Brennan,</w:t>
      </w:r>
      <w:r w:rsidRPr="00D36875">
        <w:rPr>
          <w:rFonts w:asciiTheme="minorHAnsi" w:hAnsiTheme="minorHAnsi" w:cstheme="minorHAnsi"/>
          <w:sz w:val="20"/>
        </w:rPr>
        <w:t xml:space="preserve"> “Toronto Journalist Witnessed ‘Police Brutality’ at Toronto G20</w:t>
      </w:r>
      <w:r>
        <w:rPr>
          <w:rFonts w:asciiTheme="minorHAnsi" w:hAnsiTheme="minorHAnsi" w:cstheme="minorHAnsi"/>
          <w:sz w:val="20"/>
        </w:rPr>
        <w:t>,</w:t>
      </w:r>
      <w:r w:rsidRPr="00D36875">
        <w:rPr>
          <w:rFonts w:asciiTheme="minorHAnsi" w:hAnsiTheme="minorHAnsi" w:cstheme="minorHAnsi"/>
          <w:sz w:val="20"/>
        </w:rPr>
        <w:t xml:space="preserve">” </w:t>
      </w:r>
      <w:r w:rsidRPr="00D36875">
        <w:rPr>
          <w:rFonts w:asciiTheme="minorHAnsi" w:hAnsiTheme="minorHAnsi" w:cstheme="minorHAnsi"/>
          <w:i/>
          <w:iCs/>
          <w:sz w:val="20"/>
        </w:rPr>
        <w:t>Toronto Star</w:t>
      </w:r>
      <w:r w:rsidRPr="00D36875">
        <w:rPr>
          <w:rFonts w:asciiTheme="minorHAnsi" w:hAnsiTheme="minorHAnsi" w:cstheme="minorHAnsi"/>
          <w:sz w:val="20"/>
        </w:rPr>
        <w:t>, December 6, 2010</w:t>
      </w:r>
      <w:r>
        <w:rPr>
          <w:rFonts w:asciiTheme="minorHAnsi" w:hAnsiTheme="minorHAnsi" w:cstheme="minorHAnsi"/>
          <w:sz w:val="20"/>
        </w:rPr>
        <w:t xml:space="preserve">, </w:t>
      </w:r>
      <w:hyperlink r:id="rId5" w:history="1">
        <w:r w:rsidRPr="00F45809">
          <w:rPr>
            <w:rStyle w:val="Hyperlink"/>
            <w:rFonts w:asciiTheme="minorHAnsi" w:hAnsiTheme="minorHAnsi" w:cstheme="minorHAnsi"/>
            <w:sz w:val="20"/>
          </w:rPr>
          <w:t>http://www.thestar.com/news/gta/g20/2010/12/06/toronto_journalist_witnessed_police_brutality_at_toronto_g20.html</w:t>
        </w:r>
      </w:hyperlink>
    </w:p>
  </w:footnote>
  <w:footnote w:id="58">
    <w:p w14:paraId="7E593A5B" w14:textId="5C58716A" w:rsidR="00F4617A" w:rsidRPr="00EC7DA9" w:rsidRDefault="00F4617A" w:rsidP="00082EE0">
      <w:pPr>
        <w:pStyle w:val="FootnoteText"/>
        <w:jc w:val="both"/>
      </w:pPr>
      <w:r w:rsidRPr="00075A23">
        <w:rPr>
          <w:rStyle w:val="FootnoteReference"/>
        </w:rPr>
        <w:footnoteRef/>
      </w:r>
      <w:r w:rsidRPr="00075A23">
        <w:t xml:space="preserve"> </w:t>
      </w:r>
      <w:r>
        <w:t xml:space="preserve">Legislative Assembly of </w:t>
      </w:r>
      <w:r w:rsidRPr="00075A23">
        <w:t xml:space="preserve">Ontario, </w:t>
      </w:r>
      <w:r w:rsidRPr="00075A23">
        <w:rPr>
          <w:i/>
        </w:rPr>
        <w:t>Debates, Second Session, 40</w:t>
      </w:r>
      <w:r w:rsidRPr="00075A23">
        <w:rPr>
          <w:i/>
          <w:vertAlign w:val="superscript"/>
        </w:rPr>
        <w:t>th</w:t>
      </w:r>
      <w:r w:rsidRPr="00075A23">
        <w:rPr>
          <w:i/>
        </w:rPr>
        <w:t xml:space="preserve"> Parliament</w:t>
      </w:r>
      <w:r w:rsidRPr="00075A23">
        <w:t>, 2013 at 1497-1513.</w:t>
      </w:r>
    </w:p>
  </w:footnote>
  <w:footnote w:id="59">
    <w:p w14:paraId="37EF22BA" w14:textId="5ED2F5D1" w:rsidR="00F4617A" w:rsidRPr="00525572" w:rsidRDefault="00F4617A" w:rsidP="00082EE0">
      <w:pPr>
        <w:pStyle w:val="FootnoteText"/>
        <w:jc w:val="both"/>
      </w:pPr>
      <w:r>
        <w:rPr>
          <w:rStyle w:val="FootnoteReference"/>
        </w:rPr>
        <w:footnoteRef/>
      </w:r>
      <w:r>
        <w:t xml:space="preserve"> </w:t>
      </w:r>
      <w:r w:rsidRPr="000B537D">
        <w:t xml:space="preserve">Marin, </w:t>
      </w:r>
      <w:r>
        <w:t>“Caught.”</w:t>
      </w:r>
    </w:p>
  </w:footnote>
  <w:footnote w:id="60">
    <w:p w14:paraId="6C140CAA" w14:textId="53AF343F" w:rsidR="00F4617A" w:rsidRPr="00E84DD1" w:rsidRDefault="00F4617A" w:rsidP="00082EE0">
      <w:pPr>
        <w:pStyle w:val="FootnoteText"/>
        <w:jc w:val="both"/>
      </w:pPr>
      <w:r>
        <w:rPr>
          <w:rStyle w:val="FootnoteReference"/>
        </w:rPr>
        <w:footnoteRef/>
      </w:r>
      <w:r>
        <w:t xml:space="preserve"> Hon. Roy </w:t>
      </w:r>
      <w:r w:rsidRPr="00E84DD1">
        <w:t>McMurtry</w:t>
      </w:r>
      <w:r>
        <w:t>,</w:t>
      </w:r>
      <w:r w:rsidRPr="00E84DD1">
        <w:t xml:space="preserve"> </w:t>
      </w:r>
      <w:r w:rsidRPr="00E84DD1">
        <w:rPr>
          <w:i/>
          <w:iCs/>
        </w:rPr>
        <w:t>Report of the Review of the Public Works Protection Act</w:t>
      </w:r>
      <w:r>
        <w:rPr>
          <w:i/>
          <w:iCs/>
        </w:rPr>
        <w:t>,</w:t>
      </w:r>
      <w:r w:rsidRPr="00E84DD1">
        <w:rPr>
          <w:i/>
          <w:iCs/>
        </w:rPr>
        <w:t xml:space="preserve"> </w:t>
      </w:r>
      <w:r w:rsidRPr="00E84DD1">
        <w:t xml:space="preserve">Review, Minister of </w:t>
      </w:r>
    </w:p>
    <w:p w14:paraId="5836C074" w14:textId="4D384D03" w:rsidR="00F4617A" w:rsidRPr="00E84DD1" w:rsidRDefault="00F4617A" w:rsidP="00082EE0">
      <w:pPr>
        <w:pStyle w:val="FootnoteText"/>
        <w:jc w:val="both"/>
        <w:rPr>
          <w:lang w:val="en-US"/>
        </w:rPr>
      </w:pPr>
      <w:r w:rsidRPr="00E84DD1">
        <w:t>Community Safety and Correctional Services</w:t>
      </w:r>
      <w:r>
        <w:t xml:space="preserve"> (2011).</w:t>
      </w:r>
    </w:p>
  </w:footnote>
  <w:footnote w:id="61">
    <w:p w14:paraId="64727266" w14:textId="430462DA" w:rsidR="00F4617A" w:rsidRPr="00491468" w:rsidRDefault="00F4617A" w:rsidP="00130249">
      <w:pPr>
        <w:pStyle w:val="FootnoteText"/>
      </w:pPr>
      <w:r>
        <w:rPr>
          <w:rStyle w:val="FootnoteReference"/>
        </w:rPr>
        <w:footnoteRef/>
      </w:r>
      <w:r>
        <w:t xml:space="preserve"> </w:t>
      </w:r>
      <w:r w:rsidRPr="00491468">
        <w:t>Toronto Star</w:t>
      </w:r>
      <w:r>
        <w:t>,</w:t>
      </w:r>
      <w:r w:rsidRPr="00491468">
        <w:t xml:space="preserve"> "G20 protests: gag order goes too far</w:t>
      </w:r>
      <w:r>
        <w:t>,</w:t>
      </w:r>
      <w:r w:rsidRPr="00491468">
        <w:t xml:space="preserve">" </w:t>
      </w:r>
      <w:r w:rsidRPr="00491468">
        <w:rPr>
          <w:i/>
          <w:iCs/>
        </w:rPr>
        <w:t>Toronto Star</w:t>
      </w:r>
      <w:r>
        <w:rPr>
          <w:i/>
          <w:iCs/>
        </w:rPr>
        <w:t xml:space="preserve">, </w:t>
      </w:r>
      <w:r>
        <w:t>Oct 17,</w:t>
      </w:r>
      <w:r w:rsidRPr="00491468">
        <w:t xml:space="preserve"> </w:t>
      </w:r>
      <w:r>
        <w:t>2010,</w:t>
      </w:r>
      <w:r w:rsidRPr="00491468">
        <w:t xml:space="preserve"> http://www.thestar.com/opinion/editorials/2010/10/17/g20_protests_gag_order_goes_too_far.html</w:t>
      </w:r>
    </w:p>
  </w:footnote>
  <w:footnote w:id="62">
    <w:p w14:paraId="7D9F1DDF" w14:textId="635C9950" w:rsidR="00F4617A" w:rsidRPr="00F84AB7" w:rsidRDefault="00F4617A">
      <w:pPr>
        <w:pStyle w:val="FootnoteText"/>
        <w:rPr>
          <w:lang w:val="en-US"/>
        </w:rPr>
      </w:pPr>
      <w:r>
        <w:rPr>
          <w:rStyle w:val="FootnoteReference"/>
        </w:rPr>
        <w:footnoteRef/>
      </w:r>
      <w:r>
        <w:t xml:space="preserve"> </w:t>
      </w:r>
      <w:r w:rsidRPr="00F84AB7">
        <w:rPr>
          <w:i/>
        </w:rPr>
        <w:t xml:space="preserve">R </w:t>
      </w:r>
      <w:r w:rsidRPr="00F84AB7">
        <w:rPr>
          <w:i/>
          <w:iCs/>
        </w:rPr>
        <w:t>v</w:t>
      </w:r>
      <w:r w:rsidRPr="00F84AB7">
        <w:rPr>
          <w:i/>
        </w:rPr>
        <w:t xml:space="preserve"> Nova Scotia Pharmaceutical Society</w:t>
      </w:r>
      <w:r w:rsidRPr="00F84AB7">
        <w:t>, [1992] 2 SCR 606</w:t>
      </w:r>
      <w:r>
        <w:t>.</w:t>
      </w:r>
    </w:p>
  </w:footnote>
  <w:footnote w:id="63">
    <w:p w14:paraId="783ABC7E" w14:textId="18F45ACC" w:rsidR="00F4617A" w:rsidRPr="00525572" w:rsidRDefault="00F4617A">
      <w:pPr>
        <w:pStyle w:val="FootnoteText"/>
        <w:rPr>
          <w:lang w:val="en-US"/>
        </w:rPr>
      </w:pPr>
      <w:r>
        <w:rPr>
          <w:rStyle w:val="FootnoteReference"/>
        </w:rPr>
        <w:footnoteRef/>
      </w:r>
      <w:r>
        <w:t xml:space="preserve"> </w:t>
      </w:r>
      <w:r>
        <w:rPr>
          <w:lang w:val="en-US"/>
        </w:rPr>
        <w:t>Marin, “Caught,” §186.</w:t>
      </w:r>
    </w:p>
  </w:footnote>
  <w:footnote w:id="64">
    <w:p w14:paraId="1F90E873" w14:textId="03742EE1" w:rsidR="00F4617A" w:rsidRPr="00BE13B3" w:rsidRDefault="00F4617A" w:rsidP="00525572">
      <w:pPr>
        <w:pStyle w:val="FootnoteText"/>
        <w:rPr>
          <w:lang w:val="en-US"/>
        </w:rPr>
      </w:pPr>
      <w:r w:rsidRPr="00130249">
        <w:rPr>
          <w:rStyle w:val="FootnoteReference"/>
        </w:rPr>
        <w:footnoteRef/>
      </w:r>
      <w:r w:rsidRPr="00130249">
        <w:t xml:space="preserve"> “The Honourable Bill Blair,” Justin Trudeau, Prime Minister of Canada, accessed Feb 2 2020, </w:t>
      </w:r>
      <w:hyperlink r:id="rId6" w:history="1">
        <w:r w:rsidRPr="00130249">
          <w:rPr>
            <w:rStyle w:val="Hyperlink"/>
          </w:rPr>
          <w:t>https://pm.gc.ca/en/cabinet/honourable-bill-blair</w:t>
        </w:r>
      </w:hyperlink>
    </w:p>
  </w:footnote>
  <w:footnote w:id="65">
    <w:p w14:paraId="05CFAF9A" w14:textId="4CC98BA2" w:rsidR="00F4617A" w:rsidRPr="000B537D" w:rsidRDefault="00F4617A" w:rsidP="00525572">
      <w:pPr>
        <w:pStyle w:val="FootnoteText"/>
        <w:jc w:val="both"/>
      </w:pPr>
      <w:r>
        <w:rPr>
          <w:rStyle w:val="FootnoteReference"/>
        </w:rPr>
        <w:footnoteRef/>
      </w:r>
      <w:r>
        <w:t xml:space="preserve"> </w:t>
      </w:r>
      <w:r w:rsidRPr="000B537D">
        <w:t>McMurtry,</w:t>
      </w:r>
      <w:r>
        <w:t xml:space="preserve"> “Report</w:t>
      </w:r>
      <w:r w:rsidRPr="000B537D">
        <w:t>.</w:t>
      </w:r>
      <w:r>
        <w:t>”</w:t>
      </w:r>
    </w:p>
  </w:footnote>
  <w:footnote w:id="66">
    <w:p w14:paraId="0B9060F1" w14:textId="6197D905" w:rsidR="00F4617A" w:rsidRDefault="00F4617A" w:rsidP="00525572">
      <w:pPr>
        <w:pStyle w:val="FootnoteText"/>
        <w:jc w:val="both"/>
      </w:pPr>
      <w:r>
        <w:rPr>
          <w:rStyle w:val="FootnoteReference"/>
        </w:rPr>
        <w:footnoteRef/>
      </w:r>
      <w:r>
        <w:t xml:space="preserve"> </w:t>
      </w:r>
      <w:r w:rsidRPr="000B537D">
        <w:t>Marin,</w:t>
      </w:r>
      <w:r>
        <w:t xml:space="preserve"> “Caught.”</w:t>
      </w:r>
    </w:p>
    <w:p w14:paraId="096F4429" w14:textId="661DA071" w:rsidR="00F4617A" w:rsidRPr="000B537D" w:rsidRDefault="00F4617A" w:rsidP="00082EE0">
      <w:pPr>
        <w:pStyle w:val="FootnoteText"/>
        <w:jc w:val="both"/>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0134454"/>
      <w:docPartObj>
        <w:docPartGallery w:val="Page Numbers (Top of Page)"/>
        <w:docPartUnique/>
      </w:docPartObj>
    </w:sdtPr>
    <w:sdtEndPr>
      <w:rPr>
        <w:rStyle w:val="PageNumber"/>
      </w:rPr>
    </w:sdtEndPr>
    <w:sdtContent>
      <w:p w14:paraId="76E47BEA" w14:textId="678A544C" w:rsidR="00F4617A" w:rsidRDefault="00F4617A" w:rsidP="002616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2F9AAB" w14:textId="77777777" w:rsidR="00F4617A" w:rsidRDefault="00F4617A" w:rsidP="000A5E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5858619"/>
      <w:docPartObj>
        <w:docPartGallery w:val="Page Numbers (Top of Page)"/>
        <w:docPartUnique/>
      </w:docPartObj>
    </w:sdtPr>
    <w:sdtEndPr>
      <w:rPr>
        <w:rStyle w:val="PageNumber"/>
      </w:rPr>
    </w:sdtEndPr>
    <w:sdtContent>
      <w:p w14:paraId="69C784F8" w14:textId="03DDD83B" w:rsidR="00F4617A" w:rsidRDefault="00F4617A" w:rsidP="00261606">
        <w:pPr>
          <w:pStyle w:val="Header"/>
          <w:framePr w:wrap="none" w:vAnchor="text" w:hAnchor="page" w:x="10706" w:y="702"/>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4A0A79" w14:textId="77777777" w:rsidR="00F4617A" w:rsidRDefault="00F4617A" w:rsidP="000A5E2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709"/>
    <w:multiLevelType w:val="hybridMultilevel"/>
    <w:tmpl w:val="7BF02DBE"/>
    <w:lvl w:ilvl="0" w:tplc="BFF0F068">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123A0B"/>
    <w:multiLevelType w:val="multilevel"/>
    <w:tmpl w:val="9F42352A"/>
    <w:lvl w:ilvl="0">
      <w:start w:val="1"/>
      <w:numFmt w:val="decimal"/>
      <w:lvlText w:val="%1."/>
      <w:lvlJc w:val="left"/>
      <w:pPr>
        <w:ind w:left="360" w:hanging="360"/>
      </w:pPr>
      <w:rPr>
        <w:rFonts w:ascii="Garamond" w:eastAsia="Droid Serif" w:hAnsi="Garamond"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676C6F"/>
    <w:multiLevelType w:val="hybridMultilevel"/>
    <w:tmpl w:val="A844E7D0"/>
    <w:lvl w:ilvl="0" w:tplc="555AF8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40379"/>
    <w:multiLevelType w:val="hybridMultilevel"/>
    <w:tmpl w:val="DCCACA18"/>
    <w:lvl w:ilvl="0" w:tplc="7DAA3EFC">
      <w:numFmt w:val="bullet"/>
      <w:lvlText w:val="-"/>
      <w:lvlJc w:val="left"/>
      <w:pPr>
        <w:ind w:left="644" w:hanging="360"/>
      </w:pPr>
      <w:rPr>
        <w:rFonts w:ascii="Garamond" w:eastAsia="Droid Serif" w:hAnsi="Garamond"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5CD0B34"/>
    <w:multiLevelType w:val="hybridMultilevel"/>
    <w:tmpl w:val="B3706456"/>
    <w:lvl w:ilvl="0" w:tplc="AD588FD4">
      <w:start w:val="1"/>
      <w:numFmt w:val="decimal"/>
      <w:lvlText w:val="%1."/>
      <w:lvlJc w:val="left"/>
      <w:pPr>
        <w:ind w:left="757" w:hanging="360"/>
      </w:pPr>
      <w:rPr>
        <w:rFonts w:hint="default"/>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8A94F25"/>
    <w:multiLevelType w:val="hybridMultilevel"/>
    <w:tmpl w:val="3AA408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7267D"/>
    <w:multiLevelType w:val="multilevel"/>
    <w:tmpl w:val="85CED842"/>
    <w:lvl w:ilvl="0">
      <w:start w:val="1"/>
      <w:numFmt w:val="bullet"/>
      <w:lvlText w:val="●"/>
      <w:lvlJc w:val="left"/>
      <w:pPr>
        <w:ind w:left="72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440" w:hanging="360"/>
      </w:pPr>
      <w:rPr>
        <w:rFonts w:ascii="Arial" w:eastAsia="Arial" w:hAnsi="Arial" w:cs="Arial"/>
      </w:rPr>
    </w:lvl>
    <w:lvl w:ilvl="3">
      <w:start w:val="1"/>
      <w:numFmt w:val="bullet"/>
      <w:lvlText w:val="●"/>
      <w:lvlJc w:val="left"/>
      <w:pPr>
        <w:ind w:left="1800" w:hanging="360"/>
      </w:pPr>
      <w:rPr>
        <w:rFonts w:ascii="Arial" w:eastAsia="Arial" w:hAnsi="Arial" w:cs="Arial"/>
      </w:rPr>
    </w:lvl>
    <w:lvl w:ilvl="4">
      <w:start w:val="1"/>
      <w:numFmt w:val="bullet"/>
      <w:lvlText w:val="◦"/>
      <w:lvlJc w:val="left"/>
      <w:pPr>
        <w:ind w:left="2160" w:hanging="360"/>
      </w:pPr>
      <w:rPr>
        <w:rFonts w:ascii="Arial" w:eastAsia="Arial" w:hAnsi="Arial" w:cs="Arial"/>
      </w:rPr>
    </w:lvl>
    <w:lvl w:ilvl="5">
      <w:start w:val="1"/>
      <w:numFmt w:val="bullet"/>
      <w:lvlText w:val="▪"/>
      <w:lvlJc w:val="left"/>
      <w:pPr>
        <w:ind w:left="2520" w:hanging="360"/>
      </w:pPr>
      <w:rPr>
        <w:rFonts w:ascii="Arial" w:eastAsia="Arial" w:hAnsi="Arial" w:cs="Arial"/>
      </w:rPr>
    </w:lvl>
    <w:lvl w:ilvl="6">
      <w:start w:val="1"/>
      <w:numFmt w:val="bullet"/>
      <w:lvlText w:val="●"/>
      <w:lvlJc w:val="left"/>
      <w:pPr>
        <w:ind w:left="2880" w:hanging="360"/>
      </w:pPr>
      <w:rPr>
        <w:rFonts w:ascii="Arial" w:eastAsia="Arial" w:hAnsi="Arial" w:cs="Arial"/>
      </w:rPr>
    </w:lvl>
    <w:lvl w:ilvl="7">
      <w:start w:val="1"/>
      <w:numFmt w:val="bullet"/>
      <w:lvlText w:val="◦"/>
      <w:lvlJc w:val="left"/>
      <w:pPr>
        <w:ind w:left="3240" w:hanging="360"/>
      </w:pPr>
      <w:rPr>
        <w:rFonts w:ascii="Arial" w:eastAsia="Arial" w:hAnsi="Arial" w:cs="Arial"/>
      </w:rPr>
    </w:lvl>
    <w:lvl w:ilvl="8">
      <w:start w:val="1"/>
      <w:numFmt w:val="bullet"/>
      <w:lvlText w:val="▪"/>
      <w:lvlJc w:val="left"/>
      <w:pPr>
        <w:ind w:left="3600" w:hanging="360"/>
      </w:pPr>
      <w:rPr>
        <w:rFonts w:ascii="Arial" w:eastAsia="Arial" w:hAnsi="Arial" w:cs="Arial"/>
      </w:rPr>
    </w:lvl>
  </w:abstractNum>
  <w:abstractNum w:abstractNumId="7" w15:restartNumberingAfterBreak="0">
    <w:nsid w:val="2B4945A9"/>
    <w:multiLevelType w:val="hybridMultilevel"/>
    <w:tmpl w:val="6A829D2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BC56810"/>
    <w:multiLevelType w:val="multilevel"/>
    <w:tmpl w:val="9F42352A"/>
    <w:lvl w:ilvl="0">
      <w:start w:val="1"/>
      <w:numFmt w:val="decimal"/>
      <w:lvlText w:val="%1."/>
      <w:lvlJc w:val="left"/>
      <w:pPr>
        <w:ind w:left="360" w:hanging="360"/>
      </w:pPr>
      <w:rPr>
        <w:rFonts w:ascii="Garamond" w:eastAsia="Droid Serif" w:hAnsi="Garamond"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D392F50"/>
    <w:multiLevelType w:val="hybridMultilevel"/>
    <w:tmpl w:val="E84C33E4"/>
    <w:lvl w:ilvl="0" w:tplc="A9E06FE4">
      <w:start w:val="1"/>
      <w:numFmt w:val="decimal"/>
      <w:lvlText w:val="%1."/>
      <w:lvlJc w:val="left"/>
      <w:pPr>
        <w:ind w:left="1041" w:hanging="360"/>
      </w:pPr>
      <w:rPr>
        <w:rFonts w:hint="default"/>
      </w:r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10" w15:restartNumberingAfterBreak="0">
    <w:nsid w:val="31E72C90"/>
    <w:multiLevelType w:val="multilevel"/>
    <w:tmpl w:val="9F42352A"/>
    <w:lvl w:ilvl="0">
      <w:start w:val="1"/>
      <w:numFmt w:val="decimal"/>
      <w:lvlText w:val="%1."/>
      <w:lvlJc w:val="left"/>
      <w:pPr>
        <w:ind w:left="360" w:hanging="360"/>
      </w:pPr>
      <w:rPr>
        <w:rFonts w:ascii="Garamond" w:eastAsia="Droid Serif" w:hAnsi="Garamond"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6A04FA0"/>
    <w:multiLevelType w:val="hybridMultilevel"/>
    <w:tmpl w:val="4B6C0624"/>
    <w:lvl w:ilvl="0" w:tplc="10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7AC7EDB"/>
    <w:multiLevelType w:val="multilevel"/>
    <w:tmpl w:val="9F42352A"/>
    <w:lvl w:ilvl="0">
      <w:start w:val="1"/>
      <w:numFmt w:val="decimal"/>
      <w:lvlText w:val="%1."/>
      <w:lvlJc w:val="left"/>
      <w:pPr>
        <w:ind w:left="360" w:hanging="360"/>
      </w:pPr>
      <w:rPr>
        <w:rFonts w:ascii="Garamond" w:eastAsia="Droid Serif" w:hAnsi="Garamond"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95B1842"/>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A854648"/>
    <w:multiLevelType w:val="multilevel"/>
    <w:tmpl w:val="E594140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5" w15:restartNumberingAfterBreak="0">
    <w:nsid w:val="46556D50"/>
    <w:multiLevelType w:val="hybridMultilevel"/>
    <w:tmpl w:val="713EE738"/>
    <w:lvl w:ilvl="0" w:tplc="78BAED04">
      <w:start w:val="3"/>
      <w:numFmt w:val="bullet"/>
      <w:lvlText w:val="-"/>
      <w:lvlJc w:val="left"/>
      <w:pPr>
        <w:ind w:left="1004" w:hanging="360"/>
      </w:pPr>
      <w:rPr>
        <w:rFonts w:ascii="Garamond" w:eastAsia="Times New Roman" w:hAnsi="Garamond"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7A5424B"/>
    <w:multiLevelType w:val="hybridMultilevel"/>
    <w:tmpl w:val="DCE84B92"/>
    <w:lvl w:ilvl="0" w:tplc="07E08F46">
      <w:start w:val="8"/>
      <w:numFmt w:val="bullet"/>
      <w:lvlText w:val="-"/>
      <w:lvlJc w:val="left"/>
      <w:pPr>
        <w:ind w:left="1080" w:hanging="360"/>
      </w:pPr>
      <w:rPr>
        <w:rFonts w:ascii="Palatino" w:eastAsia="Times New Roman" w:hAnsi="Palatino"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621C7F"/>
    <w:multiLevelType w:val="hybridMultilevel"/>
    <w:tmpl w:val="0C0C6FD8"/>
    <w:lvl w:ilvl="0" w:tplc="903CF3DE">
      <w:start w:val="1"/>
      <w:numFmt w:val="upperLetter"/>
      <w:lvlText w:val="%1."/>
      <w:lvlJc w:val="left"/>
      <w:pPr>
        <w:ind w:left="1004" w:hanging="360"/>
      </w:pPr>
      <w:rPr>
        <w:rFonts w:hint="default"/>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4C627FBE"/>
    <w:multiLevelType w:val="hybridMultilevel"/>
    <w:tmpl w:val="B516BB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EC81FE4"/>
    <w:multiLevelType w:val="multilevel"/>
    <w:tmpl w:val="6E6474FC"/>
    <w:lvl w:ilvl="0">
      <w:start w:val="1"/>
      <w:numFmt w:val="decimal"/>
      <w:lvlText w:val="%1."/>
      <w:lvlJc w:val="left"/>
      <w:pPr>
        <w:ind w:left="720" w:hanging="360"/>
      </w:pPr>
      <w:rPr>
        <w:b/>
        <w:u w:val="none"/>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679A5305"/>
    <w:multiLevelType w:val="hybridMultilevel"/>
    <w:tmpl w:val="E3E21074"/>
    <w:lvl w:ilvl="0" w:tplc="046AC8A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6F9576A8"/>
    <w:multiLevelType w:val="hybridMultilevel"/>
    <w:tmpl w:val="E84C33E4"/>
    <w:lvl w:ilvl="0" w:tplc="A9E06FE4">
      <w:start w:val="1"/>
      <w:numFmt w:val="decimal"/>
      <w:lvlText w:val="%1."/>
      <w:lvlJc w:val="left"/>
      <w:pPr>
        <w:ind w:left="1041" w:hanging="360"/>
      </w:pPr>
      <w:rPr>
        <w:rFonts w:hint="default"/>
      </w:rPr>
    </w:lvl>
    <w:lvl w:ilvl="1" w:tplc="04090019" w:tentative="1">
      <w:start w:val="1"/>
      <w:numFmt w:val="lowerLetter"/>
      <w:lvlText w:val="%2."/>
      <w:lvlJc w:val="left"/>
      <w:pPr>
        <w:ind w:left="1761" w:hanging="360"/>
      </w:pPr>
    </w:lvl>
    <w:lvl w:ilvl="2" w:tplc="0409001B" w:tentative="1">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22" w15:restartNumberingAfterBreak="0">
    <w:nsid w:val="716D3BDC"/>
    <w:multiLevelType w:val="hybridMultilevel"/>
    <w:tmpl w:val="E79012B6"/>
    <w:lvl w:ilvl="0" w:tplc="80C47B8A">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
  </w:num>
  <w:num w:numId="4">
    <w:abstractNumId w:val="6"/>
  </w:num>
  <w:num w:numId="5">
    <w:abstractNumId w:val="18"/>
  </w:num>
  <w:num w:numId="6">
    <w:abstractNumId w:val="0"/>
  </w:num>
  <w:num w:numId="7">
    <w:abstractNumId w:val="7"/>
  </w:num>
  <w:num w:numId="8">
    <w:abstractNumId w:val="4"/>
  </w:num>
  <w:num w:numId="9">
    <w:abstractNumId w:val="21"/>
  </w:num>
  <w:num w:numId="10">
    <w:abstractNumId w:val="9"/>
  </w:num>
  <w:num w:numId="11">
    <w:abstractNumId w:val="13"/>
  </w:num>
  <w:num w:numId="12">
    <w:abstractNumId w:val="20"/>
  </w:num>
  <w:num w:numId="13">
    <w:abstractNumId w:val="10"/>
  </w:num>
  <w:num w:numId="14">
    <w:abstractNumId w:val="17"/>
  </w:num>
  <w:num w:numId="15">
    <w:abstractNumId w:val="22"/>
  </w:num>
  <w:num w:numId="16">
    <w:abstractNumId w:val="12"/>
  </w:num>
  <w:num w:numId="17">
    <w:abstractNumId w:val="15"/>
  </w:num>
  <w:num w:numId="18">
    <w:abstractNumId w:val="8"/>
  </w:num>
  <w:num w:numId="19">
    <w:abstractNumId w:val="3"/>
  </w:num>
  <w:num w:numId="20">
    <w:abstractNumId w:val="2"/>
  </w:num>
  <w:num w:numId="21">
    <w:abstractNumId w:val="11"/>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C5AB7"/>
    <w:rsid w:val="00000163"/>
    <w:rsid w:val="00002C50"/>
    <w:rsid w:val="00002CBE"/>
    <w:rsid w:val="00010D72"/>
    <w:rsid w:val="00011D2B"/>
    <w:rsid w:val="000132ED"/>
    <w:rsid w:val="00014B0C"/>
    <w:rsid w:val="00014C53"/>
    <w:rsid w:val="000151E1"/>
    <w:rsid w:val="000155F5"/>
    <w:rsid w:val="00016994"/>
    <w:rsid w:val="00017A8C"/>
    <w:rsid w:val="00020C19"/>
    <w:rsid w:val="00021161"/>
    <w:rsid w:val="00021B87"/>
    <w:rsid w:val="00022778"/>
    <w:rsid w:val="00023E14"/>
    <w:rsid w:val="00024AA6"/>
    <w:rsid w:val="000258C9"/>
    <w:rsid w:val="00026E51"/>
    <w:rsid w:val="0002702A"/>
    <w:rsid w:val="00030815"/>
    <w:rsid w:val="000308AF"/>
    <w:rsid w:val="0003366F"/>
    <w:rsid w:val="00035406"/>
    <w:rsid w:val="000355A9"/>
    <w:rsid w:val="00036B09"/>
    <w:rsid w:val="00037396"/>
    <w:rsid w:val="00040889"/>
    <w:rsid w:val="00044D7D"/>
    <w:rsid w:val="00045628"/>
    <w:rsid w:val="00046F6D"/>
    <w:rsid w:val="00047A6E"/>
    <w:rsid w:val="00051253"/>
    <w:rsid w:val="000515CD"/>
    <w:rsid w:val="00051928"/>
    <w:rsid w:val="00052FC2"/>
    <w:rsid w:val="00053970"/>
    <w:rsid w:val="00053C99"/>
    <w:rsid w:val="00054F68"/>
    <w:rsid w:val="00055CCB"/>
    <w:rsid w:val="000611B2"/>
    <w:rsid w:val="00061EAC"/>
    <w:rsid w:val="000630B3"/>
    <w:rsid w:val="0006353F"/>
    <w:rsid w:val="00065BA5"/>
    <w:rsid w:val="000662A7"/>
    <w:rsid w:val="00066AE7"/>
    <w:rsid w:val="00067B90"/>
    <w:rsid w:val="00071351"/>
    <w:rsid w:val="0007201D"/>
    <w:rsid w:val="00072142"/>
    <w:rsid w:val="00072533"/>
    <w:rsid w:val="00073E34"/>
    <w:rsid w:val="00075A23"/>
    <w:rsid w:val="00076B90"/>
    <w:rsid w:val="000806A9"/>
    <w:rsid w:val="0008128E"/>
    <w:rsid w:val="00082DA8"/>
    <w:rsid w:val="00082EE0"/>
    <w:rsid w:val="00083605"/>
    <w:rsid w:val="0008477A"/>
    <w:rsid w:val="000877ED"/>
    <w:rsid w:val="000908D8"/>
    <w:rsid w:val="000910B2"/>
    <w:rsid w:val="00093043"/>
    <w:rsid w:val="00093CF3"/>
    <w:rsid w:val="00095174"/>
    <w:rsid w:val="000953CE"/>
    <w:rsid w:val="00095786"/>
    <w:rsid w:val="00095D09"/>
    <w:rsid w:val="00096A0B"/>
    <w:rsid w:val="000978A9"/>
    <w:rsid w:val="00097DAA"/>
    <w:rsid w:val="000A16FB"/>
    <w:rsid w:val="000A1731"/>
    <w:rsid w:val="000A1F42"/>
    <w:rsid w:val="000A2779"/>
    <w:rsid w:val="000A30D2"/>
    <w:rsid w:val="000A313E"/>
    <w:rsid w:val="000A3561"/>
    <w:rsid w:val="000A5E27"/>
    <w:rsid w:val="000B206F"/>
    <w:rsid w:val="000B52CC"/>
    <w:rsid w:val="000B537D"/>
    <w:rsid w:val="000B5A9E"/>
    <w:rsid w:val="000B5FD8"/>
    <w:rsid w:val="000B60D4"/>
    <w:rsid w:val="000B62F3"/>
    <w:rsid w:val="000B6689"/>
    <w:rsid w:val="000C1127"/>
    <w:rsid w:val="000D23B2"/>
    <w:rsid w:val="000D2AEA"/>
    <w:rsid w:val="000D2E4F"/>
    <w:rsid w:val="000D3929"/>
    <w:rsid w:val="000D5459"/>
    <w:rsid w:val="000D5913"/>
    <w:rsid w:val="000D7D65"/>
    <w:rsid w:val="000E0258"/>
    <w:rsid w:val="000E12DB"/>
    <w:rsid w:val="000E1B33"/>
    <w:rsid w:val="000E207C"/>
    <w:rsid w:val="000E50DE"/>
    <w:rsid w:val="000E5533"/>
    <w:rsid w:val="000E5EC8"/>
    <w:rsid w:val="000E682D"/>
    <w:rsid w:val="000E6AC8"/>
    <w:rsid w:val="000E6FAE"/>
    <w:rsid w:val="000F0413"/>
    <w:rsid w:val="000F08FE"/>
    <w:rsid w:val="000F2F36"/>
    <w:rsid w:val="000F35BF"/>
    <w:rsid w:val="000F3BD0"/>
    <w:rsid w:val="000F4560"/>
    <w:rsid w:val="000F529B"/>
    <w:rsid w:val="000F6A6F"/>
    <w:rsid w:val="000F6BD1"/>
    <w:rsid w:val="00101262"/>
    <w:rsid w:val="00102EF5"/>
    <w:rsid w:val="0010317E"/>
    <w:rsid w:val="00110043"/>
    <w:rsid w:val="00111B10"/>
    <w:rsid w:val="00114707"/>
    <w:rsid w:val="00116ACF"/>
    <w:rsid w:val="0011744D"/>
    <w:rsid w:val="00121B9C"/>
    <w:rsid w:val="00122BDF"/>
    <w:rsid w:val="00122C00"/>
    <w:rsid w:val="00125742"/>
    <w:rsid w:val="0012664A"/>
    <w:rsid w:val="00126914"/>
    <w:rsid w:val="00126BAB"/>
    <w:rsid w:val="0012781D"/>
    <w:rsid w:val="00127A5F"/>
    <w:rsid w:val="00130229"/>
    <w:rsid w:val="00130249"/>
    <w:rsid w:val="001316A5"/>
    <w:rsid w:val="00134E8F"/>
    <w:rsid w:val="00135307"/>
    <w:rsid w:val="001356D3"/>
    <w:rsid w:val="001361A5"/>
    <w:rsid w:val="0013696E"/>
    <w:rsid w:val="001373C3"/>
    <w:rsid w:val="00137F08"/>
    <w:rsid w:val="00141460"/>
    <w:rsid w:val="00142025"/>
    <w:rsid w:val="00142C3C"/>
    <w:rsid w:val="00142C60"/>
    <w:rsid w:val="00142EE8"/>
    <w:rsid w:val="00143AC1"/>
    <w:rsid w:val="001441EB"/>
    <w:rsid w:val="00146D87"/>
    <w:rsid w:val="00151BEE"/>
    <w:rsid w:val="00151F74"/>
    <w:rsid w:val="00153184"/>
    <w:rsid w:val="00154248"/>
    <w:rsid w:val="001543EB"/>
    <w:rsid w:val="00160DAD"/>
    <w:rsid w:val="00163A7B"/>
    <w:rsid w:val="00163DCC"/>
    <w:rsid w:val="00165BBC"/>
    <w:rsid w:val="001666A5"/>
    <w:rsid w:val="001678D0"/>
    <w:rsid w:val="00167A6B"/>
    <w:rsid w:val="00167C40"/>
    <w:rsid w:val="00171F68"/>
    <w:rsid w:val="00176BB2"/>
    <w:rsid w:val="00181539"/>
    <w:rsid w:val="00182778"/>
    <w:rsid w:val="00183205"/>
    <w:rsid w:val="0018499B"/>
    <w:rsid w:val="001849FF"/>
    <w:rsid w:val="00184CCE"/>
    <w:rsid w:val="0018558C"/>
    <w:rsid w:val="00185A73"/>
    <w:rsid w:val="001907C1"/>
    <w:rsid w:val="001910B9"/>
    <w:rsid w:val="0019383B"/>
    <w:rsid w:val="00193F74"/>
    <w:rsid w:val="00194F00"/>
    <w:rsid w:val="001A18E2"/>
    <w:rsid w:val="001A3426"/>
    <w:rsid w:val="001A42EC"/>
    <w:rsid w:val="001A5CD1"/>
    <w:rsid w:val="001A6F97"/>
    <w:rsid w:val="001B221B"/>
    <w:rsid w:val="001B3315"/>
    <w:rsid w:val="001B4011"/>
    <w:rsid w:val="001B5926"/>
    <w:rsid w:val="001B5972"/>
    <w:rsid w:val="001B5AB2"/>
    <w:rsid w:val="001B5DA7"/>
    <w:rsid w:val="001C17DD"/>
    <w:rsid w:val="001C18A0"/>
    <w:rsid w:val="001C6200"/>
    <w:rsid w:val="001C6F60"/>
    <w:rsid w:val="001C7CB6"/>
    <w:rsid w:val="001D0162"/>
    <w:rsid w:val="001D05CA"/>
    <w:rsid w:val="001D0CE1"/>
    <w:rsid w:val="001D164B"/>
    <w:rsid w:val="001D1915"/>
    <w:rsid w:val="001D26F8"/>
    <w:rsid w:val="001D38D9"/>
    <w:rsid w:val="001D4410"/>
    <w:rsid w:val="001D61F9"/>
    <w:rsid w:val="001D62E5"/>
    <w:rsid w:val="001D7C13"/>
    <w:rsid w:val="001E09BA"/>
    <w:rsid w:val="001E2C8E"/>
    <w:rsid w:val="001E3EAE"/>
    <w:rsid w:val="001E4609"/>
    <w:rsid w:val="001E4A0E"/>
    <w:rsid w:val="001E4B2B"/>
    <w:rsid w:val="001E6782"/>
    <w:rsid w:val="001F0FBD"/>
    <w:rsid w:val="001F545C"/>
    <w:rsid w:val="001F7119"/>
    <w:rsid w:val="002017E4"/>
    <w:rsid w:val="00202D85"/>
    <w:rsid w:val="00204983"/>
    <w:rsid w:val="0020582A"/>
    <w:rsid w:val="00206AD1"/>
    <w:rsid w:val="00207CAF"/>
    <w:rsid w:val="00210604"/>
    <w:rsid w:val="002110BC"/>
    <w:rsid w:val="00213AC2"/>
    <w:rsid w:val="00213D6A"/>
    <w:rsid w:val="002204B2"/>
    <w:rsid w:val="002217B1"/>
    <w:rsid w:val="0022381A"/>
    <w:rsid w:val="00223AE6"/>
    <w:rsid w:val="002263C3"/>
    <w:rsid w:val="00226701"/>
    <w:rsid w:val="002274E1"/>
    <w:rsid w:val="00230618"/>
    <w:rsid w:val="00230DB8"/>
    <w:rsid w:val="00230F96"/>
    <w:rsid w:val="00231264"/>
    <w:rsid w:val="0023158F"/>
    <w:rsid w:val="00231C98"/>
    <w:rsid w:val="00232B2A"/>
    <w:rsid w:val="00233736"/>
    <w:rsid w:val="002339D2"/>
    <w:rsid w:val="00234793"/>
    <w:rsid w:val="00235625"/>
    <w:rsid w:val="00236041"/>
    <w:rsid w:val="0023736B"/>
    <w:rsid w:val="002374E7"/>
    <w:rsid w:val="00240049"/>
    <w:rsid w:val="00240E09"/>
    <w:rsid w:val="002410BA"/>
    <w:rsid w:val="002423FD"/>
    <w:rsid w:val="0024654F"/>
    <w:rsid w:val="002503DB"/>
    <w:rsid w:val="0025082D"/>
    <w:rsid w:val="002533F4"/>
    <w:rsid w:val="002557C1"/>
    <w:rsid w:val="002615E0"/>
    <w:rsid w:val="00261606"/>
    <w:rsid w:val="002616BC"/>
    <w:rsid w:val="002636BF"/>
    <w:rsid w:val="00263986"/>
    <w:rsid w:val="00265427"/>
    <w:rsid w:val="00270B6D"/>
    <w:rsid w:val="00271740"/>
    <w:rsid w:val="00272D39"/>
    <w:rsid w:val="0027334A"/>
    <w:rsid w:val="002735AA"/>
    <w:rsid w:val="00274697"/>
    <w:rsid w:val="0027686B"/>
    <w:rsid w:val="00277FDC"/>
    <w:rsid w:val="002811CE"/>
    <w:rsid w:val="002832EA"/>
    <w:rsid w:val="00283784"/>
    <w:rsid w:val="00284389"/>
    <w:rsid w:val="00290D75"/>
    <w:rsid w:val="0029200E"/>
    <w:rsid w:val="002952B4"/>
    <w:rsid w:val="002966C2"/>
    <w:rsid w:val="002968D7"/>
    <w:rsid w:val="002A088F"/>
    <w:rsid w:val="002A16E5"/>
    <w:rsid w:val="002A18CA"/>
    <w:rsid w:val="002A4D47"/>
    <w:rsid w:val="002A7C15"/>
    <w:rsid w:val="002B03E1"/>
    <w:rsid w:val="002B1EBA"/>
    <w:rsid w:val="002B3EEF"/>
    <w:rsid w:val="002B40FA"/>
    <w:rsid w:val="002B49C2"/>
    <w:rsid w:val="002B4CDC"/>
    <w:rsid w:val="002C17CD"/>
    <w:rsid w:val="002C1DF6"/>
    <w:rsid w:val="002C1FCB"/>
    <w:rsid w:val="002C3FD1"/>
    <w:rsid w:val="002C499B"/>
    <w:rsid w:val="002D02C9"/>
    <w:rsid w:val="002D1587"/>
    <w:rsid w:val="002D1C9A"/>
    <w:rsid w:val="002D2752"/>
    <w:rsid w:val="002D73B8"/>
    <w:rsid w:val="002E100F"/>
    <w:rsid w:val="002E299B"/>
    <w:rsid w:val="002E2D5C"/>
    <w:rsid w:val="002E3102"/>
    <w:rsid w:val="002E4F6C"/>
    <w:rsid w:val="002E55CA"/>
    <w:rsid w:val="002E58A1"/>
    <w:rsid w:val="002E6C67"/>
    <w:rsid w:val="002F3507"/>
    <w:rsid w:val="002F4DA2"/>
    <w:rsid w:val="002F5582"/>
    <w:rsid w:val="002F602F"/>
    <w:rsid w:val="00300155"/>
    <w:rsid w:val="003007D4"/>
    <w:rsid w:val="003039D5"/>
    <w:rsid w:val="00304871"/>
    <w:rsid w:val="003050F4"/>
    <w:rsid w:val="00306953"/>
    <w:rsid w:val="003071C9"/>
    <w:rsid w:val="00310244"/>
    <w:rsid w:val="003108DD"/>
    <w:rsid w:val="00310CC5"/>
    <w:rsid w:val="003117E7"/>
    <w:rsid w:val="00311C9A"/>
    <w:rsid w:val="00313DB0"/>
    <w:rsid w:val="00315EDC"/>
    <w:rsid w:val="003176E0"/>
    <w:rsid w:val="00321063"/>
    <w:rsid w:val="00322526"/>
    <w:rsid w:val="00322CAF"/>
    <w:rsid w:val="00322E6A"/>
    <w:rsid w:val="00323B09"/>
    <w:rsid w:val="00323BBB"/>
    <w:rsid w:val="003249A8"/>
    <w:rsid w:val="00324DD4"/>
    <w:rsid w:val="00332927"/>
    <w:rsid w:val="003332D2"/>
    <w:rsid w:val="00334919"/>
    <w:rsid w:val="00334D97"/>
    <w:rsid w:val="0033545F"/>
    <w:rsid w:val="00341042"/>
    <w:rsid w:val="003417BA"/>
    <w:rsid w:val="00342681"/>
    <w:rsid w:val="00343740"/>
    <w:rsid w:val="00345A7E"/>
    <w:rsid w:val="003468C6"/>
    <w:rsid w:val="00347584"/>
    <w:rsid w:val="00347AAE"/>
    <w:rsid w:val="0035041C"/>
    <w:rsid w:val="00350B33"/>
    <w:rsid w:val="00350D6B"/>
    <w:rsid w:val="00351A5E"/>
    <w:rsid w:val="003528E4"/>
    <w:rsid w:val="00352E65"/>
    <w:rsid w:val="003533FA"/>
    <w:rsid w:val="00353E73"/>
    <w:rsid w:val="003556C4"/>
    <w:rsid w:val="00355981"/>
    <w:rsid w:val="00355B2E"/>
    <w:rsid w:val="003569DF"/>
    <w:rsid w:val="00356D15"/>
    <w:rsid w:val="00361F4D"/>
    <w:rsid w:val="00362097"/>
    <w:rsid w:val="00363FF9"/>
    <w:rsid w:val="00364F4B"/>
    <w:rsid w:val="0036572F"/>
    <w:rsid w:val="003657A1"/>
    <w:rsid w:val="003703C1"/>
    <w:rsid w:val="003721C7"/>
    <w:rsid w:val="0037320F"/>
    <w:rsid w:val="003738A2"/>
    <w:rsid w:val="00377B5C"/>
    <w:rsid w:val="00382271"/>
    <w:rsid w:val="00383BD6"/>
    <w:rsid w:val="00383CB6"/>
    <w:rsid w:val="00384150"/>
    <w:rsid w:val="003841F9"/>
    <w:rsid w:val="00385FA0"/>
    <w:rsid w:val="00387575"/>
    <w:rsid w:val="003921C9"/>
    <w:rsid w:val="0039221D"/>
    <w:rsid w:val="003923BD"/>
    <w:rsid w:val="0039390E"/>
    <w:rsid w:val="00394A7A"/>
    <w:rsid w:val="00397624"/>
    <w:rsid w:val="003A37E3"/>
    <w:rsid w:val="003A3AD4"/>
    <w:rsid w:val="003A44D4"/>
    <w:rsid w:val="003A4556"/>
    <w:rsid w:val="003A4CB5"/>
    <w:rsid w:val="003A55C4"/>
    <w:rsid w:val="003A5740"/>
    <w:rsid w:val="003A60DB"/>
    <w:rsid w:val="003B0ED2"/>
    <w:rsid w:val="003B1ED3"/>
    <w:rsid w:val="003B276E"/>
    <w:rsid w:val="003B4548"/>
    <w:rsid w:val="003C0F95"/>
    <w:rsid w:val="003C17AC"/>
    <w:rsid w:val="003C56E0"/>
    <w:rsid w:val="003D01FC"/>
    <w:rsid w:val="003D1BD4"/>
    <w:rsid w:val="003D3171"/>
    <w:rsid w:val="003D533C"/>
    <w:rsid w:val="003D598A"/>
    <w:rsid w:val="003D718B"/>
    <w:rsid w:val="003E0AD5"/>
    <w:rsid w:val="003E1F7A"/>
    <w:rsid w:val="003E562C"/>
    <w:rsid w:val="003E661F"/>
    <w:rsid w:val="003E67BB"/>
    <w:rsid w:val="003F1EE2"/>
    <w:rsid w:val="003F399C"/>
    <w:rsid w:val="003F3BC0"/>
    <w:rsid w:val="003F47F5"/>
    <w:rsid w:val="003F7122"/>
    <w:rsid w:val="00400C72"/>
    <w:rsid w:val="00404371"/>
    <w:rsid w:val="00404478"/>
    <w:rsid w:val="004052D8"/>
    <w:rsid w:val="00405D3F"/>
    <w:rsid w:val="00407BD0"/>
    <w:rsid w:val="00410F52"/>
    <w:rsid w:val="00411A71"/>
    <w:rsid w:val="00414E9F"/>
    <w:rsid w:val="0041585F"/>
    <w:rsid w:val="00421930"/>
    <w:rsid w:val="00421AFB"/>
    <w:rsid w:val="0042616B"/>
    <w:rsid w:val="00431153"/>
    <w:rsid w:val="00433BFE"/>
    <w:rsid w:val="00434122"/>
    <w:rsid w:val="004341C1"/>
    <w:rsid w:val="00434D95"/>
    <w:rsid w:val="004365C6"/>
    <w:rsid w:val="0044126F"/>
    <w:rsid w:val="00441446"/>
    <w:rsid w:val="00441481"/>
    <w:rsid w:val="00441885"/>
    <w:rsid w:val="00442E43"/>
    <w:rsid w:val="00443140"/>
    <w:rsid w:val="004436F4"/>
    <w:rsid w:val="00443855"/>
    <w:rsid w:val="00445081"/>
    <w:rsid w:val="00445793"/>
    <w:rsid w:val="00447697"/>
    <w:rsid w:val="00447C49"/>
    <w:rsid w:val="0045098C"/>
    <w:rsid w:val="00451619"/>
    <w:rsid w:val="00452E0E"/>
    <w:rsid w:val="0045509C"/>
    <w:rsid w:val="004566F7"/>
    <w:rsid w:val="00457928"/>
    <w:rsid w:val="0045792C"/>
    <w:rsid w:val="00460478"/>
    <w:rsid w:val="00460FFC"/>
    <w:rsid w:val="0046303D"/>
    <w:rsid w:val="00463456"/>
    <w:rsid w:val="00465690"/>
    <w:rsid w:val="00466989"/>
    <w:rsid w:val="00471C99"/>
    <w:rsid w:val="00471E6F"/>
    <w:rsid w:val="00474234"/>
    <w:rsid w:val="0047508C"/>
    <w:rsid w:val="00475A20"/>
    <w:rsid w:val="00476487"/>
    <w:rsid w:val="00480E73"/>
    <w:rsid w:val="00482F8F"/>
    <w:rsid w:val="0048522A"/>
    <w:rsid w:val="0049158D"/>
    <w:rsid w:val="00491A40"/>
    <w:rsid w:val="004930C1"/>
    <w:rsid w:val="0049366F"/>
    <w:rsid w:val="00493C8F"/>
    <w:rsid w:val="00494133"/>
    <w:rsid w:val="0049444E"/>
    <w:rsid w:val="00494733"/>
    <w:rsid w:val="00495B35"/>
    <w:rsid w:val="004964CD"/>
    <w:rsid w:val="004A054E"/>
    <w:rsid w:val="004A0BFD"/>
    <w:rsid w:val="004A1049"/>
    <w:rsid w:val="004A2B9A"/>
    <w:rsid w:val="004A2E39"/>
    <w:rsid w:val="004A3066"/>
    <w:rsid w:val="004A4972"/>
    <w:rsid w:val="004A4E63"/>
    <w:rsid w:val="004A7041"/>
    <w:rsid w:val="004B16C3"/>
    <w:rsid w:val="004B5201"/>
    <w:rsid w:val="004B538C"/>
    <w:rsid w:val="004B77F4"/>
    <w:rsid w:val="004B7F69"/>
    <w:rsid w:val="004C1500"/>
    <w:rsid w:val="004C4148"/>
    <w:rsid w:val="004C6208"/>
    <w:rsid w:val="004C7812"/>
    <w:rsid w:val="004D0E94"/>
    <w:rsid w:val="004D4712"/>
    <w:rsid w:val="004D4A33"/>
    <w:rsid w:val="004D6639"/>
    <w:rsid w:val="004D7B6F"/>
    <w:rsid w:val="004E0BEA"/>
    <w:rsid w:val="004E10B4"/>
    <w:rsid w:val="004E300E"/>
    <w:rsid w:val="004E3340"/>
    <w:rsid w:val="004E4D46"/>
    <w:rsid w:val="004E7394"/>
    <w:rsid w:val="004E74AE"/>
    <w:rsid w:val="004F42DA"/>
    <w:rsid w:val="004F4763"/>
    <w:rsid w:val="004F756A"/>
    <w:rsid w:val="00501AAB"/>
    <w:rsid w:val="00501BE1"/>
    <w:rsid w:val="0050207E"/>
    <w:rsid w:val="0050278B"/>
    <w:rsid w:val="00503259"/>
    <w:rsid w:val="00503307"/>
    <w:rsid w:val="00503747"/>
    <w:rsid w:val="00505EE9"/>
    <w:rsid w:val="005066E1"/>
    <w:rsid w:val="0051177A"/>
    <w:rsid w:val="00513A8B"/>
    <w:rsid w:val="0051430C"/>
    <w:rsid w:val="00515FA2"/>
    <w:rsid w:val="005173DE"/>
    <w:rsid w:val="005225E1"/>
    <w:rsid w:val="00525289"/>
    <w:rsid w:val="00525572"/>
    <w:rsid w:val="005261BF"/>
    <w:rsid w:val="005264CA"/>
    <w:rsid w:val="005278C9"/>
    <w:rsid w:val="00527EA3"/>
    <w:rsid w:val="00530227"/>
    <w:rsid w:val="00530249"/>
    <w:rsid w:val="0053158B"/>
    <w:rsid w:val="00532D1B"/>
    <w:rsid w:val="00535A5C"/>
    <w:rsid w:val="00536BED"/>
    <w:rsid w:val="00536D03"/>
    <w:rsid w:val="00540961"/>
    <w:rsid w:val="005416C0"/>
    <w:rsid w:val="0054187F"/>
    <w:rsid w:val="00541EDF"/>
    <w:rsid w:val="00543DB7"/>
    <w:rsid w:val="00545B00"/>
    <w:rsid w:val="00550E0E"/>
    <w:rsid w:val="00551F52"/>
    <w:rsid w:val="005526FE"/>
    <w:rsid w:val="00552917"/>
    <w:rsid w:val="0055361B"/>
    <w:rsid w:val="00556325"/>
    <w:rsid w:val="0055704B"/>
    <w:rsid w:val="00560520"/>
    <w:rsid w:val="005612FD"/>
    <w:rsid w:val="00564431"/>
    <w:rsid w:val="00567D2E"/>
    <w:rsid w:val="00572362"/>
    <w:rsid w:val="00575896"/>
    <w:rsid w:val="0057679D"/>
    <w:rsid w:val="00577AA3"/>
    <w:rsid w:val="0058066E"/>
    <w:rsid w:val="0058102A"/>
    <w:rsid w:val="00583ADC"/>
    <w:rsid w:val="005873EF"/>
    <w:rsid w:val="00596473"/>
    <w:rsid w:val="005972FE"/>
    <w:rsid w:val="00597C68"/>
    <w:rsid w:val="005A0A45"/>
    <w:rsid w:val="005A1885"/>
    <w:rsid w:val="005A227C"/>
    <w:rsid w:val="005A3A10"/>
    <w:rsid w:val="005A6BBC"/>
    <w:rsid w:val="005A6E5D"/>
    <w:rsid w:val="005A7A3C"/>
    <w:rsid w:val="005A7D50"/>
    <w:rsid w:val="005A7EB4"/>
    <w:rsid w:val="005B0B23"/>
    <w:rsid w:val="005B324C"/>
    <w:rsid w:val="005B4C0B"/>
    <w:rsid w:val="005B63D7"/>
    <w:rsid w:val="005B6B43"/>
    <w:rsid w:val="005B7C85"/>
    <w:rsid w:val="005B7CEE"/>
    <w:rsid w:val="005C1E38"/>
    <w:rsid w:val="005C209C"/>
    <w:rsid w:val="005C2704"/>
    <w:rsid w:val="005C3291"/>
    <w:rsid w:val="005C6FD2"/>
    <w:rsid w:val="005D1810"/>
    <w:rsid w:val="005D1911"/>
    <w:rsid w:val="005D1926"/>
    <w:rsid w:val="005D273E"/>
    <w:rsid w:val="005D3EA1"/>
    <w:rsid w:val="005D72F1"/>
    <w:rsid w:val="005E1723"/>
    <w:rsid w:val="005E25E9"/>
    <w:rsid w:val="005E3370"/>
    <w:rsid w:val="005E4B9A"/>
    <w:rsid w:val="005E62F7"/>
    <w:rsid w:val="005E7580"/>
    <w:rsid w:val="005E76D5"/>
    <w:rsid w:val="005E7F07"/>
    <w:rsid w:val="005F0579"/>
    <w:rsid w:val="005F0818"/>
    <w:rsid w:val="005F2369"/>
    <w:rsid w:val="005F2DB9"/>
    <w:rsid w:val="005F39C8"/>
    <w:rsid w:val="005F5B2A"/>
    <w:rsid w:val="005F642D"/>
    <w:rsid w:val="006002BE"/>
    <w:rsid w:val="006009E6"/>
    <w:rsid w:val="006040AD"/>
    <w:rsid w:val="006051E1"/>
    <w:rsid w:val="0060741B"/>
    <w:rsid w:val="00607E55"/>
    <w:rsid w:val="00610028"/>
    <w:rsid w:val="006124CD"/>
    <w:rsid w:val="0061441F"/>
    <w:rsid w:val="00614899"/>
    <w:rsid w:val="00615A33"/>
    <w:rsid w:val="00616195"/>
    <w:rsid w:val="00616B19"/>
    <w:rsid w:val="00617999"/>
    <w:rsid w:val="00622312"/>
    <w:rsid w:val="006246B6"/>
    <w:rsid w:val="006250A3"/>
    <w:rsid w:val="00626248"/>
    <w:rsid w:val="00627717"/>
    <w:rsid w:val="00630A9E"/>
    <w:rsid w:val="00631632"/>
    <w:rsid w:val="00635214"/>
    <w:rsid w:val="00637B4B"/>
    <w:rsid w:val="00644F9D"/>
    <w:rsid w:val="0064752B"/>
    <w:rsid w:val="00647938"/>
    <w:rsid w:val="00654D1C"/>
    <w:rsid w:val="0066072A"/>
    <w:rsid w:val="00660CAC"/>
    <w:rsid w:val="00660E67"/>
    <w:rsid w:val="00662FC8"/>
    <w:rsid w:val="00663861"/>
    <w:rsid w:val="00663CB7"/>
    <w:rsid w:val="00665120"/>
    <w:rsid w:val="00665935"/>
    <w:rsid w:val="00665C8F"/>
    <w:rsid w:val="00667239"/>
    <w:rsid w:val="00667C42"/>
    <w:rsid w:val="00670693"/>
    <w:rsid w:val="006742D1"/>
    <w:rsid w:val="006753F3"/>
    <w:rsid w:val="00675875"/>
    <w:rsid w:val="00676766"/>
    <w:rsid w:val="006767F1"/>
    <w:rsid w:val="0067720E"/>
    <w:rsid w:val="006776B5"/>
    <w:rsid w:val="00680AD7"/>
    <w:rsid w:val="00682752"/>
    <w:rsid w:val="00683CDE"/>
    <w:rsid w:val="006902DB"/>
    <w:rsid w:val="00690B31"/>
    <w:rsid w:val="0069114E"/>
    <w:rsid w:val="00691BD4"/>
    <w:rsid w:val="00692029"/>
    <w:rsid w:val="006920D6"/>
    <w:rsid w:val="006947E3"/>
    <w:rsid w:val="00694FC1"/>
    <w:rsid w:val="006A1664"/>
    <w:rsid w:val="006A1FAE"/>
    <w:rsid w:val="006A2ECA"/>
    <w:rsid w:val="006A3257"/>
    <w:rsid w:val="006A6629"/>
    <w:rsid w:val="006A7B96"/>
    <w:rsid w:val="006B013D"/>
    <w:rsid w:val="006B22D5"/>
    <w:rsid w:val="006B2475"/>
    <w:rsid w:val="006B5024"/>
    <w:rsid w:val="006C0EF3"/>
    <w:rsid w:val="006C1198"/>
    <w:rsid w:val="006C3039"/>
    <w:rsid w:val="006C7961"/>
    <w:rsid w:val="006C7C39"/>
    <w:rsid w:val="006D16BC"/>
    <w:rsid w:val="006D27D3"/>
    <w:rsid w:val="006D2E6E"/>
    <w:rsid w:val="006D3B1C"/>
    <w:rsid w:val="006D3B63"/>
    <w:rsid w:val="006D3D2F"/>
    <w:rsid w:val="006E0A30"/>
    <w:rsid w:val="006E12B9"/>
    <w:rsid w:val="006E1E7D"/>
    <w:rsid w:val="006E3E06"/>
    <w:rsid w:val="006E5656"/>
    <w:rsid w:val="006E6A1B"/>
    <w:rsid w:val="006F0AA7"/>
    <w:rsid w:val="006F0E0B"/>
    <w:rsid w:val="006F3154"/>
    <w:rsid w:val="006F36DF"/>
    <w:rsid w:val="006F4D9A"/>
    <w:rsid w:val="006F5495"/>
    <w:rsid w:val="006F6FFC"/>
    <w:rsid w:val="00701560"/>
    <w:rsid w:val="0070163F"/>
    <w:rsid w:val="00702E8E"/>
    <w:rsid w:val="00703904"/>
    <w:rsid w:val="00704EC7"/>
    <w:rsid w:val="007062BB"/>
    <w:rsid w:val="00706F03"/>
    <w:rsid w:val="00707D26"/>
    <w:rsid w:val="00707D8D"/>
    <w:rsid w:val="00710340"/>
    <w:rsid w:val="00711CFB"/>
    <w:rsid w:val="00713184"/>
    <w:rsid w:val="00716079"/>
    <w:rsid w:val="007213CD"/>
    <w:rsid w:val="0072359E"/>
    <w:rsid w:val="00723AB9"/>
    <w:rsid w:val="007247F6"/>
    <w:rsid w:val="0072505C"/>
    <w:rsid w:val="00725176"/>
    <w:rsid w:val="007301CF"/>
    <w:rsid w:val="00730E37"/>
    <w:rsid w:val="00732FB5"/>
    <w:rsid w:val="00733DCE"/>
    <w:rsid w:val="00735B8E"/>
    <w:rsid w:val="0073630C"/>
    <w:rsid w:val="007372CB"/>
    <w:rsid w:val="0073731B"/>
    <w:rsid w:val="00737FA2"/>
    <w:rsid w:val="00740137"/>
    <w:rsid w:val="007414BE"/>
    <w:rsid w:val="00742D77"/>
    <w:rsid w:val="007436E6"/>
    <w:rsid w:val="0074543A"/>
    <w:rsid w:val="00746115"/>
    <w:rsid w:val="007462CA"/>
    <w:rsid w:val="007479BC"/>
    <w:rsid w:val="00751AAB"/>
    <w:rsid w:val="0075224E"/>
    <w:rsid w:val="00752EF1"/>
    <w:rsid w:val="00754C0C"/>
    <w:rsid w:val="0075539D"/>
    <w:rsid w:val="00755AB8"/>
    <w:rsid w:val="00757882"/>
    <w:rsid w:val="00760B05"/>
    <w:rsid w:val="00761C9E"/>
    <w:rsid w:val="00764099"/>
    <w:rsid w:val="007652C5"/>
    <w:rsid w:val="007654EB"/>
    <w:rsid w:val="0076666F"/>
    <w:rsid w:val="007736BE"/>
    <w:rsid w:val="00773A99"/>
    <w:rsid w:val="007755D3"/>
    <w:rsid w:val="00775C9E"/>
    <w:rsid w:val="00776CAD"/>
    <w:rsid w:val="00777EBD"/>
    <w:rsid w:val="00781EDE"/>
    <w:rsid w:val="0078265F"/>
    <w:rsid w:val="00782787"/>
    <w:rsid w:val="00783848"/>
    <w:rsid w:val="00784666"/>
    <w:rsid w:val="0078504E"/>
    <w:rsid w:val="00785445"/>
    <w:rsid w:val="00785EB4"/>
    <w:rsid w:val="0078608F"/>
    <w:rsid w:val="00786615"/>
    <w:rsid w:val="00790836"/>
    <w:rsid w:val="00791087"/>
    <w:rsid w:val="007936B9"/>
    <w:rsid w:val="007A2CEA"/>
    <w:rsid w:val="007A4E94"/>
    <w:rsid w:val="007A53FC"/>
    <w:rsid w:val="007A549D"/>
    <w:rsid w:val="007A58BA"/>
    <w:rsid w:val="007A6114"/>
    <w:rsid w:val="007A742D"/>
    <w:rsid w:val="007A77A7"/>
    <w:rsid w:val="007A790E"/>
    <w:rsid w:val="007B2F1D"/>
    <w:rsid w:val="007B34A9"/>
    <w:rsid w:val="007B4686"/>
    <w:rsid w:val="007B7055"/>
    <w:rsid w:val="007B7F75"/>
    <w:rsid w:val="007C1063"/>
    <w:rsid w:val="007C2DDC"/>
    <w:rsid w:val="007C321F"/>
    <w:rsid w:val="007C3DAD"/>
    <w:rsid w:val="007C5894"/>
    <w:rsid w:val="007D05FE"/>
    <w:rsid w:val="007D0A03"/>
    <w:rsid w:val="007D0D0C"/>
    <w:rsid w:val="007D5332"/>
    <w:rsid w:val="007E04ED"/>
    <w:rsid w:val="007E0D29"/>
    <w:rsid w:val="007E22BC"/>
    <w:rsid w:val="007F0C0A"/>
    <w:rsid w:val="007F1F7B"/>
    <w:rsid w:val="007F2388"/>
    <w:rsid w:val="007F27DA"/>
    <w:rsid w:val="007F2DB3"/>
    <w:rsid w:val="007F355D"/>
    <w:rsid w:val="007F79B1"/>
    <w:rsid w:val="008005CA"/>
    <w:rsid w:val="008032DE"/>
    <w:rsid w:val="008054BE"/>
    <w:rsid w:val="00806D49"/>
    <w:rsid w:val="008114AE"/>
    <w:rsid w:val="00811B16"/>
    <w:rsid w:val="00811F93"/>
    <w:rsid w:val="00812171"/>
    <w:rsid w:val="00812F5F"/>
    <w:rsid w:val="00815192"/>
    <w:rsid w:val="00821AA4"/>
    <w:rsid w:val="008239B0"/>
    <w:rsid w:val="00824F70"/>
    <w:rsid w:val="0083331D"/>
    <w:rsid w:val="00834DFD"/>
    <w:rsid w:val="008350E6"/>
    <w:rsid w:val="008363AA"/>
    <w:rsid w:val="00836984"/>
    <w:rsid w:val="00837318"/>
    <w:rsid w:val="00840AA6"/>
    <w:rsid w:val="0084139D"/>
    <w:rsid w:val="0084146A"/>
    <w:rsid w:val="008432A4"/>
    <w:rsid w:val="00843378"/>
    <w:rsid w:val="00846094"/>
    <w:rsid w:val="0084691D"/>
    <w:rsid w:val="008471A2"/>
    <w:rsid w:val="008528ED"/>
    <w:rsid w:val="00854486"/>
    <w:rsid w:val="008548B7"/>
    <w:rsid w:val="00855D98"/>
    <w:rsid w:val="008560E8"/>
    <w:rsid w:val="008563A7"/>
    <w:rsid w:val="00856D4A"/>
    <w:rsid w:val="00856F29"/>
    <w:rsid w:val="00857D07"/>
    <w:rsid w:val="00860143"/>
    <w:rsid w:val="00861E69"/>
    <w:rsid w:val="00862DF6"/>
    <w:rsid w:val="00863673"/>
    <w:rsid w:val="0086517E"/>
    <w:rsid w:val="00865CE5"/>
    <w:rsid w:val="008704EE"/>
    <w:rsid w:val="00870D2A"/>
    <w:rsid w:val="00871B33"/>
    <w:rsid w:val="008720B6"/>
    <w:rsid w:val="00875872"/>
    <w:rsid w:val="0087636D"/>
    <w:rsid w:val="00877AEC"/>
    <w:rsid w:val="00882164"/>
    <w:rsid w:val="008826CC"/>
    <w:rsid w:val="00882A68"/>
    <w:rsid w:val="008831F8"/>
    <w:rsid w:val="00883BB0"/>
    <w:rsid w:val="00884978"/>
    <w:rsid w:val="008858F9"/>
    <w:rsid w:val="0089097A"/>
    <w:rsid w:val="00890D5F"/>
    <w:rsid w:val="00891260"/>
    <w:rsid w:val="00891835"/>
    <w:rsid w:val="008976F3"/>
    <w:rsid w:val="008977C5"/>
    <w:rsid w:val="008A1EF5"/>
    <w:rsid w:val="008A27FD"/>
    <w:rsid w:val="008A2FB5"/>
    <w:rsid w:val="008A3CEA"/>
    <w:rsid w:val="008A518E"/>
    <w:rsid w:val="008A5420"/>
    <w:rsid w:val="008A5D26"/>
    <w:rsid w:val="008A5D5A"/>
    <w:rsid w:val="008A75DE"/>
    <w:rsid w:val="008B0CC5"/>
    <w:rsid w:val="008B1717"/>
    <w:rsid w:val="008B31CE"/>
    <w:rsid w:val="008B69CC"/>
    <w:rsid w:val="008C0F7E"/>
    <w:rsid w:val="008C1749"/>
    <w:rsid w:val="008C51B7"/>
    <w:rsid w:val="008C6650"/>
    <w:rsid w:val="008C6B97"/>
    <w:rsid w:val="008D0BFE"/>
    <w:rsid w:val="008D13E0"/>
    <w:rsid w:val="008D336B"/>
    <w:rsid w:val="008D4BF8"/>
    <w:rsid w:val="008D51C9"/>
    <w:rsid w:val="008D6A8D"/>
    <w:rsid w:val="008D7D20"/>
    <w:rsid w:val="008E0119"/>
    <w:rsid w:val="008E17F0"/>
    <w:rsid w:val="008E1C38"/>
    <w:rsid w:val="008E236D"/>
    <w:rsid w:val="008E2A17"/>
    <w:rsid w:val="008E472B"/>
    <w:rsid w:val="008E4BFD"/>
    <w:rsid w:val="008E5CCC"/>
    <w:rsid w:val="008E6518"/>
    <w:rsid w:val="008E6C59"/>
    <w:rsid w:val="008E7479"/>
    <w:rsid w:val="008F049E"/>
    <w:rsid w:val="008F0C4C"/>
    <w:rsid w:val="008F1D23"/>
    <w:rsid w:val="008F2388"/>
    <w:rsid w:val="008F3401"/>
    <w:rsid w:val="008F35C3"/>
    <w:rsid w:val="008F46A2"/>
    <w:rsid w:val="008F4C0A"/>
    <w:rsid w:val="008F51E0"/>
    <w:rsid w:val="008F5B58"/>
    <w:rsid w:val="008F5E64"/>
    <w:rsid w:val="008F6B5A"/>
    <w:rsid w:val="008F6BCC"/>
    <w:rsid w:val="00900178"/>
    <w:rsid w:val="0090108D"/>
    <w:rsid w:val="00904EB1"/>
    <w:rsid w:val="0090542F"/>
    <w:rsid w:val="00905BBD"/>
    <w:rsid w:val="00907C7C"/>
    <w:rsid w:val="00911B55"/>
    <w:rsid w:val="00912983"/>
    <w:rsid w:val="00913960"/>
    <w:rsid w:val="00914067"/>
    <w:rsid w:val="00917607"/>
    <w:rsid w:val="00920621"/>
    <w:rsid w:val="00921438"/>
    <w:rsid w:val="00921B9B"/>
    <w:rsid w:val="00921BE9"/>
    <w:rsid w:val="009237F7"/>
    <w:rsid w:val="00926DD1"/>
    <w:rsid w:val="00926F89"/>
    <w:rsid w:val="009313EB"/>
    <w:rsid w:val="00934D9B"/>
    <w:rsid w:val="00940040"/>
    <w:rsid w:val="009410F4"/>
    <w:rsid w:val="00941465"/>
    <w:rsid w:val="009420F9"/>
    <w:rsid w:val="00942D2D"/>
    <w:rsid w:val="00944D7A"/>
    <w:rsid w:val="0094725A"/>
    <w:rsid w:val="009473B2"/>
    <w:rsid w:val="00947652"/>
    <w:rsid w:val="009512F4"/>
    <w:rsid w:val="009513E4"/>
    <w:rsid w:val="00952638"/>
    <w:rsid w:val="00952941"/>
    <w:rsid w:val="00956CB4"/>
    <w:rsid w:val="00957CBC"/>
    <w:rsid w:val="00961A89"/>
    <w:rsid w:val="0096374F"/>
    <w:rsid w:val="00964E58"/>
    <w:rsid w:val="0096599A"/>
    <w:rsid w:val="00970D9C"/>
    <w:rsid w:val="00974270"/>
    <w:rsid w:val="00974A57"/>
    <w:rsid w:val="00977E59"/>
    <w:rsid w:val="00977E81"/>
    <w:rsid w:val="00982054"/>
    <w:rsid w:val="00983C66"/>
    <w:rsid w:val="0098435E"/>
    <w:rsid w:val="009845AD"/>
    <w:rsid w:val="009856A3"/>
    <w:rsid w:val="009869B8"/>
    <w:rsid w:val="00987895"/>
    <w:rsid w:val="00990EB7"/>
    <w:rsid w:val="00991288"/>
    <w:rsid w:val="00992B4A"/>
    <w:rsid w:val="0099395D"/>
    <w:rsid w:val="009943BA"/>
    <w:rsid w:val="009945BB"/>
    <w:rsid w:val="009950B1"/>
    <w:rsid w:val="009973AF"/>
    <w:rsid w:val="0099786F"/>
    <w:rsid w:val="009A261C"/>
    <w:rsid w:val="009A2C9A"/>
    <w:rsid w:val="009A397C"/>
    <w:rsid w:val="009A402E"/>
    <w:rsid w:val="009A52C5"/>
    <w:rsid w:val="009A5B96"/>
    <w:rsid w:val="009A611F"/>
    <w:rsid w:val="009A64C5"/>
    <w:rsid w:val="009A6E14"/>
    <w:rsid w:val="009A7305"/>
    <w:rsid w:val="009B110C"/>
    <w:rsid w:val="009B1FF4"/>
    <w:rsid w:val="009B2C53"/>
    <w:rsid w:val="009B36C0"/>
    <w:rsid w:val="009C04FC"/>
    <w:rsid w:val="009C0D85"/>
    <w:rsid w:val="009C171A"/>
    <w:rsid w:val="009C4DFA"/>
    <w:rsid w:val="009C6A50"/>
    <w:rsid w:val="009D236F"/>
    <w:rsid w:val="009D3EA3"/>
    <w:rsid w:val="009D4FB6"/>
    <w:rsid w:val="009D79B2"/>
    <w:rsid w:val="009E13BE"/>
    <w:rsid w:val="009E1E1C"/>
    <w:rsid w:val="009E4184"/>
    <w:rsid w:val="009E4FCB"/>
    <w:rsid w:val="009E5351"/>
    <w:rsid w:val="009F0F60"/>
    <w:rsid w:val="009F2225"/>
    <w:rsid w:val="009F26E3"/>
    <w:rsid w:val="009F2BFB"/>
    <w:rsid w:val="009F324C"/>
    <w:rsid w:val="009F45BC"/>
    <w:rsid w:val="009F5928"/>
    <w:rsid w:val="009F5F6D"/>
    <w:rsid w:val="00A00984"/>
    <w:rsid w:val="00A046CC"/>
    <w:rsid w:val="00A04A51"/>
    <w:rsid w:val="00A071F9"/>
    <w:rsid w:val="00A07985"/>
    <w:rsid w:val="00A07EF3"/>
    <w:rsid w:val="00A11949"/>
    <w:rsid w:val="00A119C9"/>
    <w:rsid w:val="00A12609"/>
    <w:rsid w:val="00A13E53"/>
    <w:rsid w:val="00A16CFE"/>
    <w:rsid w:val="00A17167"/>
    <w:rsid w:val="00A175FA"/>
    <w:rsid w:val="00A20203"/>
    <w:rsid w:val="00A205BB"/>
    <w:rsid w:val="00A22C62"/>
    <w:rsid w:val="00A252C5"/>
    <w:rsid w:val="00A25DD7"/>
    <w:rsid w:val="00A273D1"/>
    <w:rsid w:val="00A27EEF"/>
    <w:rsid w:val="00A30231"/>
    <w:rsid w:val="00A305DB"/>
    <w:rsid w:val="00A30921"/>
    <w:rsid w:val="00A32E15"/>
    <w:rsid w:val="00A35874"/>
    <w:rsid w:val="00A35A78"/>
    <w:rsid w:val="00A35B09"/>
    <w:rsid w:val="00A3603B"/>
    <w:rsid w:val="00A37B50"/>
    <w:rsid w:val="00A41631"/>
    <w:rsid w:val="00A4164F"/>
    <w:rsid w:val="00A42C76"/>
    <w:rsid w:val="00A42FF6"/>
    <w:rsid w:val="00A44344"/>
    <w:rsid w:val="00A4461B"/>
    <w:rsid w:val="00A44BD9"/>
    <w:rsid w:val="00A4501B"/>
    <w:rsid w:val="00A46A81"/>
    <w:rsid w:val="00A51621"/>
    <w:rsid w:val="00A51FC7"/>
    <w:rsid w:val="00A54358"/>
    <w:rsid w:val="00A558E8"/>
    <w:rsid w:val="00A55DBF"/>
    <w:rsid w:val="00A55F64"/>
    <w:rsid w:val="00A56AED"/>
    <w:rsid w:val="00A6075A"/>
    <w:rsid w:val="00A60813"/>
    <w:rsid w:val="00A61B78"/>
    <w:rsid w:val="00A630B2"/>
    <w:rsid w:val="00A6527E"/>
    <w:rsid w:val="00A65DF3"/>
    <w:rsid w:val="00A7419B"/>
    <w:rsid w:val="00A76BB7"/>
    <w:rsid w:val="00A813F0"/>
    <w:rsid w:val="00A81B33"/>
    <w:rsid w:val="00A82104"/>
    <w:rsid w:val="00A822D8"/>
    <w:rsid w:val="00A8263A"/>
    <w:rsid w:val="00A827BF"/>
    <w:rsid w:val="00A83182"/>
    <w:rsid w:val="00A838C6"/>
    <w:rsid w:val="00A86000"/>
    <w:rsid w:val="00A8675E"/>
    <w:rsid w:val="00A8691F"/>
    <w:rsid w:val="00A91AAD"/>
    <w:rsid w:val="00A929FA"/>
    <w:rsid w:val="00A93B08"/>
    <w:rsid w:val="00A94E3B"/>
    <w:rsid w:val="00A96D41"/>
    <w:rsid w:val="00A96F25"/>
    <w:rsid w:val="00AA1C0B"/>
    <w:rsid w:val="00AA1CEC"/>
    <w:rsid w:val="00AA2A3F"/>
    <w:rsid w:val="00AA3BDD"/>
    <w:rsid w:val="00AA5013"/>
    <w:rsid w:val="00AA57E0"/>
    <w:rsid w:val="00AA64E8"/>
    <w:rsid w:val="00AA6600"/>
    <w:rsid w:val="00AA70C2"/>
    <w:rsid w:val="00AB0798"/>
    <w:rsid w:val="00AB1A00"/>
    <w:rsid w:val="00AB1DD3"/>
    <w:rsid w:val="00AB24C8"/>
    <w:rsid w:val="00AB2CE2"/>
    <w:rsid w:val="00AB2F61"/>
    <w:rsid w:val="00AB3678"/>
    <w:rsid w:val="00AB41C4"/>
    <w:rsid w:val="00AB7FF3"/>
    <w:rsid w:val="00AC088A"/>
    <w:rsid w:val="00AC5AE0"/>
    <w:rsid w:val="00AC5D9C"/>
    <w:rsid w:val="00AC5F93"/>
    <w:rsid w:val="00AD0670"/>
    <w:rsid w:val="00AD10B6"/>
    <w:rsid w:val="00AD4B81"/>
    <w:rsid w:val="00AD79FB"/>
    <w:rsid w:val="00AD7A79"/>
    <w:rsid w:val="00AE26FD"/>
    <w:rsid w:val="00AE31FB"/>
    <w:rsid w:val="00AE3BD2"/>
    <w:rsid w:val="00AE5867"/>
    <w:rsid w:val="00AE586F"/>
    <w:rsid w:val="00AE625F"/>
    <w:rsid w:val="00AE6625"/>
    <w:rsid w:val="00AE6656"/>
    <w:rsid w:val="00AE69BA"/>
    <w:rsid w:val="00AE7579"/>
    <w:rsid w:val="00AF37F8"/>
    <w:rsid w:val="00AF4A40"/>
    <w:rsid w:val="00AF4BA6"/>
    <w:rsid w:val="00AF6D91"/>
    <w:rsid w:val="00AF7444"/>
    <w:rsid w:val="00B00BDE"/>
    <w:rsid w:val="00B0294B"/>
    <w:rsid w:val="00B0296C"/>
    <w:rsid w:val="00B02B78"/>
    <w:rsid w:val="00B0319C"/>
    <w:rsid w:val="00B03FDE"/>
    <w:rsid w:val="00B049BB"/>
    <w:rsid w:val="00B077B4"/>
    <w:rsid w:val="00B10165"/>
    <w:rsid w:val="00B1027C"/>
    <w:rsid w:val="00B10D00"/>
    <w:rsid w:val="00B10DA9"/>
    <w:rsid w:val="00B124BF"/>
    <w:rsid w:val="00B124D9"/>
    <w:rsid w:val="00B138ED"/>
    <w:rsid w:val="00B15C25"/>
    <w:rsid w:val="00B166C7"/>
    <w:rsid w:val="00B16DA0"/>
    <w:rsid w:val="00B216BE"/>
    <w:rsid w:val="00B2223E"/>
    <w:rsid w:val="00B230DC"/>
    <w:rsid w:val="00B230F6"/>
    <w:rsid w:val="00B342E9"/>
    <w:rsid w:val="00B37B79"/>
    <w:rsid w:val="00B40E60"/>
    <w:rsid w:val="00B455E1"/>
    <w:rsid w:val="00B466CD"/>
    <w:rsid w:val="00B47869"/>
    <w:rsid w:val="00B53A46"/>
    <w:rsid w:val="00B53A69"/>
    <w:rsid w:val="00B53E47"/>
    <w:rsid w:val="00B54A6F"/>
    <w:rsid w:val="00B559C9"/>
    <w:rsid w:val="00B56611"/>
    <w:rsid w:val="00B57BB1"/>
    <w:rsid w:val="00B61184"/>
    <w:rsid w:val="00B61525"/>
    <w:rsid w:val="00B62937"/>
    <w:rsid w:val="00B64026"/>
    <w:rsid w:val="00B6441E"/>
    <w:rsid w:val="00B65A11"/>
    <w:rsid w:val="00B6688B"/>
    <w:rsid w:val="00B67731"/>
    <w:rsid w:val="00B72B10"/>
    <w:rsid w:val="00B72CA3"/>
    <w:rsid w:val="00B74D61"/>
    <w:rsid w:val="00B75B3A"/>
    <w:rsid w:val="00B826DA"/>
    <w:rsid w:val="00B835F1"/>
    <w:rsid w:val="00B83BF9"/>
    <w:rsid w:val="00B85411"/>
    <w:rsid w:val="00B86291"/>
    <w:rsid w:val="00B87639"/>
    <w:rsid w:val="00B87B75"/>
    <w:rsid w:val="00B927D4"/>
    <w:rsid w:val="00B969D8"/>
    <w:rsid w:val="00B96B31"/>
    <w:rsid w:val="00B9759E"/>
    <w:rsid w:val="00B97B3E"/>
    <w:rsid w:val="00BA0BC4"/>
    <w:rsid w:val="00BA2A6C"/>
    <w:rsid w:val="00BA2DE3"/>
    <w:rsid w:val="00BA2EFC"/>
    <w:rsid w:val="00BA34EE"/>
    <w:rsid w:val="00BA4F69"/>
    <w:rsid w:val="00BA7304"/>
    <w:rsid w:val="00BB080C"/>
    <w:rsid w:val="00BB154A"/>
    <w:rsid w:val="00BB1A46"/>
    <w:rsid w:val="00BB2260"/>
    <w:rsid w:val="00BB2A0B"/>
    <w:rsid w:val="00BB2E09"/>
    <w:rsid w:val="00BB37BE"/>
    <w:rsid w:val="00BB43E6"/>
    <w:rsid w:val="00BB4CBB"/>
    <w:rsid w:val="00BB6870"/>
    <w:rsid w:val="00BB75C6"/>
    <w:rsid w:val="00BC0162"/>
    <w:rsid w:val="00BC130F"/>
    <w:rsid w:val="00BC1833"/>
    <w:rsid w:val="00BC2285"/>
    <w:rsid w:val="00BC5799"/>
    <w:rsid w:val="00BD08CC"/>
    <w:rsid w:val="00BD0D98"/>
    <w:rsid w:val="00BD1ADF"/>
    <w:rsid w:val="00BD1F92"/>
    <w:rsid w:val="00BD2148"/>
    <w:rsid w:val="00BD2ED8"/>
    <w:rsid w:val="00BD3371"/>
    <w:rsid w:val="00BD3657"/>
    <w:rsid w:val="00BD4165"/>
    <w:rsid w:val="00BD6B33"/>
    <w:rsid w:val="00BD734D"/>
    <w:rsid w:val="00BE0D1C"/>
    <w:rsid w:val="00BE0EF2"/>
    <w:rsid w:val="00BE13B3"/>
    <w:rsid w:val="00BE1F5A"/>
    <w:rsid w:val="00BE26D8"/>
    <w:rsid w:val="00BE5842"/>
    <w:rsid w:val="00BE5C34"/>
    <w:rsid w:val="00BE60DC"/>
    <w:rsid w:val="00BF09B4"/>
    <w:rsid w:val="00BF11E3"/>
    <w:rsid w:val="00BF166D"/>
    <w:rsid w:val="00BF3571"/>
    <w:rsid w:val="00BF38B1"/>
    <w:rsid w:val="00BF4463"/>
    <w:rsid w:val="00BF44E8"/>
    <w:rsid w:val="00BF69C6"/>
    <w:rsid w:val="00BF73D4"/>
    <w:rsid w:val="00C00A50"/>
    <w:rsid w:val="00C03786"/>
    <w:rsid w:val="00C03AB5"/>
    <w:rsid w:val="00C04ABC"/>
    <w:rsid w:val="00C06E51"/>
    <w:rsid w:val="00C1214C"/>
    <w:rsid w:val="00C122C1"/>
    <w:rsid w:val="00C12F09"/>
    <w:rsid w:val="00C152A6"/>
    <w:rsid w:val="00C15E82"/>
    <w:rsid w:val="00C15F8C"/>
    <w:rsid w:val="00C16CA7"/>
    <w:rsid w:val="00C16D26"/>
    <w:rsid w:val="00C174D0"/>
    <w:rsid w:val="00C2064E"/>
    <w:rsid w:val="00C20E3A"/>
    <w:rsid w:val="00C25728"/>
    <w:rsid w:val="00C25788"/>
    <w:rsid w:val="00C34338"/>
    <w:rsid w:val="00C3487F"/>
    <w:rsid w:val="00C34E49"/>
    <w:rsid w:val="00C35494"/>
    <w:rsid w:val="00C360BC"/>
    <w:rsid w:val="00C36E03"/>
    <w:rsid w:val="00C379F5"/>
    <w:rsid w:val="00C41DD6"/>
    <w:rsid w:val="00C41FCE"/>
    <w:rsid w:val="00C44B8C"/>
    <w:rsid w:val="00C462B0"/>
    <w:rsid w:val="00C4660A"/>
    <w:rsid w:val="00C503C0"/>
    <w:rsid w:val="00C51E89"/>
    <w:rsid w:val="00C52D94"/>
    <w:rsid w:val="00C530CF"/>
    <w:rsid w:val="00C534E8"/>
    <w:rsid w:val="00C54AC5"/>
    <w:rsid w:val="00C60029"/>
    <w:rsid w:val="00C6086E"/>
    <w:rsid w:val="00C63B1F"/>
    <w:rsid w:val="00C649C0"/>
    <w:rsid w:val="00C65FD2"/>
    <w:rsid w:val="00C6726C"/>
    <w:rsid w:val="00C7048B"/>
    <w:rsid w:val="00C70F15"/>
    <w:rsid w:val="00C714DC"/>
    <w:rsid w:val="00C71B7C"/>
    <w:rsid w:val="00C72D03"/>
    <w:rsid w:val="00C73EAB"/>
    <w:rsid w:val="00C7431F"/>
    <w:rsid w:val="00C75AC8"/>
    <w:rsid w:val="00C768A5"/>
    <w:rsid w:val="00C772F4"/>
    <w:rsid w:val="00C77DBF"/>
    <w:rsid w:val="00C804BD"/>
    <w:rsid w:val="00C82F79"/>
    <w:rsid w:val="00C83610"/>
    <w:rsid w:val="00C8548A"/>
    <w:rsid w:val="00C85BDF"/>
    <w:rsid w:val="00C86B9B"/>
    <w:rsid w:val="00C9116C"/>
    <w:rsid w:val="00C91D30"/>
    <w:rsid w:val="00C9386A"/>
    <w:rsid w:val="00C93A52"/>
    <w:rsid w:val="00C93D65"/>
    <w:rsid w:val="00C97BF4"/>
    <w:rsid w:val="00CA0A0D"/>
    <w:rsid w:val="00CA1090"/>
    <w:rsid w:val="00CA131C"/>
    <w:rsid w:val="00CA17CD"/>
    <w:rsid w:val="00CA3762"/>
    <w:rsid w:val="00CA41D8"/>
    <w:rsid w:val="00CA67FB"/>
    <w:rsid w:val="00CB1037"/>
    <w:rsid w:val="00CB2766"/>
    <w:rsid w:val="00CB2D30"/>
    <w:rsid w:val="00CB49F6"/>
    <w:rsid w:val="00CB7DE3"/>
    <w:rsid w:val="00CB7E80"/>
    <w:rsid w:val="00CC143D"/>
    <w:rsid w:val="00CC1442"/>
    <w:rsid w:val="00CC148E"/>
    <w:rsid w:val="00CC25B4"/>
    <w:rsid w:val="00CC4B1E"/>
    <w:rsid w:val="00CC56C9"/>
    <w:rsid w:val="00CC5863"/>
    <w:rsid w:val="00CC5F2B"/>
    <w:rsid w:val="00CC6F45"/>
    <w:rsid w:val="00CC7D24"/>
    <w:rsid w:val="00CD073C"/>
    <w:rsid w:val="00CD0BE1"/>
    <w:rsid w:val="00CD2CFB"/>
    <w:rsid w:val="00CD44E8"/>
    <w:rsid w:val="00CE02F8"/>
    <w:rsid w:val="00CE19E6"/>
    <w:rsid w:val="00CE1B51"/>
    <w:rsid w:val="00CE2511"/>
    <w:rsid w:val="00CE3981"/>
    <w:rsid w:val="00CE6756"/>
    <w:rsid w:val="00CE678F"/>
    <w:rsid w:val="00CF11EF"/>
    <w:rsid w:val="00CF2C00"/>
    <w:rsid w:val="00CF41FE"/>
    <w:rsid w:val="00CF47E3"/>
    <w:rsid w:val="00CF62F1"/>
    <w:rsid w:val="00CF6792"/>
    <w:rsid w:val="00D0094E"/>
    <w:rsid w:val="00D00BAD"/>
    <w:rsid w:val="00D02468"/>
    <w:rsid w:val="00D0418C"/>
    <w:rsid w:val="00D043E9"/>
    <w:rsid w:val="00D07A39"/>
    <w:rsid w:val="00D114AF"/>
    <w:rsid w:val="00D131D7"/>
    <w:rsid w:val="00D138AB"/>
    <w:rsid w:val="00D13BDD"/>
    <w:rsid w:val="00D14778"/>
    <w:rsid w:val="00D14DE1"/>
    <w:rsid w:val="00D15259"/>
    <w:rsid w:val="00D157F1"/>
    <w:rsid w:val="00D20B71"/>
    <w:rsid w:val="00D21293"/>
    <w:rsid w:val="00D21366"/>
    <w:rsid w:val="00D2282D"/>
    <w:rsid w:val="00D23824"/>
    <w:rsid w:val="00D26306"/>
    <w:rsid w:val="00D270C3"/>
    <w:rsid w:val="00D300F3"/>
    <w:rsid w:val="00D30F74"/>
    <w:rsid w:val="00D33225"/>
    <w:rsid w:val="00D33FDC"/>
    <w:rsid w:val="00D36875"/>
    <w:rsid w:val="00D374AA"/>
    <w:rsid w:val="00D41D66"/>
    <w:rsid w:val="00D4465F"/>
    <w:rsid w:val="00D45C75"/>
    <w:rsid w:val="00D47793"/>
    <w:rsid w:val="00D47D73"/>
    <w:rsid w:val="00D51B7B"/>
    <w:rsid w:val="00D52EA2"/>
    <w:rsid w:val="00D532FC"/>
    <w:rsid w:val="00D53360"/>
    <w:rsid w:val="00D544B4"/>
    <w:rsid w:val="00D5479F"/>
    <w:rsid w:val="00D54A5F"/>
    <w:rsid w:val="00D54D48"/>
    <w:rsid w:val="00D5570C"/>
    <w:rsid w:val="00D560D5"/>
    <w:rsid w:val="00D56A27"/>
    <w:rsid w:val="00D618D4"/>
    <w:rsid w:val="00D624AB"/>
    <w:rsid w:val="00D6282C"/>
    <w:rsid w:val="00D63687"/>
    <w:rsid w:val="00D65F9C"/>
    <w:rsid w:val="00D670C5"/>
    <w:rsid w:val="00D7564D"/>
    <w:rsid w:val="00D75B34"/>
    <w:rsid w:val="00D7622A"/>
    <w:rsid w:val="00D80824"/>
    <w:rsid w:val="00D80C3C"/>
    <w:rsid w:val="00D81200"/>
    <w:rsid w:val="00D81411"/>
    <w:rsid w:val="00D83B2A"/>
    <w:rsid w:val="00D84755"/>
    <w:rsid w:val="00D84F2A"/>
    <w:rsid w:val="00D854CB"/>
    <w:rsid w:val="00D85C47"/>
    <w:rsid w:val="00D85E27"/>
    <w:rsid w:val="00D90C0F"/>
    <w:rsid w:val="00D92066"/>
    <w:rsid w:val="00D93C09"/>
    <w:rsid w:val="00D94FF3"/>
    <w:rsid w:val="00DA0474"/>
    <w:rsid w:val="00DA0F3D"/>
    <w:rsid w:val="00DA3CA5"/>
    <w:rsid w:val="00DA48B5"/>
    <w:rsid w:val="00DA52F9"/>
    <w:rsid w:val="00DA6747"/>
    <w:rsid w:val="00DA77F5"/>
    <w:rsid w:val="00DB48E5"/>
    <w:rsid w:val="00DB7218"/>
    <w:rsid w:val="00DC15EA"/>
    <w:rsid w:val="00DC25D1"/>
    <w:rsid w:val="00DC3A3D"/>
    <w:rsid w:val="00DC52A3"/>
    <w:rsid w:val="00DC5401"/>
    <w:rsid w:val="00DC5704"/>
    <w:rsid w:val="00DC5C33"/>
    <w:rsid w:val="00DC5CE6"/>
    <w:rsid w:val="00DC6763"/>
    <w:rsid w:val="00DC6A71"/>
    <w:rsid w:val="00DC6D95"/>
    <w:rsid w:val="00DC71D4"/>
    <w:rsid w:val="00DC7991"/>
    <w:rsid w:val="00DD1B51"/>
    <w:rsid w:val="00DD3BDF"/>
    <w:rsid w:val="00DD4172"/>
    <w:rsid w:val="00DD46A2"/>
    <w:rsid w:val="00DD6838"/>
    <w:rsid w:val="00DD6A0B"/>
    <w:rsid w:val="00DD7B2F"/>
    <w:rsid w:val="00DE0715"/>
    <w:rsid w:val="00DE1493"/>
    <w:rsid w:val="00DE1FAB"/>
    <w:rsid w:val="00DE220B"/>
    <w:rsid w:val="00DE2F91"/>
    <w:rsid w:val="00DE636A"/>
    <w:rsid w:val="00DF0721"/>
    <w:rsid w:val="00DF1FA9"/>
    <w:rsid w:val="00DF41FB"/>
    <w:rsid w:val="00DF4AC3"/>
    <w:rsid w:val="00DF4CD5"/>
    <w:rsid w:val="00DF5200"/>
    <w:rsid w:val="00DF7858"/>
    <w:rsid w:val="00E00779"/>
    <w:rsid w:val="00E02114"/>
    <w:rsid w:val="00E0215C"/>
    <w:rsid w:val="00E02BA9"/>
    <w:rsid w:val="00E02E6C"/>
    <w:rsid w:val="00E03CF6"/>
    <w:rsid w:val="00E107B1"/>
    <w:rsid w:val="00E13403"/>
    <w:rsid w:val="00E14010"/>
    <w:rsid w:val="00E150E3"/>
    <w:rsid w:val="00E16B8E"/>
    <w:rsid w:val="00E17A53"/>
    <w:rsid w:val="00E2055E"/>
    <w:rsid w:val="00E22F72"/>
    <w:rsid w:val="00E25334"/>
    <w:rsid w:val="00E25ADA"/>
    <w:rsid w:val="00E276B9"/>
    <w:rsid w:val="00E30D9F"/>
    <w:rsid w:val="00E34556"/>
    <w:rsid w:val="00E349D4"/>
    <w:rsid w:val="00E356EA"/>
    <w:rsid w:val="00E41FB9"/>
    <w:rsid w:val="00E42B7B"/>
    <w:rsid w:val="00E43577"/>
    <w:rsid w:val="00E45842"/>
    <w:rsid w:val="00E45AE4"/>
    <w:rsid w:val="00E465C8"/>
    <w:rsid w:val="00E51617"/>
    <w:rsid w:val="00E526D8"/>
    <w:rsid w:val="00E6032D"/>
    <w:rsid w:val="00E605D8"/>
    <w:rsid w:val="00E61AC3"/>
    <w:rsid w:val="00E63270"/>
    <w:rsid w:val="00E63503"/>
    <w:rsid w:val="00E63D76"/>
    <w:rsid w:val="00E65A6B"/>
    <w:rsid w:val="00E66545"/>
    <w:rsid w:val="00E6784B"/>
    <w:rsid w:val="00E67B08"/>
    <w:rsid w:val="00E700E3"/>
    <w:rsid w:val="00E70AFE"/>
    <w:rsid w:val="00E72110"/>
    <w:rsid w:val="00E7224F"/>
    <w:rsid w:val="00E72397"/>
    <w:rsid w:val="00E72A35"/>
    <w:rsid w:val="00E74807"/>
    <w:rsid w:val="00E75B81"/>
    <w:rsid w:val="00E820CC"/>
    <w:rsid w:val="00E82B00"/>
    <w:rsid w:val="00E82C17"/>
    <w:rsid w:val="00E84B0A"/>
    <w:rsid w:val="00E84CC8"/>
    <w:rsid w:val="00E8642B"/>
    <w:rsid w:val="00E873D6"/>
    <w:rsid w:val="00E875D3"/>
    <w:rsid w:val="00EA0BB5"/>
    <w:rsid w:val="00EA1144"/>
    <w:rsid w:val="00EA13CB"/>
    <w:rsid w:val="00EA14A6"/>
    <w:rsid w:val="00EA2432"/>
    <w:rsid w:val="00EA37CC"/>
    <w:rsid w:val="00EA4681"/>
    <w:rsid w:val="00EA4AD1"/>
    <w:rsid w:val="00EA78DC"/>
    <w:rsid w:val="00EB05A0"/>
    <w:rsid w:val="00EB3E9F"/>
    <w:rsid w:val="00EB70DD"/>
    <w:rsid w:val="00EC0801"/>
    <w:rsid w:val="00EC0A6B"/>
    <w:rsid w:val="00EC3C7C"/>
    <w:rsid w:val="00EC40E9"/>
    <w:rsid w:val="00EC4950"/>
    <w:rsid w:val="00EC5D7C"/>
    <w:rsid w:val="00EC632C"/>
    <w:rsid w:val="00EC771C"/>
    <w:rsid w:val="00EC7DA9"/>
    <w:rsid w:val="00ED0D3A"/>
    <w:rsid w:val="00ED0F9D"/>
    <w:rsid w:val="00ED22E0"/>
    <w:rsid w:val="00ED28FC"/>
    <w:rsid w:val="00ED33E6"/>
    <w:rsid w:val="00ED46EC"/>
    <w:rsid w:val="00ED6549"/>
    <w:rsid w:val="00ED74EB"/>
    <w:rsid w:val="00EE1464"/>
    <w:rsid w:val="00EE1738"/>
    <w:rsid w:val="00EE1B8E"/>
    <w:rsid w:val="00EE55ED"/>
    <w:rsid w:val="00EE5AD0"/>
    <w:rsid w:val="00EE6AC2"/>
    <w:rsid w:val="00EF05DB"/>
    <w:rsid w:val="00EF17AB"/>
    <w:rsid w:val="00EF23F7"/>
    <w:rsid w:val="00EF3649"/>
    <w:rsid w:val="00EF61B5"/>
    <w:rsid w:val="00EF6469"/>
    <w:rsid w:val="00EF73DF"/>
    <w:rsid w:val="00F03E70"/>
    <w:rsid w:val="00F047DF"/>
    <w:rsid w:val="00F05097"/>
    <w:rsid w:val="00F13916"/>
    <w:rsid w:val="00F13972"/>
    <w:rsid w:val="00F13EF9"/>
    <w:rsid w:val="00F14554"/>
    <w:rsid w:val="00F147ED"/>
    <w:rsid w:val="00F14B4A"/>
    <w:rsid w:val="00F16380"/>
    <w:rsid w:val="00F16971"/>
    <w:rsid w:val="00F20107"/>
    <w:rsid w:val="00F20E2C"/>
    <w:rsid w:val="00F22E8F"/>
    <w:rsid w:val="00F233A8"/>
    <w:rsid w:val="00F23C88"/>
    <w:rsid w:val="00F26102"/>
    <w:rsid w:val="00F31F7F"/>
    <w:rsid w:val="00F324DA"/>
    <w:rsid w:val="00F401E9"/>
    <w:rsid w:val="00F4086E"/>
    <w:rsid w:val="00F4098E"/>
    <w:rsid w:val="00F40FAD"/>
    <w:rsid w:val="00F44B73"/>
    <w:rsid w:val="00F45816"/>
    <w:rsid w:val="00F4617A"/>
    <w:rsid w:val="00F471C5"/>
    <w:rsid w:val="00F50AE0"/>
    <w:rsid w:val="00F529FB"/>
    <w:rsid w:val="00F53B00"/>
    <w:rsid w:val="00F54DC2"/>
    <w:rsid w:val="00F561C2"/>
    <w:rsid w:val="00F5718E"/>
    <w:rsid w:val="00F6158C"/>
    <w:rsid w:val="00F64328"/>
    <w:rsid w:val="00F6671E"/>
    <w:rsid w:val="00F668A4"/>
    <w:rsid w:val="00F66B9A"/>
    <w:rsid w:val="00F67B1E"/>
    <w:rsid w:val="00F67F0D"/>
    <w:rsid w:val="00F70BDE"/>
    <w:rsid w:val="00F7249F"/>
    <w:rsid w:val="00F731F5"/>
    <w:rsid w:val="00F74021"/>
    <w:rsid w:val="00F771D6"/>
    <w:rsid w:val="00F805AA"/>
    <w:rsid w:val="00F8207F"/>
    <w:rsid w:val="00F82744"/>
    <w:rsid w:val="00F83C91"/>
    <w:rsid w:val="00F84AB7"/>
    <w:rsid w:val="00F857DA"/>
    <w:rsid w:val="00F91472"/>
    <w:rsid w:val="00F93025"/>
    <w:rsid w:val="00F93358"/>
    <w:rsid w:val="00F93DA1"/>
    <w:rsid w:val="00F95148"/>
    <w:rsid w:val="00F97033"/>
    <w:rsid w:val="00F973EE"/>
    <w:rsid w:val="00FA3324"/>
    <w:rsid w:val="00FA3B1D"/>
    <w:rsid w:val="00FA5CE4"/>
    <w:rsid w:val="00FA6C20"/>
    <w:rsid w:val="00FA7274"/>
    <w:rsid w:val="00FA7DBE"/>
    <w:rsid w:val="00FB0DBB"/>
    <w:rsid w:val="00FB0FED"/>
    <w:rsid w:val="00FB24F6"/>
    <w:rsid w:val="00FB3207"/>
    <w:rsid w:val="00FB35E4"/>
    <w:rsid w:val="00FB51FD"/>
    <w:rsid w:val="00FB5404"/>
    <w:rsid w:val="00FB55E4"/>
    <w:rsid w:val="00FC04A4"/>
    <w:rsid w:val="00FC4CF7"/>
    <w:rsid w:val="00FC5AB7"/>
    <w:rsid w:val="00FC6FD4"/>
    <w:rsid w:val="00FC7C79"/>
    <w:rsid w:val="00FD3914"/>
    <w:rsid w:val="00FD3DC3"/>
    <w:rsid w:val="00FD4288"/>
    <w:rsid w:val="00FD61B9"/>
    <w:rsid w:val="00FD6A33"/>
    <w:rsid w:val="00FD6B62"/>
    <w:rsid w:val="00FE169C"/>
    <w:rsid w:val="00FE1EB4"/>
    <w:rsid w:val="00FE29F2"/>
    <w:rsid w:val="00FE3027"/>
    <w:rsid w:val="00FE313C"/>
    <w:rsid w:val="00FE4A6B"/>
    <w:rsid w:val="00FE5258"/>
    <w:rsid w:val="00FE5C28"/>
    <w:rsid w:val="00FE7C9C"/>
    <w:rsid w:val="00FF10D4"/>
    <w:rsid w:val="00FF1EB5"/>
    <w:rsid w:val="00FF2733"/>
    <w:rsid w:val="00FF28B0"/>
    <w:rsid w:val="00FF2B16"/>
    <w:rsid w:val="00FF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48B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A"/>
        <w:sz w:val="24"/>
        <w:szCs w:val="24"/>
        <w:lang w:val="en-CA"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465F"/>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rPr>
  </w:style>
  <w:style w:type="paragraph" w:styleId="Heading1">
    <w:name w:val="heading 1"/>
    <w:basedOn w:val="Normal"/>
    <w:next w:val="Normal"/>
    <w:pPr>
      <w:keepNext/>
      <w:keepLines/>
      <w:widowControl w:val="0"/>
      <w:pBdr>
        <w:top w:val="nil"/>
        <w:left w:val="nil"/>
        <w:bottom w:val="nil"/>
        <w:right w:val="nil"/>
        <w:between w:val="nil"/>
      </w:pBdr>
      <w:spacing w:before="240"/>
      <w:outlineLvl w:val="0"/>
    </w:pPr>
    <w:rPr>
      <w:rFonts w:ascii="Calibri" w:eastAsia="Calibri" w:hAnsi="Calibri" w:cs="Calibri"/>
      <w:color w:val="2E75B5"/>
      <w:sz w:val="32"/>
      <w:szCs w:val="32"/>
    </w:rPr>
  </w:style>
  <w:style w:type="paragraph" w:styleId="Heading2">
    <w:name w:val="heading 2"/>
    <w:basedOn w:val="Normal"/>
    <w:next w:val="Normal"/>
    <w:pPr>
      <w:keepNext/>
      <w:keepLines/>
      <w:widowControl w:val="0"/>
      <w:pBdr>
        <w:top w:val="nil"/>
        <w:left w:val="nil"/>
        <w:bottom w:val="nil"/>
        <w:right w:val="nil"/>
        <w:between w:val="nil"/>
      </w:pBdr>
      <w:spacing w:before="40"/>
      <w:outlineLvl w:val="1"/>
    </w:pPr>
    <w:rPr>
      <w:rFonts w:ascii="Calibri" w:eastAsia="Calibri" w:hAnsi="Calibri" w:cs="Calibri"/>
      <w:color w:val="2E75B5"/>
      <w:sz w:val="26"/>
      <w:szCs w:val="26"/>
    </w:rPr>
  </w:style>
  <w:style w:type="paragraph" w:styleId="Heading3">
    <w:name w:val="heading 3"/>
    <w:basedOn w:val="Normal"/>
    <w:next w:val="Normal"/>
    <w:pPr>
      <w:keepNext/>
      <w:keepLines/>
      <w:widowControl w:val="0"/>
      <w:pBdr>
        <w:top w:val="nil"/>
        <w:left w:val="nil"/>
        <w:bottom w:val="nil"/>
        <w:right w:val="nil"/>
        <w:between w:val="nil"/>
      </w:pBdr>
      <w:spacing w:before="40"/>
      <w:outlineLvl w:val="2"/>
    </w:pPr>
    <w:rPr>
      <w:rFonts w:ascii="Calibri" w:eastAsia="Calibri" w:hAnsi="Calibri" w:cs="Calibri"/>
      <w:color w:val="1E4D7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rFonts w:ascii="Calibri" w:eastAsia="Calibri" w:hAnsi="Calibri" w:cs="Calibri"/>
      <w:b/>
      <w:color w:val="00000A"/>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rFonts w:ascii="Calibri" w:eastAsia="Calibri" w:hAnsi="Calibri" w:cs="Calibri"/>
      <w:b/>
      <w:color w:val="00000A"/>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rFonts w:ascii="Calibri" w:eastAsia="Calibri" w:hAnsi="Calibri" w:cs="Calibri"/>
      <w:b/>
      <w:color w:val="00000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rFonts w:ascii="Calibri" w:eastAsia="Calibri" w:hAnsi="Calibri" w:cs="Calibri"/>
      <w:b/>
      <w:color w:val="00000A"/>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637B4B"/>
    <w:pPr>
      <w:pBdr>
        <w:top w:val="nil"/>
        <w:left w:val="nil"/>
        <w:bottom w:val="nil"/>
        <w:right w:val="nil"/>
        <w:between w:val="nil"/>
      </w:pBdr>
    </w:pPr>
    <w:rPr>
      <w:rFonts w:ascii="Calibri" w:eastAsia="Calibri" w:hAnsi="Calibri" w:cs="Calibri"/>
      <w:color w:val="00000A"/>
      <w:sz w:val="20"/>
      <w:szCs w:val="20"/>
    </w:rPr>
  </w:style>
  <w:style w:type="character" w:customStyle="1" w:styleId="FootnoteTextChar">
    <w:name w:val="Footnote Text Char"/>
    <w:basedOn w:val="DefaultParagraphFont"/>
    <w:link w:val="FootnoteText"/>
    <w:uiPriority w:val="99"/>
    <w:rsid w:val="00637B4B"/>
    <w:rPr>
      <w:sz w:val="20"/>
      <w:szCs w:val="20"/>
    </w:rPr>
  </w:style>
  <w:style w:type="character" w:styleId="FootnoteReference">
    <w:name w:val="footnote reference"/>
    <w:basedOn w:val="DefaultParagraphFont"/>
    <w:uiPriority w:val="99"/>
    <w:semiHidden/>
    <w:unhideWhenUsed/>
    <w:rsid w:val="00637B4B"/>
    <w:rPr>
      <w:vertAlign w:val="superscript"/>
    </w:rPr>
  </w:style>
  <w:style w:type="character" w:styleId="CommentReference">
    <w:name w:val="annotation reference"/>
    <w:basedOn w:val="DefaultParagraphFont"/>
    <w:uiPriority w:val="99"/>
    <w:semiHidden/>
    <w:unhideWhenUsed/>
    <w:rsid w:val="008F5E64"/>
    <w:rPr>
      <w:sz w:val="16"/>
      <w:szCs w:val="16"/>
    </w:rPr>
  </w:style>
  <w:style w:type="paragraph" w:styleId="CommentText">
    <w:name w:val="annotation text"/>
    <w:basedOn w:val="Normal"/>
    <w:link w:val="CommentTextChar"/>
    <w:uiPriority w:val="99"/>
    <w:semiHidden/>
    <w:unhideWhenUsed/>
    <w:rsid w:val="008F5E64"/>
    <w:rPr>
      <w:sz w:val="20"/>
      <w:szCs w:val="20"/>
    </w:rPr>
  </w:style>
  <w:style w:type="character" w:customStyle="1" w:styleId="CommentTextChar">
    <w:name w:val="Comment Text Char"/>
    <w:basedOn w:val="DefaultParagraphFont"/>
    <w:link w:val="CommentText"/>
    <w:uiPriority w:val="99"/>
    <w:semiHidden/>
    <w:rsid w:val="008F5E64"/>
    <w:rPr>
      <w:sz w:val="20"/>
      <w:szCs w:val="20"/>
    </w:rPr>
  </w:style>
  <w:style w:type="paragraph" w:styleId="CommentSubject">
    <w:name w:val="annotation subject"/>
    <w:basedOn w:val="CommentText"/>
    <w:next w:val="CommentText"/>
    <w:link w:val="CommentSubjectChar"/>
    <w:uiPriority w:val="99"/>
    <w:semiHidden/>
    <w:unhideWhenUsed/>
    <w:rsid w:val="008F5E64"/>
    <w:rPr>
      <w:b/>
      <w:bCs/>
    </w:rPr>
  </w:style>
  <w:style w:type="character" w:customStyle="1" w:styleId="CommentSubjectChar">
    <w:name w:val="Comment Subject Char"/>
    <w:basedOn w:val="CommentTextChar"/>
    <w:link w:val="CommentSubject"/>
    <w:uiPriority w:val="99"/>
    <w:semiHidden/>
    <w:rsid w:val="008F5E64"/>
    <w:rPr>
      <w:b/>
      <w:bCs/>
      <w:sz w:val="20"/>
      <w:szCs w:val="20"/>
    </w:rPr>
  </w:style>
  <w:style w:type="paragraph" w:styleId="BalloonText">
    <w:name w:val="Balloon Text"/>
    <w:basedOn w:val="Normal"/>
    <w:link w:val="BalloonTextChar"/>
    <w:uiPriority w:val="99"/>
    <w:semiHidden/>
    <w:unhideWhenUsed/>
    <w:rsid w:val="008F5E64"/>
    <w:rPr>
      <w:sz w:val="26"/>
      <w:szCs w:val="26"/>
    </w:rPr>
  </w:style>
  <w:style w:type="character" w:customStyle="1" w:styleId="BalloonTextChar">
    <w:name w:val="Balloon Text Char"/>
    <w:basedOn w:val="DefaultParagraphFont"/>
    <w:link w:val="BalloonText"/>
    <w:uiPriority w:val="99"/>
    <w:semiHidden/>
    <w:rsid w:val="008F5E64"/>
    <w:rPr>
      <w:rFonts w:ascii="Times New Roman" w:hAnsi="Times New Roman" w:cs="Times New Roman"/>
      <w:sz w:val="26"/>
      <w:szCs w:val="26"/>
    </w:rPr>
  </w:style>
  <w:style w:type="paragraph" w:styleId="Revision">
    <w:name w:val="Revision"/>
    <w:hidden/>
    <w:uiPriority w:val="99"/>
    <w:semiHidden/>
    <w:rsid w:val="008F5E64"/>
    <w:pPr>
      <w:pBdr>
        <w:top w:val="none" w:sz="0" w:space="0" w:color="auto"/>
        <w:left w:val="none" w:sz="0" w:space="0" w:color="auto"/>
        <w:bottom w:val="none" w:sz="0" w:space="0" w:color="auto"/>
        <w:right w:val="none" w:sz="0" w:space="0" w:color="auto"/>
        <w:between w:val="none" w:sz="0" w:space="0" w:color="auto"/>
      </w:pBdr>
    </w:pPr>
  </w:style>
  <w:style w:type="paragraph" w:styleId="Header">
    <w:name w:val="header"/>
    <w:basedOn w:val="Normal"/>
    <w:link w:val="HeaderChar"/>
    <w:uiPriority w:val="99"/>
    <w:unhideWhenUsed/>
    <w:rsid w:val="0020582A"/>
    <w:pPr>
      <w:pBdr>
        <w:top w:val="nil"/>
        <w:left w:val="nil"/>
        <w:bottom w:val="nil"/>
        <w:right w:val="nil"/>
        <w:between w:val="nil"/>
      </w:pBdr>
      <w:tabs>
        <w:tab w:val="center" w:pos="4680"/>
        <w:tab w:val="right" w:pos="9360"/>
      </w:tabs>
    </w:pPr>
    <w:rPr>
      <w:rFonts w:ascii="Calibri" w:eastAsia="Calibri" w:hAnsi="Calibri" w:cs="Calibri"/>
      <w:color w:val="00000A"/>
    </w:rPr>
  </w:style>
  <w:style w:type="character" w:customStyle="1" w:styleId="HeaderChar">
    <w:name w:val="Header Char"/>
    <w:basedOn w:val="DefaultParagraphFont"/>
    <w:link w:val="Header"/>
    <w:uiPriority w:val="99"/>
    <w:rsid w:val="0020582A"/>
  </w:style>
  <w:style w:type="paragraph" w:styleId="Footer">
    <w:name w:val="footer"/>
    <w:basedOn w:val="Normal"/>
    <w:link w:val="FooterChar"/>
    <w:uiPriority w:val="99"/>
    <w:unhideWhenUsed/>
    <w:rsid w:val="0020582A"/>
    <w:pPr>
      <w:pBdr>
        <w:top w:val="nil"/>
        <w:left w:val="nil"/>
        <w:bottom w:val="nil"/>
        <w:right w:val="nil"/>
        <w:between w:val="nil"/>
      </w:pBdr>
      <w:tabs>
        <w:tab w:val="center" w:pos="4680"/>
        <w:tab w:val="right" w:pos="9360"/>
      </w:tabs>
    </w:pPr>
    <w:rPr>
      <w:rFonts w:ascii="Calibri" w:eastAsia="Calibri" w:hAnsi="Calibri" w:cs="Calibri"/>
      <w:color w:val="00000A"/>
    </w:rPr>
  </w:style>
  <w:style w:type="character" w:customStyle="1" w:styleId="FooterChar">
    <w:name w:val="Footer Char"/>
    <w:basedOn w:val="DefaultParagraphFont"/>
    <w:link w:val="Footer"/>
    <w:uiPriority w:val="99"/>
    <w:rsid w:val="0020582A"/>
  </w:style>
  <w:style w:type="paragraph" w:styleId="Bibliography">
    <w:name w:val="Bibliography"/>
    <w:basedOn w:val="Normal"/>
    <w:next w:val="Normal"/>
    <w:uiPriority w:val="37"/>
    <w:unhideWhenUsed/>
    <w:rsid w:val="00CC5863"/>
    <w:pPr>
      <w:pBdr>
        <w:top w:val="nil"/>
        <w:left w:val="nil"/>
        <w:bottom w:val="nil"/>
        <w:right w:val="nil"/>
        <w:between w:val="nil"/>
      </w:pBdr>
    </w:pPr>
    <w:rPr>
      <w:rFonts w:ascii="Calibri" w:eastAsia="Calibri" w:hAnsi="Calibri" w:cs="Calibri"/>
      <w:color w:val="00000A"/>
    </w:rPr>
  </w:style>
  <w:style w:type="paragraph" w:styleId="ListParagraph">
    <w:name w:val="List Paragraph"/>
    <w:basedOn w:val="Normal"/>
    <w:uiPriority w:val="34"/>
    <w:qFormat/>
    <w:rsid w:val="00D624AB"/>
    <w:pPr>
      <w:pBdr>
        <w:top w:val="nil"/>
        <w:left w:val="nil"/>
        <w:bottom w:val="nil"/>
        <w:right w:val="nil"/>
        <w:between w:val="nil"/>
      </w:pBdr>
      <w:ind w:left="720"/>
      <w:contextualSpacing/>
    </w:pPr>
    <w:rPr>
      <w:rFonts w:ascii="Calibri" w:eastAsia="Calibri" w:hAnsi="Calibri" w:cs="Calibri"/>
      <w:color w:val="00000A"/>
    </w:rPr>
  </w:style>
  <w:style w:type="character" w:styleId="Hyperlink">
    <w:name w:val="Hyperlink"/>
    <w:basedOn w:val="DefaultParagraphFont"/>
    <w:uiPriority w:val="99"/>
    <w:unhideWhenUsed/>
    <w:rsid w:val="00E17A53"/>
    <w:rPr>
      <w:color w:val="0563C1" w:themeColor="hyperlink"/>
      <w:u w:val="single"/>
    </w:rPr>
  </w:style>
  <w:style w:type="character" w:styleId="UnresolvedMention">
    <w:name w:val="Unresolved Mention"/>
    <w:basedOn w:val="DefaultParagraphFont"/>
    <w:uiPriority w:val="99"/>
    <w:rsid w:val="00E17A53"/>
    <w:rPr>
      <w:color w:val="808080"/>
      <w:shd w:val="clear" w:color="auto" w:fill="E6E6E6"/>
    </w:rPr>
  </w:style>
  <w:style w:type="character" w:styleId="FollowedHyperlink">
    <w:name w:val="FollowedHyperlink"/>
    <w:basedOn w:val="DefaultParagraphFont"/>
    <w:uiPriority w:val="99"/>
    <w:semiHidden/>
    <w:unhideWhenUsed/>
    <w:rsid w:val="00130229"/>
    <w:rPr>
      <w:color w:val="954F72" w:themeColor="followedHyperlink"/>
      <w:u w:val="single"/>
    </w:rPr>
  </w:style>
  <w:style w:type="character" w:styleId="PageNumber">
    <w:name w:val="page number"/>
    <w:basedOn w:val="DefaultParagraphFont"/>
    <w:uiPriority w:val="99"/>
    <w:semiHidden/>
    <w:unhideWhenUsed/>
    <w:rsid w:val="00CE1B51"/>
  </w:style>
  <w:style w:type="paragraph" w:styleId="EndnoteText">
    <w:name w:val="endnote text"/>
    <w:basedOn w:val="Normal"/>
    <w:link w:val="EndnoteTextChar"/>
    <w:uiPriority w:val="99"/>
    <w:unhideWhenUsed/>
    <w:rsid w:val="00564431"/>
    <w:pPr>
      <w:pBdr>
        <w:top w:val="nil"/>
        <w:left w:val="nil"/>
        <w:bottom w:val="nil"/>
        <w:right w:val="nil"/>
        <w:between w:val="nil"/>
      </w:pBdr>
    </w:pPr>
    <w:rPr>
      <w:rFonts w:ascii="Calibri" w:eastAsia="Calibri" w:hAnsi="Calibri" w:cs="Calibri"/>
      <w:color w:val="00000A"/>
      <w:sz w:val="20"/>
      <w:szCs w:val="20"/>
    </w:rPr>
  </w:style>
  <w:style w:type="character" w:customStyle="1" w:styleId="EndnoteTextChar">
    <w:name w:val="Endnote Text Char"/>
    <w:basedOn w:val="DefaultParagraphFont"/>
    <w:link w:val="EndnoteText"/>
    <w:uiPriority w:val="99"/>
    <w:rsid w:val="00564431"/>
    <w:rPr>
      <w:sz w:val="20"/>
      <w:szCs w:val="20"/>
    </w:rPr>
  </w:style>
  <w:style w:type="character" w:styleId="EndnoteReference">
    <w:name w:val="endnote reference"/>
    <w:basedOn w:val="DefaultParagraphFont"/>
    <w:uiPriority w:val="99"/>
    <w:semiHidden/>
    <w:unhideWhenUsed/>
    <w:rsid w:val="00564431"/>
    <w:rPr>
      <w:vertAlign w:val="superscript"/>
    </w:rPr>
  </w:style>
  <w:style w:type="paragraph" w:styleId="NormalWeb">
    <w:name w:val="Normal (Web)"/>
    <w:basedOn w:val="Normal"/>
    <w:uiPriority w:val="99"/>
    <w:semiHidden/>
    <w:unhideWhenUsed/>
    <w:rsid w:val="00D26306"/>
  </w:style>
  <w:style w:type="table" w:styleId="TableGrid">
    <w:name w:val="Table Grid"/>
    <w:basedOn w:val="TableNormal"/>
    <w:uiPriority w:val="39"/>
    <w:rsid w:val="00891835"/>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4873">
      <w:bodyDiv w:val="1"/>
      <w:marLeft w:val="0"/>
      <w:marRight w:val="0"/>
      <w:marTop w:val="0"/>
      <w:marBottom w:val="0"/>
      <w:divBdr>
        <w:top w:val="none" w:sz="0" w:space="0" w:color="auto"/>
        <w:left w:val="none" w:sz="0" w:space="0" w:color="auto"/>
        <w:bottom w:val="none" w:sz="0" w:space="0" w:color="auto"/>
        <w:right w:val="none" w:sz="0" w:space="0" w:color="auto"/>
      </w:divBdr>
    </w:div>
    <w:div w:id="24912730">
      <w:bodyDiv w:val="1"/>
      <w:marLeft w:val="0"/>
      <w:marRight w:val="0"/>
      <w:marTop w:val="0"/>
      <w:marBottom w:val="0"/>
      <w:divBdr>
        <w:top w:val="none" w:sz="0" w:space="0" w:color="auto"/>
        <w:left w:val="none" w:sz="0" w:space="0" w:color="auto"/>
        <w:bottom w:val="none" w:sz="0" w:space="0" w:color="auto"/>
        <w:right w:val="none" w:sz="0" w:space="0" w:color="auto"/>
      </w:divBdr>
      <w:divsChild>
        <w:div w:id="1324967069">
          <w:marLeft w:val="0"/>
          <w:marRight w:val="0"/>
          <w:marTop w:val="0"/>
          <w:marBottom w:val="0"/>
          <w:divBdr>
            <w:top w:val="none" w:sz="0" w:space="0" w:color="auto"/>
            <w:left w:val="none" w:sz="0" w:space="0" w:color="auto"/>
            <w:bottom w:val="none" w:sz="0" w:space="0" w:color="auto"/>
            <w:right w:val="none" w:sz="0" w:space="0" w:color="auto"/>
          </w:divBdr>
          <w:divsChild>
            <w:div w:id="1653633147">
              <w:marLeft w:val="0"/>
              <w:marRight w:val="0"/>
              <w:marTop w:val="0"/>
              <w:marBottom w:val="0"/>
              <w:divBdr>
                <w:top w:val="none" w:sz="0" w:space="0" w:color="auto"/>
                <w:left w:val="none" w:sz="0" w:space="0" w:color="auto"/>
                <w:bottom w:val="none" w:sz="0" w:space="0" w:color="auto"/>
                <w:right w:val="none" w:sz="0" w:space="0" w:color="auto"/>
              </w:divBdr>
              <w:divsChild>
                <w:div w:id="20550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6319">
      <w:bodyDiv w:val="1"/>
      <w:marLeft w:val="0"/>
      <w:marRight w:val="0"/>
      <w:marTop w:val="0"/>
      <w:marBottom w:val="0"/>
      <w:divBdr>
        <w:top w:val="none" w:sz="0" w:space="0" w:color="auto"/>
        <w:left w:val="none" w:sz="0" w:space="0" w:color="auto"/>
        <w:bottom w:val="none" w:sz="0" w:space="0" w:color="auto"/>
        <w:right w:val="none" w:sz="0" w:space="0" w:color="auto"/>
      </w:divBdr>
      <w:divsChild>
        <w:div w:id="1449616670">
          <w:marLeft w:val="0"/>
          <w:marRight w:val="0"/>
          <w:marTop w:val="0"/>
          <w:marBottom w:val="0"/>
          <w:divBdr>
            <w:top w:val="none" w:sz="0" w:space="0" w:color="auto"/>
            <w:left w:val="none" w:sz="0" w:space="0" w:color="auto"/>
            <w:bottom w:val="none" w:sz="0" w:space="0" w:color="auto"/>
            <w:right w:val="none" w:sz="0" w:space="0" w:color="auto"/>
          </w:divBdr>
          <w:divsChild>
            <w:div w:id="528688850">
              <w:marLeft w:val="0"/>
              <w:marRight w:val="0"/>
              <w:marTop w:val="0"/>
              <w:marBottom w:val="0"/>
              <w:divBdr>
                <w:top w:val="none" w:sz="0" w:space="0" w:color="auto"/>
                <w:left w:val="none" w:sz="0" w:space="0" w:color="auto"/>
                <w:bottom w:val="none" w:sz="0" w:space="0" w:color="auto"/>
                <w:right w:val="none" w:sz="0" w:space="0" w:color="auto"/>
              </w:divBdr>
              <w:divsChild>
                <w:div w:id="1616596641">
                  <w:marLeft w:val="0"/>
                  <w:marRight w:val="0"/>
                  <w:marTop w:val="0"/>
                  <w:marBottom w:val="0"/>
                  <w:divBdr>
                    <w:top w:val="none" w:sz="0" w:space="0" w:color="auto"/>
                    <w:left w:val="none" w:sz="0" w:space="0" w:color="auto"/>
                    <w:bottom w:val="none" w:sz="0" w:space="0" w:color="auto"/>
                    <w:right w:val="none" w:sz="0" w:space="0" w:color="auto"/>
                  </w:divBdr>
                  <w:divsChild>
                    <w:div w:id="2015692376">
                      <w:marLeft w:val="0"/>
                      <w:marRight w:val="0"/>
                      <w:marTop w:val="0"/>
                      <w:marBottom w:val="0"/>
                      <w:divBdr>
                        <w:top w:val="none" w:sz="0" w:space="0" w:color="auto"/>
                        <w:left w:val="none" w:sz="0" w:space="0" w:color="auto"/>
                        <w:bottom w:val="none" w:sz="0" w:space="0" w:color="auto"/>
                        <w:right w:val="none" w:sz="0" w:space="0" w:color="auto"/>
                      </w:divBdr>
                      <w:divsChild>
                        <w:div w:id="69079514">
                          <w:marLeft w:val="0"/>
                          <w:marRight w:val="0"/>
                          <w:marTop w:val="0"/>
                          <w:marBottom w:val="0"/>
                          <w:divBdr>
                            <w:top w:val="none" w:sz="0" w:space="0" w:color="auto"/>
                            <w:left w:val="none" w:sz="0" w:space="0" w:color="auto"/>
                            <w:bottom w:val="none" w:sz="0" w:space="0" w:color="auto"/>
                            <w:right w:val="none" w:sz="0" w:space="0" w:color="auto"/>
                          </w:divBdr>
                          <w:divsChild>
                            <w:div w:id="1509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200741">
          <w:marLeft w:val="0"/>
          <w:marRight w:val="0"/>
          <w:marTop w:val="0"/>
          <w:marBottom w:val="0"/>
          <w:divBdr>
            <w:top w:val="none" w:sz="0" w:space="0" w:color="auto"/>
            <w:left w:val="none" w:sz="0" w:space="0" w:color="auto"/>
            <w:bottom w:val="none" w:sz="0" w:space="0" w:color="auto"/>
            <w:right w:val="none" w:sz="0" w:space="0" w:color="auto"/>
          </w:divBdr>
          <w:divsChild>
            <w:div w:id="653217848">
              <w:marLeft w:val="0"/>
              <w:marRight w:val="0"/>
              <w:marTop w:val="0"/>
              <w:marBottom w:val="0"/>
              <w:divBdr>
                <w:top w:val="none" w:sz="0" w:space="0" w:color="auto"/>
                <w:left w:val="none" w:sz="0" w:space="0" w:color="auto"/>
                <w:bottom w:val="none" w:sz="0" w:space="0" w:color="auto"/>
                <w:right w:val="none" w:sz="0" w:space="0" w:color="auto"/>
              </w:divBdr>
              <w:divsChild>
                <w:div w:id="408619286">
                  <w:marLeft w:val="0"/>
                  <w:marRight w:val="0"/>
                  <w:marTop w:val="0"/>
                  <w:marBottom w:val="0"/>
                  <w:divBdr>
                    <w:top w:val="none" w:sz="0" w:space="0" w:color="auto"/>
                    <w:left w:val="none" w:sz="0" w:space="0" w:color="auto"/>
                    <w:bottom w:val="none" w:sz="0" w:space="0" w:color="auto"/>
                    <w:right w:val="none" w:sz="0" w:space="0" w:color="auto"/>
                  </w:divBdr>
                  <w:divsChild>
                    <w:div w:id="1394695842">
                      <w:marLeft w:val="0"/>
                      <w:marRight w:val="0"/>
                      <w:marTop w:val="0"/>
                      <w:marBottom w:val="0"/>
                      <w:divBdr>
                        <w:top w:val="none" w:sz="0" w:space="0" w:color="auto"/>
                        <w:left w:val="none" w:sz="0" w:space="0" w:color="auto"/>
                        <w:bottom w:val="none" w:sz="0" w:space="0" w:color="auto"/>
                        <w:right w:val="none" w:sz="0" w:space="0" w:color="auto"/>
                      </w:divBdr>
                      <w:divsChild>
                        <w:div w:id="1833909361">
                          <w:marLeft w:val="0"/>
                          <w:marRight w:val="0"/>
                          <w:marTop w:val="0"/>
                          <w:marBottom w:val="0"/>
                          <w:divBdr>
                            <w:top w:val="none" w:sz="0" w:space="0" w:color="auto"/>
                            <w:left w:val="none" w:sz="0" w:space="0" w:color="auto"/>
                            <w:bottom w:val="none" w:sz="0" w:space="0" w:color="auto"/>
                            <w:right w:val="none" w:sz="0" w:space="0" w:color="auto"/>
                          </w:divBdr>
                          <w:divsChild>
                            <w:div w:id="11956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21360">
      <w:bodyDiv w:val="1"/>
      <w:marLeft w:val="0"/>
      <w:marRight w:val="0"/>
      <w:marTop w:val="0"/>
      <w:marBottom w:val="0"/>
      <w:divBdr>
        <w:top w:val="none" w:sz="0" w:space="0" w:color="auto"/>
        <w:left w:val="none" w:sz="0" w:space="0" w:color="auto"/>
        <w:bottom w:val="none" w:sz="0" w:space="0" w:color="auto"/>
        <w:right w:val="none" w:sz="0" w:space="0" w:color="auto"/>
      </w:divBdr>
      <w:divsChild>
        <w:div w:id="1734038560">
          <w:marLeft w:val="0"/>
          <w:marRight w:val="0"/>
          <w:marTop w:val="0"/>
          <w:marBottom w:val="0"/>
          <w:divBdr>
            <w:top w:val="none" w:sz="0" w:space="0" w:color="auto"/>
            <w:left w:val="none" w:sz="0" w:space="0" w:color="auto"/>
            <w:bottom w:val="none" w:sz="0" w:space="0" w:color="auto"/>
            <w:right w:val="none" w:sz="0" w:space="0" w:color="auto"/>
          </w:divBdr>
        </w:div>
        <w:div w:id="1873768107">
          <w:marLeft w:val="0"/>
          <w:marRight w:val="0"/>
          <w:marTop w:val="0"/>
          <w:marBottom w:val="0"/>
          <w:divBdr>
            <w:top w:val="none" w:sz="0" w:space="0" w:color="auto"/>
            <w:left w:val="none" w:sz="0" w:space="0" w:color="auto"/>
            <w:bottom w:val="none" w:sz="0" w:space="0" w:color="auto"/>
            <w:right w:val="none" w:sz="0" w:space="0" w:color="auto"/>
          </w:divBdr>
        </w:div>
        <w:div w:id="786702061">
          <w:marLeft w:val="0"/>
          <w:marRight w:val="0"/>
          <w:marTop w:val="0"/>
          <w:marBottom w:val="0"/>
          <w:divBdr>
            <w:top w:val="none" w:sz="0" w:space="0" w:color="auto"/>
            <w:left w:val="none" w:sz="0" w:space="0" w:color="auto"/>
            <w:bottom w:val="none" w:sz="0" w:space="0" w:color="auto"/>
            <w:right w:val="none" w:sz="0" w:space="0" w:color="auto"/>
          </w:divBdr>
        </w:div>
      </w:divsChild>
    </w:div>
    <w:div w:id="107621846">
      <w:bodyDiv w:val="1"/>
      <w:marLeft w:val="0"/>
      <w:marRight w:val="0"/>
      <w:marTop w:val="0"/>
      <w:marBottom w:val="0"/>
      <w:divBdr>
        <w:top w:val="none" w:sz="0" w:space="0" w:color="auto"/>
        <w:left w:val="none" w:sz="0" w:space="0" w:color="auto"/>
        <w:bottom w:val="none" w:sz="0" w:space="0" w:color="auto"/>
        <w:right w:val="none" w:sz="0" w:space="0" w:color="auto"/>
      </w:divBdr>
      <w:divsChild>
        <w:div w:id="1947495275">
          <w:marLeft w:val="0"/>
          <w:marRight w:val="0"/>
          <w:marTop w:val="0"/>
          <w:marBottom w:val="0"/>
          <w:divBdr>
            <w:top w:val="none" w:sz="0" w:space="0" w:color="auto"/>
            <w:left w:val="none" w:sz="0" w:space="0" w:color="auto"/>
            <w:bottom w:val="none" w:sz="0" w:space="0" w:color="auto"/>
            <w:right w:val="none" w:sz="0" w:space="0" w:color="auto"/>
          </w:divBdr>
        </w:div>
        <w:div w:id="579677497">
          <w:marLeft w:val="0"/>
          <w:marRight w:val="0"/>
          <w:marTop w:val="0"/>
          <w:marBottom w:val="0"/>
          <w:divBdr>
            <w:top w:val="none" w:sz="0" w:space="0" w:color="auto"/>
            <w:left w:val="none" w:sz="0" w:space="0" w:color="auto"/>
            <w:bottom w:val="none" w:sz="0" w:space="0" w:color="auto"/>
            <w:right w:val="none" w:sz="0" w:space="0" w:color="auto"/>
          </w:divBdr>
        </w:div>
        <w:div w:id="1770464542">
          <w:marLeft w:val="0"/>
          <w:marRight w:val="0"/>
          <w:marTop w:val="0"/>
          <w:marBottom w:val="0"/>
          <w:divBdr>
            <w:top w:val="none" w:sz="0" w:space="0" w:color="auto"/>
            <w:left w:val="none" w:sz="0" w:space="0" w:color="auto"/>
            <w:bottom w:val="none" w:sz="0" w:space="0" w:color="auto"/>
            <w:right w:val="none" w:sz="0" w:space="0" w:color="auto"/>
          </w:divBdr>
        </w:div>
      </w:divsChild>
    </w:div>
    <w:div w:id="198932719">
      <w:bodyDiv w:val="1"/>
      <w:marLeft w:val="0"/>
      <w:marRight w:val="0"/>
      <w:marTop w:val="0"/>
      <w:marBottom w:val="0"/>
      <w:divBdr>
        <w:top w:val="none" w:sz="0" w:space="0" w:color="auto"/>
        <w:left w:val="none" w:sz="0" w:space="0" w:color="auto"/>
        <w:bottom w:val="none" w:sz="0" w:space="0" w:color="auto"/>
        <w:right w:val="none" w:sz="0" w:space="0" w:color="auto"/>
      </w:divBdr>
      <w:divsChild>
        <w:div w:id="415136192">
          <w:marLeft w:val="0"/>
          <w:marRight w:val="0"/>
          <w:marTop w:val="0"/>
          <w:marBottom w:val="0"/>
          <w:divBdr>
            <w:top w:val="none" w:sz="0" w:space="0" w:color="auto"/>
            <w:left w:val="none" w:sz="0" w:space="0" w:color="auto"/>
            <w:bottom w:val="none" w:sz="0" w:space="0" w:color="auto"/>
            <w:right w:val="none" w:sz="0" w:space="0" w:color="auto"/>
          </w:divBdr>
          <w:divsChild>
            <w:div w:id="135346033">
              <w:marLeft w:val="0"/>
              <w:marRight w:val="0"/>
              <w:marTop w:val="0"/>
              <w:marBottom w:val="0"/>
              <w:divBdr>
                <w:top w:val="none" w:sz="0" w:space="0" w:color="auto"/>
                <w:left w:val="none" w:sz="0" w:space="0" w:color="auto"/>
                <w:bottom w:val="none" w:sz="0" w:space="0" w:color="auto"/>
                <w:right w:val="none" w:sz="0" w:space="0" w:color="auto"/>
              </w:divBdr>
              <w:divsChild>
                <w:div w:id="145439141">
                  <w:marLeft w:val="0"/>
                  <w:marRight w:val="0"/>
                  <w:marTop w:val="0"/>
                  <w:marBottom w:val="0"/>
                  <w:divBdr>
                    <w:top w:val="none" w:sz="0" w:space="0" w:color="auto"/>
                    <w:left w:val="none" w:sz="0" w:space="0" w:color="auto"/>
                    <w:bottom w:val="none" w:sz="0" w:space="0" w:color="auto"/>
                    <w:right w:val="none" w:sz="0" w:space="0" w:color="auto"/>
                  </w:divBdr>
                </w:div>
              </w:divsChild>
            </w:div>
            <w:div w:id="43213134">
              <w:marLeft w:val="0"/>
              <w:marRight w:val="0"/>
              <w:marTop w:val="0"/>
              <w:marBottom w:val="0"/>
              <w:divBdr>
                <w:top w:val="none" w:sz="0" w:space="0" w:color="auto"/>
                <w:left w:val="none" w:sz="0" w:space="0" w:color="auto"/>
                <w:bottom w:val="none" w:sz="0" w:space="0" w:color="auto"/>
                <w:right w:val="none" w:sz="0" w:space="0" w:color="auto"/>
              </w:divBdr>
              <w:divsChild>
                <w:div w:id="3071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0818">
          <w:marLeft w:val="0"/>
          <w:marRight w:val="0"/>
          <w:marTop w:val="0"/>
          <w:marBottom w:val="0"/>
          <w:divBdr>
            <w:top w:val="none" w:sz="0" w:space="0" w:color="auto"/>
            <w:left w:val="none" w:sz="0" w:space="0" w:color="auto"/>
            <w:bottom w:val="none" w:sz="0" w:space="0" w:color="auto"/>
            <w:right w:val="none" w:sz="0" w:space="0" w:color="auto"/>
          </w:divBdr>
          <w:divsChild>
            <w:div w:id="1385645125">
              <w:marLeft w:val="0"/>
              <w:marRight w:val="0"/>
              <w:marTop w:val="0"/>
              <w:marBottom w:val="0"/>
              <w:divBdr>
                <w:top w:val="none" w:sz="0" w:space="0" w:color="auto"/>
                <w:left w:val="none" w:sz="0" w:space="0" w:color="auto"/>
                <w:bottom w:val="none" w:sz="0" w:space="0" w:color="auto"/>
                <w:right w:val="none" w:sz="0" w:space="0" w:color="auto"/>
              </w:divBdr>
              <w:divsChild>
                <w:div w:id="17807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3754">
      <w:bodyDiv w:val="1"/>
      <w:marLeft w:val="0"/>
      <w:marRight w:val="0"/>
      <w:marTop w:val="0"/>
      <w:marBottom w:val="0"/>
      <w:divBdr>
        <w:top w:val="none" w:sz="0" w:space="0" w:color="auto"/>
        <w:left w:val="none" w:sz="0" w:space="0" w:color="auto"/>
        <w:bottom w:val="none" w:sz="0" w:space="0" w:color="auto"/>
        <w:right w:val="none" w:sz="0" w:space="0" w:color="auto"/>
      </w:divBdr>
      <w:divsChild>
        <w:div w:id="2087914387">
          <w:marLeft w:val="0"/>
          <w:marRight w:val="0"/>
          <w:marTop w:val="0"/>
          <w:marBottom w:val="0"/>
          <w:divBdr>
            <w:top w:val="none" w:sz="0" w:space="0" w:color="auto"/>
            <w:left w:val="none" w:sz="0" w:space="0" w:color="auto"/>
            <w:bottom w:val="none" w:sz="0" w:space="0" w:color="auto"/>
            <w:right w:val="none" w:sz="0" w:space="0" w:color="auto"/>
          </w:divBdr>
          <w:divsChild>
            <w:div w:id="423452789">
              <w:marLeft w:val="0"/>
              <w:marRight w:val="0"/>
              <w:marTop w:val="0"/>
              <w:marBottom w:val="0"/>
              <w:divBdr>
                <w:top w:val="none" w:sz="0" w:space="0" w:color="auto"/>
                <w:left w:val="none" w:sz="0" w:space="0" w:color="auto"/>
                <w:bottom w:val="none" w:sz="0" w:space="0" w:color="auto"/>
                <w:right w:val="none" w:sz="0" w:space="0" w:color="auto"/>
              </w:divBdr>
              <w:divsChild>
                <w:div w:id="19122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365719">
      <w:bodyDiv w:val="1"/>
      <w:marLeft w:val="0"/>
      <w:marRight w:val="0"/>
      <w:marTop w:val="0"/>
      <w:marBottom w:val="0"/>
      <w:divBdr>
        <w:top w:val="none" w:sz="0" w:space="0" w:color="auto"/>
        <w:left w:val="none" w:sz="0" w:space="0" w:color="auto"/>
        <w:bottom w:val="none" w:sz="0" w:space="0" w:color="auto"/>
        <w:right w:val="none" w:sz="0" w:space="0" w:color="auto"/>
      </w:divBdr>
      <w:divsChild>
        <w:div w:id="1368067454">
          <w:marLeft w:val="0"/>
          <w:marRight w:val="0"/>
          <w:marTop w:val="0"/>
          <w:marBottom w:val="0"/>
          <w:divBdr>
            <w:top w:val="none" w:sz="0" w:space="0" w:color="auto"/>
            <w:left w:val="none" w:sz="0" w:space="0" w:color="auto"/>
            <w:bottom w:val="none" w:sz="0" w:space="0" w:color="auto"/>
            <w:right w:val="none" w:sz="0" w:space="0" w:color="auto"/>
          </w:divBdr>
          <w:divsChild>
            <w:div w:id="1077560457">
              <w:marLeft w:val="0"/>
              <w:marRight w:val="0"/>
              <w:marTop w:val="0"/>
              <w:marBottom w:val="0"/>
              <w:divBdr>
                <w:top w:val="none" w:sz="0" w:space="0" w:color="auto"/>
                <w:left w:val="none" w:sz="0" w:space="0" w:color="auto"/>
                <w:bottom w:val="none" w:sz="0" w:space="0" w:color="auto"/>
                <w:right w:val="none" w:sz="0" w:space="0" w:color="auto"/>
              </w:divBdr>
              <w:divsChild>
                <w:div w:id="6545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78472">
      <w:bodyDiv w:val="1"/>
      <w:marLeft w:val="0"/>
      <w:marRight w:val="0"/>
      <w:marTop w:val="0"/>
      <w:marBottom w:val="0"/>
      <w:divBdr>
        <w:top w:val="none" w:sz="0" w:space="0" w:color="auto"/>
        <w:left w:val="none" w:sz="0" w:space="0" w:color="auto"/>
        <w:bottom w:val="none" w:sz="0" w:space="0" w:color="auto"/>
        <w:right w:val="none" w:sz="0" w:space="0" w:color="auto"/>
      </w:divBdr>
    </w:div>
    <w:div w:id="421729531">
      <w:bodyDiv w:val="1"/>
      <w:marLeft w:val="0"/>
      <w:marRight w:val="0"/>
      <w:marTop w:val="0"/>
      <w:marBottom w:val="0"/>
      <w:divBdr>
        <w:top w:val="none" w:sz="0" w:space="0" w:color="auto"/>
        <w:left w:val="none" w:sz="0" w:space="0" w:color="auto"/>
        <w:bottom w:val="none" w:sz="0" w:space="0" w:color="auto"/>
        <w:right w:val="none" w:sz="0" w:space="0" w:color="auto"/>
      </w:divBdr>
    </w:div>
    <w:div w:id="455030519">
      <w:bodyDiv w:val="1"/>
      <w:marLeft w:val="0"/>
      <w:marRight w:val="0"/>
      <w:marTop w:val="0"/>
      <w:marBottom w:val="0"/>
      <w:divBdr>
        <w:top w:val="none" w:sz="0" w:space="0" w:color="auto"/>
        <w:left w:val="none" w:sz="0" w:space="0" w:color="auto"/>
        <w:bottom w:val="none" w:sz="0" w:space="0" w:color="auto"/>
        <w:right w:val="none" w:sz="0" w:space="0" w:color="auto"/>
      </w:divBdr>
      <w:divsChild>
        <w:div w:id="1683430116">
          <w:marLeft w:val="0"/>
          <w:marRight w:val="0"/>
          <w:marTop w:val="0"/>
          <w:marBottom w:val="0"/>
          <w:divBdr>
            <w:top w:val="none" w:sz="0" w:space="0" w:color="auto"/>
            <w:left w:val="none" w:sz="0" w:space="0" w:color="auto"/>
            <w:bottom w:val="none" w:sz="0" w:space="0" w:color="auto"/>
            <w:right w:val="none" w:sz="0" w:space="0" w:color="auto"/>
          </w:divBdr>
          <w:divsChild>
            <w:div w:id="1600067675">
              <w:marLeft w:val="0"/>
              <w:marRight w:val="0"/>
              <w:marTop w:val="0"/>
              <w:marBottom w:val="0"/>
              <w:divBdr>
                <w:top w:val="none" w:sz="0" w:space="0" w:color="auto"/>
                <w:left w:val="none" w:sz="0" w:space="0" w:color="auto"/>
                <w:bottom w:val="none" w:sz="0" w:space="0" w:color="auto"/>
                <w:right w:val="none" w:sz="0" w:space="0" w:color="auto"/>
              </w:divBdr>
              <w:divsChild>
                <w:div w:id="10958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41530">
      <w:bodyDiv w:val="1"/>
      <w:marLeft w:val="0"/>
      <w:marRight w:val="0"/>
      <w:marTop w:val="0"/>
      <w:marBottom w:val="0"/>
      <w:divBdr>
        <w:top w:val="none" w:sz="0" w:space="0" w:color="auto"/>
        <w:left w:val="none" w:sz="0" w:space="0" w:color="auto"/>
        <w:bottom w:val="none" w:sz="0" w:space="0" w:color="auto"/>
        <w:right w:val="none" w:sz="0" w:space="0" w:color="auto"/>
      </w:divBdr>
      <w:divsChild>
        <w:div w:id="1390037712">
          <w:marLeft w:val="0"/>
          <w:marRight w:val="0"/>
          <w:marTop w:val="0"/>
          <w:marBottom w:val="0"/>
          <w:divBdr>
            <w:top w:val="none" w:sz="0" w:space="0" w:color="auto"/>
            <w:left w:val="none" w:sz="0" w:space="0" w:color="auto"/>
            <w:bottom w:val="none" w:sz="0" w:space="0" w:color="auto"/>
            <w:right w:val="none" w:sz="0" w:space="0" w:color="auto"/>
          </w:divBdr>
          <w:divsChild>
            <w:div w:id="916600034">
              <w:marLeft w:val="0"/>
              <w:marRight w:val="0"/>
              <w:marTop w:val="0"/>
              <w:marBottom w:val="0"/>
              <w:divBdr>
                <w:top w:val="none" w:sz="0" w:space="0" w:color="auto"/>
                <w:left w:val="none" w:sz="0" w:space="0" w:color="auto"/>
                <w:bottom w:val="none" w:sz="0" w:space="0" w:color="auto"/>
                <w:right w:val="none" w:sz="0" w:space="0" w:color="auto"/>
              </w:divBdr>
              <w:divsChild>
                <w:div w:id="6574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822">
      <w:bodyDiv w:val="1"/>
      <w:marLeft w:val="0"/>
      <w:marRight w:val="0"/>
      <w:marTop w:val="0"/>
      <w:marBottom w:val="0"/>
      <w:divBdr>
        <w:top w:val="none" w:sz="0" w:space="0" w:color="auto"/>
        <w:left w:val="none" w:sz="0" w:space="0" w:color="auto"/>
        <w:bottom w:val="none" w:sz="0" w:space="0" w:color="auto"/>
        <w:right w:val="none" w:sz="0" w:space="0" w:color="auto"/>
      </w:divBdr>
    </w:div>
    <w:div w:id="529497025">
      <w:bodyDiv w:val="1"/>
      <w:marLeft w:val="0"/>
      <w:marRight w:val="0"/>
      <w:marTop w:val="0"/>
      <w:marBottom w:val="0"/>
      <w:divBdr>
        <w:top w:val="none" w:sz="0" w:space="0" w:color="auto"/>
        <w:left w:val="none" w:sz="0" w:space="0" w:color="auto"/>
        <w:bottom w:val="none" w:sz="0" w:space="0" w:color="auto"/>
        <w:right w:val="none" w:sz="0" w:space="0" w:color="auto"/>
      </w:divBdr>
      <w:divsChild>
        <w:div w:id="2080865716">
          <w:marLeft w:val="0"/>
          <w:marRight w:val="0"/>
          <w:marTop w:val="0"/>
          <w:marBottom w:val="0"/>
          <w:divBdr>
            <w:top w:val="none" w:sz="0" w:space="0" w:color="auto"/>
            <w:left w:val="none" w:sz="0" w:space="0" w:color="auto"/>
            <w:bottom w:val="none" w:sz="0" w:space="0" w:color="auto"/>
            <w:right w:val="none" w:sz="0" w:space="0" w:color="auto"/>
          </w:divBdr>
          <w:divsChild>
            <w:div w:id="1184974492">
              <w:marLeft w:val="0"/>
              <w:marRight w:val="0"/>
              <w:marTop w:val="0"/>
              <w:marBottom w:val="0"/>
              <w:divBdr>
                <w:top w:val="none" w:sz="0" w:space="0" w:color="auto"/>
                <w:left w:val="none" w:sz="0" w:space="0" w:color="auto"/>
                <w:bottom w:val="none" w:sz="0" w:space="0" w:color="auto"/>
                <w:right w:val="none" w:sz="0" w:space="0" w:color="auto"/>
              </w:divBdr>
              <w:divsChild>
                <w:div w:id="13186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0637">
      <w:bodyDiv w:val="1"/>
      <w:marLeft w:val="0"/>
      <w:marRight w:val="0"/>
      <w:marTop w:val="0"/>
      <w:marBottom w:val="0"/>
      <w:divBdr>
        <w:top w:val="none" w:sz="0" w:space="0" w:color="auto"/>
        <w:left w:val="none" w:sz="0" w:space="0" w:color="auto"/>
        <w:bottom w:val="none" w:sz="0" w:space="0" w:color="auto"/>
        <w:right w:val="none" w:sz="0" w:space="0" w:color="auto"/>
      </w:divBdr>
    </w:div>
    <w:div w:id="652374973">
      <w:bodyDiv w:val="1"/>
      <w:marLeft w:val="0"/>
      <w:marRight w:val="0"/>
      <w:marTop w:val="0"/>
      <w:marBottom w:val="0"/>
      <w:divBdr>
        <w:top w:val="none" w:sz="0" w:space="0" w:color="auto"/>
        <w:left w:val="none" w:sz="0" w:space="0" w:color="auto"/>
        <w:bottom w:val="none" w:sz="0" w:space="0" w:color="auto"/>
        <w:right w:val="none" w:sz="0" w:space="0" w:color="auto"/>
      </w:divBdr>
      <w:divsChild>
        <w:div w:id="361324505">
          <w:marLeft w:val="0"/>
          <w:marRight w:val="0"/>
          <w:marTop w:val="0"/>
          <w:marBottom w:val="0"/>
          <w:divBdr>
            <w:top w:val="none" w:sz="0" w:space="0" w:color="auto"/>
            <w:left w:val="none" w:sz="0" w:space="0" w:color="auto"/>
            <w:bottom w:val="none" w:sz="0" w:space="0" w:color="auto"/>
            <w:right w:val="none" w:sz="0" w:space="0" w:color="auto"/>
          </w:divBdr>
        </w:div>
        <w:div w:id="730080961">
          <w:marLeft w:val="0"/>
          <w:marRight w:val="0"/>
          <w:marTop w:val="0"/>
          <w:marBottom w:val="0"/>
          <w:divBdr>
            <w:top w:val="none" w:sz="0" w:space="0" w:color="auto"/>
            <w:left w:val="none" w:sz="0" w:space="0" w:color="auto"/>
            <w:bottom w:val="none" w:sz="0" w:space="0" w:color="auto"/>
            <w:right w:val="none" w:sz="0" w:space="0" w:color="auto"/>
          </w:divBdr>
        </w:div>
        <w:div w:id="1354649626">
          <w:marLeft w:val="0"/>
          <w:marRight w:val="0"/>
          <w:marTop w:val="0"/>
          <w:marBottom w:val="0"/>
          <w:divBdr>
            <w:top w:val="none" w:sz="0" w:space="0" w:color="auto"/>
            <w:left w:val="none" w:sz="0" w:space="0" w:color="auto"/>
            <w:bottom w:val="none" w:sz="0" w:space="0" w:color="auto"/>
            <w:right w:val="none" w:sz="0" w:space="0" w:color="auto"/>
          </w:divBdr>
        </w:div>
      </w:divsChild>
    </w:div>
    <w:div w:id="777872688">
      <w:bodyDiv w:val="1"/>
      <w:marLeft w:val="0"/>
      <w:marRight w:val="0"/>
      <w:marTop w:val="0"/>
      <w:marBottom w:val="0"/>
      <w:divBdr>
        <w:top w:val="none" w:sz="0" w:space="0" w:color="auto"/>
        <w:left w:val="none" w:sz="0" w:space="0" w:color="auto"/>
        <w:bottom w:val="none" w:sz="0" w:space="0" w:color="auto"/>
        <w:right w:val="none" w:sz="0" w:space="0" w:color="auto"/>
      </w:divBdr>
    </w:div>
    <w:div w:id="931664646">
      <w:bodyDiv w:val="1"/>
      <w:marLeft w:val="0"/>
      <w:marRight w:val="0"/>
      <w:marTop w:val="0"/>
      <w:marBottom w:val="0"/>
      <w:divBdr>
        <w:top w:val="none" w:sz="0" w:space="0" w:color="auto"/>
        <w:left w:val="none" w:sz="0" w:space="0" w:color="auto"/>
        <w:bottom w:val="none" w:sz="0" w:space="0" w:color="auto"/>
        <w:right w:val="none" w:sz="0" w:space="0" w:color="auto"/>
      </w:divBdr>
    </w:div>
    <w:div w:id="988552699">
      <w:bodyDiv w:val="1"/>
      <w:marLeft w:val="0"/>
      <w:marRight w:val="0"/>
      <w:marTop w:val="0"/>
      <w:marBottom w:val="0"/>
      <w:divBdr>
        <w:top w:val="none" w:sz="0" w:space="0" w:color="auto"/>
        <w:left w:val="none" w:sz="0" w:space="0" w:color="auto"/>
        <w:bottom w:val="none" w:sz="0" w:space="0" w:color="auto"/>
        <w:right w:val="none" w:sz="0" w:space="0" w:color="auto"/>
      </w:divBdr>
    </w:div>
    <w:div w:id="1012730226">
      <w:bodyDiv w:val="1"/>
      <w:marLeft w:val="0"/>
      <w:marRight w:val="0"/>
      <w:marTop w:val="0"/>
      <w:marBottom w:val="0"/>
      <w:divBdr>
        <w:top w:val="none" w:sz="0" w:space="0" w:color="auto"/>
        <w:left w:val="none" w:sz="0" w:space="0" w:color="auto"/>
        <w:bottom w:val="none" w:sz="0" w:space="0" w:color="auto"/>
        <w:right w:val="none" w:sz="0" w:space="0" w:color="auto"/>
      </w:divBdr>
      <w:divsChild>
        <w:div w:id="733893135">
          <w:marLeft w:val="0"/>
          <w:marRight w:val="0"/>
          <w:marTop w:val="0"/>
          <w:marBottom w:val="0"/>
          <w:divBdr>
            <w:top w:val="none" w:sz="0" w:space="0" w:color="auto"/>
            <w:left w:val="none" w:sz="0" w:space="0" w:color="auto"/>
            <w:bottom w:val="none" w:sz="0" w:space="0" w:color="auto"/>
            <w:right w:val="none" w:sz="0" w:space="0" w:color="auto"/>
          </w:divBdr>
          <w:divsChild>
            <w:div w:id="645667146">
              <w:marLeft w:val="0"/>
              <w:marRight w:val="0"/>
              <w:marTop w:val="0"/>
              <w:marBottom w:val="0"/>
              <w:divBdr>
                <w:top w:val="none" w:sz="0" w:space="0" w:color="auto"/>
                <w:left w:val="none" w:sz="0" w:space="0" w:color="auto"/>
                <w:bottom w:val="none" w:sz="0" w:space="0" w:color="auto"/>
                <w:right w:val="none" w:sz="0" w:space="0" w:color="auto"/>
              </w:divBdr>
              <w:divsChild>
                <w:div w:id="104486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52734">
      <w:bodyDiv w:val="1"/>
      <w:marLeft w:val="0"/>
      <w:marRight w:val="0"/>
      <w:marTop w:val="0"/>
      <w:marBottom w:val="0"/>
      <w:divBdr>
        <w:top w:val="none" w:sz="0" w:space="0" w:color="auto"/>
        <w:left w:val="none" w:sz="0" w:space="0" w:color="auto"/>
        <w:bottom w:val="none" w:sz="0" w:space="0" w:color="auto"/>
        <w:right w:val="none" w:sz="0" w:space="0" w:color="auto"/>
      </w:divBdr>
    </w:div>
    <w:div w:id="1059941418">
      <w:bodyDiv w:val="1"/>
      <w:marLeft w:val="0"/>
      <w:marRight w:val="0"/>
      <w:marTop w:val="0"/>
      <w:marBottom w:val="0"/>
      <w:divBdr>
        <w:top w:val="none" w:sz="0" w:space="0" w:color="auto"/>
        <w:left w:val="none" w:sz="0" w:space="0" w:color="auto"/>
        <w:bottom w:val="none" w:sz="0" w:space="0" w:color="auto"/>
        <w:right w:val="none" w:sz="0" w:space="0" w:color="auto"/>
      </w:divBdr>
      <w:divsChild>
        <w:div w:id="606087412">
          <w:marLeft w:val="0"/>
          <w:marRight w:val="0"/>
          <w:marTop w:val="0"/>
          <w:marBottom w:val="0"/>
          <w:divBdr>
            <w:top w:val="none" w:sz="0" w:space="0" w:color="auto"/>
            <w:left w:val="none" w:sz="0" w:space="0" w:color="auto"/>
            <w:bottom w:val="none" w:sz="0" w:space="0" w:color="auto"/>
            <w:right w:val="none" w:sz="0" w:space="0" w:color="auto"/>
          </w:divBdr>
          <w:divsChild>
            <w:div w:id="4983896">
              <w:marLeft w:val="0"/>
              <w:marRight w:val="0"/>
              <w:marTop w:val="0"/>
              <w:marBottom w:val="0"/>
              <w:divBdr>
                <w:top w:val="none" w:sz="0" w:space="0" w:color="auto"/>
                <w:left w:val="none" w:sz="0" w:space="0" w:color="auto"/>
                <w:bottom w:val="none" w:sz="0" w:space="0" w:color="auto"/>
                <w:right w:val="none" w:sz="0" w:space="0" w:color="auto"/>
              </w:divBdr>
              <w:divsChild>
                <w:div w:id="20798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39591">
      <w:bodyDiv w:val="1"/>
      <w:marLeft w:val="0"/>
      <w:marRight w:val="0"/>
      <w:marTop w:val="0"/>
      <w:marBottom w:val="0"/>
      <w:divBdr>
        <w:top w:val="none" w:sz="0" w:space="0" w:color="auto"/>
        <w:left w:val="none" w:sz="0" w:space="0" w:color="auto"/>
        <w:bottom w:val="none" w:sz="0" w:space="0" w:color="auto"/>
        <w:right w:val="none" w:sz="0" w:space="0" w:color="auto"/>
      </w:divBdr>
      <w:divsChild>
        <w:div w:id="363672971">
          <w:marLeft w:val="0"/>
          <w:marRight w:val="0"/>
          <w:marTop w:val="0"/>
          <w:marBottom w:val="0"/>
          <w:divBdr>
            <w:top w:val="none" w:sz="0" w:space="0" w:color="auto"/>
            <w:left w:val="none" w:sz="0" w:space="0" w:color="auto"/>
            <w:bottom w:val="none" w:sz="0" w:space="0" w:color="auto"/>
            <w:right w:val="none" w:sz="0" w:space="0" w:color="auto"/>
          </w:divBdr>
          <w:divsChild>
            <w:div w:id="195044982">
              <w:marLeft w:val="0"/>
              <w:marRight w:val="0"/>
              <w:marTop w:val="0"/>
              <w:marBottom w:val="0"/>
              <w:divBdr>
                <w:top w:val="none" w:sz="0" w:space="0" w:color="auto"/>
                <w:left w:val="none" w:sz="0" w:space="0" w:color="auto"/>
                <w:bottom w:val="none" w:sz="0" w:space="0" w:color="auto"/>
                <w:right w:val="none" w:sz="0" w:space="0" w:color="auto"/>
              </w:divBdr>
              <w:divsChild>
                <w:div w:id="8767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9984">
      <w:bodyDiv w:val="1"/>
      <w:marLeft w:val="0"/>
      <w:marRight w:val="0"/>
      <w:marTop w:val="0"/>
      <w:marBottom w:val="0"/>
      <w:divBdr>
        <w:top w:val="none" w:sz="0" w:space="0" w:color="auto"/>
        <w:left w:val="none" w:sz="0" w:space="0" w:color="auto"/>
        <w:bottom w:val="none" w:sz="0" w:space="0" w:color="auto"/>
        <w:right w:val="none" w:sz="0" w:space="0" w:color="auto"/>
      </w:divBdr>
      <w:divsChild>
        <w:div w:id="1776319033">
          <w:marLeft w:val="0"/>
          <w:marRight w:val="0"/>
          <w:marTop w:val="0"/>
          <w:marBottom w:val="0"/>
          <w:divBdr>
            <w:top w:val="none" w:sz="0" w:space="0" w:color="auto"/>
            <w:left w:val="none" w:sz="0" w:space="0" w:color="auto"/>
            <w:bottom w:val="none" w:sz="0" w:space="0" w:color="auto"/>
            <w:right w:val="none" w:sz="0" w:space="0" w:color="auto"/>
          </w:divBdr>
        </w:div>
        <w:div w:id="80371024">
          <w:marLeft w:val="0"/>
          <w:marRight w:val="0"/>
          <w:marTop w:val="0"/>
          <w:marBottom w:val="0"/>
          <w:divBdr>
            <w:top w:val="none" w:sz="0" w:space="0" w:color="auto"/>
            <w:left w:val="none" w:sz="0" w:space="0" w:color="auto"/>
            <w:bottom w:val="none" w:sz="0" w:space="0" w:color="auto"/>
            <w:right w:val="none" w:sz="0" w:space="0" w:color="auto"/>
          </w:divBdr>
        </w:div>
        <w:div w:id="1898591397">
          <w:marLeft w:val="0"/>
          <w:marRight w:val="0"/>
          <w:marTop w:val="0"/>
          <w:marBottom w:val="0"/>
          <w:divBdr>
            <w:top w:val="none" w:sz="0" w:space="0" w:color="auto"/>
            <w:left w:val="none" w:sz="0" w:space="0" w:color="auto"/>
            <w:bottom w:val="none" w:sz="0" w:space="0" w:color="auto"/>
            <w:right w:val="none" w:sz="0" w:space="0" w:color="auto"/>
          </w:divBdr>
        </w:div>
      </w:divsChild>
    </w:div>
    <w:div w:id="1110390393">
      <w:bodyDiv w:val="1"/>
      <w:marLeft w:val="0"/>
      <w:marRight w:val="0"/>
      <w:marTop w:val="0"/>
      <w:marBottom w:val="0"/>
      <w:divBdr>
        <w:top w:val="none" w:sz="0" w:space="0" w:color="auto"/>
        <w:left w:val="none" w:sz="0" w:space="0" w:color="auto"/>
        <w:bottom w:val="none" w:sz="0" w:space="0" w:color="auto"/>
        <w:right w:val="none" w:sz="0" w:space="0" w:color="auto"/>
      </w:divBdr>
    </w:div>
    <w:div w:id="1127117681">
      <w:bodyDiv w:val="1"/>
      <w:marLeft w:val="0"/>
      <w:marRight w:val="0"/>
      <w:marTop w:val="0"/>
      <w:marBottom w:val="0"/>
      <w:divBdr>
        <w:top w:val="none" w:sz="0" w:space="0" w:color="auto"/>
        <w:left w:val="none" w:sz="0" w:space="0" w:color="auto"/>
        <w:bottom w:val="none" w:sz="0" w:space="0" w:color="auto"/>
        <w:right w:val="none" w:sz="0" w:space="0" w:color="auto"/>
      </w:divBdr>
    </w:div>
    <w:div w:id="1160118647">
      <w:bodyDiv w:val="1"/>
      <w:marLeft w:val="0"/>
      <w:marRight w:val="0"/>
      <w:marTop w:val="0"/>
      <w:marBottom w:val="0"/>
      <w:divBdr>
        <w:top w:val="none" w:sz="0" w:space="0" w:color="auto"/>
        <w:left w:val="none" w:sz="0" w:space="0" w:color="auto"/>
        <w:bottom w:val="none" w:sz="0" w:space="0" w:color="auto"/>
        <w:right w:val="none" w:sz="0" w:space="0" w:color="auto"/>
      </w:divBdr>
    </w:div>
    <w:div w:id="1256087004">
      <w:bodyDiv w:val="1"/>
      <w:marLeft w:val="0"/>
      <w:marRight w:val="0"/>
      <w:marTop w:val="0"/>
      <w:marBottom w:val="0"/>
      <w:divBdr>
        <w:top w:val="none" w:sz="0" w:space="0" w:color="auto"/>
        <w:left w:val="none" w:sz="0" w:space="0" w:color="auto"/>
        <w:bottom w:val="none" w:sz="0" w:space="0" w:color="auto"/>
        <w:right w:val="none" w:sz="0" w:space="0" w:color="auto"/>
      </w:divBdr>
      <w:divsChild>
        <w:div w:id="1276909645">
          <w:marLeft w:val="0"/>
          <w:marRight w:val="0"/>
          <w:marTop w:val="0"/>
          <w:marBottom w:val="0"/>
          <w:divBdr>
            <w:top w:val="none" w:sz="0" w:space="0" w:color="auto"/>
            <w:left w:val="none" w:sz="0" w:space="0" w:color="auto"/>
            <w:bottom w:val="none" w:sz="0" w:space="0" w:color="auto"/>
            <w:right w:val="none" w:sz="0" w:space="0" w:color="auto"/>
          </w:divBdr>
          <w:divsChild>
            <w:div w:id="55138256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52829">
      <w:bodyDiv w:val="1"/>
      <w:marLeft w:val="0"/>
      <w:marRight w:val="0"/>
      <w:marTop w:val="0"/>
      <w:marBottom w:val="0"/>
      <w:divBdr>
        <w:top w:val="none" w:sz="0" w:space="0" w:color="auto"/>
        <w:left w:val="none" w:sz="0" w:space="0" w:color="auto"/>
        <w:bottom w:val="none" w:sz="0" w:space="0" w:color="auto"/>
        <w:right w:val="none" w:sz="0" w:space="0" w:color="auto"/>
      </w:divBdr>
    </w:div>
    <w:div w:id="1304238870">
      <w:bodyDiv w:val="1"/>
      <w:marLeft w:val="0"/>
      <w:marRight w:val="0"/>
      <w:marTop w:val="0"/>
      <w:marBottom w:val="0"/>
      <w:divBdr>
        <w:top w:val="none" w:sz="0" w:space="0" w:color="auto"/>
        <w:left w:val="none" w:sz="0" w:space="0" w:color="auto"/>
        <w:bottom w:val="none" w:sz="0" w:space="0" w:color="auto"/>
        <w:right w:val="none" w:sz="0" w:space="0" w:color="auto"/>
      </w:divBdr>
    </w:div>
    <w:div w:id="1345210987">
      <w:bodyDiv w:val="1"/>
      <w:marLeft w:val="0"/>
      <w:marRight w:val="0"/>
      <w:marTop w:val="0"/>
      <w:marBottom w:val="0"/>
      <w:divBdr>
        <w:top w:val="none" w:sz="0" w:space="0" w:color="auto"/>
        <w:left w:val="none" w:sz="0" w:space="0" w:color="auto"/>
        <w:bottom w:val="none" w:sz="0" w:space="0" w:color="auto"/>
        <w:right w:val="none" w:sz="0" w:space="0" w:color="auto"/>
      </w:divBdr>
      <w:divsChild>
        <w:div w:id="273513507">
          <w:marLeft w:val="0"/>
          <w:marRight w:val="0"/>
          <w:marTop w:val="0"/>
          <w:marBottom w:val="0"/>
          <w:divBdr>
            <w:top w:val="none" w:sz="0" w:space="0" w:color="auto"/>
            <w:left w:val="none" w:sz="0" w:space="0" w:color="auto"/>
            <w:bottom w:val="none" w:sz="0" w:space="0" w:color="auto"/>
            <w:right w:val="none" w:sz="0" w:space="0" w:color="auto"/>
          </w:divBdr>
        </w:div>
        <w:div w:id="1962608639">
          <w:marLeft w:val="0"/>
          <w:marRight w:val="0"/>
          <w:marTop w:val="0"/>
          <w:marBottom w:val="0"/>
          <w:divBdr>
            <w:top w:val="none" w:sz="0" w:space="0" w:color="auto"/>
            <w:left w:val="none" w:sz="0" w:space="0" w:color="auto"/>
            <w:bottom w:val="none" w:sz="0" w:space="0" w:color="auto"/>
            <w:right w:val="none" w:sz="0" w:space="0" w:color="auto"/>
          </w:divBdr>
        </w:div>
        <w:div w:id="1405251320">
          <w:marLeft w:val="0"/>
          <w:marRight w:val="0"/>
          <w:marTop w:val="0"/>
          <w:marBottom w:val="0"/>
          <w:divBdr>
            <w:top w:val="none" w:sz="0" w:space="0" w:color="auto"/>
            <w:left w:val="none" w:sz="0" w:space="0" w:color="auto"/>
            <w:bottom w:val="none" w:sz="0" w:space="0" w:color="auto"/>
            <w:right w:val="none" w:sz="0" w:space="0" w:color="auto"/>
          </w:divBdr>
        </w:div>
      </w:divsChild>
    </w:div>
    <w:div w:id="1360738525">
      <w:bodyDiv w:val="1"/>
      <w:marLeft w:val="0"/>
      <w:marRight w:val="0"/>
      <w:marTop w:val="0"/>
      <w:marBottom w:val="0"/>
      <w:divBdr>
        <w:top w:val="none" w:sz="0" w:space="0" w:color="auto"/>
        <w:left w:val="none" w:sz="0" w:space="0" w:color="auto"/>
        <w:bottom w:val="none" w:sz="0" w:space="0" w:color="auto"/>
        <w:right w:val="none" w:sz="0" w:space="0" w:color="auto"/>
      </w:divBdr>
      <w:divsChild>
        <w:div w:id="1362586620">
          <w:marLeft w:val="0"/>
          <w:marRight w:val="0"/>
          <w:marTop w:val="0"/>
          <w:marBottom w:val="0"/>
          <w:divBdr>
            <w:top w:val="none" w:sz="0" w:space="0" w:color="auto"/>
            <w:left w:val="none" w:sz="0" w:space="0" w:color="auto"/>
            <w:bottom w:val="none" w:sz="0" w:space="0" w:color="auto"/>
            <w:right w:val="none" w:sz="0" w:space="0" w:color="auto"/>
          </w:divBdr>
          <w:divsChild>
            <w:div w:id="1282805623">
              <w:marLeft w:val="0"/>
              <w:marRight w:val="0"/>
              <w:marTop w:val="0"/>
              <w:marBottom w:val="0"/>
              <w:divBdr>
                <w:top w:val="none" w:sz="0" w:space="0" w:color="auto"/>
                <w:left w:val="none" w:sz="0" w:space="0" w:color="auto"/>
                <w:bottom w:val="none" w:sz="0" w:space="0" w:color="auto"/>
                <w:right w:val="none" w:sz="0" w:space="0" w:color="auto"/>
              </w:divBdr>
              <w:divsChild>
                <w:div w:id="17304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27788">
      <w:bodyDiv w:val="1"/>
      <w:marLeft w:val="0"/>
      <w:marRight w:val="0"/>
      <w:marTop w:val="0"/>
      <w:marBottom w:val="0"/>
      <w:divBdr>
        <w:top w:val="none" w:sz="0" w:space="0" w:color="auto"/>
        <w:left w:val="none" w:sz="0" w:space="0" w:color="auto"/>
        <w:bottom w:val="none" w:sz="0" w:space="0" w:color="auto"/>
        <w:right w:val="none" w:sz="0" w:space="0" w:color="auto"/>
      </w:divBdr>
      <w:divsChild>
        <w:div w:id="1813906865">
          <w:marLeft w:val="0"/>
          <w:marRight w:val="0"/>
          <w:marTop w:val="0"/>
          <w:marBottom w:val="0"/>
          <w:divBdr>
            <w:top w:val="none" w:sz="0" w:space="0" w:color="auto"/>
            <w:left w:val="none" w:sz="0" w:space="0" w:color="auto"/>
            <w:bottom w:val="none" w:sz="0" w:space="0" w:color="auto"/>
            <w:right w:val="none" w:sz="0" w:space="0" w:color="auto"/>
          </w:divBdr>
          <w:divsChild>
            <w:div w:id="936213212">
              <w:marLeft w:val="0"/>
              <w:marRight w:val="0"/>
              <w:marTop w:val="0"/>
              <w:marBottom w:val="0"/>
              <w:divBdr>
                <w:top w:val="none" w:sz="0" w:space="0" w:color="auto"/>
                <w:left w:val="none" w:sz="0" w:space="0" w:color="auto"/>
                <w:bottom w:val="none" w:sz="0" w:space="0" w:color="auto"/>
                <w:right w:val="none" w:sz="0" w:space="0" w:color="auto"/>
              </w:divBdr>
              <w:divsChild>
                <w:div w:id="4053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376493">
      <w:bodyDiv w:val="1"/>
      <w:marLeft w:val="0"/>
      <w:marRight w:val="0"/>
      <w:marTop w:val="0"/>
      <w:marBottom w:val="0"/>
      <w:divBdr>
        <w:top w:val="none" w:sz="0" w:space="0" w:color="auto"/>
        <w:left w:val="none" w:sz="0" w:space="0" w:color="auto"/>
        <w:bottom w:val="none" w:sz="0" w:space="0" w:color="auto"/>
        <w:right w:val="none" w:sz="0" w:space="0" w:color="auto"/>
      </w:divBdr>
    </w:div>
    <w:div w:id="1548177152">
      <w:bodyDiv w:val="1"/>
      <w:marLeft w:val="0"/>
      <w:marRight w:val="0"/>
      <w:marTop w:val="0"/>
      <w:marBottom w:val="0"/>
      <w:divBdr>
        <w:top w:val="none" w:sz="0" w:space="0" w:color="auto"/>
        <w:left w:val="none" w:sz="0" w:space="0" w:color="auto"/>
        <w:bottom w:val="none" w:sz="0" w:space="0" w:color="auto"/>
        <w:right w:val="none" w:sz="0" w:space="0" w:color="auto"/>
      </w:divBdr>
      <w:divsChild>
        <w:div w:id="2038384490">
          <w:marLeft w:val="0"/>
          <w:marRight w:val="0"/>
          <w:marTop w:val="0"/>
          <w:marBottom w:val="0"/>
          <w:divBdr>
            <w:top w:val="none" w:sz="0" w:space="0" w:color="auto"/>
            <w:left w:val="none" w:sz="0" w:space="0" w:color="auto"/>
            <w:bottom w:val="none" w:sz="0" w:space="0" w:color="auto"/>
            <w:right w:val="none" w:sz="0" w:space="0" w:color="auto"/>
          </w:divBdr>
          <w:divsChild>
            <w:div w:id="688796468">
              <w:marLeft w:val="0"/>
              <w:marRight w:val="0"/>
              <w:marTop w:val="0"/>
              <w:marBottom w:val="0"/>
              <w:divBdr>
                <w:top w:val="none" w:sz="0" w:space="0" w:color="auto"/>
                <w:left w:val="none" w:sz="0" w:space="0" w:color="auto"/>
                <w:bottom w:val="none" w:sz="0" w:space="0" w:color="auto"/>
                <w:right w:val="none" w:sz="0" w:space="0" w:color="auto"/>
              </w:divBdr>
              <w:divsChild>
                <w:div w:id="15778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56779">
      <w:bodyDiv w:val="1"/>
      <w:marLeft w:val="0"/>
      <w:marRight w:val="0"/>
      <w:marTop w:val="0"/>
      <w:marBottom w:val="0"/>
      <w:divBdr>
        <w:top w:val="none" w:sz="0" w:space="0" w:color="auto"/>
        <w:left w:val="none" w:sz="0" w:space="0" w:color="auto"/>
        <w:bottom w:val="none" w:sz="0" w:space="0" w:color="auto"/>
        <w:right w:val="none" w:sz="0" w:space="0" w:color="auto"/>
      </w:divBdr>
      <w:divsChild>
        <w:div w:id="105541345">
          <w:marLeft w:val="0"/>
          <w:marRight w:val="0"/>
          <w:marTop w:val="0"/>
          <w:marBottom w:val="0"/>
          <w:divBdr>
            <w:top w:val="none" w:sz="0" w:space="0" w:color="auto"/>
            <w:left w:val="none" w:sz="0" w:space="0" w:color="auto"/>
            <w:bottom w:val="none" w:sz="0" w:space="0" w:color="auto"/>
            <w:right w:val="none" w:sz="0" w:space="0" w:color="auto"/>
          </w:divBdr>
          <w:divsChild>
            <w:div w:id="1101293515">
              <w:marLeft w:val="0"/>
              <w:marRight w:val="0"/>
              <w:marTop w:val="0"/>
              <w:marBottom w:val="0"/>
              <w:divBdr>
                <w:top w:val="none" w:sz="0" w:space="0" w:color="auto"/>
                <w:left w:val="none" w:sz="0" w:space="0" w:color="auto"/>
                <w:bottom w:val="none" w:sz="0" w:space="0" w:color="auto"/>
                <w:right w:val="none" w:sz="0" w:space="0" w:color="auto"/>
              </w:divBdr>
              <w:divsChild>
                <w:div w:id="3772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1773">
      <w:bodyDiv w:val="1"/>
      <w:marLeft w:val="0"/>
      <w:marRight w:val="0"/>
      <w:marTop w:val="0"/>
      <w:marBottom w:val="0"/>
      <w:divBdr>
        <w:top w:val="none" w:sz="0" w:space="0" w:color="auto"/>
        <w:left w:val="none" w:sz="0" w:space="0" w:color="auto"/>
        <w:bottom w:val="none" w:sz="0" w:space="0" w:color="auto"/>
        <w:right w:val="none" w:sz="0" w:space="0" w:color="auto"/>
      </w:divBdr>
      <w:divsChild>
        <w:div w:id="898710705">
          <w:marLeft w:val="0"/>
          <w:marRight w:val="0"/>
          <w:marTop w:val="0"/>
          <w:marBottom w:val="0"/>
          <w:divBdr>
            <w:top w:val="none" w:sz="0" w:space="0" w:color="auto"/>
            <w:left w:val="none" w:sz="0" w:space="0" w:color="auto"/>
            <w:bottom w:val="none" w:sz="0" w:space="0" w:color="auto"/>
            <w:right w:val="none" w:sz="0" w:space="0" w:color="auto"/>
          </w:divBdr>
          <w:divsChild>
            <w:div w:id="712576342">
              <w:marLeft w:val="0"/>
              <w:marRight w:val="0"/>
              <w:marTop w:val="0"/>
              <w:marBottom w:val="0"/>
              <w:divBdr>
                <w:top w:val="none" w:sz="0" w:space="0" w:color="auto"/>
                <w:left w:val="none" w:sz="0" w:space="0" w:color="auto"/>
                <w:bottom w:val="none" w:sz="0" w:space="0" w:color="auto"/>
                <w:right w:val="none" w:sz="0" w:space="0" w:color="auto"/>
              </w:divBdr>
              <w:divsChild>
                <w:div w:id="8217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9397">
      <w:bodyDiv w:val="1"/>
      <w:marLeft w:val="0"/>
      <w:marRight w:val="0"/>
      <w:marTop w:val="0"/>
      <w:marBottom w:val="0"/>
      <w:divBdr>
        <w:top w:val="none" w:sz="0" w:space="0" w:color="auto"/>
        <w:left w:val="none" w:sz="0" w:space="0" w:color="auto"/>
        <w:bottom w:val="none" w:sz="0" w:space="0" w:color="auto"/>
        <w:right w:val="none" w:sz="0" w:space="0" w:color="auto"/>
      </w:divBdr>
      <w:divsChild>
        <w:div w:id="1593658105">
          <w:marLeft w:val="0"/>
          <w:marRight w:val="0"/>
          <w:marTop w:val="0"/>
          <w:marBottom w:val="0"/>
          <w:divBdr>
            <w:top w:val="none" w:sz="0" w:space="0" w:color="auto"/>
            <w:left w:val="none" w:sz="0" w:space="0" w:color="auto"/>
            <w:bottom w:val="none" w:sz="0" w:space="0" w:color="auto"/>
            <w:right w:val="none" w:sz="0" w:space="0" w:color="auto"/>
          </w:divBdr>
          <w:divsChild>
            <w:div w:id="2066831941">
              <w:marLeft w:val="0"/>
              <w:marRight w:val="0"/>
              <w:marTop w:val="0"/>
              <w:marBottom w:val="0"/>
              <w:divBdr>
                <w:top w:val="none" w:sz="0" w:space="0" w:color="auto"/>
                <w:left w:val="none" w:sz="0" w:space="0" w:color="auto"/>
                <w:bottom w:val="none" w:sz="0" w:space="0" w:color="auto"/>
                <w:right w:val="none" w:sz="0" w:space="0" w:color="auto"/>
              </w:divBdr>
            </w:div>
            <w:div w:id="100578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11342">
      <w:bodyDiv w:val="1"/>
      <w:marLeft w:val="0"/>
      <w:marRight w:val="0"/>
      <w:marTop w:val="0"/>
      <w:marBottom w:val="0"/>
      <w:divBdr>
        <w:top w:val="none" w:sz="0" w:space="0" w:color="auto"/>
        <w:left w:val="none" w:sz="0" w:space="0" w:color="auto"/>
        <w:bottom w:val="none" w:sz="0" w:space="0" w:color="auto"/>
        <w:right w:val="none" w:sz="0" w:space="0" w:color="auto"/>
      </w:divBdr>
    </w:div>
    <w:div w:id="1667250303">
      <w:bodyDiv w:val="1"/>
      <w:marLeft w:val="0"/>
      <w:marRight w:val="0"/>
      <w:marTop w:val="0"/>
      <w:marBottom w:val="0"/>
      <w:divBdr>
        <w:top w:val="none" w:sz="0" w:space="0" w:color="auto"/>
        <w:left w:val="none" w:sz="0" w:space="0" w:color="auto"/>
        <w:bottom w:val="none" w:sz="0" w:space="0" w:color="auto"/>
        <w:right w:val="none" w:sz="0" w:space="0" w:color="auto"/>
      </w:divBdr>
      <w:divsChild>
        <w:div w:id="2318185">
          <w:marLeft w:val="0"/>
          <w:marRight w:val="0"/>
          <w:marTop w:val="0"/>
          <w:marBottom w:val="0"/>
          <w:divBdr>
            <w:top w:val="none" w:sz="0" w:space="0" w:color="auto"/>
            <w:left w:val="none" w:sz="0" w:space="0" w:color="auto"/>
            <w:bottom w:val="none" w:sz="0" w:space="0" w:color="auto"/>
            <w:right w:val="none" w:sz="0" w:space="0" w:color="auto"/>
          </w:divBdr>
          <w:divsChild>
            <w:div w:id="1995525385">
              <w:marLeft w:val="0"/>
              <w:marRight w:val="0"/>
              <w:marTop w:val="0"/>
              <w:marBottom w:val="0"/>
              <w:divBdr>
                <w:top w:val="none" w:sz="0" w:space="0" w:color="auto"/>
                <w:left w:val="none" w:sz="0" w:space="0" w:color="auto"/>
                <w:bottom w:val="none" w:sz="0" w:space="0" w:color="auto"/>
                <w:right w:val="none" w:sz="0" w:space="0" w:color="auto"/>
              </w:divBdr>
              <w:divsChild>
                <w:div w:id="21170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5216">
      <w:bodyDiv w:val="1"/>
      <w:marLeft w:val="0"/>
      <w:marRight w:val="0"/>
      <w:marTop w:val="0"/>
      <w:marBottom w:val="0"/>
      <w:divBdr>
        <w:top w:val="none" w:sz="0" w:space="0" w:color="auto"/>
        <w:left w:val="none" w:sz="0" w:space="0" w:color="auto"/>
        <w:bottom w:val="none" w:sz="0" w:space="0" w:color="auto"/>
        <w:right w:val="none" w:sz="0" w:space="0" w:color="auto"/>
      </w:divBdr>
    </w:div>
    <w:div w:id="1789935327">
      <w:bodyDiv w:val="1"/>
      <w:marLeft w:val="0"/>
      <w:marRight w:val="0"/>
      <w:marTop w:val="0"/>
      <w:marBottom w:val="0"/>
      <w:divBdr>
        <w:top w:val="none" w:sz="0" w:space="0" w:color="auto"/>
        <w:left w:val="none" w:sz="0" w:space="0" w:color="auto"/>
        <w:bottom w:val="none" w:sz="0" w:space="0" w:color="auto"/>
        <w:right w:val="none" w:sz="0" w:space="0" w:color="auto"/>
      </w:divBdr>
    </w:div>
    <w:div w:id="1790007697">
      <w:bodyDiv w:val="1"/>
      <w:marLeft w:val="0"/>
      <w:marRight w:val="0"/>
      <w:marTop w:val="0"/>
      <w:marBottom w:val="0"/>
      <w:divBdr>
        <w:top w:val="none" w:sz="0" w:space="0" w:color="auto"/>
        <w:left w:val="none" w:sz="0" w:space="0" w:color="auto"/>
        <w:bottom w:val="none" w:sz="0" w:space="0" w:color="auto"/>
        <w:right w:val="none" w:sz="0" w:space="0" w:color="auto"/>
      </w:divBdr>
      <w:divsChild>
        <w:div w:id="1063722142">
          <w:marLeft w:val="0"/>
          <w:marRight w:val="0"/>
          <w:marTop w:val="0"/>
          <w:marBottom w:val="0"/>
          <w:divBdr>
            <w:top w:val="none" w:sz="0" w:space="0" w:color="auto"/>
            <w:left w:val="none" w:sz="0" w:space="0" w:color="auto"/>
            <w:bottom w:val="none" w:sz="0" w:space="0" w:color="auto"/>
            <w:right w:val="none" w:sz="0" w:space="0" w:color="auto"/>
          </w:divBdr>
        </w:div>
      </w:divsChild>
    </w:div>
    <w:div w:id="1941598127">
      <w:bodyDiv w:val="1"/>
      <w:marLeft w:val="0"/>
      <w:marRight w:val="0"/>
      <w:marTop w:val="0"/>
      <w:marBottom w:val="0"/>
      <w:divBdr>
        <w:top w:val="none" w:sz="0" w:space="0" w:color="auto"/>
        <w:left w:val="none" w:sz="0" w:space="0" w:color="auto"/>
        <w:bottom w:val="none" w:sz="0" w:space="0" w:color="auto"/>
        <w:right w:val="none" w:sz="0" w:space="0" w:color="auto"/>
      </w:divBdr>
    </w:div>
    <w:div w:id="1962036131">
      <w:bodyDiv w:val="1"/>
      <w:marLeft w:val="0"/>
      <w:marRight w:val="0"/>
      <w:marTop w:val="0"/>
      <w:marBottom w:val="0"/>
      <w:divBdr>
        <w:top w:val="none" w:sz="0" w:space="0" w:color="auto"/>
        <w:left w:val="none" w:sz="0" w:space="0" w:color="auto"/>
        <w:bottom w:val="none" w:sz="0" w:space="0" w:color="auto"/>
        <w:right w:val="none" w:sz="0" w:space="0" w:color="auto"/>
      </w:divBdr>
      <w:divsChild>
        <w:div w:id="1394812840">
          <w:marLeft w:val="0"/>
          <w:marRight w:val="0"/>
          <w:marTop w:val="0"/>
          <w:marBottom w:val="0"/>
          <w:divBdr>
            <w:top w:val="none" w:sz="0" w:space="0" w:color="auto"/>
            <w:left w:val="none" w:sz="0" w:space="0" w:color="auto"/>
            <w:bottom w:val="none" w:sz="0" w:space="0" w:color="auto"/>
            <w:right w:val="none" w:sz="0" w:space="0" w:color="auto"/>
          </w:divBdr>
          <w:divsChild>
            <w:div w:id="859589646">
              <w:marLeft w:val="0"/>
              <w:marRight w:val="0"/>
              <w:marTop w:val="0"/>
              <w:marBottom w:val="0"/>
              <w:divBdr>
                <w:top w:val="none" w:sz="0" w:space="0" w:color="auto"/>
                <w:left w:val="none" w:sz="0" w:space="0" w:color="auto"/>
                <w:bottom w:val="none" w:sz="0" w:space="0" w:color="auto"/>
                <w:right w:val="none" w:sz="0" w:space="0" w:color="auto"/>
              </w:divBdr>
              <w:divsChild>
                <w:div w:id="1890144253">
                  <w:marLeft w:val="0"/>
                  <w:marRight w:val="0"/>
                  <w:marTop w:val="0"/>
                  <w:marBottom w:val="0"/>
                  <w:divBdr>
                    <w:top w:val="none" w:sz="0" w:space="0" w:color="auto"/>
                    <w:left w:val="none" w:sz="0" w:space="0" w:color="auto"/>
                    <w:bottom w:val="none" w:sz="0" w:space="0" w:color="auto"/>
                    <w:right w:val="none" w:sz="0" w:space="0" w:color="auto"/>
                  </w:divBdr>
                  <w:divsChild>
                    <w:div w:id="1470591700">
                      <w:marLeft w:val="0"/>
                      <w:marRight w:val="0"/>
                      <w:marTop w:val="0"/>
                      <w:marBottom w:val="0"/>
                      <w:divBdr>
                        <w:top w:val="none" w:sz="0" w:space="0" w:color="auto"/>
                        <w:left w:val="none" w:sz="0" w:space="0" w:color="auto"/>
                        <w:bottom w:val="none" w:sz="0" w:space="0" w:color="auto"/>
                        <w:right w:val="none" w:sz="0" w:space="0" w:color="auto"/>
                      </w:divBdr>
                    </w:div>
                    <w:div w:id="1589533068">
                      <w:marLeft w:val="0"/>
                      <w:marRight w:val="0"/>
                      <w:marTop w:val="0"/>
                      <w:marBottom w:val="0"/>
                      <w:divBdr>
                        <w:top w:val="none" w:sz="0" w:space="0" w:color="auto"/>
                        <w:left w:val="none" w:sz="0" w:space="0" w:color="auto"/>
                        <w:bottom w:val="none" w:sz="0" w:space="0" w:color="auto"/>
                        <w:right w:val="none" w:sz="0" w:space="0" w:color="auto"/>
                      </w:divBdr>
                    </w:div>
                    <w:div w:id="19570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771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theglobeandmail.com/news/politics/adam-radwanski/a-timeline-on-the-g20-five-metre-rule-that-didnt-exist/article1626001/" TargetMode="External"/><Relationship Id="rId2" Type="http://schemas.openxmlformats.org/officeDocument/2006/relationships/hyperlink" Target="https://ssrn.com/abstract=2968128" TargetMode="External"/><Relationship Id="rId1" Type="http://schemas.openxmlformats.org/officeDocument/2006/relationships/hyperlink" Target="https://www.ncbi.nlm.nih.gov/pmc/articles/PMC4949192/" TargetMode="External"/><Relationship Id="rId6" Type="http://schemas.openxmlformats.org/officeDocument/2006/relationships/hyperlink" Target="https://pm.gc.ca/en/cabinet/honourable-bill-blair" TargetMode="External"/><Relationship Id="rId5" Type="http://schemas.openxmlformats.org/officeDocument/2006/relationships/hyperlink" Target="http://www.thestar.com/news/gta/g20/2010/12/06/toronto_journalist_witnessed_police_brutality_at_toronto_g20.html" TargetMode="External"/><Relationship Id="rId4" Type="http://schemas.openxmlformats.org/officeDocument/2006/relationships/hyperlink" Target="https://youtu.be/E7tE-BArg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Gra11</b:Tag>
    <b:SourceType>Book</b:SourceType>
    <b:Guid>{30F68414-D7A4-DF4D-9130-8E793C5841A9}</b:Guid>
    <b:Author>
      <b:Author>
        <b:NameList>
          <b:Person>
            <b:Last>Graeber</b:Last>
            <b:First>David</b:First>
          </b:Person>
        </b:NameList>
      </b:Author>
    </b:Author>
    <b:Title>Debt: the first 5000 years.</b:Title>
    <b:City>New York</b:City>
    <b:Publisher>Melville House</b:Publisher>
    <b:Year>2011</b:Year>
    <b:RefOrder>1</b:RefOrder>
  </b:Source>
</b:Sources>
</file>

<file path=customXml/itemProps1.xml><?xml version="1.0" encoding="utf-8"?>
<ds:datastoreItem xmlns:ds="http://schemas.openxmlformats.org/officeDocument/2006/customXml" ds:itemID="{82B455B6-80B4-344F-96A1-AFE4C9AA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27</Pages>
  <Words>13141</Words>
  <Characters>74905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89</cp:revision>
  <dcterms:created xsi:type="dcterms:W3CDTF">2020-02-01T20:23:00Z</dcterms:created>
  <dcterms:modified xsi:type="dcterms:W3CDTF">2021-09-05T19:19:00Z</dcterms:modified>
</cp:coreProperties>
</file>