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F22F8" w14:textId="77777777" w:rsidR="00015562" w:rsidRPr="00493334" w:rsidRDefault="00015562" w:rsidP="00493334">
      <w:pPr>
        <w:spacing w:line="276" w:lineRule="auto"/>
        <w:ind w:firstLine="720"/>
        <w:jc w:val="center"/>
        <w:rPr>
          <w:rFonts w:ascii="Garamond" w:hAnsi="Garamond"/>
          <w:b/>
          <w:bCs/>
        </w:rPr>
      </w:pPr>
    </w:p>
    <w:p w14:paraId="0BCD76E3" w14:textId="77777777" w:rsidR="00015562" w:rsidRPr="00493334" w:rsidRDefault="00015562" w:rsidP="00493334">
      <w:pPr>
        <w:spacing w:line="276" w:lineRule="auto"/>
        <w:jc w:val="center"/>
        <w:rPr>
          <w:rFonts w:ascii="Garamond" w:hAnsi="Garamond"/>
          <w:b/>
          <w:bCs/>
        </w:rPr>
      </w:pPr>
    </w:p>
    <w:p w14:paraId="6456A06E" w14:textId="77777777" w:rsidR="00015562" w:rsidRPr="00493334" w:rsidRDefault="00015562" w:rsidP="00493334">
      <w:pPr>
        <w:spacing w:line="276" w:lineRule="auto"/>
        <w:jc w:val="center"/>
        <w:rPr>
          <w:rFonts w:ascii="Garamond" w:hAnsi="Garamond"/>
          <w:b/>
          <w:bCs/>
        </w:rPr>
      </w:pPr>
    </w:p>
    <w:p w14:paraId="6A557E1D" w14:textId="77777777" w:rsidR="00015562" w:rsidRPr="00493334" w:rsidRDefault="00015562" w:rsidP="00493334">
      <w:pPr>
        <w:spacing w:line="276" w:lineRule="auto"/>
        <w:jc w:val="center"/>
        <w:rPr>
          <w:rFonts w:ascii="Garamond" w:hAnsi="Garamond"/>
          <w:b/>
          <w:bCs/>
        </w:rPr>
      </w:pPr>
    </w:p>
    <w:p w14:paraId="74023C76" w14:textId="01EEC24B" w:rsidR="0024166A" w:rsidRPr="00493334" w:rsidRDefault="0024166A" w:rsidP="00493334">
      <w:pPr>
        <w:spacing w:line="276" w:lineRule="auto"/>
        <w:jc w:val="center"/>
        <w:rPr>
          <w:rFonts w:ascii="Garamond" w:hAnsi="Garamond"/>
          <w:b/>
          <w:bCs/>
          <w:sz w:val="28"/>
          <w:szCs w:val="28"/>
        </w:rPr>
      </w:pPr>
      <w:r w:rsidRPr="00493334">
        <w:rPr>
          <w:rFonts w:ascii="Garamond" w:hAnsi="Garamond"/>
          <w:b/>
          <w:bCs/>
          <w:sz w:val="28"/>
          <w:szCs w:val="28"/>
        </w:rPr>
        <w:t>Decline or Renewal:</w:t>
      </w:r>
    </w:p>
    <w:p w14:paraId="20614DB2" w14:textId="1175EC98" w:rsidR="00015562" w:rsidRPr="00493334" w:rsidRDefault="00015562" w:rsidP="00493334">
      <w:pPr>
        <w:spacing w:line="276" w:lineRule="auto"/>
        <w:jc w:val="center"/>
        <w:rPr>
          <w:rFonts w:ascii="Garamond" w:hAnsi="Garamond"/>
          <w:b/>
          <w:bCs/>
          <w:sz w:val="28"/>
          <w:szCs w:val="28"/>
        </w:rPr>
      </w:pPr>
      <w:r w:rsidRPr="00493334">
        <w:rPr>
          <w:rFonts w:ascii="Garamond" w:hAnsi="Garamond"/>
          <w:b/>
          <w:bCs/>
          <w:sz w:val="28"/>
          <w:szCs w:val="28"/>
        </w:rPr>
        <w:t xml:space="preserve">Husserl’s Confrontation with Spengler and the Possibility of </w:t>
      </w:r>
      <w:r w:rsidR="0024166A" w:rsidRPr="00493334">
        <w:rPr>
          <w:rFonts w:ascii="Garamond" w:hAnsi="Garamond"/>
          <w:b/>
          <w:bCs/>
          <w:sz w:val="28"/>
          <w:szCs w:val="28"/>
        </w:rPr>
        <w:t>Soteriological Teleology</w:t>
      </w:r>
    </w:p>
    <w:p w14:paraId="15830C99" w14:textId="77777777" w:rsidR="003D3C02" w:rsidRPr="00493334" w:rsidRDefault="003D3C02" w:rsidP="00493334">
      <w:pPr>
        <w:spacing w:line="276" w:lineRule="auto"/>
        <w:rPr>
          <w:rFonts w:ascii="Garamond" w:hAnsi="Garamond"/>
        </w:rPr>
      </w:pPr>
    </w:p>
    <w:p w14:paraId="7C0C70A8" w14:textId="77777777" w:rsidR="00015562" w:rsidRPr="00493334" w:rsidRDefault="00015562" w:rsidP="00493334">
      <w:pPr>
        <w:spacing w:line="276" w:lineRule="auto"/>
        <w:rPr>
          <w:rFonts w:ascii="Garamond" w:hAnsi="Garamond"/>
        </w:rPr>
      </w:pPr>
    </w:p>
    <w:p w14:paraId="4707B91E" w14:textId="77777777" w:rsidR="00015562" w:rsidRPr="00493334" w:rsidRDefault="00015562" w:rsidP="00493334">
      <w:pPr>
        <w:spacing w:line="276" w:lineRule="auto"/>
        <w:rPr>
          <w:rFonts w:ascii="Garamond" w:hAnsi="Garamond"/>
        </w:rPr>
      </w:pPr>
    </w:p>
    <w:p w14:paraId="0070DCC3" w14:textId="77777777" w:rsidR="00015562" w:rsidRPr="00493334" w:rsidRDefault="00015562" w:rsidP="00493334">
      <w:pPr>
        <w:spacing w:line="276" w:lineRule="auto"/>
        <w:rPr>
          <w:rFonts w:ascii="Garamond" w:hAnsi="Garamond"/>
        </w:rPr>
      </w:pPr>
    </w:p>
    <w:p w14:paraId="01EB8706" w14:textId="77777777" w:rsidR="00015562" w:rsidRPr="00493334" w:rsidRDefault="00015562" w:rsidP="00745113">
      <w:pPr>
        <w:spacing w:line="276" w:lineRule="auto"/>
        <w:jc w:val="center"/>
        <w:rPr>
          <w:rFonts w:ascii="Garamond" w:hAnsi="Garamond"/>
        </w:rPr>
      </w:pPr>
    </w:p>
    <w:p w14:paraId="12C4B2DE" w14:textId="2AEB5F9E" w:rsidR="00015562" w:rsidRPr="00493334" w:rsidRDefault="00745113" w:rsidP="00745113">
      <w:pPr>
        <w:spacing w:line="276" w:lineRule="auto"/>
        <w:jc w:val="center"/>
        <w:rPr>
          <w:rFonts w:ascii="Garamond" w:hAnsi="Garamond"/>
        </w:rPr>
      </w:pPr>
      <w:r>
        <w:rPr>
          <w:rFonts w:ascii="Garamond" w:hAnsi="Garamond"/>
        </w:rPr>
        <w:t>By: Benjamin Ogden</w:t>
      </w:r>
    </w:p>
    <w:p w14:paraId="0F041C16" w14:textId="77777777" w:rsidR="00015562" w:rsidRPr="00493334" w:rsidRDefault="00015562" w:rsidP="00493334">
      <w:pPr>
        <w:spacing w:line="276" w:lineRule="auto"/>
        <w:rPr>
          <w:rFonts w:ascii="Garamond" w:hAnsi="Garamond"/>
        </w:rPr>
      </w:pPr>
    </w:p>
    <w:p w14:paraId="0677CEBA" w14:textId="77777777" w:rsidR="00015562" w:rsidRPr="00493334" w:rsidRDefault="00015562" w:rsidP="00493334">
      <w:pPr>
        <w:spacing w:line="276" w:lineRule="auto"/>
        <w:rPr>
          <w:rFonts w:ascii="Garamond" w:hAnsi="Garamond"/>
        </w:rPr>
      </w:pPr>
    </w:p>
    <w:p w14:paraId="37EFE118" w14:textId="77777777" w:rsidR="00015562" w:rsidRPr="00493334" w:rsidRDefault="00015562" w:rsidP="00493334">
      <w:pPr>
        <w:spacing w:line="276" w:lineRule="auto"/>
        <w:rPr>
          <w:rFonts w:ascii="Garamond" w:hAnsi="Garamond"/>
        </w:rPr>
      </w:pPr>
    </w:p>
    <w:p w14:paraId="40E75BE0" w14:textId="77777777" w:rsidR="00015562" w:rsidRDefault="00015562" w:rsidP="00493334">
      <w:pPr>
        <w:spacing w:line="276" w:lineRule="auto"/>
        <w:rPr>
          <w:rFonts w:ascii="Garamond" w:hAnsi="Garamond"/>
        </w:rPr>
      </w:pPr>
    </w:p>
    <w:p w14:paraId="7AEDA986" w14:textId="77777777" w:rsidR="00493334" w:rsidRDefault="00493334" w:rsidP="00493334">
      <w:pPr>
        <w:spacing w:line="276" w:lineRule="auto"/>
        <w:rPr>
          <w:rFonts w:ascii="Garamond" w:hAnsi="Garamond"/>
        </w:rPr>
      </w:pPr>
    </w:p>
    <w:p w14:paraId="6F954FC3" w14:textId="77777777" w:rsidR="00493334" w:rsidRPr="00493334" w:rsidRDefault="00493334" w:rsidP="00493334">
      <w:pPr>
        <w:spacing w:line="276" w:lineRule="auto"/>
        <w:rPr>
          <w:rFonts w:ascii="Garamond" w:hAnsi="Garamond"/>
        </w:rPr>
      </w:pPr>
    </w:p>
    <w:p w14:paraId="0921F0B7" w14:textId="77777777" w:rsidR="00015562" w:rsidRPr="00493334" w:rsidRDefault="00015562" w:rsidP="00493334">
      <w:pPr>
        <w:spacing w:line="276" w:lineRule="auto"/>
        <w:rPr>
          <w:rFonts w:ascii="Garamond" w:hAnsi="Garamond"/>
        </w:rPr>
      </w:pPr>
    </w:p>
    <w:p w14:paraId="36B8A13D" w14:textId="77777777" w:rsidR="00015562" w:rsidRPr="00493334" w:rsidRDefault="00015562" w:rsidP="00493334">
      <w:pPr>
        <w:spacing w:line="276" w:lineRule="auto"/>
        <w:rPr>
          <w:rFonts w:ascii="Garamond" w:hAnsi="Garamond"/>
        </w:rPr>
      </w:pPr>
    </w:p>
    <w:p w14:paraId="18529A8A" w14:textId="77777777" w:rsidR="00015562" w:rsidRPr="00493334" w:rsidRDefault="00015562" w:rsidP="00493334">
      <w:pPr>
        <w:spacing w:line="276" w:lineRule="auto"/>
        <w:rPr>
          <w:rFonts w:ascii="Garamond" w:hAnsi="Garamond"/>
        </w:rPr>
      </w:pPr>
    </w:p>
    <w:p w14:paraId="67EEFA0B" w14:textId="77777777" w:rsidR="00015562" w:rsidRPr="00493334" w:rsidRDefault="00015562" w:rsidP="00493334">
      <w:pPr>
        <w:spacing w:line="276" w:lineRule="auto"/>
        <w:rPr>
          <w:rFonts w:ascii="Garamond" w:hAnsi="Garamond"/>
        </w:rPr>
      </w:pPr>
    </w:p>
    <w:p w14:paraId="2B338EB8" w14:textId="77777777" w:rsidR="00015562" w:rsidRPr="00493334" w:rsidRDefault="00015562" w:rsidP="00493334">
      <w:pPr>
        <w:spacing w:line="276" w:lineRule="auto"/>
        <w:rPr>
          <w:rFonts w:ascii="Garamond" w:hAnsi="Garamond"/>
        </w:rPr>
      </w:pPr>
    </w:p>
    <w:p w14:paraId="62D62BC9" w14:textId="77777777" w:rsidR="00015562" w:rsidRPr="00493334" w:rsidRDefault="00015562" w:rsidP="00493334">
      <w:pPr>
        <w:spacing w:line="276" w:lineRule="auto"/>
        <w:rPr>
          <w:rFonts w:ascii="Garamond" w:hAnsi="Garamond"/>
        </w:rPr>
      </w:pPr>
    </w:p>
    <w:p w14:paraId="2780A498" w14:textId="77777777" w:rsidR="00015562" w:rsidRPr="00493334" w:rsidRDefault="00015562" w:rsidP="00493334">
      <w:pPr>
        <w:spacing w:line="276" w:lineRule="auto"/>
        <w:rPr>
          <w:rFonts w:ascii="Garamond" w:hAnsi="Garamond"/>
        </w:rPr>
      </w:pPr>
    </w:p>
    <w:p w14:paraId="19EA12E6" w14:textId="77777777" w:rsidR="00015562" w:rsidRPr="00493334" w:rsidRDefault="00015562" w:rsidP="00493334">
      <w:pPr>
        <w:spacing w:line="276" w:lineRule="auto"/>
        <w:rPr>
          <w:rFonts w:ascii="Garamond" w:hAnsi="Garamond"/>
        </w:rPr>
      </w:pPr>
    </w:p>
    <w:p w14:paraId="15481BAE" w14:textId="77777777" w:rsidR="00015562" w:rsidRPr="00493334" w:rsidRDefault="00015562" w:rsidP="00493334">
      <w:pPr>
        <w:spacing w:line="276" w:lineRule="auto"/>
        <w:rPr>
          <w:rFonts w:ascii="Garamond" w:hAnsi="Garamond"/>
        </w:rPr>
      </w:pPr>
    </w:p>
    <w:p w14:paraId="513B8674" w14:textId="77777777" w:rsidR="00015562" w:rsidRPr="00493334" w:rsidRDefault="00015562" w:rsidP="00493334">
      <w:pPr>
        <w:spacing w:line="276" w:lineRule="auto"/>
        <w:rPr>
          <w:rFonts w:ascii="Garamond" w:hAnsi="Garamond"/>
        </w:rPr>
      </w:pPr>
    </w:p>
    <w:p w14:paraId="24F91B1A" w14:textId="77777777" w:rsidR="00015562" w:rsidRPr="00493334" w:rsidRDefault="00015562" w:rsidP="00493334">
      <w:pPr>
        <w:spacing w:line="276" w:lineRule="auto"/>
        <w:rPr>
          <w:rFonts w:ascii="Garamond" w:hAnsi="Garamond"/>
        </w:rPr>
      </w:pPr>
    </w:p>
    <w:p w14:paraId="7C525A25" w14:textId="77777777" w:rsidR="00015562" w:rsidRPr="00493334" w:rsidRDefault="00015562" w:rsidP="00493334">
      <w:pPr>
        <w:spacing w:line="276" w:lineRule="auto"/>
        <w:rPr>
          <w:rFonts w:ascii="Garamond" w:hAnsi="Garamond"/>
        </w:rPr>
      </w:pPr>
    </w:p>
    <w:p w14:paraId="3F5143B1" w14:textId="77777777" w:rsidR="00015562" w:rsidRPr="00493334" w:rsidRDefault="00015562" w:rsidP="00493334">
      <w:pPr>
        <w:spacing w:line="276" w:lineRule="auto"/>
        <w:rPr>
          <w:rFonts w:ascii="Garamond" w:hAnsi="Garamond"/>
        </w:rPr>
      </w:pPr>
    </w:p>
    <w:p w14:paraId="45B665C9" w14:textId="77777777" w:rsidR="0024166A" w:rsidRPr="00493334" w:rsidRDefault="0024166A" w:rsidP="00493334">
      <w:pPr>
        <w:spacing w:line="276" w:lineRule="auto"/>
        <w:rPr>
          <w:rFonts w:ascii="Garamond" w:hAnsi="Garamond"/>
        </w:rPr>
      </w:pPr>
    </w:p>
    <w:p w14:paraId="19439B66" w14:textId="77777777" w:rsidR="0024166A" w:rsidRPr="00493334" w:rsidRDefault="0024166A" w:rsidP="00493334">
      <w:pPr>
        <w:spacing w:line="276" w:lineRule="auto"/>
        <w:rPr>
          <w:rFonts w:ascii="Garamond" w:hAnsi="Garamond"/>
        </w:rPr>
      </w:pPr>
    </w:p>
    <w:p w14:paraId="00C84A11" w14:textId="77777777" w:rsidR="00015562" w:rsidRPr="00493334" w:rsidRDefault="00015562" w:rsidP="00493334">
      <w:pPr>
        <w:spacing w:line="276" w:lineRule="auto"/>
        <w:rPr>
          <w:rFonts w:ascii="Garamond" w:hAnsi="Garamond"/>
        </w:rPr>
      </w:pPr>
    </w:p>
    <w:p w14:paraId="65FC092F" w14:textId="77777777" w:rsidR="00015562" w:rsidRPr="00493334" w:rsidRDefault="00015562" w:rsidP="00493334">
      <w:pPr>
        <w:spacing w:line="276" w:lineRule="auto"/>
        <w:rPr>
          <w:rFonts w:ascii="Garamond" w:hAnsi="Garamond"/>
        </w:rPr>
      </w:pPr>
    </w:p>
    <w:p w14:paraId="42E20B1C" w14:textId="77777777" w:rsidR="00015562" w:rsidRPr="00493334" w:rsidRDefault="00015562" w:rsidP="00493334">
      <w:pPr>
        <w:spacing w:line="276" w:lineRule="auto"/>
        <w:rPr>
          <w:rFonts w:ascii="Garamond" w:hAnsi="Garamond"/>
        </w:rPr>
      </w:pPr>
    </w:p>
    <w:p w14:paraId="6F4CB3DD" w14:textId="77777777" w:rsidR="004C0207" w:rsidRPr="00493334" w:rsidRDefault="004C0207" w:rsidP="00493334">
      <w:pPr>
        <w:spacing w:line="276" w:lineRule="auto"/>
        <w:rPr>
          <w:rFonts w:ascii="Garamond" w:hAnsi="Garamond"/>
        </w:rPr>
      </w:pPr>
    </w:p>
    <w:p w14:paraId="604A2578" w14:textId="77777777" w:rsidR="004C0207" w:rsidRPr="00493334" w:rsidRDefault="004C0207" w:rsidP="00493334">
      <w:pPr>
        <w:spacing w:line="276" w:lineRule="auto"/>
        <w:rPr>
          <w:rFonts w:ascii="Garamond" w:hAnsi="Garamond"/>
        </w:rPr>
      </w:pPr>
    </w:p>
    <w:p w14:paraId="105B9DE4" w14:textId="77777777" w:rsidR="00015562" w:rsidRPr="00493334" w:rsidRDefault="00015562" w:rsidP="00493334">
      <w:pPr>
        <w:spacing w:line="276" w:lineRule="auto"/>
        <w:rPr>
          <w:rFonts w:ascii="Garamond" w:hAnsi="Garamond"/>
        </w:rPr>
      </w:pPr>
    </w:p>
    <w:p w14:paraId="0C1E81B4" w14:textId="77777777" w:rsidR="00015562" w:rsidRPr="00493334" w:rsidRDefault="00015562" w:rsidP="00493334">
      <w:pPr>
        <w:spacing w:line="276" w:lineRule="auto"/>
        <w:rPr>
          <w:rFonts w:ascii="Garamond" w:hAnsi="Garamond"/>
        </w:rPr>
      </w:pPr>
    </w:p>
    <w:p w14:paraId="5500CA05" w14:textId="5FB1D9F5" w:rsidR="00CD43E9" w:rsidRPr="00493334" w:rsidRDefault="00CD43E9" w:rsidP="00493334">
      <w:pPr>
        <w:spacing w:line="276" w:lineRule="auto"/>
        <w:rPr>
          <w:rFonts w:ascii="Garamond" w:hAnsi="Garamond"/>
        </w:rPr>
      </w:pPr>
      <w:r w:rsidRPr="00493334">
        <w:rPr>
          <w:rFonts w:ascii="Garamond" w:hAnsi="Garamond"/>
        </w:rPr>
        <w:lastRenderedPageBreak/>
        <w:t>Key Words: teleology, soteriology, destiny</w:t>
      </w:r>
      <w:r w:rsidRPr="00493334">
        <w:rPr>
          <w:rFonts w:ascii="Garamond" w:hAnsi="Garamond"/>
          <w:i/>
          <w:iCs/>
        </w:rPr>
        <w:t>,</w:t>
      </w:r>
      <w:r w:rsidRPr="00493334">
        <w:rPr>
          <w:rFonts w:ascii="Garamond" w:hAnsi="Garamond"/>
        </w:rPr>
        <w:t xml:space="preserve"> </w:t>
      </w:r>
      <w:r w:rsidRPr="00493334">
        <w:rPr>
          <w:rFonts w:ascii="Garamond" w:hAnsi="Garamond"/>
          <w:i/>
          <w:iCs/>
        </w:rPr>
        <w:t>Stiftung</w:t>
      </w:r>
      <w:r w:rsidRPr="00493334">
        <w:rPr>
          <w:rFonts w:ascii="Garamond" w:hAnsi="Garamond"/>
        </w:rPr>
        <w:t xml:space="preserve">, phenomenology </w:t>
      </w:r>
    </w:p>
    <w:p w14:paraId="1A52F2D1" w14:textId="186145CF" w:rsidR="00CD43E9" w:rsidRPr="00493334" w:rsidRDefault="00CD43E9" w:rsidP="00493334">
      <w:pPr>
        <w:spacing w:line="276" w:lineRule="auto"/>
        <w:rPr>
          <w:rFonts w:ascii="Garamond" w:hAnsi="Garamond"/>
          <w:i/>
          <w:iCs/>
        </w:rPr>
      </w:pPr>
      <w:r w:rsidRPr="00493334">
        <w:rPr>
          <w:rFonts w:ascii="Garamond" w:hAnsi="Garamond"/>
        </w:rPr>
        <w:t>Abstract: In the</w:t>
      </w:r>
      <w:r w:rsidR="00BD28A0">
        <w:rPr>
          <w:rFonts w:ascii="Garamond" w:hAnsi="Garamond"/>
        </w:rPr>
        <w:t xml:space="preserve"> Weimar period</w:t>
      </w:r>
      <w:r w:rsidRPr="00493334">
        <w:rPr>
          <w:rFonts w:ascii="Garamond" w:hAnsi="Garamond"/>
        </w:rPr>
        <w:t xml:space="preserve">, Oswald </w:t>
      </w:r>
      <w:proofErr w:type="gramStart"/>
      <w:r w:rsidRPr="00493334">
        <w:rPr>
          <w:rFonts w:ascii="Garamond" w:hAnsi="Garamond"/>
        </w:rPr>
        <w:t>Spengler</w:t>
      </w:r>
      <w:proofErr w:type="gramEnd"/>
      <w:r w:rsidRPr="00493334">
        <w:rPr>
          <w:rFonts w:ascii="Garamond" w:hAnsi="Garamond"/>
        </w:rPr>
        <w:t xml:space="preserve"> and Edmund Husserl each published distinct philosophies of history which can be construed as teleological: </w:t>
      </w:r>
      <w:r w:rsidRPr="00493334">
        <w:rPr>
          <w:rFonts w:ascii="Garamond" w:hAnsi="Garamond"/>
          <w:i/>
          <w:iCs/>
        </w:rPr>
        <w:t>The Decline of The West</w:t>
      </w:r>
      <w:r w:rsidRPr="00493334">
        <w:rPr>
          <w:rFonts w:ascii="Garamond" w:hAnsi="Garamond"/>
        </w:rPr>
        <w:t xml:space="preserve"> (1918) and </w:t>
      </w:r>
      <w:r w:rsidRPr="00493334">
        <w:rPr>
          <w:rFonts w:ascii="Garamond" w:hAnsi="Garamond"/>
          <w:i/>
          <w:iCs/>
        </w:rPr>
        <w:t>The Crisis of European Sciences</w:t>
      </w:r>
      <w:r w:rsidRPr="00493334">
        <w:rPr>
          <w:rFonts w:ascii="Garamond" w:hAnsi="Garamond"/>
        </w:rPr>
        <w:t xml:space="preserve"> (1936) respectively. These texts arose out of a common historical-cultural climate in Germany </w:t>
      </w:r>
      <w:r w:rsidR="00C97655">
        <w:rPr>
          <w:rFonts w:ascii="Garamond" w:hAnsi="Garamond"/>
        </w:rPr>
        <w:t>and share common diagnoses of Europe’s condition. Yet</w:t>
      </w:r>
      <w:r w:rsidRPr="00493334">
        <w:rPr>
          <w:rFonts w:ascii="Garamond" w:hAnsi="Garamond"/>
        </w:rPr>
        <w:t xml:space="preserve"> the two models of teleology and the normative imperatives which characterize their respective method</w:t>
      </w:r>
      <w:r w:rsidR="00C97655">
        <w:rPr>
          <w:rFonts w:ascii="Garamond" w:hAnsi="Garamond"/>
        </w:rPr>
        <w:t>s</w:t>
      </w:r>
      <w:r w:rsidRPr="00493334">
        <w:rPr>
          <w:rFonts w:ascii="Garamond" w:hAnsi="Garamond"/>
        </w:rPr>
        <w:t xml:space="preserve"> could not be more distinct. This paper examines the two models and demonstrates how Husserl’s recollective teleology possesses the possibility of cultural salvation against the fatalism imbued in Spengler’s teleology of destiny. In this vein, the author places this paper alongside other recent efforts to show the soteriological character of Husserl’s phenomenology. Far from just another way into philosophy,</w:t>
      </w:r>
      <w:r w:rsidRPr="00493334">
        <w:rPr>
          <w:rFonts w:ascii="Garamond" w:hAnsi="Garamond"/>
          <w:i/>
          <w:iCs/>
        </w:rPr>
        <w:t xml:space="preserve"> Crisis</w:t>
      </w:r>
      <w:r w:rsidRPr="00493334">
        <w:rPr>
          <w:rFonts w:ascii="Garamond" w:hAnsi="Garamond"/>
        </w:rPr>
        <w:t xml:space="preserve"> presents a distinctly normative and rational method of teleology in the face of Spengler’s aesthetic and prophetic counter-rationalism.</w:t>
      </w:r>
    </w:p>
    <w:p w14:paraId="25528FAF" w14:textId="77777777" w:rsidR="00015562" w:rsidRPr="00493334" w:rsidRDefault="00015562" w:rsidP="00493334">
      <w:pPr>
        <w:spacing w:line="276" w:lineRule="auto"/>
        <w:rPr>
          <w:rFonts w:ascii="Garamond" w:hAnsi="Garamond"/>
        </w:rPr>
      </w:pPr>
    </w:p>
    <w:p w14:paraId="6890D3E9" w14:textId="77777777" w:rsidR="00C97655" w:rsidRDefault="00C97655" w:rsidP="00C97655">
      <w:pPr>
        <w:spacing w:line="276" w:lineRule="auto"/>
        <w:rPr>
          <w:rFonts w:ascii="Garamond" w:hAnsi="Garamond"/>
        </w:rPr>
      </w:pPr>
    </w:p>
    <w:p w14:paraId="13E3389A" w14:textId="532C13B2" w:rsidR="00015562" w:rsidRPr="00C97655" w:rsidRDefault="00015562" w:rsidP="00C97655">
      <w:pPr>
        <w:pStyle w:val="ListParagraph"/>
        <w:numPr>
          <w:ilvl w:val="0"/>
          <w:numId w:val="3"/>
        </w:numPr>
        <w:spacing w:line="276" w:lineRule="auto"/>
        <w:rPr>
          <w:rFonts w:ascii="Garamond" w:hAnsi="Garamond"/>
          <w:b/>
          <w:bCs/>
        </w:rPr>
      </w:pPr>
      <w:r w:rsidRPr="00C97655">
        <w:rPr>
          <w:rFonts w:ascii="Garamond" w:hAnsi="Garamond"/>
          <w:b/>
          <w:bCs/>
        </w:rPr>
        <w:t>One Crisis, Two Teleologies</w:t>
      </w:r>
    </w:p>
    <w:p w14:paraId="0EFF215F" w14:textId="7A4267F0" w:rsidR="00015562" w:rsidRPr="00493334" w:rsidRDefault="00015562" w:rsidP="00493334">
      <w:pPr>
        <w:spacing w:line="276" w:lineRule="auto"/>
        <w:ind w:firstLine="720"/>
        <w:rPr>
          <w:rFonts w:ascii="Garamond" w:hAnsi="Garamond"/>
        </w:rPr>
      </w:pPr>
      <w:r w:rsidRPr="00493334">
        <w:rPr>
          <w:rFonts w:ascii="Garamond" w:hAnsi="Garamond"/>
        </w:rPr>
        <w:t>In May 1935, in the shadow of an increasingly oppressive Nazi Germany, Edmund Husserl ventured to Austria to give his now infamous Vienna Lecture.</w:t>
      </w:r>
      <w:r w:rsidR="000559F2" w:rsidRPr="00493334">
        <w:rPr>
          <w:rStyle w:val="FootnoteReference"/>
          <w:rFonts w:ascii="Garamond" w:hAnsi="Garamond"/>
        </w:rPr>
        <w:footnoteReference w:id="1"/>
      </w:r>
      <w:r w:rsidRPr="00493334">
        <w:rPr>
          <w:rFonts w:ascii="Garamond" w:hAnsi="Garamond"/>
        </w:rPr>
        <w:t xml:space="preserve"> Originally titled “Philosophy in the Crisis of European Mankind”, the lecture would be the genesis of the last great work to be published in Husserl’s lifetime, </w:t>
      </w:r>
      <w:r w:rsidRPr="00493334">
        <w:rPr>
          <w:rFonts w:ascii="Garamond" w:hAnsi="Garamond"/>
          <w:i/>
          <w:iCs/>
        </w:rPr>
        <w:t>The Crisis of European Sciences and Transcendental Phenomenology</w:t>
      </w:r>
      <w:r w:rsidRPr="00493334">
        <w:rPr>
          <w:rFonts w:ascii="Garamond" w:hAnsi="Garamond"/>
        </w:rPr>
        <w:t>.</w:t>
      </w:r>
      <w:r w:rsidRPr="00493334">
        <w:rPr>
          <w:rStyle w:val="FootnoteReference"/>
          <w:rFonts w:ascii="Garamond" w:eastAsiaTheme="majorEastAsia" w:hAnsi="Garamond"/>
        </w:rPr>
        <w:footnoteReference w:id="2"/>
      </w:r>
      <w:r w:rsidRPr="00493334">
        <w:rPr>
          <w:rFonts w:ascii="Garamond" w:hAnsi="Garamond"/>
        </w:rPr>
        <w:t xml:space="preserve"> The </w:t>
      </w:r>
      <w:r w:rsidRPr="00493334">
        <w:rPr>
          <w:rFonts w:ascii="Garamond" w:hAnsi="Garamond"/>
          <w:i/>
          <w:iCs/>
        </w:rPr>
        <w:t xml:space="preserve">Crisis </w:t>
      </w:r>
      <w:r w:rsidRPr="00493334">
        <w:rPr>
          <w:rFonts w:ascii="Garamond" w:hAnsi="Garamond"/>
        </w:rPr>
        <w:t xml:space="preserve">would also be his most distinctive, employing </w:t>
      </w:r>
      <w:r w:rsidR="001C4AAC" w:rsidRPr="00493334">
        <w:rPr>
          <w:rFonts w:ascii="Garamond" w:hAnsi="Garamond"/>
        </w:rPr>
        <w:t xml:space="preserve">a </w:t>
      </w:r>
      <w:r w:rsidRPr="00493334">
        <w:rPr>
          <w:rFonts w:ascii="Garamond" w:hAnsi="Garamond"/>
        </w:rPr>
        <w:t xml:space="preserve">method of </w:t>
      </w:r>
      <w:r w:rsidR="001C4AAC" w:rsidRPr="00493334">
        <w:rPr>
          <w:rFonts w:ascii="Garamond" w:hAnsi="Garamond"/>
        </w:rPr>
        <w:t xml:space="preserve">evidence and </w:t>
      </w:r>
      <w:r w:rsidRPr="00493334">
        <w:rPr>
          <w:rFonts w:ascii="Garamond" w:hAnsi="Garamond"/>
        </w:rPr>
        <w:t xml:space="preserve">teleology </w:t>
      </w:r>
      <w:r w:rsidR="001C4AAC" w:rsidRPr="00493334">
        <w:rPr>
          <w:rFonts w:ascii="Garamond" w:hAnsi="Garamond"/>
        </w:rPr>
        <w:t xml:space="preserve">and </w:t>
      </w:r>
      <w:r w:rsidRPr="00493334">
        <w:rPr>
          <w:rFonts w:ascii="Garamond" w:hAnsi="Garamond"/>
        </w:rPr>
        <w:t>emphasi</w:t>
      </w:r>
      <w:r w:rsidR="001C4AAC" w:rsidRPr="00493334">
        <w:rPr>
          <w:rFonts w:ascii="Garamond" w:hAnsi="Garamond"/>
        </w:rPr>
        <w:t>zing</w:t>
      </w:r>
      <w:r w:rsidRPr="00493334">
        <w:rPr>
          <w:rFonts w:ascii="Garamond" w:hAnsi="Garamond"/>
        </w:rPr>
        <w:t xml:space="preserve"> the previously </w:t>
      </w:r>
      <w:r w:rsidR="001C4AAC" w:rsidRPr="00493334">
        <w:rPr>
          <w:rFonts w:ascii="Garamond" w:hAnsi="Garamond"/>
        </w:rPr>
        <w:t>understated</w:t>
      </w:r>
      <w:r w:rsidRPr="00493334">
        <w:rPr>
          <w:rFonts w:ascii="Garamond" w:hAnsi="Garamond"/>
        </w:rPr>
        <w:t xml:space="preserve"> themes of historicality</w:t>
      </w:r>
      <w:r w:rsidR="001C4AAC" w:rsidRPr="00493334">
        <w:rPr>
          <w:rFonts w:ascii="Garamond" w:hAnsi="Garamond"/>
        </w:rPr>
        <w:t xml:space="preserve"> and culture.</w:t>
      </w:r>
      <w:r w:rsidR="00A64A80" w:rsidRPr="00493334">
        <w:rPr>
          <w:rFonts w:ascii="Garamond" w:hAnsi="Garamond"/>
        </w:rPr>
        <w:t xml:space="preserve"> </w:t>
      </w:r>
      <w:r w:rsidRPr="00493334">
        <w:rPr>
          <w:rFonts w:ascii="Garamond" w:hAnsi="Garamond"/>
        </w:rPr>
        <w:t>Husserl begins his lecture with dramatic ambition:</w:t>
      </w:r>
    </w:p>
    <w:p w14:paraId="6CB0008B" w14:textId="77777777" w:rsidR="00015562" w:rsidRPr="00493334" w:rsidRDefault="00015562" w:rsidP="00493334">
      <w:pPr>
        <w:spacing w:line="276" w:lineRule="auto"/>
        <w:ind w:firstLine="720"/>
        <w:rPr>
          <w:rFonts w:ascii="Garamond" w:hAnsi="Garamond"/>
        </w:rPr>
      </w:pPr>
    </w:p>
    <w:p w14:paraId="3711B5D4" w14:textId="77777777" w:rsidR="00015562" w:rsidRPr="00493334" w:rsidRDefault="00015562" w:rsidP="00493334">
      <w:pPr>
        <w:spacing w:line="276" w:lineRule="auto"/>
        <w:ind w:left="720" w:right="720"/>
        <w:rPr>
          <w:rFonts w:ascii="Garamond" w:hAnsi="Garamond"/>
        </w:rPr>
      </w:pPr>
      <w:r w:rsidRPr="00493334">
        <w:rPr>
          <w:rFonts w:ascii="Garamond" w:hAnsi="Garamond"/>
        </w:rPr>
        <w:t>“In this lecture I will venture an attempt to awaken new interest in the oft treated theme of the European crisis by developing the philosophical-historical idea (or the teleological sense) of European man.</w:t>
      </w:r>
      <w:r w:rsidRPr="00493334">
        <w:rPr>
          <w:rStyle w:val="FootnoteReference"/>
          <w:rFonts w:ascii="Garamond" w:eastAsiaTheme="majorEastAsia" w:hAnsi="Garamond"/>
        </w:rPr>
        <w:footnoteReference w:id="3"/>
      </w:r>
      <w:r w:rsidRPr="00493334">
        <w:rPr>
          <w:rFonts w:ascii="Garamond" w:hAnsi="Garamond"/>
        </w:rPr>
        <w:t xml:space="preserve"> In so far as in thus developing the topic I bring out the essential function that philosophy and its ramifications in our sciences have to perform in this process, the European crisis will also be given added clarification.”</w:t>
      </w:r>
      <w:r w:rsidRPr="00493334">
        <w:rPr>
          <w:rStyle w:val="FootnoteReference"/>
          <w:rFonts w:ascii="Garamond" w:eastAsiaTheme="majorEastAsia" w:hAnsi="Garamond"/>
        </w:rPr>
        <w:footnoteReference w:id="4"/>
      </w:r>
    </w:p>
    <w:p w14:paraId="3D795E0F" w14:textId="77777777" w:rsidR="00015562" w:rsidRPr="00493334" w:rsidRDefault="00015562" w:rsidP="00493334">
      <w:pPr>
        <w:spacing w:line="276" w:lineRule="auto"/>
        <w:ind w:left="720" w:right="720"/>
        <w:rPr>
          <w:rFonts w:ascii="Garamond" w:hAnsi="Garamond"/>
        </w:rPr>
      </w:pPr>
    </w:p>
    <w:p w14:paraId="741A2955" w14:textId="77777777" w:rsidR="00015562" w:rsidRPr="00493334" w:rsidRDefault="00015562" w:rsidP="00493334">
      <w:pPr>
        <w:spacing w:line="276" w:lineRule="auto"/>
        <w:ind w:firstLine="720"/>
        <w:rPr>
          <w:rFonts w:ascii="Garamond" w:hAnsi="Garamond"/>
        </w:rPr>
      </w:pPr>
      <w:r w:rsidRPr="00493334">
        <w:rPr>
          <w:rFonts w:ascii="Garamond" w:hAnsi="Garamond"/>
        </w:rPr>
        <w:t xml:space="preserve">This crisis, diagnosed by Husserl as a cultural “sickness”, constituted </w:t>
      </w:r>
      <w:proofErr w:type="gramStart"/>
      <w:r w:rsidRPr="00493334">
        <w:rPr>
          <w:rFonts w:ascii="Garamond" w:hAnsi="Garamond"/>
        </w:rPr>
        <w:t>a number of</w:t>
      </w:r>
      <w:proofErr w:type="gramEnd"/>
      <w:r w:rsidRPr="00493334">
        <w:rPr>
          <w:rFonts w:ascii="Garamond" w:hAnsi="Garamond"/>
        </w:rPr>
        <w:t xml:space="preserve"> well-known regressions.</w:t>
      </w:r>
      <w:r w:rsidRPr="00493334">
        <w:rPr>
          <w:rStyle w:val="FootnoteReference"/>
          <w:rFonts w:ascii="Garamond" w:eastAsiaTheme="majorEastAsia" w:hAnsi="Garamond"/>
        </w:rPr>
        <w:footnoteReference w:id="5"/>
      </w:r>
      <w:r w:rsidRPr="00493334">
        <w:rPr>
          <w:rFonts w:ascii="Garamond" w:hAnsi="Garamond"/>
        </w:rPr>
        <w:t xml:space="preserve"> First there were the lamentable economic conditions in Germany and Europe following World War I, throughout which the Weimar Republic was famously impotent.</w:t>
      </w:r>
      <w:r w:rsidRPr="00493334">
        <w:rPr>
          <w:rStyle w:val="FootnoteReference"/>
          <w:rFonts w:ascii="Garamond" w:eastAsiaTheme="majorEastAsia" w:hAnsi="Garamond"/>
        </w:rPr>
        <w:footnoteReference w:id="6"/>
      </w:r>
      <w:r w:rsidRPr="00493334">
        <w:rPr>
          <w:rFonts w:ascii="Garamond" w:hAnsi="Garamond"/>
        </w:rPr>
        <w:t xml:space="preserve"> Germany’s </w:t>
      </w:r>
      <w:r w:rsidRPr="00493334">
        <w:rPr>
          <w:rFonts w:ascii="Garamond" w:hAnsi="Garamond"/>
        </w:rPr>
        <w:lastRenderedPageBreak/>
        <w:t xml:space="preserve">socio-economic downfall was met with further political crisis: the rise of the Nazi regime. Due to his Jewish heritage, the popularity of Nazism proved distinctly tragic for Husserl. Coupled with this litany of immediate socio-political problems were the more immutable cultural issues: the increasing irrelevancy of the humanities in the face of the pure sciences, and a widening cultural dissociation between science and philosophy in the academic world. </w:t>
      </w:r>
    </w:p>
    <w:p w14:paraId="2AB09173" w14:textId="6BFCC669" w:rsidR="00015562" w:rsidRPr="00493334" w:rsidRDefault="00015562" w:rsidP="00493334">
      <w:pPr>
        <w:spacing w:line="276" w:lineRule="auto"/>
        <w:ind w:firstLine="720"/>
        <w:rPr>
          <w:rFonts w:ascii="Garamond" w:hAnsi="Garamond"/>
        </w:rPr>
      </w:pPr>
      <w:r w:rsidRPr="00493334">
        <w:rPr>
          <w:rFonts w:ascii="Garamond" w:hAnsi="Garamond"/>
        </w:rPr>
        <w:t xml:space="preserve">But despite its novelty within his own </w:t>
      </w:r>
      <w:r w:rsidRPr="00493334">
        <w:rPr>
          <w:rFonts w:ascii="Garamond" w:hAnsi="Garamond"/>
          <w:i/>
          <w:iCs/>
        </w:rPr>
        <w:t>Gesamtausgabe,</w:t>
      </w:r>
      <w:r w:rsidRPr="00493334">
        <w:rPr>
          <w:rFonts w:ascii="Garamond" w:hAnsi="Garamond"/>
        </w:rPr>
        <w:t xml:space="preserve"> the </w:t>
      </w:r>
      <w:r w:rsidRPr="00493334">
        <w:rPr>
          <w:rFonts w:ascii="Garamond" w:hAnsi="Garamond"/>
          <w:i/>
          <w:iCs/>
        </w:rPr>
        <w:t xml:space="preserve">Crisis </w:t>
      </w:r>
      <w:r w:rsidRPr="00493334">
        <w:rPr>
          <w:rFonts w:ascii="Garamond" w:hAnsi="Garamond"/>
        </w:rPr>
        <w:t xml:space="preserve">was not the first major work to employ a teleological model in diagnosing a European cultural crisis. In 1918, mere months after Germany signed the humiliating Treaty of Versailles and almost two decades before publication of the </w:t>
      </w:r>
      <w:r w:rsidRPr="00493334">
        <w:rPr>
          <w:rFonts w:ascii="Garamond" w:hAnsi="Garamond"/>
          <w:i/>
          <w:iCs/>
        </w:rPr>
        <w:t>Crisis</w:t>
      </w:r>
      <w:r w:rsidRPr="00493334">
        <w:rPr>
          <w:rFonts w:ascii="Garamond" w:hAnsi="Garamond"/>
        </w:rPr>
        <w:t xml:space="preserve">, Oswald Spengler published Volume I of his magnum opus, </w:t>
      </w:r>
      <w:r w:rsidRPr="00493334">
        <w:rPr>
          <w:rFonts w:ascii="Garamond" w:hAnsi="Garamond"/>
          <w:i/>
          <w:iCs/>
        </w:rPr>
        <w:t>Decline of The West</w:t>
      </w:r>
      <w:r w:rsidRPr="00493334">
        <w:rPr>
          <w:rFonts w:ascii="Garamond" w:hAnsi="Garamond"/>
        </w:rPr>
        <w:t>.</w:t>
      </w:r>
      <w:r w:rsidRPr="00493334">
        <w:rPr>
          <w:rStyle w:val="FootnoteReference"/>
          <w:rFonts w:ascii="Garamond" w:eastAsiaTheme="majorEastAsia" w:hAnsi="Garamond"/>
        </w:rPr>
        <w:footnoteReference w:id="7"/>
      </w:r>
      <w:r w:rsidRPr="00493334">
        <w:rPr>
          <w:rFonts w:ascii="Garamond" w:hAnsi="Garamond"/>
        </w:rPr>
        <w:t xml:space="preserve"> </w:t>
      </w:r>
      <w:r w:rsidR="00961F6D">
        <w:rPr>
          <w:rFonts w:ascii="Garamond" w:hAnsi="Garamond"/>
        </w:rPr>
        <w:t>Directed at a German populace torn between romanticist longing and despair at their present condition, Spengler calls upon German culture to become</w:t>
      </w:r>
      <w:r w:rsidR="00B34AE6">
        <w:rPr>
          <w:rFonts w:ascii="Garamond" w:hAnsi="Garamond"/>
        </w:rPr>
        <w:t xml:space="preserve"> existentially</w:t>
      </w:r>
      <w:r w:rsidR="00961F6D">
        <w:rPr>
          <w:rFonts w:ascii="Garamond" w:hAnsi="Garamond"/>
        </w:rPr>
        <w:t xml:space="preserve"> responsible for its own present condition. Such a message resonated </w:t>
      </w:r>
      <w:r w:rsidR="003F18C2">
        <w:rPr>
          <w:rFonts w:ascii="Garamond" w:hAnsi="Garamond"/>
        </w:rPr>
        <w:t>deeply,</w:t>
      </w:r>
      <w:r w:rsidR="00B34AE6">
        <w:rPr>
          <w:rFonts w:ascii="Garamond" w:hAnsi="Garamond"/>
        </w:rPr>
        <w:t xml:space="preserve"> and t</w:t>
      </w:r>
      <w:r w:rsidR="00961F6D">
        <w:rPr>
          <w:rFonts w:ascii="Garamond" w:hAnsi="Garamond"/>
        </w:rPr>
        <w:t>he</w:t>
      </w:r>
      <w:r w:rsidRPr="00493334">
        <w:rPr>
          <w:rFonts w:ascii="Garamond" w:hAnsi="Garamond"/>
        </w:rPr>
        <w:t xml:space="preserve"> text would vault the previously unknown Gymnasium teacher to fame in Germany, enjoying </w:t>
      </w:r>
      <w:proofErr w:type="gramStart"/>
      <w:r w:rsidRPr="00493334">
        <w:rPr>
          <w:rFonts w:ascii="Garamond" w:hAnsi="Garamond"/>
        </w:rPr>
        <w:t>particular popularity</w:t>
      </w:r>
      <w:proofErr w:type="gramEnd"/>
      <w:r w:rsidRPr="00493334">
        <w:rPr>
          <w:rFonts w:ascii="Garamond" w:hAnsi="Garamond"/>
        </w:rPr>
        <w:t xml:space="preserve"> amongst proto-fascists and, later, the Nazi Party. But </w:t>
      </w:r>
      <w:r w:rsidRPr="00493334">
        <w:rPr>
          <w:rFonts w:ascii="Garamond" w:hAnsi="Garamond"/>
          <w:i/>
          <w:iCs/>
        </w:rPr>
        <w:t xml:space="preserve">Decline </w:t>
      </w:r>
      <w:r w:rsidRPr="00493334">
        <w:rPr>
          <w:rFonts w:ascii="Garamond" w:hAnsi="Garamond"/>
        </w:rPr>
        <w:t>was more than just a political salve for an enfeebled and embarrassed post-war Germany. It remains an ambitious attempt at a metaphysic of history; a model which predicts the necessary way Western civilization acts out its own teleological destiny, decline, and downfall in accordance with an inner aesthetic truth.</w:t>
      </w:r>
    </w:p>
    <w:p w14:paraId="52C8AE16" w14:textId="5859709F" w:rsidR="00015562" w:rsidRPr="00493334" w:rsidRDefault="00015562" w:rsidP="00493334">
      <w:pPr>
        <w:spacing w:line="276" w:lineRule="auto"/>
        <w:ind w:firstLine="720"/>
        <w:rPr>
          <w:rFonts w:ascii="Garamond" w:hAnsi="Garamond"/>
        </w:rPr>
      </w:pPr>
      <w:r w:rsidRPr="00493334">
        <w:rPr>
          <w:rFonts w:ascii="Garamond" w:hAnsi="Garamond"/>
        </w:rPr>
        <w:t>The perceived failures of the liberal</w:t>
      </w:r>
      <w:r w:rsidR="00CE2597" w:rsidRPr="00493334">
        <w:rPr>
          <w:rFonts w:ascii="Garamond" w:hAnsi="Garamond"/>
        </w:rPr>
        <w:t xml:space="preserve"> intellectual </w:t>
      </w:r>
      <w:r w:rsidRPr="00493334">
        <w:rPr>
          <w:rFonts w:ascii="Garamond" w:hAnsi="Garamond"/>
        </w:rPr>
        <w:t>institutions to which Husserl and Spengler refer remain forceful critiques of Western society in our 21</w:t>
      </w:r>
      <w:r w:rsidRPr="00493334">
        <w:rPr>
          <w:rFonts w:ascii="Garamond" w:hAnsi="Garamond"/>
          <w:vertAlign w:val="superscript"/>
        </w:rPr>
        <w:t>st</w:t>
      </w:r>
      <w:r w:rsidRPr="00493334">
        <w:rPr>
          <w:rFonts w:ascii="Garamond" w:hAnsi="Garamond"/>
        </w:rPr>
        <w:t xml:space="preserve"> century. I am therefore compelled to revisit Husserl and Spengler, placing them in dialogue with one another, to judge whether Husserl’s teleological idea garners any chance of philosophical renewal, and therefore cultural rebirth, against the fatalism of Spengler’s </w:t>
      </w:r>
      <w:r w:rsidRPr="00493334">
        <w:rPr>
          <w:rFonts w:ascii="Garamond" w:hAnsi="Garamond"/>
          <w:i/>
          <w:iCs/>
        </w:rPr>
        <w:t>Decline of The West</w:t>
      </w:r>
      <w:r w:rsidRPr="00493334">
        <w:rPr>
          <w:rFonts w:ascii="Garamond" w:hAnsi="Garamond"/>
        </w:rPr>
        <w:t xml:space="preserve">. While I construe both theories as broadly teleological, the meaning of “teleology”—a vacuous concept due to overuse by some and intentional misuse by others—must be clarified in each model. </w:t>
      </w:r>
      <w:r w:rsidR="000559F2" w:rsidRPr="00493334">
        <w:rPr>
          <w:rFonts w:ascii="Garamond" w:hAnsi="Garamond"/>
        </w:rPr>
        <w:t xml:space="preserve">We must determine whether historical teleology necessitates a finitude as Spengler suggests, or if it remains open to salvation. In these opposing outlooks, </w:t>
      </w:r>
      <w:r w:rsidRPr="00493334">
        <w:rPr>
          <w:rFonts w:ascii="Garamond" w:hAnsi="Garamond"/>
        </w:rPr>
        <w:t xml:space="preserve">I will argue there is a distinct ethical element; </w:t>
      </w:r>
      <w:r w:rsidR="000559F2" w:rsidRPr="00493334">
        <w:rPr>
          <w:rFonts w:ascii="Garamond" w:hAnsi="Garamond"/>
        </w:rPr>
        <w:t xml:space="preserve">if </w:t>
      </w:r>
      <w:r w:rsidRPr="00493334">
        <w:rPr>
          <w:rFonts w:ascii="Garamond" w:hAnsi="Garamond"/>
        </w:rPr>
        <w:t>Husserl’s recollective model of teleology is soteriological in nature</w:t>
      </w:r>
      <w:r w:rsidR="000559F2" w:rsidRPr="00493334">
        <w:rPr>
          <w:rFonts w:ascii="Garamond" w:hAnsi="Garamond"/>
        </w:rPr>
        <w:t>, then it suggests a normative method. It is not just a matter of phenomenological method, but</w:t>
      </w:r>
      <w:r w:rsidRPr="00493334">
        <w:rPr>
          <w:rFonts w:ascii="Garamond" w:hAnsi="Garamond"/>
        </w:rPr>
        <w:t xml:space="preserve"> of</w:t>
      </w:r>
      <w:r w:rsidR="000559F2" w:rsidRPr="00493334">
        <w:rPr>
          <w:rFonts w:ascii="Garamond" w:hAnsi="Garamond"/>
        </w:rPr>
        <w:t xml:space="preserve"> taking up the responsibility for</w:t>
      </w:r>
      <w:r w:rsidRPr="00493334">
        <w:rPr>
          <w:rFonts w:ascii="Garamond" w:hAnsi="Garamond"/>
        </w:rPr>
        <w:t xml:space="preserve"> rational cultural renewal. In this regard, </w:t>
      </w:r>
      <w:r w:rsidR="000559F2" w:rsidRPr="00493334">
        <w:rPr>
          <w:rFonts w:ascii="Garamond" w:hAnsi="Garamond"/>
        </w:rPr>
        <w:t>Husserl’s imperative</w:t>
      </w:r>
      <w:r w:rsidRPr="00493334">
        <w:rPr>
          <w:rFonts w:ascii="Garamond" w:hAnsi="Garamond"/>
        </w:rPr>
        <w:t xml:space="preserve"> has much to say against the pessimism of Spengler which remains so forceful in our contemporary society.</w:t>
      </w:r>
    </w:p>
    <w:p w14:paraId="73FABA10" w14:textId="77777777" w:rsidR="00C97655" w:rsidRDefault="00C97655" w:rsidP="00C97655">
      <w:pPr>
        <w:spacing w:line="276" w:lineRule="auto"/>
        <w:rPr>
          <w:rFonts w:ascii="Garamond" w:hAnsi="Garamond"/>
        </w:rPr>
      </w:pPr>
    </w:p>
    <w:p w14:paraId="67CD0BB4" w14:textId="4C3848C3" w:rsidR="00015562" w:rsidRPr="00C97655" w:rsidRDefault="00015562" w:rsidP="00C97655">
      <w:pPr>
        <w:pStyle w:val="ListParagraph"/>
        <w:numPr>
          <w:ilvl w:val="0"/>
          <w:numId w:val="3"/>
        </w:numPr>
        <w:spacing w:line="276" w:lineRule="auto"/>
        <w:rPr>
          <w:rFonts w:ascii="Garamond" w:hAnsi="Garamond"/>
          <w:b/>
          <w:bCs/>
        </w:rPr>
      </w:pPr>
      <w:r w:rsidRPr="00C97655">
        <w:rPr>
          <w:rFonts w:ascii="Garamond" w:hAnsi="Garamond"/>
          <w:b/>
          <w:bCs/>
        </w:rPr>
        <w:t>The Counter-Rational Aesthetic of Destiny</w:t>
      </w:r>
    </w:p>
    <w:p w14:paraId="7B0F6353" w14:textId="07F6993D" w:rsidR="000C020A" w:rsidRPr="00493334" w:rsidRDefault="00015562" w:rsidP="00493334">
      <w:pPr>
        <w:spacing w:line="276" w:lineRule="auto"/>
        <w:ind w:firstLine="360"/>
        <w:rPr>
          <w:rFonts w:ascii="Garamond" w:hAnsi="Garamond"/>
        </w:rPr>
      </w:pPr>
      <w:r w:rsidRPr="00493334">
        <w:rPr>
          <w:rFonts w:ascii="Garamond" w:hAnsi="Garamond"/>
        </w:rPr>
        <w:t xml:space="preserve">Spengler likens the culture to </w:t>
      </w:r>
      <w:r w:rsidR="003F1B84" w:rsidRPr="00493334">
        <w:rPr>
          <w:rFonts w:ascii="Garamond" w:hAnsi="Garamond"/>
        </w:rPr>
        <w:t xml:space="preserve">an </w:t>
      </w:r>
      <w:r w:rsidRPr="00493334">
        <w:rPr>
          <w:rFonts w:ascii="Garamond" w:hAnsi="Garamond"/>
        </w:rPr>
        <w:t xml:space="preserve">organism. </w:t>
      </w:r>
      <w:r w:rsidR="00BD28A0">
        <w:rPr>
          <w:rFonts w:ascii="Garamond" w:hAnsi="Garamond"/>
        </w:rPr>
        <w:t>As an organic entity, a culture’s historical</w:t>
      </w:r>
      <w:r w:rsidR="0093662C">
        <w:rPr>
          <w:rFonts w:ascii="Garamond" w:hAnsi="Garamond"/>
        </w:rPr>
        <w:t xml:space="preserve"> lifespan </w:t>
      </w:r>
      <w:r w:rsidR="00BD28A0" w:rsidRPr="00493334">
        <w:rPr>
          <w:rFonts w:ascii="Garamond" w:hAnsi="Garamond"/>
        </w:rPr>
        <w:t xml:space="preserve">transcends our modern-sensical historical distinctions between pre-history and written history or between </w:t>
      </w:r>
      <w:r w:rsidR="00B34AE6">
        <w:rPr>
          <w:rFonts w:ascii="Garamond" w:hAnsi="Garamond"/>
        </w:rPr>
        <w:t xml:space="preserve">the </w:t>
      </w:r>
      <w:r w:rsidR="00BD28A0" w:rsidRPr="00493334">
        <w:rPr>
          <w:rFonts w:ascii="Garamond" w:hAnsi="Garamond"/>
        </w:rPr>
        <w:t>ancient-medieval-modern</w:t>
      </w:r>
      <w:r w:rsidR="00B34AE6">
        <w:rPr>
          <w:rFonts w:ascii="Garamond" w:hAnsi="Garamond"/>
        </w:rPr>
        <w:t xml:space="preserve"> schema</w:t>
      </w:r>
      <w:r w:rsidR="00BD28A0" w:rsidRPr="00493334">
        <w:rPr>
          <w:rFonts w:ascii="Garamond" w:hAnsi="Garamond"/>
        </w:rPr>
        <w:t>.</w:t>
      </w:r>
      <w:r w:rsidR="00BD28A0" w:rsidRPr="00493334">
        <w:rPr>
          <w:rStyle w:val="FootnoteReference"/>
          <w:rFonts w:ascii="Garamond" w:hAnsi="Garamond"/>
        </w:rPr>
        <w:footnoteReference w:id="8"/>
      </w:r>
      <w:r w:rsidR="00BD28A0" w:rsidRPr="00493334">
        <w:rPr>
          <w:rFonts w:ascii="Garamond" w:hAnsi="Garamond"/>
        </w:rPr>
        <w:t xml:space="preserve"> </w:t>
      </w:r>
      <w:r w:rsidR="00B55915" w:rsidRPr="00493334">
        <w:rPr>
          <w:rFonts w:ascii="Garamond" w:hAnsi="Garamond"/>
        </w:rPr>
        <w:t xml:space="preserve">Using </w:t>
      </w:r>
      <w:r w:rsidRPr="00493334">
        <w:rPr>
          <w:rFonts w:ascii="Garamond" w:hAnsi="Garamond"/>
        </w:rPr>
        <w:t>the metaphor of the four seasons</w:t>
      </w:r>
      <w:r w:rsidR="00B55915" w:rsidRPr="00493334">
        <w:rPr>
          <w:rFonts w:ascii="Garamond" w:hAnsi="Garamond"/>
        </w:rPr>
        <w:t>,</w:t>
      </w:r>
      <w:r w:rsidR="00BD28A0">
        <w:rPr>
          <w:rFonts w:ascii="Garamond" w:hAnsi="Garamond"/>
        </w:rPr>
        <w:t xml:space="preserve"> Spengler</w:t>
      </w:r>
      <w:r w:rsidR="00B55915" w:rsidRPr="00493334">
        <w:rPr>
          <w:rFonts w:ascii="Garamond" w:hAnsi="Garamond"/>
        </w:rPr>
        <w:t xml:space="preserve"> </w:t>
      </w:r>
      <w:r w:rsidR="0093662C">
        <w:rPr>
          <w:rFonts w:ascii="Garamond" w:hAnsi="Garamond"/>
        </w:rPr>
        <w:t>shows</w:t>
      </w:r>
      <w:r w:rsidRPr="00493334">
        <w:rPr>
          <w:rFonts w:ascii="Garamond" w:hAnsi="Garamond"/>
        </w:rPr>
        <w:t xml:space="preserve"> every culture </w:t>
      </w:r>
      <w:r w:rsidR="0093662C">
        <w:rPr>
          <w:rFonts w:ascii="Garamond" w:hAnsi="Garamond"/>
        </w:rPr>
        <w:t>to possess its</w:t>
      </w:r>
      <w:r w:rsidRPr="00493334">
        <w:rPr>
          <w:rFonts w:ascii="Garamond" w:hAnsi="Garamond"/>
        </w:rPr>
        <w:t xml:space="preserve"> youth, its </w:t>
      </w:r>
      <w:r w:rsidR="003F1B84" w:rsidRPr="00493334">
        <w:rPr>
          <w:rFonts w:ascii="Garamond" w:hAnsi="Garamond"/>
        </w:rPr>
        <w:t>ascent</w:t>
      </w:r>
      <w:r w:rsidRPr="00493334">
        <w:rPr>
          <w:rFonts w:ascii="Garamond" w:hAnsi="Garamond"/>
        </w:rPr>
        <w:t xml:space="preserve"> as a </w:t>
      </w:r>
      <w:r w:rsidR="00B072D8" w:rsidRPr="00493334">
        <w:rPr>
          <w:rFonts w:ascii="Garamond" w:hAnsi="Garamond"/>
        </w:rPr>
        <w:t xml:space="preserve">high </w:t>
      </w:r>
      <w:r w:rsidRPr="00493334">
        <w:rPr>
          <w:rFonts w:ascii="Garamond" w:hAnsi="Garamond"/>
        </w:rPr>
        <w:t xml:space="preserve">civilization, its geriatric decline, and its </w:t>
      </w:r>
      <w:r w:rsidRPr="00493334">
        <w:rPr>
          <w:rFonts w:ascii="Garamond" w:hAnsi="Garamond"/>
        </w:rPr>
        <w:lastRenderedPageBreak/>
        <w:t xml:space="preserve">death. </w:t>
      </w:r>
      <w:r w:rsidR="00BD28A0">
        <w:rPr>
          <w:rFonts w:ascii="Garamond" w:hAnsi="Garamond"/>
        </w:rPr>
        <w:t>T</w:t>
      </w:r>
      <w:r w:rsidR="003F1B84" w:rsidRPr="00493334">
        <w:rPr>
          <w:rFonts w:ascii="Garamond" w:hAnsi="Garamond"/>
        </w:rPr>
        <w:t>his</w:t>
      </w:r>
      <w:r w:rsidRPr="00493334">
        <w:rPr>
          <w:rFonts w:ascii="Garamond" w:hAnsi="Garamond"/>
        </w:rPr>
        <w:t xml:space="preserve"> organic progression must not be confused with a Polybian cycle. </w:t>
      </w:r>
      <w:r w:rsidR="00B55915" w:rsidRPr="00493334">
        <w:rPr>
          <w:rFonts w:ascii="Garamond" w:hAnsi="Garamond"/>
        </w:rPr>
        <w:t xml:space="preserve">No </w:t>
      </w:r>
      <w:r w:rsidRPr="00493334">
        <w:rPr>
          <w:rFonts w:ascii="Garamond" w:hAnsi="Garamond"/>
        </w:rPr>
        <w:t>dead culture can ever be recovered</w:t>
      </w:r>
      <w:r w:rsidR="00B55915" w:rsidRPr="00493334">
        <w:rPr>
          <w:rFonts w:ascii="Garamond" w:hAnsi="Garamond"/>
        </w:rPr>
        <w:t xml:space="preserve"> from the depths of its </w:t>
      </w:r>
      <w:r w:rsidR="00BD28A0">
        <w:rPr>
          <w:rFonts w:ascii="Garamond" w:hAnsi="Garamond"/>
        </w:rPr>
        <w:t>w</w:t>
      </w:r>
      <w:r w:rsidR="00B55915" w:rsidRPr="00493334">
        <w:rPr>
          <w:rFonts w:ascii="Garamond" w:hAnsi="Garamond"/>
        </w:rPr>
        <w:t>inter</w:t>
      </w:r>
      <w:r w:rsidR="0093662C">
        <w:rPr>
          <w:rFonts w:ascii="Garamond" w:hAnsi="Garamond"/>
        </w:rPr>
        <w:t xml:space="preserve"> to admit a new spring</w:t>
      </w:r>
      <w:r w:rsidRPr="00493334">
        <w:rPr>
          <w:rFonts w:ascii="Garamond" w:hAnsi="Garamond"/>
        </w:rPr>
        <w:t>. T</w:t>
      </w:r>
      <w:r w:rsidR="00BD28A0">
        <w:rPr>
          <w:rFonts w:ascii="Garamond" w:hAnsi="Garamond"/>
        </w:rPr>
        <w:t xml:space="preserve">he finality of cultural death </w:t>
      </w:r>
      <w:r w:rsidRPr="00493334">
        <w:rPr>
          <w:rFonts w:ascii="Garamond" w:hAnsi="Garamond"/>
        </w:rPr>
        <w:t xml:space="preserve">stems from the impossibility of trans-cultural translation. </w:t>
      </w:r>
      <w:r w:rsidR="00BD28A0">
        <w:rPr>
          <w:rFonts w:ascii="Garamond" w:hAnsi="Garamond"/>
        </w:rPr>
        <w:t>According to Spengler, c</w:t>
      </w:r>
      <w:r w:rsidR="00B55915" w:rsidRPr="00493334">
        <w:rPr>
          <w:rFonts w:ascii="Garamond" w:hAnsi="Garamond"/>
        </w:rPr>
        <w:t>ulture is not the expression of a universal continuum of human expression</w:t>
      </w:r>
      <w:r w:rsidR="00BD28A0">
        <w:rPr>
          <w:rFonts w:ascii="Garamond" w:hAnsi="Garamond"/>
        </w:rPr>
        <w:t>—there are cultural truths which cannot be transposed to another cultural setting</w:t>
      </w:r>
      <w:r w:rsidR="00B55915" w:rsidRPr="00493334">
        <w:rPr>
          <w:rFonts w:ascii="Garamond" w:hAnsi="Garamond"/>
        </w:rPr>
        <w:t xml:space="preserve">. </w:t>
      </w:r>
      <w:r w:rsidRPr="00493334">
        <w:rPr>
          <w:rFonts w:ascii="Garamond" w:hAnsi="Garamond"/>
        </w:rPr>
        <w:t xml:space="preserve">As Northop Frye notes about Spengler’s thesis, “cultures differ profoundly from one another”, </w:t>
      </w:r>
      <w:r w:rsidR="003F1B84" w:rsidRPr="00493334">
        <w:rPr>
          <w:rFonts w:ascii="Garamond" w:hAnsi="Garamond"/>
        </w:rPr>
        <w:t xml:space="preserve">so </w:t>
      </w:r>
      <w:r w:rsidR="00D9481B" w:rsidRPr="00493334">
        <w:rPr>
          <w:rFonts w:ascii="Garamond" w:hAnsi="Garamond"/>
        </w:rPr>
        <w:t xml:space="preserve">that rational language cannot re-articulate the inner </w:t>
      </w:r>
      <w:r w:rsidR="00170D19" w:rsidRPr="00493334">
        <w:rPr>
          <w:rFonts w:ascii="Garamond" w:hAnsi="Garamond"/>
        </w:rPr>
        <w:t xml:space="preserve">aesthetic </w:t>
      </w:r>
      <w:r w:rsidR="00D9481B" w:rsidRPr="00493334">
        <w:rPr>
          <w:rFonts w:ascii="Garamond" w:hAnsi="Garamond"/>
        </w:rPr>
        <w:t>of a culture</w:t>
      </w:r>
      <w:r w:rsidR="00B55915" w:rsidRPr="00493334">
        <w:rPr>
          <w:rFonts w:ascii="Garamond" w:hAnsi="Garamond"/>
        </w:rPr>
        <w:t>—its inner pre-rational world-coherence</w:t>
      </w:r>
      <w:r w:rsidR="00D9481B" w:rsidRPr="00493334">
        <w:rPr>
          <w:rFonts w:ascii="Garamond" w:hAnsi="Garamond"/>
        </w:rPr>
        <w:t>.</w:t>
      </w:r>
      <w:r w:rsidR="00D9481B" w:rsidRPr="00493334">
        <w:rPr>
          <w:rStyle w:val="FootnoteReference"/>
          <w:rFonts w:ascii="Garamond" w:hAnsi="Garamond"/>
        </w:rPr>
        <w:footnoteReference w:id="9"/>
      </w:r>
      <w:r w:rsidR="00D9481B" w:rsidRPr="00493334">
        <w:rPr>
          <w:rFonts w:ascii="Garamond" w:hAnsi="Garamond"/>
        </w:rPr>
        <w:t xml:space="preserve"> </w:t>
      </w:r>
      <w:r w:rsidR="00A408CB" w:rsidRPr="00493334">
        <w:rPr>
          <w:rFonts w:ascii="Garamond" w:hAnsi="Garamond"/>
        </w:rPr>
        <w:t>A culture’s coherence</w:t>
      </w:r>
      <w:r w:rsidR="00170D19" w:rsidRPr="00493334">
        <w:rPr>
          <w:rFonts w:ascii="Garamond" w:hAnsi="Garamond"/>
        </w:rPr>
        <w:t xml:space="preserve"> gains articulation</w:t>
      </w:r>
      <w:r w:rsidR="00A408CB" w:rsidRPr="00493334">
        <w:rPr>
          <w:rFonts w:ascii="Garamond" w:hAnsi="Garamond"/>
        </w:rPr>
        <w:t xml:space="preserve"> </w:t>
      </w:r>
      <w:r w:rsidR="00170D19" w:rsidRPr="00493334">
        <w:rPr>
          <w:rFonts w:ascii="Garamond" w:hAnsi="Garamond"/>
        </w:rPr>
        <w:t>in</w:t>
      </w:r>
      <w:r w:rsidR="00A408CB" w:rsidRPr="00493334">
        <w:rPr>
          <w:rFonts w:ascii="Garamond" w:hAnsi="Garamond"/>
        </w:rPr>
        <w:t xml:space="preserve"> basic ideal symbolic forms</w:t>
      </w:r>
      <w:r w:rsidR="00BD28A0">
        <w:rPr>
          <w:rFonts w:ascii="Garamond" w:hAnsi="Garamond"/>
        </w:rPr>
        <w:t xml:space="preserve"> which</w:t>
      </w:r>
      <w:r w:rsidR="00961F6D">
        <w:rPr>
          <w:rFonts w:ascii="Garamond" w:hAnsi="Garamond"/>
        </w:rPr>
        <w:t>, to the outsider,</w:t>
      </w:r>
      <w:r w:rsidR="00BD28A0">
        <w:rPr>
          <w:rFonts w:ascii="Garamond" w:hAnsi="Garamond"/>
        </w:rPr>
        <w:t xml:space="preserve"> cannot be rationally penetrated to a deeper fundamental level of cultural meaning</w:t>
      </w:r>
      <w:r w:rsidR="00A408CB" w:rsidRPr="00493334">
        <w:rPr>
          <w:rFonts w:ascii="Garamond" w:hAnsi="Garamond"/>
        </w:rPr>
        <w:t>.</w:t>
      </w:r>
      <w:r w:rsidR="00A408CB" w:rsidRPr="00493334">
        <w:rPr>
          <w:rStyle w:val="FootnoteReference"/>
          <w:rFonts w:ascii="Garamond" w:hAnsi="Garamond"/>
        </w:rPr>
        <w:footnoteReference w:id="10"/>
      </w:r>
      <w:r w:rsidR="00A408CB" w:rsidRPr="00493334">
        <w:rPr>
          <w:rFonts w:ascii="Garamond" w:hAnsi="Garamond"/>
        </w:rPr>
        <w:t xml:space="preserve"> For Faustian (Western) culture this is</w:t>
      </w:r>
      <w:r w:rsidR="00961F6D">
        <w:rPr>
          <w:rFonts w:ascii="Garamond" w:hAnsi="Garamond"/>
        </w:rPr>
        <w:t xml:space="preserve"> </w:t>
      </w:r>
      <w:r w:rsidR="0093662C">
        <w:rPr>
          <w:rFonts w:ascii="Garamond" w:hAnsi="Garamond"/>
        </w:rPr>
        <w:t>a</w:t>
      </w:r>
      <w:r w:rsidR="00961F6D">
        <w:rPr>
          <w:rFonts w:ascii="Garamond" w:hAnsi="Garamond"/>
        </w:rPr>
        <w:t xml:space="preserve"> symbology of</w:t>
      </w:r>
      <w:r w:rsidR="00A408CB" w:rsidRPr="00493334">
        <w:rPr>
          <w:rFonts w:ascii="Garamond" w:hAnsi="Garamond"/>
        </w:rPr>
        <w:t xml:space="preserve"> infinite space.</w:t>
      </w:r>
      <w:r w:rsidR="00A408CB" w:rsidRPr="00493334">
        <w:rPr>
          <w:rStyle w:val="FootnoteReference"/>
          <w:rFonts w:ascii="Garamond" w:hAnsi="Garamond"/>
        </w:rPr>
        <w:footnoteReference w:id="11"/>
      </w:r>
      <w:r w:rsidR="00A408CB" w:rsidRPr="00493334">
        <w:rPr>
          <w:rFonts w:ascii="Garamond" w:hAnsi="Garamond"/>
        </w:rPr>
        <w:t xml:space="preserve"> </w:t>
      </w:r>
      <w:r w:rsidR="00170D19" w:rsidRPr="00493334">
        <w:rPr>
          <w:rFonts w:ascii="Garamond" w:hAnsi="Garamond"/>
        </w:rPr>
        <w:t xml:space="preserve"> </w:t>
      </w:r>
      <w:r w:rsidR="00A408CB" w:rsidRPr="00493334">
        <w:rPr>
          <w:rFonts w:ascii="Garamond" w:hAnsi="Garamond"/>
        </w:rPr>
        <w:t xml:space="preserve">So, </w:t>
      </w:r>
      <w:r w:rsidR="00D9481B" w:rsidRPr="00493334">
        <w:rPr>
          <w:rFonts w:ascii="Garamond" w:hAnsi="Garamond"/>
        </w:rPr>
        <w:t xml:space="preserve">the Renaissance </w:t>
      </w:r>
      <w:r w:rsidR="00365C24" w:rsidRPr="00493334">
        <w:rPr>
          <w:rFonts w:ascii="Garamond" w:hAnsi="Garamond"/>
        </w:rPr>
        <w:t>did not</w:t>
      </w:r>
      <w:r w:rsidR="00A408CB" w:rsidRPr="00493334">
        <w:rPr>
          <w:rFonts w:ascii="Garamond" w:hAnsi="Garamond"/>
        </w:rPr>
        <w:t xml:space="preserve"> genuinely</w:t>
      </w:r>
      <w:r w:rsidR="00D9481B" w:rsidRPr="00493334">
        <w:rPr>
          <w:rFonts w:ascii="Garamond" w:hAnsi="Garamond"/>
        </w:rPr>
        <w:t xml:space="preserve"> </w:t>
      </w:r>
      <w:r w:rsidR="00365C24" w:rsidRPr="00493334">
        <w:rPr>
          <w:rFonts w:ascii="Garamond" w:hAnsi="Garamond"/>
        </w:rPr>
        <w:t>rebirth</w:t>
      </w:r>
      <w:r w:rsidR="00D9481B" w:rsidRPr="00493334">
        <w:rPr>
          <w:rFonts w:ascii="Garamond" w:hAnsi="Garamond"/>
        </w:rPr>
        <w:t xml:space="preserve"> Classical aesthetic</w:t>
      </w:r>
      <w:r w:rsidR="00365C24" w:rsidRPr="00493334">
        <w:rPr>
          <w:rFonts w:ascii="Garamond" w:hAnsi="Garamond"/>
        </w:rPr>
        <w:t>s</w:t>
      </w:r>
      <w:r w:rsidR="0024166A" w:rsidRPr="00493334">
        <w:rPr>
          <w:rFonts w:ascii="Garamond" w:hAnsi="Garamond"/>
        </w:rPr>
        <w:t xml:space="preserve">. Rather, it </w:t>
      </w:r>
      <w:r w:rsidR="00365C24" w:rsidRPr="00493334">
        <w:rPr>
          <w:rFonts w:ascii="Garamond" w:hAnsi="Garamond"/>
        </w:rPr>
        <w:t>projected</w:t>
      </w:r>
      <w:r w:rsidR="00D9481B" w:rsidRPr="00493334">
        <w:rPr>
          <w:rFonts w:ascii="Garamond" w:hAnsi="Garamond"/>
        </w:rPr>
        <w:t xml:space="preserve"> a new Faustian</w:t>
      </w:r>
      <w:r w:rsidR="00BD28A0">
        <w:rPr>
          <w:rStyle w:val="FootnoteReference"/>
          <w:rFonts w:ascii="Garamond" w:hAnsi="Garamond"/>
        </w:rPr>
        <w:footnoteReference w:id="12"/>
      </w:r>
      <w:r w:rsidR="00D9481B" w:rsidRPr="00493334">
        <w:rPr>
          <w:rFonts w:ascii="Garamond" w:hAnsi="Garamond"/>
        </w:rPr>
        <w:t xml:space="preserve"> cultural </w:t>
      </w:r>
      <w:r w:rsidR="00A408CB" w:rsidRPr="00493334">
        <w:rPr>
          <w:rFonts w:ascii="Garamond" w:hAnsi="Garamond"/>
        </w:rPr>
        <w:t>morphology</w:t>
      </w:r>
      <w:r w:rsidR="00B55915" w:rsidRPr="00493334">
        <w:rPr>
          <w:rFonts w:ascii="Garamond" w:hAnsi="Garamond"/>
        </w:rPr>
        <w:t xml:space="preserve"> and world-picture</w:t>
      </w:r>
      <w:r w:rsidR="00A408CB" w:rsidRPr="00493334">
        <w:rPr>
          <w:rFonts w:ascii="Garamond" w:hAnsi="Garamond"/>
        </w:rPr>
        <w:t>,</w:t>
      </w:r>
      <w:r w:rsidR="00BD28A0">
        <w:rPr>
          <w:rFonts w:ascii="Garamond" w:hAnsi="Garamond"/>
        </w:rPr>
        <w:t xml:space="preserve"> one driven by an aesthetic for the infinite, </w:t>
      </w:r>
      <w:r w:rsidR="00D9481B" w:rsidRPr="00493334">
        <w:rPr>
          <w:rFonts w:ascii="Garamond" w:hAnsi="Garamond"/>
        </w:rPr>
        <w:t>upon the Classical</w:t>
      </w:r>
      <w:r w:rsidR="0093662C">
        <w:rPr>
          <w:rFonts w:ascii="Garamond" w:hAnsi="Garamond"/>
        </w:rPr>
        <w:t>/</w:t>
      </w:r>
      <w:r w:rsidR="00D9481B" w:rsidRPr="00493334">
        <w:rPr>
          <w:rFonts w:ascii="Garamond" w:hAnsi="Garamond"/>
        </w:rPr>
        <w:t>Apollonian cultural form.</w:t>
      </w:r>
      <w:r w:rsidR="007D281A" w:rsidRPr="00493334">
        <w:rPr>
          <w:rFonts w:ascii="Garamond" w:hAnsi="Garamond"/>
        </w:rPr>
        <w:t xml:space="preserve"> </w:t>
      </w:r>
      <w:r w:rsidR="008F1E82">
        <w:rPr>
          <w:rFonts w:ascii="Garamond" w:hAnsi="Garamond"/>
        </w:rPr>
        <w:t>T</w:t>
      </w:r>
      <w:r w:rsidR="007D281A" w:rsidRPr="00493334">
        <w:rPr>
          <w:rFonts w:ascii="Garamond" w:hAnsi="Garamond"/>
        </w:rPr>
        <w:t>rans-cultural analogies “possess morphologically no significance</w:t>
      </w:r>
      <w:r w:rsidR="00B55915" w:rsidRPr="00493334">
        <w:rPr>
          <w:rFonts w:ascii="Garamond" w:hAnsi="Garamond"/>
        </w:rPr>
        <w:t xml:space="preserve">” </w:t>
      </w:r>
      <w:r w:rsidR="0093662C">
        <w:rPr>
          <w:rFonts w:ascii="Garamond" w:hAnsi="Garamond"/>
        </w:rPr>
        <w:t xml:space="preserve">and </w:t>
      </w:r>
      <w:r w:rsidR="008F1E82">
        <w:rPr>
          <w:rFonts w:ascii="Garamond" w:hAnsi="Garamond"/>
        </w:rPr>
        <w:t xml:space="preserve">are merely a culture’s assertion of its morphology upon the world, </w:t>
      </w:r>
      <w:r w:rsidR="00B55915" w:rsidRPr="00493334">
        <w:rPr>
          <w:rFonts w:ascii="Garamond" w:hAnsi="Garamond"/>
        </w:rPr>
        <w:t xml:space="preserve">rather than </w:t>
      </w:r>
      <w:r w:rsidR="008F1E82">
        <w:rPr>
          <w:rFonts w:ascii="Garamond" w:hAnsi="Garamond"/>
        </w:rPr>
        <w:t xml:space="preserve">a dialectical </w:t>
      </w:r>
      <w:r w:rsidR="00B55915" w:rsidRPr="00493334">
        <w:rPr>
          <w:rFonts w:ascii="Garamond" w:hAnsi="Garamond"/>
        </w:rPr>
        <w:t>transposition</w:t>
      </w:r>
      <w:r w:rsidR="007D281A" w:rsidRPr="00493334">
        <w:rPr>
          <w:rFonts w:ascii="Garamond" w:hAnsi="Garamond"/>
        </w:rPr>
        <w:t>.</w:t>
      </w:r>
      <w:r w:rsidR="00486C97" w:rsidRPr="00493334">
        <w:rPr>
          <w:rStyle w:val="FootnoteReference"/>
          <w:rFonts w:ascii="Garamond" w:hAnsi="Garamond"/>
        </w:rPr>
        <w:footnoteReference w:id="13"/>
      </w:r>
      <w:r w:rsidR="00D9481B" w:rsidRPr="00493334">
        <w:rPr>
          <w:rFonts w:ascii="Garamond" w:hAnsi="Garamond"/>
        </w:rPr>
        <w:t xml:space="preserve"> </w:t>
      </w:r>
      <w:r w:rsidR="00B55915" w:rsidRPr="00493334">
        <w:rPr>
          <w:rFonts w:ascii="Garamond" w:hAnsi="Garamond"/>
        </w:rPr>
        <w:t>Likewise</w:t>
      </w:r>
      <w:r w:rsidR="00365C24" w:rsidRPr="00493334">
        <w:rPr>
          <w:rFonts w:ascii="Garamond" w:hAnsi="Garamond"/>
        </w:rPr>
        <w:t xml:space="preserve">, </w:t>
      </w:r>
      <w:r w:rsidR="008F1E82">
        <w:rPr>
          <w:rFonts w:ascii="Garamond" w:hAnsi="Garamond"/>
        </w:rPr>
        <w:t xml:space="preserve">even </w:t>
      </w:r>
      <w:r w:rsidR="00170D19" w:rsidRPr="00493334">
        <w:rPr>
          <w:rFonts w:ascii="Garamond" w:hAnsi="Garamond"/>
        </w:rPr>
        <w:t>the “alien philosopher”</w:t>
      </w:r>
      <w:r w:rsidR="008F1E82">
        <w:rPr>
          <w:rFonts w:ascii="Garamond" w:hAnsi="Garamond"/>
        </w:rPr>
        <w:t xml:space="preserve">, armed with his rational methods, </w:t>
      </w:r>
      <w:r w:rsidR="00D9481B" w:rsidRPr="00493334">
        <w:rPr>
          <w:rFonts w:ascii="Garamond" w:hAnsi="Garamond"/>
        </w:rPr>
        <w:t xml:space="preserve">cannot sincerely step out of </w:t>
      </w:r>
      <w:r w:rsidR="008F1E82">
        <w:rPr>
          <w:rFonts w:ascii="Garamond" w:hAnsi="Garamond"/>
        </w:rPr>
        <w:t xml:space="preserve">his </w:t>
      </w:r>
      <w:r w:rsidR="00D9481B" w:rsidRPr="00493334">
        <w:rPr>
          <w:rFonts w:ascii="Garamond" w:hAnsi="Garamond"/>
        </w:rPr>
        <w:t>own cultural moment to embrace the i</w:t>
      </w:r>
      <w:r w:rsidR="003F1B84" w:rsidRPr="00493334">
        <w:rPr>
          <w:rFonts w:ascii="Garamond" w:hAnsi="Garamond"/>
        </w:rPr>
        <w:t>nner spirit</w:t>
      </w:r>
      <w:r w:rsidR="00D9481B" w:rsidRPr="00493334">
        <w:rPr>
          <w:rFonts w:ascii="Garamond" w:hAnsi="Garamond"/>
        </w:rPr>
        <w:t xml:space="preserve"> of the cultural Other.</w:t>
      </w:r>
      <w:r w:rsidR="00170D19" w:rsidRPr="00493334">
        <w:rPr>
          <w:rStyle w:val="FootnoteReference"/>
          <w:rFonts w:ascii="Garamond" w:hAnsi="Garamond"/>
        </w:rPr>
        <w:footnoteReference w:id="14"/>
      </w:r>
    </w:p>
    <w:p w14:paraId="5E97A41C" w14:textId="4A28471A" w:rsidR="00FA2C3D" w:rsidRDefault="00D9481B" w:rsidP="00FA2C3D">
      <w:pPr>
        <w:spacing w:line="276" w:lineRule="auto"/>
        <w:ind w:firstLine="720"/>
        <w:rPr>
          <w:rFonts w:ascii="Garamond" w:hAnsi="Garamond"/>
        </w:rPr>
      </w:pPr>
      <w:r w:rsidRPr="00493334">
        <w:rPr>
          <w:rFonts w:ascii="Garamond" w:hAnsi="Garamond"/>
        </w:rPr>
        <w:t>Let us consider two movements of Spengler’s argument</w:t>
      </w:r>
      <w:r w:rsidR="00FA2C3D">
        <w:rPr>
          <w:rFonts w:ascii="Garamond" w:hAnsi="Garamond"/>
        </w:rPr>
        <w:t xml:space="preserve"> which </w:t>
      </w:r>
      <w:r w:rsidR="00FA2C3D" w:rsidRPr="00493334">
        <w:rPr>
          <w:rFonts w:ascii="Garamond" w:hAnsi="Garamond"/>
        </w:rPr>
        <w:t>will clarify the constellation of reason, history, and culture.</w:t>
      </w:r>
    </w:p>
    <w:p w14:paraId="4DA59189" w14:textId="13771D38" w:rsidR="00FA2C3D" w:rsidRDefault="00D9481B" w:rsidP="00493334">
      <w:pPr>
        <w:spacing w:line="276" w:lineRule="auto"/>
        <w:ind w:firstLine="720"/>
        <w:rPr>
          <w:rFonts w:ascii="Garamond" w:hAnsi="Garamond"/>
        </w:rPr>
      </w:pPr>
      <w:r w:rsidRPr="00493334">
        <w:rPr>
          <w:rFonts w:ascii="Garamond" w:hAnsi="Garamond"/>
        </w:rPr>
        <w:t xml:space="preserve"> a) </w:t>
      </w:r>
      <w:r w:rsidR="00FA2C3D">
        <w:rPr>
          <w:rFonts w:ascii="Garamond" w:hAnsi="Garamond"/>
        </w:rPr>
        <w:t>T</w:t>
      </w:r>
      <w:r w:rsidRPr="00493334">
        <w:rPr>
          <w:rFonts w:ascii="Garamond" w:hAnsi="Garamond"/>
        </w:rPr>
        <w:t>he critique of mechanistic teleology</w:t>
      </w:r>
      <w:r w:rsidR="00FA2C3D">
        <w:rPr>
          <w:rFonts w:ascii="Garamond" w:hAnsi="Garamond"/>
        </w:rPr>
        <w:t>.</w:t>
      </w:r>
    </w:p>
    <w:p w14:paraId="009BF3BE" w14:textId="048CC73B" w:rsidR="00FA2C3D" w:rsidRDefault="00D9481B" w:rsidP="00493334">
      <w:pPr>
        <w:spacing w:line="276" w:lineRule="auto"/>
        <w:ind w:firstLine="720"/>
        <w:rPr>
          <w:rFonts w:ascii="Garamond" w:hAnsi="Garamond"/>
        </w:rPr>
      </w:pPr>
      <w:r w:rsidRPr="00493334">
        <w:rPr>
          <w:rFonts w:ascii="Garamond" w:hAnsi="Garamond"/>
        </w:rPr>
        <w:t xml:space="preserve"> </w:t>
      </w:r>
      <w:r w:rsidR="00FA2C3D">
        <w:rPr>
          <w:rFonts w:ascii="Garamond" w:hAnsi="Garamond"/>
        </w:rPr>
        <w:t>b</w:t>
      </w:r>
      <w:r w:rsidRPr="00493334">
        <w:rPr>
          <w:rFonts w:ascii="Garamond" w:hAnsi="Garamond"/>
        </w:rPr>
        <w:t xml:space="preserve">) </w:t>
      </w:r>
      <w:r w:rsidR="00FA2C3D">
        <w:rPr>
          <w:rFonts w:ascii="Garamond" w:hAnsi="Garamond"/>
        </w:rPr>
        <w:t>T</w:t>
      </w:r>
      <w:r w:rsidRPr="00493334">
        <w:rPr>
          <w:rFonts w:ascii="Garamond" w:hAnsi="Garamond"/>
        </w:rPr>
        <w:t xml:space="preserve">he possibility of </w:t>
      </w:r>
      <w:r w:rsidR="00FA2C3D">
        <w:rPr>
          <w:rFonts w:ascii="Garamond" w:hAnsi="Garamond"/>
        </w:rPr>
        <w:t>cultural death.</w:t>
      </w:r>
    </w:p>
    <w:p w14:paraId="4059BE89" w14:textId="4878930A" w:rsidR="000C020A" w:rsidRPr="00493334" w:rsidRDefault="00D9481B" w:rsidP="00493334">
      <w:pPr>
        <w:spacing w:line="276" w:lineRule="auto"/>
        <w:ind w:firstLine="360"/>
        <w:rPr>
          <w:rFonts w:ascii="Garamond" w:hAnsi="Garamond"/>
        </w:rPr>
      </w:pPr>
      <w:r w:rsidRPr="00493334">
        <w:rPr>
          <w:rFonts w:ascii="Garamond" w:hAnsi="Garamond"/>
        </w:rPr>
        <w:t xml:space="preserve">In what sense is this organic cultural progression teleological? </w:t>
      </w:r>
      <w:r w:rsidR="003F1B84" w:rsidRPr="00493334">
        <w:rPr>
          <w:rFonts w:ascii="Garamond" w:hAnsi="Garamond"/>
        </w:rPr>
        <w:t xml:space="preserve">Spengler identifies a culture’s destiny ideas as its guiding telos. </w:t>
      </w:r>
      <w:r w:rsidR="004B54B2" w:rsidRPr="00493334">
        <w:rPr>
          <w:rFonts w:ascii="Garamond" w:hAnsi="Garamond"/>
        </w:rPr>
        <w:t xml:space="preserve">Destiny is an expression of the </w:t>
      </w:r>
      <w:r w:rsidR="00551FA6" w:rsidRPr="00493334">
        <w:rPr>
          <w:rFonts w:ascii="Garamond" w:hAnsi="Garamond"/>
        </w:rPr>
        <w:t>“</w:t>
      </w:r>
      <w:r w:rsidR="004B54B2" w:rsidRPr="00493334">
        <w:rPr>
          <w:rFonts w:ascii="Garamond" w:hAnsi="Garamond"/>
        </w:rPr>
        <w:t>organic logic</w:t>
      </w:r>
      <w:r w:rsidR="00551FA6" w:rsidRPr="00493334">
        <w:rPr>
          <w:rFonts w:ascii="Garamond" w:hAnsi="Garamond"/>
        </w:rPr>
        <w:t>”</w:t>
      </w:r>
      <w:r w:rsidR="004B54B2" w:rsidRPr="00493334">
        <w:rPr>
          <w:rFonts w:ascii="Garamond" w:hAnsi="Garamond"/>
        </w:rPr>
        <w:t xml:space="preserve"> implicit in a culture’s becoming.</w:t>
      </w:r>
      <w:r w:rsidR="00551FA6" w:rsidRPr="00493334">
        <w:rPr>
          <w:rStyle w:val="FootnoteReference"/>
          <w:rFonts w:ascii="Garamond" w:hAnsi="Garamond"/>
        </w:rPr>
        <w:footnoteReference w:id="15"/>
      </w:r>
      <w:r w:rsidR="004B54B2" w:rsidRPr="00493334">
        <w:rPr>
          <w:rFonts w:ascii="Garamond" w:hAnsi="Garamond"/>
        </w:rPr>
        <w:t xml:space="preserve"> </w:t>
      </w:r>
      <w:r w:rsidR="00FA2C3D">
        <w:rPr>
          <w:rFonts w:ascii="Garamond" w:hAnsi="Garamond"/>
        </w:rPr>
        <w:t>Spengler is explicit about what destiny is not</w:t>
      </w:r>
      <w:r w:rsidR="00B34AE6">
        <w:rPr>
          <w:rFonts w:ascii="Garamond" w:hAnsi="Garamond"/>
        </w:rPr>
        <w:t xml:space="preserve">. </w:t>
      </w:r>
      <w:r w:rsidRPr="00493334">
        <w:rPr>
          <w:rFonts w:ascii="Garamond" w:hAnsi="Garamond"/>
        </w:rPr>
        <w:t>In the domain of science, Spengler explicitly rejects “teleology” as a “nonsense of nonsense.”</w:t>
      </w:r>
      <w:r w:rsidRPr="00493334">
        <w:rPr>
          <w:rStyle w:val="FootnoteReference"/>
          <w:rFonts w:ascii="Garamond" w:hAnsi="Garamond"/>
        </w:rPr>
        <w:footnoteReference w:id="16"/>
      </w:r>
      <w:r w:rsidRPr="00493334">
        <w:rPr>
          <w:rFonts w:ascii="Garamond" w:hAnsi="Garamond"/>
        </w:rPr>
        <w:t xml:space="preserve"> </w:t>
      </w:r>
      <w:r w:rsidR="003F1B84" w:rsidRPr="00493334">
        <w:rPr>
          <w:rFonts w:ascii="Garamond" w:hAnsi="Garamond"/>
        </w:rPr>
        <w:t>Specifically, this r</w:t>
      </w:r>
      <w:r w:rsidR="00365C24" w:rsidRPr="00493334">
        <w:rPr>
          <w:rFonts w:ascii="Garamond" w:hAnsi="Garamond"/>
        </w:rPr>
        <w:t>efutes</w:t>
      </w:r>
      <w:r w:rsidR="003F1B84" w:rsidRPr="00493334">
        <w:rPr>
          <w:rFonts w:ascii="Garamond" w:hAnsi="Garamond"/>
        </w:rPr>
        <w:t xml:space="preserve"> a</w:t>
      </w:r>
      <w:r w:rsidR="000C020A" w:rsidRPr="00493334">
        <w:rPr>
          <w:rFonts w:ascii="Garamond" w:hAnsi="Garamond"/>
        </w:rPr>
        <w:t xml:space="preserve"> mechanistic understanding of histor</w:t>
      </w:r>
      <w:r w:rsidR="003F1B84" w:rsidRPr="00493334">
        <w:rPr>
          <w:rFonts w:ascii="Garamond" w:hAnsi="Garamond"/>
        </w:rPr>
        <w:t xml:space="preserve">ical </w:t>
      </w:r>
      <w:r w:rsidR="000C020A" w:rsidRPr="00493334">
        <w:rPr>
          <w:rFonts w:ascii="Garamond" w:hAnsi="Garamond"/>
        </w:rPr>
        <w:t xml:space="preserve">becoming and not any core principle of teleology as I understand it. The teleological becoming of a culture is not coordinated by a causal mechanism of science, it is fulfilled </w:t>
      </w:r>
      <w:proofErr w:type="gramStart"/>
      <w:r w:rsidR="000C020A" w:rsidRPr="00493334">
        <w:rPr>
          <w:rFonts w:ascii="Garamond" w:hAnsi="Garamond"/>
        </w:rPr>
        <w:t>in itself by</w:t>
      </w:r>
      <w:proofErr w:type="gramEnd"/>
      <w:r w:rsidR="000C020A" w:rsidRPr="00493334">
        <w:rPr>
          <w:rFonts w:ascii="Garamond" w:hAnsi="Garamond"/>
        </w:rPr>
        <w:t xml:space="preserve"> its own inner </w:t>
      </w:r>
      <w:r w:rsidR="00365C24" w:rsidRPr="00493334">
        <w:rPr>
          <w:rFonts w:ascii="Garamond" w:hAnsi="Garamond"/>
        </w:rPr>
        <w:t xml:space="preserve">aesthetic </w:t>
      </w:r>
      <w:r w:rsidR="000C020A" w:rsidRPr="00493334">
        <w:rPr>
          <w:rFonts w:ascii="Garamond" w:hAnsi="Garamond"/>
        </w:rPr>
        <w:t xml:space="preserve">ideal of destiny. </w:t>
      </w:r>
      <w:r w:rsidR="00FA2C3D">
        <w:rPr>
          <w:rFonts w:ascii="Garamond" w:hAnsi="Garamond"/>
        </w:rPr>
        <w:t>Here, I</w:t>
      </w:r>
      <w:r w:rsidR="000C020A" w:rsidRPr="00493334">
        <w:rPr>
          <w:rFonts w:ascii="Garamond" w:hAnsi="Garamond"/>
        </w:rPr>
        <w:t xml:space="preserve"> </w:t>
      </w:r>
      <w:r w:rsidR="00FA2C3D">
        <w:rPr>
          <w:rFonts w:ascii="Garamond" w:hAnsi="Garamond"/>
        </w:rPr>
        <w:t xml:space="preserve">focus on </w:t>
      </w:r>
      <w:r w:rsidR="000C020A" w:rsidRPr="00493334">
        <w:rPr>
          <w:rFonts w:ascii="Garamond" w:hAnsi="Garamond"/>
        </w:rPr>
        <w:t xml:space="preserve">Chapter IV of </w:t>
      </w:r>
      <w:r w:rsidR="000C020A" w:rsidRPr="00493334">
        <w:rPr>
          <w:rFonts w:ascii="Garamond" w:hAnsi="Garamond"/>
          <w:i/>
          <w:iCs/>
        </w:rPr>
        <w:t>Decline</w:t>
      </w:r>
      <w:r w:rsidR="000C020A" w:rsidRPr="00493334">
        <w:rPr>
          <w:rFonts w:ascii="Garamond" w:hAnsi="Garamond"/>
        </w:rPr>
        <w:t xml:space="preserve"> where Spengler sharply contrasts destiny from the principle of causality to clarify his unique teleological idea.</w:t>
      </w:r>
      <w:r w:rsidR="000C020A" w:rsidRPr="00493334">
        <w:rPr>
          <w:rStyle w:val="FootnoteReference"/>
          <w:rFonts w:ascii="Garamond" w:eastAsiaTheme="majorEastAsia" w:hAnsi="Garamond"/>
        </w:rPr>
        <w:footnoteReference w:id="17"/>
      </w:r>
      <w:r w:rsidR="000C020A" w:rsidRPr="00493334">
        <w:rPr>
          <w:rFonts w:ascii="Garamond" w:hAnsi="Garamond"/>
        </w:rPr>
        <w:t xml:space="preserve"> </w:t>
      </w:r>
    </w:p>
    <w:p w14:paraId="48D87F9C" w14:textId="2F397ED7" w:rsidR="000C020A" w:rsidRPr="00493334" w:rsidRDefault="000C020A" w:rsidP="00493334">
      <w:pPr>
        <w:spacing w:line="276" w:lineRule="auto"/>
        <w:ind w:firstLine="720"/>
        <w:rPr>
          <w:rFonts w:ascii="Garamond" w:hAnsi="Garamond"/>
        </w:rPr>
      </w:pPr>
      <w:r w:rsidRPr="00493334">
        <w:rPr>
          <w:rFonts w:ascii="Garamond" w:hAnsi="Garamond"/>
        </w:rPr>
        <w:t>The principle of causality encompasses a wide genealogy of philosophical</w:t>
      </w:r>
      <w:r w:rsidR="00365C24" w:rsidRPr="00493334">
        <w:rPr>
          <w:rFonts w:ascii="Garamond" w:hAnsi="Garamond"/>
        </w:rPr>
        <w:t xml:space="preserve"> thought</w:t>
      </w:r>
      <w:r w:rsidRPr="00493334">
        <w:rPr>
          <w:rFonts w:ascii="Garamond" w:hAnsi="Garamond"/>
        </w:rPr>
        <w:t xml:space="preserve">, but Spengler’s critique particularly emphasizes Kantian, Galilean, and Newtonian paradigms. Summarizing these immense systems is impossible here. I will limit myself to a few remarks in each case. Galilean and Newtonian physics seek to establish necessary laws of the natural world which are </w:t>
      </w:r>
      <w:r w:rsidRPr="00493334">
        <w:rPr>
          <w:rFonts w:ascii="Garamond" w:hAnsi="Garamond"/>
          <w:i/>
          <w:iCs/>
        </w:rPr>
        <w:lastRenderedPageBreak/>
        <w:t xml:space="preserve">a priori </w:t>
      </w:r>
      <w:r w:rsidRPr="00493334">
        <w:rPr>
          <w:rFonts w:ascii="Garamond" w:hAnsi="Garamond"/>
        </w:rPr>
        <w:t xml:space="preserve">determined on a causal basis. Husserl himself notes in the </w:t>
      </w:r>
      <w:r w:rsidRPr="00493334">
        <w:rPr>
          <w:rFonts w:ascii="Garamond" w:hAnsi="Garamond"/>
          <w:i/>
          <w:iCs/>
        </w:rPr>
        <w:t xml:space="preserve">Crisis </w:t>
      </w:r>
      <w:r w:rsidRPr="00493334">
        <w:rPr>
          <w:rFonts w:ascii="Garamond" w:hAnsi="Garamond"/>
        </w:rPr>
        <w:t xml:space="preserve">that the </w:t>
      </w:r>
      <w:r w:rsidRPr="00493334">
        <w:rPr>
          <w:rFonts w:ascii="Garamond" w:hAnsi="Garamond"/>
          <w:i/>
          <w:iCs/>
        </w:rPr>
        <w:t xml:space="preserve">a priori </w:t>
      </w:r>
      <w:r w:rsidRPr="00493334">
        <w:rPr>
          <w:rFonts w:ascii="Garamond" w:hAnsi="Garamond"/>
        </w:rPr>
        <w:t>nature of Galileo’s philosophy is its cornerstone; it can project a perfect identity between the ideal mathematical world and the real.</w:t>
      </w:r>
      <w:r w:rsidRPr="00493334">
        <w:rPr>
          <w:rStyle w:val="FootnoteReference"/>
          <w:rFonts w:ascii="Garamond" w:eastAsiaTheme="majorEastAsia" w:hAnsi="Garamond"/>
        </w:rPr>
        <w:footnoteReference w:id="18"/>
      </w:r>
      <w:r w:rsidRPr="00493334">
        <w:rPr>
          <w:rFonts w:ascii="Garamond" w:hAnsi="Garamond"/>
        </w:rPr>
        <w:t xml:space="preserve"> Through this idealization, the natural philosophy of Galileo and Newton possesses the inner possibility of determining the necessity of causal events prior to their occurrence or in all possible eventualities. Yet while this is a</w:t>
      </w:r>
      <w:r w:rsidR="003A33C0" w:rsidRPr="00493334">
        <w:rPr>
          <w:rFonts w:ascii="Garamond" w:hAnsi="Garamond"/>
        </w:rPr>
        <w:t xml:space="preserve"> geometrically valid model</w:t>
      </w:r>
      <w:r w:rsidRPr="00493334">
        <w:rPr>
          <w:rFonts w:ascii="Garamond" w:hAnsi="Garamond"/>
        </w:rPr>
        <w:t>, Spengler judges it to be totally invalid in the cultural realm of historical becoming. The world of temporality, in which historical becoming occurs, is entirely antithetical to the world of spatial-physical science.</w:t>
      </w:r>
      <w:r w:rsidRPr="00493334">
        <w:rPr>
          <w:rStyle w:val="FootnoteReference"/>
          <w:rFonts w:ascii="Garamond" w:eastAsiaTheme="majorEastAsia" w:hAnsi="Garamond"/>
        </w:rPr>
        <w:footnoteReference w:id="19"/>
      </w:r>
      <w:r w:rsidRPr="00493334">
        <w:rPr>
          <w:rFonts w:ascii="Garamond" w:hAnsi="Garamond"/>
        </w:rPr>
        <w:t xml:space="preserve"> When Spengler writes that time is the counter-concept</w:t>
      </w:r>
      <w:r w:rsidR="003A33C0" w:rsidRPr="00493334">
        <w:rPr>
          <w:rStyle w:val="FootnoteReference"/>
          <w:rFonts w:ascii="Garamond" w:hAnsi="Garamond"/>
        </w:rPr>
        <w:footnoteReference w:id="20"/>
      </w:r>
      <w:r w:rsidRPr="00493334">
        <w:rPr>
          <w:rFonts w:ascii="Garamond" w:hAnsi="Garamond"/>
        </w:rPr>
        <w:t xml:space="preserve"> of space, he is not</w:t>
      </w:r>
      <w:r w:rsidR="00A64A80" w:rsidRPr="00493334">
        <w:rPr>
          <w:rFonts w:ascii="Garamond" w:hAnsi="Garamond"/>
        </w:rPr>
        <w:t xml:space="preserve"> </w:t>
      </w:r>
      <w:r w:rsidRPr="00493334">
        <w:rPr>
          <w:rFonts w:ascii="Garamond" w:hAnsi="Garamond"/>
        </w:rPr>
        <w:t>rejecting a teleological understanding of historical becoming, but rather the interpretation of temporality by way of spatial-physical causality.</w:t>
      </w:r>
      <w:r w:rsidRPr="00493334">
        <w:rPr>
          <w:rStyle w:val="FootnoteReference"/>
          <w:rFonts w:ascii="Garamond" w:eastAsiaTheme="majorEastAsia" w:hAnsi="Garamond"/>
        </w:rPr>
        <w:footnoteReference w:id="21"/>
      </w:r>
      <w:r w:rsidRPr="00493334">
        <w:rPr>
          <w:rFonts w:ascii="Garamond" w:hAnsi="Garamond"/>
        </w:rPr>
        <w:t xml:space="preserve"> The telos of Destiny resists a geometric determination in some rational schema.</w:t>
      </w:r>
    </w:p>
    <w:p w14:paraId="40502714" w14:textId="03553AB9" w:rsidR="000C020A" w:rsidRPr="00493334" w:rsidRDefault="000C020A" w:rsidP="00493334">
      <w:pPr>
        <w:spacing w:line="276" w:lineRule="auto"/>
        <w:ind w:firstLine="720"/>
        <w:rPr>
          <w:rFonts w:ascii="Garamond" w:hAnsi="Garamond"/>
        </w:rPr>
      </w:pPr>
      <w:r w:rsidRPr="00493334">
        <w:rPr>
          <w:rFonts w:ascii="Garamond" w:hAnsi="Garamond"/>
        </w:rPr>
        <w:t xml:space="preserve">Kant’s </w:t>
      </w:r>
      <w:r w:rsidR="00D712DB" w:rsidRPr="00493334">
        <w:rPr>
          <w:rFonts w:ascii="Garamond" w:hAnsi="Garamond"/>
        </w:rPr>
        <w:t xml:space="preserve">first </w:t>
      </w:r>
      <w:r w:rsidR="00D712DB" w:rsidRPr="00493334">
        <w:rPr>
          <w:rFonts w:ascii="Garamond" w:hAnsi="Garamond"/>
          <w:i/>
          <w:iCs/>
        </w:rPr>
        <w:t>Critique</w:t>
      </w:r>
      <w:r w:rsidR="003A33C0" w:rsidRPr="00493334">
        <w:rPr>
          <w:rFonts w:ascii="Garamond" w:hAnsi="Garamond"/>
        </w:rPr>
        <w:t xml:space="preserve"> follows</w:t>
      </w:r>
      <w:r w:rsidRPr="00493334">
        <w:rPr>
          <w:rFonts w:ascii="Garamond" w:hAnsi="Garamond"/>
        </w:rPr>
        <w:t xml:space="preserve"> </w:t>
      </w:r>
      <w:r w:rsidR="003A33C0" w:rsidRPr="00493334">
        <w:rPr>
          <w:rFonts w:ascii="Garamond" w:hAnsi="Garamond"/>
        </w:rPr>
        <w:t>the Newtonian</w:t>
      </w:r>
      <w:r w:rsidRPr="00493334">
        <w:rPr>
          <w:rFonts w:ascii="Garamond" w:hAnsi="Garamond"/>
        </w:rPr>
        <w:t xml:space="preserve"> conjunction of time and causality. </w:t>
      </w:r>
      <w:r w:rsidR="003A33C0" w:rsidRPr="00493334">
        <w:rPr>
          <w:rFonts w:ascii="Garamond" w:hAnsi="Garamond"/>
        </w:rPr>
        <w:t xml:space="preserve">In </w:t>
      </w:r>
      <w:r w:rsidRPr="00493334">
        <w:rPr>
          <w:rFonts w:ascii="Garamond" w:hAnsi="Garamond"/>
        </w:rPr>
        <w:t>the Second Analogy</w:t>
      </w:r>
      <w:r w:rsidR="003A33C0" w:rsidRPr="00493334">
        <w:rPr>
          <w:rFonts w:ascii="Garamond" w:hAnsi="Garamond"/>
        </w:rPr>
        <w:t xml:space="preserve"> of Experience</w:t>
      </w:r>
      <w:r w:rsidRPr="00493334">
        <w:rPr>
          <w:rFonts w:ascii="Garamond" w:hAnsi="Garamond"/>
        </w:rPr>
        <w:t xml:space="preserve">, Kant argues that the empirical consciousness of succession—that one appearance necessarily follows another—assumes the </w:t>
      </w:r>
      <w:r w:rsidRPr="00493334">
        <w:rPr>
          <w:rFonts w:ascii="Garamond" w:hAnsi="Garamond"/>
          <w:i/>
          <w:iCs/>
        </w:rPr>
        <w:t xml:space="preserve">a priori </w:t>
      </w:r>
      <w:r w:rsidRPr="00493334">
        <w:rPr>
          <w:rFonts w:ascii="Garamond" w:hAnsi="Garamond"/>
        </w:rPr>
        <w:t xml:space="preserve">consciousness of temporal succession. But if this succession is to be unified in experience, it demands a transcendental act which can synthesize the two appearances by the </w:t>
      </w:r>
      <w:r w:rsidRPr="00493334">
        <w:rPr>
          <w:rFonts w:ascii="Garamond" w:hAnsi="Garamond"/>
          <w:i/>
          <w:iCs/>
        </w:rPr>
        <w:t xml:space="preserve">a priori </w:t>
      </w:r>
      <w:r w:rsidRPr="00493334">
        <w:rPr>
          <w:rFonts w:ascii="Garamond" w:hAnsi="Garamond"/>
        </w:rPr>
        <w:t>principle of cause and effect. The relevant upshot of Kant’s proof is that the temporal becomes subsumed under the causal.</w:t>
      </w:r>
      <w:r w:rsidRPr="00493334">
        <w:rPr>
          <w:rStyle w:val="FootnoteReference"/>
          <w:rFonts w:ascii="Garamond" w:eastAsiaTheme="majorEastAsia" w:hAnsi="Garamond"/>
        </w:rPr>
        <w:footnoteReference w:id="22"/>
      </w:r>
      <w:r w:rsidRPr="00493334">
        <w:rPr>
          <w:rFonts w:ascii="Garamond" w:hAnsi="Garamond"/>
        </w:rPr>
        <w:t xml:space="preserve"> It is this Kantian </w:t>
      </w:r>
      <w:r w:rsidR="00CF2BD7" w:rsidRPr="00493334">
        <w:rPr>
          <w:rFonts w:ascii="Garamond" w:hAnsi="Garamond"/>
        </w:rPr>
        <w:t xml:space="preserve">misunderstanding of time as causal-geometrical </w:t>
      </w:r>
      <w:r w:rsidRPr="00493334">
        <w:rPr>
          <w:rFonts w:ascii="Garamond" w:hAnsi="Garamond"/>
        </w:rPr>
        <w:t>which Spengler rejects.</w:t>
      </w:r>
      <w:r w:rsidR="00CF2BD7" w:rsidRPr="00493334">
        <w:rPr>
          <w:rStyle w:val="FootnoteReference"/>
          <w:rFonts w:ascii="Garamond" w:hAnsi="Garamond"/>
        </w:rPr>
        <w:footnoteReference w:id="23"/>
      </w:r>
      <w:r w:rsidRPr="00493334">
        <w:rPr>
          <w:rFonts w:ascii="Garamond" w:hAnsi="Garamond"/>
        </w:rPr>
        <w:t xml:space="preserve"> In other words, his distaste for the term “teleology” and its “mechanistic scientific knowledge” really stems from a narrow definition of teleology in which temporality is</w:t>
      </w:r>
      <w:r w:rsidR="00365C24" w:rsidRPr="00493334">
        <w:rPr>
          <w:rFonts w:ascii="Garamond" w:hAnsi="Garamond"/>
        </w:rPr>
        <w:t xml:space="preserve"> equated</w:t>
      </w:r>
      <w:r w:rsidRPr="00493334">
        <w:rPr>
          <w:rFonts w:ascii="Garamond" w:hAnsi="Garamond"/>
        </w:rPr>
        <w:t xml:space="preserve"> </w:t>
      </w:r>
      <w:r w:rsidR="00365C24" w:rsidRPr="00493334">
        <w:rPr>
          <w:rFonts w:ascii="Garamond" w:hAnsi="Garamond"/>
        </w:rPr>
        <w:t>with</w:t>
      </w:r>
      <w:r w:rsidRPr="00493334">
        <w:rPr>
          <w:rFonts w:ascii="Garamond" w:hAnsi="Garamond"/>
        </w:rPr>
        <w:t xml:space="preserve"> causality and is interpreted as mechanically predetermined.</w:t>
      </w:r>
      <w:r w:rsidRPr="00493334">
        <w:rPr>
          <w:rStyle w:val="FootnoteReference"/>
          <w:rFonts w:ascii="Garamond" w:eastAsiaTheme="majorEastAsia" w:hAnsi="Garamond"/>
        </w:rPr>
        <w:footnoteReference w:id="24"/>
      </w:r>
      <w:r w:rsidRPr="00493334">
        <w:rPr>
          <w:rFonts w:ascii="Garamond" w:hAnsi="Garamond"/>
        </w:rPr>
        <w:t>. As Frye argues, for Spengler “the organism is supreme”, no mechanical causality dictates its decay.</w:t>
      </w:r>
      <w:r w:rsidRPr="00493334">
        <w:rPr>
          <w:rStyle w:val="FootnoteReference"/>
          <w:rFonts w:ascii="Garamond" w:eastAsiaTheme="majorEastAsia" w:hAnsi="Garamond"/>
        </w:rPr>
        <w:footnoteReference w:id="25"/>
      </w:r>
      <w:r w:rsidRPr="00493334">
        <w:rPr>
          <w:rFonts w:ascii="Garamond" w:hAnsi="Garamond"/>
        </w:rPr>
        <w:t xml:space="preserve"> </w:t>
      </w:r>
    </w:p>
    <w:p w14:paraId="1BB02039" w14:textId="317A540E" w:rsidR="001C552C" w:rsidRPr="00493334" w:rsidRDefault="000C020A" w:rsidP="00493334">
      <w:pPr>
        <w:spacing w:line="276" w:lineRule="auto"/>
        <w:ind w:firstLine="720"/>
        <w:rPr>
          <w:rFonts w:ascii="Garamond" w:hAnsi="Garamond"/>
        </w:rPr>
      </w:pPr>
      <w:r w:rsidRPr="00493334">
        <w:rPr>
          <w:rFonts w:ascii="Garamond" w:hAnsi="Garamond"/>
        </w:rPr>
        <w:t xml:space="preserve">There is a further related element of </w:t>
      </w:r>
      <w:r w:rsidR="00365C24" w:rsidRPr="00493334">
        <w:rPr>
          <w:rFonts w:ascii="Garamond" w:hAnsi="Garamond"/>
        </w:rPr>
        <w:t>this</w:t>
      </w:r>
      <w:r w:rsidRPr="00493334">
        <w:rPr>
          <w:rFonts w:ascii="Garamond" w:hAnsi="Garamond"/>
        </w:rPr>
        <w:t xml:space="preserve"> counter-rationalism: cultural symbolism. </w:t>
      </w:r>
      <w:r w:rsidR="00365C24" w:rsidRPr="00493334">
        <w:rPr>
          <w:rFonts w:ascii="Garamond" w:hAnsi="Garamond"/>
        </w:rPr>
        <w:t>Spengler argues that t</w:t>
      </w:r>
      <w:r w:rsidRPr="00493334">
        <w:rPr>
          <w:rFonts w:ascii="Garamond" w:hAnsi="Garamond"/>
        </w:rPr>
        <w:t>he basic form of a cultural idea is not something rationally articulated</w:t>
      </w:r>
      <w:r w:rsidR="00365C24" w:rsidRPr="00493334">
        <w:rPr>
          <w:rFonts w:ascii="Garamond" w:hAnsi="Garamond"/>
        </w:rPr>
        <w:t xml:space="preserve">; it </w:t>
      </w:r>
      <w:r w:rsidRPr="00493334">
        <w:rPr>
          <w:rFonts w:ascii="Garamond" w:hAnsi="Garamond"/>
        </w:rPr>
        <w:t>takes expression in cultural forms (the Gothic</w:t>
      </w:r>
      <w:r w:rsidR="001C4AAC" w:rsidRPr="00493334">
        <w:rPr>
          <w:rFonts w:ascii="Garamond" w:hAnsi="Garamond"/>
        </w:rPr>
        <w:t xml:space="preserve">, Doric, and Magian etc.). </w:t>
      </w:r>
      <w:r w:rsidRPr="00493334">
        <w:rPr>
          <w:rFonts w:ascii="Garamond" w:hAnsi="Garamond"/>
        </w:rPr>
        <w:t xml:space="preserve">Spengler’s genealogy of mathematics shows </w:t>
      </w:r>
      <w:r w:rsidR="001C552C" w:rsidRPr="00493334">
        <w:rPr>
          <w:rFonts w:ascii="Garamond" w:hAnsi="Garamond"/>
        </w:rPr>
        <w:t>mathematics</w:t>
      </w:r>
      <w:r w:rsidRPr="00493334">
        <w:rPr>
          <w:rFonts w:ascii="Garamond" w:hAnsi="Garamond"/>
        </w:rPr>
        <w:t xml:space="preserve"> to b</w:t>
      </w:r>
      <w:r w:rsidR="001C4AAC" w:rsidRPr="00493334">
        <w:rPr>
          <w:rFonts w:ascii="Garamond" w:hAnsi="Garamond"/>
        </w:rPr>
        <w:t xml:space="preserve">e one such </w:t>
      </w:r>
      <w:r w:rsidRPr="00493334">
        <w:rPr>
          <w:rFonts w:ascii="Garamond" w:hAnsi="Garamond"/>
        </w:rPr>
        <w:t>cultural form and not a universal language</w:t>
      </w:r>
      <w:r w:rsidR="001C552C" w:rsidRPr="00493334">
        <w:rPr>
          <w:rFonts w:ascii="Garamond" w:hAnsi="Garamond"/>
        </w:rPr>
        <w:t>: “Gothic Cathedrals and Doric Temples are mathematics in stone”</w:t>
      </w:r>
      <w:r w:rsidR="001C4AAC" w:rsidRPr="00493334">
        <w:rPr>
          <w:rFonts w:ascii="Garamond" w:hAnsi="Garamond"/>
        </w:rPr>
        <w:t>; aesthetic expressions of a culture’s world-picture</w:t>
      </w:r>
      <w:r w:rsidR="001C552C" w:rsidRPr="00493334">
        <w:rPr>
          <w:rFonts w:ascii="Garamond" w:hAnsi="Garamond"/>
        </w:rPr>
        <w:t>.</w:t>
      </w:r>
      <w:r w:rsidR="001C552C" w:rsidRPr="00493334">
        <w:rPr>
          <w:rStyle w:val="FootnoteReference"/>
          <w:rFonts w:ascii="Garamond" w:hAnsi="Garamond"/>
        </w:rPr>
        <w:footnoteReference w:id="26"/>
      </w:r>
      <w:r w:rsidR="001C552C" w:rsidRPr="00493334">
        <w:rPr>
          <w:rFonts w:ascii="Garamond" w:hAnsi="Garamond"/>
        </w:rPr>
        <w:t xml:space="preserve"> </w:t>
      </w:r>
      <w:r w:rsidR="001C4AAC" w:rsidRPr="00493334">
        <w:rPr>
          <w:rFonts w:ascii="Garamond" w:hAnsi="Garamond"/>
        </w:rPr>
        <w:t>E</w:t>
      </w:r>
      <w:r w:rsidR="001C552C" w:rsidRPr="00493334">
        <w:rPr>
          <w:rFonts w:ascii="Garamond" w:hAnsi="Garamond"/>
        </w:rPr>
        <w:t>very cultural world</w:t>
      </w:r>
      <w:r w:rsidR="001C4AAC" w:rsidRPr="00493334">
        <w:rPr>
          <w:rFonts w:ascii="Garamond" w:hAnsi="Garamond"/>
        </w:rPr>
        <w:t xml:space="preserve"> possesses</w:t>
      </w:r>
      <w:r w:rsidR="001C552C" w:rsidRPr="00493334">
        <w:rPr>
          <w:rFonts w:ascii="Garamond" w:hAnsi="Garamond"/>
        </w:rPr>
        <w:t xml:space="preserve"> </w:t>
      </w:r>
      <w:r w:rsidR="001C4AAC" w:rsidRPr="00493334">
        <w:rPr>
          <w:rFonts w:ascii="Garamond" w:hAnsi="Garamond"/>
        </w:rPr>
        <w:t>its own</w:t>
      </w:r>
      <w:r w:rsidR="001C552C" w:rsidRPr="00493334">
        <w:rPr>
          <w:rFonts w:ascii="Garamond" w:hAnsi="Garamond"/>
        </w:rPr>
        <w:t xml:space="preserve"> “number-worlds” and as many geometries.</w:t>
      </w:r>
      <w:r w:rsidR="001C552C" w:rsidRPr="00493334">
        <w:rPr>
          <w:rStyle w:val="FootnoteReference"/>
          <w:rFonts w:ascii="Garamond" w:hAnsi="Garamond"/>
        </w:rPr>
        <w:footnoteReference w:id="27"/>
      </w:r>
      <w:r w:rsidR="00365C24" w:rsidRPr="00493334">
        <w:rPr>
          <w:rFonts w:ascii="Garamond" w:hAnsi="Garamond"/>
        </w:rPr>
        <w:t xml:space="preserve"> </w:t>
      </w:r>
      <w:r w:rsidR="001C552C" w:rsidRPr="00493334">
        <w:rPr>
          <w:rFonts w:ascii="Garamond" w:hAnsi="Garamond"/>
        </w:rPr>
        <w:t xml:space="preserve">Spengler’s </w:t>
      </w:r>
      <w:r w:rsidR="00365C24" w:rsidRPr="00493334">
        <w:rPr>
          <w:rFonts w:ascii="Garamond" w:hAnsi="Garamond"/>
        </w:rPr>
        <w:t>interest</w:t>
      </w:r>
      <w:r w:rsidR="001C552C" w:rsidRPr="00493334">
        <w:rPr>
          <w:rFonts w:ascii="Garamond" w:hAnsi="Garamond"/>
        </w:rPr>
        <w:t xml:space="preserve"> with geometrical symbology </w:t>
      </w:r>
      <w:r w:rsidR="00365C24" w:rsidRPr="00493334">
        <w:rPr>
          <w:rFonts w:ascii="Garamond" w:hAnsi="Garamond"/>
        </w:rPr>
        <w:t>is</w:t>
      </w:r>
      <w:r w:rsidR="001C552C" w:rsidRPr="00493334">
        <w:rPr>
          <w:rFonts w:ascii="Garamond" w:hAnsi="Garamond"/>
        </w:rPr>
        <w:t xml:space="preserve"> his best attempt at cultural translation. Even </w:t>
      </w:r>
      <w:r w:rsidR="001C4AAC" w:rsidRPr="00493334">
        <w:rPr>
          <w:rFonts w:ascii="Garamond" w:hAnsi="Garamond"/>
        </w:rPr>
        <w:t>if</w:t>
      </w:r>
      <w:r w:rsidR="001C552C" w:rsidRPr="00493334">
        <w:rPr>
          <w:rFonts w:ascii="Garamond" w:hAnsi="Garamond"/>
        </w:rPr>
        <w:t xml:space="preserve"> mathematical symbols present a distinct cultural symbology, their expression of a cultural-geometrical form may be contextually transposed</w:t>
      </w:r>
      <w:r w:rsidR="005E584F" w:rsidRPr="00493334">
        <w:rPr>
          <w:rFonts w:ascii="Garamond" w:hAnsi="Garamond"/>
        </w:rPr>
        <w:t xml:space="preserve"> in spatial-extension</w:t>
      </w:r>
      <w:r w:rsidR="001C552C" w:rsidRPr="00493334">
        <w:rPr>
          <w:rFonts w:ascii="Garamond" w:hAnsi="Garamond"/>
        </w:rPr>
        <w:t xml:space="preserve">. Geometry not only express the apodicticity of mathematics but the form of a </w:t>
      </w:r>
      <w:r w:rsidR="001C4AAC" w:rsidRPr="00493334">
        <w:rPr>
          <w:rFonts w:ascii="Garamond" w:hAnsi="Garamond"/>
        </w:rPr>
        <w:t xml:space="preserve">common </w:t>
      </w:r>
      <w:r w:rsidR="001C552C" w:rsidRPr="00493334">
        <w:rPr>
          <w:rFonts w:ascii="Garamond" w:hAnsi="Garamond"/>
        </w:rPr>
        <w:t xml:space="preserve">cultural space. Cultures express the inner </w:t>
      </w:r>
      <w:r w:rsidR="001C552C" w:rsidRPr="00493334">
        <w:rPr>
          <w:rFonts w:ascii="Garamond" w:hAnsi="Garamond"/>
        </w:rPr>
        <w:lastRenderedPageBreak/>
        <w:t xml:space="preserve">idea of their own destiny through symbols which may be geometrically transposed: Gothic cathedrals extend towards the infinite, Apollonian temples express a stiff Euclidean sentiment, and Magian domes maintain a mysterious interiority. </w:t>
      </w:r>
    </w:p>
    <w:p w14:paraId="20710F7D" w14:textId="77465554" w:rsidR="005E584F" w:rsidRPr="00493334" w:rsidRDefault="001C552C" w:rsidP="00493334">
      <w:pPr>
        <w:spacing w:line="276" w:lineRule="auto"/>
        <w:ind w:firstLine="720"/>
        <w:rPr>
          <w:rFonts w:ascii="Garamond" w:hAnsi="Garamond"/>
        </w:rPr>
      </w:pPr>
      <w:r w:rsidRPr="00493334">
        <w:rPr>
          <w:rFonts w:ascii="Garamond" w:hAnsi="Garamond"/>
        </w:rPr>
        <w:t>Spengler’s rejection of rationalist</w:t>
      </w:r>
      <w:r w:rsidR="00365C24" w:rsidRPr="00493334">
        <w:rPr>
          <w:rFonts w:ascii="Garamond" w:hAnsi="Garamond"/>
        </w:rPr>
        <w:t>-</w:t>
      </w:r>
      <w:r w:rsidRPr="00493334">
        <w:rPr>
          <w:rFonts w:ascii="Garamond" w:hAnsi="Garamond"/>
        </w:rPr>
        <w:t xml:space="preserve">mechanistic model gives way to a distinctly counter-rational method of teleology. </w:t>
      </w:r>
      <w:r w:rsidR="00FA2C3D">
        <w:rPr>
          <w:rFonts w:ascii="Garamond" w:hAnsi="Garamond"/>
        </w:rPr>
        <w:t>By the counter-rational, I follow Gregory Swer’s conception of reason in Spengler as the tendency to apodictically schematize the world-as-nature i.e. Newton.</w:t>
      </w:r>
      <w:r w:rsidR="00AC43D8">
        <w:rPr>
          <w:rStyle w:val="FootnoteReference"/>
          <w:rFonts w:ascii="Garamond" w:hAnsi="Garamond"/>
        </w:rPr>
        <w:footnoteReference w:id="28"/>
      </w:r>
      <w:r w:rsidR="00E85223">
        <w:rPr>
          <w:rFonts w:ascii="Garamond" w:hAnsi="Garamond"/>
        </w:rPr>
        <w:t xml:space="preserve"> </w:t>
      </w:r>
      <w:r w:rsidR="005E584F" w:rsidRPr="00493334">
        <w:rPr>
          <w:rFonts w:ascii="Garamond" w:hAnsi="Garamond"/>
        </w:rPr>
        <w:t>As Frye eloquently summarizes: “The essential reality of this world eludes the reasoner and experimenter: it is to be attained rather by feeling, intuition, imaginative insight, and, above all, by symbolism”.</w:t>
      </w:r>
      <w:r w:rsidR="005E584F" w:rsidRPr="00493334">
        <w:rPr>
          <w:rStyle w:val="FootnoteReference"/>
          <w:rFonts w:ascii="Garamond" w:hAnsi="Garamond"/>
        </w:rPr>
        <w:footnoteReference w:id="29"/>
      </w:r>
    </w:p>
    <w:p w14:paraId="30B62EFC" w14:textId="75388A6D" w:rsidR="00170D19" w:rsidRPr="00493334" w:rsidRDefault="001C552C" w:rsidP="00493334">
      <w:pPr>
        <w:spacing w:line="276" w:lineRule="auto"/>
        <w:ind w:firstLine="720"/>
        <w:rPr>
          <w:rFonts w:ascii="Garamond" w:hAnsi="Garamond"/>
        </w:rPr>
      </w:pPr>
      <w:r w:rsidRPr="00493334">
        <w:rPr>
          <w:rFonts w:ascii="Garamond" w:hAnsi="Garamond"/>
        </w:rPr>
        <w:t xml:space="preserve">We may </w:t>
      </w:r>
      <w:r w:rsidR="005E584F" w:rsidRPr="00493334">
        <w:rPr>
          <w:rFonts w:ascii="Garamond" w:hAnsi="Garamond"/>
        </w:rPr>
        <w:t xml:space="preserve">crudely </w:t>
      </w:r>
      <w:r w:rsidRPr="00493334">
        <w:rPr>
          <w:rFonts w:ascii="Garamond" w:hAnsi="Garamond"/>
        </w:rPr>
        <w:t xml:space="preserve">distinguish Spengler from Husserl in characterizing the former’s method as proleptic and the latter’s as recollective. </w:t>
      </w:r>
      <w:r w:rsidR="00365C24" w:rsidRPr="00493334">
        <w:rPr>
          <w:rFonts w:ascii="Garamond" w:hAnsi="Garamond"/>
        </w:rPr>
        <w:t>These</w:t>
      </w:r>
      <w:r w:rsidRPr="00493334">
        <w:rPr>
          <w:rFonts w:ascii="Garamond" w:hAnsi="Garamond"/>
        </w:rPr>
        <w:t xml:space="preserve"> are methodological directions which demand </w:t>
      </w:r>
      <w:r w:rsidRPr="00493334">
        <w:rPr>
          <w:rFonts w:ascii="Garamond" w:hAnsi="Garamond"/>
          <w:i/>
          <w:iCs/>
        </w:rPr>
        <w:t>either aesthetic or rational frameworks</w:t>
      </w:r>
      <w:r w:rsidRPr="00493334">
        <w:rPr>
          <w:rFonts w:ascii="Garamond" w:hAnsi="Garamond"/>
        </w:rPr>
        <w:t xml:space="preserve">. Spengler’s method of predetermining history is not based on evidential analysis of history but on capturing the revelatory projection of </w:t>
      </w:r>
      <w:r w:rsidR="001F6AD1" w:rsidRPr="00493334">
        <w:rPr>
          <w:rFonts w:ascii="Garamond" w:hAnsi="Garamond"/>
        </w:rPr>
        <w:t xml:space="preserve">a </w:t>
      </w:r>
      <w:r w:rsidRPr="00493334">
        <w:rPr>
          <w:rFonts w:ascii="Garamond" w:hAnsi="Garamond"/>
        </w:rPr>
        <w:t xml:space="preserve">culture’s </w:t>
      </w:r>
      <w:r w:rsidR="00551FA6" w:rsidRPr="00493334">
        <w:rPr>
          <w:rFonts w:ascii="Garamond" w:hAnsi="Garamond"/>
        </w:rPr>
        <w:t>will to be realized</w:t>
      </w:r>
      <w:r w:rsidRPr="00493334">
        <w:rPr>
          <w:rFonts w:ascii="Garamond" w:hAnsi="Garamond"/>
        </w:rPr>
        <w:t xml:space="preserve">. </w:t>
      </w:r>
      <w:r w:rsidR="00551FA6" w:rsidRPr="00493334">
        <w:rPr>
          <w:rFonts w:ascii="Garamond" w:hAnsi="Garamond"/>
        </w:rPr>
        <w:t xml:space="preserve">Consider the contrary possibility. </w:t>
      </w:r>
      <w:r w:rsidRPr="00493334">
        <w:rPr>
          <w:rFonts w:ascii="Garamond" w:hAnsi="Garamond"/>
        </w:rPr>
        <w:t xml:space="preserve">If Spengler were to </w:t>
      </w:r>
      <w:r w:rsidR="00551FA6" w:rsidRPr="00493334">
        <w:rPr>
          <w:rFonts w:ascii="Garamond" w:hAnsi="Garamond"/>
        </w:rPr>
        <w:t xml:space="preserve">identify some moment of a cultural </w:t>
      </w:r>
      <w:r w:rsidR="00551FA6" w:rsidRPr="00493334">
        <w:rPr>
          <w:rFonts w:ascii="Garamond" w:hAnsi="Garamond"/>
          <w:i/>
          <w:iCs/>
        </w:rPr>
        <w:t xml:space="preserve">telos </w:t>
      </w:r>
      <w:r w:rsidR="00551FA6" w:rsidRPr="00493334">
        <w:rPr>
          <w:rFonts w:ascii="Garamond" w:hAnsi="Garamond"/>
        </w:rPr>
        <w:t>in the past</w:t>
      </w:r>
      <w:r w:rsidRPr="00493334">
        <w:rPr>
          <w:rFonts w:ascii="Garamond" w:hAnsi="Garamond"/>
        </w:rPr>
        <w:t xml:space="preserve">, he </w:t>
      </w:r>
      <w:r w:rsidR="00DD320E" w:rsidRPr="00493334">
        <w:rPr>
          <w:rFonts w:ascii="Garamond" w:hAnsi="Garamond"/>
        </w:rPr>
        <w:t>would be assessing</w:t>
      </w:r>
      <w:r w:rsidRPr="00493334">
        <w:rPr>
          <w:rFonts w:ascii="Garamond" w:hAnsi="Garamond"/>
        </w:rPr>
        <w:t xml:space="preserve"> </w:t>
      </w:r>
      <w:r w:rsidR="001F6AD1" w:rsidRPr="00493334">
        <w:rPr>
          <w:rFonts w:ascii="Garamond" w:hAnsi="Garamond"/>
        </w:rPr>
        <w:t>a schema of historical becoming based on evidence</w:t>
      </w:r>
      <w:r w:rsidR="00551FA6" w:rsidRPr="00493334">
        <w:rPr>
          <w:rFonts w:ascii="Garamond" w:hAnsi="Garamond"/>
        </w:rPr>
        <w:t xml:space="preserve">. In such a causal-evidential schema, </w:t>
      </w:r>
      <w:r w:rsidR="001F6AD1" w:rsidRPr="00493334">
        <w:rPr>
          <w:rFonts w:ascii="Garamond" w:hAnsi="Garamond"/>
        </w:rPr>
        <w:t xml:space="preserve">rational articulation of causation </w:t>
      </w:r>
      <w:r w:rsidR="00551FA6" w:rsidRPr="00493334">
        <w:rPr>
          <w:rFonts w:ascii="Garamond" w:hAnsi="Garamond"/>
        </w:rPr>
        <w:t>would determine the interpretation of historical becoming</w:t>
      </w:r>
      <w:r w:rsidR="001F6AD1" w:rsidRPr="00493334">
        <w:rPr>
          <w:rFonts w:ascii="Garamond" w:hAnsi="Garamond"/>
        </w:rPr>
        <w:t>.</w:t>
      </w:r>
      <w:r w:rsidRPr="00493334">
        <w:rPr>
          <w:rFonts w:ascii="Garamond" w:hAnsi="Garamond"/>
        </w:rPr>
        <w:t xml:space="preserve"> </w:t>
      </w:r>
      <w:r w:rsidR="001F6AD1" w:rsidRPr="00493334">
        <w:rPr>
          <w:rFonts w:ascii="Garamond" w:hAnsi="Garamond"/>
        </w:rPr>
        <w:t xml:space="preserve">Cultural epochs would </w:t>
      </w:r>
      <w:r w:rsidR="00551FA6" w:rsidRPr="00493334">
        <w:rPr>
          <w:rFonts w:ascii="Garamond" w:hAnsi="Garamond"/>
        </w:rPr>
        <w:t xml:space="preserve">be interpreted from </w:t>
      </w:r>
      <w:r w:rsidR="001F6AD1" w:rsidRPr="00493334">
        <w:rPr>
          <w:rFonts w:ascii="Garamond" w:hAnsi="Garamond"/>
        </w:rPr>
        <w:t xml:space="preserve">a </w:t>
      </w:r>
      <w:r w:rsidRPr="00493334">
        <w:rPr>
          <w:rFonts w:ascii="Garamond" w:hAnsi="Garamond"/>
        </w:rPr>
        <w:t>causal apparatus</w:t>
      </w:r>
      <w:r w:rsidR="001F6AD1" w:rsidRPr="00493334">
        <w:rPr>
          <w:rFonts w:ascii="Garamond" w:hAnsi="Garamond"/>
        </w:rPr>
        <w:t xml:space="preserve"> of method</w:t>
      </w:r>
      <w:r w:rsidR="00551FA6" w:rsidRPr="00493334">
        <w:rPr>
          <w:rFonts w:ascii="Garamond" w:hAnsi="Garamond"/>
        </w:rPr>
        <w:t xml:space="preserve">—but this is contrary to Spengler’s model. Cultures are not caused by prior cultures they develop in </w:t>
      </w:r>
      <w:proofErr w:type="gramStart"/>
      <w:r w:rsidR="00551FA6" w:rsidRPr="00493334">
        <w:rPr>
          <w:rFonts w:ascii="Garamond" w:hAnsi="Garamond"/>
        </w:rPr>
        <w:t>a</w:t>
      </w:r>
      <w:proofErr w:type="gramEnd"/>
      <w:r w:rsidR="00551FA6" w:rsidRPr="00493334">
        <w:rPr>
          <w:rFonts w:ascii="Garamond" w:hAnsi="Garamond"/>
        </w:rPr>
        <w:t xml:space="preserve"> accordance with the organic logic of their destiny.</w:t>
      </w:r>
      <w:r w:rsidR="00551FA6" w:rsidRPr="00493334">
        <w:rPr>
          <w:rStyle w:val="FootnoteReference"/>
          <w:rFonts w:ascii="Garamond" w:hAnsi="Garamond"/>
        </w:rPr>
        <w:footnoteReference w:id="30"/>
      </w:r>
      <w:r w:rsidR="00551FA6" w:rsidRPr="00493334">
        <w:rPr>
          <w:rFonts w:ascii="Garamond" w:hAnsi="Garamond"/>
        </w:rPr>
        <w:t xml:space="preserve"> </w:t>
      </w:r>
    </w:p>
    <w:p w14:paraId="2F691D74" w14:textId="43FC1F11" w:rsidR="00315DFD" w:rsidRPr="00493334" w:rsidRDefault="00E63E5D" w:rsidP="00493334">
      <w:pPr>
        <w:spacing w:line="276" w:lineRule="auto"/>
        <w:ind w:firstLine="720"/>
        <w:rPr>
          <w:rFonts w:ascii="Garamond" w:hAnsi="Garamond"/>
        </w:rPr>
      </w:pPr>
      <w:r w:rsidRPr="00493334">
        <w:rPr>
          <w:rFonts w:ascii="Garamond" w:hAnsi="Garamond"/>
        </w:rPr>
        <w:t>Despite the</w:t>
      </w:r>
      <w:r w:rsidR="001C552C" w:rsidRPr="00493334">
        <w:rPr>
          <w:rFonts w:ascii="Garamond" w:hAnsi="Garamond"/>
        </w:rPr>
        <w:t xml:space="preserve"> dense historical erudition of </w:t>
      </w:r>
      <w:r w:rsidR="001C552C" w:rsidRPr="00493334">
        <w:rPr>
          <w:rFonts w:ascii="Garamond" w:hAnsi="Garamond"/>
          <w:i/>
          <w:iCs/>
        </w:rPr>
        <w:t>Decline</w:t>
      </w:r>
      <w:r w:rsidR="001C552C" w:rsidRPr="00493334">
        <w:rPr>
          <w:rFonts w:ascii="Garamond" w:hAnsi="Garamond"/>
        </w:rPr>
        <w:t>, Spengler’s goal is never historical nor rational reconstruction</w:t>
      </w:r>
      <w:r w:rsidR="00170D19" w:rsidRPr="00493334">
        <w:rPr>
          <w:rFonts w:ascii="Garamond" w:hAnsi="Garamond"/>
        </w:rPr>
        <w:t xml:space="preserve"> on the basis of historical evidence</w:t>
      </w:r>
      <w:r w:rsidR="001C552C" w:rsidRPr="00493334">
        <w:rPr>
          <w:rFonts w:ascii="Garamond" w:hAnsi="Garamond"/>
        </w:rPr>
        <w:t xml:space="preserve">. The </w:t>
      </w:r>
      <w:r w:rsidR="001C552C" w:rsidRPr="00493334">
        <w:rPr>
          <w:rFonts w:ascii="Garamond" w:hAnsi="Garamond"/>
          <w:i/>
          <w:iCs/>
        </w:rPr>
        <w:t xml:space="preserve">Decline </w:t>
      </w:r>
      <w:r w:rsidR="00DD320E" w:rsidRPr="00493334">
        <w:rPr>
          <w:rFonts w:ascii="Garamond" w:hAnsi="Garamond"/>
        </w:rPr>
        <w:t xml:space="preserve">claims (mistakenly) to be a </w:t>
      </w:r>
      <w:r w:rsidR="001C552C" w:rsidRPr="00493334">
        <w:rPr>
          <w:rFonts w:ascii="Garamond" w:hAnsi="Garamond"/>
        </w:rPr>
        <w:t>first attempt at “predetermining history, of following the still unraveled stages in the destiny of culture” and therefore takes not the past but the future as its object.</w:t>
      </w:r>
      <w:r w:rsidR="001C552C" w:rsidRPr="00493334">
        <w:rPr>
          <w:rStyle w:val="FootnoteReference"/>
          <w:rFonts w:ascii="Garamond" w:eastAsiaTheme="majorEastAsia" w:hAnsi="Garamond"/>
        </w:rPr>
        <w:footnoteReference w:id="31"/>
      </w:r>
      <w:r w:rsidR="001C552C" w:rsidRPr="00493334">
        <w:rPr>
          <w:rFonts w:ascii="Garamond" w:hAnsi="Garamond"/>
        </w:rPr>
        <w:t xml:space="preserve"> </w:t>
      </w:r>
      <w:r w:rsidR="00315DFD" w:rsidRPr="00493334">
        <w:rPr>
          <w:rFonts w:ascii="Garamond" w:hAnsi="Garamond"/>
        </w:rPr>
        <w:t>One may protest that Spengler does appear intimately concerned with reconstructing the events of history and comparing the organic lives of different cultures. Indeed, Spengler comparison of Apollonian, Faustian, and Magian cultures demands a great deal of historical literacy.</w:t>
      </w:r>
      <w:r w:rsidR="007D281A" w:rsidRPr="00493334">
        <w:rPr>
          <w:rStyle w:val="FootnoteReference"/>
          <w:rFonts w:ascii="Garamond" w:hAnsi="Garamond"/>
        </w:rPr>
        <w:footnoteReference w:id="32"/>
      </w:r>
      <w:r w:rsidR="00315DFD" w:rsidRPr="00493334">
        <w:rPr>
          <w:rFonts w:ascii="Garamond" w:hAnsi="Garamond"/>
        </w:rPr>
        <w:t xml:space="preserve"> But even in this positivistic project, Spengler never aims at a constructing a super-organic explanatory principle which, as a method, stands on rationalist grounds.</w:t>
      </w:r>
      <w:r w:rsidR="00170D19" w:rsidRPr="00493334">
        <w:rPr>
          <w:rFonts w:ascii="Garamond" w:hAnsi="Garamond"/>
        </w:rPr>
        <w:t xml:space="preserve"> </w:t>
      </w:r>
    </w:p>
    <w:p w14:paraId="3BF527AF" w14:textId="38BC6655" w:rsidR="00315DFD" w:rsidRPr="00493334" w:rsidRDefault="00315DFD" w:rsidP="00493334">
      <w:pPr>
        <w:spacing w:line="276" w:lineRule="auto"/>
        <w:ind w:firstLine="720"/>
        <w:rPr>
          <w:rFonts w:ascii="Garamond" w:hAnsi="Garamond"/>
        </w:rPr>
      </w:pPr>
      <w:r w:rsidRPr="00493334">
        <w:rPr>
          <w:rFonts w:ascii="Garamond" w:hAnsi="Garamond"/>
        </w:rPr>
        <w:t>How then is the destiny-idea teleological while resisting rational schematization</w:t>
      </w:r>
      <w:r w:rsidR="00E63E5D" w:rsidRPr="00493334">
        <w:rPr>
          <w:rFonts w:ascii="Garamond" w:hAnsi="Garamond"/>
        </w:rPr>
        <w:t>?</w:t>
      </w:r>
      <w:r w:rsidRPr="00493334">
        <w:rPr>
          <w:rFonts w:ascii="Garamond" w:hAnsi="Garamond"/>
        </w:rPr>
        <w:t xml:space="preserve"> I think the </w:t>
      </w:r>
      <w:r w:rsidR="00711083" w:rsidRPr="00493334">
        <w:rPr>
          <w:rFonts w:ascii="Garamond" w:hAnsi="Garamond"/>
        </w:rPr>
        <w:t xml:space="preserve">moment </w:t>
      </w:r>
      <w:r w:rsidRPr="00493334">
        <w:rPr>
          <w:rFonts w:ascii="Garamond" w:hAnsi="Garamond"/>
        </w:rPr>
        <w:t xml:space="preserve">of cultural death will help clarify. As a guiding concept, the destiny-idea is intended to explain the </w:t>
      </w:r>
      <w:proofErr w:type="gramStart"/>
      <w:r w:rsidRPr="00493334">
        <w:rPr>
          <w:rFonts w:ascii="Garamond" w:hAnsi="Garamond"/>
        </w:rPr>
        <w:t>manner in which</w:t>
      </w:r>
      <w:proofErr w:type="gramEnd"/>
      <w:r w:rsidRPr="00493334">
        <w:rPr>
          <w:rFonts w:ascii="Garamond" w:hAnsi="Garamond"/>
        </w:rPr>
        <w:t xml:space="preserve"> a culture teleologically develops and decays in accordance with its inner aesthetic ideal:</w:t>
      </w:r>
    </w:p>
    <w:p w14:paraId="1A0CA500" w14:textId="47003CFD" w:rsidR="00315DFD" w:rsidRPr="00493334" w:rsidRDefault="00315DFD" w:rsidP="00493334">
      <w:pPr>
        <w:spacing w:line="276" w:lineRule="auto"/>
        <w:ind w:firstLine="720"/>
        <w:rPr>
          <w:rFonts w:ascii="Garamond" w:hAnsi="Garamond"/>
        </w:rPr>
      </w:pPr>
    </w:p>
    <w:p w14:paraId="05B154D6" w14:textId="77777777" w:rsidR="00315DFD" w:rsidRPr="00493334" w:rsidRDefault="00315DFD" w:rsidP="00493334">
      <w:pPr>
        <w:spacing w:line="276" w:lineRule="auto"/>
        <w:ind w:left="720" w:right="720"/>
        <w:rPr>
          <w:rFonts w:ascii="Garamond" w:hAnsi="Garamond"/>
        </w:rPr>
      </w:pPr>
      <w:r w:rsidRPr="00493334">
        <w:rPr>
          <w:rFonts w:ascii="Garamond" w:hAnsi="Garamond"/>
        </w:rPr>
        <w:lastRenderedPageBreak/>
        <w:t>“The Civilization is the inevitable destiny of the Culture…They are a conclusion, the thing-become succeeding the thing-becoming, death following life, rigidity following expansion, intellectual age and the stone built, petrifying world-city following mother-earth and the spiritual childhood of</w:t>
      </w:r>
      <w:r w:rsidRPr="00493334">
        <w:rPr>
          <w:rStyle w:val="FootnoteReference"/>
          <w:rFonts w:ascii="Garamond" w:eastAsiaTheme="majorEastAsia" w:hAnsi="Garamond"/>
        </w:rPr>
        <w:footnoteReference w:id="33"/>
      </w:r>
      <w:r w:rsidRPr="00493334">
        <w:rPr>
          <w:rFonts w:ascii="Garamond" w:hAnsi="Garamond"/>
        </w:rPr>
        <w:t xml:space="preserve"> Doric and Gothic. They are an end, irrevocable, yet by inward necessity reached again and again”.</w:t>
      </w:r>
      <w:r w:rsidRPr="00493334">
        <w:rPr>
          <w:rStyle w:val="FootnoteReference"/>
          <w:rFonts w:ascii="Garamond" w:eastAsiaTheme="majorEastAsia" w:hAnsi="Garamond"/>
        </w:rPr>
        <w:footnoteReference w:id="34"/>
      </w:r>
      <w:r w:rsidRPr="00493334">
        <w:rPr>
          <w:rFonts w:ascii="Garamond" w:hAnsi="Garamond"/>
        </w:rPr>
        <w:t xml:space="preserve"> </w:t>
      </w:r>
    </w:p>
    <w:p w14:paraId="31D747E0" w14:textId="77777777" w:rsidR="00315DFD" w:rsidRPr="00493334" w:rsidRDefault="00315DFD" w:rsidP="00493334">
      <w:pPr>
        <w:spacing w:line="276" w:lineRule="auto"/>
        <w:rPr>
          <w:rFonts w:ascii="Garamond" w:hAnsi="Garamond"/>
        </w:rPr>
      </w:pPr>
    </w:p>
    <w:p w14:paraId="3142D62A" w14:textId="00132A09" w:rsidR="00315DFD" w:rsidRPr="00493334" w:rsidRDefault="00E63E5D" w:rsidP="00493334">
      <w:pPr>
        <w:spacing w:line="276" w:lineRule="auto"/>
        <w:ind w:firstLine="720"/>
        <w:rPr>
          <w:rFonts w:ascii="Garamond" w:hAnsi="Garamond"/>
        </w:rPr>
      </w:pPr>
      <w:r w:rsidRPr="00493334">
        <w:rPr>
          <w:rFonts w:ascii="Garamond" w:hAnsi="Garamond"/>
        </w:rPr>
        <w:t>This</w:t>
      </w:r>
      <w:r w:rsidR="00315DFD" w:rsidRPr="00493334">
        <w:rPr>
          <w:rFonts w:ascii="Garamond" w:hAnsi="Garamond"/>
        </w:rPr>
        <w:t xml:space="preserve"> is paradigmatic of teleological history</w:t>
      </w:r>
      <w:r w:rsidRPr="00493334">
        <w:rPr>
          <w:rFonts w:ascii="Garamond" w:hAnsi="Garamond"/>
        </w:rPr>
        <w:t>.</w:t>
      </w:r>
      <w:r w:rsidR="008E6833" w:rsidRPr="00493334">
        <w:rPr>
          <w:rFonts w:ascii="Garamond" w:hAnsi="Garamond"/>
        </w:rPr>
        <w:t xml:space="preserve"> I draw one’s attention to two features.</w:t>
      </w:r>
      <w:r w:rsidRPr="00493334">
        <w:rPr>
          <w:rFonts w:ascii="Garamond" w:hAnsi="Garamond"/>
        </w:rPr>
        <w:t xml:space="preserve"> </w:t>
      </w:r>
      <w:r w:rsidR="008E6833" w:rsidRPr="00493334">
        <w:rPr>
          <w:rFonts w:ascii="Garamond" w:hAnsi="Garamond"/>
        </w:rPr>
        <w:t xml:space="preserve">High civilizations </w:t>
      </w:r>
      <w:r w:rsidR="00315DFD" w:rsidRPr="00493334">
        <w:rPr>
          <w:rFonts w:ascii="Garamond" w:hAnsi="Garamond"/>
        </w:rPr>
        <w:t xml:space="preserve">are both the destiny of a culture and </w:t>
      </w:r>
      <w:r w:rsidR="00CD43E9" w:rsidRPr="00493334">
        <w:rPr>
          <w:rFonts w:ascii="Garamond" w:hAnsi="Garamond"/>
        </w:rPr>
        <w:t xml:space="preserve">counter-intuitively also </w:t>
      </w:r>
      <w:r w:rsidR="00315DFD" w:rsidRPr="00493334">
        <w:rPr>
          <w:rFonts w:ascii="Garamond" w:hAnsi="Garamond"/>
        </w:rPr>
        <w:t>the death of a culture</w:t>
      </w:r>
      <w:r w:rsidR="008E6833" w:rsidRPr="00493334">
        <w:rPr>
          <w:rFonts w:ascii="Garamond" w:hAnsi="Garamond"/>
        </w:rPr>
        <w:t>.</w:t>
      </w:r>
      <w:r w:rsidR="00315DFD" w:rsidRPr="00493334">
        <w:rPr>
          <w:rFonts w:ascii="Garamond" w:hAnsi="Garamond"/>
        </w:rPr>
        <w:t xml:space="preserve"> To identify destiny with death </w:t>
      </w:r>
      <w:r w:rsidR="008E6833" w:rsidRPr="00493334">
        <w:rPr>
          <w:rFonts w:ascii="Garamond" w:hAnsi="Garamond"/>
        </w:rPr>
        <w:t xml:space="preserve">signifies that the </w:t>
      </w:r>
      <w:r w:rsidR="00315DFD" w:rsidRPr="00493334">
        <w:rPr>
          <w:rFonts w:ascii="Garamond" w:hAnsi="Garamond"/>
        </w:rPr>
        <w:t>destiny idea implies an eventual fatalism</w:t>
      </w:r>
      <w:r w:rsidR="00CD43E9" w:rsidRPr="00493334">
        <w:rPr>
          <w:rFonts w:ascii="Garamond" w:hAnsi="Garamond"/>
        </w:rPr>
        <w:t>—</w:t>
      </w:r>
      <w:r w:rsidR="008E6833" w:rsidRPr="00493334">
        <w:rPr>
          <w:rFonts w:ascii="Garamond" w:hAnsi="Garamond"/>
        </w:rPr>
        <w:t>the civilization articulates the final cause of a culture</w:t>
      </w:r>
      <w:r w:rsidR="00CD43E9" w:rsidRPr="00493334">
        <w:rPr>
          <w:rFonts w:ascii="Garamond" w:hAnsi="Garamond"/>
        </w:rPr>
        <w:t>’s world-picture.</w:t>
      </w:r>
      <w:r w:rsidR="008E6833" w:rsidRPr="00493334">
        <w:rPr>
          <w:rFonts w:ascii="Garamond" w:hAnsi="Garamond"/>
        </w:rPr>
        <w:t xml:space="preserve"> Furthermore, note that the mode of this articulation</w:t>
      </w:r>
      <w:r w:rsidR="00315DFD" w:rsidRPr="00493334">
        <w:rPr>
          <w:rFonts w:ascii="Garamond" w:hAnsi="Garamond"/>
        </w:rPr>
        <w:t xml:space="preserve"> is a distinctly </w:t>
      </w:r>
      <w:r w:rsidR="008E6833" w:rsidRPr="00493334">
        <w:rPr>
          <w:rFonts w:ascii="Garamond" w:hAnsi="Garamond"/>
          <w:i/>
          <w:iCs/>
        </w:rPr>
        <w:t>aesthetic</w:t>
      </w:r>
      <w:r w:rsidR="008E6833" w:rsidRPr="00493334">
        <w:rPr>
          <w:rFonts w:ascii="Garamond" w:hAnsi="Garamond"/>
        </w:rPr>
        <w:t xml:space="preserve">. </w:t>
      </w:r>
      <w:r w:rsidR="00315DFD" w:rsidRPr="00493334">
        <w:rPr>
          <w:rFonts w:ascii="Garamond" w:hAnsi="Garamond"/>
        </w:rPr>
        <w:t>The inner truth(s) of a civilization are not something which take primary expression in propositional</w:t>
      </w:r>
      <w:r w:rsidRPr="00493334">
        <w:rPr>
          <w:rFonts w:ascii="Garamond" w:hAnsi="Garamond"/>
        </w:rPr>
        <w:t xml:space="preserve"> speech.</w:t>
      </w:r>
      <w:r w:rsidR="008E6833" w:rsidRPr="00493334">
        <w:rPr>
          <w:rFonts w:ascii="Garamond" w:hAnsi="Garamond"/>
        </w:rPr>
        <w:t xml:space="preserve"> Rather, rationalism is merely the progressive articulation of a deeper </w:t>
      </w:r>
      <w:r w:rsidR="008E6833" w:rsidRPr="00493334">
        <w:rPr>
          <w:rFonts w:ascii="Garamond" w:hAnsi="Garamond"/>
          <w:i/>
          <w:iCs/>
        </w:rPr>
        <w:t xml:space="preserve">a priori </w:t>
      </w:r>
      <w:r w:rsidR="008E6833" w:rsidRPr="00493334">
        <w:rPr>
          <w:rFonts w:ascii="Garamond" w:hAnsi="Garamond"/>
        </w:rPr>
        <w:t>cultural aesthetic</w:t>
      </w:r>
      <w:r w:rsidR="002956E8" w:rsidRPr="00493334">
        <w:rPr>
          <w:rFonts w:ascii="Garamond" w:hAnsi="Garamond"/>
        </w:rPr>
        <w:t xml:space="preserve"> coherency</w:t>
      </w:r>
      <w:r w:rsidR="008E6833" w:rsidRPr="00493334">
        <w:rPr>
          <w:rFonts w:ascii="Garamond" w:hAnsi="Garamond"/>
        </w:rPr>
        <w:t xml:space="preserve">. </w:t>
      </w:r>
      <w:r w:rsidR="002956E8" w:rsidRPr="00493334">
        <w:rPr>
          <w:rFonts w:ascii="Garamond" w:hAnsi="Garamond"/>
        </w:rPr>
        <w:t>It is only in a civilization’s high/late stage when</w:t>
      </w:r>
      <w:r w:rsidR="00315DFD" w:rsidRPr="00493334">
        <w:rPr>
          <w:rFonts w:ascii="Garamond" w:hAnsi="Garamond"/>
        </w:rPr>
        <w:t xml:space="preserve"> scientific-rational system</w:t>
      </w:r>
      <w:r w:rsidR="008E6833" w:rsidRPr="00493334">
        <w:rPr>
          <w:rFonts w:ascii="Garamond" w:hAnsi="Garamond"/>
        </w:rPr>
        <w:t>s</w:t>
      </w:r>
      <w:r w:rsidR="00315DFD" w:rsidRPr="00493334">
        <w:rPr>
          <w:rFonts w:ascii="Garamond" w:hAnsi="Garamond"/>
        </w:rPr>
        <w:t xml:space="preserve"> are</w:t>
      </w:r>
      <w:r w:rsidR="008E6833" w:rsidRPr="00493334">
        <w:rPr>
          <w:rFonts w:ascii="Garamond" w:hAnsi="Garamond"/>
        </w:rPr>
        <w:t xml:space="preserve"> developed</w:t>
      </w:r>
      <w:r w:rsidR="00315DFD" w:rsidRPr="00493334">
        <w:rPr>
          <w:rFonts w:ascii="Garamond" w:hAnsi="Garamond"/>
        </w:rPr>
        <w:t xml:space="preserve"> to </w:t>
      </w:r>
      <w:r w:rsidR="008E6833" w:rsidRPr="00493334">
        <w:rPr>
          <w:rFonts w:ascii="Garamond" w:hAnsi="Garamond"/>
        </w:rPr>
        <w:t xml:space="preserve">articulate </w:t>
      </w:r>
      <w:r w:rsidR="002956E8" w:rsidRPr="00493334">
        <w:rPr>
          <w:rFonts w:ascii="Garamond" w:hAnsi="Garamond"/>
        </w:rPr>
        <w:t>this inarticulable world-picture</w:t>
      </w:r>
      <w:r w:rsidR="008E6833" w:rsidRPr="00493334">
        <w:rPr>
          <w:rFonts w:ascii="Garamond" w:hAnsi="Garamond"/>
        </w:rPr>
        <w:t xml:space="preserve">, </w:t>
      </w:r>
      <w:r w:rsidR="00315DFD" w:rsidRPr="00493334">
        <w:rPr>
          <w:rFonts w:ascii="Garamond" w:hAnsi="Garamond"/>
        </w:rPr>
        <w:t>to rationalize what is fundamentally counter-rational.</w:t>
      </w:r>
      <w:r w:rsidR="00315DFD" w:rsidRPr="00493334">
        <w:rPr>
          <w:rStyle w:val="FootnoteReference"/>
          <w:rFonts w:ascii="Garamond" w:eastAsiaTheme="majorEastAsia" w:hAnsi="Garamond"/>
        </w:rPr>
        <w:footnoteReference w:id="35"/>
      </w:r>
      <w:r w:rsidR="008E6833" w:rsidRPr="00493334">
        <w:rPr>
          <w:rFonts w:ascii="Garamond" w:hAnsi="Garamond"/>
        </w:rPr>
        <w:t xml:space="preserve"> </w:t>
      </w:r>
      <w:r w:rsidR="002956E8" w:rsidRPr="00493334">
        <w:rPr>
          <w:rFonts w:ascii="Garamond" w:hAnsi="Garamond"/>
        </w:rPr>
        <w:t>Yet</w:t>
      </w:r>
      <w:r w:rsidR="008E6833" w:rsidRPr="00493334">
        <w:rPr>
          <w:rFonts w:ascii="Garamond" w:hAnsi="Garamond"/>
        </w:rPr>
        <w:t xml:space="preserve"> even as such developments attempt to permanently instantiate </w:t>
      </w:r>
      <w:r w:rsidR="002956E8" w:rsidRPr="00493334">
        <w:rPr>
          <w:rFonts w:ascii="Garamond" w:hAnsi="Garamond"/>
        </w:rPr>
        <w:t>a culture’s</w:t>
      </w:r>
      <w:r w:rsidR="008E6833" w:rsidRPr="00493334">
        <w:rPr>
          <w:rFonts w:ascii="Garamond" w:hAnsi="Garamond"/>
        </w:rPr>
        <w:t xml:space="preserve"> own world-picture, </w:t>
      </w:r>
      <w:r w:rsidR="002956E8" w:rsidRPr="00493334">
        <w:rPr>
          <w:rFonts w:ascii="Garamond" w:hAnsi="Garamond"/>
        </w:rPr>
        <w:t xml:space="preserve">its </w:t>
      </w:r>
      <w:r w:rsidR="008E6833" w:rsidRPr="00493334">
        <w:rPr>
          <w:rFonts w:ascii="Garamond" w:hAnsi="Garamond"/>
        </w:rPr>
        <w:t xml:space="preserve">grasp for rational permanence indicates </w:t>
      </w:r>
      <w:r w:rsidR="002956E8" w:rsidRPr="00493334">
        <w:rPr>
          <w:rFonts w:ascii="Garamond" w:hAnsi="Garamond"/>
        </w:rPr>
        <w:t>only a</w:t>
      </w:r>
      <w:r w:rsidR="008E6833" w:rsidRPr="00493334">
        <w:rPr>
          <w:rFonts w:ascii="Garamond" w:hAnsi="Garamond"/>
        </w:rPr>
        <w:t xml:space="preserve"> </w:t>
      </w:r>
      <w:r w:rsidR="003F18C2">
        <w:rPr>
          <w:rFonts w:ascii="Garamond" w:hAnsi="Garamond"/>
        </w:rPr>
        <w:t xml:space="preserve">temporary </w:t>
      </w:r>
      <w:r w:rsidR="008E6833" w:rsidRPr="00493334">
        <w:rPr>
          <w:rFonts w:ascii="Garamond" w:hAnsi="Garamond"/>
        </w:rPr>
        <w:t xml:space="preserve">overcoming of a culture’s own finitude. </w:t>
      </w:r>
      <w:r w:rsidR="00315DFD" w:rsidRPr="00493334">
        <w:rPr>
          <w:rFonts w:ascii="Garamond" w:hAnsi="Garamond"/>
        </w:rPr>
        <w:t xml:space="preserve"> In this rationalization of one’s destiny-idea, cultural productivity is spent, </w:t>
      </w:r>
      <w:r w:rsidRPr="00493334">
        <w:rPr>
          <w:rFonts w:ascii="Garamond" w:hAnsi="Garamond"/>
        </w:rPr>
        <w:t>portending</w:t>
      </w:r>
      <w:r w:rsidR="00315DFD" w:rsidRPr="00493334">
        <w:rPr>
          <w:rFonts w:ascii="Garamond" w:hAnsi="Garamond"/>
        </w:rPr>
        <w:t xml:space="preserve"> a final death</w:t>
      </w:r>
      <w:r w:rsidR="003F18C2">
        <w:rPr>
          <w:rFonts w:ascii="Garamond" w:hAnsi="Garamond"/>
        </w:rPr>
        <w:t>;</w:t>
      </w:r>
      <w:r w:rsidR="008E6833" w:rsidRPr="00493334">
        <w:rPr>
          <w:rFonts w:ascii="Garamond" w:hAnsi="Garamond"/>
        </w:rPr>
        <w:t xml:space="preserve"> highest expression</w:t>
      </w:r>
      <w:r w:rsidR="00AC43D8">
        <w:rPr>
          <w:rFonts w:ascii="Garamond" w:hAnsi="Garamond"/>
        </w:rPr>
        <w:t xml:space="preserve"> of world-picture</w:t>
      </w:r>
      <w:r w:rsidR="008E6833" w:rsidRPr="00493334">
        <w:rPr>
          <w:rFonts w:ascii="Garamond" w:hAnsi="Garamond"/>
        </w:rPr>
        <w:t xml:space="preserve"> has been obtained at the expense of detachment from one’s fundamental inner aesthetic ideal</w:t>
      </w:r>
      <w:r w:rsidR="00315DFD" w:rsidRPr="00493334">
        <w:rPr>
          <w:rFonts w:ascii="Garamond" w:hAnsi="Garamond"/>
        </w:rPr>
        <w:t>. A late-stage civilization develops a scientific system post facto, in a futile overcoming of a “death that cannot be evaded”.</w:t>
      </w:r>
      <w:r w:rsidR="00315DFD" w:rsidRPr="00493334">
        <w:rPr>
          <w:rStyle w:val="FootnoteReference"/>
          <w:rFonts w:ascii="Garamond" w:eastAsiaTheme="majorEastAsia" w:hAnsi="Garamond"/>
        </w:rPr>
        <w:footnoteReference w:id="36"/>
      </w:r>
      <w:r w:rsidR="0024166A" w:rsidRPr="00493334">
        <w:rPr>
          <w:rFonts w:ascii="Garamond" w:hAnsi="Garamond"/>
        </w:rPr>
        <w:t xml:space="preserve"> Therefore, even if Spengler critiques the mathematical-sciences, they are at the same time the tool for a culture to articulate its highest expression of its civilization</w:t>
      </w:r>
      <w:r w:rsidR="002956E8" w:rsidRPr="00493334">
        <w:rPr>
          <w:rFonts w:ascii="Garamond" w:hAnsi="Garamond"/>
        </w:rPr>
        <w:t>—an ultimate crescendo</w:t>
      </w:r>
      <w:r w:rsidR="0024166A" w:rsidRPr="00493334">
        <w:rPr>
          <w:rFonts w:ascii="Garamond" w:hAnsi="Garamond"/>
        </w:rPr>
        <w:t>.</w:t>
      </w:r>
    </w:p>
    <w:p w14:paraId="230CB4CB" w14:textId="61BC9E32" w:rsidR="00E63E5D" w:rsidRPr="00493334" w:rsidRDefault="00315DFD" w:rsidP="00493334">
      <w:pPr>
        <w:spacing w:line="276" w:lineRule="auto"/>
        <w:ind w:firstLine="720"/>
        <w:rPr>
          <w:rFonts w:ascii="Garamond" w:hAnsi="Garamond"/>
        </w:rPr>
      </w:pPr>
      <w:r w:rsidRPr="00493334">
        <w:rPr>
          <w:rFonts w:ascii="Garamond" w:hAnsi="Garamond"/>
        </w:rPr>
        <w:t xml:space="preserve">In this sense, the historical expression of the destiny-idea culminates in a confrontation with </w:t>
      </w:r>
      <w:r w:rsidR="002956E8" w:rsidRPr="00493334">
        <w:rPr>
          <w:rFonts w:ascii="Garamond" w:hAnsi="Garamond"/>
        </w:rPr>
        <w:t xml:space="preserve">its own </w:t>
      </w:r>
      <w:r w:rsidRPr="00493334">
        <w:rPr>
          <w:rFonts w:ascii="Garamond" w:hAnsi="Garamond"/>
        </w:rPr>
        <w:t>cultural mortality. Spengler writes, “With birth is given death, with the fulfillment of the end”.</w:t>
      </w:r>
      <w:r w:rsidRPr="00493334">
        <w:rPr>
          <w:rStyle w:val="FootnoteReference"/>
          <w:rFonts w:ascii="Garamond" w:eastAsiaTheme="majorEastAsia" w:hAnsi="Garamond"/>
        </w:rPr>
        <w:footnoteReference w:id="37"/>
      </w:r>
      <w:r w:rsidRPr="00493334">
        <w:rPr>
          <w:rFonts w:ascii="Garamond" w:hAnsi="Garamond"/>
        </w:rPr>
        <w:t xml:space="preserve"> No idea is more teleological than this, that the beginning signifies a necessary end which is realized in the trajectory of a specific historical becoming. </w:t>
      </w:r>
      <w:r w:rsidR="002956E8" w:rsidRPr="00493334">
        <w:rPr>
          <w:rFonts w:ascii="Garamond" w:hAnsi="Garamond"/>
        </w:rPr>
        <w:t>We might say that</w:t>
      </w:r>
      <w:r w:rsidRPr="00493334">
        <w:rPr>
          <w:rFonts w:ascii="Garamond" w:hAnsi="Garamond"/>
        </w:rPr>
        <w:t xml:space="preserve"> each culture is both </w:t>
      </w:r>
      <w:r w:rsidRPr="00493334">
        <w:rPr>
          <w:rFonts w:ascii="Garamond" w:hAnsi="Garamond"/>
          <w:i/>
          <w:iCs/>
        </w:rPr>
        <w:t>ordained and condemned</w:t>
      </w:r>
      <w:r w:rsidRPr="00493334">
        <w:rPr>
          <w:rFonts w:ascii="Garamond" w:hAnsi="Garamond"/>
        </w:rPr>
        <w:t xml:space="preserve"> to unfold its aesthetic understanding of the world-picture, and in this development, to ultimately meet its own finitude</w:t>
      </w:r>
      <w:r w:rsidR="00E63E5D" w:rsidRPr="00493334">
        <w:rPr>
          <w:rFonts w:ascii="Garamond" w:hAnsi="Garamond"/>
        </w:rPr>
        <w:t xml:space="preserve">. </w:t>
      </w:r>
      <w:r w:rsidRPr="00493334">
        <w:rPr>
          <w:rFonts w:ascii="Garamond" w:hAnsi="Garamond"/>
        </w:rPr>
        <w:t xml:space="preserve">In the destiny-idea, death is not a pathology, but the necessary </w:t>
      </w:r>
      <w:r w:rsidRPr="00493334">
        <w:rPr>
          <w:rFonts w:ascii="Garamond" w:hAnsi="Garamond"/>
          <w:i/>
          <w:iCs/>
        </w:rPr>
        <w:t xml:space="preserve">telos </w:t>
      </w:r>
      <w:r w:rsidRPr="00493334">
        <w:rPr>
          <w:rFonts w:ascii="Garamond" w:hAnsi="Garamond"/>
        </w:rPr>
        <w:t>for a cultural community. It is because</w:t>
      </w:r>
      <w:r w:rsidRPr="00493334">
        <w:rPr>
          <w:rFonts w:ascii="Garamond" w:hAnsi="Garamond"/>
          <w:i/>
          <w:iCs/>
        </w:rPr>
        <w:t xml:space="preserve"> </w:t>
      </w:r>
      <w:r w:rsidRPr="00493334">
        <w:rPr>
          <w:rFonts w:ascii="Garamond" w:hAnsi="Garamond"/>
        </w:rPr>
        <w:t xml:space="preserve">civilizations are the high point of a society that they are, by definition, also the conclusion. </w:t>
      </w:r>
      <w:r w:rsidR="00657F03" w:rsidRPr="00493334">
        <w:rPr>
          <w:rFonts w:ascii="Garamond" w:hAnsi="Garamond"/>
        </w:rPr>
        <w:t>So, i</w:t>
      </w:r>
      <w:r w:rsidRPr="00493334">
        <w:rPr>
          <w:rFonts w:ascii="Garamond" w:hAnsi="Garamond"/>
        </w:rPr>
        <w:t xml:space="preserve">f the destiny idea is an aesthetic expression of a cultural-historical sentiment, then there can be no rational rediscovery of the way in which a mature civilization expressed itself in its youth, nor an overcoming of the epochal telos. Attempts to overcome the destiny idea and to bring about renewal through </w:t>
      </w:r>
      <w:r w:rsidR="00657F03" w:rsidRPr="00493334">
        <w:rPr>
          <w:rFonts w:ascii="Garamond" w:hAnsi="Garamond"/>
        </w:rPr>
        <w:t>rational</w:t>
      </w:r>
      <w:r w:rsidRPr="00493334">
        <w:rPr>
          <w:rFonts w:ascii="Garamond" w:hAnsi="Garamond"/>
        </w:rPr>
        <w:t xml:space="preserve"> philosophical reflection are folly. Historical-cultural sentiment can never be authentically recovered from its own unravelling. </w:t>
      </w:r>
    </w:p>
    <w:p w14:paraId="3FA5065D" w14:textId="77777777" w:rsidR="00315DFD" w:rsidRPr="00493334" w:rsidRDefault="00315DFD" w:rsidP="00493334">
      <w:pPr>
        <w:spacing w:line="276" w:lineRule="auto"/>
        <w:ind w:firstLine="720"/>
        <w:rPr>
          <w:rFonts w:ascii="Garamond" w:hAnsi="Garamond"/>
        </w:rPr>
      </w:pPr>
    </w:p>
    <w:p w14:paraId="64D1A6FC" w14:textId="77777777" w:rsidR="00486C97" w:rsidRPr="00493334" w:rsidRDefault="00486C97" w:rsidP="00C97655">
      <w:pPr>
        <w:pStyle w:val="ListParagraph"/>
        <w:numPr>
          <w:ilvl w:val="0"/>
          <w:numId w:val="3"/>
        </w:numPr>
        <w:spacing w:line="276" w:lineRule="auto"/>
        <w:rPr>
          <w:rFonts w:ascii="Garamond" w:hAnsi="Garamond"/>
          <w:b/>
          <w:bCs/>
        </w:rPr>
      </w:pPr>
      <w:r w:rsidRPr="00493334">
        <w:rPr>
          <w:rFonts w:ascii="Garamond" w:hAnsi="Garamond"/>
          <w:b/>
          <w:bCs/>
        </w:rPr>
        <w:lastRenderedPageBreak/>
        <w:t>Teleology as Soteriology</w:t>
      </w:r>
    </w:p>
    <w:p w14:paraId="3A34B8EC" w14:textId="742F446A" w:rsidR="00486C97" w:rsidRPr="00493334" w:rsidRDefault="00486C97" w:rsidP="00493334">
      <w:pPr>
        <w:spacing w:line="276" w:lineRule="auto"/>
        <w:ind w:firstLine="360"/>
        <w:rPr>
          <w:rFonts w:ascii="Garamond" w:hAnsi="Garamond"/>
        </w:rPr>
      </w:pPr>
      <w:r w:rsidRPr="00493334">
        <w:rPr>
          <w:rFonts w:ascii="Garamond" w:hAnsi="Garamond"/>
        </w:rPr>
        <w:t xml:space="preserve">In a recent paper, Philip Buckley argues that Husserl’s writings in the 1920’s, specifically those intended for the Japanese journal </w:t>
      </w:r>
      <w:proofErr w:type="spellStart"/>
      <w:r w:rsidRPr="00493334">
        <w:rPr>
          <w:rFonts w:ascii="Garamond" w:hAnsi="Garamond"/>
          <w:i/>
          <w:iCs/>
        </w:rPr>
        <w:t>Kaizo</w:t>
      </w:r>
      <w:proofErr w:type="spellEnd"/>
      <w:r w:rsidRPr="00493334">
        <w:rPr>
          <w:rFonts w:ascii="Garamond" w:hAnsi="Garamond"/>
        </w:rPr>
        <w:t>, present phenomenology as a uniquely soteriological force in society.</w:t>
      </w:r>
      <w:r w:rsidR="00CD43E9" w:rsidRPr="00493334">
        <w:rPr>
          <w:rStyle w:val="FootnoteReference"/>
          <w:rFonts w:ascii="Garamond" w:hAnsi="Garamond"/>
        </w:rPr>
        <w:footnoteReference w:id="38"/>
      </w:r>
      <w:r w:rsidRPr="00493334">
        <w:rPr>
          <w:rFonts w:ascii="Garamond" w:hAnsi="Garamond"/>
        </w:rPr>
        <w:t xml:space="preserve"> While others claim that the </w:t>
      </w:r>
      <w:r w:rsidRPr="00493334">
        <w:rPr>
          <w:rFonts w:ascii="Garamond" w:hAnsi="Garamond"/>
          <w:i/>
          <w:iCs/>
        </w:rPr>
        <w:t xml:space="preserve">Crisis </w:t>
      </w:r>
      <w:r w:rsidRPr="00493334">
        <w:rPr>
          <w:rFonts w:ascii="Garamond" w:hAnsi="Garamond"/>
        </w:rPr>
        <w:t>was Husserl’s first engagement with a philosophy of culture and history</w:t>
      </w:r>
      <w:r w:rsidRPr="00493334">
        <w:rPr>
          <w:rStyle w:val="FootnoteReference"/>
          <w:rFonts w:ascii="Garamond" w:eastAsiaTheme="majorEastAsia" w:hAnsi="Garamond"/>
        </w:rPr>
        <w:footnoteReference w:id="39"/>
      </w:r>
      <w:r w:rsidRPr="00493334">
        <w:rPr>
          <w:rFonts w:ascii="Garamond" w:hAnsi="Garamond"/>
        </w:rPr>
        <w:t>, Buckley demonstrates that, as early as the 1920’s, Husserl expresses a staunch faith in the soteriological power of phenomenology for society.</w:t>
      </w:r>
      <w:r w:rsidRPr="00493334">
        <w:rPr>
          <w:rStyle w:val="FootnoteReference"/>
          <w:rFonts w:ascii="Garamond" w:eastAsiaTheme="majorEastAsia" w:hAnsi="Garamond"/>
        </w:rPr>
        <w:footnoteReference w:id="40"/>
      </w:r>
      <w:r w:rsidRPr="00493334">
        <w:rPr>
          <w:rFonts w:ascii="Garamond" w:hAnsi="Garamond"/>
        </w:rPr>
        <w:t xml:space="preserve"> In the first </w:t>
      </w:r>
      <w:proofErr w:type="spellStart"/>
      <w:r w:rsidRPr="00493334">
        <w:rPr>
          <w:rFonts w:ascii="Garamond" w:hAnsi="Garamond"/>
          <w:i/>
          <w:iCs/>
        </w:rPr>
        <w:t>Kaizo</w:t>
      </w:r>
      <w:proofErr w:type="spellEnd"/>
      <w:r w:rsidRPr="00493334">
        <w:rPr>
          <w:rFonts w:ascii="Garamond" w:hAnsi="Garamond"/>
        </w:rPr>
        <w:t xml:space="preserve"> </w:t>
      </w:r>
      <w:r w:rsidR="00DF4688" w:rsidRPr="00493334">
        <w:rPr>
          <w:rFonts w:ascii="Garamond" w:hAnsi="Garamond"/>
        </w:rPr>
        <w:t>a</w:t>
      </w:r>
      <w:r w:rsidRPr="00493334">
        <w:rPr>
          <w:rFonts w:ascii="Garamond" w:hAnsi="Garamond"/>
        </w:rPr>
        <w:t>rticle, “Renewal: Its Problem and Its Method” Husserl defies Spengler, arguing that society must transpose from a mere feeling of renewal towards the “actual process of renewal”.</w:t>
      </w:r>
      <w:r w:rsidRPr="00493334">
        <w:rPr>
          <w:rStyle w:val="FootnoteReference"/>
          <w:rFonts w:ascii="Garamond" w:eastAsiaTheme="majorEastAsia" w:hAnsi="Garamond"/>
        </w:rPr>
        <w:footnoteReference w:id="41"/>
      </w:r>
      <w:r w:rsidRPr="00493334">
        <w:rPr>
          <w:rFonts w:ascii="Garamond" w:hAnsi="Garamond"/>
        </w:rPr>
        <w:t xml:space="preserve"> Here Husserl clearly rejects the potency of aesthetic sentiment, “the mere feeling of renewal”. A crisis of rationality demands rational decision and practice to realize cultural-philosophical renewal. </w:t>
      </w:r>
    </w:p>
    <w:p w14:paraId="4BD91EBC" w14:textId="74D147B3" w:rsidR="00213E3E" w:rsidRPr="00493334" w:rsidRDefault="00213E3E" w:rsidP="00493334">
      <w:pPr>
        <w:spacing w:line="276" w:lineRule="auto"/>
        <w:ind w:firstLine="720"/>
        <w:rPr>
          <w:rFonts w:ascii="Garamond" w:hAnsi="Garamond"/>
        </w:rPr>
      </w:pPr>
      <w:r w:rsidRPr="00493334">
        <w:rPr>
          <w:rFonts w:ascii="Garamond" w:hAnsi="Garamond"/>
        </w:rPr>
        <w:t xml:space="preserve">I do take select issue with Buckley’s characterization of Spengler’s </w:t>
      </w:r>
      <w:r w:rsidRPr="00493334">
        <w:rPr>
          <w:rFonts w:ascii="Garamond" w:hAnsi="Garamond"/>
          <w:i/>
          <w:iCs/>
        </w:rPr>
        <w:t>Decline</w:t>
      </w:r>
      <w:r w:rsidRPr="00493334">
        <w:rPr>
          <w:rFonts w:ascii="Garamond" w:hAnsi="Garamond"/>
        </w:rPr>
        <w:t xml:space="preserve"> as part of a broader wave of “superficial pessimism”.</w:t>
      </w:r>
      <w:r w:rsidRPr="00493334">
        <w:rPr>
          <w:rStyle w:val="FootnoteReference"/>
          <w:rFonts w:ascii="Garamond" w:eastAsiaTheme="majorEastAsia" w:hAnsi="Garamond"/>
        </w:rPr>
        <w:footnoteReference w:id="42"/>
      </w:r>
      <w:r w:rsidRPr="00493334">
        <w:rPr>
          <w:rFonts w:ascii="Garamond" w:hAnsi="Garamond"/>
        </w:rPr>
        <w:t xml:space="preserve"> I think there is good reason to take very seriously the fatal idea of destiny expressed in </w:t>
      </w:r>
      <w:r w:rsidRPr="00493334">
        <w:rPr>
          <w:rFonts w:ascii="Garamond" w:hAnsi="Garamond"/>
          <w:i/>
          <w:iCs/>
        </w:rPr>
        <w:t>Decline</w:t>
      </w:r>
      <w:r w:rsidRPr="00493334">
        <w:rPr>
          <w:rFonts w:ascii="Garamond" w:hAnsi="Garamond"/>
        </w:rPr>
        <w:t xml:space="preserve"> beyond the everyday pessimism which gripped </w:t>
      </w:r>
      <w:r w:rsidR="001C4AAC" w:rsidRPr="00493334">
        <w:rPr>
          <w:rFonts w:ascii="Garamond" w:hAnsi="Garamond"/>
        </w:rPr>
        <w:t xml:space="preserve">Weimar </w:t>
      </w:r>
      <w:r w:rsidRPr="00493334">
        <w:rPr>
          <w:rFonts w:ascii="Garamond" w:hAnsi="Garamond"/>
        </w:rPr>
        <w:t>Germany. Still, I follow Buckley’s language, and agree that Spengler gives no allowance for a soteriological</w:t>
      </w:r>
      <w:r w:rsidRPr="00493334">
        <w:rPr>
          <w:rFonts w:ascii="Garamond" w:hAnsi="Garamond"/>
          <w:i/>
          <w:iCs/>
        </w:rPr>
        <w:t xml:space="preserve"> </w:t>
      </w:r>
      <w:r w:rsidRPr="00493334">
        <w:rPr>
          <w:rFonts w:ascii="Garamond" w:hAnsi="Garamond"/>
        </w:rPr>
        <w:t>counter to Destiny. In Spengler’s view, salvation from a fatal end makes as little sense as saving man from its own finitude. Yet Husserl’s teleology of recollection is counter to this teleology of destiny precisely because of the central notion of renewal</w:t>
      </w:r>
      <w:r w:rsidR="00E63E5D" w:rsidRPr="00493334">
        <w:rPr>
          <w:rFonts w:ascii="Garamond" w:hAnsi="Garamond"/>
        </w:rPr>
        <w:t xml:space="preserve">. </w:t>
      </w:r>
      <w:r w:rsidRPr="00493334">
        <w:rPr>
          <w:rFonts w:ascii="Garamond" w:hAnsi="Garamond"/>
        </w:rPr>
        <w:t xml:space="preserve">If the </w:t>
      </w:r>
      <w:proofErr w:type="spellStart"/>
      <w:r w:rsidRPr="00493334">
        <w:rPr>
          <w:rFonts w:ascii="Garamond" w:hAnsi="Garamond"/>
          <w:i/>
          <w:iCs/>
        </w:rPr>
        <w:t>Kaizo</w:t>
      </w:r>
      <w:proofErr w:type="spellEnd"/>
      <w:r w:rsidRPr="00493334">
        <w:rPr>
          <w:rFonts w:ascii="Garamond" w:hAnsi="Garamond"/>
        </w:rPr>
        <w:t xml:space="preserve"> </w:t>
      </w:r>
      <w:r w:rsidR="00DF4688" w:rsidRPr="00493334">
        <w:rPr>
          <w:rFonts w:ascii="Garamond" w:hAnsi="Garamond"/>
        </w:rPr>
        <w:t>a</w:t>
      </w:r>
      <w:r w:rsidRPr="00493334">
        <w:rPr>
          <w:rFonts w:ascii="Garamond" w:hAnsi="Garamond"/>
        </w:rPr>
        <w:t xml:space="preserve">rticles express phenomenology as soteriology, the </w:t>
      </w:r>
      <w:r w:rsidRPr="00493334">
        <w:rPr>
          <w:rFonts w:ascii="Garamond" w:hAnsi="Garamond"/>
          <w:i/>
          <w:iCs/>
        </w:rPr>
        <w:t xml:space="preserve">Crisis </w:t>
      </w:r>
      <w:r w:rsidRPr="00493334">
        <w:rPr>
          <w:rFonts w:ascii="Garamond" w:hAnsi="Garamond"/>
        </w:rPr>
        <w:t xml:space="preserve">builds out this idea into a method of teleological recollection. </w:t>
      </w:r>
    </w:p>
    <w:p w14:paraId="6513D2D0" w14:textId="5293182F" w:rsidR="00213E3E" w:rsidRPr="00493334" w:rsidRDefault="00213E3E" w:rsidP="009861C6">
      <w:pPr>
        <w:spacing w:line="276" w:lineRule="auto"/>
        <w:ind w:firstLine="720"/>
        <w:rPr>
          <w:rFonts w:ascii="Garamond" w:hAnsi="Garamond"/>
        </w:rPr>
      </w:pPr>
      <w:r w:rsidRPr="00493334">
        <w:rPr>
          <w:rFonts w:ascii="Garamond" w:hAnsi="Garamond"/>
        </w:rPr>
        <w:t xml:space="preserve">The teleology of the “Vienna Lecture” and the </w:t>
      </w:r>
      <w:r w:rsidRPr="00493334">
        <w:rPr>
          <w:rFonts w:ascii="Garamond" w:hAnsi="Garamond"/>
          <w:i/>
          <w:iCs/>
        </w:rPr>
        <w:t xml:space="preserve">Crisis </w:t>
      </w:r>
      <w:r w:rsidRPr="00493334">
        <w:rPr>
          <w:rFonts w:ascii="Garamond" w:hAnsi="Garamond"/>
        </w:rPr>
        <w:t>is a peculiar one. Unlike Spengler</w:t>
      </w:r>
      <w:r w:rsidR="00313177" w:rsidRPr="00493334">
        <w:rPr>
          <w:rFonts w:ascii="Garamond" w:hAnsi="Garamond"/>
        </w:rPr>
        <w:t xml:space="preserve">, </w:t>
      </w:r>
      <w:r w:rsidR="00CE2597" w:rsidRPr="00493334">
        <w:rPr>
          <w:rFonts w:ascii="Garamond" w:hAnsi="Garamond"/>
        </w:rPr>
        <w:t>Husserl</w:t>
      </w:r>
      <w:r w:rsidR="00313177" w:rsidRPr="00493334">
        <w:rPr>
          <w:rFonts w:ascii="Garamond" w:hAnsi="Garamond"/>
        </w:rPr>
        <w:t xml:space="preserve"> does not seek </w:t>
      </w:r>
      <w:r w:rsidRPr="00493334">
        <w:rPr>
          <w:rFonts w:ascii="Garamond" w:hAnsi="Garamond"/>
        </w:rPr>
        <w:t xml:space="preserve">the historical culmination </w:t>
      </w:r>
      <w:r w:rsidR="00CE2597" w:rsidRPr="00493334">
        <w:rPr>
          <w:rFonts w:ascii="Garamond" w:hAnsi="Garamond"/>
        </w:rPr>
        <w:t xml:space="preserve">of </w:t>
      </w:r>
      <w:r w:rsidR="00CD43E9" w:rsidRPr="00493334">
        <w:rPr>
          <w:rFonts w:ascii="Garamond" w:hAnsi="Garamond"/>
        </w:rPr>
        <w:t xml:space="preserve">a </w:t>
      </w:r>
      <w:r w:rsidRPr="00493334">
        <w:rPr>
          <w:rFonts w:ascii="Garamond" w:hAnsi="Garamond"/>
        </w:rPr>
        <w:t>societ</w:t>
      </w:r>
      <w:r w:rsidR="00CD43E9" w:rsidRPr="00493334">
        <w:rPr>
          <w:rFonts w:ascii="Garamond" w:hAnsi="Garamond"/>
        </w:rPr>
        <w:t>y’s most mature self-expression</w:t>
      </w:r>
      <w:r w:rsidRPr="00493334">
        <w:rPr>
          <w:rFonts w:ascii="Garamond" w:hAnsi="Garamond"/>
        </w:rPr>
        <w:t xml:space="preserve">. </w:t>
      </w:r>
      <w:r w:rsidR="00CE2597" w:rsidRPr="00493334">
        <w:rPr>
          <w:rFonts w:ascii="Garamond" w:hAnsi="Garamond"/>
        </w:rPr>
        <w:t>The</w:t>
      </w:r>
      <w:r w:rsidRPr="00493334">
        <w:rPr>
          <w:rFonts w:ascii="Garamond" w:hAnsi="Garamond"/>
        </w:rPr>
        <w:t xml:space="preserve"> telos </w:t>
      </w:r>
      <w:r w:rsidR="00CE2597" w:rsidRPr="00493334">
        <w:rPr>
          <w:rFonts w:ascii="Garamond" w:hAnsi="Garamond"/>
        </w:rPr>
        <w:t>is not</w:t>
      </w:r>
      <w:r w:rsidRPr="00493334">
        <w:rPr>
          <w:rFonts w:ascii="Garamond" w:hAnsi="Garamond"/>
        </w:rPr>
        <w:t xml:space="preserve"> an “end” of European man but</w:t>
      </w:r>
      <w:r w:rsidR="00CE2597" w:rsidRPr="00493334">
        <w:rPr>
          <w:rFonts w:ascii="Garamond" w:hAnsi="Garamond"/>
        </w:rPr>
        <w:t xml:space="preserve"> is</w:t>
      </w:r>
      <w:r w:rsidRPr="00493334">
        <w:rPr>
          <w:rFonts w:ascii="Garamond" w:hAnsi="Garamond"/>
        </w:rPr>
        <w:t xml:space="preserve"> the essential philosophical orientation of</w:t>
      </w:r>
      <w:r w:rsidR="00CE2597" w:rsidRPr="00493334">
        <w:rPr>
          <w:rFonts w:ascii="Garamond" w:hAnsi="Garamond"/>
        </w:rPr>
        <w:t xml:space="preserve"> the European ideal</w:t>
      </w:r>
      <w:r w:rsidRPr="00493334">
        <w:rPr>
          <w:rFonts w:ascii="Garamond" w:hAnsi="Garamond"/>
        </w:rPr>
        <w:t xml:space="preserve">. </w:t>
      </w:r>
      <w:r w:rsidR="00CE2597" w:rsidRPr="00493334">
        <w:rPr>
          <w:rFonts w:ascii="Garamond" w:hAnsi="Garamond"/>
        </w:rPr>
        <w:t xml:space="preserve">The </w:t>
      </w:r>
      <w:r w:rsidR="00CE2597" w:rsidRPr="00493334">
        <w:rPr>
          <w:rFonts w:ascii="Garamond" w:hAnsi="Garamond"/>
          <w:i/>
          <w:iCs/>
        </w:rPr>
        <w:t xml:space="preserve">Crisis </w:t>
      </w:r>
      <w:r w:rsidR="00CE2597" w:rsidRPr="00493334">
        <w:rPr>
          <w:rFonts w:ascii="Garamond" w:hAnsi="Garamond"/>
        </w:rPr>
        <w:t>re-collectively</w:t>
      </w:r>
      <w:r w:rsidRPr="00493334">
        <w:rPr>
          <w:rFonts w:ascii="Garamond" w:hAnsi="Garamond"/>
          <w:i/>
          <w:iCs/>
        </w:rPr>
        <w:t xml:space="preserve"> </w:t>
      </w:r>
      <w:r w:rsidRPr="00493334">
        <w:rPr>
          <w:rFonts w:ascii="Garamond" w:hAnsi="Garamond"/>
        </w:rPr>
        <w:t xml:space="preserve">aims at the genesis of the universal philosophical attitude which </w:t>
      </w:r>
      <w:r w:rsidR="00CE2597" w:rsidRPr="00493334">
        <w:rPr>
          <w:rFonts w:ascii="Garamond" w:hAnsi="Garamond"/>
        </w:rPr>
        <w:t xml:space="preserve">essentializes </w:t>
      </w:r>
      <w:r w:rsidRPr="00493334">
        <w:rPr>
          <w:rFonts w:ascii="Garamond" w:hAnsi="Garamond"/>
        </w:rPr>
        <w:t xml:space="preserve">European humanity. Here, the end and the genesis are brought into unity. </w:t>
      </w:r>
      <w:r w:rsidR="00CE2597" w:rsidRPr="00493334">
        <w:rPr>
          <w:rFonts w:ascii="Garamond" w:hAnsi="Garamond"/>
        </w:rPr>
        <w:t>B</w:t>
      </w:r>
      <w:r w:rsidRPr="00493334">
        <w:rPr>
          <w:rFonts w:ascii="Garamond" w:hAnsi="Garamond"/>
        </w:rPr>
        <w:t>uilding out the futural teleology of European humanity first commences from a project of “advancing reconstruction”, a process in which the one who recollects must advance historically from an original point of genesis</w:t>
      </w:r>
      <w:r w:rsidR="00CD43E9" w:rsidRPr="00493334">
        <w:rPr>
          <w:rFonts w:ascii="Garamond" w:hAnsi="Garamond"/>
        </w:rPr>
        <w:t xml:space="preserve"> in accordance with some method</w:t>
      </w:r>
      <w:r w:rsidRPr="00493334">
        <w:rPr>
          <w:rFonts w:ascii="Garamond" w:hAnsi="Garamond"/>
        </w:rPr>
        <w:t>.</w:t>
      </w:r>
      <w:r w:rsidRPr="00493334">
        <w:rPr>
          <w:rStyle w:val="FootnoteReference"/>
          <w:rFonts w:ascii="Garamond" w:eastAsiaTheme="majorEastAsia" w:hAnsi="Garamond"/>
        </w:rPr>
        <w:footnoteReference w:id="43"/>
      </w:r>
      <w:r w:rsidRPr="00493334">
        <w:rPr>
          <w:rFonts w:ascii="Garamond" w:hAnsi="Garamond"/>
        </w:rPr>
        <w:t xml:space="preserve"> In crucial distinction to Spengler, this recollection does not aim at a final telos of progressive utopia or cultural death. Rather, Husserl’s recollection aims at reconstructing the essential idea of European teleology as the “infinite goal of reason”.</w:t>
      </w:r>
      <w:r w:rsidRPr="00493334">
        <w:rPr>
          <w:rStyle w:val="FootnoteReference"/>
          <w:rFonts w:ascii="Garamond" w:eastAsiaTheme="majorEastAsia" w:hAnsi="Garamond"/>
        </w:rPr>
        <w:footnoteReference w:id="44"/>
      </w:r>
      <w:r w:rsidRPr="00493334">
        <w:rPr>
          <w:rFonts w:ascii="Garamond" w:hAnsi="Garamond"/>
        </w:rPr>
        <w:t xml:space="preserve"> Thus, the idea of “rebirth” which Husserl invokes at the end of the Vienna Lecture is not some radically new end to which culture progresses, but a revival of what has already and always constituted the essence of European spirit.</w:t>
      </w:r>
      <w:r w:rsidRPr="00493334">
        <w:rPr>
          <w:rStyle w:val="FootnoteReference"/>
          <w:rFonts w:ascii="Garamond" w:eastAsiaTheme="majorEastAsia" w:hAnsi="Garamond"/>
        </w:rPr>
        <w:footnoteReference w:id="45"/>
      </w:r>
      <w:r w:rsidRPr="00493334">
        <w:rPr>
          <w:rFonts w:ascii="Garamond" w:hAnsi="Garamond"/>
        </w:rPr>
        <w:t xml:space="preserve"> This is an eidetic recollection and it itself a major difference of direction between </w:t>
      </w:r>
      <w:r w:rsidRPr="00493334">
        <w:rPr>
          <w:rFonts w:ascii="Garamond" w:hAnsi="Garamond"/>
          <w:i/>
          <w:iCs/>
        </w:rPr>
        <w:t xml:space="preserve">Crisis </w:t>
      </w:r>
      <w:r w:rsidRPr="00493334">
        <w:rPr>
          <w:rFonts w:ascii="Garamond" w:hAnsi="Garamond"/>
        </w:rPr>
        <w:t xml:space="preserve">and </w:t>
      </w:r>
      <w:r w:rsidRPr="00493334">
        <w:rPr>
          <w:rFonts w:ascii="Garamond" w:hAnsi="Garamond"/>
          <w:i/>
          <w:iCs/>
        </w:rPr>
        <w:t>Decline</w:t>
      </w:r>
      <w:r w:rsidRPr="00493334">
        <w:rPr>
          <w:rFonts w:ascii="Garamond" w:hAnsi="Garamond"/>
        </w:rPr>
        <w:t xml:space="preserve">. Whereas Spengler is concerned with a culture’s </w:t>
      </w:r>
      <w:r w:rsidRPr="00493334">
        <w:rPr>
          <w:rFonts w:ascii="Garamond" w:hAnsi="Garamond"/>
        </w:rPr>
        <w:lastRenderedPageBreak/>
        <w:t>inexorable march towards its own exhausted senility, Husserl seeks the beginning of the spiritual birthplace, for the sake of renewal from this sourc</w:t>
      </w:r>
      <w:r w:rsidR="009861C6">
        <w:rPr>
          <w:rFonts w:ascii="Garamond" w:hAnsi="Garamond"/>
        </w:rPr>
        <w:t>e</w:t>
      </w:r>
      <w:r w:rsidRPr="00493334">
        <w:rPr>
          <w:rFonts w:ascii="Garamond" w:hAnsi="Garamond"/>
        </w:rPr>
        <w:t xml:space="preserve">. </w:t>
      </w:r>
    </w:p>
    <w:p w14:paraId="448B608F" w14:textId="51C34578" w:rsidR="00213E3E" w:rsidRPr="00493334" w:rsidRDefault="00213E3E" w:rsidP="00493334">
      <w:pPr>
        <w:spacing w:line="276" w:lineRule="auto"/>
        <w:rPr>
          <w:rFonts w:ascii="Garamond" w:hAnsi="Garamond"/>
        </w:rPr>
      </w:pPr>
      <w:r w:rsidRPr="00493334">
        <w:rPr>
          <w:rFonts w:ascii="Garamond" w:hAnsi="Garamond"/>
        </w:rPr>
        <w:tab/>
        <w:t xml:space="preserve">This difference in directionality assumes other critical differences. Recall that the end of civilization for Spengler </w:t>
      </w:r>
      <w:r w:rsidR="00CE2597" w:rsidRPr="00493334">
        <w:rPr>
          <w:rFonts w:ascii="Garamond" w:hAnsi="Garamond"/>
        </w:rPr>
        <w:t xml:space="preserve">constitutes a duality of a) the highest expression of its </w:t>
      </w:r>
      <w:r w:rsidRPr="00493334">
        <w:rPr>
          <w:rFonts w:ascii="Garamond" w:hAnsi="Garamond"/>
        </w:rPr>
        <w:t>inner aesthetic idea</w:t>
      </w:r>
      <w:r w:rsidR="00CE2597" w:rsidRPr="00493334">
        <w:rPr>
          <w:rFonts w:ascii="Garamond" w:hAnsi="Garamond"/>
        </w:rPr>
        <w:t xml:space="preserve"> b) the overcoming of the aesthetic itself</w:t>
      </w:r>
      <w:r w:rsidRPr="00493334">
        <w:rPr>
          <w:rFonts w:ascii="Garamond" w:hAnsi="Garamond"/>
        </w:rPr>
        <w:t>. “Faustian civilization”</w:t>
      </w:r>
      <w:r w:rsidRPr="00493334">
        <w:rPr>
          <w:rStyle w:val="FootnoteReference"/>
          <w:rFonts w:ascii="Garamond" w:eastAsiaTheme="majorEastAsia" w:hAnsi="Garamond"/>
        </w:rPr>
        <w:footnoteReference w:id="46"/>
      </w:r>
      <w:r w:rsidRPr="00493334">
        <w:rPr>
          <w:rFonts w:ascii="Garamond" w:hAnsi="Garamond"/>
        </w:rPr>
        <w:t xml:space="preserve"> builds up its causal-scientific systems (Newton, Galileo, Kant), which express the Faustian aesthetic for distance and the infinite. But these systems are oriented towards the overcoming of the finitude implicit in the inner aesthetic idea. The content of the late-stage civilization</w:t>
      </w:r>
      <w:r w:rsidR="00CE2597" w:rsidRPr="00493334">
        <w:rPr>
          <w:rFonts w:ascii="Garamond" w:hAnsi="Garamond"/>
        </w:rPr>
        <w:t xml:space="preserve"> conflicts</w:t>
      </w:r>
      <w:r w:rsidRPr="00493334">
        <w:rPr>
          <w:rFonts w:ascii="Garamond" w:hAnsi="Garamond"/>
        </w:rPr>
        <w:t xml:space="preserve"> with its own </w:t>
      </w:r>
      <w:r w:rsidR="00CE2597" w:rsidRPr="00493334">
        <w:rPr>
          <w:rFonts w:ascii="Garamond" w:hAnsi="Garamond"/>
        </w:rPr>
        <w:t>symbolism</w:t>
      </w:r>
      <w:r w:rsidRPr="00493334">
        <w:rPr>
          <w:rFonts w:ascii="Garamond" w:hAnsi="Garamond"/>
        </w:rPr>
        <w:t xml:space="preserve">. In this way, </w:t>
      </w:r>
      <w:r w:rsidR="00CE2597" w:rsidRPr="00493334">
        <w:rPr>
          <w:rFonts w:ascii="Garamond" w:hAnsi="Garamond"/>
        </w:rPr>
        <w:t xml:space="preserve">high </w:t>
      </w:r>
      <w:r w:rsidRPr="00493334">
        <w:rPr>
          <w:rFonts w:ascii="Garamond" w:hAnsi="Garamond"/>
        </w:rPr>
        <w:t>civilizations resist cultural death, and in this resistance throw their life back over to their destiny and finitude</w:t>
      </w:r>
      <w:r w:rsidR="00CE2597" w:rsidRPr="00493334">
        <w:rPr>
          <w:rFonts w:ascii="Garamond" w:hAnsi="Garamond"/>
        </w:rPr>
        <w:t>—a negative teleology</w:t>
      </w:r>
      <w:r w:rsidRPr="00493334">
        <w:rPr>
          <w:rFonts w:ascii="Garamond" w:hAnsi="Garamond"/>
        </w:rPr>
        <w:t>. For Husserl, such in</w:t>
      </w:r>
      <w:r w:rsidR="00CD43E9" w:rsidRPr="00493334">
        <w:rPr>
          <w:rFonts w:ascii="Garamond" w:hAnsi="Garamond"/>
        </w:rPr>
        <w:t>coherency</w:t>
      </w:r>
      <w:r w:rsidRPr="00493334">
        <w:rPr>
          <w:rFonts w:ascii="Garamond" w:hAnsi="Garamond"/>
        </w:rPr>
        <w:t xml:space="preserve"> is by no means impossible, as indicated by the European crisis, but it is not a determinate end. In the teleolog</w:t>
      </w:r>
      <w:r w:rsidR="00CD43E9" w:rsidRPr="00493334">
        <w:rPr>
          <w:rFonts w:ascii="Garamond" w:hAnsi="Garamond"/>
        </w:rPr>
        <w:t xml:space="preserve">ical method </w:t>
      </w:r>
      <w:r w:rsidRPr="00493334">
        <w:rPr>
          <w:rFonts w:ascii="Garamond" w:hAnsi="Garamond"/>
        </w:rPr>
        <w:t xml:space="preserve">of the </w:t>
      </w:r>
      <w:r w:rsidRPr="00493334">
        <w:rPr>
          <w:rFonts w:ascii="Garamond" w:hAnsi="Garamond"/>
          <w:i/>
          <w:iCs/>
        </w:rPr>
        <w:t>Crisis</w:t>
      </w:r>
      <w:r w:rsidRPr="00493334">
        <w:rPr>
          <w:rFonts w:ascii="Garamond" w:hAnsi="Garamond"/>
        </w:rPr>
        <w:t xml:space="preserve"> exists the possibility to bring contemporary culture-philosophical spirit into congruence with its early ideal. In this is the prospect of renewal or rebirth. </w:t>
      </w:r>
      <w:r w:rsidR="00CD43E9" w:rsidRPr="00493334">
        <w:rPr>
          <w:rFonts w:ascii="Garamond" w:hAnsi="Garamond"/>
        </w:rPr>
        <w:t xml:space="preserve">Let us </w:t>
      </w:r>
      <w:r w:rsidR="005E584F" w:rsidRPr="00493334">
        <w:rPr>
          <w:rFonts w:ascii="Garamond" w:hAnsi="Garamond"/>
        </w:rPr>
        <w:t xml:space="preserve">sketch </w:t>
      </w:r>
      <w:proofErr w:type="spellStart"/>
      <w:r w:rsidR="005E584F" w:rsidRPr="00493334">
        <w:rPr>
          <w:rFonts w:ascii="Garamond" w:hAnsi="Garamond"/>
        </w:rPr>
        <w:t>Husserl’ls</w:t>
      </w:r>
      <w:proofErr w:type="spellEnd"/>
      <w:r w:rsidR="005E584F" w:rsidRPr="00493334">
        <w:rPr>
          <w:rFonts w:ascii="Garamond" w:hAnsi="Garamond"/>
        </w:rPr>
        <w:t xml:space="preserve"> basic argument before closely analyzing its methodological basis.</w:t>
      </w:r>
    </w:p>
    <w:p w14:paraId="3204367A" w14:textId="69C27741" w:rsidR="00213E3E" w:rsidRPr="00493334" w:rsidRDefault="00213E3E" w:rsidP="00493334">
      <w:pPr>
        <w:spacing w:line="276" w:lineRule="auto"/>
        <w:rPr>
          <w:rFonts w:ascii="Garamond" w:hAnsi="Garamond"/>
        </w:rPr>
      </w:pPr>
      <w:r w:rsidRPr="00493334">
        <w:rPr>
          <w:rFonts w:ascii="Garamond" w:hAnsi="Garamond"/>
        </w:rPr>
        <w:tab/>
        <w:t xml:space="preserve">Husserl’s recollection of European humanity begins with Ancient Greece. </w:t>
      </w:r>
      <w:r w:rsidR="003A33C0" w:rsidRPr="00493334">
        <w:rPr>
          <w:rFonts w:ascii="Garamond" w:hAnsi="Garamond"/>
        </w:rPr>
        <w:t>T</w:t>
      </w:r>
      <w:r w:rsidRPr="00493334">
        <w:rPr>
          <w:rFonts w:ascii="Garamond" w:hAnsi="Garamond"/>
        </w:rPr>
        <w:t>his is not some vacuous nod to the history of philosophy nor some empty grasp for legitimacy in the canon. Greece is the beginning, and for this reason, it also the end</w:t>
      </w:r>
      <w:r w:rsidR="003A33C0" w:rsidRPr="00493334">
        <w:rPr>
          <w:rFonts w:ascii="Garamond" w:hAnsi="Garamond"/>
        </w:rPr>
        <w:t>; the</w:t>
      </w:r>
      <w:r w:rsidRPr="00493334">
        <w:rPr>
          <w:rFonts w:ascii="Garamond" w:hAnsi="Garamond"/>
        </w:rPr>
        <w:t xml:space="preserve"> </w:t>
      </w:r>
      <w:r w:rsidR="00A50749" w:rsidRPr="00493334">
        <w:rPr>
          <w:rFonts w:ascii="Garamond" w:hAnsi="Garamond"/>
        </w:rPr>
        <w:t xml:space="preserve">original constitution of a </w:t>
      </w:r>
      <w:r w:rsidRPr="00493334">
        <w:rPr>
          <w:rFonts w:ascii="Garamond" w:hAnsi="Garamond"/>
        </w:rPr>
        <w:t>rationalism.</w:t>
      </w:r>
      <w:r w:rsidRPr="00493334">
        <w:rPr>
          <w:rStyle w:val="FootnoteReference"/>
          <w:rFonts w:ascii="Garamond" w:eastAsiaTheme="majorEastAsia" w:hAnsi="Garamond"/>
        </w:rPr>
        <w:footnoteReference w:id="47"/>
      </w:r>
      <w:r w:rsidRPr="00493334">
        <w:rPr>
          <w:rFonts w:ascii="Garamond" w:hAnsi="Garamond"/>
        </w:rPr>
        <w:t xml:space="preserve"> In Greece, Husserl argues, there was the “developmental beginning of a new human epoch”.</w:t>
      </w:r>
      <w:r w:rsidRPr="00493334">
        <w:rPr>
          <w:rStyle w:val="FootnoteReference"/>
          <w:rFonts w:ascii="Garamond" w:eastAsiaTheme="majorEastAsia" w:hAnsi="Garamond"/>
        </w:rPr>
        <w:footnoteReference w:id="48"/>
      </w:r>
      <w:r w:rsidRPr="00493334">
        <w:rPr>
          <w:rFonts w:ascii="Garamond" w:hAnsi="Garamond"/>
        </w:rPr>
        <w:t xml:space="preserve"> What characterizes this epoch? Beginning with pre-Socratic figures like Thales and Heraclitus, there arose a new kind of attitude, </w:t>
      </w:r>
      <w:proofErr w:type="spellStart"/>
      <w:r w:rsidRPr="00493334">
        <w:rPr>
          <w:rFonts w:ascii="Garamond" w:hAnsi="Garamond"/>
          <w:i/>
          <w:iCs/>
        </w:rPr>
        <w:t>theoria</w:t>
      </w:r>
      <w:proofErr w:type="spellEnd"/>
      <w:r w:rsidRPr="00493334">
        <w:rPr>
          <w:rFonts w:ascii="Garamond" w:hAnsi="Garamond"/>
        </w:rPr>
        <w:t>, the theoretical attitude. In this new theoretical attitude, the first nascent metaphysical distinctions were made: real/ideal</w:t>
      </w:r>
      <w:proofErr w:type="gramStart"/>
      <w:r w:rsidRPr="00493334">
        <w:rPr>
          <w:rFonts w:ascii="Garamond" w:hAnsi="Garamond"/>
        </w:rPr>
        <w:t>, universal/particular,</w:t>
      </w:r>
      <w:r w:rsidR="009861C6">
        <w:rPr>
          <w:rFonts w:ascii="Garamond" w:hAnsi="Garamond"/>
        </w:rPr>
        <w:t xml:space="preserve"> </w:t>
      </w:r>
      <w:r w:rsidRPr="00493334">
        <w:rPr>
          <w:rFonts w:ascii="Garamond" w:hAnsi="Garamond"/>
        </w:rPr>
        <w:t>noumena/phenomena</w:t>
      </w:r>
      <w:proofErr w:type="gramEnd"/>
      <w:r w:rsidR="009861C6">
        <w:rPr>
          <w:rFonts w:ascii="Garamond" w:hAnsi="Garamond"/>
        </w:rPr>
        <w:t xml:space="preserve"> etc</w:t>
      </w:r>
      <w:r w:rsidRPr="00493334">
        <w:rPr>
          <w:rFonts w:ascii="Garamond" w:hAnsi="Garamond"/>
        </w:rPr>
        <w:t>.</w:t>
      </w:r>
      <w:r w:rsidRPr="00493334">
        <w:rPr>
          <w:rStyle w:val="FootnoteReference"/>
          <w:rFonts w:ascii="Garamond" w:eastAsiaTheme="majorEastAsia" w:hAnsi="Garamond"/>
        </w:rPr>
        <w:footnoteReference w:id="49"/>
      </w:r>
      <w:r w:rsidRPr="00493334">
        <w:rPr>
          <w:rFonts w:ascii="Garamond" w:hAnsi="Garamond"/>
        </w:rPr>
        <w:t xml:space="preserve"> In such metaphysical and ontological inquiry, man went beyond his own finitude and looked past his own subjective reality, towards what could be ascertained as infinitely and ideally “true”. Crucially, theory could not beget theory without relying on subjective lived reality—</w:t>
      </w:r>
      <w:proofErr w:type="spellStart"/>
      <w:r w:rsidRPr="00493334">
        <w:rPr>
          <w:rFonts w:ascii="Garamond" w:hAnsi="Garamond"/>
          <w:i/>
          <w:iCs/>
        </w:rPr>
        <w:t>theoria</w:t>
      </w:r>
      <w:proofErr w:type="spellEnd"/>
      <w:r w:rsidRPr="00493334">
        <w:rPr>
          <w:rFonts w:ascii="Garamond" w:hAnsi="Garamond"/>
          <w:i/>
          <w:iCs/>
        </w:rPr>
        <w:t xml:space="preserve"> </w:t>
      </w:r>
      <w:r w:rsidRPr="00493334">
        <w:rPr>
          <w:rFonts w:ascii="Garamond" w:hAnsi="Garamond"/>
        </w:rPr>
        <w:t xml:space="preserve">was not methodologically abstracted like mathematical physics from subjective experience. This contra-posturing of man’s finitude to the infinite is what Husserl identifies as enabling the study of the transcendental from the theoretical attitude. </w:t>
      </w:r>
    </w:p>
    <w:p w14:paraId="66AAA8B4" w14:textId="1C56E6D1" w:rsidR="00213E3E" w:rsidRPr="00493334" w:rsidRDefault="00213E3E" w:rsidP="00493334">
      <w:pPr>
        <w:spacing w:line="276" w:lineRule="auto"/>
        <w:ind w:firstLine="360"/>
        <w:rPr>
          <w:rFonts w:ascii="Garamond" w:hAnsi="Garamond"/>
        </w:rPr>
      </w:pPr>
      <w:r w:rsidRPr="00493334">
        <w:rPr>
          <w:rFonts w:ascii="Garamond" w:hAnsi="Garamond"/>
        </w:rPr>
        <w:t>In this act of recollective reconstruction, Husserl argues that modern scientific-philosophical thought, since the time of the Renaissance, has severed its relationship to</w:t>
      </w:r>
      <w:r w:rsidR="00A50749" w:rsidRPr="00493334">
        <w:rPr>
          <w:rFonts w:ascii="Garamond" w:hAnsi="Garamond"/>
        </w:rPr>
        <w:t xml:space="preserve"> this original epoch of</w:t>
      </w:r>
      <w:r w:rsidRPr="00493334">
        <w:rPr>
          <w:rFonts w:ascii="Garamond" w:hAnsi="Garamond"/>
        </w:rPr>
        <w:t xml:space="preserve"> </w:t>
      </w:r>
      <w:proofErr w:type="spellStart"/>
      <w:r w:rsidRPr="00493334">
        <w:rPr>
          <w:rFonts w:ascii="Garamond" w:hAnsi="Garamond"/>
          <w:i/>
          <w:iCs/>
        </w:rPr>
        <w:t>theoria</w:t>
      </w:r>
      <w:proofErr w:type="spellEnd"/>
      <w:r w:rsidRPr="00493334">
        <w:rPr>
          <w:rFonts w:ascii="Garamond" w:hAnsi="Garamond"/>
        </w:rPr>
        <w:t xml:space="preserve">. </w:t>
      </w:r>
      <w:r w:rsidR="00CE2597" w:rsidRPr="00493334">
        <w:rPr>
          <w:rFonts w:ascii="Garamond" w:hAnsi="Garamond"/>
        </w:rPr>
        <w:t>P</w:t>
      </w:r>
      <w:r w:rsidRPr="00493334">
        <w:rPr>
          <w:rFonts w:ascii="Garamond" w:hAnsi="Garamond"/>
        </w:rPr>
        <w:t>hilosophy has been undermined by a “misguided rationalism”</w:t>
      </w:r>
      <w:r w:rsidRPr="00493334">
        <w:rPr>
          <w:rStyle w:val="FootnoteReference"/>
          <w:rFonts w:ascii="Garamond" w:eastAsiaTheme="majorEastAsia" w:hAnsi="Garamond"/>
        </w:rPr>
        <w:footnoteReference w:id="50"/>
      </w:r>
      <w:r w:rsidRPr="00493334">
        <w:rPr>
          <w:rFonts w:ascii="Garamond" w:hAnsi="Garamond"/>
        </w:rPr>
        <w:t xml:space="preserve"> a nod to British and Austrian positivism, and an equally misguided “irrationalism so highly esteemed today”, undoubtedly a reference to the speculative metaphysics of Spengler and Heidegger.</w:t>
      </w:r>
      <w:r w:rsidRPr="00493334">
        <w:rPr>
          <w:rStyle w:val="FootnoteReference"/>
          <w:rFonts w:ascii="Garamond" w:eastAsiaTheme="majorEastAsia" w:hAnsi="Garamond"/>
        </w:rPr>
        <w:footnoteReference w:id="51"/>
      </w:r>
      <w:r w:rsidRPr="00493334">
        <w:rPr>
          <w:rFonts w:ascii="Garamond" w:hAnsi="Garamond"/>
        </w:rPr>
        <w:t xml:space="preserve"> Husserl hopes to demonstrate where the European intellectual world has deviated from its original</w:t>
      </w:r>
      <w:r w:rsidR="00CE2597" w:rsidRPr="00493334">
        <w:rPr>
          <w:rFonts w:ascii="Garamond" w:hAnsi="Garamond"/>
        </w:rPr>
        <w:t xml:space="preserve"> constituting</w:t>
      </w:r>
      <w:r w:rsidRPr="00493334">
        <w:rPr>
          <w:rFonts w:ascii="Garamond" w:hAnsi="Garamond"/>
        </w:rPr>
        <w:t xml:space="preserve"> grounds. </w:t>
      </w:r>
      <w:r w:rsidR="00CE2597" w:rsidRPr="00493334">
        <w:rPr>
          <w:rFonts w:ascii="Garamond" w:hAnsi="Garamond"/>
        </w:rPr>
        <w:t>What</w:t>
      </w:r>
      <w:r w:rsidRPr="00493334">
        <w:rPr>
          <w:rFonts w:ascii="Garamond" w:hAnsi="Garamond"/>
        </w:rPr>
        <w:t xml:space="preserve"> we </w:t>
      </w:r>
      <w:r w:rsidR="00CE2597" w:rsidRPr="00493334">
        <w:rPr>
          <w:rFonts w:ascii="Garamond" w:hAnsi="Garamond"/>
        </w:rPr>
        <w:t>see</w:t>
      </w:r>
      <w:r w:rsidRPr="00493334">
        <w:rPr>
          <w:rFonts w:ascii="Garamond" w:hAnsi="Garamond"/>
        </w:rPr>
        <w:t xml:space="preserve"> in the </w:t>
      </w:r>
      <w:r w:rsidR="00CE2597" w:rsidRPr="00493334">
        <w:rPr>
          <w:rFonts w:ascii="Garamond" w:hAnsi="Garamond"/>
          <w:i/>
          <w:iCs/>
        </w:rPr>
        <w:t>Crisis</w:t>
      </w:r>
      <w:r w:rsidRPr="00493334">
        <w:rPr>
          <w:rFonts w:ascii="Garamond" w:hAnsi="Garamond"/>
        </w:rPr>
        <w:t>, is an act of historical interpretation which</w:t>
      </w:r>
      <w:r w:rsidR="00CE2597" w:rsidRPr="00493334">
        <w:rPr>
          <w:rFonts w:ascii="Garamond" w:hAnsi="Garamond"/>
        </w:rPr>
        <w:t xml:space="preserve"> seeks</w:t>
      </w:r>
      <w:r w:rsidRPr="00493334">
        <w:rPr>
          <w:rFonts w:ascii="Garamond" w:hAnsi="Garamond"/>
        </w:rPr>
        <w:t xml:space="preserve"> the essence of </w:t>
      </w:r>
      <w:r w:rsidRPr="00493334">
        <w:rPr>
          <w:rFonts w:ascii="Garamond" w:hAnsi="Garamond"/>
        </w:rPr>
        <w:lastRenderedPageBreak/>
        <w:t>European culture through recollection of its traditional birthplace, and in turn, wield a critique of renewal upon what has become pathological</w:t>
      </w:r>
      <w:r w:rsidR="00CE2597" w:rsidRPr="00493334">
        <w:rPr>
          <w:rFonts w:ascii="Garamond" w:hAnsi="Garamond"/>
        </w:rPr>
        <w:t>.</w:t>
      </w:r>
    </w:p>
    <w:p w14:paraId="3C16FF0C" w14:textId="77A95C59" w:rsidR="00213E3E" w:rsidRPr="00493334" w:rsidRDefault="00213E3E" w:rsidP="00493334">
      <w:pPr>
        <w:spacing w:line="276" w:lineRule="auto"/>
        <w:ind w:firstLine="360"/>
        <w:rPr>
          <w:rFonts w:ascii="Garamond" w:hAnsi="Garamond"/>
        </w:rPr>
      </w:pPr>
      <w:r w:rsidRPr="00493334">
        <w:rPr>
          <w:rFonts w:ascii="Garamond" w:hAnsi="Garamond"/>
        </w:rPr>
        <w:t xml:space="preserve">How exactly did European rationalism lose its way? Science attempted to re-legitimize itself on new mathematical footing and thereby distinguished itself from philosophy. Galileo was the first to fully commit to this mathematization of nature. </w:t>
      </w:r>
      <w:r w:rsidR="00CE2597" w:rsidRPr="00493334">
        <w:rPr>
          <w:rFonts w:ascii="Garamond" w:hAnsi="Garamond"/>
        </w:rPr>
        <w:t xml:space="preserve">In this process was </w:t>
      </w:r>
      <w:proofErr w:type="gramStart"/>
      <w:r w:rsidR="00CE2597" w:rsidRPr="00493334">
        <w:rPr>
          <w:rFonts w:ascii="Garamond" w:hAnsi="Garamond"/>
        </w:rPr>
        <w:t>a number of</w:t>
      </w:r>
      <w:proofErr w:type="gramEnd"/>
      <w:r w:rsidRPr="00493334">
        <w:rPr>
          <w:rFonts w:ascii="Garamond" w:hAnsi="Garamond"/>
        </w:rPr>
        <w:t xml:space="preserve"> methodological shifts</w:t>
      </w:r>
      <w:r w:rsidR="00CE2597" w:rsidRPr="00493334">
        <w:rPr>
          <w:rFonts w:ascii="Garamond" w:hAnsi="Garamond"/>
        </w:rPr>
        <w:t xml:space="preserve"> involving the </w:t>
      </w:r>
      <w:r w:rsidRPr="00493334">
        <w:rPr>
          <w:rFonts w:ascii="Garamond" w:hAnsi="Garamond"/>
        </w:rPr>
        <w:t xml:space="preserve">mapping of ideal mathematical objects to an ideal world which lay in direct supervenience over the physical world. Certainly, the idealization of mathematical objects had occurred in classical times. Pythagoras and Euclid understood that the isosceles triangle was an </w:t>
      </w:r>
      <w:r w:rsidRPr="00493334">
        <w:rPr>
          <w:rFonts w:ascii="Garamond" w:hAnsi="Garamond"/>
          <w:i/>
          <w:iCs/>
        </w:rPr>
        <w:t xml:space="preserve">a priori </w:t>
      </w:r>
      <w:r w:rsidR="00CE2597" w:rsidRPr="00493334">
        <w:rPr>
          <w:rFonts w:ascii="Garamond" w:hAnsi="Garamond"/>
        </w:rPr>
        <w:t xml:space="preserve">ideal </w:t>
      </w:r>
      <w:r w:rsidRPr="00493334">
        <w:rPr>
          <w:rFonts w:ascii="Garamond" w:hAnsi="Garamond"/>
        </w:rPr>
        <w:t>construction</w:t>
      </w:r>
      <w:r w:rsidR="00CE2597" w:rsidRPr="00493334">
        <w:rPr>
          <w:rFonts w:ascii="Garamond" w:hAnsi="Garamond"/>
        </w:rPr>
        <w:t>;</w:t>
      </w:r>
      <w:r w:rsidRPr="00493334">
        <w:rPr>
          <w:rFonts w:ascii="Garamond" w:hAnsi="Garamond"/>
        </w:rPr>
        <w:t xml:space="preserve"> this is the “</w:t>
      </w:r>
      <w:proofErr w:type="spellStart"/>
      <w:r w:rsidRPr="00493334">
        <w:rPr>
          <w:rFonts w:ascii="Garamond" w:hAnsi="Garamond"/>
        </w:rPr>
        <w:t>methexis</w:t>
      </w:r>
      <w:proofErr w:type="spellEnd"/>
      <w:r w:rsidRPr="00493334">
        <w:rPr>
          <w:rFonts w:ascii="Garamond" w:hAnsi="Garamond"/>
        </w:rPr>
        <w:t>” to which Husserl refers.</w:t>
      </w:r>
      <w:r w:rsidRPr="00493334">
        <w:rPr>
          <w:rStyle w:val="FootnoteReference"/>
          <w:rFonts w:ascii="Garamond" w:eastAsiaTheme="majorEastAsia" w:hAnsi="Garamond"/>
        </w:rPr>
        <w:footnoteReference w:id="52"/>
      </w:r>
      <w:r w:rsidRPr="00493334">
        <w:rPr>
          <w:rFonts w:ascii="Garamond" w:hAnsi="Garamond"/>
        </w:rPr>
        <w:t xml:space="preserve"> But Galileo’s innovation was to apply mathematical objects in an ideal plane with an identity of correspondence to the real world as limit entities. ‘Problems’ in the world would now be solved in the ideal world by approaching a</w:t>
      </w:r>
      <w:r w:rsidR="00CE2597" w:rsidRPr="00493334">
        <w:rPr>
          <w:rFonts w:ascii="Garamond" w:hAnsi="Garamond"/>
        </w:rPr>
        <w:t xml:space="preserve"> limit-</w:t>
      </w:r>
      <w:r w:rsidRPr="00493334">
        <w:rPr>
          <w:rFonts w:ascii="Garamond" w:hAnsi="Garamond"/>
        </w:rPr>
        <w:t xml:space="preserve">approximation of the ideal form.  </w:t>
      </w:r>
      <w:r w:rsidR="00CE2597" w:rsidRPr="00493334">
        <w:rPr>
          <w:rFonts w:ascii="Garamond" w:hAnsi="Garamond"/>
        </w:rPr>
        <w:t xml:space="preserve">This </w:t>
      </w:r>
      <w:r w:rsidRPr="00493334">
        <w:rPr>
          <w:rFonts w:ascii="Garamond" w:hAnsi="Garamond"/>
        </w:rPr>
        <w:t xml:space="preserve">ideal geometrical space </w:t>
      </w:r>
      <w:r w:rsidR="00CE2597" w:rsidRPr="00493334">
        <w:rPr>
          <w:rFonts w:ascii="Garamond" w:hAnsi="Garamond"/>
        </w:rPr>
        <w:t>becomes</w:t>
      </w:r>
      <w:r w:rsidRPr="00493334">
        <w:rPr>
          <w:rFonts w:ascii="Garamond" w:hAnsi="Garamond"/>
        </w:rPr>
        <w:t xml:space="preserve"> the proper domain of universal reason. In it, the axioms of deductive reasoning which had been proven true by Euclidean geometry and had long been held as valid, could be applied in an infinite way to the totality of possible objects in infinite space. Together, the totality of such axioms could be united in such a way as to describe every possible feature of ideal geometric space—"a totality of pure rationality”.</w:t>
      </w:r>
      <w:r w:rsidRPr="00493334">
        <w:rPr>
          <w:rStyle w:val="FootnoteReference"/>
          <w:rFonts w:ascii="Garamond" w:eastAsiaTheme="majorEastAsia" w:hAnsi="Garamond"/>
        </w:rPr>
        <w:footnoteReference w:id="53"/>
      </w:r>
      <w:r w:rsidRPr="00493334">
        <w:rPr>
          <w:rFonts w:ascii="Garamond" w:hAnsi="Garamond"/>
        </w:rPr>
        <w:t xml:space="preserve"> </w:t>
      </w:r>
    </w:p>
    <w:p w14:paraId="59433A49" w14:textId="6A8CFDFE" w:rsidR="00213E3E" w:rsidRPr="00493334" w:rsidRDefault="00213E3E" w:rsidP="00493334">
      <w:pPr>
        <w:spacing w:line="276" w:lineRule="auto"/>
        <w:ind w:firstLine="360"/>
        <w:rPr>
          <w:rFonts w:ascii="Garamond" w:hAnsi="Garamond"/>
        </w:rPr>
      </w:pPr>
      <w:r w:rsidRPr="00493334">
        <w:rPr>
          <w:rFonts w:ascii="Garamond" w:hAnsi="Garamond"/>
        </w:rPr>
        <w:t>In this totality of pure rationality was a misguided rationality. Misguided by what standard? By the</w:t>
      </w:r>
      <w:r w:rsidR="007E79E5" w:rsidRPr="00493334">
        <w:rPr>
          <w:rFonts w:ascii="Garamond" w:hAnsi="Garamond"/>
        </w:rPr>
        <w:t xml:space="preserve"> evidential</w:t>
      </w:r>
      <w:r w:rsidRPr="00493334">
        <w:rPr>
          <w:rFonts w:ascii="Garamond" w:hAnsi="Garamond"/>
        </w:rPr>
        <w:t xml:space="preserve"> standard of </w:t>
      </w:r>
      <w:proofErr w:type="spellStart"/>
      <w:r w:rsidRPr="00493334">
        <w:rPr>
          <w:rFonts w:ascii="Garamond" w:hAnsi="Garamond"/>
          <w:i/>
          <w:iCs/>
        </w:rPr>
        <w:t>theoria</w:t>
      </w:r>
      <w:proofErr w:type="spellEnd"/>
      <w:r w:rsidRPr="00493334">
        <w:rPr>
          <w:rFonts w:ascii="Garamond" w:hAnsi="Garamond"/>
          <w:i/>
          <w:iCs/>
        </w:rPr>
        <w:t xml:space="preserve"> </w:t>
      </w:r>
      <w:r w:rsidRPr="00493334">
        <w:rPr>
          <w:rFonts w:ascii="Garamond" w:hAnsi="Garamond"/>
        </w:rPr>
        <w:t xml:space="preserve">set as the original Greek-European philosophical attitude. The new mathematical science abstracted from the life-world and therefore from lived intuited conscious experience which served as the grounds for a philosophical attitude. Suddenly, the mathematical </w:t>
      </w:r>
      <w:r w:rsidRPr="00493334">
        <w:rPr>
          <w:rFonts w:ascii="Garamond" w:hAnsi="Garamond"/>
          <w:i/>
          <w:iCs/>
        </w:rPr>
        <w:t xml:space="preserve">a priori </w:t>
      </w:r>
      <w:r w:rsidRPr="00493334">
        <w:rPr>
          <w:rFonts w:ascii="Garamond" w:hAnsi="Garamond"/>
        </w:rPr>
        <w:t>substituted itself in the place of phenomenal perception.</w:t>
      </w:r>
      <w:r w:rsidRPr="00493334">
        <w:rPr>
          <w:rStyle w:val="FootnoteReference"/>
          <w:rFonts w:ascii="Garamond" w:eastAsiaTheme="majorEastAsia" w:hAnsi="Garamond"/>
        </w:rPr>
        <w:footnoteReference w:id="54"/>
      </w:r>
      <w:r w:rsidRPr="00493334">
        <w:rPr>
          <w:rFonts w:ascii="Garamond" w:hAnsi="Garamond"/>
        </w:rPr>
        <w:t xml:space="preserve"> </w:t>
      </w:r>
      <w:r w:rsidR="007E79E5" w:rsidRPr="00493334">
        <w:rPr>
          <w:rFonts w:ascii="Garamond" w:hAnsi="Garamond"/>
        </w:rPr>
        <w:t xml:space="preserve">The teleology of the </w:t>
      </w:r>
      <w:r w:rsidR="007E79E5" w:rsidRPr="00493334">
        <w:rPr>
          <w:rFonts w:ascii="Garamond" w:hAnsi="Garamond"/>
          <w:i/>
          <w:iCs/>
        </w:rPr>
        <w:t xml:space="preserve">Crisis </w:t>
      </w:r>
      <w:r w:rsidR="007E79E5" w:rsidRPr="00493334">
        <w:rPr>
          <w:rFonts w:ascii="Garamond" w:hAnsi="Garamond"/>
        </w:rPr>
        <w:t>aims at</w:t>
      </w:r>
      <w:r w:rsidRPr="00493334">
        <w:rPr>
          <w:rFonts w:ascii="Garamond" w:hAnsi="Garamond"/>
        </w:rPr>
        <w:t xml:space="preserve"> rediscovering the attitude that </w:t>
      </w:r>
      <w:r w:rsidR="00D712DB" w:rsidRPr="00493334">
        <w:rPr>
          <w:rFonts w:ascii="Garamond" w:hAnsi="Garamond"/>
        </w:rPr>
        <w:t>has been</w:t>
      </w:r>
      <w:r w:rsidRPr="00493334">
        <w:rPr>
          <w:rFonts w:ascii="Garamond" w:hAnsi="Garamond"/>
        </w:rPr>
        <w:t xml:space="preserve"> pathologized by Europe’s misguided rationalism. But if this method is to be truly soteriological, we must identify how </w:t>
      </w:r>
      <w:r w:rsidR="007E79E5" w:rsidRPr="00493334">
        <w:rPr>
          <w:rFonts w:ascii="Garamond" w:hAnsi="Garamond"/>
        </w:rPr>
        <w:t xml:space="preserve">renewal is to be </w:t>
      </w:r>
      <w:r w:rsidR="00CE2597" w:rsidRPr="00493334">
        <w:rPr>
          <w:rFonts w:ascii="Garamond" w:hAnsi="Garamond"/>
        </w:rPr>
        <w:t>instantiated</w:t>
      </w:r>
      <w:r w:rsidR="007E79E5" w:rsidRPr="00493334">
        <w:rPr>
          <w:rFonts w:ascii="Garamond" w:hAnsi="Garamond"/>
        </w:rPr>
        <w:t>.</w:t>
      </w:r>
    </w:p>
    <w:p w14:paraId="58D456D3" w14:textId="77777777" w:rsidR="00213E3E" w:rsidRPr="00493334" w:rsidRDefault="00213E3E" w:rsidP="00493334">
      <w:pPr>
        <w:spacing w:line="276" w:lineRule="auto"/>
        <w:ind w:firstLine="720"/>
        <w:rPr>
          <w:rFonts w:ascii="Garamond" w:hAnsi="Garamond"/>
        </w:rPr>
      </w:pPr>
    </w:p>
    <w:p w14:paraId="34702034" w14:textId="081817D0" w:rsidR="00213E3E" w:rsidRPr="00493334" w:rsidRDefault="00213E3E" w:rsidP="00C97655">
      <w:pPr>
        <w:pStyle w:val="ListParagraph"/>
        <w:numPr>
          <w:ilvl w:val="0"/>
          <w:numId w:val="3"/>
        </w:numPr>
        <w:spacing w:line="276" w:lineRule="auto"/>
        <w:rPr>
          <w:rFonts w:ascii="Garamond" w:hAnsi="Garamond"/>
          <w:b/>
          <w:bCs/>
        </w:rPr>
      </w:pPr>
      <w:r w:rsidRPr="00493334">
        <w:rPr>
          <w:rFonts w:ascii="Garamond" w:hAnsi="Garamond"/>
          <w:b/>
          <w:bCs/>
          <w:i/>
          <w:iCs/>
        </w:rPr>
        <w:t>Stiftung</w:t>
      </w:r>
      <w:r w:rsidRPr="00493334">
        <w:rPr>
          <w:rFonts w:ascii="Garamond" w:hAnsi="Garamond"/>
          <w:b/>
          <w:bCs/>
        </w:rPr>
        <w:t>,</w:t>
      </w:r>
      <w:r w:rsidRPr="00493334">
        <w:rPr>
          <w:rFonts w:ascii="Garamond" w:hAnsi="Garamond"/>
          <w:b/>
          <w:bCs/>
          <w:i/>
          <w:iCs/>
        </w:rPr>
        <w:t xml:space="preserve"> </w:t>
      </w:r>
      <w:r w:rsidRPr="00493334">
        <w:rPr>
          <w:rFonts w:ascii="Garamond" w:hAnsi="Garamond"/>
          <w:b/>
          <w:bCs/>
        </w:rPr>
        <w:t>Evidence,</w:t>
      </w:r>
      <w:r w:rsidRPr="00493334">
        <w:rPr>
          <w:rFonts w:ascii="Garamond" w:hAnsi="Garamond"/>
          <w:b/>
          <w:bCs/>
          <w:i/>
          <w:iCs/>
        </w:rPr>
        <w:t xml:space="preserve"> </w:t>
      </w:r>
      <w:r w:rsidRPr="00493334">
        <w:rPr>
          <w:rFonts w:ascii="Garamond" w:hAnsi="Garamond"/>
          <w:b/>
          <w:bCs/>
        </w:rPr>
        <w:t xml:space="preserve">and Rebirth </w:t>
      </w:r>
    </w:p>
    <w:p w14:paraId="6E27A730" w14:textId="149FE9AC" w:rsidR="00B05BE1" w:rsidRDefault="00021D62" w:rsidP="00B05BE1">
      <w:pPr>
        <w:spacing w:line="276" w:lineRule="auto"/>
        <w:ind w:firstLine="360"/>
        <w:rPr>
          <w:rFonts w:ascii="Garamond" w:hAnsi="Garamond"/>
        </w:rPr>
      </w:pPr>
      <w:r w:rsidRPr="00493334">
        <w:rPr>
          <w:rFonts w:ascii="Garamond" w:hAnsi="Garamond"/>
        </w:rPr>
        <w:t xml:space="preserve">Let us concretize the method of soteriology. </w:t>
      </w:r>
      <w:r w:rsidR="00213E3E" w:rsidRPr="00493334">
        <w:rPr>
          <w:rFonts w:ascii="Garamond" w:hAnsi="Garamond"/>
        </w:rPr>
        <w:t>Well before Husserl wrote of history in the sense</w:t>
      </w:r>
      <w:r w:rsidR="00C97655">
        <w:rPr>
          <w:rFonts w:ascii="Garamond" w:hAnsi="Garamond"/>
        </w:rPr>
        <w:t xml:space="preserve"> of </w:t>
      </w:r>
      <w:r w:rsidR="00C97655" w:rsidRPr="00C97655">
        <w:rPr>
          <w:rFonts w:ascii="Garamond" w:hAnsi="Garamond"/>
          <w:i/>
          <w:iCs/>
        </w:rPr>
        <w:t>Geshichtlichkeit</w:t>
      </w:r>
      <w:r w:rsidR="00213E3E" w:rsidRPr="00493334">
        <w:rPr>
          <w:rFonts w:ascii="Garamond" w:hAnsi="Garamond"/>
        </w:rPr>
        <w:t>, he use</w:t>
      </w:r>
      <w:r w:rsidR="003A33C0" w:rsidRPr="00493334">
        <w:rPr>
          <w:rFonts w:ascii="Garamond" w:hAnsi="Garamond"/>
        </w:rPr>
        <w:t>d</w:t>
      </w:r>
      <w:r w:rsidR="00213E3E" w:rsidRPr="00493334">
        <w:rPr>
          <w:rFonts w:ascii="Garamond" w:hAnsi="Garamond"/>
        </w:rPr>
        <w:t xml:space="preserve"> </w:t>
      </w:r>
      <w:r w:rsidR="003A33C0" w:rsidRPr="00493334">
        <w:rPr>
          <w:rFonts w:ascii="Garamond" w:hAnsi="Garamond"/>
        </w:rPr>
        <w:t xml:space="preserve">“history” </w:t>
      </w:r>
      <w:r w:rsidR="00213E3E" w:rsidRPr="00493334">
        <w:rPr>
          <w:rFonts w:ascii="Garamond" w:hAnsi="Garamond"/>
        </w:rPr>
        <w:t xml:space="preserve">to describe an important feature of </w:t>
      </w:r>
      <w:r w:rsidR="00C97655">
        <w:rPr>
          <w:rFonts w:ascii="Garamond" w:hAnsi="Garamond"/>
        </w:rPr>
        <w:t>the</w:t>
      </w:r>
      <w:r w:rsidR="00213E3E" w:rsidRPr="00493334">
        <w:rPr>
          <w:rFonts w:ascii="Garamond" w:hAnsi="Garamond"/>
        </w:rPr>
        <w:t xml:space="preserve"> phenomenology of judgement. </w:t>
      </w:r>
      <w:r w:rsidR="003A33C0" w:rsidRPr="00493334">
        <w:rPr>
          <w:rFonts w:ascii="Garamond" w:hAnsi="Garamond"/>
        </w:rPr>
        <w:t>“History” characterized</w:t>
      </w:r>
      <w:r w:rsidR="00213E3E" w:rsidRPr="00493334">
        <w:rPr>
          <w:rFonts w:ascii="Garamond" w:hAnsi="Garamond"/>
        </w:rPr>
        <w:t xml:space="preserve"> one’s capacity to trace a series of identical judgements back to their original </w:t>
      </w:r>
      <w:r w:rsidR="00EC791C" w:rsidRPr="00493334">
        <w:rPr>
          <w:rFonts w:ascii="Garamond" w:hAnsi="Garamond"/>
        </w:rPr>
        <w:t xml:space="preserve">moment of ideal constitution. In an original moment of active judging, a new objectivity is generated. As an ideal object, there is the necessary possibility that this judgment may be logically modified </w:t>
      </w:r>
      <w:r w:rsidR="00EC791C" w:rsidRPr="00493334">
        <w:rPr>
          <w:rFonts w:ascii="Garamond" w:hAnsi="Garamond"/>
          <w:i/>
          <w:iCs/>
        </w:rPr>
        <w:t>ad infinitum</w:t>
      </w:r>
      <w:r w:rsidR="00EC791C" w:rsidRPr="00493334">
        <w:rPr>
          <w:rFonts w:ascii="Garamond" w:hAnsi="Garamond"/>
        </w:rPr>
        <w:t>.</w:t>
      </w:r>
      <w:r w:rsidR="00EC791C" w:rsidRPr="00493334">
        <w:rPr>
          <w:rStyle w:val="FootnoteReference"/>
          <w:rFonts w:ascii="Garamond" w:hAnsi="Garamond"/>
        </w:rPr>
        <w:footnoteReference w:id="55"/>
      </w:r>
      <w:r w:rsidR="00EC791C" w:rsidRPr="00493334">
        <w:rPr>
          <w:rFonts w:ascii="Garamond" w:hAnsi="Garamond"/>
        </w:rPr>
        <w:t xml:space="preserve"> Some original judgement </w:t>
      </w:r>
      <w:r w:rsidR="003A33C0" w:rsidRPr="00493334">
        <w:rPr>
          <w:rFonts w:ascii="Garamond" w:hAnsi="Garamond"/>
        </w:rPr>
        <w:t>“</w:t>
      </w:r>
      <w:r w:rsidR="00EC791C" w:rsidRPr="00493334">
        <w:rPr>
          <w:rFonts w:ascii="Garamond" w:hAnsi="Garamond"/>
        </w:rPr>
        <w:t>A</w:t>
      </w:r>
      <w:r w:rsidR="003A33C0" w:rsidRPr="00493334">
        <w:rPr>
          <w:rFonts w:ascii="Garamond" w:hAnsi="Garamond"/>
        </w:rPr>
        <w:t>”</w:t>
      </w:r>
      <w:r w:rsidR="00EC791C" w:rsidRPr="00493334">
        <w:rPr>
          <w:rFonts w:ascii="Garamond" w:hAnsi="Garamond"/>
        </w:rPr>
        <w:t xml:space="preserve"> may be logically modified,</w:t>
      </w:r>
      <w:r w:rsidRPr="00493334">
        <w:rPr>
          <w:rFonts w:ascii="Garamond" w:hAnsi="Garamond"/>
        </w:rPr>
        <w:t xml:space="preserve"> for example, as</w:t>
      </w:r>
      <w:r w:rsidR="00EC791C" w:rsidRPr="00493334">
        <w:rPr>
          <w:rFonts w:ascii="Garamond" w:hAnsi="Garamond"/>
        </w:rPr>
        <w:t xml:space="preserve"> </w:t>
      </w:r>
      <w:r w:rsidRPr="00493334">
        <w:rPr>
          <w:rFonts w:ascii="Garamond" w:hAnsi="Garamond"/>
        </w:rPr>
        <w:t>“</w:t>
      </w:r>
      <w:r w:rsidR="00EC791C" w:rsidRPr="00493334">
        <w:rPr>
          <w:rFonts w:ascii="Cambria Math" w:hAnsi="Cambria Math" w:cs="Cambria Math"/>
          <w:shd w:val="clear" w:color="auto" w:fill="FFFFFF"/>
        </w:rPr>
        <w:t>∃</w:t>
      </w:r>
      <w:r w:rsidR="00EC791C" w:rsidRPr="00493334">
        <w:rPr>
          <w:rFonts w:ascii="Garamond" w:hAnsi="Garamond"/>
          <w:shd w:val="clear" w:color="auto" w:fill="FFFFFF"/>
        </w:rPr>
        <w:t>(A)</w:t>
      </w:r>
      <w:r w:rsidR="00EC791C" w:rsidRPr="00493334">
        <w:rPr>
          <w:rFonts w:ascii="Garamond" w:hAnsi="Garamond"/>
        </w:rPr>
        <w:sym w:font="Wingdings" w:char="F0E0"/>
      </w:r>
      <w:r w:rsidR="00EC791C" w:rsidRPr="00493334">
        <w:rPr>
          <w:rFonts w:ascii="Garamond" w:hAnsi="Garamond"/>
        </w:rPr>
        <w:t xml:space="preserve"> p</w:t>
      </w:r>
      <w:r w:rsidRPr="00493334">
        <w:rPr>
          <w:rFonts w:ascii="Garamond" w:hAnsi="Garamond"/>
        </w:rPr>
        <w:t>”</w:t>
      </w:r>
      <w:r w:rsidR="00EC791C" w:rsidRPr="00493334">
        <w:rPr>
          <w:rFonts w:ascii="Garamond" w:hAnsi="Garamond"/>
        </w:rPr>
        <w:t xml:space="preserve"> wherein </w:t>
      </w:r>
      <w:r w:rsidRPr="00493334">
        <w:rPr>
          <w:rFonts w:ascii="Garamond" w:hAnsi="Garamond"/>
        </w:rPr>
        <w:t>“</w:t>
      </w:r>
      <w:r w:rsidR="00EC791C" w:rsidRPr="00493334">
        <w:rPr>
          <w:rFonts w:ascii="Garamond" w:hAnsi="Garamond"/>
        </w:rPr>
        <w:t>A</w:t>
      </w:r>
      <w:r w:rsidRPr="00493334">
        <w:rPr>
          <w:rFonts w:ascii="Garamond" w:hAnsi="Garamond"/>
        </w:rPr>
        <w:t>”</w:t>
      </w:r>
      <w:r w:rsidR="00EC791C" w:rsidRPr="00493334">
        <w:rPr>
          <w:rFonts w:ascii="Garamond" w:hAnsi="Garamond"/>
        </w:rPr>
        <w:t xml:space="preserve"> stands as the original judgement which has been reiterated and modified in predicate relation to an existential and consequent. Theoretically, there is no limit </w:t>
      </w:r>
      <w:r w:rsidR="003A33C0" w:rsidRPr="00493334">
        <w:rPr>
          <w:rFonts w:ascii="Garamond" w:hAnsi="Garamond"/>
        </w:rPr>
        <w:t xml:space="preserve">to these modifications </w:t>
      </w:r>
      <w:r w:rsidR="00EC791C" w:rsidRPr="00493334">
        <w:rPr>
          <w:rFonts w:ascii="Garamond" w:hAnsi="Garamond"/>
        </w:rPr>
        <w:t xml:space="preserve">within the bounds of logic. In the potentially infinite series of </w:t>
      </w:r>
      <w:r w:rsidRPr="00493334">
        <w:rPr>
          <w:rFonts w:ascii="Garamond" w:hAnsi="Garamond"/>
        </w:rPr>
        <w:t xml:space="preserve">reiterated modifications, there is the potential of tracing the modified judgement, through the law of identity, back to the original moment of temporal constitution. In this sense, every intentionality and series of </w:t>
      </w:r>
      <w:r w:rsidRPr="00493334">
        <w:rPr>
          <w:rFonts w:ascii="Garamond" w:hAnsi="Garamond"/>
        </w:rPr>
        <w:lastRenderedPageBreak/>
        <w:t>objectivities possesses its own “history”.</w:t>
      </w:r>
      <w:r w:rsidRPr="00493334">
        <w:rPr>
          <w:rStyle w:val="FootnoteReference"/>
          <w:rFonts w:ascii="Garamond" w:hAnsi="Garamond"/>
        </w:rPr>
        <w:footnoteReference w:id="56"/>
      </w:r>
      <w:r w:rsidRPr="00493334">
        <w:rPr>
          <w:rFonts w:ascii="Garamond" w:hAnsi="Garamond"/>
        </w:rPr>
        <w:t xml:space="preserve"> Historical method constituted the proleptic recovering of the original judgment from within the sedimentation of logical modification.</w:t>
      </w:r>
      <w:r w:rsidR="00DF4688" w:rsidRPr="00493334">
        <w:rPr>
          <w:rFonts w:ascii="Garamond" w:hAnsi="Garamond"/>
        </w:rPr>
        <w:t xml:space="preserve"> </w:t>
      </w:r>
      <w:r w:rsidR="00B05BE1">
        <w:rPr>
          <w:rFonts w:ascii="Garamond" w:hAnsi="Garamond"/>
        </w:rPr>
        <w:t xml:space="preserve">Our question then, is how </w:t>
      </w:r>
      <w:r w:rsidRPr="00493334">
        <w:rPr>
          <w:rFonts w:ascii="Garamond" w:hAnsi="Garamond"/>
        </w:rPr>
        <w:t>th</w:t>
      </w:r>
      <w:r w:rsidR="003A33C0" w:rsidRPr="00493334">
        <w:rPr>
          <w:rFonts w:ascii="Garamond" w:hAnsi="Garamond"/>
        </w:rPr>
        <w:t xml:space="preserve">is </w:t>
      </w:r>
      <w:r w:rsidRPr="00493334">
        <w:rPr>
          <w:rFonts w:ascii="Garamond" w:hAnsi="Garamond"/>
        </w:rPr>
        <w:t xml:space="preserve">phenomenological method </w:t>
      </w:r>
      <w:r w:rsidR="003A33C0" w:rsidRPr="00493334">
        <w:rPr>
          <w:rFonts w:ascii="Garamond" w:hAnsi="Garamond"/>
        </w:rPr>
        <w:t xml:space="preserve">of history </w:t>
      </w:r>
      <w:r w:rsidR="00B05BE1">
        <w:rPr>
          <w:rFonts w:ascii="Garamond" w:hAnsi="Garamond"/>
        </w:rPr>
        <w:t xml:space="preserve">may be </w:t>
      </w:r>
      <w:r w:rsidRPr="00493334">
        <w:rPr>
          <w:rFonts w:ascii="Garamond" w:hAnsi="Garamond"/>
        </w:rPr>
        <w:t xml:space="preserve">applied to the cultural world? </w:t>
      </w:r>
    </w:p>
    <w:p w14:paraId="2AE773F4" w14:textId="32F4A340" w:rsidR="00021D62" w:rsidRPr="00493334" w:rsidRDefault="00021D62" w:rsidP="00B05BE1">
      <w:pPr>
        <w:spacing w:line="276" w:lineRule="auto"/>
        <w:ind w:firstLine="360"/>
        <w:rPr>
          <w:rFonts w:ascii="Garamond" w:hAnsi="Garamond"/>
        </w:rPr>
      </w:pPr>
      <w:r w:rsidRPr="00493334">
        <w:rPr>
          <w:rFonts w:ascii="Garamond" w:hAnsi="Garamond"/>
        </w:rPr>
        <w:t>Rebirth is a strange phenomenon to imagine. It is the reconstituting of wha</w:t>
      </w:r>
      <w:r w:rsidR="005572A4" w:rsidRPr="00493334">
        <w:rPr>
          <w:rFonts w:ascii="Garamond" w:hAnsi="Garamond"/>
        </w:rPr>
        <w:t>t has already been constituted</w:t>
      </w:r>
      <w:r w:rsidRPr="00493334">
        <w:rPr>
          <w:rFonts w:ascii="Garamond" w:hAnsi="Garamond"/>
        </w:rPr>
        <w:t xml:space="preserve">—a cyclical reaffirmation in which what has died lives again in a new state, yet somehow </w:t>
      </w:r>
      <w:r w:rsidR="00D712DB" w:rsidRPr="00493334">
        <w:rPr>
          <w:rFonts w:ascii="Garamond" w:hAnsi="Garamond"/>
        </w:rPr>
        <w:t xml:space="preserve">remains </w:t>
      </w:r>
      <w:r w:rsidRPr="00493334">
        <w:rPr>
          <w:rFonts w:ascii="Garamond" w:hAnsi="Garamond"/>
        </w:rPr>
        <w:t xml:space="preserve">in continuity with the deceased. As noted above, Spengler spends substantial time doubting this cultural possibility. But </w:t>
      </w:r>
      <w:r w:rsidR="003A33C0" w:rsidRPr="00493334">
        <w:rPr>
          <w:rFonts w:ascii="Garamond" w:hAnsi="Garamond"/>
        </w:rPr>
        <w:t xml:space="preserve">from </w:t>
      </w:r>
      <w:proofErr w:type="spellStart"/>
      <w:r w:rsidR="003A33C0" w:rsidRPr="00493334">
        <w:rPr>
          <w:rFonts w:ascii="Garamond" w:hAnsi="Garamond"/>
          <w:i/>
          <w:iCs/>
        </w:rPr>
        <w:t>Kaizo</w:t>
      </w:r>
      <w:proofErr w:type="spellEnd"/>
      <w:r w:rsidR="003A33C0" w:rsidRPr="00493334">
        <w:rPr>
          <w:rFonts w:ascii="Garamond" w:hAnsi="Garamond"/>
        </w:rPr>
        <w:t xml:space="preserve"> </w:t>
      </w:r>
      <w:r w:rsidRPr="00493334">
        <w:rPr>
          <w:rFonts w:ascii="Garamond" w:hAnsi="Garamond"/>
        </w:rPr>
        <w:t xml:space="preserve">through the </w:t>
      </w:r>
      <w:r w:rsidRPr="00493334">
        <w:rPr>
          <w:rFonts w:ascii="Garamond" w:hAnsi="Garamond"/>
          <w:i/>
          <w:iCs/>
        </w:rPr>
        <w:t>Crisis</w:t>
      </w:r>
      <w:r w:rsidRPr="00493334">
        <w:rPr>
          <w:rFonts w:ascii="Garamond" w:hAnsi="Garamond"/>
        </w:rPr>
        <w:t>, Husserl expresse</w:t>
      </w:r>
      <w:r w:rsidR="00E63E5D" w:rsidRPr="00493334">
        <w:rPr>
          <w:rFonts w:ascii="Garamond" w:hAnsi="Garamond"/>
        </w:rPr>
        <w:t xml:space="preserve">s </w:t>
      </w:r>
      <w:r w:rsidRPr="00493334">
        <w:rPr>
          <w:rFonts w:ascii="Garamond" w:hAnsi="Garamond"/>
        </w:rPr>
        <w:t xml:space="preserve">this idea of renewal and rebirth </w:t>
      </w:r>
      <w:r w:rsidR="00E63E5D" w:rsidRPr="00493334">
        <w:rPr>
          <w:rFonts w:ascii="Garamond" w:hAnsi="Garamond"/>
        </w:rPr>
        <w:t>by</w:t>
      </w:r>
      <w:r w:rsidRPr="00493334">
        <w:rPr>
          <w:rFonts w:ascii="Garamond" w:hAnsi="Garamond"/>
        </w:rPr>
        <w:t xml:space="preserve"> the concept of </w:t>
      </w:r>
      <w:r w:rsidRPr="00493334">
        <w:rPr>
          <w:rFonts w:ascii="Garamond" w:hAnsi="Garamond"/>
          <w:i/>
          <w:iCs/>
        </w:rPr>
        <w:t>Stiftung</w:t>
      </w:r>
      <w:r w:rsidRPr="00493334">
        <w:rPr>
          <w:rFonts w:ascii="Garamond" w:hAnsi="Garamond"/>
        </w:rPr>
        <w:t xml:space="preserve"> (translated either as institution or establishment). To </w:t>
      </w:r>
      <w:r w:rsidR="003A33C0" w:rsidRPr="00493334">
        <w:rPr>
          <w:rFonts w:ascii="Garamond" w:hAnsi="Garamond"/>
        </w:rPr>
        <w:t xml:space="preserve">historically </w:t>
      </w:r>
      <w:r w:rsidRPr="00493334">
        <w:rPr>
          <w:rFonts w:ascii="Garamond" w:hAnsi="Garamond"/>
        </w:rPr>
        <w:t xml:space="preserve">unfold the idea of </w:t>
      </w:r>
      <w:r w:rsidRPr="00493334">
        <w:rPr>
          <w:rFonts w:ascii="Garamond" w:hAnsi="Garamond"/>
          <w:i/>
          <w:iCs/>
        </w:rPr>
        <w:t>Stiftung</w:t>
      </w:r>
      <w:r w:rsidR="003A33C0" w:rsidRPr="00493334">
        <w:rPr>
          <w:rFonts w:ascii="Garamond" w:hAnsi="Garamond"/>
        </w:rPr>
        <w:t>,</w:t>
      </w:r>
      <w:r w:rsidRPr="00493334">
        <w:rPr>
          <w:rFonts w:ascii="Garamond" w:hAnsi="Garamond"/>
        </w:rPr>
        <w:t xml:space="preserve"> Husserl employs the terms </w:t>
      </w:r>
      <w:r w:rsidRPr="00493334">
        <w:rPr>
          <w:rFonts w:ascii="Garamond" w:hAnsi="Garamond"/>
          <w:i/>
          <w:iCs/>
        </w:rPr>
        <w:t>Urstiftung</w:t>
      </w:r>
      <w:r w:rsidRPr="00493334">
        <w:rPr>
          <w:rFonts w:ascii="Garamond" w:hAnsi="Garamond"/>
        </w:rPr>
        <w:t xml:space="preserve">, the original primordial establishment, and </w:t>
      </w:r>
      <w:r w:rsidRPr="00493334">
        <w:rPr>
          <w:rFonts w:ascii="Garamond" w:hAnsi="Garamond"/>
          <w:i/>
          <w:iCs/>
        </w:rPr>
        <w:t xml:space="preserve">Nachstiftung, </w:t>
      </w:r>
      <w:r w:rsidRPr="00493334">
        <w:rPr>
          <w:rFonts w:ascii="Garamond" w:hAnsi="Garamond"/>
        </w:rPr>
        <w:t xml:space="preserve">the reincarnation or reinstitution of the </w:t>
      </w:r>
      <w:r w:rsidRPr="00493334">
        <w:rPr>
          <w:rFonts w:ascii="Garamond" w:hAnsi="Garamond"/>
          <w:i/>
          <w:iCs/>
        </w:rPr>
        <w:t>Urstiftung</w:t>
      </w:r>
      <w:r w:rsidRPr="00493334">
        <w:rPr>
          <w:rFonts w:ascii="Garamond" w:hAnsi="Garamond"/>
        </w:rPr>
        <w:t xml:space="preserve">. In the </w:t>
      </w:r>
      <w:r w:rsidRPr="00493334">
        <w:rPr>
          <w:rFonts w:ascii="Garamond" w:hAnsi="Garamond"/>
          <w:i/>
          <w:iCs/>
        </w:rPr>
        <w:t xml:space="preserve">Crisis, </w:t>
      </w:r>
      <w:r w:rsidRPr="00493334">
        <w:rPr>
          <w:rFonts w:ascii="Garamond" w:hAnsi="Garamond"/>
        </w:rPr>
        <w:t>Husserl describes ancient Greek philosophy as the “original establishment”</w:t>
      </w:r>
      <w:r w:rsidRPr="00493334">
        <w:rPr>
          <w:rStyle w:val="FootnoteReference"/>
          <w:rFonts w:ascii="Garamond" w:eastAsiaTheme="majorEastAsia" w:hAnsi="Garamond"/>
        </w:rPr>
        <w:footnoteReference w:id="57"/>
      </w:r>
      <w:r w:rsidRPr="00493334">
        <w:rPr>
          <w:rFonts w:ascii="Garamond" w:hAnsi="Garamond"/>
        </w:rPr>
        <w:t xml:space="preserve"> (</w:t>
      </w:r>
      <w:r w:rsidRPr="00493334">
        <w:rPr>
          <w:rFonts w:ascii="Garamond" w:hAnsi="Garamond"/>
          <w:i/>
          <w:iCs/>
        </w:rPr>
        <w:t>Urstiftung</w:t>
      </w:r>
      <w:r w:rsidRPr="00493334">
        <w:rPr>
          <w:rFonts w:ascii="Garamond" w:hAnsi="Garamond"/>
        </w:rPr>
        <w:t>) and the modern struggle out of the crisis as a “re-establishment”</w:t>
      </w:r>
      <w:r w:rsidRPr="00493334">
        <w:rPr>
          <w:rStyle w:val="FootnoteReference"/>
          <w:rFonts w:ascii="Garamond" w:eastAsiaTheme="majorEastAsia" w:hAnsi="Garamond"/>
        </w:rPr>
        <w:footnoteReference w:id="58"/>
      </w:r>
      <w:r w:rsidRPr="00493334">
        <w:rPr>
          <w:rFonts w:ascii="Garamond" w:hAnsi="Garamond"/>
        </w:rPr>
        <w:t xml:space="preserve"> (</w:t>
      </w:r>
      <w:r w:rsidRPr="00493334">
        <w:rPr>
          <w:rFonts w:ascii="Garamond" w:hAnsi="Garamond"/>
          <w:i/>
          <w:iCs/>
        </w:rPr>
        <w:t>Nachstiftung</w:t>
      </w:r>
      <w:r w:rsidRPr="00493334">
        <w:rPr>
          <w:rFonts w:ascii="Garamond" w:hAnsi="Garamond"/>
        </w:rPr>
        <w:t xml:space="preserve">) of philosophy. </w:t>
      </w:r>
      <w:r w:rsidR="004C0207" w:rsidRPr="00493334">
        <w:rPr>
          <w:rFonts w:ascii="Garamond" w:hAnsi="Garamond"/>
        </w:rPr>
        <w:t xml:space="preserve">In the language of </w:t>
      </w:r>
      <w:r w:rsidR="004C0207" w:rsidRPr="00493334">
        <w:rPr>
          <w:rFonts w:ascii="Garamond" w:hAnsi="Garamond"/>
          <w:i/>
          <w:iCs/>
        </w:rPr>
        <w:t>Formal and Transcendental Logic</w:t>
      </w:r>
      <w:r w:rsidR="004C0207" w:rsidRPr="00493334">
        <w:rPr>
          <w:rFonts w:ascii="Garamond" w:hAnsi="Garamond"/>
        </w:rPr>
        <w:t xml:space="preserve">, the </w:t>
      </w:r>
      <w:r w:rsidR="004C0207" w:rsidRPr="00493334">
        <w:rPr>
          <w:rFonts w:ascii="Garamond" w:hAnsi="Garamond"/>
          <w:i/>
          <w:iCs/>
        </w:rPr>
        <w:t xml:space="preserve">Urstiftung </w:t>
      </w:r>
      <w:r w:rsidR="004C0207" w:rsidRPr="00493334">
        <w:rPr>
          <w:rFonts w:ascii="Garamond" w:hAnsi="Garamond"/>
        </w:rPr>
        <w:t xml:space="preserve">is the original constitution of an objectivity while the </w:t>
      </w:r>
      <w:r w:rsidR="004C0207" w:rsidRPr="00493334">
        <w:rPr>
          <w:rFonts w:ascii="Garamond" w:hAnsi="Garamond"/>
          <w:i/>
          <w:iCs/>
        </w:rPr>
        <w:t xml:space="preserve">Nachstiftung </w:t>
      </w:r>
      <w:r w:rsidR="004C0207" w:rsidRPr="00493334">
        <w:rPr>
          <w:rFonts w:ascii="Garamond" w:hAnsi="Garamond"/>
        </w:rPr>
        <w:t>is the recovery of its original meaning towards new applications.</w:t>
      </w:r>
      <w:r w:rsidR="003A33C0" w:rsidRPr="00493334">
        <w:rPr>
          <w:rStyle w:val="FootnoteReference"/>
          <w:rFonts w:ascii="Garamond" w:hAnsi="Garamond"/>
        </w:rPr>
        <w:footnoteReference w:id="59"/>
      </w:r>
      <w:r w:rsidR="004C0207" w:rsidRPr="00493334">
        <w:rPr>
          <w:rFonts w:ascii="Garamond" w:hAnsi="Garamond"/>
        </w:rPr>
        <w:t xml:space="preserve"> </w:t>
      </w:r>
    </w:p>
    <w:p w14:paraId="7068E955" w14:textId="29D2F9F5" w:rsidR="00021D62" w:rsidRPr="00493334" w:rsidRDefault="004C0207" w:rsidP="00493334">
      <w:pPr>
        <w:spacing w:line="276" w:lineRule="auto"/>
        <w:rPr>
          <w:rFonts w:ascii="Garamond" w:hAnsi="Garamond"/>
        </w:rPr>
      </w:pPr>
      <w:r w:rsidRPr="00493334">
        <w:rPr>
          <w:rFonts w:ascii="Garamond" w:hAnsi="Garamond"/>
        </w:rPr>
        <w:tab/>
        <w:t xml:space="preserve">Husserl’s appeal to Greek </w:t>
      </w:r>
      <w:r w:rsidRPr="00493334">
        <w:rPr>
          <w:rFonts w:ascii="Garamond" w:hAnsi="Garamond"/>
          <w:i/>
          <w:iCs/>
        </w:rPr>
        <w:t>Theoria</w:t>
      </w:r>
      <w:r w:rsidRPr="00493334">
        <w:rPr>
          <w:rFonts w:ascii="Garamond" w:hAnsi="Garamond"/>
        </w:rPr>
        <w:t xml:space="preserve"> is not a traditionalist pining for Heraclitus. It is the treatment of the </w:t>
      </w:r>
      <w:r w:rsidRPr="00493334">
        <w:rPr>
          <w:rFonts w:ascii="Garamond" w:hAnsi="Garamond"/>
          <w:i/>
          <w:iCs/>
        </w:rPr>
        <w:t xml:space="preserve">Urstiftung </w:t>
      </w:r>
      <w:r w:rsidRPr="00493334">
        <w:rPr>
          <w:rFonts w:ascii="Garamond" w:hAnsi="Garamond"/>
        </w:rPr>
        <w:t xml:space="preserve">as that historical moment when the first </w:t>
      </w:r>
      <w:r w:rsidR="00DF4688" w:rsidRPr="00493334">
        <w:rPr>
          <w:rFonts w:ascii="Garamond" w:hAnsi="Garamond"/>
        </w:rPr>
        <w:t>evidence</w:t>
      </w:r>
      <w:r w:rsidRPr="00493334">
        <w:rPr>
          <w:rFonts w:ascii="Garamond" w:hAnsi="Garamond"/>
        </w:rPr>
        <w:t xml:space="preserve"> of European philosophy took a concrete form. </w:t>
      </w:r>
      <w:r w:rsidR="00253417" w:rsidRPr="00493334">
        <w:rPr>
          <w:rFonts w:ascii="Garamond" w:hAnsi="Garamond"/>
        </w:rPr>
        <w:t xml:space="preserve">This is a decisive push against Spengler claims against translation, </w:t>
      </w:r>
      <w:r w:rsidR="00DF4688" w:rsidRPr="00493334">
        <w:rPr>
          <w:rFonts w:ascii="Garamond" w:hAnsi="Garamond"/>
        </w:rPr>
        <w:t xml:space="preserve">signifying the </w:t>
      </w:r>
      <w:r w:rsidR="00253417" w:rsidRPr="00493334">
        <w:rPr>
          <w:rFonts w:ascii="Garamond" w:hAnsi="Garamond"/>
        </w:rPr>
        <w:t>genuin</w:t>
      </w:r>
      <w:r w:rsidR="00DF4688" w:rsidRPr="00493334">
        <w:rPr>
          <w:rFonts w:ascii="Garamond" w:hAnsi="Garamond"/>
        </w:rPr>
        <w:t>e possibility of</w:t>
      </w:r>
      <w:r w:rsidR="00253417" w:rsidRPr="00493334">
        <w:rPr>
          <w:rFonts w:ascii="Garamond" w:hAnsi="Garamond"/>
        </w:rPr>
        <w:t xml:space="preserve"> recaptur</w:t>
      </w:r>
      <w:r w:rsidR="00DF4688" w:rsidRPr="00493334">
        <w:rPr>
          <w:rFonts w:ascii="Garamond" w:hAnsi="Garamond"/>
        </w:rPr>
        <w:t>ing</w:t>
      </w:r>
      <w:r w:rsidR="00253417" w:rsidRPr="00493334">
        <w:rPr>
          <w:rFonts w:ascii="Garamond" w:hAnsi="Garamond"/>
        </w:rPr>
        <w:t xml:space="preserve"> the meaning of Greek culture. </w:t>
      </w:r>
      <w:r w:rsidRPr="00493334">
        <w:rPr>
          <w:rFonts w:ascii="Garamond" w:hAnsi="Garamond"/>
        </w:rPr>
        <w:t xml:space="preserve">The method of </w:t>
      </w:r>
      <w:r w:rsidR="00DF4688" w:rsidRPr="00493334">
        <w:rPr>
          <w:rFonts w:ascii="Garamond" w:hAnsi="Garamond"/>
        </w:rPr>
        <w:t>renewal</w:t>
      </w:r>
      <w:r w:rsidRPr="00493334">
        <w:rPr>
          <w:rFonts w:ascii="Garamond" w:hAnsi="Garamond"/>
        </w:rPr>
        <w:t xml:space="preserve"> </w:t>
      </w:r>
      <w:r w:rsidR="00DF4688" w:rsidRPr="00493334">
        <w:rPr>
          <w:rFonts w:ascii="Garamond" w:hAnsi="Garamond"/>
        </w:rPr>
        <w:t>takes up this first objectivity of European philosophy as a</w:t>
      </w:r>
      <w:r w:rsidRPr="00493334">
        <w:rPr>
          <w:rFonts w:ascii="Garamond" w:hAnsi="Garamond"/>
        </w:rPr>
        <w:t xml:space="preserve"> first piece of evidence </w:t>
      </w:r>
      <w:r w:rsidR="00DF4688" w:rsidRPr="00493334">
        <w:rPr>
          <w:rFonts w:ascii="Garamond" w:hAnsi="Garamond"/>
        </w:rPr>
        <w:t>which</w:t>
      </w:r>
      <w:r w:rsidRPr="00493334">
        <w:rPr>
          <w:rFonts w:ascii="Garamond" w:hAnsi="Garamond"/>
        </w:rPr>
        <w:t xml:space="preserve"> we can make judgements </w:t>
      </w:r>
      <w:r w:rsidR="00DF4688" w:rsidRPr="00493334">
        <w:rPr>
          <w:rFonts w:ascii="Garamond" w:hAnsi="Garamond"/>
        </w:rPr>
        <w:t xml:space="preserve">about. It is only thanks to evidence, that reason can maintain a structure of teleology, the dialectical interrogation of the meaning of the </w:t>
      </w:r>
      <w:r w:rsidR="00DF4688" w:rsidRPr="00493334">
        <w:rPr>
          <w:rFonts w:ascii="Garamond" w:hAnsi="Garamond"/>
          <w:i/>
          <w:iCs/>
        </w:rPr>
        <w:t>Urstiftung</w:t>
      </w:r>
      <w:r w:rsidR="00DF4688" w:rsidRPr="00493334">
        <w:rPr>
          <w:rFonts w:ascii="Garamond" w:hAnsi="Garamond"/>
        </w:rPr>
        <w:t xml:space="preserve">. There is then </w:t>
      </w:r>
      <w:r w:rsidRPr="00493334">
        <w:rPr>
          <w:rFonts w:ascii="Garamond" w:hAnsi="Garamond"/>
        </w:rPr>
        <w:t>a synthesis between philosophy’s “new universal task” with the “renaissance of ancient philosophy”</w:t>
      </w:r>
      <w:r w:rsidR="00B072D8" w:rsidRPr="00493334">
        <w:rPr>
          <w:rFonts w:ascii="Garamond" w:hAnsi="Garamond"/>
        </w:rPr>
        <w:t>.</w:t>
      </w:r>
      <w:r w:rsidRPr="00493334">
        <w:rPr>
          <w:rFonts w:ascii="Garamond" w:hAnsi="Garamond"/>
        </w:rPr>
        <w:t xml:space="preserve"> We do not recover the </w:t>
      </w:r>
      <w:r w:rsidRPr="00493334">
        <w:rPr>
          <w:rFonts w:ascii="Garamond" w:hAnsi="Garamond"/>
          <w:i/>
          <w:iCs/>
        </w:rPr>
        <w:t xml:space="preserve">Urstiftung </w:t>
      </w:r>
      <w:r w:rsidRPr="00493334">
        <w:rPr>
          <w:rFonts w:ascii="Garamond" w:hAnsi="Garamond"/>
        </w:rPr>
        <w:t>of primal establishment merely to reiterate it, but with the possibility of modifying it towards new possibilities.</w:t>
      </w:r>
      <w:r w:rsidR="00B072D8" w:rsidRPr="00493334">
        <w:rPr>
          <w:rStyle w:val="FootnoteReference"/>
          <w:rFonts w:ascii="Garamond" w:hAnsi="Garamond"/>
        </w:rPr>
        <w:footnoteReference w:id="60"/>
      </w:r>
      <w:r w:rsidRPr="00493334">
        <w:rPr>
          <w:rFonts w:ascii="Garamond" w:hAnsi="Garamond"/>
        </w:rPr>
        <w:t xml:space="preserve"> </w:t>
      </w:r>
    </w:p>
    <w:p w14:paraId="0066EC0A" w14:textId="6391ACB0" w:rsidR="004C0207" w:rsidRPr="00493334" w:rsidRDefault="004C0207" w:rsidP="00493334">
      <w:pPr>
        <w:spacing w:line="276" w:lineRule="auto"/>
        <w:rPr>
          <w:rFonts w:ascii="Garamond" w:hAnsi="Garamond"/>
        </w:rPr>
      </w:pPr>
      <w:r w:rsidRPr="00493334">
        <w:rPr>
          <w:rFonts w:ascii="Garamond" w:hAnsi="Garamond"/>
        </w:rPr>
        <w:tab/>
        <w:t xml:space="preserve">The language of </w:t>
      </w:r>
      <w:r w:rsidRPr="00493334">
        <w:rPr>
          <w:rFonts w:ascii="Garamond" w:hAnsi="Garamond"/>
          <w:i/>
          <w:iCs/>
        </w:rPr>
        <w:t xml:space="preserve">Stiftung </w:t>
      </w:r>
      <w:r w:rsidRPr="00493334">
        <w:rPr>
          <w:rFonts w:ascii="Garamond" w:hAnsi="Garamond"/>
        </w:rPr>
        <w:t xml:space="preserve">is a language of evidence, by which past </w:t>
      </w:r>
      <w:r w:rsidR="00253417" w:rsidRPr="00493334">
        <w:rPr>
          <w:rFonts w:ascii="Garamond" w:hAnsi="Garamond"/>
        </w:rPr>
        <w:t>objectivities</w:t>
      </w:r>
      <w:r w:rsidRPr="00493334">
        <w:rPr>
          <w:rFonts w:ascii="Garamond" w:hAnsi="Garamond"/>
        </w:rPr>
        <w:t xml:space="preserve"> may be modified towards future possibilities. </w:t>
      </w:r>
      <w:r w:rsidR="00253417" w:rsidRPr="00493334">
        <w:rPr>
          <w:rFonts w:ascii="Garamond" w:hAnsi="Garamond"/>
        </w:rPr>
        <w:t>But there</w:t>
      </w:r>
      <w:r w:rsidR="00DD320E" w:rsidRPr="00493334">
        <w:rPr>
          <w:rFonts w:ascii="Garamond" w:hAnsi="Garamond"/>
        </w:rPr>
        <w:t xml:space="preserve"> also</w:t>
      </w:r>
      <w:r w:rsidR="00E54CDA" w:rsidRPr="00493334">
        <w:rPr>
          <w:rFonts w:ascii="Garamond" w:hAnsi="Garamond"/>
        </w:rPr>
        <w:t xml:space="preserve"> emerges</w:t>
      </w:r>
      <w:r w:rsidR="00253417" w:rsidRPr="00493334">
        <w:rPr>
          <w:rFonts w:ascii="Garamond" w:hAnsi="Garamond"/>
        </w:rPr>
        <w:t xml:space="preserve"> the question of continuity, one which was addresse</w:t>
      </w:r>
      <w:r w:rsidR="00DD320E" w:rsidRPr="00493334">
        <w:rPr>
          <w:rFonts w:ascii="Garamond" w:hAnsi="Garamond"/>
        </w:rPr>
        <w:t>d</w:t>
      </w:r>
      <w:r w:rsidR="00253417" w:rsidRPr="00493334">
        <w:rPr>
          <w:rFonts w:ascii="Garamond" w:hAnsi="Garamond"/>
        </w:rPr>
        <w:t xml:space="preserve"> by Spengler as an impossibility. How does the </w:t>
      </w:r>
      <w:r w:rsidR="00B072D8" w:rsidRPr="00493334">
        <w:rPr>
          <w:rFonts w:ascii="Garamond" w:hAnsi="Garamond"/>
        </w:rPr>
        <w:t>evidence</w:t>
      </w:r>
      <w:r w:rsidR="00253417" w:rsidRPr="00493334">
        <w:rPr>
          <w:rFonts w:ascii="Garamond" w:hAnsi="Garamond"/>
        </w:rPr>
        <w:t xml:space="preserve"> of </w:t>
      </w:r>
      <w:r w:rsidR="00253417" w:rsidRPr="00493334">
        <w:rPr>
          <w:rFonts w:ascii="Garamond" w:hAnsi="Garamond"/>
          <w:i/>
          <w:iCs/>
        </w:rPr>
        <w:t xml:space="preserve">Stiftung </w:t>
      </w:r>
      <w:r w:rsidR="00253417" w:rsidRPr="00493334">
        <w:rPr>
          <w:rFonts w:ascii="Garamond" w:hAnsi="Garamond"/>
        </w:rPr>
        <w:t xml:space="preserve">aid us in this reformulation—how does rebirth ever carry the true spirit of the </w:t>
      </w:r>
      <w:r w:rsidR="00253417" w:rsidRPr="00493334">
        <w:rPr>
          <w:rFonts w:ascii="Garamond" w:hAnsi="Garamond"/>
          <w:i/>
          <w:iCs/>
        </w:rPr>
        <w:t xml:space="preserve">Urstiftung </w:t>
      </w:r>
      <w:r w:rsidR="00253417" w:rsidRPr="00493334">
        <w:rPr>
          <w:rFonts w:ascii="Garamond" w:hAnsi="Garamond"/>
        </w:rPr>
        <w:t xml:space="preserve">rather than its imitative shadow? In what way does it avoid the false renaissance described in </w:t>
      </w:r>
      <w:r w:rsidR="00253417" w:rsidRPr="00493334">
        <w:rPr>
          <w:rFonts w:ascii="Garamond" w:hAnsi="Garamond"/>
          <w:i/>
          <w:iCs/>
        </w:rPr>
        <w:t>Decline</w:t>
      </w:r>
      <w:r w:rsidR="00E54CDA" w:rsidRPr="00493334">
        <w:rPr>
          <w:rFonts w:ascii="Garamond" w:hAnsi="Garamond"/>
        </w:rPr>
        <w:t>?</w:t>
      </w:r>
      <w:r w:rsidR="00253417" w:rsidRPr="00493334">
        <w:rPr>
          <w:rFonts w:ascii="Garamond" w:hAnsi="Garamond"/>
        </w:rPr>
        <w:t xml:space="preserve"> Spengler’s critique of trans-cultural translation </w:t>
      </w:r>
      <w:r w:rsidR="00FE68E7" w:rsidRPr="00493334">
        <w:rPr>
          <w:rFonts w:ascii="Garamond" w:hAnsi="Garamond"/>
        </w:rPr>
        <w:t xml:space="preserve">rejects the possibility of </w:t>
      </w:r>
      <w:r w:rsidR="00253417" w:rsidRPr="00493334">
        <w:rPr>
          <w:rFonts w:ascii="Garamond" w:hAnsi="Garamond"/>
        </w:rPr>
        <w:t xml:space="preserve">Faustian Europe ever really understanding what Euclid </w:t>
      </w:r>
      <w:r w:rsidR="00FE68E7" w:rsidRPr="00493334">
        <w:rPr>
          <w:rFonts w:ascii="Garamond" w:hAnsi="Garamond"/>
        </w:rPr>
        <w:t>meant</w:t>
      </w:r>
      <w:r w:rsidR="00253417" w:rsidRPr="00493334">
        <w:rPr>
          <w:rFonts w:ascii="Garamond" w:hAnsi="Garamond"/>
        </w:rPr>
        <w:t xml:space="preserve"> by ideal mathematical objects.</w:t>
      </w:r>
      <w:r w:rsidR="00253417" w:rsidRPr="00493334">
        <w:rPr>
          <w:rStyle w:val="FootnoteReference"/>
          <w:rFonts w:ascii="Garamond" w:hAnsi="Garamond"/>
        </w:rPr>
        <w:footnoteReference w:id="61"/>
      </w:r>
      <w:r w:rsidR="00253417" w:rsidRPr="00493334">
        <w:rPr>
          <w:rFonts w:ascii="Garamond" w:hAnsi="Garamond"/>
        </w:rPr>
        <w:t xml:space="preserve"> </w:t>
      </w:r>
      <w:r w:rsidR="00FE68E7" w:rsidRPr="00493334">
        <w:rPr>
          <w:rFonts w:ascii="Garamond" w:hAnsi="Garamond"/>
        </w:rPr>
        <w:t>In this regard, e</w:t>
      </w:r>
      <w:r w:rsidR="00253417" w:rsidRPr="00493334">
        <w:rPr>
          <w:rFonts w:ascii="Garamond" w:hAnsi="Garamond"/>
        </w:rPr>
        <w:t>ven Plato’s ideas are “unapproachable” by Western man.</w:t>
      </w:r>
      <w:r w:rsidR="00253417" w:rsidRPr="00493334">
        <w:rPr>
          <w:rStyle w:val="FootnoteReference"/>
          <w:rFonts w:ascii="Garamond" w:hAnsi="Garamond"/>
        </w:rPr>
        <w:footnoteReference w:id="62"/>
      </w:r>
    </w:p>
    <w:p w14:paraId="0624F995" w14:textId="07CF04F4" w:rsidR="00657F03" w:rsidRPr="00493334" w:rsidRDefault="00253417" w:rsidP="00493334">
      <w:pPr>
        <w:spacing w:line="276" w:lineRule="auto"/>
        <w:ind w:firstLine="720"/>
        <w:rPr>
          <w:rFonts w:ascii="Garamond" w:hAnsi="Garamond"/>
        </w:rPr>
      </w:pPr>
      <w:r w:rsidRPr="00493334">
        <w:rPr>
          <w:rFonts w:ascii="Garamond" w:hAnsi="Garamond"/>
        </w:rPr>
        <w:t>This skepticism undersells Husserl’s model of phenomenological recollection</w:t>
      </w:r>
      <w:r w:rsidR="00406901" w:rsidRPr="00493334">
        <w:rPr>
          <w:rFonts w:ascii="Garamond" w:hAnsi="Garamond"/>
        </w:rPr>
        <w:t>, one</w:t>
      </w:r>
      <w:r w:rsidRPr="00493334">
        <w:rPr>
          <w:rFonts w:ascii="Garamond" w:hAnsi="Garamond"/>
        </w:rPr>
        <w:t xml:space="preserve"> by which we may attain a historical-cultural consciousness towards past and future. In his recent book, Peter </w:t>
      </w:r>
      <w:r w:rsidRPr="00493334">
        <w:rPr>
          <w:rFonts w:ascii="Garamond" w:hAnsi="Garamond"/>
        </w:rPr>
        <w:lastRenderedPageBreak/>
        <w:t xml:space="preserve">Bojanic considers </w:t>
      </w:r>
      <w:r w:rsidRPr="00493334">
        <w:rPr>
          <w:rFonts w:ascii="Garamond" w:hAnsi="Garamond"/>
          <w:i/>
          <w:iCs/>
        </w:rPr>
        <w:t xml:space="preserve">Husserl’s </w:t>
      </w:r>
      <w:r w:rsidRPr="00493334">
        <w:rPr>
          <w:rFonts w:ascii="Garamond" w:hAnsi="Garamond"/>
        </w:rPr>
        <w:t xml:space="preserve">concept of </w:t>
      </w:r>
      <w:r w:rsidRPr="00493334">
        <w:rPr>
          <w:rFonts w:ascii="Garamond" w:hAnsi="Garamond"/>
          <w:i/>
          <w:iCs/>
        </w:rPr>
        <w:t xml:space="preserve">Stiftung </w:t>
      </w:r>
      <w:r w:rsidRPr="00493334">
        <w:rPr>
          <w:rFonts w:ascii="Garamond" w:hAnsi="Garamond"/>
        </w:rPr>
        <w:t>as the institution or moment of instituting. He argues that the idea of an institution implies both an internal restriction with a temporal openness towards future generations.</w:t>
      </w:r>
      <w:r w:rsidRPr="00493334">
        <w:rPr>
          <w:rStyle w:val="FootnoteReference"/>
          <w:rFonts w:ascii="Garamond" w:eastAsiaTheme="majorEastAsia" w:hAnsi="Garamond"/>
        </w:rPr>
        <w:footnoteReference w:id="63"/>
      </w:r>
      <w:r w:rsidRPr="00493334">
        <w:rPr>
          <w:rFonts w:ascii="Garamond" w:hAnsi="Garamond"/>
        </w:rPr>
        <w:t xml:space="preserve"> The institution must set itself up with internal structures</w:t>
      </w:r>
      <w:r w:rsidR="00406901" w:rsidRPr="00493334">
        <w:rPr>
          <w:rFonts w:ascii="Garamond" w:hAnsi="Garamond"/>
        </w:rPr>
        <w:t xml:space="preserve"> (orders of logic)</w:t>
      </w:r>
      <w:r w:rsidRPr="00493334">
        <w:rPr>
          <w:rFonts w:ascii="Garamond" w:hAnsi="Garamond"/>
        </w:rPr>
        <w:t xml:space="preserve"> that delineates its extent and identity while also maintaining the possibility for renewal in historically evolving contexts. </w:t>
      </w:r>
      <w:r w:rsidR="00A50749" w:rsidRPr="00493334">
        <w:rPr>
          <w:rFonts w:ascii="Garamond" w:hAnsi="Garamond"/>
        </w:rPr>
        <w:t xml:space="preserve">the task of recollection which Husserl is so concerned with is exactly this attempt at building out an internal structure that is fundamentally open to new tasks. The point of renewal is not the false imitation nor duplication of the </w:t>
      </w:r>
      <w:r w:rsidR="00A50749" w:rsidRPr="00493334">
        <w:rPr>
          <w:rFonts w:ascii="Garamond" w:hAnsi="Garamond"/>
          <w:i/>
          <w:iCs/>
        </w:rPr>
        <w:t>Urstiftung</w:t>
      </w:r>
      <w:r w:rsidR="00A50749" w:rsidRPr="00493334">
        <w:rPr>
          <w:rFonts w:ascii="Garamond" w:hAnsi="Garamond"/>
        </w:rPr>
        <w:t>; re</w:t>
      </w:r>
      <w:r w:rsidR="00406901" w:rsidRPr="00493334">
        <w:rPr>
          <w:rFonts w:ascii="Garamond" w:hAnsi="Garamond"/>
        </w:rPr>
        <w:t>newal</w:t>
      </w:r>
      <w:r w:rsidR="00A50749" w:rsidRPr="00493334">
        <w:rPr>
          <w:rFonts w:ascii="Garamond" w:hAnsi="Garamond"/>
        </w:rPr>
        <w:t xml:space="preserve"> is the historical </w:t>
      </w:r>
      <w:r w:rsidR="00406901" w:rsidRPr="00493334">
        <w:rPr>
          <w:rFonts w:ascii="Garamond" w:hAnsi="Garamond"/>
        </w:rPr>
        <w:t>re-</w:t>
      </w:r>
      <w:r w:rsidR="00A50749" w:rsidRPr="00493334">
        <w:rPr>
          <w:rFonts w:ascii="Garamond" w:hAnsi="Garamond"/>
        </w:rPr>
        <w:t>opening of an attitude</w:t>
      </w:r>
      <w:r w:rsidR="00406901" w:rsidRPr="00493334">
        <w:rPr>
          <w:rFonts w:ascii="Garamond" w:hAnsi="Garamond"/>
        </w:rPr>
        <w:t xml:space="preserve"> modified</w:t>
      </w:r>
      <w:r w:rsidR="00A50749" w:rsidRPr="00493334">
        <w:rPr>
          <w:rFonts w:ascii="Garamond" w:hAnsi="Garamond"/>
        </w:rPr>
        <w:t xml:space="preserve"> towards ever more universal tasks. Th</w:t>
      </w:r>
      <w:r w:rsidRPr="00493334">
        <w:rPr>
          <w:rFonts w:ascii="Garamond" w:hAnsi="Garamond"/>
        </w:rPr>
        <w:t xml:space="preserve">e </w:t>
      </w:r>
      <w:r w:rsidR="00A50749" w:rsidRPr="00493334">
        <w:rPr>
          <w:rFonts w:ascii="Garamond" w:hAnsi="Garamond"/>
        </w:rPr>
        <w:t>purpose</w:t>
      </w:r>
      <w:r w:rsidRPr="00493334">
        <w:rPr>
          <w:rFonts w:ascii="Garamond" w:hAnsi="Garamond"/>
        </w:rPr>
        <w:t xml:space="preserve"> of evidence is not to reproduce exactly what has </w:t>
      </w:r>
      <w:r w:rsidR="00A50749" w:rsidRPr="00493334">
        <w:rPr>
          <w:rFonts w:ascii="Garamond" w:hAnsi="Garamond"/>
        </w:rPr>
        <w:t xml:space="preserve">already been instituted, but </w:t>
      </w:r>
      <w:proofErr w:type="gramStart"/>
      <w:r w:rsidR="00A50749" w:rsidRPr="00493334">
        <w:rPr>
          <w:rFonts w:ascii="Garamond" w:hAnsi="Garamond"/>
        </w:rPr>
        <w:t>on the basis of</w:t>
      </w:r>
      <w:proofErr w:type="gramEnd"/>
      <w:r w:rsidR="00A50749" w:rsidRPr="00493334">
        <w:rPr>
          <w:rFonts w:ascii="Garamond" w:hAnsi="Garamond"/>
        </w:rPr>
        <w:t xml:space="preserve"> the </w:t>
      </w:r>
      <w:r w:rsidR="00A50749" w:rsidRPr="00493334">
        <w:rPr>
          <w:rFonts w:ascii="Garamond" w:hAnsi="Garamond"/>
          <w:i/>
          <w:iCs/>
        </w:rPr>
        <w:t>Urstiftung</w:t>
      </w:r>
      <w:r w:rsidR="00A50749" w:rsidRPr="00493334">
        <w:rPr>
          <w:rFonts w:ascii="Garamond" w:hAnsi="Garamond"/>
        </w:rPr>
        <w:t xml:space="preserve">, to </w:t>
      </w:r>
      <w:r w:rsidR="00406901" w:rsidRPr="00493334">
        <w:rPr>
          <w:rFonts w:ascii="Garamond" w:hAnsi="Garamond"/>
        </w:rPr>
        <w:t>engage in rational dialectic with the Other about past and future evidence.</w:t>
      </w:r>
    </w:p>
    <w:p w14:paraId="522C8B48" w14:textId="3C03DC9C" w:rsidR="00A50749" w:rsidRPr="00493334" w:rsidRDefault="00657F03" w:rsidP="00493334">
      <w:pPr>
        <w:spacing w:line="276" w:lineRule="auto"/>
        <w:ind w:firstLine="720"/>
        <w:rPr>
          <w:rFonts w:ascii="Garamond" w:hAnsi="Garamond"/>
        </w:rPr>
      </w:pPr>
      <w:r w:rsidRPr="00493334">
        <w:rPr>
          <w:rFonts w:ascii="Garamond" w:hAnsi="Garamond"/>
        </w:rPr>
        <w:t xml:space="preserve">For Husserl, </w:t>
      </w:r>
      <w:r w:rsidR="00A50749" w:rsidRPr="00493334">
        <w:rPr>
          <w:rFonts w:ascii="Garamond" w:hAnsi="Garamond"/>
        </w:rPr>
        <w:t>the possibility to establish or re-establish is a choice proximal to individuals.</w:t>
      </w:r>
      <w:r w:rsidR="00D712DB" w:rsidRPr="00493334">
        <w:rPr>
          <w:rStyle w:val="FootnoteReference"/>
          <w:rFonts w:ascii="Garamond" w:hAnsi="Garamond"/>
        </w:rPr>
        <w:footnoteReference w:id="64"/>
      </w:r>
      <w:r w:rsidR="000559F2" w:rsidRPr="00493334">
        <w:rPr>
          <w:rFonts w:ascii="Garamond" w:hAnsi="Garamond"/>
        </w:rPr>
        <w:t xml:space="preserve"> </w:t>
      </w:r>
      <w:r w:rsidRPr="00493334">
        <w:rPr>
          <w:rFonts w:ascii="Garamond" w:hAnsi="Garamond"/>
        </w:rPr>
        <w:t xml:space="preserve">The </w:t>
      </w:r>
      <w:r w:rsidR="00A50749" w:rsidRPr="00493334">
        <w:rPr>
          <w:rFonts w:ascii="Garamond" w:hAnsi="Garamond"/>
        </w:rPr>
        <w:t xml:space="preserve">teleology of renewal is a moment of decision which </w:t>
      </w:r>
      <w:proofErr w:type="gramStart"/>
      <w:r w:rsidR="00A50749" w:rsidRPr="00493334">
        <w:rPr>
          <w:rFonts w:ascii="Garamond" w:hAnsi="Garamond"/>
        </w:rPr>
        <w:t>each individual</w:t>
      </w:r>
      <w:proofErr w:type="gramEnd"/>
      <w:r w:rsidR="00A50749" w:rsidRPr="00493334">
        <w:rPr>
          <w:rFonts w:ascii="Garamond" w:hAnsi="Garamond"/>
        </w:rPr>
        <w:t xml:space="preserve"> must face. Husserl fatefully concludes the “Vienna Lecture” with a call to struggle: “Let us as 'good Europeans' do battle with this danger of dangers with the sort of courage that does not shirk even the endless battle.”</w:t>
      </w:r>
      <w:r w:rsidR="00A50749" w:rsidRPr="00493334">
        <w:rPr>
          <w:rStyle w:val="FootnoteReference"/>
          <w:rFonts w:ascii="Garamond" w:eastAsiaTheme="majorEastAsia" w:hAnsi="Garamond"/>
        </w:rPr>
        <w:footnoteReference w:id="65"/>
      </w:r>
      <w:r w:rsidR="00A50749" w:rsidRPr="00493334">
        <w:rPr>
          <w:rFonts w:ascii="Garamond" w:hAnsi="Garamond"/>
        </w:rPr>
        <w:t xml:space="preserve"> It is the members of the European philosophical idea,</w:t>
      </w:r>
      <w:r w:rsidR="00406901" w:rsidRPr="00493334">
        <w:rPr>
          <w:rFonts w:ascii="Garamond" w:hAnsi="Garamond"/>
        </w:rPr>
        <w:t xml:space="preserve"> whe</w:t>
      </w:r>
      <w:r w:rsidR="007E79E5" w:rsidRPr="00493334">
        <w:rPr>
          <w:rFonts w:ascii="Garamond" w:hAnsi="Garamond"/>
        </w:rPr>
        <w:t>ther</w:t>
      </w:r>
      <w:r w:rsidR="00406901" w:rsidRPr="00493334">
        <w:rPr>
          <w:rFonts w:ascii="Garamond" w:hAnsi="Garamond"/>
        </w:rPr>
        <w:t xml:space="preserve"> in Germany or Japan, </w:t>
      </w:r>
      <w:r w:rsidR="00A50749" w:rsidRPr="00493334">
        <w:rPr>
          <w:rFonts w:ascii="Garamond" w:hAnsi="Garamond"/>
        </w:rPr>
        <w:t xml:space="preserve">who must answer the call to re-establish </w:t>
      </w:r>
      <w:r w:rsidR="00406901" w:rsidRPr="00493334">
        <w:rPr>
          <w:rFonts w:ascii="Garamond" w:hAnsi="Garamond"/>
        </w:rPr>
        <w:t xml:space="preserve">the project of science anew </w:t>
      </w:r>
      <w:r w:rsidR="00A50749" w:rsidRPr="00493334">
        <w:rPr>
          <w:rFonts w:ascii="Garamond" w:hAnsi="Garamond"/>
        </w:rPr>
        <w:t>and reject pathological rationalism</w:t>
      </w:r>
      <w:r w:rsidR="00406901" w:rsidRPr="00493334">
        <w:rPr>
          <w:rFonts w:ascii="Garamond" w:hAnsi="Garamond"/>
        </w:rPr>
        <w:t xml:space="preserve"> or ideology</w:t>
      </w:r>
      <w:r w:rsidR="00A50749" w:rsidRPr="00493334">
        <w:rPr>
          <w:rFonts w:ascii="Garamond" w:hAnsi="Garamond"/>
        </w:rPr>
        <w:t>.</w:t>
      </w:r>
      <w:r w:rsidR="000559F2" w:rsidRPr="00493334">
        <w:rPr>
          <w:rFonts w:ascii="Garamond" w:hAnsi="Garamond"/>
        </w:rPr>
        <w:t xml:space="preserve"> The call to philosophical responsibility is one which stands open to the Other, </w:t>
      </w:r>
      <w:r w:rsidR="00E54CDA" w:rsidRPr="00493334">
        <w:rPr>
          <w:rFonts w:ascii="Garamond" w:hAnsi="Garamond"/>
        </w:rPr>
        <w:t>it is a normative call which is translatable between cultures and across history.</w:t>
      </w:r>
      <w:r w:rsidR="007E79E5" w:rsidRPr="00493334">
        <w:rPr>
          <w:rFonts w:ascii="Garamond" w:hAnsi="Garamond"/>
        </w:rPr>
        <w:t xml:space="preserve"> </w:t>
      </w:r>
      <w:r w:rsidR="00E54CDA" w:rsidRPr="00493334">
        <w:rPr>
          <w:rFonts w:ascii="Garamond" w:hAnsi="Garamond"/>
        </w:rPr>
        <w:t xml:space="preserve"> This is the</w:t>
      </w:r>
      <w:r w:rsidR="00A50749" w:rsidRPr="00493334">
        <w:rPr>
          <w:rFonts w:ascii="Garamond" w:hAnsi="Garamond"/>
        </w:rPr>
        <w:t xml:space="preserve"> ethical call to revival, to reinstate the primal European establishment of philosophy</w:t>
      </w:r>
      <w:r w:rsidRPr="00493334">
        <w:rPr>
          <w:rFonts w:ascii="Garamond" w:hAnsi="Garamond"/>
        </w:rPr>
        <w:t xml:space="preserve"> as an attitude of </w:t>
      </w:r>
      <w:r w:rsidR="00E54CDA" w:rsidRPr="00493334">
        <w:rPr>
          <w:rFonts w:ascii="Garamond" w:hAnsi="Garamond"/>
        </w:rPr>
        <w:t xml:space="preserve">further </w:t>
      </w:r>
      <w:r w:rsidRPr="00493334">
        <w:rPr>
          <w:rFonts w:ascii="Garamond" w:hAnsi="Garamond"/>
        </w:rPr>
        <w:t>cultural critique</w:t>
      </w:r>
      <w:r w:rsidR="00A50749" w:rsidRPr="00493334">
        <w:rPr>
          <w:rFonts w:ascii="Garamond" w:hAnsi="Garamond"/>
        </w:rPr>
        <w:t xml:space="preserve">. If the theoretical attitude was once the commonplace original attitude, the call for renewal is a </w:t>
      </w:r>
      <w:r w:rsidR="000561BF" w:rsidRPr="00493334">
        <w:rPr>
          <w:rFonts w:ascii="Garamond" w:hAnsi="Garamond"/>
        </w:rPr>
        <w:t xml:space="preserve">dialectical </w:t>
      </w:r>
      <w:r w:rsidR="00A64A80" w:rsidRPr="00493334">
        <w:rPr>
          <w:rFonts w:ascii="Garamond" w:hAnsi="Garamond"/>
        </w:rPr>
        <w:t>reinterpretation of this original moment</w:t>
      </w:r>
      <w:r w:rsidR="000561BF" w:rsidRPr="00493334">
        <w:rPr>
          <w:rFonts w:ascii="Garamond" w:hAnsi="Garamond"/>
        </w:rPr>
        <w:t xml:space="preserve"> upon normative evidence</w:t>
      </w:r>
      <w:r w:rsidR="00E54CDA" w:rsidRPr="00493334">
        <w:rPr>
          <w:rFonts w:ascii="Garamond" w:hAnsi="Garamond"/>
        </w:rPr>
        <w:t xml:space="preserve"> for future application</w:t>
      </w:r>
      <w:r w:rsidR="00A50749" w:rsidRPr="00493334">
        <w:rPr>
          <w:rFonts w:ascii="Garamond" w:hAnsi="Garamond"/>
        </w:rPr>
        <w:t>.</w:t>
      </w:r>
      <w:r w:rsidR="00A50749" w:rsidRPr="00493334">
        <w:rPr>
          <w:rStyle w:val="FootnoteReference"/>
          <w:rFonts w:ascii="Garamond" w:eastAsiaTheme="majorEastAsia" w:hAnsi="Garamond"/>
        </w:rPr>
        <w:footnoteReference w:id="66"/>
      </w:r>
      <w:r w:rsidR="00A50749" w:rsidRPr="00493334">
        <w:rPr>
          <w:rFonts w:ascii="Garamond" w:hAnsi="Garamond"/>
        </w:rPr>
        <w:t xml:space="preserve"> </w:t>
      </w:r>
    </w:p>
    <w:p w14:paraId="11E82A45" w14:textId="66D88AEF" w:rsidR="00A50749" w:rsidRPr="00493334" w:rsidRDefault="00A50749" w:rsidP="00493334">
      <w:pPr>
        <w:spacing w:line="276" w:lineRule="auto"/>
        <w:ind w:firstLine="720"/>
        <w:rPr>
          <w:rFonts w:ascii="Garamond" w:hAnsi="Garamond"/>
        </w:rPr>
      </w:pPr>
      <w:r w:rsidRPr="00493334">
        <w:rPr>
          <w:rFonts w:ascii="Garamond" w:hAnsi="Garamond"/>
        </w:rPr>
        <w:t xml:space="preserve">The “endless battle” is not </w:t>
      </w:r>
      <w:r w:rsidR="00DD320E" w:rsidRPr="00493334">
        <w:rPr>
          <w:rFonts w:ascii="Garamond" w:hAnsi="Garamond"/>
        </w:rPr>
        <w:t>a resignation to Spenglerian fatalism, it is a call to responsibility.</w:t>
      </w:r>
      <w:r w:rsidRPr="00493334">
        <w:rPr>
          <w:rFonts w:ascii="Garamond" w:hAnsi="Garamond"/>
        </w:rPr>
        <w:t xml:space="preserve"> The battle portends a possible victory, a rebirth</w:t>
      </w:r>
      <w:r w:rsidR="00406901" w:rsidRPr="00493334">
        <w:rPr>
          <w:rFonts w:ascii="Garamond" w:hAnsi="Garamond"/>
        </w:rPr>
        <w:t xml:space="preserve"> towards an authentic scientific culture</w:t>
      </w:r>
      <w:r w:rsidRPr="00493334">
        <w:rPr>
          <w:rFonts w:ascii="Garamond" w:hAnsi="Garamond"/>
        </w:rPr>
        <w:t>. What is “endless” is the infinite task of philosophy, an admission of what is means to treat philosophy as something institutionally dynamic, one which demands constant recollecti</w:t>
      </w:r>
      <w:r w:rsidR="00406901" w:rsidRPr="00493334">
        <w:rPr>
          <w:rFonts w:ascii="Garamond" w:hAnsi="Garamond"/>
        </w:rPr>
        <w:t xml:space="preserve">on </w:t>
      </w:r>
      <w:r w:rsidR="00657F03" w:rsidRPr="00493334">
        <w:rPr>
          <w:rFonts w:ascii="Garamond" w:hAnsi="Garamond"/>
        </w:rPr>
        <w:t>to</w:t>
      </w:r>
      <w:r w:rsidRPr="00493334">
        <w:rPr>
          <w:rFonts w:ascii="Garamond" w:hAnsi="Garamond"/>
        </w:rPr>
        <w:t xml:space="preserve"> maintain a balance between internal order and external universality. In </w:t>
      </w:r>
      <w:r w:rsidR="00406901" w:rsidRPr="00493334">
        <w:rPr>
          <w:rFonts w:ascii="Garamond" w:hAnsi="Garamond"/>
        </w:rPr>
        <w:t>becoming responsible for philosophy</w:t>
      </w:r>
      <w:r w:rsidRPr="00493334">
        <w:rPr>
          <w:rFonts w:ascii="Garamond" w:hAnsi="Garamond"/>
        </w:rPr>
        <w:t xml:space="preserve"> in the face of endless battle, the possibility of a ‘teleology of soteriology’</w:t>
      </w:r>
      <w:r w:rsidR="00657F03" w:rsidRPr="00493334">
        <w:rPr>
          <w:rFonts w:ascii="Garamond" w:hAnsi="Garamond"/>
        </w:rPr>
        <w:t xml:space="preserve"> is realized</w:t>
      </w:r>
      <w:r w:rsidRPr="00493334">
        <w:rPr>
          <w:rFonts w:ascii="Garamond" w:hAnsi="Garamond"/>
        </w:rPr>
        <w:t xml:space="preserve">. </w:t>
      </w:r>
      <w:r w:rsidR="00657F03" w:rsidRPr="00493334">
        <w:rPr>
          <w:rFonts w:ascii="Garamond" w:hAnsi="Garamond"/>
        </w:rPr>
        <w:t>T</w:t>
      </w:r>
      <w:r w:rsidRPr="00493334">
        <w:rPr>
          <w:rFonts w:ascii="Garamond" w:hAnsi="Garamond"/>
        </w:rPr>
        <w:t>o understand teleology as salvatory is to admit oneself to the endless task of philosophical-cultural recollection.</w:t>
      </w:r>
      <w:r w:rsidR="00657F03" w:rsidRPr="00493334">
        <w:rPr>
          <w:rFonts w:ascii="Garamond" w:hAnsi="Garamond"/>
        </w:rPr>
        <w:t xml:space="preserve"> </w:t>
      </w:r>
      <w:r w:rsidRPr="00493334">
        <w:rPr>
          <w:rFonts w:ascii="Garamond" w:hAnsi="Garamond"/>
        </w:rPr>
        <w:t xml:space="preserve">To treat </w:t>
      </w:r>
      <w:proofErr w:type="spellStart"/>
      <w:r w:rsidRPr="00493334">
        <w:rPr>
          <w:rFonts w:ascii="Garamond" w:hAnsi="Garamond"/>
          <w:i/>
          <w:iCs/>
        </w:rPr>
        <w:t>theoria</w:t>
      </w:r>
      <w:proofErr w:type="spellEnd"/>
      <w:r w:rsidRPr="00493334">
        <w:rPr>
          <w:rFonts w:ascii="Garamond" w:hAnsi="Garamond"/>
          <w:i/>
          <w:iCs/>
        </w:rPr>
        <w:t xml:space="preserve"> </w:t>
      </w:r>
      <w:r w:rsidRPr="00493334">
        <w:rPr>
          <w:rFonts w:ascii="Garamond" w:hAnsi="Garamond"/>
        </w:rPr>
        <w:t xml:space="preserve">as a </w:t>
      </w:r>
      <w:r w:rsidRPr="00493334">
        <w:rPr>
          <w:rFonts w:ascii="Garamond" w:hAnsi="Garamond"/>
          <w:i/>
          <w:iCs/>
        </w:rPr>
        <w:t xml:space="preserve">Stiftung </w:t>
      </w:r>
      <w:r w:rsidRPr="00493334">
        <w:rPr>
          <w:rFonts w:ascii="Garamond" w:hAnsi="Garamond"/>
        </w:rPr>
        <w:t xml:space="preserve">is to </w:t>
      </w:r>
      <w:r w:rsidR="00406901" w:rsidRPr="00493334">
        <w:rPr>
          <w:rFonts w:ascii="Garamond" w:hAnsi="Garamond"/>
        </w:rPr>
        <w:t>transcend</w:t>
      </w:r>
      <w:r w:rsidRPr="00493334">
        <w:rPr>
          <w:rFonts w:ascii="Garamond" w:hAnsi="Garamond"/>
        </w:rPr>
        <w:t xml:space="preserve"> a mere teleology of theory</w:t>
      </w:r>
      <w:r w:rsidR="00406901" w:rsidRPr="00493334">
        <w:rPr>
          <w:rFonts w:ascii="Garamond" w:hAnsi="Garamond"/>
        </w:rPr>
        <w:t xml:space="preserve"> towards a phenomenological method</w:t>
      </w:r>
      <w:r w:rsidRPr="00493334">
        <w:rPr>
          <w:rFonts w:ascii="Garamond" w:hAnsi="Garamond"/>
        </w:rPr>
        <w:t xml:space="preserve">. </w:t>
      </w:r>
      <w:r w:rsidR="00657F03" w:rsidRPr="00493334">
        <w:rPr>
          <w:rFonts w:ascii="Garamond" w:hAnsi="Garamond"/>
        </w:rPr>
        <w:t>It is t</w:t>
      </w:r>
      <w:r w:rsidRPr="00493334">
        <w:rPr>
          <w:rFonts w:ascii="Garamond" w:hAnsi="Garamond"/>
        </w:rPr>
        <w:t>he transposition from a mere sentiment of renewal to the practice of rebirth.</w:t>
      </w:r>
    </w:p>
    <w:p w14:paraId="00943E74" w14:textId="77777777" w:rsidR="00A50749" w:rsidRPr="00493334" w:rsidRDefault="00A50749" w:rsidP="00493334">
      <w:pPr>
        <w:spacing w:line="276" w:lineRule="auto"/>
        <w:ind w:firstLine="720"/>
        <w:rPr>
          <w:rFonts w:ascii="Garamond" w:hAnsi="Garamond"/>
        </w:rPr>
      </w:pPr>
    </w:p>
    <w:p w14:paraId="12FF9F8E" w14:textId="77777777" w:rsidR="00A50749" w:rsidRPr="00493334" w:rsidRDefault="00A50749" w:rsidP="00493334">
      <w:pPr>
        <w:spacing w:line="276" w:lineRule="auto"/>
        <w:rPr>
          <w:rFonts w:ascii="Garamond" w:hAnsi="Garamond"/>
          <w:b/>
          <w:bCs/>
        </w:rPr>
      </w:pPr>
      <w:r w:rsidRPr="00493334">
        <w:rPr>
          <w:rFonts w:ascii="Garamond" w:hAnsi="Garamond"/>
          <w:b/>
          <w:bCs/>
        </w:rPr>
        <w:t>Bibliography</w:t>
      </w:r>
    </w:p>
    <w:p w14:paraId="7398B345" w14:textId="7359C2C5" w:rsidR="00A50749" w:rsidRPr="00493334" w:rsidRDefault="00A50749" w:rsidP="00493334">
      <w:pPr>
        <w:spacing w:line="276" w:lineRule="auto"/>
        <w:rPr>
          <w:rFonts w:ascii="Garamond" w:hAnsi="Garamond"/>
          <w:shd w:val="clear" w:color="auto" w:fill="FFFFFF"/>
        </w:rPr>
      </w:pPr>
      <w:proofErr w:type="spellStart"/>
      <w:r w:rsidRPr="00493334">
        <w:rPr>
          <w:rFonts w:ascii="Garamond" w:hAnsi="Garamond"/>
          <w:shd w:val="clear" w:color="auto" w:fill="FFFFFF"/>
        </w:rPr>
        <w:t>Bojanić</w:t>
      </w:r>
      <w:proofErr w:type="spellEnd"/>
      <w:r w:rsidRPr="00493334">
        <w:rPr>
          <w:rFonts w:ascii="Garamond" w:hAnsi="Garamond"/>
          <w:shd w:val="clear" w:color="auto" w:fill="FFFFFF"/>
        </w:rPr>
        <w:t xml:space="preserve"> Pet</w:t>
      </w:r>
      <w:r w:rsidR="00B072D8" w:rsidRPr="00493334">
        <w:rPr>
          <w:rFonts w:ascii="Garamond" w:hAnsi="Garamond"/>
          <w:shd w:val="clear" w:color="auto" w:fill="FFFFFF"/>
        </w:rPr>
        <w:t>e</w:t>
      </w:r>
      <w:r w:rsidRPr="00493334">
        <w:rPr>
          <w:rFonts w:ascii="Garamond" w:hAnsi="Garamond"/>
          <w:shd w:val="clear" w:color="auto" w:fill="FFFFFF"/>
        </w:rPr>
        <w:t>r. 2022. </w:t>
      </w:r>
      <w:r w:rsidRPr="00493334">
        <w:rPr>
          <w:rFonts w:ascii="Garamond" w:hAnsi="Garamond"/>
          <w:i/>
          <w:iCs/>
          <w:shd w:val="clear" w:color="auto" w:fill="FFFFFF"/>
        </w:rPr>
        <w:t>In-</w:t>
      </w:r>
      <w:proofErr w:type="spellStart"/>
      <w:r w:rsidRPr="00493334">
        <w:rPr>
          <w:rFonts w:ascii="Garamond" w:hAnsi="Garamond"/>
          <w:i/>
          <w:iCs/>
          <w:shd w:val="clear" w:color="auto" w:fill="FFFFFF"/>
        </w:rPr>
        <w:t>Statuer</w:t>
      </w:r>
      <w:proofErr w:type="spellEnd"/>
      <w:r w:rsidRPr="00493334">
        <w:rPr>
          <w:rFonts w:ascii="Garamond" w:hAnsi="Garamond"/>
          <w:i/>
          <w:iCs/>
          <w:shd w:val="clear" w:color="auto" w:fill="FFFFFF"/>
        </w:rPr>
        <w:t>: Figures of Institutional Building</w:t>
      </w:r>
      <w:r w:rsidRPr="00493334">
        <w:rPr>
          <w:rFonts w:ascii="Garamond" w:hAnsi="Garamond"/>
          <w:shd w:val="clear" w:color="auto" w:fill="FFFFFF"/>
        </w:rPr>
        <w:t xml:space="preserve">. Frankfurt am Main: Vittorio </w:t>
      </w:r>
      <w:proofErr w:type="spellStart"/>
      <w:r w:rsidRPr="00493334">
        <w:rPr>
          <w:rFonts w:ascii="Garamond" w:hAnsi="Garamond"/>
          <w:shd w:val="clear" w:color="auto" w:fill="FFFFFF"/>
        </w:rPr>
        <w:t>Klostermann</w:t>
      </w:r>
      <w:proofErr w:type="spellEnd"/>
      <w:r w:rsidRPr="00493334">
        <w:rPr>
          <w:rFonts w:ascii="Garamond" w:hAnsi="Garamond"/>
          <w:shd w:val="clear" w:color="auto" w:fill="FFFFFF"/>
        </w:rPr>
        <w:t>.</w:t>
      </w:r>
    </w:p>
    <w:p w14:paraId="4422501B" w14:textId="77777777" w:rsidR="00A50749" w:rsidRPr="00493334" w:rsidRDefault="00A50749" w:rsidP="00493334">
      <w:pPr>
        <w:spacing w:line="276" w:lineRule="auto"/>
        <w:rPr>
          <w:rFonts w:ascii="Garamond" w:hAnsi="Garamond"/>
          <w:shd w:val="clear" w:color="auto" w:fill="FFFFFF"/>
        </w:rPr>
      </w:pPr>
    </w:p>
    <w:p w14:paraId="7368072E" w14:textId="7AD24169" w:rsidR="00A50749" w:rsidRDefault="00A50749" w:rsidP="00493334">
      <w:pPr>
        <w:pStyle w:val="FootnoteText"/>
        <w:spacing w:line="276" w:lineRule="auto"/>
        <w:rPr>
          <w:rFonts w:ascii="Garamond" w:hAnsi="Garamond"/>
          <w:sz w:val="24"/>
          <w:szCs w:val="24"/>
          <w:shd w:val="clear" w:color="auto" w:fill="FFFFFF"/>
        </w:rPr>
      </w:pPr>
      <w:r w:rsidRPr="00493334">
        <w:rPr>
          <w:rFonts w:ascii="Garamond" w:hAnsi="Garamond"/>
          <w:sz w:val="24"/>
          <w:szCs w:val="24"/>
          <w:shd w:val="clear" w:color="auto" w:fill="FFFFFF"/>
        </w:rPr>
        <w:lastRenderedPageBreak/>
        <w:t>Buckley, Philip. “Phenomenology as Soteriology: Husserl and the Call for ‘</w:t>
      </w:r>
      <w:proofErr w:type="spellStart"/>
      <w:r w:rsidRPr="00493334">
        <w:rPr>
          <w:rFonts w:ascii="Garamond" w:hAnsi="Garamond"/>
          <w:sz w:val="24"/>
          <w:szCs w:val="24"/>
          <w:shd w:val="clear" w:color="auto" w:fill="FFFFFF"/>
        </w:rPr>
        <w:t>Erneu</w:t>
      </w:r>
      <w:r w:rsidR="00DD320E" w:rsidRPr="00493334">
        <w:rPr>
          <w:rFonts w:ascii="Garamond" w:hAnsi="Garamond"/>
          <w:sz w:val="24"/>
          <w:szCs w:val="24"/>
          <w:shd w:val="clear" w:color="auto" w:fill="FFFFFF"/>
        </w:rPr>
        <w:t>e</w:t>
      </w:r>
      <w:r w:rsidRPr="00493334">
        <w:rPr>
          <w:rFonts w:ascii="Garamond" w:hAnsi="Garamond"/>
          <w:sz w:val="24"/>
          <w:szCs w:val="24"/>
          <w:shd w:val="clear" w:color="auto" w:fill="FFFFFF"/>
        </w:rPr>
        <w:t>rung</w:t>
      </w:r>
      <w:proofErr w:type="spellEnd"/>
      <w:r w:rsidRPr="00493334">
        <w:rPr>
          <w:rFonts w:ascii="Garamond" w:hAnsi="Garamond"/>
          <w:sz w:val="24"/>
          <w:szCs w:val="24"/>
          <w:shd w:val="clear" w:color="auto" w:fill="FFFFFF"/>
        </w:rPr>
        <w:t>’ in the 1920s.” </w:t>
      </w:r>
      <w:r w:rsidRPr="00493334">
        <w:rPr>
          <w:rFonts w:ascii="Garamond" w:hAnsi="Garamond"/>
          <w:i/>
          <w:iCs/>
          <w:sz w:val="24"/>
          <w:szCs w:val="24"/>
          <w:shd w:val="clear" w:color="auto" w:fill="FFFFFF"/>
        </w:rPr>
        <w:t>Modern Theology</w:t>
      </w:r>
      <w:r w:rsidRPr="00493334">
        <w:rPr>
          <w:rFonts w:ascii="Garamond" w:hAnsi="Garamond"/>
          <w:sz w:val="24"/>
          <w:szCs w:val="24"/>
          <w:shd w:val="clear" w:color="auto" w:fill="FFFFFF"/>
        </w:rPr>
        <w:t> 35, no. 1 (2019): 5–22.</w:t>
      </w:r>
    </w:p>
    <w:p w14:paraId="71895389" w14:textId="77777777" w:rsidR="00AC43D8" w:rsidRPr="00493334" w:rsidRDefault="00AC43D8" w:rsidP="00AC43D8">
      <w:pPr>
        <w:spacing w:line="276" w:lineRule="auto"/>
        <w:rPr>
          <w:rFonts w:ascii="Garamond" w:hAnsi="Garamond"/>
          <w:color w:val="000000"/>
          <w:spacing w:val="-5"/>
          <w:shd w:val="clear" w:color="auto" w:fill="FFFFFF"/>
        </w:rPr>
      </w:pPr>
    </w:p>
    <w:p w14:paraId="6F3579AA" w14:textId="6089C5FC" w:rsidR="00AC43D8" w:rsidRPr="00AC43D8" w:rsidRDefault="00AC43D8" w:rsidP="00AC43D8">
      <w:pPr>
        <w:spacing w:line="276" w:lineRule="auto"/>
        <w:rPr>
          <w:rFonts w:ascii="Garamond" w:hAnsi="Garamond"/>
          <w:color w:val="000000"/>
          <w:spacing w:val="-5"/>
          <w:shd w:val="clear" w:color="auto" w:fill="FFFFFF"/>
        </w:rPr>
      </w:pPr>
      <w:r w:rsidRPr="00493334">
        <w:rPr>
          <w:rFonts w:ascii="Garamond" w:hAnsi="Garamond"/>
          <w:color w:val="000000"/>
          <w:spacing w:val="-5"/>
          <w:shd w:val="clear" w:color="auto" w:fill="FFFFFF"/>
        </w:rPr>
        <w:t>Frye, Northrop. “‘The Decline of the West’ by Oswald Spengler.” </w:t>
      </w:r>
      <w:r w:rsidRPr="00493334">
        <w:rPr>
          <w:rFonts w:ascii="Garamond" w:hAnsi="Garamond"/>
          <w:i/>
          <w:iCs/>
          <w:color w:val="000000"/>
          <w:spacing w:val="-5"/>
          <w:shd w:val="clear" w:color="auto" w:fill="FFFFFF"/>
        </w:rPr>
        <w:t>Daedalus</w:t>
      </w:r>
      <w:r w:rsidRPr="00493334">
        <w:rPr>
          <w:rFonts w:ascii="Garamond" w:hAnsi="Garamond"/>
          <w:color w:val="000000"/>
          <w:spacing w:val="-5"/>
          <w:shd w:val="clear" w:color="auto" w:fill="FFFFFF"/>
        </w:rPr>
        <w:t> 103, no. 1 (1974): 5-13</w:t>
      </w:r>
    </w:p>
    <w:p w14:paraId="4AB01AC0" w14:textId="77777777" w:rsidR="00D712DB" w:rsidRPr="00493334" w:rsidRDefault="00D712DB" w:rsidP="00493334">
      <w:pPr>
        <w:spacing w:line="276" w:lineRule="auto"/>
        <w:rPr>
          <w:rFonts w:ascii="Garamond" w:hAnsi="Garamond"/>
          <w:color w:val="000000"/>
          <w:spacing w:val="-5"/>
          <w:shd w:val="clear" w:color="auto" w:fill="FFFFFF"/>
        </w:rPr>
      </w:pPr>
    </w:p>
    <w:p w14:paraId="60FF1662" w14:textId="77777777" w:rsidR="00D712DB" w:rsidRPr="00493334" w:rsidRDefault="00D712DB" w:rsidP="00493334">
      <w:pPr>
        <w:spacing w:line="276" w:lineRule="auto"/>
        <w:rPr>
          <w:rFonts w:ascii="Garamond" w:hAnsi="Garamond"/>
          <w:shd w:val="clear" w:color="auto" w:fill="FFFFFF"/>
        </w:rPr>
      </w:pPr>
      <w:r w:rsidRPr="00493334">
        <w:rPr>
          <w:rFonts w:ascii="Garamond" w:hAnsi="Garamond"/>
        </w:rPr>
        <w:t>Husserl, Edmund. </w:t>
      </w:r>
      <w:r w:rsidRPr="00493334">
        <w:rPr>
          <w:rFonts w:ascii="Garamond" w:hAnsi="Garamond"/>
          <w:i/>
          <w:iCs/>
        </w:rPr>
        <w:t>Formal and Transcendental Logic</w:t>
      </w:r>
      <w:r w:rsidRPr="00493334">
        <w:rPr>
          <w:rFonts w:ascii="Garamond" w:hAnsi="Garamond"/>
        </w:rPr>
        <w:t xml:space="preserve">. Translated by </w:t>
      </w:r>
      <w:proofErr w:type="spellStart"/>
      <w:r w:rsidRPr="00493334">
        <w:rPr>
          <w:rFonts w:ascii="Garamond" w:hAnsi="Garamond"/>
        </w:rPr>
        <w:t>Dorion</w:t>
      </w:r>
      <w:proofErr w:type="spellEnd"/>
      <w:r w:rsidRPr="00493334">
        <w:rPr>
          <w:rFonts w:ascii="Garamond" w:hAnsi="Garamond"/>
        </w:rPr>
        <w:t xml:space="preserve"> Cairns. 2e </w:t>
      </w:r>
      <w:proofErr w:type="spellStart"/>
      <w:r w:rsidRPr="00493334">
        <w:rPr>
          <w:rFonts w:ascii="Garamond" w:hAnsi="Garamond"/>
        </w:rPr>
        <w:t>druk</w:t>
      </w:r>
      <w:proofErr w:type="spellEnd"/>
      <w:r w:rsidRPr="00493334">
        <w:rPr>
          <w:rFonts w:ascii="Garamond" w:hAnsi="Garamond"/>
        </w:rPr>
        <w:t xml:space="preserve">. The Hague: </w:t>
      </w:r>
      <w:proofErr w:type="spellStart"/>
      <w:r w:rsidRPr="00493334">
        <w:rPr>
          <w:rFonts w:ascii="Garamond" w:hAnsi="Garamond"/>
        </w:rPr>
        <w:t>Nijhoff</w:t>
      </w:r>
      <w:proofErr w:type="spellEnd"/>
      <w:r w:rsidRPr="00493334">
        <w:rPr>
          <w:rFonts w:ascii="Garamond" w:hAnsi="Garamond"/>
        </w:rPr>
        <w:t>, 1978.</w:t>
      </w:r>
    </w:p>
    <w:p w14:paraId="78E854B6" w14:textId="77777777" w:rsidR="00A50749" w:rsidRPr="00493334" w:rsidRDefault="00A50749" w:rsidP="00493334">
      <w:pPr>
        <w:pStyle w:val="FootnoteText"/>
        <w:spacing w:line="276" w:lineRule="auto"/>
        <w:rPr>
          <w:rFonts w:ascii="Garamond" w:hAnsi="Garamond"/>
          <w:sz w:val="24"/>
          <w:szCs w:val="24"/>
          <w:shd w:val="clear" w:color="auto" w:fill="FFFFFF"/>
        </w:rPr>
      </w:pPr>
    </w:p>
    <w:p w14:paraId="0406C4A1" w14:textId="77777777" w:rsidR="00A50749" w:rsidRPr="00493334" w:rsidRDefault="00A50749" w:rsidP="00493334">
      <w:pPr>
        <w:spacing w:line="276" w:lineRule="auto"/>
        <w:rPr>
          <w:rFonts w:ascii="Garamond" w:hAnsi="Garamond"/>
          <w:shd w:val="clear" w:color="auto" w:fill="FFFFFF"/>
        </w:rPr>
      </w:pPr>
      <w:r w:rsidRPr="00493334">
        <w:rPr>
          <w:rFonts w:ascii="Garamond" w:hAnsi="Garamond"/>
          <w:shd w:val="clear" w:color="auto" w:fill="FFFFFF"/>
        </w:rPr>
        <w:t>Husserl, Edmund. </w:t>
      </w:r>
      <w:r w:rsidRPr="00493334">
        <w:rPr>
          <w:rFonts w:ascii="Garamond" w:hAnsi="Garamond"/>
          <w:i/>
          <w:iCs/>
          <w:shd w:val="clear" w:color="auto" w:fill="FFFFFF"/>
        </w:rPr>
        <w:t xml:space="preserve">The Crisis of European Sciences and Transcendental </w:t>
      </w:r>
      <w:proofErr w:type="gramStart"/>
      <w:r w:rsidRPr="00493334">
        <w:rPr>
          <w:rFonts w:ascii="Garamond" w:hAnsi="Garamond"/>
          <w:i/>
          <w:iCs/>
          <w:shd w:val="clear" w:color="auto" w:fill="FFFFFF"/>
        </w:rPr>
        <w:t>Phenomenology</w:t>
      </w:r>
      <w:r w:rsidRPr="00493334">
        <w:rPr>
          <w:i/>
          <w:iCs/>
          <w:shd w:val="clear" w:color="auto" w:fill="FFFFFF"/>
        </w:rPr>
        <w:t> </w:t>
      </w:r>
      <w:r w:rsidRPr="00493334">
        <w:rPr>
          <w:rFonts w:ascii="Garamond" w:hAnsi="Garamond"/>
          <w:i/>
          <w:iCs/>
          <w:shd w:val="clear" w:color="auto" w:fill="FFFFFF"/>
        </w:rPr>
        <w:t>:</w:t>
      </w:r>
      <w:proofErr w:type="gramEnd"/>
      <w:r w:rsidRPr="00493334">
        <w:rPr>
          <w:rFonts w:ascii="Garamond" w:hAnsi="Garamond"/>
          <w:i/>
          <w:iCs/>
          <w:shd w:val="clear" w:color="auto" w:fill="FFFFFF"/>
        </w:rPr>
        <w:t xml:space="preserve"> An Introduction to Phenomenological Philosophy</w:t>
      </w:r>
      <w:r w:rsidRPr="00493334">
        <w:rPr>
          <w:rFonts w:ascii="Garamond" w:hAnsi="Garamond"/>
          <w:shd w:val="clear" w:color="auto" w:fill="FFFFFF"/>
        </w:rPr>
        <w:t xml:space="preserve">. Translated by David </w:t>
      </w:r>
      <w:proofErr w:type="spellStart"/>
      <w:r w:rsidRPr="00493334">
        <w:rPr>
          <w:rFonts w:ascii="Garamond" w:hAnsi="Garamond"/>
          <w:shd w:val="clear" w:color="auto" w:fill="FFFFFF"/>
        </w:rPr>
        <w:t>Carr</w:t>
      </w:r>
      <w:proofErr w:type="spellEnd"/>
      <w:r w:rsidRPr="00493334">
        <w:rPr>
          <w:rFonts w:ascii="Garamond" w:hAnsi="Garamond"/>
          <w:shd w:val="clear" w:color="auto" w:fill="FFFFFF"/>
        </w:rPr>
        <w:t>. 5th pr. Evanston: Northwestern university press, 1981.</w:t>
      </w:r>
    </w:p>
    <w:p w14:paraId="12B2075E" w14:textId="77777777" w:rsidR="00A50749" w:rsidRPr="00493334" w:rsidRDefault="00A50749" w:rsidP="00493334">
      <w:pPr>
        <w:spacing w:line="276" w:lineRule="auto"/>
        <w:rPr>
          <w:rFonts w:ascii="Garamond" w:hAnsi="Garamond"/>
          <w:shd w:val="clear" w:color="auto" w:fill="FFFFFF"/>
        </w:rPr>
      </w:pPr>
    </w:p>
    <w:p w14:paraId="52D16170" w14:textId="77777777" w:rsidR="00A50749" w:rsidRPr="00493334" w:rsidRDefault="00A50749" w:rsidP="00493334">
      <w:pPr>
        <w:spacing w:line="276" w:lineRule="auto"/>
        <w:rPr>
          <w:rFonts w:ascii="Garamond" w:hAnsi="Garamond"/>
          <w:shd w:val="clear" w:color="auto" w:fill="FFFFFF"/>
        </w:rPr>
      </w:pPr>
      <w:r w:rsidRPr="00493334">
        <w:rPr>
          <w:rFonts w:ascii="Garamond" w:hAnsi="Garamond"/>
          <w:shd w:val="clear" w:color="auto" w:fill="FFFFFF"/>
        </w:rPr>
        <w:t>Husserl, Edmund. </w:t>
      </w:r>
      <w:proofErr w:type="spellStart"/>
      <w:r w:rsidRPr="00493334">
        <w:rPr>
          <w:rFonts w:ascii="Garamond" w:hAnsi="Garamond"/>
          <w:i/>
          <w:iCs/>
          <w:shd w:val="clear" w:color="auto" w:fill="FFFFFF"/>
        </w:rPr>
        <w:t>Aufsätze</w:t>
      </w:r>
      <w:proofErr w:type="spellEnd"/>
      <w:r w:rsidRPr="00493334">
        <w:rPr>
          <w:rFonts w:ascii="Garamond" w:hAnsi="Garamond"/>
          <w:i/>
          <w:iCs/>
          <w:shd w:val="clear" w:color="auto" w:fill="FFFFFF"/>
        </w:rPr>
        <w:t xml:space="preserve"> und </w:t>
      </w:r>
      <w:proofErr w:type="spellStart"/>
      <w:r w:rsidRPr="00493334">
        <w:rPr>
          <w:rFonts w:ascii="Garamond" w:hAnsi="Garamond"/>
          <w:i/>
          <w:iCs/>
          <w:shd w:val="clear" w:color="auto" w:fill="FFFFFF"/>
        </w:rPr>
        <w:t>Vorträge</w:t>
      </w:r>
      <w:proofErr w:type="spellEnd"/>
      <w:r w:rsidRPr="00493334">
        <w:rPr>
          <w:rFonts w:ascii="Garamond" w:hAnsi="Garamond"/>
          <w:i/>
          <w:iCs/>
          <w:shd w:val="clear" w:color="auto" w:fill="FFFFFF"/>
        </w:rPr>
        <w:t xml:space="preserve"> 1911-1921</w:t>
      </w:r>
      <w:r w:rsidRPr="00493334">
        <w:rPr>
          <w:rFonts w:ascii="Garamond" w:hAnsi="Garamond"/>
          <w:shd w:val="clear" w:color="auto" w:fill="FFFFFF"/>
        </w:rPr>
        <w:t xml:space="preserve">. Edited by Thomas </w:t>
      </w:r>
      <w:proofErr w:type="spellStart"/>
      <w:r w:rsidRPr="00493334">
        <w:rPr>
          <w:rFonts w:ascii="Garamond" w:hAnsi="Garamond"/>
          <w:shd w:val="clear" w:color="auto" w:fill="FFFFFF"/>
        </w:rPr>
        <w:t>Nenon</w:t>
      </w:r>
      <w:proofErr w:type="spellEnd"/>
      <w:r w:rsidRPr="00493334">
        <w:rPr>
          <w:rFonts w:ascii="Garamond" w:hAnsi="Garamond"/>
          <w:shd w:val="clear" w:color="auto" w:fill="FFFFFF"/>
        </w:rPr>
        <w:t xml:space="preserve"> and Hans Rainer. Sepp. Dordrecht: </w:t>
      </w:r>
      <w:proofErr w:type="spellStart"/>
      <w:r w:rsidRPr="00493334">
        <w:rPr>
          <w:rFonts w:ascii="Garamond" w:hAnsi="Garamond"/>
          <w:shd w:val="clear" w:color="auto" w:fill="FFFFFF"/>
        </w:rPr>
        <w:t>Nijhoff</w:t>
      </w:r>
      <w:proofErr w:type="spellEnd"/>
      <w:r w:rsidRPr="00493334">
        <w:rPr>
          <w:rFonts w:ascii="Garamond" w:hAnsi="Garamond"/>
          <w:shd w:val="clear" w:color="auto" w:fill="FFFFFF"/>
        </w:rPr>
        <w:t>, 1987.</w:t>
      </w:r>
    </w:p>
    <w:p w14:paraId="4593D9AF" w14:textId="77777777" w:rsidR="00A50749" w:rsidRPr="00493334" w:rsidRDefault="00A50749" w:rsidP="00493334">
      <w:pPr>
        <w:spacing w:line="276" w:lineRule="auto"/>
        <w:rPr>
          <w:rFonts w:ascii="Garamond" w:hAnsi="Garamond"/>
          <w:shd w:val="clear" w:color="auto" w:fill="FFFFFF"/>
        </w:rPr>
      </w:pPr>
    </w:p>
    <w:p w14:paraId="5412D9CD" w14:textId="77777777" w:rsidR="00A50749" w:rsidRPr="00493334" w:rsidRDefault="00A50749" w:rsidP="00493334">
      <w:pPr>
        <w:spacing w:line="276" w:lineRule="auto"/>
        <w:rPr>
          <w:rFonts w:ascii="Garamond" w:hAnsi="Garamond"/>
          <w:shd w:val="clear" w:color="auto" w:fill="FFFFFF"/>
        </w:rPr>
      </w:pPr>
      <w:r w:rsidRPr="00493334">
        <w:rPr>
          <w:rFonts w:ascii="Garamond" w:hAnsi="Garamond"/>
          <w:shd w:val="clear" w:color="auto" w:fill="FFFFFF"/>
        </w:rPr>
        <w:t>Husserl, Edmund. </w:t>
      </w:r>
      <w:r w:rsidRPr="00493334">
        <w:rPr>
          <w:rFonts w:ascii="Garamond" w:hAnsi="Garamond"/>
          <w:i/>
          <w:iCs/>
          <w:shd w:val="clear" w:color="auto" w:fill="FFFFFF"/>
        </w:rPr>
        <w:t>Shorter Works</w:t>
      </w:r>
      <w:r w:rsidRPr="00493334">
        <w:rPr>
          <w:rFonts w:ascii="Garamond" w:hAnsi="Garamond"/>
          <w:shd w:val="clear" w:color="auto" w:fill="FFFFFF"/>
        </w:rPr>
        <w:t xml:space="preserve">. Edited by Peter </w:t>
      </w:r>
      <w:proofErr w:type="spellStart"/>
      <w:r w:rsidRPr="00493334">
        <w:rPr>
          <w:rFonts w:ascii="Garamond" w:hAnsi="Garamond"/>
          <w:shd w:val="clear" w:color="auto" w:fill="FFFFFF"/>
        </w:rPr>
        <w:t>MacCormick</w:t>
      </w:r>
      <w:proofErr w:type="spellEnd"/>
      <w:r w:rsidRPr="00493334">
        <w:rPr>
          <w:rFonts w:ascii="Garamond" w:hAnsi="Garamond"/>
          <w:shd w:val="clear" w:color="auto" w:fill="FFFFFF"/>
        </w:rPr>
        <w:t xml:space="preserve"> and Frederick A. Elliston. Notre Dame: University of Notre Dame press, 1981. </w:t>
      </w:r>
    </w:p>
    <w:p w14:paraId="723A7565" w14:textId="77777777" w:rsidR="00A50749" w:rsidRPr="00493334" w:rsidRDefault="00A50749" w:rsidP="00493334">
      <w:pPr>
        <w:spacing w:line="276" w:lineRule="auto"/>
        <w:rPr>
          <w:rFonts w:ascii="Garamond" w:hAnsi="Garamond"/>
          <w:shd w:val="clear" w:color="auto" w:fill="FFFFFF"/>
        </w:rPr>
      </w:pPr>
    </w:p>
    <w:p w14:paraId="47B6A16C" w14:textId="77777777" w:rsidR="00A50749" w:rsidRPr="00493334" w:rsidRDefault="00A50749" w:rsidP="00493334">
      <w:pPr>
        <w:spacing w:line="276" w:lineRule="auto"/>
        <w:rPr>
          <w:rFonts w:ascii="Garamond" w:hAnsi="Garamond"/>
          <w:shd w:val="clear" w:color="auto" w:fill="FFFFFF"/>
        </w:rPr>
      </w:pPr>
      <w:r w:rsidRPr="00493334">
        <w:rPr>
          <w:rFonts w:ascii="Garamond" w:hAnsi="Garamond"/>
          <w:shd w:val="clear" w:color="auto" w:fill="FFFFFF"/>
        </w:rPr>
        <w:t>Kant, Immanuel. </w:t>
      </w:r>
      <w:r w:rsidRPr="00493334">
        <w:rPr>
          <w:rFonts w:ascii="Garamond" w:hAnsi="Garamond"/>
          <w:i/>
          <w:iCs/>
          <w:shd w:val="clear" w:color="auto" w:fill="FFFFFF"/>
        </w:rPr>
        <w:t>Critique of Pure Reason</w:t>
      </w:r>
      <w:r w:rsidRPr="00493334">
        <w:rPr>
          <w:rFonts w:ascii="Garamond" w:hAnsi="Garamond"/>
          <w:shd w:val="clear" w:color="auto" w:fill="FFFFFF"/>
        </w:rPr>
        <w:t>. Edited by Paul Guyer and Allen W. Wood. Cambridge: Cambridge University Press, 1998.</w:t>
      </w:r>
    </w:p>
    <w:p w14:paraId="445B7E22" w14:textId="77777777" w:rsidR="00A50749" w:rsidRPr="00493334" w:rsidRDefault="00A50749" w:rsidP="00493334">
      <w:pPr>
        <w:spacing w:line="276" w:lineRule="auto"/>
        <w:rPr>
          <w:rFonts w:ascii="Garamond" w:hAnsi="Garamond"/>
          <w:shd w:val="clear" w:color="auto" w:fill="FFFFFF"/>
        </w:rPr>
      </w:pPr>
    </w:p>
    <w:p w14:paraId="0502A649" w14:textId="77777777" w:rsidR="00A50749" w:rsidRPr="00493334" w:rsidRDefault="00A50749" w:rsidP="00493334">
      <w:pPr>
        <w:spacing w:line="276" w:lineRule="auto"/>
        <w:rPr>
          <w:rFonts w:ascii="Garamond" w:hAnsi="Garamond"/>
          <w:shd w:val="clear" w:color="auto" w:fill="FFFFFF"/>
        </w:rPr>
      </w:pPr>
      <w:r w:rsidRPr="00493334">
        <w:rPr>
          <w:rFonts w:ascii="Garamond" w:hAnsi="Garamond"/>
          <w:shd w:val="clear" w:color="auto" w:fill="FFFFFF"/>
        </w:rPr>
        <w:t>Spengler, Oswald. </w:t>
      </w:r>
      <w:r w:rsidRPr="00493334">
        <w:rPr>
          <w:rFonts w:ascii="Garamond" w:hAnsi="Garamond"/>
          <w:i/>
          <w:iCs/>
          <w:shd w:val="clear" w:color="auto" w:fill="FFFFFF"/>
        </w:rPr>
        <w:t>The Decline of the West Volume 1</w:t>
      </w:r>
      <w:r w:rsidRPr="00493334">
        <w:rPr>
          <w:rFonts w:ascii="Garamond" w:hAnsi="Garamond"/>
          <w:shd w:val="clear" w:color="auto" w:fill="FFFFFF"/>
        </w:rPr>
        <w:t>. Translated by Charles Francis Atkinson. Repr. s. l: Hard Press Publishing, 2013.</w:t>
      </w:r>
    </w:p>
    <w:p w14:paraId="15B0A266" w14:textId="77777777" w:rsidR="00CF2BD7" w:rsidRPr="00493334" w:rsidRDefault="00CF2BD7" w:rsidP="00493334">
      <w:pPr>
        <w:spacing w:line="276" w:lineRule="auto"/>
        <w:rPr>
          <w:rFonts w:ascii="Garamond" w:hAnsi="Garamond"/>
          <w:shd w:val="clear" w:color="auto" w:fill="FFFFFF"/>
        </w:rPr>
      </w:pPr>
    </w:p>
    <w:p w14:paraId="6813C9C5" w14:textId="66900409" w:rsidR="00015562" w:rsidRDefault="00CF2BD7" w:rsidP="00493334">
      <w:pPr>
        <w:spacing w:line="276" w:lineRule="auto"/>
        <w:rPr>
          <w:rFonts w:ascii="Garamond" w:hAnsi="Garamond"/>
          <w:shd w:val="clear" w:color="auto" w:fill="FFFFFF"/>
        </w:rPr>
      </w:pPr>
      <w:proofErr w:type="spellStart"/>
      <w:r w:rsidRPr="00493334">
        <w:rPr>
          <w:rFonts w:ascii="Garamond" w:hAnsi="Garamond"/>
          <w:shd w:val="clear" w:color="auto" w:fill="FFFFFF"/>
        </w:rPr>
        <w:t>Swer</w:t>
      </w:r>
      <w:proofErr w:type="spellEnd"/>
      <w:r w:rsidRPr="00493334">
        <w:rPr>
          <w:rFonts w:ascii="Garamond" w:hAnsi="Garamond"/>
          <w:shd w:val="clear" w:color="auto" w:fill="FFFFFF"/>
        </w:rPr>
        <w:t>, Gregory Morgan. “Arguments with Fictional Philosophers: Spengler’s Kant and the Conceptual Foundations of Spengler’s Early Philosophy of History.” </w:t>
      </w:r>
      <w:r w:rsidRPr="00493334">
        <w:rPr>
          <w:rFonts w:ascii="Garamond" w:hAnsi="Garamond"/>
          <w:i/>
          <w:iCs/>
          <w:shd w:val="clear" w:color="auto" w:fill="FFFFFF"/>
        </w:rPr>
        <w:t>History of the human sciences</w:t>
      </w:r>
      <w:r w:rsidRPr="00493334">
        <w:rPr>
          <w:rFonts w:ascii="Garamond" w:hAnsi="Garamond"/>
          <w:shd w:val="clear" w:color="auto" w:fill="FFFFFF"/>
        </w:rPr>
        <w:t> 36, no. 3–4 (2023): 242-259</w:t>
      </w:r>
    </w:p>
    <w:p w14:paraId="3D5347B5" w14:textId="77777777" w:rsidR="00AC43D8" w:rsidRDefault="00AC43D8" w:rsidP="00493334">
      <w:pPr>
        <w:spacing w:line="276" w:lineRule="auto"/>
        <w:rPr>
          <w:rFonts w:ascii="Garamond" w:hAnsi="Garamond"/>
          <w:shd w:val="clear" w:color="auto" w:fill="FFFFFF"/>
        </w:rPr>
      </w:pPr>
    </w:p>
    <w:p w14:paraId="0297EAF4" w14:textId="191D5495" w:rsidR="00AC43D8" w:rsidRPr="00C97655" w:rsidRDefault="00AC43D8" w:rsidP="00493334">
      <w:pPr>
        <w:spacing w:line="276" w:lineRule="auto"/>
        <w:rPr>
          <w:rFonts w:ascii="Garamond" w:hAnsi="Garamond"/>
          <w:shd w:val="clear" w:color="auto" w:fill="FFFFFF"/>
        </w:rPr>
      </w:pPr>
      <w:proofErr w:type="spellStart"/>
      <w:r w:rsidRPr="00C97655">
        <w:rPr>
          <w:rFonts w:ascii="Garamond" w:hAnsi="Garamond"/>
          <w:shd w:val="clear" w:color="auto" w:fill="FFFFFF"/>
        </w:rPr>
        <w:t>Swer</w:t>
      </w:r>
      <w:proofErr w:type="spellEnd"/>
      <w:r w:rsidRPr="00C97655">
        <w:rPr>
          <w:rFonts w:ascii="Garamond" w:hAnsi="Garamond"/>
          <w:shd w:val="clear" w:color="auto" w:fill="FFFFFF"/>
        </w:rPr>
        <w:t>, Gregory. “The Revolt against Reason. Oswald Spengler and Violence as Cultural Preservative.” </w:t>
      </w:r>
      <w:r w:rsidRPr="00C97655">
        <w:rPr>
          <w:rFonts w:ascii="Garamond" w:hAnsi="Garamond"/>
          <w:i/>
          <w:iCs/>
          <w:shd w:val="clear" w:color="auto" w:fill="FFFFFF"/>
        </w:rPr>
        <w:t>The Philosophical Journal of Conflict and Violence</w:t>
      </w:r>
      <w:r w:rsidRPr="00C97655">
        <w:rPr>
          <w:rFonts w:ascii="Garamond" w:hAnsi="Garamond"/>
          <w:shd w:val="clear" w:color="auto" w:fill="FFFFFF"/>
        </w:rPr>
        <w:t> 3, no. 2 (2019):</w:t>
      </w:r>
    </w:p>
    <w:sectPr w:rsidR="00AC43D8" w:rsidRPr="00C97655">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28E015" w14:textId="77777777" w:rsidR="00AF5FD3" w:rsidRDefault="00AF5FD3" w:rsidP="00015562">
      <w:r>
        <w:separator/>
      </w:r>
    </w:p>
  </w:endnote>
  <w:endnote w:type="continuationSeparator" w:id="0">
    <w:p w14:paraId="41E1A00B" w14:textId="77777777" w:rsidR="00AF5FD3" w:rsidRDefault="00AF5FD3" w:rsidP="000155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ACFF"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Wingdings">
    <w:panose1 w:val="05000000000000000000"/>
    <w:charset w:val="4D"/>
    <w:family w:val="decorative"/>
    <w:pitch w:val="variable"/>
    <w:sig w:usb0="00000003" w:usb1="00000000" w:usb2="00000000" w:usb3="00000000" w:csb0="8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60452655"/>
      <w:docPartObj>
        <w:docPartGallery w:val="Page Numbers (Bottom of Page)"/>
        <w:docPartUnique/>
      </w:docPartObj>
    </w:sdtPr>
    <w:sdtContent>
      <w:p w14:paraId="138B13A0" w14:textId="1F31DD85" w:rsidR="004C0207" w:rsidRDefault="004C0207" w:rsidP="00C2548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930787D" w14:textId="77777777" w:rsidR="004C0207" w:rsidRDefault="004C0207" w:rsidP="004C020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73230050"/>
      <w:docPartObj>
        <w:docPartGallery w:val="Page Numbers (Bottom of Page)"/>
        <w:docPartUnique/>
      </w:docPartObj>
    </w:sdtPr>
    <w:sdtContent>
      <w:p w14:paraId="555915CC" w14:textId="0305D1EC" w:rsidR="004C0207" w:rsidRDefault="004C0207" w:rsidP="00C2548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2BD5B02" w14:textId="77777777" w:rsidR="004C0207" w:rsidRDefault="004C0207" w:rsidP="004C020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F53C96" w14:textId="77777777" w:rsidR="00AF5FD3" w:rsidRDefault="00AF5FD3" w:rsidP="00015562">
      <w:r>
        <w:separator/>
      </w:r>
    </w:p>
  </w:footnote>
  <w:footnote w:type="continuationSeparator" w:id="0">
    <w:p w14:paraId="1763DED5" w14:textId="77777777" w:rsidR="00AF5FD3" w:rsidRDefault="00AF5FD3" w:rsidP="00015562">
      <w:r>
        <w:continuationSeparator/>
      </w:r>
    </w:p>
  </w:footnote>
  <w:footnote w:id="1">
    <w:p w14:paraId="609A5CC5" w14:textId="3FBF9710" w:rsidR="000559F2" w:rsidRDefault="000559F2">
      <w:pPr>
        <w:pStyle w:val="FootnoteText"/>
      </w:pPr>
      <w:r>
        <w:rPr>
          <w:rStyle w:val="FootnoteReference"/>
        </w:rPr>
        <w:footnoteRef/>
      </w:r>
      <w:r>
        <w:t xml:space="preserve"> </w:t>
      </w:r>
      <w:r w:rsidRPr="000559F2">
        <w:rPr>
          <w:rFonts w:ascii="Garamond" w:hAnsi="Garamond"/>
        </w:rPr>
        <w:t xml:space="preserve">This paper </w:t>
      </w:r>
      <w:r w:rsidR="00551FA6">
        <w:rPr>
          <w:rFonts w:ascii="Garamond" w:hAnsi="Garamond"/>
        </w:rPr>
        <w:t>received its genesis from</w:t>
      </w:r>
      <w:r w:rsidRPr="000559F2">
        <w:rPr>
          <w:rFonts w:ascii="Garamond" w:hAnsi="Garamond"/>
        </w:rPr>
        <w:t xml:space="preserve"> conversations with Emanuele Caminada</w:t>
      </w:r>
      <w:r w:rsidR="004B54B2">
        <w:rPr>
          <w:rFonts w:ascii="Garamond" w:hAnsi="Garamond"/>
        </w:rPr>
        <w:t xml:space="preserve"> on the link between Spengler and Husserl</w:t>
      </w:r>
      <w:r w:rsidR="00551FA6">
        <w:rPr>
          <w:rFonts w:ascii="Garamond" w:hAnsi="Garamond"/>
        </w:rPr>
        <w:t>. It also received inspiration from</w:t>
      </w:r>
      <w:r w:rsidR="00551FA6" w:rsidRPr="004D4D35">
        <w:rPr>
          <w:rFonts w:ascii="Garamond" w:hAnsi="Garamond"/>
        </w:rPr>
        <w:t xml:space="preserve"> Philip Buckley’s recognition of a relationship between Spengler and Husserl</w:t>
      </w:r>
      <w:r w:rsidR="00AC43D8">
        <w:rPr>
          <w:rFonts w:ascii="Garamond" w:hAnsi="Garamond"/>
        </w:rPr>
        <w:t>’s common intellectual ground.</w:t>
      </w:r>
      <w:r w:rsidR="00551FA6" w:rsidRPr="004D4D35">
        <w:rPr>
          <w:rFonts w:ascii="Garamond" w:hAnsi="Garamond"/>
        </w:rPr>
        <w:t xml:space="preserve"> </w:t>
      </w:r>
      <w:r w:rsidR="00551FA6">
        <w:rPr>
          <w:rFonts w:ascii="Garamond" w:hAnsi="Garamond"/>
        </w:rPr>
        <w:t xml:space="preserve">I am </w:t>
      </w:r>
      <w:r w:rsidR="00AC43D8">
        <w:rPr>
          <w:rFonts w:ascii="Garamond" w:hAnsi="Garamond"/>
        </w:rPr>
        <w:t>also extremely indebted to</w:t>
      </w:r>
      <w:r w:rsidR="00551FA6">
        <w:rPr>
          <w:rFonts w:ascii="Garamond" w:hAnsi="Garamond"/>
        </w:rPr>
        <w:t xml:space="preserve"> </w:t>
      </w:r>
      <w:r w:rsidR="00551FA6" w:rsidRPr="000559F2">
        <w:rPr>
          <w:rFonts w:ascii="Garamond" w:hAnsi="Garamond"/>
        </w:rPr>
        <w:t xml:space="preserve">comments from Gregory </w:t>
      </w:r>
      <w:proofErr w:type="spellStart"/>
      <w:r w:rsidR="00551FA6" w:rsidRPr="000559F2">
        <w:rPr>
          <w:rFonts w:ascii="Garamond" w:hAnsi="Garamond"/>
        </w:rPr>
        <w:t>Swer</w:t>
      </w:r>
      <w:proofErr w:type="spellEnd"/>
      <w:r w:rsidR="00551FA6" w:rsidRPr="000559F2">
        <w:rPr>
          <w:rFonts w:ascii="Garamond" w:hAnsi="Garamond"/>
        </w:rPr>
        <w:t xml:space="preserve"> </w:t>
      </w:r>
      <w:r w:rsidR="00551FA6">
        <w:rPr>
          <w:rFonts w:ascii="Garamond" w:hAnsi="Garamond"/>
        </w:rPr>
        <w:t>during the editing process.</w:t>
      </w:r>
    </w:p>
  </w:footnote>
  <w:footnote w:id="2">
    <w:p w14:paraId="14B0A135" w14:textId="27A2BF92" w:rsidR="00015562" w:rsidRPr="00C34890" w:rsidRDefault="00015562" w:rsidP="00015562">
      <w:pPr>
        <w:pStyle w:val="FootnoteText"/>
        <w:rPr>
          <w:rFonts w:ascii="Garamond" w:hAnsi="Garamond"/>
        </w:rPr>
      </w:pPr>
      <w:r w:rsidRPr="00C34890">
        <w:rPr>
          <w:rStyle w:val="FootnoteReference"/>
          <w:rFonts w:ascii="Garamond" w:hAnsi="Garamond"/>
        </w:rPr>
        <w:footnoteRef/>
      </w:r>
      <w:r w:rsidRPr="00C34890">
        <w:rPr>
          <w:rFonts w:ascii="Garamond" w:hAnsi="Garamond"/>
        </w:rPr>
        <w:t xml:space="preserve"> Originally published </w:t>
      </w:r>
      <w:r w:rsidRPr="00C34890">
        <w:rPr>
          <w:rFonts w:ascii="Garamond" w:hAnsi="Garamond" w:cstheme="minorHAnsi"/>
        </w:rPr>
        <w:t xml:space="preserve">as </w:t>
      </w:r>
      <w:r w:rsidRPr="00C34890">
        <w:rPr>
          <w:rFonts w:ascii="Garamond" w:hAnsi="Garamond" w:cstheme="minorHAnsi"/>
          <w:i/>
          <w:iCs/>
          <w:shd w:val="clear" w:color="auto" w:fill="FFFFFF"/>
          <w:lang w:val="de-DE"/>
        </w:rPr>
        <w:t>Die Krisis der</w:t>
      </w:r>
      <w:r w:rsidR="001C4AAC">
        <w:rPr>
          <w:rFonts w:ascii="Garamond" w:hAnsi="Garamond" w:cstheme="minorHAnsi"/>
          <w:i/>
          <w:iCs/>
          <w:shd w:val="clear" w:color="auto" w:fill="FFFFFF"/>
          <w:lang w:val="de-DE"/>
        </w:rPr>
        <w:t xml:space="preserve"> e</w:t>
      </w:r>
      <w:r w:rsidR="001C4AAC" w:rsidRPr="00C34890">
        <w:rPr>
          <w:rFonts w:ascii="Garamond" w:hAnsi="Garamond" w:cstheme="minorHAnsi"/>
          <w:i/>
          <w:iCs/>
          <w:shd w:val="clear" w:color="auto" w:fill="FFFFFF"/>
          <w:lang w:val="de-DE"/>
        </w:rPr>
        <w:t>uropäischen</w:t>
      </w:r>
      <w:r w:rsidRPr="00C34890">
        <w:rPr>
          <w:rFonts w:ascii="Garamond" w:hAnsi="Garamond" w:cstheme="minorHAnsi"/>
          <w:i/>
          <w:iCs/>
          <w:shd w:val="clear" w:color="auto" w:fill="FFFFFF"/>
          <w:lang w:val="de-DE"/>
        </w:rPr>
        <w:t xml:space="preserve"> Wissenschaften und die </w:t>
      </w:r>
      <w:r w:rsidR="001C4AAC">
        <w:rPr>
          <w:rFonts w:ascii="Garamond" w:hAnsi="Garamond" w:cstheme="minorHAnsi"/>
          <w:i/>
          <w:iCs/>
          <w:shd w:val="clear" w:color="auto" w:fill="FFFFFF"/>
          <w:lang w:val="de-DE"/>
        </w:rPr>
        <w:t>t</w:t>
      </w:r>
      <w:r w:rsidRPr="00C34890">
        <w:rPr>
          <w:rFonts w:ascii="Garamond" w:hAnsi="Garamond" w:cstheme="minorHAnsi"/>
          <w:i/>
          <w:iCs/>
          <w:shd w:val="clear" w:color="auto" w:fill="FFFFFF"/>
          <w:lang w:val="de-DE"/>
        </w:rPr>
        <w:t>ranszendentale Phänomenologie</w:t>
      </w:r>
      <w:r w:rsidRPr="00C34890">
        <w:rPr>
          <w:rFonts w:ascii="Garamond" w:hAnsi="Garamond"/>
        </w:rPr>
        <w:t xml:space="preserve">. </w:t>
      </w:r>
    </w:p>
  </w:footnote>
  <w:footnote w:id="3">
    <w:p w14:paraId="57252074" w14:textId="77777777" w:rsidR="00015562" w:rsidRPr="00C34890" w:rsidRDefault="00015562" w:rsidP="00015562">
      <w:pPr>
        <w:pStyle w:val="FootnoteText"/>
        <w:rPr>
          <w:rFonts w:ascii="Garamond" w:hAnsi="Garamond"/>
        </w:rPr>
      </w:pPr>
      <w:r w:rsidRPr="00C34890">
        <w:rPr>
          <w:rStyle w:val="FootnoteReference"/>
          <w:rFonts w:ascii="Garamond" w:hAnsi="Garamond"/>
        </w:rPr>
        <w:footnoteRef/>
      </w:r>
      <w:r w:rsidRPr="00C34890">
        <w:rPr>
          <w:rFonts w:ascii="Garamond" w:hAnsi="Garamond"/>
        </w:rPr>
        <w:t xml:space="preserve"> The German reads </w:t>
      </w:r>
      <w:proofErr w:type="spellStart"/>
      <w:r w:rsidRPr="00C34890">
        <w:rPr>
          <w:rFonts w:ascii="Garamond" w:hAnsi="Garamond"/>
          <w:i/>
          <w:iCs/>
        </w:rPr>
        <w:t>Menscheit</w:t>
      </w:r>
      <w:proofErr w:type="spellEnd"/>
      <w:r w:rsidRPr="00C34890">
        <w:rPr>
          <w:rFonts w:ascii="Garamond" w:hAnsi="Garamond"/>
        </w:rPr>
        <w:t>, “humanity” would also be an acceptable translation.</w:t>
      </w:r>
    </w:p>
  </w:footnote>
  <w:footnote w:id="4">
    <w:p w14:paraId="465AF6CE" w14:textId="77777777" w:rsidR="00015562" w:rsidRPr="00C34890" w:rsidRDefault="00015562" w:rsidP="00015562">
      <w:pPr>
        <w:pStyle w:val="FootnoteText"/>
        <w:rPr>
          <w:rFonts w:ascii="Garamond" w:hAnsi="Garamond"/>
        </w:rPr>
      </w:pPr>
      <w:r w:rsidRPr="00C34890">
        <w:rPr>
          <w:rStyle w:val="FootnoteReference"/>
          <w:rFonts w:ascii="Garamond" w:hAnsi="Garamond"/>
        </w:rPr>
        <w:footnoteRef/>
      </w:r>
      <w:r w:rsidRPr="00C34890">
        <w:rPr>
          <w:rFonts w:ascii="Garamond" w:hAnsi="Garamond"/>
        </w:rPr>
        <w:t xml:space="preserve"> </w:t>
      </w:r>
      <w:r w:rsidRPr="00C34890">
        <w:rPr>
          <w:rFonts w:ascii="Garamond" w:hAnsi="Garamond" w:cstheme="minorHAnsi"/>
        </w:rPr>
        <w:t xml:space="preserve">“The Vienna Lecture” in </w:t>
      </w:r>
      <w:r w:rsidRPr="00C34890">
        <w:rPr>
          <w:rFonts w:ascii="Garamond" w:hAnsi="Garamond" w:cstheme="minorHAnsi"/>
          <w:shd w:val="clear" w:color="auto" w:fill="FFFFFF"/>
        </w:rPr>
        <w:t>Husserl, Edmund. </w:t>
      </w:r>
      <w:r w:rsidRPr="00C34890">
        <w:rPr>
          <w:rFonts w:ascii="Garamond" w:hAnsi="Garamond" w:cstheme="minorHAnsi"/>
          <w:i/>
          <w:iCs/>
          <w:shd w:val="clear" w:color="auto" w:fill="FFFFFF"/>
        </w:rPr>
        <w:t>The Crisis of European Sciences and Transcendental Phenomenology: An Introduction to Phenomenological Philosophy</w:t>
      </w:r>
      <w:r w:rsidRPr="00C34890">
        <w:rPr>
          <w:rFonts w:ascii="Garamond" w:hAnsi="Garamond" w:cstheme="minorHAnsi"/>
          <w:shd w:val="clear" w:color="auto" w:fill="FFFFFF"/>
        </w:rPr>
        <w:t xml:space="preserve">. Translated by David </w:t>
      </w:r>
      <w:proofErr w:type="spellStart"/>
      <w:r w:rsidRPr="00C34890">
        <w:rPr>
          <w:rFonts w:ascii="Garamond" w:hAnsi="Garamond" w:cstheme="minorHAnsi"/>
          <w:shd w:val="clear" w:color="auto" w:fill="FFFFFF"/>
        </w:rPr>
        <w:t>Carr</w:t>
      </w:r>
      <w:proofErr w:type="spellEnd"/>
      <w:r w:rsidRPr="00C34890">
        <w:rPr>
          <w:rFonts w:ascii="Garamond" w:hAnsi="Garamond" w:cstheme="minorHAnsi"/>
          <w:shd w:val="clear" w:color="auto" w:fill="FFFFFF"/>
        </w:rPr>
        <w:t>. 5th pr. Evanston: Northwestern University Press, 1981.</w:t>
      </w:r>
      <w:r w:rsidRPr="00C34890">
        <w:rPr>
          <w:rFonts w:ascii="Garamond" w:hAnsi="Garamond" w:cstheme="minorHAnsi"/>
        </w:rPr>
        <w:t xml:space="preserve"> 269</w:t>
      </w:r>
    </w:p>
  </w:footnote>
  <w:footnote w:id="5">
    <w:p w14:paraId="2ABB0F8F" w14:textId="77777777" w:rsidR="00015562" w:rsidRPr="004D4D35" w:rsidRDefault="00015562" w:rsidP="00015562">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i/>
          <w:iCs/>
        </w:rPr>
        <w:t xml:space="preserve">Crisis </w:t>
      </w:r>
      <w:r w:rsidRPr="004D4D35">
        <w:rPr>
          <w:rFonts w:ascii="Garamond" w:hAnsi="Garamond"/>
        </w:rPr>
        <w:t>272</w:t>
      </w:r>
    </w:p>
  </w:footnote>
  <w:footnote w:id="6">
    <w:p w14:paraId="6550A8CE" w14:textId="77777777" w:rsidR="00015562" w:rsidRPr="004D4D35" w:rsidRDefault="00015562" w:rsidP="00015562">
      <w:pPr>
        <w:pStyle w:val="FootnoteText"/>
        <w:rPr>
          <w:rFonts w:ascii="Garamond" w:hAnsi="Garamond" w:cstheme="minorHAnsi"/>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cstheme="minorHAnsi"/>
          <w:shd w:val="clear" w:color="auto" w:fill="FFFFFF"/>
        </w:rPr>
        <w:t>Husserl, Edmund. </w:t>
      </w:r>
      <w:proofErr w:type="spellStart"/>
      <w:r w:rsidRPr="004D4D35">
        <w:rPr>
          <w:rFonts w:ascii="Garamond" w:hAnsi="Garamond" w:cstheme="minorHAnsi"/>
          <w:i/>
          <w:iCs/>
          <w:shd w:val="clear" w:color="auto" w:fill="FFFFFF"/>
        </w:rPr>
        <w:t>Aufsätze</w:t>
      </w:r>
      <w:proofErr w:type="spellEnd"/>
      <w:r w:rsidRPr="004D4D35">
        <w:rPr>
          <w:rFonts w:ascii="Garamond" w:hAnsi="Garamond" w:cstheme="minorHAnsi"/>
          <w:i/>
          <w:iCs/>
          <w:shd w:val="clear" w:color="auto" w:fill="FFFFFF"/>
        </w:rPr>
        <w:t xml:space="preserve"> und </w:t>
      </w:r>
      <w:proofErr w:type="spellStart"/>
      <w:r w:rsidRPr="004D4D35">
        <w:rPr>
          <w:rFonts w:ascii="Garamond" w:hAnsi="Garamond" w:cstheme="minorHAnsi"/>
          <w:i/>
          <w:iCs/>
          <w:shd w:val="clear" w:color="auto" w:fill="FFFFFF"/>
        </w:rPr>
        <w:t>Vorträge</w:t>
      </w:r>
      <w:proofErr w:type="spellEnd"/>
      <w:r w:rsidRPr="004D4D35">
        <w:rPr>
          <w:rFonts w:ascii="Garamond" w:hAnsi="Garamond" w:cstheme="minorHAnsi"/>
          <w:i/>
          <w:iCs/>
          <w:shd w:val="clear" w:color="auto" w:fill="FFFFFF"/>
        </w:rPr>
        <w:t xml:space="preserve"> 1911-1921</w:t>
      </w:r>
      <w:r w:rsidRPr="004D4D35">
        <w:rPr>
          <w:rFonts w:ascii="Garamond" w:hAnsi="Garamond" w:cstheme="minorHAnsi"/>
          <w:shd w:val="clear" w:color="auto" w:fill="FFFFFF"/>
        </w:rPr>
        <w:t xml:space="preserve">. Edited by Thomas </w:t>
      </w:r>
      <w:proofErr w:type="spellStart"/>
      <w:r w:rsidRPr="004D4D35">
        <w:rPr>
          <w:rFonts w:ascii="Garamond" w:hAnsi="Garamond" w:cstheme="minorHAnsi"/>
          <w:shd w:val="clear" w:color="auto" w:fill="FFFFFF"/>
        </w:rPr>
        <w:t>Nenon</w:t>
      </w:r>
      <w:proofErr w:type="spellEnd"/>
      <w:r w:rsidRPr="004D4D35">
        <w:rPr>
          <w:rFonts w:ascii="Garamond" w:hAnsi="Garamond" w:cstheme="minorHAnsi"/>
          <w:shd w:val="clear" w:color="auto" w:fill="FFFFFF"/>
        </w:rPr>
        <w:t xml:space="preserve"> and Hans Rainer. Sepp. Dordrecht: </w:t>
      </w:r>
      <w:proofErr w:type="spellStart"/>
      <w:r w:rsidRPr="004D4D35">
        <w:rPr>
          <w:rFonts w:ascii="Garamond" w:hAnsi="Garamond" w:cstheme="minorHAnsi"/>
          <w:shd w:val="clear" w:color="auto" w:fill="FFFFFF"/>
        </w:rPr>
        <w:t>Nijhoff</w:t>
      </w:r>
      <w:proofErr w:type="spellEnd"/>
      <w:r w:rsidRPr="004D4D35">
        <w:rPr>
          <w:rFonts w:ascii="Garamond" w:hAnsi="Garamond" w:cstheme="minorHAnsi"/>
          <w:shd w:val="clear" w:color="auto" w:fill="FFFFFF"/>
        </w:rPr>
        <w:t>, 1987. 6</w:t>
      </w:r>
    </w:p>
  </w:footnote>
  <w:footnote w:id="7">
    <w:p w14:paraId="68D111B7" w14:textId="77777777" w:rsidR="00015562" w:rsidRDefault="00015562" w:rsidP="00015562">
      <w:pPr>
        <w:pStyle w:val="FootnoteText"/>
      </w:pPr>
      <w:r w:rsidRPr="004D4D35">
        <w:rPr>
          <w:rStyle w:val="FootnoteReference"/>
          <w:rFonts w:ascii="Garamond" w:hAnsi="Garamond"/>
        </w:rPr>
        <w:footnoteRef/>
      </w:r>
      <w:r w:rsidRPr="004D4D35">
        <w:rPr>
          <w:rFonts w:ascii="Garamond" w:hAnsi="Garamond"/>
        </w:rPr>
        <w:t xml:space="preserve"> </w:t>
      </w:r>
      <w:r>
        <w:rPr>
          <w:rFonts w:ascii="Garamond" w:hAnsi="Garamond"/>
        </w:rPr>
        <w:t xml:space="preserve">Originally published as </w:t>
      </w:r>
      <w:r w:rsidRPr="000E0639">
        <w:rPr>
          <w:rFonts w:ascii="Garamond" w:hAnsi="Garamond"/>
          <w:i/>
          <w:iCs/>
        </w:rPr>
        <w:t xml:space="preserve">Der </w:t>
      </w:r>
      <w:proofErr w:type="spellStart"/>
      <w:r w:rsidRPr="000E0639">
        <w:rPr>
          <w:rFonts w:ascii="Garamond" w:hAnsi="Garamond"/>
          <w:i/>
          <w:iCs/>
        </w:rPr>
        <w:t>Untergang</w:t>
      </w:r>
      <w:proofErr w:type="spellEnd"/>
      <w:r w:rsidRPr="000E0639">
        <w:rPr>
          <w:rFonts w:ascii="Garamond" w:hAnsi="Garamond"/>
          <w:i/>
          <w:iCs/>
        </w:rPr>
        <w:t xml:space="preserve"> Des </w:t>
      </w:r>
      <w:proofErr w:type="spellStart"/>
      <w:r w:rsidRPr="000E0639">
        <w:rPr>
          <w:rFonts w:ascii="Garamond" w:hAnsi="Garamond"/>
          <w:i/>
          <w:iCs/>
        </w:rPr>
        <w:t>Abendlandes</w:t>
      </w:r>
      <w:proofErr w:type="spellEnd"/>
      <w:r>
        <w:rPr>
          <w:rFonts w:ascii="Garamond" w:hAnsi="Garamond"/>
          <w:i/>
          <w:iCs/>
        </w:rPr>
        <w:t>.</w:t>
      </w:r>
      <w:r w:rsidRPr="004D4D35">
        <w:rPr>
          <w:rFonts w:ascii="Garamond" w:hAnsi="Garamond"/>
        </w:rPr>
        <w:t xml:space="preserve"> The publishing history of </w:t>
      </w:r>
      <w:r w:rsidRPr="004D4D35">
        <w:rPr>
          <w:rFonts w:ascii="Garamond" w:hAnsi="Garamond"/>
          <w:i/>
          <w:iCs/>
        </w:rPr>
        <w:t xml:space="preserve">Crisis </w:t>
      </w:r>
      <w:r w:rsidRPr="004D4D35">
        <w:rPr>
          <w:rFonts w:ascii="Garamond" w:hAnsi="Garamond"/>
        </w:rPr>
        <w:t xml:space="preserve">and of </w:t>
      </w:r>
      <w:r w:rsidRPr="004D4D35">
        <w:rPr>
          <w:rFonts w:ascii="Garamond" w:hAnsi="Garamond"/>
          <w:i/>
          <w:iCs/>
        </w:rPr>
        <w:t xml:space="preserve">Decline </w:t>
      </w:r>
      <w:r w:rsidRPr="004D4D35">
        <w:rPr>
          <w:rFonts w:ascii="Garamond" w:hAnsi="Garamond"/>
        </w:rPr>
        <w:t xml:space="preserve">in their original German is </w:t>
      </w:r>
      <w:r>
        <w:rPr>
          <w:rFonts w:ascii="Garamond" w:hAnsi="Garamond"/>
        </w:rPr>
        <w:t>as follows</w:t>
      </w:r>
      <w:r w:rsidRPr="004D4D35">
        <w:rPr>
          <w:rFonts w:ascii="Garamond" w:hAnsi="Garamond"/>
        </w:rPr>
        <w:t xml:space="preserve">. Volume I of </w:t>
      </w:r>
      <w:r w:rsidRPr="004D4D35">
        <w:rPr>
          <w:rFonts w:ascii="Garamond" w:hAnsi="Garamond"/>
          <w:i/>
          <w:iCs/>
        </w:rPr>
        <w:t xml:space="preserve">Decline </w:t>
      </w:r>
      <w:r w:rsidRPr="004D4D35">
        <w:rPr>
          <w:rFonts w:ascii="Garamond" w:hAnsi="Garamond"/>
        </w:rPr>
        <w:t xml:space="preserve">was published in 1918 and Volume II in 1922. The definitive edition of both came in 1923 by Alfred A. Knopf Publishers. For the </w:t>
      </w:r>
      <w:r w:rsidRPr="004D4D35">
        <w:rPr>
          <w:rFonts w:ascii="Garamond" w:hAnsi="Garamond"/>
          <w:i/>
          <w:iCs/>
        </w:rPr>
        <w:t>Crisis</w:t>
      </w:r>
      <w:r w:rsidRPr="004D4D35">
        <w:rPr>
          <w:rFonts w:ascii="Garamond" w:hAnsi="Garamond"/>
        </w:rPr>
        <w:t xml:space="preserve">, Parts I and II were published in 1936. Part III, intended as the completion of the </w:t>
      </w:r>
      <w:r w:rsidRPr="004D4D35">
        <w:rPr>
          <w:rFonts w:ascii="Garamond" w:hAnsi="Garamond"/>
          <w:i/>
          <w:iCs/>
        </w:rPr>
        <w:t>Crisis</w:t>
      </w:r>
      <w:r w:rsidRPr="004D4D35">
        <w:rPr>
          <w:rFonts w:ascii="Garamond" w:hAnsi="Garamond"/>
        </w:rPr>
        <w:t>-text, never saw print in Husserl’s lifetime and was only published posthumously.</w:t>
      </w:r>
    </w:p>
  </w:footnote>
  <w:footnote w:id="8">
    <w:p w14:paraId="695ECA60" w14:textId="77777777" w:rsidR="00BD28A0" w:rsidRPr="004B54B2" w:rsidRDefault="00BD28A0" w:rsidP="00BD28A0">
      <w:pPr>
        <w:pStyle w:val="FootnoteText"/>
      </w:pPr>
      <w:r>
        <w:rPr>
          <w:rStyle w:val="FootnoteReference"/>
        </w:rPr>
        <w:footnoteRef/>
      </w:r>
      <w:r>
        <w:t xml:space="preserve"> </w:t>
      </w:r>
      <w:r w:rsidRPr="00DF4688">
        <w:rPr>
          <w:rFonts w:ascii="Garamond" w:hAnsi="Garamond" w:cs="Calibri"/>
          <w:shd w:val="clear" w:color="auto" w:fill="FFFFFF"/>
        </w:rPr>
        <w:t>Spengler, Oswald. </w:t>
      </w:r>
      <w:r w:rsidRPr="00DF4688">
        <w:rPr>
          <w:rFonts w:ascii="Garamond" w:hAnsi="Garamond" w:cs="Calibri"/>
          <w:i/>
          <w:iCs/>
          <w:shd w:val="clear" w:color="auto" w:fill="FFFFFF"/>
        </w:rPr>
        <w:t>The Decline of the West Volume 1</w:t>
      </w:r>
      <w:r w:rsidRPr="00DF4688">
        <w:rPr>
          <w:rFonts w:ascii="Garamond" w:hAnsi="Garamond" w:cs="Calibri"/>
          <w:shd w:val="clear" w:color="auto" w:fill="FFFFFF"/>
        </w:rPr>
        <w:t xml:space="preserve">. Translated by Charles Francis Atkinson. Repr. s. l: Hard Press Publishing, 2013. </w:t>
      </w:r>
      <w:r>
        <w:t>15</w:t>
      </w:r>
    </w:p>
  </w:footnote>
  <w:footnote w:id="9">
    <w:p w14:paraId="399B8732" w14:textId="3D3F9A34" w:rsidR="00D9481B" w:rsidRPr="00DF4688" w:rsidRDefault="00D9481B">
      <w:pPr>
        <w:pStyle w:val="FootnoteText"/>
        <w:rPr>
          <w:rFonts w:ascii="Garamond" w:hAnsi="Garamond"/>
        </w:rPr>
      </w:pPr>
      <w:r w:rsidRPr="00DF4688">
        <w:rPr>
          <w:rStyle w:val="FootnoteReference"/>
          <w:rFonts w:ascii="Garamond" w:hAnsi="Garamond"/>
        </w:rPr>
        <w:footnoteRef/>
      </w:r>
      <w:r w:rsidRPr="00DF4688">
        <w:rPr>
          <w:rFonts w:ascii="Garamond" w:hAnsi="Garamond"/>
        </w:rPr>
        <w:t xml:space="preserve"> </w:t>
      </w:r>
      <w:r w:rsidRPr="00DF4688">
        <w:rPr>
          <w:rFonts w:ascii="Garamond" w:hAnsi="Garamond" w:cs="Calibri"/>
          <w:spacing w:val="-5"/>
          <w:shd w:val="clear" w:color="auto" w:fill="FFFFFF"/>
        </w:rPr>
        <w:t>Frye, Northrop. “‘The Decline of the West’ by Oswald Spengler.” </w:t>
      </w:r>
      <w:r w:rsidRPr="00DF4688">
        <w:rPr>
          <w:rFonts w:ascii="Garamond" w:hAnsi="Garamond" w:cs="Calibri"/>
          <w:i/>
          <w:iCs/>
          <w:spacing w:val="-5"/>
          <w:shd w:val="clear" w:color="auto" w:fill="FFFFFF"/>
        </w:rPr>
        <w:t>Daedalus</w:t>
      </w:r>
      <w:r w:rsidRPr="00DF4688">
        <w:rPr>
          <w:rFonts w:ascii="Garamond" w:hAnsi="Garamond" w:cs="Calibri"/>
          <w:spacing w:val="-5"/>
          <w:shd w:val="clear" w:color="auto" w:fill="FFFFFF"/>
        </w:rPr>
        <w:t> 103, no. 1 (1974): 5</w:t>
      </w:r>
    </w:p>
  </w:footnote>
  <w:footnote w:id="10">
    <w:p w14:paraId="1F7DA916" w14:textId="2D16963C" w:rsidR="00A408CB" w:rsidRDefault="00A408CB">
      <w:pPr>
        <w:pStyle w:val="FootnoteText"/>
      </w:pPr>
      <w:r>
        <w:rPr>
          <w:rStyle w:val="FootnoteReference"/>
        </w:rPr>
        <w:footnoteRef/>
      </w:r>
      <w:r>
        <w:t xml:space="preserve"> </w:t>
      </w:r>
      <w:r>
        <w:rPr>
          <w:rFonts w:ascii="Garamond" w:hAnsi="Garamond"/>
        </w:rPr>
        <w:t>It is for this reason I describe Spengler’s position as an aesthetic one.</w:t>
      </w:r>
    </w:p>
  </w:footnote>
  <w:footnote w:id="11">
    <w:p w14:paraId="07AC41C2" w14:textId="2C0CFDD6" w:rsidR="00A408CB" w:rsidRPr="00A408CB" w:rsidRDefault="00A408CB">
      <w:pPr>
        <w:pStyle w:val="FootnoteText"/>
      </w:pPr>
      <w:r>
        <w:rPr>
          <w:rStyle w:val="FootnoteReference"/>
        </w:rPr>
        <w:footnoteRef/>
      </w:r>
      <w:r>
        <w:t xml:space="preserve"> </w:t>
      </w:r>
      <w:r>
        <w:rPr>
          <w:i/>
          <w:iCs/>
        </w:rPr>
        <w:t xml:space="preserve">Decline </w:t>
      </w:r>
      <w:r>
        <w:t>175</w:t>
      </w:r>
    </w:p>
  </w:footnote>
  <w:footnote w:id="12">
    <w:p w14:paraId="38E49ECE" w14:textId="0705E76B" w:rsidR="00BD28A0" w:rsidRDefault="00BD28A0">
      <w:pPr>
        <w:pStyle w:val="FootnoteText"/>
      </w:pPr>
      <w:r>
        <w:rPr>
          <w:rStyle w:val="FootnoteReference"/>
        </w:rPr>
        <w:footnoteRef/>
      </w:r>
      <w:r>
        <w:t xml:space="preserve"> </w:t>
      </w:r>
      <w:r>
        <w:rPr>
          <w:rFonts w:ascii="Garamond" w:hAnsi="Garamond"/>
        </w:rPr>
        <w:t>W</w:t>
      </w:r>
      <w:r w:rsidRPr="00BD28A0">
        <w:rPr>
          <w:rFonts w:ascii="Garamond" w:hAnsi="Garamond"/>
        </w:rPr>
        <w:t>hich emerged as the dominant European culture around 1000CE,</w:t>
      </w:r>
    </w:p>
  </w:footnote>
  <w:footnote w:id="13">
    <w:p w14:paraId="10C3B20D" w14:textId="0856FCC7" w:rsidR="00486C97" w:rsidRPr="00DF4688" w:rsidRDefault="00486C97">
      <w:pPr>
        <w:pStyle w:val="FootnoteText"/>
        <w:rPr>
          <w:rFonts w:ascii="Garamond" w:hAnsi="Garamond" w:cs="Calibri"/>
        </w:rPr>
      </w:pPr>
      <w:r w:rsidRPr="00DF4688">
        <w:rPr>
          <w:rStyle w:val="FootnoteReference"/>
          <w:rFonts w:ascii="Garamond" w:hAnsi="Garamond"/>
        </w:rPr>
        <w:footnoteRef/>
      </w:r>
      <w:r w:rsidRPr="00DF4688">
        <w:rPr>
          <w:rFonts w:ascii="Garamond" w:hAnsi="Garamond"/>
        </w:rPr>
        <w:t xml:space="preserve"> </w:t>
      </w:r>
      <w:r w:rsidR="00170D19" w:rsidRPr="00170D19">
        <w:rPr>
          <w:rFonts w:ascii="Garamond" w:hAnsi="Garamond" w:cs="Calibri"/>
          <w:i/>
          <w:iCs/>
          <w:shd w:val="clear" w:color="auto" w:fill="FFFFFF"/>
        </w:rPr>
        <w:t xml:space="preserve">Decline </w:t>
      </w:r>
      <w:r w:rsidR="00170D19" w:rsidRPr="00170D19">
        <w:rPr>
          <w:rFonts w:ascii="Garamond" w:hAnsi="Garamond" w:cs="Calibri"/>
          <w:shd w:val="clear" w:color="auto" w:fill="FFFFFF"/>
        </w:rPr>
        <w:t>4</w:t>
      </w:r>
      <w:r w:rsidR="00170D19">
        <w:rPr>
          <w:rFonts w:ascii="Garamond" w:hAnsi="Garamond" w:cs="Calibri"/>
          <w:shd w:val="clear" w:color="auto" w:fill="FFFFFF"/>
        </w:rPr>
        <w:t xml:space="preserve">. </w:t>
      </w:r>
      <w:r w:rsidR="00170D19" w:rsidRPr="00170D19">
        <w:rPr>
          <w:rFonts w:ascii="Garamond" w:hAnsi="Garamond" w:cs="Calibri"/>
        </w:rPr>
        <w:t>On</w:t>
      </w:r>
      <w:r w:rsidR="00170D19" w:rsidRPr="00DF4688">
        <w:rPr>
          <w:rFonts w:ascii="Garamond" w:hAnsi="Garamond" w:cs="Calibri"/>
        </w:rPr>
        <w:t xml:space="preserve"> this reinterpretation of the Renaissance see also </w:t>
      </w:r>
      <w:r w:rsidR="00170D19" w:rsidRPr="00DF4688">
        <w:rPr>
          <w:rFonts w:ascii="Garamond" w:hAnsi="Garamond" w:cs="Calibri"/>
          <w:i/>
          <w:iCs/>
        </w:rPr>
        <w:t xml:space="preserve">Decline </w:t>
      </w:r>
      <w:r w:rsidR="00170D19" w:rsidRPr="00DF4688">
        <w:rPr>
          <w:rFonts w:ascii="Garamond" w:hAnsi="Garamond" w:cs="Calibri"/>
        </w:rPr>
        <w:t>30, 87</w:t>
      </w:r>
    </w:p>
  </w:footnote>
  <w:footnote w:id="14">
    <w:p w14:paraId="5F297E55" w14:textId="04267ADB" w:rsidR="00170D19" w:rsidRPr="0093662C" w:rsidRDefault="00170D19">
      <w:pPr>
        <w:pStyle w:val="FootnoteText"/>
      </w:pPr>
      <w:r>
        <w:rPr>
          <w:rStyle w:val="FootnoteReference"/>
        </w:rPr>
        <w:footnoteRef/>
      </w:r>
      <w:r>
        <w:t xml:space="preserve"> </w:t>
      </w:r>
      <w:r w:rsidRPr="00170D19">
        <w:rPr>
          <w:rFonts w:ascii="Garamond" w:hAnsi="Garamond"/>
          <w:i/>
          <w:iCs/>
        </w:rPr>
        <w:t>Decline 165</w:t>
      </w:r>
      <w:r w:rsidR="0093662C">
        <w:rPr>
          <w:rFonts w:ascii="Garamond" w:hAnsi="Garamond"/>
          <w:i/>
          <w:iCs/>
        </w:rPr>
        <w:t xml:space="preserve">; </w:t>
      </w:r>
      <w:r w:rsidR="0093662C">
        <w:rPr>
          <w:rFonts w:ascii="Garamond" w:hAnsi="Garamond"/>
        </w:rPr>
        <w:t xml:space="preserve">this is the ‘comparison contradiction’ in </w:t>
      </w:r>
      <w:r w:rsidR="0093662C">
        <w:rPr>
          <w:rFonts w:ascii="Garamond" w:hAnsi="Garamond"/>
          <w:i/>
          <w:iCs/>
        </w:rPr>
        <w:t>Decline</w:t>
      </w:r>
      <w:r w:rsidR="0093662C">
        <w:rPr>
          <w:rFonts w:ascii="Garamond" w:hAnsi="Garamond"/>
        </w:rPr>
        <w:t>, where Spengler claims cross cultural comparison is impossible and then proceeds to develop a methodology of exactly such comparison.</w:t>
      </w:r>
    </w:p>
  </w:footnote>
  <w:footnote w:id="15">
    <w:p w14:paraId="0FB4E344" w14:textId="51B22641" w:rsidR="00551FA6" w:rsidRPr="00551FA6" w:rsidRDefault="00551FA6">
      <w:pPr>
        <w:pStyle w:val="FootnoteText"/>
      </w:pPr>
      <w:r>
        <w:rPr>
          <w:rStyle w:val="FootnoteReference"/>
        </w:rPr>
        <w:footnoteRef/>
      </w:r>
      <w:r>
        <w:t xml:space="preserve"> </w:t>
      </w:r>
      <w:r w:rsidRPr="00000CC8">
        <w:rPr>
          <w:rFonts w:ascii="Garamond" w:hAnsi="Garamond"/>
          <w:i/>
          <w:iCs/>
        </w:rPr>
        <w:t xml:space="preserve">Decline </w:t>
      </w:r>
      <w:r w:rsidRPr="00000CC8">
        <w:rPr>
          <w:rFonts w:ascii="Garamond" w:hAnsi="Garamond"/>
        </w:rPr>
        <w:t>117</w:t>
      </w:r>
    </w:p>
  </w:footnote>
  <w:footnote w:id="16">
    <w:p w14:paraId="4E249166" w14:textId="752E3A3B" w:rsidR="00D9481B" w:rsidRDefault="00D9481B">
      <w:pPr>
        <w:pStyle w:val="FootnoteText"/>
      </w:pPr>
      <w:r w:rsidRPr="00DF4688">
        <w:rPr>
          <w:rStyle w:val="FootnoteReference"/>
          <w:rFonts w:ascii="Garamond" w:hAnsi="Garamond" w:cs="Calibri"/>
        </w:rPr>
        <w:footnoteRef/>
      </w:r>
      <w:r w:rsidRPr="00DF4688">
        <w:rPr>
          <w:rFonts w:ascii="Garamond" w:hAnsi="Garamond" w:cs="Calibri"/>
        </w:rPr>
        <w:t xml:space="preserve"> </w:t>
      </w:r>
      <w:r w:rsidR="00A408CB">
        <w:rPr>
          <w:rFonts w:ascii="Garamond" w:hAnsi="Garamond" w:cs="Calibri"/>
          <w:i/>
          <w:iCs/>
          <w:shd w:val="clear" w:color="auto" w:fill="FFFFFF"/>
        </w:rPr>
        <w:t xml:space="preserve">Decline </w:t>
      </w:r>
      <w:r w:rsidRPr="00DF4688">
        <w:rPr>
          <w:rFonts w:ascii="Garamond" w:hAnsi="Garamond" w:cs="Calibri"/>
        </w:rPr>
        <w:t>120</w:t>
      </w:r>
    </w:p>
  </w:footnote>
  <w:footnote w:id="17">
    <w:p w14:paraId="76A5837A" w14:textId="77777777" w:rsidR="000C020A" w:rsidRPr="004D4D35" w:rsidRDefault="000C020A" w:rsidP="000C020A">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proofErr w:type="spellStart"/>
      <w:r w:rsidRPr="004D4D35">
        <w:rPr>
          <w:rFonts w:ascii="Garamond" w:hAnsi="Garamond"/>
          <w:i/>
          <w:iCs/>
        </w:rPr>
        <w:t>Kausalitätsprinzip</w:t>
      </w:r>
      <w:proofErr w:type="spellEnd"/>
    </w:p>
  </w:footnote>
  <w:footnote w:id="18">
    <w:p w14:paraId="1E6B15DF" w14:textId="77777777" w:rsidR="000C020A" w:rsidRPr="004D4D35" w:rsidRDefault="000C020A" w:rsidP="000C020A">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i/>
          <w:iCs/>
        </w:rPr>
        <w:t xml:space="preserve">Crisis </w:t>
      </w:r>
      <w:r w:rsidRPr="004D4D35">
        <w:rPr>
          <w:rFonts w:ascii="Garamond" w:hAnsi="Garamond"/>
        </w:rPr>
        <w:t>25</w:t>
      </w:r>
    </w:p>
  </w:footnote>
  <w:footnote w:id="19">
    <w:p w14:paraId="0D32C962" w14:textId="6E389E35" w:rsidR="000C020A" w:rsidRPr="004D4D35" w:rsidRDefault="000C020A" w:rsidP="000C020A">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00000CC8">
        <w:rPr>
          <w:rFonts w:ascii="Garamond" w:hAnsi="Garamond"/>
          <w:i/>
          <w:iCs/>
        </w:rPr>
        <w:t xml:space="preserve">Decline </w:t>
      </w:r>
      <w:r w:rsidRPr="004D4D35">
        <w:rPr>
          <w:rFonts w:ascii="Garamond" w:hAnsi="Garamond"/>
        </w:rPr>
        <w:t>126</w:t>
      </w:r>
    </w:p>
  </w:footnote>
  <w:footnote w:id="20">
    <w:p w14:paraId="5308C26E" w14:textId="108BDF90" w:rsidR="003A33C0" w:rsidRDefault="003A33C0">
      <w:pPr>
        <w:pStyle w:val="FootnoteText"/>
      </w:pPr>
      <w:r>
        <w:rPr>
          <w:rStyle w:val="FootnoteReference"/>
        </w:rPr>
        <w:footnoteRef/>
      </w:r>
      <w:r>
        <w:t xml:space="preserve"> </w:t>
      </w:r>
      <w:proofErr w:type="spellStart"/>
      <w:r w:rsidRPr="00C34890">
        <w:rPr>
          <w:rFonts w:ascii="Garamond" w:hAnsi="Garamond"/>
          <w:i/>
          <w:iCs/>
        </w:rPr>
        <w:t>Gegenbegriff</w:t>
      </w:r>
      <w:proofErr w:type="spellEnd"/>
    </w:p>
  </w:footnote>
  <w:footnote w:id="21">
    <w:p w14:paraId="70645F02" w14:textId="1D0A7BD9" w:rsidR="000C020A" w:rsidRPr="00C35C03" w:rsidRDefault="000C020A" w:rsidP="000C020A">
      <w:pPr>
        <w:pStyle w:val="FootnoteText"/>
      </w:pPr>
      <w:r w:rsidRPr="004D4D35">
        <w:rPr>
          <w:rStyle w:val="FootnoteReference"/>
          <w:rFonts w:ascii="Garamond" w:hAnsi="Garamond"/>
        </w:rPr>
        <w:footnoteRef/>
      </w:r>
      <w:r w:rsidRPr="004D4D35">
        <w:rPr>
          <w:rFonts w:ascii="Garamond" w:hAnsi="Garamond"/>
        </w:rPr>
        <w:t xml:space="preserve"> </w:t>
      </w:r>
      <w:r w:rsidR="00000CC8">
        <w:rPr>
          <w:rFonts w:ascii="Garamond" w:hAnsi="Garamond"/>
          <w:i/>
          <w:iCs/>
        </w:rPr>
        <w:t xml:space="preserve">Decline </w:t>
      </w:r>
      <w:r w:rsidRPr="004D4D35">
        <w:rPr>
          <w:rFonts w:ascii="Garamond" w:hAnsi="Garamond"/>
        </w:rPr>
        <w:t>126</w:t>
      </w:r>
    </w:p>
  </w:footnote>
  <w:footnote w:id="22">
    <w:p w14:paraId="5DF806A7" w14:textId="77777777" w:rsidR="000C020A" w:rsidRPr="004D4D35" w:rsidRDefault="000C020A" w:rsidP="000C020A">
      <w:pPr>
        <w:rPr>
          <w:rFonts w:ascii="Garamond" w:hAnsi="Garamond" w:cstheme="minorHAnsi"/>
          <w:shd w:val="clear" w:color="auto" w:fill="FFFFFF"/>
        </w:rPr>
      </w:pPr>
      <w:r w:rsidRPr="004D4D35">
        <w:rPr>
          <w:rStyle w:val="FootnoteReference"/>
          <w:rFonts w:ascii="Garamond" w:eastAsiaTheme="majorEastAsia" w:hAnsi="Garamond"/>
        </w:rPr>
        <w:footnoteRef/>
      </w:r>
      <w:r w:rsidRPr="004D4D35">
        <w:rPr>
          <w:rFonts w:ascii="Garamond" w:hAnsi="Garamond"/>
        </w:rPr>
        <w:t xml:space="preserve"> </w:t>
      </w:r>
      <w:r w:rsidRPr="004D4D35">
        <w:rPr>
          <w:rFonts w:ascii="Garamond" w:hAnsi="Garamond" w:cstheme="minorHAnsi"/>
          <w:sz w:val="20"/>
          <w:szCs w:val="20"/>
          <w:shd w:val="clear" w:color="auto" w:fill="FFFFFF"/>
        </w:rPr>
        <w:t>Kant, Immanuel. </w:t>
      </w:r>
      <w:r w:rsidRPr="004D4D35">
        <w:rPr>
          <w:rFonts w:ascii="Garamond" w:hAnsi="Garamond" w:cstheme="minorHAnsi"/>
          <w:i/>
          <w:iCs/>
          <w:sz w:val="20"/>
          <w:szCs w:val="20"/>
          <w:shd w:val="clear" w:color="auto" w:fill="FFFFFF"/>
        </w:rPr>
        <w:t>Critique of Pure Reason</w:t>
      </w:r>
      <w:r w:rsidRPr="004D4D35">
        <w:rPr>
          <w:rFonts w:ascii="Garamond" w:hAnsi="Garamond" w:cstheme="minorHAnsi"/>
          <w:sz w:val="20"/>
          <w:szCs w:val="20"/>
          <w:shd w:val="clear" w:color="auto" w:fill="FFFFFF"/>
        </w:rPr>
        <w:t xml:space="preserve">. Edited by Paul Guyer and Allen W. Wood. Cambridge: Cambridge University Press, 1998. </w:t>
      </w:r>
      <w:r w:rsidRPr="004D4D35">
        <w:rPr>
          <w:rFonts w:ascii="Garamond" w:hAnsi="Garamond" w:cstheme="minorHAnsi"/>
          <w:sz w:val="20"/>
          <w:szCs w:val="20"/>
        </w:rPr>
        <w:t>A176</w:t>
      </w:r>
    </w:p>
  </w:footnote>
  <w:footnote w:id="23">
    <w:p w14:paraId="07AF82A5" w14:textId="10974A73" w:rsidR="00CF2BD7" w:rsidRPr="00CF2BD7" w:rsidRDefault="00CF2BD7">
      <w:pPr>
        <w:pStyle w:val="FootnoteText"/>
        <w:rPr>
          <w:rFonts w:ascii="Garamond" w:hAnsi="Garamond"/>
        </w:rPr>
      </w:pPr>
      <w:r>
        <w:rPr>
          <w:rStyle w:val="FootnoteReference"/>
        </w:rPr>
        <w:footnoteRef/>
      </w:r>
      <w:r>
        <w:t xml:space="preserve"> </w:t>
      </w:r>
      <w:proofErr w:type="spellStart"/>
      <w:r w:rsidRPr="00CF2BD7">
        <w:rPr>
          <w:rFonts w:ascii="Garamond" w:hAnsi="Garamond"/>
          <w:shd w:val="clear" w:color="auto" w:fill="FFFFFF"/>
        </w:rPr>
        <w:t>Swer</w:t>
      </w:r>
      <w:proofErr w:type="spellEnd"/>
      <w:r w:rsidRPr="00CF2BD7">
        <w:rPr>
          <w:rFonts w:ascii="Garamond" w:hAnsi="Garamond"/>
          <w:shd w:val="clear" w:color="auto" w:fill="FFFFFF"/>
        </w:rPr>
        <w:t>, Gregory Morgan. “Arguments with Fictional Philosophers: Spengler’s Kant and the Conceptual Foundations of Spengler’s Early Philosophy of History.” </w:t>
      </w:r>
      <w:r w:rsidRPr="00CF2BD7">
        <w:rPr>
          <w:rFonts w:ascii="Garamond" w:hAnsi="Garamond"/>
          <w:i/>
          <w:iCs/>
          <w:shd w:val="clear" w:color="auto" w:fill="FFFFFF"/>
        </w:rPr>
        <w:t xml:space="preserve">History of the </w:t>
      </w:r>
      <w:r>
        <w:rPr>
          <w:rFonts w:ascii="Garamond" w:hAnsi="Garamond"/>
          <w:i/>
          <w:iCs/>
          <w:shd w:val="clear" w:color="auto" w:fill="FFFFFF"/>
        </w:rPr>
        <w:t>H</w:t>
      </w:r>
      <w:r w:rsidRPr="00CF2BD7">
        <w:rPr>
          <w:rFonts w:ascii="Garamond" w:hAnsi="Garamond"/>
          <w:i/>
          <w:iCs/>
          <w:shd w:val="clear" w:color="auto" w:fill="FFFFFF"/>
        </w:rPr>
        <w:t xml:space="preserve">uman </w:t>
      </w:r>
      <w:r>
        <w:rPr>
          <w:rFonts w:ascii="Garamond" w:hAnsi="Garamond"/>
          <w:i/>
          <w:iCs/>
          <w:shd w:val="clear" w:color="auto" w:fill="FFFFFF"/>
        </w:rPr>
        <w:t>S</w:t>
      </w:r>
      <w:r w:rsidRPr="00CF2BD7">
        <w:rPr>
          <w:rFonts w:ascii="Garamond" w:hAnsi="Garamond"/>
          <w:i/>
          <w:iCs/>
          <w:shd w:val="clear" w:color="auto" w:fill="FFFFFF"/>
        </w:rPr>
        <w:t>ciences</w:t>
      </w:r>
      <w:r w:rsidRPr="00CF2BD7">
        <w:rPr>
          <w:rFonts w:ascii="Garamond" w:hAnsi="Garamond"/>
          <w:shd w:val="clear" w:color="auto" w:fill="FFFFFF"/>
        </w:rPr>
        <w:t> 36, no. 3–4 (2023): 246</w:t>
      </w:r>
    </w:p>
  </w:footnote>
  <w:footnote w:id="24">
    <w:p w14:paraId="0F240D16" w14:textId="77777777" w:rsidR="000C020A" w:rsidRPr="004D4D35" w:rsidRDefault="000C020A" w:rsidP="000C020A">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i/>
          <w:iCs/>
        </w:rPr>
        <w:t>Decline of the West</w:t>
      </w:r>
      <w:r w:rsidRPr="004D4D35">
        <w:rPr>
          <w:rFonts w:ascii="Garamond" w:hAnsi="Garamond"/>
        </w:rPr>
        <w:t xml:space="preserve"> 120</w:t>
      </w:r>
    </w:p>
  </w:footnote>
  <w:footnote w:id="25">
    <w:p w14:paraId="7516C55A" w14:textId="77777777" w:rsidR="000C020A" w:rsidRDefault="000C020A" w:rsidP="000C020A">
      <w:pPr>
        <w:pStyle w:val="FootnoteText"/>
      </w:pPr>
      <w:r>
        <w:rPr>
          <w:rStyle w:val="FootnoteReference"/>
        </w:rPr>
        <w:footnoteRef/>
      </w:r>
      <w:r>
        <w:t xml:space="preserve"> </w:t>
      </w:r>
      <w:r w:rsidRPr="007D281A">
        <w:rPr>
          <w:rFonts w:ascii="Calibri" w:hAnsi="Calibri" w:cs="Calibri"/>
          <w:spacing w:val="-5"/>
          <w:shd w:val="clear" w:color="auto" w:fill="FFFFFF"/>
        </w:rPr>
        <w:t>F</w:t>
      </w:r>
      <w:r w:rsidRPr="00DF4688">
        <w:rPr>
          <w:rFonts w:ascii="Garamond" w:hAnsi="Garamond" w:cs="Calibri"/>
          <w:spacing w:val="-5"/>
          <w:shd w:val="clear" w:color="auto" w:fill="FFFFFF"/>
        </w:rPr>
        <w:t>rye, Northrop. “‘The Decline of the West’ by Oswald Spengler.” </w:t>
      </w:r>
      <w:r w:rsidRPr="00DF4688">
        <w:rPr>
          <w:rFonts w:ascii="Garamond" w:hAnsi="Garamond" w:cs="Calibri"/>
          <w:i/>
          <w:iCs/>
          <w:spacing w:val="-5"/>
          <w:shd w:val="clear" w:color="auto" w:fill="FFFFFF"/>
        </w:rPr>
        <w:t>Daedalus</w:t>
      </w:r>
      <w:r w:rsidRPr="00DF4688">
        <w:rPr>
          <w:rFonts w:ascii="Garamond" w:hAnsi="Garamond" w:cs="Calibri"/>
          <w:spacing w:val="-5"/>
          <w:shd w:val="clear" w:color="auto" w:fill="FFFFFF"/>
        </w:rPr>
        <w:t> 103, no. 1 (1974): 5</w:t>
      </w:r>
    </w:p>
  </w:footnote>
  <w:footnote w:id="26">
    <w:p w14:paraId="1DA79F6F" w14:textId="0C2C021D" w:rsidR="001C552C" w:rsidRPr="001C552C" w:rsidRDefault="001C552C">
      <w:pPr>
        <w:pStyle w:val="FootnoteText"/>
      </w:pPr>
      <w:r>
        <w:rPr>
          <w:rStyle w:val="FootnoteReference"/>
        </w:rPr>
        <w:footnoteRef/>
      </w:r>
      <w:r>
        <w:t xml:space="preserve"> </w:t>
      </w:r>
      <w:r w:rsidRPr="00000CC8">
        <w:rPr>
          <w:rFonts w:ascii="Garamond" w:hAnsi="Garamond"/>
          <w:i/>
          <w:iCs/>
        </w:rPr>
        <w:t xml:space="preserve">Decline </w:t>
      </w:r>
      <w:r w:rsidRPr="00000CC8">
        <w:rPr>
          <w:rFonts w:ascii="Garamond" w:hAnsi="Garamond"/>
        </w:rPr>
        <w:t>58</w:t>
      </w:r>
    </w:p>
  </w:footnote>
  <w:footnote w:id="27">
    <w:p w14:paraId="06748BB2" w14:textId="0F59BF45" w:rsidR="001C552C" w:rsidRPr="001C552C" w:rsidRDefault="001C552C">
      <w:pPr>
        <w:pStyle w:val="FootnoteText"/>
      </w:pPr>
      <w:r>
        <w:rPr>
          <w:rStyle w:val="FootnoteReference"/>
        </w:rPr>
        <w:footnoteRef/>
      </w:r>
      <w:r>
        <w:t xml:space="preserve"> </w:t>
      </w:r>
      <w:r w:rsidRPr="00000CC8">
        <w:rPr>
          <w:rFonts w:ascii="Garamond" w:hAnsi="Garamond"/>
          <w:i/>
          <w:iCs/>
        </w:rPr>
        <w:t xml:space="preserve">Decline </w:t>
      </w:r>
      <w:r w:rsidRPr="00000CC8">
        <w:rPr>
          <w:rFonts w:ascii="Garamond" w:hAnsi="Garamond"/>
        </w:rPr>
        <w:t>59</w:t>
      </w:r>
    </w:p>
  </w:footnote>
  <w:footnote w:id="28">
    <w:p w14:paraId="57166B17" w14:textId="7662745F" w:rsidR="00AC43D8" w:rsidRDefault="00AC43D8">
      <w:pPr>
        <w:pStyle w:val="FootnoteText"/>
      </w:pPr>
      <w:r>
        <w:rPr>
          <w:rStyle w:val="FootnoteReference"/>
        </w:rPr>
        <w:footnoteRef/>
      </w:r>
      <w:r>
        <w:t xml:space="preserve"> </w:t>
      </w:r>
      <w:proofErr w:type="spellStart"/>
      <w:r w:rsidRPr="00AC43D8">
        <w:rPr>
          <w:rFonts w:ascii="Garamond" w:hAnsi="Garamond"/>
          <w:shd w:val="clear" w:color="auto" w:fill="FFFFFF"/>
        </w:rPr>
        <w:t>Swer</w:t>
      </w:r>
      <w:proofErr w:type="spellEnd"/>
      <w:r w:rsidRPr="00AC43D8">
        <w:rPr>
          <w:rFonts w:ascii="Garamond" w:hAnsi="Garamond"/>
          <w:shd w:val="clear" w:color="auto" w:fill="FFFFFF"/>
        </w:rPr>
        <w:t>, Gregory. “The Revolt against Reason. Oswald Spengler and Violence as Cultural Preservative.” </w:t>
      </w:r>
      <w:r w:rsidRPr="00AC43D8">
        <w:rPr>
          <w:rFonts w:ascii="Garamond" w:hAnsi="Garamond"/>
          <w:i/>
          <w:iCs/>
          <w:shd w:val="clear" w:color="auto" w:fill="FFFFFF"/>
        </w:rPr>
        <w:t>The Philosophical Journal of Conflict and Violence</w:t>
      </w:r>
      <w:r w:rsidRPr="00AC43D8">
        <w:rPr>
          <w:rFonts w:ascii="Garamond" w:hAnsi="Garamond"/>
          <w:shd w:val="clear" w:color="auto" w:fill="FFFFFF"/>
        </w:rPr>
        <w:t> 3, no. 2 (2019): 126.</w:t>
      </w:r>
    </w:p>
  </w:footnote>
  <w:footnote w:id="29">
    <w:p w14:paraId="20CC5886" w14:textId="25724BD7" w:rsidR="005E584F" w:rsidRDefault="005E584F">
      <w:pPr>
        <w:pStyle w:val="FootnoteText"/>
      </w:pPr>
      <w:r>
        <w:rPr>
          <w:rStyle w:val="FootnoteReference"/>
        </w:rPr>
        <w:footnoteRef/>
      </w:r>
      <w:r>
        <w:t xml:space="preserve"> </w:t>
      </w:r>
      <w:r w:rsidRPr="007D281A">
        <w:rPr>
          <w:rFonts w:ascii="Calibri" w:hAnsi="Calibri" w:cs="Calibri"/>
          <w:spacing w:val="-5"/>
          <w:shd w:val="clear" w:color="auto" w:fill="FFFFFF"/>
        </w:rPr>
        <w:t>F</w:t>
      </w:r>
      <w:r w:rsidRPr="00DF4688">
        <w:rPr>
          <w:rFonts w:ascii="Garamond" w:hAnsi="Garamond" w:cs="Calibri"/>
          <w:spacing w:val="-5"/>
          <w:shd w:val="clear" w:color="auto" w:fill="FFFFFF"/>
        </w:rPr>
        <w:t xml:space="preserve">rye, Northrop. “‘The Decline of the West’ by Oswald Spengler.” (1974): </w:t>
      </w:r>
      <w:r>
        <w:rPr>
          <w:rFonts w:ascii="Garamond" w:hAnsi="Garamond" w:cs="Calibri"/>
          <w:spacing w:val="-5"/>
          <w:shd w:val="clear" w:color="auto" w:fill="FFFFFF"/>
        </w:rPr>
        <w:t>2</w:t>
      </w:r>
    </w:p>
  </w:footnote>
  <w:footnote w:id="30">
    <w:p w14:paraId="69E8F448" w14:textId="7C0C20BA" w:rsidR="00551FA6" w:rsidRPr="00551FA6" w:rsidRDefault="00551FA6">
      <w:pPr>
        <w:pStyle w:val="FootnoteText"/>
      </w:pPr>
      <w:r>
        <w:rPr>
          <w:rStyle w:val="FootnoteReference"/>
        </w:rPr>
        <w:footnoteRef/>
      </w:r>
      <w:r>
        <w:t xml:space="preserve"> </w:t>
      </w:r>
      <w:r w:rsidRPr="005E584F">
        <w:rPr>
          <w:rFonts w:ascii="Garamond" w:hAnsi="Garamond"/>
          <w:i/>
          <w:iCs/>
        </w:rPr>
        <w:t xml:space="preserve">Decline </w:t>
      </w:r>
      <w:r w:rsidRPr="005E584F">
        <w:rPr>
          <w:rFonts w:ascii="Garamond" w:hAnsi="Garamond"/>
        </w:rPr>
        <w:t>129</w:t>
      </w:r>
    </w:p>
  </w:footnote>
  <w:footnote w:id="31">
    <w:p w14:paraId="535BAF82" w14:textId="1AFD40F6" w:rsidR="001C552C" w:rsidRPr="004D4D35" w:rsidRDefault="001C552C" w:rsidP="001C552C">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i/>
          <w:iCs/>
        </w:rPr>
        <w:t>Decline of The West</w:t>
      </w:r>
      <w:r w:rsidRPr="004D4D35">
        <w:rPr>
          <w:rFonts w:ascii="Garamond" w:hAnsi="Garamond"/>
        </w:rPr>
        <w:t xml:space="preserve"> 3</w:t>
      </w:r>
      <w:r w:rsidR="00DD320E">
        <w:rPr>
          <w:rFonts w:ascii="Garamond" w:hAnsi="Garamond"/>
        </w:rPr>
        <w:t xml:space="preserve">; This is not really accurate. For instance, Marx had conducted a similar attempt of predetermining history in </w:t>
      </w:r>
      <w:r w:rsidR="00DD320E">
        <w:rPr>
          <w:rFonts w:ascii="Garamond" w:hAnsi="Garamond"/>
          <w:i/>
          <w:iCs/>
        </w:rPr>
        <w:t xml:space="preserve">Das </w:t>
      </w:r>
      <w:r w:rsidR="00DD320E" w:rsidRPr="00961F6D">
        <w:rPr>
          <w:rFonts w:ascii="Garamond" w:hAnsi="Garamond"/>
          <w:i/>
          <w:iCs/>
        </w:rPr>
        <w:t>Kapital</w:t>
      </w:r>
      <w:r w:rsidR="00DD320E">
        <w:rPr>
          <w:rFonts w:ascii="Garamond" w:hAnsi="Garamond"/>
        </w:rPr>
        <w:t>.</w:t>
      </w:r>
    </w:p>
  </w:footnote>
  <w:footnote w:id="32">
    <w:p w14:paraId="20A74B74" w14:textId="6BAFC050" w:rsidR="007D281A" w:rsidRPr="00961F6D" w:rsidRDefault="007D281A" w:rsidP="007D281A">
      <w:pPr>
        <w:rPr>
          <w:rFonts w:ascii="Garamond" w:hAnsi="Garamond"/>
        </w:rPr>
      </w:pPr>
      <w:r>
        <w:rPr>
          <w:rStyle w:val="FootnoteReference"/>
        </w:rPr>
        <w:footnoteRef/>
      </w:r>
      <w:r>
        <w:t xml:space="preserve"> </w:t>
      </w:r>
      <w:r w:rsidR="00961F6D">
        <w:rPr>
          <w:rFonts w:ascii="Garamond" w:hAnsi="Garamond" w:cs="Calibri"/>
          <w:sz w:val="20"/>
          <w:szCs w:val="20"/>
        </w:rPr>
        <w:t xml:space="preserve">There is an alternate positivist reading of </w:t>
      </w:r>
      <w:r w:rsidR="00961F6D">
        <w:rPr>
          <w:rFonts w:ascii="Garamond" w:hAnsi="Garamond" w:cs="Calibri"/>
          <w:i/>
          <w:iCs/>
          <w:sz w:val="20"/>
          <w:szCs w:val="20"/>
        </w:rPr>
        <w:t xml:space="preserve">Decline </w:t>
      </w:r>
      <w:r w:rsidR="00961F6D">
        <w:rPr>
          <w:rFonts w:ascii="Garamond" w:hAnsi="Garamond" w:cs="Calibri"/>
          <w:sz w:val="20"/>
          <w:szCs w:val="20"/>
        </w:rPr>
        <w:t xml:space="preserve">as giving the objective laws for how human history seemingly must unfold in any given epoch. Differentiating this from the relativist aesthetic reading is difficult because Spengler himself seems to </w:t>
      </w:r>
      <w:r w:rsidR="009861C6">
        <w:rPr>
          <w:rFonts w:ascii="Garamond" w:hAnsi="Garamond" w:cs="Calibri"/>
          <w:sz w:val="20"/>
          <w:szCs w:val="20"/>
        </w:rPr>
        <w:t xml:space="preserve">blend </w:t>
      </w:r>
      <w:r w:rsidR="00961F6D">
        <w:rPr>
          <w:rFonts w:ascii="Garamond" w:hAnsi="Garamond" w:cs="Calibri"/>
          <w:sz w:val="20"/>
          <w:szCs w:val="20"/>
        </w:rPr>
        <w:t>both contradictory stances, speaking from</w:t>
      </w:r>
      <w:r w:rsidR="009861C6">
        <w:rPr>
          <w:rFonts w:ascii="Garamond" w:hAnsi="Garamond" w:cs="Calibri"/>
          <w:sz w:val="20"/>
          <w:szCs w:val="20"/>
        </w:rPr>
        <w:t xml:space="preserve"> subjective positionality of</w:t>
      </w:r>
      <w:r w:rsidR="00961F6D">
        <w:rPr>
          <w:rFonts w:ascii="Garamond" w:hAnsi="Garamond" w:cs="Calibri"/>
          <w:sz w:val="20"/>
          <w:szCs w:val="20"/>
        </w:rPr>
        <w:t xml:space="preserve"> the Faustian culture but prescribing to the interiority of every </w:t>
      </w:r>
      <w:r w:rsidR="009861C6">
        <w:rPr>
          <w:rFonts w:ascii="Garamond" w:hAnsi="Garamond" w:cs="Calibri"/>
          <w:sz w:val="20"/>
          <w:szCs w:val="20"/>
        </w:rPr>
        <w:t xml:space="preserve">alien </w:t>
      </w:r>
      <w:r w:rsidR="00961F6D">
        <w:rPr>
          <w:rFonts w:ascii="Garamond" w:hAnsi="Garamond" w:cs="Calibri"/>
          <w:sz w:val="20"/>
          <w:szCs w:val="20"/>
        </w:rPr>
        <w:t>culture</w:t>
      </w:r>
      <w:r w:rsidR="009861C6">
        <w:rPr>
          <w:rFonts w:ascii="Garamond" w:hAnsi="Garamond" w:cs="Calibri"/>
          <w:sz w:val="20"/>
          <w:szCs w:val="20"/>
        </w:rPr>
        <w:t xml:space="preserve"> its own determinate world-picture.</w:t>
      </w:r>
    </w:p>
    <w:p w14:paraId="1E1575CB" w14:textId="4D065298" w:rsidR="007D281A" w:rsidRDefault="007D281A">
      <w:pPr>
        <w:pStyle w:val="FootnoteText"/>
      </w:pPr>
    </w:p>
  </w:footnote>
  <w:footnote w:id="33">
    <w:p w14:paraId="7F105C53" w14:textId="77777777" w:rsidR="00315DFD" w:rsidRPr="007D281A" w:rsidRDefault="00315DFD" w:rsidP="00315DFD">
      <w:pPr>
        <w:pStyle w:val="FootnoteText"/>
        <w:rPr>
          <w:rFonts w:ascii="Calibri" w:hAnsi="Calibri" w:cs="Calibri"/>
        </w:rPr>
      </w:pPr>
      <w:r>
        <w:rPr>
          <w:rStyle w:val="FootnoteReference"/>
        </w:rPr>
        <w:footnoteRef/>
      </w:r>
      <w:r>
        <w:t xml:space="preserve"> </w:t>
      </w:r>
      <w:r w:rsidRPr="007D281A">
        <w:rPr>
          <w:rFonts w:ascii="Calibri" w:hAnsi="Calibri" w:cs="Calibri"/>
          <w:color w:val="000000"/>
          <w:spacing w:val="-5"/>
          <w:shd w:val="clear" w:color="auto" w:fill="FFFFFF"/>
        </w:rPr>
        <w:t>Frye, Northrop. “‘The Decline of the West’ by Oswald Spengler.” </w:t>
      </w:r>
      <w:r w:rsidRPr="007D281A">
        <w:rPr>
          <w:rFonts w:ascii="Calibri" w:hAnsi="Calibri" w:cs="Calibri"/>
          <w:i/>
          <w:iCs/>
          <w:color w:val="000000"/>
          <w:spacing w:val="-5"/>
          <w:shd w:val="clear" w:color="auto" w:fill="FFFFFF"/>
        </w:rPr>
        <w:t>Daedalus</w:t>
      </w:r>
      <w:r w:rsidRPr="007D281A">
        <w:rPr>
          <w:rFonts w:ascii="Calibri" w:hAnsi="Calibri" w:cs="Calibri"/>
          <w:color w:val="000000"/>
          <w:spacing w:val="-5"/>
          <w:shd w:val="clear" w:color="auto" w:fill="FFFFFF"/>
        </w:rPr>
        <w:t> 103, no. 1 (1974): 3</w:t>
      </w:r>
    </w:p>
  </w:footnote>
  <w:footnote w:id="34">
    <w:p w14:paraId="31B2C58A" w14:textId="77777777" w:rsidR="00315DFD" w:rsidRPr="007D281A" w:rsidRDefault="00315DFD" w:rsidP="00315DFD">
      <w:pPr>
        <w:pStyle w:val="FootnoteText"/>
        <w:rPr>
          <w:rFonts w:ascii="Calibri" w:hAnsi="Calibri" w:cs="Calibri"/>
        </w:rPr>
      </w:pPr>
      <w:r w:rsidRPr="007D281A">
        <w:rPr>
          <w:rStyle w:val="FootnoteReference"/>
          <w:rFonts w:ascii="Calibri" w:hAnsi="Calibri" w:cs="Calibri"/>
        </w:rPr>
        <w:footnoteRef/>
      </w:r>
      <w:r w:rsidRPr="007D281A">
        <w:rPr>
          <w:rFonts w:ascii="Calibri" w:hAnsi="Calibri" w:cs="Calibri"/>
        </w:rPr>
        <w:t xml:space="preserve"> </w:t>
      </w:r>
      <w:r w:rsidRPr="007D281A">
        <w:rPr>
          <w:rFonts w:ascii="Calibri" w:hAnsi="Calibri" w:cs="Calibri"/>
          <w:i/>
          <w:iCs/>
        </w:rPr>
        <w:t>Decline of The West</w:t>
      </w:r>
      <w:r w:rsidRPr="007D281A">
        <w:rPr>
          <w:rFonts w:ascii="Calibri" w:hAnsi="Calibri" w:cs="Calibri"/>
        </w:rPr>
        <w:t xml:space="preserve"> 31</w:t>
      </w:r>
    </w:p>
  </w:footnote>
  <w:footnote w:id="35">
    <w:p w14:paraId="6C1EE57E" w14:textId="77777777" w:rsidR="00315DFD" w:rsidRPr="007D281A" w:rsidRDefault="00315DFD" w:rsidP="00315DFD">
      <w:pPr>
        <w:pStyle w:val="FootnoteText"/>
        <w:rPr>
          <w:rFonts w:ascii="Calibri" w:hAnsi="Calibri" w:cs="Calibri"/>
        </w:rPr>
      </w:pPr>
      <w:r w:rsidRPr="007D281A">
        <w:rPr>
          <w:rStyle w:val="FootnoteReference"/>
          <w:rFonts w:ascii="Calibri" w:hAnsi="Calibri" w:cs="Calibri"/>
        </w:rPr>
        <w:footnoteRef/>
      </w:r>
      <w:r w:rsidRPr="007D281A">
        <w:rPr>
          <w:rFonts w:ascii="Calibri" w:hAnsi="Calibri" w:cs="Calibri"/>
        </w:rPr>
        <w:t xml:space="preserve"> </w:t>
      </w:r>
      <w:r w:rsidRPr="007D281A">
        <w:rPr>
          <w:rFonts w:ascii="Calibri" w:hAnsi="Calibri" w:cs="Calibri"/>
          <w:i/>
          <w:iCs/>
        </w:rPr>
        <w:t xml:space="preserve">Decline of The West </w:t>
      </w:r>
      <w:r w:rsidRPr="007D281A">
        <w:rPr>
          <w:rFonts w:ascii="Calibri" w:hAnsi="Calibri" w:cs="Calibri"/>
        </w:rPr>
        <w:t>118</w:t>
      </w:r>
    </w:p>
  </w:footnote>
  <w:footnote w:id="36">
    <w:p w14:paraId="7857039D" w14:textId="77777777" w:rsidR="00315DFD" w:rsidRPr="007D281A" w:rsidRDefault="00315DFD" w:rsidP="00315DFD">
      <w:pPr>
        <w:pStyle w:val="FootnoteText"/>
        <w:rPr>
          <w:rFonts w:ascii="Calibri" w:hAnsi="Calibri" w:cs="Calibri"/>
        </w:rPr>
      </w:pPr>
      <w:r w:rsidRPr="007D281A">
        <w:rPr>
          <w:rStyle w:val="FootnoteReference"/>
          <w:rFonts w:ascii="Calibri" w:hAnsi="Calibri" w:cs="Calibri"/>
        </w:rPr>
        <w:footnoteRef/>
      </w:r>
      <w:r w:rsidRPr="007D281A">
        <w:rPr>
          <w:rFonts w:ascii="Calibri" w:hAnsi="Calibri" w:cs="Calibri"/>
        </w:rPr>
        <w:t xml:space="preserve"> </w:t>
      </w:r>
      <w:r w:rsidRPr="007D281A">
        <w:rPr>
          <w:rFonts w:ascii="Calibri" w:hAnsi="Calibri" w:cs="Calibri"/>
          <w:i/>
          <w:iCs/>
        </w:rPr>
        <w:t>Decline of The West</w:t>
      </w:r>
      <w:r w:rsidRPr="007D281A">
        <w:rPr>
          <w:rFonts w:ascii="Calibri" w:hAnsi="Calibri" w:cs="Calibri"/>
        </w:rPr>
        <w:t xml:space="preserve"> 120</w:t>
      </w:r>
    </w:p>
  </w:footnote>
  <w:footnote w:id="37">
    <w:p w14:paraId="2195944E" w14:textId="77777777" w:rsidR="00315DFD" w:rsidRPr="004D4D35" w:rsidRDefault="00315DFD" w:rsidP="00315DFD">
      <w:pPr>
        <w:pStyle w:val="FootnoteText"/>
        <w:rPr>
          <w:rFonts w:ascii="Garamond" w:hAnsi="Garamond"/>
        </w:rPr>
      </w:pPr>
      <w:r w:rsidRPr="007D281A">
        <w:rPr>
          <w:rStyle w:val="FootnoteReference"/>
          <w:rFonts w:ascii="Calibri" w:hAnsi="Calibri" w:cs="Calibri"/>
        </w:rPr>
        <w:footnoteRef/>
      </w:r>
      <w:r w:rsidRPr="007D281A">
        <w:rPr>
          <w:rFonts w:ascii="Calibri" w:hAnsi="Calibri" w:cs="Calibri"/>
        </w:rPr>
        <w:t xml:space="preserve"> </w:t>
      </w:r>
      <w:r w:rsidRPr="007D281A">
        <w:rPr>
          <w:rFonts w:ascii="Calibri" w:hAnsi="Calibri" w:cs="Calibri"/>
          <w:i/>
          <w:iCs/>
        </w:rPr>
        <w:t xml:space="preserve">Decline of The West </w:t>
      </w:r>
      <w:r w:rsidRPr="007D281A">
        <w:rPr>
          <w:rFonts w:ascii="Calibri" w:hAnsi="Calibri" w:cs="Calibri"/>
        </w:rPr>
        <w:t>123</w:t>
      </w:r>
    </w:p>
  </w:footnote>
  <w:footnote w:id="38">
    <w:p w14:paraId="546099B5" w14:textId="24034F28" w:rsidR="00CD43E9" w:rsidRDefault="00CD43E9">
      <w:pPr>
        <w:pStyle w:val="FootnoteText"/>
      </w:pPr>
      <w:r>
        <w:rPr>
          <w:rStyle w:val="FootnoteReference"/>
        </w:rPr>
        <w:footnoteRef/>
      </w:r>
      <w:r>
        <w:t xml:space="preserve"> </w:t>
      </w:r>
      <w:r w:rsidRPr="004D4D35">
        <w:rPr>
          <w:rFonts w:ascii="Garamond" w:hAnsi="Garamond" w:cstheme="minorHAnsi"/>
          <w:shd w:val="clear" w:color="auto" w:fill="FFFFFF"/>
        </w:rPr>
        <w:t>Buckley, Philip. “Phenomenology as Soteriology: Husserl and the Call for ‘</w:t>
      </w:r>
      <w:proofErr w:type="spellStart"/>
      <w:r w:rsidRPr="004D4D35">
        <w:rPr>
          <w:rFonts w:ascii="Garamond" w:hAnsi="Garamond" w:cstheme="minorHAnsi"/>
          <w:shd w:val="clear" w:color="auto" w:fill="FFFFFF"/>
        </w:rPr>
        <w:t>Erneuerung</w:t>
      </w:r>
      <w:proofErr w:type="spellEnd"/>
      <w:r w:rsidRPr="004D4D35">
        <w:rPr>
          <w:rFonts w:ascii="Garamond" w:hAnsi="Garamond" w:cstheme="minorHAnsi"/>
          <w:shd w:val="clear" w:color="auto" w:fill="FFFFFF"/>
        </w:rPr>
        <w:t>’ in the 1920s.” </w:t>
      </w:r>
      <w:r w:rsidRPr="004D4D35">
        <w:rPr>
          <w:rFonts w:ascii="Garamond" w:hAnsi="Garamond" w:cstheme="minorHAnsi"/>
          <w:i/>
          <w:iCs/>
          <w:shd w:val="clear" w:color="auto" w:fill="FFFFFF"/>
        </w:rPr>
        <w:t>Modern Theology</w:t>
      </w:r>
      <w:r w:rsidRPr="004D4D35">
        <w:rPr>
          <w:rFonts w:ascii="Garamond" w:hAnsi="Garamond" w:cstheme="minorHAnsi"/>
          <w:shd w:val="clear" w:color="auto" w:fill="FFFFFF"/>
        </w:rPr>
        <w:t> 35, no. 1 (2019): 5–22.</w:t>
      </w:r>
    </w:p>
  </w:footnote>
  <w:footnote w:id="39">
    <w:p w14:paraId="0CE796BD" w14:textId="77777777" w:rsidR="00486C97" w:rsidRDefault="00486C97" w:rsidP="00486C97">
      <w:pPr>
        <w:pStyle w:val="FootnoteText"/>
      </w:pPr>
      <w:r w:rsidRPr="004D4D35">
        <w:rPr>
          <w:rStyle w:val="FootnoteReference"/>
          <w:rFonts w:ascii="Garamond" w:hAnsi="Garamond"/>
        </w:rPr>
        <w:footnoteRef/>
      </w:r>
      <w:r w:rsidRPr="004D4D35">
        <w:rPr>
          <w:rFonts w:ascii="Garamond" w:hAnsi="Garamond"/>
        </w:rPr>
        <w:t xml:space="preserve"> </w:t>
      </w:r>
      <w:proofErr w:type="spellStart"/>
      <w:r w:rsidRPr="004D4D35">
        <w:rPr>
          <w:rFonts w:ascii="Garamond" w:hAnsi="Garamond" w:cstheme="minorHAnsi"/>
          <w:color w:val="000000"/>
          <w:spacing w:val="-5"/>
          <w:shd w:val="clear" w:color="auto" w:fill="FFFFFF"/>
        </w:rPr>
        <w:t>Carr</w:t>
      </w:r>
      <w:proofErr w:type="spellEnd"/>
      <w:r w:rsidRPr="004D4D35">
        <w:rPr>
          <w:rFonts w:ascii="Garamond" w:hAnsi="Garamond" w:cstheme="minorHAnsi"/>
          <w:color w:val="000000"/>
          <w:spacing w:val="-5"/>
          <w:shd w:val="clear" w:color="auto" w:fill="FFFFFF"/>
        </w:rPr>
        <w:t>, David. “Husserl’s Crisis and the Problem of History.” </w:t>
      </w:r>
      <w:r w:rsidRPr="004D4D35">
        <w:rPr>
          <w:rFonts w:ascii="Garamond" w:hAnsi="Garamond" w:cstheme="minorHAnsi"/>
          <w:i/>
          <w:iCs/>
          <w:color w:val="000000"/>
          <w:spacing w:val="-5"/>
          <w:shd w:val="clear" w:color="auto" w:fill="FFFFFF"/>
        </w:rPr>
        <w:t>The Southwestern Journal of Philosophy</w:t>
      </w:r>
      <w:r w:rsidRPr="004D4D35">
        <w:rPr>
          <w:rFonts w:ascii="Garamond" w:hAnsi="Garamond" w:cstheme="minorHAnsi"/>
          <w:color w:val="000000"/>
          <w:spacing w:val="-5"/>
          <w:shd w:val="clear" w:color="auto" w:fill="FFFFFF"/>
        </w:rPr>
        <w:t> 5, no. 3 (1974): 127–148.</w:t>
      </w:r>
    </w:p>
  </w:footnote>
  <w:footnote w:id="40">
    <w:p w14:paraId="2B8E8E41" w14:textId="43FFB100" w:rsidR="00486C97" w:rsidRPr="004D4D35" w:rsidRDefault="00486C97" w:rsidP="00486C97">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cstheme="minorHAnsi"/>
          <w:shd w:val="clear" w:color="auto" w:fill="FFFFFF"/>
        </w:rPr>
        <w:t>Buckley, Philip. “Phenomenology as Soteriology: Husserl and the Call for ‘</w:t>
      </w:r>
      <w:proofErr w:type="spellStart"/>
      <w:r w:rsidRPr="004D4D35">
        <w:rPr>
          <w:rFonts w:ascii="Garamond" w:hAnsi="Garamond" w:cstheme="minorHAnsi"/>
          <w:shd w:val="clear" w:color="auto" w:fill="FFFFFF"/>
        </w:rPr>
        <w:t>Erneuerung</w:t>
      </w:r>
      <w:proofErr w:type="spellEnd"/>
      <w:r w:rsidRPr="004D4D35">
        <w:rPr>
          <w:rFonts w:ascii="Garamond" w:hAnsi="Garamond" w:cstheme="minorHAnsi"/>
          <w:shd w:val="clear" w:color="auto" w:fill="FFFFFF"/>
        </w:rPr>
        <w:t>’ in the 1920s.” </w:t>
      </w:r>
      <w:r w:rsidR="00213E3E">
        <w:rPr>
          <w:rFonts w:ascii="Garamond" w:hAnsi="Garamond" w:cstheme="minorHAnsi"/>
          <w:shd w:val="clear" w:color="auto" w:fill="FFFFFF"/>
        </w:rPr>
        <w:t>(</w:t>
      </w:r>
      <w:r w:rsidRPr="004D4D35">
        <w:rPr>
          <w:rFonts w:ascii="Garamond" w:hAnsi="Garamond" w:cstheme="minorHAnsi"/>
          <w:shd w:val="clear" w:color="auto" w:fill="FFFFFF"/>
        </w:rPr>
        <w:t>2019</w:t>
      </w:r>
      <w:r w:rsidR="00213E3E">
        <w:rPr>
          <w:rFonts w:ascii="Garamond" w:hAnsi="Garamond" w:cstheme="minorHAnsi"/>
          <w:shd w:val="clear" w:color="auto" w:fill="FFFFFF"/>
        </w:rPr>
        <w:t>)</w:t>
      </w:r>
      <w:r w:rsidR="007B705B">
        <w:rPr>
          <w:rFonts w:ascii="Garamond" w:hAnsi="Garamond" w:cstheme="minorHAnsi"/>
          <w:shd w:val="clear" w:color="auto" w:fill="FFFFFF"/>
        </w:rPr>
        <w:t>.</w:t>
      </w:r>
      <w:r w:rsidRPr="004D4D35">
        <w:rPr>
          <w:rFonts w:ascii="Garamond" w:hAnsi="Garamond" w:cstheme="minorHAnsi"/>
          <w:shd w:val="clear" w:color="auto" w:fill="FFFFFF"/>
        </w:rPr>
        <w:t xml:space="preserve"> 5</w:t>
      </w:r>
    </w:p>
  </w:footnote>
  <w:footnote w:id="41">
    <w:p w14:paraId="16F412EE" w14:textId="77777777" w:rsidR="00486C97" w:rsidRPr="004D4D35" w:rsidRDefault="00486C97" w:rsidP="00486C97">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shd w:val="clear" w:color="auto" w:fill="FFFFFF"/>
        </w:rPr>
        <w:t>Husserl, Edmund. </w:t>
      </w:r>
      <w:r w:rsidRPr="004D4D35">
        <w:rPr>
          <w:rFonts w:ascii="Garamond" w:hAnsi="Garamond"/>
          <w:i/>
          <w:iCs/>
          <w:shd w:val="clear" w:color="auto" w:fill="FFFFFF"/>
        </w:rPr>
        <w:t>Shorter Works</w:t>
      </w:r>
      <w:r w:rsidRPr="004D4D35">
        <w:rPr>
          <w:rFonts w:ascii="Garamond" w:hAnsi="Garamond"/>
          <w:shd w:val="clear" w:color="auto" w:fill="FFFFFF"/>
        </w:rPr>
        <w:t xml:space="preserve">. Edited by Peter </w:t>
      </w:r>
      <w:proofErr w:type="spellStart"/>
      <w:r w:rsidRPr="004D4D35">
        <w:rPr>
          <w:rFonts w:ascii="Garamond" w:hAnsi="Garamond"/>
          <w:shd w:val="clear" w:color="auto" w:fill="FFFFFF"/>
        </w:rPr>
        <w:t>MacCormick</w:t>
      </w:r>
      <w:proofErr w:type="spellEnd"/>
      <w:r w:rsidRPr="004D4D35">
        <w:rPr>
          <w:rFonts w:ascii="Garamond" w:hAnsi="Garamond"/>
          <w:shd w:val="clear" w:color="auto" w:fill="FFFFFF"/>
        </w:rPr>
        <w:t xml:space="preserve"> and Frederick A. Elliston. Notre Dame: University of Notre Dame press, 1981. 326-331</w:t>
      </w:r>
      <w:r w:rsidRPr="004D4D35">
        <w:rPr>
          <w:rFonts w:ascii="Garamond" w:hAnsi="Garamond"/>
          <w:color w:val="3A3A3A"/>
          <w:shd w:val="clear" w:color="auto" w:fill="FFFFFF"/>
        </w:rPr>
        <w:t>;</w:t>
      </w:r>
      <w:r w:rsidRPr="004D4D35">
        <w:rPr>
          <w:rFonts w:ascii="Garamond" w:hAnsi="Garamond"/>
          <w:color w:val="3A3A3A"/>
          <w:sz w:val="23"/>
          <w:szCs w:val="23"/>
          <w:shd w:val="clear" w:color="auto" w:fill="FFFFFF"/>
        </w:rPr>
        <w:t xml:space="preserve"> </w:t>
      </w:r>
      <w:r w:rsidRPr="004D4D35">
        <w:rPr>
          <w:rFonts w:ascii="Garamond" w:hAnsi="Garamond"/>
        </w:rPr>
        <w:t>Originally published as “</w:t>
      </w:r>
      <w:proofErr w:type="spellStart"/>
      <w:r w:rsidRPr="004D4D35">
        <w:rPr>
          <w:rFonts w:ascii="Garamond" w:hAnsi="Garamond"/>
        </w:rPr>
        <w:t>Erneureung</w:t>
      </w:r>
      <w:proofErr w:type="spellEnd"/>
      <w:r w:rsidRPr="004D4D35">
        <w:rPr>
          <w:rFonts w:ascii="Garamond" w:hAnsi="Garamond"/>
        </w:rPr>
        <w:t xml:space="preserve">: </w:t>
      </w:r>
      <w:proofErr w:type="spellStart"/>
      <w:r w:rsidRPr="004D4D35">
        <w:rPr>
          <w:rFonts w:ascii="Garamond" w:hAnsi="Garamond"/>
        </w:rPr>
        <w:t>Ihr</w:t>
      </w:r>
      <w:proofErr w:type="spellEnd"/>
      <w:r w:rsidRPr="004D4D35">
        <w:rPr>
          <w:rFonts w:ascii="Garamond" w:hAnsi="Garamond"/>
        </w:rPr>
        <w:t xml:space="preserve"> </w:t>
      </w:r>
      <w:proofErr w:type="spellStart"/>
      <w:r w:rsidRPr="004D4D35">
        <w:rPr>
          <w:rFonts w:ascii="Garamond" w:hAnsi="Garamond"/>
        </w:rPr>
        <w:t>Probleme</w:t>
      </w:r>
      <w:proofErr w:type="spellEnd"/>
      <w:r w:rsidRPr="004D4D35">
        <w:rPr>
          <w:rFonts w:ascii="Garamond" w:hAnsi="Garamond"/>
        </w:rPr>
        <w:t xml:space="preserve"> und </w:t>
      </w:r>
      <w:proofErr w:type="spellStart"/>
      <w:r w:rsidRPr="004D4D35">
        <w:rPr>
          <w:rFonts w:ascii="Garamond" w:hAnsi="Garamond"/>
        </w:rPr>
        <w:t>Ihre</w:t>
      </w:r>
      <w:proofErr w:type="spellEnd"/>
      <w:r w:rsidRPr="004D4D35">
        <w:rPr>
          <w:rFonts w:ascii="Garamond" w:hAnsi="Garamond"/>
        </w:rPr>
        <w:t xml:space="preserve"> Method”.</w:t>
      </w:r>
      <w:r w:rsidRPr="004D4D35">
        <w:rPr>
          <w:rFonts w:ascii="Garamond" w:hAnsi="Garamond"/>
          <w:lang w:val="de-DE"/>
        </w:rPr>
        <w:t xml:space="preserve"> </w:t>
      </w:r>
    </w:p>
  </w:footnote>
  <w:footnote w:id="42">
    <w:p w14:paraId="637D02EA" w14:textId="6A2A0AB5" w:rsidR="00213E3E" w:rsidRPr="004D4D35" w:rsidRDefault="00213E3E" w:rsidP="00213E3E">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cstheme="minorHAnsi"/>
          <w:shd w:val="clear" w:color="auto" w:fill="FFFFFF"/>
        </w:rPr>
        <w:t>Buckley, Philip. “Phenomenology as Soteriology: Husserl and the Call for ‘</w:t>
      </w:r>
      <w:proofErr w:type="spellStart"/>
      <w:r w:rsidRPr="004D4D35">
        <w:rPr>
          <w:rFonts w:ascii="Garamond" w:hAnsi="Garamond" w:cstheme="minorHAnsi"/>
          <w:shd w:val="clear" w:color="auto" w:fill="FFFFFF"/>
        </w:rPr>
        <w:t>Erneuerung</w:t>
      </w:r>
      <w:proofErr w:type="spellEnd"/>
      <w:r w:rsidRPr="004D4D35">
        <w:rPr>
          <w:rFonts w:ascii="Garamond" w:hAnsi="Garamond" w:cstheme="minorHAnsi"/>
          <w:shd w:val="clear" w:color="auto" w:fill="FFFFFF"/>
        </w:rPr>
        <w:t>’ in the 1920s.” </w:t>
      </w:r>
      <w:r w:rsidR="007B705B">
        <w:rPr>
          <w:rFonts w:ascii="Garamond" w:hAnsi="Garamond" w:cstheme="minorHAnsi"/>
          <w:shd w:val="clear" w:color="auto" w:fill="FFFFFF"/>
        </w:rPr>
        <w:t>(</w:t>
      </w:r>
      <w:r w:rsidRPr="004D4D35">
        <w:rPr>
          <w:rFonts w:ascii="Garamond" w:hAnsi="Garamond" w:cstheme="minorHAnsi"/>
          <w:shd w:val="clear" w:color="auto" w:fill="FFFFFF"/>
        </w:rPr>
        <w:t>2019</w:t>
      </w:r>
      <w:r w:rsidR="007B705B">
        <w:rPr>
          <w:rFonts w:ascii="Garamond" w:hAnsi="Garamond" w:cstheme="minorHAnsi"/>
          <w:shd w:val="clear" w:color="auto" w:fill="FFFFFF"/>
        </w:rPr>
        <w:t>).</w:t>
      </w:r>
      <w:r w:rsidRPr="004D4D35">
        <w:rPr>
          <w:rFonts w:ascii="Garamond" w:hAnsi="Garamond" w:cstheme="minorHAnsi"/>
          <w:shd w:val="clear" w:color="auto" w:fill="FFFFFF"/>
        </w:rPr>
        <w:t xml:space="preserve"> 8</w:t>
      </w:r>
    </w:p>
  </w:footnote>
  <w:footnote w:id="43">
    <w:p w14:paraId="04C80D51" w14:textId="77777777" w:rsidR="00213E3E" w:rsidRPr="004D4D35" w:rsidRDefault="00213E3E" w:rsidP="00213E3E">
      <w:pPr>
        <w:pStyle w:val="FootnoteText"/>
        <w:rPr>
          <w:rFonts w:ascii="Garamond" w:hAnsi="Garamond"/>
          <w:i/>
          <w:iCs/>
        </w:rPr>
      </w:pPr>
      <w:r w:rsidRPr="004D4D35">
        <w:rPr>
          <w:rStyle w:val="FootnoteReference"/>
          <w:rFonts w:ascii="Garamond" w:hAnsi="Garamond"/>
        </w:rPr>
        <w:footnoteRef/>
      </w:r>
      <w:r w:rsidRPr="004D4D35">
        <w:rPr>
          <w:rFonts w:ascii="Garamond" w:hAnsi="Garamond"/>
        </w:rPr>
        <w:t xml:space="preserve"> “Vienna Lecture” in </w:t>
      </w:r>
      <w:r w:rsidRPr="004D4D35">
        <w:rPr>
          <w:rFonts w:ascii="Garamond" w:hAnsi="Garamond"/>
          <w:i/>
          <w:iCs/>
        </w:rPr>
        <w:t>Crisis</w:t>
      </w:r>
      <w:r w:rsidRPr="004D4D35">
        <w:rPr>
          <w:rFonts w:ascii="Garamond" w:hAnsi="Garamond"/>
        </w:rPr>
        <w:t>, 277</w:t>
      </w:r>
    </w:p>
  </w:footnote>
  <w:footnote w:id="44">
    <w:p w14:paraId="4E64293F" w14:textId="4747440D" w:rsidR="00213E3E" w:rsidRPr="004D4D35" w:rsidRDefault="00213E3E" w:rsidP="00213E3E">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“Vienna Lecture” in </w:t>
      </w:r>
      <w:r w:rsidRPr="004D4D35">
        <w:rPr>
          <w:rFonts w:ascii="Garamond" w:hAnsi="Garamond"/>
          <w:i/>
          <w:iCs/>
        </w:rPr>
        <w:t xml:space="preserve">Crisis, </w:t>
      </w:r>
      <w:r w:rsidRPr="004D4D35">
        <w:rPr>
          <w:rFonts w:ascii="Garamond" w:hAnsi="Garamond"/>
        </w:rPr>
        <w:t>299</w:t>
      </w:r>
      <w:r w:rsidR="001E1FE1">
        <w:rPr>
          <w:rFonts w:ascii="Garamond" w:hAnsi="Garamond"/>
        </w:rPr>
        <w:t xml:space="preserve">; There is a sense in which this is also the end of Spengler’s Faustian culture. Though I do not </w:t>
      </w:r>
      <w:r w:rsidR="00DD320E">
        <w:rPr>
          <w:rFonts w:ascii="Garamond" w:hAnsi="Garamond"/>
        </w:rPr>
        <w:t>find it</w:t>
      </w:r>
      <w:r w:rsidR="001E1FE1">
        <w:rPr>
          <w:rFonts w:ascii="Garamond" w:hAnsi="Garamond"/>
        </w:rPr>
        <w:t xml:space="preserve"> convincing, one could argue that Husserl’s view is merely an expression of the Spengler’s Faustian </w:t>
      </w:r>
      <w:proofErr w:type="gramStart"/>
      <w:r w:rsidR="001E1FE1">
        <w:rPr>
          <w:rFonts w:ascii="Garamond" w:hAnsi="Garamond"/>
        </w:rPr>
        <w:t>spirit</w:t>
      </w:r>
      <w:proofErr w:type="gramEnd"/>
      <w:r w:rsidR="001E1FE1">
        <w:rPr>
          <w:rFonts w:ascii="Garamond" w:hAnsi="Garamond"/>
        </w:rPr>
        <w:t xml:space="preserve"> and that Husserl does not really contradict Spengler in hi</w:t>
      </w:r>
      <w:r w:rsidR="00DD320E">
        <w:rPr>
          <w:rFonts w:ascii="Garamond" w:hAnsi="Garamond"/>
        </w:rPr>
        <w:t>s</w:t>
      </w:r>
      <w:r w:rsidR="001E1FE1">
        <w:rPr>
          <w:rFonts w:ascii="Garamond" w:hAnsi="Garamond"/>
        </w:rPr>
        <w:t xml:space="preserve"> description of an ideal European culture.</w:t>
      </w:r>
    </w:p>
  </w:footnote>
  <w:footnote w:id="45">
    <w:p w14:paraId="738F42E8" w14:textId="77777777" w:rsidR="00213E3E" w:rsidRPr="004D4D35" w:rsidRDefault="00213E3E" w:rsidP="00213E3E">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“Vienna Lecture” in </w:t>
      </w:r>
      <w:r w:rsidRPr="004D4D35">
        <w:rPr>
          <w:rFonts w:ascii="Garamond" w:hAnsi="Garamond"/>
          <w:i/>
          <w:iCs/>
        </w:rPr>
        <w:t>Crisis</w:t>
      </w:r>
      <w:r w:rsidRPr="004D4D35">
        <w:rPr>
          <w:rFonts w:ascii="Garamond" w:hAnsi="Garamond"/>
        </w:rPr>
        <w:t>, 299</w:t>
      </w:r>
    </w:p>
  </w:footnote>
  <w:footnote w:id="46">
    <w:p w14:paraId="5A06A322" w14:textId="77777777" w:rsidR="00213E3E" w:rsidRDefault="00213E3E" w:rsidP="00213E3E">
      <w:pPr>
        <w:pStyle w:val="FootnoteText"/>
      </w:pPr>
      <w:r w:rsidRPr="004D4D35">
        <w:rPr>
          <w:rStyle w:val="FootnoteReference"/>
          <w:rFonts w:ascii="Garamond" w:hAnsi="Garamond"/>
        </w:rPr>
        <w:footnoteRef/>
      </w:r>
      <w:r w:rsidRPr="004D4D35">
        <w:rPr>
          <w:rFonts w:ascii="Garamond" w:hAnsi="Garamond"/>
        </w:rPr>
        <w:t xml:space="preserve"> Roughly correlate to Modern Western European civilization beginning around 1000 BCE with </w:t>
      </w:r>
      <w:r>
        <w:rPr>
          <w:rFonts w:ascii="Garamond" w:hAnsi="Garamond"/>
        </w:rPr>
        <w:t>peak of the Carolingian dynasty.</w:t>
      </w:r>
    </w:p>
  </w:footnote>
  <w:footnote w:id="47">
    <w:p w14:paraId="4BAD3BEC" w14:textId="320BD278" w:rsidR="00213E3E" w:rsidRPr="004D4D35" w:rsidRDefault="00213E3E" w:rsidP="00213E3E">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This was Hegel’s</w:t>
      </w:r>
      <w:r w:rsidR="00021D62">
        <w:rPr>
          <w:rFonts w:ascii="Garamond" w:hAnsi="Garamond"/>
        </w:rPr>
        <w:t xml:space="preserve"> </w:t>
      </w:r>
      <w:r w:rsidRPr="004D4D35">
        <w:rPr>
          <w:rFonts w:ascii="Garamond" w:hAnsi="Garamond"/>
        </w:rPr>
        <w:t xml:space="preserve">discovery in the </w:t>
      </w:r>
      <w:r w:rsidRPr="004D4D35">
        <w:rPr>
          <w:rFonts w:ascii="Garamond" w:hAnsi="Garamond"/>
          <w:i/>
          <w:iCs/>
        </w:rPr>
        <w:t>Phenomenology of Spirit</w:t>
      </w:r>
      <w:r w:rsidRPr="004D4D35">
        <w:rPr>
          <w:rFonts w:ascii="Garamond" w:hAnsi="Garamond"/>
        </w:rPr>
        <w:t>, that teleology demands a circularity, and that the question of starting points becomes impossibly indeterminate</w:t>
      </w:r>
      <w:r w:rsidR="00313177">
        <w:rPr>
          <w:rFonts w:ascii="Garamond" w:hAnsi="Garamond"/>
        </w:rPr>
        <w:t xml:space="preserve">. </w:t>
      </w:r>
      <w:r w:rsidRPr="004D4D35">
        <w:rPr>
          <w:rFonts w:ascii="Garamond" w:hAnsi="Garamond"/>
        </w:rPr>
        <w:t xml:space="preserve">Introduction to the </w:t>
      </w:r>
      <w:r w:rsidRPr="004D4D35">
        <w:rPr>
          <w:rFonts w:ascii="Garamond" w:hAnsi="Garamond"/>
          <w:i/>
          <w:iCs/>
        </w:rPr>
        <w:t xml:space="preserve">Phenomenology </w:t>
      </w:r>
      <w:r w:rsidRPr="004D4D35">
        <w:rPr>
          <w:rFonts w:ascii="Garamond" w:hAnsi="Garamond"/>
        </w:rPr>
        <w:t xml:space="preserve">is solely concerned with the idea of identifying the starting point of teleological circularity. </w:t>
      </w:r>
    </w:p>
  </w:footnote>
  <w:footnote w:id="48">
    <w:p w14:paraId="4FE0AE24" w14:textId="77777777" w:rsidR="00213E3E" w:rsidRPr="004D4D35" w:rsidRDefault="00213E3E" w:rsidP="00213E3E">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“Vienna Lecture” in </w:t>
      </w:r>
      <w:r w:rsidRPr="004D4D35">
        <w:rPr>
          <w:rFonts w:ascii="Garamond" w:hAnsi="Garamond"/>
          <w:i/>
          <w:iCs/>
        </w:rPr>
        <w:t>Crisis</w:t>
      </w:r>
      <w:r w:rsidRPr="004D4D35">
        <w:rPr>
          <w:rFonts w:ascii="Garamond" w:hAnsi="Garamond"/>
        </w:rPr>
        <w:t>, 274</w:t>
      </w:r>
    </w:p>
  </w:footnote>
  <w:footnote w:id="49">
    <w:p w14:paraId="79857A02" w14:textId="77777777" w:rsidR="00213E3E" w:rsidRPr="004D4D35" w:rsidRDefault="00213E3E" w:rsidP="00213E3E">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“Vienna Lecture” in </w:t>
      </w:r>
      <w:r w:rsidRPr="004D4D35">
        <w:rPr>
          <w:rFonts w:ascii="Garamond" w:hAnsi="Garamond"/>
          <w:i/>
          <w:iCs/>
        </w:rPr>
        <w:t>Crisis,</w:t>
      </w:r>
      <w:r w:rsidRPr="004D4D35">
        <w:rPr>
          <w:rFonts w:ascii="Garamond" w:hAnsi="Garamond"/>
        </w:rPr>
        <w:t xml:space="preserve"> 285</w:t>
      </w:r>
    </w:p>
  </w:footnote>
  <w:footnote w:id="50">
    <w:p w14:paraId="10A6A441" w14:textId="77777777" w:rsidR="00213E3E" w:rsidRPr="004D4D35" w:rsidRDefault="00213E3E" w:rsidP="00213E3E">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“Vienna Lecture” in </w:t>
      </w:r>
      <w:r w:rsidRPr="004D4D35">
        <w:rPr>
          <w:rFonts w:ascii="Garamond" w:hAnsi="Garamond"/>
          <w:i/>
          <w:iCs/>
        </w:rPr>
        <w:t>Crisis,</w:t>
      </w:r>
      <w:r w:rsidRPr="004D4D35">
        <w:rPr>
          <w:rFonts w:ascii="Garamond" w:hAnsi="Garamond"/>
        </w:rPr>
        <w:t xml:space="preserve"> 290</w:t>
      </w:r>
    </w:p>
  </w:footnote>
  <w:footnote w:id="51">
    <w:p w14:paraId="63F7F8F3" w14:textId="77777777" w:rsidR="00213E3E" w:rsidRDefault="00213E3E" w:rsidP="00213E3E">
      <w:pPr>
        <w:pStyle w:val="FootnoteText"/>
      </w:pPr>
      <w:r w:rsidRPr="004D4D35">
        <w:rPr>
          <w:rStyle w:val="FootnoteReference"/>
          <w:rFonts w:ascii="Garamond" w:hAnsi="Garamond"/>
        </w:rPr>
        <w:footnoteRef/>
      </w:r>
      <w:r w:rsidRPr="004D4D35">
        <w:rPr>
          <w:rFonts w:ascii="Garamond" w:hAnsi="Garamond"/>
        </w:rPr>
        <w:t xml:space="preserve"> “Vienna Lecture” in </w:t>
      </w:r>
      <w:r w:rsidRPr="004D4D35">
        <w:rPr>
          <w:rFonts w:ascii="Garamond" w:hAnsi="Garamond"/>
          <w:i/>
          <w:iCs/>
        </w:rPr>
        <w:t>Crisis,</w:t>
      </w:r>
      <w:r w:rsidRPr="004D4D35">
        <w:rPr>
          <w:rFonts w:ascii="Garamond" w:hAnsi="Garamond"/>
        </w:rPr>
        <w:t xml:space="preserve"> 292</w:t>
      </w:r>
    </w:p>
  </w:footnote>
  <w:footnote w:id="52">
    <w:p w14:paraId="3B1669FB" w14:textId="77777777" w:rsidR="00213E3E" w:rsidRPr="004D4D35" w:rsidRDefault="00213E3E" w:rsidP="00213E3E">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i/>
          <w:iCs/>
        </w:rPr>
        <w:t>Crisis</w:t>
      </w:r>
      <w:r w:rsidRPr="004D4D35">
        <w:rPr>
          <w:rFonts w:ascii="Garamond" w:hAnsi="Garamond"/>
        </w:rPr>
        <w:t xml:space="preserve"> 23</w:t>
      </w:r>
    </w:p>
  </w:footnote>
  <w:footnote w:id="53">
    <w:p w14:paraId="65EC84A5" w14:textId="77777777" w:rsidR="00213E3E" w:rsidRPr="004D4D35" w:rsidRDefault="00213E3E" w:rsidP="00213E3E">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i/>
          <w:iCs/>
        </w:rPr>
        <w:t>Crisis</w:t>
      </w:r>
      <w:r w:rsidRPr="004D4D35">
        <w:rPr>
          <w:rFonts w:ascii="Garamond" w:hAnsi="Garamond"/>
        </w:rPr>
        <w:t xml:space="preserve"> 21</w:t>
      </w:r>
    </w:p>
  </w:footnote>
  <w:footnote w:id="54">
    <w:p w14:paraId="3DA98C34" w14:textId="77777777" w:rsidR="00213E3E" w:rsidRPr="004D4D35" w:rsidRDefault="00213E3E" w:rsidP="00213E3E">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i/>
          <w:iCs/>
        </w:rPr>
        <w:t xml:space="preserve">Crisis </w:t>
      </w:r>
      <w:r w:rsidRPr="004D4D35">
        <w:rPr>
          <w:rFonts w:ascii="Garamond" w:hAnsi="Garamond"/>
        </w:rPr>
        <w:t>48</w:t>
      </w:r>
    </w:p>
  </w:footnote>
  <w:footnote w:id="55">
    <w:p w14:paraId="1C7D923D" w14:textId="7CF69DAF" w:rsidR="00EC791C" w:rsidRPr="00DF4688" w:rsidRDefault="00EC791C" w:rsidP="00021D62">
      <w:pPr>
        <w:shd w:val="clear" w:color="auto" w:fill="FFFFFF"/>
        <w:rPr>
          <w:rFonts w:ascii="Garamond" w:hAnsi="Garamond"/>
          <w:color w:val="3A3A3A"/>
          <w:sz w:val="23"/>
          <w:szCs w:val="23"/>
        </w:rPr>
      </w:pPr>
      <w:r w:rsidRPr="00DF4688">
        <w:rPr>
          <w:rStyle w:val="FootnoteReference"/>
          <w:rFonts w:ascii="Garamond" w:hAnsi="Garamond"/>
        </w:rPr>
        <w:footnoteRef/>
      </w:r>
      <w:r w:rsidR="00D712DB">
        <w:rPr>
          <w:rFonts w:ascii="Garamond" w:hAnsi="Garamond"/>
        </w:rPr>
        <w:t xml:space="preserve"> </w:t>
      </w:r>
      <w:r w:rsidRPr="00DF4688">
        <w:rPr>
          <w:rFonts w:ascii="Garamond" w:hAnsi="Garamond"/>
          <w:sz w:val="20"/>
          <w:szCs w:val="20"/>
        </w:rPr>
        <w:t>Husserl, Edmund. </w:t>
      </w:r>
      <w:r w:rsidRPr="00DF4688">
        <w:rPr>
          <w:rFonts w:ascii="Garamond" w:hAnsi="Garamond"/>
          <w:i/>
          <w:iCs/>
          <w:sz w:val="20"/>
          <w:szCs w:val="20"/>
        </w:rPr>
        <w:t>Formal and Transcendental Logic</w:t>
      </w:r>
      <w:r w:rsidRPr="00DF4688">
        <w:rPr>
          <w:rFonts w:ascii="Garamond" w:hAnsi="Garamond"/>
          <w:sz w:val="20"/>
          <w:szCs w:val="20"/>
        </w:rPr>
        <w:t xml:space="preserve">. Translated by </w:t>
      </w:r>
      <w:proofErr w:type="spellStart"/>
      <w:r w:rsidRPr="00DF4688">
        <w:rPr>
          <w:rFonts w:ascii="Garamond" w:hAnsi="Garamond"/>
          <w:sz w:val="20"/>
          <w:szCs w:val="20"/>
        </w:rPr>
        <w:t>Dorion</w:t>
      </w:r>
      <w:proofErr w:type="spellEnd"/>
      <w:r w:rsidRPr="00DF4688">
        <w:rPr>
          <w:rFonts w:ascii="Garamond" w:hAnsi="Garamond"/>
          <w:sz w:val="20"/>
          <w:szCs w:val="20"/>
        </w:rPr>
        <w:t xml:space="preserve"> Cairns. 2e </w:t>
      </w:r>
      <w:proofErr w:type="spellStart"/>
      <w:r w:rsidRPr="00DF4688">
        <w:rPr>
          <w:rFonts w:ascii="Garamond" w:hAnsi="Garamond"/>
          <w:sz w:val="20"/>
          <w:szCs w:val="20"/>
        </w:rPr>
        <w:t>druk</w:t>
      </w:r>
      <w:proofErr w:type="spellEnd"/>
      <w:r w:rsidRPr="00DF4688">
        <w:rPr>
          <w:rFonts w:ascii="Garamond" w:hAnsi="Garamond"/>
          <w:sz w:val="20"/>
          <w:szCs w:val="20"/>
        </w:rPr>
        <w:t xml:space="preserve">. The Hague: </w:t>
      </w:r>
      <w:proofErr w:type="spellStart"/>
      <w:r w:rsidRPr="00DF4688">
        <w:rPr>
          <w:rFonts w:ascii="Garamond" w:hAnsi="Garamond"/>
          <w:sz w:val="20"/>
          <w:szCs w:val="20"/>
        </w:rPr>
        <w:t>Nijhoff</w:t>
      </w:r>
      <w:proofErr w:type="spellEnd"/>
      <w:r w:rsidRPr="00DF4688">
        <w:rPr>
          <w:rFonts w:ascii="Garamond" w:hAnsi="Garamond"/>
          <w:sz w:val="20"/>
          <w:szCs w:val="20"/>
        </w:rPr>
        <w:t>, 1978. 314</w:t>
      </w:r>
    </w:p>
  </w:footnote>
  <w:footnote w:id="56">
    <w:p w14:paraId="31BEBD3C" w14:textId="5A043761" w:rsidR="00021D62" w:rsidRPr="00DF4688" w:rsidRDefault="00021D62">
      <w:pPr>
        <w:pStyle w:val="FootnoteText"/>
        <w:rPr>
          <w:rFonts w:ascii="Garamond" w:hAnsi="Garamond"/>
        </w:rPr>
      </w:pPr>
      <w:r w:rsidRPr="00DF4688">
        <w:rPr>
          <w:rStyle w:val="FootnoteReference"/>
          <w:rFonts w:ascii="Garamond" w:hAnsi="Garamond"/>
        </w:rPr>
        <w:footnoteRef/>
      </w:r>
      <w:r w:rsidRPr="00DF4688">
        <w:rPr>
          <w:rFonts w:ascii="Garamond" w:hAnsi="Garamond"/>
        </w:rPr>
        <w:t xml:space="preserve"> Husserl, Edmund. </w:t>
      </w:r>
      <w:r w:rsidRPr="00DF4688">
        <w:rPr>
          <w:rFonts w:ascii="Garamond" w:hAnsi="Garamond"/>
          <w:i/>
          <w:iCs/>
        </w:rPr>
        <w:t>Formal and Transcendental Logic</w:t>
      </w:r>
      <w:r w:rsidRPr="00DF4688">
        <w:rPr>
          <w:rFonts w:ascii="Garamond" w:hAnsi="Garamond"/>
        </w:rPr>
        <w:t>. 1978. 316</w:t>
      </w:r>
    </w:p>
  </w:footnote>
  <w:footnote w:id="57">
    <w:p w14:paraId="677EEBF4" w14:textId="77777777" w:rsidR="00021D62" w:rsidRPr="00DF4688" w:rsidRDefault="00021D62" w:rsidP="00021D62">
      <w:pPr>
        <w:pStyle w:val="FootnoteText"/>
        <w:rPr>
          <w:rFonts w:ascii="Garamond" w:hAnsi="Garamond"/>
        </w:rPr>
      </w:pPr>
      <w:r w:rsidRPr="00DF4688">
        <w:rPr>
          <w:rStyle w:val="FootnoteReference"/>
          <w:rFonts w:ascii="Garamond" w:hAnsi="Garamond"/>
        </w:rPr>
        <w:footnoteRef/>
      </w:r>
      <w:r w:rsidRPr="00DF4688">
        <w:rPr>
          <w:rFonts w:ascii="Garamond" w:hAnsi="Garamond"/>
        </w:rPr>
        <w:t xml:space="preserve"> </w:t>
      </w:r>
      <w:r w:rsidRPr="00DF4688">
        <w:rPr>
          <w:rFonts w:ascii="Garamond" w:hAnsi="Garamond"/>
          <w:i/>
          <w:iCs/>
        </w:rPr>
        <w:t xml:space="preserve">Crisis </w:t>
      </w:r>
      <w:r w:rsidRPr="00DF4688">
        <w:rPr>
          <w:rFonts w:ascii="Garamond" w:hAnsi="Garamond"/>
        </w:rPr>
        <w:t>13</w:t>
      </w:r>
    </w:p>
  </w:footnote>
  <w:footnote w:id="58">
    <w:p w14:paraId="0B2EED4D" w14:textId="77777777" w:rsidR="00021D62" w:rsidRPr="004D4D35" w:rsidRDefault="00021D62" w:rsidP="00021D62">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r w:rsidRPr="004D4D35">
        <w:rPr>
          <w:rFonts w:ascii="Garamond" w:hAnsi="Garamond"/>
          <w:i/>
          <w:iCs/>
        </w:rPr>
        <w:t xml:space="preserve">Crisis </w:t>
      </w:r>
      <w:r w:rsidRPr="004D4D35">
        <w:rPr>
          <w:rFonts w:ascii="Garamond" w:hAnsi="Garamond"/>
        </w:rPr>
        <w:t>14</w:t>
      </w:r>
    </w:p>
  </w:footnote>
  <w:footnote w:id="59">
    <w:p w14:paraId="543B430D" w14:textId="5D1DDA4D" w:rsidR="003A33C0" w:rsidRDefault="003A33C0">
      <w:pPr>
        <w:pStyle w:val="FootnoteText"/>
      </w:pPr>
      <w:r>
        <w:rPr>
          <w:rStyle w:val="FootnoteReference"/>
        </w:rPr>
        <w:footnoteRef/>
      </w:r>
      <w:r>
        <w:t xml:space="preserve"> </w:t>
      </w:r>
      <w:r>
        <w:rPr>
          <w:rFonts w:ascii="Garamond" w:hAnsi="Garamond"/>
        </w:rPr>
        <w:t>These moments of constitution</w:t>
      </w:r>
      <w:r w:rsidR="00E54CDA">
        <w:rPr>
          <w:rFonts w:ascii="Garamond" w:hAnsi="Garamond"/>
        </w:rPr>
        <w:t>, while probably socio-political in character,</w:t>
      </w:r>
      <w:r>
        <w:rPr>
          <w:rFonts w:ascii="Garamond" w:hAnsi="Garamond"/>
        </w:rPr>
        <w:t xml:space="preserve"> </w:t>
      </w:r>
      <w:r w:rsidR="00E54CDA">
        <w:rPr>
          <w:rFonts w:ascii="Garamond" w:hAnsi="Garamond"/>
        </w:rPr>
        <w:t>remain</w:t>
      </w:r>
      <w:r>
        <w:rPr>
          <w:rFonts w:ascii="Garamond" w:hAnsi="Garamond"/>
        </w:rPr>
        <w:t xml:space="preserve"> conceptual correlates to the </w:t>
      </w:r>
      <w:r w:rsidR="00CD43E9">
        <w:rPr>
          <w:rFonts w:ascii="Garamond" w:hAnsi="Garamond"/>
        </w:rPr>
        <w:t>notion</w:t>
      </w:r>
      <w:r>
        <w:rPr>
          <w:rFonts w:ascii="Garamond" w:hAnsi="Garamond"/>
        </w:rPr>
        <w:t xml:space="preserve"> of constitution in Husserl’s logic</w:t>
      </w:r>
      <w:r w:rsidR="00E54CDA">
        <w:rPr>
          <w:rFonts w:ascii="Garamond" w:hAnsi="Garamond"/>
        </w:rPr>
        <w:t xml:space="preserve"> and therefore no different from his concept of evidence.</w:t>
      </w:r>
    </w:p>
  </w:footnote>
  <w:footnote w:id="60">
    <w:p w14:paraId="1DCBF776" w14:textId="365439B7" w:rsidR="00B072D8" w:rsidRDefault="00B072D8">
      <w:pPr>
        <w:pStyle w:val="FootnoteText"/>
      </w:pPr>
      <w:r>
        <w:rPr>
          <w:rStyle w:val="FootnoteReference"/>
        </w:rPr>
        <w:footnoteRef/>
      </w:r>
      <w:r>
        <w:t xml:space="preserve"> Note that this is directly incompatible with Spengler’s account of the Renaissance.</w:t>
      </w:r>
    </w:p>
  </w:footnote>
  <w:footnote w:id="61">
    <w:p w14:paraId="3E901C77" w14:textId="75F7E025" w:rsidR="00253417" w:rsidRDefault="00253417">
      <w:pPr>
        <w:pStyle w:val="FootnoteText"/>
      </w:pPr>
      <w:r>
        <w:rPr>
          <w:rStyle w:val="FootnoteReference"/>
        </w:rPr>
        <w:footnoteRef/>
      </w:r>
      <w:r>
        <w:t xml:space="preserve"> </w:t>
      </w:r>
      <w:r w:rsidRPr="004D4D35">
        <w:rPr>
          <w:rFonts w:ascii="Garamond" w:hAnsi="Garamond"/>
        </w:rPr>
        <w:t xml:space="preserve">See, “The Meaning of Numbers” in </w:t>
      </w:r>
      <w:r w:rsidRPr="004D4D35">
        <w:rPr>
          <w:rFonts w:ascii="Garamond" w:hAnsi="Garamond"/>
          <w:i/>
          <w:iCs/>
        </w:rPr>
        <w:t>Decline</w:t>
      </w:r>
    </w:p>
  </w:footnote>
  <w:footnote w:id="62">
    <w:p w14:paraId="7D31F556" w14:textId="71224BA0" w:rsidR="00253417" w:rsidRPr="00253417" w:rsidRDefault="00253417">
      <w:pPr>
        <w:pStyle w:val="FootnoteText"/>
      </w:pPr>
      <w:r>
        <w:rPr>
          <w:rStyle w:val="FootnoteReference"/>
        </w:rPr>
        <w:footnoteRef/>
      </w:r>
      <w:r>
        <w:t xml:space="preserve"> </w:t>
      </w:r>
      <w:r>
        <w:rPr>
          <w:i/>
          <w:iCs/>
        </w:rPr>
        <w:t xml:space="preserve">Decline </w:t>
      </w:r>
      <w:r>
        <w:t>70</w:t>
      </w:r>
    </w:p>
  </w:footnote>
  <w:footnote w:id="63">
    <w:p w14:paraId="50D77D6E" w14:textId="77777777" w:rsidR="00253417" w:rsidRPr="004D4D35" w:rsidRDefault="00253417" w:rsidP="00253417">
      <w:pPr>
        <w:pStyle w:val="FootnoteText"/>
        <w:rPr>
          <w:rFonts w:ascii="Garamond" w:hAnsi="Garamond"/>
        </w:rPr>
      </w:pPr>
      <w:r w:rsidRPr="004D4D35">
        <w:rPr>
          <w:rStyle w:val="FootnoteReference"/>
          <w:rFonts w:ascii="Garamond" w:hAnsi="Garamond"/>
        </w:rPr>
        <w:footnoteRef/>
      </w:r>
      <w:r w:rsidRPr="004D4D35">
        <w:rPr>
          <w:rFonts w:ascii="Garamond" w:hAnsi="Garamond"/>
        </w:rPr>
        <w:t xml:space="preserve"> </w:t>
      </w:r>
      <w:proofErr w:type="spellStart"/>
      <w:r w:rsidRPr="004D4D35">
        <w:rPr>
          <w:rFonts w:ascii="Garamond" w:hAnsi="Garamond" w:cstheme="minorHAnsi"/>
          <w:shd w:val="clear" w:color="auto" w:fill="FFFFFF"/>
        </w:rPr>
        <w:t>Bojanić</w:t>
      </w:r>
      <w:proofErr w:type="spellEnd"/>
      <w:r w:rsidRPr="004D4D35">
        <w:rPr>
          <w:rFonts w:ascii="Garamond" w:hAnsi="Garamond" w:cstheme="minorHAnsi"/>
          <w:shd w:val="clear" w:color="auto" w:fill="FFFFFF"/>
        </w:rPr>
        <w:t xml:space="preserve"> </w:t>
      </w:r>
      <w:proofErr w:type="spellStart"/>
      <w:r w:rsidRPr="004D4D35">
        <w:rPr>
          <w:rFonts w:ascii="Garamond" w:hAnsi="Garamond" w:cstheme="minorHAnsi"/>
          <w:shd w:val="clear" w:color="auto" w:fill="FFFFFF"/>
        </w:rPr>
        <w:t>Petar</w:t>
      </w:r>
      <w:proofErr w:type="spellEnd"/>
      <w:r w:rsidRPr="004D4D35">
        <w:rPr>
          <w:rFonts w:ascii="Garamond" w:hAnsi="Garamond" w:cstheme="minorHAnsi"/>
          <w:shd w:val="clear" w:color="auto" w:fill="FFFFFF"/>
        </w:rPr>
        <w:t>. 2022. </w:t>
      </w:r>
      <w:r w:rsidRPr="004D4D35">
        <w:rPr>
          <w:rFonts w:ascii="Garamond" w:hAnsi="Garamond" w:cstheme="minorHAnsi"/>
          <w:i/>
          <w:iCs/>
          <w:shd w:val="clear" w:color="auto" w:fill="FFFFFF"/>
        </w:rPr>
        <w:t>In-</w:t>
      </w:r>
      <w:proofErr w:type="spellStart"/>
      <w:r w:rsidRPr="004D4D35">
        <w:rPr>
          <w:rFonts w:ascii="Garamond" w:hAnsi="Garamond" w:cstheme="minorHAnsi"/>
          <w:i/>
          <w:iCs/>
          <w:shd w:val="clear" w:color="auto" w:fill="FFFFFF"/>
        </w:rPr>
        <w:t>Statuere</w:t>
      </w:r>
      <w:proofErr w:type="spellEnd"/>
      <w:r w:rsidRPr="004D4D35">
        <w:rPr>
          <w:rFonts w:ascii="Garamond" w:hAnsi="Garamond" w:cstheme="minorHAnsi"/>
          <w:i/>
          <w:iCs/>
          <w:shd w:val="clear" w:color="auto" w:fill="FFFFFF"/>
        </w:rPr>
        <w:t>: Figures of Institutional Building</w:t>
      </w:r>
      <w:r w:rsidRPr="004D4D35">
        <w:rPr>
          <w:rFonts w:ascii="Garamond" w:hAnsi="Garamond" w:cstheme="minorHAnsi"/>
          <w:shd w:val="clear" w:color="auto" w:fill="FFFFFF"/>
        </w:rPr>
        <w:t xml:space="preserve">. Frankfurt am Main: Vittorio </w:t>
      </w:r>
      <w:proofErr w:type="spellStart"/>
      <w:r w:rsidRPr="004D4D35">
        <w:rPr>
          <w:rFonts w:ascii="Garamond" w:hAnsi="Garamond" w:cstheme="minorHAnsi"/>
          <w:shd w:val="clear" w:color="auto" w:fill="FFFFFF"/>
        </w:rPr>
        <w:t>Klostermann</w:t>
      </w:r>
      <w:proofErr w:type="spellEnd"/>
      <w:r w:rsidRPr="004D4D35">
        <w:rPr>
          <w:rFonts w:ascii="Garamond" w:hAnsi="Garamond" w:cstheme="minorHAnsi"/>
          <w:shd w:val="clear" w:color="auto" w:fill="FFFFFF"/>
        </w:rPr>
        <w:t xml:space="preserve">. 113-114; As Bojanic notes, here he follows Merleau-Ponty’s comments in </w:t>
      </w:r>
      <w:proofErr w:type="spellStart"/>
      <w:r w:rsidRPr="004D4D35">
        <w:rPr>
          <w:rFonts w:ascii="Garamond" w:hAnsi="Garamond" w:cstheme="minorHAnsi"/>
          <w:i/>
          <w:iCs/>
          <w:shd w:val="clear" w:color="auto" w:fill="FFFFFF"/>
        </w:rPr>
        <w:t>L’institution</w:t>
      </w:r>
      <w:proofErr w:type="spellEnd"/>
      <w:r w:rsidRPr="004D4D35">
        <w:rPr>
          <w:rFonts w:ascii="Garamond" w:hAnsi="Garamond" w:cstheme="minorHAnsi"/>
          <w:shd w:val="clear" w:color="auto" w:fill="FFFFFF"/>
        </w:rPr>
        <w:t xml:space="preserve">. </w:t>
      </w:r>
    </w:p>
  </w:footnote>
  <w:footnote w:id="64">
    <w:p w14:paraId="47E5BC33" w14:textId="482D097B" w:rsidR="00D712DB" w:rsidRPr="00D712DB" w:rsidRDefault="00D712DB">
      <w:pPr>
        <w:pStyle w:val="FootnoteText"/>
      </w:pPr>
      <w:r>
        <w:rPr>
          <w:rStyle w:val="FootnoteReference"/>
        </w:rPr>
        <w:footnoteRef/>
      </w:r>
      <w:r>
        <w:t xml:space="preserve"> For Spengler, choice is existentially qualified </w:t>
      </w:r>
      <w:r>
        <w:rPr>
          <w:i/>
          <w:iCs/>
        </w:rPr>
        <w:t xml:space="preserve">within </w:t>
      </w:r>
      <w:r>
        <w:t>a culture. So, there is choice as to how a culture will meet its end, but not in renewal through rational re</w:t>
      </w:r>
      <w:r w:rsidR="00CD43E9">
        <w:t xml:space="preserve">construction of a morphological ideal. </w:t>
      </w:r>
      <w:r w:rsidR="00C97655">
        <w:t>This possibility of choice, present in Volume 2, stands as one of the dividing lines in Spengler’s own thought.</w:t>
      </w:r>
    </w:p>
  </w:footnote>
  <w:footnote w:id="65">
    <w:p w14:paraId="12AA413B" w14:textId="5102AB52" w:rsidR="00A50749" w:rsidRDefault="00A50749" w:rsidP="00A50749">
      <w:pPr>
        <w:pStyle w:val="FootnoteText"/>
      </w:pPr>
      <w:r w:rsidRPr="004D4D35">
        <w:rPr>
          <w:rStyle w:val="FootnoteReference"/>
          <w:rFonts w:ascii="Garamond" w:hAnsi="Garamond"/>
        </w:rPr>
        <w:footnoteRef/>
      </w:r>
      <w:r w:rsidRPr="004D4D35">
        <w:rPr>
          <w:rFonts w:ascii="Garamond" w:hAnsi="Garamond"/>
        </w:rPr>
        <w:t xml:space="preserve"> “Vienna Lecture” 299</w:t>
      </w:r>
      <w:r w:rsidR="007B705B">
        <w:rPr>
          <w:rFonts w:ascii="Garamond" w:hAnsi="Garamond"/>
        </w:rPr>
        <w:t xml:space="preserve"> </w:t>
      </w:r>
    </w:p>
  </w:footnote>
  <w:footnote w:id="66">
    <w:p w14:paraId="289535B3" w14:textId="77777777" w:rsidR="00A50749" w:rsidRPr="000E0639" w:rsidRDefault="00A50749" w:rsidP="00A50749">
      <w:pPr>
        <w:pStyle w:val="FootnoteText"/>
      </w:pPr>
      <w:r>
        <w:rPr>
          <w:rStyle w:val="FootnoteReference"/>
        </w:rPr>
        <w:footnoteRef/>
      </w:r>
      <w:r>
        <w:t xml:space="preserve"> “</w:t>
      </w:r>
      <w:r w:rsidRPr="00657F03">
        <w:rPr>
          <w:rFonts w:ascii="Garamond" w:hAnsi="Garamond"/>
        </w:rPr>
        <w:t>Vienna Lecture” 276</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4A7D65"/>
    <w:multiLevelType w:val="hybridMultilevel"/>
    <w:tmpl w:val="F482D444"/>
    <w:lvl w:ilvl="0" w:tplc="134E14CA">
      <w:start w:val="1"/>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B291758"/>
    <w:multiLevelType w:val="hybridMultilevel"/>
    <w:tmpl w:val="4E103C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86D3264"/>
    <w:multiLevelType w:val="hybridMultilevel"/>
    <w:tmpl w:val="4E103CD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664233832">
    <w:abstractNumId w:val="1"/>
  </w:num>
  <w:num w:numId="2" w16cid:durableId="1577277722">
    <w:abstractNumId w:val="2"/>
  </w:num>
  <w:num w:numId="3" w16cid:durableId="14754878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562"/>
    <w:rsid w:val="00000CC8"/>
    <w:rsid w:val="00015562"/>
    <w:rsid w:val="00021D62"/>
    <w:rsid w:val="000559F2"/>
    <w:rsid w:val="000561BF"/>
    <w:rsid w:val="00073A29"/>
    <w:rsid w:val="00091547"/>
    <w:rsid w:val="000C020A"/>
    <w:rsid w:val="00170D19"/>
    <w:rsid w:val="00184DE3"/>
    <w:rsid w:val="001C4AAC"/>
    <w:rsid w:val="001C552C"/>
    <w:rsid w:val="001E1FE1"/>
    <w:rsid w:val="001F6AD1"/>
    <w:rsid w:val="002079EB"/>
    <w:rsid w:val="00213E3E"/>
    <w:rsid w:val="0024166A"/>
    <w:rsid w:val="00253417"/>
    <w:rsid w:val="002956E8"/>
    <w:rsid w:val="002D1E23"/>
    <w:rsid w:val="00313177"/>
    <w:rsid w:val="00315DFD"/>
    <w:rsid w:val="00365C24"/>
    <w:rsid w:val="003A0833"/>
    <w:rsid w:val="003A33C0"/>
    <w:rsid w:val="003D3C02"/>
    <w:rsid w:val="003D490B"/>
    <w:rsid w:val="003F18C2"/>
    <w:rsid w:val="003F1B84"/>
    <w:rsid w:val="00406901"/>
    <w:rsid w:val="00486C97"/>
    <w:rsid w:val="00493334"/>
    <w:rsid w:val="004B54B2"/>
    <w:rsid w:val="004C0207"/>
    <w:rsid w:val="005420A1"/>
    <w:rsid w:val="00551FA6"/>
    <w:rsid w:val="005572A4"/>
    <w:rsid w:val="005B4BCB"/>
    <w:rsid w:val="005E584F"/>
    <w:rsid w:val="00657F03"/>
    <w:rsid w:val="00711083"/>
    <w:rsid w:val="00745113"/>
    <w:rsid w:val="007B705B"/>
    <w:rsid w:val="007D281A"/>
    <w:rsid w:val="007E79E5"/>
    <w:rsid w:val="008E6833"/>
    <w:rsid w:val="008F1E82"/>
    <w:rsid w:val="0093662C"/>
    <w:rsid w:val="00961F6D"/>
    <w:rsid w:val="009861C6"/>
    <w:rsid w:val="00A408CB"/>
    <w:rsid w:val="00A50749"/>
    <w:rsid w:val="00A64A80"/>
    <w:rsid w:val="00AC43D8"/>
    <w:rsid w:val="00AF5FD3"/>
    <w:rsid w:val="00B05BE1"/>
    <w:rsid w:val="00B072D8"/>
    <w:rsid w:val="00B200F2"/>
    <w:rsid w:val="00B34AE6"/>
    <w:rsid w:val="00B55915"/>
    <w:rsid w:val="00BD28A0"/>
    <w:rsid w:val="00C25481"/>
    <w:rsid w:val="00C97655"/>
    <w:rsid w:val="00CD43E9"/>
    <w:rsid w:val="00CE2597"/>
    <w:rsid w:val="00CF2BD7"/>
    <w:rsid w:val="00D712DB"/>
    <w:rsid w:val="00D9481B"/>
    <w:rsid w:val="00DC16AA"/>
    <w:rsid w:val="00DD320E"/>
    <w:rsid w:val="00DF4688"/>
    <w:rsid w:val="00E2730A"/>
    <w:rsid w:val="00E54CDA"/>
    <w:rsid w:val="00E63E5D"/>
    <w:rsid w:val="00E85223"/>
    <w:rsid w:val="00E90830"/>
    <w:rsid w:val="00EC791C"/>
    <w:rsid w:val="00FA2C3D"/>
    <w:rsid w:val="00FE68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3FD90AC9"/>
  <w15:docId w15:val="{D52829DA-4487-5C48-A497-6DACE95B9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281A"/>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01556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1556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1556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1556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1556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1556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1556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1556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1556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556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1556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1556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1556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1556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1556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1556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1556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15562"/>
    <w:rPr>
      <w:rFonts w:eastAsiaTheme="majorEastAsia" w:cstheme="majorBidi"/>
      <w:color w:val="272727" w:themeColor="text1" w:themeTint="D8"/>
    </w:rPr>
  </w:style>
  <w:style w:type="paragraph" w:styleId="Title">
    <w:name w:val="Title"/>
    <w:basedOn w:val="Normal"/>
    <w:next w:val="Normal"/>
    <w:link w:val="TitleChar"/>
    <w:uiPriority w:val="10"/>
    <w:qFormat/>
    <w:rsid w:val="0001556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556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15562"/>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1556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1556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015562"/>
    <w:rPr>
      <w:i/>
      <w:iCs/>
      <w:color w:val="404040" w:themeColor="text1" w:themeTint="BF"/>
    </w:rPr>
  </w:style>
  <w:style w:type="paragraph" w:styleId="ListParagraph">
    <w:name w:val="List Paragraph"/>
    <w:basedOn w:val="Normal"/>
    <w:uiPriority w:val="34"/>
    <w:qFormat/>
    <w:rsid w:val="00015562"/>
    <w:pPr>
      <w:ind w:left="720"/>
      <w:contextualSpacing/>
    </w:pPr>
  </w:style>
  <w:style w:type="character" w:styleId="IntenseEmphasis">
    <w:name w:val="Intense Emphasis"/>
    <w:basedOn w:val="DefaultParagraphFont"/>
    <w:uiPriority w:val="21"/>
    <w:qFormat/>
    <w:rsid w:val="00015562"/>
    <w:rPr>
      <w:i/>
      <w:iCs/>
      <w:color w:val="0F4761" w:themeColor="accent1" w:themeShade="BF"/>
    </w:rPr>
  </w:style>
  <w:style w:type="paragraph" w:styleId="IntenseQuote">
    <w:name w:val="Intense Quote"/>
    <w:basedOn w:val="Normal"/>
    <w:next w:val="Normal"/>
    <w:link w:val="IntenseQuoteChar"/>
    <w:uiPriority w:val="30"/>
    <w:qFormat/>
    <w:rsid w:val="0001556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15562"/>
    <w:rPr>
      <w:i/>
      <w:iCs/>
      <w:color w:val="0F4761" w:themeColor="accent1" w:themeShade="BF"/>
    </w:rPr>
  </w:style>
  <w:style w:type="character" w:styleId="IntenseReference">
    <w:name w:val="Intense Reference"/>
    <w:basedOn w:val="DefaultParagraphFont"/>
    <w:uiPriority w:val="32"/>
    <w:qFormat/>
    <w:rsid w:val="00015562"/>
    <w:rPr>
      <w:b/>
      <w:bCs/>
      <w:smallCaps/>
      <w:color w:val="0F4761" w:themeColor="accent1" w:themeShade="BF"/>
      <w:spacing w:val="5"/>
    </w:rPr>
  </w:style>
  <w:style w:type="paragraph" w:styleId="FootnoteText">
    <w:name w:val="footnote text"/>
    <w:basedOn w:val="Normal"/>
    <w:link w:val="FootnoteTextChar"/>
    <w:uiPriority w:val="99"/>
    <w:unhideWhenUsed/>
    <w:rsid w:val="00015562"/>
    <w:rPr>
      <w:sz w:val="20"/>
      <w:szCs w:val="20"/>
    </w:rPr>
  </w:style>
  <w:style w:type="character" w:customStyle="1" w:styleId="FootnoteTextChar">
    <w:name w:val="Footnote Text Char"/>
    <w:basedOn w:val="DefaultParagraphFont"/>
    <w:link w:val="FootnoteText"/>
    <w:uiPriority w:val="99"/>
    <w:rsid w:val="00015562"/>
    <w:rPr>
      <w:sz w:val="20"/>
      <w:szCs w:val="20"/>
    </w:rPr>
  </w:style>
  <w:style w:type="character" w:styleId="FootnoteReference">
    <w:name w:val="footnote reference"/>
    <w:basedOn w:val="DefaultParagraphFont"/>
    <w:uiPriority w:val="99"/>
    <w:semiHidden/>
    <w:unhideWhenUsed/>
    <w:rsid w:val="00015562"/>
    <w:rPr>
      <w:vertAlign w:val="superscript"/>
    </w:rPr>
  </w:style>
  <w:style w:type="character" w:styleId="CommentReference">
    <w:name w:val="annotation reference"/>
    <w:basedOn w:val="DefaultParagraphFont"/>
    <w:uiPriority w:val="99"/>
    <w:semiHidden/>
    <w:unhideWhenUsed/>
    <w:rsid w:val="00213E3E"/>
    <w:rPr>
      <w:sz w:val="16"/>
      <w:szCs w:val="16"/>
    </w:rPr>
  </w:style>
  <w:style w:type="paragraph" w:styleId="Footer">
    <w:name w:val="footer"/>
    <w:basedOn w:val="Normal"/>
    <w:link w:val="FooterChar"/>
    <w:uiPriority w:val="99"/>
    <w:unhideWhenUsed/>
    <w:rsid w:val="004C0207"/>
    <w:pPr>
      <w:tabs>
        <w:tab w:val="center" w:pos="4680"/>
        <w:tab w:val="right" w:pos="9360"/>
      </w:tabs>
    </w:pPr>
  </w:style>
  <w:style w:type="character" w:customStyle="1" w:styleId="FooterChar">
    <w:name w:val="Footer Char"/>
    <w:basedOn w:val="DefaultParagraphFont"/>
    <w:link w:val="Footer"/>
    <w:uiPriority w:val="99"/>
    <w:rsid w:val="004C0207"/>
    <w:rPr>
      <w:rFonts w:ascii="Times New Roman" w:eastAsia="Times New Roman" w:hAnsi="Times New Roman" w:cs="Times New Roman"/>
      <w:kern w:val="0"/>
      <w14:ligatures w14:val="none"/>
    </w:rPr>
  </w:style>
  <w:style w:type="character" w:styleId="PageNumber">
    <w:name w:val="page number"/>
    <w:basedOn w:val="DefaultParagraphFont"/>
    <w:uiPriority w:val="99"/>
    <w:semiHidden/>
    <w:unhideWhenUsed/>
    <w:rsid w:val="004C02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79255">
      <w:bodyDiv w:val="1"/>
      <w:marLeft w:val="0"/>
      <w:marRight w:val="0"/>
      <w:marTop w:val="0"/>
      <w:marBottom w:val="0"/>
      <w:divBdr>
        <w:top w:val="none" w:sz="0" w:space="0" w:color="auto"/>
        <w:left w:val="none" w:sz="0" w:space="0" w:color="auto"/>
        <w:bottom w:val="none" w:sz="0" w:space="0" w:color="auto"/>
        <w:right w:val="none" w:sz="0" w:space="0" w:color="auto"/>
      </w:divBdr>
      <w:divsChild>
        <w:div w:id="1565263756">
          <w:marLeft w:val="0"/>
          <w:marRight w:val="0"/>
          <w:marTop w:val="0"/>
          <w:marBottom w:val="0"/>
          <w:divBdr>
            <w:top w:val="none" w:sz="0" w:space="0" w:color="auto"/>
            <w:left w:val="none" w:sz="0" w:space="0" w:color="auto"/>
            <w:bottom w:val="none" w:sz="0" w:space="0" w:color="auto"/>
            <w:right w:val="none" w:sz="0" w:space="0" w:color="auto"/>
          </w:divBdr>
          <w:divsChild>
            <w:div w:id="533008548">
              <w:marLeft w:val="0"/>
              <w:marRight w:val="0"/>
              <w:marTop w:val="0"/>
              <w:marBottom w:val="0"/>
              <w:divBdr>
                <w:top w:val="none" w:sz="0" w:space="0" w:color="auto"/>
                <w:left w:val="none" w:sz="0" w:space="0" w:color="auto"/>
                <w:bottom w:val="none" w:sz="0" w:space="0" w:color="auto"/>
                <w:right w:val="none" w:sz="0" w:space="0" w:color="auto"/>
              </w:divBdr>
              <w:divsChild>
                <w:div w:id="467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672892">
      <w:bodyDiv w:val="1"/>
      <w:marLeft w:val="0"/>
      <w:marRight w:val="0"/>
      <w:marTop w:val="0"/>
      <w:marBottom w:val="0"/>
      <w:divBdr>
        <w:top w:val="none" w:sz="0" w:space="0" w:color="auto"/>
        <w:left w:val="none" w:sz="0" w:space="0" w:color="auto"/>
        <w:bottom w:val="none" w:sz="0" w:space="0" w:color="auto"/>
        <w:right w:val="none" w:sz="0" w:space="0" w:color="auto"/>
      </w:divBdr>
      <w:divsChild>
        <w:div w:id="1816147184">
          <w:marLeft w:val="0"/>
          <w:marRight w:val="0"/>
          <w:marTop w:val="0"/>
          <w:marBottom w:val="0"/>
          <w:divBdr>
            <w:top w:val="none" w:sz="0" w:space="0" w:color="auto"/>
            <w:left w:val="none" w:sz="0" w:space="0" w:color="auto"/>
            <w:bottom w:val="none" w:sz="0" w:space="0" w:color="auto"/>
            <w:right w:val="none" w:sz="0" w:space="0" w:color="auto"/>
          </w:divBdr>
          <w:divsChild>
            <w:div w:id="1798058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AEC8F0B4-CE79-0940-95D0-6E44591FE2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5205</Words>
  <Characters>29779</Characters>
  <Application>Microsoft Office Word</Application>
  <DocSecurity>0</DocSecurity>
  <Lines>444</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Benjamin Ogden</dc:creator>
  <cp:keywords/>
  <dc:description/>
  <cp:lastModifiedBy>Benjamin Ogden</cp:lastModifiedBy>
  <cp:revision>2</cp:revision>
  <dcterms:created xsi:type="dcterms:W3CDTF">2024-04-29T08:44:00Z</dcterms:created>
  <dcterms:modified xsi:type="dcterms:W3CDTF">2024-04-29T08:44:00Z</dcterms:modified>
</cp:coreProperties>
</file>