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692CA" w14:textId="77777777" w:rsidR="00387EDD" w:rsidRDefault="001A7A49" w:rsidP="00B827D9">
      <w:pPr>
        <w:pStyle w:val="BodyA"/>
        <w:rPr>
          <w:rFonts w:eastAsia="Baskerville Old Face" w:cs="Times New Roman"/>
          <w:b/>
          <w:bCs/>
          <w:sz w:val="36"/>
          <w:szCs w:val="36"/>
          <w:lang w:val="en-GB"/>
        </w:rPr>
      </w:pPr>
      <w:r w:rsidRPr="009C5998">
        <w:rPr>
          <w:rFonts w:eastAsia="Baskerville Old Face" w:cs="Times New Roman"/>
          <w:b/>
          <w:bCs/>
          <w:sz w:val="36"/>
          <w:szCs w:val="36"/>
          <w:lang w:val="en-GB"/>
        </w:rPr>
        <w:t>Reality In-Itself and the Ground of Causality</w:t>
      </w:r>
      <w:r w:rsidR="00387EDD">
        <w:rPr>
          <w:rFonts w:eastAsia="Baskerville Old Face" w:cs="Times New Roman"/>
          <w:b/>
          <w:bCs/>
          <w:sz w:val="36"/>
          <w:szCs w:val="36"/>
          <w:lang w:val="en-GB"/>
        </w:rPr>
        <w:t xml:space="preserve"> </w:t>
      </w:r>
    </w:p>
    <w:p w14:paraId="6607C741" w14:textId="7586BEB1" w:rsidR="00967970" w:rsidRPr="009C5998" w:rsidRDefault="00387EDD" w:rsidP="00B827D9">
      <w:pPr>
        <w:pStyle w:val="BodyA"/>
        <w:rPr>
          <w:rFonts w:eastAsia="Baskerville Old Face" w:cs="Times New Roman"/>
          <w:b/>
          <w:bCs/>
          <w:sz w:val="36"/>
          <w:szCs w:val="36"/>
          <w:lang w:val="en-GB"/>
        </w:rPr>
      </w:pPr>
      <w:r>
        <w:rPr>
          <w:rFonts w:eastAsia="Baskerville Old Face" w:cs="Times New Roman"/>
          <w:b/>
          <w:bCs/>
          <w:sz w:val="36"/>
          <w:szCs w:val="36"/>
          <w:lang w:val="en-GB"/>
        </w:rPr>
        <w:t>(</w:t>
      </w:r>
      <w:r w:rsidR="00F353E9">
        <w:rPr>
          <w:rFonts w:eastAsia="Baskerville Old Face" w:cs="Times New Roman"/>
          <w:b/>
          <w:bCs/>
          <w:sz w:val="36"/>
          <w:szCs w:val="36"/>
          <w:lang w:val="en-GB"/>
        </w:rPr>
        <w:t xml:space="preserve">UNCORRECTED </w:t>
      </w:r>
      <w:bookmarkStart w:id="0" w:name="_GoBack"/>
      <w:bookmarkEnd w:id="0"/>
      <w:r>
        <w:rPr>
          <w:rFonts w:eastAsia="Baskerville Old Face" w:cs="Times New Roman"/>
          <w:b/>
          <w:bCs/>
          <w:sz w:val="36"/>
          <w:szCs w:val="36"/>
          <w:lang w:val="en-GB"/>
        </w:rPr>
        <w:t>PRE-PRINT)</w:t>
      </w:r>
    </w:p>
    <w:p w14:paraId="155B8CE9" w14:textId="7DCA29FA" w:rsidR="00B827D9" w:rsidRDefault="00B827D9" w:rsidP="00B827D9">
      <w:pPr>
        <w:pStyle w:val="BodyA"/>
        <w:spacing w:after="240"/>
        <w:rPr>
          <w:rFonts w:eastAsia="Baskerville Old Face" w:cs="Times New Roman"/>
          <w:lang w:val="en-GB"/>
        </w:rPr>
      </w:pPr>
    </w:p>
    <w:p w14:paraId="6218CD3B" w14:textId="04E8EA41" w:rsidR="00C65EE0" w:rsidRDefault="00C65EE0" w:rsidP="00C65EE0">
      <w:pPr>
        <w:pStyle w:val="BodyA"/>
        <w:rPr>
          <w:rFonts w:eastAsia="Baskerville Old Face" w:cs="Times New Roman"/>
          <w:smallCaps/>
          <w:sz w:val="28"/>
          <w:szCs w:val="28"/>
          <w:lang w:val="en-GB"/>
        </w:rPr>
      </w:pPr>
      <w:r>
        <w:rPr>
          <w:rFonts w:eastAsia="Baskerville Old Face" w:cs="Times New Roman"/>
          <w:smallCaps/>
          <w:sz w:val="28"/>
          <w:szCs w:val="28"/>
          <w:lang w:val="en-GB"/>
        </w:rPr>
        <w:t>Christian Onof</w:t>
      </w:r>
    </w:p>
    <w:p w14:paraId="766F8046" w14:textId="45A3C810" w:rsidR="00C65EE0" w:rsidRDefault="00F0392C" w:rsidP="00C65EE0">
      <w:pPr>
        <w:pStyle w:val="BodyA"/>
        <w:rPr>
          <w:rFonts w:eastAsia="Baskerville Old Face" w:cs="Times New Roman"/>
          <w:lang w:val="en-GB"/>
        </w:rPr>
      </w:pPr>
      <w:r>
        <w:rPr>
          <w:rFonts w:eastAsia="Baskerville Old Face" w:cs="Times New Roman"/>
          <w:lang w:val="en-GB"/>
        </w:rPr>
        <w:t xml:space="preserve">Birkbeck College, </w:t>
      </w:r>
      <w:r w:rsidR="0077549A">
        <w:rPr>
          <w:rFonts w:eastAsia="Baskerville Old Face" w:cs="Times New Roman"/>
          <w:lang w:val="en-GB"/>
        </w:rPr>
        <w:t>University of London</w:t>
      </w:r>
    </w:p>
    <w:p w14:paraId="642B67EA" w14:textId="49ACF66A" w:rsidR="0077549A" w:rsidRDefault="0077549A" w:rsidP="00C65EE0">
      <w:pPr>
        <w:pStyle w:val="BodyA"/>
        <w:rPr>
          <w:lang w:val="en-GB"/>
        </w:rPr>
      </w:pPr>
      <w:r>
        <w:rPr>
          <w:rFonts w:eastAsia="Baskerville Old Face" w:cs="Times New Roman"/>
          <w:lang w:val="en-GB"/>
        </w:rPr>
        <w:t xml:space="preserve">Email: </w:t>
      </w:r>
      <w:r w:rsidR="00F0392C" w:rsidRPr="00E370D1">
        <w:rPr>
          <w:lang w:val="en-GB"/>
        </w:rPr>
        <w:t>c.onof@philosophy.bbk.ac.uk</w:t>
      </w:r>
    </w:p>
    <w:p w14:paraId="01051D78" w14:textId="7A6B260A" w:rsidR="00F0392C" w:rsidRDefault="00F0392C" w:rsidP="00C65EE0">
      <w:pPr>
        <w:pStyle w:val="BodyA"/>
        <w:rPr>
          <w:rFonts w:eastAsia="Baskerville Old Face" w:cs="Times New Roman"/>
          <w:lang w:val="en-GB"/>
        </w:rPr>
      </w:pPr>
    </w:p>
    <w:p w14:paraId="7B9F5121" w14:textId="77777777" w:rsidR="002206CC" w:rsidRPr="008E3484" w:rsidRDefault="002206CC" w:rsidP="00C65EE0">
      <w:pPr>
        <w:pStyle w:val="BodyA"/>
        <w:rPr>
          <w:rFonts w:eastAsia="Baskerville Old Face" w:cs="Times New Roman"/>
          <w:lang w:val="en-GB"/>
        </w:rPr>
      </w:pPr>
    </w:p>
    <w:p w14:paraId="5373FC3A" w14:textId="5BB5A0F4" w:rsidR="00967970" w:rsidRPr="002206CC" w:rsidRDefault="00EF67A4" w:rsidP="002206CC">
      <w:pPr>
        <w:pStyle w:val="BodyA"/>
        <w:rPr>
          <w:rFonts w:eastAsia="Baskerville Old Face" w:cs="Times New Roman"/>
          <w:b/>
          <w:sz w:val="26"/>
          <w:szCs w:val="26"/>
          <w:lang w:val="en-GB"/>
        </w:rPr>
      </w:pPr>
      <w:r w:rsidRPr="002206CC">
        <w:rPr>
          <w:rFonts w:eastAsia="Baskerville Old Face" w:cs="Times New Roman"/>
          <w:b/>
          <w:sz w:val="26"/>
          <w:szCs w:val="26"/>
          <w:lang w:val="en-GB"/>
        </w:rPr>
        <w:t>Abstract</w:t>
      </w:r>
    </w:p>
    <w:p w14:paraId="0F1ACC35" w14:textId="04E9AD0F" w:rsidR="002D1614" w:rsidRPr="009C5998" w:rsidRDefault="002D1614" w:rsidP="00A62CA0">
      <w:pPr>
        <w:pStyle w:val="BodyA"/>
        <w:spacing w:line="480" w:lineRule="auto"/>
        <w:rPr>
          <w:rFonts w:eastAsia="Baskerville Old Face" w:cs="Times New Roman"/>
          <w:lang w:val="en-GB"/>
        </w:rPr>
      </w:pPr>
      <w:bookmarkStart w:id="1" w:name="_Hlk528993861"/>
      <w:bookmarkStart w:id="2" w:name="_Hlk529623375"/>
      <w:r w:rsidRPr="009C5998">
        <w:rPr>
          <w:rFonts w:eastAsia="Baskerville Old Face" w:cs="Times New Roman"/>
          <w:lang w:val="en-GB"/>
        </w:rPr>
        <w:t xml:space="preserve">I present a metaphysical approach to the interpretation of the role of </w:t>
      </w:r>
      <w:r w:rsidR="00CA54AB">
        <w:rPr>
          <w:rFonts w:eastAsia="Baskerville Old Face" w:cs="Times New Roman"/>
          <w:lang w:val="en-GB"/>
        </w:rPr>
        <w:t>t</w:t>
      </w:r>
      <w:r w:rsidRPr="009C5998">
        <w:rPr>
          <w:rFonts w:eastAsia="Baskerville Old Face" w:cs="Times New Roman"/>
          <w:lang w:val="en-GB"/>
        </w:rPr>
        <w:t>hings-in-</w:t>
      </w:r>
      <w:r w:rsidR="00CA54AB">
        <w:rPr>
          <w:rFonts w:eastAsia="Baskerville Old Face" w:cs="Times New Roman"/>
          <w:lang w:val="en-GB"/>
        </w:rPr>
        <w:t>t</w:t>
      </w:r>
      <w:r w:rsidRPr="009C5998">
        <w:rPr>
          <w:rFonts w:eastAsia="Baskerville Old Face" w:cs="Times New Roman"/>
          <w:lang w:val="en-GB"/>
        </w:rPr>
        <w:t xml:space="preserve">hemselves in Kant’s </w:t>
      </w:r>
      <w:r w:rsidR="00310014" w:rsidRPr="009C5998">
        <w:rPr>
          <w:rFonts w:eastAsia="Baskerville Old Face" w:cs="Times New Roman"/>
          <w:lang w:val="en-GB"/>
        </w:rPr>
        <w:t>theoretical philosophy</w:t>
      </w:r>
      <w:r w:rsidRPr="009C5998">
        <w:rPr>
          <w:rFonts w:eastAsia="Baskerville Old Face" w:cs="Times New Roman"/>
          <w:lang w:val="en-GB"/>
        </w:rPr>
        <w:t xml:space="preserve">. This focuses upon identifying their transcendental function as the grounding of appearances. </w:t>
      </w:r>
      <w:r w:rsidR="00310014" w:rsidRPr="009C5998">
        <w:rPr>
          <w:rFonts w:eastAsia="Baskerville Old Face" w:cs="Times New Roman"/>
          <w:lang w:val="en-GB"/>
        </w:rPr>
        <w:t>It</w:t>
      </w:r>
      <w:r w:rsidRPr="009C5998">
        <w:rPr>
          <w:rFonts w:eastAsia="Baskerville Old Face" w:cs="Times New Roman"/>
          <w:lang w:val="en-GB"/>
        </w:rPr>
        <w:t xml:space="preserve"> is interpreted as defining the relation of appearing as the grounding of empirical causality. This leads to a type of </w:t>
      </w:r>
      <w:r w:rsidR="006E75E8">
        <w:rPr>
          <w:rFonts w:eastAsia="Baskerville Old Face" w:cs="Times New Roman"/>
          <w:lang w:val="en-GB"/>
        </w:rPr>
        <w:t>dual-</w:t>
      </w:r>
      <w:r w:rsidRPr="009C5998">
        <w:rPr>
          <w:rFonts w:eastAsia="Baskerville Old Face" w:cs="Times New Roman"/>
          <w:lang w:val="en-GB"/>
        </w:rPr>
        <w:t xml:space="preserve">aspect account that is given further support through a detailed examination of two sections of Kant’s </w:t>
      </w:r>
      <w:r w:rsidR="00656DF3">
        <w:rPr>
          <w:rFonts w:eastAsia="Baskerville Old Face" w:cs="Times New Roman"/>
          <w:lang w:val="en-GB"/>
        </w:rPr>
        <w:t>f</w:t>
      </w:r>
      <w:r w:rsidRPr="009C5998">
        <w:rPr>
          <w:rFonts w:eastAsia="Baskerville Old Face" w:cs="Times New Roman"/>
          <w:lang w:val="en-GB"/>
        </w:rPr>
        <w:t xml:space="preserve">irst </w:t>
      </w:r>
      <w:r w:rsidRPr="00656DF3">
        <w:rPr>
          <w:rFonts w:eastAsia="Baskerville Old Face" w:cs="Times New Roman"/>
          <w:i/>
          <w:lang w:val="en-GB"/>
        </w:rPr>
        <w:t>Critique</w:t>
      </w:r>
      <w:r w:rsidRPr="009C5998">
        <w:rPr>
          <w:rFonts w:eastAsia="Baskerville Old Face" w:cs="Times New Roman"/>
          <w:lang w:val="en-GB"/>
        </w:rPr>
        <w:t xml:space="preserve">. This shows </w:t>
      </w:r>
      <w:r w:rsidR="00117100" w:rsidRPr="009C5998">
        <w:rPr>
          <w:rFonts w:eastAsia="Baskerville Old Face" w:cs="Times New Roman"/>
          <w:lang w:val="en-GB"/>
        </w:rPr>
        <w:t xml:space="preserve">the need to embed </w:t>
      </w:r>
      <w:r w:rsidRPr="009C5998">
        <w:rPr>
          <w:rFonts w:eastAsia="Baskerville Old Face" w:cs="Times New Roman"/>
          <w:lang w:val="en-GB"/>
        </w:rPr>
        <w:t>this dual-aspect account within a two-perspective framework. Th</w:t>
      </w:r>
      <w:r w:rsidR="00DD441A" w:rsidRPr="009C5998">
        <w:rPr>
          <w:rFonts w:eastAsia="Baskerville Old Face" w:cs="Times New Roman"/>
          <w:lang w:val="en-GB"/>
        </w:rPr>
        <w:t>e resulting</w:t>
      </w:r>
      <w:r w:rsidRPr="009C5998">
        <w:rPr>
          <w:rFonts w:eastAsia="Baskerville Old Face" w:cs="Times New Roman"/>
          <w:lang w:val="en-GB"/>
        </w:rPr>
        <w:t xml:space="preserve"> picture is contrasted with the main rival theories and objections are addressed. </w:t>
      </w:r>
      <w:bookmarkEnd w:id="1"/>
    </w:p>
    <w:bookmarkEnd w:id="2"/>
    <w:p w14:paraId="586C2B41" w14:textId="243525EA" w:rsidR="00A767F9" w:rsidRPr="009C5998" w:rsidRDefault="00303DE7" w:rsidP="00A767F9">
      <w:pPr>
        <w:pStyle w:val="BodyA"/>
        <w:spacing w:after="240" w:line="480" w:lineRule="auto"/>
        <w:rPr>
          <w:rFonts w:eastAsia="Baskerville Old Face" w:cs="Times New Roman"/>
          <w:lang w:val="en-GB"/>
        </w:rPr>
      </w:pPr>
      <w:r w:rsidRPr="009C6F02">
        <w:rPr>
          <w:rFonts w:eastAsia="Baskerville Old Face" w:cs="Times New Roman"/>
          <w:b/>
          <w:lang w:val="en-GB"/>
        </w:rPr>
        <w:t>Keywords</w:t>
      </w:r>
      <w:r w:rsidR="00391F30">
        <w:rPr>
          <w:rFonts w:eastAsia="Baskerville Old Face" w:cs="Times New Roman"/>
          <w:b/>
          <w:lang w:val="en-GB"/>
        </w:rPr>
        <w:t xml:space="preserve">: </w:t>
      </w:r>
      <w:r w:rsidR="00391F30">
        <w:rPr>
          <w:rFonts w:eastAsia="Baskerville Old Face" w:cs="Times New Roman"/>
          <w:lang w:val="en-GB"/>
        </w:rPr>
        <w:t>t</w:t>
      </w:r>
      <w:r w:rsidRPr="009C5998">
        <w:rPr>
          <w:rFonts w:eastAsia="Baskerville Old Face" w:cs="Times New Roman"/>
          <w:lang w:val="en-GB"/>
        </w:rPr>
        <w:t>hings-in-</w:t>
      </w:r>
      <w:r w:rsidR="00391F30">
        <w:rPr>
          <w:rFonts w:eastAsia="Baskerville Old Face" w:cs="Times New Roman"/>
          <w:lang w:val="en-GB"/>
        </w:rPr>
        <w:t>t</w:t>
      </w:r>
      <w:r w:rsidRPr="009C5998">
        <w:rPr>
          <w:rFonts w:eastAsia="Baskerville Old Face" w:cs="Times New Roman"/>
          <w:lang w:val="en-GB"/>
        </w:rPr>
        <w:t xml:space="preserve">hemselves, </w:t>
      </w:r>
      <w:r w:rsidR="00391F30">
        <w:rPr>
          <w:rFonts w:eastAsia="Baskerville Old Face" w:cs="Times New Roman"/>
          <w:lang w:val="en-GB"/>
        </w:rPr>
        <w:t>n</w:t>
      </w:r>
      <w:r w:rsidRPr="009C5998">
        <w:rPr>
          <w:rFonts w:eastAsia="Baskerville Old Face" w:cs="Times New Roman"/>
          <w:lang w:val="en-GB"/>
        </w:rPr>
        <w:t xml:space="preserve">oumena, </w:t>
      </w:r>
      <w:r w:rsidR="00391F30">
        <w:rPr>
          <w:rFonts w:eastAsia="Baskerville Old Face" w:cs="Times New Roman"/>
          <w:lang w:val="en-GB"/>
        </w:rPr>
        <w:t>t</w:t>
      </w:r>
      <w:r w:rsidR="00832545" w:rsidRPr="009C5998">
        <w:rPr>
          <w:rFonts w:eastAsia="Baskerville Old Face" w:cs="Times New Roman"/>
          <w:lang w:val="en-GB"/>
        </w:rPr>
        <w:t xml:space="preserve">ranscendental </w:t>
      </w:r>
      <w:r w:rsidR="00391F30">
        <w:rPr>
          <w:rFonts w:eastAsia="Baskerville Old Face" w:cs="Times New Roman"/>
          <w:lang w:val="en-GB"/>
        </w:rPr>
        <w:t>o</w:t>
      </w:r>
      <w:r w:rsidR="00832545" w:rsidRPr="009C5998">
        <w:rPr>
          <w:rFonts w:eastAsia="Baskerville Old Face" w:cs="Times New Roman"/>
          <w:lang w:val="en-GB"/>
        </w:rPr>
        <w:t xml:space="preserve">bject, </w:t>
      </w:r>
      <w:r w:rsidR="00391F30">
        <w:rPr>
          <w:rFonts w:eastAsia="Baskerville Old Face" w:cs="Times New Roman"/>
          <w:lang w:val="en-GB"/>
        </w:rPr>
        <w:t>a</w:t>
      </w:r>
      <w:r w:rsidR="00832545" w:rsidRPr="009C5998">
        <w:rPr>
          <w:rFonts w:eastAsia="Baskerville Old Face" w:cs="Times New Roman"/>
          <w:lang w:val="en-GB"/>
        </w:rPr>
        <w:t xml:space="preserve">ffection, </w:t>
      </w:r>
      <w:r w:rsidR="00391F30">
        <w:rPr>
          <w:rFonts w:eastAsia="Baskerville Old Face" w:cs="Times New Roman"/>
          <w:lang w:val="en-GB"/>
        </w:rPr>
        <w:t>c</w:t>
      </w:r>
      <w:r w:rsidR="006454BD" w:rsidRPr="009C5998">
        <w:rPr>
          <w:rFonts w:eastAsia="Baskerville Old Face" w:cs="Times New Roman"/>
          <w:lang w:val="en-GB"/>
        </w:rPr>
        <w:t>ausality</w:t>
      </w:r>
    </w:p>
    <w:p w14:paraId="23A02154" w14:textId="6CB97F4D" w:rsidR="00967970" w:rsidRPr="009C5998" w:rsidRDefault="001A7A49"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The issue of the role of </w:t>
      </w:r>
      <w:r w:rsidR="00032161">
        <w:rPr>
          <w:rFonts w:eastAsia="Baskerville Old Face" w:cs="Times New Roman"/>
          <w:lang w:val="en-GB"/>
        </w:rPr>
        <w:t>t</w:t>
      </w:r>
      <w:r w:rsidRPr="009C5998">
        <w:rPr>
          <w:rFonts w:eastAsia="Baskerville Old Face" w:cs="Times New Roman"/>
          <w:lang w:val="en-GB"/>
        </w:rPr>
        <w:t>hings</w:t>
      </w:r>
      <w:r w:rsidR="00212583" w:rsidRPr="009C5998">
        <w:rPr>
          <w:rFonts w:eastAsia="Baskerville Old Face" w:cs="Times New Roman"/>
          <w:lang w:val="en-GB"/>
        </w:rPr>
        <w:t>-in-</w:t>
      </w:r>
      <w:r w:rsidR="00032161">
        <w:rPr>
          <w:rFonts w:eastAsia="Baskerville Old Face" w:cs="Times New Roman"/>
          <w:lang w:val="en-GB"/>
        </w:rPr>
        <w:t>t</w:t>
      </w:r>
      <w:r w:rsidRPr="009C5998">
        <w:rPr>
          <w:rFonts w:eastAsia="Baskerville Old Face" w:cs="Times New Roman"/>
          <w:lang w:val="en-GB"/>
        </w:rPr>
        <w:t xml:space="preserve">hemselves in Kant’s </w:t>
      </w:r>
      <w:r w:rsidR="00032161">
        <w:rPr>
          <w:rFonts w:eastAsia="Baskerville Old Face" w:cs="Times New Roman"/>
          <w:lang w:val="en-GB"/>
        </w:rPr>
        <w:t>t</w:t>
      </w:r>
      <w:r w:rsidR="00002562" w:rsidRPr="009C5998">
        <w:rPr>
          <w:rFonts w:eastAsia="Baskerville Old Face" w:cs="Times New Roman"/>
          <w:lang w:val="en-GB"/>
        </w:rPr>
        <w:t xml:space="preserve">ranscendental </w:t>
      </w:r>
      <w:r w:rsidR="00032161">
        <w:rPr>
          <w:rFonts w:eastAsia="Baskerville Old Face" w:cs="Times New Roman"/>
          <w:lang w:val="en-GB"/>
        </w:rPr>
        <w:t>i</w:t>
      </w:r>
      <w:r w:rsidR="00002562" w:rsidRPr="009C5998">
        <w:rPr>
          <w:rFonts w:eastAsia="Baskerville Old Face" w:cs="Times New Roman"/>
          <w:lang w:val="en-GB"/>
        </w:rPr>
        <w:t xml:space="preserve">dealism () </w:t>
      </w:r>
      <w:r w:rsidRPr="009C5998">
        <w:rPr>
          <w:rFonts w:eastAsia="Baskerville Old Face" w:cs="Times New Roman"/>
          <w:lang w:val="en-GB"/>
        </w:rPr>
        <w:t xml:space="preserve">has had a considerable historical significance, quite apart from its giving rise to ongoing controversies about the interpretation of Kant’s system. It was at the heart of German Idealism’s departure from Kant. Fichte viewed the very concept of a </w:t>
      </w:r>
      <w:r w:rsidR="00322282">
        <w:rPr>
          <w:rFonts w:eastAsia="Baskerville Old Face" w:cs="Times New Roman"/>
          <w:lang w:val="en-GB"/>
        </w:rPr>
        <w:t>t</w:t>
      </w:r>
      <w:r w:rsidRPr="009C5998">
        <w:rPr>
          <w:rFonts w:eastAsia="Baskerville Old Face" w:cs="Times New Roman"/>
          <w:lang w:val="en-GB"/>
        </w:rPr>
        <w:t>hing-in-</w:t>
      </w:r>
      <w:r w:rsidR="00322282">
        <w:rPr>
          <w:rFonts w:eastAsia="Baskerville Old Face" w:cs="Times New Roman"/>
          <w:lang w:val="en-GB"/>
        </w:rPr>
        <w:t>i</w:t>
      </w:r>
      <w:r w:rsidRPr="009C5998">
        <w:rPr>
          <w:rFonts w:eastAsia="Baskerville Old Face" w:cs="Times New Roman"/>
          <w:lang w:val="en-GB"/>
        </w:rPr>
        <w:t xml:space="preserve">tself (ThI) as unacceptable on critical grounds, amounting to a residue of dogmatism </w:t>
      </w:r>
      <w:r w:rsidR="002734BD" w:rsidRPr="009C5998">
        <w:rPr>
          <w:rFonts w:eastAsia="Baskerville Old Face" w:cs="Times New Roman"/>
          <w:lang w:val="en-GB"/>
        </w:rPr>
        <w:t xml:space="preserve">that </w:t>
      </w:r>
      <w:r w:rsidRPr="009C5998">
        <w:rPr>
          <w:rFonts w:eastAsia="Baskerville Old Face" w:cs="Times New Roman"/>
          <w:lang w:val="en-GB"/>
        </w:rPr>
        <w:t>needed to be weeded out of a saniti</w:t>
      </w:r>
      <w:r w:rsidR="00F63C87">
        <w:rPr>
          <w:rFonts w:eastAsia="Baskerville Old Face" w:cs="Times New Roman"/>
          <w:lang w:val="en-GB"/>
        </w:rPr>
        <w:t>z</w:t>
      </w:r>
      <w:r w:rsidRPr="009C5998">
        <w:rPr>
          <w:rFonts w:eastAsia="Baskerville Old Face" w:cs="Times New Roman"/>
          <w:lang w:val="en-GB"/>
        </w:rPr>
        <w:t>ed critical system, a view shared by his fellow German Idealists.</w:t>
      </w:r>
    </w:p>
    <w:p w14:paraId="512B4857" w14:textId="472C2805" w:rsidR="00967970" w:rsidRPr="009C5998" w:rsidRDefault="000B2099" w:rsidP="00A767F9">
      <w:pPr>
        <w:pStyle w:val="BodyA"/>
        <w:spacing w:after="240" w:line="480" w:lineRule="auto"/>
        <w:rPr>
          <w:rFonts w:eastAsia="Baskerville Old Face" w:cs="Times New Roman"/>
          <w:lang w:val="en-GB"/>
        </w:rPr>
      </w:pPr>
      <w:r w:rsidRPr="009C5998">
        <w:rPr>
          <w:rFonts w:eastAsia="Baskerville Old Face" w:cs="Times New Roman"/>
          <w:lang w:val="en-GB"/>
        </w:rPr>
        <w:t>Within</w:t>
      </w:r>
      <w:r w:rsidR="001A7A49" w:rsidRPr="009C5998">
        <w:rPr>
          <w:rFonts w:eastAsia="Baskerville Old Face" w:cs="Times New Roman"/>
          <w:lang w:val="en-GB"/>
        </w:rPr>
        <w:t xml:space="preserve"> Kant</w:t>
      </w:r>
      <w:r w:rsidRPr="009C5998">
        <w:rPr>
          <w:rFonts w:eastAsia="Baskerville Old Face" w:cs="Times New Roman"/>
          <w:lang w:val="en-GB"/>
        </w:rPr>
        <w:t>ian</w:t>
      </w:r>
      <w:r w:rsidR="001A7A49" w:rsidRPr="009C5998">
        <w:rPr>
          <w:rFonts w:eastAsia="Baskerville Old Face" w:cs="Times New Roman"/>
          <w:lang w:val="en-GB"/>
        </w:rPr>
        <w:t xml:space="preserve"> scholarship, the </w:t>
      </w:r>
      <w:r w:rsidRPr="009C5998">
        <w:rPr>
          <w:rFonts w:eastAsia="Baskerville Old Face" w:cs="Times New Roman"/>
          <w:lang w:val="en-GB"/>
        </w:rPr>
        <w:t>role of the ThI and its relation to appearances ha</w:t>
      </w:r>
      <w:r w:rsidR="00BA1C53">
        <w:rPr>
          <w:rFonts w:eastAsia="Baskerville Old Face" w:cs="Times New Roman"/>
          <w:lang w:val="en-GB"/>
        </w:rPr>
        <w:t>s</w:t>
      </w:r>
      <w:r w:rsidRPr="009C5998">
        <w:rPr>
          <w:rFonts w:eastAsia="Baskerville Old Face" w:cs="Times New Roman"/>
          <w:lang w:val="en-GB"/>
        </w:rPr>
        <w:t xml:space="preserve"> given rise to much controversy. Recently, </w:t>
      </w:r>
      <w:r w:rsidR="003A4702" w:rsidRPr="009C5998">
        <w:rPr>
          <w:rFonts w:eastAsia="Baskerville Old Face" w:cs="Times New Roman"/>
          <w:lang w:val="en-GB"/>
        </w:rPr>
        <w:t xml:space="preserve">the </w:t>
      </w:r>
      <w:r w:rsidR="001A7A49" w:rsidRPr="009C5998">
        <w:rPr>
          <w:rFonts w:eastAsia="Baskerville Old Face" w:cs="Times New Roman"/>
          <w:lang w:val="en-GB"/>
        </w:rPr>
        <w:t>predominance of anti-metaphysical interpretations (Prauss</w:t>
      </w:r>
      <w:r w:rsidR="00F84BC4" w:rsidRPr="009C5998">
        <w:rPr>
          <w:rFonts w:eastAsia="Baskerville Old Face" w:cs="Times New Roman"/>
          <w:lang w:val="en-GB"/>
        </w:rPr>
        <w:t xml:space="preserve"> 1974</w:t>
      </w:r>
      <w:r w:rsidR="00EC2F58">
        <w:rPr>
          <w:rFonts w:eastAsia="Baskerville Old Face" w:cs="Times New Roman"/>
          <w:lang w:val="en-GB"/>
        </w:rPr>
        <w:t>,</w:t>
      </w:r>
      <w:r w:rsidR="001A7A49" w:rsidRPr="009C5998">
        <w:rPr>
          <w:rFonts w:eastAsia="Baskerville Old Face" w:cs="Times New Roman"/>
          <w:lang w:val="en-GB"/>
        </w:rPr>
        <w:t xml:space="preserve"> Allison </w:t>
      </w:r>
      <w:r w:rsidR="00F84BC4" w:rsidRPr="009C5998">
        <w:rPr>
          <w:rFonts w:eastAsia="Baskerville Old Face" w:cs="Times New Roman"/>
          <w:lang w:val="en-GB"/>
        </w:rPr>
        <w:t>1983</w:t>
      </w:r>
      <w:r w:rsidR="00EC2F58">
        <w:rPr>
          <w:rFonts w:eastAsia="Baskerville Old Face" w:cs="Times New Roman"/>
          <w:lang w:val="en-GB"/>
        </w:rPr>
        <w:t xml:space="preserve"> and</w:t>
      </w:r>
      <w:r w:rsidR="001C423B" w:rsidRPr="009C5998">
        <w:rPr>
          <w:rFonts w:eastAsia="Baskerville Old Face" w:cs="Times New Roman"/>
          <w:lang w:val="en-GB"/>
        </w:rPr>
        <w:t xml:space="preserve"> 2004</w:t>
      </w:r>
      <w:r w:rsidR="00EC2F58">
        <w:rPr>
          <w:rFonts w:eastAsia="Baskerville Old Face" w:cs="Times New Roman"/>
          <w:lang w:val="en-GB"/>
        </w:rPr>
        <w:t>,</w:t>
      </w:r>
      <w:r w:rsidR="00F84BC4" w:rsidRPr="009C5998">
        <w:rPr>
          <w:rFonts w:eastAsia="Baskerville Old Face" w:cs="Times New Roman"/>
          <w:lang w:val="en-GB"/>
        </w:rPr>
        <w:t xml:space="preserve"> Bird 2006</w:t>
      </w:r>
      <w:r w:rsidR="001A7A49" w:rsidRPr="009C5998">
        <w:rPr>
          <w:rFonts w:eastAsia="Baskerville Old Face" w:cs="Times New Roman"/>
          <w:lang w:val="en-GB"/>
        </w:rPr>
        <w:t>)</w:t>
      </w:r>
      <w:r w:rsidR="00EC2F58">
        <w:rPr>
          <w:rFonts w:eastAsia="Baskerville Old Face" w:cs="Times New Roman"/>
          <w:lang w:val="en-GB"/>
        </w:rPr>
        <w:t>,</w:t>
      </w:r>
      <w:r w:rsidR="001A7A49" w:rsidRPr="009C5998">
        <w:rPr>
          <w:rFonts w:eastAsia="Baskerville Old Face" w:cs="Times New Roman"/>
          <w:lang w:val="en-GB"/>
        </w:rPr>
        <w:t xml:space="preserve"> which reduce the role of Kant’s talk of ThIs to a methodological one</w:t>
      </w:r>
      <w:r w:rsidR="00EC2F58">
        <w:rPr>
          <w:rFonts w:eastAsia="Baskerville Old Face" w:cs="Times New Roman"/>
          <w:lang w:val="en-GB"/>
        </w:rPr>
        <w:t>,</w:t>
      </w:r>
      <w:r w:rsidR="001A7A49" w:rsidRPr="009C5998">
        <w:rPr>
          <w:rFonts w:eastAsia="Baskerville Old Face" w:cs="Times New Roman"/>
          <w:lang w:val="en-GB"/>
        </w:rPr>
        <w:t xml:space="preserve"> has been challenged. Metaphysical </w:t>
      </w:r>
      <w:r w:rsidR="0041054C" w:rsidRPr="009C5998">
        <w:rPr>
          <w:rFonts w:eastAsia="Baskerville Old Face" w:cs="Times New Roman"/>
          <w:lang w:val="en-GB"/>
        </w:rPr>
        <w:t>account</w:t>
      </w:r>
      <w:r w:rsidR="001A7A49" w:rsidRPr="009C5998">
        <w:rPr>
          <w:rFonts w:eastAsia="Baskerville Old Face" w:cs="Times New Roman"/>
          <w:lang w:val="en-GB"/>
        </w:rPr>
        <w:t>s (</w:t>
      </w:r>
      <w:r w:rsidR="005D7DFF" w:rsidRPr="009C5998">
        <w:rPr>
          <w:rFonts w:eastAsia="Baskerville Old Face" w:cs="Times New Roman"/>
          <w:lang w:val="en-GB"/>
        </w:rPr>
        <w:t xml:space="preserve">Allais </w:t>
      </w:r>
      <w:r w:rsidR="00F84BC4" w:rsidRPr="009C5998">
        <w:rPr>
          <w:rFonts w:eastAsia="Baskerville Old Face" w:cs="Times New Roman"/>
          <w:lang w:val="en-GB"/>
        </w:rPr>
        <w:t>2015</w:t>
      </w:r>
      <w:r w:rsidR="00EC2F58">
        <w:rPr>
          <w:rFonts w:eastAsia="Baskerville Old Face" w:cs="Times New Roman"/>
          <w:lang w:val="en-GB"/>
        </w:rPr>
        <w:t>,</w:t>
      </w:r>
      <w:r w:rsidR="00F84BC4" w:rsidRPr="009C5998">
        <w:rPr>
          <w:rFonts w:eastAsia="Baskerville Old Face" w:cs="Times New Roman"/>
          <w:lang w:val="en-GB"/>
        </w:rPr>
        <w:t xml:space="preserve"> </w:t>
      </w:r>
      <w:r w:rsidR="001A7A49" w:rsidRPr="009C5998">
        <w:rPr>
          <w:rFonts w:eastAsia="Baskerville Old Face" w:cs="Times New Roman"/>
          <w:lang w:val="en-GB"/>
        </w:rPr>
        <w:t xml:space="preserve">Ameriks </w:t>
      </w:r>
      <w:r w:rsidR="00F84BC4" w:rsidRPr="009C5998">
        <w:rPr>
          <w:rFonts w:eastAsia="Baskerville Old Face" w:cs="Times New Roman"/>
          <w:lang w:val="en-GB"/>
        </w:rPr>
        <w:lastRenderedPageBreak/>
        <w:t>2003</w:t>
      </w:r>
      <w:r w:rsidR="00EC2F58">
        <w:rPr>
          <w:rFonts w:eastAsia="Baskerville Old Face" w:cs="Times New Roman"/>
          <w:lang w:val="en-GB"/>
        </w:rPr>
        <w:t>,</w:t>
      </w:r>
      <w:r w:rsidR="00F84BC4" w:rsidRPr="009C5998">
        <w:rPr>
          <w:rFonts w:eastAsia="Baskerville Old Face" w:cs="Times New Roman"/>
          <w:lang w:val="en-GB"/>
        </w:rPr>
        <w:t xml:space="preserve"> </w:t>
      </w:r>
      <w:r w:rsidR="005D7DFF" w:rsidRPr="009C5998">
        <w:rPr>
          <w:rFonts w:eastAsia="Baskerville Old Face" w:cs="Times New Roman"/>
          <w:lang w:val="en-GB"/>
        </w:rPr>
        <w:t xml:space="preserve">Guyer </w:t>
      </w:r>
      <w:r w:rsidR="00F84BC4" w:rsidRPr="009C5998">
        <w:rPr>
          <w:rFonts w:eastAsia="Baskerville Old Face" w:cs="Times New Roman"/>
          <w:lang w:val="en-GB"/>
        </w:rPr>
        <w:t>1987</w:t>
      </w:r>
      <w:r w:rsidR="00EC2F58">
        <w:rPr>
          <w:rFonts w:eastAsia="Baskerville Old Face" w:cs="Times New Roman"/>
          <w:lang w:val="en-GB"/>
        </w:rPr>
        <w:t>,</w:t>
      </w:r>
      <w:r w:rsidR="00F84BC4" w:rsidRPr="009C5998">
        <w:rPr>
          <w:rFonts w:eastAsia="Baskerville Old Face" w:cs="Times New Roman"/>
          <w:lang w:val="en-GB"/>
        </w:rPr>
        <w:t xml:space="preserve"> </w:t>
      </w:r>
      <w:r w:rsidR="005D7DFF" w:rsidRPr="009C5998">
        <w:rPr>
          <w:rFonts w:eastAsia="Baskerville Old Face" w:cs="Times New Roman"/>
          <w:lang w:val="en-GB"/>
        </w:rPr>
        <w:t xml:space="preserve">Hogan </w:t>
      </w:r>
      <w:r w:rsidR="00F84BC4" w:rsidRPr="009C5998">
        <w:rPr>
          <w:rFonts w:eastAsia="Baskerville Old Face" w:cs="Times New Roman"/>
          <w:lang w:val="en-GB"/>
        </w:rPr>
        <w:t>2009</w:t>
      </w:r>
      <w:r w:rsidR="00EC2F58">
        <w:rPr>
          <w:rFonts w:eastAsia="Baskerville Old Face" w:cs="Times New Roman"/>
          <w:lang w:val="en-GB"/>
        </w:rPr>
        <w:t>,</w:t>
      </w:r>
      <w:r w:rsidR="00F84BC4" w:rsidRPr="009C5998">
        <w:rPr>
          <w:rFonts w:eastAsia="Baskerville Old Face" w:cs="Times New Roman"/>
          <w:lang w:val="en-GB"/>
        </w:rPr>
        <w:t xml:space="preserve"> </w:t>
      </w:r>
      <w:r w:rsidR="005D7DFF" w:rsidRPr="009C5998">
        <w:rPr>
          <w:rFonts w:eastAsia="Baskerville Old Face" w:cs="Times New Roman"/>
          <w:lang w:val="en-GB"/>
        </w:rPr>
        <w:t xml:space="preserve">Marshall </w:t>
      </w:r>
      <w:r w:rsidR="00C72FDD" w:rsidRPr="009C5998">
        <w:rPr>
          <w:rFonts w:eastAsia="Baskerville Old Face" w:cs="Times New Roman"/>
          <w:lang w:val="en-GB"/>
        </w:rPr>
        <w:t>201</w:t>
      </w:r>
      <w:r w:rsidR="008A5802" w:rsidRPr="009C5998">
        <w:rPr>
          <w:rFonts w:eastAsia="Baskerville Old Face" w:cs="Times New Roman"/>
          <w:lang w:val="en-GB"/>
        </w:rPr>
        <w:t>3</w:t>
      </w:r>
      <w:r w:rsidR="00EC2F58">
        <w:rPr>
          <w:rFonts w:eastAsia="Baskerville Old Face" w:cs="Times New Roman"/>
          <w:lang w:val="en-GB"/>
        </w:rPr>
        <w:t>,</w:t>
      </w:r>
      <w:r w:rsidR="00F84BC4" w:rsidRPr="009C5998">
        <w:rPr>
          <w:rFonts w:eastAsia="Baskerville Old Face" w:cs="Times New Roman"/>
          <w:lang w:val="en-GB"/>
        </w:rPr>
        <w:t xml:space="preserve"> </w:t>
      </w:r>
      <w:r w:rsidR="00647FBA" w:rsidRPr="009C5998">
        <w:rPr>
          <w:rFonts w:eastAsia="Baskerville Old Face" w:cs="Times New Roman"/>
          <w:lang w:val="en-GB"/>
        </w:rPr>
        <w:t xml:space="preserve">Stang </w:t>
      </w:r>
      <w:r w:rsidR="00F84BC4" w:rsidRPr="009C5998">
        <w:rPr>
          <w:rFonts w:eastAsia="Baskerville Old Face" w:cs="Times New Roman"/>
          <w:lang w:val="en-GB"/>
        </w:rPr>
        <w:t>2014</w:t>
      </w:r>
      <w:r w:rsidR="00EC2F58">
        <w:rPr>
          <w:rFonts w:eastAsia="Baskerville Old Face" w:cs="Times New Roman"/>
          <w:lang w:val="en-GB"/>
        </w:rPr>
        <w:t>,</w:t>
      </w:r>
      <w:r w:rsidR="00F84BC4" w:rsidRPr="009C5998">
        <w:rPr>
          <w:rFonts w:eastAsia="Baskerville Old Face" w:cs="Times New Roman"/>
          <w:lang w:val="en-GB"/>
        </w:rPr>
        <w:t xml:space="preserve"> </w:t>
      </w:r>
      <w:r w:rsidR="001A7A49" w:rsidRPr="009C5998">
        <w:rPr>
          <w:rFonts w:eastAsia="Baskerville Old Face" w:cs="Times New Roman"/>
          <w:lang w:val="en-GB"/>
        </w:rPr>
        <w:t>Watkins</w:t>
      </w:r>
      <w:r w:rsidR="00F84BC4" w:rsidRPr="009C5998">
        <w:rPr>
          <w:rFonts w:eastAsia="Baskerville Old Face" w:cs="Times New Roman"/>
          <w:lang w:val="en-GB"/>
        </w:rPr>
        <w:t xml:space="preserve"> 2005</w:t>
      </w:r>
      <w:r w:rsidR="001A7A49" w:rsidRPr="009C5998">
        <w:rPr>
          <w:rFonts w:eastAsia="Baskerville Old Face" w:cs="Times New Roman"/>
          <w:lang w:val="en-GB"/>
        </w:rPr>
        <w:t>) have reclaimed a place for the existence of ThIs in Kant’s critical system.</w:t>
      </w:r>
    </w:p>
    <w:p w14:paraId="04830D9F" w14:textId="5CB41790" w:rsidR="00967970" w:rsidRPr="009C5998" w:rsidRDefault="001A7A49"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In this paper, I argue that ThIs have a well-defined transcendental function within the critical system. </w:t>
      </w:r>
      <w:r w:rsidR="00117100" w:rsidRPr="009C5998">
        <w:rPr>
          <w:rFonts w:eastAsia="Baskerville Old Face" w:cs="Times New Roman"/>
          <w:lang w:val="en-GB"/>
        </w:rPr>
        <w:t>I</w:t>
      </w:r>
      <w:r w:rsidRPr="009C5998">
        <w:rPr>
          <w:rFonts w:eastAsia="Baskerville Old Face" w:cs="Times New Roman"/>
          <w:lang w:val="en-GB"/>
        </w:rPr>
        <w:t xml:space="preserve"> outline an interpretation of the relation of ThIs to appearances that is metaphysical insofar as the existence of ThIs is at its core</w:t>
      </w:r>
      <w:r w:rsidR="002D1614" w:rsidRPr="009C5998">
        <w:rPr>
          <w:rFonts w:eastAsia="Baskerville Old Face" w:cs="Times New Roman"/>
          <w:lang w:val="en-GB"/>
        </w:rPr>
        <w:t xml:space="preserve">. This interpretation will be substantiated both on systematic and textual grounds. The latter will in particular focus on two sections of the </w:t>
      </w:r>
      <w:r w:rsidR="002D1614" w:rsidRPr="00C02F7E">
        <w:rPr>
          <w:rFonts w:eastAsia="Baskerville Old Face" w:cs="Times New Roman"/>
          <w:i/>
          <w:lang w:val="en-GB"/>
        </w:rPr>
        <w:t>Critique of Pure Reason</w:t>
      </w:r>
      <w:r w:rsidR="00C02F7E">
        <w:rPr>
          <w:rFonts w:eastAsia="Baskerville Old Face" w:cs="Times New Roman"/>
          <w:lang w:val="en-GB"/>
        </w:rPr>
        <w:t>.</w:t>
      </w:r>
      <w:r w:rsidR="00271F4C">
        <w:rPr>
          <w:rStyle w:val="EndnoteReference"/>
          <w:rFonts w:eastAsia="Baskerville Old Face" w:cs="Times New Roman"/>
          <w:lang w:val="en-GB"/>
        </w:rPr>
        <w:endnoteReference w:id="2"/>
      </w:r>
    </w:p>
    <w:p w14:paraId="32AE4256" w14:textId="5841FFF5" w:rsidR="00967970" w:rsidRPr="009C5998" w:rsidRDefault="001A7A49"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In </w:t>
      </w:r>
      <w:r w:rsidR="000D7252">
        <w:rPr>
          <w:rFonts w:eastAsia="Baskerville Old Face" w:cs="Times New Roman"/>
          <w:lang w:val="en-GB"/>
        </w:rPr>
        <w:t>section one</w:t>
      </w:r>
      <w:r w:rsidRPr="009C5998">
        <w:rPr>
          <w:rFonts w:eastAsia="Baskerville Old Face" w:cs="Times New Roman"/>
          <w:lang w:val="en-GB"/>
        </w:rPr>
        <w:t xml:space="preserve">, </w:t>
      </w:r>
      <w:r w:rsidR="002D1614" w:rsidRPr="009C5998">
        <w:rPr>
          <w:rFonts w:eastAsia="Baskerville Old Face" w:cs="Times New Roman"/>
          <w:lang w:val="en-GB"/>
        </w:rPr>
        <w:t xml:space="preserve">I outline the core dual-aspect account of my interpretation by contrasting it with three rival interpretations </w:t>
      </w:r>
      <w:r w:rsidR="00CA4B46" w:rsidRPr="009C5998">
        <w:rPr>
          <w:rFonts w:eastAsia="Baskerville Old Face" w:cs="Times New Roman"/>
          <w:lang w:val="en-GB"/>
        </w:rPr>
        <w:t xml:space="preserve">(methodological and </w:t>
      </w:r>
      <w:r w:rsidR="0041054C" w:rsidRPr="009C5998">
        <w:rPr>
          <w:rFonts w:eastAsia="Baskerville Old Face" w:cs="Times New Roman"/>
          <w:lang w:val="en-GB"/>
        </w:rPr>
        <w:t xml:space="preserve">standard </w:t>
      </w:r>
      <w:r w:rsidR="00CA4B46" w:rsidRPr="009C5998">
        <w:rPr>
          <w:rFonts w:eastAsia="Baskerville Old Face" w:cs="Times New Roman"/>
          <w:lang w:val="en-GB"/>
        </w:rPr>
        <w:t xml:space="preserve">metaphysical dual-aspect theories and the two-world theory) </w:t>
      </w:r>
      <w:r w:rsidR="002D1614" w:rsidRPr="009C5998">
        <w:rPr>
          <w:rFonts w:eastAsia="Baskerville Old Face" w:cs="Times New Roman"/>
          <w:lang w:val="en-GB"/>
        </w:rPr>
        <w:t>of the relation of the ThIs to appearances</w:t>
      </w:r>
      <w:r w:rsidRPr="009C5998">
        <w:rPr>
          <w:rFonts w:eastAsia="Baskerville Old Face" w:cs="Times New Roman"/>
          <w:lang w:val="en-GB"/>
        </w:rPr>
        <w:t xml:space="preserve">. </w:t>
      </w:r>
      <w:r w:rsidR="002D1614" w:rsidRPr="009C5998">
        <w:rPr>
          <w:rFonts w:eastAsia="Baskerville Old Face" w:cs="Times New Roman"/>
          <w:lang w:val="en-GB"/>
        </w:rPr>
        <w:t xml:space="preserve">This </w:t>
      </w:r>
      <w:r w:rsidR="00117100" w:rsidRPr="009C5998">
        <w:rPr>
          <w:rFonts w:eastAsia="Baskerville Old Face" w:cs="Times New Roman"/>
          <w:lang w:val="en-GB"/>
        </w:rPr>
        <w:t xml:space="preserve">account is based upon an investigation into how to understand the transcendental function of ThIs. This function is identified as </w:t>
      </w:r>
      <w:r w:rsidR="002D1614" w:rsidRPr="009C5998">
        <w:rPr>
          <w:rFonts w:eastAsia="Baskerville Old Face" w:cs="Times New Roman"/>
          <w:lang w:val="en-GB"/>
        </w:rPr>
        <w:t>the grounding of empirical causality.</w:t>
      </w:r>
      <w:r w:rsidRPr="009C5998">
        <w:rPr>
          <w:rFonts w:eastAsia="Baskerville Old Face" w:cs="Times New Roman"/>
          <w:lang w:val="en-GB"/>
        </w:rPr>
        <w:t xml:space="preserve"> The next two </w:t>
      </w:r>
      <w:r w:rsidR="00B976EA">
        <w:rPr>
          <w:rFonts w:eastAsia="Baskerville Old Face" w:cs="Times New Roman"/>
          <w:lang w:val="en-GB"/>
        </w:rPr>
        <w:t xml:space="preserve">sections </w:t>
      </w:r>
      <w:r w:rsidRPr="009C5998">
        <w:rPr>
          <w:rFonts w:eastAsia="Baskerville Old Face" w:cs="Times New Roman"/>
          <w:lang w:val="en-GB"/>
        </w:rPr>
        <w:t xml:space="preserve">examine </w:t>
      </w:r>
      <w:r w:rsidR="00117100" w:rsidRPr="009C5998">
        <w:rPr>
          <w:rFonts w:eastAsia="Baskerville Old Face" w:cs="Times New Roman"/>
          <w:lang w:val="en-GB"/>
        </w:rPr>
        <w:t xml:space="preserve">two sections of </w:t>
      </w:r>
      <w:r w:rsidR="000B2099" w:rsidRPr="009C5998">
        <w:rPr>
          <w:rFonts w:eastAsia="Baskerville Old Face" w:cs="Times New Roman"/>
          <w:lang w:val="en-GB"/>
        </w:rPr>
        <w:t>the</w:t>
      </w:r>
      <w:r w:rsidR="00B976EA">
        <w:rPr>
          <w:rFonts w:eastAsia="Baskerville Old Face" w:cs="Times New Roman"/>
          <w:lang w:val="en-GB"/>
        </w:rPr>
        <w:t xml:space="preserve"> </w:t>
      </w:r>
      <w:r w:rsidR="00B976EA">
        <w:rPr>
          <w:rFonts w:eastAsia="Baskerville Old Face" w:cs="Times New Roman"/>
          <w:i/>
          <w:lang w:val="en-GB"/>
        </w:rPr>
        <w:t>Critique of Pure Reason</w:t>
      </w:r>
      <w:r w:rsidR="00F84BC4" w:rsidRPr="009C5998">
        <w:rPr>
          <w:rFonts w:eastAsia="Baskerville Old Face" w:cs="Times New Roman"/>
          <w:lang w:val="en-GB"/>
        </w:rPr>
        <w:t xml:space="preserve">, </w:t>
      </w:r>
      <w:r w:rsidR="00CA4B46" w:rsidRPr="009C5998">
        <w:rPr>
          <w:rFonts w:eastAsia="Baskerville Old Face" w:cs="Times New Roman"/>
          <w:lang w:val="en-GB"/>
        </w:rPr>
        <w:t xml:space="preserve">the Resolution of the Third Antinomy and </w:t>
      </w:r>
      <w:r w:rsidRPr="009C5998">
        <w:rPr>
          <w:rFonts w:eastAsia="Baskerville Old Face" w:cs="Times New Roman"/>
          <w:lang w:val="en-GB"/>
        </w:rPr>
        <w:t>the chapter on Phenomena and Noumena</w:t>
      </w:r>
      <w:r w:rsidR="00CA4B46" w:rsidRPr="009C5998">
        <w:rPr>
          <w:rFonts w:eastAsia="Baskerville Old Face" w:cs="Times New Roman"/>
          <w:lang w:val="en-GB"/>
        </w:rPr>
        <w:t xml:space="preserve"> (PN)</w:t>
      </w:r>
      <w:r w:rsidRPr="009C5998">
        <w:rPr>
          <w:rFonts w:eastAsia="Baskerville Old Face" w:cs="Times New Roman"/>
          <w:lang w:val="en-GB"/>
        </w:rPr>
        <w:t xml:space="preserve">. This enables the picture outlined in the first </w:t>
      </w:r>
      <w:r w:rsidR="00B976EA">
        <w:rPr>
          <w:rFonts w:eastAsia="Baskerville Old Face" w:cs="Times New Roman"/>
          <w:lang w:val="en-GB"/>
        </w:rPr>
        <w:t>section</w:t>
      </w:r>
      <w:r w:rsidRPr="009C5998">
        <w:rPr>
          <w:rFonts w:eastAsia="Baskerville Old Face" w:cs="Times New Roman"/>
          <w:lang w:val="en-GB"/>
        </w:rPr>
        <w:t xml:space="preserve"> to be given further textual evidence</w:t>
      </w:r>
      <w:r w:rsidR="00641E52" w:rsidRPr="009C5998">
        <w:rPr>
          <w:rFonts w:eastAsia="Baskerville Old Face" w:cs="Times New Roman"/>
          <w:lang w:val="en-GB"/>
        </w:rPr>
        <w:t xml:space="preserve"> </w:t>
      </w:r>
      <w:r w:rsidR="00A7543F">
        <w:rPr>
          <w:rFonts w:eastAsia="Baskerville Old Face" w:cs="Times New Roman"/>
          <w:lang w:val="en-GB"/>
        </w:rPr>
        <w:t>in section two</w:t>
      </w:r>
      <w:r w:rsidRPr="009C5998">
        <w:rPr>
          <w:rFonts w:eastAsia="Baskerville Old Face" w:cs="Times New Roman"/>
          <w:lang w:val="en-GB"/>
        </w:rPr>
        <w:t xml:space="preserve"> and fleshed out </w:t>
      </w:r>
      <w:r w:rsidR="003A4702" w:rsidRPr="009C5998">
        <w:rPr>
          <w:rFonts w:eastAsia="Baskerville Old Face" w:cs="Times New Roman"/>
          <w:lang w:val="en-GB"/>
        </w:rPr>
        <w:t>within</w:t>
      </w:r>
      <w:r w:rsidRPr="009C5998">
        <w:rPr>
          <w:rFonts w:eastAsia="Baskerville Old Face" w:cs="Times New Roman"/>
          <w:lang w:val="en-GB"/>
        </w:rPr>
        <w:t xml:space="preserve"> a two-perspective framework </w:t>
      </w:r>
      <w:r w:rsidR="00A7543F">
        <w:rPr>
          <w:rFonts w:eastAsia="Baskerville Old Face" w:cs="Times New Roman"/>
          <w:lang w:val="en-GB"/>
        </w:rPr>
        <w:t>in section three</w:t>
      </w:r>
      <w:r w:rsidRPr="009C5998">
        <w:rPr>
          <w:rFonts w:eastAsia="Baskerville Old Face" w:cs="Times New Roman"/>
          <w:lang w:val="en-GB"/>
        </w:rPr>
        <w:t xml:space="preserve">. </w:t>
      </w:r>
      <w:r w:rsidR="00471FA3">
        <w:rPr>
          <w:rFonts w:eastAsia="Baskerville Old Face" w:cs="Times New Roman"/>
          <w:lang w:val="en-GB"/>
        </w:rPr>
        <w:t xml:space="preserve">Section four </w:t>
      </w:r>
      <w:r w:rsidRPr="009C5998">
        <w:rPr>
          <w:rFonts w:eastAsia="Baskerville Old Face" w:cs="Times New Roman"/>
          <w:lang w:val="en-GB"/>
        </w:rPr>
        <w:t xml:space="preserve">examines possible </w:t>
      </w:r>
      <w:r w:rsidR="00CA4B46" w:rsidRPr="009C5998">
        <w:rPr>
          <w:rFonts w:eastAsia="Baskerville Old Face" w:cs="Times New Roman"/>
          <w:lang w:val="en-GB"/>
        </w:rPr>
        <w:t xml:space="preserve">worries about this account and </w:t>
      </w:r>
      <w:r w:rsidR="00D92DFE" w:rsidRPr="009C5998">
        <w:rPr>
          <w:rFonts w:eastAsia="Baskerville Old Face" w:cs="Times New Roman"/>
          <w:lang w:val="en-GB"/>
        </w:rPr>
        <w:t xml:space="preserve">some possible </w:t>
      </w:r>
      <w:r w:rsidRPr="009C5998">
        <w:rPr>
          <w:rFonts w:eastAsia="Baskerville Old Face" w:cs="Times New Roman"/>
          <w:lang w:val="en-GB"/>
        </w:rPr>
        <w:t>objections from proponents of alternative</w:t>
      </w:r>
      <w:r w:rsidR="00CA4B46" w:rsidRPr="009C5998">
        <w:rPr>
          <w:rFonts w:eastAsia="Baskerville Old Face" w:cs="Times New Roman"/>
          <w:lang w:val="en-GB"/>
        </w:rPr>
        <w:t xml:space="preserve"> interpretation</w:t>
      </w:r>
      <w:r w:rsidRPr="009C5998">
        <w:rPr>
          <w:rFonts w:eastAsia="Baskerville Old Face" w:cs="Times New Roman"/>
          <w:lang w:val="en-GB"/>
        </w:rPr>
        <w:t>s.</w:t>
      </w:r>
    </w:p>
    <w:p w14:paraId="2063EA79" w14:textId="36D780EB" w:rsidR="00967970" w:rsidRPr="00933B46" w:rsidRDefault="00471FA3" w:rsidP="00933B46">
      <w:pPr>
        <w:pStyle w:val="BodyA"/>
        <w:spacing w:after="240"/>
        <w:rPr>
          <w:rFonts w:eastAsia="Baskerville Old Face" w:cs="Times New Roman"/>
          <w:b/>
          <w:bCs/>
          <w:lang w:val="en-GB"/>
        </w:rPr>
      </w:pPr>
      <w:r w:rsidRPr="00933B46">
        <w:rPr>
          <w:rFonts w:eastAsia="Baskerville Old Face" w:cs="Times New Roman"/>
          <w:b/>
          <w:bCs/>
          <w:lang w:val="en-GB"/>
        </w:rPr>
        <w:t>1</w:t>
      </w:r>
      <w:r w:rsidR="001A7A49" w:rsidRPr="00933B46">
        <w:rPr>
          <w:rFonts w:eastAsia="Baskerville Old Face" w:cs="Times New Roman"/>
          <w:b/>
          <w:bCs/>
          <w:lang w:val="en-GB"/>
        </w:rPr>
        <w:t xml:space="preserve">. </w:t>
      </w:r>
      <w:r w:rsidR="00096BB5" w:rsidRPr="00933B46">
        <w:rPr>
          <w:rFonts w:eastAsia="Baskerville Old Face" w:cs="Times New Roman"/>
          <w:b/>
          <w:bCs/>
          <w:lang w:val="en-GB"/>
        </w:rPr>
        <w:t xml:space="preserve">The </w:t>
      </w:r>
      <w:r w:rsidR="00933B46" w:rsidRPr="00933B46">
        <w:rPr>
          <w:rFonts w:eastAsia="Baskerville Old Face" w:cs="Times New Roman"/>
          <w:b/>
          <w:bCs/>
          <w:lang w:val="en-GB"/>
        </w:rPr>
        <w:t>F</w:t>
      </w:r>
      <w:r w:rsidR="00096BB5" w:rsidRPr="00933B46">
        <w:rPr>
          <w:rFonts w:eastAsia="Baskerville Old Face" w:cs="Times New Roman"/>
          <w:b/>
          <w:bCs/>
          <w:lang w:val="en-GB"/>
        </w:rPr>
        <w:t>unction of the Thing</w:t>
      </w:r>
      <w:r w:rsidR="00933B46" w:rsidRPr="00933B46">
        <w:rPr>
          <w:rFonts w:eastAsia="Baskerville Old Face" w:cs="Times New Roman"/>
          <w:b/>
          <w:bCs/>
          <w:lang w:val="en-GB"/>
        </w:rPr>
        <w:t>-</w:t>
      </w:r>
      <w:r w:rsidR="00096BB5" w:rsidRPr="00933B46">
        <w:rPr>
          <w:rFonts w:eastAsia="Baskerville Old Face" w:cs="Times New Roman"/>
          <w:b/>
          <w:bCs/>
          <w:lang w:val="en-GB"/>
        </w:rPr>
        <w:t>in</w:t>
      </w:r>
      <w:r w:rsidR="00933B46" w:rsidRPr="00933B46">
        <w:rPr>
          <w:rFonts w:eastAsia="Baskerville Old Face" w:cs="Times New Roman"/>
          <w:b/>
          <w:bCs/>
          <w:lang w:val="en-GB"/>
        </w:rPr>
        <w:t>-</w:t>
      </w:r>
      <w:r w:rsidR="00096BB5" w:rsidRPr="00933B46">
        <w:rPr>
          <w:rFonts w:eastAsia="Baskerville Old Face" w:cs="Times New Roman"/>
          <w:b/>
          <w:bCs/>
          <w:lang w:val="en-GB"/>
        </w:rPr>
        <w:t xml:space="preserve">itself as </w:t>
      </w:r>
      <w:r w:rsidR="00933B46" w:rsidRPr="00933B46">
        <w:rPr>
          <w:rFonts w:eastAsia="Baskerville Old Face" w:cs="Times New Roman"/>
          <w:b/>
          <w:bCs/>
          <w:lang w:val="en-GB"/>
        </w:rPr>
        <w:t>G</w:t>
      </w:r>
      <w:r w:rsidR="00096BB5" w:rsidRPr="00933B46">
        <w:rPr>
          <w:rFonts w:eastAsia="Baskerville Old Face" w:cs="Times New Roman"/>
          <w:b/>
          <w:bCs/>
          <w:lang w:val="en-GB"/>
        </w:rPr>
        <w:t xml:space="preserve">round of </w:t>
      </w:r>
      <w:r w:rsidR="00933B46" w:rsidRPr="00933B46">
        <w:rPr>
          <w:rFonts w:eastAsia="Baskerville Old Face" w:cs="Times New Roman"/>
          <w:b/>
          <w:bCs/>
          <w:lang w:val="en-GB"/>
        </w:rPr>
        <w:t>E</w:t>
      </w:r>
      <w:r w:rsidR="00096BB5" w:rsidRPr="00933B46">
        <w:rPr>
          <w:rFonts w:eastAsia="Baskerville Old Face" w:cs="Times New Roman"/>
          <w:b/>
          <w:bCs/>
          <w:lang w:val="en-GB"/>
        </w:rPr>
        <w:t xml:space="preserve">mpirical </w:t>
      </w:r>
      <w:r w:rsidR="00933B46" w:rsidRPr="00933B46">
        <w:rPr>
          <w:rFonts w:eastAsia="Baskerville Old Face" w:cs="Times New Roman"/>
          <w:b/>
          <w:bCs/>
          <w:lang w:val="en-GB"/>
        </w:rPr>
        <w:t>C</w:t>
      </w:r>
      <w:r w:rsidR="00096BB5" w:rsidRPr="00933B46">
        <w:rPr>
          <w:rFonts w:eastAsia="Baskerville Old Face" w:cs="Times New Roman"/>
          <w:b/>
          <w:bCs/>
          <w:lang w:val="en-GB"/>
        </w:rPr>
        <w:t>ausality</w:t>
      </w:r>
    </w:p>
    <w:p w14:paraId="4BA5B344" w14:textId="2702F9C7" w:rsidR="00096BB5" w:rsidRPr="009C5998" w:rsidRDefault="00A524BF" w:rsidP="00CF229E">
      <w:pPr>
        <w:pStyle w:val="BodyA"/>
        <w:spacing w:after="240"/>
        <w:rPr>
          <w:rFonts w:eastAsia="Baskerville Old Face" w:cs="Times New Roman"/>
          <w:lang w:val="en-GB"/>
        </w:rPr>
      </w:pPr>
      <w:r w:rsidRPr="009C5998">
        <w:rPr>
          <w:rFonts w:eastAsia="Baskerville Old Face" w:cs="Times New Roman"/>
          <w:i/>
          <w:lang w:val="en-GB"/>
        </w:rPr>
        <w:t>Methodology</w:t>
      </w:r>
    </w:p>
    <w:p w14:paraId="6B8B37E7" w14:textId="7A48F22D" w:rsidR="00D92DFE" w:rsidRPr="009C5998" w:rsidRDefault="008C1B8B"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An investigation into the problem of interpreting the notion of the ThI should, as for any other notion in Kant’s Critical </w:t>
      </w:r>
      <w:r w:rsidR="0045627D">
        <w:rPr>
          <w:rFonts w:eastAsia="Baskerville Old Face" w:cs="Times New Roman"/>
          <w:lang w:val="en-GB"/>
        </w:rPr>
        <w:t>s</w:t>
      </w:r>
      <w:r w:rsidRPr="009C5998">
        <w:rPr>
          <w:rFonts w:eastAsia="Baskerville Old Face" w:cs="Times New Roman"/>
          <w:lang w:val="en-GB"/>
        </w:rPr>
        <w:t xml:space="preserve">ystem, be understood as having the task of identifying its </w:t>
      </w:r>
      <w:r w:rsidRPr="009C5998">
        <w:rPr>
          <w:rFonts w:eastAsia="Baskerville Old Face" w:cs="Times New Roman"/>
          <w:i/>
          <w:lang w:val="en-GB"/>
        </w:rPr>
        <w:t>transcendental function</w:t>
      </w:r>
      <w:r w:rsidRPr="009C5998">
        <w:rPr>
          <w:rFonts w:eastAsia="Baskerville Old Face" w:cs="Times New Roman"/>
          <w:lang w:val="en-GB"/>
        </w:rPr>
        <w:t xml:space="preserve">. Although this may seem obvious, much of the discussion around the virtues of different theories of the ThI and its relation to appearances is </w:t>
      </w:r>
      <w:r w:rsidR="0041054C" w:rsidRPr="009C5998">
        <w:rPr>
          <w:rFonts w:eastAsia="Baskerville Old Face" w:cs="Times New Roman"/>
          <w:lang w:val="en-GB"/>
        </w:rPr>
        <w:t xml:space="preserve">rather </w:t>
      </w:r>
      <w:r w:rsidRPr="009C5998">
        <w:rPr>
          <w:rFonts w:eastAsia="Baskerville Old Face" w:cs="Times New Roman"/>
          <w:lang w:val="en-GB"/>
        </w:rPr>
        <w:t xml:space="preserve">focused upon the </w:t>
      </w:r>
      <w:r w:rsidRPr="008436EE">
        <w:rPr>
          <w:rFonts w:eastAsia="Baskerville Old Face" w:cs="Times New Roman"/>
          <w:lang w:val="en-GB"/>
        </w:rPr>
        <w:t xml:space="preserve">status of </w:t>
      </w:r>
      <w:r w:rsidR="00BE0A55" w:rsidRPr="008436EE">
        <w:rPr>
          <w:rFonts w:eastAsia="Baskerville Old Face" w:cs="Times New Roman"/>
          <w:lang w:val="en-GB"/>
        </w:rPr>
        <w:t>the</w:t>
      </w:r>
      <w:r w:rsidR="00BE0A55" w:rsidRPr="009C5998">
        <w:rPr>
          <w:rFonts w:eastAsia="Baskerville Old Face" w:cs="Times New Roman"/>
          <w:i/>
          <w:lang w:val="en-GB"/>
        </w:rPr>
        <w:t xml:space="preserve"> </w:t>
      </w:r>
      <w:r w:rsidRPr="009C5998">
        <w:rPr>
          <w:rFonts w:eastAsia="Baskerville Old Face" w:cs="Times New Roman"/>
          <w:i/>
          <w:lang w:val="en-GB"/>
        </w:rPr>
        <w:t>reality</w:t>
      </w:r>
      <w:r w:rsidRPr="009C5998">
        <w:rPr>
          <w:rFonts w:eastAsia="Baskerville Old Face" w:cs="Times New Roman"/>
          <w:lang w:val="en-GB"/>
        </w:rPr>
        <w:t xml:space="preserve"> of ThIs</w:t>
      </w:r>
      <w:r w:rsidR="00BE0A55" w:rsidRPr="009C5998">
        <w:rPr>
          <w:rFonts w:eastAsia="Baskerville Old Face" w:cs="Times New Roman"/>
          <w:lang w:val="en-GB"/>
        </w:rPr>
        <w:t xml:space="preserve">. </w:t>
      </w:r>
    </w:p>
    <w:p w14:paraId="1FDC3389" w14:textId="0B13EA6E" w:rsidR="00AE0332" w:rsidRPr="009C5998" w:rsidRDefault="00D92DFE"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According to </w:t>
      </w:r>
      <w:r w:rsidR="008436EE">
        <w:rPr>
          <w:rFonts w:eastAsia="Baskerville Old Face" w:cs="Times New Roman"/>
          <w:lang w:val="en-GB"/>
        </w:rPr>
        <w:t>m</w:t>
      </w:r>
      <w:r w:rsidR="00BE0A55" w:rsidRPr="009C5998">
        <w:rPr>
          <w:rFonts w:eastAsia="Baskerville Old Face" w:cs="Times New Roman"/>
          <w:lang w:val="en-GB"/>
        </w:rPr>
        <w:t xml:space="preserve">etaphysical </w:t>
      </w:r>
      <w:r w:rsidR="008436EE">
        <w:rPr>
          <w:rFonts w:eastAsia="Baskerville Old Face" w:cs="Times New Roman"/>
          <w:lang w:val="en-GB"/>
        </w:rPr>
        <w:t>d</w:t>
      </w:r>
      <w:r w:rsidR="00BE0A55" w:rsidRPr="009C5998">
        <w:rPr>
          <w:rFonts w:eastAsia="Baskerville Old Face" w:cs="Times New Roman"/>
          <w:lang w:val="en-GB"/>
        </w:rPr>
        <w:t>ual</w:t>
      </w:r>
      <w:r w:rsidR="008436EE">
        <w:rPr>
          <w:rFonts w:eastAsia="Baskerville Old Face" w:cs="Times New Roman"/>
          <w:lang w:val="en-GB"/>
        </w:rPr>
        <w:t>-a</w:t>
      </w:r>
      <w:r w:rsidR="00BE0A55" w:rsidRPr="009C5998">
        <w:rPr>
          <w:rFonts w:eastAsia="Baskerville Old Face" w:cs="Times New Roman"/>
          <w:lang w:val="en-GB"/>
        </w:rPr>
        <w:t>spect theori</w:t>
      </w:r>
      <w:r w:rsidR="00AE7285" w:rsidRPr="009C5998">
        <w:rPr>
          <w:rFonts w:eastAsia="Baskerville Old Face" w:cs="Times New Roman"/>
          <w:lang w:val="en-GB"/>
        </w:rPr>
        <w:t>es</w:t>
      </w:r>
      <w:r w:rsidR="00BE0A55" w:rsidRPr="009C5998">
        <w:rPr>
          <w:rFonts w:eastAsia="Baskerville Old Face" w:cs="Times New Roman"/>
          <w:lang w:val="en-GB"/>
        </w:rPr>
        <w:t xml:space="preserve"> (MDA</w:t>
      </w:r>
      <w:r w:rsidR="00454A4D">
        <w:rPr>
          <w:rFonts w:eastAsia="Baskerville Old Face" w:cs="Times New Roman"/>
          <w:lang w:val="en-GB"/>
        </w:rPr>
        <w:t>;</w:t>
      </w:r>
      <w:r w:rsidR="00BE0A55" w:rsidRPr="009C5998">
        <w:rPr>
          <w:rFonts w:eastAsia="Baskerville Old Face" w:cs="Times New Roman"/>
          <w:lang w:val="en-GB"/>
        </w:rPr>
        <w:t xml:space="preserve"> </w:t>
      </w:r>
      <w:r w:rsidR="007D35A9">
        <w:rPr>
          <w:rFonts w:eastAsia="Baskerville Old Face" w:cs="Times New Roman"/>
          <w:lang w:val="en-GB"/>
        </w:rPr>
        <w:t>e.g.</w:t>
      </w:r>
      <w:r w:rsidR="007D35A9" w:rsidRPr="009C5998">
        <w:rPr>
          <w:rFonts w:eastAsia="Baskerville Old Face" w:cs="Times New Roman"/>
          <w:lang w:val="en-GB"/>
        </w:rPr>
        <w:t xml:space="preserve"> </w:t>
      </w:r>
      <w:r w:rsidR="00BE0A55" w:rsidRPr="009C5998">
        <w:rPr>
          <w:rFonts w:eastAsia="Baskerville Old Face" w:cs="Times New Roman"/>
          <w:lang w:val="en-GB"/>
        </w:rPr>
        <w:t xml:space="preserve">Allais </w:t>
      </w:r>
      <w:r w:rsidR="00592F30" w:rsidRPr="009C5998">
        <w:rPr>
          <w:rFonts w:eastAsia="Baskerville Old Face" w:cs="Times New Roman"/>
          <w:lang w:val="en-GB"/>
        </w:rPr>
        <w:t>2015</w:t>
      </w:r>
      <w:r w:rsidR="00454A4D">
        <w:rPr>
          <w:rFonts w:eastAsia="Baskerville Old Face" w:cs="Times New Roman"/>
          <w:lang w:val="en-GB"/>
        </w:rPr>
        <w:t>,</w:t>
      </w:r>
      <w:r w:rsidR="00592F30" w:rsidRPr="009C5998">
        <w:rPr>
          <w:rFonts w:eastAsia="Baskerville Old Face" w:cs="Times New Roman"/>
          <w:lang w:val="en-GB"/>
        </w:rPr>
        <w:t xml:space="preserve"> Rosenfeldt </w:t>
      </w:r>
      <w:r w:rsidR="004002A6" w:rsidRPr="009C5998">
        <w:rPr>
          <w:rFonts w:eastAsia="Baskerville Old Face" w:cs="Times New Roman"/>
          <w:lang w:val="en-GB"/>
        </w:rPr>
        <w:t>2007</w:t>
      </w:r>
      <w:r w:rsidR="00BE0A55" w:rsidRPr="009C5998">
        <w:rPr>
          <w:rFonts w:eastAsia="Baskerville Old Face" w:cs="Times New Roman"/>
          <w:lang w:val="en-GB"/>
        </w:rPr>
        <w:t>)</w:t>
      </w:r>
      <w:r w:rsidRPr="009C5998">
        <w:rPr>
          <w:rFonts w:eastAsia="Baskerville Old Face" w:cs="Times New Roman"/>
          <w:lang w:val="en-GB"/>
        </w:rPr>
        <w:t xml:space="preserve">, ThIs are the same things as appearances, but under another aspect. In contrast, the </w:t>
      </w:r>
      <w:r w:rsidR="00454A4D">
        <w:rPr>
          <w:rFonts w:eastAsia="Baskerville Old Face" w:cs="Times New Roman"/>
          <w:lang w:val="en-GB"/>
        </w:rPr>
        <w:t>two-world</w:t>
      </w:r>
      <w:r w:rsidR="00BE0A55" w:rsidRPr="009C5998">
        <w:rPr>
          <w:rFonts w:eastAsia="Baskerville Old Face" w:cs="Times New Roman"/>
          <w:lang w:val="en-GB"/>
        </w:rPr>
        <w:t xml:space="preserve"> theor</w:t>
      </w:r>
      <w:r w:rsidRPr="009C5998">
        <w:rPr>
          <w:rFonts w:eastAsia="Baskerville Old Face" w:cs="Times New Roman"/>
          <w:lang w:val="en-GB"/>
        </w:rPr>
        <w:t>y</w:t>
      </w:r>
      <w:r w:rsidR="00BE0A55" w:rsidRPr="009C5998">
        <w:rPr>
          <w:rFonts w:eastAsia="Baskerville Old Face" w:cs="Times New Roman"/>
          <w:lang w:val="en-GB"/>
        </w:rPr>
        <w:t xml:space="preserve"> (</w:t>
      </w:r>
      <w:r w:rsidR="00825A41" w:rsidRPr="009C5998">
        <w:rPr>
          <w:rFonts w:eastAsia="Baskerville Old Face" w:cs="Times New Roman"/>
          <w:lang w:val="en-GB"/>
        </w:rPr>
        <w:t xml:space="preserve">TW, </w:t>
      </w:r>
      <w:r w:rsidRPr="009C5998">
        <w:rPr>
          <w:rFonts w:eastAsia="Baskerville Old Face" w:cs="Times New Roman"/>
          <w:lang w:val="en-GB"/>
        </w:rPr>
        <w:t>or</w:t>
      </w:r>
      <w:r w:rsidR="00825A41" w:rsidRPr="009C5998">
        <w:rPr>
          <w:rFonts w:eastAsia="Baskerville Old Face" w:cs="Times New Roman"/>
          <w:lang w:val="en-GB"/>
        </w:rPr>
        <w:t xml:space="preserve"> two-object theor</w:t>
      </w:r>
      <w:r w:rsidRPr="009C5998">
        <w:rPr>
          <w:rFonts w:eastAsia="Baskerville Old Face" w:cs="Times New Roman"/>
          <w:lang w:val="en-GB"/>
        </w:rPr>
        <w:t>y;</w:t>
      </w:r>
      <w:r w:rsidR="00825A41" w:rsidRPr="009C5998">
        <w:rPr>
          <w:rFonts w:eastAsia="Baskerville Old Face" w:cs="Times New Roman"/>
          <w:lang w:val="en-GB"/>
        </w:rPr>
        <w:t xml:space="preserve"> </w:t>
      </w:r>
      <w:r w:rsidR="00BE0A55" w:rsidRPr="009C5998">
        <w:rPr>
          <w:rFonts w:eastAsia="Baskerville Old Face" w:cs="Times New Roman"/>
          <w:lang w:val="en-GB"/>
        </w:rPr>
        <w:t xml:space="preserve">e.g. Bennett 1974, Aquila 1979, Guyer 1987) </w:t>
      </w:r>
      <w:r w:rsidR="00825A41" w:rsidRPr="009C5998">
        <w:rPr>
          <w:rFonts w:eastAsia="Baskerville Old Face" w:cs="Times New Roman"/>
          <w:lang w:val="en-GB"/>
        </w:rPr>
        <w:t>understand</w:t>
      </w:r>
      <w:r w:rsidRPr="009C5998">
        <w:rPr>
          <w:rFonts w:eastAsia="Baskerville Old Face" w:cs="Times New Roman"/>
          <w:lang w:val="en-GB"/>
        </w:rPr>
        <w:t>s</w:t>
      </w:r>
      <w:r w:rsidR="00825A41" w:rsidRPr="009C5998">
        <w:rPr>
          <w:rFonts w:eastAsia="Baskerville Old Face" w:cs="Times New Roman"/>
          <w:lang w:val="en-GB"/>
        </w:rPr>
        <w:t xml:space="preserve"> the ThI as ontologically distinct from appearance</w:t>
      </w:r>
      <w:r w:rsidR="00FE590E">
        <w:rPr>
          <w:rFonts w:eastAsia="Baskerville Old Face" w:cs="Times New Roman"/>
          <w:lang w:val="en-GB"/>
        </w:rPr>
        <w:t>s</w:t>
      </w:r>
      <w:r w:rsidR="00825A41" w:rsidRPr="009C5998">
        <w:rPr>
          <w:rFonts w:eastAsia="Baskerville Old Face" w:cs="Times New Roman"/>
          <w:lang w:val="en-GB"/>
        </w:rPr>
        <w:t xml:space="preserve">. The </w:t>
      </w:r>
      <w:r w:rsidR="00FE590E">
        <w:rPr>
          <w:rFonts w:eastAsia="Baskerville Old Face" w:cs="Times New Roman"/>
          <w:lang w:val="en-GB"/>
        </w:rPr>
        <w:t>e</w:t>
      </w:r>
      <w:r w:rsidR="00825A41" w:rsidRPr="009C5998">
        <w:rPr>
          <w:rFonts w:eastAsia="Baskerville Old Face" w:cs="Times New Roman"/>
          <w:lang w:val="en-GB"/>
        </w:rPr>
        <w:t xml:space="preserve">pistemological (or methodological) </w:t>
      </w:r>
      <w:r w:rsidR="00FE590E">
        <w:rPr>
          <w:rFonts w:eastAsia="Baskerville Old Face" w:cs="Times New Roman"/>
          <w:lang w:val="en-GB"/>
        </w:rPr>
        <w:t>d</w:t>
      </w:r>
      <w:r w:rsidR="00825A41" w:rsidRPr="009C5998">
        <w:rPr>
          <w:rFonts w:eastAsia="Baskerville Old Face" w:cs="Times New Roman"/>
          <w:lang w:val="en-GB"/>
        </w:rPr>
        <w:t>ual</w:t>
      </w:r>
      <w:r w:rsidR="00FE590E">
        <w:rPr>
          <w:rFonts w:eastAsia="Baskerville Old Face" w:cs="Times New Roman"/>
          <w:lang w:val="en-GB"/>
        </w:rPr>
        <w:t>-a</w:t>
      </w:r>
      <w:r w:rsidR="00825A41" w:rsidRPr="009C5998">
        <w:rPr>
          <w:rFonts w:eastAsia="Baskerville Old Face" w:cs="Times New Roman"/>
          <w:lang w:val="en-GB"/>
        </w:rPr>
        <w:t xml:space="preserve">spect theory (EDA) </w:t>
      </w:r>
      <w:r w:rsidRPr="009C5998">
        <w:rPr>
          <w:rFonts w:eastAsia="Baskerville Old Face" w:cs="Times New Roman"/>
          <w:lang w:val="en-GB"/>
        </w:rPr>
        <w:t xml:space="preserve">rejects an assumption common to the two other accounts, namely that the </w:t>
      </w:r>
      <w:r w:rsidR="00AE7285" w:rsidRPr="009C5998">
        <w:rPr>
          <w:rFonts w:eastAsia="Baskerville Old Face" w:cs="Times New Roman"/>
          <w:lang w:val="en-GB"/>
        </w:rPr>
        <w:t>concept</w:t>
      </w:r>
      <w:r w:rsidR="00825A41" w:rsidRPr="009C5998">
        <w:rPr>
          <w:rFonts w:eastAsia="Baskerville Old Face" w:cs="Times New Roman"/>
          <w:lang w:val="en-GB"/>
        </w:rPr>
        <w:t xml:space="preserve"> of ThI </w:t>
      </w:r>
      <w:r w:rsidRPr="009C5998">
        <w:rPr>
          <w:rFonts w:eastAsia="Baskerville Old Face" w:cs="Times New Roman"/>
          <w:lang w:val="en-GB"/>
        </w:rPr>
        <w:t>i</w:t>
      </w:r>
      <w:r w:rsidR="00825A41" w:rsidRPr="009C5998">
        <w:rPr>
          <w:rFonts w:eastAsia="Baskerville Old Face" w:cs="Times New Roman"/>
          <w:lang w:val="en-GB"/>
        </w:rPr>
        <w:t xml:space="preserve">s </w:t>
      </w:r>
      <w:r w:rsidR="00AE7285" w:rsidRPr="009C5998">
        <w:rPr>
          <w:rFonts w:eastAsia="Baskerville Old Face" w:cs="Times New Roman"/>
          <w:lang w:val="en-GB"/>
        </w:rPr>
        <w:t xml:space="preserve">an </w:t>
      </w:r>
      <w:r w:rsidR="00825A41" w:rsidRPr="009C5998">
        <w:rPr>
          <w:rFonts w:eastAsia="Baskerville Old Face" w:cs="Times New Roman"/>
          <w:lang w:val="en-GB"/>
        </w:rPr>
        <w:t xml:space="preserve">ontological </w:t>
      </w:r>
      <w:r w:rsidR="00AE7285" w:rsidRPr="009C5998">
        <w:rPr>
          <w:rFonts w:eastAsia="Baskerville Old Face" w:cs="Times New Roman"/>
          <w:lang w:val="en-GB"/>
        </w:rPr>
        <w:t>one</w:t>
      </w:r>
      <w:r w:rsidRPr="009C5998">
        <w:rPr>
          <w:rFonts w:eastAsia="Baskerville Old Face" w:cs="Times New Roman"/>
          <w:lang w:val="en-GB"/>
        </w:rPr>
        <w:t xml:space="preserve">; it views it rather as a </w:t>
      </w:r>
      <w:r w:rsidR="00825A41" w:rsidRPr="009C5998">
        <w:rPr>
          <w:rFonts w:eastAsia="Baskerville Old Face" w:cs="Times New Roman"/>
          <w:lang w:val="en-GB"/>
        </w:rPr>
        <w:t xml:space="preserve">purely methodological device </w:t>
      </w:r>
      <w:r w:rsidRPr="009C5998">
        <w:rPr>
          <w:rFonts w:eastAsia="Baskerville Old Face" w:cs="Times New Roman"/>
          <w:lang w:val="en-GB"/>
        </w:rPr>
        <w:t xml:space="preserve">referring to </w:t>
      </w:r>
      <w:r w:rsidR="00825A41" w:rsidRPr="009C5998">
        <w:rPr>
          <w:rFonts w:eastAsia="Baskerville Old Face" w:cs="Times New Roman"/>
          <w:lang w:val="en-GB"/>
        </w:rPr>
        <w:t>a way of considering those things we experience as appearances (e.g. Prauss 1974</w:t>
      </w:r>
      <w:r w:rsidR="00FE590E">
        <w:rPr>
          <w:rFonts w:eastAsia="Baskerville Old Face" w:cs="Times New Roman"/>
          <w:lang w:val="en-GB"/>
        </w:rPr>
        <w:t>,</w:t>
      </w:r>
      <w:r w:rsidR="00825A41" w:rsidRPr="009C5998">
        <w:rPr>
          <w:rFonts w:eastAsia="Baskerville Old Face" w:cs="Times New Roman"/>
          <w:lang w:val="en-GB"/>
        </w:rPr>
        <w:t xml:space="preserve"> Allison 1983).</w:t>
      </w:r>
      <w:r w:rsidR="00AE7285" w:rsidRPr="009C5998">
        <w:rPr>
          <w:rFonts w:eastAsia="Baskerville Old Face" w:cs="Times New Roman"/>
          <w:lang w:val="en-GB"/>
        </w:rPr>
        <w:t xml:space="preserve"> The</w:t>
      </w:r>
      <w:r w:rsidR="005B29A9" w:rsidRPr="009C5998">
        <w:rPr>
          <w:rFonts w:eastAsia="Baskerville Old Face" w:cs="Times New Roman"/>
          <w:lang w:val="en-GB"/>
        </w:rPr>
        <w:t>se</w:t>
      </w:r>
      <w:r w:rsidR="00AE7285" w:rsidRPr="009C5998">
        <w:rPr>
          <w:rFonts w:eastAsia="Baskerville Old Face" w:cs="Times New Roman"/>
          <w:lang w:val="en-GB"/>
        </w:rPr>
        <w:t xml:space="preserve"> theories </w:t>
      </w:r>
      <w:r w:rsidR="007300B0" w:rsidRPr="009C5998">
        <w:rPr>
          <w:rFonts w:eastAsia="Baskerville Old Face" w:cs="Times New Roman"/>
          <w:lang w:val="en-GB"/>
        </w:rPr>
        <w:t xml:space="preserve">include an interpretation of </w:t>
      </w:r>
      <w:r w:rsidR="00AE7285" w:rsidRPr="009C5998">
        <w:rPr>
          <w:rFonts w:eastAsia="Baskerville Old Face" w:cs="Times New Roman"/>
          <w:lang w:val="en-GB"/>
        </w:rPr>
        <w:t xml:space="preserve">how the ThI plays a </w:t>
      </w:r>
      <w:r w:rsidR="005B29A9" w:rsidRPr="009C5998">
        <w:rPr>
          <w:rFonts w:eastAsia="Baskerville Old Face" w:cs="Times New Roman"/>
          <w:lang w:val="en-GB"/>
        </w:rPr>
        <w:t xml:space="preserve">transcendental </w:t>
      </w:r>
      <w:r w:rsidR="00AE7285" w:rsidRPr="009C5998">
        <w:rPr>
          <w:rFonts w:eastAsia="Baskerville Old Face" w:cs="Times New Roman"/>
          <w:lang w:val="en-GB"/>
        </w:rPr>
        <w:t xml:space="preserve">role of affection, but this is not </w:t>
      </w:r>
      <w:r w:rsidR="006F20E6" w:rsidRPr="009C5998">
        <w:rPr>
          <w:rFonts w:eastAsia="Baskerville Old Face" w:cs="Times New Roman"/>
          <w:lang w:val="en-GB"/>
        </w:rPr>
        <w:t>taken as</w:t>
      </w:r>
      <w:r w:rsidR="00AE7285" w:rsidRPr="009C5998">
        <w:rPr>
          <w:rFonts w:eastAsia="Baskerville Old Face" w:cs="Times New Roman"/>
          <w:lang w:val="en-GB"/>
        </w:rPr>
        <w:t xml:space="preserve"> starting point. </w:t>
      </w:r>
      <w:r w:rsidR="006F20E6" w:rsidRPr="009C5998">
        <w:rPr>
          <w:rFonts w:eastAsia="Baskerville Old Face" w:cs="Times New Roman"/>
          <w:lang w:val="en-GB"/>
        </w:rPr>
        <w:t>Thus</w:t>
      </w:r>
      <w:r w:rsidR="00AE7285" w:rsidRPr="009C5998">
        <w:rPr>
          <w:rFonts w:eastAsia="Baskerville Old Face" w:cs="Times New Roman"/>
          <w:lang w:val="en-GB"/>
        </w:rPr>
        <w:t xml:space="preserve"> the most recent prominent MDA (Allais 2015) start</w:t>
      </w:r>
      <w:r w:rsidR="005B29A9" w:rsidRPr="009C5998">
        <w:rPr>
          <w:rFonts w:eastAsia="Baskerville Old Face" w:cs="Times New Roman"/>
          <w:lang w:val="en-GB"/>
        </w:rPr>
        <w:t>s</w:t>
      </w:r>
      <w:r w:rsidR="00AE7285" w:rsidRPr="009C5998">
        <w:rPr>
          <w:rFonts w:eastAsia="Baskerville Old Face" w:cs="Times New Roman"/>
          <w:lang w:val="en-GB"/>
        </w:rPr>
        <w:t xml:space="preserve"> with things, whereby </w:t>
      </w:r>
      <w:r w:rsidR="00592F30" w:rsidRPr="009C5998">
        <w:rPr>
          <w:rFonts w:eastAsia="Baskerville Old Face" w:cs="Times New Roman"/>
          <w:lang w:val="en-GB"/>
        </w:rPr>
        <w:t>Kant’s</w:t>
      </w:r>
      <w:r w:rsidR="00AE7285" w:rsidRPr="009C5998">
        <w:rPr>
          <w:rFonts w:eastAsia="Baskerville Old Face" w:cs="Times New Roman"/>
          <w:lang w:val="en-GB"/>
        </w:rPr>
        <w:t xml:space="preserve"> critical </w:t>
      </w:r>
      <w:r w:rsidR="00592F30" w:rsidRPr="009C5998">
        <w:rPr>
          <w:rFonts w:eastAsia="Baskerville Old Face" w:cs="Times New Roman"/>
          <w:lang w:val="en-GB"/>
        </w:rPr>
        <w:t>approach</w:t>
      </w:r>
      <w:r w:rsidR="00AE7285" w:rsidRPr="009C5998">
        <w:rPr>
          <w:rFonts w:eastAsia="Baskerville Old Face" w:cs="Times New Roman"/>
          <w:lang w:val="en-GB"/>
        </w:rPr>
        <w:t xml:space="preserve"> leads to distinguishing what </w:t>
      </w:r>
      <w:r w:rsidR="00592F30" w:rsidRPr="009C5998">
        <w:rPr>
          <w:rFonts w:eastAsia="Baskerville Old Face" w:cs="Times New Roman"/>
          <w:lang w:val="en-GB"/>
        </w:rPr>
        <w:t xml:space="preserve">is </w:t>
      </w:r>
      <w:r w:rsidR="00AE7285" w:rsidRPr="009C5998">
        <w:rPr>
          <w:rFonts w:eastAsia="Baskerville Old Face" w:cs="Times New Roman"/>
          <w:lang w:val="en-GB"/>
        </w:rPr>
        <w:t>know</w:t>
      </w:r>
      <w:r w:rsidR="00592F30" w:rsidRPr="009C5998">
        <w:rPr>
          <w:rFonts w:eastAsia="Baskerville Old Face" w:cs="Times New Roman"/>
          <w:lang w:val="en-GB"/>
        </w:rPr>
        <w:t>able</w:t>
      </w:r>
      <w:r w:rsidR="00AE7285" w:rsidRPr="009C5998">
        <w:rPr>
          <w:rFonts w:eastAsia="Baskerville Old Face" w:cs="Times New Roman"/>
          <w:lang w:val="en-GB"/>
        </w:rPr>
        <w:t xml:space="preserve"> (appearance) from </w:t>
      </w:r>
      <w:r w:rsidR="006F20E6" w:rsidRPr="009C5998">
        <w:rPr>
          <w:rFonts w:eastAsia="Baskerville Old Face" w:cs="Times New Roman"/>
          <w:lang w:val="en-GB"/>
        </w:rPr>
        <w:t xml:space="preserve">what </w:t>
      </w:r>
      <w:r w:rsidR="00592F30" w:rsidRPr="009C5998">
        <w:rPr>
          <w:rFonts w:eastAsia="Baskerville Old Face" w:cs="Times New Roman"/>
          <w:lang w:val="en-GB"/>
        </w:rPr>
        <w:t>is not</w:t>
      </w:r>
      <w:r w:rsidR="00AE7285" w:rsidRPr="009C5998">
        <w:rPr>
          <w:rFonts w:eastAsia="Baskerville Old Face" w:cs="Times New Roman"/>
          <w:lang w:val="en-GB"/>
        </w:rPr>
        <w:t xml:space="preserve">, i.e. how they are in themselves. As already indicated, EDA is driven by the consideration of an in-itself aspect of anything that appears to us, thereby avoiding any metaphysical claim that would </w:t>
      </w:r>
      <w:r w:rsidR="00592F30" w:rsidRPr="009C5998">
        <w:rPr>
          <w:rFonts w:eastAsia="Baskerville Old Face" w:cs="Times New Roman"/>
          <w:lang w:val="en-GB"/>
        </w:rPr>
        <w:t xml:space="preserve">purportedly </w:t>
      </w:r>
      <w:r w:rsidR="00AE7285" w:rsidRPr="009C5998">
        <w:rPr>
          <w:rFonts w:eastAsia="Baskerville Old Face" w:cs="Times New Roman"/>
          <w:lang w:val="en-GB"/>
        </w:rPr>
        <w:t>threaten the robustness of Kant’s empirical realism (Allison 2004: 45-9)</w:t>
      </w:r>
      <w:r w:rsidR="00592F30" w:rsidRPr="009C5998">
        <w:rPr>
          <w:rFonts w:eastAsia="Baskerville Old Face" w:cs="Times New Roman"/>
          <w:lang w:val="en-GB"/>
        </w:rPr>
        <w:t>.</w:t>
      </w:r>
      <w:r w:rsidR="00643FE2" w:rsidRPr="009C5998">
        <w:rPr>
          <w:rFonts w:eastAsia="Baskerville Old Face" w:cs="Times New Roman"/>
          <w:lang w:val="en-GB"/>
        </w:rPr>
        <w:t xml:space="preserve"> TW </w:t>
      </w:r>
      <w:r w:rsidR="005B29A9" w:rsidRPr="009C5998">
        <w:rPr>
          <w:rFonts w:eastAsia="Baskerville Old Face" w:cs="Times New Roman"/>
          <w:lang w:val="en-GB"/>
        </w:rPr>
        <w:t xml:space="preserve">understands claims about ThIs to be about a noumenal domain </w:t>
      </w:r>
      <w:r w:rsidR="00214C7B" w:rsidRPr="009C5998">
        <w:rPr>
          <w:rFonts w:eastAsia="Baskerville Old Face" w:cs="Times New Roman"/>
          <w:lang w:val="en-GB"/>
        </w:rPr>
        <w:t xml:space="preserve">that </w:t>
      </w:r>
      <w:r w:rsidR="00273EB0">
        <w:rPr>
          <w:rFonts w:eastAsia="Baskerville Old Face" w:cs="Times New Roman"/>
          <w:lang w:val="en-GB"/>
        </w:rPr>
        <w:t>it interprets</w:t>
      </w:r>
      <w:r w:rsidR="00214C7B" w:rsidRPr="009C5998">
        <w:rPr>
          <w:rFonts w:eastAsia="Baskerville Old Face" w:cs="Times New Roman"/>
          <w:lang w:val="en-GB"/>
        </w:rPr>
        <w:t xml:space="preserve"> Kant as positing </w:t>
      </w:r>
      <w:r w:rsidR="005B29A9" w:rsidRPr="009C5998">
        <w:rPr>
          <w:rFonts w:eastAsia="Baskerville Old Face" w:cs="Times New Roman"/>
          <w:lang w:val="en-GB"/>
        </w:rPr>
        <w:t>(Bennett 1974</w:t>
      </w:r>
      <w:r w:rsidR="002003FA" w:rsidRPr="009C5998">
        <w:rPr>
          <w:rFonts w:eastAsia="Baskerville Old Face" w:cs="Times New Roman"/>
          <w:lang w:val="en-GB"/>
        </w:rPr>
        <w:t>: 190</w:t>
      </w:r>
      <w:r w:rsidR="006F20E6" w:rsidRPr="009C5998">
        <w:rPr>
          <w:rFonts w:eastAsia="Baskerville Old Face" w:cs="Times New Roman"/>
          <w:lang w:val="en-GB"/>
        </w:rPr>
        <w:t>)</w:t>
      </w:r>
      <w:r w:rsidR="00214C7B" w:rsidRPr="009C5998">
        <w:rPr>
          <w:rFonts w:eastAsia="Baskerville Old Face" w:cs="Times New Roman"/>
          <w:lang w:val="en-GB"/>
        </w:rPr>
        <w:t>, a domain lying</w:t>
      </w:r>
      <w:r w:rsidR="005B29A9" w:rsidRPr="009C5998">
        <w:rPr>
          <w:rFonts w:eastAsia="Baskerville Old Face" w:cs="Times New Roman"/>
          <w:lang w:val="en-GB"/>
        </w:rPr>
        <w:t xml:space="preserve"> beyond our cognitive reach, but essential for Kant’s practical philosophy.</w:t>
      </w:r>
      <w:r w:rsidR="00C245E6" w:rsidRPr="009C5998">
        <w:rPr>
          <w:rStyle w:val="EndnoteReference"/>
          <w:rFonts w:eastAsia="Baskerville Old Face" w:cs="Times New Roman"/>
          <w:lang w:val="en-GB"/>
        </w:rPr>
        <w:endnoteReference w:id="3"/>
      </w:r>
    </w:p>
    <w:p w14:paraId="30704E7A" w14:textId="481922A4" w:rsidR="00CC4710" w:rsidRPr="009C5998" w:rsidRDefault="00DF0755" w:rsidP="00CF229E">
      <w:pPr>
        <w:pStyle w:val="BodyA"/>
        <w:spacing w:after="240"/>
        <w:rPr>
          <w:rFonts w:eastAsia="Baskerville Old Face" w:cs="Times New Roman"/>
          <w:i/>
          <w:lang w:val="en-GB"/>
        </w:rPr>
      </w:pPr>
      <w:r w:rsidRPr="009C5998">
        <w:rPr>
          <w:rFonts w:eastAsia="Baskerville Old Face" w:cs="Times New Roman"/>
          <w:i/>
          <w:lang w:val="en-GB"/>
        </w:rPr>
        <w:t>Candidate</w:t>
      </w:r>
      <w:r w:rsidR="007F697F" w:rsidRPr="009C5998">
        <w:rPr>
          <w:rFonts w:eastAsia="Baskerville Old Face" w:cs="Times New Roman"/>
          <w:i/>
          <w:lang w:val="en-GB"/>
        </w:rPr>
        <w:t>s for the</w:t>
      </w:r>
      <w:r w:rsidRPr="009C5998">
        <w:rPr>
          <w:rFonts w:eastAsia="Baskerville Old Face" w:cs="Times New Roman"/>
          <w:i/>
          <w:lang w:val="en-GB"/>
        </w:rPr>
        <w:t xml:space="preserve"> </w:t>
      </w:r>
      <w:r w:rsidR="00CC4710" w:rsidRPr="009C5998">
        <w:rPr>
          <w:rFonts w:eastAsia="Baskerville Old Face" w:cs="Times New Roman"/>
          <w:i/>
          <w:lang w:val="en-GB"/>
        </w:rPr>
        <w:t>transcendental function of ThIs</w:t>
      </w:r>
    </w:p>
    <w:p w14:paraId="76E771FA" w14:textId="16152C6B" w:rsidR="00B63FA9" w:rsidRPr="009C5998" w:rsidRDefault="00BD02B9" w:rsidP="00A767F9">
      <w:pPr>
        <w:pStyle w:val="BodyA"/>
        <w:spacing w:after="240" w:line="480" w:lineRule="auto"/>
        <w:rPr>
          <w:rFonts w:eastAsia="Baskerville Old Face" w:cs="Times New Roman"/>
          <w:lang w:val="en-GB"/>
        </w:rPr>
      </w:pPr>
      <w:r>
        <w:rPr>
          <w:rFonts w:eastAsia="Baskerville Old Face" w:cs="Times New Roman"/>
          <w:lang w:val="en-GB"/>
        </w:rPr>
        <w:t>I</w:t>
      </w:r>
      <w:r w:rsidR="005B29A9" w:rsidRPr="009C5998">
        <w:rPr>
          <w:rFonts w:eastAsia="Baskerville Old Face" w:cs="Times New Roman"/>
          <w:lang w:val="en-GB"/>
        </w:rPr>
        <w:t xml:space="preserve">f we are to start afresh </w:t>
      </w:r>
      <w:r w:rsidR="0041054C" w:rsidRPr="009C5998">
        <w:rPr>
          <w:rFonts w:eastAsia="Baskerville Old Face" w:cs="Times New Roman"/>
          <w:lang w:val="en-GB"/>
        </w:rPr>
        <w:t xml:space="preserve">by </w:t>
      </w:r>
      <w:r w:rsidR="008028D6" w:rsidRPr="009C5998">
        <w:rPr>
          <w:rFonts w:eastAsia="Baskerville Old Face" w:cs="Times New Roman"/>
          <w:lang w:val="en-GB"/>
        </w:rPr>
        <w:t xml:space="preserve">focusing upon identifying the </w:t>
      </w:r>
      <w:r w:rsidR="005B29A9" w:rsidRPr="009C5998">
        <w:rPr>
          <w:rFonts w:eastAsia="Baskerville Old Face" w:cs="Times New Roman"/>
          <w:lang w:val="en-GB"/>
        </w:rPr>
        <w:t xml:space="preserve">transcendental function ThIs play, what clues do we </w:t>
      </w:r>
      <w:r w:rsidR="00DB27A8" w:rsidRPr="009C5998">
        <w:rPr>
          <w:rFonts w:eastAsia="Baskerville Old Face" w:cs="Times New Roman"/>
          <w:lang w:val="en-GB"/>
        </w:rPr>
        <w:t>find</w:t>
      </w:r>
      <w:r w:rsidR="005B29A9" w:rsidRPr="009C5998">
        <w:rPr>
          <w:rFonts w:eastAsia="Baskerville Old Face" w:cs="Times New Roman"/>
          <w:lang w:val="en-GB"/>
        </w:rPr>
        <w:t xml:space="preserve"> </w:t>
      </w:r>
      <w:r w:rsidR="004B4729" w:rsidRPr="009C5998">
        <w:rPr>
          <w:rFonts w:eastAsia="Baskerville Old Face" w:cs="Times New Roman"/>
          <w:lang w:val="en-GB"/>
        </w:rPr>
        <w:t>in Kant’s text</w:t>
      </w:r>
      <w:r w:rsidR="005B29A9" w:rsidRPr="009C5998">
        <w:rPr>
          <w:rFonts w:eastAsia="Baskerville Old Face" w:cs="Times New Roman"/>
          <w:lang w:val="en-GB"/>
        </w:rPr>
        <w:t>?</w:t>
      </w:r>
      <w:r w:rsidR="00DB27A8" w:rsidRPr="009C5998">
        <w:rPr>
          <w:rFonts w:eastAsia="Baskerville Old Face" w:cs="Times New Roman"/>
          <w:lang w:val="en-GB"/>
        </w:rPr>
        <w:t xml:space="preserve"> </w:t>
      </w:r>
      <w:r w:rsidR="00B63FA9" w:rsidRPr="009C5998">
        <w:rPr>
          <w:rFonts w:eastAsia="Baskerville Old Face" w:cs="Times New Roman"/>
          <w:lang w:val="en-GB"/>
        </w:rPr>
        <w:t xml:space="preserve">A transcendental function is expressed in terms of a necessary condition, and we find two types of such claims in relation to ThIs. The first is </w:t>
      </w:r>
      <w:r w:rsidR="00AE0332" w:rsidRPr="009C5998">
        <w:rPr>
          <w:rFonts w:eastAsia="Baskerville Old Face" w:cs="Times New Roman"/>
          <w:lang w:val="en-GB"/>
        </w:rPr>
        <w:t>summari</w:t>
      </w:r>
      <w:r w:rsidR="00FD31AF">
        <w:rPr>
          <w:rFonts w:eastAsia="Baskerville Old Face" w:cs="Times New Roman"/>
          <w:lang w:val="en-GB"/>
        </w:rPr>
        <w:t>z</w:t>
      </w:r>
      <w:r w:rsidR="00AE0332" w:rsidRPr="009C5998">
        <w:rPr>
          <w:rFonts w:eastAsia="Baskerville Old Face" w:cs="Times New Roman"/>
          <w:lang w:val="en-GB"/>
        </w:rPr>
        <w:t xml:space="preserve">ed in Kant’s claim that ‘the word “appearance” must already indicate a relation to something … which in itself must be something, i.e. an object independent of sensibility’ (A252). We shall examine this passage in detail in </w:t>
      </w:r>
      <w:r w:rsidR="00853F50">
        <w:rPr>
          <w:rFonts w:eastAsia="Baskerville Old Face" w:cs="Times New Roman"/>
          <w:lang w:val="en-GB"/>
        </w:rPr>
        <w:t>section two</w:t>
      </w:r>
      <w:r w:rsidR="00AE0332" w:rsidRPr="009C5998">
        <w:rPr>
          <w:rFonts w:eastAsia="Baskerville Old Face" w:cs="Times New Roman"/>
          <w:lang w:val="en-GB"/>
        </w:rPr>
        <w:t xml:space="preserve">, but what is important for now is to note that </w:t>
      </w:r>
      <w:r w:rsidR="00DB27A8" w:rsidRPr="009C5998">
        <w:rPr>
          <w:rFonts w:eastAsia="Baskerville Old Face" w:cs="Times New Roman"/>
          <w:lang w:val="en-GB"/>
        </w:rPr>
        <w:t xml:space="preserve">the text makes the claim that </w:t>
      </w:r>
      <w:r w:rsidR="00AE0332" w:rsidRPr="009C5998">
        <w:rPr>
          <w:rFonts w:eastAsia="Baskerville Old Face" w:cs="Times New Roman"/>
          <w:lang w:val="en-GB"/>
        </w:rPr>
        <w:t xml:space="preserve">it is through the relation of </w:t>
      </w:r>
      <w:r w:rsidR="00AE0332" w:rsidRPr="009C5998">
        <w:rPr>
          <w:rFonts w:eastAsia="Baskerville Old Face" w:cs="Times New Roman"/>
          <w:i/>
          <w:lang w:val="en-GB"/>
        </w:rPr>
        <w:t>appearing</w:t>
      </w:r>
      <w:r w:rsidR="00AE0332" w:rsidRPr="009C5998">
        <w:rPr>
          <w:rFonts w:eastAsia="Baskerville Old Face" w:cs="Times New Roman"/>
          <w:lang w:val="en-GB"/>
        </w:rPr>
        <w:t xml:space="preserve"> that we are led to consider ThIs. </w:t>
      </w:r>
      <w:r w:rsidR="00DB27A8" w:rsidRPr="009C5998">
        <w:rPr>
          <w:rFonts w:eastAsia="Baskerville Old Face" w:cs="Times New Roman"/>
          <w:lang w:val="en-GB"/>
        </w:rPr>
        <w:t>O</w:t>
      </w:r>
      <w:r w:rsidR="00F053A0" w:rsidRPr="009C5998">
        <w:rPr>
          <w:rFonts w:eastAsia="Baskerville Old Face" w:cs="Times New Roman"/>
          <w:lang w:val="en-GB"/>
        </w:rPr>
        <w:t>n its own</w:t>
      </w:r>
      <w:r w:rsidR="00192C2D">
        <w:rPr>
          <w:rFonts w:eastAsia="Baskerville Old Face" w:cs="Times New Roman"/>
          <w:lang w:val="en-GB"/>
        </w:rPr>
        <w:t>,</w:t>
      </w:r>
      <w:r w:rsidR="00F053A0" w:rsidRPr="009C5998">
        <w:rPr>
          <w:rFonts w:eastAsia="Baskerville Old Face" w:cs="Times New Roman"/>
          <w:lang w:val="en-GB"/>
        </w:rPr>
        <w:t xml:space="preserve"> however, </w:t>
      </w:r>
      <w:r w:rsidR="00DB27A8" w:rsidRPr="009C5998">
        <w:rPr>
          <w:rFonts w:eastAsia="Baskerville Old Face" w:cs="Times New Roman"/>
          <w:lang w:val="en-GB"/>
        </w:rPr>
        <w:t xml:space="preserve">this is </w:t>
      </w:r>
      <w:r w:rsidR="00F053A0" w:rsidRPr="009C5998">
        <w:rPr>
          <w:rFonts w:eastAsia="Baskerville Old Face" w:cs="Times New Roman"/>
          <w:lang w:val="en-GB"/>
        </w:rPr>
        <w:t xml:space="preserve">uninformative </w:t>
      </w:r>
      <w:r w:rsidR="00976BD9" w:rsidRPr="009C5998">
        <w:rPr>
          <w:rFonts w:eastAsia="Baskerville Old Face" w:cs="Times New Roman"/>
          <w:lang w:val="en-GB"/>
        </w:rPr>
        <w:t>since</w:t>
      </w:r>
      <w:r w:rsidR="00F053A0" w:rsidRPr="009C5998">
        <w:rPr>
          <w:rFonts w:eastAsia="Baskerville Old Face" w:cs="Times New Roman"/>
          <w:lang w:val="en-GB"/>
        </w:rPr>
        <w:t xml:space="preserve"> it amounts to saying that ThIs are what appears as appearances.</w:t>
      </w:r>
    </w:p>
    <w:p w14:paraId="622F745E" w14:textId="4555D006" w:rsidR="00096BB5" w:rsidRPr="009C5998" w:rsidRDefault="00B63FA9"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The second </w:t>
      </w:r>
      <w:r w:rsidR="00F83B31">
        <w:rPr>
          <w:rFonts w:eastAsia="Baskerville Old Face" w:cs="Times New Roman"/>
          <w:lang w:val="en-GB"/>
        </w:rPr>
        <w:t xml:space="preserve">transcendental function </w:t>
      </w:r>
      <w:r w:rsidRPr="009C5998">
        <w:rPr>
          <w:rFonts w:eastAsia="Baskerville Old Face" w:cs="Times New Roman"/>
          <w:lang w:val="en-GB"/>
        </w:rPr>
        <w:t xml:space="preserve">is </w:t>
      </w:r>
      <w:r w:rsidR="00F053A0" w:rsidRPr="009C5998">
        <w:rPr>
          <w:rFonts w:eastAsia="Baskerville Old Face" w:cs="Times New Roman"/>
          <w:lang w:val="en-GB"/>
        </w:rPr>
        <w:t xml:space="preserve">what is referred to as </w:t>
      </w:r>
      <w:r w:rsidR="00F053A0" w:rsidRPr="009C5998">
        <w:rPr>
          <w:rFonts w:eastAsia="Baskerville Old Face" w:cs="Times New Roman"/>
          <w:i/>
          <w:lang w:val="en-GB"/>
        </w:rPr>
        <w:t>transcendental affection</w:t>
      </w:r>
      <w:r w:rsidR="00F053A0" w:rsidRPr="009C5998">
        <w:rPr>
          <w:rFonts w:eastAsia="Baskerville Old Face" w:cs="Times New Roman"/>
          <w:lang w:val="en-GB"/>
        </w:rPr>
        <w:t xml:space="preserve"> in the literature. This is the requirement that something that is independent of the mind should affect our sensibility, something that Jacobi (19</w:t>
      </w:r>
      <w:r w:rsidR="009369D4" w:rsidRPr="009C5998">
        <w:rPr>
          <w:rFonts w:eastAsia="Baskerville Old Face" w:cs="Times New Roman"/>
          <w:lang w:val="en-GB"/>
        </w:rPr>
        <w:t>9</w:t>
      </w:r>
      <w:r w:rsidR="00F053A0" w:rsidRPr="009C5998">
        <w:rPr>
          <w:rFonts w:eastAsia="Baskerville Old Face" w:cs="Times New Roman"/>
          <w:lang w:val="en-GB"/>
        </w:rPr>
        <w:t xml:space="preserve">4) famously claimed was needed to enter the Critical system. </w:t>
      </w:r>
      <w:r w:rsidR="007A0B40" w:rsidRPr="009C5998">
        <w:rPr>
          <w:rFonts w:eastAsia="Baskerville Old Face" w:cs="Times New Roman"/>
          <w:lang w:val="en-GB"/>
        </w:rPr>
        <w:t>In the first section of the Transcendental Aesthetic, Kant produces a short transcendental argument by claiming that the object’s being given to us is ‘possible only if it affects the mind in a certain way’ (A19/B33). While a straightforward identification of the object with the ThI, which is the most widespread interpretation of this passage (Gardner 1999:</w:t>
      </w:r>
      <w:r w:rsidR="00E551AE" w:rsidRPr="009C5998">
        <w:rPr>
          <w:rFonts w:eastAsia="Baskerville Old Face" w:cs="Times New Roman"/>
          <w:lang w:val="en-GB"/>
        </w:rPr>
        <w:t xml:space="preserve"> </w:t>
      </w:r>
      <w:r w:rsidR="007A0B40" w:rsidRPr="009C5998">
        <w:rPr>
          <w:rFonts w:eastAsia="Baskerville Old Face" w:cs="Times New Roman"/>
          <w:lang w:val="en-GB"/>
        </w:rPr>
        <w:t>287</w:t>
      </w:r>
      <w:r w:rsidR="00CA18F3">
        <w:rPr>
          <w:rFonts w:eastAsia="Baskerville Old Face" w:cs="Times New Roman"/>
          <w:lang w:val="en-GB"/>
        </w:rPr>
        <w:t>,</w:t>
      </w:r>
      <w:r w:rsidR="007A0B40" w:rsidRPr="009C5998">
        <w:rPr>
          <w:rFonts w:eastAsia="Baskerville Old Face" w:cs="Times New Roman"/>
          <w:lang w:val="en-GB"/>
        </w:rPr>
        <w:t xml:space="preserve"> Longuenesse 1998:</w:t>
      </w:r>
      <w:r w:rsidR="00E551AE" w:rsidRPr="009C5998">
        <w:rPr>
          <w:rFonts w:eastAsia="Baskerville Old Face" w:cs="Times New Roman"/>
          <w:lang w:val="en-GB"/>
        </w:rPr>
        <w:t xml:space="preserve"> </w:t>
      </w:r>
      <w:r w:rsidR="007A0B40" w:rsidRPr="009C5998">
        <w:rPr>
          <w:rFonts w:eastAsia="Baskerville Old Face" w:cs="Times New Roman"/>
          <w:lang w:val="en-GB"/>
        </w:rPr>
        <w:t>22</w:t>
      </w:r>
      <w:r w:rsidR="00CA18F3">
        <w:rPr>
          <w:rFonts w:eastAsia="Baskerville Old Face" w:cs="Times New Roman"/>
          <w:lang w:val="en-GB"/>
        </w:rPr>
        <w:t>,</w:t>
      </w:r>
      <w:r w:rsidR="007A0B40" w:rsidRPr="009C5998">
        <w:rPr>
          <w:rFonts w:eastAsia="Baskerville Old Face" w:cs="Times New Roman"/>
          <w:lang w:val="en-GB"/>
        </w:rPr>
        <w:t xml:space="preserve"> Westphal 2004:</w:t>
      </w:r>
      <w:r w:rsidR="00E551AE" w:rsidRPr="009C5998">
        <w:rPr>
          <w:rFonts w:eastAsia="Baskerville Old Face" w:cs="Times New Roman"/>
          <w:lang w:val="en-GB"/>
        </w:rPr>
        <w:t xml:space="preserve"> </w:t>
      </w:r>
      <w:r w:rsidR="007A0B40" w:rsidRPr="009C5998">
        <w:rPr>
          <w:rFonts w:eastAsia="Baskerville Old Face" w:cs="Times New Roman"/>
          <w:lang w:val="en-GB"/>
        </w:rPr>
        <w:t xml:space="preserve">52) is </w:t>
      </w:r>
      <w:r w:rsidR="00473165" w:rsidRPr="009C5998">
        <w:rPr>
          <w:rFonts w:eastAsia="Baskerville Old Face" w:cs="Times New Roman"/>
          <w:lang w:val="en-GB"/>
        </w:rPr>
        <w:t xml:space="preserve">perhaps </w:t>
      </w:r>
      <w:r w:rsidR="007A0B40" w:rsidRPr="009C5998">
        <w:rPr>
          <w:rFonts w:eastAsia="Baskerville Old Face" w:cs="Times New Roman"/>
          <w:lang w:val="en-GB"/>
        </w:rPr>
        <w:t>questionable,</w:t>
      </w:r>
      <w:r w:rsidR="00C245E6" w:rsidRPr="009C5998">
        <w:rPr>
          <w:rStyle w:val="EndnoteReference"/>
          <w:rFonts w:eastAsia="Baskerville Old Face" w:cs="Times New Roman"/>
          <w:lang w:val="en-GB"/>
        </w:rPr>
        <w:endnoteReference w:id="4"/>
      </w:r>
      <w:r w:rsidR="007A0B40" w:rsidRPr="009C5998">
        <w:rPr>
          <w:rFonts w:eastAsia="Baskerville Old Face" w:cs="Times New Roman"/>
          <w:lang w:val="en-GB"/>
        </w:rPr>
        <w:t xml:space="preserve"> the claim that the mind is affected by something implies that there is some mind-independent thing </w:t>
      </w:r>
      <w:r w:rsidR="00E8311F" w:rsidRPr="009C5998">
        <w:rPr>
          <w:rFonts w:eastAsia="Baskerville Old Face" w:cs="Times New Roman"/>
          <w:lang w:val="en-GB"/>
        </w:rPr>
        <w:t>producing sensations</w:t>
      </w:r>
      <w:r w:rsidR="007A0B40" w:rsidRPr="009C5998">
        <w:rPr>
          <w:rFonts w:eastAsia="Baskerville Old Face" w:cs="Times New Roman"/>
          <w:lang w:val="en-GB"/>
        </w:rPr>
        <w:t>, and this can only be the ThI</w:t>
      </w:r>
      <w:r w:rsidR="00364640" w:rsidRPr="009C5998">
        <w:rPr>
          <w:rFonts w:eastAsia="Baskerville Old Face" w:cs="Times New Roman"/>
          <w:lang w:val="en-GB"/>
        </w:rPr>
        <w:t xml:space="preserve">. </w:t>
      </w:r>
      <w:r w:rsidR="00145EB0" w:rsidRPr="009C5998">
        <w:rPr>
          <w:rFonts w:eastAsia="Baskerville Old Face" w:cs="Times New Roman"/>
          <w:lang w:val="en-GB"/>
        </w:rPr>
        <w:t>There are several other occurrences of this claim in Kant’s theoretical philosophy</w:t>
      </w:r>
      <w:r w:rsidR="00364640" w:rsidRPr="009C5998">
        <w:rPr>
          <w:rFonts w:eastAsia="Baskerville Old Face" w:cs="Times New Roman"/>
          <w:lang w:val="en-GB"/>
        </w:rPr>
        <w:t xml:space="preserve"> (e.g. B207, A253/B309</w:t>
      </w:r>
      <w:r w:rsidR="007911B2" w:rsidRPr="009C5998">
        <w:rPr>
          <w:rFonts w:eastAsia="Baskerville Old Face" w:cs="Times New Roman"/>
          <w:lang w:val="en-GB"/>
        </w:rPr>
        <w:t xml:space="preserve">; </w:t>
      </w:r>
      <w:r w:rsidR="00783C53">
        <w:rPr>
          <w:rFonts w:eastAsia="Baskerville Old Face" w:cs="Times New Roman"/>
          <w:i/>
          <w:lang w:val="en-GB"/>
        </w:rPr>
        <w:t>Prolegomena</w:t>
      </w:r>
      <w:r w:rsidR="002823B6">
        <w:rPr>
          <w:rFonts w:eastAsia="Baskerville Old Face" w:cs="Times New Roman"/>
          <w:i/>
          <w:lang w:val="en-GB"/>
        </w:rPr>
        <w:t xml:space="preserve"> </w:t>
      </w:r>
      <w:r w:rsidR="002823B6">
        <w:rPr>
          <w:rFonts w:eastAsia="Baskerville Old Face" w:cs="Times New Roman"/>
          <w:lang w:val="en-GB"/>
        </w:rPr>
        <w:t>[hereafter, P]</w:t>
      </w:r>
      <w:r w:rsidR="00783C53">
        <w:rPr>
          <w:rFonts w:eastAsia="Baskerville Old Face" w:cs="Times New Roman"/>
          <w:i/>
          <w:lang w:val="en-GB"/>
        </w:rPr>
        <w:t xml:space="preserve">, </w:t>
      </w:r>
      <w:r w:rsidR="007911B2" w:rsidRPr="009C5998">
        <w:rPr>
          <w:rFonts w:eastAsia="Baskerville Old Face" w:cs="Times New Roman"/>
          <w:lang w:val="en-GB"/>
        </w:rPr>
        <w:t>4</w:t>
      </w:r>
      <w:r w:rsidR="00364640" w:rsidRPr="009C5998">
        <w:rPr>
          <w:rFonts w:eastAsia="Baskerville Old Face" w:cs="Times New Roman"/>
          <w:lang w:val="en-GB"/>
        </w:rPr>
        <w:t>: 314-5</w:t>
      </w:r>
      <w:r w:rsidR="00793946">
        <w:rPr>
          <w:rFonts w:eastAsia="Baskerville Old Face" w:cs="Times New Roman"/>
          <w:lang w:val="en-GB"/>
        </w:rPr>
        <w:t>,</w:t>
      </w:r>
      <w:r w:rsidR="007911B2" w:rsidRPr="009C5998">
        <w:rPr>
          <w:rFonts w:eastAsia="Baskerville Old Face" w:cs="Times New Roman"/>
          <w:lang w:val="en-GB"/>
        </w:rPr>
        <w:t xml:space="preserve"> </w:t>
      </w:r>
      <w:r w:rsidR="00364640" w:rsidRPr="009C5998">
        <w:rPr>
          <w:rFonts w:eastAsia="Baskerville Old Face" w:cs="Times New Roman"/>
          <w:lang w:val="en-GB"/>
        </w:rPr>
        <w:t>318).</w:t>
      </w:r>
      <w:r w:rsidR="001D6196" w:rsidRPr="009C5998">
        <w:rPr>
          <w:rStyle w:val="EndnoteReference"/>
          <w:rFonts w:eastAsia="Baskerville Old Face" w:cs="Times New Roman"/>
          <w:lang w:val="en-GB"/>
        </w:rPr>
        <w:endnoteReference w:id="5"/>
      </w:r>
    </w:p>
    <w:p w14:paraId="3D6F9989" w14:textId="6ED5E97B" w:rsidR="00473165" w:rsidRPr="009C5998" w:rsidRDefault="00EC02AC" w:rsidP="00A767F9">
      <w:pPr>
        <w:pStyle w:val="BodyA"/>
        <w:spacing w:after="240" w:line="480" w:lineRule="auto"/>
        <w:rPr>
          <w:rFonts w:eastAsia="Baskerville Old Face" w:cs="Times New Roman"/>
          <w:lang w:val="en-GB"/>
        </w:rPr>
      </w:pPr>
      <w:r w:rsidRPr="009C5998">
        <w:rPr>
          <w:rFonts w:eastAsia="Baskerville Old Face" w:cs="Times New Roman"/>
          <w:lang w:val="en-GB"/>
        </w:rPr>
        <w:t>A third type of</w:t>
      </w:r>
      <w:r w:rsidR="00473165" w:rsidRPr="009C5998">
        <w:rPr>
          <w:rFonts w:eastAsia="Baskerville Old Face" w:cs="Times New Roman"/>
          <w:lang w:val="en-GB"/>
        </w:rPr>
        <w:t xml:space="preserve"> textual resource </w:t>
      </w:r>
      <w:r w:rsidR="0058737B" w:rsidRPr="009C5998">
        <w:rPr>
          <w:rFonts w:eastAsia="Baskerville Old Face" w:cs="Times New Roman"/>
          <w:lang w:val="en-GB"/>
        </w:rPr>
        <w:t>should</w:t>
      </w:r>
      <w:r w:rsidR="00D67615" w:rsidRPr="009C5998">
        <w:rPr>
          <w:rFonts w:eastAsia="Baskerville Old Face" w:cs="Times New Roman"/>
          <w:lang w:val="en-GB"/>
        </w:rPr>
        <w:t xml:space="preserve"> also be </w:t>
      </w:r>
      <w:r w:rsidR="0058737B" w:rsidRPr="009C5998">
        <w:rPr>
          <w:rFonts w:eastAsia="Baskerville Old Face" w:cs="Times New Roman"/>
          <w:lang w:val="en-GB"/>
        </w:rPr>
        <w:t>considered for</w:t>
      </w:r>
      <w:r w:rsidR="00105332">
        <w:rPr>
          <w:rFonts w:eastAsia="Baskerville Old Face" w:cs="Times New Roman"/>
          <w:lang w:val="en-GB"/>
        </w:rPr>
        <w:t>,</w:t>
      </w:r>
      <w:r w:rsidR="0058737B" w:rsidRPr="009C5998">
        <w:rPr>
          <w:rFonts w:eastAsia="Baskerville Old Face" w:cs="Times New Roman"/>
          <w:lang w:val="en-GB"/>
        </w:rPr>
        <w:t xml:space="preserve"> </w:t>
      </w:r>
      <w:r w:rsidR="00473165" w:rsidRPr="009C5998">
        <w:rPr>
          <w:rFonts w:eastAsia="Baskerville Old Face" w:cs="Times New Roman"/>
          <w:lang w:val="en-GB"/>
        </w:rPr>
        <w:t xml:space="preserve">although </w:t>
      </w:r>
      <w:r w:rsidR="00977B65" w:rsidRPr="009C5998">
        <w:rPr>
          <w:rFonts w:eastAsia="Baskerville Old Face" w:cs="Times New Roman"/>
          <w:lang w:val="en-GB"/>
        </w:rPr>
        <w:t>it does not explicitly define a transcendental condition, it defines another possible transcendental function of ThIs</w:t>
      </w:r>
      <w:r w:rsidR="00473165" w:rsidRPr="009C5998">
        <w:rPr>
          <w:rFonts w:eastAsia="Baskerville Old Face" w:cs="Times New Roman"/>
          <w:lang w:val="en-GB"/>
        </w:rPr>
        <w:t>. This is the claim that appearances are grounded in ThIs</w:t>
      </w:r>
      <w:r w:rsidR="00977B65" w:rsidRPr="009C5998">
        <w:rPr>
          <w:rFonts w:eastAsia="Baskerville Old Face" w:cs="Times New Roman"/>
          <w:lang w:val="en-GB"/>
        </w:rPr>
        <w:t>, thereby suggesting that their function lies precisely in this grounding role</w:t>
      </w:r>
      <w:r w:rsidR="00D079C1" w:rsidRPr="009C5998">
        <w:rPr>
          <w:rFonts w:eastAsia="Baskerville Old Face" w:cs="Times New Roman"/>
          <w:lang w:val="en-GB"/>
        </w:rPr>
        <w:t>: ‘[t]he transcendental object … is … an unknown ground of … appearances’</w:t>
      </w:r>
      <w:r w:rsidR="00C245E6" w:rsidRPr="009C5998">
        <w:rPr>
          <w:rStyle w:val="EndnoteReference"/>
          <w:rFonts w:eastAsia="Baskerville Old Face" w:cs="Times New Roman"/>
          <w:lang w:val="en-GB"/>
        </w:rPr>
        <w:endnoteReference w:id="6"/>
      </w:r>
      <w:r w:rsidR="00D079C1" w:rsidRPr="009C5998">
        <w:rPr>
          <w:rFonts w:eastAsia="Baskerville Old Face" w:cs="Times New Roman"/>
          <w:lang w:val="en-GB"/>
        </w:rPr>
        <w:t xml:space="preserve"> (A379-80</w:t>
      </w:r>
      <w:r w:rsidR="00E674DE">
        <w:rPr>
          <w:rFonts w:eastAsia="Baskerville Old Face" w:cs="Times New Roman"/>
          <w:lang w:val="en-GB"/>
        </w:rPr>
        <w:t>,</w:t>
      </w:r>
      <w:r w:rsidR="00D079C1" w:rsidRPr="009C5998">
        <w:rPr>
          <w:rFonts w:eastAsia="Baskerville Old Face" w:cs="Times New Roman"/>
          <w:lang w:val="en-GB"/>
        </w:rPr>
        <w:t xml:space="preserve"> see also A537/B565</w:t>
      </w:r>
      <w:r w:rsidR="007911B2" w:rsidRPr="009C5998">
        <w:rPr>
          <w:rFonts w:eastAsia="Baskerville Old Face" w:cs="Times New Roman"/>
          <w:lang w:val="en-GB"/>
        </w:rPr>
        <w:t>;</w:t>
      </w:r>
      <w:r w:rsidR="00D079C1" w:rsidRPr="009C5998">
        <w:rPr>
          <w:rFonts w:eastAsia="Baskerville Old Face" w:cs="Times New Roman"/>
          <w:lang w:val="en-GB"/>
        </w:rPr>
        <w:t xml:space="preserve"> </w:t>
      </w:r>
      <w:r w:rsidR="008256B2">
        <w:rPr>
          <w:rFonts w:eastAsia="Baskerville Old Face" w:cs="Times New Roman"/>
          <w:lang w:val="en-GB"/>
        </w:rPr>
        <w:t xml:space="preserve">P, </w:t>
      </w:r>
      <w:r w:rsidR="007911B2" w:rsidRPr="009C5998">
        <w:rPr>
          <w:rFonts w:eastAsia="Baskerville Old Face" w:cs="Times New Roman"/>
          <w:lang w:val="en-GB"/>
        </w:rPr>
        <w:t>4</w:t>
      </w:r>
      <w:r w:rsidR="00D079C1" w:rsidRPr="009C5998">
        <w:rPr>
          <w:rFonts w:eastAsia="Baskerville Old Face" w:cs="Times New Roman"/>
          <w:lang w:val="en-GB"/>
        </w:rPr>
        <w:t>: 315).</w:t>
      </w:r>
    </w:p>
    <w:p w14:paraId="694AA6C3" w14:textId="4535E33E" w:rsidR="00A524BF" w:rsidRPr="009C5998" w:rsidRDefault="00A524BF" w:rsidP="00CF229E">
      <w:pPr>
        <w:pStyle w:val="BodyA"/>
        <w:spacing w:after="240"/>
        <w:rPr>
          <w:rFonts w:eastAsia="Baskerville Old Face" w:cs="Times New Roman"/>
          <w:i/>
          <w:lang w:val="en-GB"/>
        </w:rPr>
      </w:pPr>
      <w:r w:rsidRPr="009C5998">
        <w:rPr>
          <w:rFonts w:eastAsia="Baskerville Old Face" w:cs="Times New Roman"/>
          <w:i/>
          <w:lang w:val="en-GB"/>
        </w:rPr>
        <w:t>A</w:t>
      </w:r>
      <w:r w:rsidR="00DF0755" w:rsidRPr="009C5998">
        <w:rPr>
          <w:rFonts w:eastAsia="Baskerville Old Face" w:cs="Times New Roman"/>
          <w:i/>
          <w:lang w:val="en-GB"/>
        </w:rPr>
        <w:t xml:space="preserve"> unifying </w:t>
      </w:r>
      <w:r w:rsidRPr="009C5998">
        <w:rPr>
          <w:rFonts w:eastAsia="Baskerville Old Face" w:cs="Times New Roman"/>
          <w:i/>
          <w:lang w:val="en-GB"/>
        </w:rPr>
        <w:t xml:space="preserve">account of </w:t>
      </w:r>
      <w:r w:rsidR="00DF0755" w:rsidRPr="009C5998">
        <w:rPr>
          <w:rFonts w:eastAsia="Baskerville Old Face" w:cs="Times New Roman"/>
          <w:i/>
          <w:lang w:val="en-GB"/>
        </w:rPr>
        <w:t>the transcendental function of ThIs</w:t>
      </w:r>
    </w:p>
    <w:p w14:paraId="54C8B5B3" w14:textId="49350543" w:rsidR="006E6540" w:rsidRPr="009C5998" w:rsidRDefault="007911B2"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Calling the </w:t>
      </w:r>
      <w:r w:rsidR="00DF0755" w:rsidRPr="009C5998">
        <w:rPr>
          <w:rFonts w:eastAsia="Baskerville Old Face" w:cs="Times New Roman"/>
          <w:lang w:val="en-GB"/>
        </w:rPr>
        <w:t xml:space="preserve">above </w:t>
      </w:r>
      <w:r w:rsidRPr="009C5998">
        <w:rPr>
          <w:rFonts w:eastAsia="Baskerville Old Face" w:cs="Times New Roman"/>
          <w:lang w:val="en-GB"/>
        </w:rPr>
        <w:t xml:space="preserve">three candidate </w:t>
      </w:r>
      <w:r w:rsidR="0091675A" w:rsidRPr="009C5998">
        <w:rPr>
          <w:rFonts w:eastAsia="Baskerville Old Face" w:cs="Times New Roman"/>
          <w:lang w:val="en-GB"/>
        </w:rPr>
        <w:t xml:space="preserve">claims for the </w:t>
      </w:r>
      <w:r w:rsidRPr="009C5998">
        <w:rPr>
          <w:rFonts w:eastAsia="Baskerville Old Face" w:cs="Times New Roman"/>
          <w:lang w:val="en-GB"/>
        </w:rPr>
        <w:t>transcendental function</w:t>
      </w:r>
      <w:r w:rsidR="00617BB5" w:rsidRPr="009C5998">
        <w:rPr>
          <w:rFonts w:eastAsia="Baskerville Old Face" w:cs="Times New Roman"/>
          <w:lang w:val="en-GB"/>
        </w:rPr>
        <w:t xml:space="preserve"> of ThIs</w:t>
      </w:r>
      <w:r w:rsidRPr="009C5998">
        <w:rPr>
          <w:rFonts w:eastAsia="Baskerville Old Face" w:cs="Times New Roman"/>
          <w:lang w:val="en-GB"/>
        </w:rPr>
        <w:t xml:space="preserve"> </w:t>
      </w:r>
      <w:r w:rsidR="0091675A" w:rsidRPr="009C5998">
        <w:rPr>
          <w:rFonts w:eastAsia="Baskerville Old Face" w:cs="Times New Roman"/>
          <w:lang w:val="en-GB"/>
        </w:rPr>
        <w:t>(</w:t>
      </w:r>
      <w:r w:rsidRPr="009C5998">
        <w:rPr>
          <w:rFonts w:eastAsia="Baskerville Old Face" w:cs="Times New Roman"/>
          <w:lang w:val="en-GB"/>
        </w:rPr>
        <w:t>T1</w:t>
      </w:r>
      <w:r w:rsidR="0091675A" w:rsidRPr="009C5998">
        <w:rPr>
          <w:rFonts w:eastAsia="Baskerville Old Face" w:cs="Times New Roman"/>
          <w:lang w:val="en-GB"/>
        </w:rPr>
        <w:t>)</w:t>
      </w:r>
      <w:r w:rsidRPr="009C5998">
        <w:rPr>
          <w:rFonts w:eastAsia="Baskerville Old Face" w:cs="Times New Roman"/>
          <w:lang w:val="en-GB"/>
        </w:rPr>
        <w:t xml:space="preserve">, </w:t>
      </w:r>
      <w:r w:rsidR="0091675A" w:rsidRPr="009C5998">
        <w:rPr>
          <w:rFonts w:eastAsia="Baskerville Old Face" w:cs="Times New Roman"/>
          <w:lang w:val="en-GB"/>
        </w:rPr>
        <w:t>(</w:t>
      </w:r>
      <w:r w:rsidRPr="009C5998">
        <w:rPr>
          <w:rFonts w:eastAsia="Baskerville Old Face" w:cs="Times New Roman"/>
          <w:lang w:val="en-GB"/>
        </w:rPr>
        <w:t>T2</w:t>
      </w:r>
      <w:r w:rsidR="0091675A" w:rsidRPr="009C5998">
        <w:rPr>
          <w:rFonts w:eastAsia="Baskerville Old Face" w:cs="Times New Roman"/>
          <w:lang w:val="en-GB"/>
        </w:rPr>
        <w:t>)</w:t>
      </w:r>
      <w:r w:rsidRPr="009C5998">
        <w:rPr>
          <w:rFonts w:eastAsia="Baskerville Old Face" w:cs="Times New Roman"/>
          <w:lang w:val="en-GB"/>
        </w:rPr>
        <w:t xml:space="preserve"> and </w:t>
      </w:r>
      <w:r w:rsidR="0091675A" w:rsidRPr="009C5998">
        <w:rPr>
          <w:rFonts w:eastAsia="Baskerville Old Face" w:cs="Times New Roman"/>
          <w:lang w:val="en-GB"/>
        </w:rPr>
        <w:t>(</w:t>
      </w:r>
      <w:r w:rsidRPr="009C5998">
        <w:rPr>
          <w:rFonts w:eastAsia="Baskerville Old Face" w:cs="Times New Roman"/>
          <w:lang w:val="en-GB"/>
        </w:rPr>
        <w:t>T3</w:t>
      </w:r>
      <w:r w:rsidR="0091675A" w:rsidRPr="009C5998">
        <w:rPr>
          <w:rFonts w:eastAsia="Baskerville Old Face" w:cs="Times New Roman"/>
          <w:lang w:val="en-GB"/>
        </w:rPr>
        <w:t>)</w:t>
      </w:r>
      <w:r w:rsidR="00617BB5" w:rsidRPr="009C5998">
        <w:rPr>
          <w:rFonts w:eastAsia="Baskerville Old Face" w:cs="Times New Roman"/>
          <w:lang w:val="en-GB"/>
        </w:rPr>
        <w:t xml:space="preserve"> respectively</w:t>
      </w:r>
      <w:r w:rsidRPr="009C5998">
        <w:rPr>
          <w:rFonts w:eastAsia="Baskerville Old Face" w:cs="Times New Roman"/>
          <w:lang w:val="en-GB"/>
        </w:rPr>
        <w:t xml:space="preserve">, one must ask how they are related. Looking at </w:t>
      </w:r>
      <w:r w:rsidR="00617BB5" w:rsidRPr="009C5998">
        <w:rPr>
          <w:rFonts w:eastAsia="Baskerville Old Face" w:cs="Times New Roman"/>
          <w:lang w:val="en-GB"/>
        </w:rPr>
        <w:t>(</w:t>
      </w:r>
      <w:r w:rsidRPr="009C5998">
        <w:rPr>
          <w:rFonts w:eastAsia="Baskerville Old Face" w:cs="Times New Roman"/>
          <w:lang w:val="en-GB"/>
        </w:rPr>
        <w:t>T2</w:t>
      </w:r>
      <w:r w:rsidR="00617BB5" w:rsidRPr="009C5998">
        <w:rPr>
          <w:rFonts w:eastAsia="Baskerville Old Face" w:cs="Times New Roman"/>
          <w:lang w:val="en-GB"/>
        </w:rPr>
        <w:t xml:space="preserve">) </w:t>
      </w:r>
      <w:r w:rsidRPr="009C5998">
        <w:rPr>
          <w:rFonts w:eastAsia="Baskerville Old Face" w:cs="Times New Roman"/>
          <w:lang w:val="en-GB"/>
        </w:rPr>
        <w:t xml:space="preserve">and </w:t>
      </w:r>
      <w:r w:rsidR="00617BB5" w:rsidRPr="009C5998">
        <w:rPr>
          <w:rFonts w:eastAsia="Baskerville Old Face" w:cs="Times New Roman"/>
          <w:lang w:val="en-GB"/>
        </w:rPr>
        <w:t>(</w:t>
      </w:r>
      <w:r w:rsidRPr="009C5998">
        <w:rPr>
          <w:rFonts w:eastAsia="Baskerville Old Face" w:cs="Times New Roman"/>
          <w:lang w:val="en-GB"/>
        </w:rPr>
        <w:t>T3</w:t>
      </w:r>
      <w:r w:rsidR="00617BB5" w:rsidRPr="009C5998">
        <w:rPr>
          <w:rFonts w:eastAsia="Baskerville Old Face" w:cs="Times New Roman"/>
          <w:lang w:val="en-GB"/>
        </w:rPr>
        <w:t>)</w:t>
      </w:r>
      <w:r w:rsidRPr="009C5998">
        <w:rPr>
          <w:rFonts w:eastAsia="Baskerville Old Face" w:cs="Times New Roman"/>
          <w:lang w:val="en-GB"/>
        </w:rPr>
        <w:t xml:space="preserve"> first, since they sometimes appear together e.g. </w:t>
      </w:r>
      <w:r w:rsidR="0058737B" w:rsidRPr="009C5998">
        <w:rPr>
          <w:rFonts w:eastAsia="Baskerville Old Face" w:cs="Times New Roman"/>
          <w:lang w:val="en-GB"/>
        </w:rPr>
        <w:t xml:space="preserve">in the </w:t>
      </w:r>
      <w:r w:rsidR="0058737B" w:rsidRPr="00533A7C">
        <w:rPr>
          <w:rFonts w:eastAsia="Baskerville Old Face" w:cs="Times New Roman"/>
          <w:i/>
          <w:lang w:val="en-GB"/>
        </w:rPr>
        <w:t>Prolegomena</w:t>
      </w:r>
      <w:r w:rsidR="0058737B" w:rsidRPr="009C5998">
        <w:rPr>
          <w:rFonts w:eastAsia="Baskerville Old Face" w:cs="Times New Roman"/>
          <w:lang w:val="en-GB"/>
        </w:rPr>
        <w:t xml:space="preserve"> (</w:t>
      </w:r>
      <w:r w:rsidR="008D4646" w:rsidRPr="009C5998">
        <w:rPr>
          <w:rFonts w:eastAsia="Baskerville Old Face" w:cs="Times New Roman"/>
          <w:lang w:val="en-GB"/>
        </w:rPr>
        <w:t xml:space="preserve">4: 314-5), it is often assumed that </w:t>
      </w:r>
      <w:r w:rsidR="00617BB5" w:rsidRPr="009C5998">
        <w:rPr>
          <w:rFonts w:eastAsia="Baskerville Old Face" w:cs="Times New Roman"/>
          <w:lang w:val="en-GB"/>
        </w:rPr>
        <w:t>(</w:t>
      </w:r>
      <w:r w:rsidR="008D4646" w:rsidRPr="009C5998">
        <w:rPr>
          <w:rFonts w:eastAsia="Baskerville Old Face" w:cs="Times New Roman"/>
          <w:lang w:val="en-GB"/>
        </w:rPr>
        <w:t>T2</w:t>
      </w:r>
      <w:r w:rsidR="00617BB5" w:rsidRPr="009C5998">
        <w:rPr>
          <w:rFonts w:eastAsia="Baskerville Old Face" w:cs="Times New Roman"/>
          <w:lang w:val="en-GB"/>
        </w:rPr>
        <w:t>)</w:t>
      </w:r>
      <w:r w:rsidR="008D4646" w:rsidRPr="009C5998">
        <w:rPr>
          <w:rFonts w:eastAsia="Baskerville Old Face" w:cs="Times New Roman"/>
          <w:lang w:val="en-GB"/>
        </w:rPr>
        <w:t xml:space="preserve"> entails </w:t>
      </w:r>
      <w:r w:rsidR="00617BB5" w:rsidRPr="009C5998">
        <w:rPr>
          <w:rFonts w:eastAsia="Baskerville Old Face" w:cs="Times New Roman"/>
          <w:lang w:val="en-GB"/>
        </w:rPr>
        <w:t>(</w:t>
      </w:r>
      <w:r w:rsidR="008D4646" w:rsidRPr="009C5998">
        <w:rPr>
          <w:rFonts w:eastAsia="Baskerville Old Face" w:cs="Times New Roman"/>
          <w:lang w:val="en-GB"/>
        </w:rPr>
        <w:t>T3</w:t>
      </w:r>
      <w:r w:rsidR="00617BB5" w:rsidRPr="009C5998">
        <w:rPr>
          <w:rFonts w:eastAsia="Baskerville Old Face" w:cs="Times New Roman"/>
          <w:lang w:val="en-GB"/>
        </w:rPr>
        <w:t>)</w:t>
      </w:r>
      <w:r w:rsidR="008D4646" w:rsidRPr="009C5998">
        <w:rPr>
          <w:rFonts w:eastAsia="Baskerville Old Face" w:cs="Times New Roman"/>
          <w:lang w:val="en-GB"/>
        </w:rPr>
        <w:t>, as indeed that passage might suggest. But that would mean that the fact that ThIs cause sensations accounts for their being the ground o</w:t>
      </w:r>
      <w:r w:rsidR="00617BB5" w:rsidRPr="009C5998">
        <w:rPr>
          <w:rFonts w:eastAsia="Baskerville Old Face" w:cs="Times New Roman"/>
          <w:lang w:val="en-GB"/>
        </w:rPr>
        <w:t>f</w:t>
      </w:r>
      <w:r w:rsidR="008D4646" w:rsidRPr="009C5998">
        <w:rPr>
          <w:rFonts w:eastAsia="Baskerville Old Face" w:cs="Times New Roman"/>
          <w:lang w:val="en-GB"/>
        </w:rPr>
        <w:t xml:space="preserve"> appearances.</w:t>
      </w:r>
      <w:r w:rsidR="007C1A67" w:rsidRPr="009C5998">
        <w:rPr>
          <w:rStyle w:val="EndnoteReference"/>
          <w:rFonts w:eastAsia="Baskerville Old Face" w:cs="Times New Roman"/>
          <w:lang w:val="en-GB"/>
        </w:rPr>
        <w:endnoteReference w:id="7"/>
      </w:r>
      <w:r w:rsidR="008D4646" w:rsidRPr="009C5998">
        <w:rPr>
          <w:rFonts w:eastAsia="Baskerville Old Face" w:cs="Times New Roman"/>
          <w:lang w:val="en-GB"/>
        </w:rPr>
        <w:t xml:space="preserve"> This entailment is not obvious because it derives a causal link between ThIs and appearances, i.e. empirical objects, from a causal link between ThIs and sensations. </w:t>
      </w:r>
      <w:r w:rsidR="00DD7A62" w:rsidRPr="009C5998">
        <w:rPr>
          <w:rFonts w:eastAsia="Baskerville Old Face" w:cs="Times New Roman"/>
          <w:lang w:val="en-GB"/>
        </w:rPr>
        <w:t>T</w:t>
      </w:r>
      <w:r w:rsidR="008D4646" w:rsidRPr="009C5998">
        <w:rPr>
          <w:rFonts w:eastAsia="Baskerville Old Face" w:cs="Times New Roman"/>
          <w:lang w:val="en-GB"/>
        </w:rPr>
        <w:t xml:space="preserve">he </w:t>
      </w:r>
      <w:r w:rsidR="00617BB5" w:rsidRPr="009C5998">
        <w:rPr>
          <w:rFonts w:eastAsia="Baskerville Old Face" w:cs="Times New Roman"/>
          <w:lang w:val="en-GB"/>
        </w:rPr>
        <w:t>missing link from sensations to empirical objects can hardly be described as</w:t>
      </w:r>
      <w:r w:rsidR="008D4646" w:rsidRPr="009C5998">
        <w:rPr>
          <w:rFonts w:eastAsia="Baskerville Old Face" w:cs="Times New Roman"/>
          <w:lang w:val="en-GB"/>
        </w:rPr>
        <w:t xml:space="preserve"> causal</w:t>
      </w:r>
      <w:r w:rsidR="00A607F7" w:rsidRPr="009C5998">
        <w:rPr>
          <w:rFonts w:eastAsia="Baskerville Old Face" w:cs="Times New Roman"/>
          <w:lang w:val="en-GB"/>
        </w:rPr>
        <w:t>,</w:t>
      </w:r>
      <w:r w:rsidR="008D4646" w:rsidRPr="009C5998">
        <w:rPr>
          <w:rFonts w:eastAsia="Baskerville Old Face" w:cs="Times New Roman"/>
          <w:lang w:val="en-GB"/>
        </w:rPr>
        <w:t xml:space="preserve"> since it </w:t>
      </w:r>
      <w:r w:rsidR="005759B7" w:rsidRPr="009C5998">
        <w:rPr>
          <w:rFonts w:eastAsia="Baskerville Old Face" w:cs="Times New Roman"/>
          <w:lang w:val="en-GB"/>
        </w:rPr>
        <w:t xml:space="preserve">involves acts of spontaneity </w:t>
      </w:r>
      <w:r w:rsidR="008D4646" w:rsidRPr="009C5998">
        <w:rPr>
          <w:rFonts w:eastAsia="Baskerville Old Face" w:cs="Times New Roman"/>
          <w:lang w:val="en-GB"/>
        </w:rPr>
        <w:t xml:space="preserve">bringing syntheses under the unity of apperception. </w:t>
      </w:r>
      <w:r w:rsidR="005759B7" w:rsidRPr="009C5998">
        <w:rPr>
          <w:rFonts w:eastAsia="Baskerville Old Face" w:cs="Times New Roman"/>
          <w:lang w:val="en-GB"/>
        </w:rPr>
        <w:t>I</w:t>
      </w:r>
      <w:r w:rsidR="008D4646" w:rsidRPr="009C5998">
        <w:rPr>
          <w:rFonts w:eastAsia="Baskerville Old Face" w:cs="Times New Roman"/>
          <w:lang w:val="en-GB"/>
        </w:rPr>
        <w:t xml:space="preserve">t is </w:t>
      </w:r>
      <w:r w:rsidR="005759B7" w:rsidRPr="009C5998">
        <w:rPr>
          <w:rFonts w:eastAsia="Baskerville Old Face" w:cs="Times New Roman"/>
          <w:lang w:val="en-GB"/>
        </w:rPr>
        <w:t xml:space="preserve">therefore </w:t>
      </w:r>
      <w:r w:rsidR="008D4646" w:rsidRPr="009C5998">
        <w:rPr>
          <w:rFonts w:eastAsia="Baskerville Old Face" w:cs="Times New Roman"/>
          <w:lang w:val="en-GB"/>
        </w:rPr>
        <w:t xml:space="preserve">not </w:t>
      </w:r>
      <w:r w:rsidR="00F54540" w:rsidRPr="009C5998">
        <w:rPr>
          <w:rFonts w:eastAsia="Baskerville Old Face" w:cs="Times New Roman"/>
          <w:lang w:val="en-GB"/>
        </w:rPr>
        <w:t xml:space="preserve">clear how to </w:t>
      </w:r>
      <w:r w:rsidR="008D4646" w:rsidRPr="009C5998">
        <w:rPr>
          <w:rFonts w:eastAsia="Baskerville Old Face" w:cs="Times New Roman"/>
          <w:lang w:val="en-GB"/>
        </w:rPr>
        <w:t xml:space="preserve">infer </w:t>
      </w:r>
      <w:r w:rsidR="00617BB5" w:rsidRPr="009C5998">
        <w:rPr>
          <w:rFonts w:eastAsia="Baskerville Old Face" w:cs="Times New Roman"/>
          <w:lang w:val="en-GB"/>
        </w:rPr>
        <w:t>(</w:t>
      </w:r>
      <w:r w:rsidR="008D4646" w:rsidRPr="009C5998">
        <w:rPr>
          <w:rFonts w:eastAsia="Baskerville Old Face" w:cs="Times New Roman"/>
          <w:lang w:val="en-GB"/>
        </w:rPr>
        <w:t>T3</w:t>
      </w:r>
      <w:r w:rsidR="00617BB5" w:rsidRPr="009C5998">
        <w:rPr>
          <w:rFonts w:eastAsia="Baskerville Old Face" w:cs="Times New Roman"/>
          <w:lang w:val="en-GB"/>
        </w:rPr>
        <w:t>)</w:t>
      </w:r>
      <w:r w:rsidR="008D4646" w:rsidRPr="009C5998">
        <w:rPr>
          <w:rFonts w:eastAsia="Baskerville Old Face" w:cs="Times New Roman"/>
          <w:lang w:val="en-GB"/>
        </w:rPr>
        <w:t xml:space="preserve"> from </w:t>
      </w:r>
      <w:r w:rsidR="00617BB5" w:rsidRPr="009C5998">
        <w:rPr>
          <w:rFonts w:eastAsia="Baskerville Old Face" w:cs="Times New Roman"/>
          <w:lang w:val="en-GB"/>
        </w:rPr>
        <w:t>(</w:t>
      </w:r>
      <w:r w:rsidR="008D4646" w:rsidRPr="009C5998">
        <w:rPr>
          <w:rFonts w:eastAsia="Baskerville Old Face" w:cs="Times New Roman"/>
          <w:lang w:val="en-GB"/>
        </w:rPr>
        <w:t>T2</w:t>
      </w:r>
      <w:r w:rsidR="00617BB5" w:rsidRPr="009C5998">
        <w:rPr>
          <w:rFonts w:eastAsia="Baskerville Old Face" w:cs="Times New Roman"/>
          <w:lang w:val="en-GB"/>
        </w:rPr>
        <w:t>)</w:t>
      </w:r>
      <w:r w:rsidR="008D4646" w:rsidRPr="009C5998">
        <w:rPr>
          <w:rFonts w:eastAsia="Baskerville Old Face" w:cs="Times New Roman"/>
          <w:lang w:val="en-GB"/>
        </w:rPr>
        <w:t xml:space="preserve">. Looking at the text from the </w:t>
      </w:r>
      <w:r w:rsidR="008D4646" w:rsidRPr="006B2699">
        <w:rPr>
          <w:rFonts w:eastAsia="Baskerville Old Face" w:cs="Times New Roman"/>
          <w:i/>
          <w:lang w:val="en-GB"/>
        </w:rPr>
        <w:t>Prolegomena</w:t>
      </w:r>
      <w:r w:rsidR="00523D3D" w:rsidRPr="009C5998">
        <w:rPr>
          <w:rFonts w:eastAsia="Baskerville Old Face" w:cs="Times New Roman"/>
          <w:lang w:val="en-GB"/>
        </w:rPr>
        <w:t xml:space="preserve"> (</w:t>
      </w:r>
      <w:r w:rsidR="00523D3D" w:rsidRPr="003248DD">
        <w:rPr>
          <w:rFonts w:eastAsia="Baskerville Old Face" w:cs="Times New Roman"/>
          <w:lang w:val="en-GB"/>
        </w:rPr>
        <w:t>4: 314-5</w:t>
      </w:r>
      <w:r w:rsidR="00523D3D" w:rsidRPr="009C5998">
        <w:rPr>
          <w:rFonts w:eastAsia="Baskerville Old Face" w:cs="Times New Roman"/>
          <w:lang w:val="en-GB"/>
        </w:rPr>
        <w:t>)</w:t>
      </w:r>
      <w:r w:rsidR="008D4646" w:rsidRPr="009C5998">
        <w:rPr>
          <w:rFonts w:eastAsia="Baskerville Old Face" w:cs="Times New Roman"/>
          <w:lang w:val="en-GB"/>
        </w:rPr>
        <w:t xml:space="preserve">, Kant says that concluding to </w:t>
      </w:r>
      <w:r w:rsidR="00617BB5" w:rsidRPr="009C5998">
        <w:rPr>
          <w:rFonts w:eastAsia="Baskerville Old Face" w:cs="Times New Roman"/>
          <w:lang w:val="en-GB"/>
        </w:rPr>
        <w:t>(</w:t>
      </w:r>
      <w:r w:rsidR="008D4646" w:rsidRPr="009C5998">
        <w:rPr>
          <w:rFonts w:eastAsia="Baskerville Old Face" w:cs="Times New Roman"/>
          <w:lang w:val="en-GB"/>
        </w:rPr>
        <w:t>T3</w:t>
      </w:r>
      <w:r w:rsidR="00617BB5" w:rsidRPr="009C5998">
        <w:rPr>
          <w:rFonts w:eastAsia="Baskerville Old Face" w:cs="Times New Roman"/>
          <w:lang w:val="en-GB"/>
        </w:rPr>
        <w:t>)</w:t>
      </w:r>
      <w:r w:rsidR="008D4646" w:rsidRPr="009C5998">
        <w:rPr>
          <w:rFonts w:eastAsia="Baskerville Old Face" w:cs="Times New Roman"/>
          <w:lang w:val="en-GB"/>
        </w:rPr>
        <w:t xml:space="preserve"> is ‘unavoidable’ (</w:t>
      </w:r>
      <w:r w:rsidR="008D4646" w:rsidRPr="003248DD">
        <w:rPr>
          <w:rFonts w:eastAsia="Baskerville Old Face" w:cs="Times New Roman"/>
          <w:i/>
          <w:lang w:val="en-GB"/>
        </w:rPr>
        <w:t>unvermeidlich</w:t>
      </w:r>
      <w:r w:rsidR="008D4646" w:rsidRPr="009C5998">
        <w:rPr>
          <w:rFonts w:eastAsia="Baskerville Old Face" w:cs="Times New Roman"/>
          <w:lang w:val="en-GB"/>
        </w:rPr>
        <w:t>)</w:t>
      </w:r>
      <w:r w:rsidR="00C25AD8" w:rsidRPr="009C5998">
        <w:rPr>
          <w:rFonts w:eastAsia="Baskerville Old Face" w:cs="Times New Roman"/>
          <w:lang w:val="en-GB"/>
        </w:rPr>
        <w:t xml:space="preserve">; </w:t>
      </w:r>
      <w:r w:rsidR="006E6540" w:rsidRPr="009C5998">
        <w:rPr>
          <w:rFonts w:eastAsia="Baskerville Old Face" w:cs="Times New Roman"/>
          <w:lang w:val="en-GB"/>
        </w:rPr>
        <w:t xml:space="preserve">this </w:t>
      </w:r>
      <w:r w:rsidR="00F54540" w:rsidRPr="009C5998">
        <w:rPr>
          <w:rFonts w:eastAsia="Baskerville Old Face" w:cs="Times New Roman"/>
          <w:lang w:val="en-GB"/>
        </w:rPr>
        <w:t xml:space="preserve">is </w:t>
      </w:r>
      <w:r w:rsidR="00617BB5" w:rsidRPr="009C5998">
        <w:rPr>
          <w:rFonts w:eastAsia="Baskerville Old Face" w:cs="Times New Roman"/>
          <w:lang w:val="en-GB"/>
        </w:rPr>
        <w:t xml:space="preserve">perhaps </w:t>
      </w:r>
      <w:r w:rsidR="00F54540" w:rsidRPr="009C5998">
        <w:rPr>
          <w:rFonts w:eastAsia="Baskerville Old Face" w:cs="Times New Roman"/>
          <w:lang w:val="en-GB"/>
        </w:rPr>
        <w:t>best</w:t>
      </w:r>
      <w:r w:rsidR="00617BB5" w:rsidRPr="009C5998">
        <w:rPr>
          <w:rFonts w:eastAsia="Baskerville Old Face" w:cs="Times New Roman"/>
          <w:lang w:val="en-GB"/>
        </w:rPr>
        <w:t xml:space="preserve"> read as claiming that</w:t>
      </w:r>
      <w:r w:rsidR="006E6540" w:rsidRPr="009C5998">
        <w:rPr>
          <w:rFonts w:eastAsia="Baskerville Old Face" w:cs="Times New Roman"/>
          <w:lang w:val="en-GB"/>
        </w:rPr>
        <w:t xml:space="preserve"> </w:t>
      </w:r>
      <w:r w:rsidR="00617BB5" w:rsidRPr="009C5998">
        <w:rPr>
          <w:rFonts w:eastAsia="Baskerville Old Face" w:cs="Times New Roman"/>
          <w:lang w:val="en-GB"/>
        </w:rPr>
        <w:t>(</w:t>
      </w:r>
      <w:r w:rsidR="006E6540" w:rsidRPr="009C5998">
        <w:rPr>
          <w:rFonts w:eastAsia="Baskerville Old Face" w:cs="Times New Roman"/>
          <w:lang w:val="en-GB"/>
        </w:rPr>
        <w:t>T3</w:t>
      </w:r>
      <w:r w:rsidR="00617BB5" w:rsidRPr="009C5998">
        <w:rPr>
          <w:rFonts w:eastAsia="Baskerville Old Face" w:cs="Times New Roman"/>
          <w:lang w:val="en-GB"/>
        </w:rPr>
        <w:t>)</w:t>
      </w:r>
      <w:r w:rsidR="006E6540" w:rsidRPr="009C5998">
        <w:rPr>
          <w:rFonts w:eastAsia="Baskerville Old Face" w:cs="Times New Roman"/>
          <w:lang w:val="en-GB"/>
        </w:rPr>
        <w:t xml:space="preserve"> is the only</w:t>
      </w:r>
      <w:r w:rsidR="00EA2CC4" w:rsidRPr="009C5998">
        <w:rPr>
          <w:rFonts w:eastAsia="Baskerville Old Face" w:cs="Times New Roman"/>
          <w:lang w:val="en-GB"/>
        </w:rPr>
        <w:t xml:space="preserve"> </w:t>
      </w:r>
      <w:r w:rsidR="006E6540" w:rsidRPr="009C5998">
        <w:rPr>
          <w:rFonts w:eastAsia="Baskerville Old Face" w:cs="Times New Roman"/>
          <w:lang w:val="en-GB"/>
        </w:rPr>
        <w:t xml:space="preserve">possible explanation for </w:t>
      </w:r>
      <w:r w:rsidR="00617BB5" w:rsidRPr="009C5998">
        <w:rPr>
          <w:rFonts w:eastAsia="Baskerville Old Face" w:cs="Times New Roman"/>
          <w:lang w:val="en-GB"/>
        </w:rPr>
        <w:t>(</w:t>
      </w:r>
      <w:r w:rsidR="006E6540" w:rsidRPr="009C5998">
        <w:rPr>
          <w:rFonts w:eastAsia="Baskerville Old Face" w:cs="Times New Roman"/>
          <w:lang w:val="en-GB"/>
        </w:rPr>
        <w:t>T2</w:t>
      </w:r>
      <w:r w:rsidR="00617BB5" w:rsidRPr="009C5998">
        <w:rPr>
          <w:rFonts w:eastAsia="Baskerville Old Face" w:cs="Times New Roman"/>
          <w:lang w:val="en-GB"/>
        </w:rPr>
        <w:t>)</w:t>
      </w:r>
      <w:r w:rsidR="006E6540" w:rsidRPr="009C5998">
        <w:rPr>
          <w:rFonts w:eastAsia="Baskerville Old Face" w:cs="Times New Roman"/>
          <w:lang w:val="en-GB"/>
        </w:rPr>
        <w:t xml:space="preserve">. Adopting that interpretation, we need to find a way of interpreting </w:t>
      </w:r>
      <w:r w:rsidR="00617BB5" w:rsidRPr="009C5998">
        <w:rPr>
          <w:rFonts w:eastAsia="Baskerville Old Face" w:cs="Times New Roman"/>
          <w:lang w:val="en-GB"/>
        </w:rPr>
        <w:t>(</w:t>
      </w:r>
      <w:r w:rsidR="006E6540" w:rsidRPr="009C5998">
        <w:rPr>
          <w:rFonts w:eastAsia="Baskerville Old Face" w:cs="Times New Roman"/>
          <w:lang w:val="en-GB"/>
        </w:rPr>
        <w:t>T3</w:t>
      </w:r>
      <w:r w:rsidR="00617BB5" w:rsidRPr="009C5998">
        <w:rPr>
          <w:rFonts w:eastAsia="Baskerville Old Face" w:cs="Times New Roman"/>
          <w:lang w:val="en-GB"/>
        </w:rPr>
        <w:t>)</w:t>
      </w:r>
      <w:r w:rsidR="006E6540" w:rsidRPr="009C5998">
        <w:rPr>
          <w:rFonts w:eastAsia="Baskerville Old Face" w:cs="Times New Roman"/>
          <w:lang w:val="en-GB"/>
        </w:rPr>
        <w:t>, i.e. the claim that ThIs ground appearances in such a way that it explains how it is that ThIs affect our sensibility.</w:t>
      </w:r>
    </w:p>
    <w:p w14:paraId="2C832842" w14:textId="0803280A" w:rsidR="007911B2" w:rsidRPr="009C5998" w:rsidRDefault="006E6540"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To do that, it is useful to note that Kant has an empirical account of the origin of sensations </w:t>
      </w:r>
      <w:r w:rsidR="00A334B5" w:rsidRPr="009C5998">
        <w:rPr>
          <w:rFonts w:eastAsia="Baskerville Old Face" w:cs="Times New Roman"/>
          <w:lang w:val="en-GB"/>
        </w:rPr>
        <w:t>(A28, B1, A213/B260; see also Aquila 1981:</w:t>
      </w:r>
      <w:r w:rsidR="00E551AE" w:rsidRPr="009C5998">
        <w:rPr>
          <w:rFonts w:eastAsia="Baskerville Old Face" w:cs="Times New Roman"/>
          <w:lang w:val="en-GB"/>
        </w:rPr>
        <w:t xml:space="preserve"> </w:t>
      </w:r>
      <w:r w:rsidR="00A334B5" w:rsidRPr="009C5998">
        <w:rPr>
          <w:rFonts w:eastAsia="Baskerville Old Face" w:cs="Times New Roman"/>
          <w:lang w:val="en-GB"/>
        </w:rPr>
        <w:t xml:space="preserve">13). This is commonly referred to as </w:t>
      </w:r>
      <w:r w:rsidR="00A334B5" w:rsidRPr="009C5998">
        <w:rPr>
          <w:rFonts w:eastAsia="Baskerville Old Face" w:cs="Times New Roman"/>
          <w:i/>
          <w:lang w:val="en-GB"/>
        </w:rPr>
        <w:t>empirical affection</w:t>
      </w:r>
      <w:r w:rsidR="00A334B5" w:rsidRPr="009C5998">
        <w:rPr>
          <w:rFonts w:eastAsia="Baskerville Old Face" w:cs="Times New Roman"/>
          <w:lang w:val="en-GB"/>
        </w:rPr>
        <w:t xml:space="preserve"> and is the </w:t>
      </w:r>
      <w:r w:rsidR="00F54540" w:rsidRPr="009C5998">
        <w:rPr>
          <w:rFonts w:eastAsia="Baskerville Old Face" w:cs="Times New Roman"/>
          <w:lang w:val="en-GB"/>
        </w:rPr>
        <w:t>fairly uncontroversial</w:t>
      </w:r>
      <w:r w:rsidR="00A334B5" w:rsidRPr="009C5998">
        <w:rPr>
          <w:rFonts w:eastAsia="Baskerville Old Face" w:cs="Times New Roman"/>
          <w:lang w:val="en-GB"/>
        </w:rPr>
        <w:t xml:space="preserve"> </w:t>
      </w:r>
      <w:r w:rsidR="00F54540" w:rsidRPr="009C5998">
        <w:rPr>
          <w:rFonts w:eastAsia="Baskerville Old Face" w:cs="Times New Roman"/>
          <w:lang w:val="en-GB"/>
        </w:rPr>
        <w:t>claim</w:t>
      </w:r>
      <w:r w:rsidR="00A334B5" w:rsidRPr="009C5998">
        <w:rPr>
          <w:rFonts w:eastAsia="Baskerville Old Face" w:cs="Times New Roman"/>
          <w:lang w:val="en-GB"/>
        </w:rPr>
        <w:t xml:space="preserve"> that our sensations </w:t>
      </w:r>
      <w:r w:rsidR="00C25AD8" w:rsidRPr="009C5998">
        <w:rPr>
          <w:rFonts w:eastAsia="Baskerville Old Face" w:cs="Times New Roman"/>
          <w:lang w:val="en-GB"/>
        </w:rPr>
        <w:t>occur in time</w:t>
      </w:r>
      <w:r w:rsidR="00A334B5" w:rsidRPr="009C5998">
        <w:rPr>
          <w:rFonts w:eastAsia="Baskerville Old Face" w:cs="Times New Roman"/>
          <w:lang w:val="en-GB"/>
        </w:rPr>
        <w:t xml:space="preserve"> as a result of the causal impact of spatio-temporal objects. </w:t>
      </w:r>
      <w:r w:rsidR="00F54540" w:rsidRPr="009C5998">
        <w:rPr>
          <w:rFonts w:eastAsia="Baskerville Old Face" w:cs="Times New Roman"/>
          <w:lang w:val="en-GB"/>
        </w:rPr>
        <w:t>Drawing upon</w:t>
      </w:r>
      <w:r w:rsidR="00A334B5" w:rsidRPr="009C5998">
        <w:rPr>
          <w:rFonts w:eastAsia="Baskerville Old Face" w:cs="Times New Roman"/>
          <w:lang w:val="en-GB"/>
        </w:rPr>
        <w:t xml:space="preserve"> this notion </w:t>
      </w:r>
      <w:r w:rsidR="00427373" w:rsidRPr="009C5998">
        <w:rPr>
          <w:rFonts w:eastAsia="Baskerville Old Face" w:cs="Times New Roman"/>
          <w:lang w:val="en-GB"/>
        </w:rPr>
        <w:t>at</w:t>
      </w:r>
      <w:r w:rsidR="00F54540" w:rsidRPr="009C5998">
        <w:rPr>
          <w:rFonts w:eastAsia="Baskerville Old Face" w:cs="Times New Roman"/>
          <w:lang w:val="en-GB"/>
        </w:rPr>
        <w:t xml:space="preserve"> </w:t>
      </w:r>
      <w:r w:rsidR="00A334B5" w:rsidRPr="009C5998">
        <w:rPr>
          <w:rFonts w:eastAsia="Baskerville Old Face" w:cs="Times New Roman"/>
          <w:lang w:val="en-GB"/>
        </w:rPr>
        <w:t xml:space="preserve">this stage might </w:t>
      </w:r>
      <w:r w:rsidR="00427373" w:rsidRPr="009C5998">
        <w:rPr>
          <w:rFonts w:eastAsia="Baskerville Old Face" w:cs="Times New Roman"/>
          <w:lang w:val="en-GB"/>
        </w:rPr>
        <w:t>appear</w:t>
      </w:r>
      <w:r w:rsidR="00A334B5" w:rsidRPr="009C5998">
        <w:rPr>
          <w:rFonts w:eastAsia="Baskerville Old Face" w:cs="Times New Roman"/>
          <w:lang w:val="en-GB"/>
        </w:rPr>
        <w:t xml:space="preserve"> to complicate matters insofar as it </w:t>
      </w:r>
      <w:r w:rsidR="00C25AD8" w:rsidRPr="009C5998">
        <w:rPr>
          <w:rFonts w:eastAsia="Baskerville Old Face" w:cs="Times New Roman"/>
          <w:lang w:val="en-GB"/>
        </w:rPr>
        <w:t xml:space="preserve">seemingly </w:t>
      </w:r>
      <w:r w:rsidR="00A334B5" w:rsidRPr="009C5998">
        <w:rPr>
          <w:rFonts w:eastAsia="Baskerville Old Face" w:cs="Times New Roman"/>
          <w:lang w:val="en-GB"/>
        </w:rPr>
        <w:t>bring</w:t>
      </w:r>
      <w:r w:rsidR="00C25AD8" w:rsidRPr="009C5998">
        <w:rPr>
          <w:rFonts w:eastAsia="Baskerville Old Face" w:cs="Times New Roman"/>
          <w:lang w:val="en-GB"/>
        </w:rPr>
        <w:t>s</w:t>
      </w:r>
      <w:r w:rsidR="00A334B5" w:rsidRPr="009C5998">
        <w:rPr>
          <w:rFonts w:eastAsia="Baskerville Old Face" w:cs="Times New Roman"/>
          <w:lang w:val="en-GB"/>
        </w:rPr>
        <w:t xml:space="preserve"> with it the famous problem of reconciling the two types of affection, transcendental and empirical, i.e. the problem of double affection</w:t>
      </w:r>
      <w:r w:rsidR="00FC3679">
        <w:rPr>
          <w:rFonts w:eastAsia="Baskerville Old Face" w:cs="Times New Roman"/>
          <w:lang w:val="en-GB"/>
        </w:rPr>
        <w:t xml:space="preserve"> </w:t>
      </w:r>
      <w:r w:rsidR="00FC3679">
        <w:t>(cf. Adickes, 1924)</w:t>
      </w:r>
      <w:r w:rsidR="00A334B5" w:rsidRPr="009C5998">
        <w:rPr>
          <w:rFonts w:eastAsia="Baskerville Old Face" w:cs="Times New Roman"/>
          <w:lang w:val="en-GB"/>
        </w:rPr>
        <w:t xml:space="preserve">. But in fact, we can avoid this problem </w:t>
      </w:r>
      <w:r w:rsidR="00F54540" w:rsidRPr="009C5998">
        <w:rPr>
          <w:rFonts w:eastAsia="Baskerville Old Face" w:cs="Times New Roman"/>
          <w:lang w:val="en-GB"/>
        </w:rPr>
        <w:t xml:space="preserve">precisely </w:t>
      </w:r>
      <w:r w:rsidR="00A334B5" w:rsidRPr="009C5998">
        <w:rPr>
          <w:rFonts w:eastAsia="Baskerville Old Face" w:cs="Times New Roman"/>
          <w:lang w:val="en-GB"/>
        </w:rPr>
        <w:t>by showing in what way empirical affection helps us understand how the transcendental grounding of appearances (T3) explains transcendental affection (T2).</w:t>
      </w:r>
    </w:p>
    <w:p w14:paraId="51AD6745" w14:textId="64B45BA8" w:rsidR="00A334B5" w:rsidRPr="009C5998" w:rsidRDefault="00893D18"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We therefore have, in effect, </w:t>
      </w:r>
      <w:r w:rsidR="00F440A1" w:rsidRPr="009C5998">
        <w:rPr>
          <w:rFonts w:eastAsia="Baskerville Old Face" w:cs="Times New Roman"/>
          <w:lang w:val="en-GB"/>
        </w:rPr>
        <w:t>claims about</w:t>
      </w:r>
      <w:r w:rsidR="00A334B5" w:rsidRPr="009C5998">
        <w:rPr>
          <w:rFonts w:eastAsia="Baskerville Old Face" w:cs="Times New Roman"/>
          <w:lang w:val="en-GB"/>
        </w:rPr>
        <w:t xml:space="preserve"> </w:t>
      </w:r>
      <w:r w:rsidR="00F74450" w:rsidRPr="009C5998">
        <w:rPr>
          <w:rFonts w:eastAsia="Baskerville Old Face" w:cs="Times New Roman"/>
          <w:lang w:val="en-GB"/>
        </w:rPr>
        <w:t>three causal links. These links are: the grounding of appearances in ThIs</w:t>
      </w:r>
      <w:r w:rsidR="00144C4E" w:rsidRPr="009C5998">
        <w:rPr>
          <w:rFonts w:eastAsia="Baskerville Old Face" w:cs="Times New Roman"/>
          <w:lang w:val="en-GB"/>
        </w:rPr>
        <w:t>,</w:t>
      </w:r>
      <w:r w:rsidR="00F74450" w:rsidRPr="009C5998">
        <w:rPr>
          <w:rFonts w:eastAsia="Baskerville Old Face" w:cs="Times New Roman"/>
          <w:lang w:val="en-GB"/>
        </w:rPr>
        <w:t xml:space="preserve"> </w:t>
      </w:r>
      <w:r w:rsidR="00144C4E" w:rsidRPr="009C5998">
        <w:rPr>
          <w:rFonts w:eastAsia="Baskerville Old Face" w:cs="Times New Roman"/>
          <w:lang w:val="en-GB"/>
        </w:rPr>
        <w:t xml:space="preserve">i.e. </w:t>
      </w:r>
      <w:r w:rsidR="00F74450" w:rsidRPr="009C5998">
        <w:rPr>
          <w:rFonts w:eastAsia="Baskerville Old Face" w:cs="Times New Roman"/>
          <w:lang w:val="en-GB"/>
        </w:rPr>
        <w:t>(T3), ThIs causing sensations through transcendental affection</w:t>
      </w:r>
      <w:r w:rsidR="00144C4E" w:rsidRPr="009C5998">
        <w:rPr>
          <w:rFonts w:eastAsia="Baskerville Old Face" w:cs="Times New Roman"/>
          <w:lang w:val="en-GB"/>
        </w:rPr>
        <w:t>,</w:t>
      </w:r>
      <w:r w:rsidR="00F74450" w:rsidRPr="009C5998">
        <w:rPr>
          <w:rFonts w:eastAsia="Baskerville Old Face" w:cs="Times New Roman"/>
          <w:lang w:val="en-GB"/>
        </w:rPr>
        <w:t xml:space="preserve"> </w:t>
      </w:r>
      <w:r w:rsidR="00144C4E" w:rsidRPr="009C5998">
        <w:rPr>
          <w:rFonts w:eastAsia="Baskerville Old Face" w:cs="Times New Roman"/>
          <w:lang w:val="en-GB"/>
        </w:rPr>
        <w:t xml:space="preserve">i.e. </w:t>
      </w:r>
      <w:r w:rsidR="00F74450" w:rsidRPr="009C5998">
        <w:rPr>
          <w:rFonts w:eastAsia="Baskerville Old Face" w:cs="Times New Roman"/>
          <w:lang w:val="en-GB"/>
        </w:rPr>
        <w:t>(T2)</w:t>
      </w:r>
      <w:r w:rsidR="00144C4E" w:rsidRPr="009C5998">
        <w:rPr>
          <w:rFonts w:eastAsia="Baskerville Old Face" w:cs="Times New Roman"/>
          <w:lang w:val="en-GB"/>
        </w:rPr>
        <w:t>,</w:t>
      </w:r>
      <w:r w:rsidR="00F74450" w:rsidRPr="009C5998">
        <w:rPr>
          <w:rFonts w:eastAsia="Baskerville Old Face" w:cs="Times New Roman"/>
          <w:lang w:val="en-GB"/>
        </w:rPr>
        <w:t xml:space="preserve"> and empirical objects/appearances causing sensations through empirical affection. I</w:t>
      </w:r>
      <w:r w:rsidR="00F440A1" w:rsidRPr="009C5998">
        <w:rPr>
          <w:rFonts w:eastAsia="Baskerville Old Face" w:cs="Times New Roman"/>
          <w:lang w:val="en-GB"/>
        </w:rPr>
        <w:t xml:space="preserve"> propose to interpret </w:t>
      </w:r>
      <w:r w:rsidR="00F74450" w:rsidRPr="009C5998">
        <w:rPr>
          <w:rFonts w:eastAsia="Baskerville Old Face" w:cs="Times New Roman"/>
          <w:lang w:val="en-GB"/>
        </w:rPr>
        <w:t xml:space="preserve">the grounding claim (T3) as the </w:t>
      </w:r>
      <w:r w:rsidR="00F74450" w:rsidRPr="009C5998">
        <w:rPr>
          <w:rFonts w:eastAsia="Baskerville Old Face" w:cs="Times New Roman"/>
          <w:i/>
          <w:lang w:val="en-GB"/>
        </w:rPr>
        <w:t>grounding of empirical causality</w:t>
      </w:r>
      <w:r w:rsidR="00F440A1" w:rsidRPr="009C5998">
        <w:rPr>
          <w:rFonts w:eastAsia="Baskerville Old Face" w:cs="Times New Roman"/>
          <w:lang w:val="en-GB"/>
        </w:rPr>
        <w:t>:</w:t>
      </w:r>
      <w:r w:rsidR="004002A6" w:rsidRPr="009C5998">
        <w:rPr>
          <w:rStyle w:val="EndnoteReference"/>
          <w:rFonts w:eastAsia="Baskerville Old Face" w:cs="Times New Roman"/>
          <w:lang w:val="en-GB"/>
        </w:rPr>
        <w:endnoteReference w:id="8"/>
      </w:r>
      <w:r w:rsidR="00F74450" w:rsidRPr="009C5998">
        <w:rPr>
          <w:rFonts w:eastAsia="Baskerville Old Face" w:cs="Times New Roman"/>
          <w:lang w:val="en-GB"/>
        </w:rPr>
        <w:t xml:space="preserve"> this implies that all empirical causal links, especially those of empirical affection, are thereby grounded in the ThI.</w:t>
      </w:r>
      <w:r w:rsidR="00CC4033" w:rsidRPr="009C5998">
        <w:rPr>
          <w:rStyle w:val="EndnoteReference"/>
          <w:rFonts w:eastAsia="Baskerville Old Face" w:cs="Times New Roman"/>
          <w:lang w:val="en-GB"/>
        </w:rPr>
        <w:endnoteReference w:id="9"/>
      </w:r>
      <w:r w:rsidR="00F74450" w:rsidRPr="009C5998">
        <w:rPr>
          <w:rFonts w:eastAsia="Baskerville Old Face" w:cs="Times New Roman"/>
          <w:lang w:val="en-GB"/>
        </w:rPr>
        <w:t xml:space="preserve"> This in turn entails that the effect of such empirical affection, the sensation, is thereby causally grounded in the ThI. That is (T3), interpreted in this way, provides an explanation for the claim of transcendental affection (T2).</w:t>
      </w:r>
      <w:r w:rsidR="00F74450" w:rsidRPr="009C5998">
        <w:rPr>
          <w:rStyle w:val="EndnoteReference"/>
          <w:rFonts w:eastAsia="Baskerville Old Face" w:cs="Times New Roman"/>
          <w:lang w:val="en-GB"/>
        </w:rPr>
        <w:endnoteReference w:id="10"/>
      </w:r>
    </w:p>
    <w:p w14:paraId="75D846F3" w14:textId="081A5724" w:rsidR="00096BB5" w:rsidRPr="009C5998" w:rsidRDefault="00144C4E"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This interpretation of the ThI as the ground of empirical causality avoids any problem of double affection since transcendental affection is a particular feature of the ThI’s grounding of all empirical causality, namely that it thereby grounds empirical affection. It is thus by being grounded in the ThI that the empirical affection of our sensibility takes on </w:t>
      </w:r>
      <w:r w:rsidR="00CA6E5C">
        <w:rPr>
          <w:rFonts w:eastAsia="Baskerville Old Face" w:cs="Times New Roman"/>
          <w:lang w:val="en-GB"/>
        </w:rPr>
        <w:t>that</w:t>
      </w:r>
      <w:r w:rsidR="00CA6E5C" w:rsidRPr="009C5998">
        <w:rPr>
          <w:rFonts w:eastAsia="Baskerville Old Face" w:cs="Times New Roman"/>
          <w:lang w:val="en-GB"/>
        </w:rPr>
        <w:t xml:space="preserve"> </w:t>
      </w:r>
      <w:r w:rsidRPr="009C5998">
        <w:rPr>
          <w:rFonts w:eastAsia="Baskerville Old Face" w:cs="Times New Roman"/>
          <w:lang w:val="en-GB"/>
        </w:rPr>
        <w:t>transcendental dimension which is transcendental affection. In this respect, this proposal has a distinct advantage in comparison with the traditional interpretations</w:t>
      </w:r>
      <w:r w:rsidR="00584141" w:rsidRPr="009C5998">
        <w:rPr>
          <w:rFonts w:eastAsia="Baskerville Old Face" w:cs="Times New Roman"/>
          <w:lang w:val="en-GB"/>
        </w:rPr>
        <w:t xml:space="preserve">. This is particularly true with respect to TW, which is often accompanied by an </w:t>
      </w:r>
      <w:r w:rsidR="00F15C44" w:rsidRPr="009C5998">
        <w:rPr>
          <w:rFonts w:eastAsia="Baskerville Old Face" w:cs="Times New Roman"/>
          <w:lang w:val="en-GB"/>
        </w:rPr>
        <w:t>attempt to resolve the problem</w:t>
      </w:r>
      <w:r w:rsidR="00584141" w:rsidRPr="009C5998">
        <w:rPr>
          <w:rFonts w:eastAsia="Baskerville Old Face" w:cs="Times New Roman"/>
          <w:lang w:val="en-GB"/>
        </w:rPr>
        <w:t xml:space="preserve"> of double affection</w:t>
      </w:r>
      <w:r w:rsidR="007A0B3E">
        <w:rPr>
          <w:rFonts w:eastAsia="Baskerville Old Face" w:cs="Times New Roman"/>
          <w:lang w:val="en-GB"/>
        </w:rPr>
        <w:t>,</w:t>
      </w:r>
      <w:r w:rsidR="00584141" w:rsidRPr="009C5998">
        <w:rPr>
          <w:rStyle w:val="EndnoteReference"/>
          <w:rFonts w:eastAsia="Baskerville Old Face" w:cs="Times New Roman"/>
          <w:lang w:val="en-GB"/>
        </w:rPr>
        <w:endnoteReference w:id="11"/>
      </w:r>
      <w:r w:rsidR="00584141" w:rsidRPr="009C5998">
        <w:rPr>
          <w:rFonts w:eastAsia="Baskerville Old Face" w:cs="Times New Roman"/>
          <w:lang w:val="en-GB"/>
        </w:rPr>
        <w:t xml:space="preserve"> but it is also true for dual-aspect theories: to claim that something is produced simultaneously by two different aspects of things also suggests two distinct causal stories that need</w:t>
      </w:r>
      <w:r w:rsidR="00F15C44" w:rsidRPr="009C5998">
        <w:rPr>
          <w:rFonts w:eastAsia="Baskerville Old Face" w:cs="Times New Roman"/>
          <w:lang w:val="en-GB"/>
        </w:rPr>
        <w:t xml:space="preserve"> </w:t>
      </w:r>
      <w:r w:rsidR="00584141" w:rsidRPr="009C5998">
        <w:rPr>
          <w:rFonts w:eastAsia="Baskerville Old Face" w:cs="Times New Roman"/>
          <w:lang w:val="en-GB"/>
        </w:rPr>
        <w:t>reconciling.</w:t>
      </w:r>
      <w:r w:rsidR="00584141" w:rsidRPr="009C5998">
        <w:rPr>
          <w:rStyle w:val="EndnoteReference"/>
          <w:rFonts w:eastAsia="Baskerville Old Face" w:cs="Times New Roman"/>
          <w:lang w:val="en-GB"/>
        </w:rPr>
        <w:endnoteReference w:id="12"/>
      </w:r>
    </w:p>
    <w:p w14:paraId="39645625" w14:textId="7AD28F26" w:rsidR="00CC4710" w:rsidRPr="009C5998" w:rsidRDefault="00CC4710" w:rsidP="00A767F9">
      <w:pPr>
        <w:pStyle w:val="BodyA"/>
        <w:spacing w:after="240" w:line="480" w:lineRule="auto"/>
        <w:rPr>
          <w:rFonts w:eastAsia="Baskerville Old Face" w:cs="Times New Roman"/>
          <w:lang w:val="en-GB"/>
        </w:rPr>
      </w:pPr>
      <w:r w:rsidRPr="009C5998">
        <w:rPr>
          <w:rFonts w:eastAsia="Baskerville Old Face" w:cs="Times New Roman"/>
          <w:lang w:val="en-GB"/>
        </w:rPr>
        <w:t>Where does that leave claim (T1)? This claim</w:t>
      </w:r>
      <w:r w:rsidR="00AB4602">
        <w:rPr>
          <w:rFonts w:eastAsia="Baskerville Old Face" w:cs="Times New Roman"/>
          <w:lang w:val="en-GB"/>
        </w:rPr>
        <w:t>,</w:t>
      </w:r>
      <w:r w:rsidRPr="009C5998">
        <w:rPr>
          <w:rFonts w:eastAsia="Baskerville Old Face" w:cs="Times New Roman"/>
          <w:lang w:val="en-GB"/>
        </w:rPr>
        <w:t xml:space="preserve"> that ThIs are what appears as appearance, has not been given much attention in the literature, although it clearly needs elucidating if it is not to be tautologous. The interpretation I propose s</w:t>
      </w:r>
      <w:r w:rsidR="00F15C44" w:rsidRPr="009C5998">
        <w:rPr>
          <w:rFonts w:eastAsia="Baskerville Old Face" w:cs="Times New Roman"/>
          <w:lang w:val="en-GB"/>
        </w:rPr>
        <w:t>uggests a straightforward answer. I</w:t>
      </w:r>
      <w:r w:rsidRPr="009C5998">
        <w:rPr>
          <w:rFonts w:eastAsia="Baskerville Old Face" w:cs="Times New Roman"/>
          <w:lang w:val="en-GB"/>
        </w:rPr>
        <w:t>nsofar as we have an account of how ThIs ground a key feature of empirical substances, namely their causality</w:t>
      </w:r>
      <w:r w:rsidR="00F15C44" w:rsidRPr="009C5998">
        <w:rPr>
          <w:rFonts w:eastAsia="Baskerville Old Face" w:cs="Times New Roman"/>
          <w:lang w:val="en-GB"/>
        </w:rPr>
        <w:t>, and insofar as this explains how we are affected transcendentally so that we can thereby cogni</w:t>
      </w:r>
      <w:r w:rsidR="00FD31AF">
        <w:rPr>
          <w:rFonts w:eastAsia="Baskerville Old Face" w:cs="Times New Roman"/>
          <w:lang w:val="en-GB"/>
        </w:rPr>
        <w:t>z</w:t>
      </w:r>
      <w:r w:rsidR="00F15C44" w:rsidRPr="009C5998">
        <w:rPr>
          <w:rFonts w:eastAsia="Baskerville Old Face" w:cs="Times New Roman"/>
          <w:lang w:val="en-GB"/>
        </w:rPr>
        <w:t>e objects as appearing to us, i</w:t>
      </w:r>
      <w:r w:rsidRPr="009C5998">
        <w:rPr>
          <w:rFonts w:eastAsia="Baskerville Old Face" w:cs="Times New Roman"/>
          <w:lang w:val="en-GB"/>
        </w:rPr>
        <w:t xml:space="preserve">t </w:t>
      </w:r>
      <w:r w:rsidR="00F15C44" w:rsidRPr="009C5998">
        <w:rPr>
          <w:rFonts w:eastAsia="Baskerville Old Face" w:cs="Times New Roman"/>
          <w:lang w:val="en-GB"/>
        </w:rPr>
        <w:t xml:space="preserve">follows that this grounding is </w:t>
      </w:r>
      <w:r w:rsidR="00A913F9" w:rsidRPr="009C5998">
        <w:rPr>
          <w:rFonts w:eastAsia="Baskerville Old Face" w:cs="Times New Roman"/>
          <w:lang w:val="en-GB"/>
        </w:rPr>
        <w:t xml:space="preserve">best interpreted as the </w:t>
      </w:r>
      <w:r w:rsidRPr="009C5998">
        <w:rPr>
          <w:rFonts w:eastAsia="Baskerville Old Face" w:cs="Times New Roman"/>
          <w:lang w:val="en-GB"/>
        </w:rPr>
        <w:t>relation of appearing.</w:t>
      </w:r>
    </w:p>
    <w:p w14:paraId="79AACB95" w14:textId="0308A1BA" w:rsidR="00CC4710" w:rsidRPr="009C5998" w:rsidRDefault="00DF0755" w:rsidP="00AF0241">
      <w:pPr>
        <w:pStyle w:val="BodyA"/>
        <w:spacing w:after="240"/>
        <w:rPr>
          <w:rFonts w:eastAsia="Baskerville Old Face" w:cs="Times New Roman"/>
          <w:lang w:val="en-GB"/>
        </w:rPr>
      </w:pPr>
      <w:r w:rsidRPr="009C5998">
        <w:rPr>
          <w:rFonts w:eastAsia="Baskerville Old Face" w:cs="Times New Roman"/>
          <w:i/>
          <w:lang w:val="en-GB"/>
        </w:rPr>
        <w:t>Filling in the interpretation</w:t>
      </w:r>
    </w:p>
    <w:p w14:paraId="7D31015B" w14:textId="758DB533" w:rsidR="00DF0755" w:rsidRPr="009C5998" w:rsidRDefault="006C19BB"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I have proposed to view ThIs as the ground of empirical causality. Because this interpretation does not involve referring to a ThI as a distinct substance, it is natural to view it as a </w:t>
      </w:r>
      <w:r w:rsidRPr="009C5998">
        <w:rPr>
          <w:rFonts w:eastAsia="Baskerville Old Face" w:cs="Times New Roman"/>
          <w:i/>
          <w:lang w:val="en-GB"/>
        </w:rPr>
        <w:t>type of metaphysical dual-aspect interpretation</w:t>
      </w:r>
      <w:r w:rsidRPr="009C5998">
        <w:rPr>
          <w:rFonts w:eastAsia="Baskerville Old Face" w:cs="Times New Roman"/>
          <w:lang w:val="en-GB"/>
        </w:rPr>
        <w:t>. It is distinguished f</w:t>
      </w:r>
      <w:r w:rsidR="003332EE">
        <w:rPr>
          <w:rFonts w:eastAsia="Baskerville Old Face" w:cs="Times New Roman"/>
          <w:lang w:val="en-GB"/>
        </w:rPr>
        <w:t>r</w:t>
      </w:r>
      <w:r w:rsidRPr="009C5998">
        <w:rPr>
          <w:rFonts w:eastAsia="Baskerville Old Face" w:cs="Times New Roman"/>
          <w:lang w:val="en-GB"/>
        </w:rPr>
        <w:t xml:space="preserve">om existing versions of MDA in that it makes no claims at all </w:t>
      </w:r>
      <w:r w:rsidR="00147D6A" w:rsidRPr="009C5998">
        <w:rPr>
          <w:rFonts w:eastAsia="Baskerville Old Face" w:cs="Times New Roman"/>
          <w:lang w:val="en-GB"/>
        </w:rPr>
        <w:t xml:space="preserve">under the category of </w:t>
      </w:r>
      <w:r w:rsidRPr="009C5998">
        <w:rPr>
          <w:rFonts w:eastAsia="Baskerville Old Face" w:cs="Times New Roman"/>
          <w:lang w:val="en-GB"/>
        </w:rPr>
        <w:t>substance.</w:t>
      </w:r>
      <w:r w:rsidR="00963246" w:rsidRPr="009C5998">
        <w:rPr>
          <w:rStyle w:val="EndnoteReference"/>
          <w:rFonts w:eastAsia="Baskerville Old Face" w:cs="Times New Roman"/>
          <w:lang w:val="en-GB"/>
        </w:rPr>
        <w:endnoteReference w:id="13"/>
      </w:r>
      <w:r w:rsidRPr="009C5998">
        <w:rPr>
          <w:rFonts w:eastAsia="Baskerville Old Face" w:cs="Times New Roman"/>
          <w:lang w:val="en-GB"/>
        </w:rPr>
        <w:t xml:space="preserve"> </w:t>
      </w:r>
      <w:r w:rsidR="00147D6A" w:rsidRPr="009C5998">
        <w:rPr>
          <w:rFonts w:eastAsia="Baskerville Old Face" w:cs="Times New Roman"/>
          <w:lang w:val="en-GB"/>
        </w:rPr>
        <w:t>The ThI is just posited as causal ground; as a result, it is also not possible to differentiate ThIs on the basis of empirical differences: that is why I refer indifferently to the ThI or ThIs</w:t>
      </w:r>
      <w:r w:rsidR="00BD459A">
        <w:rPr>
          <w:rFonts w:eastAsia="Baskerville Old Face" w:cs="Times New Roman"/>
          <w:lang w:val="en-GB"/>
        </w:rPr>
        <w:t>,</w:t>
      </w:r>
      <w:r w:rsidR="00147D6A" w:rsidRPr="009C5998">
        <w:rPr>
          <w:rFonts w:eastAsia="Baskerville Old Face" w:cs="Times New Roman"/>
          <w:lang w:val="en-GB"/>
        </w:rPr>
        <w:t xml:space="preserve"> since we know nothing about it under the categories of quantity. All that is claimed is that some causal ground of empirical causality exists in-itself. Worries about the possibility of such knowledge in a Kantian context are examined in </w:t>
      </w:r>
      <w:r w:rsidR="00BD459A">
        <w:rPr>
          <w:rFonts w:eastAsia="Baskerville Old Face" w:cs="Times New Roman"/>
          <w:lang w:val="en-GB"/>
        </w:rPr>
        <w:t>section four</w:t>
      </w:r>
      <w:r w:rsidR="00147D6A" w:rsidRPr="009C5998">
        <w:rPr>
          <w:rFonts w:eastAsia="Baskerville Old Face" w:cs="Times New Roman"/>
          <w:lang w:val="en-GB"/>
        </w:rPr>
        <w:t>.</w:t>
      </w:r>
    </w:p>
    <w:p w14:paraId="163B05BA" w14:textId="26B9AFEB" w:rsidR="00144C4E" w:rsidRPr="009C5998" w:rsidRDefault="00147D6A"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One might ask whether this </w:t>
      </w:r>
      <w:r w:rsidR="0007784B" w:rsidRPr="009C5998">
        <w:rPr>
          <w:rFonts w:eastAsia="Baskerville Old Face" w:cs="Times New Roman"/>
          <w:lang w:val="en-GB"/>
        </w:rPr>
        <w:t xml:space="preserve">grounding of empirical causality is only one part of a more general grounding of phenomena (T3). </w:t>
      </w:r>
      <w:r w:rsidR="006546A2" w:rsidRPr="009C5998">
        <w:rPr>
          <w:rFonts w:eastAsia="Baskerville Old Face" w:cs="Times New Roman"/>
          <w:lang w:val="en-GB"/>
        </w:rPr>
        <w:t>Here it is important to emphasi</w:t>
      </w:r>
      <w:r w:rsidR="007771E4">
        <w:rPr>
          <w:rFonts w:eastAsia="Baskerville Old Face" w:cs="Times New Roman"/>
          <w:lang w:val="en-GB"/>
        </w:rPr>
        <w:t>z</w:t>
      </w:r>
      <w:r w:rsidR="006546A2" w:rsidRPr="009C5998">
        <w:rPr>
          <w:rFonts w:eastAsia="Baskerville Old Face" w:cs="Times New Roman"/>
          <w:lang w:val="en-GB"/>
        </w:rPr>
        <w:t xml:space="preserve">e the key role of causality in Kant’s </w:t>
      </w:r>
      <w:r w:rsidR="00247D5E" w:rsidRPr="009C5998">
        <w:rPr>
          <w:rFonts w:eastAsia="Baskerville Old Face" w:cs="Times New Roman"/>
          <w:lang w:val="en-GB"/>
        </w:rPr>
        <w:t xml:space="preserve">critical system. </w:t>
      </w:r>
      <w:r w:rsidR="00FD41C9" w:rsidRPr="009C5998">
        <w:rPr>
          <w:rFonts w:eastAsia="Baskerville Old Face" w:cs="Times New Roman"/>
          <w:lang w:val="en-GB"/>
        </w:rPr>
        <w:t>All objective determinations of substance</w:t>
      </w:r>
      <w:r w:rsidR="00FA794A" w:rsidRPr="009C5998">
        <w:rPr>
          <w:rFonts w:eastAsia="Baskerville Old Face" w:cs="Times New Roman"/>
          <w:lang w:val="en-GB"/>
        </w:rPr>
        <w:t>, insofar as they are actualized at some point in time, have a</w:t>
      </w:r>
      <w:r w:rsidR="00EB3D3B" w:rsidRPr="009C5998">
        <w:rPr>
          <w:rFonts w:eastAsia="Baskerville Old Face" w:cs="Times New Roman"/>
          <w:lang w:val="en-GB"/>
        </w:rPr>
        <w:t>n</w:t>
      </w:r>
      <w:r w:rsidR="00FA794A" w:rsidRPr="009C5998">
        <w:rPr>
          <w:rFonts w:eastAsia="Baskerville Old Face" w:cs="Times New Roman"/>
          <w:lang w:val="en-GB"/>
        </w:rPr>
        <w:t xml:space="preserve"> empirical cause according to the Second Analogy</w:t>
      </w:r>
      <w:r w:rsidR="00247D5E" w:rsidRPr="009C5998">
        <w:rPr>
          <w:rFonts w:eastAsia="Baskerville Old Face" w:cs="Times New Roman"/>
          <w:lang w:val="en-GB"/>
        </w:rPr>
        <w:t>. This means that they</w:t>
      </w:r>
      <w:r w:rsidR="00FA794A" w:rsidRPr="009C5998">
        <w:rPr>
          <w:rFonts w:eastAsia="Baskerville Old Face" w:cs="Times New Roman"/>
          <w:lang w:val="en-GB"/>
        </w:rPr>
        <w:t xml:space="preserve"> are thereby also grounded in the ThI.</w:t>
      </w:r>
      <w:r w:rsidR="00247D5E" w:rsidRPr="009C5998">
        <w:rPr>
          <w:rFonts w:eastAsia="Baskerville Old Face" w:cs="Times New Roman"/>
          <w:lang w:val="en-GB"/>
        </w:rPr>
        <w:t xml:space="preserve"> So, aside from the very existence of substance, this function of grounding empirical causality accounts for how all objective determinations of phenomena are grounded in ThIs.</w:t>
      </w:r>
      <w:r w:rsidR="00663C58" w:rsidRPr="009C5998">
        <w:rPr>
          <w:rStyle w:val="EndnoteReference"/>
          <w:rFonts w:eastAsia="Baskerville Old Face" w:cs="Times New Roman"/>
          <w:lang w:val="en-GB"/>
        </w:rPr>
        <w:endnoteReference w:id="14"/>
      </w:r>
      <w:r w:rsidR="00FA794A" w:rsidRPr="009C5998">
        <w:rPr>
          <w:rFonts w:eastAsia="Baskerville Old Face" w:cs="Times New Roman"/>
          <w:lang w:val="en-GB"/>
        </w:rPr>
        <w:t xml:space="preserve"> </w:t>
      </w:r>
    </w:p>
    <w:p w14:paraId="0B6BA362" w14:textId="6307F74D" w:rsidR="00CA37AC" w:rsidRPr="0083503F" w:rsidRDefault="0083503F" w:rsidP="00161856">
      <w:pPr>
        <w:pStyle w:val="BodyA"/>
        <w:spacing w:after="240"/>
        <w:rPr>
          <w:rFonts w:eastAsia="Baskerville Old Face" w:cs="Times New Roman"/>
          <w:b/>
          <w:bCs/>
          <w:lang w:val="en-GB"/>
        </w:rPr>
      </w:pPr>
      <w:r w:rsidRPr="0083503F">
        <w:rPr>
          <w:rFonts w:eastAsia="Baskerville Old Face" w:cs="Times New Roman"/>
          <w:b/>
          <w:bCs/>
          <w:lang w:val="en-GB"/>
        </w:rPr>
        <w:t>2</w:t>
      </w:r>
      <w:r w:rsidR="00CA37AC" w:rsidRPr="0083503F">
        <w:rPr>
          <w:rFonts w:eastAsia="Baskerville Old Face" w:cs="Times New Roman"/>
          <w:b/>
          <w:bCs/>
          <w:lang w:val="en-GB"/>
        </w:rPr>
        <w:t xml:space="preserve">. </w:t>
      </w:r>
      <w:r w:rsidR="00A87DF9" w:rsidRPr="0083503F">
        <w:rPr>
          <w:rFonts w:eastAsia="Baskerville Old Face" w:cs="Times New Roman"/>
          <w:b/>
          <w:bCs/>
          <w:lang w:val="en-GB"/>
        </w:rPr>
        <w:t>Things</w:t>
      </w:r>
      <w:r>
        <w:rPr>
          <w:rFonts w:eastAsia="Baskerville Old Face" w:cs="Times New Roman"/>
          <w:b/>
          <w:bCs/>
          <w:lang w:val="en-GB"/>
        </w:rPr>
        <w:t>-</w:t>
      </w:r>
      <w:r w:rsidR="00A87DF9" w:rsidRPr="0083503F">
        <w:rPr>
          <w:rFonts w:eastAsia="Baskerville Old Face" w:cs="Times New Roman"/>
          <w:b/>
          <w:bCs/>
          <w:lang w:val="en-GB"/>
        </w:rPr>
        <w:t>in</w:t>
      </w:r>
      <w:r>
        <w:rPr>
          <w:rFonts w:eastAsia="Baskerville Old Face" w:cs="Times New Roman"/>
          <w:b/>
          <w:bCs/>
          <w:lang w:val="en-GB"/>
        </w:rPr>
        <w:t>-</w:t>
      </w:r>
      <w:r w:rsidR="00A87DF9" w:rsidRPr="0083503F">
        <w:rPr>
          <w:rFonts w:eastAsia="Baskerville Old Face" w:cs="Times New Roman"/>
          <w:b/>
          <w:bCs/>
          <w:lang w:val="en-GB"/>
        </w:rPr>
        <w:t xml:space="preserve">themselves as </w:t>
      </w:r>
      <w:r>
        <w:rPr>
          <w:rFonts w:eastAsia="Baskerville Old Face" w:cs="Times New Roman"/>
          <w:b/>
          <w:bCs/>
          <w:lang w:val="en-GB"/>
        </w:rPr>
        <w:t>G</w:t>
      </w:r>
      <w:r w:rsidR="00A87DF9" w:rsidRPr="0083503F">
        <w:rPr>
          <w:rFonts w:eastAsia="Baskerville Old Face" w:cs="Times New Roman"/>
          <w:b/>
          <w:bCs/>
          <w:lang w:val="en-GB"/>
        </w:rPr>
        <w:t xml:space="preserve">round of </w:t>
      </w:r>
      <w:r>
        <w:rPr>
          <w:rFonts w:eastAsia="Baskerville Old Face" w:cs="Times New Roman"/>
          <w:b/>
          <w:bCs/>
          <w:lang w:val="en-GB"/>
        </w:rPr>
        <w:t>C</w:t>
      </w:r>
      <w:r w:rsidR="00A87DF9" w:rsidRPr="0083503F">
        <w:rPr>
          <w:rFonts w:eastAsia="Baskerville Old Face" w:cs="Times New Roman"/>
          <w:b/>
          <w:bCs/>
          <w:lang w:val="en-GB"/>
        </w:rPr>
        <w:t xml:space="preserve">ausality, </w:t>
      </w:r>
      <w:r w:rsidR="00161856">
        <w:rPr>
          <w:rFonts w:eastAsia="Baskerville Old Face" w:cs="Times New Roman"/>
          <w:b/>
          <w:bCs/>
          <w:lang w:val="en-GB"/>
        </w:rPr>
        <w:t>N</w:t>
      </w:r>
      <w:r w:rsidR="00CA37AC" w:rsidRPr="0083503F">
        <w:rPr>
          <w:rFonts w:eastAsia="Baskerville Old Face" w:cs="Times New Roman"/>
          <w:b/>
          <w:bCs/>
          <w:lang w:val="en-GB"/>
        </w:rPr>
        <w:t>egative Noumena and the Transcendental Object</w:t>
      </w:r>
    </w:p>
    <w:p w14:paraId="40B084CE" w14:textId="6291BAF2" w:rsidR="00DC0B7F" w:rsidRPr="009C5998" w:rsidRDefault="00DC0B7F" w:rsidP="0027649D">
      <w:pPr>
        <w:pStyle w:val="BodyA"/>
        <w:spacing w:after="240"/>
        <w:rPr>
          <w:rFonts w:eastAsia="Baskerville Old Face" w:cs="Times New Roman"/>
          <w:bCs/>
          <w:i/>
          <w:lang w:val="en-GB"/>
        </w:rPr>
      </w:pPr>
      <w:r w:rsidRPr="009C5998">
        <w:rPr>
          <w:rFonts w:eastAsia="Baskerville Old Face" w:cs="Times New Roman"/>
          <w:bCs/>
          <w:i/>
          <w:lang w:val="en-GB"/>
        </w:rPr>
        <w:t>The grounding of causality</w:t>
      </w:r>
    </w:p>
    <w:p w14:paraId="3DEE773F" w14:textId="1E47F0C8" w:rsidR="00DC0B7F" w:rsidRPr="009C5998" w:rsidRDefault="00C00053"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In this </w:t>
      </w:r>
      <w:r w:rsidR="00C53DE9">
        <w:rPr>
          <w:rFonts w:eastAsia="Baskerville Old Face" w:cs="Times New Roman"/>
          <w:lang w:val="en-GB"/>
        </w:rPr>
        <w:t>sub-</w:t>
      </w:r>
      <w:r w:rsidRPr="009C5998">
        <w:rPr>
          <w:rFonts w:eastAsia="Baskerville Old Face" w:cs="Times New Roman"/>
          <w:lang w:val="en-GB"/>
        </w:rPr>
        <w:t xml:space="preserve">section, I examine </w:t>
      </w:r>
      <w:r w:rsidR="00DC0B7F" w:rsidRPr="009C5998">
        <w:rPr>
          <w:rFonts w:eastAsia="Baskerville Old Face" w:cs="Times New Roman"/>
          <w:lang w:val="en-GB"/>
        </w:rPr>
        <w:t xml:space="preserve">further textual support </w:t>
      </w:r>
      <w:r w:rsidRPr="009C5998">
        <w:rPr>
          <w:rFonts w:eastAsia="Baskerville Old Face" w:cs="Times New Roman"/>
          <w:lang w:val="en-GB"/>
        </w:rPr>
        <w:t xml:space="preserve">for </w:t>
      </w:r>
      <w:r w:rsidR="0085119E" w:rsidRPr="009C5998">
        <w:rPr>
          <w:rFonts w:eastAsia="Baskerville Old Face" w:cs="Times New Roman"/>
          <w:lang w:val="en-GB"/>
        </w:rPr>
        <w:t>my claim that the ThI grounds empirical causality</w:t>
      </w:r>
      <w:r w:rsidR="00E164FE" w:rsidRPr="009C5998">
        <w:rPr>
          <w:rFonts w:eastAsia="Baskerville Old Face" w:cs="Times New Roman"/>
          <w:lang w:val="en-GB"/>
        </w:rPr>
        <w:t xml:space="preserve">, independently of </w:t>
      </w:r>
      <w:r w:rsidR="003D0DFA" w:rsidRPr="009C5998">
        <w:rPr>
          <w:rFonts w:eastAsia="Baskerville Old Face" w:cs="Times New Roman"/>
          <w:lang w:val="en-GB"/>
        </w:rPr>
        <w:t>the</w:t>
      </w:r>
      <w:r w:rsidR="00E164FE" w:rsidRPr="009C5998">
        <w:rPr>
          <w:rFonts w:eastAsia="Baskerville Old Face" w:cs="Times New Roman"/>
          <w:lang w:val="en-GB"/>
        </w:rPr>
        <w:t xml:space="preserve"> dual-aspect claim</w:t>
      </w:r>
      <w:r w:rsidR="00DC0B7F" w:rsidRPr="009C5998">
        <w:rPr>
          <w:rFonts w:eastAsia="Baskerville Old Face" w:cs="Times New Roman"/>
          <w:lang w:val="en-GB"/>
        </w:rPr>
        <w:t xml:space="preserve">. </w:t>
      </w:r>
      <w:r w:rsidR="0085119E" w:rsidRPr="009C5998">
        <w:rPr>
          <w:rFonts w:eastAsia="Baskerville Old Face" w:cs="Times New Roman"/>
          <w:lang w:val="en-GB"/>
        </w:rPr>
        <w:t xml:space="preserve">At </w:t>
      </w:r>
      <w:r w:rsidR="00DC0B7F" w:rsidRPr="009C5998">
        <w:rPr>
          <w:rFonts w:eastAsia="Baskerville Old Face" w:cs="Times New Roman"/>
          <w:lang w:val="en-GB"/>
        </w:rPr>
        <w:t>A537/B565</w:t>
      </w:r>
      <w:r w:rsidR="0085119E" w:rsidRPr="009C5998">
        <w:rPr>
          <w:rFonts w:eastAsia="Baskerville Old Face" w:cs="Times New Roman"/>
          <w:lang w:val="en-GB"/>
        </w:rPr>
        <w:t xml:space="preserve">, in </w:t>
      </w:r>
      <w:r w:rsidR="00DC0B7F" w:rsidRPr="009C5998">
        <w:rPr>
          <w:rFonts w:eastAsia="Baskerville Old Face" w:cs="Times New Roman"/>
          <w:lang w:val="en-GB"/>
        </w:rPr>
        <w:t xml:space="preserve">the Third Antinomy Kant </w:t>
      </w:r>
      <w:r w:rsidR="00203FBE" w:rsidRPr="009C5998">
        <w:rPr>
          <w:rFonts w:eastAsia="Baskerville Old Face" w:cs="Times New Roman"/>
          <w:lang w:val="en-GB"/>
        </w:rPr>
        <w:t xml:space="preserve">explicitly </w:t>
      </w:r>
      <w:r w:rsidR="00DC0B7F" w:rsidRPr="009C5998">
        <w:rPr>
          <w:rFonts w:eastAsia="Baskerville Old Face" w:cs="Times New Roman"/>
          <w:lang w:val="en-GB"/>
        </w:rPr>
        <w:t xml:space="preserve">draws upon this grounding to provide a </w:t>
      </w:r>
      <w:r w:rsidR="00DC0B7F" w:rsidRPr="009C5998">
        <w:rPr>
          <w:rFonts w:eastAsia="Baskerville Old Face" w:cs="Times New Roman"/>
          <w:i/>
          <w:lang w:val="en-GB"/>
        </w:rPr>
        <w:t>general</w:t>
      </w:r>
      <w:r w:rsidR="00DC0B7F" w:rsidRPr="009C5998">
        <w:rPr>
          <w:rFonts w:eastAsia="Baskerville Old Face" w:cs="Times New Roman"/>
          <w:lang w:val="en-GB"/>
        </w:rPr>
        <w:t xml:space="preserve"> solution to this antinomial conflict before, in the next two sections</w:t>
      </w:r>
      <w:r w:rsidR="00B1403C">
        <w:rPr>
          <w:rFonts w:eastAsia="Baskerville Old Face" w:cs="Times New Roman"/>
          <w:lang w:val="en-GB"/>
        </w:rPr>
        <w:t xml:space="preserve"> of </w:t>
      </w:r>
      <w:r w:rsidR="00AF5CCA">
        <w:rPr>
          <w:rFonts w:eastAsia="Baskerville Old Face" w:cs="Times New Roman"/>
          <w:lang w:val="en-GB"/>
        </w:rPr>
        <w:t>that</w:t>
      </w:r>
      <w:r w:rsidR="00B1403C">
        <w:rPr>
          <w:rFonts w:eastAsia="Baskerville Old Face" w:cs="Times New Roman"/>
          <w:lang w:val="en-GB"/>
        </w:rPr>
        <w:t xml:space="preserve"> discussion</w:t>
      </w:r>
      <w:r w:rsidR="00DC0B7F" w:rsidRPr="009C5998">
        <w:rPr>
          <w:rFonts w:eastAsia="Baskerville Old Face" w:cs="Times New Roman"/>
          <w:lang w:val="en-GB"/>
        </w:rPr>
        <w:t>, focusing upon the causal account of free actions.</w:t>
      </w:r>
    </w:p>
    <w:p w14:paraId="62913F8B" w14:textId="26CA3A30" w:rsidR="00203FBE" w:rsidRPr="009C5998" w:rsidRDefault="00466DBB" w:rsidP="00A767F9">
      <w:pPr>
        <w:pStyle w:val="BodyA"/>
        <w:spacing w:after="240" w:line="480" w:lineRule="auto"/>
        <w:rPr>
          <w:rFonts w:eastAsia="Baskerville Old Face" w:cs="Times New Roman"/>
          <w:lang w:val="en-GB"/>
        </w:rPr>
      </w:pPr>
      <w:r w:rsidRPr="009C5998">
        <w:rPr>
          <w:rFonts w:eastAsia="Baskerville Old Face" w:cs="Times New Roman"/>
          <w:lang w:val="en-GB"/>
        </w:rPr>
        <w:t>T</w:t>
      </w:r>
      <w:r w:rsidR="001959A9" w:rsidRPr="009C5998">
        <w:rPr>
          <w:rFonts w:eastAsia="Baskerville Old Face" w:cs="Times New Roman"/>
          <w:lang w:val="en-GB"/>
        </w:rPr>
        <w:t xml:space="preserve">he general solution must be one that finds a first </w:t>
      </w:r>
      <w:r w:rsidRPr="009C5998">
        <w:rPr>
          <w:rFonts w:eastAsia="Baskerville Old Face" w:cs="Times New Roman"/>
          <w:lang w:val="en-GB"/>
        </w:rPr>
        <w:t xml:space="preserve">(uncaused) </w:t>
      </w:r>
      <w:r w:rsidR="001959A9" w:rsidRPr="009C5998">
        <w:rPr>
          <w:rFonts w:eastAsia="Baskerville Old Face" w:cs="Times New Roman"/>
          <w:lang w:val="en-GB"/>
        </w:rPr>
        <w:t xml:space="preserve">cause </w:t>
      </w:r>
      <w:r w:rsidR="000549DC" w:rsidRPr="009C5998">
        <w:rPr>
          <w:rFonts w:eastAsia="Baskerville Old Face" w:cs="Times New Roman"/>
          <w:lang w:val="en-GB"/>
        </w:rPr>
        <w:t>for</w:t>
      </w:r>
      <w:r w:rsidR="001959A9" w:rsidRPr="009C5998">
        <w:rPr>
          <w:rFonts w:eastAsia="Baskerville Old Face" w:cs="Times New Roman"/>
          <w:lang w:val="en-GB"/>
        </w:rPr>
        <w:t xml:space="preserve"> </w:t>
      </w:r>
      <w:r w:rsidR="000549DC" w:rsidRPr="009C5998">
        <w:rPr>
          <w:rFonts w:eastAsia="Baskerville Old Face" w:cs="Times New Roman"/>
          <w:lang w:val="en-GB"/>
        </w:rPr>
        <w:t>empirical</w:t>
      </w:r>
      <w:r w:rsidR="001959A9" w:rsidRPr="009C5998">
        <w:rPr>
          <w:rFonts w:eastAsia="Baskerville Old Face" w:cs="Times New Roman"/>
          <w:lang w:val="en-GB"/>
        </w:rPr>
        <w:t xml:space="preserve"> causal regress</w:t>
      </w:r>
      <w:r w:rsidR="000549DC" w:rsidRPr="009C5998">
        <w:rPr>
          <w:rFonts w:eastAsia="Baskerville Old Face" w:cs="Times New Roman"/>
          <w:lang w:val="en-GB"/>
        </w:rPr>
        <w:t>es</w:t>
      </w:r>
      <w:r w:rsidR="001959A9" w:rsidRPr="009C5998">
        <w:rPr>
          <w:rFonts w:eastAsia="Baskerville Old Face" w:cs="Times New Roman"/>
          <w:lang w:val="en-GB"/>
        </w:rPr>
        <w:t xml:space="preserve"> in line with the </w:t>
      </w:r>
      <w:r w:rsidR="000549DC" w:rsidRPr="009C5998">
        <w:rPr>
          <w:rFonts w:eastAsia="Baskerville Old Face" w:cs="Times New Roman"/>
          <w:lang w:val="en-GB"/>
        </w:rPr>
        <w:t xml:space="preserve">Thesis’s </w:t>
      </w:r>
      <w:r w:rsidR="001959A9" w:rsidRPr="009C5998">
        <w:rPr>
          <w:rFonts w:eastAsia="Baskerville Old Face" w:cs="Times New Roman"/>
          <w:lang w:val="en-GB"/>
        </w:rPr>
        <w:t xml:space="preserve">requirement </w:t>
      </w:r>
      <w:r w:rsidR="00D040ED" w:rsidRPr="009C5998">
        <w:rPr>
          <w:rFonts w:eastAsia="Baskerville Old Face" w:cs="Times New Roman"/>
          <w:lang w:val="en-GB"/>
        </w:rPr>
        <w:t>for</w:t>
      </w:r>
      <w:r w:rsidR="001959A9" w:rsidRPr="009C5998">
        <w:rPr>
          <w:rFonts w:eastAsia="Baskerville Old Face" w:cs="Times New Roman"/>
          <w:lang w:val="en-GB"/>
        </w:rPr>
        <w:t xml:space="preserve"> </w:t>
      </w:r>
      <w:r w:rsidR="00D040ED" w:rsidRPr="009C5998">
        <w:rPr>
          <w:rFonts w:eastAsia="Baskerville Old Face" w:cs="Times New Roman"/>
          <w:lang w:val="en-GB"/>
        </w:rPr>
        <w:t xml:space="preserve">completeness </w:t>
      </w:r>
      <w:r w:rsidR="00E164FE" w:rsidRPr="009C5998">
        <w:rPr>
          <w:rFonts w:eastAsia="Baskerville Old Face" w:cs="Times New Roman"/>
          <w:lang w:val="en-GB"/>
        </w:rPr>
        <w:t xml:space="preserve">of </w:t>
      </w:r>
      <w:r w:rsidR="00D040ED" w:rsidRPr="009C5998">
        <w:rPr>
          <w:rFonts w:eastAsia="Baskerville Old Face" w:cs="Times New Roman"/>
          <w:lang w:val="en-GB"/>
        </w:rPr>
        <w:t>the causal determination of events (A446/B474)</w:t>
      </w:r>
      <w:r w:rsidR="000549DC" w:rsidRPr="009C5998">
        <w:rPr>
          <w:rFonts w:eastAsia="Baskerville Old Face" w:cs="Times New Roman"/>
          <w:lang w:val="en-GB"/>
        </w:rPr>
        <w:t>,</w:t>
      </w:r>
      <w:r w:rsidR="00550CC5" w:rsidRPr="009C5998">
        <w:rPr>
          <w:rFonts w:eastAsia="Baskerville Old Face" w:cs="Times New Roman"/>
          <w:lang w:val="en-GB"/>
        </w:rPr>
        <w:t xml:space="preserve"> while conforming to the Antithesis</w:t>
      </w:r>
      <w:r w:rsidR="00D040ED" w:rsidRPr="009C5998">
        <w:rPr>
          <w:rFonts w:eastAsia="Baskerville Old Face" w:cs="Times New Roman"/>
          <w:lang w:val="en-GB"/>
        </w:rPr>
        <w:t xml:space="preserve">’s claim that all events in the world are governed by the laws of nature </w:t>
      </w:r>
      <w:r w:rsidR="00FF0C5E" w:rsidRPr="009C5998">
        <w:rPr>
          <w:rFonts w:eastAsia="Baskerville Old Face" w:cs="Times New Roman"/>
          <w:lang w:val="en-GB"/>
        </w:rPr>
        <w:t xml:space="preserve">and must therefore have a cause </w:t>
      </w:r>
      <w:r w:rsidR="00D040ED" w:rsidRPr="009C5998">
        <w:rPr>
          <w:rFonts w:eastAsia="Baskerville Old Face" w:cs="Times New Roman"/>
          <w:lang w:val="en-GB"/>
        </w:rPr>
        <w:t xml:space="preserve">(A445/B473). Kant’s solution consists in </w:t>
      </w:r>
      <w:r w:rsidR="000549DC" w:rsidRPr="009C5998">
        <w:rPr>
          <w:rFonts w:eastAsia="Baskerville Old Face" w:cs="Times New Roman"/>
          <w:lang w:val="en-GB"/>
        </w:rPr>
        <w:t>showing that a reconciliation is possible if the first cause is outside the causally governed domain</w:t>
      </w:r>
      <w:r w:rsidR="00E164FE" w:rsidRPr="009C5998">
        <w:rPr>
          <w:rFonts w:eastAsia="Baskerville Old Face" w:cs="Times New Roman"/>
          <w:lang w:val="en-GB"/>
        </w:rPr>
        <w:t xml:space="preserve"> of</w:t>
      </w:r>
      <w:r w:rsidR="000549DC" w:rsidRPr="009C5998">
        <w:rPr>
          <w:rFonts w:eastAsia="Baskerville Old Face" w:cs="Times New Roman"/>
          <w:lang w:val="en-GB"/>
        </w:rPr>
        <w:t xml:space="preserve"> appearances. </w:t>
      </w:r>
      <w:r w:rsidR="00E913F2" w:rsidRPr="009C5998">
        <w:rPr>
          <w:rFonts w:eastAsia="Baskerville Old Face" w:cs="Times New Roman"/>
          <w:lang w:val="en-GB"/>
        </w:rPr>
        <w:t xml:space="preserve">Since the First Antinomy excludes this first cause </w:t>
      </w:r>
      <w:r w:rsidR="004E366E" w:rsidRPr="009C5998">
        <w:rPr>
          <w:rFonts w:eastAsia="Baskerville Old Face" w:cs="Times New Roman"/>
          <w:lang w:val="en-GB"/>
        </w:rPr>
        <w:t xml:space="preserve">being </w:t>
      </w:r>
      <w:r w:rsidR="00CC0960" w:rsidRPr="009C5998">
        <w:rPr>
          <w:rFonts w:eastAsia="Baskerville Old Face" w:cs="Times New Roman"/>
          <w:lang w:val="en-GB"/>
        </w:rPr>
        <w:t xml:space="preserve">only </w:t>
      </w:r>
      <w:r w:rsidR="004E366E" w:rsidRPr="009C5998">
        <w:rPr>
          <w:rFonts w:eastAsia="Baskerville Old Face" w:cs="Times New Roman"/>
          <w:lang w:val="en-GB"/>
        </w:rPr>
        <w:t>effective</w:t>
      </w:r>
      <w:r w:rsidR="00CC0960" w:rsidRPr="009C5998">
        <w:rPr>
          <w:rFonts w:eastAsia="Baskerville Old Face" w:cs="Times New Roman"/>
          <w:lang w:val="en-GB"/>
        </w:rPr>
        <w:t xml:space="preserve"> </w:t>
      </w:r>
      <w:r w:rsidR="00E913F2" w:rsidRPr="009C5998">
        <w:rPr>
          <w:rFonts w:eastAsia="Baskerville Old Face" w:cs="Times New Roman"/>
          <w:lang w:val="en-GB"/>
        </w:rPr>
        <w:t xml:space="preserve">at a </w:t>
      </w:r>
      <w:r w:rsidR="000F549A" w:rsidRPr="009C5998">
        <w:rPr>
          <w:rFonts w:eastAsia="Baskerville Old Face" w:cs="Times New Roman"/>
          <w:lang w:val="en-GB"/>
        </w:rPr>
        <w:t>first</w:t>
      </w:r>
      <w:r w:rsidR="00E913F2" w:rsidRPr="009C5998">
        <w:rPr>
          <w:rFonts w:eastAsia="Baskerville Old Face" w:cs="Times New Roman"/>
          <w:lang w:val="en-GB"/>
        </w:rPr>
        <w:t xml:space="preserve"> </w:t>
      </w:r>
      <w:r w:rsidR="000F549A" w:rsidRPr="009C5998">
        <w:rPr>
          <w:rFonts w:eastAsia="Baskerville Old Face" w:cs="Times New Roman"/>
          <w:lang w:val="en-GB"/>
        </w:rPr>
        <w:t xml:space="preserve">moment in </w:t>
      </w:r>
      <w:r w:rsidR="00E913F2" w:rsidRPr="009C5998">
        <w:rPr>
          <w:rFonts w:eastAsia="Baskerville Old Face" w:cs="Times New Roman"/>
          <w:lang w:val="en-GB"/>
        </w:rPr>
        <w:t xml:space="preserve">time, it must be the case that </w:t>
      </w:r>
      <w:r w:rsidR="000549DC" w:rsidRPr="009C5998">
        <w:rPr>
          <w:rFonts w:eastAsia="Baskerville Old Face" w:cs="Times New Roman"/>
          <w:lang w:val="en-GB"/>
        </w:rPr>
        <w:t xml:space="preserve">the ‘causality of the cause’ (A444/B472) of </w:t>
      </w:r>
      <w:r w:rsidR="00E913F2" w:rsidRPr="009C5998">
        <w:rPr>
          <w:rFonts w:eastAsia="Baskerville Old Face" w:cs="Times New Roman"/>
          <w:lang w:val="en-GB"/>
        </w:rPr>
        <w:t xml:space="preserve">any </w:t>
      </w:r>
      <w:r w:rsidR="000549DC" w:rsidRPr="009C5998">
        <w:rPr>
          <w:rFonts w:eastAsia="Baskerville Old Face" w:cs="Times New Roman"/>
          <w:lang w:val="en-GB"/>
        </w:rPr>
        <w:t xml:space="preserve">event considered in the causal regress of the Thesis can be referred to </w:t>
      </w:r>
      <w:r w:rsidR="004E366E" w:rsidRPr="009C5998">
        <w:rPr>
          <w:rFonts w:eastAsia="Baskerville Old Face" w:cs="Times New Roman"/>
          <w:lang w:val="en-GB"/>
        </w:rPr>
        <w:t>such an in-itself</w:t>
      </w:r>
      <w:r w:rsidR="000549DC" w:rsidRPr="009C5998">
        <w:rPr>
          <w:rFonts w:eastAsia="Baskerville Old Face" w:cs="Times New Roman"/>
          <w:lang w:val="en-GB"/>
        </w:rPr>
        <w:t xml:space="preserve"> ground</w:t>
      </w:r>
      <w:r w:rsidR="00E913F2" w:rsidRPr="009C5998">
        <w:rPr>
          <w:rFonts w:eastAsia="Baskerville Old Face" w:cs="Times New Roman"/>
          <w:lang w:val="en-GB"/>
        </w:rPr>
        <w:t>. That is why Kant spells out his general solution as follows: ‘appearances … [i.e.] representations connected in accordance with empirical laws … must have grounds that are not appearances’ (A537/B565).</w:t>
      </w:r>
      <w:r w:rsidR="008B757A" w:rsidRPr="009C5998">
        <w:rPr>
          <w:rFonts w:eastAsia="Baskerville Old Face" w:cs="Times New Roman"/>
          <w:lang w:val="en-GB"/>
        </w:rPr>
        <w:t xml:space="preserve"> </w:t>
      </w:r>
    </w:p>
    <w:p w14:paraId="1FA86F2E" w14:textId="75E2A876" w:rsidR="008B757A" w:rsidRPr="009C5998" w:rsidRDefault="004E366E"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This </w:t>
      </w:r>
      <w:r w:rsidR="008B757A" w:rsidRPr="009C5998">
        <w:rPr>
          <w:rFonts w:eastAsia="Baskerville Old Face" w:cs="Times New Roman"/>
          <w:lang w:val="en-GB"/>
        </w:rPr>
        <w:t>amount</w:t>
      </w:r>
      <w:r w:rsidRPr="009C5998">
        <w:rPr>
          <w:rFonts w:eastAsia="Baskerville Old Face" w:cs="Times New Roman"/>
          <w:lang w:val="en-GB"/>
        </w:rPr>
        <w:t>s</w:t>
      </w:r>
      <w:r w:rsidR="008B757A" w:rsidRPr="009C5998">
        <w:rPr>
          <w:rFonts w:eastAsia="Baskerville Old Face" w:cs="Times New Roman"/>
          <w:lang w:val="en-GB"/>
        </w:rPr>
        <w:t xml:space="preserve"> to a grounding of the causality of (empirical) causes in the ThI</w:t>
      </w:r>
      <w:r w:rsidR="00E164FE" w:rsidRPr="009C5998">
        <w:rPr>
          <w:rFonts w:eastAsia="Baskerville Old Face" w:cs="Times New Roman"/>
          <w:lang w:val="en-GB"/>
        </w:rPr>
        <w:t xml:space="preserve">, </w:t>
      </w:r>
      <w:r w:rsidR="00203FBE" w:rsidRPr="009C5998">
        <w:rPr>
          <w:rFonts w:eastAsia="Baskerville Old Face" w:cs="Times New Roman"/>
          <w:lang w:val="en-GB"/>
        </w:rPr>
        <w:t>i.e. a clear statement of the fact that the ThI’s grounding of appearances involves a grounding of empirical causality</w:t>
      </w:r>
      <w:r w:rsidR="008B757A" w:rsidRPr="009C5998">
        <w:rPr>
          <w:rFonts w:eastAsia="Baskerville Old Face" w:cs="Times New Roman"/>
          <w:lang w:val="en-GB"/>
        </w:rPr>
        <w:t>. There is no space to give a more detailed analysis of the Antinomy in this paper,</w:t>
      </w:r>
      <w:r w:rsidRPr="009C5998">
        <w:rPr>
          <w:rStyle w:val="EndnoteReference"/>
          <w:rFonts w:eastAsia="Baskerville Old Face" w:cs="Times New Roman"/>
          <w:lang w:val="en-GB"/>
        </w:rPr>
        <w:endnoteReference w:id="15"/>
      </w:r>
      <w:r w:rsidR="008B757A" w:rsidRPr="009C5998">
        <w:rPr>
          <w:rFonts w:eastAsia="Baskerville Old Face" w:cs="Times New Roman"/>
          <w:lang w:val="en-GB"/>
        </w:rPr>
        <w:t xml:space="preserve"> but as further support</w:t>
      </w:r>
      <w:r w:rsidR="00E164FE" w:rsidRPr="009C5998">
        <w:rPr>
          <w:rFonts w:eastAsia="Baskerville Old Face" w:cs="Times New Roman"/>
          <w:lang w:val="en-GB"/>
        </w:rPr>
        <w:t>,</w:t>
      </w:r>
      <w:r w:rsidR="008B757A" w:rsidRPr="009C5998">
        <w:rPr>
          <w:rFonts w:eastAsia="Baskerville Old Face" w:cs="Times New Roman"/>
          <w:lang w:val="en-GB"/>
        </w:rPr>
        <w:t xml:space="preserve"> note that in the </w:t>
      </w:r>
      <w:r w:rsidR="008B757A" w:rsidRPr="00C15F73">
        <w:rPr>
          <w:rFonts w:eastAsia="Baskerville Old Face" w:cs="Times New Roman"/>
          <w:i/>
          <w:lang w:val="en-GB"/>
        </w:rPr>
        <w:t>Groundwork</w:t>
      </w:r>
      <w:r w:rsidR="008B757A" w:rsidRPr="009C5998">
        <w:rPr>
          <w:rFonts w:eastAsia="Baskerville Old Face" w:cs="Times New Roman"/>
          <w:lang w:val="en-GB"/>
        </w:rPr>
        <w:t>, Kant states: ‘But because the world of understanding [the noumenal world] contains the ground of the world of sense and so too its laws’ (4:</w:t>
      </w:r>
      <w:r w:rsidR="008326D1" w:rsidRPr="009C5998">
        <w:rPr>
          <w:rFonts w:eastAsia="Baskerville Old Face" w:cs="Times New Roman"/>
          <w:lang w:val="en-GB"/>
        </w:rPr>
        <w:t xml:space="preserve"> </w:t>
      </w:r>
      <w:r w:rsidR="008B757A" w:rsidRPr="009C5998">
        <w:rPr>
          <w:rFonts w:eastAsia="Baskerville Old Face" w:cs="Times New Roman"/>
          <w:lang w:val="en-GB"/>
        </w:rPr>
        <w:t>453)</w:t>
      </w:r>
      <w:r w:rsidR="00E164FE" w:rsidRPr="009C5998">
        <w:rPr>
          <w:rFonts w:eastAsia="Baskerville Old Face" w:cs="Times New Roman"/>
          <w:lang w:val="en-GB"/>
        </w:rPr>
        <w:t>. We here</w:t>
      </w:r>
      <w:r w:rsidR="008B757A" w:rsidRPr="009C5998">
        <w:rPr>
          <w:rFonts w:eastAsia="Baskerville Old Face" w:cs="Times New Roman"/>
          <w:lang w:val="en-GB"/>
        </w:rPr>
        <w:t xml:space="preserve"> find a similar emphasis on the causal laws being grounded in the ThI</w:t>
      </w:r>
      <w:r w:rsidR="00FF0C5E" w:rsidRPr="009C5998">
        <w:rPr>
          <w:rFonts w:eastAsia="Baskerville Old Face" w:cs="Times New Roman"/>
          <w:lang w:val="en-GB"/>
        </w:rPr>
        <w:t>: it is because the grounding of the world of sense is one of empirical causality that causal laws are thereby grounded</w:t>
      </w:r>
      <w:r w:rsidR="008B757A" w:rsidRPr="009C5998">
        <w:rPr>
          <w:rFonts w:eastAsia="Baskerville Old Face" w:cs="Times New Roman"/>
          <w:lang w:val="en-GB"/>
        </w:rPr>
        <w:t>.</w:t>
      </w:r>
    </w:p>
    <w:p w14:paraId="42F01703" w14:textId="586D5D69" w:rsidR="0063552B" w:rsidRPr="009C5998" w:rsidRDefault="0063552B"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In the next two </w:t>
      </w:r>
      <w:r w:rsidR="00153D96">
        <w:rPr>
          <w:rFonts w:eastAsia="Baskerville Old Face" w:cs="Times New Roman"/>
          <w:lang w:val="en-GB"/>
        </w:rPr>
        <w:t>sub-</w:t>
      </w:r>
      <w:r w:rsidRPr="009C5998">
        <w:rPr>
          <w:rFonts w:eastAsia="Baskerville Old Face" w:cs="Times New Roman"/>
          <w:lang w:val="en-GB"/>
        </w:rPr>
        <w:t xml:space="preserve">sections, I shall focus upon the Phenomena and Noumena (PN) chapter of the </w:t>
      </w:r>
      <w:r w:rsidR="000302CF">
        <w:rPr>
          <w:rFonts w:eastAsia="Baskerville Old Face" w:cs="Times New Roman"/>
          <w:lang w:val="en-GB"/>
        </w:rPr>
        <w:t xml:space="preserve">first </w:t>
      </w:r>
      <w:r w:rsidR="000302CF">
        <w:rPr>
          <w:rFonts w:eastAsia="Baskerville Old Face" w:cs="Times New Roman"/>
          <w:i/>
          <w:lang w:val="en-GB"/>
        </w:rPr>
        <w:t>Critique</w:t>
      </w:r>
      <w:r w:rsidR="000302CF">
        <w:rPr>
          <w:rFonts w:eastAsia="Baskerville Old Face" w:cs="Times New Roman"/>
          <w:lang w:val="en-GB"/>
        </w:rPr>
        <w:t xml:space="preserve">, </w:t>
      </w:r>
      <w:r w:rsidRPr="009C5998">
        <w:rPr>
          <w:rFonts w:eastAsia="Baskerville Old Face" w:cs="Times New Roman"/>
          <w:lang w:val="en-GB"/>
        </w:rPr>
        <w:t xml:space="preserve">where </w:t>
      </w:r>
      <w:r w:rsidR="00CA37AC" w:rsidRPr="009C5998">
        <w:rPr>
          <w:rFonts w:eastAsia="Baskerville Old Face" w:cs="Times New Roman"/>
          <w:lang w:val="en-GB"/>
        </w:rPr>
        <w:t xml:space="preserve">Kant looks back upon what he has achieved in delimiting the ‘land of truth’ (A235/B294-5) with the intention of consolidating the results he has obtained, and </w:t>
      </w:r>
      <w:r w:rsidR="00DF427C" w:rsidRPr="009C5998">
        <w:rPr>
          <w:rFonts w:eastAsia="Baskerville Old Face" w:cs="Times New Roman"/>
          <w:lang w:val="en-GB"/>
        </w:rPr>
        <w:t xml:space="preserve">thereby </w:t>
      </w:r>
      <w:r w:rsidR="00CA37AC" w:rsidRPr="009C5998">
        <w:rPr>
          <w:rFonts w:eastAsia="Baskerville Old Face" w:cs="Times New Roman"/>
          <w:lang w:val="en-GB"/>
        </w:rPr>
        <w:t xml:space="preserve">of clearly identifying the limits of this domain. </w:t>
      </w:r>
      <w:r w:rsidRPr="009C5998">
        <w:rPr>
          <w:rFonts w:eastAsia="Baskerville Old Face" w:cs="Times New Roman"/>
          <w:lang w:val="en-GB"/>
        </w:rPr>
        <w:t xml:space="preserve">This will provide support for </w:t>
      </w:r>
      <w:r w:rsidR="00401081" w:rsidRPr="009C5998">
        <w:rPr>
          <w:rFonts w:eastAsia="Baskerville Old Face" w:cs="Times New Roman"/>
          <w:lang w:val="en-GB"/>
        </w:rPr>
        <w:t xml:space="preserve">the </w:t>
      </w:r>
      <w:r w:rsidRPr="009C5998">
        <w:rPr>
          <w:rFonts w:eastAsia="Baskerville Old Face" w:cs="Times New Roman"/>
          <w:lang w:val="en-GB"/>
        </w:rPr>
        <w:t xml:space="preserve">metaphysical dual-aspect </w:t>
      </w:r>
      <w:r w:rsidR="00401081" w:rsidRPr="009C5998">
        <w:rPr>
          <w:rFonts w:eastAsia="Baskerville Old Face" w:cs="Times New Roman"/>
          <w:lang w:val="en-GB"/>
        </w:rPr>
        <w:t xml:space="preserve">claims I made in </w:t>
      </w:r>
      <w:r w:rsidR="00F924E7">
        <w:rPr>
          <w:rFonts w:eastAsia="Baskerville Old Face" w:cs="Times New Roman"/>
          <w:lang w:val="en-GB"/>
        </w:rPr>
        <w:t>section one</w:t>
      </w:r>
      <w:r w:rsidR="00401081" w:rsidRPr="009C5998">
        <w:rPr>
          <w:rFonts w:eastAsia="Baskerville Old Face" w:cs="Times New Roman"/>
          <w:lang w:val="en-GB"/>
        </w:rPr>
        <w:t xml:space="preserve">, </w:t>
      </w:r>
      <w:r w:rsidR="00A50449" w:rsidRPr="009C5998">
        <w:rPr>
          <w:rFonts w:eastAsia="Baskerville Old Face" w:cs="Times New Roman"/>
          <w:lang w:val="en-GB"/>
        </w:rPr>
        <w:t xml:space="preserve">independently of the grounding claim, </w:t>
      </w:r>
      <w:r w:rsidRPr="009C5998">
        <w:rPr>
          <w:rFonts w:eastAsia="Baskerville Old Face" w:cs="Times New Roman"/>
          <w:lang w:val="en-GB"/>
        </w:rPr>
        <w:t xml:space="preserve">and enable a further development of </w:t>
      </w:r>
      <w:r w:rsidR="00401081" w:rsidRPr="009C5998">
        <w:rPr>
          <w:rFonts w:eastAsia="Baskerville Old Face" w:cs="Times New Roman"/>
          <w:lang w:val="en-GB"/>
        </w:rPr>
        <w:t>this interpretation</w:t>
      </w:r>
      <w:r w:rsidRPr="009C5998">
        <w:rPr>
          <w:rFonts w:eastAsia="Baskerville Old Face" w:cs="Times New Roman"/>
          <w:lang w:val="en-GB"/>
        </w:rPr>
        <w:t>.</w:t>
      </w:r>
    </w:p>
    <w:p w14:paraId="08B4B7EE" w14:textId="7B31D271" w:rsidR="00CA37AC" w:rsidRPr="009C5998" w:rsidRDefault="00652F47" w:rsidP="00F924E7">
      <w:pPr>
        <w:pStyle w:val="BodyA"/>
        <w:spacing w:after="240"/>
        <w:rPr>
          <w:rFonts w:eastAsia="Baskerville Old Face" w:cs="Times New Roman"/>
          <w:i/>
          <w:iCs/>
          <w:lang w:val="en-GB"/>
        </w:rPr>
      </w:pPr>
      <w:r w:rsidRPr="009C5998">
        <w:rPr>
          <w:rFonts w:eastAsia="Baskerville Old Face" w:cs="Times New Roman"/>
          <w:i/>
          <w:iCs/>
          <w:lang w:val="en-GB"/>
        </w:rPr>
        <w:t xml:space="preserve">Positing the </w:t>
      </w:r>
      <w:r w:rsidR="00CA37AC" w:rsidRPr="009C5998">
        <w:rPr>
          <w:rFonts w:eastAsia="Baskerville Old Face" w:cs="Times New Roman"/>
          <w:i/>
          <w:iCs/>
          <w:lang w:val="en-GB"/>
        </w:rPr>
        <w:t>Transcendental Object</w:t>
      </w:r>
    </w:p>
    <w:p w14:paraId="1800D92A" w14:textId="29A8484B" w:rsidR="00CA37AC"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In the A version of th</w:t>
      </w:r>
      <w:r w:rsidR="00C00053" w:rsidRPr="009C5998">
        <w:rPr>
          <w:rFonts w:eastAsia="Baskerville Old Face" w:cs="Times New Roman"/>
          <w:lang w:val="en-GB"/>
        </w:rPr>
        <w:t>e PN</w:t>
      </w:r>
      <w:r w:rsidRPr="009C5998">
        <w:rPr>
          <w:rFonts w:eastAsia="Baskerville Old Face" w:cs="Times New Roman"/>
          <w:lang w:val="en-GB"/>
        </w:rPr>
        <w:t xml:space="preserve"> chapter, Kant makes the following claim</w:t>
      </w:r>
      <w:r w:rsidR="00A50449" w:rsidRPr="009C5998">
        <w:rPr>
          <w:rFonts w:eastAsia="Baskerville Old Face" w:cs="Times New Roman"/>
          <w:lang w:val="en-GB"/>
        </w:rPr>
        <w:t xml:space="preserve"> already cited in </w:t>
      </w:r>
      <w:r w:rsidR="00530BC4">
        <w:rPr>
          <w:rFonts w:eastAsia="Baskerville Old Face" w:cs="Times New Roman"/>
          <w:lang w:val="en-GB"/>
        </w:rPr>
        <w:t>section one</w:t>
      </w:r>
      <w:r w:rsidRPr="009C5998">
        <w:rPr>
          <w:rFonts w:eastAsia="Baskerville Old Face" w:cs="Times New Roman"/>
          <w:lang w:val="en-GB"/>
        </w:rPr>
        <w:t xml:space="preserve">: ‘If there is not to be a constant circle, the word “appearance” must already indicate a relation to something … which in itself must be something, i.e. an object independent of sensibility’ (A252). </w:t>
      </w:r>
      <w:r w:rsidR="000A7B6A" w:rsidRPr="009C5998">
        <w:rPr>
          <w:rFonts w:eastAsia="Baskerville Old Face" w:cs="Times New Roman"/>
          <w:lang w:val="en-GB"/>
        </w:rPr>
        <w:t xml:space="preserve">The </w:t>
      </w:r>
      <w:r w:rsidR="00EC24F3" w:rsidRPr="009C5998">
        <w:rPr>
          <w:rFonts w:eastAsia="Baskerville Old Face" w:cs="Times New Roman"/>
          <w:lang w:val="en-GB"/>
        </w:rPr>
        <w:t xml:space="preserve">interpretation outlined in </w:t>
      </w:r>
      <w:r w:rsidR="008D270E">
        <w:rPr>
          <w:rFonts w:eastAsia="Baskerville Old Face" w:cs="Times New Roman"/>
          <w:lang w:val="en-GB"/>
        </w:rPr>
        <w:t>section one</w:t>
      </w:r>
      <w:r w:rsidR="00EC24F3" w:rsidRPr="009C5998">
        <w:rPr>
          <w:rFonts w:eastAsia="Baskerville Old Face" w:cs="Times New Roman"/>
          <w:lang w:val="en-GB"/>
        </w:rPr>
        <w:t xml:space="preserve"> led to understanding the relation of appearing as the grounding of empirical causality; here, I want to consider this claim in the context of the PN chapter and independently of th</w:t>
      </w:r>
      <w:r w:rsidR="008D270E">
        <w:rPr>
          <w:rFonts w:eastAsia="Baskerville Old Face" w:cs="Times New Roman"/>
          <w:lang w:val="en-GB"/>
        </w:rPr>
        <w:t>at</w:t>
      </w:r>
      <w:r w:rsidR="00EC24F3" w:rsidRPr="009C5998">
        <w:rPr>
          <w:rFonts w:eastAsia="Baskerville Old Face" w:cs="Times New Roman"/>
          <w:lang w:val="en-GB"/>
        </w:rPr>
        <w:t xml:space="preserve"> interpretation. </w:t>
      </w:r>
      <w:r w:rsidRPr="009C5998">
        <w:rPr>
          <w:rFonts w:eastAsia="Baskerville Old Face" w:cs="Times New Roman"/>
          <w:lang w:val="en-GB"/>
        </w:rPr>
        <w:t xml:space="preserve">The principle of charity invites us to consider that this </w:t>
      </w:r>
      <w:r w:rsidR="00EC24F3" w:rsidRPr="009C5998">
        <w:rPr>
          <w:rFonts w:eastAsia="Baskerville Old Face" w:cs="Times New Roman"/>
          <w:lang w:val="en-GB"/>
        </w:rPr>
        <w:t xml:space="preserve">statement </w:t>
      </w:r>
      <w:r w:rsidRPr="009C5998">
        <w:rPr>
          <w:rFonts w:eastAsia="Baskerville Old Face" w:cs="Times New Roman"/>
          <w:lang w:val="en-GB"/>
        </w:rPr>
        <w:t xml:space="preserve">must be more than a merely semantic, and thereby analytic claim about what is entailed by calling something an appearance. Because the obvious reply is then, why call the objects of our discursive knowledge appearances in the first place? </w:t>
      </w:r>
      <w:r w:rsidR="00DF427C" w:rsidRPr="009C5998">
        <w:rPr>
          <w:rFonts w:eastAsia="Baskerville Old Face" w:cs="Times New Roman"/>
          <w:lang w:val="en-GB"/>
        </w:rPr>
        <w:t>T</w:t>
      </w:r>
      <w:r w:rsidRPr="009C5998">
        <w:rPr>
          <w:rFonts w:eastAsia="Baskerville Old Face" w:cs="Times New Roman"/>
          <w:lang w:val="en-GB"/>
        </w:rPr>
        <w:t>his claim is</w:t>
      </w:r>
      <w:r w:rsidR="007A5B09" w:rsidRPr="009C5998">
        <w:rPr>
          <w:rFonts w:eastAsia="Baskerville Old Face" w:cs="Times New Roman"/>
          <w:lang w:val="en-GB"/>
        </w:rPr>
        <w:t xml:space="preserve"> presumably</w:t>
      </w:r>
      <w:r w:rsidRPr="009C5998">
        <w:rPr>
          <w:rFonts w:eastAsia="Baskerville Old Face" w:cs="Times New Roman"/>
          <w:lang w:val="en-GB"/>
        </w:rPr>
        <w:t xml:space="preserve"> nothing new: in this chapter, Kant is, as already indicated, </w:t>
      </w:r>
      <w:r w:rsidR="00CD1939" w:rsidRPr="009C5998">
        <w:rPr>
          <w:rFonts w:eastAsia="Baskerville Old Face" w:cs="Times New Roman"/>
          <w:lang w:val="en-GB"/>
        </w:rPr>
        <w:t xml:space="preserve">clarifying the cognitive limits he has </w:t>
      </w:r>
      <w:r w:rsidR="004C6256" w:rsidRPr="009C5998">
        <w:rPr>
          <w:rFonts w:eastAsia="Baskerville Old Face" w:cs="Times New Roman"/>
          <w:lang w:val="en-GB"/>
        </w:rPr>
        <w:t xml:space="preserve">already </w:t>
      </w:r>
      <w:r w:rsidR="00CD1939" w:rsidRPr="009C5998">
        <w:rPr>
          <w:rFonts w:eastAsia="Baskerville Old Face" w:cs="Times New Roman"/>
          <w:lang w:val="en-GB"/>
        </w:rPr>
        <w:t>identified</w:t>
      </w:r>
      <w:r w:rsidRPr="009C5998">
        <w:rPr>
          <w:rFonts w:eastAsia="Baskerville Old Face" w:cs="Times New Roman"/>
          <w:lang w:val="en-GB"/>
        </w:rPr>
        <w:t xml:space="preserve">. The statements preceding this claim, about the role of the </w:t>
      </w:r>
      <w:r w:rsidR="006B6F70">
        <w:rPr>
          <w:rFonts w:eastAsia="Baskerville Old Face" w:cs="Times New Roman"/>
          <w:lang w:val="en-GB"/>
        </w:rPr>
        <w:t>t</w:t>
      </w:r>
      <w:r w:rsidRPr="009C5998">
        <w:rPr>
          <w:rFonts w:eastAsia="Baskerville Old Face" w:cs="Times New Roman"/>
          <w:lang w:val="en-GB"/>
        </w:rPr>
        <w:t xml:space="preserve">ranscendental </w:t>
      </w:r>
      <w:r w:rsidR="00B27F5F">
        <w:rPr>
          <w:rFonts w:eastAsia="Baskerville Old Face" w:cs="Times New Roman"/>
          <w:lang w:val="en-GB"/>
        </w:rPr>
        <w:t>o</w:t>
      </w:r>
      <w:r w:rsidRPr="009C5998">
        <w:rPr>
          <w:rFonts w:eastAsia="Baskerville Old Face" w:cs="Times New Roman"/>
          <w:lang w:val="en-GB"/>
        </w:rPr>
        <w:t xml:space="preserve">bject (TO), confirm that what is here spelt out is a consequence of a core result of the Transcendental Deduction </w:t>
      </w:r>
      <w:r w:rsidR="00FF0C5E" w:rsidRPr="009C5998">
        <w:rPr>
          <w:rFonts w:eastAsia="Baskerville Old Face" w:cs="Times New Roman"/>
          <w:lang w:val="en-GB"/>
        </w:rPr>
        <w:t xml:space="preserve">in its </w:t>
      </w:r>
      <w:r w:rsidR="00EC24F3" w:rsidRPr="009C5998">
        <w:rPr>
          <w:rFonts w:eastAsia="Baskerville Old Face" w:cs="Times New Roman"/>
          <w:lang w:val="en-GB"/>
        </w:rPr>
        <w:t>A</w:t>
      </w:r>
      <w:r w:rsidR="00FF0C5E" w:rsidRPr="009C5998">
        <w:rPr>
          <w:rFonts w:eastAsia="Baskerville Old Face" w:cs="Times New Roman"/>
          <w:lang w:val="en-GB"/>
        </w:rPr>
        <w:t xml:space="preserve"> version </w:t>
      </w:r>
      <w:r w:rsidRPr="009C5998">
        <w:rPr>
          <w:rFonts w:eastAsia="Baskerville Old Face" w:cs="Times New Roman"/>
          <w:lang w:val="en-GB"/>
        </w:rPr>
        <w:t>(</w:t>
      </w:r>
      <w:r w:rsidR="00FF0C5E" w:rsidRPr="009C5998">
        <w:rPr>
          <w:rFonts w:eastAsia="Baskerville Old Face" w:cs="Times New Roman"/>
          <w:lang w:val="en-GB"/>
        </w:rPr>
        <w:t>A-</w:t>
      </w:r>
      <w:r w:rsidRPr="009C5998">
        <w:rPr>
          <w:rFonts w:eastAsia="Baskerville Old Face" w:cs="Times New Roman"/>
          <w:lang w:val="en-GB"/>
        </w:rPr>
        <w:t>TD).</w:t>
      </w:r>
    </w:p>
    <w:p w14:paraId="7397E078" w14:textId="2BCC8BC6" w:rsidR="00CA37AC"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Kant defines the TO as the ‘entirely undetermined thought of something in general’ (A253). It is also ‘the object to which I relate appearance in general’ (A253). This is where Kant refers to the A</w:t>
      </w:r>
      <w:r w:rsidR="00B27F5F">
        <w:rPr>
          <w:rFonts w:eastAsia="Baskerville Old Face" w:cs="Times New Roman"/>
          <w:lang w:val="en-GB"/>
        </w:rPr>
        <w:t>-</w:t>
      </w:r>
      <w:r w:rsidRPr="009C5998">
        <w:rPr>
          <w:rFonts w:eastAsia="Baskerville Old Face" w:cs="Times New Roman"/>
          <w:lang w:val="en-GB"/>
        </w:rPr>
        <w:t>TD</w:t>
      </w:r>
      <w:r w:rsidR="00B27F5F">
        <w:rPr>
          <w:rFonts w:eastAsia="Baskerville Old Face" w:cs="Times New Roman"/>
          <w:lang w:val="en-GB"/>
        </w:rPr>
        <w:t>,</w:t>
      </w:r>
      <w:r w:rsidRPr="009C5998">
        <w:rPr>
          <w:rFonts w:eastAsia="Baskerville Old Face" w:cs="Times New Roman"/>
          <w:lang w:val="en-GB"/>
        </w:rPr>
        <w:t xml:space="preserve"> where he characteri</w:t>
      </w:r>
      <w:r w:rsidR="007771E4">
        <w:rPr>
          <w:rFonts w:eastAsia="Baskerville Old Face" w:cs="Times New Roman"/>
          <w:lang w:val="en-GB"/>
        </w:rPr>
        <w:t>z</w:t>
      </w:r>
      <w:r w:rsidRPr="009C5998">
        <w:rPr>
          <w:rFonts w:eastAsia="Baskerville Old Face" w:cs="Times New Roman"/>
          <w:lang w:val="en-GB"/>
        </w:rPr>
        <w:t>es it as the object to which appearances refer insofar as they are ‘not things in themselves, but themselves only representations’ (A108-9).</w:t>
      </w:r>
      <w:r w:rsidRPr="009C5998">
        <w:rPr>
          <w:rFonts w:eastAsia="Baskerville Old Face" w:cs="Times New Roman"/>
          <w:vertAlign w:val="superscript"/>
          <w:lang w:val="en-GB"/>
        </w:rPr>
        <w:endnoteReference w:id="16"/>
      </w:r>
      <w:r w:rsidRPr="009C5998">
        <w:rPr>
          <w:rFonts w:eastAsia="Baskerville Old Face" w:cs="Times New Roman"/>
          <w:lang w:val="en-GB"/>
        </w:rPr>
        <w:t xml:space="preserve"> </w:t>
      </w:r>
    </w:p>
    <w:p w14:paraId="248B4EFC" w14:textId="71A0E282" w:rsidR="00CA37AC"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But how did Kant introduce the key role of the TO in the TD? After presenting the three-fold synthesis, Kant asks the key question which motivated his whole critical turn, namely ‘[w]hat does one mean, then, if one speaks of an object corresponding to and therefore also distinct from the cognition?’ (A104). His answer is that ‘this object must be thought as something in general = X, since outside our cognition we have nothing we could set over against this cognition as corresponding to it’ (ibid.). That is, since X is outside our representations, it is nothing for us, and the concept of this X is defined by ‘the formal unity of consciousness in the synthesis of the manifold of the representations’ (A105).</w:t>
      </w:r>
      <w:r w:rsidR="00CA0988" w:rsidRPr="009C5998">
        <w:rPr>
          <w:rStyle w:val="EndnoteReference"/>
          <w:rFonts w:eastAsia="Baskerville Old Face" w:cs="Times New Roman"/>
          <w:lang w:val="en-GB"/>
        </w:rPr>
        <w:endnoteReference w:id="17"/>
      </w:r>
      <w:r w:rsidRPr="009C5998">
        <w:rPr>
          <w:rFonts w:eastAsia="Baskerville Old Face" w:cs="Times New Roman"/>
          <w:lang w:val="en-GB"/>
        </w:rPr>
        <w:t xml:space="preserve"> </w:t>
      </w:r>
      <w:r w:rsidR="00DD6642" w:rsidRPr="009C5998">
        <w:rPr>
          <w:rFonts w:eastAsia="Baskerville Old Face" w:cs="Times New Roman"/>
          <w:lang w:val="en-GB"/>
        </w:rPr>
        <w:t xml:space="preserve">But importantly, X is posited as something </w:t>
      </w:r>
      <w:r w:rsidR="00FE6AD8" w:rsidRPr="009C5998">
        <w:rPr>
          <w:rFonts w:eastAsia="Baskerville Old Face" w:cs="Times New Roman"/>
          <w:lang w:val="en-GB"/>
        </w:rPr>
        <w:t xml:space="preserve">that is not a </w:t>
      </w:r>
      <w:r w:rsidR="00DD6642" w:rsidRPr="009C5998">
        <w:rPr>
          <w:rFonts w:eastAsia="Baskerville Old Face" w:cs="Times New Roman"/>
          <w:lang w:val="en-GB"/>
        </w:rPr>
        <w:t>representation</w:t>
      </w:r>
      <w:r w:rsidR="00093F06" w:rsidRPr="009C5998">
        <w:rPr>
          <w:rFonts w:eastAsia="Baskerville Old Face" w:cs="Times New Roman"/>
          <w:lang w:val="en-GB"/>
        </w:rPr>
        <w:t>,</w:t>
      </w:r>
      <w:r w:rsidR="00FE6AD8" w:rsidRPr="009C5998">
        <w:rPr>
          <w:rFonts w:eastAsia="Baskerville Old Face" w:cs="Times New Roman"/>
          <w:lang w:val="en-GB"/>
        </w:rPr>
        <w:t xml:space="preserve"> i.e. lies outside our representations. This </w:t>
      </w:r>
      <w:r w:rsidR="00C00053" w:rsidRPr="009C5998">
        <w:rPr>
          <w:rFonts w:eastAsia="Baskerville Old Face" w:cs="Times New Roman"/>
          <w:lang w:val="en-GB"/>
        </w:rPr>
        <w:t xml:space="preserve">locates it as a thing beyond the mental domain, and </w:t>
      </w:r>
      <w:r w:rsidR="00FE6AD8" w:rsidRPr="009C5998">
        <w:rPr>
          <w:rFonts w:eastAsia="Baskerville Old Face" w:cs="Times New Roman"/>
          <w:lang w:val="en-GB"/>
        </w:rPr>
        <w:t xml:space="preserve">must </w:t>
      </w:r>
      <w:r w:rsidR="00C00053" w:rsidRPr="009C5998">
        <w:rPr>
          <w:rFonts w:eastAsia="Baskerville Old Face" w:cs="Times New Roman"/>
          <w:lang w:val="en-GB"/>
        </w:rPr>
        <w:t xml:space="preserve">therefore </w:t>
      </w:r>
      <w:r w:rsidR="00FE6AD8" w:rsidRPr="009C5998">
        <w:rPr>
          <w:rFonts w:eastAsia="Baskerville Old Face" w:cs="Times New Roman"/>
          <w:lang w:val="en-GB"/>
        </w:rPr>
        <w:t xml:space="preserve">imply some </w:t>
      </w:r>
      <w:r w:rsidR="00093F06" w:rsidRPr="009C5998">
        <w:rPr>
          <w:rFonts w:eastAsia="Baskerville Old Face" w:cs="Times New Roman"/>
          <w:lang w:val="en-GB"/>
        </w:rPr>
        <w:t xml:space="preserve">existence </w:t>
      </w:r>
      <w:r w:rsidR="00FE6AD8" w:rsidRPr="009C5998">
        <w:rPr>
          <w:rFonts w:eastAsia="Baskerville Old Face" w:cs="Times New Roman"/>
          <w:lang w:val="en-GB"/>
        </w:rPr>
        <w:t>claim</w:t>
      </w:r>
      <w:r w:rsidR="00093F06" w:rsidRPr="009C5998">
        <w:rPr>
          <w:rFonts w:eastAsia="Baskerville Old Face" w:cs="Times New Roman"/>
          <w:lang w:val="en-GB"/>
        </w:rPr>
        <w:t xml:space="preserve">. </w:t>
      </w:r>
      <w:r w:rsidR="00C00053" w:rsidRPr="009C5998">
        <w:rPr>
          <w:rFonts w:eastAsia="Baskerville Old Face" w:cs="Times New Roman"/>
          <w:lang w:val="en-GB"/>
        </w:rPr>
        <w:t>Although the TO</w:t>
      </w:r>
      <w:r w:rsidR="00794EA3" w:rsidRPr="009C5998">
        <w:rPr>
          <w:rFonts w:eastAsia="Baskerville Old Face" w:cs="Times New Roman"/>
          <w:lang w:val="en-GB"/>
        </w:rPr>
        <w:t xml:space="preserve"> has the function it has precisely because we have no cognitive access to anything beyond our representations, it fulfils this function by being posited, i.e. through some existence claim. To be sure</w:t>
      </w:r>
      <w:r w:rsidR="00401081" w:rsidRPr="009C5998">
        <w:rPr>
          <w:rFonts w:eastAsia="Baskerville Old Face" w:cs="Times New Roman"/>
          <w:lang w:val="en-GB"/>
        </w:rPr>
        <w:t>, t</w:t>
      </w:r>
      <w:r w:rsidR="00093F06" w:rsidRPr="009C5998">
        <w:rPr>
          <w:rFonts w:eastAsia="Baskerville Old Face" w:cs="Times New Roman"/>
          <w:lang w:val="en-GB"/>
        </w:rPr>
        <w:t xml:space="preserve">his claim is </w:t>
      </w:r>
      <w:r w:rsidR="00093F06" w:rsidRPr="009C5998">
        <w:rPr>
          <w:rFonts w:eastAsia="Baskerville Old Face" w:cs="Times New Roman"/>
          <w:i/>
          <w:lang w:val="en-GB"/>
        </w:rPr>
        <w:t>internal</w:t>
      </w:r>
      <w:r w:rsidR="00093F06" w:rsidRPr="009C5998">
        <w:rPr>
          <w:rFonts w:eastAsia="Baskerville Old Face" w:cs="Times New Roman"/>
          <w:lang w:val="en-GB"/>
        </w:rPr>
        <w:t xml:space="preserve"> to the </w:t>
      </w:r>
      <w:r w:rsidR="00C221EB" w:rsidRPr="009C5998">
        <w:rPr>
          <w:rFonts w:eastAsia="Baskerville Old Face" w:cs="Times New Roman"/>
          <w:lang w:val="en-GB"/>
        </w:rPr>
        <w:t xml:space="preserve">context of the </w:t>
      </w:r>
      <w:r w:rsidR="00093F06" w:rsidRPr="009C5998">
        <w:rPr>
          <w:rFonts w:eastAsia="Baskerville Old Face" w:cs="Times New Roman"/>
          <w:lang w:val="en-GB"/>
        </w:rPr>
        <w:t>judgement, which may</w:t>
      </w:r>
      <w:r w:rsidR="00652F47" w:rsidRPr="009C5998">
        <w:rPr>
          <w:rFonts w:eastAsia="Baskerville Old Face" w:cs="Times New Roman"/>
          <w:lang w:val="en-GB"/>
        </w:rPr>
        <w:t xml:space="preserve"> </w:t>
      </w:r>
      <w:r w:rsidR="00093F06" w:rsidRPr="009C5998">
        <w:rPr>
          <w:rFonts w:eastAsia="Baskerville Old Face" w:cs="Times New Roman"/>
          <w:lang w:val="en-GB"/>
        </w:rPr>
        <w:t xml:space="preserve">be </w:t>
      </w:r>
      <w:r w:rsidR="00794EA3" w:rsidRPr="009C5998">
        <w:rPr>
          <w:rFonts w:eastAsia="Baskerville Old Face" w:cs="Times New Roman"/>
          <w:lang w:val="en-GB"/>
        </w:rPr>
        <w:t xml:space="preserve">a </w:t>
      </w:r>
      <w:r w:rsidR="00093F06" w:rsidRPr="009C5998">
        <w:rPr>
          <w:rFonts w:eastAsia="Baskerville Old Face" w:cs="Times New Roman"/>
          <w:lang w:val="en-GB"/>
        </w:rPr>
        <w:t>problematic</w:t>
      </w:r>
      <w:r w:rsidR="00794EA3" w:rsidRPr="009C5998">
        <w:rPr>
          <w:rFonts w:eastAsia="Baskerville Old Face" w:cs="Times New Roman"/>
          <w:lang w:val="en-GB"/>
        </w:rPr>
        <w:t xml:space="preserve"> judgement</w:t>
      </w:r>
      <w:r w:rsidR="00093F06" w:rsidRPr="009C5998">
        <w:rPr>
          <w:rFonts w:eastAsia="Baskerville Old Face" w:cs="Times New Roman"/>
          <w:lang w:val="en-GB"/>
        </w:rPr>
        <w:t xml:space="preserve">. But if the </w:t>
      </w:r>
      <w:r w:rsidR="00794EA3" w:rsidRPr="009C5998">
        <w:rPr>
          <w:rFonts w:eastAsia="Baskerville Old Face" w:cs="Times New Roman"/>
          <w:lang w:val="en-GB"/>
        </w:rPr>
        <w:t xml:space="preserve">notion of </w:t>
      </w:r>
      <w:r w:rsidR="00652F47" w:rsidRPr="009C5998">
        <w:rPr>
          <w:rFonts w:eastAsia="Baskerville Old Face" w:cs="Times New Roman"/>
          <w:lang w:val="en-GB"/>
        </w:rPr>
        <w:t xml:space="preserve">X </w:t>
      </w:r>
      <w:r w:rsidR="00794EA3" w:rsidRPr="009C5998">
        <w:rPr>
          <w:rFonts w:eastAsia="Baskerville Old Face" w:cs="Times New Roman"/>
          <w:lang w:val="en-GB"/>
        </w:rPr>
        <w:t xml:space="preserve">being posited </w:t>
      </w:r>
      <w:r w:rsidR="00652F47" w:rsidRPr="009C5998">
        <w:rPr>
          <w:rFonts w:eastAsia="Baskerville Old Face" w:cs="Times New Roman"/>
          <w:lang w:val="en-GB"/>
        </w:rPr>
        <w:t xml:space="preserve">outside our representations is to have any meaning at all, it must involve </w:t>
      </w:r>
      <w:r w:rsidR="00794EA3" w:rsidRPr="009C5998">
        <w:rPr>
          <w:rFonts w:eastAsia="Baskerville Old Face" w:cs="Times New Roman"/>
          <w:lang w:val="en-GB"/>
        </w:rPr>
        <w:t>some such (</w:t>
      </w:r>
      <w:r w:rsidR="000C6075" w:rsidRPr="009C5998">
        <w:rPr>
          <w:rFonts w:eastAsia="Baskerville Old Face" w:cs="Times New Roman"/>
          <w:lang w:val="en-GB"/>
        </w:rPr>
        <w:t>problematic</w:t>
      </w:r>
      <w:r w:rsidR="00794EA3" w:rsidRPr="009C5998">
        <w:rPr>
          <w:rFonts w:eastAsia="Baskerville Old Face" w:cs="Times New Roman"/>
          <w:lang w:val="en-GB"/>
        </w:rPr>
        <w:t>)</w:t>
      </w:r>
      <w:r w:rsidR="007A5B09" w:rsidRPr="009C5998">
        <w:rPr>
          <w:rFonts w:eastAsia="Baskerville Old Face" w:cs="Times New Roman"/>
          <w:lang w:val="en-GB"/>
        </w:rPr>
        <w:t xml:space="preserve"> existence claim</w:t>
      </w:r>
      <w:r w:rsidR="00794EA3" w:rsidRPr="009C5998">
        <w:rPr>
          <w:rFonts w:eastAsia="Baskerville Old Face" w:cs="Times New Roman"/>
          <w:lang w:val="en-GB"/>
        </w:rPr>
        <w:t xml:space="preserve">. That is, </w:t>
      </w:r>
      <w:r w:rsidR="007A5B09" w:rsidRPr="009C5998">
        <w:rPr>
          <w:rFonts w:eastAsia="Baskerville Old Face" w:cs="Times New Roman"/>
          <w:lang w:val="en-GB"/>
        </w:rPr>
        <w:t>insofar as I am determining a</w:t>
      </w:r>
      <w:r w:rsidR="00EC24F3" w:rsidRPr="009C5998">
        <w:rPr>
          <w:rFonts w:eastAsia="Baskerville Old Face" w:cs="Times New Roman"/>
          <w:lang w:val="en-GB"/>
        </w:rPr>
        <w:t xml:space="preserve"> possible</w:t>
      </w:r>
      <w:r w:rsidR="007A5B09" w:rsidRPr="009C5998">
        <w:rPr>
          <w:rFonts w:eastAsia="Baskerville Old Face" w:cs="Times New Roman"/>
          <w:lang w:val="en-GB"/>
        </w:rPr>
        <w:t xml:space="preserve"> object </w:t>
      </w:r>
      <w:r w:rsidR="000C6075" w:rsidRPr="009C5998">
        <w:rPr>
          <w:rFonts w:eastAsia="Baskerville Old Face" w:cs="Times New Roman"/>
          <w:lang w:val="en-GB"/>
        </w:rPr>
        <w:t>as having property</w:t>
      </w:r>
      <w:r w:rsidR="00F86224">
        <w:rPr>
          <w:rFonts w:eastAsia="Baskerville Old Face" w:cs="Times New Roman"/>
          <w:lang w:val="en-GB"/>
        </w:rPr>
        <w:t xml:space="preserve"> </w:t>
      </w:r>
      <m:oMath>
        <m:r>
          <w:rPr>
            <w:rFonts w:ascii="Cambria Math" w:eastAsia="Baskerville Old Face" w:hAnsi="Cambria Math" w:cs="Times New Roman"/>
            <w:lang w:val="en-GB"/>
          </w:rPr>
          <m:t>φ</m:t>
        </m:r>
      </m:oMath>
      <w:r w:rsidR="000C6075" w:rsidRPr="009C5998">
        <w:rPr>
          <w:rFonts w:eastAsia="Baskerville Old Face" w:cs="Times New Roman"/>
          <w:lang w:val="en-GB"/>
        </w:rPr>
        <w:t xml:space="preserve">, I am considering the possibility of some </w:t>
      </w:r>
      <w:r w:rsidR="00794EA3" w:rsidRPr="009C5998">
        <w:rPr>
          <w:rFonts w:eastAsia="Baskerville Old Face" w:cs="Times New Roman"/>
          <w:lang w:val="en-GB"/>
        </w:rPr>
        <w:t>ThI</w:t>
      </w:r>
      <w:r w:rsidR="000C6075" w:rsidRPr="009C5998">
        <w:rPr>
          <w:rFonts w:eastAsia="Baskerville Old Face" w:cs="Times New Roman"/>
          <w:lang w:val="en-GB"/>
        </w:rPr>
        <w:t xml:space="preserve"> </w:t>
      </w:r>
      <w:r w:rsidR="00FE6AD8" w:rsidRPr="009C5998">
        <w:rPr>
          <w:rFonts w:eastAsia="Baskerville Old Face" w:cs="Times New Roman"/>
          <w:lang w:val="en-GB"/>
        </w:rPr>
        <w:t>(that is thereby posited)</w:t>
      </w:r>
      <w:r w:rsidR="00B64CE3" w:rsidRPr="009C5998">
        <w:rPr>
          <w:rFonts w:eastAsia="Baskerville Old Face" w:cs="Times New Roman"/>
          <w:vertAlign w:val="superscript"/>
          <w:lang w:val="en-GB"/>
        </w:rPr>
        <w:endnoteReference w:id="18"/>
      </w:r>
      <w:r w:rsidR="00FE6AD8" w:rsidRPr="009C5998">
        <w:rPr>
          <w:rFonts w:eastAsia="Baskerville Old Face" w:cs="Times New Roman"/>
          <w:lang w:val="en-GB"/>
        </w:rPr>
        <w:t xml:space="preserve"> </w:t>
      </w:r>
      <w:r w:rsidR="000C6075" w:rsidRPr="009C5998">
        <w:rPr>
          <w:rFonts w:eastAsia="Baskerville Old Face" w:cs="Times New Roman"/>
          <w:lang w:val="en-GB"/>
        </w:rPr>
        <w:t xml:space="preserve">appearing as an object with property </w:t>
      </w:r>
      <m:oMath>
        <m:r>
          <w:rPr>
            <w:rFonts w:ascii="Cambria Math" w:eastAsia="Baskerville Old Face" w:hAnsi="Cambria Math" w:cs="Times New Roman"/>
            <w:lang w:val="en-GB"/>
          </w:rPr>
          <m:t>φ</m:t>
        </m:r>
      </m:oMath>
      <w:r w:rsidR="000C6075" w:rsidRPr="009C5998">
        <w:rPr>
          <w:rFonts w:eastAsia="Baskerville Old Face" w:cs="Times New Roman"/>
          <w:lang w:val="en-GB"/>
        </w:rPr>
        <w:t>. If I make an assertoric judgement, this possibility becomes actuality.</w:t>
      </w:r>
    </w:p>
    <w:p w14:paraId="6254938C" w14:textId="2F43EF05" w:rsidR="000C6075" w:rsidRPr="009C5998" w:rsidRDefault="000C6075"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So, while it is the case that ‘in all of our cognitions [it] is really one and the same = X’ (A109), </w:t>
      </w:r>
      <w:r w:rsidR="002F1F7F" w:rsidRPr="009C5998">
        <w:rPr>
          <w:rFonts w:eastAsia="Baskerville Old Face" w:cs="Times New Roman"/>
          <w:lang w:val="en-GB"/>
        </w:rPr>
        <w:t xml:space="preserve">a judgement involves positing this TO as some thing </w:t>
      </w:r>
      <w:r w:rsidR="00592394">
        <w:rPr>
          <w:rFonts w:eastAsia="Baskerville Old Face" w:cs="Times New Roman"/>
          <w:lang w:val="en-GB"/>
        </w:rPr>
        <w:t>to</w:t>
      </w:r>
      <w:r w:rsidR="00592394" w:rsidRPr="009C5998">
        <w:rPr>
          <w:rFonts w:eastAsia="Baskerville Old Face" w:cs="Times New Roman"/>
          <w:lang w:val="en-GB"/>
        </w:rPr>
        <w:t xml:space="preserve"> </w:t>
      </w:r>
      <w:r w:rsidR="002F1F7F" w:rsidRPr="009C5998">
        <w:rPr>
          <w:rFonts w:eastAsia="Baskerville Old Face" w:cs="Times New Roman"/>
          <w:lang w:val="en-GB"/>
        </w:rPr>
        <w:t>which appearances</w:t>
      </w:r>
      <w:r w:rsidR="00794EA3" w:rsidRPr="009C5998">
        <w:rPr>
          <w:rFonts w:eastAsia="Baskerville Old Face" w:cs="Times New Roman"/>
          <w:lang w:val="en-GB"/>
        </w:rPr>
        <w:t>, qua</w:t>
      </w:r>
      <w:r w:rsidR="002F1F7F" w:rsidRPr="009C5998">
        <w:rPr>
          <w:rFonts w:eastAsia="Baskerville Old Face" w:cs="Times New Roman"/>
          <w:lang w:val="en-GB"/>
        </w:rPr>
        <w:t xml:space="preserve"> </w:t>
      </w:r>
      <w:r w:rsidR="00794EA3" w:rsidRPr="009C5998">
        <w:rPr>
          <w:rFonts w:eastAsia="Baskerville Old Face" w:cs="Times New Roman"/>
          <w:lang w:val="en-GB"/>
        </w:rPr>
        <w:t xml:space="preserve">mere </w:t>
      </w:r>
      <w:r w:rsidR="002F1F7F" w:rsidRPr="009C5998">
        <w:rPr>
          <w:rFonts w:eastAsia="Baskerville Old Face" w:cs="Times New Roman"/>
          <w:lang w:val="en-GB"/>
        </w:rPr>
        <w:t>representations</w:t>
      </w:r>
      <w:r w:rsidR="00794EA3" w:rsidRPr="009C5998">
        <w:rPr>
          <w:rFonts w:eastAsia="Baskerville Old Face" w:cs="Times New Roman"/>
          <w:lang w:val="en-GB"/>
        </w:rPr>
        <w:t>, refer</w:t>
      </w:r>
      <w:r w:rsidR="002F1F7F" w:rsidRPr="009C5998">
        <w:rPr>
          <w:rFonts w:eastAsia="Baskerville Old Face" w:cs="Times New Roman"/>
          <w:lang w:val="en-GB"/>
        </w:rPr>
        <w:t>, i.e. some thing that is thereby considered as existing outside the mind.</w:t>
      </w:r>
    </w:p>
    <w:p w14:paraId="3A3080BE" w14:textId="5C356948" w:rsidR="00CA37AC"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In chapter PN, Kant draws upon these results to conclude to the need for ‘appearance’ to refer to something ‘which in itself … must be something’ (A252). He is thus confirming that in being cognitively related to an appearance, one also thereby posits something in-itself. </w:t>
      </w:r>
      <w:r w:rsidR="002F1F7F" w:rsidRPr="009C5998">
        <w:rPr>
          <w:rFonts w:eastAsia="Baskerville Old Face" w:cs="Times New Roman"/>
          <w:lang w:val="en-GB"/>
        </w:rPr>
        <w:t xml:space="preserve">The interpretation I </w:t>
      </w:r>
      <w:r w:rsidR="00CD24FF" w:rsidRPr="009C5998">
        <w:rPr>
          <w:rFonts w:eastAsia="Baskerville Old Face" w:cs="Times New Roman"/>
          <w:lang w:val="en-GB"/>
        </w:rPr>
        <w:t xml:space="preserve">have </w:t>
      </w:r>
      <w:r w:rsidR="002F1F7F" w:rsidRPr="009C5998">
        <w:rPr>
          <w:rFonts w:eastAsia="Baskerville Old Face" w:cs="Times New Roman"/>
          <w:lang w:val="en-GB"/>
        </w:rPr>
        <w:t>g</w:t>
      </w:r>
      <w:r w:rsidR="00CD24FF" w:rsidRPr="009C5998">
        <w:rPr>
          <w:rFonts w:eastAsia="Baskerville Old Face" w:cs="Times New Roman"/>
          <w:lang w:val="en-GB"/>
        </w:rPr>
        <w:t>i</w:t>
      </w:r>
      <w:r w:rsidR="002F1F7F" w:rsidRPr="009C5998">
        <w:rPr>
          <w:rFonts w:eastAsia="Baskerville Old Face" w:cs="Times New Roman"/>
          <w:lang w:val="en-GB"/>
        </w:rPr>
        <w:t>ve</w:t>
      </w:r>
      <w:r w:rsidR="00CD24FF" w:rsidRPr="009C5998">
        <w:rPr>
          <w:rFonts w:eastAsia="Baskerville Old Face" w:cs="Times New Roman"/>
          <w:lang w:val="en-GB"/>
        </w:rPr>
        <w:t>n</w:t>
      </w:r>
      <w:r w:rsidR="002F1F7F" w:rsidRPr="009C5998">
        <w:rPr>
          <w:rFonts w:eastAsia="Baskerville Old Face" w:cs="Times New Roman"/>
          <w:lang w:val="en-GB"/>
        </w:rPr>
        <w:t xml:space="preserve"> of the role of the TO in the A</w:t>
      </w:r>
      <w:r w:rsidR="00EC24F3" w:rsidRPr="009C5998">
        <w:rPr>
          <w:rFonts w:eastAsia="Baskerville Old Face" w:cs="Times New Roman"/>
          <w:lang w:val="en-GB"/>
        </w:rPr>
        <w:t>-</w:t>
      </w:r>
      <w:r w:rsidR="002F1F7F" w:rsidRPr="009C5998">
        <w:rPr>
          <w:rFonts w:eastAsia="Baskerville Old Face" w:cs="Times New Roman"/>
          <w:lang w:val="en-GB"/>
        </w:rPr>
        <w:t>TD to explain this passage will perhaps not convince a reader who sees the TO as a mere</w:t>
      </w:r>
      <w:r w:rsidR="00220594" w:rsidRPr="009C5998">
        <w:rPr>
          <w:rFonts w:eastAsia="Baskerville Old Face" w:cs="Times New Roman"/>
          <w:lang w:val="en-GB"/>
        </w:rPr>
        <w:t>ly</w:t>
      </w:r>
      <w:r w:rsidR="002F1F7F" w:rsidRPr="009C5998">
        <w:rPr>
          <w:rFonts w:eastAsia="Baskerville Old Face" w:cs="Times New Roman"/>
          <w:lang w:val="en-GB"/>
        </w:rPr>
        <w:t xml:space="preserve"> methodological tool. While this reader would then have to produce another account of A252, greater clarity about the key role of existence requires looking at </w:t>
      </w:r>
      <w:r w:rsidR="00652F47" w:rsidRPr="009C5998">
        <w:rPr>
          <w:rFonts w:eastAsia="Baskerville Old Face" w:cs="Times New Roman"/>
          <w:lang w:val="en-GB"/>
        </w:rPr>
        <w:t xml:space="preserve">the B version of </w:t>
      </w:r>
      <w:r w:rsidR="00220594" w:rsidRPr="009C5998">
        <w:rPr>
          <w:rFonts w:eastAsia="Baskerville Old Face" w:cs="Times New Roman"/>
          <w:lang w:val="en-GB"/>
        </w:rPr>
        <w:t>PN</w:t>
      </w:r>
      <w:r w:rsidR="00652F47" w:rsidRPr="009C5998">
        <w:rPr>
          <w:rFonts w:eastAsia="Baskerville Old Face" w:cs="Times New Roman"/>
          <w:lang w:val="en-GB"/>
        </w:rPr>
        <w:t>.</w:t>
      </w:r>
    </w:p>
    <w:p w14:paraId="1A197826" w14:textId="7ED11718" w:rsidR="00CA37AC" w:rsidRPr="009C5998" w:rsidRDefault="004B0F70" w:rsidP="00B1369F">
      <w:pPr>
        <w:pStyle w:val="BodyA"/>
        <w:spacing w:after="240"/>
        <w:rPr>
          <w:rFonts w:eastAsia="Baskerville Old Face" w:cs="Times New Roman"/>
          <w:i/>
          <w:iCs/>
          <w:lang w:val="en-GB"/>
        </w:rPr>
      </w:pPr>
      <w:r w:rsidRPr="009C5998">
        <w:rPr>
          <w:rFonts w:eastAsia="Baskerville Old Face" w:cs="Times New Roman"/>
          <w:i/>
          <w:iCs/>
          <w:lang w:val="en-GB"/>
        </w:rPr>
        <w:t>Negative noumena</w:t>
      </w:r>
    </w:p>
    <w:p w14:paraId="5E230FDC" w14:textId="7BF1335D" w:rsidR="00CA37AC"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In the B-edition, Kant replaces the role of the concept of Transcendental Object with the claim</w:t>
      </w:r>
      <w:r w:rsidR="0005539F" w:rsidRPr="009C5998">
        <w:rPr>
          <w:rFonts w:eastAsia="Baskerville Old Face" w:cs="Times New Roman"/>
          <w:lang w:val="en-GB"/>
        </w:rPr>
        <w:t>s</w:t>
      </w:r>
      <w:r w:rsidRPr="009C5998">
        <w:rPr>
          <w:rFonts w:eastAsia="Baskerville Old Face" w:cs="Times New Roman"/>
          <w:lang w:val="en-GB"/>
        </w:rPr>
        <w:t xml:space="preserve"> that:</w:t>
      </w:r>
    </w:p>
    <w:p w14:paraId="022464C2" w14:textId="1B8AD894" w:rsidR="00CA37AC" w:rsidRPr="009C5998" w:rsidRDefault="00CA37AC" w:rsidP="00A767F9">
      <w:pPr>
        <w:pStyle w:val="BodyA"/>
        <w:spacing w:after="240" w:line="480" w:lineRule="auto"/>
        <w:ind w:left="426"/>
        <w:rPr>
          <w:rFonts w:eastAsia="Baskerville Old Face" w:cs="Times New Roman"/>
          <w:lang w:val="en-GB"/>
        </w:rPr>
      </w:pPr>
      <w:bookmarkStart w:id="3" w:name="_Hlk495133296"/>
      <w:r w:rsidRPr="009C5998">
        <w:rPr>
          <w:rFonts w:eastAsia="Baskerville Old Face" w:cs="Times New Roman"/>
          <w:lang w:val="en-GB"/>
        </w:rPr>
        <w:t>because we distinguish the way in which we intuit [empirical objects] from their constitution in itself, then it already follows from our concept that we oppose, as objects thought merely through the understanding, either other objects conceived in accordance with the latter constitution, even though we do not intuit it in them, or else other possible things, which are not objects of our sense at all, and call these beings of understanding (</w:t>
      </w:r>
      <w:r w:rsidRPr="009C5998">
        <w:rPr>
          <w:rFonts w:eastAsia="Baskerville Old Face" w:cs="Times New Roman"/>
          <w:i/>
          <w:iCs/>
          <w:lang w:val="en-GB"/>
        </w:rPr>
        <w:t>noumena</w:t>
      </w:r>
      <w:r w:rsidRPr="009C5998">
        <w:rPr>
          <w:rFonts w:eastAsia="Baskerville Old Face" w:cs="Times New Roman"/>
          <w:lang w:val="en-GB"/>
        </w:rPr>
        <w:t>)</w:t>
      </w:r>
      <w:r w:rsidR="000720F5">
        <w:rPr>
          <w:rFonts w:eastAsia="Baskerville Old Face" w:cs="Times New Roman"/>
          <w:lang w:val="en-GB"/>
        </w:rPr>
        <w:t>.</w:t>
      </w:r>
      <w:r w:rsidRPr="009C5998">
        <w:rPr>
          <w:rFonts w:eastAsia="Baskerville Old Face" w:cs="Times New Roman"/>
          <w:lang w:val="en-GB"/>
        </w:rPr>
        <w:t xml:space="preserve"> (B306)</w:t>
      </w:r>
      <w:bookmarkEnd w:id="3"/>
    </w:p>
    <w:p w14:paraId="2D92DE23" w14:textId="23F647B4" w:rsidR="0043356E" w:rsidRPr="009C5998" w:rsidRDefault="0043356E"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In this sentence, Kant makes two distinctions. </w:t>
      </w:r>
      <w:r w:rsidR="00A05E1C">
        <w:rPr>
          <w:rFonts w:eastAsia="Baskerville Old Face" w:cs="Times New Roman"/>
          <w:lang w:val="en-GB"/>
        </w:rPr>
        <w:t>F</w:t>
      </w:r>
      <w:r w:rsidRPr="009C5998">
        <w:rPr>
          <w:rFonts w:eastAsia="Baskerville Old Face" w:cs="Times New Roman"/>
          <w:lang w:val="en-GB"/>
        </w:rPr>
        <w:t>irst</w:t>
      </w:r>
      <w:r w:rsidR="00CD24FF" w:rsidRPr="009C5998">
        <w:rPr>
          <w:rFonts w:eastAsia="Baskerville Old Face" w:cs="Times New Roman"/>
          <w:lang w:val="en-GB"/>
        </w:rPr>
        <w:t xml:space="preserve">. </w:t>
      </w:r>
      <w:r w:rsidR="00A05E1C">
        <w:rPr>
          <w:rFonts w:eastAsia="Baskerville Old Face" w:cs="Times New Roman"/>
          <w:lang w:val="en-GB"/>
        </w:rPr>
        <w:t>s</w:t>
      </w:r>
      <w:r w:rsidRPr="009C5998">
        <w:rPr>
          <w:rFonts w:eastAsia="Baskerville Old Face" w:cs="Times New Roman"/>
          <w:lang w:val="en-GB"/>
        </w:rPr>
        <w:t>tarting with an empirical object, he considers objects that one can think (‘conceived in accordance with [the understanding’s] constitution’)</w:t>
      </w:r>
      <w:r w:rsidR="00CD24FF" w:rsidRPr="009C5998">
        <w:rPr>
          <w:rFonts w:eastAsia="Baskerville Old Face" w:cs="Times New Roman"/>
          <w:lang w:val="en-GB"/>
        </w:rPr>
        <w:t>, and</w:t>
      </w:r>
      <w:r w:rsidRPr="009C5998">
        <w:rPr>
          <w:rFonts w:eastAsia="Baskerville Old Face" w:cs="Times New Roman"/>
          <w:lang w:val="en-GB"/>
        </w:rPr>
        <w:t xml:space="preserve"> adds that</w:t>
      </w:r>
      <w:r w:rsidR="004B0F70" w:rsidRPr="009C5998">
        <w:rPr>
          <w:rFonts w:eastAsia="Baskerville Old Face" w:cs="Times New Roman"/>
          <w:lang w:val="en-GB"/>
        </w:rPr>
        <w:t xml:space="preserve"> we</w:t>
      </w:r>
      <w:r w:rsidRPr="009C5998">
        <w:rPr>
          <w:rFonts w:eastAsia="Baskerville Old Face" w:cs="Times New Roman"/>
          <w:lang w:val="en-GB"/>
        </w:rPr>
        <w:t xml:space="preserve"> cannot intuit them.</w:t>
      </w:r>
    </w:p>
    <w:p w14:paraId="7B4D897C" w14:textId="6563C03F" w:rsidR="0043356E" w:rsidRPr="009C5998" w:rsidRDefault="0043356E"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In the following paragraph, Kant sheds light on the function of this distinction that is at the heart of the notion of TO in the </w:t>
      </w:r>
      <w:r w:rsidR="00AA21D5" w:rsidRPr="009C5998">
        <w:rPr>
          <w:rFonts w:eastAsia="Baskerville Old Face" w:cs="Times New Roman"/>
          <w:lang w:val="en-GB"/>
        </w:rPr>
        <w:t>A-TD</w:t>
      </w:r>
      <w:r w:rsidRPr="009C5998">
        <w:rPr>
          <w:rFonts w:eastAsia="Baskerville Old Face" w:cs="Times New Roman"/>
          <w:lang w:val="en-GB"/>
        </w:rPr>
        <w:t>. He explains that ‘the understanding, when it calls an object in a relation mere phenomenon [i.e. the empirical object], simultaneously makes for itself, beyond this rela</w:t>
      </w:r>
      <w:r w:rsidR="00CD24FF" w:rsidRPr="009C5998">
        <w:rPr>
          <w:rFonts w:eastAsia="Baskerville Old Face" w:cs="Times New Roman"/>
          <w:lang w:val="en-GB"/>
        </w:rPr>
        <w:t>t</w:t>
      </w:r>
      <w:r w:rsidRPr="009C5998">
        <w:rPr>
          <w:rFonts w:eastAsia="Baskerville Old Face" w:cs="Times New Roman"/>
          <w:lang w:val="en-GB"/>
        </w:rPr>
        <w:t>ion, another representation of an object in itself’ (B306). Of the latter, he says, as for the TO, that we can only form an ‘entirely undetermined concept’ of it (B307). The point of doing this is to warn against the error that characteri</w:t>
      </w:r>
      <w:r w:rsidR="00620A48">
        <w:rPr>
          <w:rFonts w:eastAsia="Baskerville Old Face" w:cs="Times New Roman"/>
          <w:lang w:val="en-GB"/>
        </w:rPr>
        <w:t>z</w:t>
      </w:r>
      <w:r w:rsidRPr="009C5998">
        <w:rPr>
          <w:rFonts w:eastAsia="Baskerville Old Face" w:cs="Times New Roman"/>
          <w:lang w:val="en-GB"/>
        </w:rPr>
        <w:t xml:space="preserve">ed his residual Leibnizian viewpoint in the Dissertation, of taking this ‘for a determinate concept of a being that we could cognize through the understanding’ (B307). </w:t>
      </w:r>
    </w:p>
    <w:p w14:paraId="2EB7E5D0" w14:textId="45F55DB4" w:rsidR="000D54A7" w:rsidRPr="009C5998" w:rsidRDefault="0043356E"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The second distinction is </w:t>
      </w:r>
      <w:r w:rsidR="0002462A" w:rsidRPr="009C5998">
        <w:rPr>
          <w:rFonts w:eastAsia="Baskerville Old Face" w:cs="Times New Roman"/>
          <w:lang w:val="en-GB"/>
        </w:rPr>
        <w:t>between the thing that is cogni</w:t>
      </w:r>
      <w:r w:rsidR="00620A48">
        <w:rPr>
          <w:rFonts w:eastAsia="Baskerville Old Face" w:cs="Times New Roman"/>
          <w:lang w:val="en-GB"/>
        </w:rPr>
        <w:t>z</w:t>
      </w:r>
      <w:r w:rsidR="0002462A" w:rsidRPr="009C5998">
        <w:rPr>
          <w:rFonts w:eastAsia="Baskerville Old Face" w:cs="Times New Roman"/>
          <w:lang w:val="en-GB"/>
        </w:rPr>
        <w:t xml:space="preserve">ed as an empirical object and ‘other things’ (B306). </w:t>
      </w:r>
      <w:r w:rsidR="00AA21D5" w:rsidRPr="009C5998">
        <w:rPr>
          <w:rFonts w:eastAsia="Baskerville Old Face" w:cs="Times New Roman"/>
          <w:lang w:val="en-GB"/>
        </w:rPr>
        <w:t xml:space="preserve">For our </w:t>
      </w:r>
      <w:r w:rsidR="002D67EA" w:rsidRPr="009C5998">
        <w:rPr>
          <w:rFonts w:eastAsia="Baskerville Old Face" w:cs="Times New Roman"/>
          <w:lang w:val="en-GB"/>
        </w:rPr>
        <w:t xml:space="preserve">immediate </w:t>
      </w:r>
      <w:r w:rsidR="00AA21D5" w:rsidRPr="009C5998">
        <w:rPr>
          <w:rFonts w:eastAsia="Baskerville Old Face" w:cs="Times New Roman"/>
          <w:lang w:val="en-GB"/>
        </w:rPr>
        <w:t xml:space="preserve">purposes, </w:t>
      </w:r>
      <w:r w:rsidR="002D67EA" w:rsidRPr="009C5998">
        <w:rPr>
          <w:rFonts w:eastAsia="Baskerville Old Face" w:cs="Times New Roman"/>
          <w:lang w:val="en-GB"/>
        </w:rPr>
        <w:t>this</w:t>
      </w:r>
      <w:r w:rsidR="00AA21D5" w:rsidRPr="009C5998">
        <w:rPr>
          <w:rFonts w:eastAsia="Baskerville Old Face" w:cs="Times New Roman"/>
          <w:lang w:val="en-GB"/>
        </w:rPr>
        <w:t xml:space="preserve"> sheds light upon the first distinction as concerning </w:t>
      </w:r>
      <w:r w:rsidR="00AA21D5" w:rsidRPr="009C5998">
        <w:rPr>
          <w:rFonts w:eastAsia="Baskerville Old Face" w:cs="Times New Roman"/>
          <w:i/>
          <w:lang w:val="en-GB"/>
        </w:rPr>
        <w:t>the same thing but conceived as different objects</w:t>
      </w:r>
      <w:r w:rsidR="00AA21D5" w:rsidRPr="009C5998">
        <w:rPr>
          <w:rFonts w:eastAsia="Baskerville Old Face" w:cs="Times New Roman"/>
          <w:lang w:val="en-GB"/>
        </w:rPr>
        <w:t xml:space="preserve">, namely what the A-TD </w:t>
      </w:r>
      <w:r w:rsidR="00524AF7" w:rsidRPr="009C5998">
        <w:rPr>
          <w:rFonts w:eastAsia="Baskerville Old Face" w:cs="Times New Roman"/>
          <w:lang w:val="en-GB"/>
        </w:rPr>
        <w:t>refers to as empirical object and TO.</w:t>
      </w:r>
      <w:r w:rsidR="0002462A" w:rsidRPr="009C5998">
        <w:rPr>
          <w:rFonts w:eastAsia="Baskerville Old Face" w:cs="Times New Roman"/>
          <w:lang w:val="en-GB"/>
        </w:rPr>
        <w:t xml:space="preserve"> </w:t>
      </w:r>
      <w:r w:rsidR="000D54A7" w:rsidRPr="009C5998">
        <w:rPr>
          <w:rFonts w:eastAsia="Baskerville Old Face" w:cs="Times New Roman"/>
          <w:lang w:val="en-GB"/>
        </w:rPr>
        <w:t xml:space="preserve">But in the </w:t>
      </w:r>
      <w:r w:rsidR="00175423">
        <w:rPr>
          <w:rFonts w:eastAsia="Baskerville Old Face" w:cs="Times New Roman"/>
          <w:lang w:val="en-GB"/>
        </w:rPr>
        <w:t xml:space="preserve">second-edition </w:t>
      </w:r>
      <w:r w:rsidR="008326D1" w:rsidRPr="009C5998">
        <w:rPr>
          <w:rFonts w:eastAsia="Baskerville Old Face" w:cs="Times New Roman"/>
          <w:lang w:val="en-GB"/>
        </w:rPr>
        <w:t>PN</w:t>
      </w:r>
      <w:r w:rsidR="002E73C7" w:rsidRPr="009C5998">
        <w:rPr>
          <w:rFonts w:eastAsia="Baskerville Old Face" w:cs="Times New Roman"/>
          <w:lang w:val="en-GB"/>
        </w:rPr>
        <w:t xml:space="preserve"> chapter</w:t>
      </w:r>
      <w:r w:rsidR="000D54A7" w:rsidRPr="009C5998">
        <w:rPr>
          <w:rFonts w:eastAsia="Baskerville Old Face" w:cs="Times New Roman"/>
          <w:lang w:val="en-GB"/>
        </w:rPr>
        <w:t xml:space="preserve">, Kant does not have the A-TD to back this claim. So we might ask: what allows him to </w:t>
      </w:r>
      <w:r w:rsidR="00FF0C5E" w:rsidRPr="009C5998">
        <w:rPr>
          <w:rFonts w:eastAsia="Baskerville Old Face" w:cs="Times New Roman"/>
          <w:lang w:val="en-GB"/>
        </w:rPr>
        <w:t>assert</w:t>
      </w:r>
      <w:r w:rsidR="000D54A7" w:rsidRPr="009C5998">
        <w:rPr>
          <w:rFonts w:eastAsia="Baskerville Old Face" w:cs="Times New Roman"/>
          <w:lang w:val="en-GB"/>
        </w:rPr>
        <w:t xml:space="preserve"> that one can conceive of the thing given as empirical object, as an object of the understanding?</w:t>
      </w:r>
    </w:p>
    <w:p w14:paraId="79EE97C6" w14:textId="3F1DB5AD" w:rsidR="000D54A7" w:rsidRPr="009C5998" w:rsidRDefault="006F411A"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Allison </w:t>
      </w:r>
      <w:r w:rsidR="00DD4FC5" w:rsidRPr="009C5998">
        <w:rPr>
          <w:rFonts w:eastAsia="Baskerville Old Face" w:cs="Times New Roman"/>
          <w:lang w:val="en-GB"/>
        </w:rPr>
        <w:t>(</w:t>
      </w:r>
      <w:r w:rsidR="00996BDA" w:rsidRPr="009C5998">
        <w:rPr>
          <w:rFonts w:eastAsia="Baskerville Old Face" w:cs="Times New Roman"/>
          <w:lang w:val="en-GB"/>
        </w:rPr>
        <w:t>1983: 237-42</w:t>
      </w:r>
      <w:r w:rsidR="008326D1" w:rsidRPr="009C5998">
        <w:rPr>
          <w:rFonts w:eastAsia="Baskerville Old Face" w:cs="Times New Roman"/>
          <w:lang w:val="en-GB"/>
        </w:rPr>
        <w:t>;</w:t>
      </w:r>
      <w:r w:rsidR="00996BDA" w:rsidRPr="009C5998">
        <w:rPr>
          <w:rFonts w:eastAsia="Baskerville Old Face" w:cs="Times New Roman"/>
          <w:lang w:val="en-GB"/>
        </w:rPr>
        <w:t xml:space="preserve"> 2004: 51-56</w:t>
      </w:r>
      <w:r w:rsidR="00DD4FC5" w:rsidRPr="009C5998">
        <w:rPr>
          <w:rFonts w:eastAsia="Baskerville Old Face" w:cs="Times New Roman"/>
          <w:lang w:val="en-GB"/>
        </w:rPr>
        <w:t xml:space="preserve">) </w:t>
      </w:r>
      <w:r w:rsidRPr="009C5998">
        <w:rPr>
          <w:rFonts w:eastAsia="Baskerville Old Face" w:cs="Times New Roman"/>
          <w:lang w:val="en-GB"/>
        </w:rPr>
        <w:t>and Prauss (</w:t>
      </w:r>
      <w:r w:rsidR="00DD4FC5" w:rsidRPr="009C5998">
        <w:rPr>
          <w:rFonts w:eastAsia="Baskerville Old Face" w:cs="Times New Roman"/>
          <w:lang w:val="en-GB"/>
        </w:rPr>
        <w:t>1974) understand this claim as having the methodological function of contrasting ou</w:t>
      </w:r>
      <w:r w:rsidR="00FF0C5E" w:rsidRPr="009C5998">
        <w:rPr>
          <w:rFonts w:eastAsia="Baskerville Old Face" w:cs="Times New Roman"/>
          <w:lang w:val="en-GB"/>
        </w:rPr>
        <w:t>r</w:t>
      </w:r>
      <w:r w:rsidR="00DD4FC5" w:rsidRPr="009C5998">
        <w:rPr>
          <w:rFonts w:eastAsia="Baskerville Old Face" w:cs="Times New Roman"/>
          <w:lang w:val="en-GB"/>
        </w:rPr>
        <w:t xml:space="preserve"> cognition with one that would have access to the same things as they are in themselves, and thereby underscoring the limits of our discursive cognition. But as many commentators have pointed out (</w:t>
      </w:r>
      <w:r w:rsidR="00BF1F6E">
        <w:rPr>
          <w:rFonts w:eastAsia="Baskerville Old Face" w:cs="Times New Roman"/>
          <w:lang w:val="en-GB"/>
        </w:rPr>
        <w:t xml:space="preserve">e.g. </w:t>
      </w:r>
      <w:r w:rsidR="00DD4FC5" w:rsidRPr="009C5998">
        <w:rPr>
          <w:rFonts w:eastAsia="Baskerville Old Face" w:cs="Times New Roman"/>
          <w:lang w:val="en-GB"/>
        </w:rPr>
        <w:t>Gardner 1999:</w:t>
      </w:r>
      <w:r w:rsidR="008326D1" w:rsidRPr="009C5998">
        <w:rPr>
          <w:rFonts w:eastAsia="Baskerville Old Face" w:cs="Times New Roman"/>
          <w:lang w:val="en-GB"/>
        </w:rPr>
        <w:t xml:space="preserve"> </w:t>
      </w:r>
      <w:r w:rsidR="00DD4FC5" w:rsidRPr="009C5998">
        <w:rPr>
          <w:rFonts w:eastAsia="Baskerville Old Face" w:cs="Times New Roman"/>
          <w:lang w:val="en-GB"/>
        </w:rPr>
        <w:t>293; Schulting 2017a:</w:t>
      </w:r>
      <w:r w:rsidR="008326D1" w:rsidRPr="009C5998">
        <w:rPr>
          <w:rFonts w:eastAsia="Baskerville Old Face" w:cs="Times New Roman"/>
          <w:lang w:val="en-GB"/>
        </w:rPr>
        <w:t xml:space="preserve"> </w:t>
      </w:r>
      <w:r w:rsidR="00DD4FC5" w:rsidRPr="009C5998">
        <w:rPr>
          <w:rFonts w:eastAsia="Baskerville Old Face" w:cs="Times New Roman"/>
          <w:lang w:val="en-GB"/>
        </w:rPr>
        <w:t>391)</w:t>
      </w:r>
      <w:r w:rsidR="00BF1F6E">
        <w:rPr>
          <w:rFonts w:eastAsia="Baskerville Old Face" w:cs="Times New Roman"/>
          <w:lang w:val="en-GB"/>
        </w:rPr>
        <w:t>,</w:t>
      </w:r>
      <w:r w:rsidR="00DB2861" w:rsidRPr="009C5998">
        <w:rPr>
          <w:rFonts w:eastAsia="Baskerville Old Face" w:cs="Times New Roman"/>
          <w:lang w:val="en-GB"/>
        </w:rPr>
        <w:t xml:space="preserve"> no justification for being able to conceive the same things independently of the conditions of sensibility is thereby provided. As Gardner (ibid.) </w:t>
      </w:r>
      <w:r w:rsidR="00CD24FF" w:rsidRPr="009C5998">
        <w:rPr>
          <w:rFonts w:eastAsia="Baskerville Old Face" w:cs="Times New Roman"/>
          <w:lang w:val="en-GB"/>
        </w:rPr>
        <w:t>indicates</w:t>
      </w:r>
      <w:r w:rsidR="00DB2861" w:rsidRPr="009C5998">
        <w:rPr>
          <w:rFonts w:eastAsia="Baskerville Old Face" w:cs="Times New Roman"/>
          <w:lang w:val="en-GB"/>
        </w:rPr>
        <w:t xml:space="preserve">, nothing remains if we consider the number 2 minus its property of being even. </w:t>
      </w:r>
    </w:p>
    <w:p w14:paraId="589A23B5" w14:textId="711889A5" w:rsidR="00794EA3" w:rsidRPr="009C5998" w:rsidRDefault="00DB2861" w:rsidP="00A767F9">
      <w:pPr>
        <w:pStyle w:val="BodyA"/>
        <w:spacing w:after="240" w:line="480" w:lineRule="auto"/>
        <w:rPr>
          <w:rFonts w:eastAsia="Baskerville Old Face" w:cs="Times New Roman"/>
          <w:lang w:val="en-GB"/>
        </w:rPr>
      </w:pPr>
      <w:r w:rsidRPr="009C5998">
        <w:rPr>
          <w:rFonts w:eastAsia="Baskerville Old Face" w:cs="Times New Roman"/>
          <w:lang w:val="en-GB"/>
        </w:rPr>
        <w:t>The text at B306 does however contain the inference ticket for the move from the thing as object of my</w:t>
      </w:r>
      <w:r w:rsidR="00996BDA" w:rsidRPr="009C5998">
        <w:rPr>
          <w:rFonts w:eastAsia="Baskerville Old Face" w:cs="Times New Roman"/>
          <w:lang w:val="en-GB"/>
        </w:rPr>
        <w:t xml:space="preserve"> sensible</w:t>
      </w:r>
      <w:r w:rsidRPr="009C5998">
        <w:rPr>
          <w:rFonts w:eastAsia="Baskerville Old Face" w:cs="Times New Roman"/>
          <w:lang w:val="en-GB"/>
        </w:rPr>
        <w:t xml:space="preserve"> cognition to the same </w:t>
      </w:r>
      <w:r w:rsidR="00996BDA" w:rsidRPr="009C5998">
        <w:rPr>
          <w:rFonts w:eastAsia="Baskerville Old Face" w:cs="Times New Roman"/>
          <w:lang w:val="en-GB"/>
        </w:rPr>
        <w:t xml:space="preserve">thing </w:t>
      </w:r>
      <w:r w:rsidRPr="009C5998">
        <w:rPr>
          <w:rFonts w:eastAsia="Baskerville Old Face" w:cs="Times New Roman"/>
          <w:lang w:val="en-GB"/>
        </w:rPr>
        <w:t>considered</w:t>
      </w:r>
      <w:r w:rsidR="00996BDA" w:rsidRPr="009C5998">
        <w:rPr>
          <w:rFonts w:eastAsia="Baskerville Old Face" w:cs="Times New Roman"/>
          <w:lang w:val="en-GB"/>
        </w:rPr>
        <w:t xml:space="preserve"> in-itself through the understanding. </w:t>
      </w:r>
      <w:r w:rsidR="00CA37AC" w:rsidRPr="009C5998">
        <w:rPr>
          <w:rFonts w:eastAsia="Baskerville Old Face" w:cs="Times New Roman"/>
          <w:lang w:val="en-GB"/>
        </w:rPr>
        <w:t>For there is a conditional clause preceding the above citation: ‘if we call certain objects, as appearances, beings of sense (</w:t>
      </w:r>
      <w:r w:rsidR="00CA37AC" w:rsidRPr="009C5998">
        <w:rPr>
          <w:rFonts w:eastAsia="Baskerville Old Face" w:cs="Times New Roman"/>
          <w:i/>
          <w:iCs/>
          <w:lang w:val="en-GB"/>
        </w:rPr>
        <w:t>phaenomena</w:t>
      </w:r>
      <w:r w:rsidR="00CA37AC" w:rsidRPr="009C5998">
        <w:rPr>
          <w:rFonts w:eastAsia="Baskerville Old Face" w:cs="Times New Roman"/>
          <w:lang w:val="en-GB"/>
        </w:rPr>
        <w:t>)’ (B306). Th</w:t>
      </w:r>
      <w:r w:rsidR="0015795B" w:rsidRPr="009C5998">
        <w:rPr>
          <w:rFonts w:eastAsia="Baskerville Old Face" w:cs="Times New Roman"/>
          <w:lang w:val="en-GB"/>
        </w:rPr>
        <w:t>is</w:t>
      </w:r>
      <w:r w:rsidR="00CA37AC" w:rsidRPr="009C5998">
        <w:rPr>
          <w:rFonts w:eastAsia="Baskerville Old Face" w:cs="Times New Roman"/>
          <w:lang w:val="en-GB"/>
        </w:rPr>
        <w:t xml:space="preserve"> is a</w:t>
      </w:r>
      <w:r w:rsidR="001D76F0" w:rsidRPr="009C5998">
        <w:rPr>
          <w:rFonts w:eastAsia="Baskerville Old Face" w:cs="Times New Roman"/>
          <w:lang w:val="en-GB"/>
        </w:rPr>
        <w:t xml:space="preserve"> </w:t>
      </w:r>
      <w:r w:rsidR="0015795B" w:rsidRPr="009C5998">
        <w:rPr>
          <w:rFonts w:eastAsia="Baskerville Old Face" w:cs="Times New Roman"/>
          <w:lang w:val="en-GB"/>
        </w:rPr>
        <w:t xml:space="preserve">more explicit </w:t>
      </w:r>
      <w:r w:rsidR="00F36402">
        <w:rPr>
          <w:rFonts w:eastAsia="Baskerville Old Face" w:cs="Times New Roman"/>
          <w:lang w:val="en-GB"/>
        </w:rPr>
        <w:t xml:space="preserve">and </w:t>
      </w:r>
      <w:r w:rsidR="001D76F0" w:rsidRPr="009C5998">
        <w:rPr>
          <w:rFonts w:eastAsia="Baskerville Old Face" w:cs="Times New Roman"/>
          <w:lang w:val="en-GB"/>
        </w:rPr>
        <w:t>clearer</w:t>
      </w:r>
      <w:r w:rsidR="00CA37AC" w:rsidRPr="009C5998">
        <w:rPr>
          <w:rFonts w:eastAsia="Baskerville Old Face" w:cs="Times New Roman"/>
          <w:lang w:val="en-GB"/>
        </w:rPr>
        <w:t xml:space="preserve"> appeal to existence </w:t>
      </w:r>
      <w:r w:rsidR="00970060" w:rsidRPr="009C5998">
        <w:rPr>
          <w:rFonts w:eastAsia="Baskerville Old Face" w:cs="Times New Roman"/>
          <w:lang w:val="en-GB"/>
        </w:rPr>
        <w:t>than in the A version</w:t>
      </w:r>
      <w:r w:rsidR="00BA557F" w:rsidRPr="009C5998">
        <w:rPr>
          <w:rFonts w:eastAsia="Baskerville Old Face" w:cs="Times New Roman"/>
          <w:lang w:val="en-GB"/>
        </w:rPr>
        <w:t>,</w:t>
      </w:r>
      <w:r w:rsidR="00970060" w:rsidRPr="009C5998">
        <w:rPr>
          <w:rFonts w:eastAsia="Baskerville Old Face" w:cs="Times New Roman"/>
          <w:lang w:val="en-GB"/>
        </w:rPr>
        <w:t xml:space="preserve"> because of the use of ‘being’.</w:t>
      </w:r>
      <w:r w:rsidR="00CA37AC" w:rsidRPr="009C5998">
        <w:rPr>
          <w:rStyle w:val="EndnoteReference"/>
          <w:rFonts w:eastAsia="Baskerville Old Face" w:cs="Times New Roman"/>
          <w:lang w:val="en-GB"/>
        </w:rPr>
        <w:endnoteReference w:id="19"/>
      </w:r>
      <w:r w:rsidR="00EA21C9" w:rsidRPr="009C5998">
        <w:rPr>
          <w:rFonts w:eastAsia="Baskerville Old Face" w:cs="Times New Roman"/>
          <w:lang w:val="en-GB"/>
        </w:rPr>
        <w:t xml:space="preserve"> However, as in the A version, </w:t>
      </w:r>
      <w:r w:rsidR="0015795B" w:rsidRPr="009C5998">
        <w:rPr>
          <w:rFonts w:eastAsia="Baskerville Old Face" w:cs="Times New Roman"/>
          <w:lang w:val="en-GB"/>
        </w:rPr>
        <w:t>i</w:t>
      </w:r>
      <w:r w:rsidR="00EA21C9" w:rsidRPr="009C5998">
        <w:rPr>
          <w:rFonts w:eastAsia="Baskerville Old Face" w:cs="Times New Roman"/>
          <w:lang w:val="en-GB"/>
        </w:rPr>
        <w:t xml:space="preserve">t does not involve </w:t>
      </w:r>
      <w:r w:rsidR="00970060" w:rsidRPr="009C5998">
        <w:rPr>
          <w:rFonts w:eastAsia="Baskerville Old Face" w:cs="Times New Roman"/>
          <w:lang w:val="en-GB"/>
        </w:rPr>
        <w:t xml:space="preserve">the </w:t>
      </w:r>
      <w:r w:rsidR="00EA21C9" w:rsidRPr="009C5998">
        <w:rPr>
          <w:rFonts w:eastAsia="Baskerville Old Face" w:cs="Times New Roman"/>
          <w:lang w:val="en-GB"/>
        </w:rPr>
        <w:t xml:space="preserve">claim that something exists, but </w:t>
      </w:r>
      <w:r w:rsidR="0015795B" w:rsidRPr="009C5998">
        <w:rPr>
          <w:rFonts w:eastAsia="Baskerville Old Face" w:cs="Times New Roman"/>
          <w:lang w:val="en-GB"/>
        </w:rPr>
        <w:t>the</w:t>
      </w:r>
      <w:r w:rsidR="00EA21C9" w:rsidRPr="009C5998">
        <w:rPr>
          <w:rFonts w:eastAsia="Baskerville Old Face" w:cs="Times New Roman"/>
          <w:lang w:val="en-GB"/>
        </w:rPr>
        <w:t xml:space="preserve"> positing of a thing</w:t>
      </w:r>
      <w:r w:rsidR="00593B4D" w:rsidRPr="009C5998">
        <w:rPr>
          <w:rFonts w:eastAsia="Baskerville Old Face" w:cs="Times New Roman"/>
          <w:lang w:val="en-GB"/>
        </w:rPr>
        <w:t>, as Kant spells out at A598/B6</w:t>
      </w:r>
      <w:r w:rsidR="00A3069C" w:rsidRPr="009C5998">
        <w:rPr>
          <w:rFonts w:eastAsia="Baskerville Old Face" w:cs="Times New Roman"/>
          <w:lang w:val="en-GB"/>
        </w:rPr>
        <w:t>2</w:t>
      </w:r>
      <w:r w:rsidR="00593B4D" w:rsidRPr="009C5998">
        <w:rPr>
          <w:rFonts w:eastAsia="Baskerville Old Face" w:cs="Times New Roman"/>
          <w:lang w:val="en-GB"/>
        </w:rPr>
        <w:t>6: ‘Being … is the mere positing of the thing or of certain determinations in themselves’. This positing</w:t>
      </w:r>
      <w:r w:rsidR="00EA21C9" w:rsidRPr="009C5998">
        <w:rPr>
          <w:rFonts w:eastAsia="Baskerville Old Face" w:cs="Times New Roman"/>
          <w:lang w:val="en-GB"/>
        </w:rPr>
        <w:t xml:space="preserve"> occurs in judgement</w:t>
      </w:r>
      <w:r w:rsidR="00970060" w:rsidRPr="009C5998">
        <w:rPr>
          <w:rFonts w:eastAsia="Baskerville Old Face" w:cs="Times New Roman"/>
          <w:lang w:val="en-GB"/>
        </w:rPr>
        <w:t xml:space="preserve">, i.e. </w:t>
      </w:r>
      <w:r w:rsidR="00593B4D" w:rsidRPr="009C5998">
        <w:rPr>
          <w:rFonts w:eastAsia="Baskerville Old Face" w:cs="Times New Roman"/>
          <w:lang w:val="en-GB"/>
        </w:rPr>
        <w:t xml:space="preserve">it is </w:t>
      </w:r>
      <w:r w:rsidR="00970060" w:rsidRPr="009C5998">
        <w:rPr>
          <w:rFonts w:eastAsia="Baskerville Old Face" w:cs="Times New Roman"/>
          <w:lang w:val="en-GB"/>
        </w:rPr>
        <w:t xml:space="preserve">a </w:t>
      </w:r>
      <w:r w:rsidR="00970060" w:rsidRPr="009C5998">
        <w:rPr>
          <w:rFonts w:eastAsia="Baskerville Old Face" w:cs="Times New Roman"/>
          <w:i/>
          <w:lang w:val="en-GB"/>
        </w:rPr>
        <w:t>conditional existence claim</w:t>
      </w:r>
      <w:r w:rsidR="00794EA3" w:rsidRPr="009C5998">
        <w:rPr>
          <w:rFonts w:eastAsia="Baskerville Old Face" w:cs="Times New Roman"/>
          <w:lang w:val="en-GB"/>
        </w:rPr>
        <w:t xml:space="preserve"> </w:t>
      </w:r>
      <w:r w:rsidR="00CD24FF" w:rsidRPr="009C5998">
        <w:rPr>
          <w:rFonts w:eastAsia="Baskerville Old Face" w:cs="Times New Roman"/>
          <w:lang w:val="en-GB"/>
        </w:rPr>
        <w:t>as</w:t>
      </w:r>
      <w:r w:rsidR="00EA21C9" w:rsidRPr="009C5998">
        <w:rPr>
          <w:rFonts w:eastAsia="Baskerville Old Face" w:cs="Times New Roman"/>
          <w:lang w:val="en-GB"/>
        </w:rPr>
        <w:t xml:space="preserve"> the conditional form </w:t>
      </w:r>
      <w:r w:rsidR="00794EA3" w:rsidRPr="009C5998">
        <w:rPr>
          <w:rFonts w:eastAsia="Baskerville Old Face" w:cs="Times New Roman"/>
          <w:lang w:val="en-GB"/>
        </w:rPr>
        <w:t>‘if we call certain objects … beings of sense’</w:t>
      </w:r>
      <w:r w:rsidR="00CD24FF" w:rsidRPr="009C5998">
        <w:rPr>
          <w:rFonts w:eastAsia="Baskerville Old Face" w:cs="Times New Roman"/>
          <w:lang w:val="en-GB"/>
        </w:rPr>
        <w:t xml:space="preserve"> indicates. </w:t>
      </w:r>
      <w:r w:rsidR="0015795B" w:rsidRPr="009C5998">
        <w:rPr>
          <w:rFonts w:eastAsia="Baskerville Old Face" w:cs="Times New Roman"/>
          <w:lang w:val="en-GB"/>
        </w:rPr>
        <w:t>And indeed</w:t>
      </w:r>
      <w:r w:rsidR="00CD24FF" w:rsidRPr="009C5998">
        <w:rPr>
          <w:rFonts w:eastAsia="Baskerville Old Face" w:cs="Times New Roman"/>
          <w:lang w:val="en-GB"/>
        </w:rPr>
        <w:t xml:space="preserve">, </w:t>
      </w:r>
      <w:r w:rsidR="0015795B" w:rsidRPr="009C5998">
        <w:rPr>
          <w:rFonts w:eastAsia="Baskerville Old Face" w:cs="Times New Roman"/>
          <w:lang w:val="en-GB"/>
        </w:rPr>
        <w:t>i</w:t>
      </w:r>
      <w:r w:rsidR="00CD24FF" w:rsidRPr="009C5998">
        <w:rPr>
          <w:rFonts w:eastAsia="Baskerville Old Face" w:cs="Times New Roman"/>
          <w:lang w:val="en-GB"/>
        </w:rPr>
        <w:t xml:space="preserve">t </w:t>
      </w:r>
      <w:r w:rsidR="00EA21C9" w:rsidRPr="009C5998">
        <w:rPr>
          <w:rFonts w:eastAsia="Baskerville Old Face" w:cs="Times New Roman"/>
          <w:lang w:val="en-GB"/>
        </w:rPr>
        <w:t xml:space="preserve">suggests a reference to </w:t>
      </w:r>
      <w:r w:rsidR="00E2790E" w:rsidRPr="009C5998">
        <w:rPr>
          <w:rFonts w:eastAsia="Baskerville Old Face" w:cs="Times New Roman"/>
          <w:lang w:val="en-GB"/>
        </w:rPr>
        <w:t xml:space="preserve">the context of </w:t>
      </w:r>
      <w:r w:rsidR="00EA21C9" w:rsidRPr="009C5998">
        <w:rPr>
          <w:rFonts w:eastAsia="Baskerville Old Face" w:cs="Times New Roman"/>
          <w:lang w:val="en-GB"/>
        </w:rPr>
        <w:t xml:space="preserve">a judgement: when do we </w:t>
      </w:r>
      <w:r w:rsidR="00794EA3" w:rsidRPr="009C5998">
        <w:rPr>
          <w:rFonts w:eastAsia="Baskerville Old Face" w:cs="Times New Roman"/>
          <w:lang w:val="en-GB"/>
        </w:rPr>
        <w:t>fulfil this condition</w:t>
      </w:r>
      <w:r w:rsidR="00EA21C9" w:rsidRPr="009C5998">
        <w:rPr>
          <w:rFonts w:eastAsia="Baskerville Old Face" w:cs="Times New Roman"/>
          <w:lang w:val="en-GB"/>
        </w:rPr>
        <w:t xml:space="preserve"> if not in some judgement</w:t>
      </w:r>
      <w:r w:rsidR="003266F1" w:rsidRPr="009C5998">
        <w:rPr>
          <w:rFonts w:eastAsia="Baskerville Old Face" w:cs="Times New Roman"/>
          <w:lang w:val="en-GB"/>
        </w:rPr>
        <w:t>?</w:t>
      </w:r>
      <w:r w:rsidR="00EA21C9" w:rsidRPr="009C5998">
        <w:rPr>
          <w:rFonts w:eastAsia="Baskerville Old Face" w:cs="Times New Roman"/>
          <w:lang w:val="en-GB"/>
        </w:rPr>
        <w:t xml:space="preserve"> </w:t>
      </w:r>
    </w:p>
    <w:p w14:paraId="36EAB5DA" w14:textId="304D3177" w:rsidR="00CA37AC" w:rsidRPr="009C5998" w:rsidRDefault="00970060" w:rsidP="00A767F9">
      <w:pPr>
        <w:pStyle w:val="BodyA"/>
        <w:spacing w:after="240" w:line="480" w:lineRule="auto"/>
        <w:rPr>
          <w:rFonts w:eastAsia="Baskerville Old Face" w:cs="Times New Roman"/>
          <w:lang w:val="en-GB"/>
        </w:rPr>
      </w:pPr>
      <w:r w:rsidRPr="009C5998">
        <w:rPr>
          <w:rFonts w:eastAsia="Baskerville Old Face" w:cs="Times New Roman"/>
          <w:lang w:val="en-GB"/>
        </w:rPr>
        <w:t>Kant uses this positing</w:t>
      </w:r>
      <w:r w:rsidR="00EA21C9" w:rsidRPr="009C5998">
        <w:rPr>
          <w:rFonts w:eastAsia="Baskerville Old Face" w:cs="Times New Roman"/>
          <w:lang w:val="en-GB"/>
        </w:rPr>
        <w:t xml:space="preserve"> of a thing </w:t>
      </w:r>
      <w:r w:rsidRPr="009C5998">
        <w:rPr>
          <w:rFonts w:eastAsia="Baskerville Old Face" w:cs="Times New Roman"/>
          <w:lang w:val="en-GB"/>
        </w:rPr>
        <w:t>to</w:t>
      </w:r>
      <w:r w:rsidR="00CA37AC" w:rsidRPr="009C5998">
        <w:rPr>
          <w:rFonts w:eastAsia="Baskerville Old Face" w:cs="Times New Roman"/>
          <w:lang w:val="en-GB"/>
        </w:rPr>
        <w:t xml:space="preserve"> move from the consideration of a being of sense to that of an intelligible being (‘being</w:t>
      </w:r>
      <w:r w:rsidR="00885F47">
        <w:rPr>
          <w:rFonts w:eastAsia="Baskerville Old Face" w:cs="Times New Roman"/>
          <w:lang w:val="en-GB"/>
        </w:rPr>
        <w:t xml:space="preserve"> …</w:t>
      </w:r>
      <w:r w:rsidR="00CA37AC" w:rsidRPr="009C5998">
        <w:rPr>
          <w:rFonts w:eastAsia="Baskerville Old Face" w:cs="Times New Roman"/>
          <w:lang w:val="en-GB"/>
        </w:rPr>
        <w:t xml:space="preserve"> of understanding’). </w:t>
      </w:r>
      <w:r w:rsidR="003266F1" w:rsidRPr="009C5998">
        <w:rPr>
          <w:rFonts w:eastAsia="Baskerville Old Face" w:cs="Times New Roman"/>
          <w:lang w:val="en-GB"/>
        </w:rPr>
        <w:t>T</w:t>
      </w:r>
      <w:r w:rsidR="002D67EA" w:rsidRPr="009C5998">
        <w:rPr>
          <w:rFonts w:eastAsia="Baskerville Old Face" w:cs="Times New Roman"/>
          <w:lang w:val="en-GB"/>
        </w:rPr>
        <w:t xml:space="preserve">he text </w:t>
      </w:r>
      <w:r w:rsidR="003266F1" w:rsidRPr="009C5998">
        <w:rPr>
          <w:rFonts w:eastAsia="Baskerville Old Face" w:cs="Times New Roman"/>
          <w:lang w:val="en-GB"/>
        </w:rPr>
        <w:t xml:space="preserve">at B306 thus </w:t>
      </w:r>
      <w:r w:rsidR="002D67EA" w:rsidRPr="009C5998">
        <w:rPr>
          <w:rFonts w:eastAsia="Baskerville Old Face" w:cs="Times New Roman"/>
          <w:lang w:val="en-GB"/>
        </w:rPr>
        <w:t>presents the</w:t>
      </w:r>
      <w:r w:rsidR="00996BDA" w:rsidRPr="009C5998">
        <w:rPr>
          <w:rFonts w:eastAsia="Baskerville Old Face" w:cs="Times New Roman"/>
          <w:lang w:val="en-GB"/>
        </w:rPr>
        <w:t xml:space="preserve"> two ways in which such an intelligible being can be conceived, and the first is </w:t>
      </w:r>
      <w:r w:rsidR="003266F1" w:rsidRPr="009C5998">
        <w:rPr>
          <w:rFonts w:eastAsia="Baskerville Old Face" w:cs="Times New Roman"/>
          <w:lang w:val="en-GB"/>
        </w:rPr>
        <w:t xml:space="preserve">as </w:t>
      </w:r>
      <w:r w:rsidR="00996BDA" w:rsidRPr="009C5998">
        <w:rPr>
          <w:rFonts w:eastAsia="Baskerville Old Face" w:cs="Times New Roman"/>
          <w:lang w:val="en-GB"/>
        </w:rPr>
        <w:t xml:space="preserve">the </w:t>
      </w:r>
      <w:r w:rsidR="00996BDA" w:rsidRPr="009C5998">
        <w:rPr>
          <w:rFonts w:eastAsia="Baskerville Old Face" w:cs="Times New Roman"/>
          <w:i/>
          <w:lang w:val="en-GB"/>
        </w:rPr>
        <w:t>same thing</w:t>
      </w:r>
      <w:r w:rsidR="00996BDA" w:rsidRPr="009C5998">
        <w:rPr>
          <w:rFonts w:eastAsia="Baskerville Old Face" w:cs="Times New Roman"/>
          <w:lang w:val="en-GB"/>
        </w:rPr>
        <w:t xml:space="preserve"> qua object of the understanding. </w:t>
      </w:r>
      <w:r w:rsidR="00CA37AC" w:rsidRPr="009C5998">
        <w:rPr>
          <w:rFonts w:eastAsia="Baskerville Old Face" w:cs="Times New Roman"/>
          <w:lang w:val="en-GB"/>
        </w:rPr>
        <w:t xml:space="preserve">This </w:t>
      </w:r>
      <w:r w:rsidR="00996BDA" w:rsidRPr="009C5998">
        <w:rPr>
          <w:rFonts w:eastAsia="Baskerville Old Face" w:cs="Times New Roman"/>
          <w:lang w:val="en-GB"/>
        </w:rPr>
        <w:t>is</w:t>
      </w:r>
      <w:r w:rsidR="00CA37AC" w:rsidRPr="009C5998">
        <w:rPr>
          <w:rFonts w:eastAsia="Baskerville Old Face" w:cs="Times New Roman"/>
          <w:lang w:val="en-GB"/>
        </w:rPr>
        <w:t xml:space="preserve"> the </w:t>
      </w:r>
      <w:r w:rsidR="00CA37AC" w:rsidRPr="009C5998">
        <w:rPr>
          <w:rFonts w:eastAsia="Baskerville Old Face" w:cs="Times New Roman"/>
          <w:i/>
          <w:iCs/>
          <w:lang w:val="en-GB"/>
        </w:rPr>
        <w:t>noumenon in the negative sense</w:t>
      </w:r>
      <w:r w:rsidR="00D850C5" w:rsidRPr="009C5998">
        <w:rPr>
          <w:rFonts w:eastAsia="Baskerville Old Face" w:cs="Times New Roman"/>
          <w:i/>
          <w:iCs/>
          <w:lang w:val="en-GB"/>
        </w:rPr>
        <w:t xml:space="preserve"> </w:t>
      </w:r>
      <w:r w:rsidR="00D850C5" w:rsidRPr="009C5998">
        <w:rPr>
          <w:rFonts w:eastAsia="Baskerville Old Face" w:cs="Times New Roman"/>
          <w:iCs/>
          <w:lang w:val="en-GB"/>
        </w:rPr>
        <w:t xml:space="preserve">which takes over the role of the TO in the </w:t>
      </w:r>
      <w:r w:rsidR="0038747A">
        <w:rPr>
          <w:rFonts w:eastAsia="Baskerville Old Face" w:cs="Times New Roman"/>
          <w:iCs/>
          <w:lang w:val="en-GB"/>
        </w:rPr>
        <w:t xml:space="preserve">first-edition </w:t>
      </w:r>
      <w:r w:rsidR="00D850C5" w:rsidRPr="009C5998">
        <w:rPr>
          <w:rFonts w:eastAsia="Baskerville Old Face" w:cs="Times New Roman"/>
          <w:iCs/>
          <w:lang w:val="en-GB"/>
        </w:rPr>
        <w:t>PN</w:t>
      </w:r>
      <w:r w:rsidR="003266F1" w:rsidRPr="009C5998">
        <w:rPr>
          <w:rFonts w:eastAsia="Baskerville Old Face" w:cs="Times New Roman"/>
          <w:iCs/>
          <w:lang w:val="en-GB"/>
        </w:rPr>
        <w:t xml:space="preserve"> chapter</w:t>
      </w:r>
      <w:r w:rsidR="00CA37AC" w:rsidRPr="009C5998">
        <w:rPr>
          <w:rFonts w:eastAsia="Baskerville Old Face" w:cs="Times New Roman"/>
          <w:lang w:val="en-GB"/>
        </w:rPr>
        <w:t>. Kant thereby explains that the consideration of th</w:t>
      </w:r>
      <w:r w:rsidR="00366DF7" w:rsidRPr="009C5998">
        <w:rPr>
          <w:rFonts w:eastAsia="Baskerville Old Face" w:cs="Times New Roman"/>
          <w:lang w:val="en-GB"/>
        </w:rPr>
        <w:t xml:space="preserve">is noumenon </w:t>
      </w:r>
      <w:r w:rsidR="00CA37AC" w:rsidRPr="009C5998">
        <w:rPr>
          <w:rFonts w:eastAsia="Baskerville Old Face" w:cs="Times New Roman"/>
          <w:lang w:val="en-GB"/>
        </w:rPr>
        <w:t xml:space="preserve">is already implicit in the consideration of the </w:t>
      </w:r>
      <w:r w:rsidR="00366DF7" w:rsidRPr="009C5998">
        <w:rPr>
          <w:rFonts w:eastAsia="Baskerville Old Face" w:cs="Times New Roman"/>
          <w:lang w:val="en-GB"/>
        </w:rPr>
        <w:t>being of sense</w:t>
      </w:r>
      <w:r w:rsidR="00CA37AC" w:rsidRPr="009C5998">
        <w:rPr>
          <w:rFonts w:eastAsia="Baskerville Old Face" w:cs="Times New Roman"/>
          <w:lang w:val="en-GB"/>
        </w:rPr>
        <w:t>, insofar as one distinguishes that in the thing which is in</w:t>
      </w:r>
      <w:r w:rsidR="001F5B35" w:rsidRPr="009C5998">
        <w:rPr>
          <w:rFonts w:eastAsia="Baskerville Old Face" w:cs="Times New Roman"/>
          <w:lang w:val="en-GB"/>
        </w:rPr>
        <w:t>-</w:t>
      </w:r>
      <w:r w:rsidR="00CA37AC" w:rsidRPr="009C5998">
        <w:rPr>
          <w:rFonts w:eastAsia="Baskerville Old Face" w:cs="Times New Roman"/>
          <w:lang w:val="en-GB"/>
        </w:rPr>
        <w:t>itself from the way it is intuited by us</w:t>
      </w:r>
      <w:r w:rsidR="00366DF7" w:rsidRPr="009C5998">
        <w:rPr>
          <w:rFonts w:eastAsia="Baskerville Old Face" w:cs="Times New Roman"/>
          <w:lang w:val="en-GB"/>
        </w:rPr>
        <w:t xml:space="preserve">. So </w:t>
      </w:r>
      <w:r w:rsidR="00CA37AC" w:rsidRPr="009C5998">
        <w:rPr>
          <w:rFonts w:eastAsia="Baskerville Old Face" w:cs="Times New Roman"/>
          <w:lang w:val="en-GB"/>
        </w:rPr>
        <w:t xml:space="preserve">the posited existence of the thing </w:t>
      </w:r>
      <w:r w:rsidR="00366DF7" w:rsidRPr="009C5998">
        <w:rPr>
          <w:rFonts w:eastAsia="Baskerville Old Face" w:cs="Times New Roman"/>
          <w:lang w:val="en-GB"/>
        </w:rPr>
        <w:t xml:space="preserve">(as being of sense) </w:t>
      </w:r>
      <w:r w:rsidR="00CA37AC" w:rsidRPr="009C5998">
        <w:rPr>
          <w:rFonts w:eastAsia="Baskerville Old Face" w:cs="Times New Roman"/>
          <w:lang w:val="en-GB"/>
        </w:rPr>
        <w:t>is the inference ticket enabling this transition to be made.</w:t>
      </w:r>
    </w:p>
    <w:p w14:paraId="485C6CD5" w14:textId="1C6F6E36" w:rsidR="00CA37AC"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The pivotal role of the </w:t>
      </w:r>
      <w:r w:rsidR="00970060" w:rsidRPr="009C5998">
        <w:rPr>
          <w:rFonts w:eastAsia="Baskerville Old Face" w:cs="Times New Roman"/>
          <w:lang w:val="en-GB"/>
        </w:rPr>
        <w:t xml:space="preserve">notion of </w:t>
      </w:r>
      <w:r w:rsidR="00A3069C" w:rsidRPr="009C5998">
        <w:rPr>
          <w:rFonts w:eastAsia="Baskerville Old Face" w:cs="Times New Roman"/>
          <w:lang w:val="en-GB"/>
        </w:rPr>
        <w:t>positing/</w:t>
      </w:r>
      <w:r w:rsidRPr="009C5998">
        <w:rPr>
          <w:rFonts w:eastAsia="Baskerville Old Face" w:cs="Times New Roman"/>
          <w:lang w:val="en-GB"/>
        </w:rPr>
        <w:t>existence</w:t>
      </w:r>
      <w:r w:rsidR="00970060" w:rsidRPr="009C5998">
        <w:rPr>
          <w:rFonts w:eastAsia="Baskerville Old Face" w:cs="Times New Roman"/>
          <w:lang w:val="en-GB"/>
        </w:rPr>
        <w:t xml:space="preserve"> </w:t>
      </w:r>
      <w:r w:rsidR="003266F1" w:rsidRPr="009C5998">
        <w:rPr>
          <w:rFonts w:eastAsia="Baskerville Old Face" w:cs="Times New Roman"/>
          <w:lang w:val="en-GB"/>
        </w:rPr>
        <w:t xml:space="preserve">thus </w:t>
      </w:r>
      <w:r w:rsidRPr="009C5998">
        <w:rPr>
          <w:rFonts w:eastAsia="Baskerville Old Face" w:cs="Times New Roman"/>
          <w:lang w:val="en-GB"/>
        </w:rPr>
        <w:t xml:space="preserve">enables us to move from the empirical object </w:t>
      </w:r>
      <w:r w:rsidRPr="009C5998">
        <w:rPr>
          <w:rFonts w:eastAsia="Baskerville Old Face" w:cs="Times New Roman"/>
          <w:i/>
          <w:iCs/>
          <w:lang w:val="en-GB"/>
        </w:rPr>
        <w:t>to the same thing</w:t>
      </w:r>
      <w:r w:rsidRPr="009C5998">
        <w:rPr>
          <w:rFonts w:eastAsia="Baskerville Old Face" w:cs="Times New Roman"/>
          <w:lang w:val="en-GB"/>
        </w:rPr>
        <w:t xml:space="preserve"> considered as that of which it is the appearance (B306)</w:t>
      </w:r>
      <w:r w:rsidR="00366DF7" w:rsidRPr="009C5998">
        <w:rPr>
          <w:rFonts w:eastAsia="Baskerville Old Face" w:cs="Times New Roman"/>
          <w:lang w:val="en-GB"/>
        </w:rPr>
        <w:t>.</w:t>
      </w:r>
      <w:r w:rsidRPr="009C5998">
        <w:rPr>
          <w:rFonts w:eastAsia="Baskerville Old Face" w:cs="Times New Roman"/>
          <w:lang w:val="en-GB"/>
        </w:rPr>
        <w:t xml:space="preserve"> This means that </w:t>
      </w:r>
      <w:r w:rsidRPr="009C5998">
        <w:rPr>
          <w:rFonts w:eastAsia="Baskerville Old Face" w:cs="Times New Roman"/>
          <w:i/>
          <w:iCs/>
          <w:lang w:val="en-GB"/>
        </w:rPr>
        <w:t xml:space="preserve">the claim that a ThI </w:t>
      </w:r>
      <w:r w:rsidR="00970060" w:rsidRPr="009C5998">
        <w:rPr>
          <w:rFonts w:eastAsia="Baskerville Old Face" w:cs="Times New Roman"/>
          <w:i/>
          <w:iCs/>
          <w:lang w:val="en-GB"/>
        </w:rPr>
        <w:t>is posited</w:t>
      </w:r>
      <w:r w:rsidRPr="009C5998">
        <w:rPr>
          <w:rFonts w:eastAsia="Baskerville Old Face" w:cs="Times New Roman"/>
          <w:i/>
          <w:iCs/>
          <w:lang w:val="en-GB"/>
        </w:rPr>
        <w:t xml:space="preserve"> is implicit in any </w:t>
      </w:r>
      <w:r w:rsidR="00970060" w:rsidRPr="009C5998">
        <w:rPr>
          <w:rFonts w:eastAsia="Baskerville Old Face" w:cs="Times New Roman"/>
          <w:i/>
          <w:iCs/>
          <w:lang w:val="en-GB"/>
        </w:rPr>
        <w:t>judgement</w:t>
      </w:r>
      <w:r w:rsidRPr="009C5998">
        <w:rPr>
          <w:rFonts w:eastAsia="Baskerville Old Face" w:cs="Times New Roman"/>
          <w:i/>
          <w:iCs/>
          <w:lang w:val="en-GB"/>
        </w:rPr>
        <w:t xml:space="preserve"> </w:t>
      </w:r>
      <w:r w:rsidR="00970060" w:rsidRPr="009C5998">
        <w:rPr>
          <w:rFonts w:eastAsia="Baskerville Old Face" w:cs="Times New Roman"/>
          <w:i/>
          <w:iCs/>
          <w:lang w:val="en-GB"/>
        </w:rPr>
        <w:t xml:space="preserve">that posits </w:t>
      </w:r>
      <w:r w:rsidRPr="009C5998">
        <w:rPr>
          <w:rFonts w:eastAsia="Baskerville Old Face" w:cs="Times New Roman"/>
          <w:i/>
          <w:iCs/>
          <w:lang w:val="en-GB"/>
        </w:rPr>
        <w:t>objects qua appearances</w:t>
      </w:r>
      <w:r w:rsidR="00970060" w:rsidRPr="009C5998">
        <w:rPr>
          <w:rFonts w:eastAsia="Baskerville Old Face" w:cs="Times New Roman"/>
          <w:i/>
          <w:iCs/>
          <w:lang w:val="en-GB"/>
        </w:rPr>
        <w:t xml:space="preserve">. </w:t>
      </w:r>
      <w:r w:rsidR="00970060" w:rsidRPr="009C5998">
        <w:rPr>
          <w:rFonts w:eastAsia="Baskerville Old Face" w:cs="Times New Roman"/>
          <w:iCs/>
          <w:lang w:val="en-GB"/>
        </w:rPr>
        <w:t>If the judgemen</w:t>
      </w:r>
      <w:r w:rsidR="004B0282" w:rsidRPr="009C5998">
        <w:rPr>
          <w:rFonts w:eastAsia="Baskerville Old Face" w:cs="Times New Roman"/>
          <w:iCs/>
          <w:lang w:val="en-GB"/>
        </w:rPr>
        <w:t>t</w:t>
      </w:r>
      <w:r w:rsidR="00970060" w:rsidRPr="009C5998">
        <w:rPr>
          <w:rFonts w:eastAsia="Baskerville Old Face" w:cs="Times New Roman"/>
          <w:iCs/>
          <w:lang w:val="en-GB"/>
        </w:rPr>
        <w:t xml:space="preserve"> is assertoric</w:t>
      </w:r>
      <w:r w:rsidR="004B0282" w:rsidRPr="009C5998">
        <w:rPr>
          <w:rFonts w:eastAsia="Baskerville Old Face" w:cs="Times New Roman"/>
          <w:iCs/>
          <w:lang w:val="en-GB"/>
        </w:rPr>
        <w:t>,</w:t>
      </w:r>
      <w:r w:rsidR="00970060" w:rsidRPr="009C5998">
        <w:rPr>
          <w:rFonts w:eastAsia="Baskerville Old Face" w:cs="Times New Roman"/>
          <w:iCs/>
          <w:lang w:val="en-GB"/>
        </w:rPr>
        <w:t xml:space="preserve"> then we find that a</w:t>
      </w:r>
      <w:r w:rsidRPr="009C5998">
        <w:rPr>
          <w:rFonts w:eastAsia="Baskerville Old Face" w:cs="Times New Roman"/>
          <w:iCs/>
          <w:lang w:val="en-GB"/>
        </w:rPr>
        <w:t xml:space="preserve"> single claim of existence has two aspects to it</w:t>
      </w:r>
      <w:r w:rsidR="00970060" w:rsidRPr="009C5998">
        <w:rPr>
          <w:rFonts w:eastAsia="Baskerville Old Face" w:cs="Times New Roman"/>
          <w:lang w:val="en-GB"/>
        </w:rPr>
        <w:t>: the existence of the empirical object and that of the ThI that grounds it</w:t>
      </w:r>
      <w:r w:rsidRPr="009C5998">
        <w:rPr>
          <w:rFonts w:eastAsia="Baskerville Old Face" w:cs="Times New Roman"/>
          <w:lang w:val="en-GB"/>
        </w:rPr>
        <w:t>.</w:t>
      </w:r>
      <w:r w:rsidR="0015600F" w:rsidRPr="009C5998">
        <w:rPr>
          <w:rFonts w:eastAsia="Baskerville Old Face" w:cs="Times New Roman"/>
          <w:lang w:val="en-GB"/>
        </w:rPr>
        <w:t xml:space="preserve"> </w:t>
      </w:r>
      <w:r w:rsidRPr="009C5998">
        <w:rPr>
          <w:rFonts w:eastAsia="Baskerville Old Face" w:cs="Times New Roman"/>
          <w:lang w:val="en-GB"/>
        </w:rPr>
        <w:t xml:space="preserve">This explains why, for Kant, claiming the existence of an object is claiming </w:t>
      </w:r>
      <w:r w:rsidR="00D3575B" w:rsidRPr="009C5998">
        <w:rPr>
          <w:rFonts w:eastAsia="Baskerville Old Face" w:cs="Times New Roman"/>
          <w:lang w:val="en-GB"/>
        </w:rPr>
        <w:t>that something exists</w:t>
      </w:r>
      <w:r w:rsidRPr="009C5998">
        <w:rPr>
          <w:rFonts w:eastAsia="Baskerville Old Face" w:cs="Times New Roman"/>
          <w:lang w:val="en-GB"/>
        </w:rPr>
        <w:t xml:space="preserve"> </w:t>
      </w:r>
      <w:r w:rsidRPr="009C5998">
        <w:rPr>
          <w:rFonts w:eastAsia="Baskerville Old Face" w:cs="Times New Roman"/>
          <w:i/>
          <w:iCs/>
          <w:lang w:val="en-GB"/>
        </w:rPr>
        <w:t>tout court</w:t>
      </w:r>
      <w:r w:rsidRPr="009C5998">
        <w:rPr>
          <w:rFonts w:eastAsia="Baskerville Old Face" w:cs="Times New Roman"/>
          <w:lang w:val="en-GB"/>
        </w:rPr>
        <w:t>,</w:t>
      </w:r>
      <w:r w:rsidR="001C7EEB" w:rsidRPr="009C5998">
        <w:rPr>
          <w:rStyle w:val="EndnoteReference"/>
          <w:rFonts w:eastAsia="Baskerville Old Face" w:cs="Times New Roman"/>
          <w:lang w:val="en-GB"/>
        </w:rPr>
        <w:endnoteReference w:id="20"/>
      </w:r>
      <w:r w:rsidRPr="009C5998">
        <w:rPr>
          <w:rFonts w:eastAsia="Baskerville Old Face" w:cs="Times New Roman"/>
          <w:lang w:val="en-GB"/>
        </w:rPr>
        <w:t xml:space="preserve"> and therefore </w:t>
      </w:r>
      <w:r w:rsidR="00D3575B" w:rsidRPr="009C5998">
        <w:rPr>
          <w:rFonts w:eastAsia="Baskerville Old Face" w:cs="Times New Roman"/>
          <w:lang w:val="en-GB"/>
        </w:rPr>
        <w:t>that some thing</w:t>
      </w:r>
      <w:r w:rsidRPr="009C5998">
        <w:rPr>
          <w:rFonts w:eastAsia="Baskerville Old Face" w:cs="Times New Roman"/>
          <w:i/>
          <w:iCs/>
          <w:lang w:val="en-GB"/>
        </w:rPr>
        <w:t xml:space="preserve"> </w:t>
      </w:r>
      <w:r w:rsidR="00D3575B" w:rsidRPr="009C5998">
        <w:rPr>
          <w:rFonts w:eastAsia="Baskerville Old Face" w:cs="Times New Roman"/>
          <w:iCs/>
          <w:lang w:val="en-GB"/>
        </w:rPr>
        <w:t xml:space="preserve">exists </w:t>
      </w:r>
      <w:r w:rsidR="001F5B35" w:rsidRPr="009C5998">
        <w:rPr>
          <w:rFonts w:eastAsia="Baskerville Old Face" w:cs="Times New Roman"/>
          <w:lang w:val="en-GB"/>
        </w:rPr>
        <w:t>i</w:t>
      </w:r>
      <w:r w:rsidRPr="009C5998">
        <w:rPr>
          <w:rFonts w:eastAsia="Baskerville Old Face" w:cs="Times New Roman"/>
          <w:lang w:val="en-GB"/>
        </w:rPr>
        <w:t>n</w:t>
      </w:r>
      <w:r w:rsidR="00D3575B" w:rsidRPr="009C5998">
        <w:rPr>
          <w:rFonts w:eastAsia="Baskerville Old Face" w:cs="Times New Roman"/>
          <w:lang w:val="en-GB"/>
        </w:rPr>
        <w:t xml:space="preserve"> </w:t>
      </w:r>
      <w:r w:rsidR="001F5B35" w:rsidRPr="009C5998">
        <w:rPr>
          <w:rFonts w:eastAsia="Baskerville Old Face" w:cs="Times New Roman"/>
          <w:lang w:val="en-GB"/>
        </w:rPr>
        <w:t>i</w:t>
      </w:r>
      <w:r w:rsidRPr="009C5998">
        <w:rPr>
          <w:rFonts w:eastAsia="Baskerville Old Face" w:cs="Times New Roman"/>
          <w:lang w:val="en-GB"/>
        </w:rPr>
        <w:t xml:space="preserve">tself, as </w:t>
      </w:r>
      <w:r w:rsidR="0015600F" w:rsidRPr="009C5998">
        <w:rPr>
          <w:rFonts w:eastAsia="Baskerville Old Face" w:cs="Times New Roman"/>
          <w:lang w:val="en-GB"/>
        </w:rPr>
        <w:t>h</w:t>
      </w:r>
      <w:r w:rsidRPr="009C5998">
        <w:rPr>
          <w:rFonts w:eastAsia="Baskerville Old Face" w:cs="Times New Roman"/>
          <w:lang w:val="en-GB"/>
        </w:rPr>
        <w:t xml:space="preserve">e states in the </w:t>
      </w:r>
      <w:r w:rsidR="0084433B">
        <w:rPr>
          <w:rFonts w:eastAsia="Baskerville Old Face" w:cs="Times New Roman"/>
          <w:lang w:val="en-GB"/>
        </w:rPr>
        <w:t xml:space="preserve">third </w:t>
      </w:r>
      <w:r w:rsidR="0084433B">
        <w:rPr>
          <w:rFonts w:eastAsia="Baskerville Old Face" w:cs="Times New Roman"/>
          <w:i/>
          <w:lang w:val="en-GB"/>
        </w:rPr>
        <w:t>Critique</w:t>
      </w:r>
      <w:r w:rsidRPr="009C5998">
        <w:rPr>
          <w:rFonts w:eastAsia="Baskerville Old Face" w:cs="Times New Roman"/>
          <w:lang w:val="en-GB"/>
        </w:rPr>
        <w:t>: ‘our entire distinction between the merely possible and the actual rests on this: in saying that a thing is possible we are positing only the presentation of it … but in saying that a thing is actual we are positing the thing itself [</w:t>
      </w:r>
      <w:r w:rsidRPr="009C5998">
        <w:rPr>
          <w:rFonts w:eastAsia="Baskerville Old Face" w:cs="Times New Roman"/>
          <w:i/>
          <w:iCs/>
          <w:lang w:val="en-GB"/>
        </w:rPr>
        <w:t>an sich selbst</w:t>
      </w:r>
      <w:r w:rsidRPr="009C5998">
        <w:rPr>
          <w:rFonts w:eastAsia="Baskerville Old Face" w:cs="Times New Roman"/>
          <w:lang w:val="en-GB"/>
        </w:rPr>
        <w:t>]’ (</w:t>
      </w:r>
      <w:r w:rsidR="00691051" w:rsidRPr="009C5998">
        <w:rPr>
          <w:rFonts w:eastAsia="Baskerville Old Face" w:cs="Times New Roman"/>
          <w:lang w:val="en-GB"/>
        </w:rPr>
        <w:t>5</w:t>
      </w:r>
      <w:r w:rsidRPr="009C5998">
        <w:rPr>
          <w:rFonts w:eastAsia="Baskerville Old Face" w:cs="Times New Roman"/>
          <w:lang w:val="en-GB"/>
        </w:rPr>
        <w:t xml:space="preserve">: 402). Existence is thus never qualified with an epithet of </w:t>
      </w:r>
      <w:r w:rsidR="00CD24FF" w:rsidRPr="009C5998">
        <w:rPr>
          <w:rFonts w:eastAsia="Baskerville Old Face" w:cs="Times New Roman"/>
          <w:lang w:val="en-GB"/>
        </w:rPr>
        <w:t>'</w:t>
      </w:r>
      <w:r w:rsidRPr="009C5998">
        <w:rPr>
          <w:rFonts w:eastAsia="Baskerville Old Face" w:cs="Times New Roman"/>
          <w:lang w:val="en-GB"/>
        </w:rPr>
        <w:t>empirical</w:t>
      </w:r>
      <w:r w:rsidR="00CD24FF" w:rsidRPr="009C5998">
        <w:rPr>
          <w:rFonts w:eastAsia="Baskerville Old Face" w:cs="Times New Roman"/>
          <w:lang w:val="en-GB"/>
        </w:rPr>
        <w:t>’</w:t>
      </w:r>
      <w:r w:rsidRPr="009C5998">
        <w:rPr>
          <w:rFonts w:eastAsia="Baskerville Old Face" w:cs="Times New Roman"/>
          <w:lang w:val="en-GB"/>
        </w:rPr>
        <w:t xml:space="preserve">, unlike the determinations of the object. Claiming that an object exists is therefore claiming that there is a thing which is the object of my empirical knowledge and that exists </w:t>
      </w:r>
      <w:r w:rsidR="00CD24FF" w:rsidRPr="009C5998">
        <w:rPr>
          <w:rFonts w:eastAsia="Baskerville Old Face" w:cs="Times New Roman"/>
          <w:lang w:val="en-GB"/>
        </w:rPr>
        <w:t>(</w:t>
      </w:r>
      <w:r w:rsidRPr="009C5998">
        <w:rPr>
          <w:rFonts w:eastAsia="Baskerville Old Face" w:cs="Times New Roman"/>
          <w:lang w:val="en-GB"/>
        </w:rPr>
        <w:t>in itself</w:t>
      </w:r>
      <w:r w:rsidR="00CD24FF" w:rsidRPr="009C5998">
        <w:rPr>
          <w:rFonts w:eastAsia="Baskerville Old Face" w:cs="Times New Roman"/>
          <w:lang w:val="en-GB"/>
        </w:rPr>
        <w:t>)</w:t>
      </w:r>
      <w:r w:rsidRPr="009C5998">
        <w:rPr>
          <w:rFonts w:eastAsia="Baskerville Old Face" w:cs="Times New Roman"/>
          <w:lang w:val="en-GB"/>
        </w:rPr>
        <w:t>.</w:t>
      </w:r>
      <w:r w:rsidRPr="009C5998">
        <w:rPr>
          <w:rFonts w:eastAsia="Baskerville Old Face" w:cs="Times New Roman"/>
          <w:vertAlign w:val="superscript"/>
          <w:lang w:val="en-GB"/>
        </w:rPr>
        <w:endnoteReference w:id="21"/>
      </w:r>
      <w:r w:rsidRPr="009C5998">
        <w:rPr>
          <w:rFonts w:eastAsia="Baskerville Old Face" w:cs="Times New Roman"/>
          <w:lang w:val="en-GB"/>
        </w:rPr>
        <w:t xml:space="preserve"> This is confirmed by Kant’s very clear statements in the B</w:t>
      </w:r>
      <w:r w:rsidR="00BA557F" w:rsidRPr="009C5998">
        <w:rPr>
          <w:rFonts w:eastAsia="Baskerville Old Face" w:cs="Times New Roman"/>
          <w:lang w:val="en-GB"/>
        </w:rPr>
        <w:t>-</w:t>
      </w:r>
      <w:r w:rsidRPr="009C5998">
        <w:rPr>
          <w:rFonts w:eastAsia="Baskerville Old Face" w:cs="Times New Roman"/>
          <w:lang w:val="en-GB"/>
        </w:rPr>
        <w:t xml:space="preserve">TD: ‘appearances are only representations of things that exist without cognition of what they might be in themselves’ (B164) and in the </w:t>
      </w:r>
      <w:r w:rsidRPr="00BE0D9D">
        <w:rPr>
          <w:rFonts w:eastAsia="Baskerville Old Face" w:cs="Times New Roman"/>
          <w:i/>
          <w:lang w:val="en-GB"/>
        </w:rPr>
        <w:t>Prolegomena</w:t>
      </w:r>
      <w:r w:rsidRPr="009C5998">
        <w:rPr>
          <w:rFonts w:eastAsia="Baskerville Old Face" w:cs="Times New Roman"/>
          <w:lang w:val="en-GB"/>
        </w:rPr>
        <w:t>: ‘I leave to things as we obtain them by the senses their actuality and only limit our sensuous intuition of these things’ (</w:t>
      </w:r>
      <w:r w:rsidR="00691051" w:rsidRPr="009C5998">
        <w:rPr>
          <w:rFonts w:eastAsia="Baskerville Old Face" w:cs="Times New Roman"/>
          <w:lang w:val="en-GB"/>
        </w:rPr>
        <w:t>4</w:t>
      </w:r>
      <w:r w:rsidRPr="009C5998">
        <w:rPr>
          <w:rFonts w:eastAsia="Baskerville Old Face" w:cs="Times New Roman"/>
          <w:lang w:val="en-GB"/>
        </w:rPr>
        <w:t>:</w:t>
      </w:r>
      <w:r w:rsidR="00691051" w:rsidRPr="009C5998">
        <w:rPr>
          <w:rFonts w:eastAsia="Baskerville Old Face" w:cs="Times New Roman"/>
          <w:lang w:val="en-GB"/>
        </w:rPr>
        <w:t xml:space="preserve"> </w:t>
      </w:r>
      <w:r w:rsidRPr="009C5998">
        <w:rPr>
          <w:rFonts w:eastAsia="Baskerville Old Face" w:cs="Times New Roman"/>
          <w:lang w:val="en-GB"/>
        </w:rPr>
        <w:t>292-3).</w:t>
      </w:r>
    </w:p>
    <w:p w14:paraId="1D50EF0F" w14:textId="3281BB3C" w:rsidR="00CA37AC"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The </w:t>
      </w:r>
      <w:r w:rsidR="00BE0D9D">
        <w:rPr>
          <w:rFonts w:eastAsia="Baskerville Old Face" w:cs="Times New Roman"/>
          <w:lang w:val="en-GB"/>
        </w:rPr>
        <w:t xml:space="preserve">second-edition </w:t>
      </w:r>
      <w:r w:rsidR="00BA557F" w:rsidRPr="009C5998">
        <w:rPr>
          <w:rFonts w:eastAsia="Baskerville Old Face" w:cs="Times New Roman"/>
          <w:lang w:val="en-GB"/>
        </w:rPr>
        <w:t>PN</w:t>
      </w:r>
      <w:r w:rsidR="0015600F" w:rsidRPr="009C5998">
        <w:rPr>
          <w:rFonts w:eastAsia="Baskerville Old Face" w:cs="Times New Roman"/>
          <w:lang w:val="en-GB"/>
        </w:rPr>
        <w:t xml:space="preserve"> </w:t>
      </w:r>
      <w:r w:rsidRPr="009C5998">
        <w:rPr>
          <w:rFonts w:eastAsia="Baskerville Old Face" w:cs="Times New Roman"/>
          <w:lang w:val="en-GB"/>
        </w:rPr>
        <w:t xml:space="preserve">text therefore gives us </w:t>
      </w:r>
      <w:r w:rsidRPr="009C5998">
        <w:rPr>
          <w:rFonts w:eastAsia="Baskerville Old Face" w:cs="Times New Roman"/>
          <w:i/>
          <w:iCs/>
          <w:lang w:val="en-GB"/>
        </w:rPr>
        <w:t>metaphysical</w:t>
      </w:r>
      <w:r w:rsidRPr="009C5998">
        <w:rPr>
          <w:rFonts w:eastAsia="Baskerville Old Face" w:cs="Times New Roman"/>
          <w:lang w:val="en-GB"/>
        </w:rPr>
        <w:t xml:space="preserve"> grounds, rather than methodological grounds, for a </w:t>
      </w:r>
      <w:r w:rsidRPr="009C5998">
        <w:rPr>
          <w:rFonts w:eastAsia="Baskerville Old Face" w:cs="Times New Roman"/>
          <w:i/>
          <w:iCs/>
          <w:lang w:val="en-GB"/>
        </w:rPr>
        <w:t>dual-aspect theory</w:t>
      </w:r>
      <w:r w:rsidRPr="009C5998">
        <w:rPr>
          <w:rFonts w:eastAsia="Baskerville Old Face" w:cs="Times New Roman"/>
          <w:lang w:val="en-GB"/>
        </w:rPr>
        <w:t xml:space="preserve"> of the relation between ThIs and appearances. In the next </w:t>
      </w:r>
      <w:r w:rsidR="00A73875">
        <w:rPr>
          <w:rFonts w:eastAsia="Baskerville Old Face" w:cs="Times New Roman"/>
          <w:lang w:val="en-GB"/>
        </w:rPr>
        <w:t>sub-</w:t>
      </w:r>
      <w:r w:rsidRPr="009C5998">
        <w:rPr>
          <w:rFonts w:eastAsia="Baskerville Old Face" w:cs="Times New Roman"/>
          <w:lang w:val="en-GB"/>
        </w:rPr>
        <w:t>section</w:t>
      </w:r>
      <w:r w:rsidR="00903B9B" w:rsidRPr="009C5998">
        <w:rPr>
          <w:rFonts w:eastAsia="Baskerville Old Face" w:cs="Times New Roman"/>
          <w:lang w:val="en-GB"/>
        </w:rPr>
        <w:t xml:space="preserve">, I fill in this dual-aspect account, first by showing how it sheds light </w:t>
      </w:r>
      <w:r w:rsidR="0015795B" w:rsidRPr="009C5998">
        <w:rPr>
          <w:rFonts w:eastAsia="Baskerville Old Face" w:cs="Times New Roman"/>
          <w:lang w:val="en-GB"/>
        </w:rPr>
        <w:t>up</w:t>
      </w:r>
      <w:r w:rsidR="00903B9B" w:rsidRPr="009C5998">
        <w:rPr>
          <w:rFonts w:eastAsia="Baskerville Old Face" w:cs="Times New Roman"/>
          <w:lang w:val="en-GB"/>
        </w:rPr>
        <w:t>on the grounding function of the TO; and second, by comparing it with existing dual-aspect theories.</w:t>
      </w:r>
    </w:p>
    <w:p w14:paraId="424BAFEF" w14:textId="7AE272D4" w:rsidR="00CA37AC" w:rsidRPr="009C5998" w:rsidRDefault="007D7718" w:rsidP="00A73875">
      <w:pPr>
        <w:pStyle w:val="BodyA"/>
        <w:spacing w:after="240"/>
        <w:rPr>
          <w:rFonts w:eastAsia="Baskerville Old Face" w:cs="Times New Roman"/>
          <w:i/>
          <w:iCs/>
          <w:lang w:val="en-GB"/>
        </w:rPr>
      </w:pPr>
      <w:r w:rsidRPr="009C5998">
        <w:rPr>
          <w:rFonts w:eastAsia="Baskerville Old Face" w:cs="Times New Roman"/>
          <w:i/>
          <w:iCs/>
          <w:lang w:val="en-GB"/>
        </w:rPr>
        <w:t>Filling in the dual-aspect picture</w:t>
      </w:r>
    </w:p>
    <w:p w14:paraId="6CA94E98" w14:textId="20F6965A" w:rsidR="00CA37AC" w:rsidRPr="009C5998" w:rsidRDefault="00D850C5" w:rsidP="00A767F9">
      <w:pPr>
        <w:pStyle w:val="BodyA"/>
        <w:spacing w:after="240" w:line="480" w:lineRule="auto"/>
        <w:rPr>
          <w:rFonts w:eastAsia="Baskerville Old Face" w:cs="Times New Roman"/>
          <w:lang w:val="en-GB"/>
        </w:rPr>
      </w:pPr>
      <w:r w:rsidRPr="009C5998">
        <w:rPr>
          <w:rFonts w:eastAsia="Baskerville Old Face" w:cs="Times New Roman"/>
          <w:lang w:val="en-GB"/>
        </w:rPr>
        <w:t>Gardner (1999:</w:t>
      </w:r>
      <w:r w:rsidR="00C201A9" w:rsidRPr="009C5998">
        <w:rPr>
          <w:rFonts w:eastAsia="Baskerville Old Face" w:cs="Times New Roman"/>
          <w:lang w:val="en-GB"/>
        </w:rPr>
        <w:t xml:space="preserve"> </w:t>
      </w:r>
      <w:r w:rsidRPr="009C5998">
        <w:rPr>
          <w:rFonts w:eastAsia="Baskerville Old Face" w:cs="Times New Roman"/>
          <w:lang w:val="en-GB"/>
        </w:rPr>
        <w:t>290)</w:t>
      </w:r>
      <w:r w:rsidR="007D7718" w:rsidRPr="009C5998">
        <w:rPr>
          <w:rFonts w:eastAsia="Baskerville Old Face" w:cs="Times New Roman"/>
          <w:lang w:val="en-GB"/>
        </w:rPr>
        <w:t xml:space="preserve"> claims that</w:t>
      </w:r>
      <w:r w:rsidRPr="009C5998">
        <w:rPr>
          <w:rFonts w:eastAsia="Baskerville Old Face" w:cs="Times New Roman"/>
          <w:lang w:val="en-GB"/>
        </w:rPr>
        <w:t xml:space="preserve"> t</w:t>
      </w:r>
      <w:r w:rsidR="00CA37AC" w:rsidRPr="009C5998">
        <w:rPr>
          <w:rFonts w:eastAsia="Baskerville Old Face" w:cs="Times New Roman"/>
          <w:lang w:val="en-GB"/>
        </w:rPr>
        <w:t xml:space="preserve">he understanding of the ThI as </w:t>
      </w:r>
      <w:r w:rsidRPr="009C5998">
        <w:rPr>
          <w:rFonts w:eastAsia="Baskerville Old Face" w:cs="Times New Roman"/>
          <w:lang w:val="en-GB"/>
        </w:rPr>
        <w:t>TO or noumenon in the negative sense</w:t>
      </w:r>
      <w:r w:rsidR="00CA37AC" w:rsidRPr="009C5998">
        <w:rPr>
          <w:rFonts w:eastAsia="Baskerville Old Face" w:cs="Times New Roman"/>
          <w:lang w:val="en-GB"/>
        </w:rPr>
        <w:t>, i.e. as that of which appearances are appearances (see also B164) is bound up with their being grounded in ThIs.</w:t>
      </w:r>
      <w:r w:rsidR="00594A4F" w:rsidRPr="009C5998">
        <w:rPr>
          <w:rFonts w:eastAsia="Baskerville Old Face" w:cs="Times New Roman"/>
          <w:lang w:val="en-GB"/>
        </w:rPr>
        <w:t xml:space="preserve"> </w:t>
      </w:r>
      <w:r w:rsidR="00BA557F" w:rsidRPr="009C5998">
        <w:rPr>
          <w:rFonts w:eastAsia="Baskerville Old Face" w:cs="Times New Roman"/>
          <w:lang w:val="en-GB"/>
        </w:rPr>
        <w:t xml:space="preserve">This claim can be substantiated insofar as </w:t>
      </w:r>
      <w:r w:rsidR="00594A4F" w:rsidRPr="009C5998">
        <w:rPr>
          <w:rFonts w:eastAsia="Baskerville Old Face" w:cs="Times New Roman"/>
          <w:lang w:val="en-GB"/>
        </w:rPr>
        <w:t>a</w:t>
      </w:r>
      <w:r w:rsidR="007D7718" w:rsidRPr="009C5998">
        <w:rPr>
          <w:rFonts w:eastAsia="Baskerville Old Face" w:cs="Times New Roman"/>
          <w:lang w:val="en-GB"/>
        </w:rPr>
        <w:t xml:space="preserve"> metaphysical dual-aspect theory </w:t>
      </w:r>
      <w:r w:rsidR="00594A4F" w:rsidRPr="009C5998">
        <w:rPr>
          <w:rFonts w:eastAsia="Baskerville Old Face" w:cs="Times New Roman"/>
          <w:lang w:val="en-GB"/>
        </w:rPr>
        <w:t xml:space="preserve">is </w:t>
      </w:r>
      <w:r w:rsidR="007D7718" w:rsidRPr="009C5998">
        <w:rPr>
          <w:rFonts w:eastAsia="Baskerville Old Face" w:cs="Times New Roman"/>
          <w:lang w:val="en-GB"/>
        </w:rPr>
        <w:t xml:space="preserve">endorsed. This is the case because the appearance aspect of a thing is merely the way a ThI is manifested to our discursive cognition at a particular place and time. As such a manifestation, </w:t>
      </w:r>
      <w:r w:rsidR="00594A4F" w:rsidRPr="009C5998">
        <w:rPr>
          <w:rFonts w:eastAsia="Baskerville Old Face" w:cs="Times New Roman"/>
          <w:lang w:val="en-GB"/>
        </w:rPr>
        <w:t xml:space="preserve">it follows trivially that </w:t>
      </w:r>
      <w:r w:rsidR="007D7718" w:rsidRPr="009C5998">
        <w:rPr>
          <w:rFonts w:eastAsia="Baskerville Old Face" w:cs="Times New Roman"/>
          <w:lang w:val="en-GB"/>
        </w:rPr>
        <w:t>it must be grounded in the way the thing is in-itself.</w:t>
      </w:r>
      <w:r w:rsidR="00765762" w:rsidRPr="009C5998">
        <w:rPr>
          <w:rFonts w:eastAsia="Baskerville Old Face" w:cs="Times New Roman"/>
          <w:lang w:val="en-GB"/>
        </w:rPr>
        <w:t xml:space="preserve"> This provides support for the grounding claims about the TO independently of the T</w:t>
      </w:r>
      <w:r w:rsidR="00B7434A">
        <w:rPr>
          <w:rFonts w:eastAsia="Baskerville Old Face" w:cs="Times New Roman"/>
          <w:lang w:val="en-GB"/>
        </w:rPr>
        <w:t xml:space="preserve">ranscendental </w:t>
      </w:r>
      <w:r w:rsidR="00765762" w:rsidRPr="009C5998">
        <w:rPr>
          <w:rFonts w:eastAsia="Baskerville Old Face" w:cs="Times New Roman"/>
          <w:lang w:val="en-GB"/>
        </w:rPr>
        <w:t>Ae</w:t>
      </w:r>
      <w:r w:rsidR="00B7434A">
        <w:rPr>
          <w:rFonts w:eastAsia="Baskerville Old Face" w:cs="Times New Roman"/>
          <w:lang w:val="en-GB"/>
        </w:rPr>
        <w:t>sthetic</w:t>
      </w:r>
      <w:r w:rsidR="00765762" w:rsidRPr="009C5998">
        <w:rPr>
          <w:rFonts w:eastAsia="Baskerville Old Face" w:cs="Times New Roman"/>
          <w:lang w:val="en-GB"/>
        </w:rPr>
        <w:t xml:space="preserve"> and the Antinomy.</w:t>
      </w:r>
      <w:r w:rsidR="00765762" w:rsidRPr="009C5998">
        <w:rPr>
          <w:rStyle w:val="EndnoteReference"/>
          <w:rFonts w:eastAsia="Baskerville Old Face" w:cs="Times New Roman"/>
          <w:lang w:val="en-GB"/>
        </w:rPr>
        <w:endnoteReference w:id="22"/>
      </w:r>
    </w:p>
    <w:p w14:paraId="473BF4A4" w14:textId="2404AFFB" w:rsidR="00CA37AC" w:rsidRPr="009C5998" w:rsidRDefault="00D17FAD" w:rsidP="00A767F9">
      <w:pPr>
        <w:pStyle w:val="BodyA"/>
        <w:spacing w:after="240" w:line="480" w:lineRule="auto"/>
        <w:rPr>
          <w:rFonts w:eastAsia="Baskerville Old Face" w:cs="Times New Roman"/>
          <w:lang w:val="en-GB"/>
        </w:rPr>
      </w:pPr>
      <w:r w:rsidRPr="009C5998">
        <w:rPr>
          <w:rFonts w:eastAsia="Baskerville Old Face" w:cs="Times New Roman"/>
          <w:lang w:val="en-GB"/>
        </w:rPr>
        <w:t>But we can show that it also provides support for a further specification of Gardner’s claim, namely that the grounding in question must be one of empirical causality. Indeed, t</w:t>
      </w:r>
      <w:r w:rsidR="00CA37AC" w:rsidRPr="009C5998">
        <w:rPr>
          <w:rFonts w:eastAsia="Baskerville Old Face" w:cs="Times New Roman"/>
          <w:lang w:val="en-GB"/>
        </w:rPr>
        <w:t>his grounding role of the TO disclos</w:t>
      </w:r>
      <w:r w:rsidRPr="009C5998">
        <w:rPr>
          <w:rFonts w:eastAsia="Baskerville Old Face" w:cs="Times New Roman"/>
          <w:lang w:val="en-GB"/>
        </w:rPr>
        <w:t>es</w:t>
      </w:r>
      <w:r w:rsidR="00CA37AC" w:rsidRPr="009C5998">
        <w:rPr>
          <w:rFonts w:eastAsia="Baskerville Old Face" w:cs="Times New Roman"/>
          <w:lang w:val="en-GB"/>
        </w:rPr>
        <w:t xml:space="preserve"> the existence of ThIs</w:t>
      </w:r>
      <w:r w:rsidRPr="009C5998">
        <w:rPr>
          <w:rFonts w:eastAsia="Baskerville Old Face" w:cs="Times New Roman"/>
          <w:lang w:val="en-GB"/>
        </w:rPr>
        <w:t>: as</w:t>
      </w:r>
      <w:r w:rsidR="00315111" w:rsidRPr="009C5998">
        <w:rPr>
          <w:rFonts w:eastAsia="Baskerville Old Face" w:cs="Times New Roman"/>
          <w:lang w:val="en-GB"/>
        </w:rPr>
        <w:t xml:space="preserve"> we have seen </w:t>
      </w:r>
      <w:r w:rsidR="00CA37AC" w:rsidRPr="009C5998">
        <w:rPr>
          <w:rFonts w:eastAsia="Baskerville Old Face" w:cs="Times New Roman"/>
          <w:lang w:val="en-GB"/>
        </w:rPr>
        <w:t xml:space="preserve">in the previous </w:t>
      </w:r>
      <w:r w:rsidR="004803B6">
        <w:rPr>
          <w:rFonts w:eastAsia="Baskerville Old Face" w:cs="Times New Roman"/>
          <w:lang w:val="en-GB"/>
        </w:rPr>
        <w:t>sub-</w:t>
      </w:r>
      <w:r w:rsidR="00CA37AC" w:rsidRPr="009C5998">
        <w:rPr>
          <w:rFonts w:eastAsia="Baskerville Old Face" w:cs="Times New Roman"/>
          <w:lang w:val="en-GB"/>
        </w:rPr>
        <w:t>section</w:t>
      </w:r>
      <w:r w:rsidRPr="009C5998">
        <w:rPr>
          <w:rFonts w:eastAsia="Baskerville Old Face" w:cs="Times New Roman"/>
          <w:lang w:val="en-GB"/>
        </w:rPr>
        <w:t>,</w:t>
      </w:r>
      <w:r w:rsidR="00CA37AC" w:rsidRPr="009C5998">
        <w:rPr>
          <w:rFonts w:eastAsia="Baskerville Old Face" w:cs="Times New Roman"/>
          <w:lang w:val="en-GB"/>
        </w:rPr>
        <w:t xml:space="preserve"> the positing of the empirical object </w:t>
      </w:r>
      <w:r w:rsidR="00315111" w:rsidRPr="009C5998">
        <w:rPr>
          <w:rFonts w:eastAsia="Baskerville Old Face" w:cs="Times New Roman"/>
          <w:lang w:val="en-GB"/>
        </w:rPr>
        <w:t xml:space="preserve">is simultaneously a positing of a </w:t>
      </w:r>
      <w:r w:rsidR="00CA37AC" w:rsidRPr="009C5998">
        <w:rPr>
          <w:rFonts w:eastAsia="Baskerville Old Face" w:cs="Times New Roman"/>
          <w:lang w:val="en-GB"/>
        </w:rPr>
        <w:t>thing as it is in</w:t>
      </w:r>
      <w:r w:rsidR="001F5B35" w:rsidRPr="009C5998">
        <w:rPr>
          <w:rFonts w:eastAsia="Baskerville Old Face" w:cs="Times New Roman"/>
          <w:lang w:val="en-GB"/>
        </w:rPr>
        <w:t>-</w:t>
      </w:r>
      <w:r w:rsidR="00CA37AC" w:rsidRPr="009C5998">
        <w:rPr>
          <w:rFonts w:eastAsia="Baskerville Old Face" w:cs="Times New Roman"/>
          <w:lang w:val="en-GB"/>
        </w:rPr>
        <w:t xml:space="preserve">itself, </w:t>
      </w:r>
      <w:r w:rsidR="00315111" w:rsidRPr="009C5998">
        <w:rPr>
          <w:rFonts w:eastAsia="Baskerville Old Face" w:cs="Times New Roman"/>
          <w:lang w:val="en-GB"/>
        </w:rPr>
        <w:t xml:space="preserve">so that </w:t>
      </w:r>
      <w:r w:rsidR="00CA37AC" w:rsidRPr="009C5998">
        <w:rPr>
          <w:rFonts w:eastAsia="Baskerville Old Face" w:cs="Times New Roman"/>
          <w:lang w:val="en-GB"/>
        </w:rPr>
        <w:t xml:space="preserve">the claim that it exists is made when the empirical object is grasped as actual. </w:t>
      </w:r>
      <w:r w:rsidRPr="009C5998">
        <w:rPr>
          <w:rFonts w:eastAsia="Baskerville Old Face" w:cs="Times New Roman"/>
          <w:lang w:val="en-GB"/>
        </w:rPr>
        <w:t>But w</w:t>
      </w:r>
      <w:r w:rsidR="00351521" w:rsidRPr="009C5998">
        <w:rPr>
          <w:rFonts w:eastAsia="Baskerville Old Face" w:cs="Times New Roman"/>
          <w:lang w:val="en-GB"/>
        </w:rPr>
        <w:t>hat justifies such a claim of actuality</w:t>
      </w:r>
      <w:r w:rsidR="00165194" w:rsidRPr="009C5998">
        <w:rPr>
          <w:rFonts w:eastAsia="Baskerville Old Face" w:cs="Times New Roman"/>
          <w:lang w:val="en-GB"/>
        </w:rPr>
        <w:t xml:space="preserve">? </w:t>
      </w:r>
      <w:r w:rsidR="00351521" w:rsidRPr="009C5998">
        <w:rPr>
          <w:rFonts w:eastAsia="Baskerville Old Face" w:cs="Times New Roman"/>
          <w:lang w:val="en-GB"/>
        </w:rPr>
        <w:t>T</w:t>
      </w:r>
      <w:r w:rsidR="00E649FA" w:rsidRPr="009C5998">
        <w:rPr>
          <w:rFonts w:eastAsia="Baskerville Old Face" w:cs="Times New Roman"/>
          <w:lang w:val="en-GB"/>
        </w:rPr>
        <w:t xml:space="preserve">he Postulates of Empirical Thought </w:t>
      </w:r>
      <w:r w:rsidR="00351521" w:rsidRPr="009C5998">
        <w:rPr>
          <w:rFonts w:eastAsia="Baskerville Old Face" w:cs="Times New Roman"/>
          <w:lang w:val="en-GB"/>
        </w:rPr>
        <w:t>connect</w:t>
      </w:r>
      <w:r w:rsidR="00E649FA" w:rsidRPr="009C5998">
        <w:rPr>
          <w:rFonts w:eastAsia="Baskerville Old Face" w:cs="Times New Roman"/>
          <w:lang w:val="en-GB"/>
        </w:rPr>
        <w:t xml:space="preserve"> actuality with perception (and therefore the occurrence of a sensation)</w:t>
      </w:r>
      <w:r w:rsidR="00351521" w:rsidRPr="009C5998">
        <w:rPr>
          <w:rFonts w:eastAsia="Baskerville Old Face" w:cs="Times New Roman"/>
          <w:lang w:val="en-GB"/>
        </w:rPr>
        <w:t>:</w:t>
      </w:r>
      <w:r w:rsidR="009A417E" w:rsidRPr="009C5998">
        <w:rPr>
          <w:rStyle w:val="EndnoteReference"/>
          <w:rFonts w:eastAsia="Baskerville Old Face" w:cs="Times New Roman"/>
          <w:lang w:val="en-GB"/>
        </w:rPr>
        <w:endnoteReference w:id="23"/>
      </w:r>
      <w:r w:rsidR="00E649FA" w:rsidRPr="009C5998">
        <w:rPr>
          <w:rFonts w:eastAsia="Baskerville Old Face" w:cs="Times New Roman"/>
          <w:lang w:val="en-GB"/>
        </w:rPr>
        <w:t xml:space="preserve"> there must be </w:t>
      </w:r>
      <w:r w:rsidR="00CA37AC" w:rsidRPr="009C5998">
        <w:rPr>
          <w:rFonts w:eastAsia="Baskerville Old Face" w:cs="Times New Roman"/>
          <w:lang w:val="en-GB"/>
        </w:rPr>
        <w:t>a causal relation (direct or not) of this object to sensation</w:t>
      </w:r>
      <w:r w:rsidR="00351521" w:rsidRPr="009C5998">
        <w:rPr>
          <w:rFonts w:eastAsia="Baskerville Old Face" w:cs="Times New Roman"/>
          <w:lang w:val="en-GB"/>
        </w:rPr>
        <w:t xml:space="preserve">. Since this </w:t>
      </w:r>
      <w:r w:rsidR="00335EBA" w:rsidRPr="009C5998">
        <w:rPr>
          <w:rFonts w:eastAsia="Baskerville Old Face" w:cs="Times New Roman"/>
          <w:lang w:val="en-GB"/>
        </w:rPr>
        <w:t xml:space="preserve">causal relation </w:t>
      </w:r>
      <w:r w:rsidR="00351521" w:rsidRPr="009C5998">
        <w:rPr>
          <w:rFonts w:eastAsia="Baskerville Old Face" w:cs="Times New Roman"/>
          <w:lang w:val="en-GB"/>
        </w:rPr>
        <w:t xml:space="preserve">must be grounded in the same thing as it is in-itself, we thus reach the same conclusion as in </w:t>
      </w:r>
      <w:r w:rsidR="00413C1E">
        <w:rPr>
          <w:rFonts w:eastAsia="Baskerville Old Face" w:cs="Times New Roman"/>
          <w:lang w:val="en-GB"/>
        </w:rPr>
        <w:t>section one</w:t>
      </w:r>
      <w:r w:rsidR="00351521" w:rsidRPr="009C5998">
        <w:rPr>
          <w:rFonts w:eastAsia="Baskerville Old Face" w:cs="Times New Roman"/>
          <w:lang w:val="en-GB"/>
        </w:rPr>
        <w:t xml:space="preserve">. Namely, </w:t>
      </w:r>
      <w:r w:rsidR="00DF29DE" w:rsidRPr="009C5998">
        <w:rPr>
          <w:rFonts w:eastAsia="Baskerville Old Face" w:cs="Times New Roman"/>
          <w:lang w:val="en-GB"/>
        </w:rPr>
        <w:t xml:space="preserve">the ThI is disclosed as what </w:t>
      </w:r>
      <w:r w:rsidRPr="009C5998">
        <w:rPr>
          <w:rFonts w:eastAsia="Baskerville Old Face" w:cs="Times New Roman"/>
          <w:lang w:val="en-GB"/>
        </w:rPr>
        <w:t xml:space="preserve">grounds an empirical aspect, causality, and thereby </w:t>
      </w:r>
      <w:r w:rsidR="00DF29DE" w:rsidRPr="009C5998">
        <w:rPr>
          <w:rFonts w:eastAsia="Baskerville Old Face" w:cs="Times New Roman"/>
          <w:lang w:val="en-GB"/>
        </w:rPr>
        <w:t xml:space="preserve">affects us (transcendentally) </w:t>
      </w:r>
      <w:r w:rsidR="00B512A3">
        <w:rPr>
          <w:rFonts w:eastAsia="Baskerville Old Face" w:cs="Times New Roman"/>
          <w:lang w:val="en-GB"/>
        </w:rPr>
        <w:t>only in that</w:t>
      </w:r>
      <w:r w:rsidR="002D5B47">
        <w:rPr>
          <w:rFonts w:eastAsia="Baskerville Old Face" w:cs="Times New Roman"/>
          <w:lang w:val="en-GB"/>
        </w:rPr>
        <w:t>,</w:t>
      </w:r>
      <w:r w:rsidRPr="009C5998">
        <w:rPr>
          <w:rFonts w:eastAsia="Baskerville Old Face" w:cs="Times New Roman"/>
          <w:lang w:val="en-GB"/>
        </w:rPr>
        <w:t xml:space="preserve"> through this empirical causality, we are affected </w:t>
      </w:r>
      <w:r w:rsidR="00351521" w:rsidRPr="009C5998">
        <w:rPr>
          <w:rFonts w:eastAsia="Baskerville Old Face" w:cs="Times New Roman"/>
          <w:lang w:val="en-GB"/>
        </w:rPr>
        <w:t>(empirically)</w:t>
      </w:r>
      <w:r w:rsidRPr="009C5998">
        <w:rPr>
          <w:rFonts w:eastAsia="Baskerville Old Face" w:cs="Times New Roman"/>
          <w:lang w:val="en-GB"/>
        </w:rPr>
        <w:t>, which means that the grounding in Gardner’s claim must be one of empirical causality.</w:t>
      </w:r>
      <w:r w:rsidR="00CA37AC" w:rsidRPr="009C5998">
        <w:rPr>
          <w:rFonts w:eastAsia="Baskerville Old Face" w:cs="Times New Roman"/>
          <w:lang w:val="en-GB"/>
        </w:rPr>
        <w:t xml:space="preserve"> </w:t>
      </w:r>
      <w:r w:rsidR="002C4D1E" w:rsidRPr="009C5998">
        <w:rPr>
          <w:rFonts w:eastAsia="Baskerville Old Face" w:cs="Times New Roman"/>
          <w:lang w:val="en-GB"/>
        </w:rPr>
        <w:t>Th</w:t>
      </w:r>
      <w:r w:rsidRPr="009C5998">
        <w:rPr>
          <w:rFonts w:eastAsia="Baskerville Old Face" w:cs="Times New Roman"/>
          <w:lang w:val="en-GB"/>
        </w:rPr>
        <w:t xml:space="preserve">e way empirical affection thus takes on transcendental significance </w:t>
      </w:r>
      <w:r w:rsidR="002C4D1E" w:rsidRPr="009C5998">
        <w:rPr>
          <w:rFonts w:eastAsia="Baskerville Old Face" w:cs="Times New Roman"/>
          <w:lang w:val="en-GB"/>
        </w:rPr>
        <w:t xml:space="preserve">is confirmed by </w:t>
      </w:r>
      <w:r w:rsidR="00CA37AC" w:rsidRPr="009C5998">
        <w:rPr>
          <w:rFonts w:eastAsia="Baskerville Old Face" w:cs="Times New Roman"/>
          <w:lang w:val="en-GB"/>
        </w:rPr>
        <w:t>Kant</w:t>
      </w:r>
      <w:r w:rsidR="002C4D1E" w:rsidRPr="009C5998">
        <w:rPr>
          <w:rFonts w:eastAsia="Baskerville Old Face" w:cs="Times New Roman"/>
          <w:lang w:val="en-GB"/>
        </w:rPr>
        <w:t>’s</w:t>
      </w:r>
      <w:r w:rsidR="00CA37AC" w:rsidRPr="009C5998">
        <w:rPr>
          <w:rFonts w:eastAsia="Baskerville Old Face" w:cs="Times New Roman"/>
          <w:lang w:val="en-GB"/>
        </w:rPr>
        <w:t xml:space="preserve"> claim in the </w:t>
      </w:r>
      <w:r w:rsidR="00CA37AC" w:rsidRPr="00667F18">
        <w:rPr>
          <w:rFonts w:eastAsia="Baskerville Old Face" w:cs="Times New Roman"/>
          <w:i/>
          <w:lang w:val="en-GB"/>
        </w:rPr>
        <w:t>Prolegomena</w:t>
      </w:r>
      <w:r w:rsidR="00CA37AC" w:rsidRPr="009C5998">
        <w:rPr>
          <w:rFonts w:eastAsia="Baskerville Old Face" w:cs="Times New Roman"/>
          <w:lang w:val="en-GB"/>
        </w:rPr>
        <w:t>: ‘</w:t>
      </w:r>
      <w:bookmarkStart w:id="4" w:name="_Hlk495129408"/>
      <w:r w:rsidR="00CA37AC" w:rsidRPr="009C5998">
        <w:rPr>
          <w:rFonts w:eastAsia="Baskerville Old Face" w:cs="Times New Roman"/>
          <w:lang w:val="en-GB"/>
        </w:rPr>
        <w:t>if we view the objects of the senses as mere appearances, as is fitting, then we thereby admit at the very same time that a thing in itself underlies them, although we are … acquainted … only with … the way in which our senses are affected by this unknown something’ (</w:t>
      </w:r>
      <w:r w:rsidR="00C201A9" w:rsidRPr="009C5998">
        <w:rPr>
          <w:rFonts w:eastAsia="Baskerville Old Face" w:cs="Times New Roman"/>
          <w:lang w:val="en-GB"/>
        </w:rPr>
        <w:t>4</w:t>
      </w:r>
      <w:r w:rsidR="00CA37AC" w:rsidRPr="009C5998">
        <w:rPr>
          <w:rFonts w:eastAsia="Baskerville Old Face" w:cs="Times New Roman"/>
          <w:lang w:val="en-GB"/>
        </w:rPr>
        <w:t>:</w:t>
      </w:r>
      <w:r w:rsidR="00C201A9" w:rsidRPr="009C5998">
        <w:rPr>
          <w:rFonts w:eastAsia="Baskerville Old Face" w:cs="Times New Roman"/>
          <w:lang w:val="en-GB"/>
        </w:rPr>
        <w:t xml:space="preserve"> </w:t>
      </w:r>
      <w:r w:rsidR="00CA37AC" w:rsidRPr="009C5998">
        <w:rPr>
          <w:rFonts w:eastAsia="Baskerville Old Face" w:cs="Times New Roman"/>
          <w:lang w:val="en-GB"/>
        </w:rPr>
        <w:t>314f)</w:t>
      </w:r>
      <w:bookmarkEnd w:id="4"/>
      <w:r w:rsidR="00CA37AC" w:rsidRPr="009C5998">
        <w:rPr>
          <w:rFonts w:eastAsia="Baskerville Old Face" w:cs="Times New Roman"/>
          <w:lang w:val="en-GB"/>
        </w:rPr>
        <w:t>.</w:t>
      </w:r>
    </w:p>
    <w:p w14:paraId="50B05AF9" w14:textId="565DC0F7" w:rsidR="00CA37AC"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So far, our analysis </w:t>
      </w:r>
      <w:r w:rsidR="00B46E22" w:rsidRPr="009C5998">
        <w:rPr>
          <w:rFonts w:eastAsia="Baskerville Old Face" w:cs="Times New Roman"/>
          <w:lang w:val="en-GB"/>
        </w:rPr>
        <w:t xml:space="preserve">has led </w:t>
      </w:r>
      <w:r w:rsidRPr="009C5998">
        <w:rPr>
          <w:rFonts w:eastAsia="Baskerville Old Face" w:cs="Times New Roman"/>
          <w:lang w:val="en-GB"/>
        </w:rPr>
        <w:t xml:space="preserve">to upholding a metaphysical dual-aspect theory of the relation between ThIs and appearances in which the </w:t>
      </w:r>
      <w:r w:rsidR="00FE5F48" w:rsidRPr="009C5998">
        <w:rPr>
          <w:rFonts w:eastAsia="Baskerville Old Face" w:cs="Times New Roman"/>
          <w:lang w:val="en-GB"/>
        </w:rPr>
        <w:t>second</w:t>
      </w:r>
      <w:r w:rsidRPr="009C5998">
        <w:rPr>
          <w:rFonts w:eastAsia="Baskerville Old Face" w:cs="Times New Roman"/>
          <w:lang w:val="en-GB"/>
        </w:rPr>
        <w:t xml:space="preserve"> aspect grounds the </w:t>
      </w:r>
      <w:r w:rsidR="00FE5F48" w:rsidRPr="009C5998">
        <w:rPr>
          <w:rFonts w:eastAsia="Baskerville Old Face" w:cs="Times New Roman"/>
          <w:lang w:val="en-GB"/>
        </w:rPr>
        <w:t>first’s</w:t>
      </w:r>
      <w:r w:rsidRPr="009C5998">
        <w:rPr>
          <w:rFonts w:eastAsia="Baskerville Old Face" w:cs="Times New Roman"/>
          <w:lang w:val="en-GB"/>
        </w:rPr>
        <w:t xml:space="preserve"> causality through which it affects us. In what I have proposed, there is no r</w:t>
      </w:r>
      <w:r w:rsidR="003C02CB" w:rsidRPr="009C5998">
        <w:rPr>
          <w:rFonts w:eastAsia="Baskerville Old Face" w:cs="Times New Roman"/>
          <w:lang w:val="en-GB"/>
        </w:rPr>
        <w:t xml:space="preserve">equirement for us to </w:t>
      </w:r>
      <w:r w:rsidRPr="009C5998">
        <w:rPr>
          <w:rFonts w:eastAsia="Baskerville Old Face" w:cs="Times New Roman"/>
          <w:lang w:val="en-GB"/>
        </w:rPr>
        <w:t>think of ThIs as substances, e</w:t>
      </w:r>
      <w:r w:rsidRPr="009C5998">
        <w:rPr>
          <w:rFonts w:cs="Times New Roman"/>
          <w:lang w:val="en-GB"/>
        </w:rPr>
        <w:t>xcept perhaps in the minimal sense of a placeholder for that which has the property of grounding empirical causality.</w:t>
      </w:r>
      <w:r w:rsidRPr="009C5998">
        <w:rPr>
          <w:rFonts w:eastAsia="Baskerville Old Face" w:cs="Times New Roman"/>
          <w:lang w:val="en-GB"/>
        </w:rPr>
        <w:t xml:space="preserve"> I take this to distinguish this theory from a covert assumption of contemporary </w:t>
      </w:r>
      <w:r w:rsidR="00335EBA" w:rsidRPr="009C5998">
        <w:rPr>
          <w:rFonts w:eastAsia="Baskerville Old Face" w:cs="Times New Roman"/>
          <w:lang w:val="en-GB"/>
        </w:rPr>
        <w:t>MDA</w:t>
      </w:r>
      <w:r w:rsidRPr="009C5998">
        <w:rPr>
          <w:rFonts w:eastAsia="Baskerville Old Face" w:cs="Times New Roman"/>
          <w:lang w:val="en-GB"/>
        </w:rPr>
        <w:t xml:space="preserve"> theories. To take the most recent version of </w:t>
      </w:r>
      <w:r w:rsidR="009304F1" w:rsidRPr="009C5998">
        <w:rPr>
          <w:rFonts w:eastAsia="Baskerville Old Face" w:cs="Times New Roman"/>
          <w:lang w:val="en-GB"/>
        </w:rPr>
        <w:t>MDA</w:t>
      </w:r>
      <w:r w:rsidRPr="009C5998">
        <w:rPr>
          <w:rFonts w:eastAsia="Baskerville Old Face" w:cs="Times New Roman"/>
          <w:lang w:val="en-GB"/>
        </w:rPr>
        <w:t>, it is claimed that Kant starts with ‘things, things which have intrinsic natures and relational properties, and he argues that we cannot know these things’ intrinsic natures and can know only their relational properties’ (Allais 2015: 72-3). This spells out the two aspects</w:t>
      </w:r>
      <w:r w:rsidR="00C35FBE">
        <w:rPr>
          <w:rFonts w:eastAsia="Baskerville Old Face" w:cs="Times New Roman"/>
          <w:lang w:val="en-GB"/>
        </w:rPr>
        <w:t>,</w:t>
      </w:r>
      <w:r w:rsidRPr="009C5998">
        <w:rPr>
          <w:rFonts w:eastAsia="Baskerville Old Face" w:cs="Times New Roman"/>
          <w:lang w:val="en-GB"/>
        </w:rPr>
        <w:t xml:space="preserve"> and in so doing these things are implicitly thought as bearers of properties, i.e. substances</w:t>
      </w:r>
      <w:r w:rsidR="00BC527C" w:rsidRPr="009C5998">
        <w:rPr>
          <w:rFonts w:eastAsia="Baskerville Old Face" w:cs="Times New Roman"/>
          <w:lang w:val="en-GB"/>
        </w:rPr>
        <w:t xml:space="preserve"> (</w:t>
      </w:r>
      <w:r w:rsidR="00E82D2C" w:rsidRPr="009C5998">
        <w:rPr>
          <w:rFonts w:eastAsia="Baskerville Old Face" w:cs="Times New Roman"/>
          <w:lang w:val="en-GB"/>
        </w:rPr>
        <w:t>see also</w:t>
      </w:r>
      <w:r w:rsidR="00BC527C" w:rsidRPr="009C5998">
        <w:rPr>
          <w:rFonts w:eastAsia="Baskerville Old Face" w:cs="Times New Roman"/>
          <w:lang w:val="en-GB"/>
        </w:rPr>
        <w:t xml:space="preserve"> Allais 2015:</w:t>
      </w:r>
      <w:r w:rsidR="00A070E8" w:rsidRPr="009C5998">
        <w:rPr>
          <w:rFonts w:eastAsia="Baskerville Old Face" w:cs="Times New Roman"/>
          <w:lang w:val="en-GB"/>
        </w:rPr>
        <w:t xml:space="preserve"> </w:t>
      </w:r>
      <w:r w:rsidR="00BC527C" w:rsidRPr="009C5998">
        <w:rPr>
          <w:rFonts w:eastAsia="Baskerville Old Face" w:cs="Times New Roman"/>
          <w:lang w:val="en-GB"/>
        </w:rPr>
        <w:t>34)</w:t>
      </w:r>
      <w:r w:rsidRPr="009C5998">
        <w:rPr>
          <w:rFonts w:eastAsia="Baskerville Old Face" w:cs="Times New Roman"/>
          <w:lang w:val="en-GB"/>
        </w:rPr>
        <w:t xml:space="preserve">. Below, we shall find grounds for </w:t>
      </w:r>
      <w:r w:rsidRPr="009C5998">
        <w:rPr>
          <w:rFonts w:eastAsia="Baskerville Old Face" w:cs="Times New Roman"/>
          <w:i/>
          <w:lang w:val="en-GB"/>
        </w:rPr>
        <w:t xml:space="preserve">not </w:t>
      </w:r>
      <w:r w:rsidRPr="009C5998">
        <w:rPr>
          <w:rFonts w:eastAsia="Baskerville Old Face" w:cs="Times New Roman"/>
          <w:lang w:val="en-GB"/>
        </w:rPr>
        <w:t xml:space="preserve">considering the intrinsic properties of </w:t>
      </w:r>
      <w:r w:rsidR="0016378E" w:rsidRPr="009C5998">
        <w:rPr>
          <w:rFonts w:eastAsia="Baskerville Old Face" w:cs="Times New Roman"/>
          <w:lang w:val="en-GB"/>
        </w:rPr>
        <w:t xml:space="preserve">a </w:t>
      </w:r>
      <w:r w:rsidRPr="009C5998">
        <w:rPr>
          <w:rFonts w:eastAsia="Baskerville Old Face" w:cs="Times New Roman"/>
          <w:lang w:val="en-GB"/>
        </w:rPr>
        <w:t xml:space="preserve">ThI to be what constitutes the </w:t>
      </w:r>
      <w:r w:rsidR="00FE5F48" w:rsidRPr="009C5998">
        <w:rPr>
          <w:rFonts w:eastAsia="Baskerville Old Face" w:cs="Times New Roman"/>
          <w:lang w:val="en-GB"/>
        </w:rPr>
        <w:t>second</w:t>
      </w:r>
      <w:r w:rsidR="0016378E" w:rsidRPr="009C5998">
        <w:rPr>
          <w:rFonts w:eastAsia="Baskerville Old Face" w:cs="Times New Roman"/>
          <w:lang w:val="en-GB"/>
        </w:rPr>
        <w:t xml:space="preserve"> (</w:t>
      </w:r>
      <w:r w:rsidR="00465E3D" w:rsidRPr="009C5998">
        <w:rPr>
          <w:rFonts w:eastAsia="Baskerville Old Face" w:cs="Times New Roman"/>
          <w:lang w:val="en-GB"/>
        </w:rPr>
        <w:t>in-itself</w:t>
      </w:r>
      <w:r w:rsidR="0016378E" w:rsidRPr="009C5998">
        <w:rPr>
          <w:rFonts w:eastAsia="Baskerville Old Face" w:cs="Times New Roman"/>
          <w:lang w:val="en-GB"/>
        </w:rPr>
        <w:t>)</w:t>
      </w:r>
      <w:r w:rsidRPr="009C5998">
        <w:rPr>
          <w:rFonts w:eastAsia="Baskerville Old Face" w:cs="Times New Roman"/>
          <w:lang w:val="en-GB"/>
        </w:rPr>
        <w:t xml:space="preserve"> aspect of </w:t>
      </w:r>
      <w:r w:rsidR="00DF29DE" w:rsidRPr="009C5998">
        <w:rPr>
          <w:rFonts w:eastAsia="Baskerville Old Face" w:cs="Times New Roman"/>
          <w:lang w:val="en-GB"/>
        </w:rPr>
        <w:t>things</w:t>
      </w:r>
      <w:r w:rsidRPr="009C5998">
        <w:rPr>
          <w:rFonts w:eastAsia="Baskerville Old Face" w:cs="Times New Roman"/>
          <w:lang w:val="en-GB"/>
        </w:rPr>
        <w:t xml:space="preserve">, which thus eliminates any motivation for thinking of it </w:t>
      </w:r>
      <w:r w:rsidR="00780C0F" w:rsidRPr="009C5998">
        <w:rPr>
          <w:rFonts w:eastAsia="Baskerville Old Face" w:cs="Times New Roman"/>
          <w:lang w:val="en-GB"/>
        </w:rPr>
        <w:t xml:space="preserve">primarily </w:t>
      </w:r>
      <w:r w:rsidRPr="009C5998">
        <w:rPr>
          <w:rFonts w:eastAsia="Baskerville Old Face" w:cs="Times New Roman"/>
          <w:lang w:val="en-GB"/>
        </w:rPr>
        <w:t>as substance.</w:t>
      </w:r>
      <w:r w:rsidRPr="009C5998">
        <w:rPr>
          <w:rFonts w:eastAsia="Baskerville Old Face" w:cs="Times New Roman"/>
          <w:vertAlign w:val="superscript"/>
          <w:lang w:val="en-GB"/>
        </w:rPr>
        <w:endnoteReference w:id="24"/>
      </w:r>
    </w:p>
    <w:p w14:paraId="213CA3DF" w14:textId="62DFE96D" w:rsidR="00CA37AC"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At this point, against any dual-aspect interpretation, it will be objected that Kant </w:t>
      </w:r>
      <w:r w:rsidR="00780C0F" w:rsidRPr="009C5998">
        <w:rPr>
          <w:rFonts w:eastAsia="Baskerville Old Face" w:cs="Times New Roman"/>
          <w:lang w:val="en-GB"/>
        </w:rPr>
        <w:t xml:space="preserve">also </w:t>
      </w:r>
      <w:r w:rsidRPr="009C5998">
        <w:rPr>
          <w:rFonts w:eastAsia="Baskerville Old Face" w:cs="Times New Roman"/>
          <w:lang w:val="en-GB"/>
        </w:rPr>
        <w:t xml:space="preserve">speaks of </w:t>
      </w:r>
      <w:r w:rsidR="00780C0F" w:rsidRPr="009C5998">
        <w:rPr>
          <w:rFonts w:eastAsia="Baskerville Old Face" w:cs="Times New Roman"/>
          <w:lang w:val="en-GB"/>
        </w:rPr>
        <w:t>‘</w:t>
      </w:r>
      <w:r w:rsidRPr="009C5998">
        <w:rPr>
          <w:rFonts w:eastAsia="Baskerville Old Face" w:cs="Times New Roman"/>
          <w:lang w:val="en-GB"/>
        </w:rPr>
        <w:t xml:space="preserve">other </w:t>
      </w:r>
      <w:r w:rsidR="00780C0F" w:rsidRPr="009C5998">
        <w:rPr>
          <w:rFonts w:eastAsia="Baskerville Old Face" w:cs="Times New Roman"/>
          <w:lang w:val="en-GB"/>
        </w:rPr>
        <w:t>things’</w:t>
      </w:r>
      <w:r w:rsidRPr="009C5998">
        <w:rPr>
          <w:rFonts w:eastAsia="Baskerville Old Face" w:cs="Times New Roman"/>
          <w:lang w:val="en-GB"/>
        </w:rPr>
        <w:t xml:space="preserve"> </w:t>
      </w:r>
      <w:r w:rsidR="00780C0F" w:rsidRPr="009C5998">
        <w:rPr>
          <w:rFonts w:eastAsia="Baskerville Old Face" w:cs="Times New Roman"/>
          <w:lang w:val="en-GB"/>
        </w:rPr>
        <w:t xml:space="preserve">under the class of ‘beings of the understanding’ </w:t>
      </w:r>
      <w:r w:rsidRPr="009C5998">
        <w:rPr>
          <w:rFonts w:eastAsia="Baskerville Old Face" w:cs="Times New Roman"/>
          <w:lang w:val="en-GB"/>
        </w:rPr>
        <w:t xml:space="preserve">in the text (B306) cited above. </w:t>
      </w:r>
      <w:r w:rsidR="00780C0F" w:rsidRPr="009C5998">
        <w:rPr>
          <w:rFonts w:eastAsia="Baskerville Old Face" w:cs="Times New Roman"/>
          <w:lang w:val="en-GB"/>
        </w:rPr>
        <w:t xml:space="preserve">How could the consideration of such ThIs ‘which are not objects of our senses at all’ be justified? </w:t>
      </w:r>
      <w:r w:rsidR="00465E3D" w:rsidRPr="009C5998">
        <w:rPr>
          <w:rFonts w:eastAsia="Baskerville Old Face" w:cs="Times New Roman"/>
          <w:lang w:val="en-GB"/>
        </w:rPr>
        <w:t>The answer is straightforward: o</w:t>
      </w:r>
      <w:r w:rsidR="00780C0F" w:rsidRPr="009C5998">
        <w:rPr>
          <w:rFonts w:eastAsia="Baskerville Old Face" w:cs="Times New Roman"/>
          <w:lang w:val="en-GB"/>
        </w:rPr>
        <w:t xml:space="preserve">nce we allow for ThIs that exist, and of which we have access to their appearances in space and time, there is no further difficulty in thinking of other ThIs which might not so appear. </w:t>
      </w:r>
      <w:r w:rsidR="00D17FAD" w:rsidRPr="009C5998">
        <w:rPr>
          <w:rFonts w:eastAsia="Baskerville Old Face" w:cs="Times New Roman"/>
          <w:lang w:val="en-GB"/>
        </w:rPr>
        <w:t xml:space="preserve">As he clarifies further, ‘there may even be beings of the understanding to which our sensible faculty of intuition has no </w:t>
      </w:r>
      <w:r w:rsidR="00EB64FD" w:rsidRPr="009C5998">
        <w:rPr>
          <w:rFonts w:eastAsia="Baskerville Old Face" w:cs="Times New Roman"/>
          <w:lang w:val="en-GB"/>
        </w:rPr>
        <w:t>relation at all’ (B308-9)</w:t>
      </w:r>
      <w:r w:rsidR="00780C0F" w:rsidRPr="009C5998">
        <w:rPr>
          <w:rFonts w:eastAsia="Baskerville Old Face" w:cs="Times New Roman"/>
          <w:lang w:val="en-GB"/>
        </w:rPr>
        <w:t xml:space="preserve">. To invoke a two-world theory for these </w:t>
      </w:r>
      <w:r w:rsidR="00EB64FD" w:rsidRPr="009C5998">
        <w:rPr>
          <w:rFonts w:eastAsia="Baskerville Old Face" w:cs="Times New Roman"/>
          <w:lang w:val="en-GB"/>
        </w:rPr>
        <w:t>logically possible</w:t>
      </w:r>
      <w:r w:rsidR="00780C0F" w:rsidRPr="009C5998">
        <w:rPr>
          <w:rFonts w:eastAsia="Baskerville Old Face" w:cs="Times New Roman"/>
          <w:lang w:val="en-GB"/>
        </w:rPr>
        <w:t xml:space="preserve"> ThIs would be an option</w:t>
      </w:r>
      <w:r w:rsidR="00465E3D" w:rsidRPr="009C5998">
        <w:rPr>
          <w:rFonts w:eastAsia="Baskerville Old Face" w:cs="Times New Roman"/>
          <w:lang w:val="en-GB"/>
        </w:rPr>
        <w:t xml:space="preserve">, but it would </w:t>
      </w:r>
      <w:r w:rsidR="00780C0F" w:rsidRPr="009C5998">
        <w:rPr>
          <w:rFonts w:eastAsia="Baskerville Old Face" w:cs="Times New Roman"/>
          <w:lang w:val="en-GB"/>
        </w:rPr>
        <w:t>distinguish between ThIs</w:t>
      </w:r>
      <w:r w:rsidR="00465E3D" w:rsidRPr="009C5998">
        <w:rPr>
          <w:rFonts w:eastAsia="Baskerville Old Face" w:cs="Times New Roman"/>
          <w:lang w:val="en-GB"/>
        </w:rPr>
        <w:t xml:space="preserve"> that</w:t>
      </w:r>
      <w:r w:rsidR="00780C0F" w:rsidRPr="009C5998">
        <w:rPr>
          <w:rFonts w:eastAsia="Baskerville Old Face" w:cs="Times New Roman"/>
          <w:lang w:val="en-GB"/>
        </w:rPr>
        <w:t xml:space="preserve"> appear and those which do not</w:t>
      </w:r>
      <w:r w:rsidR="00465E3D" w:rsidRPr="009C5998">
        <w:rPr>
          <w:rFonts w:eastAsia="Baskerville Old Face" w:cs="Times New Roman"/>
          <w:lang w:val="en-GB"/>
        </w:rPr>
        <w:t xml:space="preserve">, </w:t>
      </w:r>
      <w:r w:rsidR="00EB64FD" w:rsidRPr="009C5998">
        <w:rPr>
          <w:rFonts w:eastAsia="Baskerville Old Face" w:cs="Times New Roman"/>
          <w:lang w:val="en-GB"/>
        </w:rPr>
        <w:t>not</w:t>
      </w:r>
      <w:r w:rsidR="00465E3D" w:rsidRPr="009C5998">
        <w:rPr>
          <w:rFonts w:eastAsia="Baskerville Old Face" w:cs="Times New Roman"/>
          <w:lang w:val="en-GB"/>
        </w:rPr>
        <w:t xml:space="preserve"> between ThIs and appearances</w:t>
      </w:r>
      <w:r w:rsidR="00780C0F" w:rsidRPr="009C5998">
        <w:rPr>
          <w:rFonts w:eastAsia="Baskerville Old Face" w:cs="Times New Roman"/>
          <w:lang w:val="en-GB"/>
        </w:rPr>
        <w:t>.</w:t>
      </w:r>
      <w:r w:rsidRPr="009C5998">
        <w:rPr>
          <w:rFonts w:eastAsia="Baskerville Old Face" w:cs="Times New Roman"/>
          <w:lang w:val="en-GB"/>
        </w:rPr>
        <w:t xml:space="preserve"> </w:t>
      </w:r>
    </w:p>
    <w:p w14:paraId="31E07D3D" w14:textId="029AA7FC" w:rsidR="00CA37AC" w:rsidRPr="00901601" w:rsidRDefault="00901601" w:rsidP="00901601">
      <w:pPr>
        <w:pStyle w:val="BodyA"/>
        <w:spacing w:after="240"/>
        <w:rPr>
          <w:rFonts w:eastAsia="Baskerville Old Face" w:cs="Times New Roman"/>
          <w:b/>
          <w:bCs/>
          <w:lang w:val="en-GB"/>
        </w:rPr>
      </w:pPr>
      <w:r w:rsidRPr="00901601">
        <w:rPr>
          <w:rFonts w:eastAsia="Baskerville Old Face" w:cs="Times New Roman"/>
          <w:b/>
          <w:bCs/>
          <w:lang w:val="en-GB"/>
        </w:rPr>
        <w:t>3.</w:t>
      </w:r>
      <w:r w:rsidR="00CA37AC" w:rsidRPr="00901601">
        <w:rPr>
          <w:rFonts w:eastAsia="Baskerville Old Face" w:cs="Times New Roman"/>
          <w:b/>
          <w:bCs/>
          <w:lang w:val="en-GB"/>
        </w:rPr>
        <w:t xml:space="preserve"> Negative and </w:t>
      </w:r>
      <w:r w:rsidRPr="00901601">
        <w:rPr>
          <w:rFonts w:eastAsia="Baskerville Old Face" w:cs="Times New Roman"/>
          <w:b/>
          <w:bCs/>
          <w:lang w:val="en-GB"/>
        </w:rPr>
        <w:t>P</w:t>
      </w:r>
      <w:r w:rsidR="00CA37AC" w:rsidRPr="00901601">
        <w:rPr>
          <w:rFonts w:eastAsia="Baskerville Old Face" w:cs="Times New Roman"/>
          <w:b/>
          <w:bCs/>
          <w:lang w:val="en-GB"/>
        </w:rPr>
        <w:t xml:space="preserve">ositive Noumena: </w:t>
      </w:r>
      <w:r w:rsidRPr="00901601">
        <w:rPr>
          <w:rFonts w:eastAsia="Baskerville Old Face" w:cs="Times New Roman"/>
          <w:b/>
          <w:bCs/>
          <w:lang w:val="en-GB"/>
        </w:rPr>
        <w:t>T</w:t>
      </w:r>
      <w:r w:rsidR="00CA37AC" w:rsidRPr="00901601">
        <w:rPr>
          <w:rFonts w:eastAsia="Baskerville Old Face" w:cs="Times New Roman"/>
          <w:b/>
          <w:bCs/>
          <w:lang w:val="en-GB"/>
        </w:rPr>
        <w:t xml:space="preserve">wo </w:t>
      </w:r>
      <w:r w:rsidRPr="00901601">
        <w:rPr>
          <w:rFonts w:eastAsia="Baskerville Old Face" w:cs="Times New Roman"/>
          <w:b/>
          <w:bCs/>
          <w:lang w:val="en-GB"/>
        </w:rPr>
        <w:t>P</w:t>
      </w:r>
      <w:r w:rsidR="00CA37AC" w:rsidRPr="00901601">
        <w:rPr>
          <w:rFonts w:eastAsia="Baskerville Old Face" w:cs="Times New Roman"/>
          <w:b/>
          <w:bCs/>
          <w:lang w:val="en-GB"/>
        </w:rPr>
        <w:t>erspectives</w:t>
      </w:r>
    </w:p>
    <w:p w14:paraId="0C3148BB" w14:textId="34651B85" w:rsidR="00CA37AC" w:rsidRPr="009C5998" w:rsidRDefault="00CA37AC" w:rsidP="00901601">
      <w:pPr>
        <w:pStyle w:val="BodyA"/>
        <w:spacing w:after="240"/>
        <w:rPr>
          <w:rFonts w:eastAsia="Baskerville Old Face" w:cs="Times New Roman"/>
          <w:i/>
          <w:iCs/>
          <w:lang w:val="en-GB"/>
        </w:rPr>
      </w:pPr>
      <w:r w:rsidRPr="009C5998">
        <w:rPr>
          <w:rFonts w:eastAsia="Baskerville Old Face" w:cs="Times New Roman"/>
          <w:i/>
          <w:iCs/>
          <w:lang w:val="en-GB"/>
        </w:rPr>
        <w:t>The issue of our cognitive perspective</w:t>
      </w:r>
    </w:p>
    <w:p w14:paraId="0F8BA1E0" w14:textId="430AF21C" w:rsidR="00AE15C6"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In what we have so far examined in the </w:t>
      </w:r>
      <w:r w:rsidR="00B811A5">
        <w:rPr>
          <w:rFonts w:eastAsia="Baskerville Old Face" w:cs="Times New Roman"/>
          <w:lang w:val="en-GB"/>
        </w:rPr>
        <w:t xml:space="preserve">PN </w:t>
      </w:r>
      <w:r w:rsidRPr="009C5998">
        <w:rPr>
          <w:rFonts w:eastAsia="Baskerville Old Face" w:cs="Times New Roman"/>
          <w:lang w:val="en-GB"/>
        </w:rPr>
        <w:t xml:space="preserve">chapter , the ThI has been considered in terms of </w:t>
      </w:r>
      <w:r w:rsidRPr="009C5998">
        <w:rPr>
          <w:rFonts w:eastAsia="Baskerville Old Face" w:cs="Times New Roman"/>
          <w:i/>
          <w:iCs/>
          <w:lang w:val="en-GB"/>
        </w:rPr>
        <w:t>our</w:t>
      </w:r>
      <w:r w:rsidRPr="009C5998">
        <w:rPr>
          <w:rFonts w:eastAsia="Baskerville Old Face" w:cs="Times New Roman"/>
          <w:lang w:val="en-GB"/>
        </w:rPr>
        <w:t xml:space="preserve"> faculty of understanding.</w:t>
      </w:r>
      <w:r w:rsidR="00780C0F" w:rsidRPr="009C5998">
        <w:rPr>
          <w:rFonts w:eastAsia="Baskerville Old Face" w:cs="Times New Roman"/>
          <w:lang w:val="en-GB"/>
        </w:rPr>
        <w:t xml:space="preserve"> The distinction between two aspects </w:t>
      </w:r>
      <w:r w:rsidR="009616BE" w:rsidRPr="009C5998">
        <w:rPr>
          <w:rFonts w:eastAsia="Baskerville Old Face" w:cs="Times New Roman"/>
          <w:lang w:val="en-GB"/>
        </w:rPr>
        <w:t>is</w:t>
      </w:r>
      <w:r w:rsidR="00780C0F" w:rsidRPr="009C5998">
        <w:rPr>
          <w:rFonts w:eastAsia="Baskerville Old Face" w:cs="Times New Roman"/>
          <w:lang w:val="en-GB"/>
        </w:rPr>
        <w:t xml:space="preserve"> that between what we know through sensible intuition and that which we can think about in abstraction from this intuition.</w:t>
      </w:r>
      <w:r w:rsidRPr="009C5998">
        <w:rPr>
          <w:rFonts w:eastAsia="Baskerville Old Face" w:cs="Times New Roman"/>
          <w:lang w:val="en-GB"/>
        </w:rPr>
        <w:t xml:space="preserve"> </w:t>
      </w:r>
      <w:r w:rsidR="00AE15C6" w:rsidRPr="009C5998">
        <w:rPr>
          <w:rFonts w:eastAsia="Baskerville Old Face" w:cs="Times New Roman"/>
          <w:lang w:val="en-GB"/>
        </w:rPr>
        <w:t xml:space="preserve">The latter amounts to considering the </w:t>
      </w:r>
      <w:r w:rsidRPr="009C5998">
        <w:rPr>
          <w:rFonts w:eastAsia="Baskerville Old Face" w:cs="Times New Roman"/>
          <w:iCs/>
          <w:lang w:val="en-GB"/>
        </w:rPr>
        <w:t>ThI qua object of thought for our understanding</w:t>
      </w:r>
      <w:r w:rsidR="00780C0F" w:rsidRPr="009C5998">
        <w:rPr>
          <w:rFonts w:eastAsia="Baskerville Old Face" w:cs="Times New Roman"/>
          <w:iCs/>
          <w:lang w:val="en-GB"/>
        </w:rPr>
        <w:t>,</w:t>
      </w:r>
      <w:r w:rsidRPr="009C5998">
        <w:rPr>
          <w:rFonts w:eastAsia="Baskerville Old Face" w:cs="Times New Roman"/>
          <w:iCs/>
          <w:lang w:val="en-GB"/>
        </w:rPr>
        <w:t xml:space="preserve"> whose existence </w:t>
      </w:r>
      <w:r w:rsidR="00780C0F" w:rsidRPr="009C5998">
        <w:rPr>
          <w:rFonts w:eastAsia="Baskerville Old Face" w:cs="Times New Roman"/>
          <w:iCs/>
          <w:lang w:val="en-GB"/>
        </w:rPr>
        <w:t>has</w:t>
      </w:r>
      <w:r w:rsidRPr="009C5998">
        <w:rPr>
          <w:rFonts w:eastAsia="Baskerville Old Face" w:cs="Times New Roman"/>
          <w:iCs/>
          <w:lang w:val="en-GB"/>
        </w:rPr>
        <w:t xml:space="preserve"> a grounding</w:t>
      </w:r>
      <w:r w:rsidR="00780C0F" w:rsidRPr="009C5998">
        <w:rPr>
          <w:rFonts w:eastAsia="Baskerville Old Face" w:cs="Times New Roman"/>
          <w:iCs/>
          <w:lang w:val="en-GB"/>
        </w:rPr>
        <w:t xml:space="preserve"> function</w:t>
      </w:r>
      <w:r w:rsidRPr="009C5998">
        <w:rPr>
          <w:rFonts w:eastAsia="Baskerville Old Face" w:cs="Times New Roman"/>
          <w:lang w:val="en-GB"/>
        </w:rPr>
        <w:t>.</w:t>
      </w:r>
      <w:r w:rsidR="00CC3F1C" w:rsidRPr="009C5998">
        <w:rPr>
          <w:rStyle w:val="EndnoteReference"/>
          <w:rFonts w:eastAsia="Baskerville Old Face" w:cs="Times New Roman"/>
          <w:lang w:val="en-GB"/>
        </w:rPr>
        <w:endnoteReference w:id="25"/>
      </w:r>
      <w:r w:rsidRPr="009C5998">
        <w:rPr>
          <w:rFonts w:eastAsia="Baskerville Old Face" w:cs="Times New Roman"/>
          <w:lang w:val="en-GB"/>
        </w:rPr>
        <w:t xml:space="preserve"> </w:t>
      </w:r>
    </w:p>
    <w:p w14:paraId="2F35217D" w14:textId="04EE2EDE" w:rsidR="00624D89" w:rsidRPr="009C5998" w:rsidRDefault="00780C0F"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Although this </w:t>
      </w:r>
      <w:r w:rsidR="00AE15C6" w:rsidRPr="009C5998">
        <w:rPr>
          <w:rFonts w:eastAsia="Baskerville Old Face" w:cs="Times New Roman"/>
          <w:lang w:val="en-GB"/>
        </w:rPr>
        <w:t xml:space="preserve">is an </w:t>
      </w:r>
      <w:r w:rsidRPr="009C5998">
        <w:rPr>
          <w:rFonts w:eastAsia="Baskerville Old Face" w:cs="Times New Roman"/>
          <w:lang w:val="en-GB"/>
        </w:rPr>
        <w:t xml:space="preserve">issue </w:t>
      </w:r>
      <w:r w:rsidR="00AE15C6" w:rsidRPr="009C5998">
        <w:rPr>
          <w:rFonts w:eastAsia="Baskerville Old Face" w:cs="Times New Roman"/>
          <w:lang w:val="en-GB"/>
        </w:rPr>
        <w:t xml:space="preserve">that </w:t>
      </w:r>
      <w:r w:rsidRPr="009C5998">
        <w:rPr>
          <w:rFonts w:eastAsia="Baskerville Old Face" w:cs="Times New Roman"/>
          <w:lang w:val="en-GB"/>
        </w:rPr>
        <w:t xml:space="preserve">is mostly overlooked in the literature, </w:t>
      </w:r>
      <w:r w:rsidR="00AE15C6" w:rsidRPr="009C5998">
        <w:rPr>
          <w:rFonts w:eastAsia="Baskerville Old Face" w:cs="Times New Roman"/>
          <w:lang w:val="en-GB"/>
        </w:rPr>
        <w:t xml:space="preserve">it is important to point out that </w:t>
      </w:r>
      <w:r w:rsidR="00F92DDD" w:rsidRPr="009C5998">
        <w:rPr>
          <w:rFonts w:eastAsia="Baskerville Old Face" w:cs="Times New Roman"/>
          <w:lang w:val="en-GB"/>
        </w:rPr>
        <w:t>i</w:t>
      </w:r>
      <w:r w:rsidRPr="009C5998">
        <w:rPr>
          <w:rFonts w:eastAsia="Baskerville Old Face" w:cs="Times New Roman"/>
          <w:lang w:val="en-GB"/>
        </w:rPr>
        <w:t>t</w:t>
      </w:r>
      <w:r w:rsidR="00CA37AC" w:rsidRPr="009C5998">
        <w:rPr>
          <w:rFonts w:eastAsia="Baskerville Old Face" w:cs="Times New Roman"/>
          <w:lang w:val="en-GB"/>
        </w:rPr>
        <w:t xml:space="preserve"> says nothing about </w:t>
      </w:r>
      <w:r w:rsidR="00CA37AC" w:rsidRPr="009C5998">
        <w:rPr>
          <w:rFonts w:eastAsia="Baskerville Old Face" w:cs="Times New Roman"/>
          <w:i/>
          <w:lang w:val="en-GB"/>
        </w:rPr>
        <w:t xml:space="preserve">how ThIs are </w:t>
      </w:r>
      <w:r w:rsidR="00CA37AC" w:rsidRPr="009C5998">
        <w:rPr>
          <w:rFonts w:eastAsia="Baskerville Old Face" w:cs="Times New Roman"/>
          <w:i/>
          <w:iCs/>
          <w:lang w:val="en-GB"/>
        </w:rPr>
        <w:t xml:space="preserve">qua </w:t>
      </w:r>
      <w:r w:rsidR="00CA37AC" w:rsidRPr="009C5998">
        <w:rPr>
          <w:rFonts w:eastAsia="Baskerville Old Face" w:cs="Times New Roman"/>
          <w:i/>
          <w:lang w:val="en-GB"/>
        </w:rPr>
        <w:t>ThIs</w:t>
      </w:r>
      <w:r w:rsidR="00CA37AC" w:rsidRPr="009C5998">
        <w:rPr>
          <w:rFonts w:eastAsia="Baskerville Old Face" w:cs="Times New Roman"/>
          <w:lang w:val="en-GB"/>
        </w:rPr>
        <w:t xml:space="preserve">, i.e. </w:t>
      </w:r>
      <w:r w:rsidR="00CA37AC" w:rsidRPr="009C5998">
        <w:rPr>
          <w:rFonts w:eastAsia="Baskerville Old Face" w:cs="Times New Roman"/>
          <w:i/>
          <w:iCs/>
          <w:lang w:val="en-GB"/>
        </w:rPr>
        <w:t>how these things are in themselves</w:t>
      </w:r>
      <w:r w:rsidR="00AE15C6" w:rsidRPr="009C5998">
        <w:rPr>
          <w:rFonts w:eastAsia="Baskerville Old Face" w:cs="Times New Roman"/>
          <w:iCs/>
          <w:lang w:val="en-GB"/>
        </w:rPr>
        <w:t xml:space="preserve">. Indeed, </w:t>
      </w:r>
      <w:r w:rsidR="00CA37AC" w:rsidRPr="009C5998">
        <w:rPr>
          <w:rFonts w:eastAsia="Baskerville Old Face" w:cs="Times New Roman"/>
          <w:lang w:val="en-GB"/>
        </w:rPr>
        <w:t xml:space="preserve">the dual-aspect position I have outlined is only meant to account for </w:t>
      </w:r>
      <w:r w:rsidR="00CA37AC" w:rsidRPr="009C5998">
        <w:rPr>
          <w:rFonts w:eastAsia="Baskerville Old Face" w:cs="Times New Roman"/>
          <w:i/>
          <w:iCs/>
          <w:lang w:val="en-GB"/>
        </w:rPr>
        <w:t>the relation of ThIs to appearances</w:t>
      </w:r>
      <w:r w:rsidR="00CA37AC" w:rsidRPr="009C5998">
        <w:rPr>
          <w:rFonts w:eastAsia="Baskerville Old Face" w:cs="Times New Roman"/>
          <w:lang w:val="en-GB"/>
        </w:rPr>
        <w:t xml:space="preserve">, a relation that is defined by (and indeed only makes sense from) </w:t>
      </w:r>
      <w:r w:rsidR="00CA37AC" w:rsidRPr="009C5998">
        <w:rPr>
          <w:rFonts w:eastAsia="Baskerville Old Face" w:cs="Times New Roman"/>
          <w:i/>
          <w:lang w:val="en-GB"/>
        </w:rPr>
        <w:t>the perspective of human cognition</w:t>
      </w:r>
      <w:r w:rsidR="00CA37AC" w:rsidRPr="009C5998">
        <w:rPr>
          <w:rFonts w:eastAsia="Baskerville Old Face" w:cs="Times New Roman"/>
          <w:lang w:val="en-GB"/>
        </w:rPr>
        <w:t xml:space="preserve">. </w:t>
      </w:r>
      <w:r w:rsidR="006A55D0" w:rsidRPr="009C5998">
        <w:rPr>
          <w:rFonts w:eastAsia="Baskerville Old Face" w:cs="Times New Roman"/>
          <w:lang w:val="en-GB"/>
        </w:rPr>
        <w:t xml:space="preserve">This follows from </w:t>
      </w:r>
      <w:r w:rsidR="00A17EF2" w:rsidRPr="009C5998">
        <w:rPr>
          <w:rFonts w:eastAsia="Baskerville Old Face" w:cs="Times New Roman"/>
          <w:lang w:val="en-GB"/>
        </w:rPr>
        <w:t xml:space="preserve">the fact that the ThI </w:t>
      </w:r>
      <w:r w:rsidR="00A17EF2" w:rsidRPr="009C5998">
        <w:rPr>
          <w:rFonts w:eastAsia="Baskerville Old Face" w:cs="Times New Roman"/>
          <w:i/>
          <w:lang w:val="en-GB"/>
        </w:rPr>
        <w:t xml:space="preserve">qua </w:t>
      </w:r>
      <w:r w:rsidR="00A17EF2" w:rsidRPr="009C5998">
        <w:rPr>
          <w:rFonts w:eastAsia="Baskerville Old Face" w:cs="Times New Roman"/>
          <w:lang w:val="en-GB"/>
        </w:rPr>
        <w:t xml:space="preserve">object of thought is thereby considered in terms of the categories of our discursive cognition. It is therefore thought in relation to a set of universal concepts, the categories, and not as the particular that it is. </w:t>
      </w:r>
    </w:p>
    <w:p w14:paraId="59BFF0EB" w14:textId="799E959C" w:rsidR="00CA37AC" w:rsidRPr="009C5998" w:rsidRDefault="00624D89" w:rsidP="00A767F9">
      <w:pPr>
        <w:pStyle w:val="BodyA"/>
        <w:spacing w:after="240" w:line="480" w:lineRule="auto"/>
        <w:rPr>
          <w:rFonts w:eastAsia="Baskerville Old Face" w:cs="Times New Roman"/>
          <w:lang w:val="en-GB"/>
        </w:rPr>
      </w:pPr>
      <w:r w:rsidRPr="009C5998">
        <w:rPr>
          <w:lang w:val="en-GB"/>
        </w:rPr>
        <w:t>To describe these as relational properties does not mean that only relational categories are involved. Rather it points to the fact that these are properties for a certain type of cognition, namely a discursive one that brings unity</w:t>
      </w:r>
      <w:r w:rsidR="004C3C62" w:rsidRPr="009C5998">
        <w:rPr>
          <w:lang w:val="en-GB"/>
        </w:rPr>
        <w:t xml:space="preserve"> </w:t>
      </w:r>
      <w:r w:rsidRPr="009C5998">
        <w:rPr>
          <w:lang w:val="en-GB"/>
        </w:rPr>
        <w:t xml:space="preserve">to a manifold. </w:t>
      </w:r>
      <w:r w:rsidR="004C3C62" w:rsidRPr="009C5998">
        <w:rPr>
          <w:lang w:val="en-GB"/>
        </w:rPr>
        <w:t xml:space="preserve">The constituents of the manifold are thereby related in a unity, i.e. related to one another and related to the thinking I. </w:t>
      </w:r>
      <w:r w:rsidR="008372F2" w:rsidRPr="009C5998">
        <w:rPr>
          <w:lang w:val="en-GB"/>
        </w:rPr>
        <w:t xml:space="preserve">In thinking the ThI, I abstract from the fact that no manifold is </w:t>
      </w:r>
      <w:r w:rsidR="008372F2" w:rsidRPr="009C5998">
        <w:rPr>
          <w:i/>
          <w:lang w:val="en-GB"/>
        </w:rPr>
        <w:t>actually</w:t>
      </w:r>
      <w:r w:rsidR="008372F2" w:rsidRPr="009C5998">
        <w:rPr>
          <w:lang w:val="en-GB"/>
        </w:rPr>
        <w:t xml:space="preserve"> given, to consider how a manifold would be synthesi</w:t>
      </w:r>
      <w:r w:rsidR="00372EE8">
        <w:rPr>
          <w:lang w:val="en-GB"/>
        </w:rPr>
        <w:t>z</w:t>
      </w:r>
      <w:r w:rsidR="008372F2" w:rsidRPr="009C5998">
        <w:rPr>
          <w:lang w:val="en-GB"/>
        </w:rPr>
        <w:t xml:space="preserve">ed </w:t>
      </w:r>
      <w:r w:rsidRPr="009C5998">
        <w:rPr>
          <w:lang w:val="en-GB"/>
        </w:rPr>
        <w:t xml:space="preserve">under the </w:t>
      </w:r>
      <w:r w:rsidR="00A813B6" w:rsidRPr="009C5998">
        <w:rPr>
          <w:lang w:val="en-GB"/>
        </w:rPr>
        <w:t xml:space="preserve">transcendental </w:t>
      </w:r>
      <w:r w:rsidRPr="009C5998">
        <w:rPr>
          <w:lang w:val="en-GB"/>
        </w:rPr>
        <w:t xml:space="preserve">unity of apperception, so </w:t>
      </w:r>
      <w:r w:rsidR="00A813B6" w:rsidRPr="009C5998">
        <w:rPr>
          <w:lang w:val="en-GB"/>
        </w:rPr>
        <w:t>the ThI is thereby thought in relation to</w:t>
      </w:r>
      <w:r w:rsidRPr="009C5998">
        <w:rPr>
          <w:lang w:val="en-GB"/>
        </w:rPr>
        <w:t xml:space="preserve"> a possible apperceiving subject</w:t>
      </w:r>
      <w:r w:rsidR="006C1BB7" w:rsidRPr="009C5998">
        <w:rPr>
          <w:lang w:val="en-GB"/>
        </w:rPr>
        <w:t xml:space="preserve"> (and its categories)</w:t>
      </w:r>
      <w:r w:rsidRPr="009C5998">
        <w:rPr>
          <w:lang w:val="en-GB"/>
        </w:rPr>
        <w:t>.</w:t>
      </w:r>
      <w:r w:rsidR="0023181B" w:rsidRPr="009C5998">
        <w:rPr>
          <w:lang w:val="en-GB"/>
        </w:rPr>
        <w:t xml:space="preserve"> </w:t>
      </w:r>
      <w:r w:rsidR="00CA37AC" w:rsidRPr="009C5998">
        <w:rPr>
          <w:rFonts w:eastAsia="Baskerville Old Face" w:cs="Times New Roman"/>
          <w:lang w:val="en-GB"/>
        </w:rPr>
        <w:t xml:space="preserve">This invites us therefore to consider </w:t>
      </w:r>
      <w:r w:rsidR="00CA37AC" w:rsidRPr="009C5998">
        <w:rPr>
          <w:rFonts w:eastAsia="Baskerville Old Face" w:cs="Times New Roman"/>
          <w:iCs/>
          <w:lang w:val="en-GB"/>
        </w:rPr>
        <w:t>whether there is another cognitive perspective</w:t>
      </w:r>
      <w:r w:rsidR="00CA37AC" w:rsidRPr="009C5998">
        <w:rPr>
          <w:rFonts w:eastAsia="Baskerville Old Face" w:cs="Times New Roman"/>
          <w:lang w:val="en-GB"/>
        </w:rPr>
        <w:t xml:space="preserve"> from which the intrinsic nature of ThIs could be thought.</w:t>
      </w:r>
      <w:r w:rsidR="00A612CA" w:rsidRPr="009C5998">
        <w:rPr>
          <w:rStyle w:val="EndnoteReference"/>
          <w:rFonts w:eastAsia="Baskerville Old Face" w:cs="Times New Roman"/>
          <w:lang w:val="en-GB"/>
        </w:rPr>
        <w:endnoteReference w:id="26"/>
      </w:r>
    </w:p>
    <w:p w14:paraId="2409BB79" w14:textId="40C0960D" w:rsidR="00CA37AC" w:rsidRPr="009C5998" w:rsidRDefault="00CA37AC" w:rsidP="0077688F">
      <w:pPr>
        <w:pStyle w:val="BodyA"/>
        <w:spacing w:after="240"/>
        <w:rPr>
          <w:rFonts w:eastAsia="Baskerville Old Face" w:cs="Times New Roman"/>
          <w:i/>
          <w:iCs/>
          <w:lang w:val="en-GB"/>
        </w:rPr>
      </w:pPr>
      <w:r w:rsidRPr="009C5998">
        <w:rPr>
          <w:rFonts w:eastAsia="Baskerville Old Face" w:cs="Times New Roman"/>
          <w:i/>
          <w:iCs/>
          <w:lang w:val="en-GB"/>
        </w:rPr>
        <w:t>Noumena in the negative and positive senses</w:t>
      </w:r>
    </w:p>
    <w:p w14:paraId="2469E51A" w14:textId="0DB6F216" w:rsidR="00CA37AC"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This is precisely what Kant does next in the PN chapter. </w:t>
      </w:r>
      <w:r w:rsidR="0016061A">
        <w:rPr>
          <w:rFonts w:eastAsia="Baskerville Old Face" w:cs="Times New Roman"/>
          <w:lang w:val="en-GB"/>
        </w:rPr>
        <w:t>He</w:t>
      </w:r>
      <w:r w:rsidR="0016061A" w:rsidRPr="009C5998">
        <w:rPr>
          <w:rFonts w:eastAsia="Baskerville Old Face" w:cs="Times New Roman"/>
          <w:lang w:val="en-GB"/>
        </w:rPr>
        <w:t xml:space="preserve"> </w:t>
      </w:r>
      <w:r w:rsidRPr="009C5998">
        <w:rPr>
          <w:rFonts w:eastAsia="Baskerville Old Face" w:cs="Times New Roman"/>
          <w:lang w:val="en-GB"/>
        </w:rPr>
        <w:t xml:space="preserve">accomplishes this in two steps which describe how the concept of a </w:t>
      </w:r>
      <w:r w:rsidRPr="009C5998">
        <w:rPr>
          <w:rFonts w:eastAsia="Baskerville Old Face" w:cs="Times New Roman"/>
          <w:i/>
          <w:iCs/>
          <w:lang w:val="en-GB"/>
        </w:rPr>
        <w:t>noumenon</w:t>
      </w:r>
      <w:r w:rsidRPr="009C5998">
        <w:rPr>
          <w:rFonts w:eastAsia="Baskerville Old Face" w:cs="Times New Roman"/>
          <w:lang w:val="en-GB"/>
        </w:rPr>
        <w:t xml:space="preserve"> arises. As we saw above, the noumenon is first defined </w:t>
      </w:r>
      <w:r w:rsidRPr="009C5998">
        <w:rPr>
          <w:rFonts w:eastAsia="Baskerville Old Face" w:cs="Times New Roman"/>
          <w:i/>
          <w:iCs/>
          <w:lang w:val="en-GB"/>
        </w:rPr>
        <w:t>negatively</w:t>
      </w:r>
      <w:r w:rsidRPr="009C5998">
        <w:rPr>
          <w:rFonts w:eastAsia="Baskerville Old Face" w:cs="Times New Roman"/>
          <w:lang w:val="en-GB"/>
        </w:rPr>
        <w:t xml:space="preserve"> </w:t>
      </w:r>
      <w:r w:rsidR="002C1CB9" w:rsidRPr="009C5998">
        <w:rPr>
          <w:rFonts w:eastAsia="Baskerville Old Face" w:cs="Times New Roman"/>
          <w:lang w:val="en-GB"/>
        </w:rPr>
        <w:t>by reference to</w:t>
      </w:r>
      <w:r w:rsidRPr="009C5998">
        <w:rPr>
          <w:rFonts w:eastAsia="Baskerville Old Face" w:cs="Times New Roman"/>
          <w:lang w:val="en-GB"/>
        </w:rPr>
        <w:t xml:space="preserve"> ‘the thinking of something in general, in which I abstract from all form of sensible intuition’ (A252). In that sense, </w:t>
      </w:r>
      <w:r w:rsidR="009B60AD" w:rsidRPr="009C5998">
        <w:rPr>
          <w:rFonts w:eastAsia="Baskerville Old Face" w:cs="Times New Roman"/>
          <w:lang w:val="en-GB"/>
        </w:rPr>
        <w:t xml:space="preserve">as noted earlier, </w:t>
      </w:r>
      <w:r w:rsidRPr="009C5998">
        <w:rPr>
          <w:rFonts w:eastAsia="Baskerville Old Face" w:cs="Times New Roman"/>
          <w:lang w:val="en-GB"/>
        </w:rPr>
        <w:t>it corresponds to the function of the concept of TO i.e. that of the ThI to which appearances refer</w:t>
      </w:r>
      <w:r w:rsidR="009B60AD" w:rsidRPr="009C5998">
        <w:rPr>
          <w:rFonts w:eastAsia="Baskerville Old Face" w:cs="Times New Roman"/>
          <w:lang w:val="en-GB"/>
        </w:rPr>
        <w:t>,</w:t>
      </w:r>
      <w:r w:rsidRPr="009C5998">
        <w:rPr>
          <w:rFonts w:eastAsia="Baskerville Old Face" w:cs="Times New Roman"/>
          <w:lang w:val="en-GB"/>
        </w:rPr>
        <w:t xml:space="preserve"> but </w:t>
      </w:r>
      <w:r w:rsidR="009B60AD" w:rsidRPr="009C5998">
        <w:rPr>
          <w:rFonts w:eastAsia="Baskerville Old Face" w:cs="Times New Roman"/>
          <w:lang w:val="en-GB"/>
        </w:rPr>
        <w:t xml:space="preserve">it </w:t>
      </w:r>
      <w:r w:rsidRPr="009C5998">
        <w:rPr>
          <w:rFonts w:eastAsia="Baskerville Old Face" w:cs="Times New Roman"/>
          <w:lang w:val="en-GB"/>
        </w:rPr>
        <w:t xml:space="preserve">sheds </w:t>
      </w:r>
      <w:r w:rsidR="000601BB" w:rsidRPr="009C5998">
        <w:rPr>
          <w:rFonts w:eastAsia="Baskerville Old Face" w:cs="Times New Roman"/>
          <w:lang w:val="en-GB"/>
        </w:rPr>
        <w:t xml:space="preserve">light upon </w:t>
      </w:r>
      <w:r w:rsidR="009B60AD" w:rsidRPr="009C5998">
        <w:rPr>
          <w:rFonts w:eastAsia="Baskerville Old Face" w:cs="Times New Roman"/>
          <w:lang w:val="en-GB"/>
        </w:rPr>
        <w:t xml:space="preserve">the TO’s role in the </w:t>
      </w:r>
      <w:r w:rsidRPr="009C5998">
        <w:rPr>
          <w:rFonts w:eastAsia="Baskerville Old Face" w:cs="Times New Roman"/>
          <w:lang w:val="en-GB"/>
        </w:rPr>
        <w:t>constitution of objectivity.</w:t>
      </w:r>
      <w:r w:rsidRPr="009C5998">
        <w:rPr>
          <w:rFonts w:eastAsia="Baskerville Old Face" w:cs="Times New Roman"/>
          <w:vertAlign w:val="superscript"/>
          <w:lang w:val="en-GB"/>
        </w:rPr>
        <w:endnoteReference w:id="27"/>
      </w:r>
      <w:r w:rsidRPr="009C5998">
        <w:rPr>
          <w:rFonts w:eastAsia="Baskerville Old Face" w:cs="Times New Roman"/>
          <w:lang w:val="en-GB"/>
        </w:rPr>
        <w:t xml:space="preserve"> Like the concept of TO, this concept does not </w:t>
      </w:r>
      <w:r w:rsidR="008B29CA">
        <w:rPr>
          <w:rFonts w:eastAsia="Baskerville Old Face" w:cs="Times New Roman"/>
          <w:lang w:val="en-GB"/>
        </w:rPr>
        <w:t>address</w:t>
      </w:r>
      <w:r w:rsidRPr="009C5998">
        <w:rPr>
          <w:rFonts w:eastAsia="Baskerville Old Face" w:cs="Times New Roman"/>
          <w:lang w:val="en-GB"/>
        </w:rPr>
        <w:t xml:space="preserve"> ThIs  qua ThIs.</w:t>
      </w:r>
      <w:r w:rsidRPr="009C5998">
        <w:rPr>
          <w:rFonts w:eastAsia="Baskerville Old Face" w:cs="Times New Roman"/>
          <w:vertAlign w:val="superscript"/>
          <w:lang w:val="en-GB"/>
        </w:rPr>
        <w:endnoteReference w:id="28"/>
      </w:r>
    </w:p>
    <w:p w14:paraId="597D4471" w14:textId="7FF9F9B8" w:rsidR="009616BE"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The concept of noumenon however takes on a </w:t>
      </w:r>
      <w:r w:rsidRPr="009C5998">
        <w:rPr>
          <w:rFonts w:eastAsia="Baskerville Old Face" w:cs="Times New Roman"/>
          <w:i/>
          <w:iCs/>
          <w:lang w:val="en-GB"/>
        </w:rPr>
        <w:t>positive</w:t>
      </w:r>
      <w:r w:rsidRPr="009C5998">
        <w:rPr>
          <w:rFonts w:eastAsia="Baskerville Old Face" w:cs="Times New Roman"/>
          <w:lang w:val="en-GB"/>
        </w:rPr>
        <w:t xml:space="preserve"> form which is clearly distinct from the TO (A253) and is defined as the object of another kind of understanding which cognises ‘its object not discursively through the categories, but intuitively in a non-sensible intuition’ (A256/B311-2 – see also B178). This is </w:t>
      </w:r>
      <w:r w:rsidR="00887ADA" w:rsidRPr="009C5998">
        <w:rPr>
          <w:rFonts w:eastAsia="Baskerville Old Face" w:cs="Times New Roman"/>
          <w:lang w:val="en-GB"/>
        </w:rPr>
        <w:t xml:space="preserve">now the shift of perspective needed to make sense of </w:t>
      </w:r>
      <w:r w:rsidR="006A19EC">
        <w:rPr>
          <w:rFonts w:eastAsia="Baskerville Old Face" w:cs="Times New Roman"/>
          <w:lang w:val="en-GB"/>
        </w:rPr>
        <w:t xml:space="preserve">reference to </w:t>
      </w:r>
      <w:r w:rsidRPr="009C5998">
        <w:rPr>
          <w:rFonts w:eastAsia="Baskerville Old Face" w:cs="Times New Roman"/>
          <w:lang w:val="en-GB"/>
        </w:rPr>
        <w:t>the ThI qua ThI</w:t>
      </w:r>
      <w:r w:rsidR="00887ADA" w:rsidRPr="009C5998">
        <w:rPr>
          <w:rFonts w:eastAsia="Baskerville Old Face" w:cs="Times New Roman"/>
          <w:lang w:val="en-GB"/>
        </w:rPr>
        <w:t>:</w:t>
      </w:r>
      <w:r w:rsidRPr="009C5998">
        <w:rPr>
          <w:rFonts w:eastAsia="Baskerville Old Face" w:cs="Times New Roman"/>
          <w:lang w:val="en-GB"/>
        </w:rPr>
        <w:t xml:space="preserve"> to </w:t>
      </w:r>
      <w:r w:rsidR="00887ADA" w:rsidRPr="009C5998">
        <w:rPr>
          <w:rFonts w:eastAsia="Baskerville Old Face" w:cs="Times New Roman"/>
          <w:lang w:val="en-GB"/>
        </w:rPr>
        <w:t xml:space="preserve">make sense of </w:t>
      </w:r>
      <w:r w:rsidR="006A19EC">
        <w:rPr>
          <w:rFonts w:eastAsia="Baskerville Old Face" w:cs="Times New Roman"/>
          <w:lang w:val="en-GB"/>
        </w:rPr>
        <w:t xml:space="preserve">talk about </w:t>
      </w:r>
      <w:r w:rsidRPr="009C5998">
        <w:rPr>
          <w:rFonts w:eastAsia="Baskerville Old Face" w:cs="Times New Roman"/>
          <w:lang w:val="en-GB"/>
        </w:rPr>
        <w:t>its intrinsic properties</w:t>
      </w:r>
      <w:r w:rsidR="00887ADA" w:rsidRPr="009C5998">
        <w:rPr>
          <w:rFonts w:eastAsia="Baskerville Old Face" w:cs="Times New Roman"/>
          <w:vertAlign w:val="superscript"/>
          <w:lang w:val="en-GB"/>
        </w:rPr>
        <w:endnoteReference w:id="29"/>
      </w:r>
      <w:r w:rsidR="00887ADA" w:rsidRPr="009C5998">
        <w:rPr>
          <w:rFonts w:eastAsia="Baskerville Old Face" w:cs="Times New Roman"/>
          <w:lang w:val="en-GB"/>
        </w:rPr>
        <w:t xml:space="preserve">, we must consider </w:t>
      </w:r>
      <w:r w:rsidR="00A371D0">
        <w:rPr>
          <w:rFonts w:eastAsia="Baskerville Old Face" w:cs="Times New Roman"/>
          <w:lang w:val="en-GB"/>
        </w:rPr>
        <w:t xml:space="preserve">the possibility of </w:t>
      </w:r>
      <w:r w:rsidR="00887ADA" w:rsidRPr="009C5998">
        <w:rPr>
          <w:rFonts w:eastAsia="Baskerville Old Face" w:cs="Times New Roman"/>
          <w:lang w:val="en-GB"/>
        </w:rPr>
        <w:t>an intuitive understanding</w:t>
      </w:r>
      <w:r w:rsidRPr="009C5998">
        <w:rPr>
          <w:rFonts w:eastAsia="Baskerville Old Face" w:cs="Times New Roman"/>
          <w:lang w:val="en-GB"/>
        </w:rPr>
        <w:t xml:space="preserve">. As Kant explains in the TD, ‘the categories would have no significance at all with regard to such a cognition’ (B145). </w:t>
      </w:r>
      <w:r w:rsidR="00887ADA" w:rsidRPr="009C5998">
        <w:rPr>
          <w:rFonts w:eastAsia="Baskerville Old Face" w:cs="Times New Roman"/>
          <w:lang w:val="en-GB"/>
        </w:rPr>
        <w:t xml:space="preserve">This is therefore </w:t>
      </w:r>
      <w:r w:rsidR="009B60AD" w:rsidRPr="009C5998">
        <w:rPr>
          <w:rFonts w:eastAsia="Baskerville Old Face" w:cs="Times New Roman"/>
          <w:lang w:val="en-GB"/>
        </w:rPr>
        <w:t>clearly</w:t>
      </w:r>
      <w:r w:rsidR="00887ADA" w:rsidRPr="009C5998">
        <w:rPr>
          <w:rFonts w:eastAsia="Baskerville Old Face" w:cs="Times New Roman"/>
          <w:lang w:val="en-GB"/>
        </w:rPr>
        <w:t xml:space="preserve"> </w:t>
      </w:r>
      <w:r w:rsidR="009B60AD" w:rsidRPr="009C5998">
        <w:rPr>
          <w:rFonts w:eastAsia="Baskerville Old Face" w:cs="Times New Roman"/>
          <w:lang w:val="en-GB"/>
        </w:rPr>
        <w:t>different</w:t>
      </w:r>
      <w:r w:rsidR="00887ADA" w:rsidRPr="009C5998">
        <w:rPr>
          <w:rFonts w:eastAsia="Baskerville Old Face" w:cs="Times New Roman"/>
          <w:lang w:val="en-GB"/>
        </w:rPr>
        <w:t xml:space="preserve"> from </w:t>
      </w:r>
      <w:r w:rsidR="009B60AD" w:rsidRPr="009C5998">
        <w:rPr>
          <w:rFonts w:eastAsia="Baskerville Old Face" w:cs="Times New Roman"/>
          <w:lang w:val="en-GB"/>
        </w:rPr>
        <w:t xml:space="preserve">the </w:t>
      </w:r>
      <w:r w:rsidR="00887ADA" w:rsidRPr="009C5998">
        <w:rPr>
          <w:rFonts w:eastAsia="Baskerville Old Face" w:cs="Times New Roman"/>
          <w:lang w:val="en-GB"/>
        </w:rPr>
        <w:t xml:space="preserve">conception of </w:t>
      </w:r>
      <w:r w:rsidR="009B60AD" w:rsidRPr="009C5998">
        <w:rPr>
          <w:rFonts w:eastAsia="Baskerville Old Face" w:cs="Times New Roman"/>
          <w:lang w:val="en-GB"/>
        </w:rPr>
        <w:t>the ThI</w:t>
      </w:r>
      <w:r w:rsidR="00887ADA" w:rsidRPr="009C5998">
        <w:rPr>
          <w:rFonts w:eastAsia="Baskerville Old Face" w:cs="Times New Roman"/>
          <w:lang w:val="en-GB"/>
        </w:rPr>
        <w:t xml:space="preserve"> as the </w:t>
      </w:r>
      <w:r w:rsidR="00EB4FA7" w:rsidRPr="009C5998">
        <w:rPr>
          <w:rFonts w:eastAsia="Baskerville Old Face" w:cs="Times New Roman"/>
          <w:lang w:val="en-GB"/>
        </w:rPr>
        <w:t xml:space="preserve">second (in-itself) </w:t>
      </w:r>
      <w:r w:rsidR="00887ADA" w:rsidRPr="009C5998">
        <w:rPr>
          <w:rFonts w:eastAsia="Baskerville Old Face" w:cs="Times New Roman"/>
          <w:lang w:val="en-GB"/>
        </w:rPr>
        <w:t xml:space="preserve">aspect of that which we </w:t>
      </w:r>
      <w:r w:rsidR="00EB4FA7" w:rsidRPr="009C5998">
        <w:rPr>
          <w:rFonts w:eastAsia="Baskerville Old Face" w:cs="Times New Roman"/>
          <w:lang w:val="en-GB"/>
        </w:rPr>
        <w:t>cogni</w:t>
      </w:r>
      <w:r w:rsidR="00D649D8">
        <w:rPr>
          <w:rFonts w:eastAsia="Baskerville Old Face" w:cs="Times New Roman"/>
          <w:lang w:val="en-GB"/>
        </w:rPr>
        <w:t>z</w:t>
      </w:r>
      <w:r w:rsidR="00EB4FA7" w:rsidRPr="009C5998">
        <w:rPr>
          <w:rFonts w:eastAsia="Baskerville Old Face" w:cs="Times New Roman"/>
          <w:lang w:val="en-GB"/>
        </w:rPr>
        <w:t>e through i</w:t>
      </w:r>
      <w:r w:rsidR="00FE5F48" w:rsidRPr="009C5998">
        <w:rPr>
          <w:rFonts w:eastAsia="Baskerville Old Face" w:cs="Times New Roman"/>
          <w:lang w:val="en-GB"/>
        </w:rPr>
        <w:t>t</w:t>
      </w:r>
      <w:r w:rsidR="00EB4FA7" w:rsidRPr="009C5998">
        <w:rPr>
          <w:rFonts w:eastAsia="Baskerville Old Face" w:cs="Times New Roman"/>
          <w:lang w:val="en-GB"/>
        </w:rPr>
        <w:t xml:space="preserve">s first aspect, </w:t>
      </w:r>
      <w:r w:rsidR="00887ADA" w:rsidRPr="009C5998">
        <w:rPr>
          <w:rFonts w:eastAsia="Baskerville Old Face" w:cs="Times New Roman"/>
          <w:lang w:val="en-GB"/>
        </w:rPr>
        <w:t>as empirical object</w:t>
      </w:r>
      <w:r w:rsidR="00EB6C8E">
        <w:rPr>
          <w:rFonts w:eastAsia="Baskerville Old Face" w:cs="Times New Roman"/>
          <w:lang w:val="en-GB"/>
        </w:rPr>
        <w:t>,</w:t>
      </w:r>
      <w:r w:rsidR="00F92DDD" w:rsidRPr="009C5998">
        <w:rPr>
          <w:rFonts w:eastAsia="Baskerville Old Face" w:cs="Times New Roman"/>
          <w:lang w:val="en-GB"/>
        </w:rPr>
        <w:t xml:space="preserve"> since, </w:t>
      </w:r>
      <w:r w:rsidR="00887ADA" w:rsidRPr="009C5998">
        <w:rPr>
          <w:rFonts w:eastAsia="Baskerville Old Face" w:cs="Times New Roman"/>
          <w:lang w:val="en-GB"/>
        </w:rPr>
        <w:t xml:space="preserve">as indicated earlier, we can think this </w:t>
      </w:r>
      <w:r w:rsidR="00EB4FA7" w:rsidRPr="009C5998">
        <w:rPr>
          <w:rFonts w:eastAsia="Baskerville Old Face" w:cs="Times New Roman"/>
          <w:lang w:val="en-GB"/>
        </w:rPr>
        <w:t xml:space="preserve">second </w:t>
      </w:r>
      <w:r w:rsidR="00887ADA" w:rsidRPr="009C5998">
        <w:rPr>
          <w:rFonts w:eastAsia="Baskerville Old Face" w:cs="Times New Roman"/>
          <w:lang w:val="en-GB"/>
        </w:rPr>
        <w:t xml:space="preserve">aspect </w:t>
      </w:r>
      <w:r w:rsidR="00EB4FA7" w:rsidRPr="009C5998">
        <w:rPr>
          <w:rFonts w:eastAsia="Baskerville Old Face" w:cs="Times New Roman"/>
          <w:lang w:val="en-GB"/>
        </w:rPr>
        <w:t xml:space="preserve">by making use of </w:t>
      </w:r>
      <w:r w:rsidR="00887ADA" w:rsidRPr="009C5998">
        <w:rPr>
          <w:rFonts w:eastAsia="Baskerville Old Face" w:cs="Times New Roman"/>
          <w:lang w:val="en-GB"/>
        </w:rPr>
        <w:t>the categories.</w:t>
      </w:r>
      <w:r w:rsidR="009D798A" w:rsidRPr="009C5998">
        <w:rPr>
          <w:rFonts w:eastAsia="Baskerville Old Face" w:cs="Times New Roman"/>
          <w:lang w:val="en-GB"/>
        </w:rPr>
        <w:t xml:space="preserve"> </w:t>
      </w:r>
    </w:p>
    <w:p w14:paraId="0D86EF9D" w14:textId="7C3D5F48" w:rsidR="00CA37AC"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From th</w:t>
      </w:r>
      <w:r w:rsidR="009D798A" w:rsidRPr="009C5998">
        <w:rPr>
          <w:rFonts w:eastAsia="Baskerville Old Face" w:cs="Times New Roman"/>
          <w:lang w:val="en-GB"/>
        </w:rPr>
        <w:t>e</w:t>
      </w:r>
      <w:r w:rsidRPr="009C5998">
        <w:rPr>
          <w:rFonts w:eastAsia="Baskerville Old Face" w:cs="Times New Roman"/>
          <w:lang w:val="en-GB"/>
        </w:rPr>
        <w:t xml:space="preserve"> perspective of an intuitive understanding, there is also no role for the object to be considered as having a sensible aspect: it is an object of an intellectual and thus non-sensible intuition which has a single aspect, namely the way it is </w:t>
      </w:r>
      <w:r w:rsidR="001F5B35" w:rsidRPr="009C5998">
        <w:rPr>
          <w:rFonts w:eastAsia="Baskerville Old Face" w:cs="Times New Roman"/>
          <w:lang w:val="en-GB"/>
        </w:rPr>
        <w:t>i</w:t>
      </w:r>
      <w:r w:rsidRPr="009C5998">
        <w:rPr>
          <w:rFonts w:eastAsia="Baskerville Old Face" w:cs="Times New Roman"/>
          <w:lang w:val="en-GB"/>
        </w:rPr>
        <w:t>n</w:t>
      </w:r>
      <w:r w:rsidR="001F5B35" w:rsidRPr="009C5998">
        <w:rPr>
          <w:rFonts w:eastAsia="Baskerville Old Face" w:cs="Times New Roman"/>
          <w:lang w:val="en-GB"/>
        </w:rPr>
        <w:t>-i</w:t>
      </w:r>
      <w:r w:rsidRPr="009C5998">
        <w:rPr>
          <w:rFonts w:eastAsia="Baskerville Old Face" w:cs="Times New Roman"/>
          <w:lang w:val="en-GB"/>
        </w:rPr>
        <w:t>tself for this intellectual intuition.</w:t>
      </w:r>
    </w:p>
    <w:p w14:paraId="1BD4B3AF" w14:textId="089BA691" w:rsidR="003757E4"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This perspective is of course entirely speculative, but nevertheless </w:t>
      </w:r>
      <w:r w:rsidR="002D17BB" w:rsidRPr="009C5998">
        <w:rPr>
          <w:rFonts w:eastAsia="Baskerville Old Face" w:cs="Times New Roman"/>
          <w:lang w:val="en-GB"/>
        </w:rPr>
        <w:t>‘</w:t>
      </w:r>
      <w:r w:rsidRPr="009C5998">
        <w:rPr>
          <w:rFonts w:eastAsia="Baskerville Old Face" w:cs="Times New Roman"/>
          <w:lang w:val="en-GB"/>
        </w:rPr>
        <w:t>unavoidable</w:t>
      </w:r>
      <w:r w:rsidR="002D17BB" w:rsidRPr="009C5998">
        <w:rPr>
          <w:rFonts w:eastAsia="Baskerville Old Face" w:cs="Times New Roman"/>
          <w:lang w:val="en-GB"/>
        </w:rPr>
        <w:t>’</w:t>
      </w:r>
      <w:r w:rsidRPr="009C5998">
        <w:rPr>
          <w:rFonts w:eastAsia="Baskerville Old Face" w:cs="Times New Roman"/>
          <w:lang w:val="en-GB"/>
        </w:rPr>
        <w:t xml:space="preserve"> (A311/B256) in the </w:t>
      </w:r>
      <w:r w:rsidR="009E17EF">
        <w:rPr>
          <w:rFonts w:eastAsia="Baskerville Old Face" w:cs="Times New Roman"/>
          <w:lang w:val="en-GB"/>
        </w:rPr>
        <w:t>C</w:t>
      </w:r>
      <w:r w:rsidRPr="009C5998">
        <w:rPr>
          <w:rFonts w:eastAsia="Baskerville Old Face" w:cs="Times New Roman"/>
          <w:lang w:val="en-GB"/>
        </w:rPr>
        <w:t>ritical system: it is by contrasting this perspective upon a ThI with that of our cognition that we express the sense in which the reality of appearances is a limitation of knowledge as compared with another (logically) possible type of knowledge of things.</w:t>
      </w:r>
      <w:r w:rsidRPr="009C5998">
        <w:rPr>
          <w:rFonts w:eastAsia="Baskerville Old Face" w:cs="Times New Roman"/>
          <w:vertAlign w:val="superscript"/>
          <w:lang w:val="en-GB"/>
        </w:rPr>
        <w:endnoteReference w:id="30"/>
      </w:r>
      <w:r w:rsidR="00D71746" w:rsidRPr="009C5998">
        <w:rPr>
          <w:rFonts w:eastAsia="Baskerville Old Face" w:cs="Times New Roman"/>
          <w:lang w:val="en-GB"/>
        </w:rPr>
        <w:t xml:space="preserve"> </w:t>
      </w:r>
    </w:p>
    <w:p w14:paraId="0E14FCD8" w14:textId="5BC58854" w:rsidR="00BF5FB6" w:rsidRPr="009C5998" w:rsidRDefault="00BF5FB6"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This </w:t>
      </w:r>
      <w:r w:rsidR="00F92DDD" w:rsidRPr="009C5998">
        <w:rPr>
          <w:rFonts w:eastAsia="Baskerville Old Face" w:cs="Times New Roman"/>
          <w:lang w:val="en-GB"/>
        </w:rPr>
        <w:t xml:space="preserve">last </w:t>
      </w:r>
      <w:r w:rsidRPr="009C5998">
        <w:rPr>
          <w:rFonts w:eastAsia="Baskerville Old Face" w:cs="Times New Roman"/>
          <w:lang w:val="en-GB"/>
        </w:rPr>
        <w:t>claim may seem to clash with the (correct) view that Kant already delimits our knowledge within the theory of judgement.</w:t>
      </w:r>
      <w:r w:rsidR="00DC0B71" w:rsidRPr="009C5998">
        <w:rPr>
          <w:rStyle w:val="EndnoteReference"/>
          <w:rFonts w:eastAsia="Baskerville Old Face" w:cs="Times New Roman"/>
          <w:lang w:val="en-GB"/>
        </w:rPr>
        <w:endnoteReference w:id="31"/>
      </w:r>
      <w:r w:rsidRPr="009C5998">
        <w:rPr>
          <w:rFonts w:eastAsia="Baskerville Old Face" w:cs="Times New Roman"/>
          <w:lang w:val="en-GB"/>
        </w:rPr>
        <w:t xml:space="preserve"> But these are two distinct ways of delimiting our cognition. In the theory of judgement (</w:t>
      </w:r>
      <w:r w:rsidR="00B3258D" w:rsidRPr="009C5998">
        <w:rPr>
          <w:rFonts w:eastAsia="Baskerville Old Face" w:cs="Times New Roman"/>
          <w:lang w:val="en-GB"/>
        </w:rPr>
        <w:t xml:space="preserve">to which Kant refers in PN at </w:t>
      </w:r>
      <w:r w:rsidRPr="009C5998">
        <w:rPr>
          <w:rFonts w:eastAsia="Baskerville Old Face" w:cs="Times New Roman"/>
          <w:lang w:val="en-GB"/>
        </w:rPr>
        <w:t xml:space="preserve">A248/B305), it is the distinction between two aspects that </w:t>
      </w:r>
      <w:r w:rsidR="00EB4FA7" w:rsidRPr="009C5998">
        <w:rPr>
          <w:rFonts w:eastAsia="Baskerville Old Face" w:cs="Times New Roman"/>
          <w:lang w:val="en-GB"/>
        </w:rPr>
        <w:t xml:space="preserve">is </w:t>
      </w:r>
      <w:r w:rsidRPr="009C5998">
        <w:rPr>
          <w:rFonts w:eastAsia="Baskerville Old Face" w:cs="Times New Roman"/>
          <w:lang w:val="en-GB"/>
        </w:rPr>
        <w:t xml:space="preserve">involved in delimiting </w:t>
      </w:r>
      <w:r w:rsidR="00D12DAB" w:rsidRPr="009C5998">
        <w:rPr>
          <w:rFonts w:eastAsia="Baskerville Old Face" w:cs="Times New Roman"/>
          <w:lang w:val="en-GB"/>
        </w:rPr>
        <w:t>what is possible knowledge for our understanding</w:t>
      </w:r>
      <w:r w:rsidR="004C3C62" w:rsidRPr="009C5998">
        <w:rPr>
          <w:rFonts w:eastAsia="Baskerville Old Face" w:cs="Times New Roman"/>
          <w:lang w:val="en-GB"/>
        </w:rPr>
        <w:t xml:space="preserve"> </w:t>
      </w:r>
      <w:r w:rsidR="001C5C34">
        <w:rPr>
          <w:rFonts w:eastAsia="Baskerville Old Face" w:cs="Times New Roman"/>
          <w:lang w:val="en-GB"/>
        </w:rPr>
        <w:t>–</w:t>
      </w:r>
      <w:r w:rsidR="004C3C62" w:rsidRPr="009C5998">
        <w:rPr>
          <w:rFonts w:eastAsia="Baskerville Old Face" w:cs="Times New Roman"/>
          <w:lang w:val="en-GB"/>
        </w:rPr>
        <w:t xml:space="preserve"> </w:t>
      </w:r>
      <w:r w:rsidR="00D12DAB" w:rsidRPr="009C5998">
        <w:rPr>
          <w:rFonts w:eastAsia="Baskerville Old Face" w:cs="Times New Roman"/>
          <w:lang w:val="en-GB"/>
        </w:rPr>
        <w:t>namely the result of applying it to sensible intuition</w:t>
      </w:r>
      <w:r w:rsidR="004C3C62" w:rsidRPr="009C5998">
        <w:rPr>
          <w:rFonts w:eastAsia="Baskerville Old Face" w:cs="Times New Roman"/>
          <w:lang w:val="en-GB"/>
        </w:rPr>
        <w:t xml:space="preserve"> </w:t>
      </w:r>
      <w:r w:rsidR="001C5C34">
        <w:rPr>
          <w:rFonts w:eastAsia="Baskerville Old Face" w:cs="Times New Roman"/>
          <w:lang w:val="en-GB"/>
        </w:rPr>
        <w:t>–</w:t>
      </w:r>
      <w:r w:rsidR="00D12DAB" w:rsidRPr="009C5998">
        <w:rPr>
          <w:rFonts w:eastAsia="Baskerville Old Face" w:cs="Times New Roman"/>
          <w:lang w:val="en-GB"/>
        </w:rPr>
        <w:t xml:space="preserve"> </w:t>
      </w:r>
      <w:r w:rsidR="001C5C34">
        <w:rPr>
          <w:rFonts w:eastAsia="Baskerville Old Face" w:cs="Times New Roman"/>
          <w:lang w:val="en-GB"/>
        </w:rPr>
        <w:t>f</w:t>
      </w:r>
      <w:r w:rsidR="00D12DAB" w:rsidRPr="009C5998">
        <w:rPr>
          <w:rFonts w:eastAsia="Baskerville Old Face" w:cs="Times New Roman"/>
          <w:lang w:val="en-GB"/>
        </w:rPr>
        <w:t xml:space="preserve">rom what is not, but can only be an object of thought because no sensible intuition is involved. </w:t>
      </w:r>
      <w:r w:rsidR="008A5158" w:rsidRPr="009C5998">
        <w:rPr>
          <w:rFonts w:eastAsia="Baskerville Old Face" w:cs="Times New Roman"/>
          <w:lang w:val="en-GB"/>
        </w:rPr>
        <w:t xml:space="preserve">This is a </w:t>
      </w:r>
      <w:r w:rsidRPr="009C5998">
        <w:rPr>
          <w:rFonts w:eastAsia="Baskerville Old Face" w:cs="Times New Roman"/>
          <w:lang w:val="en-GB"/>
        </w:rPr>
        <w:t xml:space="preserve">distinction </w:t>
      </w:r>
      <w:r w:rsidR="008A5158" w:rsidRPr="009C5998">
        <w:rPr>
          <w:rFonts w:eastAsia="Baskerville Old Face" w:cs="Times New Roman"/>
          <w:lang w:val="en-GB"/>
        </w:rPr>
        <w:t xml:space="preserve">in which our understanding is fixed and we consider the difference between what can be achieved </w:t>
      </w:r>
      <w:r w:rsidR="00D12DAB" w:rsidRPr="009C5998">
        <w:rPr>
          <w:rFonts w:eastAsia="Baskerville Old Face" w:cs="Times New Roman"/>
          <w:lang w:val="en-GB"/>
        </w:rPr>
        <w:t xml:space="preserve">cognitively </w:t>
      </w:r>
      <w:r w:rsidR="008A5158" w:rsidRPr="009C5998">
        <w:rPr>
          <w:rFonts w:eastAsia="Baskerville Old Face" w:cs="Times New Roman"/>
          <w:lang w:val="en-GB"/>
        </w:rPr>
        <w:t xml:space="preserve">with and without sensible intuition. </w:t>
      </w:r>
    </w:p>
    <w:p w14:paraId="6CA1675F" w14:textId="49EA05DD" w:rsidR="00515EF0" w:rsidRPr="009C5998" w:rsidRDefault="008A5158"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The </w:t>
      </w:r>
      <w:r w:rsidR="00BF5FB6" w:rsidRPr="009C5998">
        <w:rPr>
          <w:rFonts w:eastAsia="Baskerville Old Face" w:cs="Times New Roman"/>
          <w:lang w:val="en-GB"/>
        </w:rPr>
        <w:t xml:space="preserve">distinction </w:t>
      </w:r>
      <w:r w:rsidRPr="009C5998">
        <w:rPr>
          <w:rFonts w:eastAsia="Baskerville Old Face" w:cs="Times New Roman"/>
          <w:lang w:val="en-GB"/>
        </w:rPr>
        <w:t>between two perspectives</w:t>
      </w:r>
      <w:r w:rsidR="00B3258D" w:rsidRPr="009C5998">
        <w:rPr>
          <w:rFonts w:eastAsia="Baskerville Old Face" w:cs="Times New Roman"/>
          <w:lang w:val="en-GB"/>
        </w:rPr>
        <w:t>,</w:t>
      </w:r>
      <w:r w:rsidRPr="009C5998">
        <w:rPr>
          <w:rFonts w:eastAsia="Baskerville Old Face" w:cs="Times New Roman"/>
          <w:lang w:val="en-GB"/>
        </w:rPr>
        <w:t xml:space="preserve"> </w:t>
      </w:r>
      <w:r w:rsidR="00B3258D" w:rsidRPr="009C5998">
        <w:rPr>
          <w:rFonts w:eastAsia="Baskerville Old Face" w:cs="Times New Roman"/>
          <w:lang w:val="en-GB"/>
        </w:rPr>
        <w:t xml:space="preserve">on the other hand, </w:t>
      </w:r>
      <w:r w:rsidRPr="009C5998">
        <w:rPr>
          <w:rFonts w:eastAsia="Baskerville Old Face" w:cs="Times New Roman"/>
          <w:lang w:val="en-GB"/>
        </w:rPr>
        <w:t>involves considering another type of understanding (that is simultaneously intuitive)</w:t>
      </w:r>
      <w:r w:rsidR="00EE6EA7">
        <w:rPr>
          <w:rFonts w:eastAsia="Baskerville Old Face" w:cs="Times New Roman"/>
          <w:lang w:val="en-GB"/>
        </w:rPr>
        <w:t>,</w:t>
      </w:r>
      <w:r w:rsidRPr="009C5998">
        <w:rPr>
          <w:rFonts w:eastAsia="Baskerville Old Face" w:cs="Times New Roman"/>
          <w:lang w:val="en-GB"/>
        </w:rPr>
        <w:t xml:space="preserve"> </w:t>
      </w:r>
      <w:r w:rsidR="00D12DAB" w:rsidRPr="009C5998">
        <w:rPr>
          <w:rFonts w:eastAsia="Baskerville Old Face" w:cs="Times New Roman"/>
          <w:lang w:val="en-GB"/>
        </w:rPr>
        <w:t>which is ‘problematic’ (</w:t>
      </w:r>
      <w:r w:rsidR="005B21A2" w:rsidRPr="009C5998">
        <w:rPr>
          <w:rFonts w:eastAsia="Baskerville Old Face" w:cs="Times New Roman"/>
          <w:lang w:val="en-GB"/>
        </w:rPr>
        <w:t>A256/B311</w:t>
      </w:r>
      <w:r w:rsidR="00D12DAB" w:rsidRPr="009C5998">
        <w:rPr>
          <w:rFonts w:eastAsia="Baskerville Old Face" w:cs="Times New Roman"/>
          <w:lang w:val="en-GB"/>
        </w:rPr>
        <w:t>)</w:t>
      </w:r>
      <w:r w:rsidR="00857505" w:rsidRPr="009C5998">
        <w:rPr>
          <w:rFonts w:eastAsia="Baskerville Old Face" w:cs="Times New Roman"/>
          <w:lang w:val="en-GB"/>
        </w:rPr>
        <w:t>,</w:t>
      </w:r>
      <w:r w:rsidR="00D12DAB" w:rsidRPr="009C5998">
        <w:rPr>
          <w:rFonts w:eastAsia="Baskerville Old Face" w:cs="Times New Roman"/>
          <w:lang w:val="en-GB"/>
        </w:rPr>
        <w:t xml:space="preserve"> but </w:t>
      </w:r>
      <w:r w:rsidRPr="009C5998">
        <w:rPr>
          <w:rFonts w:eastAsia="Baskerville Old Face" w:cs="Times New Roman"/>
          <w:lang w:val="en-GB"/>
        </w:rPr>
        <w:t xml:space="preserve">has the function of </w:t>
      </w:r>
      <w:r w:rsidR="00D12DAB" w:rsidRPr="009C5998">
        <w:rPr>
          <w:rFonts w:eastAsia="Baskerville Old Face" w:cs="Times New Roman"/>
          <w:lang w:val="en-GB"/>
        </w:rPr>
        <w:t>defining the kind of knowledge that could be had by such an understanding</w:t>
      </w:r>
      <w:r w:rsidR="00857505" w:rsidRPr="009C5998">
        <w:rPr>
          <w:rFonts w:eastAsia="Baskerville Old Face" w:cs="Times New Roman"/>
          <w:lang w:val="en-GB"/>
        </w:rPr>
        <w:t xml:space="preserve">, namely knowledge of ThIs </w:t>
      </w:r>
      <w:r w:rsidR="00857505" w:rsidRPr="009C5998">
        <w:rPr>
          <w:rFonts w:eastAsia="Baskerville Old Face" w:cs="Times New Roman"/>
          <w:i/>
          <w:lang w:val="en-GB"/>
        </w:rPr>
        <w:t xml:space="preserve">qua </w:t>
      </w:r>
      <w:r w:rsidR="00857505" w:rsidRPr="009C5998">
        <w:rPr>
          <w:rFonts w:eastAsia="Baskerville Old Face" w:cs="Times New Roman"/>
          <w:lang w:val="en-GB"/>
        </w:rPr>
        <w:t xml:space="preserve">ThIs. </w:t>
      </w:r>
    </w:p>
    <w:p w14:paraId="4632E542" w14:textId="36B46479" w:rsidR="002D17BB" w:rsidRPr="009C5998" w:rsidRDefault="00857505"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The former </w:t>
      </w:r>
      <w:r w:rsidR="00DC0B71" w:rsidRPr="009C5998">
        <w:rPr>
          <w:rFonts w:eastAsia="Baskerville Old Face" w:cs="Times New Roman"/>
          <w:lang w:val="en-GB"/>
        </w:rPr>
        <w:t>distinction</w:t>
      </w:r>
      <w:r w:rsidRPr="009C5998">
        <w:rPr>
          <w:rFonts w:eastAsia="Baskerville Old Face" w:cs="Times New Roman"/>
          <w:lang w:val="en-GB"/>
        </w:rPr>
        <w:t xml:space="preserve"> shows the limitations of our knowledge of universal determinations of objects insofar as it requires sensible input</w:t>
      </w:r>
      <w:r w:rsidR="00D12DAB" w:rsidRPr="009C5998">
        <w:rPr>
          <w:rFonts w:eastAsia="Baskerville Old Face" w:cs="Times New Roman"/>
          <w:lang w:val="en-GB"/>
        </w:rPr>
        <w:t>.</w:t>
      </w:r>
      <w:r w:rsidR="00515EF0" w:rsidRPr="009C5998">
        <w:rPr>
          <w:rFonts w:eastAsia="Baskerville Old Face" w:cs="Times New Roman"/>
          <w:lang w:val="en-GB"/>
        </w:rPr>
        <w:t xml:space="preserve"> Without that input, we can only think the object under the categories. Both these aspects describe our </w:t>
      </w:r>
      <w:r w:rsidR="00271AB2" w:rsidRPr="009C5998">
        <w:rPr>
          <w:rFonts w:eastAsia="Baskerville Old Face" w:cs="Times New Roman"/>
          <w:lang w:val="en-GB"/>
        </w:rPr>
        <w:t xml:space="preserve">discursive </w:t>
      </w:r>
      <w:r w:rsidR="00515EF0" w:rsidRPr="009C5998">
        <w:rPr>
          <w:rFonts w:eastAsia="Baskerville Old Face" w:cs="Times New Roman"/>
          <w:lang w:val="en-GB"/>
        </w:rPr>
        <w:t xml:space="preserve">cognitive perspective: how </w:t>
      </w:r>
      <w:r w:rsidR="00767CDD" w:rsidRPr="009C5998">
        <w:rPr>
          <w:rFonts w:eastAsia="Baskerville Old Face" w:cs="Times New Roman"/>
          <w:lang w:val="en-GB"/>
        </w:rPr>
        <w:t>things</w:t>
      </w:r>
      <w:r w:rsidR="00515EF0" w:rsidRPr="009C5998">
        <w:rPr>
          <w:rFonts w:eastAsia="Baskerville Old Face" w:cs="Times New Roman"/>
          <w:lang w:val="en-GB"/>
        </w:rPr>
        <w:t xml:space="preserve"> appear in space-time (first aspect) and how their nature as ThI</w:t>
      </w:r>
      <w:r w:rsidR="00271AB2" w:rsidRPr="009C5998">
        <w:rPr>
          <w:rFonts w:eastAsia="Baskerville Old Face" w:cs="Times New Roman"/>
          <w:lang w:val="en-GB"/>
        </w:rPr>
        <w:t>s</w:t>
      </w:r>
      <w:r w:rsidR="00515EF0" w:rsidRPr="009C5998">
        <w:rPr>
          <w:rFonts w:eastAsia="Baskerville Old Face" w:cs="Times New Roman"/>
          <w:lang w:val="en-GB"/>
        </w:rPr>
        <w:t xml:space="preserve"> grounds these appearances (second aspect). </w:t>
      </w:r>
      <w:r w:rsidRPr="009C5998">
        <w:rPr>
          <w:rFonts w:eastAsia="Baskerville Old Face" w:cs="Times New Roman"/>
          <w:lang w:val="en-GB"/>
        </w:rPr>
        <w:t xml:space="preserve">The latter </w:t>
      </w:r>
      <w:r w:rsidR="00DC0B71" w:rsidRPr="009C5998">
        <w:rPr>
          <w:rFonts w:eastAsia="Baskerville Old Face" w:cs="Times New Roman"/>
          <w:lang w:val="en-GB"/>
        </w:rPr>
        <w:t>distinction</w:t>
      </w:r>
      <w:r w:rsidRPr="009C5998">
        <w:rPr>
          <w:rFonts w:eastAsia="Baskerville Old Face" w:cs="Times New Roman"/>
          <w:lang w:val="en-GB"/>
        </w:rPr>
        <w:t xml:space="preserve"> points to the kind of knowledge that could be had by a different kind of understanding which would know the ThI in its particularity.</w:t>
      </w:r>
    </w:p>
    <w:p w14:paraId="417F5890" w14:textId="4D7567A6" w:rsidR="00271AB2" w:rsidRPr="009C5998" w:rsidRDefault="00271AB2" w:rsidP="00A767F9">
      <w:pPr>
        <w:pStyle w:val="BodyA"/>
        <w:spacing w:after="240" w:line="480" w:lineRule="auto"/>
        <w:rPr>
          <w:rFonts w:eastAsia="Baskerville Old Face" w:cs="Times New Roman"/>
          <w:lang w:val="en-GB"/>
        </w:rPr>
      </w:pPr>
    </w:p>
    <w:p w14:paraId="2C163541" w14:textId="1956CF07" w:rsidR="00271AB2" w:rsidRPr="009C5998" w:rsidRDefault="00271AB2" w:rsidP="00FC60A1">
      <w:pPr>
        <w:pStyle w:val="BodyA"/>
        <w:spacing w:after="240"/>
        <w:rPr>
          <w:rFonts w:eastAsia="Baskerville Old Face" w:cs="Times New Roman"/>
          <w:i/>
          <w:lang w:val="en-GB"/>
        </w:rPr>
      </w:pPr>
      <w:r w:rsidRPr="009C5998">
        <w:rPr>
          <w:rFonts w:eastAsia="Baskerville Old Face" w:cs="Times New Roman"/>
          <w:i/>
          <w:lang w:val="en-GB"/>
        </w:rPr>
        <w:t>Intrinsic and extrinsic properties in a Kantian context</w:t>
      </w:r>
    </w:p>
    <w:p w14:paraId="379F9B53" w14:textId="75A1A824" w:rsidR="00835395" w:rsidRPr="009C5998" w:rsidRDefault="00515EF0" w:rsidP="00A767F9">
      <w:pPr>
        <w:pStyle w:val="BodyA"/>
        <w:spacing w:after="240" w:line="480" w:lineRule="auto"/>
        <w:rPr>
          <w:rFonts w:eastAsia="Baskerville Old Face" w:cs="Times New Roman"/>
          <w:lang w:val="en-GB"/>
        </w:rPr>
      </w:pPr>
      <w:r w:rsidRPr="009C5998">
        <w:rPr>
          <w:rFonts w:eastAsia="Baskerville Old Face" w:cs="Times New Roman"/>
          <w:lang w:val="en-GB"/>
        </w:rPr>
        <w:t>The</w:t>
      </w:r>
      <w:r w:rsidR="00271AB2" w:rsidRPr="009C5998">
        <w:rPr>
          <w:rFonts w:eastAsia="Baskerville Old Face" w:cs="Times New Roman"/>
          <w:lang w:val="en-GB"/>
        </w:rPr>
        <w:t>s</w:t>
      </w:r>
      <w:r w:rsidR="00DD7F33" w:rsidRPr="009C5998">
        <w:rPr>
          <w:rFonts w:eastAsia="Baskerville Old Face" w:cs="Times New Roman"/>
          <w:lang w:val="en-GB"/>
        </w:rPr>
        <w:t>e</w:t>
      </w:r>
      <w:r w:rsidRPr="009C5998">
        <w:rPr>
          <w:rFonts w:eastAsia="Baskerville Old Face" w:cs="Times New Roman"/>
          <w:lang w:val="en-GB"/>
        </w:rPr>
        <w:t xml:space="preserve"> two </w:t>
      </w:r>
      <w:r w:rsidR="00DC0B71" w:rsidRPr="009C5998">
        <w:rPr>
          <w:rFonts w:eastAsia="Baskerville Old Face" w:cs="Times New Roman"/>
          <w:lang w:val="en-GB"/>
        </w:rPr>
        <w:t>distinctions</w:t>
      </w:r>
      <w:r w:rsidRPr="009C5998">
        <w:rPr>
          <w:rFonts w:eastAsia="Baskerville Old Face" w:cs="Times New Roman"/>
          <w:lang w:val="en-GB"/>
        </w:rPr>
        <w:t xml:space="preserve"> suggest </w:t>
      </w:r>
      <w:r w:rsidR="00CA37AC" w:rsidRPr="009C5998">
        <w:rPr>
          <w:rFonts w:eastAsia="Baskerville Old Face" w:cs="Times New Roman"/>
          <w:lang w:val="en-GB"/>
        </w:rPr>
        <w:t>di</w:t>
      </w:r>
      <w:r w:rsidR="00DC0B71" w:rsidRPr="009C5998">
        <w:rPr>
          <w:rFonts w:eastAsia="Baskerville Old Face" w:cs="Times New Roman"/>
          <w:lang w:val="en-GB"/>
        </w:rPr>
        <w:t>fferentiati</w:t>
      </w:r>
      <w:r w:rsidR="001741F5">
        <w:rPr>
          <w:rFonts w:eastAsia="Baskerville Old Face" w:cs="Times New Roman"/>
          <w:lang w:val="en-GB"/>
        </w:rPr>
        <w:t>ng</w:t>
      </w:r>
      <w:r w:rsidR="00DC0B71" w:rsidRPr="009C5998">
        <w:rPr>
          <w:rFonts w:eastAsia="Baskerville Old Face" w:cs="Times New Roman"/>
          <w:lang w:val="en-GB"/>
        </w:rPr>
        <w:t xml:space="preserve"> </w:t>
      </w:r>
      <w:r w:rsidR="00CA37AC" w:rsidRPr="009C5998">
        <w:rPr>
          <w:rFonts w:eastAsia="Baskerville Old Face" w:cs="Times New Roman"/>
          <w:lang w:val="en-GB"/>
        </w:rPr>
        <w:t>between intrinsic</w:t>
      </w:r>
      <w:r w:rsidR="00CA37AC" w:rsidRPr="009C5998">
        <w:rPr>
          <w:rFonts w:eastAsia="Baskerville Old Face" w:cs="Times New Roman"/>
          <w:vertAlign w:val="superscript"/>
          <w:lang w:val="en-GB"/>
        </w:rPr>
        <w:t>K</w:t>
      </w:r>
      <w:r w:rsidR="00CA37AC" w:rsidRPr="009C5998">
        <w:rPr>
          <w:rFonts w:eastAsia="Baskerville Old Face" w:cs="Times New Roman"/>
          <w:lang w:val="en-GB"/>
        </w:rPr>
        <w:t xml:space="preserve"> and extrinsic</w:t>
      </w:r>
      <w:r w:rsidR="00CA37AC" w:rsidRPr="009C5998">
        <w:rPr>
          <w:rFonts w:eastAsia="Baskerville Old Face" w:cs="Times New Roman"/>
          <w:vertAlign w:val="superscript"/>
          <w:lang w:val="en-GB"/>
        </w:rPr>
        <w:t>K</w:t>
      </w:r>
      <w:r w:rsidR="00CA37AC" w:rsidRPr="009C5998">
        <w:rPr>
          <w:rFonts w:eastAsia="Baskerville Old Face" w:cs="Times New Roman"/>
          <w:lang w:val="en-GB"/>
        </w:rPr>
        <w:t xml:space="preserve"> properties</w:t>
      </w:r>
      <w:r w:rsidR="009616BE" w:rsidRPr="009C5998">
        <w:rPr>
          <w:rFonts w:eastAsia="Baskerville Old Face" w:cs="Times New Roman"/>
          <w:lang w:val="en-GB"/>
        </w:rPr>
        <w:t xml:space="preserve"> </w:t>
      </w:r>
      <w:r w:rsidR="00B05AA7" w:rsidRPr="009C5998">
        <w:rPr>
          <w:rFonts w:eastAsia="Baskerville Old Face" w:cs="Times New Roman"/>
          <w:lang w:val="en-GB"/>
        </w:rPr>
        <w:t xml:space="preserve">in </w:t>
      </w:r>
      <w:r w:rsidR="009616BE" w:rsidRPr="009C5998">
        <w:rPr>
          <w:rFonts w:eastAsia="Baskerville Old Face" w:cs="Times New Roman"/>
          <w:lang w:val="en-GB"/>
        </w:rPr>
        <w:t>a Kantian context</w:t>
      </w:r>
      <w:r w:rsidR="00CA37AC" w:rsidRPr="009C5998">
        <w:rPr>
          <w:rFonts w:eastAsia="Baskerville Old Face" w:cs="Times New Roman"/>
          <w:lang w:val="en-GB"/>
        </w:rPr>
        <w:t xml:space="preserve">. Unlike the transcendental realist use of the distinction </w:t>
      </w:r>
      <w:r w:rsidR="00271AB2" w:rsidRPr="009C5998">
        <w:rPr>
          <w:rFonts w:eastAsia="Baskerville Old Face" w:cs="Times New Roman"/>
          <w:lang w:val="en-GB"/>
        </w:rPr>
        <w:t xml:space="preserve">between ‘intrinsic’ and ‘extrinsic’, </w:t>
      </w:r>
      <w:r w:rsidR="00CA37AC" w:rsidRPr="009C5998">
        <w:rPr>
          <w:rFonts w:eastAsia="Baskerville Old Face" w:cs="Times New Roman"/>
          <w:lang w:val="en-GB"/>
        </w:rPr>
        <w:t xml:space="preserve">which assumes </w:t>
      </w:r>
      <w:r w:rsidR="001741F5">
        <w:rPr>
          <w:rFonts w:eastAsia="Baskerville Old Face" w:cs="Times New Roman"/>
          <w:lang w:val="en-GB"/>
        </w:rPr>
        <w:t>an</w:t>
      </w:r>
      <w:r w:rsidR="001741F5" w:rsidRPr="009C5998">
        <w:rPr>
          <w:rFonts w:eastAsia="Baskerville Old Face" w:cs="Times New Roman"/>
          <w:lang w:val="en-GB"/>
        </w:rPr>
        <w:t xml:space="preserve"> </w:t>
      </w:r>
      <w:r w:rsidR="002F5E01">
        <w:rPr>
          <w:rFonts w:eastAsia="Baskerville Old Face" w:cs="Times New Roman"/>
          <w:lang w:val="en-GB"/>
        </w:rPr>
        <w:t>‘</w:t>
      </w:r>
      <w:r w:rsidR="00CA37AC" w:rsidRPr="009C5998">
        <w:rPr>
          <w:rFonts w:eastAsia="Baskerville Old Face" w:cs="Times New Roman"/>
          <w:lang w:val="en-GB"/>
        </w:rPr>
        <w:t>ontological</w:t>
      </w:r>
      <w:r w:rsidR="002F5E01">
        <w:rPr>
          <w:rFonts w:eastAsia="Baskerville Old Face" w:cs="Times New Roman"/>
          <w:lang w:val="en-GB"/>
        </w:rPr>
        <w:t>’</w:t>
      </w:r>
      <w:r w:rsidR="00CA37AC" w:rsidRPr="009C5998">
        <w:rPr>
          <w:rFonts w:eastAsia="Baskerville Old Face" w:cs="Times New Roman"/>
          <w:lang w:val="en-GB"/>
        </w:rPr>
        <w:t xml:space="preserve"> view </w:t>
      </w:r>
      <w:r w:rsidR="00D969D0" w:rsidRPr="009C5998">
        <w:rPr>
          <w:rFonts w:eastAsia="Baskerville Old Face" w:cs="Times New Roman"/>
          <w:lang w:val="en-GB"/>
        </w:rPr>
        <w:t xml:space="preserve">from nowhere </w:t>
      </w:r>
      <w:r w:rsidR="00CA37AC" w:rsidRPr="009C5998">
        <w:rPr>
          <w:rFonts w:eastAsia="Baskerville Old Face" w:cs="Times New Roman"/>
          <w:lang w:val="en-GB"/>
        </w:rPr>
        <w:t>(e.g. Langton 1998), the Kantian version of these terms would involve distinguishing two perspectives upon things. These are, respectively</w:t>
      </w:r>
      <w:r w:rsidR="00271AB2" w:rsidRPr="009C5998">
        <w:rPr>
          <w:rFonts w:eastAsia="Baskerville Old Face" w:cs="Times New Roman"/>
          <w:lang w:val="en-GB"/>
        </w:rPr>
        <w:t>,</w:t>
      </w:r>
      <w:r w:rsidR="00CA37AC" w:rsidRPr="009C5998">
        <w:rPr>
          <w:rFonts w:eastAsia="Baskerville Old Face" w:cs="Times New Roman"/>
          <w:lang w:val="en-GB"/>
        </w:rPr>
        <w:t xml:space="preserve"> the perspective of an intuitive intellect that would grasp them as they are in themselves, i.e. their intrinsic</w:t>
      </w:r>
      <w:r w:rsidR="00CA37AC" w:rsidRPr="009C5998">
        <w:rPr>
          <w:rFonts w:eastAsia="Baskerville Old Face" w:cs="Times New Roman"/>
          <w:vertAlign w:val="superscript"/>
          <w:lang w:val="en-GB"/>
        </w:rPr>
        <w:t>K</w:t>
      </w:r>
      <w:r w:rsidR="00CA37AC" w:rsidRPr="009C5998">
        <w:rPr>
          <w:rFonts w:eastAsia="Baskerville Old Face" w:cs="Times New Roman"/>
          <w:lang w:val="en-GB"/>
        </w:rPr>
        <w:t xml:space="preserve"> properties, and that of a discursive intellect that </w:t>
      </w:r>
      <w:r w:rsidR="00271AB2" w:rsidRPr="009C5998">
        <w:rPr>
          <w:rFonts w:eastAsia="Baskerville Old Face" w:cs="Times New Roman"/>
          <w:lang w:val="en-GB"/>
        </w:rPr>
        <w:t>thinks and cogni</w:t>
      </w:r>
      <w:r w:rsidR="00D649D8">
        <w:rPr>
          <w:rFonts w:eastAsia="Baskerville Old Face" w:cs="Times New Roman"/>
          <w:lang w:val="en-GB"/>
        </w:rPr>
        <w:t>z</w:t>
      </w:r>
      <w:r w:rsidR="00271AB2" w:rsidRPr="009C5998">
        <w:rPr>
          <w:rFonts w:eastAsia="Baskerville Old Face" w:cs="Times New Roman"/>
          <w:lang w:val="en-GB"/>
        </w:rPr>
        <w:t xml:space="preserve">es their relation to a discursive cognition, </w:t>
      </w:r>
      <w:r w:rsidR="00CA37AC" w:rsidRPr="009C5998">
        <w:rPr>
          <w:rFonts w:eastAsia="Baskerville Old Face" w:cs="Times New Roman"/>
          <w:lang w:val="en-GB"/>
        </w:rPr>
        <w:t>i.e. their extrinsic</w:t>
      </w:r>
      <w:r w:rsidR="00CA37AC" w:rsidRPr="009C5998">
        <w:rPr>
          <w:rFonts w:eastAsia="Baskerville Old Face" w:cs="Times New Roman"/>
          <w:vertAlign w:val="superscript"/>
          <w:lang w:val="en-GB"/>
        </w:rPr>
        <w:t>K</w:t>
      </w:r>
      <w:r w:rsidR="00CA37AC" w:rsidRPr="009C5998">
        <w:rPr>
          <w:rFonts w:eastAsia="Baskerville Old Face" w:cs="Times New Roman"/>
          <w:lang w:val="en-GB"/>
        </w:rPr>
        <w:t xml:space="preserve"> properties.</w:t>
      </w:r>
      <w:r w:rsidR="00CA37AC" w:rsidRPr="009C5998">
        <w:rPr>
          <w:rFonts w:eastAsia="Baskerville Old Face" w:cs="Times New Roman"/>
          <w:vertAlign w:val="superscript"/>
          <w:lang w:val="en-GB"/>
        </w:rPr>
        <w:endnoteReference w:id="32"/>
      </w:r>
      <w:r w:rsidR="00CA37AC" w:rsidRPr="009C5998">
        <w:rPr>
          <w:rFonts w:eastAsia="Baskerville Old Face" w:cs="Times New Roman"/>
          <w:lang w:val="en-GB"/>
        </w:rPr>
        <w:t xml:space="preserve"> Intrinsic</w:t>
      </w:r>
      <w:r w:rsidR="00CA37AC" w:rsidRPr="009C5998">
        <w:rPr>
          <w:rFonts w:eastAsia="Baskerville Old Face" w:cs="Times New Roman"/>
          <w:vertAlign w:val="superscript"/>
          <w:lang w:val="en-GB"/>
        </w:rPr>
        <w:t>K</w:t>
      </w:r>
      <w:r w:rsidR="00CA37AC" w:rsidRPr="009C5998">
        <w:rPr>
          <w:rFonts w:eastAsia="Baskerville Old Face" w:cs="Times New Roman"/>
          <w:lang w:val="en-GB"/>
        </w:rPr>
        <w:t xml:space="preserve"> properties are</w:t>
      </w:r>
      <w:r w:rsidR="009616BE" w:rsidRPr="009C5998">
        <w:rPr>
          <w:rFonts w:eastAsia="Baskerville Old Face" w:cs="Times New Roman"/>
          <w:lang w:val="en-GB"/>
        </w:rPr>
        <w:t xml:space="preserve"> therefore</w:t>
      </w:r>
      <w:r w:rsidR="00CA37AC" w:rsidRPr="009C5998">
        <w:rPr>
          <w:rFonts w:eastAsia="Baskerville Old Face" w:cs="Times New Roman"/>
          <w:lang w:val="en-GB"/>
        </w:rPr>
        <w:t xml:space="preserve"> intrinsic properties,</w:t>
      </w:r>
      <w:r w:rsidR="00FB4659" w:rsidRPr="009C5998">
        <w:rPr>
          <w:rFonts w:eastAsia="Baskerville Old Face" w:cs="Times New Roman"/>
          <w:lang w:val="en-GB"/>
        </w:rPr>
        <w:t xml:space="preserve"> </w:t>
      </w:r>
      <w:r w:rsidR="00CA37AC" w:rsidRPr="009C5998">
        <w:rPr>
          <w:rFonts w:eastAsia="Baskerville Old Face" w:cs="Times New Roman"/>
          <w:lang w:val="en-GB"/>
        </w:rPr>
        <w:t>b</w:t>
      </w:r>
      <w:r w:rsidR="00480493" w:rsidRPr="009C5998">
        <w:rPr>
          <w:rFonts w:eastAsia="Baskerville Old Face" w:cs="Times New Roman"/>
          <w:lang w:val="en-GB"/>
        </w:rPr>
        <w:t>ut calling them intrinsic</w:t>
      </w:r>
      <w:r w:rsidR="00FB4659" w:rsidRPr="009C5998">
        <w:rPr>
          <w:rFonts w:eastAsia="Baskerville Old Face" w:cs="Times New Roman"/>
          <w:vertAlign w:val="superscript"/>
          <w:lang w:val="en-GB"/>
        </w:rPr>
        <w:t>K</w:t>
      </w:r>
      <w:r w:rsidR="00FB4659" w:rsidRPr="009C5998">
        <w:rPr>
          <w:rFonts w:eastAsia="Baskerville Old Face" w:cs="Times New Roman"/>
          <w:lang w:val="en-GB"/>
        </w:rPr>
        <w:t xml:space="preserve"> draws attention to the fact that they exist </w:t>
      </w:r>
      <w:r w:rsidR="00FB4659" w:rsidRPr="009C5998">
        <w:rPr>
          <w:rFonts w:eastAsia="Baskerville Old Face" w:cs="Times New Roman"/>
          <w:i/>
          <w:iCs/>
          <w:lang w:val="en-GB"/>
        </w:rPr>
        <w:t>only if</w:t>
      </w:r>
      <w:r w:rsidR="00FB4659" w:rsidRPr="009C5998">
        <w:rPr>
          <w:rFonts w:eastAsia="Baskerville Old Face" w:cs="Times New Roman"/>
          <w:lang w:val="en-GB"/>
        </w:rPr>
        <w:t xml:space="preserve"> such an intuitive intellectual perspective </w:t>
      </w:r>
      <w:r w:rsidR="0009568D" w:rsidRPr="009C5998">
        <w:rPr>
          <w:rFonts w:eastAsia="Baskerville Old Face" w:cs="Times New Roman"/>
          <w:lang w:val="en-GB"/>
        </w:rPr>
        <w:t>is (really) possible</w:t>
      </w:r>
      <w:r w:rsidR="00FB4659" w:rsidRPr="009C5998">
        <w:rPr>
          <w:rFonts w:eastAsia="Baskerville Old Face" w:cs="Times New Roman"/>
          <w:lang w:val="en-GB"/>
        </w:rPr>
        <w:t>.</w:t>
      </w:r>
      <w:r w:rsidR="008B28C1" w:rsidRPr="009C5998">
        <w:rPr>
          <w:rStyle w:val="EndnoteReference"/>
          <w:rFonts w:eastAsia="Baskerville Old Face" w:cs="Times New Roman"/>
          <w:lang w:val="en-GB"/>
        </w:rPr>
        <w:endnoteReference w:id="33"/>
      </w:r>
      <w:r w:rsidR="00FB4659" w:rsidRPr="009C5998">
        <w:rPr>
          <w:rFonts w:eastAsia="Baskerville Old Face" w:cs="Times New Roman"/>
          <w:lang w:val="en-GB"/>
        </w:rPr>
        <w:t xml:space="preserve"> </w:t>
      </w:r>
      <w:r w:rsidR="00CA37AC" w:rsidRPr="009C5998">
        <w:rPr>
          <w:rFonts w:eastAsia="Baskerville Old Face" w:cs="Times New Roman"/>
          <w:lang w:val="en-GB"/>
        </w:rPr>
        <w:t>Extrinsic</w:t>
      </w:r>
      <w:r w:rsidR="00CA37AC" w:rsidRPr="009C5998">
        <w:rPr>
          <w:rFonts w:eastAsia="Baskerville Old Face" w:cs="Times New Roman"/>
          <w:vertAlign w:val="superscript"/>
          <w:lang w:val="en-GB"/>
        </w:rPr>
        <w:t>K</w:t>
      </w:r>
      <w:r w:rsidR="00CA37AC" w:rsidRPr="009C5998">
        <w:rPr>
          <w:rFonts w:eastAsia="Baskerville Old Face" w:cs="Times New Roman"/>
          <w:lang w:val="en-GB"/>
        </w:rPr>
        <w:t xml:space="preserve"> properties </w:t>
      </w:r>
      <w:r w:rsidR="00FB4659" w:rsidRPr="009C5998">
        <w:rPr>
          <w:rFonts w:eastAsia="Baskerville Old Face" w:cs="Times New Roman"/>
          <w:lang w:val="en-GB"/>
        </w:rPr>
        <w:t>are unlike</w:t>
      </w:r>
      <w:r w:rsidR="00CA37AC" w:rsidRPr="009C5998">
        <w:rPr>
          <w:rFonts w:eastAsia="Baskerville Old Face" w:cs="Times New Roman"/>
          <w:lang w:val="en-GB"/>
        </w:rPr>
        <w:t xml:space="preserve"> extrinsic properties</w:t>
      </w:r>
      <w:r w:rsidR="00FB4659" w:rsidRPr="009C5998">
        <w:rPr>
          <w:rFonts w:eastAsia="Baskerville Old Face" w:cs="Times New Roman"/>
          <w:lang w:val="en-GB"/>
        </w:rPr>
        <w:t xml:space="preserve"> in that they are</w:t>
      </w:r>
      <w:r w:rsidR="00CA37AC" w:rsidRPr="009C5998">
        <w:rPr>
          <w:rFonts w:eastAsia="Baskerville Old Face" w:cs="Times New Roman"/>
          <w:lang w:val="en-GB"/>
        </w:rPr>
        <w:t xml:space="preserve"> perspectival, from </w:t>
      </w:r>
      <w:r w:rsidR="00271AB2" w:rsidRPr="009C5998">
        <w:rPr>
          <w:rFonts w:eastAsia="Baskerville Old Face" w:cs="Times New Roman"/>
          <w:lang w:val="en-GB"/>
        </w:rPr>
        <w:t xml:space="preserve">the </w:t>
      </w:r>
      <w:r w:rsidR="00CA37AC" w:rsidRPr="009C5998">
        <w:rPr>
          <w:rFonts w:eastAsia="Baskerville Old Face" w:cs="Times New Roman"/>
          <w:lang w:val="en-GB"/>
        </w:rPr>
        <w:t xml:space="preserve">perspective </w:t>
      </w:r>
      <w:r w:rsidR="00271AB2" w:rsidRPr="009C5998">
        <w:rPr>
          <w:rFonts w:eastAsia="Baskerville Old Face" w:cs="Times New Roman"/>
          <w:lang w:val="en-GB"/>
        </w:rPr>
        <w:t>of some non-intuitive understanding such as ours</w:t>
      </w:r>
      <w:r w:rsidR="00CA37AC" w:rsidRPr="009C5998">
        <w:rPr>
          <w:rFonts w:eastAsia="Baskerville Old Face" w:cs="Times New Roman"/>
          <w:lang w:val="en-GB"/>
        </w:rPr>
        <w:t>,</w:t>
      </w:r>
      <w:r w:rsidR="00271AB2" w:rsidRPr="009C5998">
        <w:rPr>
          <w:rStyle w:val="EndnoteReference"/>
          <w:rFonts w:eastAsia="Baskerville Old Face" w:cs="Times New Roman"/>
          <w:lang w:val="en-GB"/>
        </w:rPr>
        <w:endnoteReference w:id="34"/>
      </w:r>
      <w:r w:rsidR="00CA37AC" w:rsidRPr="009C5998">
        <w:rPr>
          <w:rFonts w:eastAsia="Baskerville Old Face" w:cs="Times New Roman"/>
          <w:lang w:val="en-GB"/>
        </w:rPr>
        <w:t xml:space="preserve"> while extrinsic properties are defined from a perspective from nowhere in that they are ontological properties. </w:t>
      </w:r>
    </w:p>
    <w:p w14:paraId="57742F0E" w14:textId="7146E573" w:rsidR="005A5A12" w:rsidRPr="009C5998" w:rsidRDefault="00271AB2"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On this proposal, the </w:t>
      </w:r>
      <w:r w:rsidR="00DA5D92" w:rsidRPr="009C5998">
        <w:rPr>
          <w:rFonts w:eastAsia="Baskerville Old Face" w:cs="Times New Roman"/>
          <w:lang w:val="en-GB"/>
        </w:rPr>
        <w:t>empirical properties of appearances</w:t>
      </w:r>
      <w:r w:rsidRPr="009C5998">
        <w:rPr>
          <w:rFonts w:eastAsia="Baskerville Old Face" w:cs="Times New Roman"/>
          <w:lang w:val="en-GB"/>
        </w:rPr>
        <w:t xml:space="preserve"> are a type of extrinsic</w:t>
      </w:r>
      <w:r w:rsidRPr="009C5998">
        <w:rPr>
          <w:rFonts w:eastAsia="Baskerville Old Face" w:cs="Times New Roman"/>
          <w:vertAlign w:val="superscript"/>
          <w:lang w:val="en-GB"/>
        </w:rPr>
        <w:t>K</w:t>
      </w:r>
      <w:r w:rsidRPr="009C5998">
        <w:rPr>
          <w:rFonts w:eastAsia="Baskerville Old Face" w:cs="Times New Roman"/>
          <w:lang w:val="en-GB"/>
        </w:rPr>
        <w:t xml:space="preserve"> properties of ThIs.</w:t>
      </w:r>
      <w:r w:rsidR="00DA5D92" w:rsidRPr="009C5998">
        <w:rPr>
          <w:rFonts w:eastAsia="Baskerville Old Face" w:cs="Times New Roman"/>
          <w:lang w:val="en-GB"/>
        </w:rPr>
        <w:t xml:space="preserve"> Langton (1998) had proposed to view them as extrinsic properties of ThIs. </w:t>
      </w:r>
      <w:r w:rsidR="00CA37AC" w:rsidRPr="009C5998">
        <w:rPr>
          <w:rFonts w:eastAsia="Baskerville Old Face" w:cs="Times New Roman"/>
          <w:lang w:val="en-GB"/>
        </w:rPr>
        <w:t>The inadequacy of the intrinsic/extrinsic distinction as an account of the distinction ThIs/appearances has been pointed out by Allais (2006) in her critique of Langton’s</w:t>
      </w:r>
      <w:r w:rsidR="00DA5D92" w:rsidRPr="009C5998">
        <w:rPr>
          <w:rFonts w:eastAsia="Baskerville Old Face" w:cs="Times New Roman"/>
          <w:lang w:val="en-GB"/>
        </w:rPr>
        <w:t xml:space="preserve"> </w:t>
      </w:r>
      <w:r w:rsidR="00CA37AC" w:rsidRPr="009C5998">
        <w:rPr>
          <w:rFonts w:eastAsia="Baskerville Old Face" w:cs="Times New Roman"/>
          <w:lang w:val="en-GB"/>
        </w:rPr>
        <w:t>proposal: such a distinction leaves out the idealism.</w:t>
      </w:r>
      <w:r w:rsidR="004F4B36" w:rsidRPr="009C5998">
        <w:rPr>
          <w:rStyle w:val="EndnoteReference"/>
          <w:rFonts w:eastAsia="Baskerville Old Face" w:cs="Times New Roman"/>
          <w:lang w:val="en-GB"/>
        </w:rPr>
        <w:endnoteReference w:id="35"/>
      </w:r>
      <w:r w:rsidR="00CA37AC" w:rsidRPr="009C5998">
        <w:rPr>
          <w:rFonts w:eastAsia="Baskerville Old Face" w:cs="Times New Roman"/>
          <w:lang w:val="en-GB"/>
        </w:rPr>
        <w:t xml:space="preserve"> However, her alternative proposal, namely to consider that appearances are relational properties of ThIs, while it introduces the all-important relation to a cognizing subject that characteri</w:t>
      </w:r>
      <w:r w:rsidR="00D649D8">
        <w:rPr>
          <w:rFonts w:eastAsia="Baskerville Old Face" w:cs="Times New Roman"/>
          <w:lang w:val="en-GB"/>
        </w:rPr>
        <w:t>z</w:t>
      </w:r>
      <w:r w:rsidR="00CA37AC" w:rsidRPr="009C5998">
        <w:rPr>
          <w:rFonts w:eastAsia="Baskerville Old Face" w:cs="Times New Roman"/>
          <w:lang w:val="en-GB"/>
        </w:rPr>
        <w:t>es idealism, still does not capture what is essentially perspectival about our knowledge of appearances (see Schulting 2017b). For a relational property, even when asymmetric (e.g. cause – effect), does not feature the kind of dependence characteri</w:t>
      </w:r>
      <w:r w:rsidR="001659E6">
        <w:rPr>
          <w:rFonts w:eastAsia="Baskerville Old Face" w:cs="Times New Roman"/>
          <w:lang w:val="en-GB"/>
        </w:rPr>
        <w:t>z</w:t>
      </w:r>
      <w:r w:rsidR="00CA37AC" w:rsidRPr="009C5998">
        <w:rPr>
          <w:rFonts w:eastAsia="Baskerville Old Face" w:cs="Times New Roman"/>
          <w:lang w:val="en-GB"/>
        </w:rPr>
        <w:t>ing the status of the object with respect to the subject</w:t>
      </w:r>
      <w:r w:rsidR="00A7761D" w:rsidRPr="009C5998">
        <w:rPr>
          <w:rFonts w:eastAsia="Baskerville Old Face" w:cs="Times New Roman"/>
          <w:lang w:val="en-GB"/>
        </w:rPr>
        <w:t>, i.e. that</w:t>
      </w:r>
      <w:r w:rsidR="00CA37AC" w:rsidRPr="009C5998">
        <w:rPr>
          <w:rFonts w:eastAsia="Baskerville Old Face" w:cs="Times New Roman"/>
          <w:lang w:val="en-GB"/>
        </w:rPr>
        <w:t xml:space="preserve"> </w:t>
      </w:r>
      <w:r w:rsidR="00C1774F" w:rsidRPr="009C5998">
        <w:rPr>
          <w:rFonts w:eastAsia="Baskerville Old Face" w:cs="Times New Roman"/>
          <w:lang w:val="en-GB"/>
        </w:rPr>
        <w:t>it</w:t>
      </w:r>
      <w:r w:rsidR="00CA37AC" w:rsidRPr="009C5998">
        <w:rPr>
          <w:rFonts w:eastAsia="Baskerville Old Face" w:cs="Times New Roman"/>
          <w:lang w:val="en-GB"/>
        </w:rPr>
        <w:t xml:space="preserve"> is real only for a possible subject. </w:t>
      </w:r>
      <w:r w:rsidR="00A7761D" w:rsidRPr="009C5998">
        <w:rPr>
          <w:rFonts w:eastAsia="Baskerville Old Face" w:cs="Times New Roman"/>
          <w:lang w:val="en-GB"/>
        </w:rPr>
        <w:t>In a relation</w:t>
      </w:r>
      <w:r w:rsidR="002146A5">
        <w:rPr>
          <w:rFonts w:eastAsia="Baskerville Old Face" w:cs="Times New Roman"/>
          <w:lang w:val="en-GB"/>
        </w:rPr>
        <w:t xml:space="preserve"> involved in a relational property</w:t>
      </w:r>
      <w:r w:rsidR="00A7761D" w:rsidRPr="009C5998">
        <w:rPr>
          <w:rFonts w:eastAsia="Baskerville Old Face" w:cs="Times New Roman"/>
          <w:lang w:val="en-GB"/>
        </w:rPr>
        <w:t>,</w:t>
      </w:r>
      <w:r w:rsidR="00CA37AC" w:rsidRPr="009C5998">
        <w:rPr>
          <w:rFonts w:eastAsia="Baskerville Old Face" w:cs="Times New Roman"/>
          <w:lang w:val="en-GB"/>
        </w:rPr>
        <w:t xml:space="preserve"> each relatum could be considered on its own terms without the other</w:t>
      </w:r>
      <w:r w:rsidR="00A7761D" w:rsidRPr="009C5998">
        <w:rPr>
          <w:rFonts w:eastAsia="Baskerville Old Face" w:cs="Times New Roman"/>
          <w:lang w:val="en-GB"/>
        </w:rPr>
        <w:t xml:space="preserve">, which is not the case for </w:t>
      </w:r>
      <w:r w:rsidR="004B74E1" w:rsidRPr="009C5998">
        <w:rPr>
          <w:rFonts w:eastAsia="Baskerville Old Face" w:cs="Times New Roman"/>
          <w:lang w:val="en-GB"/>
        </w:rPr>
        <w:t xml:space="preserve">the </w:t>
      </w:r>
      <w:r w:rsidR="00A7761D" w:rsidRPr="009C5998">
        <w:rPr>
          <w:rFonts w:eastAsia="Baskerville Old Face" w:cs="Times New Roman"/>
          <w:lang w:val="en-GB"/>
        </w:rPr>
        <w:t>subject-object</w:t>
      </w:r>
      <w:r w:rsidR="004B74E1" w:rsidRPr="009C5998">
        <w:rPr>
          <w:rFonts w:eastAsia="Baskerville Old Face" w:cs="Times New Roman"/>
          <w:lang w:val="en-GB"/>
        </w:rPr>
        <w:t xml:space="preserve"> relation</w:t>
      </w:r>
      <w:r w:rsidR="00CA37AC" w:rsidRPr="009C5998">
        <w:rPr>
          <w:rFonts w:eastAsia="Baskerville Old Face" w:cs="Times New Roman"/>
          <w:lang w:val="en-GB"/>
        </w:rPr>
        <w:t>.</w:t>
      </w:r>
    </w:p>
    <w:p w14:paraId="402446FA" w14:textId="79AB4B13" w:rsidR="00CA37AC" w:rsidRPr="009C5998" w:rsidRDefault="005A5A12"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Rather than reject Allais’s proposal of viewing them as relational properties, I would add a qualification, namely that these relations be understood as valid from a certain perspective. That is, empirical objective determinations are properties of the </w:t>
      </w:r>
      <w:r w:rsidR="00601083" w:rsidRPr="009C5998">
        <w:rPr>
          <w:rFonts w:eastAsia="Baskerville Old Face" w:cs="Times New Roman"/>
          <w:lang w:val="en-GB"/>
        </w:rPr>
        <w:t>appearances</w:t>
      </w:r>
      <w:r w:rsidR="004B74E1" w:rsidRPr="009C5998">
        <w:rPr>
          <w:rFonts w:eastAsia="Baskerville Old Face" w:cs="Times New Roman"/>
          <w:lang w:val="en-GB"/>
        </w:rPr>
        <w:t xml:space="preserve"> </w:t>
      </w:r>
      <w:r w:rsidRPr="009C5998">
        <w:rPr>
          <w:rFonts w:eastAsia="Baskerville Old Face" w:cs="Times New Roman"/>
          <w:lang w:val="en-GB"/>
        </w:rPr>
        <w:t xml:space="preserve">of ThIs in space-time as seen from our cognitive perspective. As </w:t>
      </w:r>
      <w:r w:rsidR="00601083" w:rsidRPr="009C5998">
        <w:rPr>
          <w:rFonts w:eastAsia="Baskerville Old Face" w:cs="Times New Roman"/>
          <w:lang w:val="en-GB"/>
        </w:rPr>
        <w:t>such</w:t>
      </w:r>
      <w:r w:rsidRPr="009C5998">
        <w:rPr>
          <w:rFonts w:eastAsia="Baskerville Old Face" w:cs="Times New Roman"/>
          <w:lang w:val="en-GB"/>
        </w:rPr>
        <w:t xml:space="preserve">, they can be described as </w:t>
      </w:r>
      <w:r w:rsidRPr="009C5998">
        <w:rPr>
          <w:rFonts w:eastAsia="Baskerville Old Face" w:cs="Times New Roman"/>
          <w:i/>
          <w:lang w:val="en-GB"/>
        </w:rPr>
        <w:t>secondary extrinsic</w:t>
      </w:r>
      <w:r w:rsidRPr="009C5998">
        <w:rPr>
          <w:rFonts w:eastAsia="Baskerville Old Face" w:cs="Times New Roman"/>
          <w:i/>
          <w:vertAlign w:val="superscript"/>
          <w:lang w:val="en-GB"/>
        </w:rPr>
        <w:t>K</w:t>
      </w:r>
      <w:r w:rsidRPr="009C5998">
        <w:rPr>
          <w:rFonts w:eastAsia="Baskerville Old Face" w:cs="Times New Roman"/>
          <w:i/>
          <w:lang w:val="en-GB"/>
        </w:rPr>
        <w:t xml:space="preserve"> properties </w:t>
      </w:r>
      <w:r w:rsidRPr="009C5998">
        <w:rPr>
          <w:rFonts w:eastAsia="Baskerville Old Face" w:cs="Times New Roman"/>
          <w:lang w:val="en-GB"/>
        </w:rPr>
        <w:t xml:space="preserve">of the ThI in contrast </w:t>
      </w:r>
      <w:r w:rsidR="009B019F" w:rsidRPr="009C5998">
        <w:rPr>
          <w:rFonts w:eastAsia="Baskerville Old Face" w:cs="Times New Roman"/>
          <w:lang w:val="en-GB"/>
        </w:rPr>
        <w:t>to</w:t>
      </w:r>
      <w:r w:rsidRPr="009C5998">
        <w:rPr>
          <w:rFonts w:eastAsia="Baskerville Old Face" w:cs="Times New Roman"/>
          <w:lang w:val="en-GB"/>
        </w:rPr>
        <w:t xml:space="preserve"> the </w:t>
      </w:r>
      <w:r w:rsidRPr="009C5998">
        <w:rPr>
          <w:rFonts w:eastAsia="Baskerville Old Face" w:cs="Times New Roman"/>
          <w:i/>
          <w:lang w:val="en-GB"/>
        </w:rPr>
        <w:t>basic extrinsic</w:t>
      </w:r>
      <w:r w:rsidRPr="009C5998">
        <w:rPr>
          <w:rFonts w:eastAsia="Baskerville Old Face" w:cs="Times New Roman"/>
          <w:i/>
          <w:vertAlign w:val="superscript"/>
          <w:lang w:val="en-GB"/>
        </w:rPr>
        <w:t>K</w:t>
      </w:r>
      <w:r w:rsidRPr="009C5998">
        <w:rPr>
          <w:rFonts w:eastAsia="Baskerville Old Face" w:cs="Times New Roman"/>
          <w:i/>
          <w:lang w:val="en-GB"/>
        </w:rPr>
        <w:t xml:space="preserve"> properties </w:t>
      </w:r>
      <w:r w:rsidRPr="009C5998">
        <w:rPr>
          <w:rFonts w:eastAsia="Baskerville Old Face" w:cs="Times New Roman"/>
          <w:lang w:val="en-GB"/>
        </w:rPr>
        <w:t>of the ThI</w:t>
      </w:r>
      <w:r w:rsidR="00BD2197">
        <w:rPr>
          <w:rFonts w:eastAsia="Baskerville Old Face" w:cs="Times New Roman"/>
          <w:lang w:val="en-GB"/>
        </w:rPr>
        <w:t>,</w:t>
      </w:r>
      <w:r w:rsidRPr="009C5998">
        <w:rPr>
          <w:rFonts w:eastAsia="Baskerville Old Face" w:cs="Times New Roman"/>
          <w:lang w:val="en-GB"/>
        </w:rPr>
        <w:t xml:space="preserve"> which are its grounding of empirical causality and any features thereof which we may think but not know.</w:t>
      </w:r>
      <w:r w:rsidR="009B019F" w:rsidRPr="009C5998">
        <w:rPr>
          <w:rStyle w:val="EndnoteReference"/>
          <w:rFonts w:eastAsia="Baskerville Old Face" w:cs="Times New Roman"/>
          <w:lang w:val="en-GB"/>
        </w:rPr>
        <w:endnoteReference w:id="36"/>
      </w:r>
    </w:p>
    <w:p w14:paraId="24105C03" w14:textId="7DF92F38" w:rsidR="00A7761D" w:rsidRPr="009C5998" w:rsidRDefault="00A7761D"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So, </w:t>
      </w:r>
      <w:r w:rsidR="00480493" w:rsidRPr="009C5998">
        <w:rPr>
          <w:rFonts w:eastAsia="Baskerville Old Face" w:cs="Times New Roman"/>
          <w:lang w:val="en-GB"/>
        </w:rPr>
        <w:t>to summari</w:t>
      </w:r>
      <w:r w:rsidR="00D649D8">
        <w:rPr>
          <w:rFonts w:eastAsia="Baskerville Old Face" w:cs="Times New Roman"/>
          <w:lang w:val="en-GB"/>
        </w:rPr>
        <w:t>z</w:t>
      </w:r>
      <w:r w:rsidR="00480493" w:rsidRPr="009C5998">
        <w:rPr>
          <w:rFonts w:eastAsia="Baskerville Old Face" w:cs="Times New Roman"/>
          <w:lang w:val="en-GB"/>
        </w:rPr>
        <w:t xml:space="preserve">e, there are three types of properties of ThIs: </w:t>
      </w:r>
    </w:p>
    <w:p w14:paraId="13C0A822" w14:textId="042293A2" w:rsidR="00FB4659" w:rsidRPr="009C5998" w:rsidRDefault="00FB4659" w:rsidP="00FB4659">
      <w:pPr>
        <w:pStyle w:val="BodyA"/>
        <w:numPr>
          <w:ilvl w:val="0"/>
          <w:numId w:val="4"/>
        </w:numPr>
        <w:spacing w:after="240" w:line="480" w:lineRule="auto"/>
        <w:rPr>
          <w:rFonts w:eastAsia="Baskerville Old Face" w:cs="Times New Roman"/>
          <w:lang w:val="en-GB"/>
        </w:rPr>
      </w:pPr>
      <w:r w:rsidRPr="009C5998">
        <w:rPr>
          <w:rFonts w:eastAsia="Baskerville Old Face" w:cs="Times New Roman"/>
          <w:lang w:val="en-GB"/>
        </w:rPr>
        <w:t>intrinsic</w:t>
      </w:r>
      <w:r w:rsidRPr="009C5998">
        <w:rPr>
          <w:rFonts w:eastAsia="Baskerville Old Face" w:cs="Times New Roman"/>
          <w:vertAlign w:val="superscript"/>
          <w:lang w:val="en-GB"/>
        </w:rPr>
        <w:t>K</w:t>
      </w:r>
      <w:r w:rsidRPr="009C5998">
        <w:rPr>
          <w:rFonts w:eastAsia="Baskerville Old Face" w:cs="Times New Roman"/>
          <w:lang w:val="en-GB"/>
        </w:rPr>
        <w:t xml:space="preserve"> properties, i.e. properties of ThIs </w:t>
      </w:r>
      <w:r w:rsidRPr="009C5998">
        <w:rPr>
          <w:rFonts w:eastAsia="Baskerville Old Face" w:cs="Times New Roman"/>
          <w:i/>
          <w:lang w:val="en-GB"/>
        </w:rPr>
        <w:t xml:space="preserve">qua </w:t>
      </w:r>
      <w:r w:rsidRPr="009C5998">
        <w:rPr>
          <w:rFonts w:eastAsia="Baskerville Old Face" w:cs="Times New Roman"/>
          <w:lang w:val="en-GB"/>
        </w:rPr>
        <w:t>ThIs</w:t>
      </w:r>
      <w:r w:rsidR="00092920" w:rsidRPr="009C5998">
        <w:rPr>
          <w:rFonts w:eastAsia="Baskerville Old Face" w:cs="Times New Roman"/>
          <w:lang w:val="en-GB"/>
        </w:rPr>
        <w:t xml:space="preserve"> as grasped from the perspective of an intuitive intellect;</w:t>
      </w:r>
    </w:p>
    <w:p w14:paraId="65B172B7" w14:textId="41146106" w:rsidR="00FB4659" w:rsidRPr="009C5998" w:rsidRDefault="005A5A12" w:rsidP="00FB4659">
      <w:pPr>
        <w:pStyle w:val="BodyA"/>
        <w:numPr>
          <w:ilvl w:val="0"/>
          <w:numId w:val="4"/>
        </w:numPr>
        <w:spacing w:after="240" w:line="480" w:lineRule="auto"/>
        <w:rPr>
          <w:rFonts w:eastAsia="Baskerville Old Face" w:cs="Times New Roman"/>
          <w:lang w:val="en-GB"/>
        </w:rPr>
      </w:pPr>
      <w:r w:rsidRPr="009C5998">
        <w:rPr>
          <w:rFonts w:eastAsia="Baskerville Old Face" w:cs="Times New Roman"/>
          <w:lang w:val="en-GB"/>
        </w:rPr>
        <w:t xml:space="preserve">basic </w:t>
      </w:r>
      <w:r w:rsidR="00FB4659" w:rsidRPr="009C5998">
        <w:rPr>
          <w:rFonts w:eastAsia="Baskerville Old Face" w:cs="Times New Roman"/>
          <w:lang w:val="en-GB"/>
        </w:rPr>
        <w:t>extrinsic</w:t>
      </w:r>
      <w:r w:rsidR="00FB4659" w:rsidRPr="009C5998">
        <w:rPr>
          <w:rFonts w:eastAsia="Baskerville Old Face" w:cs="Times New Roman"/>
          <w:vertAlign w:val="superscript"/>
          <w:lang w:val="en-GB"/>
        </w:rPr>
        <w:t>K</w:t>
      </w:r>
      <w:r w:rsidR="00FB4659" w:rsidRPr="009C5998">
        <w:rPr>
          <w:rFonts w:eastAsia="Baskerville Old Face" w:cs="Times New Roman"/>
          <w:lang w:val="en-GB"/>
        </w:rPr>
        <w:t xml:space="preserve"> properties, i.e. the property(ies) ThIs </w:t>
      </w:r>
      <w:r w:rsidR="00F231C3" w:rsidRPr="009C5998">
        <w:rPr>
          <w:rFonts w:eastAsia="Baskerville Old Face" w:cs="Times New Roman"/>
          <w:lang w:val="en-GB"/>
        </w:rPr>
        <w:t>have from our perspective</w:t>
      </w:r>
      <w:r w:rsidRPr="009C5998">
        <w:rPr>
          <w:rFonts w:eastAsia="Baskerville Old Face" w:cs="Times New Roman"/>
          <w:lang w:val="en-GB"/>
        </w:rPr>
        <w:t xml:space="preserve"> as ground of </w:t>
      </w:r>
      <w:r w:rsidR="00FB4659" w:rsidRPr="009C5998">
        <w:rPr>
          <w:rFonts w:eastAsia="Baskerville Old Face" w:cs="Times New Roman"/>
          <w:lang w:val="en-GB"/>
        </w:rPr>
        <w:t>empirical causality;</w:t>
      </w:r>
    </w:p>
    <w:p w14:paraId="669FDC58" w14:textId="30DD44EB" w:rsidR="00FB4659" w:rsidRPr="009C5998" w:rsidRDefault="005A5A12" w:rsidP="00FB4659">
      <w:pPr>
        <w:pStyle w:val="BodyA"/>
        <w:numPr>
          <w:ilvl w:val="0"/>
          <w:numId w:val="4"/>
        </w:numPr>
        <w:spacing w:after="240" w:line="480" w:lineRule="auto"/>
        <w:rPr>
          <w:rFonts w:eastAsia="Baskerville Old Face" w:cs="Times New Roman"/>
          <w:lang w:val="en-GB"/>
        </w:rPr>
      </w:pPr>
      <w:r w:rsidRPr="009C5998">
        <w:rPr>
          <w:rFonts w:eastAsia="Baskerville Old Face" w:cs="Times New Roman"/>
          <w:lang w:val="en-GB"/>
        </w:rPr>
        <w:t>secondary extrinsic</w:t>
      </w:r>
      <w:r w:rsidRPr="009C5998">
        <w:rPr>
          <w:rFonts w:eastAsia="Baskerville Old Face" w:cs="Times New Roman"/>
          <w:vertAlign w:val="superscript"/>
          <w:lang w:val="en-GB"/>
        </w:rPr>
        <w:t>K</w:t>
      </w:r>
      <w:r w:rsidRPr="009C5998">
        <w:rPr>
          <w:rFonts w:eastAsia="Baskerville Old Face" w:cs="Times New Roman"/>
          <w:lang w:val="en-GB"/>
        </w:rPr>
        <w:t xml:space="preserve"> properties</w:t>
      </w:r>
      <w:r w:rsidR="00FB4659" w:rsidRPr="009C5998">
        <w:rPr>
          <w:rFonts w:eastAsia="Baskerville Old Face" w:cs="Times New Roman"/>
          <w:lang w:val="en-GB"/>
        </w:rPr>
        <w:t xml:space="preserve"> </w:t>
      </w:r>
      <w:r w:rsidRPr="009C5998">
        <w:rPr>
          <w:rFonts w:eastAsia="Baskerville Old Face" w:cs="Times New Roman"/>
          <w:lang w:val="en-GB"/>
        </w:rPr>
        <w:t xml:space="preserve">characterizing how </w:t>
      </w:r>
      <w:r w:rsidR="00FB4659" w:rsidRPr="009C5998">
        <w:rPr>
          <w:rFonts w:eastAsia="Baskerville Old Face" w:cs="Times New Roman"/>
          <w:lang w:val="en-GB"/>
        </w:rPr>
        <w:t>ThIs appear to a subject in the form of objective determinations</w:t>
      </w:r>
      <w:r w:rsidRPr="009C5998">
        <w:rPr>
          <w:rFonts w:eastAsia="Baskerville Old Face" w:cs="Times New Roman"/>
          <w:lang w:val="en-GB"/>
        </w:rPr>
        <w:t xml:space="preserve"> in space-time</w:t>
      </w:r>
      <w:r w:rsidR="00FB4659" w:rsidRPr="009C5998">
        <w:rPr>
          <w:rFonts w:eastAsia="Baskerville Old Face" w:cs="Times New Roman"/>
          <w:lang w:val="en-GB"/>
        </w:rPr>
        <w:t>.</w:t>
      </w:r>
    </w:p>
    <w:p w14:paraId="1ECC971C" w14:textId="77777777" w:rsidR="00CA37AC" w:rsidRPr="009C5998" w:rsidRDefault="00CA37AC" w:rsidP="00B7455C">
      <w:pPr>
        <w:pStyle w:val="BodyA"/>
        <w:spacing w:after="240"/>
        <w:rPr>
          <w:rFonts w:eastAsia="Baskerville Old Face" w:cs="Times New Roman"/>
          <w:i/>
          <w:iCs/>
          <w:lang w:val="en-GB"/>
        </w:rPr>
      </w:pPr>
      <w:r w:rsidRPr="009C5998">
        <w:rPr>
          <w:rFonts w:eastAsia="Baskerville Old Face" w:cs="Times New Roman"/>
          <w:i/>
          <w:iCs/>
          <w:lang w:val="en-GB"/>
        </w:rPr>
        <w:t>Summary of the position and the secondary-quality analogy</w:t>
      </w:r>
    </w:p>
    <w:p w14:paraId="29CDC73E" w14:textId="048D27F7" w:rsidR="00CA37AC"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To summari</w:t>
      </w:r>
      <w:r w:rsidR="00764A04">
        <w:rPr>
          <w:rFonts w:eastAsia="Baskerville Old Face" w:cs="Times New Roman"/>
          <w:lang w:val="en-GB"/>
        </w:rPr>
        <w:t>z</w:t>
      </w:r>
      <w:r w:rsidRPr="009C5998">
        <w:rPr>
          <w:rFonts w:eastAsia="Baskerville Old Face" w:cs="Times New Roman"/>
          <w:lang w:val="en-GB"/>
        </w:rPr>
        <w:t xml:space="preserve">e, a complete theory of ThIs and appearances must take on board </w:t>
      </w:r>
      <w:r w:rsidR="002E713E" w:rsidRPr="009C5998">
        <w:rPr>
          <w:rFonts w:eastAsia="Baskerville Old Face" w:cs="Times New Roman"/>
          <w:lang w:val="en-GB"/>
        </w:rPr>
        <w:t xml:space="preserve">two </w:t>
      </w:r>
      <w:r w:rsidRPr="009C5998">
        <w:rPr>
          <w:rFonts w:eastAsia="Baskerville Old Face" w:cs="Times New Roman"/>
          <w:lang w:val="en-GB"/>
        </w:rPr>
        <w:t xml:space="preserve">perspectives. From the one perspective, the </w:t>
      </w:r>
      <w:r w:rsidRPr="009C5998">
        <w:rPr>
          <w:rFonts w:eastAsia="Baskerville Old Face" w:cs="Times New Roman"/>
          <w:i/>
          <w:iCs/>
          <w:lang w:val="en-GB"/>
        </w:rPr>
        <w:t>actual perspective of our cognition</w:t>
      </w:r>
      <w:r w:rsidRPr="009C5998">
        <w:rPr>
          <w:rFonts w:eastAsia="Baskerville Old Face" w:cs="Times New Roman"/>
          <w:lang w:val="en-GB"/>
        </w:rPr>
        <w:t>, we have an object which is a thing that has two aspects: one empirical</w:t>
      </w:r>
      <w:r w:rsidR="002E713E" w:rsidRPr="009C5998">
        <w:rPr>
          <w:rFonts w:eastAsia="Baskerville Old Face" w:cs="Times New Roman"/>
          <w:lang w:val="en-GB"/>
        </w:rPr>
        <w:t xml:space="preserve"> (</w:t>
      </w:r>
      <w:r w:rsidR="00C869F4" w:rsidRPr="009C5998">
        <w:rPr>
          <w:rFonts w:eastAsia="Baskerville Old Face" w:cs="Times New Roman"/>
          <w:lang w:val="en-GB"/>
        </w:rPr>
        <w:t>secondary extrinsic</w:t>
      </w:r>
      <w:r w:rsidR="00C869F4" w:rsidRPr="009C5998">
        <w:rPr>
          <w:rFonts w:eastAsia="Baskerville Old Face" w:cs="Times New Roman"/>
          <w:vertAlign w:val="superscript"/>
          <w:lang w:val="en-GB"/>
        </w:rPr>
        <w:t>K</w:t>
      </w:r>
      <w:r w:rsidR="00C869F4" w:rsidRPr="009C5998">
        <w:rPr>
          <w:rFonts w:eastAsia="Baskerville Old Face" w:cs="Times New Roman"/>
          <w:lang w:val="en-GB"/>
        </w:rPr>
        <w:t xml:space="preserve"> properties </w:t>
      </w:r>
      <w:r w:rsidR="002E713E" w:rsidRPr="009C5998">
        <w:rPr>
          <w:rFonts w:eastAsia="Baskerville Old Face" w:cs="Times New Roman"/>
          <w:lang w:val="en-GB"/>
        </w:rPr>
        <w:t>of the ThI from the perspective of our cognition)</w:t>
      </w:r>
      <w:r w:rsidRPr="009C5998">
        <w:rPr>
          <w:rFonts w:eastAsia="Baskerville Old Face" w:cs="Times New Roman"/>
          <w:lang w:val="en-GB"/>
        </w:rPr>
        <w:t>, i.e.</w:t>
      </w:r>
      <w:r w:rsidR="00B55385" w:rsidRPr="009C5998">
        <w:rPr>
          <w:rFonts w:eastAsia="Baskerville Old Face" w:cs="Times New Roman"/>
          <w:lang w:val="en-GB"/>
        </w:rPr>
        <w:t xml:space="preserve"> that of being </w:t>
      </w:r>
      <w:r w:rsidR="00185C21" w:rsidRPr="009C5998">
        <w:rPr>
          <w:rFonts w:eastAsia="Baskerville Old Face" w:cs="Times New Roman"/>
          <w:lang w:val="en-GB"/>
        </w:rPr>
        <w:t xml:space="preserve">empirically determined as </w:t>
      </w:r>
      <w:r w:rsidR="00B55385" w:rsidRPr="009C5998">
        <w:rPr>
          <w:rFonts w:eastAsia="Baskerville Old Face" w:cs="Times New Roman"/>
          <w:lang w:val="en-GB"/>
        </w:rPr>
        <w:t xml:space="preserve">an </w:t>
      </w:r>
      <w:r w:rsidRPr="009C5998">
        <w:rPr>
          <w:rFonts w:eastAsia="Baskerville Old Face" w:cs="Times New Roman"/>
          <w:lang w:val="en-GB"/>
        </w:rPr>
        <w:t>object</w:t>
      </w:r>
      <w:r w:rsidR="00C1774F" w:rsidRPr="009C5998">
        <w:rPr>
          <w:rFonts w:eastAsia="Baskerville Old Face" w:cs="Times New Roman"/>
          <w:lang w:val="en-GB"/>
        </w:rPr>
        <w:t>;</w:t>
      </w:r>
      <w:r w:rsidRPr="009C5998">
        <w:rPr>
          <w:rFonts w:eastAsia="Baskerville Old Face" w:cs="Times New Roman"/>
          <w:lang w:val="en-GB"/>
        </w:rPr>
        <w:t xml:space="preserve"> and the other</w:t>
      </w:r>
      <w:r w:rsidR="00A502E1" w:rsidRPr="009C5998">
        <w:rPr>
          <w:rFonts w:eastAsia="Baskerville Old Face" w:cs="Times New Roman"/>
          <w:lang w:val="en-GB"/>
        </w:rPr>
        <w:t>,</w:t>
      </w:r>
      <w:r w:rsidRPr="009C5998">
        <w:rPr>
          <w:rFonts w:eastAsia="Baskerville Old Face" w:cs="Times New Roman"/>
          <w:lang w:val="en-GB"/>
        </w:rPr>
        <w:t xml:space="preserve"> </w:t>
      </w:r>
      <w:r w:rsidR="00185C21" w:rsidRPr="009C5998">
        <w:rPr>
          <w:rFonts w:eastAsia="Baskerville Old Face" w:cs="Times New Roman"/>
          <w:lang w:val="en-GB"/>
        </w:rPr>
        <w:t>at least partly</w:t>
      </w:r>
      <w:r w:rsidR="00CE03CC" w:rsidRPr="009C5998">
        <w:rPr>
          <w:rFonts w:eastAsia="Baskerville Old Face" w:cs="Times New Roman"/>
          <w:lang w:val="en-GB"/>
        </w:rPr>
        <w:t xml:space="preserve"> (</w:t>
      </w:r>
      <w:r w:rsidR="00185C21" w:rsidRPr="009C5998">
        <w:rPr>
          <w:rFonts w:eastAsia="Baskerville Old Face" w:cs="Times New Roman"/>
          <w:lang w:val="en-GB"/>
        </w:rPr>
        <w:t>as characteri</w:t>
      </w:r>
      <w:r w:rsidR="00764A04">
        <w:rPr>
          <w:rFonts w:eastAsia="Baskerville Old Face" w:cs="Times New Roman"/>
          <w:lang w:val="en-GB"/>
        </w:rPr>
        <w:t>z</w:t>
      </w:r>
      <w:r w:rsidR="00185C21" w:rsidRPr="009C5998">
        <w:rPr>
          <w:rFonts w:eastAsia="Baskerville Old Face" w:cs="Times New Roman"/>
          <w:lang w:val="en-GB"/>
        </w:rPr>
        <w:t xml:space="preserve">ed above) </w:t>
      </w:r>
      <w:r w:rsidRPr="009C5998">
        <w:rPr>
          <w:rFonts w:eastAsia="Baskerville Old Face" w:cs="Times New Roman"/>
          <w:lang w:val="en-GB"/>
        </w:rPr>
        <w:t xml:space="preserve">intelligible, </w:t>
      </w:r>
      <w:r w:rsidR="00A502E1" w:rsidRPr="009C5998">
        <w:rPr>
          <w:rFonts w:eastAsia="Baskerville Old Face" w:cs="Times New Roman"/>
          <w:lang w:val="en-GB"/>
        </w:rPr>
        <w:t xml:space="preserve">i.e. that of being </w:t>
      </w:r>
      <w:r w:rsidRPr="009C5998">
        <w:rPr>
          <w:rFonts w:eastAsia="Baskerville Old Face" w:cs="Times New Roman"/>
          <w:lang w:val="en-GB"/>
        </w:rPr>
        <w:t>a completely indeterminate causal ground that exists in-itself</w:t>
      </w:r>
      <w:r w:rsidR="002E713E" w:rsidRPr="009C5998">
        <w:rPr>
          <w:rFonts w:eastAsia="Baskerville Old Face" w:cs="Times New Roman"/>
          <w:lang w:val="en-GB"/>
        </w:rPr>
        <w:t xml:space="preserve"> (</w:t>
      </w:r>
      <w:r w:rsidR="00092920" w:rsidRPr="009C5998">
        <w:rPr>
          <w:rFonts w:eastAsia="Baskerville Old Face" w:cs="Times New Roman"/>
          <w:lang w:val="en-GB"/>
        </w:rPr>
        <w:t xml:space="preserve">a </w:t>
      </w:r>
      <w:r w:rsidR="00C869F4" w:rsidRPr="009C5998">
        <w:rPr>
          <w:rFonts w:eastAsia="Baskerville Old Face" w:cs="Times New Roman"/>
          <w:lang w:val="en-GB"/>
        </w:rPr>
        <w:t xml:space="preserve">basic </w:t>
      </w:r>
      <w:r w:rsidR="002E713E" w:rsidRPr="009C5998">
        <w:rPr>
          <w:rFonts w:eastAsia="Baskerville Old Face" w:cs="Times New Roman"/>
          <w:lang w:val="en-GB"/>
        </w:rPr>
        <w:t>extrinsic</w:t>
      </w:r>
      <w:r w:rsidR="002E713E" w:rsidRPr="009C5998">
        <w:rPr>
          <w:rFonts w:eastAsia="Baskerville Old Face" w:cs="Times New Roman"/>
          <w:vertAlign w:val="superscript"/>
          <w:lang w:val="en-GB"/>
        </w:rPr>
        <w:t>K</w:t>
      </w:r>
      <w:r w:rsidR="002E713E" w:rsidRPr="009C5998">
        <w:rPr>
          <w:rFonts w:eastAsia="Baskerville Old Face" w:cs="Times New Roman"/>
          <w:lang w:val="en-GB"/>
        </w:rPr>
        <w:t xml:space="preserve"> propert</w:t>
      </w:r>
      <w:r w:rsidR="00C869F4" w:rsidRPr="009C5998">
        <w:rPr>
          <w:rFonts w:eastAsia="Baskerville Old Face" w:cs="Times New Roman"/>
          <w:lang w:val="en-GB"/>
        </w:rPr>
        <w:t>y</w:t>
      </w:r>
      <w:r w:rsidR="002E713E" w:rsidRPr="009C5998">
        <w:rPr>
          <w:rFonts w:eastAsia="Baskerville Old Face" w:cs="Times New Roman"/>
          <w:lang w:val="en-GB"/>
        </w:rPr>
        <w:t xml:space="preserve"> of ThI</w:t>
      </w:r>
      <w:r w:rsidR="0068328F" w:rsidRPr="009C5998">
        <w:rPr>
          <w:rFonts w:eastAsia="Baskerville Old Face" w:cs="Times New Roman"/>
          <w:lang w:val="en-GB"/>
        </w:rPr>
        <w:t>s from our cognitive perspective)</w:t>
      </w:r>
      <w:r w:rsidRPr="009C5998">
        <w:rPr>
          <w:rFonts w:eastAsia="Baskerville Old Face" w:cs="Times New Roman"/>
          <w:lang w:val="en-GB"/>
        </w:rPr>
        <w:t xml:space="preserve">. What it grounds is the object’s empirical causality through which </w:t>
      </w:r>
      <w:r w:rsidR="00092920" w:rsidRPr="009C5998">
        <w:rPr>
          <w:rFonts w:eastAsia="Baskerville Old Face" w:cs="Times New Roman"/>
          <w:lang w:val="en-GB"/>
        </w:rPr>
        <w:t xml:space="preserve">we </w:t>
      </w:r>
      <w:r w:rsidR="00480493" w:rsidRPr="009C5998">
        <w:rPr>
          <w:rFonts w:eastAsia="Baskerville Old Face" w:cs="Times New Roman"/>
          <w:lang w:val="en-GB"/>
        </w:rPr>
        <w:t>are affected</w:t>
      </w:r>
      <w:r w:rsidRPr="009C5998">
        <w:rPr>
          <w:rFonts w:eastAsia="Baskerville Old Face" w:cs="Times New Roman"/>
          <w:lang w:val="en-GB"/>
        </w:rPr>
        <w:t xml:space="preserve">. The other perspective is </w:t>
      </w:r>
      <w:r w:rsidRPr="009C5998">
        <w:rPr>
          <w:rFonts w:eastAsia="Baskerville Old Face" w:cs="Times New Roman"/>
          <w:i/>
          <w:iCs/>
          <w:lang w:val="en-GB"/>
        </w:rPr>
        <w:t>the problematic perspective of an intuitive intellect</w:t>
      </w:r>
      <w:r w:rsidRPr="009C5998">
        <w:rPr>
          <w:rFonts w:eastAsia="Baskerville Old Face" w:cs="Times New Roman"/>
          <w:lang w:val="en-GB"/>
        </w:rPr>
        <w:t>. It defines a grasp of an object with a single aspect, the ThI as it is in</w:t>
      </w:r>
      <w:r w:rsidR="001818E4" w:rsidRPr="009C5998">
        <w:rPr>
          <w:rFonts w:eastAsia="Baskerville Old Face" w:cs="Times New Roman"/>
          <w:lang w:val="en-GB"/>
        </w:rPr>
        <w:t>-</w:t>
      </w:r>
      <w:r w:rsidRPr="009C5998">
        <w:rPr>
          <w:rFonts w:eastAsia="Baskerville Old Face" w:cs="Times New Roman"/>
          <w:lang w:val="en-GB"/>
        </w:rPr>
        <w:t>itself</w:t>
      </w:r>
      <w:r w:rsidR="002E713E" w:rsidRPr="009C5998">
        <w:rPr>
          <w:rFonts w:eastAsia="Baskerville Old Face" w:cs="Times New Roman"/>
          <w:lang w:val="en-GB"/>
        </w:rPr>
        <w:t xml:space="preserve"> (</w:t>
      </w:r>
      <w:r w:rsidR="0068328F" w:rsidRPr="009C5998">
        <w:rPr>
          <w:rFonts w:eastAsia="Baskerville Old Face" w:cs="Times New Roman"/>
          <w:lang w:val="en-GB"/>
        </w:rPr>
        <w:t>i.e. its intrinsic</w:t>
      </w:r>
      <w:r w:rsidR="0068328F" w:rsidRPr="009C5998">
        <w:rPr>
          <w:rFonts w:eastAsia="Baskerville Old Face" w:cs="Times New Roman"/>
          <w:vertAlign w:val="superscript"/>
          <w:lang w:val="en-GB"/>
        </w:rPr>
        <w:t>K</w:t>
      </w:r>
      <w:r w:rsidR="0068328F" w:rsidRPr="009C5998">
        <w:rPr>
          <w:rFonts w:eastAsia="Baskerville Old Face" w:cs="Times New Roman"/>
          <w:lang w:val="en-GB"/>
        </w:rPr>
        <w:t xml:space="preserve"> properties)</w:t>
      </w:r>
      <w:r w:rsidRPr="009C5998">
        <w:rPr>
          <w:rFonts w:eastAsia="Baskerville Old Face" w:cs="Times New Roman"/>
          <w:lang w:val="en-GB"/>
        </w:rPr>
        <w:t xml:space="preserve">. This then amounts to a </w:t>
      </w:r>
      <w:r w:rsidRPr="009C5998">
        <w:rPr>
          <w:rFonts w:eastAsia="Baskerville Old Face" w:cs="Times New Roman"/>
          <w:i/>
          <w:iCs/>
          <w:lang w:val="en-GB"/>
        </w:rPr>
        <w:t>two perspective double-aspect theory</w:t>
      </w:r>
      <w:r w:rsidRPr="009C5998">
        <w:rPr>
          <w:rFonts w:eastAsia="Baskerville Old Face" w:cs="Times New Roman"/>
          <w:lang w:val="en-GB"/>
        </w:rPr>
        <w:t>.</w:t>
      </w:r>
    </w:p>
    <w:p w14:paraId="18C140B0" w14:textId="2BD3C44C" w:rsidR="00CA37AC"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In a seminal paper, Allais (2007</w:t>
      </w:r>
      <w:r w:rsidR="00092920" w:rsidRPr="009C5998">
        <w:rPr>
          <w:rFonts w:eastAsia="Baskerville Old Face" w:cs="Times New Roman"/>
          <w:lang w:val="en-GB"/>
        </w:rPr>
        <w:t>; see also Rosefeldt 2007</w:t>
      </w:r>
      <w:r w:rsidRPr="009C5998">
        <w:rPr>
          <w:rFonts w:eastAsia="Baskerville Old Face" w:cs="Times New Roman"/>
          <w:lang w:val="en-GB"/>
        </w:rPr>
        <w:t>) shows how the sometimes discredited analogy Kant draws between the relationship of secondary to primary qualities and that of appearances to ThIs is in fact a powerful illustration of the latter relation. In line with the issues I raised about Allais’s position, I therefore want to show how the secondary quality analogy should be understood on the interpretation I propose. I agree with Allais that the intrinsic properties of ThIs</w:t>
      </w:r>
      <w:r w:rsidR="00120299" w:rsidRPr="009C5998">
        <w:rPr>
          <w:rFonts w:eastAsia="Baskerville Old Face" w:cs="Times New Roman"/>
          <w:lang w:val="en-GB"/>
        </w:rPr>
        <w:t>,</w:t>
      </w:r>
      <w:r w:rsidR="00480493" w:rsidRPr="009C5998">
        <w:rPr>
          <w:rFonts w:eastAsia="Baskerville Old Face" w:cs="Times New Roman"/>
          <w:lang w:val="en-GB"/>
        </w:rPr>
        <w:t xml:space="preserve"> or more accurately</w:t>
      </w:r>
      <w:r w:rsidR="00120299" w:rsidRPr="009C5998">
        <w:rPr>
          <w:rFonts w:eastAsia="Baskerville Old Face" w:cs="Times New Roman"/>
          <w:lang w:val="en-GB"/>
        </w:rPr>
        <w:t>,</w:t>
      </w:r>
      <w:r w:rsidR="00480493" w:rsidRPr="009C5998">
        <w:rPr>
          <w:rFonts w:eastAsia="Baskerville Old Face" w:cs="Times New Roman"/>
          <w:lang w:val="en-GB"/>
        </w:rPr>
        <w:t xml:space="preserve"> the intrinsic</w:t>
      </w:r>
      <w:r w:rsidR="00480493" w:rsidRPr="009C5998">
        <w:rPr>
          <w:rFonts w:eastAsia="Baskerville Old Face" w:cs="Times New Roman"/>
          <w:vertAlign w:val="superscript"/>
          <w:lang w:val="en-GB"/>
        </w:rPr>
        <w:t>K</w:t>
      </w:r>
      <w:r w:rsidR="00480493" w:rsidRPr="009C5998">
        <w:rPr>
          <w:rFonts w:eastAsia="Baskerville Old Face" w:cs="Times New Roman"/>
          <w:lang w:val="en-GB"/>
        </w:rPr>
        <w:t xml:space="preserve"> properties</w:t>
      </w:r>
      <w:r w:rsidRPr="009C5998">
        <w:rPr>
          <w:rFonts w:eastAsia="Baskerville Old Face" w:cs="Times New Roman"/>
          <w:lang w:val="en-GB"/>
        </w:rPr>
        <w:t>, map onto the primary qualities, and appearances onto the secondary qualities. That is what Kant claims (</w:t>
      </w:r>
      <w:r w:rsidR="00F74913">
        <w:rPr>
          <w:rFonts w:eastAsia="Baskerville Old Face" w:cs="Times New Roman"/>
          <w:i/>
          <w:lang w:val="en-GB"/>
        </w:rPr>
        <w:t>Prolegomena</w:t>
      </w:r>
      <w:r w:rsidR="00F74913">
        <w:rPr>
          <w:rFonts w:eastAsia="Baskerville Old Face" w:cs="Times New Roman"/>
          <w:lang w:val="en-GB"/>
        </w:rPr>
        <w:t xml:space="preserve">, </w:t>
      </w:r>
      <w:r w:rsidRPr="009C5998">
        <w:rPr>
          <w:rFonts w:eastAsia="Baskerville Old Face" w:cs="Times New Roman"/>
          <w:lang w:val="en-GB"/>
        </w:rPr>
        <w:t>4:</w:t>
      </w:r>
      <w:r w:rsidR="00D9745B" w:rsidRPr="009C5998">
        <w:rPr>
          <w:rFonts w:eastAsia="Baskerville Old Face" w:cs="Times New Roman"/>
          <w:lang w:val="en-GB"/>
        </w:rPr>
        <w:t xml:space="preserve"> </w:t>
      </w:r>
      <w:r w:rsidRPr="009C5998">
        <w:rPr>
          <w:rFonts w:eastAsia="Baskerville Old Face" w:cs="Times New Roman"/>
          <w:lang w:val="en-GB"/>
        </w:rPr>
        <w:t>289) and it forms the core of this analogy.</w:t>
      </w:r>
    </w:p>
    <w:p w14:paraId="30941AAD" w14:textId="412667B8" w:rsidR="00480493"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But unlike Allais, I do not view the primary/secondary quality distinction as that between two </w:t>
      </w:r>
      <w:r w:rsidR="004B74E1" w:rsidRPr="009C5998">
        <w:rPr>
          <w:rFonts w:eastAsia="Baskerville Old Face" w:cs="Times New Roman"/>
          <w:lang w:val="en-GB"/>
        </w:rPr>
        <w:t xml:space="preserve">ways of describing things, i.e. two </w:t>
      </w:r>
      <w:r w:rsidRPr="009C5998">
        <w:rPr>
          <w:rFonts w:eastAsia="Baskerville Old Face" w:cs="Times New Roman"/>
          <w:lang w:val="en-GB"/>
        </w:rPr>
        <w:t>aspects of things. Rather, the analogy maps the intrinsic</w:t>
      </w:r>
      <w:r w:rsidR="00377E5A" w:rsidRPr="009C5998">
        <w:rPr>
          <w:rFonts w:eastAsia="Baskerville Old Face" w:cs="Times New Roman"/>
          <w:vertAlign w:val="superscript"/>
          <w:lang w:val="en-GB"/>
        </w:rPr>
        <w:t>K</w:t>
      </w:r>
      <w:r w:rsidRPr="009C5998">
        <w:rPr>
          <w:rFonts w:eastAsia="Baskerville Old Face" w:cs="Times New Roman"/>
          <w:lang w:val="en-GB"/>
        </w:rPr>
        <w:t xml:space="preserve"> properties of ThIs</w:t>
      </w:r>
      <w:r w:rsidR="00743C69" w:rsidRPr="009C5998">
        <w:rPr>
          <w:rFonts w:eastAsia="Baskerville Old Face" w:cs="Times New Roman"/>
          <w:lang w:val="en-GB"/>
        </w:rPr>
        <w:t xml:space="preserve"> </w:t>
      </w:r>
      <w:r w:rsidRPr="009C5998">
        <w:rPr>
          <w:rFonts w:eastAsia="Baskerville Old Face" w:cs="Times New Roman"/>
          <w:lang w:val="en-GB"/>
        </w:rPr>
        <w:t xml:space="preserve">onto the perspective from which primary qualities are graspable, i.e. the perspective of the physicist. </w:t>
      </w:r>
      <w:r w:rsidR="00743C69" w:rsidRPr="009C5998">
        <w:rPr>
          <w:rFonts w:eastAsia="Baskerville Old Face" w:cs="Times New Roman"/>
          <w:lang w:val="en-GB"/>
        </w:rPr>
        <w:t>This is because these are the properties of ThIs that an intuitive understanding cogni</w:t>
      </w:r>
      <w:r w:rsidR="003F35E4">
        <w:rPr>
          <w:rFonts w:eastAsia="Baskerville Old Face" w:cs="Times New Roman"/>
          <w:lang w:val="en-GB"/>
        </w:rPr>
        <w:t>z</w:t>
      </w:r>
      <w:r w:rsidR="00743C69" w:rsidRPr="009C5998">
        <w:rPr>
          <w:rFonts w:eastAsia="Baskerville Old Face" w:cs="Times New Roman"/>
          <w:lang w:val="en-GB"/>
        </w:rPr>
        <w:t>es</w:t>
      </w:r>
      <w:r w:rsidR="00FD320A" w:rsidRPr="009C5998">
        <w:rPr>
          <w:rFonts w:eastAsia="Baskerville Old Face" w:cs="Times New Roman"/>
          <w:lang w:val="en-GB"/>
        </w:rPr>
        <w:t>.</w:t>
      </w:r>
      <w:r w:rsidR="00743C69" w:rsidRPr="009C5998">
        <w:rPr>
          <w:rFonts w:eastAsia="Baskerville Old Face" w:cs="Times New Roman"/>
          <w:lang w:val="en-GB"/>
        </w:rPr>
        <w:t xml:space="preserve"> </w:t>
      </w:r>
      <w:r w:rsidRPr="009C5998">
        <w:rPr>
          <w:rFonts w:eastAsia="Baskerville Old Face" w:cs="Times New Roman"/>
          <w:lang w:val="en-GB"/>
        </w:rPr>
        <w:t>Calling th</w:t>
      </w:r>
      <w:r w:rsidR="00743C69" w:rsidRPr="009C5998">
        <w:rPr>
          <w:rFonts w:eastAsia="Baskerville Old Face" w:cs="Times New Roman"/>
          <w:lang w:val="en-GB"/>
        </w:rPr>
        <w:t>e</w:t>
      </w:r>
      <w:r w:rsidRPr="009C5998">
        <w:rPr>
          <w:rFonts w:eastAsia="Baskerville Old Face" w:cs="Times New Roman"/>
          <w:lang w:val="en-GB"/>
        </w:rPr>
        <w:t xml:space="preserve"> </w:t>
      </w:r>
      <w:r w:rsidR="00FD320A" w:rsidRPr="009C5998">
        <w:rPr>
          <w:rFonts w:eastAsia="Baskerville Old Face" w:cs="Times New Roman"/>
          <w:lang w:val="en-GB"/>
        </w:rPr>
        <w:t>physicist’s</w:t>
      </w:r>
      <w:r w:rsidR="00743C69" w:rsidRPr="009C5998">
        <w:rPr>
          <w:rFonts w:eastAsia="Baskerville Old Face" w:cs="Times New Roman"/>
          <w:lang w:val="en-GB"/>
        </w:rPr>
        <w:t xml:space="preserve"> </w:t>
      </w:r>
      <w:r w:rsidR="00FD320A" w:rsidRPr="009C5998">
        <w:rPr>
          <w:rFonts w:eastAsia="Baskerville Old Face" w:cs="Times New Roman"/>
          <w:lang w:val="en-GB"/>
        </w:rPr>
        <w:t>understanding</w:t>
      </w:r>
      <w:r w:rsidRPr="009C5998">
        <w:rPr>
          <w:rFonts w:eastAsia="Baskerville Old Face" w:cs="Times New Roman"/>
          <w:lang w:val="en-GB"/>
        </w:rPr>
        <w:t xml:space="preserve"> </w:t>
      </w:r>
      <w:r w:rsidR="00743C69" w:rsidRPr="009C5998">
        <w:rPr>
          <w:rFonts w:eastAsia="Baskerville Old Face" w:cs="Times New Roman"/>
          <w:lang w:val="en-GB"/>
        </w:rPr>
        <w:t xml:space="preserve">a perspective </w:t>
      </w:r>
      <w:r w:rsidRPr="009C5998">
        <w:rPr>
          <w:rFonts w:eastAsia="Baskerville Old Face" w:cs="Times New Roman"/>
          <w:lang w:val="en-GB"/>
        </w:rPr>
        <w:t>rather than an aspect is not a mere linguistic issue</w:t>
      </w:r>
      <w:r w:rsidR="00743C69" w:rsidRPr="009C5998">
        <w:rPr>
          <w:rFonts w:eastAsia="Baskerville Old Face" w:cs="Times New Roman"/>
          <w:lang w:val="en-GB"/>
        </w:rPr>
        <w:t xml:space="preserve">. Indeed, </w:t>
      </w:r>
      <w:r w:rsidR="00256F8E" w:rsidRPr="009C5998">
        <w:rPr>
          <w:rFonts w:eastAsia="Baskerville Old Face" w:cs="Times New Roman"/>
          <w:lang w:val="en-GB"/>
        </w:rPr>
        <w:t xml:space="preserve">a perspective does not </w:t>
      </w:r>
      <w:r w:rsidR="001337F1" w:rsidRPr="009C5998">
        <w:rPr>
          <w:rFonts w:eastAsia="Baskerville Old Face" w:cs="Times New Roman"/>
          <w:lang w:val="en-GB"/>
        </w:rPr>
        <w:t xml:space="preserve">necessarily </w:t>
      </w:r>
      <w:r w:rsidR="00256F8E" w:rsidRPr="009C5998">
        <w:rPr>
          <w:rFonts w:eastAsia="Baskerville Old Face" w:cs="Times New Roman"/>
          <w:lang w:val="en-GB"/>
        </w:rPr>
        <w:t>refer to any other perspective</w:t>
      </w:r>
      <w:r w:rsidR="007773F9" w:rsidRPr="009C5998">
        <w:rPr>
          <w:rFonts w:eastAsia="Baskerville Old Face" w:cs="Times New Roman"/>
          <w:lang w:val="en-GB"/>
        </w:rPr>
        <w:t xml:space="preserve"> as it is a perspective </w:t>
      </w:r>
      <w:r w:rsidR="007773F9" w:rsidRPr="009C5998">
        <w:rPr>
          <w:rFonts w:eastAsia="Baskerville Old Face" w:cs="Times New Roman"/>
          <w:i/>
          <w:lang w:val="en-GB"/>
        </w:rPr>
        <w:t>on</w:t>
      </w:r>
      <w:r w:rsidR="007773F9" w:rsidRPr="009C5998">
        <w:rPr>
          <w:rFonts w:eastAsia="Baskerville Old Face" w:cs="Times New Roman"/>
          <w:lang w:val="en-GB"/>
        </w:rPr>
        <w:t xml:space="preserve"> something. On the contrary, </w:t>
      </w:r>
      <w:r w:rsidR="00256F8E" w:rsidRPr="009C5998">
        <w:rPr>
          <w:rFonts w:eastAsia="Baskerville Old Face" w:cs="Times New Roman"/>
          <w:lang w:val="en-GB"/>
        </w:rPr>
        <w:t>an aspect does</w:t>
      </w:r>
      <w:r w:rsidR="00CC3F1C" w:rsidRPr="009C5998">
        <w:rPr>
          <w:rFonts w:eastAsia="Baskerville Old Face" w:cs="Times New Roman"/>
          <w:lang w:val="en-GB"/>
        </w:rPr>
        <w:t xml:space="preserve"> </w:t>
      </w:r>
      <w:r w:rsidR="007773F9" w:rsidRPr="009C5998">
        <w:rPr>
          <w:rFonts w:eastAsia="Baskerville Old Face" w:cs="Times New Roman"/>
          <w:lang w:val="en-GB"/>
        </w:rPr>
        <w:t xml:space="preserve">so refer as it is (merely) one aspect </w:t>
      </w:r>
      <w:r w:rsidR="007773F9" w:rsidRPr="009C5998">
        <w:rPr>
          <w:rFonts w:eastAsia="Baskerville Old Face" w:cs="Times New Roman"/>
          <w:i/>
          <w:lang w:val="en-GB"/>
        </w:rPr>
        <w:t>of</w:t>
      </w:r>
      <w:r w:rsidR="007773F9" w:rsidRPr="009C5998">
        <w:rPr>
          <w:rFonts w:eastAsia="Baskerville Old Face" w:cs="Times New Roman"/>
          <w:lang w:val="en-GB"/>
        </w:rPr>
        <w:t xml:space="preserve"> something </w:t>
      </w:r>
      <w:r w:rsidR="00CC3F1C" w:rsidRPr="009C5998">
        <w:rPr>
          <w:rFonts w:eastAsia="Baskerville Old Face" w:cs="Times New Roman"/>
          <w:lang w:val="en-GB"/>
        </w:rPr>
        <w:t xml:space="preserve">(see note </w:t>
      </w:r>
      <w:r w:rsidR="00092920" w:rsidRPr="009C5998">
        <w:rPr>
          <w:rFonts w:eastAsia="Baskerville Old Face" w:cs="Times New Roman"/>
          <w:lang w:val="en-GB"/>
        </w:rPr>
        <w:t>24</w:t>
      </w:r>
      <w:r w:rsidR="00CC3F1C" w:rsidRPr="009C5998">
        <w:rPr>
          <w:rFonts w:eastAsia="Baskerville Old Face" w:cs="Times New Roman"/>
          <w:lang w:val="en-GB"/>
        </w:rPr>
        <w:t>)</w:t>
      </w:r>
      <w:r w:rsidR="00256F8E" w:rsidRPr="009C5998">
        <w:rPr>
          <w:rFonts w:eastAsia="Baskerville Old Face" w:cs="Times New Roman"/>
          <w:lang w:val="en-GB"/>
        </w:rPr>
        <w:t xml:space="preserve">. Here, in the physicist’s perspective, there is no reference to another perspective on reality. </w:t>
      </w:r>
      <w:r w:rsidR="00FD320A" w:rsidRPr="009C5998">
        <w:rPr>
          <w:rFonts w:eastAsia="Baskerville Old Face" w:cs="Times New Roman"/>
          <w:lang w:val="en-GB"/>
        </w:rPr>
        <w:t>I</w:t>
      </w:r>
      <w:r w:rsidRPr="009C5998">
        <w:rPr>
          <w:rFonts w:eastAsia="Baskerville Old Face" w:cs="Times New Roman"/>
          <w:lang w:val="en-GB"/>
        </w:rPr>
        <w:t xml:space="preserve">nsofar as physics reveals the primary qualities of things, it </w:t>
      </w:r>
      <w:r w:rsidR="00FD320A" w:rsidRPr="009C5998">
        <w:rPr>
          <w:rFonts w:eastAsia="Baskerville Old Face" w:cs="Times New Roman"/>
          <w:lang w:val="en-GB"/>
        </w:rPr>
        <w:t xml:space="preserve">has no place for </w:t>
      </w:r>
      <w:r w:rsidRPr="009C5998">
        <w:rPr>
          <w:rFonts w:eastAsia="Baskerville Old Face" w:cs="Times New Roman"/>
          <w:lang w:val="en-GB"/>
        </w:rPr>
        <w:t>secondary qualities</w:t>
      </w:r>
      <w:r w:rsidR="00FD320A" w:rsidRPr="009C5998">
        <w:rPr>
          <w:rFonts w:eastAsia="Baskerville Old Face" w:cs="Times New Roman"/>
          <w:lang w:val="en-GB"/>
        </w:rPr>
        <w:t>:</w:t>
      </w:r>
      <w:r w:rsidRPr="009C5998">
        <w:rPr>
          <w:rFonts w:eastAsia="Baskerville Old Face" w:cs="Times New Roman"/>
          <w:lang w:val="en-GB"/>
        </w:rPr>
        <w:t xml:space="preserve"> physics defines a </w:t>
      </w:r>
      <w:r w:rsidRPr="009C5998">
        <w:rPr>
          <w:rFonts w:eastAsia="Baskerville Old Face" w:cs="Times New Roman"/>
          <w:i/>
          <w:lang w:val="en-GB"/>
        </w:rPr>
        <w:t>single aspect</w:t>
      </w:r>
      <w:r w:rsidRPr="009C5998">
        <w:rPr>
          <w:rFonts w:eastAsia="Baskerville Old Face" w:cs="Times New Roman"/>
          <w:lang w:val="en-GB"/>
        </w:rPr>
        <w:t>. In the analogy, th</w:t>
      </w:r>
      <w:r w:rsidR="00092920" w:rsidRPr="009C5998">
        <w:rPr>
          <w:rFonts w:eastAsia="Baskerville Old Face" w:cs="Times New Roman"/>
          <w:lang w:val="en-GB"/>
        </w:rPr>
        <w:t>e corresponding</w:t>
      </w:r>
      <w:r w:rsidRPr="009C5998">
        <w:rPr>
          <w:rFonts w:eastAsia="Baskerville Old Face" w:cs="Times New Roman"/>
          <w:lang w:val="en-GB"/>
        </w:rPr>
        <w:t xml:space="preserve"> perspective is merely problematic for Kant.</w:t>
      </w:r>
    </w:p>
    <w:p w14:paraId="48DB68B1" w14:textId="76658868" w:rsidR="00CA37AC"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From the perspective of our cognition, there is a </w:t>
      </w:r>
      <w:r w:rsidRPr="009C5998">
        <w:rPr>
          <w:rFonts w:eastAsia="Baskerville Old Face" w:cs="Times New Roman"/>
          <w:i/>
          <w:iCs/>
          <w:lang w:val="en-GB"/>
        </w:rPr>
        <w:t>dual aspect</w:t>
      </w:r>
      <w:r w:rsidRPr="009C5998">
        <w:rPr>
          <w:rFonts w:eastAsia="Baskerville Old Face" w:cs="Times New Roman"/>
          <w:lang w:val="en-GB"/>
        </w:rPr>
        <w:t>: insofar as the ‘appearance’ aspect</w:t>
      </w:r>
      <w:r w:rsidR="00C826ED" w:rsidRPr="009C5998">
        <w:rPr>
          <w:rFonts w:eastAsia="Baskerville Old Face" w:cs="Times New Roman"/>
          <w:lang w:val="en-GB"/>
        </w:rPr>
        <w:t xml:space="preserve"> (secondary extrinsic</w:t>
      </w:r>
      <w:r w:rsidR="00C826ED" w:rsidRPr="009C5998">
        <w:rPr>
          <w:rFonts w:eastAsia="Baskerville Old Face" w:cs="Times New Roman"/>
          <w:vertAlign w:val="superscript"/>
          <w:lang w:val="en-GB"/>
        </w:rPr>
        <w:t>K</w:t>
      </w:r>
      <w:r w:rsidR="00C826ED" w:rsidRPr="009C5998">
        <w:rPr>
          <w:rFonts w:eastAsia="Baskerville Old Face" w:cs="Times New Roman"/>
          <w:lang w:val="en-GB"/>
        </w:rPr>
        <w:t xml:space="preserve"> properties)</w:t>
      </w:r>
      <w:r w:rsidRPr="009C5998">
        <w:rPr>
          <w:rFonts w:eastAsia="Baskerville Old Face" w:cs="Times New Roman"/>
          <w:lang w:val="en-GB"/>
        </w:rPr>
        <w:t xml:space="preserve"> maps onto secondary qualities, the ‘in-itself’ aspect</w:t>
      </w:r>
      <w:r w:rsidR="00C826ED" w:rsidRPr="009C5998">
        <w:rPr>
          <w:rFonts w:eastAsia="Baskerville Old Face" w:cs="Times New Roman"/>
          <w:lang w:val="en-GB"/>
        </w:rPr>
        <w:t xml:space="preserve"> (basic extrinsic</w:t>
      </w:r>
      <w:r w:rsidR="00C826ED" w:rsidRPr="009C5998">
        <w:rPr>
          <w:rFonts w:eastAsia="Baskerville Old Face" w:cs="Times New Roman"/>
          <w:vertAlign w:val="superscript"/>
          <w:lang w:val="en-GB"/>
        </w:rPr>
        <w:t>K</w:t>
      </w:r>
      <w:r w:rsidR="00C826ED" w:rsidRPr="009C5998">
        <w:rPr>
          <w:rFonts w:eastAsia="Baskerville Old Face" w:cs="Times New Roman"/>
          <w:lang w:val="en-GB"/>
        </w:rPr>
        <w:t xml:space="preserve"> properties)</w:t>
      </w:r>
      <w:r w:rsidRPr="009C5998">
        <w:rPr>
          <w:rFonts w:eastAsia="Baskerville Old Face" w:cs="Times New Roman"/>
          <w:lang w:val="en-GB"/>
        </w:rPr>
        <w:t xml:space="preserve">, on my interpretation, maps onto the ground of these secondary qualities. Unlike Allais’s account, </w:t>
      </w:r>
      <w:r w:rsidRPr="009C5998">
        <w:rPr>
          <w:rFonts w:eastAsia="Baskerville Old Face" w:cs="Times New Roman"/>
          <w:i/>
          <w:lang w:val="en-GB"/>
        </w:rPr>
        <w:t>this ground</w:t>
      </w:r>
      <w:r w:rsidR="00377E5A" w:rsidRPr="009C5998">
        <w:rPr>
          <w:rFonts w:eastAsia="Baskerville Old Face" w:cs="Times New Roman"/>
          <w:i/>
          <w:lang w:val="en-GB"/>
        </w:rPr>
        <w:t>ing</w:t>
      </w:r>
      <w:r w:rsidRPr="009C5998">
        <w:rPr>
          <w:rFonts w:eastAsia="Baskerville Old Face" w:cs="Times New Roman"/>
          <w:i/>
          <w:lang w:val="en-GB"/>
        </w:rPr>
        <w:t xml:space="preserve"> </w:t>
      </w:r>
      <w:r w:rsidR="00C826ED" w:rsidRPr="009C5998">
        <w:rPr>
          <w:rFonts w:eastAsia="Baskerville Old Face" w:cs="Times New Roman"/>
          <w:i/>
          <w:lang w:val="en-GB"/>
        </w:rPr>
        <w:t xml:space="preserve">role </w:t>
      </w:r>
      <w:r w:rsidR="00377E5A" w:rsidRPr="009C5998">
        <w:rPr>
          <w:rFonts w:eastAsia="Baskerville Old Face" w:cs="Times New Roman"/>
          <w:i/>
          <w:lang w:val="en-GB"/>
        </w:rPr>
        <w:t>does not define</w:t>
      </w:r>
      <w:r w:rsidRPr="009C5998">
        <w:rPr>
          <w:rFonts w:eastAsia="Baskerville Old Face" w:cs="Times New Roman"/>
          <w:i/>
          <w:lang w:val="en-GB"/>
        </w:rPr>
        <w:t xml:space="preserve"> primary qualities</w:t>
      </w:r>
      <w:r w:rsidR="00377E5A" w:rsidRPr="009C5998">
        <w:rPr>
          <w:rFonts w:eastAsia="Baskerville Old Face" w:cs="Times New Roman"/>
          <w:lang w:val="en-GB"/>
        </w:rPr>
        <w:t xml:space="preserve">, but something that lies between primary and secondary qualities, namely the </w:t>
      </w:r>
      <w:r w:rsidR="00757339" w:rsidRPr="009C5998">
        <w:rPr>
          <w:rFonts w:eastAsia="Baskerville Old Face" w:cs="Times New Roman"/>
          <w:lang w:val="en-GB"/>
        </w:rPr>
        <w:t>primary qualities’</w:t>
      </w:r>
      <w:r w:rsidR="00377E5A" w:rsidRPr="009C5998">
        <w:rPr>
          <w:rFonts w:eastAsia="Baskerville Old Face" w:cs="Times New Roman"/>
          <w:lang w:val="en-GB"/>
        </w:rPr>
        <w:t xml:space="preserve"> ability to bring about </w:t>
      </w:r>
      <w:r w:rsidR="00757339" w:rsidRPr="009C5998">
        <w:rPr>
          <w:rFonts w:eastAsia="Baskerville Old Face" w:cs="Times New Roman"/>
          <w:lang w:val="en-GB"/>
        </w:rPr>
        <w:t>secondary qualities</w:t>
      </w:r>
      <w:r w:rsidR="00377E5A" w:rsidRPr="009C5998">
        <w:rPr>
          <w:rFonts w:eastAsia="Baskerville Old Face" w:cs="Times New Roman"/>
          <w:lang w:val="en-GB"/>
        </w:rPr>
        <w:t xml:space="preserve">. </w:t>
      </w:r>
      <w:r w:rsidR="00720837" w:rsidRPr="009C5998">
        <w:rPr>
          <w:rFonts w:eastAsia="Baskerville Old Face" w:cs="Times New Roman"/>
          <w:lang w:val="en-GB"/>
        </w:rPr>
        <w:t>A</w:t>
      </w:r>
      <w:r w:rsidRPr="009C5998">
        <w:rPr>
          <w:rFonts w:eastAsia="Baskerville Old Face" w:cs="Times New Roman"/>
          <w:lang w:val="en-GB"/>
        </w:rPr>
        <w:t xml:space="preserve">n account of how </w:t>
      </w:r>
      <w:r w:rsidR="00377E5A" w:rsidRPr="009C5998">
        <w:rPr>
          <w:rFonts w:eastAsia="Baskerville Old Face" w:cs="Times New Roman"/>
          <w:lang w:val="en-GB"/>
        </w:rPr>
        <w:t xml:space="preserve">physical properties give rise to </w:t>
      </w:r>
      <w:r w:rsidRPr="009C5998">
        <w:rPr>
          <w:rFonts w:eastAsia="Baskerville Old Face" w:cs="Times New Roman"/>
          <w:lang w:val="en-GB"/>
        </w:rPr>
        <w:t>colour</w:t>
      </w:r>
      <w:r w:rsidR="00377E5A" w:rsidRPr="009C5998">
        <w:rPr>
          <w:rFonts w:eastAsia="Baskerville Old Face" w:cs="Times New Roman"/>
          <w:lang w:val="en-GB"/>
        </w:rPr>
        <w:t>s</w:t>
      </w:r>
      <w:r w:rsidRPr="009C5998">
        <w:rPr>
          <w:rFonts w:eastAsia="Baskerville Old Face" w:cs="Times New Roman"/>
          <w:lang w:val="en-GB"/>
        </w:rPr>
        <w:t xml:space="preserve"> does not belong to physics, </w:t>
      </w:r>
      <w:r w:rsidR="00377E5A" w:rsidRPr="009C5998">
        <w:rPr>
          <w:rFonts w:eastAsia="Baskerville Old Face" w:cs="Times New Roman"/>
          <w:lang w:val="en-GB"/>
        </w:rPr>
        <w:t>because these are only properties for our kind of perception.</w:t>
      </w:r>
      <w:r w:rsidR="00424575" w:rsidRPr="009C5998">
        <w:rPr>
          <w:rStyle w:val="EndnoteReference"/>
          <w:rFonts w:eastAsia="Baskerville Old Face" w:cs="Times New Roman"/>
          <w:lang w:val="en-GB"/>
        </w:rPr>
        <w:endnoteReference w:id="37"/>
      </w:r>
      <w:r w:rsidRPr="009C5998">
        <w:rPr>
          <w:rFonts w:eastAsia="Baskerville Old Face" w:cs="Times New Roman"/>
          <w:lang w:val="en-GB"/>
        </w:rPr>
        <w:t xml:space="preserve"> It is therefore this </w:t>
      </w:r>
      <w:r w:rsidR="0061465C" w:rsidRPr="009C5998">
        <w:rPr>
          <w:rFonts w:eastAsia="Baskerville Old Face" w:cs="Times New Roman"/>
          <w:lang w:val="en-GB"/>
        </w:rPr>
        <w:t>capacity</w:t>
      </w:r>
      <w:r w:rsidRPr="009C5998">
        <w:rPr>
          <w:rFonts w:eastAsia="Baskerville Old Face" w:cs="Times New Roman"/>
          <w:lang w:val="en-GB"/>
        </w:rPr>
        <w:t xml:space="preserve"> of objects with primary </w:t>
      </w:r>
      <w:r w:rsidR="0061465C" w:rsidRPr="009C5998">
        <w:rPr>
          <w:rFonts w:eastAsia="Baskerville Old Face" w:cs="Times New Roman"/>
          <w:lang w:val="en-GB"/>
        </w:rPr>
        <w:t>qualities</w:t>
      </w:r>
      <w:r w:rsidRPr="009C5998">
        <w:rPr>
          <w:rFonts w:eastAsia="Baskerville Old Face" w:cs="Times New Roman"/>
          <w:lang w:val="en-GB"/>
        </w:rPr>
        <w:t xml:space="preserve"> to g</w:t>
      </w:r>
      <w:r w:rsidR="00F92DDD" w:rsidRPr="009C5998">
        <w:rPr>
          <w:rFonts w:eastAsia="Baskerville Old Face" w:cs="Times New Roman"/>
          <w:lang w:val="en-GB"/>
        </w:rPr>
        <w:t>ive rise to</w:t>
      </w:r>
      <w:r w:rsidRPr="009C5998">
        <w:rPr>
          <w:rFonts w:eastAsia="Baskerville Old Face" w:cs="Times New Roman"/>
          <w:lang w:val="en-GB"/>
        </w:rPr>
        <w:t xml:space="preserve"> secondary properties in us that the ‘in-itself’ aspect </w:t>
      </w:r>
      <w:r w:rsidR="0061465C" w:rsidRPr="009C5998">
        <w:rPr>
          <w:rFonts w:eastAsia="Baskerville Old Face" w:cs="Times New Roman"/>
          <w:lang w:val="en-GB"/>
        </w:rPr>
        <w:t xml:space="preserve">of our perspective </w:t>
      </w:r>
      <w:r w:rsidRPr="009C5998">
        <w:rPr>
          <w:rFonts w:eastAsia="Baskerville Old Face" w:cs="Times New Roman"/>
          <w:lang w:val="en-GB"/>
        </w:rPr>
        <w:t>map</w:t>
      </w:r>
      <w:r w:rsidR="00C17392" w:rsidRPr="009C5998">
        <w:rPr>
          <w:rFonts w:eastAsia="Baskerville Old Face" w:cs="Times New Roman"/>
          <w:lang w:val="en-GB"/>
        </w:rPr>
        <w:t>s</w:t>
      </w:r>
      <w:r w:rsidRPr="009C5998">
        <w:rPr>
          <w:rFonts w:eastAsia="Baskerville Old Face" w:cs="Times New Roman"/>
          <w:lang w:val="en-GB"/>
        </w:rPr>
        <w:t xml:space="preserve"> onto.</w:t>
      </w:r>
    </w:p>
    <w:p w14:paraId="7CA7A641" w14:textId="6A2520E1" w:rsidR="00CA37AC" w:rsidRPr="001D4D2C" w:rsidRDefault="001D4D2C" w:rsidP="001D4D2C">
      <w:pPr>
        <w:pStyle w:val="BodyA"/>
        <w:spacing w:after="240"/>
        <w:rPr>
          <w:rFonts w:eastAsia="Baskerville Old Face" w:cs="Times New Roman"/>
          <w:lang w:val="en-GB"/>
        </w:rPr>
      </w:pPr>
      <w:r w:rsidRPr="001D4D2C">
        <w:rPr>
          <w:rFonts w:eastAsia="Baskerville Old Face" w:cs="Times New Roman"/>
          <w:b/>
          <w:bCs/>
          <w:lang w:val="en-GB"/>
        </w:rPr>
        <w:t>4</w:t>
      </w:r>
      <w:r w:rsidR="00CA37AC" w:rsidRPr="001D4D2C">
        <w:rPr>
          <w:rFonts w:eastAsia="Baskerville Old Face" w:cs="Times New Roman"/>
          <w:b/>
          <w:bCs/>
          <w:lang w:val="en-GB"/>
        </w:rPr>
        <w:t xml:space="preserve">. Some </w:t>
      </w:r>
      <w:r w:rsidRPr="001D4D2C">
        <w:rPr>
          <w:rFonts w:eastAsia="Baskerville Old Face" w:cs="Times New Roman"/>
          <w:b/>
          <w:bCs/>
          <w:lang w:val="en-GB"/>
        </w:rPr>
        <w:t>O</w:t>
      </w:r>
      <w:r w:rsidR="00CA37AC" w:rsidRPr="001D4D2C">
        <w:rPr>
          <w:rFonts w:eastAsia="Baskerville Old Face" w:cs="Times New Roman"/>
          <w:b/>
          <w:bCs/>
          <w:lang w:val="en-GB"/>
        </w:rPr>
        <w:t>bjections</w:t>
      </w:r>
    </w:p>
    <w:p w14:paraId="562907FF" w14:textId="08DA3D54" w:rsidR="00C627C6" w:rsidRPr="009C5998" w:rsidRDefault="00C627C6" w:rsidP="001D4D2C">
      <w:pPr>
        <w:pStyle w:val="BodyA"/>
        <w:spacing w:after="240"/>
        <w:rPr>
          <w:rFonts w:eastAsia="Baskerville Old Face" w:cs="Times New Roman"/>
          <w:i/>
          <w:iCs/>
          <w:lang w:val="en-GB"/>
        </w:rPr>
      </w:pPr>
      <w:r w:rsidRPr="009C5998">
        <w:rPr>
          <w:rFonts w:eastAsia="Baskerville Old Face" w:cs="Times New Roman"/>
          <w:i/>
          <w:iCs/>
          <w:lang w:val="en-GB"/>
        </w:rPr>
        <w:t>Jacobi’s worr</w:t>
      </w:r>
      <w:r w:rsidR="003E495B" w:rsidRPr="009C5998">
        <w:rPr>
          <w:rFonts w:eastAsia="Baskerville Old Face" w:cs="Times New Roman"/>
          <w:i/>
          <w:iCs/>
          <w:lang w:val="en-GB"/>
        </w:rPr>
        <w:t>ies</w:t>
      </w:r>
    </w:p>
    <w:p w14:paraId="0358B4CD" w14:textId="3AF16C0F" w:rsidR="003E495B" w:rsidRPr="009C5998" w:rsidRDefault="00092920" w:rsidP="003E495B">
      <w:pPr>
        <w:pStyle w:val="BodyA"/>
        <w:spacing w:after="240" w:line="480" w:lineRule="auto"/>
        <w:rPr>
          <w:rFonts w:eastAsia="Baskerville Old Face" w:cs="Times New Roman"/>
          <w:lang w:val="en-GB"/>
        </w:rPr>
      </w:pPr>
      <w:r w:rsidRPr="009C5998">
        <w:rPr>
          <w:rFonts w:eastAsia="Baskerville Old Face" w:cs="Times New Roman"/>
          <w:lang w:val="en-GB"/>
        </w:rPr>
        <w:t>J</w:t>
      </w:r>
      <w:r w:rsidR="003E495B" w:rsidRPr="009C5998">
        <w:rPr>
          <w:rFonts w:eastAsia="Baskerville Old Face" w:cs="Times New Roman"/>
          <w:lang w:val="en-GB"/>
        </w:rPr>
        <w:t xml:space="preserve">acobi famously complained that he had been unable to enter into the Critical </w:t>
      </w:r>
      <w:r w:rsidR="00B50E9E">
        <w:rPr>
          <w:rFonts w:eastAsia="Baskerville Old Face" w:cs="Times New Roman"/>
          <w:lang w:val="en-GB"/>
        </w:rPr>
        <w:t>s</w:t>
      </w:r>
      <w:r w:rsidR="003E495B" w:rsidRPr="009C5998">
        <w:rPr>
          <w:rFonts w:eastAsia="Baskerville Old Face" w:cs="Times New Roman"/>
          <w:lang w:val="en-GB"/>
        </w:rPr>
        <w:t xml:space="preserve">ystem without assuming the existence of ThIs, but that with that presupposition he had found it difficult to remain </w:t>
      </w:r>
      <w:r w:rsidR="00D005A9">
        <w:rPr>
          <w:rFonts w:eastAsia="Baskerville Old Face" w:cs="Times New Roman"/>
          <w:lang w:val="en-GB"/>
        </w:rPr>
        <w:t>there</w:t>
      </w:r>
      <w:r w:rsidR="003E495B" w:rsidRPr="009C5998">
        <w:rPr>
          <w:rFonts w:eastAsia="Baskerville Old Face" w:cs="Times New Roman"/>
          <w:lang w:val="en-GB"/>
        </w:rPr>
        <w:t xml:space="preserve">in (Jacobi, 1994). Jacobi’s complaint is that, </w:t>
      </w:r>
      <w:bookmarkStart w:id="5" w:name="_Hlk495124975"/>
      <w:r w:rsidR="003E495B" w:rsidRPr="009C5998">
        <w:rPr>
          <w:rFonts w:eastAsia="Baskerville Old Face" w:cs="Times New Roman"/>
          <w:lang w:val="en-GB"/>
        </w:rPr>
        <w:t xml:space="preserve">to enter into the </w:t>
      </w:r>
      <w:r w:rsidR="00D005A9">
        <w:rPr>
          <w:rFonts w:eastAsia="Baskerville Old Face" w:cs="Times New Roman"/>
          <w:lang w:val="en-GB"/>
        </w:rPr>
        <w:t>C</w:t>
      </w:r>
      <w:r w:rsidR="003E495B" w:rsidRPr="009C5998">
        <w:rPr>
          <w:rFonts w:eastAsia="Baskerville Old Face" w:cs="Times New Roman"/>
          <w:lang w:val="en-GB"/>
        </w:rPr>
        <w:t>ritical system, one needs to assume</w:t>
      </w:r>
      <w:r w:rsidR="00D005A9">
        <w:rPr>
          <w:rFonts w:eastAsia="Baskerville Old Face" w:cs="Times New Roman"/>
          <w:lang w:val="en-GB"/>
        </w:rPr>
        <w:t xml:space="preserve"> that</w:t>
      </w:r>
      <w:r w:rsidR="003E495B" w:rsidRPr="009C5998">
        <w:rPr>
          <w:rFonts w:eastAsia="Baskerville Old Face" w:cs="Times New Roman"/>
          <w:lang w:val="en-GB"/>
        </w:rPr>
        <w:t xml:space="preserve"> something real (in-itself) is given as precondition for having experience, i.e. as ground of our sensations, and once the system is in place, this reality turns out to lie beyond the bounds of possible knowledge.</w:t>
      </w:r>
      <w:bookmarkEnd w:id="5"/>
    </w:p>
    <w:p w14:paraId="4C79BAE7" w14:textId="19A32E99" w:rsidR="003E495B" w:rsidRPr="009C5998" w:rsidRDefault="003E495B" w:rsidP="003E495B">
      <w:pPr>
        <w:pStyle w:val="BodyA"/>
        <w:spacing w:after="240" w:line="480" w:lineRule="auto"/>
        <w:rPr>
          <w:rFonts w:eastAsia="Baskerville Old Face" w:cs="Times New Roman"/>
          <w:lang w:val="en-GB"/>
        </w:rPr>
      </w:pPr>
      <w:r w:rsidRPr="009C5998">
        <w:rPr>
          <w:rFonts w:eastAsia="Baskerville Old Face" w:cs="Times New Roman"/>
          <w:lang w:val="en-GB"/>
        </w:rPr>
        <w:t xml:space="preserve">Jacobi thereby raises two concerns: the purported problem of using the category of causality outside the realm of possible experience and that of the status of </w:t>
      </w:r>
      <w:r w:rsidR="006F4AFB" w:rsidRPr="009C5998">
        <w:rPr>
          <w:rFonts w:eastAsia="Baskerville Old Face" w:cs="Times New Roman"/>
          <w:lang w:val="en-GB"/>
        </w:rPr>
        <w:t>the</w:t>
      </w:r>
      <w:r w:rsidRPr="009C5998">
        <w:rPr>
          <w:rFonts w:eastAsia="Baskerville Old Face" w:cs="Times New Roman"/>
          <w:lang w:val="en-GB"/>
        </w:rPr>
        <w:t xml:space="preserve"> claim </w:t>
      </w:r>
      <w:r w:rsidR="006F4AFB" w:rsidRPr="009C5998">
        <w:rPr>
          <w:rFonts w:eastAsia="Baskerville Old Face" w:cs="Times New Roman"/>
          <w:lang w:val="en-GB"/>
        </w:rPr>
        <w:t>that</w:t>
      </w:r>
      <w:r w:rsidRPr="009C5998">
        <w:rPr>
          <w:rFonts w:eastAsia="Baskerville Old Face" w:cs="Times New Roman"/>
          <w:lang w:val="en-GB"/>
        </w:rPr>
        <w:t xml:space="preserve"> ThIs</w:t>
      </w:r>
      <w:r w:rsidR="006F4AFB" w:rsidRPr="009C5998">
        <w:rPr>
          <w:rFonts w:eastAsia="Baskerville Old Face" w:cs="Times New Roman"/>
          <w:lang w:val="en-GB"/>
        </w:rPr>
        <w:t xml:space="preserve"> exist</w:t>
      </w:r>
      <w:r w:rsidRPr="009C5998">
        <w:rPr>
          <w:rFonts w:eastAsia="Baskerville Old Face" w:cs="Times New Roman"/>
          <w:lang w:val="en-GB"/>
        </w:rPr>
        <w:t xml:space="preserve">. </w:t>
      </w:r>
      <w:r w:rsidR="006F4AFB" w:rsidRPr="009C5998">
        <w:rPr>
          <w:rFonts w:eastAsia="Baskerville Old Face" w:cs="Times New Roman"/>
          <w:lang w:val="en-GB"/>
        </w:rPr>
        <w:t>Starting with</w:t>
      </w:r>
      <w:r w:rsidRPr="009C5998">
        <w:rPr>
          <w:rFonts w:eastAsia="Baskerville Old Face" w:cs="Times New Roman"/>
          <w:lang w:val="en-GB"/>
        </w:rPr>
        <w:t xml:space="preserve"> the first issue, there is overwhelming evidence that Kant allows a use of the categories outside the spatio-temporal domain of sensible intuition, while not allowing that it provides any determinate objective knowledge (e.g. Adams 1997:</w:t>
      </w:r>
      <w:r w:rsidR="00D9745B" w:rsidRPr="009C5998">
        <w:rPr>
          <w:rFonts w:eastAsia="Baskerville Old Face" w:cs="Times New Roman"/>
          <w:lang w:val="en-GB"/>
        </w:rPr>
        <w:t xml:space="preserve"> </w:t>
      </w:r>
      <w:r w:rsidRPr="009C5998">
        <w:rPr>
          <w:rFonts w:eastAsia="Baskerville Old Face" w:cs="Times New Roman"/>
          <w:lang w:val="en-GB"/>
        </w:rPr>
        <w:t>810). Indeed, although Kant claims that, when they are not applied to sensible intuition, the categories are without meaning (A239/B298), this is in the sense of determinate objective meaning. So the claim, when spelt out, is that without such intuition the categories are ‘representations that we cannot relate to any determinate object’ (A258/B314). But, as Kant says in the same chapter, ‘[t]he pure categories, without formal conditions of sensibility have merely transcendental significance, but are not of any transcendental use’ (A248/B305). This implies that ‘the categories extend further than sensible intuition since they think objects in general’ (B309/A254). This use of the categories is, moreover, essential to forming the Ideas of Pure Reason, so if rejected, central claims of the Transcendental Dialectic would have to go. This is all that is needed to confirm the possibility of a use of the category of causality outside the domain of possible experience.</w:t>
      </w:r>
    </w:p>
    <w:p w14:paraId="4FA678C0" w14:textId="196BA70F" w:rsidR="00C627C6" w:rsidRPr="009C5998" w:rsidRDefault="003E495B" w:rsidP="00C627C6">
      <w:pPr>
        <w:pStyle w:val="BodyA"/>
        <w:spacing w:after="240" w:line="480" w:lineRule="auto"/>
        <w:rPr>
          <w:rFonts w:eastAsia="Baskerville Old Face" w:cs="Times New Roman"/>
          <w:lang w:val="en-GB"/>
        </w:rPr>
      </w:pPr>
      <w:r w:rsidRPr="009C5998">
        <w:rPr>
          <w:rFonts w:eastAsia="Baskerville Old Face" w:cs="Times New Roman"/>
          <w:lang w:val="en-GB"/>
        </w:rPr>
        <w:t xml:space="preserve">Turning to Jacobi’s second worry, </w:t>
      </w:r>
      <w:r w:rsidR="006F4AFB" w:rsidRPr="009C5998">
        <w:rPr>
          <w:rFonts w:eastAsia="Baskerville Old Face" w:cs="Times New Roman"/>
          <w:lang w:val="en-GB"/>
        </w:rPr>
        <w:t>s</w:t>
      </w:r>
      <w:r w:rsidR="00B41682" w:rsidRPr="009C5998">
        <w:rPr>
          <w:rFonts w:eastAsia="Baskerville Old Face" w:cs="Times New Roman"/>
          <w:lang w:val="en-GB"/>
        </w:rPr>
        <w:t xml:space="preserve">ome commentators view the claim of </w:t>
      </w:r>
      <w:r w:rsidR="00C627C6" w:rsidRPr="009C5998">
        <w:rPr>
          <w:rFonts w:eastAsia="Baskerville Old Face" w:cs="Times New Roman"/>
          <w:lang w:val="en-GB"/>
        </w:rPr>
        <w:t>existence of ThIs</w:t>
      </w:r>
      <w:r w:rsidR="00B41682" w:rsidRPr="009C5998">
        <w:rPr>
          <w:rFonts w:eastAsia="Baskerville Old Face" w:cs="Times New Roman"/>
          <w:lang w:val="en-GB"/>
        </w:rPr>
        <w:t xml:space="preserve"> as lying </w:t>
      </w:r>
      <w:r w:rsidR="00C627C6" w:rsidRPr="009C5998">
        <w:rPr>
          <w:rFonts w:eastAsia="Baskerville Old Face" w:cs="Times New Roman"/>
          <w:lang w:val="en-GB"/>
        </w:rPr>
        <w:t>beyond the bounds of possible knowledge (Senderowicz 2005</w:t>
      </w:r>
      <w:r w:rsidR="00BD3F5D">
        <w:rPr>
          <w:rFonts w:eastAsia="Baskerville Old Face" w:cs="Times New Roman"/>
          <w:lang w:val="en-GB"/>
        </w:rPr>
        <w:t>,</w:t>
      </w:r>
      <w:r w:rsidR="00C627C6" w:rsidRPr="009C5998">
        <w:rPr>
          <w:rFonts w:eastAsia="Baskerville Old Face" w:cs="Times New Roman"/>
          <w:lang w:val="en-GB"/>
        </w:rPr>
        <w:t xml:space="preserve"> Bird 2006: 553-80). </w:t>
      </w:r>
      <w:r w:rsidR="006F4AFB" w:rsidRPr="009C5998">
        <w:rPr>
          <w:rFonts w:eastAsia="Baskerville Old Face" w:cs="Times New Roman"/>
          <w:lang w:val="en-GB"/>
        </w:rPr>
        <w:t>However, t</w:t>
      </w:r>
      <w:r w:rsidR="00B41682" w:rsidRPr="009C5998">
        <w:rPr>
          <w:rFonts w:eastAsia="Baskerville Old Face" w:cs="Times New Roman"/>
          <w:lang w:val="en-GB"/>
        </w:rPr>
        <w:t xml:space="preserve">he knowledge Kant analyses in the </w:t>
      </w:r>
      <w:r w:rsidR="00BD3F5D">
        <w:rPr>
          <w:rFonts w:eastAsia="Baskerville Old Face" w:cs="Times New Roman"/>
          <w:lang w:val="en-GB"/>
        </w:rPr>
        <w:t xml:space="preserve">first </w:t>
      </w:r>
      <w:r w:rsidR="00BD3F5D">
        <w:rPr>
          <w:rFonts w:eastAsia="Baskerville Old Face" w:cs="Times New Roman"/>
          <w:i/>
          <w:lang w:val="en-GB"/>
        </w:rPr>
        <w:t>Critique</w:t>
      </w:r>
      <w:r w:rsidR="00BD3F5D">
        <w:rPr>
          <w:rFonts w:eastAsia="Baskerville Old Face" w:cs="Times New Roman"/>
          <w:lang w:val="en-GB"/>
        </w:rPr>
        <w:t xml:space="preserve"> </w:t>
      </w:r>
      <w:r w:rsidR="00C627C6" w:rsidRPr="009C5998">
        <w:rPr>
          <w:rFonts w:eastAsia="Baskerville Old Face" w:cs="Times New Roman"/>
          <w:lang w:val="en-GB"/>
        </w:rPr>
        <w:t xml:space="preserve">involves determination of empirical objects, of laws governing their behaviour (physics), or laws governing pure spatial (geometry) or </w:t>
      </w:r>
      <w:r w:rsidR="00092920" w:rsidRPr="009C5998">
        <w:rPr>
          <w:rFonts w:eastAsia="Baskerville Old Face" w:cs="Times New Roman"/>
          <w:lang w:val="en-GB"/>
        </w:rPr>
        <w:t xml:space="preserve">also possibly </w:t>
      </w:r>
      <w:r w:rsidR="00C627C6" w:rsidRPr="009C5998">
        <w:rPr>
          <w:rFonts w:eastAsia="Baskerville Old Face" w:cs="Times New Roman"/>
          <w:lang w:val="en-GB"/>
        </w:rPr>
        <w:t xml:space="preserve">non-spatial (arithmetic) magnitudes. The bounds that Kant identifies are thus bounds of possible </w:t>
      </w:r>
      <w:r w:rsidR="00C627C6" w:rsidRPr="009C5998">
        <w:rPr>
          <w:rFonts w:eastAsia="Baskerville Old Face" w:cs="Times New Roman"/>
          <w:i/>
          <w:iCs/>
          <w:lang w:val="en-GB"/>
        </w:rPr>
        <w:t>determinate</w:t>
      </w:r>
      <w:r w:rsidR="00C627C6" w:rsidRPr="009C5998">
        <w:rPr>
          <w:rFonts w:eastAsia="Baskerville Old Face" w:cs="Times New Roman"/>
          <w:lang w:val="en-GB"/>
        </w:rPr>
        <w:t xml:space="preserve"> knowledge. </w:t>
      </w:r>
      <w:r w:rsidR="006F4AFB" w:rsidRPr="009C5998">
        <w:rPr>
          <w:rFonts w:eastAsia="Baskerville Old Face" w:cs="Times New Roman"/>
          <w:lang w:val="en-GB"/>
        </w:rPr>
        <w:t>This contrasts with t</w:t>
      </w:r>
      <w:r w:rsidR="00C627C6" w:rsidRPr="009C5998">
        <w:rPr>
          <w:rFonts w:eastAsia="Baskerville Old Face" w:cs="Times New Roman"/>
          <w:lang w:val="en-GB"/>
        </w:rPr>
        <w:t xml:space="preserve">he purported knowledge of ThIs </w:t>
      </w:r>
      <w:r w:rsidR="006F4AFB" w:rsidRPr="009C5998">
        <w:rPr>
          <w:rFonts w:eastAsia="Baskerville Old Face" w:cs="Times New Roman"/>
          <w:lang w:val="en-GB"/>
        </w:rPr>
        <w:t xml:space="preserve">that </w:t>
      </w:r>
      <w:r w:rsidR="00C627C6" w:rsidRPr="009C5998">
        <w:rPr>
          <w:rFonts w:eastAsia="Baskerville Old Face" w:cs="Times New Roman"/>
          <w:lang w:val="en-GB"/>
        </w:rPr>
        <w:t>is indeterminate.</w:t>
      </w:r>
      <w:r w:rsidR="00C627C6" w:rsidRPr="009C5998">
        <w:rPr>
          <w:rFonts w:eastAsia="Baskerville Old Face" w:cs="Times New Roman"/>
          <w:vertAlign w:val="superscript"/>
          <w:lang w:val="en-GB"/>
        </w:rPr>
        <w:endnoteReference w:id="38"/>
      </w:r>
      <w:r w:rsidR="00C627C6" w:rsidRPr="009C5998">
        <w:rPr>
          <w:rFonts w:eastAsia="Baskerville Old Face" w:cs="Times New Roman"/>
          <w:lang w:val="en-GB"/>
        </w:rPr>
        <w:t xml:space="preserve"> As such, it is not excluded (see Ameriks 2000)</w:t>
      </w:r>
      <w:r w:rsidR="00B41682" w:rsidRPr="009C5998">
        <w:rPr>
          <w:rFonts w:eastAsia="Baskerville Old Face" w:cs="Times New Roman"/>
          <w:lang w:val="en-GB"/>
        </w:rPr>
        <w:t xml:space="preserve">; indeed </w:t>
      </w:r>
      <w:r w:rsidR="00C627C6" w:rsidRPr="009C5998">
        <w:rPr>
          <w:rFonts w:eastAsia="Baskerville Old Face" w:cs="Times New Roman"/>
          <w:lang w:val="en-GB"/>
        </w:rPr>
        <w:t xml:space="preserve">Kant </w:t>
      </w:r>
      <w:r w:rsidR="00B41682" w:rsidRPr="009C5998">
        <w:rPr>
          <w:rFonts w:eastAsia="Baskerville Old Face" w:cs="Times New Roman"/>
          <w:lang w:val="en-GB"/>
        </w:rPr>
        <w:t xml:space="preserve">clearly </w:t>
      </w:r>
      <w:r w:rsidR="00C627C6" w:rsidRPr="009C5998">
        <w:rPr>
          <w:rFonts w:eastAsia="Baskerville Old Face" w:cs="Times New Roman"/>
          <w:lang w:val="en-GB"/>
        </w:rPr>
        <w:t xml:space="preserve">states: ‘without the condition of sensible intuition, the categories have no relation to any determinate object’ (A246; see also A258/B314). </w:t>
      </w:r>
      <w:r w:rsidR="00B41682" w:rsidRPr="009C5998">
        <w:rPr>
          <w:rFonts w:eastAsia="Baskerville Old Face" w:cs="Times New Roman"/>
          <w:lang w:val="en-GB"/>
        </w:rPr>
        <w:t xml:space="preserve">This does not exclude </w:t>
      </w:r>
      <w:r w:rsidR="00C627C6" w:rsidRPr="009C5998">
        <w:rPr>
          <w:rFonts w:eastAsia="Baskerville Old Face" w:cs="Times New Roman"/>
          <w:lang w:val="en-GB"/>
        </w:rPr>
        <w:t xml:space="preserve">indeterminate </w:t>
      </w:r>
      <w:r w:rsidR="00B41682" w:rsidRPr="009C5998">
        <w:rPr>
          <w:rFonts w:eastAsia="Baskerville Old Face" w:cs="Times New Roman"/>
          <w:lang w:val="en-GB"/>
        </w:rPr>
        <w:t xml:space="preserve">existence </w:t>
      </w:r>
      <w:r w:rsidR="00C627C6" w:rsidRPr="009C5998">
        <w:rPr>
          <w:rFonts w:eastAsia="Baskerville Old Face" w:cs="Times New Roman"/>
          <w:lang w:val="en-GB"/>
        </w:rPr>
        <w:t>claim</w:t>
      </w:r>
      <w:r w:rsidR="00B41682" w:rsidRPr="009C5998">
        <w:rPr>
          <w:rFonts w:eastAsia="Baskerville Old Face" w:cs="Times New Roman"/>
          <w:lang w:val="en-GB"/>
        </w:rPr>
        <w:t>s</w:t>
      </w:r>
      <w:r w:rsidR="00C627C6" w:rsidRPr="009C5998">
        <w:rPr>
          <w:rFonts w:eastAsia="Baskerville Old Face" w:cs="Times New Roman"/>
          <w:lang w:val="en-GB"/>
        </w:rPr>
        <w:t>.</w:t>
      </w:r>
      <w:r w:rsidR="00C627C6" w:rsidRPr="009C5998">
        <w:rPr>
          <w:rFonts w:eastAsia="Baskerville Old Face" w:cs="Times New Roman"/>
          <w:vertAlign w:val="superscript"/>
          <w:lang w:val="en-GB"/>
        </w:rPr>
        <w:endnoteReference w:id="39"/>
      </w:r>
    </w:p>
    <w:p w14:paraId="40732CBA" w14:textId="00EA6589" w:rsidR="00C627C6" w:rsidRPr="009C5998" w:rsidRDefault="006F4AFB" w:rsidP="00C627C6">
      <w:pPr>
        <w:pStyle w:val="BodyA"/>
        <w:spacing w:after="240" w:line="480" w:lineRule="auto"/>
        <w:rPr>
          <w:rFonts w:eastAsia="Baskerville Old Face" w:cs="Times New Roman"/>
          <w:lang w:val="en-GB"/>
        </w:rPr>
      </w:pPr>
      <w:r w:rsidRPr="009C5998">
        <w:rPr>
          <w:rFonts w:eastAsia="Baskerville Old Face" w:cs="Times New Roman"/>
          <w:lang w:val="en-GB"/>
        </w:rPr>
        <w:t>One might object that</w:t>
      </w:r>
      <w:r w:rsidR="002A73FE" w:rsidRPr="009C5998">
        <w:rPr>
          <w:rFonts w:eastAsia="Baskerville Old Face" w:cs="Times New Roman"/>
          <w:lang w:val="en-GB"/>
        </w:rPr>
        <w:t xml:space="preserve"> </w:t>
      </w:r>
      <w:r w:rsidR="002E0526" w:rsidRPr="009C5998">
        <w:rPr>
          <w:rFonts w:eastAsia="Baskerville Old Face" w:cs="Times New Roman"/>
          <w:lang w:val="en-GB"/>
        </w:rPr>
        <w:t>the claim that the ThI must be thought as causal ground</w:t>
      </w:r>
      <w:r w:rsidRPr="009C5998">
        <w:rPr>
          <w:rFonts w:eastAsia="Baskerville Old Face" w:cs="Times New Roman"/>
          <w:lang w:val="en-GB"/>
        </w:rPr>
        <w:t xml:space="preserve"> defines a determination of ThIs. But</w:t>
      </w:r>
      <w:r w:rsidR="002E0526" w:rsidRPr="009C5998">
        <w:rPr>
          <w:rFonts w:eastAsia="Baskerville Old Face" w:cs="Times New Roman"/>
          <w:lang w:val="en-GB"/>
        </w:rPr>
        <w:t xml:space="preserve"> this </w:t>
      </w:r>
      <w:r w:rsidRPr="009C5998">
        <w:rPr>
          <w:rFonts w:eastAsia="Baskerville Old Face" w:cs="Times New Roman"/>
          <w:lang w:val="en-GB"/>
        </w:rPr>
        <w:t xml:space="preserve">claim </w:t>
      </w:r>
      <w:r w:rsidR="002E0526" w:rsidRPr="009C5998">
        <w:rPr>
          <w:rFonts w:eastAsia="Baskerville Old Face" w:cs="Times New Roman"/>
          <w:lang w:val="en-GB"/>
        </w:rPr>
        <w:t>only concerns the extrinsic</w:t>
      </w:r>
      <w:r w:rsidR="002E0526" w:rsidRPr="009C5998">
        <w:rPr>
          <w:rFonts w:eastAsia="Baskerville Old Face" w:cs="Times New Roman"/>
          <w:vertAlign w:val="superscript"/>
          <w:lang w:val="en-GB"/>
        </w:rPr>
        <w:t>K</w:t>
      </w:r>
      <w:r w:rsidR="002E0526" w:rsidRPr="009C5998">
        <w:rPr>
          <w:rFonts w:eastAsia="Baskerville Old Face" w:cs="Times New Roman"/>
          <w:lang w:val="en-GB"/>
        </w:rPr>
        <w:t xml:space="preserve"> properties of ThIs, and says nothing about what ThIs are qua ThIs.</w:t>
      </w:r>
      <w:r w:rsidR="002E0526" w:rsidRPr="009C5998">
        <w:rPr>
          <w:rFonts w:eastAsia="Baskerville Old Face" w:cs="Times New Roman"/>
          <w:vertAlign w:val="superscript"/>
          <w:lang w:val="en-GB"/>
        </w:rPr>
        <w:endnoteReference w:id="40"/>
      </w:r>
      <w:r w:rsidR="002E0526" w:rsidRPr="009C5998">
        <w:rPr>
          <w:rFonts w:eastAsia="Baskerville Old Face" w:cs="Times New Roman"/>
          <w:lang w:val="en-GB"/>
        </w:rPr>
        <w:t xml:space="preserve"> It is made from the perspective of our cognition and tells us how ThIs feature as </w:t>
      </w:r>
      <w:r w:rsidR="00140C67">
        <w:rPr>
          <w:rFonts w:eastAsia="Baskerville Old Face" w:cs="Times New Roman"/>
          <w:lang w:val="en-GB"/>
        </w:rPr>
        <w:t>‘</w:t>
      </w:r>
      <w:r w:rsidR="002E0526" w:rsidRPr="009C5998">
        <w:rPr>
          <w:rFonts w:eastAsia="Baskerville Old Face" w:cs="Times New Roman"/>
          <w:lang w:val="en-GB"/>
        </w:rPr>
        <w:t>material</w:t>
      </w:r>
      <w:r w:rsidR="00140C67">
        <w:rPr>
          <w:rFonts w:eastAsia="Baskerville Old Face" w:cs="Times New Roman"/>
          <w:lang w:val="en-GB"/>
        </w:rPr>
        <w:t>’</w:t>
      </w:r>
      <w:r w:rsidR="002E0526" w:rsidRPr="009C5998">
        <w:rPr>
          <w:rFonts w:eastAsia="Baskerville Old Face" w:cs="Times New Roman"/>
          <w:lang w:val="en-GB"/>
        </w:rPr>
        <w:t xml:space="preserve"> condition of knowledge.</w:t>
      </w:r>
      <w:r w:rsidR="00C627C6" w:rsidRPr="009C5998">
        <w:rPr>
          <w:rFonts w:eastAsia="Baskerville Old Face" w:cs="Times New Roman"/>
          <w:lang w:val="en-GB"/>
        </w:rPr>
        <w:t xml:space="preserve"> </w:t>
      </w:r>
    </w:p>
    <w:p w14:paraId="79B79E6D" w14:textId="7F9EB15D" w:rsidR="00D330A7" w:rsidRPr="009C5998" w:rsidRDefault="00D330A7" w:rsidP="00140C67">
      <w:pPr>
        <w:pStyle w:val="BodyA"/>
        <w:spacing w:after="240"/>
        <w:rPr>
          <w:rFonts w:eastAsia="Baskerville Old Face" w:cs="Times New Roman"/>
          <w:i/>
          <w:lang w:val="en-GB"/>
        </w:rPr>
      </w:pPr>
      <w:r w:rsidRPr="009C5998">
        <w:rPr>
          <w:rFonts w:eastAsia="Baskerville Old Face" w:cs="Times New Roman"/>
          <w:i/>
          <w:lang w:val="en-GB"/>
        </w:rPr>
        <w:t>Other objections</w:t>
      </w:r>
    </w:p>
    <w:p w14:paraId="46A1FB08" w14:textId="7CEF7B55" w:rsidR="00CA37AC"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Competing theories about the relation of ThIs to appearances have already been critici</w:t>
      </w:r>
      <w:r w:rsidR="005F555D">
        <w:rPr>
          <w:rFonts w:eastAsia="Baskerville Old Face" w:cs="Times New Roman"/>
          <w:lang w:val="en-GB"/>
        </w:rPr>
        <w:t>z</w:t>
      </w:r>
      <w:r w:rsidRPr="009C5998">
        <w:rPr>
          <w:rFonts w:eastAsia="Baskerville Old Face" w:cs="Times New Roman"/>
          <w:lang w:val="en-GB"/>
        </w:rPr>
        <w:t xml:space="preserve">ed </w:t>
      </w:r>
      <w:r w:rsidR="009D1AFB" w:rsidRPr="009C5998">
        <w:rPr>
          <w:rFonts w:eastAsia="Baskerville Old Face" w:cs="Times New Roman"/>
          <w:lang w:val="en-GB"/>
        </w:rPr>
        <w:t>earlier in the paper</w:t>
      </w:r>
      <w:r w:rsidR="00C1774F" w:rsidRPr="009C5998">
        <w:rPr>
          <w:rFonts w:eastAsia="Baskerville Old Face" w:cs="Times New Roman"/>
          <w:lang w:val="en-GB"/>
        </w:rPr>
        <w:t xml:space="preserve"> and in </w:t>
      </w:r>
      <w:r w:rsidR="005F555D">
        <w:rPr>
          <w:rFonts w:eastAsia="Baskerville Old Face" w:cs="Times New Roman"/>
          <w:lang w:val="en-GB"/>
        </w:rPr>
        <w:t>n</w:t>
      </w:r>
      <w:r w:rsidR="00C1774F" w:rsidRPr="009C5998">
        <w:rPr>
          <w:rFonts w:eastAsia="Baskerville Old Face" w:cs="Times New Roman"/>
          <w:lang w:val="en-GB"/>
        </w:rPr>
        <w:t>otes</w:t>
      </w:r>
      <w:r w:rsidRPr="009C5998">
        <w:rPr>
          <w:rFonts w:eastAsia="Baskerville Old Face" w:cs="Times New Roman"/>
          <w:lang w:val="en-GB"/>
        </w:rPr>
        <w:t>. To summari</w:t>
      </w:r>
      <w:r w:rsidR="005F555D">
        <w:rPr>
          <w:rFonts w:eastAsia="Baskerville Old Face" w:cs="Times New Roman"/>
          <w:lang w:val="en-GB"/>
        </w:rPr>
        <w:t>z</w:t>
      </w:r>
      <w:r w:rsidRPr="009C5998">
        <w:rPr>
          <w:rFonts w:eastAsia="Baskerville Old Face" w:cs="Times New Roman"/>
          <w:lang w:val="en-GB"/>
        </w:rPr>
        <w:t>e</w:t>
      </w:r>
      <w:r w:rsidR="00756CCB" w:rsidRPr="009C5998">
        <w:rPr>
          <w:rFonts w:eastAsia="Baskerville Old Face" w:cs="Times New Roman"/>
          <w:lang w:val="en-GB"/>
        </w:rPr>
        <w:t xml:space="preserve"> the main points</w:t>
      </w:r>
      <w:r w:rsidRPr="009C5998">
        <w:rPr>
          <w:rFonts w:eastAsia="Baskerville Old Face" w:cs="Times New Roman"/>
          <w:lang w:val="en-GB"/>
        </w:rPr>
        <w:t>:</w:t>
      </w:r>
    </w:p>
    <w:p w14:paraId="4F283FA4" w14:textId="0A5B6DCF" w:rsidR="00CA37AC" w:rsidRPr="009C5998" w:rsidRDefault="00F92DDD" w:rsidP="00A767F9">
      <w:pPr>
        <w:pStyle w:val="BodyA"/>
        <w:numPr>
          <w:ilvl w:val="0"/>
          <w:numId w:val="2"/>
        </w:numPr>
        <w:spacing w:after="240" w:line="480" w:lineRule="auto"/>
        <w:rPr>
          <w:rFonts w:eastAsia="Baskerville Old Face" w:cs="Times New Roman"/>
          <w:lang w:val="en-GB"/>
        </w:rPr>
      </w:pPr>
      <w:r w:rsidRPr="009C5998">
        <w:rPr>
          <w:rFonts w:eastAsia="Baskerville Old Face" w:cs="Times New Roman"/>
          <w:lang w:val="en-GB"/>
        </w:rPr>
        <w:t>TW</w:t>
      </w:r>
      <w:r w:rsidR="00CA37AC" w:rsidRPr="009C5998">
        <w:rPr>
          <w:rFonts w:eastAsia="Baskerville Old Face" w:cs="Times New Roman"/>
          <w:lang w:val="en-GB"/>
        </w:rPr>
        <w:t xml:space="preserve"> assumes a view from nowhere from which ThIs and appearances would define two objects which could then either be distinct or not; but such an </w:t>
      </w:r>
      <w:r w:rsidR="00676D64">
        <w:rPr>
          <w:rFonts w:eastAsia="Baskerville Old Face" w:cs="Times New Roman"/>
          <w:lang w:val="en-GB"/>
        </w:rPr>
        <w:t>‘</w:t>
      </w:r>
      <w:r w:rsidR="00CA37AC" w:rsidRPr="009C5998">
        <w:rPr>
          <w:rFonts w:eastAsia="Baskerville Old Face" w:cs="Times New Roman"/>
          <w:lang w:val="en-GB"/>
        </w:rPr>
        <w:t>ontological</w:t>
      </w:r>
      <w:r w:rsidR="00676D64">
        <w:rPr>
          <w:rFonts w:eastAsia="Baskerville Old Face" w:cs="Times New Roman"/>
          <w:lang w:val="en-GB"/>
        </w:rPr>
        <w:t>’</w:t>
      </w:r>
      <w:r w:rsidR="00CA37AC" w:rsidRPr="009C5998">
        <w:rPr>
          <w:rFonts w:eastAsia="Baskerville Old Face" w:cs="Times New Roman"/>
          <w:lang w:val="en-GB"/>
        </w:rPr>
        <w:t xml:space="preserve"> point of view is not available.</w:t>
      </w:r>
    </w:p>
    <w:p w14:paraId="561E5955" w14:textId="70905079" w:rsidR="00CA37AC" w:rsidRPr="009C5998" w:rsidRDefault="00F92DDD" w:rsidP="00A767F9">
      <w:pPr>
        <w:pStyle w:val="BodyA"/>
        <w:numPr>
          <w:ilvl w:val="0"/>
          <w:numId w:val="2"/>
        </w:numPr>
        <w:spacing w:after="240" w:line="480" w:lineRule="auto"/>
        <w:rPr>
          <w:rFonts w:eastAsia="Baskerville Old Face" w:cs="Times New Roman"/>
          <w:lang w:val="en-GB"/>
        </w:rPr>
      </w:pPr>
      <w:r w:rsidRPr="009C5998">
        <w:rPr>
          <w:rFonts w:eastAsia="Baskerville Old Face" w:cs="Times New Roman"/>
          <w:lang w:val="en-GB"/>
        </w:rPr>
        <w:t>EDA</w:t>
      </w:r>
      <w:r w:rsidR="00CA37AC" w:rsidRPr="009C5998">
        <w:rPr>
          <w:rFonts w:eastAsia="Baskerville Old Face" w:cs="Times New Roman"/>
          <w:lang w:val="en-GB"/>
        </w:rPr>
        <w:t xml:space="preserve"> does not provide a warrant for considering the in-itself aspect of that which is determined as empirical object in our cognition</w:t>
      </w:r>
      <w:r w:rsidR="00756CCB" w:rsidRPr="009C5998">
        <w:rPr>
          <w:rFonts w:eastAsia="Baskerville Old Face" w:cs="Times New Roman"/>
          <w:lang w:val="en-GB"/>
        </w:rPr>
        <w:t>.</w:t>
      </w:r>
    </w:p>
    <w:p w14:paraId="6555FB27" w14:textId="04C7B247" w:rsidR="00CA37AC" w:rsidRPr="009C5998" w:rsidRDefault="00CA37AC" w:rsidP="00A767F9">
      <w:pPr>
        <w:pStyle w:val="BodyA"/>
        <w:numPr>
          <w:ilvl w:val="0"/>
          <w:numId w:val="2"/>
        </w:numPr>
        <w:spacing w:after="240" w:line="480" w:lineRule="auto"/>
        <w:rPr>
          <w:rFonts w:eastAsia="Baskerville Old Face" w:cs="Times New Roman"/>
          <w:lang w:val="en-GB"/>
        </w:rPr>
      </w:pPr>
      <w:r w:rsidRPr="009C5998">
        <w:rPr>
          <w:rFonts w:eastAsia="Baskerville Old Face" w:cs="Times New Roman"/>
          <w:lang w:val="en-GB"/>
        </w:rPr>
        <w:t xml:space="preserve">Existing </w:t>
      </w:r>
      <w:r w:rsidR="00F92DDD" w:rsidRPr="009C5998">
        <w:rPr>
          <w:rFonts w:eastAsia="Baskerville Old Face" w:cs="Times New Roman"/>
          <w:lang w:val="en-GB"/>
        </w:rPr>
        <w:t>MDAs</w:t>
      </w:r>
      <w:r w:rsidRPr="009C5998">
        <w:rPr>
          <w:rFonts w:eastAsia="Baskerville Old Face" w:cs="Times New Roman"/>
          <w:lang w:val="en-GB"/>
        </w:rPr>
        <w:t xml:space="preserve"> implicitly think of ThIs </w:t>
      </w:r>
      <w:r w:rsidR="001A7231" w:rsidRPr="009C5998">
        <w:rPr>
          <w:rFonts w:eastAsia="Baskerville Old Face" w:cs="Times New Roman"/>
          <w:lang w:val="en-GB"/>
        </w:rPr>
        <w:t xml:space="preserve">primarily </w:t>
      </w:r>
      <w:r w:rsidRPr="009C5998">
        <w:rPr>
          <w:rFonts w:eastAsia="Baskerville Old Face" w:cs="Times New Roman"/>
          <w:lang w:val="en-GB"/>
        </w:rPr>
        <w:t>as substances and do not provide a satisfactory account of how the ideality of the appearance aspect of things is to be understood.</w:t>
      </w:r>
    </w:p>
    <w:p w14:paraId="2E90E8E0" w14:textId="69298185" w:rsidR="00CA37AC"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While this paper cannot extensively discuss the replies that could be made to these objections, it will briefly consider two </w:t>
      </w:r>
      <w:r w:rsidR="00F92DDD" w:rsidRPr="009C5998">
        <w:rPr>
          <w:rFonts w:eastAsia="Baskerville Old Face" w:cs="Times New Roman"/>
          <w:lang w:val="en-GB"/>
        </w:rPr>
        <w:t xml:space="preserve">further </w:t>
      </w:r>
      <w:r w:rsidRPr="009C5998">
        <w:rPr>
          <w:rFonts w:eastAsia="Baskerville Old Face" w:cs="Times New Roman"/>
          <w:lang w:val="en-GB"/>
        </w:rPr>
        <w:t xml:space="preserve">objections, one from a </w:t>
      </w:r>
      <w:r w:rsidR="00F92DDD" w:rsidRPr="009C5998">
        <w:rPr>
          <w:rFonts w:eastAsia="Baskerville Old Face" w:cs="Times New Roman"/>
          <w:lang w:val="en-GB"/>
        </w:rPr>
        <w:t>TW</w:t>
      </w:r>
      <w:r w:rsidRPr="009C5998">
        <w:rPr>
          <w:rFonts w:eastAsia="Baskerville Old Face" w:cs="Times New Roman"/>
          <w:lang w:val="en-GB"/>
        </w:rPr>
        <w:t xml:space="preserve"> theorist and one from a</w:t>
      </w:r>
      <w:r w:rsidR="00F92DDD" w:rsidRPr="009C5998">
        <w:rPr>
          <w:rFonts w:eastAsia="Baskerville Old Face" w:cs="Times New Roman"/>
          <w:lang w:val="en-GB"/>
        </w:rPr>
        <w:t>n EDA</w:t>
      </w:r>
      <w:r w:rsidRPr="009C5998">
        <w:rPr>
          <w:rFonts w:eastAsia="Baskerville Old Face" w:cs="Times New Roman"/>
          <w:lang w:val="en-GB"/>
        </w:rPr>
        <w:t xml:space="preserve"> theorist.</w:t>
      </w:r>
    </w:p>
    <w:p w14:paraId="6B931328" w14:textId="77777777" w:rsidR="00B727FA"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Stang (2014) argues against what he calls identity theories, by which he refers to dual-aspect theories</w:t>
      </w:r>
      <w:r w:rsidR="001A7231" w:rsidRPr="009C5998">
        <w:rPr>
          <w:rFonts w:eastAsia="Baskerville Old Face" w:cs="Times New Roman"/>
          <w:lang w:val="en-GB"/>
        </w:rPr>
        <w:t>,</w:t>
      </w:r>
      <w:r w:rsidRPr="009C5998">
        <w:rPr>
          <w:rFonts w:eastAsia="Baskerville Old Face" w:cs="Times New Roman"/>
          <w:lang w:val="en-GB"/>
        </w:rPr>
        <w:t xml:space="preserve"> pointing out that if objects are identical, they must share all properties. But </w:t>
      </w:r>
      <w:r w:rsidR="001A7231" w:rsidRPr="009C5998">
        <w:rPr>
          <w:rFonts w:eastAsia="Baskerville Old Face" w:cs="Times New Roman"/>
          <w:lang w:val="en-GB"/>
        </w:rPr>
        <w:t>first</w:t>
      </w:r>
      <w:r w:rsidRPr="009C5998">
        <w:rPr>
          <w:rFonts w:eastAsia="Baskerville Old Face" w:cs="Times New Roman"/>
          <w:lang w:val="en-GB"/>
        </w:rPr>
        <w:t xml:space="preserve">, the very characterization of them as ‘identity’ theories already involves an appeal to a view from nowhere that does not exist. </w:t>
      </w:r>
      <w:r w:rsidR="001A7231" w:rsidRPr="009C5998">
        <w:rPr>
          <w:rFonts w:eastAsia="Baskerville Old Face" w:cs="Times New Roman"/>
          <w:lang w:val="en-GB"/>
        </w:rPr>
        <w:t>And second, i</w:t>
      </w:r>
      <w:r w:rsidRPr="009C5998">
        <w:rPr>
          <w:rFonts w:eastAsia="Baskerville Old Face" w:cs="Times New Roman"/>
          <w:lang w:val="en-GB"/>
        </w:rPr>
        <w:t>n my dual-aspect theory, there is an asymmetry between the intelligible and the empirical aspects of things that would not arise were identity at stake. Rather, one set of properties (</w:t>
      </w:r>
      <w:r w:rsidR="00BC6008" w:rsidRPr="009C5998">
        <w:rPr>
          <w:rFonts w:eastAsia="Baskerville Old Face" w:cs="Times New Roman"/>
          <w:lang w:val="en-GB"/>
        </w:rPr>
        <w:t>those of how things appear</w:t>
      </w:r>
      <w:r w:rsidRPr="009C5998">
        <w:rPr>
          <w:rFonts w:eastAsia="Baskerville Old Face" w:cs="Times New Roman"/>
          <w:lang w:val="en-GB"/>
        </w:rPr>
        <w:t>) is grounded in another (in-itself causality), which avoids the purported worry.</w:t>
      </w:r>
    </w:p>
    <w:p w14:paraId="134287FF" w14:textId="6B6C2D96" w:rsidR="00114279" w:rsidRPr="009C5998" w:rsidRDefault="00CA37AC"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The </w:t>
      </w:r>
      <w:r w:rsidR="00F92DDD" w:rsidRPr="009C5998">
        <w:rPr>
          <w:rFonts w:eastAsia="Baskerville Old Face" w:cs="Times New Roman"/>
          <w:lang w:val="en-GB"/>
        </w:rPr>
        <w:t>EDA proponent</w:t>
      </w:r>
      <w:r w:rsidRPr="009C5998">
        <w:rPr>
          <w:rFonts w:eastAsia="Baskerville Old Face" w:cs="Times New Roman"/>
          <w:lang w:val="en-GB"/>
        </w:rPr>
        <w:t xml:space="preserve"> is likely to dispute my assigning a pivotal role to the positing of a thing, in warranting the consideration of things as they are in themselves: he will deny that </w:t>
      </w:r>
      <w:r w:rsidR="00114279" w:rsidRPr="009C5998">
        <w:rPr>
          <w:rFonts w:eastAsia="Baskerville Old Face" w:cs="Times New Roman"/>
          <w:lang w:val="en-GB"/>
        </w:rPr>
        <w:t xml:space="preserve">any kind of </w:t>
      </w:r>
      <w:r w:rsidRPr="009C5998">
        <w:rPr>
          <w:rFonts w:eastAsia="Baskerville Old Face" w:cs="Times New Roman"/>
          <w:lang w:val="en-GB"/>
        </w:rPr>
        <w:t xml:space="preserve">existence </w:t>
      </w:r>
      <w:r w:rsidR="00114279" w:rsidRPr="009C5998">
        <w:rPr>
          <w:rFonts w:eastAsia="Baskerville Old Face" w:cs="Times New Roman"/>
          <w:lang w:val="en-GB"/>
        </w:rPr>
        <w:t>claim (even conditional) is implied by positing the TO (A</w:t>
      </w:r>
      <w:r w:rsidR="00F92DDD" w:rsidRPr="009C5998">
        <w:rPr>
          <w:rFonts w:eastAsia="Baskerville Old Face" w:cs="Times New Roman"/>
          <w:lang w:val="en-GB"/>
        </w:rPr>
        <w:t>-</w:t>
      </w:r>
      <w:r w:rsidR="00B727FA">
        <w:rPr>
          <w:rFonts w:eastAsia="Baskerville Old Face" w:cs="Times New Roman"/>
          <w:lang w:val="en-GB"/>
        </w:rPr>
        <w:t xml:space="preserve">edition </w:t>
      </w:r>
      <w:r w:rsidR="00114279" w:rsidRPr="009C5998">
        <w:rPr>
          <w:rFonts w:eastAsia="Baskerville Old Face" w:cs="Times New Roman"/>
          <w:lang w:val="en-GB"/>
        </w:rPr>
        <w:t>PN) or an intelligible being (B</w:t>
      </w:r>
      <w:r w:rsidR="00F92DDD" w:rsidRPr="009C5998">
        <w:rPr>
          <w:rFonts w:eastAsia="Baskerville Old Face" w:cs="Times New Roman"/>
          <w:lang w:val="en-GB"/>
        </w:rPr>
        <w:t>-</w:t>
      </w:r>
      <w:r w:rsidR="00702CFF">
        <w:rPr>
          <w:rFonts w:eastAsia="Baskerville Old Face" w:cs="Times New Roman"/>
          <w:lang w:val="en-GB"/>
        </w:rPr>
        <w:t>edition</w:t>
      </w:r>
      <w:r w:rsidR="00114279" w:rsidRPr="009C5998">
        <w:rPr>
          <w:rFonts w:eastAsia="Baskerville Old Face" w:cs="Times New Roman"/>
          <w:lang w:val="en-GB"/>
        </w:rPr>
        <w:t>)</w:t>
      </w:r>
      <w:r w:rsidRPr="009C5998">
        <w:rPr>
          <w:rFonts w:eastAsia="Baskerville Old Face" w:cs="Times New Roman"/>
          <w:lang w:val="en-GB"/>
        </w:rPr>
        <w:t xml:space="preserve">. Rather than dispute this on both systematic and textual grounds, I shall point to a difficulty that he encounters </w:t>
      </w:r>
      <w:r w:rsidR="00CE5EFE" w:rsidRPr="009C5998">
        <w:rPr>
          <w:rFonts w:eastAsia="Baskerville Old Face" w:cs="Times New Roman"/>
          <w:lang w:val="en-GB"/>
        </w:rPr>
        <w:t>by</w:t>
      </w:r>
      <w:r w:rsidRPr="009C5998">
        <w:rPr>
          <w:rFonts w:eastAsia="Baskerville Old Face" w:cs="Times New Roman"/>
          <w:lang w:val="en-GB"/>
        </w:rPr>
        <w:t xml:space="preserve"> den</w:t>
      </w:r>
      <w:r w:rsidR="00CE5EFE" w:rsidRPr="009C5998">
        <w:rPr>
          <w:rFonts w:eastAsia="Baskerville Old Face" w:cs="Times New Roman"/>
          <w:lang w:val="en-GB"/>
        </w:rPr>
        <w:t>y</w:t>
      </w:r>
      <w:r w:rsidRPr="009C5998">
        <w:rPr>
          <w:rFonts w:eastAsia="Baskerville Old Face" w:cs="Times New Roman"/>
          <w:lang w:val="en-GB"/>
        </w:rPr>
        <w:t>i</w:t>
      </w:r>
      <w:r w:rsidR="00CE5EFE" w:rsidRPr="009C5998">
        <w:rPr>
          <w:rFonts w:eastAsia="Baskerville Old Face" w:cs="Times New Roman"/>
          <w:lang w:val="en-GB"/>
        </w:rPr>
        <w:t>ng</w:t>
      </w:r>
      <w:r w:rsidRPr="009C5998">
        <w:rPr>
          <w:rFonts w:eastAsia="Baskerville Old Face" w:cs="Times New Roman"/>
          <w:lang w:val="en-GB"/>
        </w:rPr>
        <w:t xml:space="preserve"> that this appeal to existence provides the warrant for considering ThIs. </w:t>
      </w:r>
    </w:p>
    <w:p w14:paraId="6A0F3DDF" w14:textId="70337FDB" w:rsidR="00CA37AC" w:rsidRPr="009C5998" w:rsidRDefault="00CE5EFE" w:rsidP="00A767F9">
      <w:pPr>
        <w:pStyle w:val="BodyA"/>
        <w:spacing w:after="240" w:line="480" w:lineRule="auto"/>
        <w:rPr>
          <w:rFonts w:eastAsia="Baskerville Old Face" w:cs="Times New Roman"/>
          <w:lang w:val="en-GB"/>
        </w:rPr>
      </w:pPr>
      <w:r w:rsidRPr="009C5998">
        <w:rPr>
          <w:rFonts w:eastAsia="Baskerville Old Face" w:cs="Times New Roman"/>
          <w:lang w:val="en-GB"/>
        </w:rPr>
        <w:t>T</w:t>
      </w:r>
      <w:r w:rsidR="00114279" w:rsidRPr="009C5998">
        <w:rPr>
          <w:rFonts w:eastAsia="Baskerville Old Face" w:cs="Times New Roman"/>
          <w:lang w:val="en-GB"/>
        </w:rPr>
        <w:t>he p</w:t>
      </w:r>
      <w:r w:rsidR="00CA37AC" w:rsidRPr="009C5998">
        <w:rPr>
          <w:rFonts w:eastAsia="Baskerville Old Face" w:cs="Times New Roman"/>
          <w:lang w:val="en-GB"/>
        </w:rPr>
        <w:t xml:space="preserve">roblem </w:t>
      </w:r>
      <w:r w:rsidR="00114279" w:rsidRPr="009C5998">
        <w:rPr>
          <w:rFonts w:eastAsia="Baskerville Old Face" w:cs="Times New Roman"/>
          <w:lang w:val="en-GB"/>
        </w:rPr>
        <w:t xml:space="preserve">that </w:t>
      </w:r>
      <w:r w:rsidR="00CA37AC" w:rsidRPr="009C5998">
        <w:rPr>
          <w:rFonts w:eastAsia="Baskerville Old Face" w:cs="Times New Roman"/>
          <w:lang w:val="en-GB"/>
        </w:rPr>
        <w:t xml:space="preserve">arises for the </w:t>
      </w:r>
      <w:r w:rsidR="00F92DDD" w:rsidRPr="009C5998">
        <w:rPr>
          <w:rFonts w:eastAsia="Baskerville Old Face" w:cs="Times New Roman"/>
          <w:lang w:val="en-GB"/>
        </w:rPr>
        <w:t>E</w:t>
      </w:r>
      <w:r w:rsidR="00CA37AC" w:rsidRPr="009C5998">
        <w:rPr>
          <w:rFonts w:eastAsia="Baskerville Old Face" w:cs="Times New Roman"/>
          <w:lang w:val="en-GB"/>
        </w:rPr>
        <w:t>DA theoris</w:t>
      </w:r>
      <w:r w:rsidR="00C1774F" w:rsidRPr="009C5998">
        <w:rPr>
          <w:rFonts w:eastAsia="Baskerville Old Face" w:cs="Times New Roman"/>
          <w:lang w:val="en-GB"/>
        </w:rPr>
        <w:t>t</w:t>
      </w:r>
      <w:r w:rsidR="00CA37AC" w:rsidRPr="009C5998">
        <w:rPr>
          <w:rFonts w:eastAsia="Baskerville Old Face" w:cs="Times New Roman"/>
          <w:lang w:val="en-GB"/>
        </w:rPr>
        <w:t xml:space="preserve"> </w:t>
      </w:r>
      <w:r w:rsidR="00114279" w:rsidRPr="009C5998">
        <w:rPr>
          <w:rFonts w:eastAsia="Baskerville Old Face" w:cs="Times New Roman"/>
          <w:lang w:val="en-GB"/>
        </w:rPr>
        <w:t xml:space="preserve">is that </w:t>
      </w:r>
      <w:r w:rsidR="00CA37AC" w:rsidRPr="009C5998">
        <w:rPr>
          <w:rFonts w:eastAsia="Baskerville Old Face" w:cs="Times New Roman"/>
          <w:lang w:val="en-GB"/>
        </w:rPr>
        <w:t xml:space="preserve">of how to understand the judgement that an object exists. As the second </w:t>
      </w:r>
      <w:r w:rsidR="009D1AFB" w:rsidRPr="009C5998">
        <w:rPr>
          <w:rFonts w:eastAsia="Baskerville Old Face" w:cs="Times New Roman"/>
          <w:lang w:val="en-GB"/>
        </w:rPr>
        <w:t>P</w:t>
      </w:r>
      <w:r w:rsidR="00CA37AC" w:rsidRPr="009C5998">
        <w:rPr>
          <w:rFonts w:eastAsia="Baskerville Old Face" w:cs="Times New Roman"/>
          <w:lang w:val="en-GB"/>
        </w:rPr>
        <w:t xml:space="preserve">ostulate of </w:t>
      </w:r>
      <w:r w:rsidR="009D1AFB" w:rsidRPr="009C5998">
        <w:rPr>
          <w:rFonts w:eastAsia="Baskerville Old Face" w:cs="Times New Roman"/>
          <w:lang w:val="en-GB"/>
        </w:rPr>
        <w:t>E</w:t>
      </w:r>
      <w:r w:rsidR="00CA37AC" w:rsidRPr="009C5998">
        <w:rPr>
          <w:rFonts w:eastAsia="Baskerville Old Face" w:cs="Times New Roman"/>
          <w:lang w:val="en-GB"/>
        </w:rPr>
        <w:t xml:space="preserve">mpirical </w:t>
      </w:r>
      <w:r w:rsidR="009D1AFB" w:rsidRPr="009C5998">
        <w:rPr>
          <w:rFonts w:eastAsia="Baskerville Old Face" w:cs="Times New Roman"/>
          <w:lang w:val="en-GB"/>
        </w:rPr>
        <w:t>T</w:t>
      </w:r>
      <w:r w:rsidR="00CA37AC" w:rsidRPr="009C5998">
        <w:rPr>
          <w:rFonts w:eastAsia="Baskerville Old Face" w:cs="Times New Roman"/>
          <w:lang w:val="en-GB"/>
        </w:rPr>
        <w:t>hought characteri</w:t>
      </w:r>
      <w:r w:rsidR="00702CFF">
        <w:rPr>
          <w:rFonts w:eastAsia="Baskerville Old Face" w:cs="Times New Roman"/>
          <w:lang w:val="en-GB"/>
        </w:rPr>
        <w:t>z</w:t>
      </w:r>
      <w:r w:rsidR="00CA37AC" w:rsidRPr="009C5998">
        <w:rPr>
          <w:rFonts w:eastAsia="Baskerville Old Face" w:cs="Times New Roman"/>
          <w:lang w:val="en-GB"/>
        </w:rPr>
        <w:t xml:space="preserve">es it (A218/B266), actuality </w:t>
      </w:r>
      <w:r w:rsidR="00776193" w:rsidRPr="009C5998">
        <w:rPr>
          <w:rFonts w:eastAsia="Baskerville Old Face" w:cs="Times New Roman"/>
          <w:lang w:val="en-GB"/>
        </w:rPr>
        <w:t xml:space="preserve">obtains when there </w:t>
      </w:r>
      <w:r w:rsidR="00CA37AC" w:rsidRPr="009C5998">
        <w:rPr>
          <w:rFonts w:eastAsia="Baskerville Old Face" w:cs="Times New Roman"/>
          <w:lang w:val="en-GB"/>
        </w:rPr>
        <w:t xml:space="preserve">is a (causal) connection with </w:t>
      </w:r>
      <w:r w:rsidR="00776193" w:rsidRPr="009C5998">
        <w:rPr>
          <w:rFonts w:eastAsia="Baskerville Old Face" w:cs="Times New Roman"/>
          <w:lang w:val="en-GB"/>
        </w:rPr>
        <w:t>perception</w:t>
      </w:r>
      <w:r w:rsidR="00CA37AC" w:rsidRPr="009C5998">
        <w:rPr>
          <w:rFonts w:eastAsia="Baskerville Old Face" w:cs="Times New Roman"/>
          <w:lang w:val="en-GB"/>
        </w:rPr>
        <w:t xml:space="preserve">. So </w:t>
      </w:r>
      <w:r w:rsidR="00953D79" w:rsidRPr="009C5998">
        <w:rPr>
          <w:rFonts w:eastAsia="Baskerville Old Face" w:cs="Times New Roman"/>
          <w:lang w:val="en-GB"/>
        </w:rPr>
        <w:t xml:space="preserve">something </w:t>
      </w:r>
      <w:r w:rsidR="00CA37AC" w:rsidRPr="009C5998">
        <w:rPr>
          <w:rFonts w:eastAsia="Baskerville Old Face" w:cs="Times New Roman"/>
          <w:lang w:val="en-GB"/>
        </w:rPr>
        <w:t>is actual wh</w:t>
      </w:r>
      <w:r w:rsidRPr="009C5998">
        <w:rPr>
          <w:rFonts w:eastAsia="Baskerville Old Face" w:cs="Times New Roman"/>
          <w:lang w:val="en-GB"/>
        </w:rPr>
        <w:t>enever</w:t>
      </w:r>
      <w:r w:rsidR="00953D79" w:rsidRPr="009C5998">
        <w:rPr>
          <w:rFonts w:eastAsia="Baskerville Old Face" w:cs="Times New Roman"/>
          <w:lang w:val="en-GB"/>
        </w:rPr>
        <w:t xml:space="preserve"> it </w:t>
      </w:r>
      <w:r w:rsidR="00CA37AC" w:rsidRPr="009C5998">
        <w:rPr>
          <w:rFonts w:eastAsia="Baskerville Old Face" w:cs="Times New Roman"/>
          <w:lang w:val="en-GB"/>
        </w:rPr>
        <w:t xml:space="preserve">is (directly or not) causally responsible for the </w:t>
      </w:r>
      <w:r w:rsidR="00C1774F" w:rsidRPr="009C5998">
        <w:rPr>
          <w:rFonts w:eastAsia="Baskerville Old Face" w:cs="Times New Roman"/>
          <w:lang w:val="en-GB"/>
        </w:rPr>
        <w:t xml:space="preserve">subject’s </w:t>
      </w:r>
      <w:r w:rsidR="00CA37AC" w:rsidRPr="009C5998">
        <w:rPr>
          <w:rFonts w:eastAsia="Baskerville Old Face" w:cs="Times New Roman"/>
          <w:lang w:val="en-GB"/>
        </w:rPr>
        <w:t xml:space="preserve">reception of sensations. For this </w:t>
      </w:r>
      <w:r w:rsidR="00F92DDD" w:rsidRPr="009C5998">
        <w:rPr>
          <w:rFonts w:eastAsia="Baskerville Old Face" w:cs="Times New Roman"/>
          <w:lang w:val="en-GB"/>
        </w:rPr>
        <w:t>E</w:t>
      </w:r>
      <w:r w:rsidR="00CA37AC" w:rsidRPr="009C5998">
        <w:rPr>
          <w:rFonts w:eastAsia="Baskerville Old Face" w:cs="Times New Roman"/>
          <w:lang w:val="en-GB"/>
        </w:rPr>
        <w:t xml:space="preserve">DA theorist, establishing the existence of an empirical object therefore amounts to determining the object </w:t>
      </w:r>
      <w:r w:rsidRPr="009C5998">
        <w:rPr>
          <w:rFonts w:eastAsia="Baskerville Old Face" w:cs="Times New Roman"/>
          <w:lang w:val="en-GB"/>
        </w:rPr>
        <w:t>a</w:t>
      </w:r>
      <w:r w:rsidR="00CA37AC" w:rsidRPr="009C5998">
        <w:rPr>
          <w:rFonts w:eastAsia="Baskerville Old Face" w:cs="Times New Roman"/>
          <w:lang w:val="en-GB"/>
        </w:rPr>
        <w:t>s the cause (direct or not) of certain sensations I experience.</w:t>
      </w:r>
      <w:r w:rsidR="00CA37AC" w:rsidRPr="009C5998">
        <w:rPr>
          <w:rFonts w:eastAsia="Baskerville Old Face" w:cs="Times New Roman"/>
          <w:lang w:val="en-GB"/>
        </w:rPr>
        <w:br/>
        <w:t>But this contradicts Kant’s claim that judging that some object exists ‘does not augment the concept’ of this object (B266/A219; see also Schulting 2017a) or that ‘[b]eing is obviously not … a concept of something that could add to the concept of a thing’ (A598/B626).</w:t>
      </w:r>
      <w:r w:rsidR="00953D79" w:rsidRPr="009C5998">
        <w:rPr>
          <w:rFonts w:eastAsia="Baskerville Old Face" w:cs="Times New Roman"/>
          <w:lang w:val="en-GB"/>
        </w:rPr>
        <w:t xml:space="preserve"> </w:t>
      </w:r>
      <w:r w:rsidR="00C1774F" w:rsidRPr="009C5998">
        <w:rPr>
          <w:rFonts w:eastAsia="Baskerville Old Face" w:cs="Times New Roman"/>
          <w:lang w:val="en-GB"/>
        </w:rPr>
        <w:t>Indeed, t</w:t>
      </w:r>
      <w:r w:rsidR="00CA37AC" w:rsidRPr="009C5998">
        <w:rPr>
          <w:rFonts w:eastAsia="Baskerville Old Face" w:cs="Times New Roman"/>
          <w:lang w:val="en-GB"/>
        </w:rPr>
        <w:t xml:space="preserve">he </w:t>
      </w:r>
      <w:r w:rsidR="0085571C" w:rsidRPr="009C5998">
        <w:rPr>
          <w:rFonts w:eastAsia="Baskerville Old Face" w:cs="Times New Roman"/>
          <w:lang w:val="en-GB"/>
        </w:rPr>
        <w:t>E</w:t>
      </w:r>
      <w:r w:rsidR="00CA37AC" w:rsidRPr="009C5998">
        <w:rPr>
          <w:rFonts w:eastAsia="Baskerville Old Face" w:cs="Times New Roman"/>
          <w:lang w:val="en-GB"/>
        </w:rPr>
        <w:t>DA theorist’s claim that something exists does involve adding to its concept, namely the determination of its being causally linked to certain sensations.</w:t>
      </w:r>
      <w:r w:rsidR="00A3069C" w:rsidRPr="009C5998">
        <w:rPr>
          <w:rStyle w:val="EndnoteReference"/>
          <w:rFonts w:eastAsia="Baskerville Old Face" w:cs="Times New Roman"/>
          <w:lang w:val="en-GB"/>
        </w:rPr>
        <w:endnoteReference w:id="41"/>
      </w:r>
      <w:r w:rsidR="00CA37AC" w:rsidRPr="009C5998">
        <w:rPr>
          <w:rFonts w:eastAsia="Baskerville Old Face" w:cs="Times New Roman"/>
          <w:lang w:val="en-GB"/>
        </w:rPr>
        <w:t xml:space="preserve"> This problem does not, however, arise for the two-perspective dual-aspect account: judging that an object exists amounts to determining </w:t>
      </w:r>
      <w:r w:rsidR="00D968D2" w:rsidRPr="009C5998">
        <w:rPr>
          <w:rFonts w:eastAsia="Baskerville Old Face" w:cs="Times New Roman"/>
          <w:lang w:val="en-GB"/>
        </w:rPr>
        <w:t xml:space="preserve">(through the aforementioned causal link) </w:t>
      </w:r>
      <w:r w:rsidR="00CA37AC" w:rsidRPr="009C5998">
        <w:rPr>
          <w:rFonts w:eastAsia="Baskerville Old Face" w:cs="Times New Roman"/>
          <w:lang w:val="en-GB"/>
        </w:rPr>
        <w:t xml:space="preserve">a time </w:t>
      </w:r>
      <w:r w:rsidR="00092920" w:rsidRPr="009C5998">
        <w:rPr>
          <w:rFonts w:eastAsia="Baskerville Old Face" w:cs="Times New Roman"/>
          <w:lang w:val="en-GB"/>
        </w:rPr>
        <w:t xml:space="preserve">and place </w:t>
      </w:r>
      <w:r w:rsidR="00CA37AC" w:rsidRPr="009C5998">
        <w:rPr>
          <w:rFonts w:eastAsia="Baskerville Old Face" w:cs="Times New Roman"/>
          <w:lang w:val="en-GB"/>
        </w:rPr>
        <w:t xml:space="preserve">for an existence that is already posited in the mere problematic consideration of this empirical object. This temporal determination does augment the concept of the object, but this is not through adding ‘existence’ to the object: ‘existence’ was already there and it is now assigned a </w:t>
      </w:r>
      <w:r w:rsidR="00092920" w:rsidRPr="009C5998">
        <w:rPr>
          <w:rFonts w:eastAsia="Baskerville Old Face" w:cs="Times New Roman"/>
          <w:lang w:val="en-GB"/>
        </w:rPr>
        <w:t>spatio-</w:t>
      </w:r>
      <w:r w:rsidR="00CA37AC" w:rsidRPr="009C5998">
        <w:rPr>
          <w:rFonts w:eastAsia="Baskerville Old Face" w:cs="Times New Roman"/>
          <w:lang w:val="en-GB"/>
        </w:rPr>
        <w:t>temporal location.</w:t>
      </w:r>
    </w:p>
    <w:p w14:paraId="529AC665" w14:textId="77777777" w:rsidR="00967970" w:rsidRPr="00655B77" w:rsidRDefault="001A7A49" w:rsidP="00655B77">
      <w:pPr>
        <w:pStyle w:val="BodyA"/>
        <w:spacing w:after="240"/>
        <w:rPr>
          <w:rFonts w:eastAsia="Baskerville Old Face" w:cs="Times New Roman"/>
          <w:b/>
          <w:bCs/>
          <w:lang w:val="en-GB"/>
        </w:rPr>
      </w:pPr>
      <w:r w:rsidRPr="00655B77">
        <w:rPr>
          <w:rFonts w:eastAsia="Baskerville Old Face" w:cs="Times New Roman"/>
          <w:b/>
          <w:bCs/>
          <w:lang w:val="en-GB"/>
        </w:rPr>
        <w:t>Conclusion</w:t>
      </w:r>
    </w:p>
    <w:p w14:paraId="16B9DFE5" w14:textId="43A9BC78" w:rsidR="00967970" w:rsidRPr="009C5998" w:rsidRDefault="001A7A49"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In summary, this paper has outlined an account of how we are to make sense of the place of ThIs in Kant’s critical theoretical philosophy. A key feature of this interpretation is that it </w:t>
      </w:r>
      <w:r w:rsidR="00B67FE6" w:rsidRPr="009C5998">
        <w:rPr>
          <w:rFonts w:eastAsia="Baskerville Old Face" w:cs="Times New Roman"/>
          <w:lang w:val="en-GB"/>
        </w:rPr>
        <w:t>makes a bare existence claim about ThIs while any features of ThIs must be understood as belonging to a cognitive perspective</w:t>
      </w:r>
      <w:r w:rsidRPr="009C5998">
        <w:rPr>
          <w:rFonts w:eastAsia="Baskerville Old Face" w:cs="Times New Roman"/>
          <w:lang w:val="en-GB"/>
        </w:rPr>
        <w:t>.</w:t>
      </w:r>
    </w:p>
    <w:p w14:paraId="73CF0771" w14:textId="4AC68944" w:rsidR="00967970" w:rsidRDefault="001A7A49" w:rsidP="00A767F9">
      <w:pPr>
        <w:pStyle w:val="BodyA"/>
        <w:spacing w:after="240" w:line="480" w:lineRule="auto"/>
        <w:rPr>
          <w:rFonts w:eastAsia="Baskerville Old Face" w:cs="Times New Roman"/>
          <w:lang w:val="en-GB"/>
        </w:rPr>
      </w:pPr>
      <w:r w:rsidRPr="009C5998">
        <w:rPr>
          <w:rFonts w:eastAsia="Baskerville Old Face" w:cs="Times New Roman"/>
          <w:lang w:val="en-GB"/>
        </w:rPr>
        <w:t xml:space="preserve">From our perspective, a metaphysical dual-aspect understanding of the relation between ThIs and appearances is called for, as the </w:t>
      </w:r>
      <w:r w:rsidR="004C7A3F" w:rsidRPr="009C5998">
        <w:rPr>
          <w:rFonts w:eastAsia="Baskerville Old Face" w:cs="Times New Roman"/>
          <w:lang w:val="en-GB"/>
        </w:rPr>
        <w:t>PN</w:t>
      </w:r>
      <w:r w:rsidRPr="009C5998">
        <w:rPr>
          <w:rFonts w:eastAsia="Baskerville Old Face" w:cs="Times New Roman"/>
          <w:lang w:val="en-GB"/>
        </w:rPr>
        <w:t xml:space="preserve"> </w:t>
      </w:r>
      <w:r w:rsidR="004C7A3F" w:rsidRPr="009C5998">
        <w:rPr>
          <w:rFonts w:eastAsia="Baskerville Old Face" w:cs="Times New Roman"/>
          <w:lang w:val="en-GB"/>
        </w:rPr>
        <w:t xml:space="preserve">chapter </w:t>
      </w:r>
      <w:r w:rsidRPr="009C5998">
        <w:rPr>
          <w:rFonts w:eastAsia="Baskerville Old Face" w:cs="Times New Roman"/>
          <w:lang w:val="en-GB"/>
        </w:rPr>
        <w:t>explains. As already suggested at the outset in the T</w:t>
      </w:r>
      <w:r w:rsidR="00DB70B6">
        <w:rPr>
          <w:rFonts w:eastAsia="Baskerville Old Face" w:cs="Times New Roman"/>
          <w:lang w:val="en-GB"/>
        </w:rPr>
        <w:t xml:space="preserve">ranscendental </w:t>
      </w:r>
      <w:r w:rsidRPr="009C5998">
        <w:rPr>
          <w:rFonts w:eastAsia="Baskerville Old Face" w:cs="Times New Roman"/>
          <w:lang w:val="en-GB"/>
        </w:rPr>
        <w:t>Ae</w:t>
      </w:r>
      <w:r w:rsidR="00DB70B6">
        <w:rPr>
          <w:rFonts w:eastAsia="Baskerville Old Face" w:cs="Times New Roman"/>
          <w:lang w:val="en-GB"/>
        </w:rPr>
        <w:t>sthetic</w:t>
      </w:r>
      <w:r w:rsidR="00895168" w:rsidRPr="009C5998">
        <w:rPr>
          <w:rFonts w:eastAsia="Baskerville Old Face" w:cs="Times New Roman"/>
          <w:lang w:val="en-GB"/>
        </w:rPr>
        <w:t>, and confirmed by the Third Antinomy</w:t>
      </w:r>
      <w:r w:rsidRPr="009C5998">
        <w:rPr>
          <w:rFonts w:eastAsia="Baskerville Old Face" w:cs="Times New Roman"/>
          <w:lang w:val="en-GB"/>
        </w:rPr>
        <w:t xml:space="preserve">, this relation of appearing is the </w:t>
      </w:r>
      <w:r w:rsidR="00895168" w:rsidRPr="009C5998">
        <w:rPr>
          <w:rFonts w:eastAsia="Baskerville Old Face" w:cs="Times New Roman"/>
          <w:lang w:val="en-GB"/>
        </w:rPr>
        <w:t xml:space="preserve">intelligible </w:t>
      </w:r>
      <w:r w:rsidRPr="009C5998">
        <w:rPr>
          <w:rFonts w:eastAsia="Baskerville Old Face" w:cs="Times New Roman"/>
          <w:lang w:val="en-GB"/>
        </w:rPr>
        <w:t xml:space="preserve">grounding of empirical causality. Through this grounding relation, empirical affection acquires transcendental significance, i.e. defines an intelligible notion of affection that is an essential </w:t>
      </w:r>
      <w:r w:rsidR="000E7F7E">
        <w:rPr>
          <w:rFonts w:eastAsia="Baskerville Old Face" w:cs="Times New Roman"/>
          <w:lang w:val="en-GB"/>
        </w:rPr>
        <w:t>‘</w:t>
      </w:r>
      <w:r w:rsidRPr="009C5998">
        <w:rPr>
          <w:rFonts w:eastAsia="Baskerville Old Face" w:cs="Times New Roman"/>
          <w:lang w:val="en-GB"/>
        </w:rPr>
        <w:t>material</w:t>
      </w:r>
      <w:r w:rsidR="000E7F7E">
        <w:rPr>
          <w:rFonts w:eastAsia="Baskerville Old Face" w:cs="Times New Roman"/>
          <w:lang w:val="en-GB"/>
        </w:rPr>
        <w:t>’</w:t>
      </w:r>
      <w:r w:rsidRPr="009C5998">
        <w:rPr>
          <w:rFonts w:eastAsia="Baskerville Old Face" w:cs="Times New Roman"/>
          <w:lang w:val="en-GB"/>
        </w:rPr>
        <w:t xml:space="preserve"> condition of knowledge enabl</w:t>
      </w:r>
      <w:r w:rsidR="004C7A3F" w:rsidRPr="009C5998">
        <w:rPr>
          <w:rFonts w:eastAsia="Baskerville Old Face" w:cs="Times New Roman"/>
          <w:lang w:val="en-GB"/>
        </w:rPr>
        <w:t>ing</w:t>
      </w:r>
      <w:r w:rsidRPr="009C5998">
        <w:rPr>
          <w:rFonts w:eastAsia="Baskerville Old Face" w:cs="Times New Roman"/>
          <w:lang w:val="en-GB"/>
        </w:rPr>
        <w:t xml:space="preserve"> one to </w:t>
      </w:r>
      <w:r w:rsidR="000E7F7E">
        <w:rPr>
          <w:rFonts w:eastAsia="Baskerville Old Face" w:cs="Times New Roman"/>
          <w:lang w:val="en-GB"/>
        </w:rPr>
        <w:t>‘</w:t>
      </w:r>
      <w:r w:rsidRPr="009C5998">
        <w:rPr>
          <w:rFonts w:eastAsia="Baskerville Old Face" w:cs="Times New Roman"/>
          <w:lang w:val="en-GB"/>
        </w:rPr>
        <w:t>enter</w:t>
      </w:r>
      <w:r w:rsidR="000E7F7E">
        <w:rPr>
          <w:rFonts w:eastAsia="Baskerville Old Face" w:cs="Times New Roman"/>
          <w:lang w:val="en-GB"/>
        </w:rPr>
        <w:t>’</w:t>
      </w:r>
      <w:r w:rsidRPr="009C5998">
        <w:rPr>
          <w:rFonts w:eastAsia="Baskerville Old Face" w:cs="Times New Roman"/>
          <w:lang w:val="en-GB"/>
        </w:rPr>
        <w:t xml:space="preserve"> the Critical </w:t>
      </w:r>
      <w:r w:rsidR="000E7F7E">
        <w:rPr>
          <w:rFonts w:eastAsia="Baskerville Old Face" w:cs="Times New Roman"/>
          <w:lang w:val="en-GB"/>
        </w:rPr>
        <w:t>s</w:t>
      </w:r>
      <w:r w:rsidRPr="009C5998">
        <w:rPr>
          <w:rFonts w:eastAsia="Baskerville Old Face" w:cs="Times New Roman"/>
          <w:lang w:val="en-GB"/>
        </w:rPr>
        <w:t xml:space="preserve">ystem. This relation </w:t>
      </w:r>
      <w:r w:rsidR="004C7A3F" w:rsidRPr="009C5998">
        <w:rPr>
          <w:rFonts w:eastAsia="Baskerville Old Face" w:cs="Times New Roman"/>
          <w:lang w:val="en-GB"/>
        </w:rPr>
        <w:t>is that</w:t>
      </w:r>
      <w:r w:rsidRPr="009C5998">
        <w:rPr>
          <w:rFonts w:eastAsia="Baskerville Old Face" w:cs="Times New Roman"/>
          <w:lang w:val="en-GB"/>
        </w:rPr>
        <w:t xml:space="preserve"> through which the properties of appearances </w:t>
      </w:r>
      <w:r w:rsidR="004C7A3F" w:rsidRPr="009C5998">
        <w:rPr>
          <w:rFonts w:eastAsia="Baskerville Old Face" w:cs="Times New Roman"/>
          <w:lang w:val="en-GB"/>
        </w:rPr>
        <w:t>(secondary extrinsic</w:t>
      </w:r>
      <w:r w:rsidR="004C7A3F" w:rsidRPr="009C5998">
        <w:rPr>
          <w:rFonts w:eastAsia="Baskerville Old Face" w:cs="Times New Roman"/>
          <w:vertAlign w:val="superscript"/>
          <w:lang w:val="en-GB"/>
        </w:rPr>
        <w:t>K</w:t>
      </w:r>
      <w:r w:rsidR="004C7A3F" w:rsidRPr="009C5998">
        <w:rPr>
          <w:rFonts w:eastAsia="Baskerville Old Face" w:cs="Times New Roman"/>
          <w:lang w:val="en-GB"/>
        </w:rPr>
        <w:t xml:space="preserve"> properties of ThIs) </w:t>
      </w:r>
      <w:r w:rsidRPr="009C5998">
        <w:rPr>
          <w:rFonts w:eastAsia="Baskerville Old Face" w:cs="Times New Roman"/>
          <w:lang w:val="en-GB"/>
        </w:rPr>
        <w:t xml:space="preserve">are grounded in </w:t>
      </w:r>
      <w:r w:rsidR="004C7A3F" w:rsidRPr="009C5998">
        <w:rPr>
          <w:rFonts w:eastAsia="Baskerville Old Face" w:cs="Times New Roman"/>
          <w:lang w:val="en-GB"/>
        </w:rPr>
        <w:t xml:space="preserve">basic </w:t>
      </w:r>
      <w:r w:rsidRPr="009C5998">
        <w:rPr>
          <w:rFonts w:eastAsia="Baskerville Old Face" w:cs="Times New Roman"/>
          <w:lang w:val="en-GB"/>
        </w:rPr>
        <w:t>extrinsic</w:t>
      </w:r>
      <w:r w:rsidRPr="009C5998">
        <w:rPr>
          <w:rFonts w:eastAsia="Baskerville Old Face" w:cs="Times New Roman"/>
          <w:vertAlign w:val="superscript"/>
          <w:lang w:val="en-GB"/>
        </w:rPr>
        <w:t>K</w:t>
      </w:r>
      <w:r w:rsidRPr="009C5998">
        <w:rPr>
          <w:rFonts w:eastAsia="Baskerville Old Face" w:cs="Times New Roman"/>
          <w:lang w:val="en-GB"/>
        </w:rPr>
        <w:t xml:space="preserve"> properties of ThIs. </w:t>
      </w:r>
      <w:r w:rsidR="00895168" w:rsidRPr="009C5998">
        <w:rPr>
          <w:rFonts w:eastAsia="Baskerville Old Face" w:cs="Times New Roman"/>
          <w:lang w:val="en-GB"/>
        </w:rPr>
        <w:t>Intrinsic</w:t>
      </w:r>
      <w:r w:rsidR="00895168" w:rsidRPr="009C5998">
        <w:rPr>
          <w:rFonts w:eastAsia="Baskerville Old Face" w:cs="Times New Roman"/>
          <w:vertAlign w:val="superscript"/>
          <w:lang w:val="en-GB"/>
        </w:rPr>
        <w:t>K</w:t>
      </w:r>
      <w:r w:rsidR="00895168" w:rsidRPr="009C5998">
        <w:rPr>
          <w:rFonts w:eastAsia="Baskerville Old Face" w:cs="Times New Roman"/>
          <w:lang w:val="en-GB"/>
        </w:rPr>
        <w:t xml:space="preserve"> properties of ThIs would be grasped </w:t>
      </w:r>
      <w:r w:rsidR="00A6684F" w:rsidRPr="009C5998">
        <w:rPr>
          <w:rFonts w:eastAsia="Baskerville Old Face" w:cs="Times New Roman"/>
          <w:lang w:val="en-GB"/>
        </w:rPr>
        <w:t>from t</w:t>
      </w:r>
      <w:r w:rsidRPr="009C5998">
        <w:rPr>
          <w:rFonts w:eastAsia="Baskerville Old Face" w:cs="Times New Roman"/>
          <w:lang w:val="en-GB"/>
        </w:rPr>
        <w:t>he problematic perspective of an intellectual intuition.</w:t>
      </w:r>
      <w:r w:rsidR="00351FF8" w:rsidRPr="009C5998">
        <w:rPr>
          <w:rStyle w:val="EndnoteReference"/>
          <w:rFonts w:eastAsia="Baskerville Old Face" w:cs="Times New Roman"/>
          <w:lang w:val="en-GB"/>
        </w:rPr>
        <w:endnoteReference w:id="42"/>
      </w:r>
      <w:r w:rsidR="00A20F97">
        <w:rPr>
          <w:rFonts w:eastAsia="Baskerville Old Face" w:cs="Times New Roman"/>
          <w:lang w:val="en-GB"/>
        </w:rPr>
        <w:t xml:space="preserve"> And </w:t>
      </w:r>
      <w:r w:rsidR="008E0E71">
        <w:rPr>
          <w:rFonts w:eastAsia="Baskerville Old Face" w:cs="Times New Roman"/>
          <w:lang w:val="en-GB"/>
        </w:rPr>
        <w:t>finally</w:t>
      </w:r>
      <w:r w:rsidR="00A20F97">
        <w:rPr>
          <w:rFonts w:eastAsia="Baskerville Old Face" w:cs="Times New Roman"/>
          <w:lang w:val="en-GB"/>
        </w:rPr>
        <w:t xml:space="preserve"> to emphasize once again: </w:t>
      </w:r>
      <w:r w:rsidR="000751A8">
        <w:rPr>
          <w:rFonts w:eastAsia="Baskerville Old Face" w:cs="Times New Roman"/>
          <w:lang w:val="en-GB"/>
        </w:rPr>
        <w:t xml:space="preserve">this way of </w:t>
      </w:r>
      <w:r w:rsidR="000751A8" w:rsidRPr="003E25CA">
        <w:t xml:space="preserve">making sense of a distinction between an intelligible notion of affection and empirical affection does not carry any implication of </w:t>
      </w:r>
      <w:r w:rsidR="00857766">
        <w:t>‘</w:t>
      </w:r>
      <w:r w:rsidR="000751A8" w:rsidRPr="003E25CA">
        <w:t>double affection</w:t>
      </w:r>
      <w:r w:rsidR="00857766">
        <w:t>’</w:t>
      </w:r>
      <w:r w:rsidR="000751A8" w:rsidRPr="003E25CA">
        <w:t xml:space="preserve"> as that </w:t>
      </w:r>
      <w:r w:rsidR="00857766">
        <w:t xml:space="preserve">notion </w:t>
      </w:r>
      <w:r w:rsidR="000751A8" w:rsidRPr="003E25CA">
        <w:t>is typically understood.</w:t>
      </w:r>
    </w:p>
    <w:p w14:paraId="27B329DD" w14:textId="77777777" w:rsidR="00B63EA4" w:rsidRDefault="00B63EA4" w:rsidP="00B63EA4">
      <w:pPr>
        <w:pStyle w:val="BodyA"/>
        <w:rPr>
          <w:rFonts w:eastAsia="Baskerville Old Face" w:cs="Times New Roman"/>
          <w:b/>
          <w:lang w:val="en-GB"/>
        </w:rPr>
        <w:sectPr w:rsidR="00B63EA4">
          <w:footerReference w:type="default" r:id="rId8"/>
          <w:endnotePr>
            <w:numFmt w:val="decimal"/>
          </w:endnotePr>
          <w:pgSz w:w="11900" w:h="16840"/>
          <w:pgMar w:top="1440" w:right="1440" w:bottom="1440" w:left="1440" w:header="708" w:footer="708" w:gutter="0"/>
          <w:cols w:space="720"/>
        </w:sectPr>
      </w:pPr>
      <w:r>
        <w:rPr>
          <w:rFonts w:eastAsia="Baskerville Old Face" w:cs="Times New Roman"/>
          <w:b/>
          <w:lang w:val="en-GB"/>
        </w:rPr>
        <w:t>Notes</w:t>
      </w:r>
    </w:p>
    <w:p w14:paraId="25B34217" w14:textId="402BAC11" w:rsidR="00967970" w:rsidRPr="00410074" w:rsidRDefault="00410074" w:rsidP="00EE751E">
      <w:pPr>
        <w:pStyle w:val="BodyA"/>
        <w:spacing w:after="120"/>
        <w:rPr>
          <w:rFonts w:eastAsia="Baskerville Old Face" w:cs="Times New Roman"/>
          <w:b/>
          <w:lang w:val="en-GB"/>
        </w:rPr>
      </w:pPr>
      <w:r w:rsidRPr="00410074">
        <w:rPr>
          <w:rFonts w:eastAsia="Baskerville Old Face" w:cs="Times New Roman"/>
          <w:b/>
          <w:lang w:val="en-GB"/>
        </w:rPr>
        <w:t>References</w:t>
      </w:r>
    </w:p>
    <w:p w14:paraId="484052C5" w14:textId="66B41BFE" w:rsidR="00506503" w:rsidRDefault="001A7A49" w:rsidP="00506503">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Adams, R. (1997) </w:t>
      </w:r>
      <w:r w:rsidR="008B4DE1" w:rsidRPr="009C5998">
        <w:rPr>
          <w:rFonts w:eastAsia="Baskerville Old Face" w:cs="Times New Roman"/>
          <w:lang w:val="en-GB"/>
        </w:rPr>
        <w:t>‘</w:t>
      </w:r>
      <w:r w:rsidRPr="009C5998">
        <w:rPr>
          <w:rFonts w:eastAsia="Baskerville Old Face" w:cs="Times New Roman"/>
          <w:lang w:val="en-GB"/>
        </w:rPr>
        <w:t>Things in themselves</w:t>
      </w:r>
      <w:r w:rsidR="008B4DE1" w:rsidRPr="009C5998">
        <w:rPr>
          <w:rFonts w:eastAsia="Baskerville Old Face" w:cs="Times New Roman"/>
          <w:lang w:val="en-GB"/>
        </w:rPr>
        <w:t>’.</w:t>
      </w:r>
      <w:r w:rsidRPr="009C5998">
        <w:rPr>
          <w:rFonts w:eastAsia="Baskerville Old Face" w:cs="Times New Roman"/>
          <w:lang w:val="en-GB"/>
        </w:rPr>
        <w:t xml:space="preserve"> </w:t>
      </w:r>
      <w:r w:rsidRPr="009C5998">
        <w:rPr>
          <w:rFonts w:eastAsia="Baskerville Old Face" w:cs="Times New Roman"/>
          <w:i/>
          <w:iCs/>
          <w:lang w:val="en-GB"/>
        </w:rPr>
        <w:t>Philosophy and Phenomenological Research</w:t>
      </w:r>
      <w:r w:rsidR="00B8589D" w:rsidRPr="009C5998">
        <w:rPr>
          <w:rFonts w:eastAsia="Baskerville Old Face" w:cs="Times New Roman"/>
          <w:i/>
          <w:iCs/>
          <w:lang w:val="en-GB"/>
        </w:rPr>
        <w:t>,</w:t>
      </w:r>
      <w:r w:rsidRPr="009C5998">
        <w:rPr>
          <w:rFonts w:eastAsia="Baskerville Old Face" w:cs="Times New Roman"/>
          <w:lang w:val="en-GB"/>
        </w:rPr>
        <w:t xml:space="preserve"> 57(4), 801-25</w:t>
      </w:r>
      <w:r w:rsidR="00506503">
        <w:rPr>
          <w:rFonts w:eastAsia="Baskerville Old Face" w:cs="Times New Roman"/>
          <w:lang w:val="en-GB"/>
        </w:rPr>
        <w:t>.</w:t>
      </w:r>
    </w:p>
    <w:p w14:paraId="689537D4" w14:textId="77777777" w:rsidR="00506503" w:rsidRDefault="001A7A49" w:rsidP="00506503">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Adickes, E. (1924) </w:t>
      </w:r>
      <w:r w:rsidRPr="009C5998">
        <w:rPr>
          <w:rFonts w:eastAsia="Baskerville Old Face" w:cs="Times New Roman"/>
          <w:i/>
          <w:iCs/>
          <w:lang w:val="en-GB"/>
        </w:rPr>
        <w:t>Kant und das Ding an Sich</w:t>
      </w:r>
      <w:r w:rsidR="00B8589D" w:rsidRPr="009C5998">
        <w:rPr>
          <w:rFonts w:eastAsia="Baskerville Old Face" w:cs="Times New Roman"/>
          <w:i/>
          <w:iCs/>
          <w:lang w:val="en-GB"/>
        </w:rPr>
        <w:t>.</w:t>
      </w:r>
      <w:r w:rsidRPr="009C5998">
        <w:rPr>
          <w:rFonts w:eastAsia="Baskerville Old Face" w:cs="Times New Roman"/>
          <w:lang w:val="en-GB"/>
        </w:rPr>
        <w:t xml:space="preserve"> Berlin: Pan Verlag Rolf Heisse</w:t>
      </w:r>
      <w:r w:rsidR="00506503">
        <w:rPr>
          <w:rFonts w:eastAsia="Baskerville Old Face" w:cs="Times New Roman"/>
          <w:lang w:val="en-GB"/>
        </w:rPr>
        <w:t>.</w:t>
      </w:r>
    </w:p>
    <w:p w14:paraId="6BF7816F" w14:textId="77777777" w:rsidR="007567E3" w:rsidRDefault="001A7A49" w:rsidP="007567E3">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Allais, L. (2006) </w:t>
      </w:r>
      <w:r w:rsidR="00B8589D" w:rsidRPr="009C5998">
        <w:rPr>
          <w:rFonts w:eastAsia="Baskerville Old Face" w:cs="Times New Roman"/>
          <w:lang w:val="en-GB"/>
        </w:rPr>
        <w:t>‘</w:t>
      </w:r>
      <w:r w:rsidRPr="009C5998">
        <w:rPr>
          <w:rFonts w:eastAsia="Baskerville Old Face" w:cs="Times New Roman"/>
          <w:lang w:val="en-GB"/>
        </w:rPr>
        <w:t>Intrinsic Natures: A Critique of Langton on Kant</w:t>
      </w:r>
      <w:r w:rsidR="00B8589D" w:rsidRPr="009C5998">
        <w:rPr>
          <w:rFonts w:eastAsia="Baskerville Old Face" w:cs="Times New Roman"/>
          <w:lang w:val="en-GB"/>
        </w:rPr>
        <w:t>’.</w:t>
      </w:r>
      <w:r w:rsidRPr="009C5998">
        <w:rPr>
          <w:rFonts w:eastAsia="Baskerville Old Face" w:cs="Times New Roman"/>
          <w:lang w:val="en-GB"/>
        </w:rPr>
        <w:t xml:space="preserve"> </w:t>
      </w:r>
      <w:r w:rsidRPr="009C5998">
        <w:rPr>
          <w:rFonts w:eastAsia="Baskerville Old Face" w:cs="Times New Roman"/>
          <w:i/>
          <w:iCs/>
          <w:lang w:val="en-GB"/>
        </w:rPr>
        <w:t>Philosophy and Phenomenological Research</w:t>
      </w:r>
      <w:r w:rsidRPr="009C5998">
        <w:rPr>
          <w:rFonts w:eastAsia="Baskerville Old Face" w:cs="Times New Roman"/>
          <w:lang w:val="en-GB"/>
        </w:rPr>
        <w:t>, 73(1), 143-69</w:t>
      </w:r>
      <w:r w:rsidR="00506503">
        <w:rPr>
          <w:rFonts w:eastAsia="Baskerville Old Face" w:cs="Times New Roman"/>
          <w:lang w:val="en-GB"/>
        </w:rPr>
        <w:t>.</w:t>
      </w:r>
    </w:p>
    <w:p w14:paraId="59EE616E" w14:textId="77777777" w:rsidR="007567E3" w:rsidRDefault="007567E3" w:rsidP="007567E3">
      <w:pPr>
        <w:pStyle w:val="BodyA"/>
        <w:spacing w:line="480" w:lineRule="auto"/>
        <w:ind w:left="720" w:hanging="720"/>
        <w:rPr>
          <w:rFonts w:eastAsia="Baskerville Old Face" w:cs="Times New Roman"/>
          <w:lang w:val="en-GB"/>
        </w:rPr>
      </w:pPr>
      <w:r>
        <w:rPr>
          <w:rFonts w:eastAsia="Baskerville Old Face" w:cs="Times New Roman"/>
          <w:lang w:val="en-GB"/>
        </w:rPr>
        <w:t>—</w:t>
      </w:r>
      <w:r w:rsidR="001A7A49" w:rsidRPr="009C5998">
        <w:rPr>
          <w:rFonts w:eastAsia="Baskerville Old Face" w:cs="Times New Roman"/>
          <w:lang w:val="en-GB"/>
        </w:rPr>
        <w:t xml:space="preserve"> (2007) </w:t>
      </w:r>
      <w:r w:rsidR="00B8589D" w:rsidRPr="009C5998">
        <w:rPr>
          <w:rFonts w:eastAsia="Baskerville Old Face" w:cs="Times New Roman"/>
          <w:lang w:val="en-GB"/>
        </w:rPr>
        <w:t>‘</w:t>
      </w:r>
      <w:r w:rsidR="001A7A49" w:rsidRPr="009C5998">
        <w:rPr>
          <w:rFonts w:eastAsia="Baskerville Old Face" w:cs="Times New Roman"/>
          <w:lang w:val="en-GB"/>
        </w:rPr>
        <w:t>Kant’s Idealism and the secondary quality analogy</w:t>
      </w:r>
      <w:r w:rsidR="00B8589D" w:rsidRPr="009C5998">
        <w:rPr>
          <w:rFonts w:eastAsia="Baskerville Old Face" w:cs="Times New Roman"/>
          <w:lang w:val="en-GB"/>
        </w:rPr>
        <w:t>’.</w:t>
      </w:r>
      <w:r w:rsidR="001A7A49" w:rsidRPr="009C5998">
        <w:rPr>
          <w:rFonts w:eastAsia="Baskerville Old Face" w:cs="Times New Roman"/>
          <w:lang w:val="en-GB"/>
        </w:rPr>
        <w:t xml:space="preserve"> </w:t>
      </w:r>
      <w:r w:rsidR="001A7A49" w:rsidRPr="009C5998">
        <w:rPr>
          <w:rFonts w:eastAsia="Baskerville Old Face" w:cs="Times New Roman"/>
          <w:i/>
          <w:iCs/>
          <w:lang w:val="en-GB"/>
        </w:rPr>
        <w:t>Journal of the History of Philosophy</w:t>
      </w:r>
      <w:r w:rsidR="001A7A49" w:rsidRPr="009C5998">
        <w:rPr>
          <w:rFonts w:eastAsia="Baskerville Old Face" w:cs="Times New Roman"/>
          <w:lang w:val="en-GB"/>
        </w:rPr>
        <w:t>, 45(3), 459-84</w:t>
      </w:r>
      <w:r>
        <w:rPr>
          <w:rFonts w:eastAsia="Baskerville Old Face" w:cs="Times New Roman"/>
          <w:lang w:val="en-GB"/>
        </w:rPr>
        <w:t>.</w:t>
      </w:r>
    </w:p>
    <w:p w14:paraId="6D121584" w14:textId="77777777" w:rsidR="007567E3" w:rsidRDefault="007567E3" w:rsidP="007567E3">
      <w:pPr>
        <w:pStyle w:val="BodyA"/>
        <w:spacing w:line="480" w:lineRule="auto"/>
        <w:ind w:left="720" w:hanging="720"/>
        <w:rPr>
          <w:rFonts w:eastAsia="Baskerville Old Face" w:cs="Times New Roman"/>
          <w:lang w:val="en-GB"/>
        </w:rPr>
      </w:pPr>
      <w:r>
        <w:rPr>
          <w:rFonts w:eastAsia="Baskerville Old Face" w:cs="Times New Roman"/>
          <w:lang w:val="en-GB"/>
        </w:rPr>
        <w:t>—</w:t>
      </w:r>
      <w:r w:rsidRPr="009C5998">
        <w:rPr>
          <w:rFonts w:eastAsia="Baskerville Old Face" w:cs="Times New Roman"/>
          <w:lang w:val="en-GB"/>
        </w:rPr>
        <w:t xml:space="preserve"> </w:t>
      </w:r>
      <w:r w:rsidR="001A7A49" w:rsidRPr="009C5998">
        <w:rPr>
          <w:rFonts w:eastAsia="Baskerville Old Face" w:cs="Times New Roman"/>
          <w:lang w:val="en-GB"/>
        </w:rPr>
        <w:t xml:space="preserve">(2015) </w:t>
      </w:r>
      <w:r w:rsidR="001A7A49" w:rsidRPr="009C5998">
        <w:rPr>
          <w:rFonts w:eastAsia="Baskerville Old Face" w:cs="Times New Roman"/>
          <w:i/>
          <w:iCs/>
          <w:lang w:val="en-GB"/>
        </w:rPr>
        <w:t>Manifest Reality: Kant’s Idealism and his Realism</w:t>
      </w:r>
      <w:r w:rsidR="00B8589D" w:rsidRPr="009C5998">
        <w:rPr>
          <w:rFonts w:eastAsia="Baskerville Old Face" w:cs="Times New Roman"/>
          <w:lang w:val="en-GB"/>
        </w:rPr>
        <w:t>.</w:t>
      </w:r>
      <w:r w:rsidR="001A7A49" w:rsidRPr="009C5998">
        <w:rPr>
          <w:rFonts w:eastAsia="Baskerville Old Face" w:cs="Times New Roman"/>
          <w:lang w:val="en-GB"/>
        </w:rPr>
        <w:t xml:space="preserve"> Oxford: Oxford University Press</w:t>
      </w:r>
      <w:r>
        <w:rPr>
          <w:rFonts w:eastAsia="Baskerville Old Face" w:cs="Times New Roman"/>
          <w:lang w:val="en-GB"/>
        </w:rPr>
        <w:t>.</w:t>
      </w:r>
    </w:p>
    <w:p w14:paraId="7ED9901A" w14:textId="77777777" w:rsidR="000D5616" w:rsidRDefault="001A7A49" w:rsidP="000D5616">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Allison, H. (1983) </w:t>
      </w:r>
      <w:r w:rsidRPr="009C5998">
        <w:rPr>
          <w:rFonts w:eastAsia="Baskerville Old Face" w:cs="Times New Roman"/>
          <w:i/>
          <w:iCs/>
          <w:lang w:val="en-GB"/>
        </w:rPr>
        <w:t>Kant’s Transcendental Idealism. An Interpretation and Defense</w:t>
      </w:r>
      <w:r w:rsidR="00873868" w:rsidRPr="009C5998">
        <w:rPr>
          <w:rFonts w:eastAsia="Baskerville Old Face" w:cs="Times New Roman"/>
          <w:i/>
          <w:iCs/>
          <w:lang w:val="en-GB"/>
        </w:rPr>
        <w:t>.</w:t>
      </w:r>
      <w:r w:rsidRPr="009C5998">
        <w:rPr>
          <w:rFonts w:eastAsia="Baskerville Old Face" w:cs="Times New Roman"/>
          <w:lang w:val="en-GB"/>
        </w:rPr>
        <w:t xml:space="preserve"> New Haven and London: Yale University Press</w:t>
      </w:r>
      <w:r w:rsidR="000D5616">
        <w:rPr>
          <w:rFonts w:eastAsia="Baskerville Old Face" w:cs="Times New Roman"/>
          <w:lang w:val="en-GB"/>
        </w:rPr>
        <w:t>.</w:t>
      </w:r>
    </w:p>
    <w:p w14:paraId="0FA28674" w14:textId="77777777" w:rsidR="000D5616" w:rsidRDefault="000D5616" w:rsidP="000D5616">
      <w:pPr>
        <w:pStyle w:val="BodyA"/>
        <w:spacing w:line="480" w:lineRule="auto"/>
        <w:ind w:left="720" w:hanging="720"/>
        <w:rPr>
          <w:rFonts w:eastAsia="Baskerville Old Face" w:cs="Times New Roman"/>
          <w:lang w:val="en-GB"/>
        </w:rPr>
      </w:pPr>
      <w:r>
        <w:rPr>
          <w:rFonts w:eastAsia="Baskerville Old Face" w:cs="Times New Roman"/>
          <w:lang w:val="en-GB"/>
        </w:rPr>
        <w:t>—</w:t>
      </w:r>
      <w:r w:rsidR="001A7A49" w:rsidRPr="009C5998">
        <w:rPr>
          <w:rFonts w:eastAsia="Baskerville Old Face" w:cs="Times New Roman"/>
          <w:lang w:val="en-GB"/>
        </w:rPr>
        <w:t xml:space="preserve"> (2004) </w:t>
      </w:r>
      <w:r w:rsidR="001A7A49" w:rsidRPr="009C5998">
        <w:rPr>
          <w:rFonts w:eastAsia="Baskerville Old Face" w:cs="Times New Roman"/>
          <w:i/>
          <w:iCs/>
          <w:lang w:val="en-GB"/>
        </w:rPr>
        <w:t>Kant’s Transcendental Idealism. An Interpretation and Defense</w:t>
      </w:r>
      <w:r w:rsidR="00873868" w:rsidRPr="009C5998">
        <w:rPr>
          <w:rFonts w:eastAsia="Baskerville Old Face" w:cs="Times New Roman"/>
          <w:i/>
          <w:iCs/>
          <w:lang w:val="en-GB"/>
        </w:rPr>
        <w:t xml:space="preserve"> </w:t>
      </w:r>
      <w:r w:rsidR="00873868" w:rsidRPr="009C5998">
        <w:rPr>
          <w:rFonts w:eastAsia="Baskerville Old Face" w:cs="Times New Roman"/>
          <w:iCs/>
          <w:lang w:val="en-GB"/>
        </w:rPr>
        <w:t>(</w:t>
      </w:r>
      <w:r w:rsidR="001A7A49" w:rsidRPr="009C5998">
        <w:rPr>
          <w:rFonts w:eastAsia="Baskerville Old Face" w:cs="Times New Roman"/>
          <w:lang w:val="en-GB"/>
        </w:rPr>
        <w:t>2</w:t>
      </w:r>
      <w:r w:rsidR="001A7A49" w:rsidRPr="009C5998">
        <w:rPr>
          <w:rFonts w:eastAsia="Baskerville Old Face" w:cs="Times New Roman"/>
          <w:vertAlign w:val="superscript"/>
          <w:lang w:val="en-GB"/>
        </w:rPr>
        <w:t>nd</w:t>
      </w:r>
      <w:r w:rsidR="001A7A49" w:rsidRPr="009C5998">
        <w:rPr>
          <w:rFonts w:eastAsia="Baskerville Old Face" w:cs="Times New Roman"/>
          <w:lang w:val="en-GB"/>
        </w:rPr>
        <w:t xml:space="preserve"> edition</w:t>
      </w:r>
      <w:r w:rsidR="00873868" w:rsidRPr="009C5998">
        <w:rPr>
          <w:rFonts w:eastAsia="Baskerville Old Face" w:cs="Times New Roman"/>
          <w:lang w:val="en-GB"/>
        </w:rPr>
        <w:t>).</w:t>
      </w:r>
      <w:r w:rsidR="001A7A49" w:rsidRPr="009C5998">
        <w:rPr>
          <w:rFonts w:eastAsia="Baskerville Old Face" w:cs="Times New Roman"/>
          <w:lang w:val="en-GB"/>
        </w:rPr>
        <w:t xml:space="preserve"> New Haven and London: Yale University Press</w:t>
      </w:r>
      <w:r>
        <w:rPr>
          <w:rFonts w:eastAsia="Baskerville Old Face" w:cs="Times New Roman"/>
          <w:lang w:val="en-GB"/>
        </w:rPr>
        <w:t>.</w:t>
      </w:r>
    </w:p>
    <w:p w14:paraId="3BFD7AF4" w14:textId="77777777" w:rsidR="008E25CD" w:rsidRDefault="001A7A49" w:rsidP="008E25CD">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Ameriks, K. (2000) </w:t>
      </w:r>
      <w:r w:rsidRPr="009C5998">
        <w:rPr>
          <w:rFonts w:eastAsia="Baskerville Old Face" w:cs="Times New Roman"/>
          <w:i/>
          <w:iCs/>
          <w:lang w:val="en-GB"/>
        </w:rPr>
        <w:t>Kant and the Fate of Autonomy. Problems in the Appropriation of the Critical Philosophy</w:t>
      </w:r>
      <w:r w:rsidR="00873868" w:rsidRPr="009C5998">
        <w:rPr>
          <w:rFonts w:eastAsia="Baskerville Old Face" w:cs="Times New Roman"/>
          <w:lang w:val="en-GB"/>
        </w:rPr>
        <w:t>.</w:t>
      </w:r>
      <w:r w:rsidRPr="009C5998">
        <w:rPr>
          <w:rFonts w:eastAsia="Baskerville Old Face" w:cs="Times New Roman"/>
          <w:lang w:val="en-GB"/>
        </w:rPr>
        <w:t xml:space="preserve"> Cambridge: Cambridge University Press</w:t>
      </w:r>
      <w:r w:rsidR="008E25CD">
        <w:rPr>
          <w:rFonts w:eastAsia="Baskerville Old Face" w:cs="Times New Roman"/>
          <w:lang w:val="en-GB"/>
        </w:rPr>
        <w:t>.</w:t>
      </w:r>
    </w:p>
    <w:p w14:paraId="53CD8EB9" w14:textId="77777777" w:rsidR="008E25CD" w:rsidRDefault="008E25CD" w:rsidP="008E25CD">
      <w:pPr>
        <w:pStyle w:val="BodyA"/>
        <w:spacing w:line="480" w:lineRule="auto"/>
        <w:ind w:left="720" w:hanging="720"/>
        <w:rPr>
          <w:rFonts w:eastAsia="Baskerville Old Face" w:cs="Times New Roman"/>
          <w:lang w:val="en-GB"/>
        </w:rPr>
      </w:pPr>
      <w:r>
        <w:rPr>
          <w:rFonts w:eastAsia="Baskerville Old Face" w:cs="Times New Roman"/>
          <w:lang w:val="en-GB"/>
        </w:rPr>
        <w:t>—</w:t>
      </w:r>
      <w:r w:rsidR="001A7A49" w:rsidRPr="009C5998">
        <w:rPr>
          <w:rFonts w:eastAsia="Baskerville Old Face" w:cs="Times New Roman"/>
          <w:lang w:val="en-GB"/>
        </w:rPr>
        <w:t xml:space="preserve"> (2003) </w:t>
      </w:r>
      <w:r w:rsidR="001A7A49" w:rsidRPr="009C5998">
        <w:rPr>
          <w:rFonts w:eastAsia="Baskerville Old Face" w:cs="Times New Roman"/>
          <w:i/>
          <w:iCs/>
          <w:lang w:val="en-GB"/>
        </w:rPr>
        <w:t>Interpreting Kant’s Critiques</w:t>
      </w:r>
      <w:r w:rsidR="00873868" w:rsidRPr="009C5998">
        <w:rPr>
          <w:rFonts w:eastAsia="Baskerville Old Face" w:cs="Times New Roman"/>
          <w:lang w:val="en-GB"/>
        </w:rPr>
        <w:t>.</w:t>
      </w:r>
      <w:r w:rsidR="001A7A49" w:rsidRPr="009C5998">
        <w:rPr>
          <w:rFonts w:eastAsia="Baskerville Old Face" w:cs="Times New Roman"/>
          <w:lang w:val="en-GB"/>
        </w:rPr>
        <w:t xml:space="preserve"> Oxford: Oxford University Press</w:t>
      </w:r>
      <w:r>
        <w:rPr>
          <w:rFonts w:eastAsia="Baskerville Old Face" w:cs="Times New Roman"/>
          <w:lang w:val="en-GB"/>
        </w:rPr>
        <w:t>.</w:t>
      </w:r>
    </w:p>
    <w:p w14:paraId="60129422" w14:textId="77777777" w:rsidR="008E25CD" w:rsidRDefault="001A7A49" w:rsidP="008E25CD">
      <w:pPr>
        <w:pStyle w:val="BodyA"/>
        <w:spacing w:line="480" w:lineRule="auto"/>
        <w:ind w:left="720" w:hanging="720"/>
        <w:rPr>
          <w:rFonts w:eastAsia="Baskerville Old Face" w:cs="Times New Roman"/>
          <w:lang w:val="en-GB"/>
        </w:rPr>
      </w:pPr>
      <w:r w:rsidRPr="009C5998">
        <w:rPr>
          <w:rFonts w:eastAsia="Baskerville Old Face" w:cs="Times New Roman"/>
          <w:lang w:val="en-GB"/>
        </w:rPr>
        <w:t>Aquila, R.</w:t>
      </w:r>
      <w:r w:rsidR="008E25CD">
        <w:rPr>
          <w:rFonts w:eastAsia="Baskerville Old Face" w:cs="Times New Roman"/>
          <w:lang w:val="en-GB"/>
        </w:rPr>
        <w:t xml:space="preserve"> </w:t>
      </w:r>
      <w:r w:rsidRPr="009C5998">
        <w:rPr>
          <w:rFonts w:eastAsia="Baskerville Old Face" w:cs="Times New Roman"/>
          <w:lang w:val="en-GB"/>
        </w:rPr>
        <w:t>E.</w:t>
      </w:r>
      <w:r w:rsidR="009E1038" w:rsidRPr="009C5998">
        <w:rPr>
          <w:rFonts w:eastAsia="Baskerville Old Face" w:cs="Times New Roman"/>
          <w:lang w:val="en-GB"/>
        </w:rPr>
        <w:t xml:space="preserve"> </w:t>
      </w:r>
      <w:r w:rsidRPr="009C5998">
        <w:rPr>
          <w:rFonts w:eastAsia="Baskerville Old Face" w:cs="Times New Roman"/>
          <w:lang w:val="en-GB"/>
        </w:rPr>
        <w:t xml:space="preserve">(1979) </w:t>
      </w:r>
      <w:r w:rsidR="00873868" w:rsidRPr="009C5998">
        <w:rPr>
          <w:rFonts w:eastAsia="Baskerville Old Face" w:cs="Times New Roman"/>
          <w:lang w:val="en-GB"/>
        </w:rPr>
        <w:t>‘</w:t>
      </w:r>
      <w:r w:rsidRPr="009C5998">
        <w:rPr>
          <w:rFonts w:eastAsia="Baskerville Old Face" w:cs="Times New Roman"/>
          <w:lang w:val="en-GB"/>
        </w:rPr>
        <w:t>Things in themselves and appearances: intentionality and reality in Kant</w:t>
      </w:r>
      <w:r w:rsidR="00873868" w:rsidRPr="009C5998">
        <w:rPr>
          <w:rFonts w:eastAsia="Baskerville Old Face" w:cs="Times New Roman"/>
          <w:lang w:val="en-GB"/>
        </w:rPr>
        <w:t xml:space="preserve">’. </w:t>
      </w:r>
      <w:r w:rsidRPr="009C5998">
        <w:rPr>
          <w:rFonts w:eastAsia="Baskerville Old Face" w:cs="Times New Roman"/>
          <w:i/>
          <w:iCs/>
          <w:lang w:val="en-GB"/>
        </w:rPr>
        <w:t>Archiv für Geschichte der Philosophie</w:t>
      </w:r>
      <w:r w:rsidRPr="009C5998">
        <w:rPr>
          <w:rFonts w:eastAsia="Baskerville Old Face" w:cs="Times New Roman"/>
          <w:lang w:val="en-GB"/>
        </w:rPr>
        <w:t>, 61, 293-307</w:t>
      </w:r>
      <w:r w:rsidR="008E25CD">
        <w:rPr>
          <w:rFonts w:eastAsia="Baskerville Old Face" w:cs="Times New Roman"/>
          <w:lang w:val="en-GB"/>
        </w:rPr>
        <w:t>.</w:t>
      </w:r>
    </w:p>
    <w:p w14:paraId="6F8E0D16" w14:textId="77777777" w:rsidR="00372B28" w:rsidRDefault="008E25CD" w:rsidP="00372B28">
      <w:pPr>
        <w:pStyle w:val="BodyA"/>
        <w:spacing w:line="480" w:lineRule="auto"/>
        <w:ind w:left="720" w:hanging="720"/>
        <w:rPr>
          <w:rFonts w:eastAsia="Baskerville Old Face" w:cs="Times New Roman"/>
          <w:lang w:val="en-GB"/>
        </w:rPr>
      </w:pPr>
      <w:r>
        <w:rPr>
          <w:rFonts w:eastAsia="Baskerville Old Face" w:cs="Times New Roman"/>
          <w:lang w:val="en-GB"/>
        </w:rPr>
        <w:t>—</w:t>
      </w:r>
      <w:r w:rsidR="00B2678B" w:rsidRPr="009C5998">
        <w:rPr>
          <w:rFonts w:eastAsia="Baskerville Old Face" w:cs="Times New Roman"/>
          <w:lang w:val="en-GB"/>
        </w:rPr>
        <w:t xml:space="preserve"> (1981) </w:t>
      </w:r>
      <w:r w:rsidR="00873868" w:rsidRPr="009C5998">
        <w:rPr>
          <w:rFonts w:eastAsia="Baskerville Old Face" w:cs="Times New Roman"/>
          <w:lang w:val="en-GB"/>
        </w:rPr>
        <w:t>‘</w:t>
      </w:r>
      <w:r w:rsidR="00B2678B" w:rsidRPr="009C5998">
        <w:rPr>
          <w:rFonts w:eastAsia="Baskerville Old Face" w:cs="Times New Roman"/>
          <w:lang w:val="en-GB"/>
        </w:rPr>
        <w:t>Intentional Objects and Kantian Appearances</w:t>
      </w:r>
      <w:r w:rsidR="00873868" w:rsidRPr="009C5998">
        <w:rPr>
          <w:rFonts w:eastAsia="Baskerville Old Face" w:cs="Times New Roman"/>
          <w:lang w:val="en-GB"/>
        </w:rPr>
        <w:t>’</w:t>
      </w:r>
      <w:r w:rsidR="00D91FD1" w:rsidRPr="009C5998">
        <w:rPr>
          <w:rFonts w:eastAsia="Baskerville Old Face" w:cs="Times New Roman"/>
          <w:lang w:val="en-GB"/>
        </w:rPr>
        <w:t xml:space="preserve">. </w:t>
      </w:r>
      <w:r w:rsidR="00B2678B" w:rsidRPr="009C5998">
        <w:rPr>
          <w:rFonts w:eastAsia="Baskerville Old Face" w:cs="Times New Roman"/>
          <w:i/>
          <w:lang w:val="en-GB"/>
        </w:rPr>
        <w:t>Philosophical Topics</w:t>
      </w:r>
      <w:r w:rsidR="00B2678B" w:rsidRPr="009C5998">
        <w:rPr>
          <w:rFonts w:eastAsia="Baskerville Old Face" w:cs="Times New Roman"/>
          <w:lang w:val="en-GB"/>
        </w:rPr>
        <w:t>, 12(</w:t>
      </w:r>
      <w:r w:rsidR="00D91FD1" w:rsidRPr="009C5998">
        <w:rPr>
          <w:rFonts w:eastAsia="Baskerville Old Face" w:cs="Times New Roman"/>
          <w:lang w:val="en-GB"/>
        </w:rPr>
        <w:t>2</w:t>
      </w:r>
      <w:r w:rsidR="00B2678B" w:rsidRPr="009C5998">
        <w:rPr>
          <w:rFonts w:eastAsia="Baskerville Old Face" w:cs="Times New Roman"/>
          <w:lang w:val="en-GB"/>
        </w:rPr>
        <w:t xml:space="preserve">), </w:t>
      </w:r>
      <w:r w:rsidR="00D91FD1" w:rsidRPr="009C5998">
        <w:rPr>
          <w:rFonts w:eastAsia="Baskerville Old Face" w:cs="Times New Roman"/>
          <w:lang w:val="en-GB"/>
        </w:rPr>
        <w:t>9</w:t>
      </w:r>
      <w:r w:rsidR="00B2678B" w:rsidRPr="009C5998">
        <w:rPr>
          <w:rFonts w:eastAsia="Baskerville Old Face" w:cs="Times New Roman"/>
          <w:lang w:val="en-GB"/>
        </w:rPr>
        <w:t>-37</w:t>
      </w:r>
      <w:r w:rsidR="00372B28">
        <w:rPr>
          <w:rFonts w:eastAsia="Baskerville Old Face" w:cs="Times New Roman"/>
          <w:lang w:val="en-GB"/>
        </w:rPr>
        <w:t>.</w:t>
      </w:r>
    </w:p>
    <w:p w14:paraId="26507BD8" w14:textId="77777777" w:rsidR="00372B28" w:rsidRDefault="00BE0A55" w:rsidP="00372B28">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Bennett, J. (1974) </w:t>
      </w:r>
      <w:r w:rsidR="00FF192D" w:rsidRPr="009C5998">
        <w:rPr>
          <w:rFonts w:eastAsia="Baskerville Old Face" w:cs="Times New Roman"/>
          <w:i/>
          <w:lang w:val="en-GB"/>
        </w:rPr>
        <w:t>Kant’s Dialectic</w:t>
      </w:r>
      <w:r w:rsidR="00D91FD1" w:rsidRPr="009C5998">
        <w:rPr>
          <w:rFonts w:eastAsia="Baskerville Old Face" w:cs="Times New Roman"/>
          <w:i/>
          <w:lang w:val="en-GB"/>
        </w:rPr>
        <w:t>.</w:t>
      </w:r>
      <w:r w:rsidR="00FF192D" w:rsidRPr="009C5998">
        <w:rPr>
          <w:rFonts w:eastAsia="Baskerville Old Face" w:cs="Times New Roman"/>
          <w:lang w:val="en-GB"/>
        </w:rPr>
        <w:t xml:space="preserve"> Camb</w:t>
      </w:r>
      <w:r w:rsidR="00825A41" w:rsidRPr="009C5998">
        <w:rPr>
          <w:rFonts w:eastAsia="Baskerville Old Face" w:cs="Times New Roman"/>
          <w:lang w:val="en-GB"/>
        </w:rPr>
        <w:t>ridge: Cambridge University Press</w:t>
      </w:r>
      <w:r w:rsidR="00372B28">
        <w:rPr>
          <w:rFonts w:eastAsia="Baskerville Old Face" w:cs="Times New Roman"/>
          <w:lang w:val="en-GB"/>
        </w:rPr>
        <w:t>.</w:t>
      </w:r>
    </w:p>
    <w:p w14:paraId="693B3387" w14:textId="77777777" w:rsidR="00372B28" w:rsidRDefault="00B2678B" w:rsidP="00372B28">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Bird, G. (2006) </w:t>
      </w:r>
      <w:r w:rsidRPr="009C5998">
        <w:rPr>
          <w:rFonts w:eastAsia="Baskerville Old Face" w:cs="Times New Roman"/>
          <w:i/>
          <w:iCs/>
          <w:lang w:val="en-GB"/>
        </w:rPr>
        <w:t>The Revolutionary Kant. A Commentary on the Critique of Pure Reason</w:t>
      </w:r>
      <w:r w:rsidR="00D91FD1" w:rsidRPr="009C5998">
        <w:rPr>
          <w:rFonts w:eastAsia="Baskerville Old Face" w:cs="Times New Roman"/>
          <w:lang w:val="en-GB"/>
        </w:rPr>
        <w:t>.</w:t>
      </w:r>
      <w:r w:rsidRPr="009C5998">
        <w:rPr>
          <w:rFonts w:eastAsia="Baskerville Old Face" w:cs="Times New Roman"/>
          <w:lang w:val="en-GB"/>
        </w:rPr>
        <w:t xml:space="preserve"> New York</w:t>
      </w:r>
      <w:r w:rsidR="00D91FD1" w:rsidRPr="009C5998">
        <w:rPr>
          <w:rFonts w:eastAsia="Baskerville Old Face" w:cs="Times New Roman"/>
          <w:lang w:val="en-GB"/>
        </w:rPr>
        <w:t>:</w:t>
      </w:r>
      <w:r w:rsidRPr="009C5998">
        <w:rPr>
          <w:rFonts w:eastAsia="Baskerville Old Face" w:cs="Times New Roman"/>
          <w:lang w:val="en-GB"/>
        </w:rPr>
        <w:t xml:space="preserve"> Open Court</w:t>
      </w:r>
      <w:r w:rsidR="00372B28">
        <w:rPr>
          <w:rFonts w:eastAsia="Baskerville Old Face" w:cs="Times New Roman"/>
          <w:lang w:val="en-GB"/>
        </w:rPr>
        <w:t>.</w:t>
      </w:r>
    </w:p>
    <w:p w14:paraId="7B4306AC" w14:textId="528CBCB9" w:rsidR="0034048E" w:rsidRDefault="001A7A49" w:rsidP="0034048E">
      <w:pPr>
        <w:pStyle w:val="BodyA"/>
        <w:spacing w:line="480" w:lineRule="auto"/>
        <w:ind w:left="720" w:hanging="720"/>
        <w:rPr>
          <w:rFonts w:eastAsia="Baskerville Old Face" w:cs="Times New Roman"/>
          <w:color w:val="1A1A1A"/>
          <w:u w:color="1A1A1A"/>
          <w:shd w:val="clear" w:color="auto" w:fill="FFFFFF"/>
          <w:lang w:val="en-GB"/>
        </w:rPr>
      </w:pPr>
      <w:r w:rsidRPr="009C5998">
        <w:rPr>
          <w:rFonts w:eastAsia="Baskerville Old Face" w:cs="Times New Roman"/>
          <w:color w:val="1A1A1A"/>
          <w:u w:color="1A1A1A"/>
          <w:shd w:val="clear" w:color="auto" w:fill="FFFFFF"/>
          <w:lang w:val="en-GB"/>
        </w:rPr>
        <w:t xml:space="preserve">Chalmers, D. (2015) </w:t>
      </w:r>
      <w:r w:rsidR="00D91FD1" w:rsidRPr="009C5998">
        <w:rPr>
          <w:rFonts w:eastAsia="Baskerville Old Face" w:cs="Times New Roman"/>
          <w:color w:val="1A1A1A"/>
          <w:u w:color="1A1A1A"/>
          <w:shd w:val="clear" w:color="auto" w:fill="FFFFFF"/>
          <w:lang w:val="en-GB"/>
        </w:rPr>
        <w:t>‘</w:t>
      </w:r>
      <w:r w:rsidRPr="009C5998">
        <w:rPr>
          <w:rFonts w:eastAsia="Baskerville Old Face" w:cs="Times New Roman"/>
          <w:color w:val="1A1A1A"/>
          <w:u w:color="1A1A1A"/>
          <w:shd w:val="clear" w:color="auto" w:fill="FFFFFF"/>
          <w:lang w:val="en-GB"/>
        </w:rPr>
        <w:t>Panpsychism and Panprotopsychism</w:t>
      </w:r>
      <w:r w:rsidR="00D91FD1" w:rsidRPr="009C5998">
        <w:rPr>
          <w:rFonts w:eastAsia="Baskerville Old Face" w:cs="Times New Roman"/>
          <w:color w:val="1A1A1A"/>
          <w:u w:color="1A1A1A"/>
          <w:shd w:val="clear" w:color="auto" w:fill="FFFFFF"/>
          <w:lang w:val="en-GB"/>
        </w:rPr>
        <w:t>’.</w:t>
      </w:r>
      <w:r w:rsidRPr="009C5998">
        <w:rPr>
          <w:rFonts w:eastAsia="Baskerville Old Face" w:cs="Times New Roman"/>
          <w:color w:val="1A1A1A"/>
          <w:u w:color="1A1A1A"/>
          <w:shd w:val="clear" w:color="auto" w:fill="FFFFFF"/>
          <w:lang w:val="en-GB"/>
        </w:rPr>
        <w:t xml:space="preserve"> </w:t>
      </w:r>
      <w:r w:rsidR="00D91FD1" w:rsidRPr="009C5998">
        <w:rPr>
          <w:rFonts w:eastAsia="Baskerville Old Face" w:cs="Times New Roman"/>
          <w:color w:val="1A1A1A"/>
          <w:u w:color="1A1A1A"/>
          <w:shd w:val="clear" w:color="auto" w:fill="FFFFFF"/>
          <w:lang w:val="en-GB"/>
        </w:rPr>
        <w:t>I</w:t>
      </w:r>
      <w:r w:rsidRPr="009C5998">
        <w:rPr>
          <w:rFonts w:eastAsia="Baskerville Old Face" w:cs="Times New Roman"/>
          <w:color w:val="1A1A1A"/>
          <w:u w:color="1A1A1A"/>
          <w:shd w:val="clear" w:color="auto" w:fill="FFFFFF"/>
          <w:lang w:val="en-GB"/>
        </w:rPr>
        <w:t xml:space="preserve">n </w:t>
      </w:r>
      <w:r w:rsidR="00FB4A85">
        <w:rPr>
          <w:rFonts w:eastAsia="Baskerville Old Face" w:cs="Times New Roman"/>
          <w:color w:val="1A1A1A"/>
          <w:u w:color="1A1A1A"/>
          <w:shd w:val="clear" w:color="auto" w:fill="FFFFFF"/>
          <w:lang w:val="en-GB"/>
        </w:rPr>
        <w:t>T</w:t>
      </w:r>
      <w:r w:rsidR="00891D0C">
        <w:rPr>
          <w:rFonts w:eastAsia="Baskerville Old Face" w:cs="Times New Roman"/>
          <w:color w:val="1A1A1A"/>
          <w:u w:color="1A1A1A"/>
          <w:shd w:val="clear" w:color="auto" w:fill="FFFFFF"/>
          <w:lang w:val="en-GB"/>
        </w:rPr>
        <w:t>.</w:t>
      </w:r>
      <w:r w:rsidR="00FB4A85">
        <w:rPr>
          <w:rFonts w:eastAsia="Baskerville Old Face" w:cs="Times New Roman"/>
          <w:color w:val="1A1A1A"/>
          <w:u w:color="1A1A1A"/>
          <w:shd w:val="clear" w:color="auto" w:fill="FFFFFF"/>
          <w:lang w:val="en-GB"/>
        </w:rPr>
        <w:t xml:space="preserve"> </w:t>
      </w:r>
      <w:r w:rsidRPr="009C5998">
        <w:rPr>
          <w:rFonts w:eastAsia="Baskerville Old Face" w:cs="Times New Roman"/>
          <w:color w:val="1A1A1A"/>
          <w:u w:color="1A1A1A"/>
          <w:shd w:val="clear" w:color="auto" w:fill="FFFFFF"/>
          <w:lang w:val="en-GB"/>
        </w:rPr>
        <w:t xml:space="preserve">Alter </w:t>
      </w:r>
      <w:r w:rsidR="00FB4A85">
        <w:rPr>
          <w:rFonts w:eastAsia="Baskerville Old Face" w:cs="Times New Roman"/>
          <w:color w:val="1A1A1A"/>
          <w:u w:color="1A1A1A"/>
          <w:shd w:val="clear" w:color="auto" w:fill="FFFFFF"/>
          <w:lang w:val="en-GB"/>
        </w:rPr>
        <w:t>and</w:t>
      </w:r>
      <w:r w:rsidRPr="009C5998">
        <w:rPr>
          <w:rFonts w:eastAsia="Baskerville Old Face" w:cs="Times New Roman"/>
          <w:color w:val="1A1A1A"/>
          <w:u w:color="1A1A1A"/>
          <w:shd w:val="clear" w:color="auto" w:fill="FFFFFF"/>
          <w:lang w:val="en-GB"/>
        </w:rPr>
        <w:t xml:space="preserve"> </w:t>
      </w:r>
      <w:r w:rsidR="001012C2">
        <w:rPr>
          <w:rFonts w:eastAsia="Baskerville Old Face" w:cs="Times New Roman"/>
          <w:color w:val="1A1A1A"/>
          <w:u w:color="1A1A1A"/>
          <w:shd w:val="clear" w:color="auto" w:fill="FFFFFF"/>
          <w:lang w:val="en-GB"/>
        </w:rPr>
        <w:t>Y</w:t>
      </w:r>
      <w:r w:rsidR="00891D0C">
        <w:rPr>
          <w:rFonts w:eastAsia="Baskerville Old Face" w:cs="Times New Roman"/>
          <w:color w:val="1A1A1A"/>
          <w:u w:color="1A1A1A"/>
          <w:shd w:val="clear" w:color="auto" w:fill="FFFFFF"/>
          <w:lang w:val="en-GB"/>
        </w:rPr>
        <w:t>.</w:t>
      </w:r>
      <w:r w:rsidR="001012C2">
        <w:rPr>
          <w:rFonts w:eastAsia="Baskerville Old Face" w:cs="Times New Roman"/>
          <w:color w:val="1A1A1A"/>
          <w:u w:color="1A1A1A"/>
          <w:shd w:val="clear" w:color="auto" w:fill="FFFFFF"/>
          <w:lang w:val="en-GB"/>
        </w:rPr>
        <w:t xml:space="preserve"> </w:t>
      </w:r>
      <w:r w:rsidRPr="009C5998">
        <w:rPr>
          <w:rFonts w:eastAsia="Baskerville Old Face" w:cs="Times New Roman"/>
          <w:color w:val="1A1A1A"/>
          <w:u w:color="1A1A1A"/>
          <w:shd w:val="clear" w:color="auto" w:fill="FFFFFF"/>
          <w:lang w:val="en-GB"/>
        </w:rPr>
        <w:t>Nagasawa</w:t>
      </w:r>
      <w:r w:rsidR="00D91FD1" w:rsidRPr="009C5998">
        <w:rPr>
          <w:rFonts w:eastAsia="Baskerville Old Face" w:cs="Times New Roman"/>
          <w:color w:val="1A1A1A"/>
          <w:u w:color="1A1A1A"/>
          <w:shd w:val="clear" w:color="auto" w:fill="FFFFFF"/>
          <w:lang w:val="en-GB"/>
        </w:rPr>
        <w:t xml:space="preserve"> (</w:t>
      </w:r>
      <w:r w:rsidRPr="009C5998">
        <w:rPr>
          <w:rFonts w:eastAsia="Baskerville Old Face" w:cs="Times New Roman"/>
          <w:color w:val="1A1A1A"/>
          <w:u w:color="1A1A1A"/>
          <w:shd w:val="clear" w:color="auto" w:fill="FFFFFF"/>
          <w:lang w:val="en-GB"/>
        </w:rPr>
        <w:t>ed</w:t>
      </w:r>
      <w:r w:rsidR="001012C2">
        <w:rPr>
          <w:rFonts w:eastAsia="Baskerville Old Face" w:cs="Times New Roman"/>
          <w:color w:val="1A1A1A"/>
          <w:u w:color="1A1A1A"/>
          <w:shd w:val="clear" w:color="auto" w:fill="FFFFFF"/>
          <w:lang w:val="en-GB"/>
        </w:rPr>
        <w:t>s</w:t>
      </w:r>
      <w:r w:rsidR="00D91FD1" w:rsidRPr="009C5998">
        <w:rPr>
          <w:rFonts w:eastAsia="Baskerville Old Face" w:cs="Times New Roman"/>
          <w:color w:val="1A1A1A"/>
          <w:u w:color="1A1A1A"/>
          <w:shd w:val="clear" w:color="auto" w:fill="FFFFFF"/>
          <w:lang w:val="en-GB"/>
        </w:rPr>
        <w:t>)</w:t>
      </w:r>
      <w:r w:rsidRPr="009C5998">
        <w:rPr>
          <w:rFonts w:eastAsia="Baskerville Old Face" w:cs="Times New Roman"/>
          <w:color w:val="1A1A1A"/>
          <w:u w:color="1A1A1A"/>
          <w:shd w:val="clear" w:color="auto" w:fill="FFFFFF"/>
          <w:lang w:val="en-GB"/>
        </w:rPr>
        <w:t xml:space="preserve">, </w:t>
      </w:r>
      <w:r w:rsidRPr="009C5998">
        <w:rPr>
          <w:rFonts w:eastAsia="Baskerville Old Face" w:cs="Times New Roman"/>
          <w:i/>
          <w:iCs/>
          <w:color w:val="1A1A1A"/>
          <w:u w:color="1A1A1A"/>
          <w:shd w:val="clear" w:color="auto" w:fill="FFFFFF"/>
          <w:lang w:val="en-GB"/>
        </w:rPr>
        <w:t>Consciousness in the Physical World. Perspectives on Russellian Monism</w:t>
      </w:r>
      <w:r w:rsidR="00D91FD1" w:rsidRPr="009C5998">
        <w:rPr>
          <w:rFonts w:eastAsia="Baskerville Old Face" w:cs="Times New Roman"/>
          <w:i/>
          <w:iCs/>
          <w:color w:val="1A1A1A"/>
          <w:u w:color="1A1A1A"/>
          <w:shd w:val="clear" w:color="auto" w:fill="FFFFFF"/>
          <w:lang w:val="en-GB"/>
        </w:rPr>
        <w:t xml:space="preserve"> </w:t>
      </w:r>
      <w:r w:rsidR="00D91FD1" w:rsidRPr="009C5998">
        <w:rPr>
          <w:rFonts w:eastAsia="Baskerville Old Face" w:cs="Times New Roman"/>
          <w:iCs/>
          <w:color w:val="1A1A1A"/>
          <w:u w:color="1A1A1A"/>
          <w:shd w:val="clear" w:color="auto" w:fill="FFFFFF"/>
          <w:lang w:val="en-GB"/>
        </w:rPr>
        <w:t>(Oxford: Oxford University Press),</w:t>
      </w:r>
      <w:r w:rsidRPr="009C5998">
        <w:rPr>
          <w:rFonts w:eastAsia="Baskerville Old Face" w:cs="Times New Roman"/>
          <w:color w:val="1A1A1A"/>
          <w:u w:color="1A1A1A"/>
          <w:shd w:val="clear" w:color="auto" w:fill="FFFFFF"/>
          <w:lang w:val="en-GB"/>
        </w:rPr>
        <w:t xml:space="preserve"> </w:t>
      </w:r>
      <w:r w:rsidR="00D91FD1" w:rsidRPr="009C5998">
        <w:rPr>
          <w:rFonts w:eastAsia="Baskerville Old Face" w:cs="Times New Roman"/>
          <w:color w:val="1A1A1A"/>
          <w:u w:color="1A1A1A"/>
          <w:shd w:val="clear" w:color="auto" w:fill="FFFFFF"/>
          <w:lang w:val="en-GB"/>
        </w:rPr>
        <w:t xml:space="preserve">pp. </w:t>
      </w:r>
      <w:r w:rsidRPr="009C5998">
        <w:rPr>
          <w:rFonts w:eastAsia="Baskerville Old Face" w:cs="Times New Roman"/>
          <w:color w:val="1A1A1A"/>
          <w:u w:color="1A1A1A"/>
          <w:shd w:val="clear" w:color="auto" w:fill="FFFFFF"/>
          <w:lang w:val="en-GB"/>
        </w:rPr>
        <w:t>246</w:t>
      </w:r>
      <w:r w:rsidR="007105CF">
        <w:rPr>
          <w:rFonts w:eastAsia="Baskerville Old Face" w:cs="Times New Roman"/>
          <w:color w:val="1A1A1A"/>
          <w:u w:color="1A1A1A"/>
          <w:shd w:val="clear" w:color="auto" w:fill="FFFFFF"/>
          <w:lang w:val="en-GB"/>
        </w:rPr>
        <w:t>-</w:t>
      </w:r>
      <w:r w:rsidRPr="009C5998">
        <w:rPr>
          <w:rFonts w:eastAsia="Baskerville Old Face" w:cs="Times New Roman"/>
          <w:color w:val="1A1A1A"/>
          <w:u w:color="1A1A1A"/>
          <w:shd w:val="clear" w:color="auto" w:fill="FFFFFF"/>
          <w:lang w:val="en-GB"/>
        </w:rPr>
        <w:t>76.</w:t>
      </w:r>
    </w:p>
    <w:p w14:paraId="656CD2C7" w14:textId="77777777" w:rsidR="0034048E" w:rsidRDefault="001A7A49" w:rsidP="0034048E">
      <w:pPr>
        <w:pStyle w:val="BodyA"/>
        <w:spacing w:line="480" w:lineRule="auto"/>
        <w:ind w:left="720" w:hanging="720"/>
        <w:rPr>
          <w:rFonts w:eastAsia="Baskerville Old Face" w:cs="Times New Roman"/>
          <w:color w:val="1A1A1A"/>
          <w:u w:color="1A1A1A"/>
          <w:shd w:val="clear" w:color="auto" w:fill="FFFFFF"/>
          <w:lang w:val="en-GB"/>
        </w:rPr>
      </w:pPr>
      <w:r w:rsidRPr="009C5998">
        <w:rPr>
          <w:rFonts w:eastAsia="Baskerville Old Face" w:cs="Times New Roman"/>
          <w:color w:val="1A1A1A"/>
          <w:u w:color="1A1A1A"/>
          <w:shd w:val="clear" w:color="auto" w:fill="FFFFFF"/>
          <w:lang w:val="en-GB"/>
        </w:rPr>
        <w:t xml:space="preserve">Chiba, K. (2012) </w:t>
      </w:r>
      <w:r w:rsidRPr="009C5998">
        <w:rPr>
          <w:rFonts w:eastAsia="Baskerville Old Face" w:cs="Times New Roman"/>
          <w:i/>
          <w:iCs/>
          <w:color w:val="1A1A1A"/>
          <w:u w:color="1A1A1A"/>
          <w:shd w:val="clear" w:color="auto" w:fill="FFFFFF"/>
          <w:lang w:val="en-GB"/>
        </w:rPr>
        <w:t>Kants Ontologie der Raumzeitlichen Wirklichkeit</w:t>
      </w:r>
      <w:r w:rsidR="00D91FD1" w:rsidRPr="009C5998">
        <w:rPr>
          <w:rFonts w:eastAsia="Baskerville Old Face" w:cs="Times New Roman"/>
          <w:color w:val="1A1A1A"/>
          <w:u w:color="1A1A1A"/>
          <w:shd w:val="clear" w:color="auto" w:fill="FFFFFF"/>
          <w:lang w:val="en-GB"/>
        </w:rPr>
        <w:t>.</w:t>
      </w:r>
      <w:r w:rsidRPr="009C5998">
        <w:rPr>
          <w:rFonts w:eastAsia="Baskerville Old Face" w:cs="Times New Roman"/>
          <w:color w:val="1A1A1A"/>
          <w:u w:color="1A1A1A"/>
          <w:shd w:val="clear" w:color="auto" w:fill="FFFFFF"/>
          <w:lang w:val="en-GB"/>
        </w:rPr>
        <w:t xml:space="preserve"> Berlin: De Gruyter</w:t>
      </w:r>
      <w:r w:rsidR="0034048E">
        <w:rPr>
          <w:rFonts w:eastAsia="Baskerville Old Face" w:cs="Times New Roman"/>
          <w:color w:val="1A1A1A"/>
          <w:u w:color="1A1A1A"/>
          <w:shd w:val="clear" w:color="auto" w:fill="FFFFFF"/>
          <w:lang w:val="en-GB"/>
        </w:rPr>
        <w:t>.</w:t>
      </w:r>
    </w:p>
    <w:p w14:paraId="1B42D249" w14:textId="77777777" w:rsidR="00EA004A" w:rsidRDefault="001A7A49" w:rsidP="00EA004A">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Gardner, S. (1999) </w:t>
      </w:r>
      <w:r w:rsidRPr="009C5998">
        <w:rPr>
          <w:rFonts w:eastAsia="Baskerville Old Face" w:cs="Times New Roman"/>
          <w:i/>
          <w:iCs/>
          <w:lang w:val="en-GB"/>
        </w:rPr>
        <w:t>Kant and the Critique of Pure Reason</w:t>
      </w:r>
      <w:r w:rsidR="00D91FD1" w:rsidRPr="009C5998">
        <w:rPr>
          <w:rFonts w:eastAsia="Baskerville Old Face" w:cs="Times New Roman"/>
          <w:lang w:val="en-GB"/>
        </w:rPr>
        <w:t>.</w:t>
      </w:r>
      <w:r w:rsidRPr="009C5998">
        <w:rPr>
          <w:rFonts w:eastAsia="Baskerville Old Face" w:cs="Times New Roman"/>
          <w:lang w:val="en-GB"/>
        </w:rPr>
        <w:t xml:space="preserve"> London: Routledge</w:t>
      </w:r>
      <w:r w:rsidR="00EA004A">
        <w:rPr>
          <w:rFonts w:eastAsia="Baskerville Old Face" w:cs="Times New Roman"/>
          <w:lang w:val="en-GB"/>
        </w:rPr>
        <w:t>.</w:t>
      </w:r>
    </w:p>
    <w:p w14:paraId="357600FB" w14:textId="77777777" w:rsidR="00CC5343" w:rsidRDefault="001A7A49" w:rsidP="00CC5343">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Goff, P. (2017) </w:t>
      </w:r>
      <w:r w:rsidRPr="009C5998">
        <w:rPr>
          <w:rFonts w:eastAsia="Baskerville Old Face" w:cs="Times New Roman"/>
          <w:i/>
          <w:iCs/>
          <w:lang w:val="en-GB"/>
        </w:rPr>
        <w:t>Consciousness and Fundamental Reality</w:t>
      </w:r>
      <w:r w:rsidR="00D91FD1" w:rsidRPr="009C5998">
        <w:rPr>
          <w:rFonts w:eastAsia="Baskerville Old Face" w:cs="Times New Roman"/>
          <w:lang w:val="en-GB"/>
        </w:rPr>
        <w:t>.</w:t>
      </w:r>
      <w:r w:rsidRPr="009C5998">
        <w:rPr>
          <w:rFonts w:eastAsia="Baskerville Old Face" w:cs="Times New Roman"/>
          <w:lang w:val="en-GB"/>
        </w:rPr>
        <w:t xml:space="preserve"> Oxford: Oxford University Press</w:t>
      </w:r>
      <w:r w:rsidR="00CC5343">
        <w:rPr>
          <w:rFonts w:eastAsia="Baskerville Old Face" w:cs="Times New Roman"/>
          <w:lang w:val="en-GB"/>
        </w:rPr>
        <w:t>.</w:t>
      </w:r>
    </w:p>
    <w:p w14:paraId="19621CFC" w14:textId="77777777" w:rsidR="00CC5343" w:rsidRDefault="001A7A49" w:rsidP="00CC5343">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Guyer, P. (1987) </w:t>
      </w:r>
      <w:r w:rsidRPr="009C5998">
        <w:rPr>
          <w:rFonts w:eastAsia="Baskerville Old Face" w:cs="Times New Roman"/>
          <w:i/>
          <w:iCs/>
          <w:lang w:val="en-GB"/>
        </w:rPr>
        <w:t>Kant and the Claims of Knowledge</w:t>
      </w:r>
      <w:r w:rsidR="00D91FD1" w:rsidRPr="009C5998">
        <w:rPr>
          <w:rFonts w:eastAsia="Baskerville Old Face" w:cs="Times New Roman"/>
          <w:lang w:val="en-GB"/>
        </w:rPr>
        <w:t>.</w:t>
      </w:r>
      <w:r w:rsidRPr="009C5998">
        <w:rPr>
          <w:rFonts w:eastAsia="Baskerville Old Face" w:cs="Times New Roman"/>
          <w:lang w:val="en-GB"/>
        </w:rPr>
        <w:t xml:space="preserve"> Cambridge: Cambridge University Press</w:t>
      </w:r>
      <w:r w:rsidR="00CC5343">
        <w:rPr>
          <w:rFonts w:eastAsia="Baskerville Old Face" w:cs="Times New Roman"/>
          <w:lang w:val="en-GB"/>
        </w:rPr>
        <w:t>.</w:t>
      </w:r>
    </w:p>
    <w:p w14:paraId="4028E314" w14:textId="77777777" w:rsidR="00CC5343" w:rsidRDefault="001A7A49" w:rsidP="00CC5343">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Hogan, D. (2009) </w:t>
      </w:r>
      <w:r w:rsidR="00D91FD1" w:rsidRPr="009C5998">
        <w:rPr>
          <w:rFonts w:eastAsia="Baskerville Old Face" w:cs="Times New Roman"/>
          <w:lang w:val="en-GB"/>
        </w:rPr>
        <w:t>‘</w:t>
      </w:r>
      <w:r w:rsidRPr="009C5998">
        <w:rPr>
          <w:rFonts w:eastAsia="Baskerville Old Face" w:cs="Times New Roman"/>
          <w:lang w:val="en-GB"/>
        </w:rPr>
        <w:t>Noumenal affection</w:t>
      </w:r>
      <w:r w:rsidR="00D91FD1" w:rsidRPr="009C5998">
        <w:rPr>
          <w:rFonts w:eastAsia="Baskerville Old Face" w:cs="Times New Roman"/>
          <w:lang w:val="en-GB"/>
        </w:rPr>
        <w:t>’.</w:t>
      </w:r>
      <w:r w:rsidRPr="009C5998">
        <w:rPr>
          <w:rFonts w:eastAsia="Baskerville Old Face" w:cs="Times New Roman"/>
          <w:lang w:val="en-GB"/>
        </w:rPr>
        <w:t xml:space="preserve"> </w:t>
      </w:r>
      <w:r w:rsidRPr="009C5998">
        <w:rPr>
          <w:rFonts w:eastAsia="Baskerville Old Face" w:cs="Times New Roman"/>
          <w:i/>
          <w:iCs/>
          <w:lang w:val="en-GB"/>
        </w:rPr>
        <w:t>Philosophical Review</w:t>
      </w:r>
      <w:r w:rsidRPr="009C5998">
        <w:rPr>
          <w:rFonts w:eastAsia="Baskerville Old Face" w:cs="Times New Roman"/>
          <w:lang w:val="en-GB"/>
        </w:rPr>
        <w:t>, 118(4), 501-32</w:t>
      </w:r>
      <w:r w:rsidR="00CC5343">
        <w:rPr>
          <w:rFonts w:eastAsia="Baskerville Old Face" w:cs="Times New Roman"/>
          <w:lang w:val="en-GB"/>
        </w:rPr>
        <w:t>.</w:t>
      </w:r>
    </w:p>
    <w:p w14:paraId="6E12FB57" w14:textId="3E8B7785" w:rsidR="00967970" w:rsidRPr="009C5998" w:rsidRDefault="001A7A49" w:rsidP="00CC5343">
      <w:pPr>
        <w:pStyle w:val="BodyA"/>
        <w:spacing w:line="480" w:lineRule="auto"/>
        <w:ind w:left="720" w:hanging="720"/>
        <w:rPr>
          <w:rFonts w:eastAsia="Baskerville Old Face" w:cs="Times New Roman"/>
          <w:lang w:val="en-GB"/>
        </w:rPr>
      </w:pPr>
      <w:r w:rsidRPr="009C5998">
        <w:rPr>
          <w:rFonts w:eastAsia="Baskerville Old Face" w:cs="Times New Roman"/>
          <w:lang w:val="en-GB"/>
        </w:rPr>
        <w:t>Jacobi, F.</w:t>
      </w:r>
      <w:r w:rsidR="00CC5343">
        <w:rPr>
          <w:rFonts w:eastAsia="Baskerville Old Face" w:cs="Times New Roman"/>
          <w:lang w:val="en-GB"/>
        </w:rPr>
        <w:t xml:space="preserve"> </w:t>
      </w:r>
      <w:r w:rsidRPr="009C5998">
        <w:rPr>
          <w:rFonts w:eastAsia="Baskerville Old Face" w:cs="Times New Roman"/>
          <w:lang w:val="en-GB"/>
        </w:rPr>
        <w:t xml:space="preserve">H. (1994) </w:t>
      </w:r>
      <w:r w:rsidR="00D91FD1" w:rsidRPr="009C5998">
        <w:rPr>
          <w:rFonts w:eastAsia="Baskerville Old Face" w:cs="Times New Roman"/>
          <w:lang w:val="en-GB"/>
        </w:rPr>
        <w:t>‘</w:t>
      </w:r>
      <w:r w:rsidRPr="009C5998">
        <w:rPr>
          <w:rFonts w:eastAsia="Baskerville Old Face" w:cs="Times New Roman"/>
          <w:lang w:val="en-GB"/>
        </w:rPr>
        <w:t>On transcendental idealism</w:t>
      </w:r>
      <w:r w:rsidR="00D91FD1" w:rsidRPr="009C5998">
        <w:rPr>
          <w:rFonts w:eastAsia="Baskerville Old Face" w:cs="Times New Roman"/>
          <w:lang w:val="en-GB"/>
        </w:rPr>
        <w:t>’. I</w:t>
      </w:r>
      <w:r w:rsidRPr="009C5998">
        <w:rPr>
          <w:rFonts w:eastAsia="Baskerville Old Face" w:cs="Times New Roman"/>
          <w:lang w:val="en-GB"/>
        </w:rPr>
        <w:t xml:space="preserve">n </w:t>
      </w:r>
      <w:r w:rsidR="00D91FD1" w:rsidRPr="009C5998">
        <w:rPr>
          <w:rFonts w:eastAsia="Baskerville Old Face" w:cs="Times New Roman"/>
          <w:lang w:val="en-GB"/>
        </w:rPr>
        <w:t xml:space="preserve">G. di Giovanni (trans.) </w:t>
      </w:r>
      <w:r w:rsidRPr="009C5998">
        <w:rPr>
          <w:rFonts w:eastAsia="Baskerville Old Face" w:cs="Times New Roman"/>
          <w:i/>
          <w:iCs/>
          <w:lang w:val="en-GB"/>
        </w:rPr>
        <w:t>The Main Philosophical Writings and the Novel</w:t>
      </w:r>
      <w:r w:rsidRPr="009C5998">
        <w:rPr>
          <w:rFonts w:eastAsia="Baskerville Old Face" w:cs="Times New Roman"/>
          <w:lang w:val="en-GB"/>
        </w:rPr>
        <w:t xml:space="preserve"> </w:t>
      </w:r>
      <w:r w:rsidR="00D91FD1" w:rsidRPr="009C5998">
        <w:rPr>
          <w:rFonts w:eastAsia="Baskerville Old Face" w:cs="Times New Roman"/>
          <w:lang w:val="en-GB"/>
        </w:rPr>
        <w:t>(</w:t>
      </w:r>
      <w:r w:rsidRPr="009C5998">
        <w:rPr>
          <w:rFonts w:eastAsia="Baskerville Old Face" w:cs="Times New Roman"/>
          <w:lang w:val="en-GB"/>
        </w:rPr>
        <w:t>Montreal and Kingston: McGill and Queen’s University Press</w:t>
      </w:r>
      <w:r w:rsidR="00D91FD1" w:rsidRPr="009C5998">
        <w:rPr>
          <w:rFonts w:eastAsia="Baskerville Old Face" w:cs="Times New Roman"/>
          <w:lang w:val="en-GB"/>
        </w:rPr>
        <w:t>)</w:t>
      </w:r>
      <w:r w:rsidRPr="009C5998">
        <w:rPr>
          <w:rFonts w:eastAsia="Baskerville Old Face" w:cs="Times New Roman"/>
          <w:lang w:val="en-GB"/>
        </w:rPr>
        <w:t>, pp.</w:t>
      </w:r>
      <w:r w:rsidR="007105CF">
        <w:rPr>
          <w:rFonts w:eastAsia="Baskerville Old Face" w:cs="Times New Roman"/>
          <w:lang w:val="en-GB"/>
        </w:rPr>
        <w:t xml:space="preserve"> </w:t>
      </w:r>
      <w:r w:rsidRPr="009C5998">
        <w:rPr>
          <w:rFonts w:eastAsia="Baskerville Old Face" w:cs="Times New Roman"/>
          <w:lang w:val="en-GB"/>
        </w:rPr>
        <w:t>331-8</w:t>
      </w:r>
      <w:r w:rsidR="005B4BBC">
        <w:rPr>
          <w:rFonts w:eastAsia="Baskerville Old Face" w:cs="Times New Roman"/>
          <w:lang w:val="en-GB"/>
        </w:rPr>
        <w:t>.</w:t>
      </w:r>
    </w:p>
    <w:p w14:paraId="20BF8E42" w14:textId="77777777" w:rsidR="00EE751E" w:rsidRPr="009C5998" w:rsidRDefault="00EE751E" w:rsidP="005B4BBC">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Kant, I. (1950) </w:t>
      </w:r>
      <w:r w:rsidRPr="009C5998">
        <w:rPr>
          <w:rFonts w:eastAsia="Baskerville Old Face" w:cs="Times New Roman"/>
          <w:i/>
          <w:lang w:val="en-GB"/>
        </w:rPr>
        <w:t>Prolegomena to Any Future Metaphysics</w:t>
      </w:r>
      <w:r w:rsidRPr="009C5998">
        <w:rPr>
          <w:rFonts w:eastAsia="Baskerville Old Face" w:cs="Times New Roman"/>
          <w:lang w:val="en-GB"/>
        </w:rPr>
        <w:t xml:space="preserve">, trans. L. W. Beck, Indianapolis: Bobbs-Merrill </w:t>
      </w:r>
    </w:p>
    <w:p w14:paraId="6FC1334B" w14:textId="5255A3AB" w:rsidR="00EE751E" w:rsidRPr="009C5998" w:rsidRDefault="00A6105A" w:rsidP="005B4BBC">
      <w:pPr>
        <w:pStyle w:val="BodyA"/>
        <w:spacing w:line="480" w:lineRule="auto"/>
        <w:ind w:left="720" w:hanging="720"/>
        <w:rPr>
          <w:rFonts w:eastAsia="Baskerville Old Face" w:cs="Times New Roman"/>
          <w:i/>
          <w:lang w:val="en-GB"/>
        </w:rPr>
      </w:pPr>
      <w:r>
        <w:rPr>
          <w:rFonts w:eastAsia="Baskerville Old Face" w:cs="Times New Roman"/>
          <w:lang w:val="en-GB"/>
        </w:rPr>
        <w:t>—</w:t>
      </w:r>
      <w:r w:rsidR="00EE751E" w:rsidRPr="009C5998">
        <w:rPr>
          <w:rFonts w:eastAsia="Baskerville Old Face" w:cs="Times New Roman"/>
          <w:lang w:val="en-GB"/>
        </w:rPr>
        <w:t xml:space="preserve"> (1959) </w:t>
      </w:r>
      <w:r w:rsidR="00EE751E" w:rsidRPr="009C5998">
        <w:rPr>
          <w:rFonts w:eastAsia="Baskerville Old Face" w:cs="Times New Roman"/>
          <w:i/>
          <w:lang w:val="en-GB"/>
        </w:rPr>
        <w:t>Foundations of the Metaphysics of Morals</w:t>
      </w:r>
      <w:r w:rsidR="005B4BBC">
        <w:rPr>
          <w:rFonts w:eastAsia="Baskerville Old Face" w:cs="Times New Roman"/>
          <w:lang w:val="en-GB"/>
        </w:rPr>
        <w:t>.</w:t>
      </w:r>
      <w:r w:rsidR="00EE751E" w:rsidRPr="009C5998">
        <w:rPr>
          <w:rFonts w:eastAsia="Baskerville Old Face" w:cs="Times New Roman"/>
          <w:lang w:val="en-GB"/>
        </w:rPr>
        <w:t xml:space="preserve"> </w:t>
      </w:r>
      <w:r w:rsidR="002C2ACC">
        <w:rPr>
          <w:rFonts w:eastAsia="Baskerville Old Face" w:cs="Times New Roman"/>
          <w:lang w:val="en-GB"/>
        </w:rPr>
        <w:t>T</w:t>
      </w:r>
      <w:r w:rsidR="00EE751E" w:rsidRPr="009C5998">
        <w:rPr>
          <w:rFonts w:eastAsia="Baskerville Old Face" w:cs="Times New Roman"/>
          <w:lang w:val="en-GB"/>
        </w:rPr>
        <w:t>rans. L.</w:t>
      </w:r>
      <w:r w:rsidR="002C2ACC">
        <w:rPr>
          <w:rFonts w:eastAsia="Baskerville Old Face" w:cs="Times New Roman"/>
          <w:lang w:val="en-GB"/>
        </w:rPr>
        <w:t xml:space="preserve"> </w:t>
      </w:r>
      <w:r w:rsidR="00EE751E" w:rsidRPr="009C5998">
        <w:rPr>
          <w:rFonts w:eastAsia="Baskerville Old Face" w:cs="Times New Roman"/>
          <w:lang w:val="en-GB"/>
        </w:rPr>
        <w:t>W. Beck</w:t>
      </w:r>
      <w:r w:rsidR="002C2ACC">
        <w:rPr>
          <w:rFonts w:eastAsia="Baskerville Old Face" w:cs="Times New Roman"/>
          <w:lang w:val="en-GB"/>
        </w:rPr>
        <w:t>.</w:t>
      </w:r>
      <w:r w:rsidR="00EE751E" w:rsidRPr="009C5998">
        <w:rPr>
          <w:rFonts w:eastAsia="Baskerville Old Face" w:cs="Times New Roman"/>
          <w:lang w:val="en-GB"/>
        </w:rPr>
        <w:t xml:space="preserve"> Indianapolis: Bobbs-Merrill</w:t>
      </w:r>
      <w:r w:rsidR="002C2ACC">
        <w:rPr>
          <w:rFonts w:eastAsia="Baskerville Old Face" w:cs="Times New Roman"/>
          <w:lang w:val="en-GB"/>
        </w:rPr>
        <w:t>.</w:t>
      </w:r>
    </w:p>
    <w:p w14:paraId="61D9C2B9" w14:textId="0669FBBB" w:rsidR="00EE751E" w:rsidRPr="009C5998" w:rsidRDefault="002C2ACC" w:rsidP="005B4BBC">
      <w:pPr>
        <w:pStyle w:val="BodyA"/>
        <w:spacing w:line="480" w:lineRule="auto"/>
        <w:ind w:left="720" w:hanging="720"/>
        <w:rPr>
          <w:rFonts w:eastAsia="Baskerville Old Face" w:cs="Times New Roman"/>
          <w:lang w:val="en-GB"/>
        </w:rPr>
      </w:pPr>
      <w:r>
        <w:rPr>
          <w:rFonts w:eastAsia="Baskerville Old Face" w:cs="Times New Roman"/>
          <w:lang w:val="en-GB"/>
        </w:rPr>
        <w:t>—</w:t>
      </w:r>
      <w:r w:rsidR="00EE751E" w:rsidRPr="009C5998">
        <w:rPr>
          <w:rFonts w:eastAsia="Baskerville Old Face" w:cs="Times New Roman"/>
          <w:lang w:val="en-GB"/>
        </w:rPr>
        <w:t xml:space="preserve"> (1987) </w:t>
      </w:r>
      <w:r w:rsidR="00EE751E" w:rsidRPr="009C5998">
        <w:rPr>
          <w:rFonts w:eastAsia="Baskerville Old Face" w:cs="Times New Roman"/>
          <w:i/>
          <w:lang w:val="en-GB"/>
        </w:rPr>
        <w:t>Critique of Judgment</w:t>
      </w:r>
      <w:r>
        <w:rPr>
          <w:rFonts w:eastAsia="Baskerville Old Face" w:cs="Times New Roman"/>
          <w:lang w:val="en-GB"/>
        </w:rPr>
        <w:t>.</w:t>
      </w:r>
      <w:r w:rsidR="00EE751E" w:rsidRPr="009C5998">
        <w:rPr>
          <w:rFonts w:eastAsia="Baskerville Old Face" w:cs="Times New Roman"/>
          <w:lang w:val="en-GB"/>
        </w:rPr>
        <w:t xml:space="preserve"> </w:t>
      </w:r>
      <w:r>
        <w:rPr>
          <w:rFonts w:eastAsia="Baskerville Old Face" w:cs="Times New Roman"/>
          <w:lang w:val="en-GB"/>
        </w:rPr>
        <w:t>T</w:t>
      </w:r>
      <w:r w:rsidR="00EE751E" w:rsidRPr="009C5998">
        <w:rPr>
          <w:rFonts w:eastAsia="Baskerville Old Face" w:cs="Times New Roman"/>
          <w:lang w:val="en-GB"/>
        </w:rPr>
        <w:t>rans. W.</w:t>
      </w:r>
      <w:r>
        <w:rPr>
          <w:rFonts w:eastAsia="Baskerville Old Face" w:cs="Times New Roman"/>
          <w:lang w:val="en-GB"/>
        </w:rPr>
        <w:t xml:space="preserve"> </w:t>
      </w:r>
      <w:r w:rsidR="00EE751E" w:rsidRPr="009C5998">
        <w:rPr>
          <w:rFonts w:eastAsia="Baskerville Old Face" w:cs="Times New Roman"/>
          <w:lang w:val="en-GB"/>
        </w:rPr>
        <w:t>S. Pluhar, Indianapolis: Hackett</w:t>
      </w:r>
      <w:r>
        <w:rPr>
          <w:rFonts w:eastAsia="Baskerville Old Face" w:cs="Times New Roman"/>
          <w:lang w:val="en-GB"/>
        </w:rPr>
        <w:t>.</w:t>
      </w:r>
    </w:p>
    <w:p w14:paraId="2EB255AC" w14:textId="77777777" w:rsidR="004969C2" w:rsidRDefault="002E2071" w:rsidP="004969C2">
      <w:pPr>
        <w:pStyle w:val="BodyA"/>
        <w:spacing w:line="480" w:lineRule="auto"/>
        <w:ind w:left="720" w:hanging="720"/>
        <w:rPr>
          <w:rFonts w:eastAsia="Baskerville Old Face" w:cs="Times New Roman"/>
          <w:lang w:val="en-GB"/>
        </w:rPr>
      </w:pPr>
      <w:r>
        <w:rPr>
          <w:rFonts w:eastAsia="Baskerville Old Face" w:cs="Times New Roman"/>
          <w:lang w:val="en-GB"/>
        </w:rPr>
        <w:t>—</w:t>
      </w:r>
      <w:r w:rsidR="00EE751E" w:rsidRPr="009C5998">
        <w:rPr>
          <w:rFonts w:eastAsia="Baskerville Old Face" w:cs="Times New Roman"/>
          <w:lang w:val="en-GB"/>
        </w:rPr>
        <w:t xml:space="preserve"> (1997) </w:t>
      </w:r>
      <w:r w:rsidR="00EE751E" w:rsidRPr="009C5998">
        <w:rPr>
          <w:rFonts w:eastAsia="Baskerville Old Face" w:cs="Times New Roman"/>
          <w:i/>
          <w:lang w:val="en-GB"/>
        </w:rPr>
        <w:t>Critique of Pure Reason</w:t>
      </w:r>
      <w:r>
        <w:rPr>
          <w:rFonts w:eastAsia="Baskerville Old Face" w:cs="Times New Roman"/>
          <w:lang w:val="en-GB"/>
        </w:rPr>
        <w:t>.</w:t>
      </w:r>
      <w:r w:rsidR="00EE751E" w:rsidRPr="009C5998">
        <w:rPr>
          <w:rFonts w:eastAsia="Baskerville Old Face" w:cs="Times New Roman"/>
          <w:lang w:val="en-GB"/>
        </w:rPr>
        <w:t xml:space="preserve"> </w:t>
      </w:r>
      <w:r>
        <w:rPr>
          <w:rFonts w:eastAsia="Baskerville Old Face" w:cs="Times New Roman"/>
          <w:lang w:val="en-GB"/>
        </w:rPr>
        <w:t>T</w:t>
      </w:r>
      <w:r w:rsidR="00EE751E" w:rsidRPr="009C5998">
        <w:rPr>
          <w:rFonts w:eastAsia="Baskerville Old Face" w:cs="Times New Roman"/>
          <w:lang w:val="en-GB"/>
        </w:rPr>
        <w:t>rans. P. Guyer and A.</w:t>
      </w:r>
      <w:r>
        <w:rPr>
          <w:rFonts w:eastAsia="Baskerville Old Face" w:cs="Times New Roman"/>
          <w:lang w:val="en-GB"/>
        </w:rPr>
        <w:t xml:space="preserve"> </w:t>
      </w:r>
      <w:r w:rsidR="00EE751E" w:rsidRPr="009C5998">
        <w:rPr>
          <w:rFonts w:eastAsia="Baskerville Old Face" w:cs="Times New Roman"/>
          <w:lang w:val="en-GB"/>
        </w:rPr>
        <w:t>W. Wood</w:t>
      </w:r>
      <w:r>
        <w:rPr>
          <w:rFonts w:eastAsia="Baskerville Old Face" w:cs="Times New Roman"/>
          <w:lang w:val="en-GB"/>
        </w:rPr>
        <w:t>.</w:t>
      </w:r>
      <w:r w:rsidR="00EE751E" w:rsidRPr="009C5998">
        <w:rPr>
          <w:rFonts w:eastAsia="Baskerville Old Face" w:cs="Times New Roman"/>
          <w:lang w:val="en-GB"/>
        </w:rPr>
        <w:t xml:space="preserve"> Cambridge: Cambridge University Press</w:t>
      </w:r>
      <w:r>
        <w:rPr>
          <w:rFonts w:eastAsia="Baskerville Old Face" w:cs="Times New Roman"/>
          <w:lang w:val="en-GB"/>
        </w:rPr>
        <w:t>.</w:t>
      </w:r>
    </w:p>
    <w:p w14:paraId="16CB764E" w14:textId="0C650662" w:rsidR="004969C2" w:rsidRDefault="001A7A49" w:rsidP="004969C2">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Langton, R. (1998) </w:t>
      </w:r>
      <w:r w:rsidRPr="009C5998">
        <w:rPr>
          <w:rFonts w:eastAsia="Baskerville Old Face" w:cs="Times New Roman"/>
          <w:i/>
          <w:iCs/>
          <w:lang w:val="en-GB"/>
        </w:rPr>
        <w:t>Kantian Humility</w:t>
      </w:r>
      <w:r w:rsidR="00D91FD1" w:rsidRPr="009C5998">
        <w:rPr>
          <w:rFonts w:eastAsia="Baskerville Old Face" w:cs="Times New Roman"/>
          <w:i/>
          <w:iCs/>
          <w:lang w:val="en-GB"/>
        </w:rPr>
        <w:t>.</w:t>
      </w:r>
      <w:r w:rsidRPr="009C5998">
        <w:rPr>
          <w:rFonts w:eastAsia="Baskerville Old Face" w:cs="Times New Roman"/>
          <w:lang w:val="en-GB"/>
        </w:rPr>
        <w:t xml:space="preserve"> Oxford: Clarendon Press</w:t>
      </w:r>
      <w:r w:rsidR="004969C2">
        <w:rPr>
          <w:rFonts w:eastAsia="Baskerville Old Face" w:cs="Times New Roman"/>
          <w:lang w:val="en-GB"/>
        </w:rPr>
        <w:t>.</w:t>
      </w:r>
    </w:p>
    <w:p w14:paraId="1AB295E0" w14:textId="502C75A9" w:rsidR="00387EDD" w:rsidRDefault="00387EDD" w:rsidP="004969C2">
      <w:pPr>
        <w:pStyle w:val="BodyA"/>
        <w:spacing w:line="480" w:lineRule="auto"/>
        <w:ind w:left="720" w:hanging="720"/>
        <w:rPr>
          <w:rFonts w:eastAsia="Baskerville Old Face" w:cs="Times New Roman"/>
          <w:lang w:val="en-GB"/>
        </w:rPr>
      </w:pPr>
      <w:r>
        <w:t xml:space="preserve">Longuenesse, B. (1998) </w:t>
      </w:r>
      <w:r>
        <w:rPr>
          <w:i/>
        </w:rPr>
        <w:t>Kant and the Capacity to Judge</w:t>
      </w:r>
      <w:r>
        <w:t>. Princeton: Princeton University Press</w:t>
      </w:r>
    </w:p>
    <w:p w14:paraId="43F4B27B" w14:textId="77777777" w:rsidR="004969C2" w:rsidRDefault="008A5802" w:rsidP="004969C2">
      <w:pPr>
        <w:pStyle w:val="BodyA"/>
        <w:spacing w:line="480" w:lineRule="auto"/>
        <w:ind w:left="720" w:hanging="720"/>
        <w:rPr>
          <w:rFonts w:eastAsia="Baskerville Old Face" w:cs="Times New Roman"/>
          <w:bCs/>
          <w:lang w:val="en-GB"/>
        </w:rPr>
      </w:pPr>
      <w:r w:rsidRPr="009C5998">
        <w:rPr>
          <w:rFonts w:eastAsia="Baskerville Old Face" w:cs="Times New Roman"/>
          <w:lang w:val="en-GB"/>
        </w:rPr>
        <w:t xml:space="preserve">Marshall, C. (2013) </w:t>
      </w:r>
      <w:r w:rsidR="00D91FD1" w:rsidRPr="009C5998">
        <w:rPr>
          <w:rFonts w:eastAsia="Baskerville Old Face" w:cs="Times New Roman"/>
          <w:lang w:val="en-GB"/>
        </w:rPr>
        <w:t>‘</w:t>
      </w:r>
      <w:r w:rsidRPr="009C5998">
        <w:rPr>
          <w:rFonts w:eastAsia="Baskerville Old Face" w:cs="Times New Roman"/>
          <w:bCs/>
          <w:lang w:val="en-GB"/>
        </w:rPr>
        <w:t>Kant's Appearances and Things in Themselves as Qua‐Objects</w:t>
      </w:r>
      <w:r w:rsidR="00D91FD1" w:rsidRPr="009C5998">
        <w:rPr>
          <w:rFonts w:eastAsia="Baskerville Old Face" w:cs="Times New Roman"/>
          <w:bCs/>
          <w:lang w:val="en-GB"/>
        </w:rPr>
        <w:t>’.</w:t>
      </w:r>
      <w:r w:rsidRPr="009C5998">
        <w:rPr>
          <w:rFonts w:eastAsia="Baskerville Old Face" w:cs="Times New Roman"/>
          <w:bCs/>
          <w:lang w:val="en-GB"/>
        </w:rPr>
        <w:t xml:space="preserve"> </w:t>
      </w:r>
      <w:r w:rsidRPr="009C5998">
        <w:rPr>
          <w:rFonts w:eastAsia="Baskerville Old Face" w:cs="Times New Roman"/>
          <w:bCs/>
          <w:i/>
          <w:lang w:val="en-GB"/>
        </w:rPr>
        <w:t>The Philososophical Quarterly</w:t>
      </w:r>
      <w:r w:rsidRPr="009C5998">
        <w:rPr>
          <w:rFonts w:eastAsia="Baskerville Old Face" w:cs="Times New Roman"/>
          <w:bCs/>
          <w:lang w:val="en-GB"/>
        </w:rPr>
        <w:t>, 63(252), 520-45</w:t>
      </w:r>
      <w:r w:rsidR="004969C2">
        <w:rPr>
          <w:rFonts w:eastAsia="Baskerville Old Face" w:cs="Times New Roman"/>
          <w:bCs/>
          <w:lang w:val="en-GB"/>
        </w:rPr>
        <w:t>.</w:t>
      </w:r>
    </w:p>
    <w:p w14:paraId="016872E5" w14:textId="77777777" w:rsidR="00D9300A" w:rsidRDefault="00424575" w:rsidP="00D9300A">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Onof, C. (2008) </w:t>
      </w:r>
      <w:r w:rsidR="00D00825" w:rsidRPr="009C5998">
        <w:rPr>
          <w:rFonts w:eastAsia="Baskerville Old Face" w:cs="Times New Roman"/>
          <w:lang w:val="en-GB"/>
        </w:rPr>
        <w:t>‘</w:t>
      </w:r>
      <w:r w:rsidRPr="009C5998">
        <w:rPr>
          <w:rFonts w:eastAsia="Baskerville Old Face" w:cs="Times New Roman"/>
          <w:lang w:val="en-GB"/>
        </w:rPr>
        <w:t>Property dualism, epistemic normativity and the limits of Naturalism</w:t>
      </w:r>
      <w:r w:rsidR="00D00825" w:rsidRPr="009C5998">
        <w:rPr>
          <w:rFonts w:eastAsia="Baskerville Old Face" w:cs="Times New Roman"/>
          <w:lang w:val="en-GB"/>
        </w:rPr>
        <w:t>’.</w:t>
      </w:r>
      <w:r w:rsidRPr="009C5998">
        <w:rPr>
          <w:rFonts w:eastAsia="Baskerville Old Face" w:cs="Times New Roman"/>
          <w:lang w:val="en-GB"/>
        </w:rPr>
        <w:t xml:space="preserve"> </w:t>
      </w:r>
      <w:r w:rsidRPr="009C5998">
        <w:rPr>
          <w:rFonts w:eastAsia="Baskerville Old Face" w:cs="Times New Roman"/>
          <w:i/>
          <w:lang w:val="en-GB"/>
        </w:rPr>
        <w:t>Philosophy and Phenomenological Research</w:t>
      </w:r>
      <w:r w:rsidRPr="009C5998">
        <w:rPr>
          <w:rFonts w:eastAsia="Baskerville Old Face" w:cs="Times New Roman"/>
          <w:lang w:val="en-GB"/>
        </w:rPr>
        <w:t>,</w:t>
      </w:r>
      <w:r w:rsidRPr="009C5998">
        <w:rPr>
          <w:rFonts w:eastAsia="Baskerville Old Face" w:cs="Times New Roman"/>
          <w:b/>
          <w:lang w:val="en-GB"/>
        </w:rPr>
        <w:t xml:space="preserve"> </w:t>
      </w:r>
      <w:r w:rsidRPr="009C5998">
        <w:rPr>
          <w:rFonts w:eastAsia="Baskerville Old Face" w:cs="Times New Roman"/>
          <w:lang w:val="en-GB"/>
        </w:rPr>
        <w:t>76(1), 60-85</w:t>
      </w:r>
      <w:r w:rsidR="00A6105A">
        <w:rPr>
          <w:rFonts w:eastAsia="Baskerville Old Face" w:cs="Times New Roman"/>
          <w:lang w:val="en-GB"/>
        </w:rPr>
        <w:t>.</w:t>
      </w:r>
    </w:p>
    <w:p w14:paraId="022865C0" w14:textId="77777777" w:rsidR="004E3675" w:rsidRDefault="00D9300A" w:rsidP="004E3675">
      <w:pPr>
        <w:pStyle w:val="BodyA"/>
        <w:spacing w:line="480" w:lineRule="auto"/>
        <w:ind w:left="720" w:hanging="720"/>
        <w:rPr>
          <w:rFonts w:eastAsia="Baskerville Old Face" w:cs="Times New Roman"/>
          <w:lang w:val="en-GB"/>
        </w:rPr>
      </w:pPr>
      <w:r>
        <w:rPr>
          <w:rFonts w:eastAsia="Baskerville Old Face" w:cs="Times New Roman"/>
          <w:lang w:val="en-GB"/>
        </w:rPr>
        <w:t>—</w:t>
      </w:r>
      <w:r w:rsidR="001A7A49" w:rsidRPr="009C5998">
        <w:rPr>
          <w:rFonts w:eastAsia="Baskerville Old Face" w:cs="Times New Roman"/>
          <w:lang w:val="en-GB"/>
        </w:rPr>
        <w:t xml:space="preserve"> (2011) </w:t>
      </w:r>
      <w:r w:rsidR="00D00825" w:rsidRPr="009C5998">
        <w:rPr>
          <w:rFonts w:eastAsia="Baskerville Old Face" w:cs="Times New Roman"/>
          <w:lang w:val="en-GB"/>
        </w:rPr>
        <w:t>‘</w:t>
      </w:r>
      <w:r w:rsidR="001A7A49" w:rsidRPr="009C5998">
        <w:rPr>
          <w:rFonts w:eastAsia="Baskerville Old Face" w:cs="Times New Roman"/>
          <w:lang w:val="en-GB"/>
        </w:rPr>
        <w:t>Thinking the In-itself and its relation to appearances</w:t>
      </w:r>
      <w:r w:rsidR="00D00825" w:rsidRPr="009C5998">
        <w:rPr>
          <w:rFonts w:eastAsia="Baskerville Old Face" w:cs="Times New Roman"/>
          <w:lang w:val="en-GB"/>
        </w:rPr>
        <w:t>’. I</w:t>
      </w:r>
      <w:r w:rsidR="001A7A49" w:rsidRPr="009C5998">
        <w:rPr>
          <w:rFonts w:eastAsia="Baskerville Old Face" w:cs="Times New Roman"/>
          <w:lang w:val="en-GB"/>
        </w:rPr>
        <w:t>n D</w:t>
      </w:r>
      <w:r w:rsidR="006062DF">
        <w:rPr>
          <w:rFonts w:eastAsia="Baskerville Old Face" w:cs="Times New Roman"/>
          <w:lang w:val="en-GB"/>
        </w:rPr>
        <w:t>.</w:t>
      </w:r>
      <w:r w:rsidR="001A7A49" w:rsidRPr="009C5998">
        <w:rPr>
          <w:rFonts w:eastAsia="Baskerville Old Face" w:cs="Times New Roman"/>
          <w:lang w:val="en-GB"/>
        </w:rPr>
        <w:t xml:space="preserve"> Schulting </w:t>
      </w:r>
      <w:r w:rsidR="00D00825" w:rsidRPr="009C5998">
        <w:rPr>
          <w:rFonts w:eastAsia="Baskerville Old Face" w:cs="Times New Roman"/>
          <w:lang w:val="en-GB"/>
        </w:rPr>
        <w:t>and</w:t>
      </w:r>
      <w:r w:rsidR="001A7A49" w:rsidRPr="009C5998">
        <w:rPr>
          <w:rFonts w:eastAsia="Baskerville Old Face" w:cs="Times New Roman"/>
          <w:lang w:val="en-GB"/>
        </w:rPr>
        <w:t xml:space="preserve"> J</w:t>
      </w:r>
      <w:r w:rsidR="006062DF">
        <w:rPr>
          <w:rFonts w:eastAsia="Baskerville Old Face" w:cs="Times New Roman"/>
          <w:lang w:val="en-GB"/>
        </w:rPr>
        <w:t>.</w:t>
      </w:r>
      <w:r w:rsidR="001A7A49" w:rsidRPr="009C5998">
        <w:rPr>
          <w:rFonts w:eastAsia="Baskerville Old Face" w:cs="Times New Roman"/>
          <w:lang w:val="en-GB"/>
        </w:rPr>
        <w:t xml:space="preserve"> Verburgt </w:t>
      </w:r>
      <w:r w:rsidR="00D00825" w:rsidRPr="009C5998">
        <w:rPr>
          <w:rFonts w:eastAsia="Baskerville Old Face" w:cs="Times New Roman"/>
          <w:lang w:val="en-GB"/>
        </w:rPr>
        <w:t>(</w:t>
      </w:r>
      <w:r w:rsidR="001A7A49" w:rsidRPr="009C5998">
        <w:rPr>
          <w:rFonts w:eastAsia="Baskerville Old Face" w:cs="Times New Roman"/>
          <w:lang w:val="en-GB"/>
        </w:rPr>
        <w:t>eds</w:t>
      </w:r>
      <w:r w:rsidR="00D00825" w:rsidRPr="009C5998">
        <w:rPr>
          <w:rFonts w:eastAsia="Baskerville Old Face" w:cs="Times New Roman"/>
          <w:lang w:val="en-GB"/>
        </w:rPr>
        <w:t>)</w:t>
      </w:r>
      <w:r w:rsidR="006062DF">
        <w:rPr>
          <w:rFonts w:eastAsia="Baskerville Old Face" w:cs="Times New Roman"/>
          <w:lang w:val="en-GB"/>
        </w:rPr>
        <w:t>,</w:t>
      </w:r>
      <w:r w:rsidR="001A7A49" w:rsidRPr="009C5998">
        <w:rPr>
          <w:rFonts w:eastAsia="Baskerville Old Face" w:cs="Times New Roman"/>
          <w:lang w:val="en-GB"/>
        </w:rPr>
        <w:t xml:space="preserve"> </w:t>
      </w:r>
      <w:r w:rsidR="001A7A49" w:rsidRPr="009C5998">
        <w:rPr>
          <w:rFonts w:eastAsia="Baskerville Old Face" w:cs="Times New Roman"/>
          <w:i/>
          <w:iCs/>
          <w:lang w:val="en-GB"/>
        </w:rPr>
        <w:t>Kant’s Idealism. New Interpretations of a Controversial Doctrine</w:t>
      </w:r>
      <w:r w:rsidR="001A7A49" w:rsidRPr="009C5998">
        <w:rPr>
          <w:rFonts w:eastAsia="Baskerville Old Face" w:cs="Times New Roman"/>
          <w:lang w:val="en-GB"/>
        </w:rPr>
        <w:t xml:space="preserve"> </w:t>
      </w:r>
      <w:r w:rsidR="00D00825" w:rsidRPr="009C5998">
        <w:rPr>
          <w:rFonts w:eastAsia="Baskerville Old Face" w:cs="Times New Roman"/>
          <w:lang w:val="en-GB"/>
        </w:rPr>
        <w:t>(</w:t>
      </w:r>
      <w:r w:rsidR="001A7A49" w:rsidRPr="009C5998">
        <w:rPr>
          <w:rFonts w:eastAsia="Baskerville Old Face" w:cs="Times New Roman"/>
          <w:lang w:val="en-GB"/>
        </w:rPr>
        <w:t>Dordrecht: Springer</w:t>
      </w:r>
      <w:r w:rsidR="00D00825" w:rsidRPr="009C5998">
        <w:rPr>
          <w:rFonts w:eastAsia="Baskerville Old Face" w:cs="Times New Roman"/>
          <w:lang w:val="en-GB"/>
        </w:rPr>
        <w:t xml:space="preserve">), </w:t>
      </w:r>
      <w:r w:rsidR="00920CB8" w:rsidRPr="009C5998">
        <w:rPr>
          <w:rFonts w:eastAsia="Baskerville Old Face" w:cs="Times New Roman"/>
          <w:lang w:val="en-GB"/>
        </w:rPr>
        <w:t>pp.211-36</w:t>
      </w:r>
      <w:r w:rsidR="004E3675">
        <w:rPr>
          <w:rFonts w:eastAsia="Baskerville Old Face" w:cs="Times New Roman"/>
          <w:lang w:val="en-GB"/>
        </w:rPr>
        <w:t>.</w:t>
      </w:r>
    </w:p>
    <w:p w14:paraId="13D0447F" w14:textId="338140AD" w:rsidR="004E3675" w:rsidRDefault="001A7A49" w:rsidP="004E3675">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Prauss, G. (1974) </w:t>
      </w:r>
      <w:r w:rsidRPr="009C5998">
        <w:rPr>
          <w:rFonts w:eastAsia="Baskerville Old Face" w:cs="Times New Roman"/>
          <w:i/>
          <w:iCs/>
          <w:lang w:val="en-GB"/>
        </w:rPr>
        <w:t>Kant und das Problem der Dinge an sich</w:t>
      </w:r>
      <w:r w:rsidR="00920CB8" w:rsidRPr="009C5998">
        <w:rPr>
          <w:rFonts w:eastAsia="Baskerville Old Face" w:cs="Times New Roman"/>
          <w:lang w:val="en-GB"/>
        </w:rPr>
        <w:t>.</w:t>
      </w:r>
      <w:r w:rsidRPr="009C5998">
        <w:rPr>
          <w:rFonts w:eastAsia="Baskerville Old Face" w:cs="Times New Roman"/>
          <w:lang w:val="en-GB"/>
        </w:rPr>
        <w:t xml:space="preserve"> Bonn: Bouvier</w:t>
      </w:r>
      <w:r w:rsidR="004E3675">
        <w:rPr>
          <w:rFonts w:eastAsia="Baskerville Old Face" w:cs="Times New Roman"/>
          <w:lang w:val="en-GB"/>
        </w:rPr>
        <w:t>.</w:t>
      </w:r>
    </w:p>
    <w:p w14:paraId="009B0199" w14:textId="2EB133E3" w:rsidR="00D3359C" w:rsidRDefault="00D3359C" w:rsidP="004E3675">
      <w:pPr>
        <w:pStyle w:val="BodyA"/>
        <w:spacing w:line="480" w:lineRule="auto"/>
        <w:ind w:left="720" w:hanging="720"/>
        <w:rPr>
          <w:rFonts w:eastAsia="Baskerville Old Face" w:cs="Times New Roman"/>
          <w:lang w:val="en-GB"/>
        </w:rPr>
      </w:pPr>
      <w:r w:rsidRPr="00D3359C">
        <w:rPr>
          <w:rFonts w:eastAsia="Baskerville Old Face" w:cs="Times New Roman"/>
          <w:lang w:val="en-GB"/>
        </w:rPr>
        <w:t xml:space="preserve">Robinson, H. (1994) ‘Two perspectives on Kant’s appearances and things in themselves’, </w:t>
      </w:r>
      <w:r w:rsidRPr="00D3359C">
        <w:rPr>
          <w:rFonts w:eastAsia="Baskerville Old Face" w:cs="Times New Roman"/>
          <w:i/>
          <w:lang w:val="en-GB"/>
        </w:rPr>
        <w:t>Journal of the History of Philosophy</w:t>
      </w:r>
      <w:r w:rsidRPr="00D3359C">
        <w:rPr>
          <w:rFonts w:eastAsia="Baskerville Old Face" w:cs="Times New Roman"/>
          <w:lang w:val="en-GB"/>
        </w:rPr>
        <w:t>, 32(3), 411-441</w:t>
      </w:r>
    </w:p>
    <w:p w14:paraId="28F6C6DD" w14:textId="1E37D03F" w:rsidR="00F70FA3" w:rsidRDefault="00C21F03" w:rsidP="00F70FA3">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Rosefeldt, T. (2007) </w:t>
      </w:r>
      <w:r w:rsidR="00856D5C" w:rsidRPr="009C5998">
        <w:rPr>
          <w:rFonts w:eastAsia="Baskerville Old Face" w:cs="Times New Roman"/>
          <w:lang w:val="en-GB"/>
        </w:rPr>
        <w:t>‘</w:t>
      </w:r>
      <w:r w:rsidRPr="009C5998">
        <w:rPr>
          <w:rFonts w:eastAsia="Baskerville Old Face" w:cs="Times New Roman"/>
          <w:lang w:val="en-GB"/>
        </w:rPr>
        <w:t>Dinge an sich und sekundäre Qualitäten</w:t>
      </w:r>
      <w:r w:rsidR="00856D5C" w:rsidRPr="009C5998">
        <w:rPr>
          <w:rFonts w:eastAsia="Baskerville Old Face" w:cs="Times New Roman"/>
          <w:lang w:val="en-GB"/>
        </w:rPr>
        <w:t>’. I</w:t>
      </w:r>
      <w:r w:rsidRPr="009C5998">
        <w:rPr>
          <w:rFonts w:eastAsia="Baskerville Old Face" w:cs="Times New Roman"/>
          <w:lang w:val="en-GB"/>
        </w:rPr>
        <w:t>n J</w:t>
      </w:r>
      <w:r w:rsidR="00F70FA3">
        <w:rPr>
          <w:rFonts w:eastAsia="Baskerville Old Face" w:cs="Times New Roman"/>
          <w:lang w:val="en-GB"/>
        </w:rPr>
        <w:t>.</w:t>
      </w:r>
      <w:r w:rsidRPr="009C5998">
        <w:rPr>
          <w:rFonts w:eastAsia="Baskerville Old Face" w:cs="Times New Roman"/>
          <w:lang w:val="en-GB"/>
        </w:rPr>
        <w:t xml:space="preserve"> Stolzenberg (ed.)</w:t>
      </w:r>
      <w:r w:rsidR="00F70FA3">
        <w:rPr>
          <w:rFonts w:eastAsia="Baskerville Old Face" w:cs="Times New Roman"/>
          <w:lang w:val="en-GB"/>
        </w:rPr>
        <w:t>,</w:t>
      </w:r>
      <w:r w:rsidRPr="009C5998">
        <w:rPr>
          <w:rFonts w:eastAsia="Baskerville Old Face" w:cs="Times New Roman"/>
          <w:lang w:val="en-GB"/>
        </w:rPr>
        <w:t xml:space="preserve"> </w:t>
      </w:r>
      <w:r w:rsidRPr="009C5998">
        <w:rPr>
          <w:rFonts w:eastAsia="Baskerville Old Face" w:cs="Times New Roman"/>
          <w:i/>
          <w:lang w:val="en-GB"/>
        </w:rPr>
        <w:t>Kant in der Gegenwart</w:t>
      </w:r>
      <w:r w:rsidR="00856D5C" w:rsidRPr="009C5998">
        <w:rPr>
          <w:rFonts w:eastAsia="Baskerville Old Face" w:cs="Times New Roman"/>
          <w:i/>
          <w:lang w:val="en-GB"/>
        </w:rPr>
        <w:t xml:space="preserve"> </w:t>
      </w:r>
      <w:r w:rsidR="00856D5C" w:rsidRPr="009C5998">
        <w:rPr>
          <w:rFonts w:eastAsia="Baskerville Old Face" w:cs="Times New Roman"/>
          <w:lang w:val="en-GB"/>
        </w:rPr>
        <w:t>(</w:t>
      </w:r>
      <w:r w:rsidRPr="009C5998">
        <w:rPr>
          <w:rFonts w:eastAsia="Baskerville Old Face" w:cs="Times New Roman"/>
          <w:lang w:val="en-GB"/>
        </w:rPr>
        <w:t>Berlin: de Gruyter</w:t>
      </w:r>
      <w:r w:rsidR="00856D5C" w:rsidRPr="009C5998">
        <w:rPr>
          <w:rFonts w:eastAsia="Baskerville Old Face" w:cs="Times New Roman"/>
          <w:lang w:val="en-GB"/>
        </w:rPr>
        <w:t xml:space="preserve">), pp. </w:t>
      </w:r>
      <w:r w:rsidR="00E275E0" w:rsidRPr="009C5998">
        <w:rPr>
          <w:rFonts w:eastAsia="Baskerville Old Face" w:cs="Times New Roman"/>
          <w:lang w:val="en-GB"/>
        </w:rPr>
        <w:t>167-212</w:t>
      </w:r>
      <w:r w:rsidR="00F70FA3">
        <w:rPr>
          <w:rFonts w:eastAsia="Baskerville Old Face" w:cs="Times New Roman"/>
          <w:lang w:val="en-GB"/>
        </w:rPr>
        <w:t>.</w:t>
      </w:r>
    </w:p>
    <w:p w14:paraId="75D4EFFF" w14:textId="77777777" w:rsidR="00015DAE" w:rsidRDefault="001A7A49" w:rsidP="00015DAE">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Schulting, D. (2017a) </w:t>
      </w:r>
      <w:r w:rsidRPr="009C5998">
        <w:rPr>
          <w:rFonts w:eastAsia="Baskerville Old Face" w:cs="Times New Roman"/>
          <w:i/>
          <w:iCs/>
          <w:lang w:val="en-GB"/>
        </w:rPr>
        <w:t>Kant’s Radical Subjectivism</w:t>
      </w:r>
      <w:r w:rsidR="00856D5C" w:rsidRPr="009C5998">
        <w:rPr>
          <w:rFonts w:eastAsia="Baskerville Old Face" w:cs="Times New Roman"/>
          <w:i/>
          <w:iCs/>
          <w:lang w:val="en-GB"/>
        </w:rPr>
        <w:t>.</w:t>
      </w:r>
      <w:r w:rsidRPr="009C5998">
        <w:rPr>
          <w:rFonts w:eastAsia="Baskerville Old Face" w:cs="Times New Roman"/>
          <w:i/>
          <w:iCs/>
          <w:lang w:val="en-GB"/>
        </w:rPr>
        <w:t xml:space="preserve"> </w:t>
      </w:r>
      <w:r w:rsidRPr="009C5998">
        <w:rPr>
          <w:rFonts w:eastAsia="Baskerville Old Face" w:cs="Times New Roman"/>
          <w:lang w:val="en-GB"/>
        </w:rPr>
        <w:t>London: Palgrave</w:t>
      </w:r>
      <w:r w:rsidR="00743AB5">
        <w:rPr>
          <w:rFonts w:eastAsia="Baskerville Old Face" w:cs="Times New Roman"/>
          <w:lang w:val="en-GB"/>
        </w:rPr>
        <w:t>.</w:t>
      </w:r>
    </w:p>
    <w:p w14:paraId="00D6D1E4" w14:textId="77777777" w:rsidR="00015DAE" w:rsidRDefault="00743AB5" w:rsidP="00015DAE">
      <w:pPr>
        <w:pStyle w:val="BodyA"/>
        <w:spacing w:line="480" w:lineRule="auto"/>
        <w:ind w:left="720" w:hanging="720"/>
        <w:rPr>
          <w:rFonts w:eastAsia="Baskerville Old Face" w:cs="Times New Roman"/>
          <w:lang w:val="en-GB"/>
        </w:rPr>
      </w:pPr>
      <w:r>
        <w:rPr>
          <w:rFonts w:eastAsia="Baskerville Old Face" w:cs="Times New Roman"/>
          <w:lang w:val="en-GB"/>
        </w:rPr>
        <w:t>—</w:t>
      </w:r>
      <w:r w:rsidR="001A7A49" w:rsidRPr="009C5998">
        <w:rPr>
          <w:rFonts w:eastAsia="Baskerville Old Face" w:cs="Times New Roman"/>
          <w:lang w:val="en-GB"/>
        </w:rPr>
        <w:t xml:space="preserve"> (2017b) </w:t>
      </w:r>
      <w:r w:rsidR="00015DAE">
        <w:rPr>
          <w:rFonts w:eastAsia="Baskerville Old Face" w:cs="Times New Roman"/>
          <w:lang w:val="en-GB"/>
        </w:rPr>
        <w:t>‘</w:t>
      </w:r>
      <w:r w:rsidR="001A7A49" w:rsidRPr="009C5998">
        <w:rPr>
          <w:rFonts w:eastAsia="Baskerville Old Face" w:cs="Times New Roman"/>
          <w:lang w:val="en-GB"/>
        </w:rPr>
        <w:t>Kant’s Idealism and Phenomenalism. Critical Notice of Lucy Allais</w:t>
      </w:r>
      <w:r w:rsidR="00856D5C" w:rsidRPr="009C5998">
        <w:rPr>
          <w:rFonts w:eastAsia="Baskerville Old Face" w:cs="Times New Roman"/>
          <w:lang w:val="en-GB"/>
        </w:rPr>
        <w:t>’.</w:t>
      </w:r>
      <w:r w:rsidR="001A7A49" w:rsidRPr="009C5998">
        <w:rPr>
          <w:rFonts w:eastAsia="Baskerville Old Face" w:cs="Times New Roman"/>
          <w:lang w:val="en-GB"/>
        </w:rPr>
        <w:t xml:space="preserve"> </w:t>
      </w:r>
      <w:r w:rsidR="001A7A49" w:rsidRPr="009C5998">
        <w:rPr>
          <w:rFonts w:eastAsia="Baskerville Old Face" w:cs="Times New Roman"/>
          <w:i/>
          <w:iCs/>
          <w:lang w:val="en-GB"/>
        </w:rPr>
        <w:t>Studi Kantiani</w:t>
      </w:r>
      <w:r w:rsidR="001A7A49" w:rsidRPr="009C5998">
        <w:rPr>
          <w:rFonts w:eastAsia="Baskerville Old Face" w:cs="Times New Roman"/>
          <w:lang w:val="en-GB"/>
        </w:rPr>
        <w:t>, XXX</w:t>
      </w:r>
      <w:r w:rsidR="00015DAE">
        <w:rPr>
          <w:rFonts w:eastAsia="Baskerville Old Face" w:cs="Times New Roman"/>
          <w:lang w:val="en-GB"/>
        </w:rPr>
        <w:t>,</w:t>
      </w:r>
      <w:r w:rsidR="00C10C3D" w:rsidRPr="009C5998">
        <w:rPr>
          <w:rFonts w:eastAsia="Baskerville Old Face" w:cs="Times New Roman"/>
          <w:lang w:val="en-GB"/>
        </w:rPr>
        <w:t xml:space="preserve"> </w:t>
      </w:r>
      <w:r w:rsidR="001A7A49" w:rsidRPr="009C5998">
        <w:rPr>
          <w:rFonts w:eastAsia="Baskerville Old Face" w:cs="Times New Roman"/>
          <w:lang w:val="en-GB"/>
        </w:rPr>
        <w:t>191</w:t>
      </w:r>
      <w:r w:rsidR="00015DAE">
        <w:rPr>
          <w:rFonts w:eastAsia="Baskerville Old Face" w:cs="Times New Roman"/>
          <w:lang w:val="en-GB"/>
        </w:rPr>
        <w:t>-</w:t>
      </w:r>
      <w:r w:rsidR="001A7A49" w:rsidRPr="009C5998">
        <w:rPr>
          <w:rFonts w:eastAsia="Baskerville Old Face" w:cs="Times New Roman"/>
          <w:lang w:val="en-GB"/>
        </w:rPr>
        <w:t>202</w:t>
      </w:r>
      <w:r w:rsidR="00015DAE">
        <w:rPr>
          <w:rFonts w:eastAsia="Baskerville Old Face" w:cs="Times New Roman"/>
          <w:lang w:val="en-GB"/>
        </w:rPr>
        <w:t>.</w:t>
      </w:r>
    </w:p>
    <w:p w14:paraId="09582B22" w14:textId="77777777" w:rsidR="009142D8" w:rsidRDefault="001A7A49" w:rsidP="009142D8">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Senderowicz, Y. (2005) </w:t>
      </w:r>
      <w:r w:rsidRPr="009C5998">
        <w:rPr>
          <w:rFonts w:eastAsia="Baskerville Old Face" w:cs="Times New Roman"/>
          <w:i/>
          <w:iCs/>
          <w:lang w:val="en-GB"/>
        </w:rPr>
        <w:t>The Coherence of Kant’s Transcendental Idealism</w:t>
      </w:r>
      <w:r w:rsidR="00F82006" w:rsidRPr="009C5998">
        <w:rPr>
          <w:rFonts w:eastAsia="Baskerville Old Face" w:cs="Times New Roman"/>
          <w:lang w:val="en-GB"/>
        </w:rPr>
        <w:t>.</w:t>
      </w:r>
      <w:r w:rsidRPr="009C5998">
        <w:rPr>
          <w:rFonts w:eastAsia="Baskerville Old Face" w:cs="Times New Roman"/>
          <w:lang w:val="en-GB"/>
        </w:rPr>
        <w:t xml:space="preserve"> Dordrecht: Springer</w:t>
      </w:r>
      <w:r w:rsidR="009142D8">
        <w:rPr>
          <w:rFonts w:eastAsia="Baskerville Old Face" w:cs="Times New Roman"/>
          <w:lang w:val="en-GB"/>
        </w:rPr>
        <w:t>.</w:t>
      </w:r>
    </w:p>
    <w:p w14:paraId="69F8EDB5" w14:textId="77777777" w:rsidR="0023314B" w:rsidRDefault="001A7A49" w:rsidP="0023314B">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Stang, N. (2014) </w:t>
      </w:r>
      <w:r w:rsidR="009142D8">
        <w:rPr>
          <w:rFonts w:eastAsia="Baskerville Old Face" w:cs="Times New Roman"/>
          <w:lang w:val="en-GB"/>
        </w:rPr>
        <w:t>‘T</w:t>
      </w:r>
      <w:r w:rsidRPr="009C5998">
        <w:rPr>
          <w:rFonts w:eastAsia="Baskerville Old Face" w:cs="Times New Roman"/>
          <w:lang w:val="en-GB"/>
        </w:rPr>
        <w:t>he non-identity of appearances and things in themselves</w:t>
      </w:r>
      <w:r w:rsidR="009142D8">
        <w:rPr>
          <w:rFonts w:eastAsia="Baskerville Old Face" w:cs="Times New Roman"/>
          <w:lang w:val="en-GB"/>
        </w:rPr>
        <w:t>’</w:t>
      </w:r>
      <w:r w:rsidR="00F82006" w:rsidRPr="009C5998">
        <w:rPr>
          <w:rFonts w:eastAsia="Baskerville Old Face" w:cs="Times New Roman"/>
          <w:lang w:val="en-GB"/>
        </w:rPr>
        <w:t>.</w:t>
      </w:r>
      <w:r w:rsidRPr="009C5998">
        <w:rPr>
          <w:rFonts w:eastAsia="Baskerville Old Face" w:cs="Times New Roman"/>
          <w:lang w:val="en-GB"/>
        </w:rPr>
        <w:t xml:space="preserve"> </w:t>
      </w:r>
      <w:r w:rsidRPr="009C5998">
        <w:rPr>
          <w:rFonts w:eastAsia="Baskerville Old Face" w:cs="Times New Roman"/>
          <w:i/>
          <w:iCs/>
          <w:lang w:val="en-GB"/>
        </w:rPr>
        <w:t xml:space="preserve">Nous, </w:t>
      </w:r>
      <w:r w:rsidRPr="009C5998">
        <w:rPr>
          <w:rFonts w:eastAsia="Baskerville Old Face" w:cs="Times New Roman"/>
          <w:lang w:val="en-GB"/>
        </w:rPr>
        <w:t>48(1), 106-136</w:t>
      </w:r>
      <w:r w:rsidR="0023314B">
        <w:rPr>
          <w:rFonts w:eastAsia="Baskerville Old Face" w:cs="Times New Roman"/>
          <w:lang w:val="en-GB"/>
        </w:rPr>
        <w:t>.</w:t>
      </w:r>
    </w:p>
    <w:p w14:paraId="19ABE588" w14:textId="77777777" w:rsidR="00760617" w:rsidRDefault="0023314B" w:rsidP="00760617">
      <w:pPr>
        <w:pStyle w:val="BodyA"/>
        <w:spacing w:line="480" w:lineRule="auto"/>
        <w:ind w:left="720" w:hanging="720"/>
        <w:rPr>
          <w:rFonts w:eastAsia="Baskerville Old Face" w:cs="Times New Roman"/>
          <w:lang w:val="en-GB"/>
        </w:rPr>
      </w:pPr>
      <w:r>
        <w:rPr>
          <w:rFonts w:eastAsia="Baskerville Old Face" w:cs="Times New Roman"/>
          <w:lang w:val="en-GB"/>
        </w:rPr>
        <w:t>—</w:t>
      </w:r>
      <w:r w:rsidR="001A7A49" w:rsidRPr="009C5998">
        <w:rPr>
          <w:rFonts w:eastAsia="Baskerville Old Face" w:cs="Times New Roman"/>
          <w:lang w:val="en-GB"/>
        </w:rPr>
        <w:t xml:space="preserve"> (2015) </w:t>
      </w:r>
      <w:r>
        <w:rPr>
          <w:rFonts w:eastAsia="Baskerville Old Face" w:cs="Times New Roman"/>
          <w:lang w:val="en-GB"/>
        </w:rPr>
        <w:t>‘</w:t>
      </w:r>
      <w:r w:rsidR="001A7A49" w:rsidRPr="009C5998">
        <w:rPr>
          <w:rFonts w:eastAsia="Baskerville Old Face" w:cs="Times New Roman"/>
          <w:lang w:val="en-GB"/>
        </w:rPr>
        <w:t>Who’s afraid of double affection?</w:t>
      </w:r>
      <w:r>
        <w:rPr>
          <w:rFonts w:eastAsia="Baskerville Old Face" w:cs="Times New Roman"/>
          <w:lang w:val="en-GB"/>
        </w:rPr>
        <w:t>’</w:t>
      </w:r>
      <w:r w:rsidR="00F82006" w:rsidRPr="009C5998">
        <w:rPr>
          <w:rFonts w:eastAsia="Baskerville Old Face" w:cs="Times New Roman"/>
          <w:lang w:val="en-GB"/>
        </w:rPr>
        <w:t>.</w:t>
      </w:r>
      <w:r w:rsidR="001A7A49" w:rsidRPr="009C5998">
        <w:rPr>
          <w:rFonts w:eastAsia="Baskerville Old Face" w:cs="Times New Roman"/>
          <w:lang w:val="en-GB"/>
        </w:rPr>
        <w:t xml:space="preserve"> </w:t>
      </w:r>
      <w:r w:rsidR="001A7A49" w:rsidRPr="009C5998">
        <w:rPr>
          <w:rFonts w:eastAsia="Baskerville Old Face" w:cs="Times New Roman"/>
          <w:i/>
          <w:iCs/>
          <w:lang w:val="en-GB"/>
        </w:rPr>
        <w:t>Philosophers</w:t>
      </w:r>
      <w:r w:rsidR="00760617">
        <w:rPr>
          <w:rFonts w:eastAsia="Baskerville Old Face" w:cs="Times New Roman"/>
          <w:i/>
          <w:iCs/>
          <w:lang w:val="en-GB"/>
        </w:rPr>
        <w:t>’</w:t>
      </w:r>
      <w:r w:rsidR="001A7A49" w:rsidRPr="009C5998">
        <w:rPr>
          <w:rFonts w:eastAsia="Baskerville Old Face" w:cs="Times New Roman"/>
          <w:i/>
          <w:iCs/>
          <w:lang w:val="en-GB"/>
        </w:rPr>
        <w:t xml:space="preserve"> Imprint</w:t>
      </w:r>
      <w:r w:rsidR="001A7A49" w:rsidRPr="009C5998">
        <w:rPr>
          <w:rFonts w:eastAsia="Baskerville Old Face" w:cs="Times New Roman"/>
          <w:lang w:val="en-GB"/>
        </w:rPr>
        <w:t>, 15(18), 1-28</w:t>
      </w:r>
      <w:r w:rsidR="00760617">
        <w:rPr>
          <w:rFonts w:eastAsia="Baskerville Old Face" w:cs="Times New Roman"/>
          <w:lang w:val="en-GB"/>
        </w:rPr>
        <w:t>.</w:t>
      </w:r>
    </w:p>
    <w:p w14:paraId="707713AD" w14:textId="729148A7" w:rsidR="00967970" w:rsidRPr="009C5998" w:rsidRDefault="001A7A49" w:rsidP="00760617">
      <w:pPr>
        <w:pStyle w:val="BodyA"/>
        <w:spacing w:line="480" w:lineRule="auto"/>
        <w:ind w:left="720" w:hanging="720"/>
        <w:rPr>
          <w:rFonts w:eastAsia="Baskerville Old Face" w:cs="Times New Roman"/>
          <w:lang w:val="en-GB"/>
        </w:rPr>
      </w:pPr>
      <w:r w:rsidRPr="009C5998">
        <w:rPr>
          <w:rFonts w:eastAsia="Baskerville Old Face" w:cs="Times New Roman"/>
          <w:lang w:val="en-GB"/>
        </w:rPr>
        <w:t xml:space="preserve">Watkins, E. (2005) </w:t>
      </w:r>
      <w:r w:rsidRPr="009C5998">
        <w:rPr>
          <w:rFonts w:eastAsia="Baskerville Old Face" w:cs="Times New Roman"/>
          <w:i/>
          <w:iCs/>
          <w:lang w:val="en-GB"/>
        </w:rPr>
        <w:t>Kant and the Metaphysics of Causality</w:t>
      </w:r>
      <w:r w:rsidR="00F82006" w:rsidRPr="009C5998">
        <w:rPr>
          <w:rFonts w:eastAsia="Baskerville Old Face" w:cs="Times New Roman"/>
          <w:lang w:val="en-GB"/>
        </w:rPr>
        <w:t>.</w:t>
      </w:r>
      <w:r w:rsidRPr="009C5998">
        <w:rPr>
          <w:rFonts w:eastAsia="Baskerville Old Face" w:cs="Times New Roman"/>
          <w:lang w:val="en-GB"/>
        </w:rPr>
        <w:t xml:space="preserve"> Cambridge: Cambridge University Press</w:t>
      </w:r>
      <w:r w:rsidR="00760617">
        <w:rPr>
          <w:rFonts w:eastAsia="Baskerville Old Face" w:cs="Times New Roman"/>
          <w:lang w:val="en-GB"/>
        </w:rPr>
        <w:t>.</w:t>
      </w:r>
    </w:p>
    <w:p w14:paraId="233AD4F4" w14:textId="4214E6F5" w:rsidR="00967970" w:rsidRPr="009C5998" w:rsidRDefault="00387EDD" w:rsidP="00A66562">
      <w:pPr>
        <w:pStyle w:val="BodyA"/>
        <w:spacing w:line="480" w:lineRule="auto"/>
        <w:rPr>
          <w:rFonts w:cs="Times New Roman"/>
          <w:lang w:val="en-GB"/>
        </w:rPr>
      </w:pPr>
      <w:r>
        <w:t xml:space="preserve">Westphal, K. (2004) </w:t>
      </w:r>
      <w:r>
        <w:rPr>
          <w:i/>
        </w:rPr>
        <w:t>Kant’s Transcendental Proof of Realism</w:t>
      </w:r>
      <w:r>
        <w:t>. Cambridge: Cambridge University Press</w:t>
      </w:r>
    </w:p>
    <w:sectPr w:rsidR="00967970" w:rsidRPr="009C5998" w:rsidSect="00B63EA4">
      <w:endnotePr>
        <w:numFmt w:val="decimal"/>
      </w:endnotePr>
      <w:type w:val="continuous"/>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915A5" w14:textId="77777777" w:rsidR="00437D72" w:rsidRPr="00E142C8" w:rsidRDefault="00437D72" w:rsidP="00E142C8">
      <w:pPr>
        <w:pStyle w:val="Footer"/>
      </w:pPr>
    </w:p>
  </w:endnote>
  <w:endnote w:type="continuationSeparator" w:id="0">
    <w:p w14:paraId="3B751D26" w14:textId="77777777" w:rsidR="00437D72" w:rsidRPr="00E142C8" w:rsidRDefault="00437D72" w:rsidP="00E142C8">
      <w:pPr>
        <w:pStyle w:val="Footer"/>
      </w:pPr>
    </w:p>
  </w:endnote>
  <w:endnote w:type="continuationNotice" w:id="1">
    <w:p w14:paraId="76DB9266" w14:textId="77777777" w:rsidR="00437D72" w:rsidRPr="00FC0FFF" w:rsidRDefault="00437D72" w:rsidP="00FC0FFF">
      <w:pPr>
        <w:pStyle w:val="Footer"/>
      </w:pPr>
    </w:p>
  </w:endnote>
  <w:endnote w:id="2">
    <w:p w14:paraId="03F8E375" w14:textId="6A2ED835" w:rsidR="00E370D1" w:rsidRPr="00AC0165" w:rsidRDefault="00E370D1" w:rsidP="008D7C54">
      <w:pPr>
        <w:pStyle w:val="EndnoteText"/>
        <w:spacing w:line="480" w:lineRule="auto"/>
        <w:rPr>
          <w:sz w:val="24"/>
          <w:szCs w:val="24"/>
        </w:rPr>
      </w:pPr>
      <w:r w:rsidRPr="008D7C54">
        <w:rPr>
          <w:rStyle w:val="EndnoteReference"/>
          <w:sz w:val="24"/>
          <w:szCs w:val="24"/>
        </w:rPr>
        <w:endnoteRef/>
      </w:r>
      <w:r w:rsidRPr="008D7C54">
        <w:rPr>
          <w:sz w:val="24"/>
          <w:szCs w:val="24"/>
        </w:rPr>
        <w:t xml:space="preserve"> References to the first </w:t>
      </w:r>
      <w:r>
        <w:rPr>
          <w:i/>
          <w:sz w:val="24"/>
          <w:szCs w:val="24"/>
        </w:rPr>
        <w:t>Critique</w:t>
      </w:r>
      <w:r>
        <w:rPr>
          <w:sz w:val="24"/>
          <w:szCs w:val="24"/>
        </w:rPr>
        <w:t xml:space="preserve"> </w:t>
      </w:r>
      <w:r w:rsidRPr="008D7C54">
        <w:rPr>
          <w:sz w:val="24"/>
          <w:szCs w:val="24"/>
        </w:rPr>
        <w:t>will employ the standard A/B pagination</w:t>
      </w:r>
      <w:r>
        <w:rPr>
          <w:sz w:val="24"/>
          <w:szCs w:val="24"/>
        </w:rPr>
        <w:t>, with translations from Kant 1997.</w:t>
      </w:r>
      <w:r w:rsidRPr="008D7C54">
        <w:rPr>
          <w:sz w:val="24"/>
          <w:szCs w:val="24"/>
        </w:rPr>
        <w:t xml:space="preserve"> </w:t>
      </w:r>
      <w:r>
        <w:rPr>
          <w:sz w:val="24"/>
          <w:szCs w:val="24"/>
        </w:rPr>
        <w:t>References to</w:t>
      </w:r>
      <w:r w:rsidRPr="008D7C54">
        <w:rPr>
          <w:sz w:val="24"/>
          <w:szCs w:val="24"/>
        </w:rPr>
        <w:t xml:space="preserve"> other works of Kant </w:t>
      </w:r>
      <w:r>
        <w:rPr>
          <w:sz w:val="24"/>
          <w:szCs w:val="24"/>
        </w:rPr>
        <w:t xml:space="preserve">will be by way of </w:t>
      </w:r>
      <w:r w:rsidRPr="008D7C54">
        <w:rPr>
          <w:sz w:val="24"/>
          <w:szCs w:val="24"/>
        </w:rPr>
        <w:t>standard citation from the Akademie edition</w:t>
      </w:r>
      <w:r>
        <w:rPr>
          <w:sz w:val="24"/>
          <w:szCs w:val="24"/>
        </w:rPr>
        <w:t>, with translations those of Kant 1950, Kant 1959, Kant 1987.</w:t>
      </w:r>
    </w:p>
  </w:endnote>
  <w:endnote w:id="3">
    <w:p w14:paraId="293774F5" w14:textId="6F2305B4" w:rsidR="00E370D1" w:rsidRPr="00990F6D" w:rsidRDefault="00E370D1" w:rsidP="00C245E6">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sz w:val="24"/>
          <w:szCs w:val="24"/>
          <w:lang w:val="en-GB"/>
        </w:rPr>
        <w:t>There are in fact several variants within each of these three broad approaches.</w:t>
      </w:r>
    </w:p>
  </w:endnote>
  <w:endnote w:id="4">
    <w:p w14:paraId="4BAD1507" w14:textId="6458BC9C" w:rsidR="00E370D1" w:rsidRPr="00990F6D" w:rsidRDefault="00E370D1" w:rsidP="00C245E6">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sz w:val="24"/>
          <w:szCs w:val="24"/>
          <w:lang w:val="en-GB"/>
        </w:rPr>
        <w:t xml:space="preserve">As I argued in </w:t>
      </w:r>
      <w:r w:rsidRPr="00990F6D">
        <w:rPr>
          <w:rFonts w:eastAsia="Baskerville Old Face"/>
          <w:sz w:val="24"/>
          <w:szCs w:val="24"/>
        </w:rPr>
        <w:t xml:space="preserve">Onof 2011: 216-7, the context in which this claim is made is a pre-philosophical one, so ‘object’ should not initially be understood either as appearance or ThI. However, the need to be able to interpret this retrospectively within the context of </w:t>
      </w:r>
      <w:r>
        <w:rPr>
          <w:rFonts w:eastAsia="Baskerville Old Face"/>
          <w:sz w:val="24"/>
          <w:szCs w:val="24"/>
        </w:rPr>
        <w:t>transcendental idealism,</w:t>
      </w:r>
      <w:r w:rsidRPr="00990F6D">
        <w:rPr>
          <w:rFonts w:eastAsia="Baskerville Old Face"/>
          <w:sz w:val="24"/>
          <w:szCs w:val="24"/>
        </w:rPr>
        <w:t xml:space="preserve"> once the framework </w:t>
      </w:r>
      <w:r>
        <w:rPr>
          <w:rFonts w:eastAsia="Baskerville Old Face"/>
          <w:sz w:val="24"/>
          <w:szCs w:val="24"/>
        </w:rPr>
        <w:t xml:space="preserve">for the latter </w:t>
      </w:r>
      <w:r w:rsidRPr="00990F6D">
        <w:rPr>
          <w:rFonts w:eastAsia="Baskerville Old Face"/>
          <w:sz w:val="24"/>
          <w:szCs w:val="24"/>
        </w:rPr>
        <w:t>has been set up</w:t>
      </w:r>
      <w:r>
        <w:rPr>
          <w:rFonts w:eastAsia="Baskerville Old Face"/>
          <w:sz w:val="24"/>
          <w:szCs w:val="24"/>
        </w:rPr>
        <w:t>,f</w:t>
      </w:r>
      <w:r w:rsidRPr="00990F6D">
        <w:rPr>
          <w:rFonts w:eastAsia="Baskerville Old Face"/>
          <w:sz w:val="24"/>
          <w:szCs w:val="24"/>
        </w:rPr>
        <w:t xml:space="preserve"> suggests that the object be understood as affecting us transcendentally </w:t>
      </w:r>
      <w:r w:rsidRPr="00AE79FD">
        <w:rPr>
          <w:rFonts w:eastAsia="Baskerville Old Face"/>
          <w:sz w:val="24"/>
          <w:szCs w:val="24"/>
        </w:rPr>
        <w:t>qua</w:t>
      </w:r>
      <w:r w:rsidRPr="00990F6D">
        <w:rPr>
          <w:rFonts w:eastAsia="Baskerville Old Face"/>
          <w:i/>
          <w:sz w:val="24"/>
          <w:szCs w:val="24"/>
        </w:rPr>
        <w:t xml:space="preserve"> </w:t>
      </w:r>
      <w:r w:rsidRPr="00990F6D">
        <w:rPr>
          <w:rFonts w:eastAsia="Baskerville Old Face"/>
          <w:sz w:val="24"/>
          <w:szCs w:val="24"/>
        </w:rPr>
        <w:t>ThI.</w:t>
      </w:r>
    </w:p>
  </w:endnote>
  <w:endnote w:id="5">
    <w:p w14:paraId="700A95B4" w14:textId="52C7847B" w:rsidR="00E370D1" w:rsidRPr="00990F6D" w:rsidRDefault="00E370D1" w:rsidP="001D6196">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sz w:val="24"/>
          <w:szCs w:val="24"/>
          <w:lang w:val="en-GB"/>
        </w:rPr>
        <w:t xml:space="preserve">Further support for transcendental affection can be found for instance in Kant’s analysis of the schema of reality: </w:t>
      </w:r>
      <w:r w:rsidRPr="00990F6D">
        <w:rPr>
          <w:rFonts w:eastAsia="Baskerville Old Face"/>
          <w:sz w:val="24"/>
          <w:szCs w:val="24"/>
        </w:rPr>
        <w:t>‘that which corresponds to the sensation [in appearances] is the transcendental matter of all objects as things in themselves’ (B182/A143).</w:t>
      </w:r>
    </w:p>
  </w:endnote>
  <w:endnote w:id="6">
    <w:p w14:paraId="0280D8AA" w14:textId="301DC89B" w:rsidR="00E370D1" w:rsidRPr="00990F6D" w:rsidRDefault="00E370D1" w:rsidP="00C245E6">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sz w:val="24"/>
          <w:szCs w:val="24"/>
          <w:lang w:val="en-GB"/>
        </w:rPr>
        <w:t xml:space="preserve">I shall look in detail at the concept of transcendental object in </w:t>
      </w:r>
      <w:r>
        <w:rPr>
          <w:sz w:val="24"/>
          <w:szCs w:val="24"/>
          <w:lang w:val="en-GB"/>
        </w:rPr>
        <w:t>section two</w:t>
      </w:r>
      <w:r w:rsidRPr="00990F6D">
        <w:rPr>
          <w:sz w:val="24"/>
          <w:szCs w:val="24"/>
          <w:lang w:val="en-GB"/>
        </w:rPr>
        <w:t>.</w:t>
      </w:r>
    </w:p>
  </w:endnote>
  <w:endnote w:id="7">
    <w:p w14:paraId="6C990230" w14:textId="3A82CEFF" w:rsidR="00E370D1" w:rsidRPr="00990F6D" w:rsidRDefault="00E370D1" w:rsidP="007C1A67">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sz w:val="24"/>
          <w:szCs w:val="24"/>
          <w:lang w:val="en-GB"/>
        </w:rPr>
        <w:t>Cause and ground are used interchangeably here insofar as the term ‘causality’ just refers to the pure category of cause and effect</w:t>
      </w:r>
      <w:r>
        <w:rPr>
          <w:sz w:val="24"/>
          <w:szCs w:val="24"/>
          <w:lang w:val="en-GB"/>
        </w:rPr>
        <w:t>,</w:t>
      </w:r>
      <w:r w:rsidRPr="00990F6D">
        <w:rPr>
          <w:sz w:val="24"/>
          <w:szCs w:val="24"/>
          <w:lang w:val="en-GB"/>
        </w:rPr>
        <w:t xml:space="preserve"> i.e. the notion of ground and consequence.</w:t>
      </w:r>
    </w:p>
  </w:endnote>
  <w:endnote w:id="8">
    <w:p w14:paraId="68B31F9E" w14:textId="4274F33C" w:rsidR="00E370D1" w:rsidRPr="00990F6D" w:rsidRDefault="00E370D1" w:rsidP="004002A6">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Such a grounding of empirical causality does not interfere with the categorial determination of the effect of a cause in a rule-governed way (Second Analogy). What I refer to as empirical causality is the causal power of a substance or what Kant also calls the ‘causality of the cause’ (e.g. A444/B472), i.e. its ability to bring about effects according to a rule. This causal power is not itself determinate (Watkins 2005: 257-96). Indeed, it is causality which grounds temporal determinacy according to the Second Analogy.</w:t>
      </w:r>
    </w:p>
  </w:endnote>
  <w:endnote w:id="9">
    <w:p w14:paraId="7D213F88" w14:textId="03C890DA" w:rsidR="00E370D1" w:rsidRPr="00990F6D" w:rsidRDefault="00E370D1" w:rsidP="00B53096">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i/>
          <w:sz w:val="24"/>
          <w:szCs w:val="24"/>
        </w:rPr>
        <w:t xml:space="preserve">All </w:t>
      </w:r>
      <w:r w:rsidRPr="00990F6D">
        <w:rPr>
          <w:sz w:val="24"/>
          <w:szCs w:val="24"/>
        </w:rPr>
        <w:t xml:space="preserve">empirical causality must thus be grounded since this account cannot be conditional upon the contingent fact that an object </w:t>
      </w:r>
      <w:r w:rsidRPr="00990F6D">
        <w:rPr>
          <w:i/>
          <w:sz w:val="24"/>
          <w:szCs w:val="24"/>
        </w:rPr>
        <w:t xml:space="preserve">actually </w:t>
      </w:r>
      <w:r w:rsidRPr="00990F6D">
        <w:rPr>
          <w:sz w:val="24"/>
          <w:szCs w:val="24"/>
        </w:rPr>
        <w:t>affects some subject empirically. Any manifestation of empirical causality has the potential of being part of a causal chain that will affect a subject ‘in the advance of experience’ (A493/B521-522).</w:t>
      </w:r>
    </w:p>
  </w:endnote>
  <w:endnote w:id="10">
    <w:p w14:paraId="7A310329" w14:textId="5D4E50F3" w:rsidR="00E370D1" w:rsidRPr="00990F6D" w:rsidRDefault="00E370D1" w:rsidP="00F74450">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Note that the only other logically possible way of relating these causal links to account for (T2) would make use of the transitivity of causality: </w:t>
      </w:r>
      <w:r>
        <w:rPr>
          <w:sz w:val="24"/>
          <w:szCs w:val="24"/>
        </w:rPr>
        <w:t xml:space="preserve">that </w:t>
      </w:r>
      <w:r w:rsidRPr="00990F6D">
        <w:rPr>
          <w:sz w:val="24"/>
          <w:szCs w:val="24"/>
        </w:rPr>
        <w:t>ThIs ground appearances/empirical objects (T3) and the latter cause sensations (empirical affection) entails that ThIs are the causal ground of sensations (T2). But using transitivity is not a permissible interpretation insofar a</w:t>
      </w:r>
      <w:r>
        <w:rPr>
          <w:sz w:val="24"/>
          <w:szCs w:val="24"/>
        </w:rPr>
        <w:t>s</w:t>
      </w:r>
      <w:r w:rsidRPr="00990F6D">
        <w:rPr>
          <w:sz w:val="24"/>
          <w:szCs w:val="24"/>
        </w:rPr>
        <w:t xml:space="preserve"> transcendental affection, which is a transcendental condition of cognition, would thereby depend upon empirical affection</w:t>
      </w:r>
      <w:r>
        <w:rPr>
          <w:sz w:val="24"/>
          <w:szCs w:val="24"/>
        </w:rPr>
        <w:t>,</w:t>
      </w:r>
      <w:r w:rsidRPr="00990F6D">
        <w:rPr>
          <w:sz w:val="24"/>
          <w:szCs w:val="24"/>
        </w:rPr>
        <w:t xml:space="preserve"> which is </w:t>
      </w:r>
      <w:r w:rsidRPr="00E73924">
        <w:rPr>
          <w:i/>
          <w:sz w:val="24"/>
          <w:szCs w:val="24"/>
        </w:rPr>
        <w:t>a posteriori</w:t>
      </w:r>
      <w:r w:rsidRPr="00990F6D">
        <w:rPr>
          <w:sz w:val="24"/>
          <w:szCs w:val="24"/>
        </w:rPr>
        <w:t>.</w:t>
      </w:r>
    </w:p>
  </w:endnote>
  <w:endnote w:id="11">
    <w:p w14:paraId="49B29121" w14:textId="01A5B88E" w:rsidR="00E370D1" w:rsidRPr="00990F6D" w:rsidRDefault="00E370D1" w:rsidP="00584141">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Stang (2015</w:t>
      </w:r>
      <w:r>
        <w:rPr>
          <w:sz w:val="24"/>
          <w:szCs w:val="24"/>
        </w:rPr>
        <w:t>: 25-6</w:t>
      </w:r>
      <w:r w:rsidRPr="00990F6D">
        <w:rPr>
          <w:sz w:val="24"/>
          <w:szCs w:val="24"/>
        </w:rPr>
        <w:t>) presents a defence of double affection which involves distinguishing two types of fact about sensations, namely their empirical properties as determined in inner sense</w:t>
      </w:r>
      <w:r>
        <w:rPr>
          <w:sz w:val="24"/>
          <w:szCs w:val="24"/>
        </w:rPr>
        <w:t>,</w:t>
      </w:r>
      <w:r w:rsidRPr="00990F6D">
        <w:rPr>
          <w:sz w:val="24"/>
          <w:szCs w:val="24"/>
        </w:rPr>
        <w:t xml:space="preserve"> and how they seem to us; the former are determined by outer appearances, and the latter provide the content of experience, thereby avoiding what he calls the </w:t>
      </w:r>
      <w:r w:rsidRPr="00990F6D">
        <w:rPr>
          <w:i/>
          <w:iCs/>
          <w:sz w:val="24"/>
          <w:szCs w:val="24"/>
        </w:rPr>
        <w:t>exclusion problem</w:t>
      </w:r>
      <w:r w:rsidRPr="00990F6D">
        <w:rPr>
          <w:sz w:val="24"/>
          <w:szCs w:val="24"/>
        </w:rPr>
        <w:t xml:space="preserve"> of double affection, namely the problem that </w:t>
      </w:r>
      <w:r>
        <w:rPr>
          <w:sz w:val="24"/>
          <w:szCs w:val="24"/>
        </w:rPr>
        <w:t xml:space="preserve">the </w:t>
      </w:r>
      <w:r w:rsidRPr="00990F6D">
        <w:rPr>
          <w:sz w:val="24"/>
          <w:szCs w:val="24"/>
        </w:rPr>
        <w:t>sensations (grounded in noumenal affection) which provide the matter for the determination of appearances cannot also be caused by these same outer appearances (empirical affection). Facts of the second type however have an odd status: if they are objective, they have to be grounded in the objective properties of sensation, so the exclusion problem reappears. If not, they are not facts. It seems that what Stang’s move amounts to is the introduction of facts that have an in-itself status here, as suggested by his original picture of noumenal affection (19), thereby turning Kant’s transcendental idealism into a realism of sensations.</w:t>
      </w:r>
    </w:p>
  </w:endnote>
  <w:endnote w:id="12">
    <w:p w14:paraId="3F690664" w14:textId="10BC9833" w:rsidR="00E370D1" w:rsidRPr="00990F6D" w:rsidRDefault="00E370D1" w:rsidP="00CC4710">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sz w:val="24"/>
          <w:szCs w:val="24"/>
          <w:lang w:val="en-GB"/>
        </w:rPr>
        <w:t>EDA would seem to have to deny transcendental affection, and this is what Prauss (1974: 192-207) does, while recogni</w:t>
      </w:r>
      <w:r>
        <w:rPr>
          <w:sz w:val="24"/>
          <w:szCs w:val="24"/>
          <w:lang w:val="en-GB"/>
        </w:rPr>
        <w:t>z</w:t>
      </w:r>
      <w:r w:rsidRPr="00990F6D">
        <w:rPr>
          <w:sz w:val="24"/>
          <w:szCs w:val="24"/>
          <w:lang w:val="en-GB"/>
        </w:rPr>
        <w:t xml:space="preserve">ing that this does have its difficulties. Allison (2004: 66-8) endorses transcendental affection in a move that seems really only appropriate to a proponent of MDA (Chiba 2012: 80). </w:t>
      </w:r>
    </w:p>
  </w:endnote>
  <w:endnote w:id="13">
    <w:p w14:paraId="5CB106CF" w14:textId="451E6481" w:rsidR="00E370D1" w:rsidRPr="00990F6D" w:rsidRDefault="00E370D1" w:rsidP="00963246">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sz w:val="24"/>
          <w:szCs w:val="24"/>
          <w:lang w:val="en-GB"/>
        </w:rPr>
        <w:t>In the empirical domain, empirical causality is always a feature of a substance. There is however no reason to assume this for ThIs, so thinking the ThI as substance is not required.</w:t>
      </w:r>
    </w:p>
  </w:endnote>
  <w:endnote w:id="14">
    <w:p w14:paraId="0C96A480" w14:textId="4F4DFB36" w:rsidR="00E370D1" w:rsidRPr="00990F6D" w:rsidRDefault="00E370D1" w:rsidP="00663C58">
      <w:pPr>
        <w:pStyle w:val="EndnoteText"/>
        <w:spacing w:line="480" w:lineRule="auto"/>
        <w:rPr>
          <w:sz w:val="24"/>
          <w:szCs w:val="24"/>
        </w:rPr>
      </w:pPr>
      <w:r w:rsidRPr="00990F6D">
        <w:rPr>
          <w:rStyle w:val="EndnoteReference"/>
          <w:sz w:val="24"/>
          <w:szCs w:val="24"/>
        </w:rPr>
        <w:endnoteRef/>
      </w:r>
      <w:r w:rsidRPr="00990F6D">
        <w:rPr>
          <w:sz w:val="24"/>
          <w:szCs w:val="24"/>
        </w:rPr>
        <w:t xml:space="preserve"> </w:t>
      </w:r>
      <w:r w:rsidRPr="00990F6D">
        <w:rPr>
          <w:sz w:val="24"/>
          <w:szCs w:val="24"/>
          <w:lang w:val="en-GB"/>
        </w:rPr>
        <w:t xml:space="preserve">My thanks to the editor for getting me to think about this. </w:t>
      </w:r>
      <w:r w:rsidRPr="00990F6D">
        <w:rPr>
          <w:sz w:val="24"/>
          <w:szCs w:val="24"/>
        </w:rPr>
        <w:t>This says nothing about the ground of the First Analogy’s absolutely persisting substance itself. However, there are no grounds for viewing this substance to be anything over and above a placeholder for the bearer of causal properties insofar as it is completely indeterminate. A complete treatment of this issue cannot be given here.</w:t>
      </w:r>
    </w:p>
  </w:endnote>
  <w:endnote w:id="15">
    <w:p w14:paraId="3C5377FB" w14:textId="51C885D7" w:rsidR="00E370D1" w:rsidRPr="00990F6D" w:rsidRDefault="00E370D1" w:rsidP="004E366E">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sz w:val="24"/>
          <w:szCs w:val="24"/>
          <w:lang w:val="en-GB"/>
        </w:rPr>
        <w:t>In particular, the assertive modality of these claims is more than is strictly required for the purposes of resolving the antinomial conflict. This indicates that these claims are nothing new: they are useful to identify a first cause for all empirical causality in general, so that the next sections can focus upon agency.</w:t>
      </w:r>
    </w:p>
  </w:endnote>
  <w:endnote w:id="16">
    <w:p w14:paraId="4EAA16EA" w14:textId="3E521E52" w:rsidR="00E370D1" w:rsidRPr="00990F6D" w:rsidRDefault="00E370D1" w:rsidP="00424575">
      <w:pPr>
        <w:pStyle w:val="EndnoteText"/>
        <w:spacing w:line="480" w:lineRule="auto"/>
        <w:rPr>
          <w:sz w:val="24"/>
          <w:szCs w:val="24"/>
        </w:rPr>
      </w:pPr>
      <w:r w:rsidRPr="00990F6D">
        <w:rPr>
          <w:rFonts w:eastAsia="Baskerville Old Face"/>
          <w:sz w:val="24"/>
          <w:szCs w:val="24"/>
          <w:vertAlign w:val="superscript"/>
        </w:rPr>
        <w:endnoteRef/>
      </w:r>
      <w:r w:rsidRPr="00990F6D">
        <w:rPr>
          <w:sz w:val="24"/>
          <w:szCs w:val="24"/>
        </w:rPr>
        <w:t xml:space="preserve"> Onof (2011: 219-21) relates this to another function of the concept of Transcendental Object, that of being the concept of an object </w:t>
      </w:r>
      <w:r w:rsidRPr="00990F6D">
        <w:rPr>
          <w:i/>
          <w:iCs/>
          <w:sz w:val="24"/>
          <w:szCs w:val="24"/>
        </w:rPr>
        <w:t>überhaupt</w:t>
      </w:r>
      <w:r w:rsidRPr="00990F6D">
        <w:rPr>
          <w:sz w:val="24"/>
          <w:szCs w:val="24"/>
        </w:rPr>
        <w:t>.</w:t>
      </w:r>
      <w:r w:rsidRPr="00990F6D">
        <w:rPr>
          <w:i/>
          <w:iCs/>
          <w:sz w:val="24"/>
          <w:szCs w:val="24"/>
        </w:rPr>
        <w:t xml:space="preserve"> </w:t>
      </w:r>
      <w:r w:rsidRPr="00990F6D">
        <w:rPr>
          <w:sz w:val="24"/>
          <w:szCs w:val="24"/>
        </w:rPr>
        <w:t>Willaschek (1998: 333-5) in fact distinguishes three meanings of the concept of Transcendental Object. The third corresponds to that of the noumenon in the positive sense (see note 26).</w:t>
      </w:r>
    </w:p>
  </w:endnote>
  <w:endnote w:id="17">
    <w:p w14:paraId="793EF9ED" w14:textId="20E7B404" w:rsidR="00E370D1" w:rsidRPr="00990F6D" w:rsidRDefault="00E370D1" w:rsidP="00CA0988">
      <w:pPr>
        <w:pStyle w:val="EndnoteText"/>
        <w:spacing w:line="480" w:lineRule="auto"/>
        <w:rPr>
          <w:rFonts w:eastAsia="Baskerville Old Face"/>
          <w:sz w:val="24"/>
          <w:szCs w:val="24"/>
        </w:rPr>
      </w:pPr>
      <w:r w:rsidRPr="00990F6D">
        <w:rPr>
          <w:rStyle w:val="EndnoteReference"/>
          <w:sz w:val="24"/>
          <w:szCs w:val="24"/>
        </w:rPr>
        <w:endnoteRef/>
      </w:r>
      <w:r w:rsidRPr="00990F6D">
        <w:rPr>
          <w:sz w:val="24"/>
          <w:szCs w:val="24"/>
        </w:rPr>
        <w:t xml:space="preserve"> </w:t>
      </w:r>
      <w:r w:rsidRPr="00990F6D">
        <w:rPr>
          <w:sz w:val="24"/>
          <w:szCs w:val="24"/>
          <w:lang w:val="en-GB"/>
        </w:rPr>
        <w:t xml:space="preserve">This could be described as Kant’s theory of intentionality insofar it accounts for what is involved in our representations referring to something that lies outside them (for a discussion of how this relates to Brentano’s theory, see Aquila 1979). Because of the </w:t>
      </w:r>
      <w:r>
        <w:rPr>
          <w:sz w:val="24"/>
          <w:szCs w:val="24"/>
          <w:lang w:val="en-GB"/>
        </w:rPr>
        <w:t xml:space="preserve">transcendental idealist </w:t>
      </w:r>
      <w:r w:rsidRPr="00990F6D">
        <w:rPr>
          <w:sz w:val="24"/>
          <w:szCs w:val="24"/>
          <w:lang w:val="en-GB"/>
        </w:rPr>
        <w:t xml:space="preserve">setting, the empirical object qua intentional object refers to the TO and </w:t>
      </w:r>
      <w:r w:rsidRPr="00990F6D">
        <w:rPr>
          <w:rFonts w:eastAsia="Baskerville Old Face"/>
          <w:sz w:val="24"/>
          <w:szCs w:val="24"/>
        </w:rPr>
        <w:t xml:space="preserve">as I argue below, this involves the </w:t>
      </w:r>
      <w:r w:rsidRPr="00990F6D">
        <w:rPr>
          <w:rFonts w:eastAsia="Baskerville Old Face"/>
          <w:i/>
          <w:sz w:val="24"/>
          <w:szCs w:val="24"/>
        </w:rPr>
        <w:t>positing</w:t>
      </w:r>
      <w:r w:rsidRPr="00990F6D">
        <w:rPr>
          <w:rFonts w:eastAsia="Baskerville Old Face"/>
          <w:sz w:val="24"/>
          <w:szCs w:val="24"/>
        </w:rPr>
        <w:t xml:space="preserve"> of some thing.</w:t>
      </w:r>
    </w:p>
  </w:endnote>
  <w:endnote w:id="18">
    <w:p w14:paraId="094A070E" w14:textId="4DA5D5AF" w:rsidR="00E370D1" w:rsidRPr="00990F6D" w:rsidRDefault="00E370D1" w:rsidP="00B64CE3">
      <w:pPr>
        <w:pStyle w:val="EndnoteText"/>
        <w:spacing w:line="480" w:lineRule="auto"/>
        <w:rPr>
          <w:sz w:val="24"/>
          <w:szCs w:val="24"/>
        </w:rPr>
      </w:pPr>
      <w:r w:rsidRPr="00990F6D">
        <w:rPr>
          <w:rFonts w:eastAsia="Baskerville Old Face"/>
          <w:sz w:val="24"/>
          <w:szCs w:val="24"/>
          <w:vertAlign w:val="superscript"/>
        </w:rPr>
        <w:endnoteRef/>
      </w:r>
      <w:r w:rsidRPr="00990F6D">
        <w:rPr>
          <w:sz w:val="24"/>
          <w:szCs w:val="24"/>
        </w:rPr>
        <w:t xml:space="preserve"> As helpfully pointed out by an anonymous reviewer, this means that at A252 where Kant seemed to claim that being an appearance logically entails its being an appearance of something, this is a logical entailment </w:t>
      </w:r>
      <w:r w:rsidRPr="00990F6D">
        <w:rPr>
          <w:i/>
          <w:sz w:val="24"/>
          <w:szCs w:val="24"/>
        </w:rPr>
        <w:t>conditional</w:t>
      </w:r>
      <w:r w:rsidRPr="00990F6D">
        <w:rPr>
          <w:sz w:val="24"/>
          <w:szCs w:val="24"/>
        </w:rPr>
        <w:t xml:space="preserve"> upon positing something that appears to me.</w:t>
      </w:r>
    </w:p>
  </w:endnote>
  <w:endnote w:id="19">
    <w:p w14:paraId="713021AD" w14:textId="5609B022" w:rsidR="00E370D1" w:rsidRPr="00990F6D" w:rsidRDefault="00E370D1" w:rsidP="00424575">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sz w:val="24"/>
          <w:szCs w:val="24"/>
          <w:lang w:val="en-GB"/>
        </w:rPr>
        <w:t xml:space="preserve">The word </w:t>
      </w:r>
      <w:r w:rsidRPr="00415C68">
        <w:rPr>
          <w:i/>
          <w:sz w:val="24"/>
          <w:szCs w:val="24"/>
          <w:lang w:val="en-GB"/>
        </w:rPr>
        <w:t>Wesen</w:t>
      </w:r>
      <w:r w:rsidRPr="00990F6D">
        <w:rPr>
          <w:sz w:val="24"/>
          <w:szCs w:val="24"/>
          <w:lang w:val="en-GB"/>
        </w:rPr>
        <w:t xml:space="preserve"> could equally be rendered as ‘entity’; importantly, it is not ‘essence’ that is at stake here, but a notion of existence, as evidenced by Kant’s use of </w:t>
      </w:r>
      <w:r w:rsidRPr="00415C68">
        <w:rPr>
          <w:i/>
          <w:sz w:val="24"/>
          <w:szCs w:val="24"/>
          <w:lang w:val="en-GB"/>
        </w:rPr>
        <w:t>Ding</w:t>
      </w:r>
      <w:r w:rsidRPr="00990F6D">
        <w:rPr>
          <w:sz w:val="24"/>
          <w:szCs w:val="24"/>
          <w:lang w:val="en-GB"/>
        </w:rPr>
        <w:t xml:space="preserve"> (B306), i.e. ‘thing’ as one possible such ‘being’.</w:t>
      </w:r>
    </w:p>
  </w:endnote>
  <w:endnote w:id="20">
    <w:p w14:paraId="7E2579D2" w14:textId="7B7A4C4A" w:rsidR="00E370D1" w:rsidRPr="00990F6D" w:rsidRDefault="00E370D1" w:rsidP="001C7EEB">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sz w:val="24"/>
          <w:szCs w:val="24"/>
          <w:lang w:val="en-GB"/>
        </w:rPr>
        <w:t xml:space="preserve">I am not claiming that the empirical object/appearance exists </w:t>
      </w:r>
      <w:r>
        <w:rPr>
          <w:sz w:val="24"/>
          <w:szCs w:val="24"/>
          <w:lang w:val="en-GB"/>
        </w:rPr>
        <w:t>‘</w:t>
      </w:r>
      <w:r w:rsidRPr="00990F6D">
        <w:rPr>
          <w:sz w:val="24"/>
          <w:szCs w:val="24"/>
          <w:lang w:val="en-GB"/>
        </w:rPr>
        <w:t>in-itself</w:t>
      </w:r>
      <w:r>
        <w:rPr>
          <w:sz w:val="24"/>
          <w:szCs w:val="24"/>
          <w:lang w:val="en-GB"/>
        </w:rPr>
        <w:t>’</w:t>
      </w:r>
      <w:r w:rsidRPr="00990F6D">
        <w:rPr>
          <w:sz w:val="24"/>
          <w:szCs w:val="24"/>
          <w:lang w:val="en-GB"/>
        </w:rPr>
        <w:t>. Rather, when I determine an object, I thereby claim that something exists which appears to me as this objective determination.</w:t>
      </w:r>
    </w:p>
  </w:endnote>
  <w:endnote w:id="21">
    <w:p w14:paraId="1058C810" w14:textId="21BD0F97" w:rsidR="00E370D1" w:rsidRPr="00990F6D" w:rsidRDefault="00E370D1" w:rsidP="00424575">
      <w:pPr>
        <w:pStyle w:val="EndnoteText"/>
        <w:spacing w:line="480" w:lineRule="auto"/>
        <w:rPr>
          <w:sz w:val="24"/>
          <w:szCs w:val="24"/>
        </w:rPr>
      </w:pPr>
      <w:r w:rsidRPr="00990F6D">
        <w:rPr>
          <w:rFonts w:eastAsia="Baskerville Old Face"/>
          <w:sz w:val="24"/>
          <w:szCs w:val="24"/>
          <w:vertAlign w:val="superscript"/>
        </w:rPr>
        <w:endnoteRef/>
      </w:r>
      <w:r w:rsidRPr="00990F6D">
        <w:rPr>
          <w:sz w:val="24"/>
          <w:szCs w:val="24"/>
        </w:rPr>
        <w:t xml:space="preserve"> This is not meant to refute all forms of phenomenalist interpretations (e.g. Schulting 2017a).</w:t>
      </w:r>
    </w:p>
  </w:endnote>
  <w:endnote w:id="22">
    <w:p w14:paraId="34375D89" w14:textId="6E0379F5" w:rsidR="00E370D1" w:rsidRPr="00990F6D" w:rsidRDefault="00E370D1" w:rsidP="00765762">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sz w:val="24"/>
          <w:szCs w:val="24"/>
          <w:lang w:val="en-GB"/>
        </w:rPr>
        <w:t xml:space="preserve">As we shall see later, this will be qualified with ‘from our cognitive perspective’. The further claim that this grounding role of the TO is one of empirical causality follows for reasons given in </w:t>
      </w:r>
      <w:r>
        <w:rPr>
          <w:sz w:val="24"/>
          <w:szCs w:val="24"/>
          <w:lang w:val="en-GB"/>
        </w:rPr>
        <w:t>section one</w:t>
      </w:r>
      <w:r w:rsidRPr="00990F6D">
        <w:rPr>
          <w:sz w:val="24"/>
          <w:szCs w:val="24"/>
          <w:lang w:val="en-GB"/>
        </w:rPr>
        <w:t>.</w:t>
      </w:r>
    </w:p>
  </w:endnote>
  <w:endnote w:id="23">
    <w:p w14:paraId="57F1A5A3" w14:textId="45235A9B" w:rsidR="00E370D1" w:rsidRPr="00990F6D" w:rsidRDefault="00E370D1" w:rsidP="009A417E">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sz w:val="24"/>
          <w:szCs w:val="24"/>
          <w:lang w:val="en-GB"/>
        </w:rPr>
        <w:t xml:space="preserve">There is also scope for drawing upon the category of reality (see </w:t>
      </w:r>
      <w:r>
        <w:rPr>
          <w:sz w:val="24"/>
          <w:szCs w:val="24"/>
          <w:lang w:val="en-GB"/>
        </w:rPr>
        <w:t>n</w:t>
      </w:r>
      <w:r w:rsidRPr="00990F6D">
        <w:rPr>
          <w:sz w:val="24"/>
          <w:szCs w:val="24"/>
          <w:lang w:val="en-GB"/>
        </w:rPr>
        <w:t>ote 4). Due to limited space I just indicate that its role is connected to the use of the category of actuality since the judgement that something is actual involves a causal connection with perception, i.e. with something determined as real (B272/A225).</w:t>
      </w:r>
    </w:p>
  </w:endnote>
  <w:endnote w:id="24">
    <w:p w14:paraId="156FEA96" w14:textId="7857C9BE" w:rsidR="00E370D1" w:rsidRPr="00990F6D" w:rsidRDefault="00E370D1" w:rsidP="00424575">
      <w:pPr>
        <w:pStyle w:val="EndnoteText"/>
        <w:spacing w:line="480" w:lineRule="auto"/>
        <w:rPr>
          <w:sz w:val="24"/>
          <w:szCs w:val="24"/>
        </w:rPr>
      </w:pPr>
      <w:r w:rsidRPr="00990F6D">
        <w:rPr>
          <w:rFonts w:eastAsia="Baskerville Old Face"/>
          <w:sz w:val="24"/>
          <w:szCs w:val="24"/>
          <w:vertAlign w:val="superscript"/>
        </w:rPr>
        <w:endnoteRef/>
      </w:r>
      <w:r w:rsidRPr="00990F6D">
        <w:rPr>
          <w:sz w:val="24"/>
          <w:szCs w:val="24"/>
        </w:rPr>
        <w:t xml:space="preserve"> Ameriks (2003: 84) adumbrates something like the position I have presented here when he says that ‘some kind of grounding relation between an intelligible character and an empirical character to it (as an aspect of ultimately the same thing) is not impossible’ upon commenting on Aquila’s (1979: 299) dismissal of this idea (see note 39).</w:t>
      </w:r>
    </w:p>
  </w:endnote>
  <w:endnote w:id="25">
    <w:p w14:paraId="04D3A6A6" w14:textId="5EEF79EC" w:rsidR="00E370D1" w:rsidRPr="00990F6D" w:rsidRDefault="00E370D1" w:rsidP="00CC3F1C">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The word ‘aspect’ is most appropriate for these properties insofar as the consideration of one aspect includes a reference to the other: appearances were seen to refer to that which appears through the pivotal role of the (conditional) existence of some thing; conversely, the consideration of the ThI as ground of an appearance refers to some object, the appearance, with properties that constitute its empirical aspect.</w:t>
      </w:r>
    </w:p>
  </w:endnote>
  <w:endnote w:id="26">
    <w:p w14:paraId="16F8910F" w14:textId="12A59E4D" w:rsidR="00E370D1" w:rsidRPr="00990F6D" w:rsidRDefault="00E370D1" w:rsidP="00752CA5">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The need to consider the cognitive perspective from which an object is cogni</w:t>
      </w:r>
      <w:r>
        <w:rPr>
          <w:sz w:val="24"/>
          <w:szCs w:val="24"/>
        </w:rPr>
        <w:t>z</w:t>
      </w:r>
      <w:r w:rsidRPr="00990F6D">
        <w:rPr>
          <w:sz w:val="24"/>
          <w:szCs w:val="24"/>
        </w:rPr>
        <w:t xml:space="preserve">ed is overlooked when </w:t>
      </w:r>
      <w:r>
        <w:rPr>
          <w:sz w:val="24"/>
          <w:szCs w:val="24"/>
        </w:rPr>
        <w:t>dual</w:t>
      </w:r>
      <w:r w:rsidRPr="00990F6D">
        <w:rPr>
          <w:sz w:val="24"/>
          <w:szCs w:val="24"/>
        </w:rPr>
        <w:t>-aspect theories are opposed to two-world (sometimes called two-object) conceptions of the relation between ThIs and appearances. TW (</w:t>
      </w:r>
      <w:r>
        <w:rPr>
          <w:sz w:val="24"/>
          <w:szCs w:val="24"/>
        </w:rPr>
        <w:t xml:space="preserve">cf. </w:t>
      </w:r>
      <w:r w:rsidRPr="00990F6D">
        <w:rPr>
          <w:sz w:val="24"/>
          <w:szCs w:val="24"/>
        </w:rPr>
        <w:t xml:space="preserve">Guyer 1987) in particular assumes a </w:t>
      </w:r>
      <w:r w:rsidRPr="00990F6D">
        <w:rPr>
          <w:i/>
          <w:sz w:val="24"/>
          <w:szCs w:val="24"/>
        </w:rPr>
        <w:t>view from nowhere</w:t>
      </w:r>
      <w:r w:rsidRPr="00990F6D">
        <w:rPr>
          <w:sz w:val="24"/>
          <w:szCs w:val="24"/>
        </w:rPr>
        <w:t xml:space="preserve"> that would encompass appearances and ThIs, and from which the question arises as to whether they are identical or not. Such an </w:t>
      </w:r>
      <w:r>
        <w:rPr>
          <w:sz w:val="24"/>
          <w:szCs w:val="24"/>
        </w:rPr>
        <w:t>‘</w:t>
      </w:r>
      <w:r w:rsidRPr="00990F6D">
        <w:rPr>
          <w:sz w:val="24"/>
          <w:szCs w:val="24"/>
        </w:rPr>
        <w:t>ontological</w:t>
      </w:r>
      <w:r>
        <w:rPr>
          <w:sz w:val="24"/>
          <w:szCs w:val="24"/>
        </w:rPr>
        <w:t>’</w:t>
      </w:r>
      <w:r w:rsidRPr="00990F6D">
        <w:rPr>
          <w:sz w:val="24"/>
          <w:szCs w:val="24"/>
        </w:rPr>
        <w:t xml:space="preserve"> approach is not warranted within Kant’s Critical Philosophy. Any cognitive claim must first involve clarifying the relation of the cogni</w:t>
      </w:r>
      <w:r>
        <w:rPr>
          <w:sz w:val="24"/>
          <w:szCs w:val="24"/>
        </w:rPr>
        <w:t>z</w:t>
      </w:r>
      <w:r w:rsidRPr="00990F6D">
        <w:rPr>
          <w:sz w:val="24"/>
          <w:szCs w:val="24"/>
        </w:rPr>
        <w:t>er to the object of cognition, thereby defining what is possible knowledge.</w:t>
      </w:r>
    </w:p>
  </w:endnote>
  <w:endnote w:id="27">
    <w:p w14:paraId="72B7BBDB" w14:textId="7FE8AAB5" w:rsidR="00E370D1" w:rsidRPr="00990F6D" w:rsidRDefault="00E370D1" w:rsidP="00424575">
      <w:pPr>
        <w:pStyle w:val="EndnoteText"/>
        <w:spacing w:line="480" w:lineRule="auto"/>
        <w:rPr>
          <w:sz w:val="24"/>
          <w:szCs w:val="24"/>
        </w:rPr>
      </w:pPr>
      <w:r w:rsidRPr="00990F6D">
        <w:rPr>
          <w:rFonts w:eastAsia="Baskerville Old Face"/>
          <w:sz w:val="24"/>
          <w:szCs w:val="24"/>
          <w:vertAlign w:val="superscript"/>
        </w:rPr>
        <w:endnoteRef/>
      </w:r>
      <w:r w:rsidRPr="00990F6D">
        <w:rPr>
          <w:sz w:val="24"/>
          <w:szCs w:val="24"/>
        </w:rPr>
        <w:t xml:space="preserve"> Willaschek (1998: 338) resists identifying the TO with the noumenon in the negative sense, largely because the first is not a determinate object, whereas the second is because Kant refers to noumena in the plural. I agree that the concepts of TO and negative noumenon are to be distinguished in the way he proposes, although the same (in-itself) aspect of things is targeted by these two concepts. Both concepts characteri</w:t>
      </w:r>
      <w:r>
        <w:rPr>
          <w:sz w:val="24"/>
          <w:szCs w:val="24"/>
        </w:rPr>
        <w:t>z</w:t>
      </w:r>
      <w:r w:rsidRPr="00990F6D">
        <w:rPr>
          <w:sz w:val="24"/>
          <w:szCs w:val="24"/>
        </w:rPr>
        <w:t>e the ThI as what is posited in cognition. Qua TO, this plays a function in objective knowledge that is to stand for what the unity of apperception refers to beyond our representations. Qua negative noumenon, it is what we think (with our categories) when we consider the thing that is posited in cognition as a fully determinate ThI.</w:t>
      </w:r>
    </w:p>
  </w:endnote>
  <w:endnote w:id="28">
    <w:p w14:paraId="0DAEB201" w14:textId="3D17A61F" w:rsidR="00E370D1" w:rsidRPr="00990F6D" w:rsidRDefault="00E370D1" w:rsidP="00424575">
      <w:pPr>
        <w:pStyle w:val="EndnoteText"/>
        <w:spacing w:line="480" w:lineRule="auto"/>
        <w:rPr>
          <w:sz w:val="24"/>
          <w:szCs w:val="24"/>
        </w:rPr>
      </w:pPr>
      <w:r w:rsidRPr="00990F6D">
        <w:rPr>
          <w:rFonts w:eastAsia="Baskerville Old Face"/>
          <w:sz w:val="24"/>
          <w:szCs w:val="24"/>
          <w:vertAlign w:val="superscript"/>
        </w:rPr>
        <w:endnoteRef/>
      </w:r>
      <w:r w:rsidRPr="00990F6D">
        <w:rPr>
          <w:sz w:val="24"/>
          <w:szCs w:val="24"/>
        </w:rPr>
        <w:t xml:space="preserve"> Although I approach this issue from a different angle, I concur with Schulting (2017a: 374) that ‘the thing in itself as conceived of is not necessarily how the thing in itself is or may be as such (de re)’. However, I put this in terms of objects, respectively the negative noumenon or the TO, and the positive noumenon. </w:t>
      </w:r>
    </w:p>
  </w:endnote>
  <w:endnote w:id="29">
    <w:p w14:paraId="4D4C2EF7" w14:textId="76B6A9D0" w:rsidR="00E370D1" w:rsidRPr="00990F6D" w:rsidRDefault="00E370D1" w:rsidP="00887ADA">
      <w:pPr>
        <w:pStyle w:val="EndnoteText"/>
        <w:spacing w:line="480" w:lineRule="auto"/>
        <w:rPr>
          <w:sz w:val="24"/>
          <w:szCs w:val="24"/>
        </w:rPr>
      </w:pPr>
      <w:r w:rsidRPr="00990F6D">
        <w:rPr>
          <w:rFonts w:eastAsia="Baskerville Old Face"/>
          <w:sz w:val="24"/>
          <w:szCs w:val="24"/>
          <w:vertAlign w:val="superscript"/>
        </w:rPr>
        <w:endnoteRef/>
      </w:r>
      <w:r w:rsidRPr="00990F6D">
        <w:rPr>
          <w:sz w:val="24"/>
          <w:szCs w:val="24"/>
        </w:rPr>
        <w:t xml:space="preserve"> This is short for ‘how the ThI is </w:t>
      </w:r>
      <w:r w:rsidRPr="00990F6D">
        <w:rPr>
          <w:i/>
          <w:iCs/>
          <w:sz w:val="24"/>
          <w:szCs w:val="24"/>
        </w:rPr>
        <w:t>qua</w:t>
      </w:r>
      <w:r w:rsidRPr="00990F6D">
        <w:rPr>
          <w:sz w:val="24"/>
          <w:szCs w:val="24"/>
        </w:rPr>
        <w:t xml:space="preserve"> ThI’, i.e. how that thing is intrinsically. This understanding of the positive sense of </w:t>
      </w:r>
      <w:r>
        <w:rPr>
          <w:sz w:val="24"/>
          <w:szCs w:val="24"/>
        </w:rPr>
        <w:t>‘noumenon’</w:t>
      </w:r>
      <w:r w:rsidRPr="00990F6D">
        <w:rPr>
          <w:sz w:val="24"/>
          <w:szCs w:val="24"/>
        </w:rPr>
        <w:t xml:space="preserve"> differs from views according to which noumena in the positive sense do not appear, and are ‘distinct from the things of which we have knowledge’ (Allais 2006: 148). Such views do not provide the proper contrast which Kant requires, and certainly do not explain why Kant thought that considering such positive noumena is ‘unavoidable’ (B311/B256). Kant explicitly states that what the positive concept of the noumenon, as he wants to make use of it, refers to, ‘is not a special intelligible object for our understanding’ (ibid.), but that it refers to the grasp of an object by a different (problematic) intuitive understanding. So the error is to take the distinction negative/positive noumenon as denoting different things.</w:t>
      </w:r>
    </w:p>
  </w:endnote>
  <w:endnote w:id="30">
    <w:p w14:paraId="78BB733F" w14:textId="589D9975" w:rsidR="00E370D1" w:rsidRPr="00990F6D" w:rsidRDefault="00E370D1" w:rsidP="00424575">
      <w:pPr>
        <w:pStyle w:val="EndnoteText"/>
        <w:spacing w:line="480" w:lineRule="auto"/>
        <w:rPr>
          <w:sz w:val="24"/>
          <w:szCs w:val="24"/>
        </w:rPr>
      </w:pPr>
      <w:r w:rsidRPr="00990F6D">
        <w:rPr>
          <w:rFonts w:eastAsia="Baskerville Old Face"/>
          <w:sz w:val="24"/>
          <w:szCs w:val="24"/>
          <w:vertAlign w:val="superscript"/>
        </w:rPr>
        <w:endnoteRef/>
      </w:r>
      <w:r w:rsidRPr="00990F6D">
        <w:rPr>
          <w:sz w:val="24"/>
          <w:szCs w:val="24"/>
        </w:rPr>
        <w:t xml:space="preserve"> This notion of a different perspective is one introduced by Robinson (1994) and adopted in Onof (2011: 231-3). Here however I do not claim that this is to replace a </w:t>
      </w:r>
      <w:r>
        <w:rPr>
          <w:sz w:val="24"/>
          <w:szCs w:val="24"/>
        </w:rPr>
        <w:t>dual</w:t>
      </w:r>
      <w:r w:rsidRPr="00990F6D">
        <w:rPr>
          <w:sz w:val="24"/>
          <w:szCs w:val="24"/>
        </w:rPr>
        <w:t>-aspect theory, but rather complement it.</w:t>
      </w:r>
    </w:p>
  </w:endnote>
  <w:endnote w:id="31">
    <w:p w14:paraId="5B4A6F2B" w14:textId="2C991748" w:rsidR="00E370D1" w:rsidRPr="00990F6D" w:rsidRDefault="00E370D1" w:rsidP="00DC0B71">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sz w:val="24"/>
          <w:szCs w:val="24"/>
          <w:lang w:val="en-GB"/>
        </w:rPr>
        <w:t>I thank an anonymous reviewer for suggesting I clarify this.</w:t>
      </w:r>
    </w:p>
  </w:endnote>
  <w:endnote w:id="32">
    <w:p w14:paraId="2019CEFB" w14:textId="3471135B" w:rsidR="00E370D1" w:rsidRPr="00990F6D" w:rsidRDefault="00E370D1" w:rsidP="00424575">
      <w:pPr>
        <w:pStyle w:val="EndnoteText"/>
        <w:spacing w:line="480" w:lineRule="auto"/>
        <w:rPr>
          <w:sz w:val="24"/>
          <w:szCs w:val="24"/>
        </w:rPr>
      </w:pPr>
      <w:r w:rsidRPr="00990F6D">
        <w:rPr>
          <w:rFonts w:eastAsia="Baskerville Old Face"/>
          <w:sz w:val="24"/>
          <w:szCs w:val="24"/>
          <w:vertAlign w:val="superscript"/>
        </w:rPr>
        <w:endnoteRef/>
      </w:r>
      <w:r w:rsidRPr="00990F6D">
        <w:rPr>
          <w:sz w:val="24"/>
          <w:szCs w:val="24"/>
        </w:rPr>
        <w:t xml:space="preserve"> Although she does not view this as re-defining the intrinsic/extrinsic distinction, Allais (2006: 159) gets it right I think when she says that ‘[r]ather than distinguishing between two types of properties … I want to distinguish between two ways of knowing things’. Her distinction is however aimed at the distinction ThIs/appearances, whereas I have argued contra Langton and Allais, that the distinction is one between positive noumena on the one hand and negative noumena and appearances on the other, i.e. ThIs viewed as objects of a problematic intuitive understanding and ThIs viewed as objects of thought or knowledge for a discursive understanding. </w:t>
      </w:r>
    </w:p>
  </w:endnote>
  <w:endnote w:id="33">
    <w:p w14:paraId="7F99E19A" w14:textId="02A60BAD" w:rsidR="00E370D1" w:rsidRPr="00990F6D" w:rsidRDefault="00E370D1" w:rsidP="008B28C1">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sz w:val="24"/>
          <w:szCs w:val="24"/>
          <w:lang w:val="en-GB"/>
        </w:rPr>
        <w:t>The possibility Kant claims for it is logical (B310-11). The existence of ThIs does not entail the real possibility of such a perspective</w:t>
      </w:r>
      <w:r>
        <w:rPr>
          <w:sz w:val="24"/>
          <w:szCs w:val="24"/>
          <w:lang w:val="en-GB"/>
        </w:rPr>
        <w:t>,</w:t>
      </w:r>
      <w:r w:rsidRPr="00990F6D">
        <w:rPr>
          <w:sz w:val="24"/>
          <w:szCs w:val="24"/>
          <w:lang w:val="en-GB"/>
        </w:rPr>
        <w:t xml:space="preserve"> for the existence of ThIs could be a brute existence with no intrinsic properties.</w:t>
      </w:r>
    </w:p>
  </w:endnote>
  <w:endnote w:id="34">
    <w:p w14:paraId="24B294B6" w14:textId="16B62909" w:rsidR="00E370D1" w:rsidRPr="00990F6D" w:rsidRDefault="00E370D1" w:rsidP="00271AB2">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sz w:val="24"/>
          <w:szCs w:val="24"/>
          <w:lang w:val="en-GB"/>
        </w:rPr>
        <w:t>There could, therefore, be extrinsic</w:t>
      </w:r>
      <w:r w:rsidRPr="00990F6D">
        <w:rPr>
          <w:sz w:val="24"/>
          <w:szCs w:val="24"/>
          <w:vertAlign w:val="superscript"/>
          <w:lang w:val="en-GB"/>
        </w:rPr>
        <w:t>K</w:t>
      </w:r>
      <w:r w:rsidRPr="00990F6D">
        <w:rPr>
          <w:sz w:val="24"/>
          <w:szCs w:val="24"/>
          <w:lang w:val="en-GB"/>
        </w:rPr>
        <w:t xml:space="preserve"> properties for other types of discursive cognition which have a non-spatio-temporal sensible intuition.</w:t>
      </w:r>
    </w:p>
  </w:endnote>
  <w:endnote w:id="35">
    <w:p w14:paraId="70B61475" w14:textId="3114F1F3" w:rsidR="00E370D1" w:rsidRPr="00990F6D" w:rsidRDefault="00E370D1" w:rsidP="00AB5638">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sz w:val="24"/>
          <w:szCs w:val="24"/>
          <w:lang w:val="en-GB"/>
        </w:rPr>
        <w:t xml:space="preserve">Langton’s </w:t>
      </w:r>
      <w:r>
        <w:rPr>
          <w:sz w:val="24"/>
          <w:szCs w:val="24"/>
          <w:lang w:val="en-GB"/>
        </w:rPr>
        <w:t>neglect</w:t>
      </w:r>
      <w:r w:rsidRPr="00990F6D">
        <w:rPr>
          <w:sz w:val="24"/>
          <w:szCs w:val="24"/>
          <w:lang w:val="en-GB"/>
        </w:rPr>
        <w:t xml:space="preserve"> of perspectivism implies that the second perspective and the first perspective are mistakenly taken to be two aspects of ThIs in a view from nowhere. This reduces </w:t>
      </w:r>
      <w:r>
        <w:rPr>
          <w:sz w:val="24"/>
          <w:szCs w:val="24"/>
          <w:lang w:val="en-GB"/>
        </w:rPr>
        <w:t>transcendental idealism</w:t>
      </w:r>
      <w:r w:rsidRPr="00990F6D">
        <w:rPr>
          <w:sz w:val="24"/>
          <w:szCs w:val="24"/>
          <w:lang w:val="en-GB"/>
        </w:rPr>
        <w:t xml:space="preserve"> to a form of naturalism with a core claim about the unknowability of the intrinsic nature of reality. This chimes with current pan-psychist theories which several authors have adopted as the only way for naturalism to deal with the hard problem of consciousness (e.g. Chalmers 2015</w:t>
      </w:r>
      <w:r>
        <w:rPr>
          <w:sz w:val="24"/>
          <w:szCs w:val="24"/>
          <w:lang w:val="en-GB"/>
        </w:rPr>
        <w:t>,</w:t>
      </w:r>
      <w:r w:rsidRPr="00990F6D">
        <w:rPr>
          <w:sz w:val="24"/>
          <w:szCs w:val="24"/>
          <w:lang w:val="en-GB"/>
        </w:rPr>
        <w:t xml:space="preserve"> Goff 2017). </w:t>
      </w:r>
    </w:p>
  </w:endnote>
  <w:endnote w:id="36">
    <w:p w14:paraId="7B0DC812" w14:textId="4487448E" w:rsidR="00E370D1" w:rsidRPr="00990F6D" w:rsidRDefault="00E370D1" w:rsidP="009B019F">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sz w:val="24"/>
          <w:szCs w:val="24"/>
          <w:lang w:val="en-GB"/>
        </w:rPr>
        <w:t xml:space="preserve">The property of grounding empirical causality is one that we </w:t>
      </w:r>
      <w:r w:rsidRPr="00990F6D">
        <w:rPr>
          <w:i/>
          <w:sz w:val="24"/>
          <w:szCs w:val="24"/>
          <w:lang w:val="en-GB"/>
        </w:rPr>
        <w:t>must</w:t>
      </w:r>
      <w:r w:rsidRPr="00990F6D">
        <w:rPr>
          <w:sz w:val="24"/>
          <w:szCs w:val="24"/>
          <w:lang w:val="en-GB"/>
        </w:rPr>
        <w:t xml:space="preserve"> assign to the ThI in relation to our cognition. It is however no determinate property since nothing is said about the nature of this ground. The ThI can further be thought under other categories, e.g. substance, unity, etc. but here there is not even any indeterminate knowledge claim: these are just ways of thinking of the ThI in terms of our categories.</w:t>
      </w:r>
    </w:p>
  </w:endnote>
  <w:endnote w:id="37">
    <w:p w14:paraId="4E97E923" w14:textId="2369CC53" w:rsidR="00E370D1" w:rsidRPr="00990F6D" w:rsidRDefault="00E370D1" w:rsidP="00424575">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This is where the hard problem of consciousness lies, which naturalists like Chalmers (2015) seek to address by developing a </w:t>
      </w:r>
      <w:r>
        <w:rPr>
          <w:sz w:val="24"/>
          <w:szCs w:val="24"/>
        </w:rPr>
        <w:t>‘</w:t>
      </w:r>
      <w:r w:rsidRPr="00990F6D">
        <w:rPr>
          <w:sz w:val="24"/>
          <w:szCs w:val="24"/>
        </w:rPr>
        <w:t>science of consciousness</w:t>
      </w:r>
      <w:r>
        <w:rPr>
          <w:sz w:val="24"/>
          <w:szCs w:val="24"/>
        </w:rPr>
        <w:t>’</w:t>
      </w:r>
      <w:r w:rsidRPr="00990F6D">
        <w:rPr>
          <w:sz w:val="24"/>
          <w:szCs w:val="24"/>
        </w:rPr>
        <w:t>. This problem, it has been argued, is better approached through a transcendental turn (Onof 2008).</w:t>
      </w:r>
    </w:p>
  </w:endnote>
  <w:endnote w:id="38">
    <w:p w14:paraId="1D87A048" w14:textId="564B5842" w:rsidR="00E370D1" w:rsidRPr="00990F6D" w:rsidRDefault="00E370D1" w:rsidP="00C627C6">
      <w:pPr>
        <w:pStyle w:val="EndnoteText"/>
        <w:spacing w:line="480" w:lineRule="auto"/>
        <w:rPr>
          <w:sz w:val="24"/>
          <w:szCs w:val="24"/>
        </w:rPr>
      </w:pPr>
      <w:r w:rsidRPr="00990F6D">
        <w:rPr>
          <w:rFonts w:eastAsia="Baskerville Old Face"/>
          <w:sz w:val="24"/>
          <w:szCs w:val="24"/>
          <w:vertAlign w:val="superscript"/>
        </w:rPr>
        <w:endnoteRef/>
      </w:r>
      <w:r w:rsidRPr="00990F6D">
        <w:rPr>
          <w:sz w:val="24"/>
          <w:szCs w:val="24"/>
        </w:rPr>
        <w:t xml:space="preserve"> I take this indeterminate theoretical knowledge to be the result of thinking about these existing things that ground our cognition, i.e. ThIs (see Ameriks 2000</w:t>
      </w:r>
      <w:r>
        <w:rPr>
          <w:sz w:val="24"/>
          <w:szCs w:val="24"/>
        </w:rPr>
        <w:t>,</w:t>
      </w:r>
      <w:r w:rsidRPr="00990F6D">
        <w:rPr>
          <w:sz w:val="24"/>
          <w:szCs w:val="24"/>
        </w:rPr>
        <w:t xml:space="preserve"> Schulting 2017a). Onof (2011: 226-30) further examines the meaning of this indeterminacy in terms of surplus of content in our intuitive representations as compared to our conceptual capacities.</w:t>
      </w:r>
    </w:p>
  </w:endnote>
  <w:endnote w:id="39">
    <w:p w14:paraId="771CB349" w14:textId="4C1F9B83" w:rsidR="00E370D1" w:rsidRPr="00990F6D" w:rsidRDefault="00E370D1" w:rsidP="00C627C6">
      <w:pPr>
        <w:pStyle w:val="EndnoteText"/>
        <w:spacing w:line="480" w:lineRule="auto"/>
        <w:rPr>
          <w:sz w:val="24"/>
          <w:szCs w:val="24"/>
        </w:rPr>
      </w:pPr>
      <w:r w:rsidRPr="00990F6D">
        <w:rPr>
          <w:rFonts w:eastAsia="Baskerville Old Face"/>
          <w:sz w:val="24"/>
          <w:szCs w:val="24"/>
          <w:vertAlign w:val="superscript"/>
        </w:rPr>
        <w:endnoteRef/>
      </w:r>
      <w:r w:rsidRPr="00990F6D">
        <w:rPr>
          <w:sz w:val="24"/>
          <w:szCs w:val="24"/>
        </w:rPr>
        <w:t xml:space="preserve"> This indeterminacy explains why talking of a ThI or ThIs in the plural is equally valid. This is the ‘supersensible substrate of nature’ (</w:t>
      </w:r>
      <w:r>
        <w:rPr>
          <w:i/>
          <w:sz w:val="24"/>
          <w:szCs w:val="24"/>
        </w:rPr>
        <w:t>Critique of Judgement</w:t>
      </w:r>
      <w:r>
        <w:rPr>
          <w:sz w:val="24"/>
          <w:szCs w:val="24"/>
        </w:rPr>
        <w:t xml:space="preserve">, </w:t>
      </w:r>
      <w:r w:rsidRPr="00990F6D">
        <w:rPr>
          <w:sz w:val="24"/>
          <w:szCs w:val="24"/>
        </w:rPr>
        <w:t xml:space="preserve">5: 196n). </w:t>
      </w:r>
    </w:p>
  </w:endnote>
  <w:endnote w:id="40">
    <w:p w14:paraId="1FCD6D45" w14:textId="2D23C7B3" w:rsidR="00E370D1" w:rsidRPr="00990F6D" w:rsidRDefault="00E370D1" w:rsidP="002E0526">
      <w:pPr>
        <w:pStyle w:val="EndnoteText"/>
        <w:spacing w:line="480" w:lineRule="auto"/>
        <w:rPr>
          <w:sz w:val="24"/>
          <w:szCs w:val="24"/>
        </w:rPr>
      </w:pPr>
      <w:r w:rsidRPr="00990F6D">
        <w:rPr>
          <w:rFonts w:eastAsia="Baskerville Old Face"/>
          <w:sz w:val="24"/>
          <w:szCs w:val="24"/>
          <w:vertAlign w:val="superscript"/>
        </w:rPr>
        <w:endnoteRef/>
      </w:r>
      <w:r w:rsidRPr="00990F6D">
        <w:rPr>
          <w:sz w:val="24"/>
          <w:szCs w:val="24"/>
        </w:rPr>
        <w:t xml:space="preserve"> More generally, Aquila (1979: 299) thinks that this is a problem that plagues any dual-aspect theory: in knowing an empirical property P of an object, I know something about it as ThI, namely that it appears as P. As I have explained, this is in fact no property of the thing </w:t>
      </w:r>
      <w:r w:rsidRPr="008301FC">
        <w:rPr>
          <w:iCs/>
          <w:sz w:val="24"/>
          <w:szCs w:val="24"/>
        </w:rPr>
        <w:t>qua</w:t>
      </w:r>
      <w:r w:rsidRPr="00990F6D">
        <w:rPr>
          <w:i/>
          <w:iCs/>
          <w:sz w:val="24"/>
          <w:szCs w:val="24"/>
        </w:rPr>
        <w:t xml:space="preserve"> </w:t>
      </w:r>
      <w:r w:rsidRPr="00990F6D">
        <w:rPr>
          <w:sz w:val="24"/>
          <w:szCs w:val="24"/>
        </w:rPr>
        <w:t>ThI, but only an extrinsic</w:t>
      </w:r>
      <w:r w:rsidRPr="00990F6D">
        <w:rPr>
          <w:sz w:val="24"/>
          <w:szCs w:val="24"/>
          <w:vertAlign w:val="superscript"/>
        </w:rPr>
        <w:t>K</w:t>
      </w:r>
      <w:r w:rsidRPr="00990F6D">
        <w:rPr>
          <w:sz w:val="24"/>
          <w:szCs w:val="24"/>
        </w:rPr>
        <w:t xml:space="preserve"> property of this ThI. This can be illustrated by considering the ThI to be the unknown digital data that a camera projects onto a screen as a film. Could we say that we know anything about this digital data by seeing a (necessarily finite) part of the film? I would argue that we can only make such a knowledge claim if we can claim that we can thereby distinguish this ThI from another putative ThI. But </w:t>
      </w:r>
      <w:r w:rsidRPr="00990F6D">
        <w:rPr>
          <w:sz w:val="24"/>
          <w:szCs w:val="24"/>
          <w:lang w:val="de-DE"/>
        </w:rPr>
        <w:t xml:space="preserve">when </w:t>
      </w:r>
      <w:r w:rsidRPr="00990F6D">
        <w:rPr>
          <w:sz w:val="24"/>
          <w:szCs w:val="24"/>
        </w:rPr>
        <w:t>I consider another portion of film, there is no way of knowing if it comes from the same digital data. Insofar as I cannot even distinguish the ThI from another through the appearance, I cannot say that I know anything about it.</w:t>
      </w:r>
    </w:p>
  </w:endnote>
  <w:endnote w:id="41">
    <w:p w14:paraId="073CF89E" w14:textId="4A58CDB0" w:rsidR="00E370D1" w:rsidRPr="00990F6D" w:rsidRDefault="00E370D1" w:rsidP="00A3069C">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sz w:val="24"/>
          <w:szCs w:val="24"/>
          <w:lang w:val="en-GB"/>
        </w:rPr>
        <w:t xml:space="preserve">For the EDA theorist, the concept of a hundred existing Thalers (see A599/B627) </w:t>
      </w:r>
      <w:r w:rsidRPr="00990F6D">
        <w:rPr>
          <w:i/>
          <w:sz w:val="24"/>
          <w:szCs w:val="24"/>
          <w:lang w:val="en-GB"/>
        </w:rPr>
        <w:t>does</w:t>
      </w:r>
      <w:r w:rsidRPr="00990F6D">
        <w:rPr>
          <w:sz w:val="24"/>
          <w:szCs w:val="24"/>
          <w:lang w:val="en-GB"/>
        </w:rPr>
        <w:t xml:space="preserve"> contain more than that of a hundred possible ones and what it contains is the causal link to certain perceptions.</w:t>
      </w:r>
    </w:p>
  </w:endnote>
  <w:endnote w:id="42">
    <w:p w14:paraId="28C4B9B7" w14:textId="77777777" w:rsidR="00E370D1" w:rsidRPr="00990F6D" w:rsidRDefault="00E370D1" w:rsidP="00351FF8">
      <w:pPr>
        <w:pStyle w:val="EndnoteText"/>
        <w:spacing w:line="480" w:lineRule="auto"/>
        <w:rPr>
          <w:sz w:val="24"/>
          <w:szCs w:val="24"/>
          <w:lang w:val="en-GB"/>
        </w:rPr>
      </w:pPr>
      <w:r w:rsidRPr="00990F6D">
        <w:rPr>
          <w:rStyle w:val="EndnoteReference"/>
          <w:sz w:val="24"/>
          <w:szCs w:val="24"/>
        </w:rPr>
        <w:endnoteRef/>
      </w:r>
      <w:r w:rsidRPr="00990F6D">
        <w:rPr>
          <w:sz w:val="24"/>
          <w:szCs w:val="24"/>
        </w:rPr>
        <w:t xml:space="preserve"> </w:t>
      </w:r>
      <w:r w:rsidRPr="00990F6D">
        <w:rPr>
          <w:sz w:val="24"/>
          <w:szCs w:val="24"/>
          <w:lang w:val="en-GB"/>
        </w:rPr>
        <w:t>My thanks go to two anonymous reviewers and especially to the editor for identifying issues in need of clarification and making helpful suggestions. Perceptive comments by Dennis Schulting, as well as various contributions to a discussion of an earlier version of this paper at Dietmar Heidemann’s ‘The Non-Existence of Things-in-themselves’ workshop at the University of Luxemburg (October 2017) are gratefully acknowledged.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1944" w14:textId="77777777" w:rsidR="00E370D1" w:rsidRDefault="00E370D1">
    <w:pPr>
      <w:pStyle w:val="Footer"/>
      <w:tabs>
        <w:tab w:val="clear" w:pos="9026"/>
        <w:tab w:val="right" w:pos="9000"/>
      </w:tabs>
      <w:jc w:val="center"/>
    </w:pPr>
    <w:r>
      <w:fldChar w:fldCharType="begin"/>
    </w:r>
    <w:r>
      <w:instrText xml:space="preserve"> PAGE </w:instrText>
    </w:r>
    <w:r>
      <w:fldChar w:fldCharType="separate"/>
    </w:r>
    <w: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C47AD" w14:textId="77777777" w:rsidR="00437D72" w:rsidRDefault="00437D72">
      <w:r>
        <w:separator/>
      </w:r>
    </w:p>
  </w:footnote>
  <w:footnote w:type="continuationSeparator" w:id="0">
    <w:p w14:paraId="25C900C1" w14:textId="77777777" w:rsidR="00437D72" w:rsidRDefault="00437D72">
      <w:r>
        <w:continuationSeparator/>
      </w:r>
    </w:p>
  </w:footnote>
  <w:footnote w:type="continuationNotice" w:id="1">
    <w:p w14:paraId="38ACDE82" w14:textId="77777777" w:rsidR="00437D72" w:rsidRDefault="00437D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238A4"/>
    <w:multiLevelType w:val="hybridMultilevel"/>
    <w:tmpl w:val="5732778C"/>
    <w:numStyleLink w:val="ImportedStyle1"/>
  </w:abstractNum>
  <w:abstractNum w:abstractNumId="1" w15:restartNumberingAfterBreak="0">
    <w:nsid w:val="3AE77F0B"/>
    <w:multiLevelType w:val="hybridMultilevel"/>
    <w:tmpl w:val="5732778C"/>
    <w:styleLink w:val="ImportedStyle1"/>
    <w:lvl w:ilvl="0" w:tplc="C43CD2EC">
      <w:start w:val="1"/>
      <w:numFmt w:val="low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8A037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2640EA">
      <w:start w:val="1"/>
      <w:numFmt w:val="lowerRoman"/>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E6B07E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FC47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62B314">
      <w:start w:val="1"/>
      <w:numFmt w:val="lowerRoman"/>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791E1A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D4FA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5AF2CA">
      <w:start w:val="1"/>
      <w:numFmt w:val="lowerRoman"/>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E9F1B9B"/>
    <w:multiLevelType w:val="hybridMultilevel"/>
    <w:tmpl w:val="92B6F5B8"/>
    <w:lvl w:ilvl="0" w:tplc="E6D2A0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FE2D1C"/>
    <w:multiLevelType w:val="hybridMultilevel"/>
    <w:tmpl w:val="71F2D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70"/>
    <w:rsid w:val="00002562"/>
    <w:rsid w:val="000077CC"/>
    <w:rsid w:val="00015DAE"/>
    <w:rsid w:val="00020266"/>
    <w:rsid w:val="0002462A"/>
    <w:rsid w:val="000248AC"/>
    <w:rsid w:val="000302CF"/>
    <w:rsid w:val="00032161"/>
    <w:rsid w:val="00033E4E"/>
    <w:rsid w:val="00044FE0"/>
    <w:rsid w:val="00045012"/>
    <w:rsid w:val="000549DC"/>
    <w:rsid w:val="0005539F"/>
    <w:rsid w:val="00057198"/>
    <w:rsid w:val="000601BB"/>
    <w:rsid w:val="00065D0A"/>
    <w:rsid w:val="00066112"/>
    <w:rsid w:val="000720F5"/>
    <w:rsid w:val="000751A8"/>
    <w:rsid w:val="0007784B"/>
    <w:rsid w:val="00086700"/>
    <w:rsid w:val="00092920"/>
    <w:rsid w:val="00093F06"/>
    <w:rsid w:val="00095147"/>
    <w:rsid w:val="00095228"/>
    <w:rsid w:val="0009568D"/>
    <w:rsid w:val="00096BB5"/>
    <w:rsid w:val="000973D1"/>
    <w:rsid w:val="00097B29"/>
    <w:rsid w:val="000A4D70"/>
    <w:rsid w:val="000A7B6A"/>
    <w:rsid w:val="000B1677"/>
    <w:rsid w:val="000B2099"/>
    <w:rsid w:val="000B4028"/>
    <w:rsid w:val="000B5589"/>
    <w:rsid w:val="000B59DC"/>
    <w:rsid w:val="000C02B4"/>
    <w:rsid w:val="000C37EA"/>
    <w:rsid w:val="000C6075"/>
    <w:rsid w:val="000C607C"/>
    <w:rsid w:val="000D09BB"/>
    <w:rsid w:val="000D54A7"/>
    <w:rsid w:val="000D5616"/>
    <w:rsid w:val="000D5B56"/>
    <w:rsid w:val="000D7252"/>
    <w:rsid w:val="000E6245"/>
    <w:rsid w:val="000E7F7E"/>
    <w:rsid w:val="000F5347"/>
    <w:rsid w:val="000F53E6"/>
    <w:rsid w:val="000F549A"/>
    <w:rsid w:val="001012C2"/>
    <w:rsid w:val="001025BA"/>
    <w:rsid w:val="00105332"/>
    <w:rsid w:val="00114279"/>
    <w:rsid w:val="00115BB9"/>
    <w:rsid w:val="00117100"/>
    <w:rsid w:val="00120299"/>
    <w:rsid w:val="00120D30"/>
    <w:rsid w:val="0012214F"/>
    <w:rsid w:val="001303B4"/>
    <w:rsid w:val="00130EBE"/>
    <w:rsid w:val="001337F1"/>
    <w:rsid w:val="00133B9C"/>
    <w:rsid w:val="001348D3"/>
    <w:rsid w:val="001373F0"/>
    <w:rsid w:val="00140C67"/>
    <w:rsid w:val="001426C4"/>
    <w:rsid w:val="00143217"/>
    <w:rsid w:val="00144C4E"/>
    <w:rsid w:val="00145EB0"/>
    <w:rsid w:val="00145F36"/>
    <w:rsid w:val="00147D6A"/>
    <w:rsid w:val="00152BCB"/>
    <w:rsid w:val="00153D96"/>
    <w:rsid w:val="0015600F"/>
    <w:rsid w:val="0015795B"/>
    <w:rsid w:val="0016061A"/>
    <w:rsid w:val="00161856"/>
    <w:rsid w:val="0016378E"/>
    <w:rsid w:val="00165194"/>
    <w:rsid w:val="001659E6"/>
    <w:rsid w:val="001673CB"/>
    <w:rsid w:val="0017293C"/>
    <w:rsid w:val="001741F5"/>
    <w:rsid w:val="00175423"/>
    <w:rsid w:val="00181440"/>
    <w:rsid w:val="001818E4"/>
    <w:rsid w:val="00181B07"/>
    <w:rsid w:val="00185C21"/>
    <w:rsid w:val="00187488"/>
    <w:rsid w:val="0018785B"/>
    <w:rsid w:val="00192200"/>
    <w:rsid w:val="00192C2D"/>
    <w:rsid w:val="001959A9"/>
    <w:rsid w:val="001A7231"/>
    <w:rsid w:val="001A7A49"/>
    <w:rsid w:val="001B115F"/>
    <w:rsid w:val="001B1AF0"/>
    <w:rsid w:val="001B1CA6"/>
    <w:rsid w:val="001C423B"/>
    <w:rsid w:val="001C5C34"/>
    <w:rsid w:val="001C7EEB"/>
    <w:rsid w:val="001D4D2C"/>
    <w:rsid w:val="001D6196"/>
    <w:rsid w:val="001D76F0"/>
    <w:rsid w:val="001E4043"/>
    <w:rsid w:val="001E4554"/>
    <w:rsid w:val="001E58C0"/>
    <w:rsid w:val="001E7B54"/>
    <w:rsid w:val="001F33E8"/>
    <w:rsid w:val="001F5B35"/>
    <w:rsid w:val="002003FA"/>
    <w:rsid w:val="00203FBE"/>
    <w:rsid w:val="002068E8"/>
    <w:rsid w:val="00212583"/>
    <w:rsid w:val="002146A5"/>
    <w:rsid w:val="00214C7B"/>
    <w:rsid w:val="00215900"/>
    <w:rsid w:val="00220594"/>
    <w:rsid w:val="002206CC"/>
    <w:rsid w:val="00227A5A"/>
    <w:rsid w:val="0023181B"/>
    <w:rsid w:val="00232DD6"/>
    <w:rsid w:val="0023314B"/>
    <w:rsid w:val="00233848"/>
    <w:rsid w:val="0024564E"/>
    <w:rsid w:val="0024644F"/>
    <w:rsid w:val="002466F0"/>
    <w:rsid w:val="00247D5E"/>
    <w:rsid w:val="002512C3"/>
    <w:rsid w:val="00256F8E"/>
    <w:rsid w:val="00262FF5"/>
    <w:rsid w:val="00263717"/>
    <w:rsid w:val="002660FA"/>
    <w:rsid w:val="002700C1"/>
    <w:rsid w:val="00271AB2"/>
    <w:rsid w:val="00271F4C"/>
    <w:rsid w:val="00272519"/>
    <w:rsid w:val="00272E44"/>
    <w:rsid w:val="002734BD"/>
    <w:rsid w:val="00273EB0"/>
    <w:rsid w:val="0027649D"/>
    <w:rsid w:val="002771DF"/>
    <w:rsid w:val="00281C29"/>
    <w:rsid w:val="002823B6"/>
    <w:rsid w:val="00291D2A"/>
    <w:rsid w:val="0029655C"/>
    <w:rsid w:val="00297EA0"/>
    <w:rsid w:val="002A73FE"/>
    <w:rsid w:val="002B476E"/>
    <w:rsid w:val="002B7A87"/>
    <w:rsid w:val="002C1CB9"/>
    <w:rsid w:val="002C2ACC"/>
    <w:rsid w:val="002C378C"/>
    <w:rsid w:val="002C39A4"/>
    <w:rsid w:val="002C4D1E"/>
    <w:rsid w:val="002C7BC5"/>
    <w:rsid w:val="002D06DA"/>
    <w:rsid w:val="002D1614"/>
    <w:rsid w:val="002D17BB"/>
    <w:rsid w:val="002D457D"/>
    <w:rsid w:val="002D5B47"/>
    <w:rsid w:val="002D67EA"/>
    <w:rsid w:val="002E0526"/>
    <w:rsid w:val="002E2071"/>
    <w:rsid w:val="002E2CB8"/>
    <w:rsid w:val="002E713E"/>
    <w:rsid w:val="002E7202"/>
    <w:rsid w:val="002E73C7"/>
    <w:rsid w:val="002F0DBE"/>
    <w:rsid w:val="002F1F7F"/>
    <w:rsid w:val="002F4A95"/>
    <w:rsid w:val="002F5E01"/>
    <w:rsid w:val="00303DE7"/>
    <w:rsid w:val="00310014"/>
    <w:rsid w:val="00315111"/>
    <w:rsid w:val="003215F3"/>
    <w:rsid w:val="00322282"/>
    <w:rsid w:val="003248DD"/>
    <w:rsid w:val="003266F1"/>
    <w:rsid w:val="0032758D"/>
    <w:rsid w:val="003332EE"/>
    <w:rsid w:val="00335BE0"/>
    <w:rsid w:val="00335EBA"/>
    <w:rsid w:val="0033767E"/>
    <w:rsid w:val="0034048E"/>
    <w:rsid w:val="00343C54"/>
    <w:rsid w:val="00344BFC"/>
    <w:rsid w:val="003475C5"/>
    <w:rsid w:val="00351521"/>
    <w:rsid w:val="00351FF8"/>
    <w:rsid w:val="003558B0"/>
    <w:rsid w:val="0036248A"/>
    <w:rsid w:val="00364640"/>
    <w:rsid w:val="00366DF7"/>
    <w:rsid w:val="0037129A"/>
    <w:rsid w:val="00372B28"/>
    <w:rsid w:val="00372EE8"/>
    <w:rsid w:val="00373E52"/>
    <w:rsid w:val="00374430"/>
    <w:rsid w:val="003757E4"/>
    <w:rsid w:val="00377E5A"/>
    <w:rsid w:val="0038747A"/>
    <w:rsid w:val="00387EDD"/>
    <w:rsid w:val="00391F30"/>
    <w:rsid w:val="00392765"/>
    <w:rsid w:val="003A4702"/>
    <w:rsid w:val="003B446E"/>
    <w:rsid w:val="003C02CB"/>
    <w:rsid w:val="003C2A3D"/>
    <w:rsid w:val="003C6F35"/>
    <w:rsid w:val="003D0DFA"/>
    <w:rsid w:val="003E2FC3"/>
    <w:rsid w:val="003E495B"/>
    <w:rsid w:val="003F12E6"/>
    <w:rsid w:val="003F35E4"/>
    <w:rsid w:val="003F4654"/>
    <w:rsid w:val="004002A6"/>
    <w:rsid w:val="00401081"/>
    <w:rsid w:val="0040604D"/>
    <w:rsid w:val="00407248"/>
    <w:rsid w:val="00410074"/>
    <w:rsid w:val="0041054C"/>
    <w:rsid w:val="00413C1E"/>
    <w:rsid w:val="00415951"/>
    <w:rsid w:val="00415C68"/>
    <w:rsid w:val="00424575"/>
    <w:rsid w:val="00427373"/>
    <w:rsid w:val="0043356E"/>
    <w:rsid w:val="00434638"/>
    <w:rsid w:val="00437D72"/>
    <w:rsid w:val="00437D81"/>
    <w:rsid w:val="00442977"/>
    <w:rsid w:val="00452E95"/>
    <w:rsid w:val="00454A4D"/>
    <w:rsid w:val="00454DFF"/>
    <w:rsid w:val="00455D26"/>
    <w:rsid w:val="0045627D"/>
    <w:rsid w:val="004563DB"/>
    <w:rsid w:val="00464622"/>
    <w:rsid w:val="00464CE0"/>
    <w:rsid w:val="00465E3D"/>
    <w:rsid w:val="00466DBB"/>
    <w:rsid w:val="00467C68"/>
    <w:rsid w:val="00467F53"/>
    <w:rsid w:val="00467F95"/>
    <w:rsid w:val="00470D6D"/>
    <w:rsid w:val="00471FA3"/>
    <w:rsid w:val="00473165"/>
    <w:rsid w:val="004750E1"/>
    <w:rsid w:val="004803B6"/>
    <w:rsid w:val="00480493"/>
    <w:rsid w:val="00483F3A"/>
    <w:rsid w:val="00486D05"/>
    <w:rsid w:val="00495BCA"/>
    <w:rsid w:val="004969C2"/>
    <w:rsid w:val="004A0B38"/>
    <w:rsid w:val="004A4B4D"/>
    <w:rsid w:val="004B0282"/>
    <w:rsid w:val="004B0F70"/>
    <w:rsid w:val="004B4729"/>
    <w:rsid w:val="004B5818"/>
    <w:rsid w:val="004B74E1"/>
    <w:rsid w:val="004C3C62"/>
    <w:rsid w:val="004C6256"/>
    <w:rsid w:val="004C7A3F"/>
    <w:rsid w:val="004D03DA"/>
    <w:rsid w:val="004D580B"/>
    <w:rsid w:val="004D5E3E"/>
    <w:rsid w:val="004E2ACC"/>
    <w:rsid w:val="004E366E"/>
    <w:rsid w:val="004E3675"/>
    <w:rsid w:val="004E536B"/>
    <w:rsid w:val="004F3AB8"/>
    <w:rsid w:val="004F4B36"/>
    <w:rsid w:val="004F5EED"/>
    <w:rsid w:val="004F7B59"/>
    <w:rsid w:val="0050042B"/>
    <w:rsid w:val="005004C0"/>
    <w:rsid w:val="00506503"/>
    <w:rsid w:val="00514690"/>
    <w:rsid w:val="005152C9"/>
    <w:rsid w:val="00515EF0"/>
    <w:rsid w:val="00516DF5"/>
    <w:rsid w:val="00522168"/>
    <w:rsid w:val="00523D3D"/>
    <w:rsid w:val="00523D9B"/>
    <w:rsid w:val="00524AF7"/>
    <w:rsid w:val="00530BC4"/>
    <w:rsid w:val="00533A7C"/>
    <w:rsid w:val="005405EB"/>
    <w:rsid w:val="005454D5"/>
    <w:rsid w:val="00550CC5"/>
    <w:rsid w:val="005571FE"/>
    <w:rsid w:val="00560277"/>
    <w:rsid w:val="005759B7"/>
    <w:rsid w:val="00583F34"/>
    <w:rsid w:val="00584141"/>
    <w:rsid w:val="00586CEE"/>
    <w:rsid w:val="0058737B"/>
    <w:rsid w:val="00592394"/>
    <w:rsid w:val="00592F30"/>
    <w:rsid w:val="00593B4D"/>
    <w:rsid w:val="00594A4F"/>
    <w:rsid w:val="005A1EFD"/>
    <w:rsid w:val="005A2397"/>
    <w:rsid w:val="005A5A12"/>
    <w:rsid w:val="005B0DC4"/>
    <w:rsid w:val="005B21A2"/>
    <w:rsid w:val="005B29A9"/>
    <w:rsid w:val="005B4635"/>
    <w:rsid w:val="005B4BBC"/>
    <w:rsid w:val="005B6D78"/>
    <w:rsid w:val="005D4CB6"/>
    <w:rsid w:val="005D53F5"/>
    <w:rsid w:val="005D7DFF"/>
    <w:rsid w:val="005F1670"/>
    <w:rsid w:val="005F3308"/>
    <w:rsid w:val="005F555D"/>
    <w:rsid w:val="005F5B46"/>
    <w:rsid w:val="0060017C"/>
    <w:rsid w:val="00601083"/>
    <w:rsid w:val="006062DF"/>
    <w:rsid w:val="006077C2"/>
    <w:rsid w:val="00607B28"/>
    <w:rsid w:val="006117CB"/>
    <w:rsid w:val="006118C2"/>
    <w:rsid w:val="0061465C"/>
    <w:rsid w:val="00614FCB"/>
    <w:rsid w:val="00617BB5"/>
    <w:rsid w:val="00620A48"/>
    <w:rsid w:val="00624D89"/>
    <w:rsid w:val="006273BE"/>
    <w:rsid w:val="0063552B"/>
    <w:rsid w:val="00641E52"/>
    <w:rsid w:val="00642652"/>
    <w:rsid w:val="00642E2D"/>
    <w:rsid w:val="00643BB5"/>
    <w:rsid w:val="00643FE2"/>
    <w:rsid w:val="006454BD"/>
    <w:rsid w:val="00647FBA"/>
    <w:rsid w:val="00650568"/>
    <w:rsid w:val="00652F47"/>
    <w:rsid w:val="006546A2"/>
    <w:rsid w:val="00655B77"/>
    <w:rsid w:val="00656DF3"/>
    <w:rsid w:val="006578F4"/>
    <w:rsid w:val="00663C58"/>
    <w:rsid w:val="006659C5"/>
    <w:rsid w:val="00666713"/>
    <w:rsid w:val="00666D37"/>
    <w:rsid w:val="00667F18"/>
    <w:rsid w:val="00672079"/>
    <w:rsid w:val="00675716"/>
    <w:rsid w:val="00676D64"/>
    <w:rsid w:val="00676E78"/>
    <w:rsid w:val="0068328F"/>
    <w:rsid w:val="00691051"/>
    <w:rsid w:val="006A004D"/>
    <w:rsid w:val="006A01E7"/>
    <w:rsid w:val="006A19EC"/>
    <w:rsid w:val="006A55D0"/>
    <w:rsid w:val="006B2699"/>
    <w:rsid w:val="006B2E70"/>
    <w:rsid w:val="006B6F70"/>
    <w:rsid w:val="006B75C8"/>
    <w:rsid w:val="006C19BB"/>
    <w:rsid w:val="006C1BB7"/>
    <w:rsid w:val="006C25CF"/>
    <w:rsid w:val="006C25D3"/>
    <w:rsid w:val="006C60E8"/>
    <w:rsid w:val="006C7BD3"/>
    <w:rsid w:val="006D432E"/>
    <w:rsid w:val="006D7373"/>
    <w:rsid w:val="006D786D"/>
    <w:rsid w:val="006E41A0"/>
    <w:rsid w:val="006E6540"/>
    <w:rsid w:val="006E75E8"/>
    <w:rsid w:val="006F20E6"/>
    <w:rsid w:val="006F24F3"/>
    <w:rsid w:val="006F3730"/>
    <w:rsid w:val="006F411A"/>
    <w:rsid w:val="006F4AFB"/>
    <w:rsid w:val="006F5784"/>
    <w:rsid w:val="00702CFF"/>
    <w:rsid w:val="00704217"/>
    <w:rsid w:val="00704414"/>
    <w:rsid w:val="00705AD6"/>
    <w:rsid w:val="007105CF"/>
    <w:rsid w:val="00716777"/>
    <w:rsid w:val="00720837"/>
    <w:rsid w:val="007300B0"/>
    <w:rsid w:val="007303D2"/>
    <w:rsid w:val="0073580E"/>
    <w:rsid w:val="0074006B"/>
    <w:rsid w:val="00743AB5"/>
    <w:rsid w:val="00743C69"/>
    <w:rsid w:val="00752CA5"/>
    <w:rsid w:val="007567E3"/>
    <w:rsid w:val="00756CCB"/>
    <w:rsid w:val="00757339"/>
    <w:rsid w:val="00760617"/>
    <w:rsid w:val="0076156B"/>
    <w:rsid w:val="007628D8"/>
    <w:rsid w:val="00764484"/>
    <w:rsid w:val="00764A04"/>
    <w:rsid w:val="00765762"/>
    <w:rsid w:val="007671EB"/>
    <w:rsid w:val="00767CDD"/>
    <w:rsid w:val="0077549A"/>
    <w:rsid w:val="00776193"/>
    <w:rsid w:val="0077688F"/>
    <w:rsid w:val="007771E4"/>
    <w:rsid w:val="007773F9"/>
    <w:rsid w:val="00780C0F"/>
    <w:rsid w:val="00783C53"/>
    <w:rsid w:val="00784E57"/>
    <w:rsid w:val="007911B2"/>
    <w:rsid w:val="0079178D"/>
    <w:rsid w:val="00793946"/>
    <w:rsid w:val="00794662"/>
    <w:rsid w:val="00794EA3"/>
    <w:rsid w:val="007955C3"/>
    <w:rsid w:val="007A0B3E"/>
    <w:rsid w:val="007A0B40"/>
    <w:rsid w:val="007A2051"/>
    <w:rsid w:val="007A5B09"/>
    <w:rsid w:val="007B4E04"/>
    <w:rsid w:val="007B58AD"/>
    <w:rsid w:val="007C1A67"/>
    <w:rsid w:val="007C3286"/>
    <w:rsid w:val="007C72C3"/>
    <w:rsid w:val="007D35A9"/>
    <w:rsid w:val="007D5395"/>
    <w:rsid w:val="007D6152"/>
    <w:rsid w:val="007D7718"/>
    <w:rsid w:val="007E07E8"/>
    <w:rsid w:val="007F1DE9"/>
    <w:rsid w:val="007F1F41"/>
    <w:rsid w:val="007F697F"/>
    <w:rsid w:val="008028D6"/>
    <w:rsid w:val="00811F1C"/>
    <w:rsid w:val="008159B8"/>
    <w:rsid w:val="008176E9"/>
    <w:rsid w:val="008256B2"/>
    <w:rsid w:val="00825A41"/>
    <w:rsid w:val="008301FC"/>
    <w:rsid w:val="00832545"/>
    <w:rsid w:val="008326D1"/>
    <w:rsid w:val="0083503F"/>
    <w:rsid w:val="00835395"/>
    <w:rsid w:val="008372F2"/>
    <w:rsid w:val="00837ECE"/>
    <w:rsid w:val="008436EE"/>
    <w:rsid w:val="0084433B"/>
    <w:rsid w:val="0084551F"/>
    <w:rsid w:val="00846EF0"/>
    <w:rsid w:val="00846F69"/>
    <w:rsid w:val="0085064C"/>
    <w:rsid w:val="0085119E"/>
    <w:rsid w:val="008518B4"/>
    <w:rsid w:val="00853F50"/>
    <w:rsid w:val="0085571C"/>
    <w:rsid w:val="00856D5C"/>
    <w:rsid w:val="00857505"/>
    <w:rsid w:val="00857766"/>
    <w:rsid w:val="00870AA6"/>
    <w:rsid w:val="00873868"/>
    <w:rsid w:val="00885F47"/>
    <w:rsid w:val="00887ADA"/>
    <w:rsid w:val="00891D0C"/>
    <w:rsid w:val="00893D18"/>
    <w:rsid w:val="0089435E"/>
    <w:rsid w:val="00894E62"/>
    <w:rsid w:val="00895168"/>
    <w:rsid w:val="008A0E06"/>
    <w:rsid w:val="008A21D6"/>
    <w:rsid w:val="008A240B"/>
    <w:rsid w:val="008A5158"/>
    <w:rsid w:val="008A5802"/>
    <w:rsid w:val="008B014C"/>
    <w:rsid w:val="008B28C1"/>
    <w:rsid w:val="008B29CA"/>
    <w:rsid w:val="008B32BA"/>
    <w:rsid w:val="008B4DE1"/>
    <w:rsid w:val="008B7351"/>
    <w:rsid w:val="008B757A"/>
    <w:rsid w:val="008C0950"/>
    <w:rsid w:val="008C1B8B"/>
    <w:rsid w:val="008C30F4"/>
    <w:rsid w:val="008D14D6"/>
    <w:rsid w:val="008D270E"/>
    <w:rsid w:val="008D4646"/>
    <w:rsid w:val="008D4A07"/>
    <w:rsid w:val="008D78AE"/>
    <w:rsid w:val="008D7C54"/>
    <w:rsid w:val="008E0E71"/>
    <w:rsid w:val="008E25CD"/>
    <w:rsid w:val="008E3484"/>
    <w:rsid w:val="008F0F12"/>
    <w:rsid w:val="008F100C"/>
    <w:rsid w:val="008F23FC"/>
    <w:rsid w:val="00901601"/>
    <w:rsid w:val="00903B9B"/>
    <w:rsid w:val="009142D8"/>
    <w:rsid w:val="0091675A"/>
    <w:rsid w:val="00920CB8"/>
    <w:rsid w:val="009218C0"/>
    <w:rsid w:val="0092776F"/>
    <w:rsid w:val="009304D4"/>
    <w:rsid w:val="009304F1"/>
    <w:rsid w:val="00933B46"/>
    <w:rsid w:val="009369D4"/>
    <w:rsid w:val="00937787"/>
    <w:rsid w:val="00945AD6"/>
    <w:rsid w:val="00953D79"/>
    <w:rsid w:val="00954996"/>
    <w:rsid w:val="009616BE"/>
    <w:rsid w:val="00962617"/>
    <w:rsid w:val="00963112"/>
    <w:rsid w:val="00963246"/>
    <w:rsid w:val="00967970"/>
    <w:rsid w:val="00970060"/>
    <w:rsid w:val="00972F4B"/>
    <w:rsid w:val="009753C0"/>
    <w:rsid w:val="00976BD9"/>
    <w:rsid w:val="00977432"/>
    <w:rsid w:val="00977B65"/>
    <w:rsid w:val="00982CA1"/>
    <w:rsid w:val="00990F6D"/>
    <w:rsid w:val="00992F0D"/>
    <w:rsid w:val="0099422E"/>
    <w:rsid w:val="00996221"/>
    <w:rsid w:val="00996BDA"/>
    <w:rsid w:val="009A417E"/>
    <w:rsid w:val="009A5836"/>
    <w:rsid w:val="009A77E3"/>
    <w:rsid w:val="009B019F"/>
    <w:rsid w:val="009B60AD"/>
    <w:rsid w:val="009B6A01"/>
    <w:rsid w:val="009C3901"/>
    <w:rsid w:val="009C5998"/>
    <w:rsid w:val="009C6F02"/>
    <w:rsid w:val="009C76E8"/>
    <w:rsid w:val="009D1AFB"/>
    <w:rsid w:val="009D5501"/>
    <w:rsid w:val="009D798A"/>
    <w:rsid w:val="009D7DD3"/>
    <w:rsid w:val="009E1038"/>
    <w:rsid w:val="009E17EF"/>
    <w:rsid w:val="009E1839"/>
    <w:rsid w:val="009E2FFE"/>
    <w:rsid w:val="009E7BD7"/>
    <w:rsid w:val="009F1F06"/>
    <w:rsid w:val="009F46FF"/>
    <w:rsid w:val="00A00D56"/>
    <w:rsid w:val="00A0308C"/>
    <w:rsid w:val="00A03AF2"/>
    <w:rsid w:val="00A05AA6"/>
    <w:rsid w:val="00A05E1C"/>
    <w:rsid w:val="00A070E8"/>
    <w:rsid w:val="00A07218"/>
    <w:rsid w:val="00A17EF2"/>
    <w:rsid w:val="00A20F97"/>
    <w:rsid w:val="00A3069C"/>
    <w:rsid w:val="00A334B5"/>
    <w:rsid w:val="00A371D0"/>
    <w:rsid w:val="00A502E1"/>
    <w:rsid w:val="00A50449"/>
    <w:rsid w:val="00A524BF"/>
    <w:rsid w:val="00A54A70"/>
    <w:rsid w:val="00A55DC9"/>
    <w:rsid w:val="00A607F7"/>
    <w:rsid w:val="00A6105A"/>
    <w:rsid w:val="00A612CA"/>
    <w:rsid w:val="00A62CA0"/>
    <w:rsid w:val="00A64DDB"/>
    <w:rsid w:val="00A65EF7"/>
    <w:rsid w:val="00A66562"/>
    <w:rsid w:val="00A6684F"/>
    <w:rsid w:val="00A67003"/>
    <w:rsid w:val="00A67BB8"/>
    <w:rsid w:val="00A721C6"/>
    <w:rsid w:val="00A73875"/>
    <w:rsid w:val="00A7543F"/>
    <w:rsid w:val="00A767F9"/>
    <w:rsid w:val="00A7761D"/>
    <w:rsid w:val="00A813B6"/>
    <w:rsid w:val="00A8155F"/>
    <w:rsid w:val="00A81F5A"/>
    <w:rsid w:val="00A8282D"/>
    <w:rsid w:val="00A8307D"/>
    <w:rsid w:val="00A83182"/>
    <w:rsid w:val="00A83B37"/>
    <w:rsid w:val="00A84B01"/>
    <w:rsid w:val="00A87B82"/>
    <w:rsid w:val="00A87DF9"/>
    <w:rsid w:val="00A913F9"/>
    <w:rsid w:val="00A93671"/>
    <w:rsid w:val="00A959A2"/>
    <w:rsid w:val="00A95B69"/>
    <w:rsid w:val="00AA21D5"/>
    <w:rsid w:val="00AA464F"/>
    <w:rsid w:val="00AB0AF7"/>
    <w:rsid w:val="00AB4602"/>
    <w:rsid w:val="00AB5638"/>
    <w:rsid w:val="00AB6FC3"/>
    <w:rsid w:val="00AB7BEB"/>
    <w:rsid w:val="00AC0165"/>
    <w:rsid w:val="00AC50AD"/>
    <w:rsid w:val="00AC5FD6"/>
    <w:rsid w:val="00AC7852"/>
    <w:rsid w:val="00AE0332"/>
    <w:rsid w:val="00AE15C6"/>
    <w:rsid w:val="00AE6B41"/>
    <w:rsid w:val="00AE7285"/>
    <w:rsid w:val="00AE79FD"/>
    <w:rsid w:val="00AF0241"/>
    <w:rsid w:val="00AF58D7"/>
    <w:rsid w:val="00AF5CCA"/>
    <w:rsid w:val="00AF7438"/>
    <w:rsid w:val="00B009F6"/>
    <w:rsid w:val="00B00D81"/>
    <w:rsid w:val="00B05008"/>
    <w:rsid w:val="00B05AA7"/>
    <w:rsid w:val="00B1369F"/>
    <w:rsid w:val="00B1403C"/>
    <w:rsid w:val="00B15D62"/>
    <w:rsid w:val="00B25514"/>
    <w:rsid w:val="00B2678B"/>
    <w:rsid w:val="00B27630"/>
    <w:rsid w:val="00B27F5F"/>
    <w:rsid w:val="00B3258D"/>
    <w:rsid w:val="00B32A42"/>
    <w:rsid w:val="00B41682"/>
    <w:rsid w:val="00B46E22"/>
    <w:rsid w:val="00B50E9E"/>
    <w:rsid w:val="00B512A3"/>
    <w:rsid w:val="00B53096"/>
    <w:rsid w:val="00B55385"/>
    <w:rsid w:val="00B56DA0"/>
    <w:rsid w:val="00B634D3"/>
    <w:rsid w:val="00B63EA4"/>
    <w:rsid w:val="00B63FA9"/>
    <w:rsid w:val="00B64CE3"/>
    <w:rsid w:val="00B64F31"/>
    <w:rsid w:val="00B653E8"/>
    <w:rsid w:val="00B66AAD"/>
    <w:rsid w:val="00B67FE6"/>
    <w:rsid w:val="00B703A1"/>
    <w:rsid w:val="00B727FA"/>
    <w:rsid w:val="00B7434A"/>
    <w:rsid w:val="00B7455C"/>
    <w:rsid w:val="00B766D7"/>
    <w:rsid w:val="00B811A5"/>
    <w:rsid w:val="00B827D9"/>
    <w:rsid w:val="00B8589D"/>
    <w:rsid w:val="00B92448"/>
    <w:rsid w:val="00B976EA"/>
    <w:rsid w:val="00BA024C"/>
    <w:rsid w:val="00BA1C53"/>
    <w:rsid w:val="00BA557F"/>
    <w:rsid w:val="00BC527C"/>
    <w:rsid w:val="00BC6008"/>
    <w:rsid w:val="00BC7AD4"/>
    <w:rsid w:val="00BD02B9"/>
    <w:rsid w:val="00BD2197"/>
    <w:rsid w:val="00BD3F5D"/>
    <w:rsid w:val="00BD459A"/>
    <w:rsid w:val="00BD5626"/>
    <w:rsid w:val="00BD72F6"/>
    <w:rsid w:val="00BE0A55"/>
    <w:rsid w:val="00BE0D9D"/>
    <w:rsid w:val="00BF1F6E"/>
    <w:rsid w:val="00BF5FB6"/>
    <w:rsid w:val="00C00053"/>
    <w:rsid w:val="00C02F7E"/>
    <w:rsid w:val="00C0459D"/>
    <w:rsid w:val="00C05535"/>
    <w:rsid w:val="00C06905"/>
    <w:rsid w:val="00C07EF4"/>
    <w:rsid w:val="00C10C3D"/>
    <w:rsid w:val="00C11D2A"/>
    <w:rsid w:val="00C13B85"/>
    <w:rsid w:val="00C15F73"/>
    <w:rsid w:val="00C17392"/>
    <w:rsid w:val="00C1774F"/>
    <w:rsid w:val="00C201A9"/>
    <w:rsid w:val="00C202DC"/>
    <w:rsid w:val="00C21575"/>
    <w:rsid w:val="00C21F03"/>
    <w:rsid w:val="00C221EB"/>
    <w:rsid w:val="00C245E6"/>
    <w:rsid w:val="00C25AD8"/>
    <w:rsid w:val="00C347F0"/>
    <w:rsid w:val="00C34901"/>
    <w:rsid w:val="00C35FBE"/>
    <w:rsid w:val="00C53DE9"/>
    <w:rsid w:val="00C54731"/>
    <w:rsid w:val="00C627C6"/>
    <w:rsid w:val="00C646C7"/>
    <w:rsid w:val="00C65EE0"/>
    <w:rsid w:val="00C72FDD"/>
    <w:rsid w:val="00C76D7F"/>
    <w:rsid w:val="00C826ED"/>
    <w:rsid w:val="00C83F36"/>
    <w:rsid w:val="00C869F4"/>
    <w:rsid w:val="00C901B4"/>
    <w:rsid w:val="00C94A04"/>
    <w:rsid w:val="00C957A4"/>
    <w:rsid w:val="00C973E9"/>
    <w:rsid w:val="00CA0988"/>
    <w:rsid w:val="00CA18F3"/>
    <w:rsid w:val="00CA37AC"/>
    <w:rsid w:val="00CA4B46"/>
    <w:rsid w:val="00CA54AB"/>
    <w:rsid w:val="00CA69CB"/>
    <w:rsid w:val="00CA69F8"/>
    <w:rsid w:val="00CA6E5C"/>
    <w:rsid w:val="00CC0960"/>
    <w:rsid w:val="00CC2AD3"/>
    <w:rsid w:val="00CC2C64"/>
    <w:rsid w:val="00CC3F1C"/>
    <w:rsid w:val="00CC4033"/>
    <w:rsid w:val="00CC4710"/>
    <w:rsid w:val="00CC5343"/>
    <w:rsid w:val="00CD092F"/>
    <w:rsid w:val="00CD1939"/>
    <w:rsid w:val="00CD24FF"/>
    <w:rsid w:val="00CE03CC"/>
    <w:rsid w:val="00CE1A80"/>
    <w:rsid w:val="00CE5EFE"/>
    <w:rsid w:val="00CF229E"/>
    <w:rsid w:val="00CF2BA1"/>
    <w:rsid w:val="00CF4F74"/>
    <w:rsid w:val="00CF6A06"/>
    <w:rsid w:val="00D005A9"/>
    <w:rsid w:val="00D00825"/>
    <w:rsid w:val="00D009B4"/>
    <w:rsid w:val="00D040ED"/>
    <w:rsid w:val="00D079C1"/>
    <w:rsid w:val="00D12DAB"/>
    <w:rsid w:val="00D13A4C"/>
    <w:rsid w:val="00D17458"/>
    <w:rsid w:val="00D17FAD"/>
    <w:rsid w:val="00D2641F"/>
    <w:rsid w:val="00D330A7"/>
    <w:rsid w:val="00D3359C"/>
    <w:rsid w:val="00D3575B"/>
    <w:rsid w:val="00D52A28"/>
    <w:rsid w:val="00D632E8"/>
    <w:rsid w:val="00D649D8"/>
    <w:rsid w:val="00D67615"/>
    <w:rsid w:val="00D71083"/>
    <w:rsid w:val="00D710D2"/>
    <w:rsid w:val="00D71746"/>
    <w:rsid w:val="00D74ADE"/>
    <w:rsid w:val="00D756A0"/>
    <w:rsid w:val="00D77E23"/>
    <w:rsid w:val="00D82BD7"/>
    <w:rsid w:val="00D837E3"/>
    <w:rsid w:val="00D83835"/>
    <w:rsid w:val="00D850C5"/>
    <w:rsid w:val="00D85204"/>
    <w:rsid w:val="00D91FD1"/>
    <w:rsid w:val="00D92DFE"/>
    <w:rsid w:val="00D9300A"/>
    <w:rsid w:val="00D945C6"/>
    <w:rsid w:val="00D968D2"/>
    <w:rsid w:val="00D969D0"/>
    <w:rsid w:val="00D97284"/>
    <w:rsid w:val="00D9745B"/>
    <w:rsid w:val="00D97A07"/>
    <w:rsid w:val="00DA2222"/>
    <w:rsid w:val="00DA5D92"/>
    <w:rsid w:val="00DA681F"/>
    <w:rsid w:val="00DB27A8"/>
    <w:rsid w:val="00DB2861"/>
    <w:rsid w:val="00DB70B6"/>
    <w:rsid w:val="00DC0B71"/>
    <w:rsid w:val="00DC0B7F"/>
    <w:rsid w:val="00DC0B84"/>
    <w:rsid w:val="00DC2A50"/>
    <w:rsid w:val="00DC2D1B"/>
    <w:rsid w:val="00DC61BF"/>
    <w:rsid w:val="00DD441A"/>
    <w:rsid w:val="00DD4FC5"/>
    <w:rsid w:val="00DD6642"/>
    <w:rsid w:val="00DD7A62"/>
    <w:rsid w:val="00DD7E7C"/>
    <w:rsid w:val="00DD7F33"/>
    <w:rsid w:val="00DE0E9E"/>
    <w:rsid w:val="00DF0755"/>
    <w:rsid w:val="00DF29DE"/>
    <w:rsid w:val="00DF427C"/>
    <w:rsid w:val="00E142C8"/>
    <w:rsid w:val="00E149D8"/>
    <w:rsid w:val="00E15D23"/>
    <w:rsid w:val="00E164FE"/>
    <w:rsid w:val="00E24397"/>
    <w:rsid w:val="00E25539"/>
    <w:rsid w:val="00E275E0"/>
    <w:rsid w:val="00E2790E"/>
    <w:rsid w:val="00E31AF8"/>
    <w:rsid w:val="00E370D1"/>
    <w:rsid w:val="00E40AD5"/>
    <w:rsid w:val="00E41859"/>
    <w:rsid w:val="00E42E44"/>
    <w:rsid w:val="00E44F58"/>
    <w:rsid w:val="00E45646"/>
    <w:rsid w:val="00E45895"/>
    <w:rsid w:val="00E551AE"/>
    <w:rsid w:val="00E61212"/>
    <w:rsid w:val="00E61C73"/>
    <w:rsid w:val="00E649FA"/>
    <w:rsid w:val="00E674DE"/>
    <w:rsid w:val="00E72740"/>
    <w:rsid w:val="00E73924"/>
    <w:rsid w:val="00E82D2C"/>
    <w:rsid w:val="00E8311F"/>
    <w:rsid w:val="00E913F2"/>
    <w:rsid w:val="00E97F67"/>
    <w:rsid w:val="00EA004A"/>
    <w:rsid w:val="00EA036D"/>
    <w:rsid w:val="00EA21C9"/>
    <w:rsid w:val="00EA2CC4"/>
    <w:rsid w:val="00EA4B35"/>
    <w:rsid w:val="00EA5402"/>
    <w:rsid w:val="00EB3D3B"/>
    <w:rsid w:val="00EB4572"/>
    <w:rsid w:val="00EB4DA5"/>
    <w:rsid w:val="00EB4FA7"/>
    <w:rsid w:val="00EB64FD"/>
    <w:rsid w:val="00EB6C8E"/>
    <w:rsid w:val="00EC02AC"/>
    <w:rsid w:val="00EC24F3"/>
    <w:rsid w:val="00EC2B85"/>
    <w:rsid w:val="00EC2F58"/>
    <w:rsid w:val="00EC621E"/>
    <w:rsid w:val="00ED074D"/>
    <w:rsid w:val="00ED5678"/>
    <w:rsid w:val="00ED7909"/>
    <w:rsid w:val="00EE6EA7"/>
    <w:rsid w:val="00EE6FC2"/>
    <w:rsid w:val="00EE751E"/>
    <w:rsid w:val="00EF075B"/>
    <w:rsid w:val="00EF0F1C"/>
    <w:rsid w:val="00EF49C9"/>
    <w:rsid w:val="00EF67A4"/>
    <w:rsid w:val="00F0392C"/>
    <w:rsid w:val="00F053A0"/>
    <w:rsid w:val="00F108B7"/>
    <w:rsid w:val="00F1152B"/>
    <w:rsid w:val="00F13B0E"/>
    <w:rsid w:val="00F14964"/>
    <w:rsid w:val="00F15C44"/>
    <w:rsid w:val="00F15C9C"/>
    <w:rsid w:val="00F22813"/>
    <w:rsid w:val="00F231C3"/>
    <w:rsid w:val="00F30472"/>
    <w:rsid w:val="00F353E9"/>
    <w:rsid w:val="00F36402"/>
    <w:rsid w:val="00F440A1"/>
    <w:rsid w:val="00F44C22"/>
    <w:rsid w:val="00F4567E"/>
    <w:rsid w:val="00F47A6B"/>
    <w:rsid w:val="00F54540"/>
    <w:rsid w:val="00F56A6C"/>
    <w:rsid w:val="00F63C87"/>
    <w:rsid w:val="00F709CF"/>
    <w:rsid w:val="00F70FA3"/>
    <w:rsid w:val="00F74450"/>
    <w:rsid w:val="00F74913"/>
    <w:rsid w:val="00F77655"/>
    <w:rsid w:val="00F82006"/>
    <w:rsid w:val="00F83813"/>
    <w:rsid w:val="00F83B31"/>
    <w:rsid w:val="00F84BC4"/>
    <w:rsid w:val="00F86224"/>
    <w:rsid w:val="00F924E7"/>
    <w:rsid w:val="00F92DDD"/>
    <w:rsid w:val="00F93AD5"/>
    <w:rsid w:val="00FA1D53"/>
    <w:rsid w:val="00FA794A"/>
    <w:rsid w:val="00FB1F38"/>
    <w:rsid w:val="00FB431B"/>
    <w:rsid w:val="00FB4659"/>
    <w:rsid w:val="00FB4A85"/>
    <w:rsid w:val="00FB4E12"/>
    <w:rsid w:val="00FB79DA"/>
    <w:rsid w:val="00FB7D93"/>
    <w:rsid w:val="00FC08C8"/>
    <w:rsid w:val="00FC0FFF"/>
    <w:rsid w:val="00FC3679"/>
    <w:rsid w:val="00FC5DA4"/>
    <w:rsid w:val="00FC60A1"/>
    <w:rsid w:val="00FD1E11"/>
    <w:rsid w:val="00FD31AF"/>
    <w:rsid w:val="00FD320A"/>
    <w:rsid w:val="00FD41C9"/>
    <w:rsid w:val="00FE3456"/>
    <w:rsid w:val="00FE49F5"/>
    <w:rsid w:val="00FE590E"/>
    <w:rsid w:val="00FE5F48"/>
    <w:rsid w:val="00FE6AD8"/>
    <w:rsid w:val="00FF0C5E"/>
    <w:rsid w:val="00FF192D"/>
    <w:rsid w:val="00FF2E86"/>
    <w:rsid w:val="00FF5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4F7A"/>
  <w15:docId w15:val="{8DC3CD1F-A54F-491E-A6A9-3160FDF9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8A580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cs="Arial Unicode MS"/>
      <w:color w:val="000000"/>
      <w:sz w:val="24"/>
      <w:szCs w:val="24"/>
      <w:u w:color="000000"/>
      <w:lang w:val="en-US"/>
    </w:rPr>
  </w:style>
  <w:style w:type="paragraph" w:customStyle="1" w:styleId="BodyA">
    <w:name w:val="Body A"/>
    <w:rPr>
      <w:rFonts w:cs="Arial Unicode MS"/>
      <w:color w:val="000000"/>
      <w:sz w:val="24"/>
      <w:szCs w:val="24"/>
      <w:u w:color="000000"/>
      <w:lang w:val="en-US"/>
    </w:rPr>
  </w:style>
  <w:style w:type="paragraph" w:customStyle="1" w:styleId="Default">
    <w:name w:val="Default"/>
    <w:rPr>
      <w:rFonts w:ascii="Helvetica" w:eastAsia="Helvetica" w:hAnsi="Helvetica" w:cs="Helvetica"/>
      <w:color w:val="000000"/>
      <w:sz w:val="22"/>
      <w:szCs w:val="22"/>
    </w:rPr>
  </w:style>
  <w:style w:type="paragraph" w:styleId="FootnoteText">
    <w:name w:val="footnote text"/>
    <w:rPr>
      <w:rFonts w:eastAsia="Times New Roman"/>
      <w:color w:val="000000"/>
      <w:u w:color="000000"/>
      <w:lang w:val="en-US"/>
    </w:rPr>
  </w:style>
  <w:style w:type="paragraph" w:customStyle="1" w:styleId="BodyAA">
    <w:name w:val="Body A A"/>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
    <w:name w:val="Body"/>
    <w:rPr>
      <w:rFonts w:eastAsia="Times New Roman"/>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D7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DFF"/>
    <w:rPr>
      <w:rFonts w:ascii="Segoe UI" w:hAnsi="Segoe UI" w:cs="Segoe UI"/>
      <w:sz w:val="18"/>
      <w:szCs w:val="18"/>
      <w:lang w:val="en-US" w:eastAsia="en-US"/>
    </w:rPr>
  </w:style>
  <w:style w:type="character" w:styleId="FootnoteReference">
    <w:name w:val="footnote reference"/>
    <w:basedOn w:val="DefaultParagraphFont"/>
    <w:uiPriority w:val="99"/>
    <w:semiHidden/>
    <w:unhideWhenUsed/>
    <w:rsid w:val="00C21575"/>
    <w:rPr>
      <w:vertAlign w:val="superscript"/>
    </w:rPr>
  </w:style>
  <w:style w:type="paragraph" w:styleId="EndnoteText">
    <w:name w:val="endnote text"/>
    <w:basedOn w:val="Normal"/>
    <w:link w:val="EndnoteTextChar"/>
    <w:uiPriority w:val="99"/>
    <w:semiHidden/>
    <w:unhideWhenUsed/>
    <w:rsid w:val="00CA37AC"/>
    <w:rPr>
      <w:sz w:val="20"/>
      <w:szCs w:val="20"/>
    </w:rPr>
  </w:style>
  <w:style w:type="character" w:customStyle="1" w:styleId="EndnoteTextChar">
    <w:name w:val="Endnote Text Char"/>
    <w:basedOn w:val="DefaultParagraphFont"/>
    <w:link w:val="EndnoteText"/>
    <w:uiPriority w:val="99"/>
    <w:semiHidden/>
    <w:rsid w:val="00CA37AC"/>
    <w:rPr>
      <w:lang w:val="en-US" w:eastAsia="en-US"/>
    </w:rPr>
  </w:style>
  <w:style w:type="character" w:styleId="EndnoteReference">
    <w:name w:val="endnote reference"/>
    <w:basedOn w:val="DefaultParagraphFont"/>
    <w:uiPriority w:val="99"/>
    <w:semiHidden/>
    <w:unhideWhenUsed/>
    <w:rsid w:val="00CA37AC"/>
    <w:rPr>
      <w:vertAlign w:val="superscript"/>
    </w:rPr>
  </w:style>
  <w:style w:type="character" w:styleId="PlaceholderText">
    <w:name w:val="Placeholder Text"/>
    <w:basedOn w:val="DefaultParagraphFont"/>
    <w:uiPriority w:val="99"/>
    <w:semiHidden/>
    <w:rsid w:val="000C6075"/>
    <w:rPr>
      <w:color w:val="808080"/>
    </w:rPr>
  </w:style>
  <w:style w:type="character" w:customStyle="1" w:styleId="Heading1Char">
    <w:name w:val="Heading 1 Char"/>
    <w:basedOn w:val="DefaultParagraphFont"/>
    <w:link w:val="Heading1"/>
    <w:uiPriority w:val="9"/>
    <w:rsid w:val="008A5802"/>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F0392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558B0"/>
    <w:rPr>
      <w:b/>
      <w:bCs/>
    </w:rPr>
  </w:style>
  <w:style w:type="character" w:customStyle="1" w:styleId="CommentSubjectChar">
    <w:name w:val="Comment Subject Char"/>
    <w:basedOn w:val="CommentTextChar"/>
    <w:link w:val="CommentSubject"/>
    <w:uiPriority w:val="99"/>
    <w:semiHidden/>
    <w:rsid w:val="003558B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9387">
      <w:bodyDiv w:val="1"/>
      <w:marLeft w:val="0"/>
      <w:marRight w:val="0"/>
      <w:marTop w:val="0"/>
      <w:marBottom w:val="0"/>
      <w:divBdr>
        <w:top w:val="none" w:sz="0" w:space="0" w:color="auto"/>
        <w:left w:val="none" w:sz="0" w:space="0" w:color="auto"/>
        <w:bottom w:val="none" w:sz="0" w:space="0" w:color="auto"/>
        <w:right w:val="none" w:sz="0" w:space="0" w:color="auto"/>
      </w:divBdr>
    </w:div>
    <w:div w:id="1887373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B4C56-B89D-4D7C-82AC-78045ED3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8305</Words>
  <Characters>47340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Aquila, Richard</dc:creator>
  <cp:lastModifiedBy>Onof, Christian J</cp:lastModifiedBy>
  <cp:revision>8</cp:revision>
  <cp:lastPrinted>2018-10-20T12:16:00Z</cp:lastPrinted>
  <dcterms:created xsi:type="dcterms:W3CDTF">2019-12-08T19:23:00Z</dcterms:created>
  <dcterms:modified xsi:type="dcterms:W3CDTF">2019-12-08T19:32:00Z</dcterms:modified>
</cp:coreProperties>
</file>