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line="480" w:lineRule="auto"/>
        <w:jc w:val="center"/>
        <w:rPr>
          <w:sz w:val="48"/>
          <w:szCs w:val="48"/>
        </w:rPr>
      </w:pPr>
      <w:r>
        <w:rPr>
          <w:sz w:val="48"/>
          <w:szCs w:val="48"/>
          <w:rtl w:val="0"/>
          <w:lang w:val="zh-CN" w:eastAsia="zh-CN"/>
        </w:rPr>
        <w:t>Realpolitik</w:t>
      </w:r>
      <w:r>
        <w:rPr>
          <w:sz w:val="48"/>
          <w:szCs w:val="48"/>
          <w:rtl w:val="0"/>
          <w:lang w:val="en-US"/>
        </w:rPr>
        <w:t xml:space="preserve"> in Chinese Funding Agencies</w:t>
      </w:r>
    </w:p>
    <w:p>
      <w:pPr>
        <w:pStyle w:val="Subtitle"/>
        <w:spacing w:line="480" w:lineRule="auto"/>
        <w:jc w:val="center"/>
      </w:pPr>
      <w:r>
        <w:rPr>
          <w:rtl w:val="0"/>
          <w:lang w:val="en-US"/>
        </w:rPr>
        <w:t>Abstract</w:t>
      </w:r>
    </w:p>
    <w:p>
      <w:pPr>
        <w:pStyle w:val="Body"/>
        <w:spacing w:line="480" w:lineRule="auto"/>
        <w:jc w:val="left"/>
      </w:pPr>
      <w:r>
        <w:rPr>
          <w:rtl w:val="0"/>
          <w:lang w:val="en-US"/>
        </w:rPr>
        <w:t>The letter reports on the scientific funding regulations of P. R. China that is undermining legit scientific activities in the globalized community. The multilateral regionalism schemes have substantially turned the Chinese scientific community to trade, commerce, and intelligence entities via contract and top-down declarations of legislation. Such method is conductible through the liberal institutions and penetrable to the cyber and security realms in other countries. The realpolitik approach is largely explainable to the source of P. R. China</w:t>
      </w:r>
      <w:r>
        <w:rPr>
          <w:rtl w:val="0"/>
          <w:lang w:val="en-US"/>
        </w:rPr>
        <w:t>’</w:t>
      </w:r>
      <w:r>
        <w:rPr>
          <w:rtl w:val="0"/>
          <w:lang w:val="en-US"/>
        </w:rPr>
        <w:t>s militant expansionism and resource affliction in the financial system and global economy. The letter contends that sanctions cannot effectively resolve the problem imposed on the scientific community.</w:t>
      </w:r>
    </w:p>
    <w:p>
      <w:pPr>
        <w:pStyle w:val="Body"/>
        <w:spacing w:line="480" w:lineRule="auto"/>
        <w:jc w:val="left"/>
      </w:pPr>
    </w:p>
    <w:p>
      <w:pPr>
        <w:pStyle w:val="Heading"/>
        <w:spacing w:line="480" w:lineRule="auto"/>
      </w:pPr>
      <w:r>
        <w:rPr>
          <w:rtl w:val="0"/>
          <w:lang w:val="en-US"/>
        </w:rPr>
        <w:t>Introduction</w:t>
      </w:r>
    </w:p>
    <w:p>
      <w:pPr>
        <w:pStyle w:val="Body"/>
        <w:spacing w:line="480" w:lineRule="auto"/>
        <w:jc w:val="left"/>
      </w:pPr>
      <w:r>
        <w:rPr>
          <w:rtl w:val="0"/>
          <w:lang w:val="en-US"/>
        </w:rPr>
        <w:t>Scientific activities, in most countries, are funded by governmental agencies. The fundamental issue on P. R. China largely transforming scientific findings globally to military technologies shaped a key realpolitik approach to the international normalcy with creative commons policies. The key realpolitik approach underlying the natural sciences is found in the contracting (</w:t>
      </w:r>
      <w:r>
        <w:rPr>
          <w:rtl w:val="0"/>
          <w:lang w:val="en-US"/>
        </w:rPr>
        <w:t>National Natural Science Foundation of China</w:t>
      </w:r>
      <w:r>
        <w:rPr>
          <w:rtl w:val="0"/>
          <w:lang w:val="en-US"/>
        </w:rPr>
        <w:t>) of the National Natural Science Foundation of China (hereinafter referred to as NNSFC) in the regulations and administration. The problem I have faced with my graduate research and been victimized by individually targetable human trafficking (Cao, 2022) is largely explainable by the realpolitik approach that is imposed on the education institutions in mainland China. The morality and ethics in higher education in mainland China is hence questionable in the fundamental spirit in the natural sciences, and hence the liberal institutions that P. R. China is a permanent member of.</w:t>
      </w:r>
    </w:p>
    <w:p>
      <w:pPr>
        <w:pStyle w:val="Heading"/>
        <w:spacing w:line="480" w:lineRule="auto"/>
      </w:pPr>
      <w:r>
        <w:rPr>
          <w:rtl w:val="0"/>
          <w:lang w:val="en-US"/>
        </w:rPr>
        <w:t>Limitation Terms</w:t>
      </w:r>
    </w:p>
    <w:p>
      <w:pPr>
        <w:pStyle w:val="Body"/>
        <w:spacing w:line="480" w:lineRule="auto"/>
        <w:jc w:val="left"/>
      </w:pPr>
      <w:r>
        <w:rPr>
          <w:rtl w:val="0"/>
          <w:lang w:val="en-US"/>
        </w:rPr>
        <w:t>The NNSFC terms put the prerequisite of the affiliated company, implying universities, as the foundation of application. Even though the regulation does not prohibit unaffiliated persons from applying funding from the NNSFC, any persons applying for the funding would have to be contracted to the companies, hence the universities. The funding prohibits individuals from applying and is open to universities in Hong Kong (SAR) and Macau. The academic advisors hence are put into a supervisory position to approve or reserve any degreed individuals from scientific activities. Such limitation terms imposed on universities largely explains the human rights violations incurred on me with the China Academy of Science behind the operations (Cao, 2022). The prerequisites of the funding stresses regionalism and prohibits international or global identities of the researchers or scientists (NNSFC).</w:t>
      </w:r>
    </w:p>
    <w:p>
      <w:pPr>
        <w:pStyle w:val="Heading"/>
        <w:spacing w:line="480" w:lineRule="auto"/>
      </w:pPr>
      <w:r>
        <w:rPr>
          <w:rtl w:val="0"/>
          <w:lang w:val="en-US"/>
        </w:rPr>
        <w:t>Limitations of Scope</w:t>
      </w:r>
    </w:p>
    <w:p>
      <w:pPr>
        <w:pStyle w:val="Body"/>
        <w:spacing w:line="480" w:lineRule="auto"/>
        <w:jc w:val="left"/>
      </w:pPr>
      <w:r>
        <w:rPr>
          <w:rtl w:val="0"/>
          <w:lang w:val="en-US"/>
        </w:rPr>
        <w:t>The application materials of the regulation are drafted with a top-down political categorical rationale. Contrary to the question-driven approaches largely adopted by the global scientific communities, the scope in the application materials is limited to problem-driven categorical attributes. And the application material stresses on not appearing any contents that is contrary to the laws and regulations, or concerning secret information and sensitive information. This means that the IEEE system can be adjusted on the backend contrary to the open data policies established in the global scientific normalcy. Information security is repeatedly stressed in the document, and not only the affiliated companies are stressed in the information management sections, but also identity cards as the top-down identifiable trackings. Therefore, any projects concerned with international communications becomes of information intelligence with regional focus in the project regulation section. This means that my dissertation with a global focus in outer space security (Cao, 2020) is prone to be manipulated under the power political framework. I was invited to The Science of Consciousness 2022 conference and did not get the American VISA on an individual basis can also be contributed by such a political factor.</w:t>
      </w:r>
    </w:p>
    <w:p>
      <w:pPr>
        <w:pStyle w:val="Heading"/>
        <w:spacing w:line="480" w:lineRule="auto"/>
      </w:pPr>
      <w:r>
        <w:rPr>
          <w:rtl w:val="0"/>
          <w:lang w:val="en-US"/>
        </w:rPr>
        <w:t>Technological Focus and Currency</w:t>
      </w:r>
    </w:p>
    <w:p>
      <w:pPr>
        <w:pStyle w:val="Body"/>
        <w:spacing w:line="480" w:lineRule="auto"/>
        <w:jc w:val="left"/>
      </w:pPr>
      <w:r>
        <w:rPr>
          <w:rtl w:val="0"/>
          <w:lang w:val="en-US"/>
        </w:rPr>
        <w:t>The currency management outlined in the regulation are divided to two years and one. This is associated with the centralized banking system of the country. Even though international and inter-organizational projects are listed in the section with inter-organizational frameworks, the limitation terms combined with currency management in essence still puts such projects into trade and commerce orientated essence than scientific and academic purposes. Technical and equipment accountings are specifically listed and the foreign scholars listed in the section hence gets to be contained in the framework in the limitation terms. The budget proposals are typically planned economy accounting, and the funded agencies becomes of outsourced contractors. Publications are effectively defined to the limitations of information communication, propriety rights, documentation, and etc. Any cooperations are restricted to the border management for the funds, and the hierarchical structures are deducible to personal liabilities. This means that coercions with power political legislations can be hidden in the scientific communities, and the monetary regulations imposes unlimited personal liabilities for retracting money.</w:t>
      </w:r>
    </w:p>
    <w:p>
      <w:pPr>
        <w:pStyle w:val="Heading"/>
        <w:spacing w:line="480" w:lineRule="auto"/>
      </w:pPr>
      <w:r>
        <w:rPr>
          <w:rtl w:val="0"/>
          <w:lang w:val="en-US"/>
        </w:rPr>
        <w:t>Question on the Literary Scientific Morality and Ethics</w:t>
      </w:r>
    </w:p>
    <w:p>
      <w:pPr>
        <w:pStyle w:val="Body"/>
        <w:spacing w:line="480" w:lineRule="auto"/>
      </w:pPr>
      <w:r>
        <w:rPr>
          <w:rtl w:val="0"/>
          <w:lang w:val="en-US"/>
        </w:rPr>
        <w:t xml:space="preserve">Even though morality and ethics are literally stressed in the document, the fundamental moralities and ethics for academic freedom is not respected in such regulatory drafting. The administrative authorities are deferred to the newly founded dictatorial </w:t>
      </w:r>
      <w:r>
        <w:rPr>
          <w:rtl w:val="0"/>
          <w:lang w:val="en-US"/>
        </w:rPr>
        <w:t>CPC Central Commission for Discipline Inspection</w:t>
      </w:r>
      <w:r>
        <w:rPr>
          <w:rtl w:val="0"/>
          <w:lang w:val="en-US"/>
        </w:rPr>
        <w:t xml:space="preserve"> (NNSFC) and is prone to the nominal law of the judiciary systems (Unknown, 2010). Such top-down hindrance of power politics on the scientific activities is largely utilitarian if not utterly party political. It means that any free form of scientific activities and independent scientists are prone to be restricted and all degreed researchers and scientists are politically controlled by the surrogacy of the universities and affiliated companies based in mainland China. The ethics and moralities in humanitarian values are therefore, disguised under cultural diplomacy and linguistic codes can be adapted to infiltrate the global cyber space with cyber sovereign claims and backend data manipulations. Such resources intensive controls on the scientific communities largely explains the military spendings and militant expansionism of P. R. China</w:t>
      </w:r>
      <w:r>
        <w:rPr>
          <w:rtl w:val="0"/>
          <w:lang w:val="en-US"/>
        </w:rPr>
        <w:t>’</w:t>
      </w:r>
      <w:r>
        <w:rPr>
          <w:rtl w:val="0"/>
          <w:lang w:val="en-US"/>
        </w:rPr>
        <w:t>s global behavior, and needs attention from the liberal institutions. (Cao, 2022)</w:t>
      </w:r>
    </w:p>
    <w:p>
      <w:pPr>
        <w:pStyle w:val="Heading"/>
        <w:spacing w:line="480" w:lineRule="auto"/>
      </w:pPr>
      <w:r>
        <w:rPr>
          <w:rtl w:val="0"/>
          <w:lang w:val="en-US"/>
        </w:rPr>
        <w:t>Conclusions</w:t>
      </w:r>
    </w:p>
    <w:p>
      <w:pPr>
        <w:pStyle w:val="Body"/>
        <w:spacing w:line="480" w:lineRule="auto"/>
      </w:pPr>
      <w:r>
        <w:rPr>
          <w:rtl w:val="0"/>
          <w:lang w:val="en-US"/>
        </w:rPr>
        <w:t>The realpolitik strategy the military dictatorial country has developed is undermining the scientific activities in the global society, and has effectively shaped a coercive mechanism from a hierarchical command chain on a nationalist top-down strategy. The limited scopes for scientific funding and especially in the natural sciences have undermined the global equitability of knowledge production and sharing. Such political problem imposed on the academic and scientific world can not be properly resolved without political actions, and sanctions are ineffective in such top-down political controls on scientific activities (Cao, 2022).</w:t>
      </w:r>
    </w:p>
    <w:p>
      <w:pPr>
        <w:pStyle w:val="Body"/>
        <w:spacing w:line="480" w:lineRule="auto"/>
        <w:jc w:val="left"/>
      </w:pPr>
    </w:p>
    <w:p>
      <w:pPr>
        <w:pStyle w:val="Heading"/>
        <w:spacing w:line="480" w:lineRule="auto"/>
      </w:pPr>
      <w:r>
        <w:rPr>
          <w:rtl w:val="0"/>
          <w:lang w:val="en-US"/>
        </w:rPr>
        <w:t>Bibliography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480" w:lineRule="auto"/>
        <w:ind w:left="0" w:right="0" w:firstLine="0"/>
        <w:jc w:val="left"/>
        <w:rPr>
          <w:rFonts w:ascii="Times New Roman" w:cs="Times New Roman" w:hAnsi="Times New Roman" w:eastAsia="Times New Roman"/>
          <w:rtl w:val="0"/>
        </w:rPr>
      </w:pPr>
      <w:r>
        <w:rPr>
          <w:rFonts w:ascii="Times New Roman" w:hAnsi="Times New Roman"/>
          <w:rtl w:val="0"/>
        </w:rPr>
        <w:t xml:space="preserve">Cao, Y. (2022). </w:t>
      </w:r>
      <w:r>
        <w:rPr>
          <w:rFonts w:ascii="Times New Roman" w:hAnsi="Times New Roman"/>
          <w:rtl w:val="0"/>
          <w:lang w:val="en-US"/>
        </w:rPr>
        <w:t>Epistemological</w:t>
      </w:r>
      <w:r>
        <w:rPr>
          <w:rFonts w:ascii="Times New Roman" w:hAnsi="Times New Roman"/>
          <w:rtl w:val="0"/>
          <w:lang w:val="en-US"/>
        </w:rPr>
        <w:t xml:space="preserve"> Extrapolation and Individually Targetable Mass Surveillance the Issues of Democratic Formation and Knowledge Production by Dictatorial Controls. </w:t>
      </w:r>
      <w:r>
        <w:rPr>
          <w:rFonts w:ascii="Times New Roman" w:hAnsi="Times New Roman"/>
          <w:i w:val="1"/>
          <w:iCs w:val="1"/>
          <w:rtl w:val="0"/>
          <w:lang w:val="en-US"/>
        </w:rPr>
        <w:t>International Journal of Innovative Science and Research Technology</w:t>
      </w:r>
      <w:r>
        <w:rPr>
          <w:rFonts w:ascii="Times New Roman" w:hAnsi="Times New Roman"/>
          <w:rtl w:val="0"/>
        </w:rPr>
        <w:t xml:space="preserve">, </w:t>
      </w:r>
      <w:r>
        <w:rPr>
          <w:rFonts w:ascii="Times New Roman" w:hAnsi="Times New Roman"/>
          <w:i w:val="1"/>
          <w:iCs w:val="1"/>
          <w:rtl w:val="0"/>
        </w:rPr>
        <w:t>7</w:t>
      </w:r>
      <w:r>
        <w:rPr>
          <w:rFonts w:ascii="Times New Roman" w:hAnsi="Times New Roman"/>
          <w:rtl w:val="0"/>
        </w:rPr>
        <w:t>(4), 72-84.</w:t>
      </w:r>
      <w:r>
        <w:rPr>
          <w:rFonts w:ascii="Times New Roman" w:hAnsi="Times New Roman"/>
          <w:rtl w:val="0"/>
          <w:lang w:val="en-US"/>
        </w:rPr>
        <w:t xml:space="preserve"> DOI: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"https://doi.org/10.5281/zenodo.6464858"</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pt-PT"/>
        </w:rPr>
        <w:t>10.5281/zenodo.6464858</w:t>
      </w:r>
      <w:r>
        <w:rPr>
          <w:rFonts w:ascii="Times New Roman" w:cs="Times New Roman" w:hAnsi="Times New Roman" w:eastAsia="Times New Roman"/>
          <w:rtl w:val="0"/>
        </w:rPr>
        <w:fldChar w:fldCharType="end" w:fldLock="0"/>
      </w:r>
      <w:r>
        <w:rPr>
          <w:rFonts w:ascii="Times New Roman" w:hAnsi="Times New Roman"/>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480" w:lineRule="auto"/>
        <w:ind w:left="0" w:right="0" w:firstLine="0"/>
        <w:jc w:val="left"/>
        <w:rPr>
          <w:rFonts w:ascii="Times New Roman" w:cs="Times New Roman" w:hAnsi="Times New Roman" w:eastAsia="Times New Roman"/>
          <w:rtl w:val="0"/>
        </w:rPr>
      </w:pPr>
      <w:r>
        <w:rPr>
          <w:rFonts w:ascii="Times New Roman" w:hAnsi="Times New Roman"/>
          <w:rtl w:val="0"/>
        </w:rPr>
        <w:t xml:space="preserve">Cao, Y. (2020). </w:t>
      </w:r>
      <w:r>
        <w:rPr>
          <w:rFonts w:ascii="Times New Roman" w:hAnsi="Times New Roman"/>
          <w:i w:val="1"/>
          <w:iCs w:val="1"/>
          <w:rtl w:val="0"/>
          <w:lang w:val="en-US"/>
        </w:rPr>
        <w:t xml:space="preserve">Lateralism </w:t>
      </w:r>
      <w:r>
        <w:rPr>
          <w:rFonts w:ascii="Times New Roman" w:hAnsi="Times New Roman" w:hint="default"/>
          <w:i w:val="1"/>
          <w:iCs w:val="1"/>
          <w:rtl w:val="0"/>
        </w:rPr>
        <w:t xml:space="preserve">– </w:t>
      </w:r>
      <w:r>
        <w:rPr>
          <w:rFonts w:ascii="Times New Roman" w:hAnsi="Times New Roman"/>
          <w:i w:val="1"/>
          <w:iCs w:val="1"/>
          <w:rtl w:val="0"/>
          <w:lang w:val="en-US"/>
        </w:rPr>
        <w:t>The Globalization of US Hegemony after World War II.</w:t>
      </w:r>
      <w:r>
        <w:rPr>
          <w:rFonts w:ascii="Times New Roman" w:hAnsi="Times New Roman"/>
          <w:rtl w:val="0"/>
          <w:lang w:val="en-US"/>
        </w:rPr>
        <w:t xml:space="preserve"> Unpublished PhD Thesis, Communication University of China, Beijing.</w:t>
      </w:r>
      <w:r>
        <w:rPr>
          <w:rFonts w:ascii="Times New Roman" w:hAnsi="Times New Roman"/>
          <w:rtl w:val="0"/>
          <w:lang w:val="en-US"/>
        </w:rPr>
        <w:t xml:space="preserve">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"https://doi.org/10.5281/zenodo.6428349"</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pt-PT"/>
        </w:rPr>
        <w:t>https://doi.org/10.5281/zenodo.6428349</w:t>
      </w:r>
      <w:r>
        <w:rPr>
          <w:rFonts w:ascii="Times New Roman" w:cs="Times New Roman" w:hAnsi="Times New Roman" w:eastAsia="Times New Roman"/>
          <w:rtl w:val="0"/>
        </w:rPr>
        <w:fldChar w:fldCharType="end" w:fldLock="0"/>
      </w:r>
      <w:r>
        <w:rPr>
          <w:rFonts w:ascii="Times New Roman" w:hAnsi="Times New Roman"/>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48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National Natural Science Foundation of China. Application Rules.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"https://www.nsfc.gov.cn/Portals/0/fj/fj20220119_01.pdf"</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https://www.nsfc.gov.cn/Portals/0/fj/fj20220119_01.pdf</w:t>
      </w:r>
      <w:r>
        <w:rPr>
          <w:rFonts w:ascii="Times New Roman" w:cs="Times New Roman" w:hAnsi="Times New Roman" w:eastAsia="Times New Roman"/>
          <w:rtl w:val="0"/>
        </w:rPr>
        <w:fldChar w:fldCharType="end" w:fldLock="0"/>
      </w:r>
      <w:r>
        <w:rPr>
          <w:rFonts w:ascii="Times New Roman" w:hAnsi="Times New Roman"/>
          <w:rtl w:val="0"/>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tl w:val="0"/>
        </w:rPr>
      </w:pPr>
      <w:r>
        <w:rPr>
          <w:rFonts w:ascii="Times New Roman" w:hAnsi="Times New Roman"/>
          <w:rtl w:val="0"/>
          <w:lang w:val="en-US"/>
        </w:rPr>
        <w:t>Unknown. (2010). No.15 [2010] of the Supreme People</w:t>
      </w:r>
      <w:r>
        <w:rPr>
          <w:rFonts w:ascii="Times New Roman" w:hAnsi="Times New Roman" w:hint="default"/>
          <w:rtl w:val="1"/>
        </w:rPr>
        <w:t>’</w:t>
      </w:r>
      <w:r>
        <w:rPr>
          <w:rFonts w:ascii="Times New Roman" w:hAnsi="Times New Roman"/>
          <w:rtl w:val="0"/>
          <w:lang w:val="pt-PT"/>
        </w:rPr>
        <w:t xml:space="preserve">s Court.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"http://www.lawinfochina.com/display.aspx?lib=law&amp;id=8235&amp;CGid="</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http://www.lawinfochina.com/display.aspx?lib=law&amp;id=8235&amp;CGid=</w:t>
      </w:r>
      <w:r>
        <w:rPr>
          <w:rFonts w:ascii="Times New Roman" w:cs="Times New Roman" w:hAnsi="Times New Roman" w:eastAsia="Times New Roman"/>
          <w:rtl w:val="0"/>
        </w:rPr>
        <w:fldChar w:fldCharType="end" w:fldLock="0"/>
      </w:r>
      <w:r>
        <w:rPr>
          <w:rFonts w:ascii="Times New Roman" w:hAnsi="Times New Roman"/>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zh-CN" w:eastAsia="zh-CN"/>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zh-CN" w:eastAsia="zh-CN"/>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