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30E7" w14:textId="77777777" w:rsidR="00001D13" w:rsidRPr="009434F9" w:rsidRDefault="00001D13" w:rsidP="006602A4">
      <w:pPr>
        <w:jc w:val="center"/>
        <w:rPr>
          <w:rFonts w:cstheme="minorHAnsi"/>
          <w:b/>
          <w:bCs/>
        </w:rPr>
      </w:pPr>
      <w:r w:rsidRPr="009434F9">
        <w:rPr>
          <w:rFonts w:cstheme="minorHAnsi"/>
          <w:b/>
          <w:bCs/>
        </w:rPr>
        <w:t xml:space="preserve">Why You Ought to Defer: </w:t>
      </w:r>
    </w:p>
    <w:p w14:paraId="5193DC98" w14:textId="3014A0A1" w:rsidR="00001D13" w:rsidRDefault="00001D13" w:rsidP="006602A4">
      <w:pPr>
        <w:jc w:val="center"/>
        <w:rPr>
          <w:rFonts w:cstheme="minorHAnsi"/>
          <w:b/>
          <w:bCs/>
        </w:rPr>
      </w:pPr>
      <w:r w:rsidRPr="009434F9">
        <w:rPr>
          <w:rFonts w:cstheme="minorHAnsi"/>
          <w:b/>
          <w:bCs/>
        </w:rPr>
        <w:t>Moral Deference and Marginalized Experience</w:t>
      </w:r>
    </w:p>
    <w:p w14:paraId="226308A5" w14:textId="4C4F78B5" w:rsidR="00793032" w:rsidRDefault="00793032" w:rsidP="006602A4">
      <w:pPr>
        <w:jc w:val="center"/>
        <w:rPr>
          <w:rFonts w:cstheme="minorHAnsi"/>
          <w:b/>
          <w:bCs/>
        </w:rPr>
      </w:pPr>
    </w:p>
    <w:p w14:paraId="1FD69EA2" w14:textId="6EAAF128" w:rsidR="00793032" w:rsidRDefault="00793032" w:rsidP="006602A4">
      <w:pPr>
        <w:jc w:val="center"/>
        <w:rPr>
          <w:rFonts w:cstheme="minorHAnsi"/>
        </w:rPr>
      </w:pPr>
      <w:r w:rsidRPr="006B6766">
        <w:rPr>
          <w:rFonts w:cstheme="minorHAnsi"/>
        </w:rPr>
        <w:t>Savannah Pearlman and Elizabeth Williams</w:t>
      </w:r>
    </w:p>
    <w:p w14:paraId="2EF26BBE" w14:textId="251C1431" w:rsidR="006B6766" w:rsidRDefault="006B6766" w:rsidP="006602A4">
      <w:pPr>
        <w:jc w:val="center"/>
        <w:rPr>
          <w:rFonts w:cstheme="minorHAnsi"/>
        </w:rPr>
      </w:pPr>
    </w:p>
    <w:p w14:paraId="57F5EC0A" w14:textId="2589D455" w:rsidR="00AA3035" w:rsidRDefault="006B6766" w:rsidP="00AA3035">
      <w:pPr>
        <w:rPr>
          <w:rFonts w:cstheme="minorHAnsi"/>
        </w:rPr>
      </w:pPr>
      <w:r>
        <w:rPr>
          <w:rFonts w:cstheme="minorHAnsi"/>
        </w:rPr>
        <w:t>Abstract:</w:t>
      </w:r>
      <w:r w:rsidR="00F76B7B">
        <w:rPr>
          <w:rFonts w:cstheme="minorHAnsi"/>
        </w:rPr>
        <w:t xml:space="preserve"> </w:t>
      </w:r>
      <w:r w:rsidR="00F76B7B" w:rsidRPr="00F76B7B">
        <w:rPr>
          <w:rFonts w:cstheme="minorHAnsi"/>
        </w:rPr>
        <w:t xml:space="preserve">In this paper we argue that moral deference is </w:t>
      </w:r>
      <w:r w:rsidR="00F76B7B" w:rsidRPr="00F76B7B">
        <w:rPr>
          <w:rFonts w:cstheme="minorHAnsi"/>
          <w:i/>
          <w:iCs/>
        </w:rPr>
        <w:t>prima facie</w:t>
      </w:r>
      <w:r w:rsidR="00F76B7B" w:rsidRPr="00F76B7B">
        <w:rPr>
          <w:rFonts w:cstheme="minorHAnsi"/>
        </w:rPr>
        <w:t xml:space="preserve"> obligatory in cases in which the testifier is a member of a marginalized social group that the receiver is not and testifies about their marginalized experience. We distinguish between two types of deference: epistemic deference, which refers to believing </w:t>
      </w:r>
      <w:r w:rsidR="00F76B7B" w:rsidRPr="00D0396B">
        <w:rPr>
          <w:rFonts w:cstheme="minorHAnsi"/>
          <w:i/>
          <w:iCs/>
        </w:rPr>
        <w:t>p</w:t>
      </w:r>
      <w:r w:rsidR="00F76B7B" w:rsidRPr="00F76B7B">
        <w:rPr>
          <w:rFonts w:cstheme="minorHAnsi"/>
        </w:rPr>
        <w:t xml:space="preserve"> in virtue of trusting the testifier, and actional deference, which involves acting appropriately in response to the testimony given. The </w:t>
      </w:r>
      <w:r w:rsidR="00F76B7B" w:rsidRPr="00AA3035">
        <w:rPr>
          <w:rFonts w:cstheme="minorHAnsi"/>
          <w:i/>
          <w:iCs/>
        </w:rPr>
        <w:t xml:space="preserve">prima facie </w:t>
      </w:r>
      <w:r w:rsidR="00F76B7B" w:rsidRPr="00F76B7B">
        <w:rPr>
          <w:rFonts w:cstheme="minorHAnsi"/>
        </w:rPr>
        <w:t>duty we propose applies to both epistemic and actional deference, though defeaters may quash either or both obligations. Even if one fails to epistemically defer to the marginalized testifier, we argue that they may still be ethically obligated to act in accordance with their testimony.</w:t>
      </w:r>
    </w:p>
    <w:p w14:paraId="33A39912" w14:textId="77777777" w:rsidR="00AA3035" w:rsidRDefault="00AA3035" w:rsidP="00056FD5">
      <w:pPr>
        <w:rPr>
          <w:rFonts w:cstheme="minorHAnsi"/>
        </w:rPr>
      </w:pPr>
    </w:p>
    <w:p w14:paraId="0D541208" w14:textId="397A5430" w:rsidR="00AA3035" w:rsidRDefault="00AA3035" w:rsidP="00056FD5">
      <w:pPr>
        <w:rPr>
          <w:rFonts w:cstheme="minorHAnsi"/>
        </w:rPr>
      </w:pPr>
      <w:r>
        <w:rPr>
          <w:rFonts w:cstheme="minorHAnsi"/>
        </w:rPr>
        <w:t xml:space="preserve">Key Words: Moral Deference, Marginalized Testifiers, </w:t>
      </w:r>
      <w:r w:rsidR="00AC5211">
        <w:rPr>
          <w:rFonts w:cstheme="minorHAnsi"/>
        </w:rPr>
        <w:t xml:space="preserve">Moral </w:t>
      </w:r>
      <w:r>
        <w:rPr>
          <w:rFonts w:cstheme="minorHAnsi"/>
        </w:rPr>
        <w:t xml:space="preserve">Testimony, </w:t>
      </w:r>
      <w:r w:rsidR="008674AF">
        <w:rPr>
          <w:rFonts w:cstheme="minorHAnsi"/>
        </w:rPr>
        <w:t>Epistemic Injustice</w:t>
      </w:r>
      <w:r w:rsidR="001401AF">
        <w:rPr>
          <w:rFonts w:cstheme="minorHAnsi"/>
        </w:rPr>
        <w:t>, Marginalized Identity</w:t>
      </w:r>
    </w:p>
    <w:p w14:paraId="1204B083" w14:textId="43F85A9F" w:rsidR="00056FD5" w:rsidRDefault="00056FD5" w:rsidP="00056FD5">
      <w:pPr>
        <w:rPr>
          <w:rFonts w:cstheme="minorHAnsi"/>
        </w:rPr>
      </w:pPr>
    </w:p>
    <w:p w14:paraId="29B95B42" w14:textId="2B51F957" w:rsidR="00B600B1" w:rsidRDefault="00B600B1" w:rsidP="00056FD5">
      <w:pPr>
        <w:rPr>
          <w:rFonts w:cstheme="minorHAnsi"/>
        </w:rPr>
      </w:pPr>
      <w:r>
        <w:rPr>
          <w:rFonts w:cstheme="minorHAnsi"/>
        </w:rPr>
        <w:t>Savannah Pearlman is</w:t>
      </w:r>
      <w:r w:rsidR="008B0700">
        <w:rPr>
          <w:rFonts w:cstheme="minorHAnsi"/>
        </w:rPr>
        <w:t xml:space="preserve"> a </w:t>
      </w:r>
      <w:r w:rsidR="002735CB">
        <w:rPr>
          <w:rFonts w:cstheme="minorHAnsi"/>
        </w:rPr>
        <w:t>PhD</w:t>
      </w:r>
      <w:r w:rsidR="008B0700">
        <w:rPr>
          <w:rFonts w:cstheme="minorHAnsi"/>
        </w:rPr>
        <w:t xml:space="preserve"> Candidate and Associate Instructor at Indiana University – Bloomington</w:t>
      </w:r>
      <w:r w:rsidR="00762BF4">
        <w:rPr>
          <w:rFonts w:cstheme="minorHAnsi"/>
        </w:rPr>
        <w:t>. Her</w:t>
      </w:r>
      <w:r w:rsidR="007C6FFB">
        <w:rPr>
          <w:rFonts w:cstheme="minorHAnsi"/>
        </w:rPr>
        <w:t xml:space="preserve"> </w:t>
      </w:r>
      <w:r w:rsidR="00762BF4">
        <w:rPr>
          <w:rFonts w:cstheme="minorHAnsi"/>
        </w:rPr>
        <w:t xml:space="preserve">dissertation argues that non-group members have a moral and epistemic duty to defer to marginalized testifiers when they </w:t>
      </w:r>
      <w:r w:rsidR="00CB00A2">
        <w:rPr>
          <w:rFonts w:cstheme="minorHAnsi"/>
        </w:rPr>
        <w:t xml:space="preserve">testify about the harms that they, themselves, have experienced. </w:t>
      </w:r>
      <w:r w:rsidR="00436419">
        <w:rPr>
          <w:rFonts w:cstheme="minorHAnsi"/>
        </w:rPr>
        <w:t xml:space="preserve">In addition to her research on normative epistemology, Savannah </w:t>
      </w:r>
      <w:r w:rsidR="00716708">
        <w:rPr>
          <w:rFonts w:cstheme="minorHAnsi"/>
        </w:rPr>
        <w:t xml:space="preserve">is </w:t>
      </w:r>
      <w:r w:rsidR="00B8717E">
        <w:rPr>
          <w:rFonts w:cstheme="minorHAnsi"/>
        </w:rPr>
        <w:t>interested in a philosophical treatment</w:t>
      </w:r>
      <w:r w:rsidR="00716708">
        <w:rPr>
          <w:rFonts w:cstheme="minorHAnsi"/>
        </w:rPr>
        <w:t xml:space="preserve"> </w:t>
      </w:r>
      <w:r w:rsidR="00C7177A">
        <w:rPr>
          <w:rFonts w:cstheme="minorHAnsi"/>
        </w:rPr>
        <w:t xml:space="preserve">of mutual aid, </w:t>
      </w:r>
      <w:r w:rsidR="00C73135">
        <w:rPr>
          <w:rFonts w:cstheme="minorHAnsi"/>
        </w:rPr>
        <w:t xml:space="preserve">solidarity, and community care. </w:t>
      </w:r>
    </w:p>
    <w:p w14:paraId="03F7076F" w14:textId="36E4CE25" w:rsidR="00B600B1" w:rsidRDefault="00B600B1" w:rsidP="00056FD5">
      <w:pPr>
        <w:rPr>
          <w:rFonts w:cstheme="minorHAnsi"/>
        </w:rPr>
      </w:pPr>
    </w:p>
    <w:p w14:paraId="02C52A5A" w14:textId="2B215188" w:rsidR="00B600B1" w:rsidRDefault="00B600B1" w:rsidP="00056FD5">
      <w:pPr>
        <w:rPr>
          <w:rFonts w:cstheme="minorHAnsi"/>
        </w:rPr>
      </w:pPr>
      <w:r>
        <w:rPr>
          <w:rFonts w:cstheme="minorHAnsi"/>
        </w:rPr>
        <w:t xml:space="preserve">Elizabeth Williams is </w:t>
      </w:r>
      <w:r w:rsidR="004F2C68">
        <w:rPr>
          <w:rFonts w:cstheme="minorHAnsi"/>
        </w:rPr>
        <w:t>a PhD Candidate at Indiana University</w:t>
      </w:r>
      <w:r w:rsidR="00AC5211">
        <w:rPr>
          <w:rFonts w:cstheme="minorHAnsi"/>
        </w:rPr>
        <w:t xml:space="preserve"> – </w:t>
      </w:r>
      <w:r w:rsidR="004F2C68">
        <w:rPr>
          <w:rFonts w:cstheme="minorHAnsi"/>
        </w:rPr>
        <w:t>Bloomington. Their dissertation argues that we are morally responsible for both our choices and our judgments, which do not reduce to each other, and that the patterns in our choices and our judgments reveal our character. In addition to their research on what it is to be morally responsible, they are interested in the treatment of accountability, attributability, and other forms of responsibility.</w:t>
      </w:r>
    </w:p>
    <w:p w14:paraId="4F9F1D58" w14:textId="77777777" w:rsidR="00B600B1" w:rsidRPr="00AA3035" w:rsidRDefault="00B600B1" w:rsidP="00056FD5">
      <w:pPr>
        <w:rPr>
          <w:rFonts w:cstheme="minorHAnsi"/>
        </w:rPr>
      </w:pPr>
    </w:p>
    <w:p w14:paraId="2C9BA42E" w14:textId="544D5D90" w:rsidR="00001D13" w:rsidRPr="009434F9" w:rsidRDefault="00001D13" w:rsidP="006602A4">
      <w:pPr>
        <w:spacing w:line="480" w:lineRule="auto"/>
        <w:rPr>
          <w:rFonts w:cstheme="minorHAnsi"/>
        </w:rPr>
      </w:pPr>
      <w:r w:rsidRPr="009434F9">
        <w:rPr>
          <w:rFonts w:cstheme="minorHAnsi"/>
          <w:b/>
          <w:bCs/>
        </w:rPr>
        <w:tab/>
      </w:r>
      <w:r w:rsidRPr="009434F9">
        <w:rPr>
          <w:rFonts w:cstheme="minorHAnsi"/>
        </w:rPr>
        <w:t>Imagine that a non-binary person tells you, a cis-gendered person, that you should not post an all-gender bathroom sign with whimsical or mythical creatures in your restaurant, no matter how well-intended the message.</w:t>
      </w:r>
      <w:r w:rsidRPr="009434F9">
        <w:rPr>
          <w:rStyle w:val="FootnoteReference"/>
          <w:rFonts w:cstheme="minorHAnsi"/>
        </w:rPr>
        <w:footnoteReference w:id="1"/>
      </w:r>
      <w:r w:rsidRPr="009434F9">
        <w:rPr>
          <w:rFonts w:cstheme="minorHAnsi"/>
        </w:rPr>
        <w:t xml:space="preserve"> Representing the bathroom as “all gender” by denoting it with a mermaid, alien, superhero, or a person with two heads is harmful—they say—and if you have one, you should take it down. Should you defer to their testimony? In this paper, we argue that not only is it justified for you to defer, but that </w:t>
      </w:r>
      <w:proofErr w:type="gramStart"/>
      <w:r w:rsidRPr="009434F9">
        <w:rPr>
          <w:rFonts w:cstheme="minorHAnsi"/>
        </w:rPr>
        <w:t>you</w:t>
      </w:r>
      <w:proofErr w:type="gramEnd"/>
      <w:r w:rsidRPr="009434F9">
        <w:rPr>
          <w:rFonts w:cstheme="minorHAnsi"/>
        </w:rPr>
        <w:t xml:space="preserve"> </w:t>
      </w:r>
      <w:r w:rsidRPr="009434F9">
        <w:rPr>
          <w:rFonts w:cstheme="minorHAnsi"/>
          <w:i/>
          <w:iCs/>
        </w:rPr>
        <w:t>prima facie</w:t>
      </w:r>
      <w:r w:rsidRPr="009434F9">
        <w:rPr>
          <w:rFonts w:cstheme="minorHAnsi"/>
        </w:rPr>
        <w:t xml:space="preserve"> ought to defer.</w:t>
      </w:r>
      <w:r w:rsidR="0096259D" w:rsidRPr="009434F9">
        <w:rPr>
          <w:rStyle w:val="FootnoteReference"/>
          <w:rFonts w:cstheme="minorHAnsi"/>
        </w:rPr>
        <w:footnoteReference w:id="2"/>
      </w:r>
    </w:p>
    <w:p w14:paraId="69F63819" w14:textId="698963C1" w:rsidR="00001D13" w:rsidRPr="009434F9" w:rsidRDefault="00001D13" w:rsidP="006602A4">
      <w:pPr>
        <w:spacing w:line="480" w:lineRule="auto"/>
        <w:rPr>
          <w:rFonts w:cstheme="minorHAnsi"/>
        </w:rPr>
      </w:pPr>
      <w:r w:rsidRPr="009434F9">
        <w:rPr>
          <w:rFonts w:cstheme="minorHAnsi"/>
        </w:rPr>
        <w:lastRenderedPageBreak/>
        <w:tab/>
        <w:t xml:space="preserve">How should we go about forming our moral judgments? On the one hand, it seems that we ought to use our own reason to understand the moral issue, as an act of autonomy. On the other hand, we are limited moral agents who only have access to certain experiences. We frequently lack the knowledge necessary to understand a wide variety of moral issues. In cases such as these, deferring to others is often our only practical option for obtaining moral information in areas outside of our expertise. </w:t>
      </w:r>
    </w:p>
    <w:p w14:paraId="25D30A8C" w14:textId="002DA04E" w:rsidR="00001D13" w:rsidRPr="009434F9" w:rsidRDefault="00001D13" w:rsidP="006602A4">
      <w:pPr>
        <w:spacing w:line="480" w:lineRule="auto"/>
        <w:rPr>
          <w:rFonts w:cstheme="minorHAnsi"/>
        </w:rPr>
      </w:pPr>
      <w:r w:rsidRPr="009434F9">
        <w:rPr>
          <w:rFonts w:cstheme="minorHAnsi"/>
        </w:rPr>
        <w:tab/>
        <w:t>In this paper, we set aside the traditional puzzle of moral deference, which focuses on explaining</w:t>
      </w:r>
      <w:r w:rsidR="001E32AD" w:rsidRPr="009434F9">
        <w:rPr>
          <w:rFonts w:cstheme="minorHAnsi"/>
        </w:rPr>
        <w:t xml:space="preserve"> (or denying)</w:t>
      </w:r>
      <w:r w:rsidRPr="009434F9">
        <w:rPr>
          <w:rFonts w:cstheme="minorHAnsi"/>
        </w:rPr>
        <w:t xml:space="preserve"> an asymmetry between the straightforward acceptability of non-moral deference and the controversial nature of moral deference.</w:t>
      </w:r>
      <w:r w:rsidRPr="009434F9">
        <w:rPr>
          <w:rStyle w:val="FootnoteReference"/>
          <w:rFonts w:cstheme="minorHAnsi"/>
        </w:rPr>
        <w:footnoteReference w:id="3"/>
      </w:r>
      <w:r w:rsidRPr="009434F9">
        <w:rPr>
          <w:rFonts w:cstheme="minorHAnsi"/>
        </w:rPr>
        <w:t xml:space="preserve"> Instead, we focus on a subset of moral deference, which we take not only to be permissible, but </w:t>
      </w:r>
      <w:r w:rsidRPr="009434F9">
        <w:rPr>
          <w:rFonts w:cstheme="minorHAnsi"/>
          <w:i/>
          <w:iCs/>
        </w:rPr>
        <w:t xml:space="preserve">prima facie </w:t>
      </w:r>
      <w:r w:rsidRPr="009434F9">
        <w:rPr>
          <w:rFonts w:cstheme="minorHAnsi"/>
        </w:rPr>
        <w:t>obligatory in cases in which the testifier is a member of a marginalized social group that the receiver is not and testifies about their marginalized experience.</w:t>
      </w:r>
      <w:r w:rsidRPr="009434F9">
        <w:rPr>
          <w:rStyle w:val="FootnoteReference"/>
          <w:rFonts w:cstheme="minorHAnsi"/>
        </w:rPr>
        <w:footnoteReference w:id="4"/>
      </w:r>
      <w:r w:rsidRPr="009434F9">
        <w:rPr>
          <w:rFonts w:cstheme="minorHAnsi"/>
        </w:rPr>
        <w:t xml:space="preserve"> Deference is justified in these cases in part because marginalized people have more relevant non-moral information with regard to moral claims about their own experience as a member of that marginalized group as compared to their non-marginalized counterparts.</w:t>
      </w:r>
      <w:r w:rsidRPr="009434F9">
        <w:rPr>
          <w:rStyle w:val="FootnoteReference"/>
          <w:rFonts w:cstheme="minorHAnsi"/>
        </w:rPr>
        <w:footnoteReference w:id="5"/>
      </w:r>
    </w:p>
    <w:p w14:paraId="2C48732E" w14:textId="07D357C6" w:rsidR="00001D13" w:rsidRPr="009434F9" w:rsidRDefault="00001D13" w:rsidP="006602A4">
      <w:pPr>
        <w:spacing w:line="480" w:lineRule="auto"/>
        <w:ind w:firstLine="720"/>
        <w:rPr>
          <w:rFonts w:cstheme="minorHAnsi"/>
        </w:rPr>
      </w:pPr>
      <w:r w:rsidRPr="009434F9">
        <w:rPr>
          <w:rFonts w:cstheme="minorHAnsi"/>
        </w:rPr>
        <w:t>We argue that that there are two distinct varieties of deference: epistemic and actional.</w:t>
      </w:r>
      <w:r w:rsidRPr="009434F9">
        <w:rPr>
          <w:rStyle w:val="FootnoteReference"/>
          <w:rFonts w:cstheme="minorHAnsi"/>
        </w:rPr>
        <w:footnoteReference w:id="6"/>
      </w:r>
      <w:r w:rsidRPr="009434F9">
        <w:rPr>
          <w:rFonts w:cstheme="minorHAnsi"/>
        </w:rPr>
        <w:t xml:space="preserve"> At its broadest level, epistemic deference refers to believing </w:t>
      </w:r>
      <w:r w:rsidRPr="009434F9">
        <w:rPr>
          <w:rFonts w:cstheme="minorHAnsi"/>
          <w:i/>
          <w:iCs/>
        </w:rPr>
        <w:t>p</w:t>
      </w:r>
      <w:r w:rsidRPr="009434F9">
        <w:rPr>
          <w:rFonts w:cstheme="minorHAnsi"/>
        </w:rPr>
        <w:t xml:space="preserve"> in virtue of trusting the testifier, whereas actional deference refers to acting in accordance with the testimony given. The two can come apart, </w:t>
      </w:r>
      <w:r w:rsidRPr="009434F9">
        <w:rPr>
          <w:rFonts w:cstheme="minorHAnsi"/>
        </w:rPr>
        <w:lastRenderedPageBreak/>
        <w:t xml:space="preserve">such that even if epistemic deference is inappropriate, </w:t>
      </w:r>
      <w:r w:rsidR="008166C0" w:rsidRPr="009434F9">
        <w:rPr>
          <w:rFonts w:cstheme="minorHAnsi"/>
        </w:rPr>
        <w:t>the receiver</w:t>
      </w:r>
      <w:r w:rsidRPr="009434F9">
        <w:rPr>
          <w:rFonts w:cstheme="minorHAnsi"/>
        </w:rPr>
        <w:t xml:space="preserve"> may still be required to actionally defer to the testimony of marginalized individuals. The </w:t>
      </w:r>
      <w:r w:rsidRPr="009434F9">
        <w:rPr>
          <w:rFonts w:cstheme="minorHAnsi"/>
          <w:i/>
          <w:iCs/>
        </w:rPr>
        <w:t>prima facie</w:t>
      </w:r>
      <w:r w:rsidRPr="009434F9">
        <w:rPr>
          <w:rFonts w:cstheme="minorHAnsi"/>
        </w:rPr>
        <w:t xml:space="preserve"> duty we propose applies to both epistemic and actional deference. </w:t>
      </w:r>
    </w:p>
    <w:p w14:paraId="727768C6" w14:textId="50514678" w:rsidR="00001D13" w:rsidRPr="009434F9" w:rsidRDefault="00001D13" w:rsidP="006602A4">
      <w:pPr>
        <w:spacing w:line="480" w:lineRule="auto"/>
        <w:ind w:firstLine="720"/>
        <w:rPr>
          <w:rFonts w:eastAsia="Times New Roman" w:cstheme="minorHAnsi"/>
          <w:color w:val="000000" w:themeColor="text1"/>
        </w:rPr>
      </w:pPr>
      <w:r w:rsidRPr="009434F9">
        <w:rPr>
          <w:rFonts w:cstheme="minorHAnsi"/>
        </w:rPr>
        <w:t xml:space="preserve">For the purpose of this paper, we take it that </w:t>
      </w:r>
      <w:r w:rsidR="008166C0" w:rsidRPr="009434F9">
        <w:rPr>
          <w:rFonts w:cstheme="minorHAnsi"/>
        </w:rPr>
        <w:t>someone</w:t>
      </w:r>
      <w:r w:rsidRPr="009434F9">
        <w:rPr>
          <w:rFonts w:cstheme="minorHAnsi"/>
        </w:rPr>
        <w:t xml:space="preserve"> has membership in a marginalized group if </w:t>
      </w:r>
      <w:r w:rsidR="008166C0" w:rsidRPr="009434F9">
        <w:rPr>
          <w:rFonts w:cstheme="minorHAnsi"/>
        </w:rPr>
        <w:t>they belong</w:t>
      </w:r>
      <w:r w:rsidRPr="009434F9">
        <w:rPr>
          <w:rFonts w:cstheme="minorHAnsi"/>
        </w:rPr>
        <w:t xml:space="preserve"> to a social group that is subject to a combination of interpersonal, institutional, and structural oppression.</w:t>
      </w:r>
      <w:r w:rsidRPr="009434F9">
        <w:rPr>
          <w:rStyle w:val="FootnoteReference"/>
          <w:rFonts w:cstheme="minorHAnsi"/>
        </w:rPr>
        <w:footnoteReference w:id="7"/>
      </w:r>
      <w:r w:rsidRPr="009434F9">
        <w:rPr>
          <w:rFonts w:cstheme="minorHAnsi"/>
        </w:rPr>
        <w:t xml:space="preserve"> Interpersonal oppression refers to the intentional or unintentional transmission of beliefs and acts that uphold and perpetuate systems of oppression between individuals. </w:t>
      </w:r>
      <w:r w:rsidRPr="009434F9">
        <w:rPr>
          <w:rFonts w:cstheme="minorHAnsi"/>
          <w:color w:val="000000" w:themeColor="text1"/>
        </w:rPr>
        <w:t>Institutional oppression is found at the level of institutions such as healthcare, education, and legal systems. Institutions are oppressive when certain policies have the ramifications that marginalized individuals cannot easily navigate the institutional system, lack fair access to resources, or are otherwise treated unequally. Structural oppression, on the other hand, is not caused by specific policies or individuals; rather, it</w:t>
      </w:r>
      <w:r w:rsidRPr="009434F9">
        <w:rPr>
          <w:rFonts w:eastAsia="Times New Roman" w:cstheme="minorHAnsi"/>
          <w:color w:val="000000" w:themeColor="text1"/>
        </w:rPr>
        <w:t xml:space="preserve"> cuts across institutional and individual boundaries.</w:t>
      </w:r>
      <w:r w:rsidRPr="009434F9">
        <w:rPr>
          <w:rStyle w:val="FootnoteReference"/>
          <w:rFonts w:eastAsia="Times New Roman" w:cstheme="minorHAnsi"/>
          <w:color w:val="000000" w:themeColor="text1"/>
        </w:rPr>
        <w:footnoteReference w:id="8"/>
      </w:r>
    </w:p>
    <w:p w14:paraId="69FB758E" w14:textId="37C6D64A" w:rsidR="00001D13" w:rsidRPr="009434F9" w:rsidRDefault="00001D13" w:rsidP="006602A4">
      <w:pPr>
        <w:spacing w:line="480" w:lineRule="auto"/>
        <w:ind w:firstLine="720"/>
        <w:rPr>
          <w:rFonts w:cstheme="minorHAnsi"/>
          <w:color w:val="000000" w:themeColor="text1"/>
        </w:rPr>
      </w:pPr>
      <w:r w:rsidRPr="009434F9">
        <w:rPr>
          <w:rFonts w:cstheme="minorHAnsi"/>
          <w:color w:val="000000" w:themeColor="text1"/>
        </w:rPr>
        <w:t xml:space="preserve">In Section </w:t>
      </w:r>
      <w:r w:rsidR="004D46B8" w:rsidRPr="009434F9">
        <w:rPr>
          <w:rFonts w:cstheme="minorHAnsi"/>
          <w:color w:val="000000" w:themeColor="text1"/>
        </w:rPr>
        <w:t>1</w:t>
      </w:r>
      <w:r w:rsidRPr="009434F9">
        <w:rPr>
          <w:rFonts w:cstheme="minorHAnsi"/>
          <w:color w:val="000000" w:themeColor="text1"/>
        </w:rPr>
        <w:t xml:space="preserve">, we clarify the distinction between epistemic and actional deference. In Section </w:t>
      </w:r>
      <w:r w:rsidR="004D46B8" w:rsidRPr="009434F9">
        <w:rPr>
          <w:rFonts w:cstheme="minorHAnsi"/>
          <w:color w:val="000000" w:themeColor="text1"/>
        </w:rPr>
        <w:t>2</w:t>
      </w:r>
      <w:r w:rsidRPr="009434F9">
        <w:rPr>
          <w:rFonts w:cstheme="minorHAnsi"/>
          <w:color w:val="000000" w:themeColor="text1"/>
        </w:rPr>
        <w:t xml:space="preserve">, we argue that there is a </w:t>
      </w:r>
      <w:r w:rsidRPr="009434F9">
        <w:rPr>
          <w:rFonts w:cstheme="minorHAnsi"/>
          <w:i/>
          <w:iCs/>
          <w:color w:val="000000" w:themeColor="text1"/>
        </w:rPr>
        <w:t xml:space="preserve">prima facie </w:t>
      </w:r>
      <w:r w:rsidRPr="009434F9">
        <w:rPr>
          <w:rFonts w:cstheme="minorHAnsi"/>
          <w:color w:val="000000" w:themeColor="text1"/>
        </w:rPr>
        <w:t xml:space="preserve">duty to epistemically defer in cases in which the testifier is a member of a marginalized community that the receiver is not a part of. In Section </w:t>
      </w:r>
      <w:r w:rsidR="004D46B8" w:rsidRPr="009434F9">
        <w:rPr>
          <w:rFonts w:cstheme="minorHAnsi"/>
          <w:color w:val="000000" w:themeColor="text1"/>
        </w:rPr>
        <w:t>3</w:t>
      </w:r>
      <w:r w:rsidRPr="009434F9">
        <w:rPr>
          <w:rFonts w:cstheme="minorHAnsi"/>
          <w:color w:val="000000" w:themeColor="text1"/>
        </w:rPr>
        <w:t xml:space="preserve">, we argue that there is also a </w:t>
      </w:r>
      <w:r w:rsidRPr="009434F9">
        <w:rPr>
          <w:rFonts w:cstheme="minorHAnsi"/>
          <w:i/>
          <w:iCs/>
          <w:color w:val="000000" w:themeColor="text1"/>
        </w:rPr>
        <w:t xml:space="preserve">prima facie </w:t>
      </w:r>
      <w:r w:rsidRPr="009434F9">
        <w:rPr>
          <w:rFonts w:cstheme="minorHAnsi"/>
          <w:color w:val="000000" w:themeColor="text1"/>
        </w:rPr>
        <w:t xml:space="preserve">duty to actionally defer in the kinds of cases with which we are concerned. Finally, in Section </w:t>
      </w:r>
      <w:r w:rsidR="004D46B8" w:rsidRPr="009434F9">
        <w:rPr>
          <w:rFonts w:cstheme="minorHAnsi"/>
          <w:color w:val="000000" w:themeColor="text1"/>
        </w:rPr>
        <w:t>4</w:t>
      </w:r>
      <w:r w:rsidRPr="009434F9">
        <w:rPr>
          <w:rFonts w:cstheme="minorHAnsi"/>
          <w:color w:val="000000" w:themeColor="text1"/>
        </w:rPr>
        <w:t xml:space="preserve">, we address </w:t>
      </w:r>
      <w:r w:rsidR="00914861">
        <w:rPr>
          <w:rFonts w:cstheme="minorHAnsi"/>
          <w:color w:val="000000" w:themeColor="text1"/>
        </w:rPr>
        <w:t xml:space="preserve">common worries, including the understanding objection—which </w:t>
      </w:r>
      <w:r w:rsidR="00914861">
        <w:rPr>
          <w:rFonts w:cstheme="minorHAnsi"/>
          <w:color w:val="000000" w:themeColor="text1"/>
        </w:rPr>
        <w:lastRenderedPageBreak/>
        <w:t>suggests that there</w:t>
      </w:r>
      <w:r w:rsidR="00E8459A">
        <w:rPr>
          <w:rFonts w:cstheme="minorHAnsi"/>
          <w:color w:val="000000" w:themeColor="text1"/>
        </w:rPr>
        <w:t xml:space="preserve"> is</w:t>
      </w:r>
      <w:r w:rsidR="00914861">
        <w:rPr>
          <w:rFonts w:cstheme="minorHAnsi"/>
          <w:color w:val="000000" w:themeColor="text1"/>
        </w:rPr>
        <w:t xml:space="preserve"> something suspicious about </w:t>
      </w:r>
      <w:r w:rsidR="001C00A3">
        <w:rPr>
          <w:rFonts w:cstheme="minorHAnsi"/>
          <w:color w:val="000000" w:themeColor="text1"/>
        </w:rPr>
        <w:t>deferring to moral testimony without sufficiently understanding the moral reasoning behind it</w:t>
      </w:r>
      <w:r w:rsidR="00DE0984">
        <w:rPr>
          <w:rFonts w:cstheme="minorHAnsi"/>
          <w:color w:val="000000" w:themeColor="text1"/>
        </w:rPr>
        <w:t>.</w:t>
      </w:r>
      <w:r w:rsidR="00DE0984" w:rsidRPr="009434F9">
        <w:rPr>
          <w:rStyle w:val="FootnoteReference"/>
          <w:rFonts w:cstheme="minorHAnsi"/>
        </w:rPr>
        <w:footnoteReference w:id="9"/>
      </w:r>
    </w:p>
    <w:p w14:paraId="6ED9ABB7" w14:textId="77777777" w:rsidR="00001D13" w:rsidRPr="009434F9" w:rsidRDefault="00001D13" w:rsidP="00752DCF">
      <w:pPr>
        <w:ind w:firstLine="720"/>
        <w:rPr>
          <w:rFonts w:cstheme="minorHAnsi"/>
        </w:rPr>
      </w:pPr>
    </w:p>
    <w:p w14:paraId="2F9D713C" w14:textId="25D5C7BC" w:rsidR="00001D13" w:rsidRPr="009434F9" w:rsidRDefault="004D46B8" w:rsidP="006602A4">
      <w:pPr>
        <w:spacing w:line="480" w:lineRule="auto"/>
        <w:rPr>
          <w:rFonts w:cstheme="minorHAnsi"/>
          <w:b/>
          <w:bCs/>
        </w:rPr>
      </w:pPr>
      <w:r w:rsidRPr="009434F9">
        <w:rPr>
          <w:rFonts w:cstheme="minorHAnsi"/>
          <w:b/>
          <w:bCs/>
        </w:rPr>
        <w:t xml:space="preserve">1. </w:t>
      </w:r>
      <w:r w:rsidR="00001D13" w:rsidRPr="009434F9">
        <w:rPr>
          <w:rFonts w:cstheme="minorHAnsi"/>
          <w:b/>
          <w:bCs/>
        </w:rPr>
        <w:t>Epistemic and Actional Deference</w:t>
      </w:r>
      <w:r w:rsidR="00001D13" w:rsidRPr="009434F9">
        <w:rPr>
          <w:rFonts w:cstheme="minorHAnsi"/>
        </w:rPr>
        <w:t xml:space="preserve"> </w:t>
      </w:r>
    </w:p>
    <w:p w14:paraId="489C0B82" w14:textId="00BED339" w:rsidR="00C033BE" w:rsidRPr="009434F9" w:rsidRDefault="00001D13" w:rsidP="004A6358">
      <w:pPr>
        <w:spacing w:line="480" w:lineRule="auto"/>
        <w:ind w:firstLine="720"/>
        <w:rPr>
          <w:rFonts w:cstheme="minorHAnsi"/>
        </w:rPr>
      </w:pPr>
      <w:r w:rsidRPr="009434F9">
        <w:rPr>
          <w:rFonts w:cstheme="minorHAnsi"/>
        </w:rPr>
        <w:t xml:space="preserve">We take “epistemic deference” to be as follows: </w:t>
      </w:r>
    </w:p>
    <w:p w14:paraId="7EF0EA38" w14:textId="257267C6" w:rsidR="00001D13" w:rsidRPr="009434F9" w:rsidRDefault="00001D13" w:rsidP="004A6358">
      <w:pPr>
        <w:ind w:left="720"/>
        <w:rPr>
          <w:rFonts w:cstheme="minorHAnsi"/>
        </w:rPr>
      </w:pPr>
      <w:r w:rsidRPr="009434F9">
        <w:rPr>
          <w:rFonts w:cstheme="minorHAnsi"/>
        </w:rPr>
        <w:t xml:space="preserve">The receiver epistemically defers to the testifier </w:t>
      </w:r>
      <w:r w:rsidRPr="009434F9">
        <w:rPr>
          <w:rFonts w:cstheme="minorHAnsi"/>
          <w:i/>
          <w:iCs/>
        </w:rPr>
        <w:t>iff</w:t>
      </w:r>
      <w:r w:rsidRPr="009434F9">
        <w:rPr>
          <w:rFonts w:cstheme="minorHAnsi"/>
        </w:rPr>
        <w:t xml:space="preserve"> given the testifier’s testimony that </w:t>
      </w:r>
      <w:r w:rsidRPr="009434F9">
        <w:rPr>
          <w:rFonts w:cstheme="minorHAnsi"/>
          <w:i/>
          <w:iCs/>
        </w:rPr>
        <w:t xml:space="preserve">p </w:t>
      </w:r>
      <w:r w:rsidRPr="009434F9">
        <w:rPr>
          <w:rFonts w:cstheme="minorHAnsi"/>
        </w:rPr>
        <w:t xml:space="preserve">and their assurances that </w:t>
      </w:r>
      <w:r w:rsidRPr="009434F9">
        <w:rPr>
          <w:rFonts w:cstheme="minorHAnsi"/>
          <w:i/>
          <w:iCs/>
        </w:rPr>
        <w:t xml:space="preserve">p </w:t>
      </w:r>
      <w:r w:rsidRPr="009434F9">
        <w:rPr>
          <w:rFonts w:cstheme="minorHAnsi"/>
        </w:rPr>
        <w:t xml:space="preserve">is the case, the receiver accepts these assurances and, in virtue of trusting the testifier, believes </w:t>
      </w:r>
      <w:r w:rsidRPr="009434F9">
        <w:rPr>
          <w:rFonts w:cstheme="minorHAnsi"/>
          <w:i/>
          <w:iCs/>
        </w:rPr>
        <w:t>p</w:t>
      </w:r>
      <w:r w:rsidRPr="009434F9">
        <w:rPr>
          <w:rFonts w:cstheme="minorHAnsi"/>
        </w:rPr>
        <w:t>.</w:t>
      </w:r>
      <w:r w:rsidRPr="009434F9">
        <w:rPr>
          <w:rStyle w:val="FootnoteReference"/>
          <w:rFonts w:cstheme="minorHAnsi"/>
        </w:rPr>
        <w:footnoteReference w:id="10"/>
      </w:r>
    </w:p>
    <w:p w14:paraId="3103DFD6" w14:textId="77777777" w:rsidR="00C033BE" w:rsidRPr="009434F9" w:rsidRDefault="00C033BE" w:rsidP="004A6358">
      <w:pPr>
        <w:ind w:left="720"/>
        <w:rPr>
          <w:rFonts w:cstheme="minorHAnsi"/>
        </w:rPr>
      </w:pPr>
    </w:p>
    <w:p w14:paraId="7B5668B7" w14:textId="1CCAF7C2" w:rsidR="00001D13" w:rsidRPr="009434F9" w:rsidRDefault="00001D13" w:rsidP="006602A4">
      <w:pPr>
        <w:spacing w:line="480" w:lineRule="auto"/>
        <w:rPr>
          <w:rFonts w:cstheme="minorHAnsi"/>
        </w:rPr>
      </w:pPr>
      <w:r w:rsidRPr="009434F9">
        <w:rPr>
          <w:rFonts w:cstheme="minorHAnsi"/>
        </w:rPr>
        <w:t>Our account of epistemic deference is within the tradition of Richard Moran’s Assurance View.</w:t>
      </w:r>
      <w:r w:rsidRPr="009434F9">
        <w:rPr>
          <w:rStyle w:val="FootnoteReference"/>
          <w:rFonts w:cstheme="minorHAnsi"/>
        </w:rPr>
        <w:footnoteReference w:id="11"/>
      </w:r>
      <w:r w:rsidRPr="009434F9">
        <w:rPr>
          <w:rFonts w:cstheme="minorHAnsi"/>
        </w:rPr>
        <w:t xml:space="preserve"> On the Assurance View, the testifier—in providing their assurance—takes responsibility for the truth of their testimony. </w:t>
      </w:r>
      <w:r w:rsidRPr="004B186C">
        <w:rPr>
          <w:rFonts w:cstheme="minorHAnsi"/>
        </w:rPr>
        <w:t>In doing so, the testifier gives the receiver their personal guarantee that the receiver has reason to believe what the testifier has to say.</w:t>
      </w:r>
      <w:r w:rsidR="004B186C" w:rsidRPr="009434F9">
        <w:rPr>
          <w:rStyle w:val="FootnoteReference"/>
          <w:rFonts w:cstheme="minorHAnsi"/>
        </w:rPr>
        <w:footnoteReference w:id="12"/>
      </w:r>
      <w:r w:rsidRPr="009434F9">
        <w:rPr>
          <w:rFonts w:cstheme="minorHAnsi"/>
        </w:rPr>
        <w:t xml:space="preserve"> </w:t>
      </w:r>
    </w:p>
    <w:p w14:paraId="3CFC36C8" w14:textId="71FDC733" w:rsidR="00001D13" w:rsidRPr="009434F9" w:rsidRDefault="00001D13" w:rsidP="006602A4">
      <w:pPr>
        <w:spacing w:line="480" w:lineRule="auto"/>
        <w:ind w:firstLine="720"/>
        <w:rPr>
          <w:rFonts w:cstheme="minorHAnsi"/>
        </w:rPr>
      </w:pPr>
      <w:r w:rsidRPr="009434F9">
        <w:rPr>
          <w:rFonts w:cstheme="minorHAnsi"/>
        </w:rPr>
        <w:t xml:space="preserve">Moran (2018) argues that the testifier’s assurance that </w:t>
      </w:r>
      <w:r w:rsidRPr="009434F9">
        <w:rPr>
          <w:rFonts w:cstheme="minorHAnsi"/>
          <w:i/>
          <w:iCs/>
        </w:rPr>
        <w:t>p</w:t>
      </w:r>
      <w:r w:rsidRPr="009434F9">
        <w:rPr>
          <w:rFonts w:cstheme="minorHAnsi"/>
        </w:rPr>
        <w:t xml:space="preserve"> offers the receiver an epistemic reason to believe </w:t>
      </w:r>
      <w:r w:rsidRPr="009434F9">
        <w:rPr>
          <w:rFonts w:cstheme="minorHAnsi"/>
          <w:i/>
          <w:iCs/>
        </w:rPr>
        <w:t>p</w:t>
      </w:r>
      <w:r w:rsidRPr="009434F9">
        <w:rPr>
          <w:rFonts w:cstheme="minorHAnsi"/>
        </w:rPr>
        <w:t xml:space="preserve">. Then, certain background conditions on the part of the testifier (such as their reliability or trustworthiness) determine whether or not the assurance provides a </w:t>
      </w:r>
      <w:r w:rsidRPr="009434F9">
        <w:rPr>
          <w:rFonts w:cstheme="minorHAnsi"/>
          <w:i/>
          <w:iCs/>
        </w:rPr>
        <w:t xml:space="preserve">good </w:t>
      </w:r>
      <w:r w:rsidRPr="009434F9">
        <w:rPr>
          <w:rFonts w:cstheme="minorHAnsi"/>
        </w:rPr>
        <w:t xml:space="preserve">reason to believe </w:t>
      </w:r>
      <w:r w:rsidRPr="009434F9">
        <w:rPr>
          <w:rFonts w:cstheme="minorHAnsi"/>
          <w:i/>
          <w:iCs/>
        </w:rPr>
        <w:t>p</w:t>
      </w:r>
      <w:r w:rsidRPr="009434F9">
        <w:rPr>
          <w:rFonts w:cstheme="minorHAnsi"/>
        </w:rPr>
        <w:t xml:space="preserve">. The relation between testifiers as well as other contextual features help to identify the type of speech act, which in turn will determine if we should attend to certain background conditions. For instance, if the testifier is being sarcastic, the receiver need not consider whether they are presumed to be reliable about that topic, since the purpose of the act is meant as a joke rather than to convey information. In this way, interpreting the speech act is a gatekeeping feature. If the act </w:t>
      </w:r>
      <w:r w:rsidRPr="009434F9">
        <w:rPr>
          <w:rFonts w:cstheme="minorHAnsi"/>
        </w:rPr>
        <w:lastRenderedPageBreak/>
        <w:t xml:space="preserve">indicates sincerity and the receiver trusts the testifier, the testifier’s assurance </w:t>
      </w:r>
      <w:r w:rsidR="00F1511E" w:rsidRPr="009434F9">
        <w:rPr>
          <w:rFonts w:cstheme="minorHAnsi"/>
        </w:rPr>
        <w:t>provides</w:t>
      </w:r>
      <w:r w:rsidRPr="009434F9">
        <w:rPr>
          <w:rFonts w:cstheme="minorHAnsi"/>
        </w:rPr>
        <w:t xml:space="preserve"> a positive epistemic reason to believe that </w:t>
      </w:r>
      <w:r w:rsidRPr="009434F9">
        <w:rPr>
          <w:rFonts w:cstheme="minorHAnsi"/>
          <w:i/>
          <w:iCs/>
        </w:rPr>
        <w:t>p</w:t>
      </w:r>
      <w:r w:rsidRPr="009434F9">
        <w:rPr>
          <w:rFonts w:cstheme="minorHAnsi"/>
        </w:rPr>
        <w:t xml:space="preserve"> is the case. </w:t>
      </w:r>
    </w:p>
    <w:p w14:paraId="32CE6BB3" w14:textId="77777777" w:rsidR="00001D13" w:rsidRPr="009434F9" w:rsidRDefault="00001D13" w:rsidP="006602A4">
      <w:pPr>
        <w:spacing w:line="480" w:lineRule="auto"/>
        <w:ind w:firstLine="720"/>
        <w:rPr>
          <w:rFonts w:cstheme="minorHAnsi"/>
        </w:rPr>
      </w:pPr>
      <w:r w:rsidRPr="009434F9">
        <w:rPr>
          <w:rFonts w:cstheme="minorHAnsi"/>
        </w:rPr>
        <w:t xml:space="preserve">When the receiver trusts the testifier’s assurance, they are doing more than trust in a merely evidential sense. That is, trusting the testifier’s assurance does not simply reduce to “the fact that this person is committed to </w:t>
      </w:r>
      <w:r w:rsidRPr="009434F9">
        <w:rPr>
          <w:rFonts w:cstheme="minorHAnsi"/>
          <w:i/>
          <w:iCs/>
        </w:rPr>
        <w:t>p</w:t>
      </w:r>
      <w:r w:rsidRPr="009434F9">
        <w:rPr>
          <w:rFonts w:cstheme="minorHAnsi"/>
        </w:rPr>
        <w:t xml:space="preserve"> is evidence that </w:t>
      </w:r>
      <w:r w:rsidRPr="009434F9">
        <w:rPr>
          <w:rFonts w:cstheme="minorHAnsi"/>
          <w:i/>
          <w:iCs/>
        </w:rPr>
        <w:t xml:space="preserve">p </w:t>
      </w:r>
      <w:r w:rsidRPr="009434F9">
        <w:rPr>
          <w:rFonts w:cstheme="minorHAnsi"/>
        </w:rPr>
        <w:t xml:space="preserve">is true.” We embrace two varieties of trust, one positive and one negative. </w:t>
      </w:r>
    </w:p>
    <w:p w14:paraId="34069216" w14:textId="2E794F08" w:rsidR="00001D13" w:rsidRPr="009434F9" w:rsidRDefault="00001D13" w:rsidP="006602A4">
      <w:pPr>
        <w:spacing w:line="480" w:lineRule="auto"/>
        <w:ind w:firstLine="720"/>
        <w:rPr>
          <w:rFonts w:cstheme="minorHAnsi"/>
        </w:rPr>
      </w:pPr>
      <w:r w:rsidRPr="009434F9">
        <w:rPr>
          <w:rFonts w:cstheme="minorHAnsi"/>
        </w:rPr>
        <w:t xml:space="preserve">The positive version is identified by its interpersonal features, which </w:t>
      </w:r>
      <w:r w:rsidR="004C5CE0" w:rsidRPr="009434F9">
        <w:rPr>
          <w:rFonts w:cstheme="minorHAnsi"/>
        </w:rPr>
        <w:t xml:space="preserve">Berislav </w:t>
      </w:r>
      <w:r w:rsidRPr="009434F9">
        <w:rPr>
          <w:rFonts w:cstheme="minorHAnsi"/>
        </w:rPr>
        <w:t>Marušić (2017) highlights in his account of trust. This kind of trust is a “belief held from the participant stance</w:t>
      </w:r>
      <w:r w:rsidR="00941CFC" w:rsidRPr="009434F9">
        <w:rPr>
          <w:rFonts w:cstheme="minorHAnsi"/>
        </w:rPr>
        <w:t>,</w:t>
      </w:r>
      <w:r w:rsidRPr="009434F9">
        <w:rPr>
          <w:rFonts w:cstheme="minorHAnsi"/>
        </w:rPr>
        <w:t>”</w:t>
      </w:r>
      <w:r w:rsidR="00941CFC" w:rsidRPr="009434F9">
        <w:rPr>
          <w:rFonts w:cstheme="minorHAnsi"/>
        </w:rPr>
        <w:t xml:space="preserve"> </w:t>
      </w:r>
      <w:r w:rsidRPr="009434F9">
        <w:rPr>
          <w:rFonts w:cstheme="minorHAnsi"/>
        </w:rPr>
        <w:t>which licenses us to react with various participant attitudes to the person giving us the assurance (5).</w:t>
      </w:r>
      <w:r w:rsidR="000B2FC1" w:rsidRPr="009434F9">
        <w:rPr>
          <w:rStyle w:val="FootnoteReference"/>
          <w:rFonts w:cstheme="minorHAnsi"/>
        </w:rPr>
        <w:footnoteReference w:id="13"/>
      </w:r>
      <w:r w:rsidR="000B2FC1" w:rsidRPr="009434F9">
        <w:rPr>
          <w:rFonts w:cstheme="minorHAnsi"/>
        </w:rPr>
        <w:t xml:space="preserve"> </w:t>
      </w:r>
      <w:r w:rsidRPr="009434F9">
        <w:rPr>
          <w:rFonts w:cstheme="minorHAnsi"/>
        </w:rPr>
        <w:t>Giving an assurance</w:t>
      </w:r>
      <w:r w:rsidR="00C651C5" w:rsidRPr="009434F9">
        <w:rPr>
          <w:rFonts w:cstheme="minorHAnsi"/>
        </w:rPr>
        <w:t xml:space="preserve"> </w:t>
      </w:r>
      <w:r w:rsidRPr="009434F9">
        <w:rPr>
          <w:rFonts w:cstheme="minorHAnsi"/>
        </w:rPr>
        <w:t>is like</w:t>
      </w:r>
      <w:r w:rsidR="00C651C5" w:rsidRPr="009434F9">
        <w:rPr>
          <w:rFonts w:cstheme="minorHAnsi"/>
        </w:rPr>
        <w:t xml:space="preserve"> making</w:t>
      </w:r>
      <w:r w:rsidRPr="009434F9">
        <w:rPr>
          <w:rFonts w:cstheme="minorHAnsi"/>
        </w:rPr>
        <w:t xml:space="preserve"> a promise; epistemically deferring is, analogously, like believing the promisor. The interpersonal burden is on the person giving the assurance to ensure that it is true—if the assurance is false, the person who received the assurance can rightly feel betrayed, disappointed, or indignant, to give some examples. </w:t>
      </w:r>
    </w:p>
    <w:p w14:paraId="7B1F2A95" w14:textId="1C537CD9" w:rsidR="00001D13" w:rsidRPr="009434F9" w:rsidRDefault="00001D13" w:rsidP="006602A4">
      <w:pPr>
        <w:spacing w:line="480" w:lineRule="auto"/>
        <w:ind w:firstLine="720"/>
        <w:rPr>
          <w:rFonts w:cstheme="minorHAnsi"/>
        </w:rPr>
      </w:pPr>
      <w:r w:rsidRPr="009434F9">
        <w:rPr>
          <w:rFonts w:cstheme="minorHAnsi"/>
        </w:rPr>
        <w:t>Marušić writes that positive trust (our term) has two “functional roles”: “It stops enquiry and precludes doubt</w:t>
      </w:r>
      <w:r w:rsidRPr="009434F9">
        <w:rPr>
          <w:rFonts w:cstheme="minorHAnsi"/>
          <w:color w:val="222222"/>
          <w:shd w:val="clear" w:color="auto" w:fill="FFFFFF"/>
        </w:rPr>
        <w:t>”</w:t>
      </w:r>
      <w:r w:rsidRPr="009434F9">
        <w:rPr>
          <w:rFonts w:cstheme="minorHAnsi"/>
        </w:rPr>
        <w:t xml:space="preserve"> (4). When </w:t>
      </w:r>
      <w:r w:rsidR="008166C0" w:rsidRPr="009434F9">
        <w:rPr>
          <w:rFonts w:cstheme="minorHAnsi"/>
        </w:rPr>
        <w:t>the receiver</w:t>
      </w:r>
      <w:r w:rsidRPr="009434F9">
        <w:rPr>
          <w:rFonts w:cstheme="minorHAnsi"/>
        </w:rPr>
        <w:t xml:space="preserve"> epistemically defers, they trust the testifier in this positive way, accepting their assurance—they do not doubt that the testimony is true. This is not to say that </w:t>
      </w:r>
      <w:r w:rsidR="008166C0" w:rsidRPr="009434F9">
        <w:rPr>
          <w:rFonts w:cstheme="minorHAnsi"/>
        </w:rPr>
        <w:t>they</w:t>
      </w:r>
      <w:r w:rsidRPr="009434F9">
        <w:rPr>
          <w:rFonts w:cstheme="minorHAnsi"/>
        </w:rPr>
        <w:t xml:space="preserve"> cannot change their mind if presented with new information: epistemic deference is defeasible. However, when </w:t>
      </w:r>
      <w:r w:rsidR="008166C0" w:rsidRPr="009434F9">
        <w:rPr>
          <w:rFonts w:cstheme="minorHAnsi"/>
        </w:rPr>
        <w:t>the receiver</w:t>
      </w:r>
      <w:r w:rsidRPr="009434F9">
        <w:rPr>
          <w:rFonts w:cstheme="minorHAnsi"/>
        </w:rPr>
        <w:t xml:space="preserve"> epistemically defers, </w:t>
      </w:r>
      <w:r w:rsidR="008166C0" w:rsidRPr="009434F9">
        <w:rPr>
          <w:rFonts w:cstheme="minorHAnsi"/>
        </w:rPr>
        <w:t>they</w:t>
      </w:r>
      <w:r w:rsidRPr="009434F9">
        <w:rPr>
          <w:rFonts w:cstheme="minorHAnsi"/>
        </w:rPr>
        <w:t xml:space="preserve"> do not continue to seek out others’ opinions or purposefully inquire on the topic in order to determine the validity of the claim given by the assurance. This is as opposed to the evidential account, which sanctions the receiver to continue </w:t>
      </w:r>
      <w:r w:rsidRPr="009434F9">
        <w:rPr>
          <w:rFonts w:cstheme="minorHAnsi"/>
        </w:rPr>
        <w:lastRenderedPageBreak/>
        <w:t xml:space="preserve">actively attending to new evidence. In contrast, when </w:t>
      </w:r>
      <w:r w:rsidR="008166C0" w:rsidRPr="009434F9">
        <w:rPr>
          <w:rFonts w:cstheme="minorHAnsi"/>
        </w:rPr>
        <w:t>the receiver</w:t>
      </w:r>
      <w:r w:rsidRPr="009434F9">
        <w:rPr>
          <w:rFonts w:cstheme="minorHAnsi"/>
        </w:rPr>
        <w:t xml:space="preserve"> trusts in this positive sense, </w:t>
      </w:r>
      <w:r w:rsidR="008166C0" w:rsidRPr="009434F9">
        <w:rPr>
          <w:rFonts w:cstheme="minorHAnsi"/>
        </w:rPr>
        <w:t>they</w:t>
      </w:r>
      <w:r w:rsidRPr="009434F9">
        <w:rPr>
          <w:rFonts w:cstheme="minorHAnsi"/>
        </w:rPr>
        <w:t xml:space="preserve"> take the matter to be settled (though </w:t>
      </w:r>
      <w:r w:rsidR="008166C0" w:rsidRPr="009434F9">
        <w:rPr>
          <w:rFonts w:cstheme="minorHAnsi"/>
        </w:rPr>
        <w:t>their</w:t>
      </w:r>
      <w:r w:rsidRPr="009434F9">
        <w:rPr>
          <w:rFonts w:cstheme="minorHAnsi"/>
        </w:rPr>
        <w:t xml:space="preserve"> belief might change if new information comes to light). </w:t>
      </w:r>
    </w:p>
    <w:p w14:paraId="7FB54BC2" w14:textId="7EA3D8D0" w:rsidR="00C033BE" w:rsidRPr="009434F9" w:rsidRDefault="00001D13" w:rsidP="003D30FC">
      <w:pPr>
        <w:pStyle w:val="NormalWeb"/>
        <w:spacing w:before="0" w:beforeAutospacing="0" w:after="0" w:afterAutospacing="0" w:line="480" w:lineRule="auto"/>
        <w:ind w:firstLine="720"/>
        <w:contextualSpacing/>
        <w:rPr>
          <w:rFonts w:ascii="Garamond" w:hAnsi="Garamond" w:cstheme="minorHAnsi"/>
        </w:rPr>
      </w:pPr>
      <w:r w:rsidRPr="009434F9">
        <w:rPr>
          <w:rFonts w:ascii="Garamond" w:hAnsi="Garamond" w:cstheme="minorHAnsi"/>
        </w:rPr>
        <w:t xml:space="preserve">In contrast, the negative version of trust is warranted in the absence of good reasons to distrust. In this, we follow </w:t>
      </w:r>
      <w:r w:rsidR="00B3765F" w:rsidRPr="009434F9">
        <w:rPr>
          <w:rFonts w:ascii="Garamond" w:hAnsi="Garamond" w:cstheme="minorHAnsi"/>
          <w:color w:val="000000" w:themeColor="text1"/>
        </w:rPr>
        <w:t xml:space="preserve">Edward </w:t>
      </w:r>
      <w:r w:rsidRPr="009434F9">
        <w:rPr>
          <w:rFonts w:ascii="Garamond" w:hAnsi="Garamond" w:cstheme="minorHAnsi"/>
          <w:color w:val="000000" w:themeColor="text1"/>
        </w:rPr>
        <w:t>Hinchman (2005):</w:t>
      </w:r>
    </w:p>
    <w:p w14:paraId="394B67C4" w14:textId="0C060884" w:rsidR="00001D13" w:rsidRPr="009434F9" w:rsidRDefault="00001D13" w:rsidP="003D30FC">
      <w:pPr>
        <w:pStyle w:val="NormalWeb"/>
        <w:spacing w:before="0" w:beforeAutospacing="0" w:after="0" w:afterAutospacing="0"/>
        <w:ind w:left="720" w:right="720"/>
        <w:contextualSpacing/>
        <w:rPr>
          <w:rFonts w:ascii="Garamond" w:hAnsi="Garamond" w:cstheme="minorHAnsi"/>
        </w:rPr>
      </w:pPr>
      <w:r w:rsidRPr="009434F9">
        <w:rPr>
          <w:rFonts w:ascii="Garamond" w:hAnsi="Garamond" w:cstheme="minorHAnsi"/>
        </w:rPr>
        <w:t>Trust is a source of epistemic warrant just when it is epistemically reasonable. Trust is epistemically reasonable when the thing trusted is worthy of the trust—as long as there is no evidence available that it is untrustworthy. Assuming satisfaction of this negative evidential condition…, when an epistemic faculty is trustworthy by serving as a reliable guide to the truth, it makes available an entitlement to believe what it tells you whose basis lies simply in the fact that you trust it</w:t>
      </w:r>
      <w:r w:rsidR="00C033BE" w:rsidRPr="009434F9">
        <w:rPr>
          <w:rFonts w:ascii="Garamond" w:hAnsi="Garamond" w:cstheme="minorHAnsi"/>
        </w:rPr>
        <w:t>.</w:t>
      </w:r>
      <w:r w:rsidRPr="009434F9">
        <w:rPr>
          <w:rFonts w:ascii="Garamond" w:hAnsi="Garamond" w:cstheme="minorHAnsi"/>
        </w:rPr>
        <w:t xml:space="preserve"> (578-</w:t>
      </w:r>
      <w:r w:rsidR="00810D12" w:rsidRPr="009434F9">
        <w:rPr>
          <w:rFonts w:ascii="Garamond" w:hAnsi="Garamond" w:cstheme="minorHAnsi"/>
        </w:rPr>
        <w:t>7</w:t>
      </w:r>
      <w:r w:rsidRPr="009434F9">
        <w:rPr>
          <w:rFonts w:ascii="Garamond" w:hAnsi="Garamond" w:cstheme="minorHAnsi"/>
        </w:rPr>
        <w:t>9)</w:t>
      </w:r>
      <w:r w:rsidRPr="009434F9" w:rsidDel="00BF358F">
        <w:rPr>
          <w:rStyle w:val="FootnoteReference"/>
          <w:rFonts w:ascii="Garamond" w:hAnsi="Garamond" w:cstheme="minorHAnsi"/>
        </w:rPr>
        <w:t xml:space="preserve"> </w:t>
      </w:r>
    </w:p>
    <w:p w14:paraId="1CD8A4A5" w14:textId="1497D4AE" w:rsidR="00001D13" w:rsidRPr="009434F9" w:rsidRDefault="00001D13" w:rsidP="003D30FC">
      <w:pPr>
        <w:pStyle w:val="NormalWeb"/>
        <w:spacing w:before="0" w:beforeAutospacing="0" w:after="0" w:afterAutospacing="0"/>
        <w:ind w:left="720" w:right="720"/>
        <w:contextualSpacing/>
        <w:rPr>
          <w:rFonts w:ascii="Garamond" w:hAnsi="Garamond" w:cstheme="minorHAnsi"/>
        </w:rPr>
      </w:pPr>
    </w:p>
    <w:p w14:paraId="3E310AA2" w14:textId="77777777" w:rsidR="00001D13" w:rsidRPr="009434F9" w:rsidRDefault="00001D13" w:rsidP="006602A4">
      <w:pPr>
        <w:spacing w:line="480" w:lineRule="auto"/>
        <w:rPr>
          <w:rFonts w:cstheme="minorHAnsi"/>
        </w:rPr>
      </w:pPr>
      <w:r w:rsidRPr="009434F9">
        <w:rPr>
          <w:rFonts w:cstheme="minorHAnsi"/>
        </w:rPr>
        <w:t>Negative trust makes available a minimal justification to believe the testimony in a truth-connected way—but positive trust gives you thicker interpersonal reasons to believe, not simply because the information is available, but because someone has assured you that it is the case. Taken together, the positive and negative kinds of trust capture the interpersonal features of trust while ensuring that it is sufficiently truth tracking.</w:t>
      </w:r>
      <w:r w:rsidRPr="009434F9">
        <w:rPr>
          <w:rStyle w:val="FootnoteReference"/>
          <w:rFonts w:cstheme="minorHAnsi"/>
        </w:rPr>
        <w:footnoteReference w:id="14"/>
      </w:r>
      <w:r w:rsidRPr="009434F9">
        <w:rPr>
          <w:rFonts w:cstheme="minorHAnsi"/>
        </w:rPr>
        <w:t xml:space="preserve"> Epistemic deference requires that the receiver trusts the testifier in both of these ways. From here on, when we speak generally of “trust,” we mean this as an umbrella term, which encompasses both varieties. </w:t>
      </w:r>
    </w:p>
    <w:p w14:paraId="7A71C7A2" w14:textId="77777777" w:rsidR="00001D13" w:rsidRPr="009434F9" w:rsidRDefault="00001D13" w:rsidP="006602A4">
      <w:pPr>
        <w:spacing w:line="480" w:lineRule="auto"/>
        <w:ind w:firstLine="720"/>
        <w:rPr>
          <w:rFonts w:cstheme="minorHAnsi"/>
        </w:rPr>
      </w:pPr>
      <w:r w:rsidRPr="009434F9">
        <w:rPr>
          <w:rFonts w:cstheme="minorHAnsi"/>
        </w:rPr>
        <w:t>While we do not dismiss the importance of evidence, we take evidence to be distinct from assurance, which is an appeal to trusting the testifier in virtue of their interpersonal relationship, rather than merely by what evidence they have on offer.</w:t>
      </w:r>
      <w:r w:rsidRPr="009434F9">
        <w:rPr>
          <w:rStyle w:val="FootnoteReference"/>
          <w:rFonts w:cstheme="minorHAnsi"/>
        </w:rPr>
        <w:footnoteReference w:id="15"/>
      </w:r>
      <w:r w:rsidRPr="009434F9">
        <w:rPr>
          <w:rFonts w:cstheme="minorHAnsi"/>
        </w:rPr>
        <w:t xml:space="preserve"> The assurance—which is sometimes </w:t>
      </w:r>
      <w:r w:rsidRPr="009434F9">
        <w:rPr>
          <w:rFonts w:cstheme="minorHAnsi"/>
        </w:rPr>
        <w:lastRenderedPageBreak/>
        <w:t>implicit and sometimes explicit—will provide the epistemic justification, rather than the background conditions themselves.</w:t>
      </w:r>
    </w:p>
    <w:p w14:paraId="7A04896F" w14:textId="77777777" w:rsidR="00001D13" w:rsidRPr="009434F9" w:rsidRDefault="00001D13" w:rsidP="006602A4">
      <w:pPr>
        <w:spacing w:line="480" w:lineRule="auto"/>
        <w:rPr>
          <w:rFonts w:cstheme="minorHAnsi"/>
        </w:rPr>
      </w:pPr>
      <w:r w:rsidRPr="009434F9">
        <w:rPr>
          <w:rFonts w:cstheme="minorHAnsi"/>
        </w:rPr>
        <w:tab/>
        <w:t xml:space="preserve">To illustrate how epistemic deference works within the Assurance View, let us begin with a non-moral scenario. Take the case of a plumber who, upon inspecting my sink, diagnoses the broken garbage disposal as a result of my having carelessly disposed of artichoke leaves, too fibrous for my disposal to manage. The plumber’s assurance as to the cause of my broken garbage disposal acts as a type of guarantee—that according to the evidence he has as the relevant expert, this </w:t>
      </w:r>
      <w:r w:rsidRPr="009434F9">
        <w:rPr>
          <w:rFonts w:cstheme="minorHAnsi"/>
          <w:i/>
          <w:iCs/>
        </w:rPr>
        <w:t>is</w:t>
      </w:r>
      <w:r w:rsidRPr="009434F9">
        <w:rPr>
          <w:rFonts w:cstheme="minorHAnsi"/>
        </w:rPr>
        <w:t xml:space="preserve"> the proper diagnosis. When I epistemically defer, I accept the reason given by the assurance as a good reason and form the belief that the artichoke leaves were the cause of my clogged sink. </w:t>
      </w:r>
    </w:p>
    <w:p w14:paraId="62CC6C28" w14:textId="7E0487C5" w:rsidR="00C033BE" w:rsidRPr="009434F9" w:rsidRDefault="00001D13" w:rsidP="001C6E30">
      <w:pPr>
        <w:spacing w:line="480" w:lineRule="auto"/>
        <w:rPr>
          <w:rFonts w:cstheme="minorHAnsi"/>
          <w:noProof/>
        </w:rPr>
      </w:pPr>
      <w:r w:rsidRPr="009434F9">
        <w:rPr>
          <w:rFonts w:cstheme="minorHAnsi"/>
          <w:noProof/>
        </w:rPr>
        <w:tab/>
        <w:t xml:space="preserve">Whereas epistemic deference involves trusting the testifier in virtue of believing the assurance, actional deference does not require trust but merely requires that </w:t>
      </w:r>
      <w:r w:rsidR="008166C0" w:rsidRPr="009434F9">
        <w:rPr>
          <w:rFonts w:cstheme="minorHAnsi"/>
          <w:noProof/>
        </w:rPr>
        <w:t>the receiver</w:t>
      </w:r>
      <w:r w:rsidRPr="009434F9">
        <w:rPr>
          <w:rFonts w:cstheme="minorHAnsi"/>
          <w:noProof/>
        </w:rPr>
        <w:t xml:space="preserve"> </w:t>
      </w:r>
      <w:r w:rsidR="00F5292F" w:rsidRPr="00F5292F">
        <w:rPr>
          <w:rFonts w:cstheme="minorHAnsi"/>
          <w:noProof/>
        </w:rPr>
        <w:t>relies</w:t>
      </w:r>
      <w:r w:rsidR="00F5292F">
        <w:rPr>
          <w:rFonts w:cstheme="minorHAnsi"/>
          <w:noProof/>
        </w:rPr>
        <w:t xml:space="preserve"> </w:t>
      </w:r>
      <w:r w:rsidRPr="009434F9">
        <w:rPr>
          <w:rFonts w:cstheme="minorHAnsi"/>
          <w:noProof/>
        </w:rPr>
        <w:t>upon the testimony.</w:t>
      </w:r>
      <w:r w:rsidRPr="009434F9">
        <w:rPr>
          <w:rStyle w:val="FootnoteReference"/>
          <w:rFonts w:cstheme="minorHAnsi"/>
          <w:noProof/>
        </w:rPr>
        <w:footnoteReference w:id="16"/>
      </w:r>
      <w:r w:rsidRPr="009434F9">
        <w:rPr>
          <w:rFonts w:cstheme="minorHAnsi"/>
          <w:noProof/>
        </w:rPr>
        <w:t xml:space="preserve"> Our definition of “actional deference” is as follows:</w:t>
      </w:r>
    </w:p>
    <w:p w14:paraId="58A3DE6D" w14:textId="59EF4D9D" w:rsidR="00001D13" w:rsidRPr="009434F9" w:rsidRDefault="008166C0" w:rsidP="001C6E30">
      <w:pPr>
        <w:ind w:left="720"/>
        <w:rPr>
          <w:rFonts w:cstheme="minorHAnsi"/>
          <w:noProof/>
        </w:rPr>
      </w:pPr>
      <w:r w:rsidRPr="009434F9">
        <w:rPr>
          <w:rFonts w:cstheme="minorHAnsi"/>
          <w:noProof/>
        </w:rPr>
        <w:t>The receiver</w:t>
      </w:r>
      <w:r w:rsidR="00001D13" w:rsidRPr="009434F9">
        <w:rPr>
          <w:rFonts w:cstheme="minorHAnsi"/>
          <w:noProof/>
        </w:rPr>
        <w:t xml:space="preserve"> actionally defers to the testifier when </w:t>
      </w:r>
      <w:r w:rsidRPr="009434F9">
        <w:rPr>
          <w:rFonts w:cstheme="minorHAnsi"/>
          <w:noProof/>
        </w:rPr>
        <w:t>they</w:t>
      </w:r>
      <w:r w:rsidR="00001D13" w:rsidRPr="009434F9">
        <w:rPr>
          <w:rFonts w:cstheme="minorHAnsi"/>
          <w:noProof/>
        </w:rPr>
        <w:t xml:space="preserve"> act in accordance with and in response to the testimony that </w:t>
      </w:r>
      <w:r w:rsidRPr="009434F9">
        <w:rPr>
          <w:rFonts w:cstheme="minorHAnsi"/>
          <w:noProof/>
        </w:rPr>
        <w:t>they</w:t>
      </w:r>
      <w:r w:rsidR="00001D13" w:rsidRPr="009434F9">
        <w:rPr>
          <w:rFonts w:cstheme="minorHAnsi"/>
          <w:noProof/>
        </w:rPr>
        <w:t xml:space="preserve"> ha</w:t>
      </w:r>
      <w:r w:rsidRPr="009434F9">
        <w:rPr>
          <w:rFonts w:cstheme="minorHAnsi"/>
          <w:noProof/>
        </w:rPr>
        <w:t>ve</w:t>
      </w:r>
      <w:r w:rsidR="00001D13" w:rsidRPr="009434F9">
        <w:rPr>
          <w:rFonts w:cstheme="minorHAnsi"/>
          <w:noProof/>
        </w:rPr>
        <w:t xml:space="preserve"> received. </w:t>
      </w:r>
    </w:p>
    <w:p w14:paraId="52EC47E5" w14:textId="77777777" w:rsidR="00C033BE" w:rsidRPr="009434F9" w:rsidRDefault="00C033BE" w:rsidP="001C6E30">
      <w:pPr>
        <w:ind w:left="720"/>
        <w:rPr>
          <w:rFonts w:cstheme="minorHAnsi"/>
          <w:noProof/>
        </w:rPr>
      </w:pPr>
    </w:p>
    <w:p w14:paraId="2198D896" w14:textId="0E58C68F" w:rsidR="00001D13" w:rsidRPr="009434F9" w:rsidRDefault="00001D13" w:rsidP="006602A4">
      <w:pPr>
        <w:spacing w:line="480" w:lineRule="auto"/>
        <w:rPr>
          <w:rFonts w:cstheme="minorHAnsi"/>
        </w:rPr>
      </w:pPr>
      <w:r w:rsidRPr="009434F9">
        <w:rPr>
          <w:rFonts w:cstheme="minorHAnsi"/>
          <w:noProof/>
        </w:rPr>
        <w:t xml:space="preserve">Acting in accordance with the testimony does not require belief or trust—it only requires that </w:t>
      </w:r>
      <w:r w:rsidR="008166C0" w:rsidRPr="009434F9">
        <w:rPr>
          <w:rFonts w:cstheme="minorHAnsi"/>
          <w:noProof/>
        </w:rPr>
        <w:t>the receiver</w:t>
      </w:r>
      <w:r w:rsidRPr="009434F9">
        <w:rPr>
          <w:rFonts w:cstheme="minorHAnsi"/>
          <w:noProof/>
        </w:rPr>
        <w:t xml:space="preserve"> act in a way that is appropriate given the practical reason supplied by the testimony.</w:t>
      </w:r>
    </w:p>
    <w:p w14:paraId="7FB9B5ED" w14:textId="26900A25" w:rsidR="00001D13" w:rsidRPr="009434F9" w:rsidRDefault="00001D13" w:rsidP="006602A4">
      <w:pPr>
        <w:spacing w:line="480" w:lineRule="auto"/>
        <w:ind w:firstLine="720"/>
        <w:rPr>
          <w:rFonts w:eastAsia="Times New Roman" w:cstheme="minorHAnsi"/>
        </w:rPr>
      </w:pPr>
      <w:r w:rsidRPr="009434F9">
        <w:rPr>
          <w:rFonts w:cstheme="minorHAnsi"/>
        </w:rPr>
        <w:t>What does “acting in accordance with the testimony” mean? With some kinds of moral testimony such as “never do x,” “do x if y,” or “always do x” the answer seems clear. If the testimony is “never do x” and the receiver never does x in response to the testimony, the receiver has clearly acted in accordance with the testimony.</w:t>
      </w:r>
      <w:r w:rsidRPr="009434F9">
        <w:rPr>
          <w:rStyle w:val="FootnoteReference"/>
          <w:rFonts w:cstheme="minorHAnsi"/>
        </w:rPr>
        <w:footnoteReference w:id="17"/>
      </w:r>
      <w:r w:rsidRPr="009434F9">
        <w:rPr>
          <w:rFonts w:cstheme="minorHAnsi"/>
        </w:rPr>
        <w:t xml:space="preserve"> With less straightforward testimony, such as </w:t>
      </w:r>
      <w:r w:rsidRPr="009434F9">
        <w:rPr>
          <w:rFonts w:cstheme="minorHAnsi"/>
        </w:rPr>
        <w:lastRenderedPageBreak/>
        <w:t>“generally do x”</w:t>
      </w:r>
      <w:r w:rsidR="00F1511E" w:rsidRPr="009434F9">
        <w:rPr>
          <w:rFonts w:cstheme="minorHAnsi"/>
        </w:rPr>
        <w:t xml:space="preserve"> or</w:t>
      </w:r>
      <w:r w:rsidRPr="009434F9">
        <w:rPr>
          <w:rFonts w:cstheme="minorHAnsi"/>
        </w:rPr>
        <w:t xml:space="preserve"> “sometimes do x</w:t>
      </w:r>
      <w:r w:rsidR="00F1511E" w:rsidRPr="009434F9">
        <w:rPr>
          <w:rFonts w:cstheme="minorHAnsi"/>
        </w:rPr>
        <w:t>,</w:t>
      </w:r>
      <w:r w:rsidRPr="009434F9">
        <w:rPr>
          <w:rFonts w:cstheme="minorHAnsi"/>
        </w:rPr>
        <w:t xml:space="preserve">” the receiver may have to </w:t>
      </w:r>
      <w:r w:rsidR="00F1511E" w:rsidRPr="009434F9">
        <w:rPr>
          <w:rFonts w:cstheme="minorHAnsi"/>
        </w:rPr>
        <w:t>investigate</w:t>
      </w:r>
      <w:r w:rsidRPr="009434F9">
        <w:rPr>
          <w:rFonts w:cstheme="minorHAnsi"/>
        </w:rPr>
        <w:t xml:space="preserve"> further to discover the right conditions for actional deference and do the best they can in the meantime.</w:t>
      </w:r>
      <w:r w:rsidRPr="009434F9">
        <w:rPr>
          <w:rStyle w:val="FootnoteReference"/>
          <w:rFonts w:cstheme="minorHAnsi"/>
        </w:rPr>
        <w:footnoteReference w:id="18"/>
      </w:r>
      <w:r w:rsidRPr="009434F9">
        <w:rPr>
          <w:rFonts w:cstheme="minorHAnsi"/>
        </w:rPr>
        <w:t xml:space="preserve"> </w:t>
      </w:r>
      <w:r w:rsidRPr="009434F9">
        <w:rPr>
          <w:rFonts w:eastAsia="Times New Roman" w:cstheme="minorHAnsi"/>
        </w:rPr>
        <w:t xml:space="preserve">Often, depending on the content of the testimony and the context in which it is given, there will be a number of appropriate ways </w:t>
      </w:r>
      <w:r w:rsidR="008166C0" w:rsidRPr="009434F9">
        <w:rPr>
          <w:rFonts w:eastAsia="Times New Roman" w:cstheme="minorHAnsi"/>
        </w:rPr>
        <w:t>to</w:t>
      </w:r>
      <w:r w:rsidRPr="009434F9">
        <w:rPr>
          <w:rFonts w:eastAsia="Times New Roman" w:cstheme="minorHAnsi"/>
        </w:rPr>
        <w:t xml:space="preserve"> act. For instance, if my child’s pediatrician tells me that it’s important to vaccinate children and warns me against anti-vax propaganda, I may vaccinate my children, encourage my friends and family to vaccinate their children, or say something if I see a friend post anti-vax misinformation on social media. If I do any of these things, I act in accordance with the testimony given and, in doing so, rely on the doctor’s testimony.</w:t>
      </w:r>
    </w:p>
    <w:p w14:paraId="12853139" w14:textId="3996A02E" w:rsidR="00001D13" w:rsidRPr="009434F9" w:rsidRDefault="00001D13" w:rsidP="006602A4">
      <w:pPr>
        <w:spacing w:line="480" w:lineRule="auto"/>
        <w:ind w:firstLine="720"/>
        <w:rPr>
          <w:rFonts w:cstheme="minorHAnsi"/>
        </w:rPr>
      </w:pPr>
      <w:r w:rsidRPr="009434F9">
        <w:rPr>
          <w:rFonts w:cstheme="minorHAnsi"/>
        </w:rPr>
        <w:t xml:space="preserve">When </w:t>
      </w:r>
      <w:r w:rsidR="008166C0" w:rsidRPr="009434F9">
        <w:rPr>
          <w:rFonts w:cstheme="minorHAnsi"/>
        </w:rPr>
        <w:t>the receiver</w:t>
      </w:r>
      <w:r w:rsidRPr="009434F9">
        <w:rPr>
          <w:rFonts w:cstheme="minorHAnsi"/>
        </w:rPr>
        <w:t xml:space="preserve"> actionally defers in response to testimony, </w:t>
      </w:r>
      <w:r w:rsidR="008166C0" w:rsidRPr="009434F9">
        <w:rPr>
          <w:rFonts w:cstheme="minorHAnsi"/>
        </w:rPr>
        <w:t>they</w:t>
      </w:r>
      <w:r w:rsidRPr="009434F9">
        <w:rPr>
          <w:rFonts w:cstheme="minorHAnsi"/>
        </w:rPr>
        <w:t xml:space="preserve"> take the testimony to provide a reason for action. Like any moral reason, it may be overridden by stronger reasons for action. For example, if I am told by a woman that I shouldn’t touch women without their explicit consent, I do not fail to actionally defer to that testimony by grabbing a woman who is about to fall off a cliff, even if she does not explicitly consent. There is a stronger reason to preserve her life that reveals an exception to the general moral claim. Even if the reason for action presented by the testimony is overridden in certain cases, I actionally defer if I act in accordance with the strength of the reason given by the testimony.</w:t>
      </w:r>
    </w:p>
    <w:p w14:paraId="1ABE0F62" w14:textId="77777777" w:rsidR="00001D13" w:rsidRPr="009434F9" w:rsidRDefault="00001D13" w:rsidP="006602A4">
      <w:pPr>
        <w:spacing w:line="480" w:lineRule="auto"/>
        <w:rPr>
          <w:rFonts w:cstheme="minorHAnsi"/>
          <w:noProof/>
        </w:rPr>
      </w:pPr>
      <w:r w:rsidRPr="009434F9">
        <w:rPr>
          <w:rFonts w:cstheme="minorHAnsi"/>
          <w:noProof/>
        </w:rPr>
        <w:lastRenderedPageBreak/>
        <w:tab/>
        <w:t xml:space="preserve">While ideally we would epistemically defer in cases in which we have good reason to trust the testifier and hence believe the testimony, actional deference does not require those things. Importantly, it is governed by practical reasons for action. </w:t>
      </w:r>
    </w:p>
    <w:p w14:paraId="0860D482" w14:textId="77777777" w:rsidR="00001D13" w:rsidRPr="009434F9" w:rsidRDefault="00001D13" w:rsidP="006602A4">
      <w:pPr>
        <w:spacing w:line="480" w:lineRule="auto"/>
        <w:ind w:firstLine="720"/>
        <w:rPr>
          <w:rFonts w:cstheme="minorHAnsi"/>
          <w:noProof/>
        </w:rPr>
      </w:pPr>
      <w:r w:rsidRPr="009434F9">
        <w:rPr>
          <w:rFonts w:cstheme="minorHAnsi"/>
          <w:noProof/>
        </w:rPr>
        <w:t>For example, suppose I am playing a game in which my teammates are attempting to give me information from a manual they possess to disarm a digital bomb, where my teammates only have access to the manual and I only have access to the bomb. Suppose that in past instances of this game I have found that my teammates have often lead me astray because they have missed important details in the complex manual. In this particular game, I now have only 2 seconds left to disarm the bomb and my teammates tell me to press the red button. Even though I might reasonably fail to trust my teammates and believe that this is the right thing to do, I must rely on their testimony to have a chance of winning the game and diffusing the bomb. When I press the red button, the bomb might explode and I might lose the game, despite my practical reason being to win the game. Thus, I actionally defer to my teammates without epistemically deferring to them.</w:t>
      </w:r>
    </w:p>
    <w:p w14:paraId="05C531A8" w14:textId="06EAADBD" w:rsidR="00001D13" w:rsidRPr="009434F9" w:rsidRDefault="00001D13" w:rsidP="006602A4">
      <w:pPr>
        <w:spacing w:line="480" w:lineRule="auto"/>
        <w:ind w:firstLine="720"/>
        <w:rPr>
          <w:rFonts w:cstheme="minorHAnsi"/>
          <w:noProof/>
        </w:rPr>
      </w:pPr>
      <w:r w:rsidRPr="009434F9">
        <w:rPr>
          <w:rFonts w:cstheme="minorHAnsi"/>
          <w:noProof/>
        </w:rPr>
        <w:t>Epistemic deference and actional deference can also come apart in the other direction. I may epistemically defer to the testimony of a local community activist when they say that this holiday season, it is important to hold your relatives responsible when they say racist things at the dinner table. And yet, though I may truly believe this is the morally right thing to do, I may also fail to actionally defer. Say, for example, that at Christmas my 90-year-old grandmother makes a veiled racist comment in passing before continuing onto another tangent. Perhaps I am unwilling to cause my grandmother and other family members discomfort by backpeddling the conversation to the inappropriate comment and focusing in for a teaching moment. I may make excuses for myself—“it happened so fast!” or “she’s 90 years old, is this really the moment to talk to her about racism?” Such a case shows that it is possible to split the distinction in the opposite direction—to sincerely epistemically defer and yet fail to actionally defer.</w:t>
      </w:r>
    </w:p>
    <w:p w14:paraId="790EB6DF" w14:textId="77777777" w:rsidR="00001D13" w:rsidRPr="009434F9" w:rsidRDefault="00001D13" w:rsidP="006602A4">
      <w:pPr>
        <w:spacing w:line="480" w:lineRule="auto"/>
        <w:ind w:firstLine="720"/>
        <w:rPr>
          <w:rFonts w:cstheme="minorHAnsi"/>
        </w:rPr>
      </w:pPr>
      <w:r w:rsidRPr="009434F9">
        <w:rPr>
          <w:rFonts w:cstheme="minorHAnsi"/>
        </w:rPr>
        <w:lastRenderedPageBreak/>
        <w:t xml:space="preserve">In this section we have defined two distinct varieties of deference. We now turn to motivating a </w:t>
      </w:r>
      <w:r w:rsidRPr="009434F9">
        <w:rPr>
          <w:rFonts w:cstheme="minorHAnsi"/>
          <w:i/>
          <w:iCs/>
        </w:rPr>
        <w:t>prima facie</w:t>
      </w:r>
      <w:r w:rsidRPr="009434F9">
        <w:rPr>
          <w:rFonts w:cstheme="minorHAnsi"/>
        </w:rPr>
        <w:t xml:space="preserve"> duty to epistemically defer.</w:t>
      </w:r>
    </w:p>
    <w:p w14:paraId="448A75BC" w14:textId="77777777" w:rsidR="00001D13" w:rsidRPr="009434F9" w:rsidRDefault="00001D13" w:rsidP="00752DCF">
      <w:pPr>
        <w:rPr>
          <w:rFonts w:cstheme="minorHAnsi"/>
        </w:rPr>
      </w:pPr>
    </w:p>
    <w:p w14:paraId="0ED3765B" w14:textId="0DD78864" w:rsidR="00001D13" w:rsidRPr="009434F9" w:rsidRDefault="004D46B8" w:rsidP="006602A4">
      <w:pPr>
        <w:spacing w:line="480" w:lineRule="auto"/>
        <w:rPr>
          <w:rFonts w:cstheme="minorHAnsi"/>
          <w:b/>
          <w:bCs/>
        </w:rPr>
      </w:pPr>
      <w:r w:rsidRPr="009434F9">
        <w:rPr>
          <w:rFonts w:cstheme="minorHAnsi"/>
          <w:b/>
          <w:bCs/>
        </w:rPr>
        <w:t xml:space="preserve">2. </w:t>
      </w:r>
      <w:r w:rsidR="00001D13" w:rsidRPr="009434F9">
        <w:rPr>
          <w:rFonts w:cstheme="minorHAnsi"/>
          <w:b/>
          <w:bCs/>
        </w:rPr>
        <w:t>Why You Ought to Epistemically Defer</w:t>
      </w:r>
    </w:p>
    <w:p w14:paraId="6170385B" w14:textId="464FA3C8" w:rsidR="00001D13" w:rsidRPr="009434F9" w:rsidRDefault="00001D13" w:rsidP="006602A4">
      <w:pPr>
        <w:spacing w:line="480" w:lineRule="auto"/>
        <w:rPr>
          <w:rFonts w:cstheme="minorHAnsi"/>
        </w:rPr>
      </w:pPr>
      <w:r w:rsidRPr="009434F9">
        <w:rPr>
          <w:rFonts w:cstheme="minorHAnsi"/>
          <w:b/>
          <w:bCs/>
        </w:rPr>
        <w:tab/>
      </w:r>
      <w:r w:rsidRPr="009434F9">
        <w:rPr>
          <w:rFonts w:cstheme="minorHAnsi"/>
        </w:rPr>
        <w:t>Imagine again that you are a cis-gendered person who has been told by a non-binary person that your well-meaning, whimsical bathroom sign is actually rather offensive. Assume no explanation is given. Should you epistemically defer?</w:t>
      </w:r>
    </w:p>
    <w:p w14:paraId="292ED6D9" w14:textId="2A650425" w:rsidR="00001D13" w:rsidRPr="009434F9" w:rsidRDefault="00001D13" w:rsidP="006602A4">
      <w:pPr>
        <w:spacing w:line="480" w:lineRule="auto"/>
        <w:ind w:firstLine="720"/>
        <w:rPr>
          <w:rFonts w:cstheme="minorHAnsi"/>
        </w:rPr>
      </w:pPr>
      <w:r w:rsidRPr="009434F9">
        <w:rPr>
          <w:rFonts w:cstheme="minorHAnsi"/>
        </w:rPr>
        <w:t xml:space="preserve">We argue that </w:t>
      </w:r>
      <w:r w:rsidR="00F1511E" w:rsidRPr="009434F9">
        <w:rPr>
          <w:rFonts w:cstheme="minorHAnsi"/>
        </w:rPr>
        <w:t>there is</w:t>
      </w:r>
      <w:r w:rsidRPr="009434F9">
        <w:rPr>
          <w:rFonts w:cstheme="minorHAnsi"/>
        </w:rPr>
        <w:t xml:space="preserve"> good epistemic reason to epistemically defer when 1) the receiver justifiably believes that the testifier has more relevant expertise about </w:t>
      </w:r>
      <w:r w:rsidRPr="009434F9">
        <w:rPr>
          <w:rFonts w:cstheme="minorHAnsi"/>
          <w:i/>
          <w:iCs/>
        </w:rPr>
        <w:t xml:space="preserve">p </w:t>
      </w:r>
      <w:r w:rsidRPr="009434F9">
        <w:rPr>
          <w:rFonts w:cstheme="minorHAnsi"/>
        </w:rPr>
        <w:t xml:space="preserve">(and as such the </w:t>
      </w:r>
      <w:r w:rsidR="00384196">
        <w:rPr>
          <w:rFonts w:cstheme="minorHAnsi"/>
        </w:rPr>
        <w:t xml:space="preserve">receiver believes the </w:t>
      </w:r>
      <w:r w:rsidRPr="009434F9">
        <w:rPr>
          <w:rFonts w:cstheme="minorHAnsi"/>
        </w:rPr>
        <w:t xml:space="preserve">testifier </w:t>
      </w:r>
      <w:r w:rsidR="00384196">
        <w:rPr>
          <w:rFonts w:cstheme="minorHAnsi"/>
        </w:rPr>
        <w:t xml:space="preserve">to </w:t>
      </w:r>
      <w:r w:rsidRPr="009434F9">
        <w:rPr>
          <w:rFonts w:cstheme="minorHAnsi"/>
        </w:rPr>
        <w:t xml:space="preserve">have greater epistemic authority), 2) the receiver lacks good overriding reasons against </w:t>
      </w:r>
      <w:r w:rsidRPr="009434F9">
        <w:rPr>
          <w:rFonts w:cstheme="minorHAnsi"/>
          <w:i/>
          <w:iCs/>
        </w:rPr>
        <w:t>p</w:t>
      </w:r>
      <w:r w:rsidRPr="009434F9">
        <w:rPr>
          <w:rFonts w:cstheme="minorHAnsi"/>
        </w:rPr>
        <w:t>, meaning that negative trust is warranted, and 3) the receiver</w:t>
      </w:r>
      <w:r w:rsidR="00384196">
        <w:rPr>
          <w:rFonts w:cstheme="minorHAnsi"/>
        </w:rPr>
        <w:t xml:space="preserve"> should</w:t>
      </w:r>
      <w:r w:rsidRPr="009434F9">
        <w:rPr>
          <w:rFonts w:cstheme="minorHAnsi"/>
        </w:rPr>
        <w:t xml:space="preserve"> positively </w:t>
      </w:r>
      <w:r w:rsidR="00384196">
        <w:rPr>
          <w:rFonts w:cstheme="minorHAnsi"/>
        </w:rPr>
        <w:t>trust</w:t>
      </w:r>
      <w:r w:rsidRPr="009434F9">
        <w:rPr>
          <w:rFonts w:cstheme="minorHAnsi"/>
        </w:rPr>
        <w:t xml:space="preserve"> the testifier on the issue about which they are testifying.</w:t>
      </w:r>
      <w:r w:rsidRPr="009434F9">
        <w:rPr>
          <w:rStyle w:val="FootnoteReference"/>
          <w:rFonts w:cstheme="minorHAnsi"/>
        </w:rPr>
        <w:footnoteReference w:id="19"/>
      </w:r>
    </w:p>
    <w:p w14:paraId="04F509DE" w14:textId="165DC866" w:rsidR="00001D13" w:rsidRPr="009434F9" w:rsidRDefault="00001D13" w:rsidP="006602A4">
      <w:pPr>
        <w:spacing w:line="480" w:lineRule="auto"/>
        <w:ind w:firstLine="720"/>
        <w:rPr>
          <w:rFonts w:cstheme="minorHAnsi"/>
        </w:rPr>
      </w:pPr>
      <w:r w:rsidRPr="009434F9">
        <w:rPr>
          <w:rFonts w:cstheme="minorHAnsi"/>
        </w:rPr>
        <w:t>The first condition provides us with an epistemic reason to defer.</w:t>
      </w:r>
      <w:r w:rsidRPr="009434F9">
        <w:rPr>
          <w:rStyle w:val="FootnoteReference"/>
          <w:rFonts w:cstheme="minorHAnsi"/>
        </w:rPr>
        <w:footnoteReference w:id="20"/>
      </w:r>
      <w:r w:rsidRPr="009434F9">
        <w:rPr>
          <w:rFonts w:cstheme="minorHAnsi"/>
        </w:rPr>
        <w:t xml:space="preserve"> While full-fledged expertise provides the strongest basis for epistemic authority, it is not necessary. A much weaker condition is sufficient for epistemic deference, depending on the context of the situation: the testifier need only to be </w:t>
      </w:r>
      <w:r w:rsidRPr="009434F9">
        <w:rPr>
          <w:rFonts w:cstheme="minorHAnsi"/>
          <w:i/>
          <w:iCs/>
        </w:rPr>
        <w:t>better</w:t>
      </w:r>
      <w:r w:rsidRPr="009434F9">
        <w:rPr>
          <w:rFonts w:cstheme="minorHAnsi"/>
        </w:rPr>
        <w:t xml:space="preserve"> informed about the relevant information than the receiver in order for the receiver to be justified in deferring to the testifier.</w:t>
      </w:r>
      <w:r w:rsidRPr="009434F9">
        <w:rPr>
          <w:rStyle w:val="FootnoteReference"/>
          <w:rFonts w:cstheme="minorHAnsi"/>
        </w:rPr>
        <w:footnoteReference w:id="21"/>
      </w:r>
      <w:r w:rsidRPr="009434F9">
        <w:rPr>
          <w:rFonts w:cstheme="minorHAnsi"/>
        </w:rPr>
        <w:t xml:space="preserve"> The second condition ensures that we are unjustified in deferring to a testifier about a proposition that we have </w:t>
      </w:r>
      <w:r w:rsidR="00D07D71">
        <w:rPr>
          <w:rFonts w:cstheme="minorHAnsi"/>
        </w:rPr>
        <w:t xml:space="preserve">good </w:t>
      </w:r>
      <w:r w:rsidRPr="009434F9">
        <w:rPr>
          <w:rFonts w:cstheme="minorHAnsi"/>
        </w:rPr>
        <w:t>reason to believe is untrue, misleading, or distorted.</w:t>
      </w:r>
      <w:r w:rsidRPr="009434F9">
        <w:rPr>
          <w:rStyle w:val="FootnoteReference"/>
          <w:rFonts w:cstheme="minorHAnsi"/>
        </w:rPr>
        <w:footnoteReference w:id="22"/>
      </w:r>
      <w:r w:rsidRPr="009434F9">
        <w:rPr>
          <w:rFonts w:cstheme="minorHAnsi"/>
        </w:rPr>
        <w:t xml:space="preserve"> Depending on the circumstances of the case, the third condition can represent either an epistemic “should,” or both an epistemic and a moral “should.” The </w:t>
      </w:r>
      <w:r w:rsidRPr="009434F9">
        <w:rPr>
          <w:rFonts w:cstheme="minorHAnsi"/>
        </w:rPr>
        <w:lastRenderedPageBreak/>
        <w:t xml:space="preserve">epistemic “should” captures the requirement that epistemic deference meets the conditions of positive, interpersonal trust. The moral “should” excludes those who would withhold trust for the wrong reasons, such as prejudice or discrimination. Conditions one and three positively justify deference and condition two is a negative condition: </w:t>
      </w:r>
      <w:r w:rsidR="00F1511E" w:rsidRPr="009434F9">
        <w:rPr>
          <w:rFonts w:cstheme="minorHAnsi"/>
        </w:rPr>
        <w:t>the receiver</w:t>
      </w:r>
      <w:r w:rsidRPr="009434F9">
        <w:rPr>
          <w:rFonts w:cstheme="minorHAnsi"/>
        </w:rPr>
        <w:t xml:space="preserve"> must lack any good overriding reason that would defeat the testimony. As such, our account both values the interpersonal features of trust and assurance and is epistemically truth-tracking.</w:t>
      </w:r>
    </w:p>
    <w:p w14:paraId="4788449E" w14:textId="77777777" w:rsidR="00001D13" w:rsidRPr="009434F9" w:rsidRDefault="00001D13" w:rsidP="006602A4">
      <w:pPr>
        <w:spacing w:line="480" w:lineRule="auto"/>
        <w:ind w:right="720" w:firstLine="720"/>
        <w:rPr>
          <w:rFonts w:cstheme="minorHAnsi"/>
        </w:rPr>
      </w:pPr>
      <w:r w:rsidRPr="009434F9">
        <w:rPr>
          <w:rFonts w:cstheme="minorHAnsi"/>
          <w:szCs w:val="20"/>
        </w:rPr>
        <w:t xml:space="preserve">Taken together, these three conditions provide us with a justified foundation for epistemic deference. That is, they provide us with sufficiently good reason to epistemically defer, though we may be obligated when there is moral reason to defer. </w:t>
      </w:r>
    </w:p>
    <w:p w14:paraId="51BD395D" w14:textId="77777777" w:rsidR="00001D13" w:rsidRPr="009434F9" w:rsidRDefault="00001D13" w:rsidP="006602A4">
      <w:pPr>
        <w:spacing w:line="480" w:lineRule="auto"/>
        <w:ind w:firstLine="720"/>
        <w:rPr>
          <w:rFonts w:cstheme="minorHAnsi"/>
        </w:rPr>
      </w:pPr>
      <w:r w:rsidRPr="009434F9">
        <w:rPr>
          <w:rFonts w:cstheme="minorHAnsi"/>
        </w:rPr>
        <w:t xml:space="preserve">Return to our central case: do you have good reason to epistemically defer when the testifier is testifying about their marginalized experience and they are a member of a marginalized group that you are not? Take our condition 1) that the testifier has more relevant expertise about </w:t>
      </w:r>
      <w:r w:rsidRPr="009434F9">
        <w:rPr>
          <w:rFonts w:cstheme="minorHAnsi"/>
          <w:i/>
          <w:iCs/>
        </w:rPr>
        <w:t xml:space="preserve">p </w:t>
      </w:r>
      <w:r w:rsidRPr="009434F9">
        <w:rPr>
          <w:rFonts w:cstheme="minorHAnsi"/>
        </w:rPr>
        <w:t>than the receiver and as such has greater epistemic authority than the receiver. We argue that members of marginalized groups have greater relevant expertise regarding claims about their experiences qua member of that marginalized group than non-members. For example, a person with a disability that requires them to use a scooter will have (at the very least) greater non-moral knowledge than an abled person with regard to the accessibility of the various places they go.</w:t>
      </w:r>
    </w:p>
    <w:p w14:paraId="634E8810" w14:textId="77777777" w:rsidR="00001D13" w:rsidRPr="009434F9" w:rsidRDefault="00001D13" w:rsidP="006602A4">
      <w:pPr>
        <w:spacing w:line="480" w:lineRule="auto"/>
        <w:ind w:firstLine="720"/>
        <w:rPr>
          <w:rFonts w:cstheme="minorHAnsi"/>
        </w:rPr>
      </w:pPr>
      <w:r w:rsidRPr="009434F9">
        <w:rPr>
          <w:rFonts w:cstheme="minorHAnsi"/>
          <w:lang w:val="en"/>
        </w:rPr>
        <w:t xml:space="preserve">Take our condition 2) that </w:t>
      </w:r>
      <w:r w:rsidRPr="009434F9">
        <w:rPr>
          <w:rFonts w:cstheme="minorHAnsi"/>
        </w:rPr>
        <w:t xml:space="preserve">the receiver lacks good, overriding reasons against </w:t>
      </w:r>
      <w:r w:rsidRPr="009434F9">
        <w:rPr>
          <w:rFonts w:cstheme="minorHAnsi"/>
          <w:i/>
          <w:iCs/>
        </w:rPr>
        <w:t>p</w:t>
      </w:r>
      <w:r w:rsidRPr="009434F9">
        <w:rPr>
          <w:rFonts w:cstheme="minorHAnsi"/>
        </w:rPr>
        <w:t xml:space="preserve">. If the receiver has no good reason to distrust the testifier, then our conditions for negative trust are fulfilled. Receivers should be careful not to be misled by various unjustified rationales that cast doubt on the truth of the testimony given by marginalized individuals, e.g., “you’re just emotional,” “you’re just an angry Black woman,” “you can’t be objective about this,” etc. </w:t>
      </w:r>
    </w:p>
    <w:p w14:paraId="56C6C180" w14:textId="21C60260" w:rsidR="00001D13" w:rsidRPr="009434F9" w:rsidRDefault="00001D13" w:rsidP="006602A4">
      <w:pPr>
        <w:spacing w:line="480" w:lineRule="auto"/>
        <w:ind w:firstLine="720"/>
        <w:rPr>
          <w:rFonts w:cstheme="minorHAnsi"/>
        </w:rPr>
      </w:pPr>
      <w:r w:rsidRPr="009434F9">
        <w:rPr>
          <w:rFonts w:cstheme="minorHAnsi"/>
        </w:rPr>
        <w:lastRenderedPageBreak/>
        <w:t xml:space="preserve">Take our condition 3. </w:t>
      </w:r>
      <w:r w:rsidR="00384196">
        <w:rPr>
          <w:rFonts w:cstheme="minorHAnsi"/>
        </w:rPr>
        <w:t>Should you trust</w:t>
      </w:r>
      <w:r w:rsidRPr="009434F9">
        <w:rPr>
          <w:rFonts w:cstheme="minorHAnsi"/>
        </w:rPr>
        <w:t xml:space="preserve"> the marginalized testifier on the basis of the assurance? If our first two conditions are fulfilled, then you have good epistemic reason to positively trust the testifier, where that reason is provided by the assurance itself. </w:t>
      </w:r>
    </w:p>
    <w:p w14:paraId="21FA36B9" w14:textId="77777777" w:rsidR="00001D13" w:rsidRPr="009434F9" w:rsidRDefault="00001D13" w:rsidP="006602A4">
      <w:pPr>
        <w:spacing w:line="480" w:lineRule="auto"/>
        <w:ind w:firstLine="720"/>
        <w:rPr>
          <w:rFonts w:cstheme="minorHAnsi"/>
        </w:rPr>
      </w:pPr>
      <w:r w:rsidRPr="009434F9">
        <w:rPr>
          <w:rFonts w:cstheme="minorHAnsi"/>
        </w:rPr>
        <w:t xml:space="preserve">In sum, we have good reason to epistemically defer when we have reason to believe that a testifier is in a better position to know </w:t>
      </w:r>
      <w:r w:rsidRPr="009434F9">
        <w:rPr>
          <w:rFonts w:cstheme="minorHAnsi"/>
          <w:i/>
          <w:iCs/>
        </w:rPr>
        <w:t>p</w:t>
      </w:r>
      <w:r w:rsidRPr="009434F9">
        <w:rPr>
          <w:rFonts w:cstheme="minorHAnsi"/>
        </w:rPr>
        <w:t>, there is no reason to distrust the testifier, and positive trust is warranted by the testifier’s assurance.</w:t>
      </w:r>
    </w:p>
    <w:p w14:paraId="17122E47" w14:textId="4F6206F4" w:rsidR="00001D13" w:rsidRPr="009434F9" w:rsidRDefault="00001D13" w:rsidP="006602A4">
      <w:pPr>
        <w:spacing w:line="480" w:lineRule="auto"/>
        <w:ind w:firstLine="720"/>
        <w:rPr>
          <w:rFonts w:cstheme="minorHAnsi"/>
        </w:rPr>
      </w:pPr>
      <w:r w:rsidRPr="009434F9">
        <w:rPr>
          <w:rFonts w:cstheme="minorHAnsi"/>
        </w:rPr>
        <w:t xml:space="preserve">The preceding discussion has focused primarily on epistemic reasons to defer; however, there are also moral reasons to defer in the kinds of cases with which we are concerned. When our three conditions are met and </w:t>
      </w:r>
      <w:r w:rsidR="00F1511E" w:rsidRPr="009434F9">
        <w:rPr>
          <w:rFonts w:cstheme="minorHAnsi"/>
        </w:rPr>
        <w:t>you</w:t>
      </w:r>
      <w:r w:rsidRPr="009434F9">
        <w:rPr>
          <w:rFonts w:cstheme="minorHAnsi"/>
        </w:rPr>
        <w:t xml:space="preserve"> fail to defer to marginalized individuals testifying about their own experience, </w:t>
      </w:r>
      <w:r w:rsidR="00F1511E" w:rsidRPr="009434F9">
        <w:rPr>
          <w:rFonts w:cstheme="minorHAnsi"/>
        </w:rPr>
        <w:t>you</w:t>
      </w:r>
      <w:r w:rsidRPr="009434F9">
        <w:rPr>
          <w:rFonts w:cstheme="minorHAnsi"/>
        </w:rPr>
        <w:t xml:space="preserve"> fail to treat them with proper respect. This failure of respect might occur in two different ways.</w:t>
      </w:r>
      <w:r w:rsidRPr="009434F9">
        <w:rPr>
          <w:rStyle w:val="FootnoteReference"/>
          <w:rFonts w:cstheme="minorHAnsi"/>
        </w:rPr>
        <w:footnoteReference w:id="23"/>
      </w:r>
      <w:r w:rsidRPr="009434F9">
        <w:rPr>
          <w:rFonts w:cstheme="minorHAnsi"/>
        </w:rPr>
        <w:t xml:space="preserve"> First, it might be a matter of failing to give proper appraisal respect, or respect for a person in light of their merits or excellences. If </w:t>
      </w:r>
      <w:r w:rsidR="00F1511E" w:rsidRPr="009434F9">
        <w:rPr>
          <w:rFonts w:cstheme="minorHAnsi"/>
        </w:rPr>
        <w:t>you</w:t>
      </w:r>
      <w:r w:rsidRPr="009434F9">
        <w:rPr>
          <w:rFonts w:cstheme="minorHAnsi"/>
        </w:rPr>
        <w:t xml:space="preserve"> do not defer to a marginalized person because </w:t>
      </w:r>
      <w:r w:rsidR="00F1511E" w:rsidRPr="009434F9">
        <w:rPr>
          <w:rFonts w:cstheme="minorHAnsi"/>
        </w:rPr>
        <w:t>you</w:t>
      </w:r>
      <w:r w:rsidRPr="009434F9">
        <w:rPr>
          <w:rFonts w:cstheme="minorHAnsi"/>
        </w:rPr>
        <w:t xml:space="preserve"> </w:t>
      </w:r>
      <w:r w:rsidR="00424116" w:rsidRPr="009434F9">
        <w:rPr>
          <w:rFonts w:cstheme="minorHAnsi"/>
        </w:rPr>
        <w:t>do not</w:t>
      </w:r>
      <w:r w:rsidRPr="009434F9">
        <w:rPr>
          <w:rFonts w:cstheme="minorHAnsi"/>
        </w:rPr>
        <w:t xml:space="preserve"> appreciate their expertise and authoritative standing as an epistemic agent, </w:t>
      </w:r>
      <w:r w:rsidR="00F1511E" w:rsidRPr="009434F9">
        <w:rPr>
          <w:rFonts w:cstheme="minorHAnsi"/>
        </w:rPr>
        <w:t>you</w:t>
      </w:r>
      <w:r w:rsidRPr="009434F9">
        <w:rPr>
          <w:rFonts w:cstheme="minorHAnsi"/>
        </w:rPr>
        <w:t xml:space="preserve"> fail to give proper appraisal respect. This is straightforwardly a case of epistemic injustice, especially if </w:t>
      </w:r>
      <w:r w:rsidR="00F1511E" w:rsidRPr="009434F9">
        <w:rPr>
          <w:rFonts w:cstheme="minorHAnsi"/>
        </w:rPr>
        <w:t>you</w:t>
      </w:r>
      <w:r w:rsidRPr="009434F9">
        <w:rPr>
          <w:rFonts w:cstheme="minorHAnsi"/>
        </w:rPr>
        <w:t xml:space="preserve"> </w:t>
      </w:r>
      <w:r w:rsidR="00424116" w:rsidRPr="009434F9">
        <w:rPr>
          <w:rFonts w:cstheme="minorHAnsi"/>
        </w:rPr>
        <w:t>do not</w:t>
      </w:r>
      <w:r w:rsidRPr="009434F9">
        <w:rPr>
          <w:rFonts w:cstheme="minorHAnsi"/>
        </w:rPr>
        <w:t xml:space="preserve"> give proper appraisal respect due to some prejudiced view of the members of a particular marginalized group.</w:t>
      </w:r>
      <w:r w:rsidRPr="009434F9">
        <w:rPr>
          <w:rStyle w:val="FootnoteReference"/>
          <w:rFonts w:cstheme="minorHAnsi"/>
        </w:rPr>
        <w:footnoteReference w:id="24"/>
      </w:r>
      <w:r w:rsidRPr="009434F9">
        <w:rPr>
          <w:rFonts w:cstheme="minorHAnsi"/>
        </w:rPr>
        <w:t xml:space="preserve"> Second, withholding deference may represent a failure to give proper recognition respect, by which </w:t>
      </w:r>
      <w:r w:rsidR="00F1511E" w:rsidRPr="009434F9">
        <w:rPr>
          <w:rFonts w:cstheme="minorHAnsi"/>
        </w:rPr>
        <w:t>you</w:t>
      </w:r>
      <w:r w:rsidRPr="009434F9">
        <w:rPr>
          <w:rFonts w:cstheme="minorHAnsi"/>
        </w:rPr>
        <w:t xml:space="preserve"> fail to treat the testifier as a moral person and give them the status value they deserve. </w:t>
      </w:r>
    </w:p>
    <w:p w14:paraId="2F860FD1" w14:textId="0570EBB3" w:rsidR="00001D13" w:rsidRPr="009434F9" w:rsidRDefault="00001D13" w:rsidP="006602A4">
      <w:pPr>
        <w:spacing w:line="480" w:lineRule="auto"/>
        <w:ind w:firstLine="720"/>
        <w:rPr>
          <w:rFonts w:cstheme="minorHAnsi"/>
        </w:rPr>
      </w:pPr>
      <w:r w:rsidRPr="009434F9">
        <w:rPr>
          <w:rFonts w:cstheme="minorHAnsi"/>
        </w:rPr>
        <w:t>In order to give members of marginalized groups the respect they deserve, we must recognize them as experts regarding testimony about their experience qua member of that group.</w:t>
      </w:r>
      <w:r w:rsidRPr="009434F9">
        <w:rPr>
          <w:rStyle w:val="FootnoteReference"/>
          <w:rFonts w:cstheme="minorHAnsi"/>
        </w:rPr>
        <w:footnoteReference w:id="25"/>
      </w:r>
      <w:r w:rsidRPr="009434F9">
        <w:rPr>
          <w:rFonts w:cstheme="minorHAnsi"/>
        </w:rPr>
        <w:t xml:space="preserve"> Historically, members of these groups have been ignored, and we should be careful not to repeat </w:t>
      </w:r>
      <w:r w:rsidRPr="009434F9">
        <w:rPr>
          <w:rFonts w:cstheme="minorHAnsi"/>
        </w:rPr>
        <w:lastRenderedPageBreak/>
        <w:t>those injustices.</w:t>
      </w:r>
      <w:r w:rsidRPr="009434F9">
        <w:rPr>
          <w:rStyle w:val="FootnoteReference"/>
          <w:rFonts w:cstheme="minorHAnsi"/>
        </w:rPr>
        <w:footnoteReference w:id="26"/>
      </w:r>
      <w:r w:rsidRPr="009434F9">
        <w:rPr>
          <w:rFonts w:cstheme="minorHAnsi"/>
        </w:rPr>
        <w:t xml:space="preserve"> The injustice of a single instance of disrespect is compounded by a history of dominant groups failing to give proper appraisal and recognition respect to marginalized persons. As such, </w:t>
      </w:r>
      <w:r w:rsidR="00424116" w:rsidRPr="009434F9">
        <w:rPr>
          <w:rFonts w:cstheme="minorHAnsi"/>
        </w:rPr>
        <w:t>there is</w:t>
      </w:r>
      <w:r w:rsidRPr="009434F9">
        <w:rPr>
          <w:rFonts w:cstheme="minorHAnsi"/>
        </w:rPr>
        <w:t xml:space="preserve"> good moral reason to positively trust marginalized testifiers and epistemically defer.</w:t>
      </w:r>
    </w:p>
    <w:p w14:paraId="45199D57" w14:textId="52DF3D67" w:rsidR="00001D13" w:rsidRPr="009434F9" w:rsidRDefault="00001D13" w:rsidP="006602A4">
      <w:pPr>
        <w:spacing w:line="480" w:lineRule="auto"/>
        <w:ind w:firstLine="720"/>
        <w:rPr>
          <w:rFonts w:cstheme="minorHAnsi"/>
        </w:rPr>
      </w:pPr>
      <w:r w:rsidRPr="009434F9">
        <w:rPr>
          <w:rFonts w:cstheme="minorHAnsi"/>
        </w:rPr>
        <w:t xml:space="preserve">We have argued that there is both good epistemic reason and good moral reason to epistemically defer in the general kinds of cases with which we are concerned. Each taken alone might be insufficient to justify a </w:t>
      </w:r>
      <w:r w:rsidRPr="009434F9">
        <w:rPr>
          <w:rFonts w:cstheme="minorHAnsi"/>
          <w:i/>
          <w:iCs/>
        </w:rPr>
        <w:t xml:space="preserve">prima facie </w:t>
      </w:r>
      <w:r w:rsidRPr="009434F9">
        <w:rPr>
          <w:rFonts w:cstheme="minorHAnsi"/>
        </w:rPr>
        <w:t xml:space="preserve">obligation to defer; however, taken together, they show that we ought to defer. If </w:t>
      </w:r>
      <w:r w:rsidR="00424116" w:rsidRPr="009434F9">
        <w:rPr>
          <w:rFonts w:cstheme="minorHAnsi"/>
        </w:rPr>
        <w:t xml:space="preserve">there is </w:t>
      </w:r>
      <w:r w:rsidRPr="009434F9">
        <w:rPr>
          <w:rFonts w:cstheme="minorHAnsi"/>
        </w:rPr>
        <w:t xml:space="preserve">good epistemic reason to defer, then </w:t>
      </w:r>
      <w:r w:rsidR="00424116" w:rsidRPr="009434F9">
        <w:rPr>
          <w:rFonts w:cstheme="minorHAnsi"/>
        </w:rPr>
        <w:t>the receiver</w:t>
      </w:r>
      <w:r w:rsidRPr="009434F9">
        <w:rPr>
          <w:rFonts w:cstheme="minorHAnsi"/>
        </w:rPr>
        <w:t xml:space="preserve"> is at least justified in deferring. If, in addition, we consider the potential moral costs of failing to epistemically defer (informed by a history of oppression), then it becomes clear that </w:t>
      </w:r>
      <w:r w:rsidR="00424116" w:rsidRPr="009434F9">
        <w:rPr>
          <w:rFonts w:cstheme="minorHAnsi"/>
        </w:rPr>
        <w:t>the receiver</w:t>
      </w:r>
      <w:r w:rsidRPr="009434F9">
        <w:rPr>
          <w:rFonts w:cstheme="minorHAnsi"/>
        </w:rPr>
        <w:t xml:space="preserve"> ought to defer in such cases. As such, we have a </w:t>
      </w:r>
      <w:r w:rsidRPr="009434F9">
        <w:rPr>
          <w:rFonts w:cstheme="minorHAnsi"/>
          <w:i/>
          <w:iCs/>
        </w:rPr>
        <w:t xml:space="preserve">prima facie </w:t>
      </w:r>
      <w:r w:rsidRPr="009434F9">
        <w:rPr>
          <w:rFonts w:cstheme="minorHAnsi"/>
        </w:rPr>
        <w:t>obligation to epistemically defer in cases in which the testifier is a member of a marginalized group that we ourselves are not and they testify about their marginalized experience.</w:t>
      </w:r>
    </w:p>
    <w:p w14:paraId="02B5F956" w14:textId="0FD0AB14" w:rsidR="00001D13" w:rsidRPr="009434F9" w:rsidRDefault="00001D13" w:rsidP="006602A4">
      <w:pPr>
        <w:spacing w:line="480" w:lineRule="auto"/>
        <w:ind w:firstLine="720"/>
        <w:rPr>
          <w:rFonts w:cstheme="minorHAnsi"/>
          <w:lang w:val="en"/>
        </w:rPr>
      </w:pPr>
      <w:r w:rsidRPr="009434F9">
        <w:rPr>
          <w:rFonts w:cstheme="minorHAnsi"/>
          <w:lang w:val="en"/>
        </w:rPr>
        <w:t>Returning to the case of the non-binary acquaintance, does it meet our three epistemic conditions?</w:t>
      </w:r>
      <w:r w:rsidRPr="009434F9">
        <w:rPr>
          <w:rFonts w:cstheme="minorHAnsi"/>
        </w:rPr>
        <w:t xml:space="preserve"> First, given that our non-binary acquaintance is a member of the relevant marginalized group and that the receiver, a cis-gendered </w:t>
      </w:r>
      <w:r w:rsidR="00106D0B" w:rsidRPr="009434F9">
        <w:rPr>
          <w:rFonts w:cstheme="minorHAnsi"/>
        </w:rPr>
        <w:t>person</w:t>
      </w:r>
      <w:r w:rsidRPr="009434F9">
        <w:rPr>
          <w:rFonts w:cstheme="minorHAnsi"/>
        </w:rPr>
        <w:t>, is not, the testifier has more relevant expertise as a member of that marginalized group. This informs their testimony about the moral status of whether it is harmful to use a sign with mythical creatures to represent an all-gendered bathroom.</w:t>
      </w:r>
      <w:r w:rsidRPr="009434F9">
        <w:rPr>
          <w:rFonts w:cstheme="minorHAnsi"/>
          <w:lang w:val="en"/>
        </w:rPr>
        <w:t xml:space="preserve"> Second, </w:t>
      </w:r>
      <w:r w:rsidRPr="009434F9">
        <w:rPr>
          <w:rFonts w:cstheme="minorHAnsi"/>
        </w:rPr>
        <w:t xml:space="preserve">the </w:t>
      </w:r>
      <w:r w:rsidRPr="009434F9">
        <w:rPr>
          <w:rFonts w:cstheme="minorHAnsi"/>
          <w:lang w:val="en"/>
        </w:rPr>
        <w:t>receiver has no reason to withhold negative trust from the testifier. Third, the assurance provides the receiver with an interpersonal reason to defer. As such, the receiver has good epistemic reason to epistemically defer.</w:t>
      </w:r>
    </w:p>
    <w:p w14:paraId="1A2B0CD8" w14:textId="1823FE8F" w:rsidR="00001D13" w:rsidRPr="009434F9" w:rsidRDefault="00001D13" w:rsidP="006602A4">
      <w:pPr>
        <w:spacing w:line="480" w:lineRule="auto"/>
        <w:ind w:firstLine="720"/>
        <w:rPr>
          <w:rFonts w:cstheme="minorHAnsi"/>
          <w:lang w:val="en"/>
        </w:rPr>
      </w:pPr>
      <w:r w:rsidRPr="009434F9">
        <w:rPr>
          <w:rFonts w:cstheme="minorHAnsi"/>
          <w:lang w:val="en"/>
        </w:rPr>
        <w:t xml:space="preserve">Does the receiver have good moral reason to epistemically defer? If </w:t>
      </w:r>
      <w:r w:rsidR="00424116" w:rsidRPr="009434F9">
        <w:rPr>
          <w:rFonts w:cstheme="minorHAnsi"/>
          <w:lang w:val="en"/>
        </w:rPr>
        <w:t>the receiver</w:t>
      </w:r>
      <w:r w:rsidRPr="009434F9">
        <w:rPr>
          <w:rFonts w:cstheme="minorHAnsi"/>
          <w:lang w:val="en"/>
        </w:rPr>
        <w:t xml:space="preserve"> fails to defer in this case, then </w:t>
      </w:r>
      <w:r w:rsidR="00424116" w:rsidRPr="009434F9">
        <w:rPr>
          <w:rFonts w:cstheme="minorHAnsi"/>
          <w:lang w:val="en"/>
        </w:rPr>
        <w:t>they</w:t>
      </w:r>
      <w:r w:rsidRPr="009434F9">
        <w:rPr>
          <w:rFonts w:cstheme="minorHAnsi"/>
          <w:lang w:val="en"/>
        </w:rPr>
        <w:t xml:space="preserve"> either a) do not show proper appraisal respect by failing to treat the </w:t>
      </w:r>
      <w:r w:rsidRPr="009434F9">
        <w:rPr>
          <w:rFonts w:cstheme="minorHAnsi"/>
          <w:lang w:val="en"/>
        </w:rPr>
        <w:lastRenderedPageBreak/>
        <w:t xml:space="preserve">acquaintance as the relative expert that they are on this matter or b) do not show proper recognition respect by failing to treat the acquaintance as a person who can make moral claims upon them. Failing to believe the acquaintance may risk committing another epistemic injustice in a history of injustice. As such, </w:t>
      </w:r>
      <w:r w:rsidR="00424116" w:rsidRPr="009434F9">
        <w:rPr>
          <w:rFonts w:cstheme="minorHAnsi"/>
          <w:lang w:val="en"/>
        </w:rPr>
        <w:t>the receiver has</w:t>
      </w:r>
      <w:r w:rsidRPr="009434F9">
        <w:rPr>
          <w:rFonts w:cstheme="minorHAnsi"/>
          <w:lang w:val="en"/>
        </w:rPr>
        <w:t xml:space="preserve"> good moral reason to defer. Hence, as </w:t>
      </w:r>
      <w:r w:rsidR="00424116" w:rsidRPr="009434F9">
        <w:rPr>
          <w:rFonts w:cstheme="minorHAnsi"/>
          <w:lang w:val="en"/>
        </w:rPr>
        <w:t>there is</w:t>
      </w:r>
      <w:r w:rsidRPr="009434F9">
        <w:rPr>
          <w:rFonts w:cstheme="minorHAnsi"/>
          <w:lang w:val="en"/>
        </w:rPr>
        <w:t xml:space="preserve"> both good epistemic reason and good moral reason to defer, </w:t>
      </w:r>
      <w:r w:rsidR="00424116" w:rsidRPr="009434F9">
        <w:rPr>
          <w:rFonts w:cstheme="minorHAnsi"/>
          <w:lang w:val="en"/>
        </w:rPr>
        <w:t>there is</w:t>
      </w:r>
      <w:r w:rsidRPr="009434F9">
        <w:rPr>
          <w:rFonts w:cstheme="minorHAnsi"/>
          <w:lang w:val="en"/>
        </w:rPr>
        <w:t xml:space="preserve"> a </w:t>
      </w:r>
      <w:r w:rsidRPr="009434F9">
        <w:rPr>
          <w:rFonts w:cstheme="minorHAnsi"/>
          <w:i/>
          <w:iCs/>
          <w:lang w:val="en"/>
        </w:rPr>
        <w:t xml:space="preserve">prima facie </w:t>
      </w:r>
      <w:r w:rsidRPr="009434F9">
        <w:rPr>
          <w:rFonts w:cstheme="minorHAnsi"/>
          <w:lang w:val="en"/>
        </w:rPr>
        <w:t>obligation to epistemically defer in this case.</w:t>
      </w:r>
      <w:r w:rsidRPr="009434F9" w:rsidDel="00D859C3">
        <w:rPr>
          <w:rStyle w:val="FootnoteReference"/>
          <w:rFonts w:cstheme="minorHAnsi"/>
          <w:lang w:val="en"/>
        </w:rPr>
        <w:t xml:space="preserve"> </w:t>
      </w:r>
    </w:p>
    <w:p w14:paraId="00988195" w14:textId="77777777" w:rsidR="00001D13" w:rsidRPr="009434F9" w:rsidRDefault="00001D13" w:rsidP="00AF555D">
      <w:pPr>
        <w:rPr>
          <w:rFonts w:cstheme="minorHAnsi"/>
        </w:rPr>
      </w:pPr>
    </w:p>
    <w:p w14:paraId="75AFE3B4" w14:textId="40B5FFDD" w:rsidR="00001D13" w:rsidRPr="009434F9" w:rsidRDefault="004D46B8" w:rsidP="006602A4">
      <w:pPr>
        <w:spacing w:line="480" w:lineRule="auto"/>
        <w:rPr>
          <w:rFonts w:cstheme="minorHAnsi"/>
          <w:b/>
          <w:bCs/>
        </w:rPr>
      </w:pPr>
      <w:r w:rsidRPr="009434F9">
        <w:rPr>
          <w:rFonts w:cstheme="minorHAnsi"/>
          <w:b/>
          <w:bCs/>
        </w:rPr>
        <w:t xml:space="preserve">3. </w:t>
      </w:r>
      <w:r w:rsidR="00001D13" w:rsidRPr="009434F9">
        <w:rPr>
          <w:rFonts w:cstheme="minorHAnsi"/>
          <w:b/>
          <w:bCs/>
        </w:rPr>
        <w:t xml:space="preserve">Why You Ought to Actionally Defer </w:t>
      </w:r>
    </w:p>
    <w:p w14:paraId="77BF6188" w14:textId="62C42333" w:rsidR="00001D13" w:rsidRPr="009434F9" w:rsidRDefault="00001D13" w:rsidP="006602A4">
      <w:pPr>
        <w:spacing w:line="480" w:lineRule="auto"/>
        <w:rPr>
          <w:rFonts w:cstheme="minorHAnsi"/>
        </w:rPr>
      </w:pPr>
      <w:r w:rsidRPr="009434F9">
        <w:rPr>
          <w:rFonts w:cstheme="minorHAnsi"/>
        </w:rPr>
        <w:tab/>
        <w:t xml:space="preserve">Unlike epistemic deference, actional deference can be appropriate even when belief is unwarranted. Whether </w:t>
      </w:r>
      <w:r w:rsidR="00424116" w:rsidRPr="009434F9">
        <w:rPr>
          <w:rFonts w:cstheme="minorHAnsi"/>
        </w:rPr>
        <w:t>we</w:t>
      </w:r>
      <w:r w:rsidRPr="009434F9">
        <w:rPr>
          <w:rFonts w:cstheme="minorHAnsi"/>
        </w:rPr>
        <w:t xml:space="preserve"> should actionally defer depends on a variety of practical considerations that cannot easily be reduced to what is epistemically justified—we must rely on our practical judgment to determine how to act in light of the testimony that we have received. In this section, we gesture towards two primary considerations that should guide our practical judgments.</w:t>
      </w:r>
    </w:p>
    <w:p w14:paraId="040D8E6E" w14:textId="77777777" w:rsidR="00001D13" w:rsidRPr="009434F9" w:rsidRDefault="00001D13" w:rsidP="006602A4">
      <w:pPr>
        <w:spacing w:line="480" w:lineRule="auto"/>
        <w:ind w:firstLine="720"/>
        <w:rPr>
          <w:rFonts w:cstheme="minorHAnsi"/>
        </w:rPr>
      </w:pPr>
      <w:r w:rsidRPr="009434F9">
        <w:rPr>
          <w:rFonts w:cstheme="minorHAnsi"/>
        </w:rPr>
        <w:t>First, we have general moral reason to do what is right, to act in ways that are appropriate, to do what is good, etc. When we have good reason to believe that the moral testimony given to us has been provided by someone with greater expertise and that it presents the strongest reason for how we ought to act in a particular situation, we have good reason to follow the advice the testimony gives in that situation.</w:t>
      </w:r>
      <w:r w:rsidRPr="009434F9">
        <w:rPr>
          <w:rStyle w:val="FootnoteReference"/>
          <w:rFonts w:cstheme="minorHAnsi"/>
        </w:rPr>
        <w:footnoteReference w:id="27"/>
      </w:r>
      <w:r w:rsidRPr="009434F9">
        <w:rPr>
          <w:rFonts w:cstheme="minorHAnsi"/>
        </w:rPr>
        <w:t xml:space="preserve"> For example, if a friend (who I know to be kind and socially adept) gently points out that I should let others talk a bit more in group conversations, I should follow that friend’s advice and allow more space for others in conversation. We all have moral blind spots and sometimes must rely on the testimony of others to determine what we ought to do.</w:t>
      </w:r>
    </w:p>
    <w:p w14:paraId="171DB45B" w14:textId="35D93889" w:rsidR="00001D13" w:rsidRPr="009434F9" w:rsidRDefault="00001D13" w:rsidP="006602A4">
      <w:pPr>
        <w:spacing w:line="480" w:lineRule="auto"/>
        <w:ind w:firstLine="720"/>
        <w:rPr>
          <w:rFonts w:cstheme="minorHAnsi"/>
        </w:rPr>
      </w:pPr>
      <w:r w:rsidRPr="009434F9">
        <w:rPr>
          <w:rFonts w:cstheme="minorHAnsi"/>
        </w:rPr>
        <w:lastRenderedPageBreak/>
        <w:t xml:space="preserve">Second, there is an interpersonal dimension to actional deference that itself provides reason to act on the testimony. Though positive trust is not required for actional deference, the interpersonal relationship that </w:t>
      </w:r>
      <w:r w:rsidR="00424116" w:rsidRPr="009434F9">
        <w:rPr>
          <w:rFonts w:cstheme="minorHAnsi"/>
        </w:rPr>
        <w:t>the receiver</w:t>
      </w:r>
      <w:r w:rsidRPr="009434F9">
        <w:rPr>
          <w:rFonts w:cstheme="minorHAnsi"/>
        </w:rPr>
        <w:t xml:space="preserve"> has with the testifier will influence how </w:t>
      </w:r>
      <w:r w:rsidR="00424116" w:rsidRPr="009434F9">
        <w:rPr>
          <w:rFonts w:cstheme="minorHAnsi"/>
        </w:rPr>
        <w:t>the receiver</w:t>
      </w:r>
      <w:r w:rsidRPr="009434F9">
        <w:rPr>
          <w:rFonts w:cstheme="minorHAnsi"/>
        </w:rPr>
        <w:t xml:space="preserve"> ought to act, as </w:t>
      </w:r>
      <w:r w:rsidR="00424116" w:rsidRPr="009434F9">
        <w:rPr>
          <w:rFonts w:cstheme="minorHAnsi"/>
        </w:rPr>
        <w:t>the receiver’s</w:t>
      </w:r>
      <w:r w:rsidRPr="009434F9">
        <w:rPr>
          <w:rFonts w:cstheme="minorHAnsi"/>
        </w:rPr>
        <w:t xml:space="preserve"> actions reflect upon that relationship. If I fail to actionally defer to the testimony of a trustworthy friend, I communicate to them that I did not take their assurance seriously. Depending on the particular relationship between the testifier and the receiver, the receiver’s actions may have a different import. However, all that is needed to get interpersonal reason to defer off the ground is the moral relationship between testifier and receiver. Failing to actionally defer can be disrespectful to the testifier, either by violating expectations of trust or respect within an interpersonal relationship or by acting in a way that would cause harm regardless of any breach of trust or respect.</w:t>
      </w:r>
    </w:p>
    <w:p w14:paraId="699CC8D8" w14:textId="7F1DB0FB" w:rsidR="00001D13" w:rsidRPr="009434F9" w:rsidRDefault="00001D13" w:rsidP="006602A4">
      <w:pPr>
        <w:spacing w:line="480" w:lineRule="auto"/>
        <w:ind w:firstLine="720"/>
        <w:rPr>
          <w:rFonts w:cstheme="minorHAnsi"/>
        </w:rPr>
      </w:pPr>
      <w:r w:rsidRPr="009434F9">
        <w:rPr>
          <w:rFonts w:cstheme="minorHAnsi"/>
        </w:rPr>
        <w:t>Members of dominant groups should be careful to avoid either kind of disrespect. For someone who is outside of a marginalized group, it is easy to be ignorant (sometimes willfully so) of the moral experiences of those within that marginalized group and of the harms that members of the dominant group inflict upon the marginalized. As such, those in dominant groups have special reason to pay heed to the testimony of marginalized individuals in particular so as to avoid perpetuating epistemic injustice and the other day</w:t>
      </w:r>
      <w:r w:rsidR="0096200E" w:rsidRPr="009434F9">
        <w:rPr>
          <w:rFonts w:cstheme="minorHAnsi"/>
        </w:rPr>
        <w:t>-</w:t>
      </w:r>
      <w:r w:rsidRPr="009434F9">
        <w:rPr>
          <w:rFonts w:cstheme="minorHAnsi"/>
        </w:rPr>
        <w:t>to</w:t>
      </w:r>
      <w:r w:rsidR="0096200E" w:rsidRPr="009434F9">
        <w:rPr>
          <w:rFonts w:cstheme="minorHAnsi"/>
        </w:rPr>
        <w:t>-</w:t>
      </w:r>
      <w:r w:rsidRPr="009434F9">
        <w:rPr>
          <w:rFonts w:cstheme="minorHAnsi"/>
        </w:rPr>
        <w:t>day harms that marginalized individuals experience. Even if a member of the dominant group does not understand or believe the claim that the member of the marginalized group is putting forward, they still ought to actionally defer and rely on the testimony in action. To do otherwise is to fail to appreciate the interpersonal claim being made on the receiver and to risk doing further harm to members of the marginalized group.</w:t>
      </w:r>
    </w:p>
    <w:p w14:paraId="3ED1F2BE" w14:textId="77777777" w:rsidR="00001D13" w:rsidRPr="009434F9" w:rsidRDefault="00001D13" w:rsidP="006602A4">
      <w:pPr>
        <w:spacing w:line="480" w:lineRule="auto"/>
        <w:ind w:firstLine="720"/>
        <w:rPr>
          <w:rFonts w:eastAsia="Times New Roman" w:cstheme="minorHAnsi"/>
        </w:rPr>
      </w:pPr>
      <w:r w:rsidRPr="009434F9">
        <w:rPr>
          <w:rFonts w:cstheme="minorHAnsi"/>
        </w:rPr>
        <w:t xml:space="preserve">Take the example of the non-binary acquaintance again. If the receiver, a cis-gendered person, has good epistemic and moral reason to trust the acquaintance, they also have good reason to act in accordance with the testimony and refrain from hanging a sign with whimsical creatures to </w:t>
      </w:r>
      <w:r w:rsidRPr="009434F9">
        <w:rPr>
          <w:rFonts w:cstheme="minorHAnsi"/>
        </w:rPr>
        <w:lastRenderedPageBreak/>
        <w:t>indicate the “all gender” status of the bathroom. While they may lose some pleasure by using a different sign that they find less humorous, there does not appear to be any good reason that trumps the acquaintance’s testimony that posting such a sign is a harmful thing to do. Hence, they shouldn’t post such a sign, and if they have one, they should replace it.</w:t>
      </w:r>
      <w:r w:rsidRPr="009434F9">
        <w:rPr>
          <w:rFonts w:eastAsia="Times New Roman" w:cstheme="minorHAnsi"/>
        </w:rPr>
        <w:t xml:space="preserve"> </w:t>
      </w:r>
    </w:p>
    <w:p w14:paraId="175A288F" w14:textId="7D7FB102" w:rsidR="00001D13" w:rsidRPr="009434F9" w:rsidRDefault="00001D13" w:rsidP="006602A4">
      <w:pPr>
        <w:spacing w:line="480" w:lineRule="auto"/>
        <w:ind w:firstLine="720"/>
        <w:rPr>
          <w:rFonts w:cstheme="minorHAnsi"/>
        </w:rPr>
      </w:pPr>
      <w:r w:rsidRPr="009434F9">
        <w:rPr>
          <w:rFonts w:cstheme="minorHAnsi"/>
        </w:rPr>
        <w:t xml:space="preserve">Importantly, our distinction between epistemic and actional deference aids in the explanation of certain cases with which some traditional explanations of moral deference have difficulty, namely cases in which epistemic deference is unwarranted. Take, for instance, an example of </w:t>
      </w:r>
      <w:r w:rsidRPr="009434F9">
        <w:rPr>
          <w:rFonts w:eastAsia="Times New Roman" w:cstheme="minorHAnsi"/>
        </w:rPr>
        <w:t>a friend who confides in me that she was molested in the past by a high school teacher. Let us stipulate that she has once lied to me in the past about a related matter.</w:t>
      </w:r>
      <w:r w:rsidRPr="009434F9">
        <w:rPr>
          <w:rFonts w:cstheme="minorHAnsi"/>
        </w:rPr>
        <w:t xml:space="preserve"> </w:t>
      </w:r>
      <w:r w:rsidRPr="009434F9">
        <w:rPr>
          <w:rFonts w:eastAsia="Times New Roman" w:cstheme="minorHAnsi"/>
        </w:rPr>
        <w:t xml:space="preserve">Many accounts of moral deference (McGrath (2009), Hills (2009), and Lewis (2020), to name a few) would recommend that I do not defer in this scenario—full stop. And in some ways, it is obvious that we ought not defer. Knowing that my friend has lied about a similar matter in the past undermines her trustworthiness. As a result, her testimony fails to be credible enough for me to have good epistemic reason to believe that she has been harmed in this way. </w:t>
      </w:r>
    </w:p>
    <w:p w14:paraId="78D2BF00" w14:textId="5A87E4A9" w:rsidR="00001D13" w:rsidRPr="009434F9" w:rsidRDefault="00001D13" w:rsidP="006602A4">
      <w:pPr>
        <w:spacing w:line="480" w:lineRule="auto"/>
        <w:ind w:firstLine="720"/>
        <w:rPr>
          <w:rFonts w:eastAsia="Times New Roman" w:cstheme="minorHAnsi"/>
        </w:rPr>
      </w:pPr>
      <w:r w:rsidRPr="009434F9">
        <w:rPr>
          <w:rFonts w:eastAsia="Times New Roman" w:cstheme="minorHAnsi"/>
        </w:rPr>
        <w:t>And yet, though I may fail to believe her, it seems patently the wrong thing to do to act fully in line with this disbelief. I should, perhaps, act</w:t>
      </w:r>
      <w:r w:rsidRPr="009434F9">
        <w:rPr>
          <w:rFonts w:eastAsia="Times New Roman" w:cstheme="minorHAnsi"/>
          <w:i/>
          <w:iCs/>
        </w:rPr>
        <w:t xml:space="preserve"> </w:t>
      </w:r>
      <w:r w:rsidRPr="009434F9">
        <w:rPr>
          <w:rFonts w:eastAsia="Times New Roman" w:cstheme="minorHAnsi"/>
        </w:rPr>
        <w:t>in certain ways as though her testimony is true, even if I do not have full-fledged belief that it is</w:t>
      </w:r>
      <w:r w:rsidR="00971B42">
        <w:rPr>
          <w:rFonts w:eastAsia="Times New Roman" w:cstheme="minorHAnsi"/>
        </w:rPr>
        <w:t>.</w:t>
      </w:r>
      <w:r w:rsidR="00971B42">
        <w:rPr>
          <w:rStyle w:val="FootnoteReference"/>
          <w:rFonts w:eastAsia="Times New Roman" w:cstheme="minorHAnsi"/>
        </w:rPr>
        <w:footnoteReference w:id="28"/>
      </w:r>
      <w:r w:rsidRPr="009434F9">
        <w:rPr>
          <w:rFonts w:eastAsia="Times New Roman" w:cstheme="minorHAnsi"/>
        </w:rPr>
        <w:t xml:space="preserve"> It would be appropriate for me to comfort her, to offer my support, and to warn her if a movie I’ve picked out for us to watch contains sexual violence.</w:t>
      </w:r>
      <w:r w:rsidRPr="009434F9">
        <w:rPr>
          <w:rStyle w:val="FootnoteReference"/>
          <w:rFonts w:eastAsia="Times New Roman" w:cstheme="minorHAnsi"/>
        </w:rPr>
        <w:footnoteReference w:id="29"/>
      </w:r>
      <w:r w:rsidRPr="009434F9">
        <w:rPr>
          <w:rFonts w:eastAsia="Times New Roman" w:cstheme="minorHAnsi"/>
        </w:rPr>
        <w:t xml:space="preserve"> Despite my reasons to doubt her testimony and not accept it as fully credible, I still have reason to act in certain ways as if the testimony is true. Because of the nature of the testimony, I have reason to be sensitive and caring around what is very possibly a real and heavy trauma for my friend. </w:t>
      </w:r>
    </w:p>
    <w:p w14:paraId="47F66706" w14:textId="0C06FE08" w:rsidR="00001D13" w:rsidRPr="00022437" w:rsidRDefault="00001D13" w:rsidP="006602A4">
      <w:pPr>
        <w:spacing w:line="480" w:lineRule="auto"/>
        <w:rPr>
          <w:rFonts w:cs="Times New Roman"/>
          <w:noProof/>
        </w:rPr>
      </w:pPr>
      <w:r w:rsidRPr="009434F9">
        <w:rPr>
          <w:rFonts w:cstheme="minorHAnsi"/>
          <w:noProof/>
        </w:rPr>
        <w:t>In the literature on moral deference, philosophers have gestured at the importance of actional deference even in the absence of belief. David Enoch (2014) writes: “Even if… deference-based moral judgments are epistemically suspicious, still we should act on them” (6). Similarly, Matheson, McElreath</w:t>
      </w:r>
      <w:r w:rsidR="004952E4" w:rsidRPr="009434F9">
        <w:rPr>
          <w:rFonts w:cstheme="minorHAnsi"/>
          <w:noProof/>
        </w:rPr>
        <w:t>,</w:t>
      </w:r>
      <w:r w:rsidRPr="009434F9">
        <w:rPr>
          <w:rFonts w:cstheme="minorHAnsi"/>
          <w:noProof/>
        </w:rPr>
        <w:t xml:space="preserve"> </w:t>
      </w:r>
      <w:r w:rsidR="001A47C9" w:rsidRPr="009434F9">
        <w:rPr>
          <w:rFonts w:cstheme="minorHAnsi"/>
          <w:noProof/>
        </w:rPr>
        <w:t>and</w:t>
      </w:r>
      <w:r w:rsidRPr="009434F9">
        <w:rPr>
          <w:rFonts w:cstheme="minorHAnsi"/>
          <w:noProof/>
        </w:rPr>
        <w:t xml:space="preserve"> Nobis (2018) argue that for any proposition “we have three options (believe, disbelieve, or suspend judgment)” whereas with actions “we have two options: do it, or don’t do it” (14).</w:t>
      </w:r>
      <w:r w:rsidR="00022437">
        <w:rPr>
          <w:rFonts w:cstheme="minorHAnsi"/>
          <w:noProof/>
        </w:rPr>
        <w:t xml:space="preserve"> Of course, </w:t>
      </w:r>
      <w:r w:rsidR="00022437" w:rsidRPr="00D47554">
        <w:rPr>
          <w:rFonts w:cs="Times New Roman"/>
          <w:noProof/>
        </w:rPr>
        <w:t xml:space="preserve">there are an array of ways in which we can act (or fail to act). Thus, in cases where we lack belief (and therefore do not epistemically defer), we must decide </w:t>
      </w:r>
      <w:r w:rsidR="00022437" w:rsidRPr="00D47554">
        <w:rPr>
          <w:rFonts w:cs="Times New Roman"/>
          <w:i/>
          <w:iCs/>
          <w:noProof/>
        </w:rPr>
        <w:t>how</w:t>
      </w:r>
      <w:r w:rsidR="00022437" w:rsidRPr="00D47554">
        <w:rPr>
          <w:rFonts w:cs="Times New Roman"/>
          <w:noProof/>
        </w:rPr>
        <w:t xml:space="preserve"> to act (or to refrain from acting), and to what extent our action should be responsive to the testimony at hand.</w:t>
      </w:r>
    </w:p>
    <w:p w14:paraId="52DB2D1E" w14:textId="0D75256B" w:rsidR="00001D13" w:rsidRPr="009434F9" w:rsidRDefault="00001D13" w:rsidP="006602A4">
      <w:pPr>
        <w:spacing w:line="480" w:lineRule="auto"/>
        <w:ind w:firstLine="720"/>
        <w:rPr>
          <w:rFonts w:cstheme="minorHAnsi"/>
          <w:noProof/>
        </w:rPr>
      </w:pPr>
      <w:r w:rsidRPr="009434F9">
        <w:rPr>
          <w:rFonts w:cstheme="minorHAnsi"/>
          <w:noProof/>
        </w:rPr>
        <w:t xml:space="preserve">Return to our example: It is irresponsible to epistemically defer to my friend, as a result of her history of being untrustworthy regarding such matters. We might, as Matheson, McElreath </w:t>
      </w:r>
      <w:r w:rsidR="001A47C9" w:rsidRPr="009434F9">
        <w:rPr>
          <w:rFonts w:cstheme="minorHAnsi"/>
          <w:noProof/>
        </w:rPr>
        <w:t>and</w:t>
      </w:r>
      <w:r w:rsidRPr="009434F9">
        <w:rPr>
          <w:rFonts w:cstheme="minorHAnsi"/>
          <w:noProof/>
        </w:rPr>
        <w:t xml:space="preserve"> Nobis suggest, suspend judgment. However, we must determine when it is appropriate to act in accordance with the testimony and when it is not. These determinations should take into account the possibility that my friend is insincere. Thus, this case appears to be one in which only partial actional deference is warranted. While epistemic deference is all or nothing (belief or failure to believe), actional deference admits to degrees.</w:t>
      </w:r>
    </w:p>
    <w:p w14:paraId="3D5EACDE" w14:textId="1AB99752" w:rsidR="00001D13" w:rsidRPr="009434F9" w:rsidRDefault="00001D13" w:rsidP="006602A4">
      <w:pPr>
        <w:spacing w:line="480" w:lineRule="auto"/>
        <w:rPr>
          <w:rFonts w:cstheme="minorHAnsi"/>
          <w:noProof/>
        </w:rPr>
      </w:pPr>
      <w:r w:rsidRPr="009434F9">
        <w:rPr>
          <w:rFonts w:cstheme="minorHAnsi"/>
          <w:noProof/>
        </w:rPr>
        <w:tab/>
        <w:t xml:space="preserve">Actional deference is a strain of deference distinct from its epistemic counterpart, subject to its own appropriateness conditions. </w:t>
      </w:r>
      <w:r w:rsidR="00424116" w:rsidRPr="009434F9">
        <w:rPr>
          <w:rFonts w:cstheme="minorHAnsi"/>
          <w:noProof/>
        </w:rPr>
        <w:t>We</w:t>
      </w:r>
      <w:r w:rsidRPr="009434F9">
        <w:rPr>
          <w:rFonts w:cstheme="minorHAnsi"/>
          <w:noProof/>
        </w:rPr>
        <w:t xml:space="preserve"> can be morally required to actionally defer even when it is epistemically inappropriate to believe the testifier.</w:t>
      </w:r>
    </w:p>
    <w:p w14:paraId="741A99BC" w14:textId="77777777" w:rsidR="00001D13" w:rsidRPr="009434F9" w:rsidRDefault="00001D13" w:rsidP="006602A4">
      <w:pPr>
        <w:spacing w:line="480" w:lineRule="auto"/>
        <w:rPr>
          <w:rFonts w:cstheme="minorHAnsi"/>
        </w:rPr>
      </w:pPr>
    </w:p>
    <w:p w14:paraId="3B88C060" w14:textId="11560465" w:rsidR="00001D13" w:rsidRPr="009434F9" w:rsidRDefault="004D46B8" w:rsidP="006602A4">
      <w:pPr>
        <w:spacing w:line="480" w:lineRule="auto"/>
        <w:rPr>
          <w:rFonts w:cstheme="minorHAnsi"/>
          <w:b/>
          <w:bCs/>
          <w:color w:val="000000" w:themeColor="text1"/>
        </w:rPr>
      </w:pPr>
      <w:r w:rsidRPr="009434F9">
        <w:rPr>
          <w:rFonts w:cstheme="minorHAnsi"/>
          <w:b/>
          <w:bCs/>
          <w:color w:val="000000" w:themeColor="text1"/>
        </w:rPr>
        <w:t xml:space="preserve">4. </w:t>
      </w:r>
      <w:r w:rsidR="00001D13" w:rsidRPr="009434F9">
        <w:rPr>
          <w:rFonts w:cstheme="minorHAnsi"/>
          <w:b/>
          <w:bCs/>
          <w:color w:val="000000" w:themeColor="text1"/>
        </w:rPr>
        <w:t>Objections</w:t>
      </w:r>
    </w:p>
    <w:p w14:paraId="0848FF1E" w14:textId="2D6C2C79" w:rsidR="00001D13" w:rsidRPr="009434F9" w:rsidRDefault="00001D13" w:rsidP="006602A4">
      <w:pPr>
        <w:spacing w:line="480" w:lineRule="auto"/>
        <w:rPr>
          <w:rFonts w:cstheme="minorHAnsi"/>
          <w:color w:val="000000" w:themeColor="text1"/>
        </w:rPr>
      </w:pPr>
      <w:r w:rsidRPr="009434F9">
        <w:rPr>
          <w:rFonts w:cstheme="minorHAnsi"/>
          <w:color w:val="000000" w:themeColor="text1"/>
        </w:rPr>
        <w:tab/>
        <w:t xml:space="preserve">We have argued for a </w:t>
      </w:r>
      <w:r w:rsidRPr="009434F9">
        <w:rPr>
          <w:rFonts w:cstheme="minorHAnsi"/>
          <w:i/>
          <w:iCs/>
          <w:color w:val="000000" w:themeColor="text1"/>
        </w:rPr>
        <w:t xml:space="preserve">prima facie </w:t>
      </w:r>
      <w:r w:rsidRPr="009434F9">
        <w:rPr>
          <w:rFonts w:cstheme="minorHAnsi"/>
          <w:color w:val="000000" w:themeColor="text1"/>
        </w:rPr>
        <w:t>obligation to defer both epistemically and actionally in cases in which the testifier is a member of a marginalized community that the receiver is not.</w:t>
      </w:r>
      <w:r w:rsidR="008E0C66" w:rsidRPr="009434F9">
        <w:rPr>
          <w:rFonts w:cstheme="minorHAnsi"/>
          <w:color w:val="000000" w:themeColor="text1"/>
        </w:rPr>
        <w:t xml:space="preserve"> </w:t>
      </w:r>
      <w:r w:rsidRPr="009434F9">
        <w:rPr>
          <w:rFonts w:cstheme="minorHAnsi"/>
          <w:color w:val="000000" w:themeColor="text1"/>
        </w:rPr>
        <w:t>We now turn to potential concerns for our account.</w:t>
      </w:r>
    </w:p>
    <w:p w14:paraId="736FC603" w14:textId="34CCB15A" w:rsidR="00001D13" w:rsidRPr="009434F9" w:rsidRDefault="00EA6157" w:rsidP="006602A4">
      <w:pPr>
        <w:spacing w:line="480" w:lineRule="auto"/>
        <w:ind w:firstLine="720"/>
        <w:rPr>
          <w:rFonts w:eastAsia="Times New Roman" w:cstheme="minorHAnsi"/>
        </w:rPr>
      </w:pPr>
      <w:r w:rsidRPr="009434F9">
        <w:rPr>
          <w:rFonts w:cstheme="minorHAnsi"/>
          <w:color w:val="000000" w:themeColor="text1"/>
        </w:rPr>
        <w:t>Perhaps the most</w:t>
      </w:r>
      <w:r w:rsidR="00001D13" w:rsidRPr="009434F9">
        <w:rPr>
          <w:rFonts w:eastAsia="Times New Roman" w:cstheme="minorHAnsi"/>
        </w:rPr>
        <w:t xml:space="preserve"> common objection to epistemic deference on moral matters is the understanding objection. Several philosophers have sought to pinpoint the fishiness of moral deference within the deferrer’s lack of understanding </w:t>
      </w:r>
      <w:r w:rsidR="00001D13" w:rsidRPr="009434F9">
        <w:rPr>
          <w:rFonts w:eastAsia="Times New Roman" w:cstheme="minorHAnsi"/>
          <w:i/>
        </w:rPr>
        <w:t>why</w:t>
      </w:r>
      <w:r w:rsidR="00001D13" w:rsidRPr="009434F9">
        <w:rPr>
          <w:rFonts w:eastAsia="Times New Roman" w:cstheme="minorHAnsi"/>
        </w:rPr>
        <w:t xml:space="preserve"> </w:t>
      </w:r>
      <w:r w:rsidR="00424116" w:rsidRPr="009434F9">
        <w:rPr>
          <w:rFonts w:eastAsia="Times New Roman" w:cstheme="minorHAnsi"/>
        </w:rPr>
        <w:t>they</w:t>
      </w:r>
      <w:r w:rsidR="00001D13" w:rsidRPr="009434F9">
        <w:rPr>
          <w:rFonts w:eastAsia="Times New Roman" w:cstheme="minorHAnsi"/>
        </w:rPr>
        <w:t xml:space="preserve"> should act in accordance with a particular moral claim.</w:t>
      </w:r>
      <w:r w:rsidR="00001D13" w:rsidRPr="009434F9">
        <w:rPr>
          <w:rFonts w:eastAsia="Times New Roman" w:cstheme="minorHAnsi"/>
          <w:vertAlign w:val="superscript"/>
        </w:rPr>
        <w:footnoteReference w:id="30"/>
      </w:r>
      <w:r w:rsidR="00001D13" w:rsidRPr="009434F9">
        <w:rPr>
          <w:rFonts w:eastAsia="Times New Roman" w:cstheme="minorHAnsi"/>
        </w:rPr>
        <w:t xml:space="preserve"> </w:t>
      </w:r>
    </w:p>
    <w:p w14:paraId="220C5010" w14:textId="397962AC" w:rsidR="00001D13" w:rsidRPr="009434F9" w:rsidRDefault="00001D13" w:rsidP="006602A4">
      <w:pPr>
        <w:spacing w:line="480" w:lineRule="auto"/>
        <w:ind w:firstLine="720"/>
        <w:contextualSpacing/>
        <w:rPr>
          <w:rFonts w:cstheme="minorHAnsi"/>
          <w:noProof/>
        </w:rPr>
      </w:pPr>
      <w:r w:rsidRPr="009434F9">
        <w:rPr>
          <w:rFonts w:cstheme="minorHAnsi"/>
          <w:noProof/>
        </w:rPr>
        <w:t xml:space="preserve">There are two important features of this set of cases that allow our central claim to avoid the understanding objection: 1) Since certain phenomenological experiences of being a member of a marginalized group are not accessible to the receiver, the receiver cannot have a full and complete understanding of the moral reasons that support the testimony. 2) </w:t>
      </w:r>
      <w:r w:rsidR="00424116" w:rsidRPr="009434F9">
        <w:rPr>
          <w:rFonts w:cstheme="minorHAnsi"/>
          <w:noProof/>
        </w:rPr>
        <w:t>The receiver</w:t>
      </w:r>
      <w:r w:rsidRPr="009434F9">
        <w:rPr>
          <w:rFonts w:cstheme="minorHAnsi"/>
          <w:noProof/>
        </w:rPr>
        <w:t xml:space="preserve"> gains a good bit of moral information about the testimony by virtue of recognizing that the person giving the testimony is a member of a marginalized group and that it is salient to their experiences as a member of that marginalized group.</w:t>
      </w:r>
    </w:p>
    <w:p w14:paraId="4D6829BD" w14:textId="2C5E7910" w:rsidR="00001D13" w:rsidRPr="009434F9" w:rsidRDefault="00001D13" w:rsidP="006602A4">
      <w:pPr>
        <w:spacing w:line="480" w:lineRule="auto"/>
        <w:rPr>
          <w:rFonts w:cstheme="minorHAnsi"/>
          <w:lang w:val="en"/>
        </w:rPr>
      </w:pPr>
      <w:r w:rsidRPr="009434F9">
        <w:rPr>
          <w:rFonts w:cstheme="minorHAnsi"/>
          <w:noProof/>
        </w:rPr>
        <w:tab/>
        <w:t xml:space="preserve">The first feature </w:t>
      </w:r>
      <w:r w:rsidRPr="009434F9">
        <w:rPr>
          <w:rFonts w:eastAsia="Times New Roman" w:cstheme="minorHAnsi"/>
        </w:rPr>
        <w:t xml:space="preserve">highlights that the direct, full-fledged grasping of reasons is too strict a threshold for non-members of a marginalized group to meet, since they will be unable to have the relevant phenomenological experiences. </w:t>
      </w:r>
      <w:r w:rsidRPr="009434F9">
        <w:rPr>
          <w:rFonts w:cstheme="minorHAnsi"/>
          <w:lang w:val="en"/>
        </w:rPr>
        <w:t>One might object that, given enough personal narratives of these experiences or by extrapolation, one could come to know what those experiences are like at the phenomenological level.</w:t>
      </w:r>
      <w:r w:rsidRPr="009434F9">
        <w:rPr>
          <w:rFonts w:cstheme="minorHAnsi"/>
        </w:rPr>
        <w:t xml:space="preserve"> </w:t>
      </w:r>
      <w:r w:rsidRPr="009434F9">
        <w:rPr>
          <w:rFonts w:cstheme="minorHAnsi"/>
          <w:lang w:val="en"/>
        </w:rPr>
        <w:t>However, as Laurence Thomas (1998) argues, there are serious limits to reflective imagination, such that “no amount of imagination in the world can make it the case that one has the subjective imprimatur of the experiences and memories of another” (362).</w:t>
      </w:r>
    </w:p>
    <w:p w14:paraId="30160CC8" w14:textId="34AB7EB6" w:rsidR="00001D13" w:rsidRPr="009434F9" w:rsidRDefault="00001D13" w:rsidP="006602A4">
      <w:pPr>
        <w:spacing w:line="480" w:lineRule="auto"/>
        <w:ind w:firstLine="720"/>
        <w:rPr>
          <w:rFonts w:cstheme="minorHAnsi"/>
        </w:rPr>
      </w:pPr>
      <w:r w:rsidRPr="009434F9">
        <w:rPr>
          <w:rFonts w:eastAsia="Times New Roman" w:cstheme="minorHAnsi"/>
        </w:rPr>
        <w:t xml:space="preserve">The second feature, however, seems to provide the cognitive grasping of at least some moral reasons, namely that there is some way in which the moral claim is tied to the experience of marginalization. It may be fairly clear from context that the reason some action is wrong is because it is racist, sexist, homophobic, etc. </w:t>
      </w:r>
      <w:r w:rsidRPr="009434F9">
        <w:rPr>
          <w:rFonts w:cstheme="minorHAnsi"/>
        </w:rPr>
        <w:t>It is unclear what further explanation beyond “x is wrong, because x is racist” might be needed in order to justifiably hold the belief that x is wrong—if more were required, it is unclear how many of our moral beliefs would survive scrutiny.</w:t>
      </w:r>
      <w:r w:rsidRPr="009434F9">
        <w:rPr>
          <w:rFonts w:eastAsia="Times New Roman" w:cstheme="minorHAnsi"/>
        </w:rPr>
        <w:t xml:space="preserve"> </w:t>
      </w:r>
      <w:r w:rsidRPr="009434F9">
        <w:rPr>
          <w:rFonts w:eastAsia="Times New Roman" w:cstheme="minorHAnsi"/>
          <w:lang w:val="en"/>
        </w:rPr>
        <w:t>I</w:t>
      </w:r>
      <w:r w:rsidRPr="009434F9">
        <w:rPr>
          <w:rFonts w:eastAsia="Times New Roman" w:cstheme="minorHAnsi"/>
        </w:rPr>
        <w:t>f it is plausible that certain features of the testimonial exchange are sufficient for the kind of understanding required by the understanding objection, then our central claim about epistemic deference is not overturned.</w:t>
      </w:r>
      <w:r w:rsidRPr="009434F9">
        <w:rPr>
          <w:rFonts w:cstheme="minorHAnsi"/>
        </w:rPr>
        <w:t xml:space="preserve"> </w:t>
      </w:r>
    </w:p>
    <w:p w14:paraId="72642B8A" w14:textId="7F685112" w:rsidR="00325C4D" w:rsidRDefault="00325C4D" w:rsidP="00C34881">
      <w:pPr>
        <w:spacing w:line="480" w:lineRule="auto"/>
        <w:ind w:firstLine="720"/>
        <w:rPr>
          <w:rFonts w:eastAsia="Noto Sans" w:cs="Times New Roman"/>
        </w:rPr>
      </w:pPr>
      <w:r>
        <w:rPr>
          <w:rFonts w:eastAsia="Noto Sans" w:cs="Times New Roman"/>
        </w:rPr>
        <w:t>Even if our view survives the understanding objection, one might worry that the belief produced from deference is still somehow epistemically inferior to a belief formed from a more complete moral understanding.</w:t>
      </w:r>
      <w:r w:rsidR="00DF2D66">
        <w:rPr>
          <w:rFonts w:eastAsia="Noto Sans" w:cs="Times New Roman"/>
        </w:rPr>
        <w:t xml:space="preserve"> </w:t>
      </w:r>
      <w:r w:rsidR="00C34881">
        <w:rPr>
          <w:rFonts w:eastAsia="Noto Sans" w:cs="Times New Roman"/>
        </w:rPr>
        <w:t>Yet</w:t>
      </w:r>
      <w:r w:rsidR="00842595" w:rsidRPr="004167C7">
        <w:rPr>
          <w:rFonts w:eastAsia="Noto Sans" w:cs="Times New Roman"/>
        </w:rPr>
        <w:t xml:space="preserve">, if the receiver already has substantial understanding, why would they need to defer in the first place? </w:t>
      </w:r>
      <w:r w:rsidR="00842595">
        <w:rPr>
          <w:rFonts w:eastAsia="Noto Sans" w:cs="Times New Roman"/>
        </w:rPr>
        <w:t>Second, w</w:t>
      </w:r>
      <w:r>
        <w:rPr>
          <w:rFonts w:eastAsia="Noto Sans" w:cs="Times New Roman"/>
        </w:rPr>
        <w:t xml:space="preserve">hile we agree that in some circumstances it is preferable to have in-depth moral understanding, we are too limited as agents to be able to do this for all, </w:t>
      </w:r>
      <w:r w:rsidR="00DF2D66">
        <w:rPr>
          <w:rFonts w:eastAsia="Noto Sans" w:cs="Times New Roman"/>
        </w:rPr>
        <w:t>or</w:t>
      </w:r>
      <w:r>
        <w:rPr>
          <w:rFonts w:eastAsia="Noto Sans" w:cs="Times New Roman"/>
        </w:rPr>
        <w:t xml:space="preserve"> even most, of our beliefs. Given these limitations, beliefs formed from deference have a distinct value of their own, both epistemically, as they allow us to expand our moral knowledge, and morally, as they deepen our interpersonal relationships. Deference, then, should be seen as a practice of community building and sharing epistemic labor, in the same way that the university is an institution of community building and shared epistemic labor. The experts in the philosophy department do not have the time or energy to fully understand everything in every other department, and yet they can trust the experts in other parts of the university. In our view, communal epistemic trust based on differential expertise is a distinctly valuable enterprise, and it is unclear that it is inferior to a more individual view of epistemic achievement.</w:t>
      </w:r>
    </w:p>
    <w:p w14:paraId="4C8AE0C0" w14:textId="40AFED89" w:rsidR="00325C4D" w:rsidRPr="004641AC" w:rsidRDefault="00325C4D" w:rsidP="006602A4">
      <w:pPr>
        <w:spacing w:line="480" w:lineRule="auto"/>
        <w:ind w:firstLine="720"/>
        <w:rPr>
          <w:rFonts w:eastAsia="Times New Roman" w:cstheme="minorHAnsi"/>
        </w:rPr>
      </w:pPr>
      <w:r w:rsidRPr="004641AC">
        <w:rPr>
          <w:rFonts w:eastAsia="Times New Roman" w:cstheme="minorHAnsi"/>
        </w:rPr>
        <w:t xml:space="preserve">In cases where marginalized people testify about the identity-harms that they have experienced, </w:t>
      </w:r>
      <w:r>
        <w:rPr>
          <w:rFonts w:eastAsia="Times New Roman" w:cstheme="minorHAnsi"/>
        </w:rPr>
        <w:t>these community building relations are important both morally and epistemically. Morally, trusting marginalized people communicates respect</w:t>
      </w:r>
      <w:r w:rsidR="00DF2D66">
        <w:rPr>
          <w:rFonts w:eastAsia="Times New Roman" w:cstheme="minorHAnsi"/>
        </w:rPr>
        <w:t>. E</w:t>
      </w:r>
      <w:r>
        <w:rPr>
          <w:rFonts w:eastAsia="Times New Roman" w:cstheme="minorHAnsi"/>
        </w:rPr>
        <w:t xml:space="preserve">pistemically, </w:t>
      </w:r>
      <w:r w:rsidRPr="004641AC">
        <w:rPr>
          <w:rFonts w:eastAsia="Times New Roman" w:cstheme="minorHAnsi"/>
        </w:rPr>
        <w:t xml:space="preserve">the fact that the non-marginalized receiver cannot understand (or understand fully) makes deference the proper response. </w:t>
      </w:r>
    </w:p>
    <w:p w14:paraId="60A73A24" w14:textId="5D2193F7" w:rsidR="00EE46A6" w:rsidRPr="009434F9" w:rsidRDefault="00EE46A6" w:rsidP="006602A4">
      <w:pPr>
        <w:spacing w:line="480" w:lineRule="auto"/>
        <w:ind w:firstLine="720"/>
        <w:rPr>
          <w:rFonts w:eastAsia="Times New Roman" w:cstheme="minorHAnsi"/>
        </w:rPr>
      </w:pPr>
      <w:r w:rsidRPr="009434F9">
        <w:rPr>
          <w:rFonts w:eastAsia="Times New Roman" w:cstheme="minorHAnsi"/>
        </w:rPr>
        <w:t xml:space="preserve">However, one related issue is that a failure to internalize understanding makes it difficult to transmit beliefs. Return to our mermaid sign. Imagine that another employee at the café </w:t>
      </w:r>
      <w:r w:rsidR="00ED0657" w:rsidRPr="009434F9">
        <w:rPr>
          <w:rFonts w:eastAsia="Times New Roman" w:cstheme="minorHAnsi"/>
        </w:rPr>
        <w:t>sees</w:t>
      </w:r>
      <w:r w:rsidRPr="009434F9">
        <w:rPr>
          <w:rFonts w:eastAsia="Times New Roman" w:cstheme="minorHAnsi"/>
        </w:rPr>
        <w:t xml:space="preserve"> the owner taking down the sign. They might ask, “Hey, why are you doing that?” The owner might say, “It’s offensive.” The employee asks, “Oh really? Why is that?” The owner could reply, “I had a chat with a non-binary customer who assured me it is. They didn’t have time to explain, but I believe them.”</w:t>
      </w:r>
      <w:r w:rsidR="00951B83" w:rsidRPr="009434F9">
        <w:rPr>
          <w:rStyle w:val="FootnoteReference"/>
          <w:rFonts w:eastAsia="Times New Roman" w:cstheme="minorHAnsi"/>
        </w:rPr>
        <w:footnoteReference w:id="31"/>
      </w:r>
      <w:r w:rsidRPr="009434F9">
        <w:rPr>
          <w:rFonts w:eastAsia="Times New Roman" w:cstheme="minorHAnsi"/>
        </w:rPr>
        <w:t xml:space="preserve"> </w:t>
      </w:r>
    </w:p>
    <w:p w14:paraId="3228CE6E" w14:textId="38E8AE2F" w:rsidR="0009056D" w:rsidRPr="009434F9" w:rsidRDefault="00EE46A6" w:rsidP="006602A4">
      <w:pPr>
        <w:spacing w:line="480" w:lineRule="auto"/>
        <w:ind w:firstLine="720"/>
        <w:rPr>
          <w:rFonts w:eastAsia="Times New Roman" w:cstheme="minorHAnsi"/>
          <w:color w:val="000000" w:themeColor="text1"/>
        </w:rPr>
      </w:pPr>
      <w:r w:rsidRPr="009434F9">
        <w:rPr>
          <w:rFonts w:eastAsia="Times New Roman" w:cstheme="minorHAnsi"/>
        </w:rPr>
        <w:t xml:space="preserve">This might be insufficient for the employee to come to believe that the sign is, indeed, offensive—especially since </w:t>
      </w:r>
      <w:r w:rsidR="005E27DA" w:rsidRPr="009434F9">
        <w:rPr>
          <w:rFonts w:eastAsia="Times New Roman" w:cstheme="minorHAnsi"/>
        </w:rPr>
        <w:t xml:space="preserve">he </w:t>
      </w:r>
      <w:r w:rsidRPr="009434F9">
        <w:rPr>
          <w:rFonts w:eastAsia="Times New Roman" w:cstheme="minorHAnsi"/>
        </w:rPr>
        <w:t xml:space="preserve">did not participate in the interpersonal exchange, </w:t>
      </w:r>
      <w:r w:rsidR="008A2013" w:rsidRPr="009434F9">
        <w:rPr>
          <w:rFonts w:eastAsia="Times New Roman" w:cstheme="minorHAnsi"/>
        </w:rPr>
        <w:t>himself</w:t>
      </w:r>
      <w:r w:rsidRPr="009434F9">
        <w:rPr>
          <w:rFonts w:eastAsia="Times New Roman" w:cstheme="minorHAnsi"/>
        </w:rPr>
        <w:t>.</w:t>
      </w:r>
      <w:r w:rsidR="00211951" w:rsidRPr="009434F9">
        <w:rPr>
          <w:rStyle w:val="FootnoteReference"/>
          <w:rFonts w:eastAsia="Times New Roman" w:cstheme="minorHAnsi"/>
        </w:rPr>
        <w:footnoteReference w:id="32"/>
      </w:r>
      <w:r w:rsidRPr="009434F9">
        <w:rPr>
          <w:rFonts w:eastAsia="Times New Roman" w:cstheme="minorHAnsi"/>
        </w:rPr>
        <w:t xml:space="preserve"> However, the owner’s </w:t>
      </w:r>
      <w:r w:rsidR="00EB56FF" w:rsidRPr="009434F9">
        <w:rPr>
          <w:rFonts w:eastAsia="Times New Roman" w:cstheme="minorHAnsi"/>
        </w:rPr>
        <w:t>explanation of</w:t>
      </w:r>
      <w:r w:rsidR="00C34881">
        <w:rPr>
          <w:rFonts w:eastAsia="Times New Roman" w:cstheme="minorHAnsi"/>
        </w:rPr>
        <w:t xml:space="preserve"> the</w:t>
      </w:r>
      <w:r w:rsidR="00EB56FF" w:rsidRPr="009434F9">
        <w:rPr>
          <w:rFonts w:eastAsia="Times New Roman" w:cstheme="minorHAnsi"/>
        </w:rPr>
        <w:t xml:space="preserve"> relevant features of the testimonial exchange </w:t>
      </w:r>
      <w:r w:rsidRPr="009434F9">
        <w:rPr>
          <w:rFonts w:eastAsia="Times New Roman" w:cstheme="minorHAnsi"/>
        </w:rPr>
        <w:t xml:space="preserve">will provide </w:t>
      </w:r>
      <w:r w:rsidR="00EB56FF" w:rsidRPr="009434F9">
        <w:rPr>
          <w:rFonts w:eastAsia="Times New Roman" w:cstheme="minorHAnsi"/>
        </w:rPr>
        <w:t xml:space="preserve">at least some </w:t>
      </w:r>
      <w:r w:rsidRPr="009434F9">
        <w:rPr>
          <w:rFonts w:eastAsia="Times New Roman" w:cstheme="minorHAnsi"/>
        </w:rPr>
        <w:t xml:space="preserve">understanding for why </w:t>
      </w:r>
      <w:r w:rsidR="008A2013" w:rsidRPr="009434F9">
        <w:rPr>
          <w:rFonts w:eastAsia="Times New Roman" w:cstheme="minorHAnsi"/>
        </w:rPr>
        <w:t xml:space="preserve">she </w:t>
      </w:r>
      <w:r w:rsidRPr="009434F9">
        <w:rPr>
          <w:rFonts w:eastAsia="Times New Roman" w:cstheme="minorHAnsi"/>
        </w:rPr>
        <w:t xml:space="preserve">is taking down the sign. </w:t>
      </w:r>
      <w:r w:rsidR="00250E25" w:rsidRPr="009434F9">
        <w:rPr>
          <w:rFonts w:eastAsia="Times New Roman" w:cstheme="minorHAnsi"/>
        </w:rPr>
        <w:t>B</w:t>
      </w:r>
      <w:r w:rsidRPr="009434F9">
        <w:rPr>
          <w:rFonts w:eastAsia="Times New Roman" w:cstheme="minorHAnsi"/>
        </w:rPr>
        <w:t xml:space="preserve">oth the owner and the employee could take it upon themselves to gain a better understanding by deciding to research the issue online, reading testimony from other LGBTQ+ people on the same </w:t>
      </w:r>
      <w:r w:rsidR="00250E25" w:rsidRPr="009434F9">
        <w:rPr>
          <w:rFonts w:eastAsia="Times New Roman" w:cstheme="minorHAnsi"/>
        </w:rPr>
        <w:t>topic</w:t>
      </w:r>
      <w:r w:rsidRPr="009434F9">
        <w:rPr>
          <w:rFonts w:eastAsia="Times New Roman" w:cstheme="minorHAnsi"/>
        </w:rPr>
        <w:t>.</w:t>
      </w:r>
      <w:r w:rsidR="003369A2" w:rsidRPr="009434F9">
        <w:rPr>
          <w:rFonts w:eastAsia="Times New Roman" w:cstheme="minorHAnsi"/>
        </w:rPr>
        <w:t xml:space="preserve"> In this way, deference can </w:t>
      </w:r>
      <w:r w:rsidR="00C47051" w:rsidRPr="009434F9">
        <w:rPr>
          <w:rFonts w:eastAsia="Times New Roman" w:cstheme="minorHAnsi"/>
        </w:rPr>
        <w:t xml:space="preserve">open the door </w:t>
      </w:r>
      <w:r w:rsidR="00215EA2" w:rsidRPr="009434F9">
        <w:rPr>
          <w:rFonts w:eastAsia="Times New Roman" w:cstheme="minorHAnsi"/>
        </w:rPr>
        <w:t xml:space="preserve">to learning—it </w:t>
      </w:r>
      <w:r w:rsidR="00720973" w:rsidRPr="009434F9">
        <w:rPr>
          <w:rFonts w:eastAsia="Times New Roman" w:cstheme="minorHAnsi"/>
        </w:rPr>
        <w:t>needn’t</w:t>
      </w:r>
      <w:r w:rsidR="00CE6C05" w:rsidRPr="009434F9">
        <w:rPr>
          <w:rFonts w:eastAsia="Times New Roman" w:cstheme="minorHAnsi"/>
        </w:rPr>
        <w:t xml:space="preserve"> be construed merely as </w:t>
      </w:r>
      <w:r w:rsidR="00215EA2" w:rsidRPr="009434F9">
        <w:rPr>
          <w:rFonts w:eastAsia="Times New Roman" w:cstheme="minorHAnsi"/>
        </w:rPr>
        <w:t>an epistemic backstop</w:t>
      </w:r>
      <w:r w:rsidR="005A146E" w:rsidRPr="009434F9">
        <w:rPr>
          <w:rFonts w:eastAsia="Times New Roman" w:cstheme="minorHAnsi"/>
          <w:color w:val="000000" w:themeColor="text1"/>
        </w:rPr>
        <w:t>.</w:t>
      </w:r>
      <w:r w:rsidR="009C5C1B" w:rsidRPr="009434F9">
        <w:rPr>
          <w:rFonts w:eastAsia="Times New Roman" w:cstheme="minorHAnsi"/>
          <w:b/>
          <w:bCs/>
          <w:color w:val="000000" w:themeColor="text1"/>
        </w:rPr>
        <w:t xml:space="preserve"> </w:t>
      </w:r>
      <w:r w:rsidR="009C5C1B" w:rsidRPr="009434F9">
        <w:rPr>
          <w:rFonts w:eastAsia="Times New Roman" w:cstheme="minorHAnsi"/>
          <w:color w:val="000000" w:themeColor="text1"/>
        </w:rPr>
        <w:t xml:space="preserve">Pursuing </w:t>
      </w:r>
      <w:r w:rsidR="00424116" w:rsidRPr="009434F9">
        <w:rPr>
          <w:rFonts w:eastAsia="Times New Roman" w:cstheme="minorHAnsi"/>
          <w:color w:val="000000" w:themeColor="text1"/>
        </w:rPr>
        <w:t>your</w:t>
      </w:r>
      <w:r w:rsidR="009C5C1B" w:rsidRPr="009434F9">
        <w:rPr>
          <w:rFonts w:eastAsia="Times New Roman" w:cstheme="minorHAnsi"/>
          <w:color w:val="000000" w:themeColor="text1"/>
        </w:rPr>
        <w:t xml:space="preserve"> curiosity is consistent with epistemic deference, </w:t>
      </w:r>
      <w:r w:rsidR="0012798D" w:rsidRPr="009434F9">
        <w:rPr>
          <w:rFonts w:eastAsia="Times New Roman" w:cstheme="minorHAnsi"/>
          <w:color w:val="000000" w:themeColor="text1"/>
        </w:rPr>
        <w:t xml:space="preserve">so long as you believe the testifier and do not seek out </w:t>
      </w:r>
      <w:r w:rsidR="00C01E0C" w:rsidRPr="009434F9">
        <w:rPr>
          <w:rFonts w:eastAsia="Times New Roman" w:cstheme="minorHAnsi"/>
          <w:color w:val="000000" w:themeColor="text1"/>
        </w:rPr>
        <w:t xml:space="preserve">information with the intent to undermine their testimony. </w:t>
      </w:r>
    </w:p>
    <w:p w14:paraId="25A5034F" w14:textId="79BABE3A" w:rsidR="002C3EB5" w:rsidRPr="009434F9" w:rsidRDefault="00720973" w:rsidP="006602A4">
      <w:pPr>
        <w:spacing w:line="480" w:lineRule="auto"/>
        <w:ind w:firstLine="720"/>
        <w:rPr>
          <w:rFonts w:eastAsia="Times New Roman" w:cstheme="minorHAnsi"/>
        </w:rPr>
      </w:pPr>
      <w:r w:rsidRPr="009434F9">
        <w:rPr>
          <w:rFonts w:eastAsia="Times New Roman" w:cstheme="minorHAnsi"/>
        </w:rPr>
        <w:t>Yet a</w:t>
      </w:r>
      <w:r w:rsidR="009F5C15" w:rsidRPr="009434F9">
        <w:rPr>
          <w:rFonts w:eastAsia="Times New Roman" w:cstheme="minorHAnsi"/>
        </w:rPr>
        <w:t xml:space="preserve">nother way of motivating the understanding objection </w:t>
      </w:r>
      <w:r w:rsidR="002C3EB5" w:rsidRPr="009434F9">
        <w:rPr>
          <w:rFonts w:eastAsia="Times New Roman" w:cstheme="minorHAnsi"/>
        </w:rPr>
        <w:t>is that epistemic deference suffers a double bind: Either the testifier can provide us reasons to support the belief in question, or they cannot. If they can, why do we need deference at all? And if they cannot, why should we be motivated to believe them in the first place?</w:t>
      </w:r>
      <w:r w:rsidR="002C3EB5" w:rsidRPr="009434F9">
        <w:rPr>
          <w:rStyle w:val="FootnoteReference"/>
          <w:rFonts w:eastAsia="Times New Roman" w:cstheme="minorHAnsi"/>
        </w:rPr>
        <w:footnoteReference w:id="33"/>
      </w:r>
      <w:r w:rsidR="002C3EB5" w:rsidRPr="009434F9">
        <w:rPr>
          <w:rFonts w:eastAsia="Times New Roman" w:cstheme="minorHAnsi"/>
        </w:rPr>
        <w:t xml:space="preserve"> </w:t>
      </w:r>
    </w:p>
    <w:p w14:paraId="467CC31E" w14:textId="6DE591A8" w:rsidR="002C3EB5" w:rsidRPr="009434F9" w:rsidRDefault="002C3EB5" w:rsidP="006602A4">
      <w:pPr>
        <w:spacing w:line="480" w:lineRule="auto"/>
        <w:ind w:firstLine="720"/>
        <w:rPr>
          <w:rFonts w:eastAsia="Times New Roman" w:cstheme="minorHAnsi"/>
        </w:rPr>
      </w:pPr>
      <w:r w:rsidRPr="009434F9">
        <w:rPr>
          <w:rFonts w:eastAsia="Times New Roman" w:cstheme="minorHAnsi"/>
        </w:rPr>
        <w:t>To the first horn we have two replies. First, we take it that marginalized people can, generally speaking, provide reasons in support of their testimony.</w:t>
      </w:r>
      <w:r w:rsidRPr="009434F9">
        <w:rPr>
          <w:rStyle w:val="FootnoteReference"/>
          <w:rFonts w:eastAsia="Times New Roman" w:cstheme="minorHAnsi"/>
        </w:rPr>
        <w:footnoteReference w:id="34"/>
      </w:r>
      <w:r w:rsidRPr="009434F9">
        <w:rPr>
          <w:rFonts w:eastAsia="Times New Roman" w:cstheme="minorHAnsi"/>
        </w:rPr>
        <w:t xml:space="preserve"> A disabled friend could provide the reasons why a building is inaccessible, or the non-binary acquaintance could outline why the sign is offensive. </w:t>
      </w:r>
      <w:r w:rsidR="00CE6C05" w:rsidRPr="009434F9">
        <w:rPr>
          <w:rFonts w:eastAsia="Times New Roman" w:cstheme="minorHAnsi"/>
        </w:rPr>
        <w:t xml:space="preserve">However, sometimes </w:t>
      </w:r>
      <w:r w:rsidR="00E96241" w:rsidRPr="009434F9">
        <w:rPr>
          <w:rFonts w:eastAsia="Times New Roman" w:cstheme="minorHAnsi"/>
        </w:rPr>
        <w:t>these</w:t>
      </w:r>
      <w:r w:rsidR="00CE6C05" w:rsidRPr="009434F9">
        <w:rPr>
          <w:rFonts w:eastAsia="Times New Roman" w:cstheme="minorHAnsi"/>
        </w:rPr>
        <w:t xml:space="preserve"> reasons aren’t easily understood by </w:t>
      </w:r>
      <w:r w:rsidR="00E96241" w:rsidRPr="009434F9">
        <w:rPr>
          <w:rFonts w:eastAsia="Times New Roman" w:cstheme="minorHAnsi"/>
        </w:rPr>
        <w:t>those</w:t>
      </w:r>
      <w:r w:rsidR="00CE6C05" w:rsidRPr="009434F9">
        <w:rPr>
          <w:rFonts w:eastAsia="Times New Roman" w:cstheme="minorHAnsi"/>
        </w:rPr>
        <w:t xml:space="preserve"> who do not have the proper experience to conceptualize them. </w:t>
      </w:r>
      <w:r w:rsidRPr="009434F9">
        <w:rPr>
          <w:rFonts w:eastAsia="Times New Roman" w:cstheme="minorHAnsi"/>
        </w:rPr>
        <w:t>Perhaps, in an ideal world (unconstrained by the limitations of time</w:t>
      </w:r>
      <w:r w:rsidR="00CD50FF" w:rsidRPr="009434F9">
        <w:rPr>
          <w:rFonts w:eastAsia="Times New Roman" w:cstheme="minorHAnsi"/>
        </w:rPr>
        <w:t xml:space="preserve">, </w:t>
      </w:r>
      <w:r w:rsidRPr="009434F9">
        <w:rPr>
          <w:rFonts w:eastAsia="Times New Roman" w:cstheme="minorHAnsi"/>
        </w:rPr>
        <w:t>labor</w:t>
      </w:r>
      <w:r w:rsidR="00507507" w:rsidRPr="009434F9">
        <w:rPr>
          <w:rFonts w:eastAsia="Times New Roman" w:cstheme="minorHAnsi"/>
        </w:rPr>
        <w:t>,</w:t>
      </w:r>
      <w:r w:rsidR="00CD50FF" w:rsidRPr="009434F9">
        <w:rPr>
          <w:rFonts w:eastAsia="Times New Roman" w:cstheme="minorHAnsi"/>
        </w:rPr>
        <w:t xml:space="preserve"> and </w:t>
      </w:r>
      <w:r w:rsidR="00C222AC" w:rsidRPr="009434F9">
        <w:rPr>
          <w:rFonts w:eastAsia="Times New Roman" w:cstheme="minorHAnsi"/>
        </w:rPr>
        <w:t>conceptual experience</w:t>
      </w:r>
      <w:r w:rsidRPr="009434F9">
        <w:rPr>
          <w:rFonts w:eastAsia="Times New Roman" w:cstheme="minorHAnsi"/>
        </w:rPr>
        <w:t>) there would be something preferable about learning information for oneself over deferring to others.</w:t>
      </w:r>
      <w:r w:rsidRPr="009434F9">
        <w:rPr>
          <w:rStyle w:val="FootnoteReference"/>
          <w:rFonts w:eastAsia="Times New Roman" w:cstheme="minorHAnsi"/>
        </w:rPr>
        <w:footnoteReference w:id="35"/>
      </w:r>
      <w:r w:rsidRPr="009434F9">
        <w:rPr>
          <w:rFonts w:eastAsia="Times New Roman" w:cstheme="minorHAnsi"/>
        </w:rPr>
        <w:t xml:space="preserve">  </w:t>
      </w:r>
    </w:p>
    <w:p w14:paraId="74D9B2AC" w14:textId="70AE2851" w:rsidR="002C3EB5" w:rsidRPr="009434F9" w:rsidRDefault="002C3EB5" w:rsidP="006602A4">
      <w:pPr>
        <w:spacing w:line="480" w:lineRule="auto"/>
        <w:ind w:firstLine="720"/>
        <w:rPr>
          <w:rFonts w:eastAsia="Times New Roman" w:cstheme="minorHAnsi"/>
        </w:rPr>
      </w:pPr>
      <w:r w:rsidRPr="009434F9">
        <w:rPr>
          <w:rFonts w:eastAsia="Times New Roman" w:cstheme="minorHAnsi"/>
        </w:rPr>
        <w:t xml:space="preserve">Importantly, we do live in a world constrained by these socio and temporal features. Just because a marginalized testifier </w:t>
      </w:r>
      <w:r w:rsidRPr="009434F9">
        <w:rPr>
          <w:rFonts w:eastAsia="Times New Roman" w:cstheme="minorHAnsi"/>
          <w:i/>
          <w:iCs/>
        </w:rPr>
        <w:t>can</w:t>
      </w:r>
      <w:r w:rsidRPr="009434F9">
        <w:rPr>
          <w:rFonts w:eastAsia="Times New Roman" w:cstheme="minorHAnsi"/>
        </w:rPr>
        <w:t xml:space="preserve"> provide us reasons for their belief does not mean they have the time, desire, or will to do so. A non-marginalized person might ask for those reasons if they are interested in </w:t>
      </w:r>
      <w:r w:rsidR="00555D2A" w:rsidRPr="009434F9">
        <w:rPr>
          <w:rFonts w:eastAsia="Times New Roman" w:cstheme="minorHAnsi"/>
        </w:rPr>
        <w:t>understanding</w:t>
      </w:r>
      <w:r w:rsidRPr="009434F9">
        <w:rPr>
          <w:rFonts w:eastAsia="Times New Roman" w:cstheme="minorHAnsi"/>
        </w:rPr>
        <w:t>, rather than deferring. But they ought to be prepared to receive a “no” in reply.</w:t>
      </w:r>
      <w:r w:rsidR="0042697C" w:rsidRPr="009434F9">
        <w:rPr>
          <w:rFonts w:eastAsia="Times New Roman" w:cstheme="minorHAnsi"/>
        </w:rPr>
        <w:t xml:space="preserve"> </w:t>
      </w:r>
      <w:r w:rsidRPr="009434F9">
        <w:rPr>
          <w:rFonts w:eastAsia="Times New Roman" w:cstheme="minorHAnsi"/>
        </w:rPr>
        <w:t>At the end of the day, there is a fine line between asking and insisting that a marginalized person provide reasons for the testimony about their own identity harms. Too often, the task of providing a privileged person understanding is done at the expense of marginalized people’s time and energy, resulting in the harms of spokespersoning and epistemic exploitation (both topics we will return to towards the end of this section).</w:t>
      </w:r>
    </w:p>
    <w:p w14:paraId="38155685" w14:textId="546B0F8D" w:rsidR="002C3EB5" w:rsidRPr="009434F9" w:rsidRDefault="000223CE" w:rsidP="006602A4">
      <w:pPr>
        <w:spacing w:line="480" w:lineRule="auto"/>
        <w:ind w:firstLine="720"/>
        <w:rPr>
          <w:rFonts w:eastAsia="Times New Roman" w:cstheme="minorHAnsi"/>
        </w:rPr>
      </w:pPr>
      <w:r w:rsidRPr="009434F9">
        <w:rPr>
          <w:rFonts w:eastAsia="Times New Roman" w:cstheme="minorHAnsi"/>
        </w:rPr>
        <w:t xml:space="preserve">Turn to the second horn—If they can provide reasons, why do we need deference at all? </w:t>
      </w:r>
      <w:r w:rsidR="00C305B5" w:rsidRPr="009434F9">
        <w:rPr>
          <w:rFonts w:eastAsia="Times New Roman" w:cstheme="minorHAnsi"/>
        </w:rPr>
        <w:t xml:space="preserve">To answer this, we return to the participant stance </w:t>
      </w:r>
      <w:r w:rsidR="00366209" w:rsidRPr="009434F9">
        <w:rPr>
          <w:rFonts w:eastAsia="Times New Roman" w:cstheme="minorHAnsi"/>
        </w:rPr>
        <w:t>and</w:t>
      </w:r>
      <w:r w:rsidR="00B669B8" w:rsidRPr="009434F9">
        <w:rPr>
          <w:rFonts w:eastAsia="Times New Roman" w:cstheme="minorHAnsi"/>
        </w:rPr>
        <w:t xml:space="preserve"> the </w:t>
      </w:r>
      <w:r w:rsidR="00E934C4" w:rsidRPr="009434F9">
        <w:rPr>
          <w:rFonts w:eastAsia="Times New Roman" w:cstheme="minorHAnsi"/>
        </w:rPr>
        <w:t>relationship between persons</w:t>
      </w:r>
      <w:r w:rsidR="00E01676" w:rsidRPr="009434F9">
        <w:rPr>
          <w:rFonts w:eastAsia="Times New Roman" w:cstheme="minorHAnsi"/>
        </w:rPr>
        <w:t>.</w:t>
      </w:r>
      <w:r w:rsidRPr="009434F9">
        <w:rPr>
          <w:rFonts w:eastAsia="Times New Roman" w:cstheme="minorHAnsi"/>
        </w:rPr>
        <w:t xml:space="preserve"> In</w:t>
      </w:r>
      <w:r w:rsidR="002C3EB5" w:rsidRPr="009434F9">
        <w:rPr>
          <w:rFonts w:eastAsia="Times New Roman" w:cstheme="minorHAnsi"/>
        </w:rPr>
        <w:t xml:space="preserve"> the cases of the sort with which we are concerned</w:t>
      </w:r>
      <w:r w:rsidRPr="009434F9">
        <w:rPr>
          <w:rFonts w:eastAsia="Times New Roman" w:cstheme="minorHAnsi"/>
        </w:rPr>
        <w:t>,</w:t>
      </w:r>
      <w:r w:rsidR="002C3EB5" w:rsidRPr="009434F9">
        <w:rPr>
          <w:rFonts w:eastAsia="Times New Roman" w:cstheme="minorHAnsi"/>
        </w:rPr>
        <w:t xml:space="preserve"> where limited evidential reasons are provided, it is the interpersonal exchange rather than the evidence</w:t>
      </w:r>
      <w:r w:rsidR="00C91E25" w:rsidRPr="009434F9">
        <w:rPr>
          <w:rFonts w:eastAsia="Times New Roman" w:cstheme="minorHAnsi"/>
        </w:rPr>
        <w:t xml:space="preserve"> that </w:t>
      </w:r>
      <w:r w:rsidR="002C3EB5" w:rsidRPr="009434F9">
        <w:rPr>
          <w:rFonts w:eastAsia="Times New Roman" w:cstheme="minorHAnsi"/>
        </w:rPr>
        <w:t xml:space="preserve">does the work to produce the receiver’s belief or action. The testifier appeals to their own experience qua a marginalized person, </w:t>
      </w:r>
      <w:r w:rsidR="00776E33">
        <w:rPr>
          <w:rFonts w:eastAsia="Times New Roman" w:cstheme="minorHAnsi"/>
        </w:rPr>
        <w:t xml:space="preserve">which is first-hand experience from the relevant </w:t>
      </w:r>
      <w:r w:rsidR="00DD4A72">
        <w:rPr>
          <w:rFonts w:eastAsia="Times New Roman" w:cstheme="minorHAnsi"/>
        </w:rPr>
        <w:t>social</w:t>
      </w:r>
      <w:r w:rsidR="00776E33">
        <w:rPr>
          <w:rFonts w:eastAsia="Times New Roman" w:cstheme="minorHAnsi"/>
        </w:rPr>
        <w:t xml:space="preserve"> identity</w:t>
      </w:r>
      <w:r w:rsidR="002C3EB5" w:rsidRPr="009434F9">
        <w:rPr>
          <w:rFonts w:eastAsia="Times New Roman" w:cstheme="minorHAnsi"/>
        </w:rPr>
        <w:t xml:space="preserve">. This lends weight to the credibility and persuasiveness of the testifier, framing them as a person worthy of trust. When the receiver is (or would be) unconvinced by the evidential reasons alone, but trusts and believes the testifier in virtue of their assurance that </w:t>
      </w:r>
      <w:r w:rsidR="002C3EB5" w:rsidRPr="009434F9">
        <w:rPr>
          <w:rFonts w:eastAsia="Times New Roman" w:cstheme="minorHAnsi"/>
          <w:i/>
          <w:iCs/>
        </w:rPr>
        <w:t>p</w:t>
      </w:r>
      <w:r w:rsidR="002C3EB5" w:rsidRPr="009434F9">
        <w:rPr>
          <w:rFonts w:eastAsia="Times New Roman" w:cstheme="minorHAnsi"/>
        </w:rPr>
        <w:t xml:space="preserve"> is the case, they epistemically defer to them</w:t>
      </w:r>
      <w:r w:rsidR="00A0058D" w:rsidRPr="009434F9">
        <w:rPr>
          <w:rFonts w:eastAsia="Times New Roman" w:cstheme="minorHAnsi"/>
        </w:rPr>
        <w:t>.</w:t>
      </w:r>
      <w:r w:rsidR="002C3EB5" w:rsidRPr="009434F9">
        <w:rPr>
          <w:rFonts w:eastAsia="Times New Roman" w:cstheme="minorHAnsi"/>
        </w:rPr>
        <w:t xml:space="preserve"> Deference, rather than mere learning, captures the interpersonal heft of this exchange. </w:t>
      </w:r>
    </w:p>
    <w:p w14:paraId="3188F1D8" w14:textId="0C0A69E9" w:rsidR="008B3DCD" w:rsidRPr="009434F9" w:rsidRDefault="00001D13" w:rsidP="006602A4">
      <w:pPr>
        <w:spacing w:line="480" w:lineRule="auto"/>
        <w:rPr>
          <w:rFonts w:eastAsia="Times New Roman" w:cstheme="minorHAnsi"/>
        </w:rPr>
      </w:pPr>
      <w:r w:rsidRPr="009434F9">
        <w:rPr>
          <w:rFonts w:eastAsia="Times New Roman" w:cstheme="minorHAnsi"/>
        </w:rPr>
        <w:tab/>
      </w:r>
      <w:r w:rsidR="00251203" w:rsidRPr="009434F9">
        <w:rPr>
          <w:rFonts w:eastAsia="Times New Roman" w:cstheme="minorHAnsi"/>
        </w:rPr>
        <w:t>E</w:t>
      </w:r>
      <w:r w:rsidRPr="009434F9">
        <w:rPr>
          <w:rFonts w:eastAsia="Times New Roman" w:cstheme="minorHAnsi"/>
        </w:rPr>
        <w:t xml:space="preserve">ven if the understanding objection or some other worry were to succeed against our argument for a </w:t>
      </w:r>
      <w:r w:rsidRPr="009434F9">
        <w:rPr>
          <w:rFonts w:eastAsia="Times New Roman" w:cstheme="minorHAnsi"/>
          <w:i/>
          <w:iCs/>
        </w:rPr>
        <w:t>prima facie</w:t>
      </w:r>
      <w:r w:rsidRPr="009434F9">
        <w:rPr>
          <w:rFonts w:eastAsia="Times New Roman" w:cstheme="minorHAnsi"/>
        </w:rPr>
        <w:t xml:space="preserve"> duty to epistemically defer, we argue that actional deference may still be required. </w:t>
      </w:r>
      <w:r w:rsidR="002C4E09" w:rsidRPr="009434F9">
        <w:rPr>
          <w:rFonts w:eastAsia="Times New Roman" w:cstheme="minorHAnsi"/>
        </w:rPr>
        <w:t xml:space="preserve">Imagine </w:t>
      </w:r>
      <w:r w:rsidR="00B60550" w:rsidRPr="009434F9">
        <w:rPr>
          <w:rFonts w:eastAsia="Times New Roman" w:cstheme="minorHAnsi"/>
        </w:rPr>
        <w:t>a slightly edited</w:t>
      </w:r>
      <w:r w:rsidR="008B3DCD" w:rsidRPr="009434F9">
        <w:rPr>
          <w:rFonts w:eastAsia="Times New Roman" w:cstheme="minorHAnsi"/>
        </w:rPr>
        <w:t xml:space="preserve"> case where the café owner who has posted the whimsical “all gender” bathroom sign is a cis person who is new to the notion of being trans or non-binary. Perhaps this person is self-aware enough that they should be attentive to the non-binary speaker, but they do not fully grasp the relevant concepts, and therefore need time to understand </w:t>
      </w:r>
      <w:r w:rsidR="00EB7B08" w:rsidRPr="009434F9">
        <w:rPr>
          <w:rFonts w:eastAsia="Times New Roman" w:cstheme="minorHAnsi"/>
        </w:rPr>
        <w:t xml:space="preserve">what </w:t>
      </w:r>
      <w:r w:rsidR="008B3DCD" w:rsidRPr="009434F9">
        <w:rPr>
          <w:rFonts w:eastAsia="Times New Roman" w:cstheme="minorHAnsi"/>
        </w:rPr>
        <w:t>they mean. In this case, the owner still has the obligation to actionally and epistemically defer, though they may not be aware of the latter.</w:t>
      </w:r>
      <w:r w:rsidR="004525AF" w:rsidRPr="009434F9">
        <w:rPr>
          <w:rFonts w:eastAsia="Times New Roman" w:cstheme="minorHAnsi"/>
        </w:rPr>
        <w:t xml:space="preserve"> Even </w:t>
      </w:r>
      <w:r w:rsidR="009F5C15" w:rsidRPr="009434F9">
        <w:rPr>
          <w:rFonts w:eastAsia="Times New Roman" w:cstheme="minorHAnsi"/>
        </w:rPr>
        <w:t>if</w:t>
      </w:r>
      <w:r w:rsidR="004525AF" w:rsidRPr="009434F9">
        <w:rPr>
          <w:rFonts w:eastAsia="Times New Roman" w:cstheme="minorHAnsi"/>
        </w:rPr>
        <w:t xml:space="preserve"> the lack of conceptual background may prevent them from realizing they should believe what the customer has to say, t</w:t>
      </w:r>
      <w:r w:rsidR="008B3DCD" w:rsidRPr="009434F9">
        <w:rPr>
          <w:rFonts w:eastAsia="Times New Roman" w:cstheme="minorHAnsi"/>
        </w:rPr>
        <w:t xml:space="preserve">he conversation alone should be enough for the owner to realize they should take down the sign—that is, to act in line with the testimony given. </w:t>
      </w:r>
    </w:p>
    <w:p w14:paraId="58F51551" w14:textId="188624AB" w:rsidR="00001D13" w:rsidRPr="009434F9" w:rsidRDefault="005424D7" w:rsidP="006602A4">
      <w:pPr>
        <w:spacing w:line="480" w:lineRule="auto"/>
        <w:ind w:firstLine="720"/>
        <w:rPr>
          <w:rFonts w:eastAsia="Times New Roman" w:cstheme="minorHAnsi"/>
        </w:rPr>
      </w:pPr>
      <w:r w:rsidRPr="009434F9">
        <w:rPr>
          <w:rFonts w:eastAsia="Times New Roman" w:cstheme="minorHAnsi"/>
        </w:rPr>
        <w:t>The previous objections have targeted epistemic deference</w:t>
      </w:r>
      <w:r w:rsidR="00154BD1" w:rsidRPr="009434F9">
        <w:rPr>
          <w:rFonts w:eastAsia="Times New Roman" w:cstheme="minorHAnsi"/>
        </w:rPr>
        <w:t>,</w:t>
      </w:r>
      <w:r w:rsidRPr="009434F9">
        <w:rPr>
          <w:rFonts w:eastAsia="Times New Roman" w:cstheme="minorHAnsi"/>
        </w:rPr>
        <w:t xml:space="preserve"> but</w:t>
      </w:r>
      <w:r w:rsidR="00154BD1" w:rsidRPr="009434F9">
        <w:rPr>
          <w:rFonts w:eastAsia="Times New Roman" w:cstheme="minorHAnsi"/>
        </w:rPr>
        <w:t xml:space="preserve"> t</w:t>
      </w:r>
      <w:r w:rsidR="00001D13" w:rsidRPr="009434F9">
        <w:rPr>
          <w:rFonts w:eastAsia="Times New Roman" w:cstheme="minorHAnsi"/>
        </w:rPr>
        <w:t xml:space="preserve">he following objections target both strains. </w:t>
      </w:r>
      <w:r w:rsidR="00871496" w:rsidRPr="009434F9">
        <w:rPr>
          <w:rFonts w:eastAsia="Times New Roman" w:cstheme="minorHAnsi"/>
        </w:rPr>
        <w:t xml:space="preserve">One of the most pressing worries is that, were deference of </w:t>
      </w:r>
      <w:r w:rsidR="00FC746F" w:rsidRPr="009434F9">
        <w:rPr>
          <w:rFonts w:eastAsia="Times New Roman" w:cstheme="minorHAnsi"/>
        </w:rPr>
        <w:t xml:space="preserve">this </w:t>
      </w:r>
      <w:r w:rsidR="00871496" w:rsidRPr="009434F9">
        <w:rPr>
          <w:rFonts w:eastAsia="Times New Roman" w:cstheme="minorHAnsi"/>
        </w:rPr>
        <w:t xml:space="preserve">kind </w:t>
      </w:r>
      <w:r w:rsidR="00FC746F" w:rsidRPr="009434F9">
        <w:rPr>
          <w:rFonts w:eastAsia="Times New Roman" w:cstheme="minorHAnsi"/>
        </w:rPr>
        <w:t>were</w:t>
      </w:r>
      <w:r w:rsidR="00871496" w:rsidRPr="009434F9">
        <w:rPr>
          <w:rFonts w:eastAsia="Times New Roman" w:cstheme="minorHAnsi"/>
        </w:rPr>
        <w:t xml:space="preserve"> to become a more widespread social practice, there would be several negative outcomes that would </w:t>
      </w:r>
      <w:r w:rsidR="009F5C15" w:rsidRPr="009434F9">
        <w:rPr>
          <w:rFonts w:eastAsia="Times New Roman" w:cstheme="minorHAnsi"/>
        </w:rPr>
        <w:t xml:space="preserve">undermine </w:t>
      </w:r>
      <w:r w:rsidR="00106D0B" w:rsidRPr="009434F9">
        <w:rPr>
          <w:rFonts w:eastAsia="Times New Roman" w:cstheme="minorHAnsi"/>
        </w:rPr>
        <w:t>the</w:t>
      </w:r>
      <w:r w:rsidR="009F5C15" w:rsidRPr="009434F9">
        <w:rPr>
          <w:rFonts w:eastAsia="Times New Roman" w:cstheme="minorHAnsi"/>
        </w:rPr>
        <w:t xml:space="preserve"> benefits of the practice</w:t>
      </w:r>
      <w:r w:rsidR="00871496" w:rsidRPr="009434F9">
        <w:rPr>
          <w:rFonts w:eastAsia="Times New Roman" w:cstheme="minorHAnsi"/>
        </w:rPr>
        <w:t>.</w:t>
      </w:r>
    </w:p>
    <w:p w14:paraId="131B1149" w14:textId="7F8F6F68" w:rsidR="00871496" w:rsidRPr="009434F9" w:rsidRDefault="00871496" w:rsidP="006602A4">
      <w:pPr>
        <w:spacing w:line="480" w:lineRule="auto"/>
        <w:ind w:firstLine="720"/>
        <w:rPr>
          <w:rFonts w:cstheme="minorHAnsi"/>
        </w:rPr>
      </w:pPr>
      <w:r w:rsidRPr="009434F9">
        <w:rPr>
          <w:rFonts w:eastAsia="Times New Roman" w:cstheme="minorHAnsi"/>
        </w:rPr>
        <w:t xml:space="preserve">First, </w:t>
      </w:r>
      <w:r w:rsidR="008166C0" w:rsidRPr="009434F9">
        <w:rPr>
          <w:rFonts w:eastAsia="Times New Roman" w:cstheme="minorHAnsi"/>
        </w:rPr>
        <w:t>it seems</w:t>
      </w:r>
      <w:r w:rsidRPr="009434F9">
        <w:rPr>
          <w:rFonts w:eastAsia="Times New Roman" w:cstheme="minorHAnsi"/>
        </w:rPr>
        <w:t xml:space="preserve"> that such deference norms </w:t>
      </w:r>
      <w:r w:rsidR="008166C0" w:rsidRPr="009434F9">
        <w:rPr>
          <w:rFonts w:eastAsia="Times New Roman" w:cstheme="minorHAnsi"/>
        </w:rPr>
        <w:t>might</w:t>
      </w:r>
      <w:r w:rsidRPr="009434F9">
        <w:rPr>
          <w:rFonts w:eastAsia="Times New Roman" w:cstheme="minorHAnsi"/>
        </w:rPr>
        <w:t xml:space="preserve"> encourage superficial deference, by which individuals might purport to believe marginalized people and act in accordance with their testimony for the wrong reasons. </w:t>
      </w:r>
      <w:r w:rsidRPr="009434F9">
        <w:rPr>
          <w:rFonts w:cstheme="minorHAnsi"/>
        </w:rPr>
        <w:t>For instance, it may become a norm to “defer” to marginalized testifiers as a means of virtue signaling, rather than with the primary intent of harm reduction or treating others with respect. Of course, it is often difficult to separate instances of virtue signaling from deference done for the right reasons.</w:t>
      </w:r>
    </w:p>
    <w:p w14:paraId="27F20A1E" w14:textId="75C4D7FC" w:rsidR="00871496" w:rsidRPr="009434F9" w:rsidRDefault="00871496" w:rsidP="006602A4">
      <w:pPr>
        <w:spacing w:line="480" w:lineRule="auto"/>
        <w:ind w:firstLine="720"/>
        <w:rPr>
          <w:rFonts w:cstheme="minorHAnsi"/>
        </w:rPr>
      </w:pPr>
      <w:r w:rsidRPr="009434F9">
        <w:rPr>
          <w:rFonts w:cstheme="minorHAnsi"/>
        </w:rPr>
        <w:t>The descriptive possibility of virtue signaling, however, does not count as a mark against our account, because the norms of deference we propose can explain why virtue signaling is not done in the proper spirit of deference. The point of deferring is to properly listen to marginalized persons and respect them, and virtue signaling takes this basic aim and corrupts it to the ends of the privileged who seek to maintain their social power.</w:t>
      </w:r>
    </w:p>
    <w:p w14:paraId="7F4C6205" w14:textId="2DC77B85" w:rsidR="00871496" w:rsidRPr="009434F9" w:rsidRDefault="00871496" w:rsidP="006602A4">
      <w:pPr>
        <w:spacing w:line="480" w:lineRule="auto"/>
        <w:ind w:firstLine="720"/>
        <w:rPr>
          <w:rFonts w:eastAsia="Times New Roman" w:cstheme="minorHAnsi"/>
        </w:rPr>
      </w:pPr>
      <w:r w:rsidRPr="009434F9">
        <w:rPr>
          <w:rFonts w:eastAsia="Times New Roman" w:cstheme="minorHAnsi"/>
        </w:rPr>
        <w:t xml:space="preserve">Second, </w:t>
      </w:r>
      <w:r w:rsidR="008166C0" w:rsidRPr="009434F9">
        <w:rPr>
          <w:rFonts w:eastAsia="Times New Roman" w:cstheme="minorHAnsi"/>
        </w:rPr>
        <w:t>it seems</w:t>
      </w:r>
      <w:r w:rsidRPr="009434F9">
        <w:rPr>
          <w:rFonts w:eastAsia="Times New Roman" w:cstheme="minorHAnsi"/>
        </w:rPr>
        <w:t xml:space="preserve"> that the expansion of deference norms within our social practices </w:t>
      </w:r>
      <w:r w:rsidR="008166C0" w:rsidRPr="009434F9">
        <w:rPr>
          <w:rFonts w:eastAsia="Times New Roman" w:cstheme="minorHAnsi"/>
        </w:rPr>
        <w:t>may</w:t>
      </w:r>
      <w:r w:rsidRPr="009434F9">
        <w:rPr>
          <w:rFonts w:eastAsia="Times New Roman" w:cstheme="minorHAnsi"/>
        </w:rPr>
        <w:t xml:space="preserve"> allow people with internalized oppression to be “used,” not as a source for deference, but instead merely as support for </w:t>
      </w:r>
      <w:r w:rsidR="008166C0" w:rsidRPr="009434F9">
        <w:rPr>
          <w:rFonts w:eastAsia="Times New Roman" w:cstheme="minorHAnsi"/>
        </w:rPr>
        <w:t>the receiver</w:t>
      </w:r>
      <w:r w:rsidRPr="009434F9">
        <w:rPr>
          <w:rFonts w:eastAsia="Times New Roman" w:cstheme="minorHAnsi"/>
        </w:rPr>
        <w:t xml:space="preserve">’s own foregone conclusions. Again, this kind of move undermines the core spirit of deference and makes marginalized people into pawns to be used for winning argumentative battles. It is not acceptable to “defer” to the one marginalized individual who shares your view </w:t>
      </w:r>
      <w:r w:rsidR="00701DA1" w:rsidRPr="009434F9">
        <w:rPr>
          <w:rFonts w:eastAsia="Times New Roman" w:cstheme="minorHAnsi"/>
        </w:rPr>
        <w:t>simply because it reinforces your own perspective.</w:t>
      </w:r>
      <w:r w:rsidRPr="009434F9">
        <w:rPr>
          <w:rFonts w:eastAsia="Times New Roman" w:cstheme="minorHAnsi"/>
        </w:rPr>
        <w:t xml:space="preserve"> </w:t>
      </w:r>
    </w:p>
    <w:p w14:paraId="075699F3" w14:textId="73FC817E" w:rsidR="00CB696C" w:rsidRPr="009434F9" w:rsidRDefault="00871496" w:rsidP="006602A4">
      <w:pPr>
        <w:spacing w:line="480" w:lineRule="auto"/>
        <w:ind w:firstLine="720"/>
        <w:rPr>
          <w:rFonts w:eastAsia="Times New Roman" w:cstheme="minorHAnsi"/>
        </w:rPr>
      </w:pPr>
      <w:r w:rsidRPr="009434F9">
        <w:rPr>
          <w:rFonts w:eastAsia="Times New Roman" w:cstheme="minorHAnsi"/>
        </w:rPr>
        <w:t xml:space="preserve">Finally, </w:t>
      </w:r>
      <w:r w:rsidR="008166C0" w:rsidRPr="009434F9">
        <w:rPr>
          <w:rFonts w:eastAsia="Times New Roman" w:cstheme="minorHAnsi"/>
        </w:rPr>
        <w:t>it seems</w:t>
      </w:r>
      <w:r w:rsidRPr="009434F9">
        <w:rPr>
          <w:rFonts w:eastAsia="Times New Roman" w:cstheme="minorHAnsi"/>
        </w:rPr>
        <w:t xml:space="preserve"> that structural features of who makes it into the conversation </w:t>
      </w:r>
      <w:r w:rsidR="008166C0" w:rsidRPr="009434F9">
        <w:rPr>
          <w:rFonts w:eastAsia="Times New Roman" w:cstheme="minorHAnsi"/>
        </w:rPr>
        <w:t>might</w:t>
      </w:r>
      <w:r w:rsidRPr="009434F9">
        <w:rPr>
          <w:rFonts w:eastAsia="Times New Roman" w:cstheme="minorHAnsi"/>
        </w:rPr>
        <w:t xml:space="preserve"> encourage deference to a select group of unrepresentative marginalized agents who have made it into the conversation through luck or relative privilege</w:t>
      </w:r>
      <w:r w:rsidR="00246A92" w:rsidRPr="009434F9">
        <w:rPr>
          <w:rFonts w:eastAsia="Times New Roman" w:cstheme="minorHAnsi"/>
        </w:rPr>
        <w:t xml:space="preserve">, even if </w:t>
      </w:r>
      <w:r w:rsidR="008166C0" w:rsidRPr="009434F9">
        <w:rPr>
          <w:rFonts w:eastAsia="Times New Roman" w:cstheme="minorHAnsi"/>
        </w:rPr>
        <w:t>the receiver</w:t>
      </w:r>
      <w:r w:rsidR="00246A92" w:rsidRPr="009434F9">
        <w:rPr>
          <w:rFonts w:eastAsia="Times New Roman" w:cstheme="minorHAnsi"/>
        </w:rPr>
        <w:t xml:space="preserve"> defers for the right reasons</w:t>
      </w:r>
      <w:r w:rsidRPr="009434F9">
        <w:rPr>
          <w:rFonts w:eastAsia="Times New Roman" w:cstheme="minorHAnsi"/>
        </w:rPr>
        <w:t xml:space="preserve">. As Olúfémi Táíwò </w:t>
      </w:r>
      <w:r w:rsidR="00246A92" w:rsidRPr="009434F9">
        <w:rPr>
          <w:rFonts w:eastAsia="Times New Roman" w:cstheme="minorHAnsi"/>
        </w:rPr>
        <w:t xml:space="preserve">(2021) </w:t>
      </w:r>
      <w:r w:rsidRPr="009434F9">
        <w:rPr>
          <w:rFonts w:eastAsia="Times New Roman" w:cstheme="minorHAnsi"/>
        </w:rPr>
        <w:t xml:space="preserve">argues, the good intentions of deference may be led astray by the limitations of who is in the room. If we only pay attention to the people in the room, we will fail to see how the room is constructed and who has been left outside of it. </w:t>
      </w:r>
    </w:p>
    <w:p w14:paraId="74702AAA" w14:textId="15F23ED5" w:rsidR="00CB696C" w:rsidRPr="009434F9" w:rsidRDefault="0028203F" w:rsidP="006602A4">
      <w:pPr>
        <w:spacing w:line="480" w:lineRule="auto"/>
        <w:ind w:firstLine="720"/>
        <w:rPr>
          <w:rFonts w:eastAsia="Times New Roman" w:cstheme="minorHAnsi"/>
        </w:rPr>
      </w:pPr>
      <w:r w:rsidRPr="009434F9">
        <w:rPr>
          <w:rFonts w:eastAsia="Times New Roman" w:cstheme="minorHAnsi"/>
        </w:rPr>
        <w:t>D</w:t>
      </w:r>
      <w:r w:rsidR="00871496" w:rsidRPr="009434F9">
        <w:rPr>
          <w:rFonts w:eastAsia="Times New Roman" w:cstheme="minorHAnsi"/>
        </w:rPr>
        <w:t xml:space="preserve">ue to its limited scope, our account does not touch on the construction of the room itself, </w:t>
      </w:r>
      <w:r w:rsidR="00275C87" w:rsidRPr="009434F9">
        <w:rPr>
          <w:rFonts w:eastAsia="Times New Roman" w:cstheme="minorHAnsi"/>
        </w:rPr>
        <w:t xml:space="preserve">however, </w:t>
      </w:r>
      <w:r w:rsidR="00871496" w:rsidRPr="009434F9">
        <w:rPr>
          <w:rFonts w:eastAsia="Times New Roman" w:cstheme="minorHAnsi"/>
        </w:rPr>
        <w:t xml:space="preserve">it can distinguish between </w:t>
      </w:r>
      <w:r w:rsidR="00CB696C" w:rsidRPr="009434F9">
        <w:rPr>
          <w:rFonts w:eastAsia="Times New Roman" w:cstheme="minorHAnsi"/>
        </w:rPr>
        <w:t xml:space="preserve">different experiences of oppression </w:t>
      </w:r>
      <w:r w:rsidR="00871496" w:rsidRPr="009434F9">
        <w:rPr>
          <w:rFonts w:eastAsia="Times New Roman" w:cstheme="minorHAnsi"/>
        </w:rPr>
        <w:t>that marginalized people have</w:t>
      </w:r>
      <w:r w:rsidR="00CB696C" w:rsidRPr="009434F9">
        <w:rPr>
          <w:rFonts w:eastAsia="Times New Roman" w:cstheme="minorHAnsi"/>
        </w:rPr>
        <w:t>, often</w:t>
      </w:r>
      <w:r w:rsidR="00871496" w:rsidRPr="009434F9">
        <w:rPr>
          <w:rFonts w:eastAsia="Times New Roman" w:cstheme="minorHAnsi"/>
        </w:rPr>
        <w:t xml:space="preserve"> due to intersecting oppressions. While you should listen to </w:t>
      </w:r>
      <w:r w:rsidR="00CB696C" w:rsidRPr="009434F9">
        <w:rPr>
          <w:rFonts w:eastAsia="Times New Roman" w:cstheme="minorHAnsi"/>
        </w:rPr>
        <w:t>a</w:t>
      </w:r>
      <w:r w:rsidR="00871496" w:rsidRPr="009434F9">
        <w:rPr>
          <w:rFonts w:eastAsia="Times New Roman" w:cstheme="minorHAnsi"/>
        </w:rPr>
        <w:t xml:space="preserve"> class-privileged Black colleague when she testifies about the experiences she has had of racial discrimination within the halls of power, you should not take her experiences to be representative of all Black people. </w:t>
      </w:r>
      <w:r w:rsidR="00CB696C" w:rsidRPr="009434F9">
        <w:rPr>
          <w:rFonts w:eastAsia="Times New Roman" w:cstheme="minorHAnsi"/>
        </w:rPr>
        <w:t>As our account emphasizes respect for all marginalized people, especially those who are frequently disrespected</w:t>
      </w:r>
      <w:r w:rsidR="00871496" w:rsidRPr="009434F9">
        <w:rPr>
          <w:rFonts w:eastAsia="Times New Roman" w:cstheme="minorHAnsi"/>
        </w:rPr>
        <w:t>, we are convinced that receivers have a duty to seek out the testimony of different members within different intersecting marginalized groups.</w:t>
      </w:r>
      <w:r w:rsidR="009F5C15" w:rsidRPr="009434F9">
        <w:rPr>
          <w:rFonts w:eastAsia="Times New Roman" w:cstheme="minorHAnsi"/>
        </w:rPr>
        <w:t xml:space="preserve"> </w:t>
      </w:r>
    </w:p>
    <w:p w14:paraId="4D3FBB43" w14:textId="6DEA992F" w:rsidR="00001D13" w:rsidRPr="009434F9" w:rsidRDefault="00CB696C" w:rsidP="006602A4">
      <w:pPr>
        <w:spacing w:line="480" w:lineRule="auto"/>
        <w:ind w:firstLine="720"/>
        <w:rPr>
          <w:rFonts w:eastAsia="Times New Roman" w:cstheme="minorHAnsi"/>
        </w:rPr>
      </w:pPr>
      <w:r w:rsidRPr="009434F9">
        <w:rPr>
          <w:rFonts w:eastAsia="Times New Roman" w:cstheme="minorHAnsi"/>
        </w:rPr>
        <w:t>What should you do, however, if</w:t>
      </w:r>
      <w:r w:rsidR="00001D13" w:rsidRPr="009434F9">
        <w:rPr>
          <w:rFonts w:eastAsia="Times New Roman" w:cstheme="minorHAnsi"/>
        </w:rPr>
        <w:t xml:space="preserve"> there is a consensus among members of that identity group, and this conflicts with the testimony given</w:t>
      </w:r>
      <w:r w:rsidRPr="009434F9">
        <w:rPr>
          <w:rFonts w:eastAsia="Times New Roman" w:cstheme="minorHAnsi"/>
        </w:rPr>
        <w:t>? In our view,</w:t>
      </w:r>
      <w:r w:rsidR="00001D13" w:rsidRPr="009434F9">
        <w:rPr>
          <w:rFonts w:eastAsia="Times New Roman" w:cstheme="minorHAnsi"/>
        </w:rPr>
        <w:t xml:space="preserve"> this acts as a good reason for you to </w:t>
      </w:r>
      <w:r w:rsidRPr="009434F9">
        <w:rPr>
          <w:rFonts w:eastAsia="Times New Roman" w:cstheme="minorHAnsi"/>
        </w:rPr>
        <w:t xml:space="preserve">at the very least </w:t>
      </w:r>
      <w:r w:rsidR="00001D13" w:rsidRPr="009434F9">
        <w:rPr>
          <w:rFonts w:eastAsia="Times New Roman" w:cstheme="minorHAnsi"/>
        </w:rPr>
        <w:t>suspend belief (or defer to the consensus opinion at most).</w:t>
      </w:r>
      <w:r w:rsidR="00001D13" w:rsidRPr="009434F9">
        <w:rPr>
          <w:rStyle w:val="FootnoteReference"/>
          <w:rFonts w:eastAsia="Times New Roman" w:cstheme="minorHAnsi"/>
        </w:rPr>
        <w:footnoteReference w:id="36"/>
      </w:r>
      <w:r w:rsidR="00001D13" w:rsidRPr="009434F9">
        <w:rPr>
          <w:rFonts w:eastAsia="Times New Roman" w:cstheme="minorHAnsi"/>
        </w:rPr>
        <w:t xml:space="preserve"> However, there may be no consensus at all. To whom do we defer in cases in which there is not a clear consensus among members of the marginalized community? </w:t>
      </w:r>
    </w:p>
    <w:p w14:paraId="20FFD654" w14:textId="54B3AED6" w:rsidR="00001D13" w:rsidRPr="009434F9" w:rsidRDefault="00001D13" w:rsidP="006602A4">
      <w:pPr>
        <w:spacing w:line="480" w:lineRule="auto"/>
        <w:ind w:firstLine="720"/>
        <w:rPr>
          <w:rFonts w:cstheme="minorHAnsi"/>
          <w:noProof/>
        </w:rPr>
      </w:pPr>
      <w:r w:rsidRPr="009434F9">
        <w:rPr>
          <w:rFonts w:eastAsia="Times New Roman" w:cstheme="minorHAnsi"/>
        </w:rPr>
        <w:t xml:space="preserve">If multiple testifiers meet the conditions we have suggested (that </w:t>
      </w:r>
      <w:r w:rsidRPr="009434F9">
        <w:rPr>
          <w:rFonts w:cstheme="minorHAnsi"/>
        </w:rPr>
        <w:t xml:space="preserve">the testifier has more relevant expertise about </w:t>
      </w:r>
      <w:r w:rsidRPr="009434F9">
        <w:rPr>
          <w:rFonts w:cstheme="minorHAnsi"/>
          <w:i/>
          <w:iCs/>
        </w:rPr>
        <w:t xml:space="preserve">p </w:t>
      </w:r>
      <w:r w:rsidRPr="009434F9">
        <w:rPr>
          <w:rFonts w:cstheme="minorHAnsi"/>
        </w:rPr>
        <w:t xml:space="preserve">and the receiver lacks overriding reasons against </w:t>
      </w:r>
      <w:r w:rsidRPr="009434F9">
        <w:rPr>
          <w:rFonts w:cstheme="minorHAnsi"/>
          <w:i/>
          <w:iCs/>
        </w:rPr>
        <w:t>p</w:t>
      </w:r>
      <w:r w:rsidRPr="009434F9">
        <w:rPr>
          <w:rFonts w:cstheme="minorHAnsi"/>
        </w:rPr>
        <w:t xml:space="preserve">), and these testifiers are providing conflicting moral testimony, we argue that the receiver is given a sufficient reason against the </w:t>
      </w:r>
      <w:r w:rsidRPr="009434F9">
        <w:rPr>
          <w:rFonts w:cstheme="minorHAnsi"/>
          <w:i/>
          <w:iCs/>
        </w:rPr>
        <w:t xml:space="preserve">prima facie </w:t>
      </w:r>
      <w:r w:rsidRPr="009434F9">
        <w:rPr>
          <w:rFonts w:cstheme="minorHAnsi"/>
        </w:rPr>
        <w:t xml:space="preserve">duty to defer to any one of them. If there is no reason to treat one testifier as more trustworthy than the other, then it may be that the correct attitude is, as </w:t>
      </w:r>
      <w:r w:rsidRPr="009434F9">
        <w:rPr>
          <w:rFonts w:cstheme="minorHAnsi"/>
          <w:noProof/>
        </w:rPr>
        <w:t>Matheson, McElreath</w:t>
      </w:r>
      <w:r w:rsidR="001A47C9" w:rsidRPr="009434F9">
        <w:rPr>
          <w:rFonts w:cstheme="minorHAnsi"/>
          <w:noProof/>
        </w:rPr>
        <w:t>,</w:t>
      </w:r>
      <w:r w:rsidRPr="009434F9">
        <w:rPr>
          <w:rFonts w:cstheme="minorHAnsi"/>
          <w:noProof/>
        </w:rPr>
        <w:t xml:space="preserve"> </w:t>
      </w:r>
      <w:r w:rsidR="001A47C9" w:rsidRPr="009434F9">
        <w:rPr>
          <w:rFonts w:cstheme="minorHAnsi"/>
          <w:noProof/>
        </w:rPr>
        <w:t>and</w:t>
      </w:r>
      <w:r w:rsidRPr="009434F9">
        <w:rPr>
          <w:rFonts w:cstheme="minorHAnsi"/>
          <w:noProof/>
        </w:rPr>
        <w:t xml:space="preserve"> Nobis (2018) suggest, to suspend belief. </w:t>
      </w:r>
      <w:r w:rsidR="009E6091" w:rsidRPr="009434F9">
        <w:rPr>
          <w:rFonts w:cstheme="minorHAnsi"/>
          <w:noProof/>
        </w:rPr>
        <w:t>The receiver</w:t>
      </w:r>
      <w:r w:rsidRPr="009434F9">
        <w:rPr>
          <w:rFonts w:cstheme="minorHAnsi"/>
          <w:noProof/>
        </w:rPr>
        <w:t xml:space="preserve"> will have to make a considered judgment based upon the reasons </w:t>
      </w:r>
      <w:r w:rsidR="009E6091" w:rsidRPr="009434F9">
        <w:rPr>
          <w:rFonts w:cstheme="minorHAnsi"/>
          <w:noProof/>
        </w:rPr>
        <w:t>they</w:t>
      </w:r>
      <w:r w:rsidRPr="009434F9">
        <w:rPr>
          <w:rFonts w:cstheme="minorHAnsi"/>
          <w:noProof/>
        </w:rPr>
        <w:t xml:space="preserve"> ha</w:t>
      </w:r>
      <w:r w:rsidR="009E6091" w:rsidRPr="009434F9">
        <w:rPr>
          <w:rFonts w:cstheme="minorHAnsi"/>
          <w:noProof/>
        </w:rPr>
        <w:t>ve</w:t>
      </w:r>
      <w:r w:rsidRPr="009434F9">
        <w:rPr>
          <w:rFonts w:cstheme="minorHAnsi"/>
          <w:noProof/>
        </w:rPr>
        <w:t xml:space="preserve"> available or do further investigating. In some cases, there is not a straightforward answer as to whether </w:t>
      </w:r>
      <w:r w:rsidR="009E6091" w:rsidRPr="009434F9">
        <w:rPr>
          <w:rFonts w:cstheme="minorHAnsi"/>
          <w:noProof/>
        </w:rPr>
        <w:t>the receiver</w:t>
      </w:r>
      <w:r w:rsidRPr="009434F9">
        <w:rPr>
          <w:rFonts w:cstheme="minorHAnsi"/>
          <w:noProof/>
        </w:rPr>
        <w:t xml:space="preserve"> should actionally defer, and in those cases </w:t>
      </w:r>
      <w:r w:rsidR="009E6091" w:rsidRPr="009434F9">
        <w:rPr>
          <w:rFonts w:cstheme="minorHAnsi"/>
          <w:noProof/>
        </w:rPr>
        <w:t>the receiver</w:t>
      </w:r>
      <w:r w:rsidRPr="009434F9">
        <w:rPr>
          <w:rFonts w:cstheme="minorHAnsi"/>
          <w:noProof/>
        </w:rPr>
        <w:t xml:space="preserve"> will have to rely upon </w:t>
      </w:r>
      <w:r w:rsidR="009E6091" w:rsidRPr="009434F9">
        <w:rPr>
          <w:rFonts w:cstheme="minorHAnsi"/>
          <w:noProof/>
        </w:rPr>
        <w:t>their</w:t>
      </w:r>
      <w:r w:rsidRPr="009434F9">
        <w:rPr>
          <w:rFonts w:cstheme="minorHAnsi"/>
          <w:noProof/>
        </w:rPr>
        <w:t xml:space="preserve"> own judgment.</w:t>
      </w:r>
    </w:p>
    <w:p w14:paraId="11CE17F4" w14:textId="3A7E0601" w:rsidR="00001D13" w:rsidRPr="009434F9" w:rsidRDefault="00001D13" w:rsidP="006602A4">
      <w:pPr>
        <w:spacing w:line="480" w:lineRule="auto"/>
        <w:ind w:firstLine="720"/>
        <w:rPr>
          <w:rFonts w:eastAsia="Times New Roman" w:cstheme="minorHAnsi"/>
        </w:rPr>
      </w:pPr>
      <w:r w:rsidRPr="009434F9">
        <w:rPr>
          <w:rFonts w:cstheme="minorHAnsi"/>
          <w:noProof/>
        </w:rPr>
        <w:t xml:space="preserve">There will also be instances in which </w:t>
      </w:r>
      <w:r w:rsidR="009E6091" w:rsidRPr="009434F9">
        <w:rPr>
          <w:rFonts w:cstheme="minorHAnsi"/>
          <w:noProof/>
        </w:rPr>
        <w:t>we</w:t>
      </w:r>
      <w:r w:rsidRPr="009434F9">
        <w:rPr>
          <w:rFonts w:cstheme="minorHAnsi"/>
          <w:noProof/>
        </w:rPr>
        <w:t xml:space="preserve"> ought to defer to one marginalized individual over another, even if the two disagree.</w:t>
      </w:r>
      <w:r w:rsidRPr="009434F9">
        <w:rPr>
          <w:rStyle w:val="FootnoteReference"/>
          <w:rFonts w:cstheme="minorHAnsi"/>
          <w:noProof/>
        </w:rPr>
        <w:footnoteReference w:id="37"/>
      </w:r>
      <w:r w:rsidRPr="009434F9">
        <w:rPr>
          <w:rFonts w:cstheme="minorHAnsi"/>
          <w:noProof/>
        </w:rPr>
        <w:t xml:space="preserve"> As </w:t>
      </w:r>
      <w:r w:rsidRPr="009434F9">
        <w:rPr>
          <w:rFonts w:eastAsia="Times New Roman" w:cstheme="minorHAnsi"/>
        </w:rPr>
        <w:t xml:space="preserve">Enoch (2009) writes, there are a variety of possible explanations for moral disagreement: moral matters are complex, people are not as rational as we often think, and we can be self-deceived about how our interests affect our beliefs. In the case of marginalized individuals, there may be other reasons for disagreement, including that many people might have internalized oppression that makes it more difficult to see the harms done to </w:t>
      </w:r>
      <w:r w:rsidR="009E6091" w:rsidRPr="009434F9">
        <w:rPr>
          <w:rFonts w:eastAsia="Times New Roman" w:cstheme="minorHAnsi"/>
        </w:rPr>
        <w:t>themselves</w:t>
      </w:r>
      <w:r w:rsidRPr="009434F9">
        <w:rPr>
          <w:rFonts w:eastAsia="Times New Roman" w:cstheme="minorHAnsi"/>
        </w:rPr>
        <w:t xml:space="preserve">, some might not be reflective about how various actions make them feel, and others might have different histories that make them less susceptible to various harms. </w:t>
      </w:r>
    </w:p>
    <w:p w14:paraId="5A9E0D47" w14:textId="074B7DCD" w:rsidR="00851E9A" w:rsidRPr="009434F9" w:rsidRDefault="00406888" w:rsidP="006602A4">
      <w:pPr>
        <w:spacing w:line="480" w:lineRule="auto"/>
        <w:ind w:firstLine="720"/>
        <w:rPr>
          <w:rFonts w:eastAsia="Times New Roman" w:cstheme="minorHAnsi"/>
        </w:rPr>
      </w:pPr>
      <w:r w:rsidRPr="009434F9">
        <w:rPr>
          <w:rFonts w:eastAsia="Times New Roman" w:cstheme="minorHAnsi"/>
        </w:rPr>
        <w:t>But</w:t>
      </w:r>
      <w:r w:rsidR="00851E9A" w:rsidRPr="009434F9">
        <w:rPr>
          <w:rFonts w:eastAsia="Times New Roman" w:cstheme="minorHAnsi"/>
        </w:rPr>
        <w:t xml:space="preserve">—if it is important to seek out consensus views, then why do we need deference at all? Wouldn’t it be preferable to simply do </w:t>
      </w:r>
      <w:r w:rsidR="009E6091" w:rsidRPr="009434F9">
        <w:rPr>
          <w:rFonts w:eastAsia="Times New Roman" w:cstheme="minorHAnsi"/>
        </w:rPr>
        <w:t>our</w:t>
      </w:r>
      <w:r w:rsidR="00851E9A" w:rsidRPr="009434F9">
        <w:rPr>
          <w:rFonts w:eastAsia="Times New Roman" w:cstheme="minorHAnsi"/>
        </w:rPr>
        <w:t xml:space="preserve"> homework and avoid relying on individual testimony that could be wrong?</w:t>
      </w:r>
      <w:r w:rsidR="00325C4D">
        <w:rPr>
          <w:rStyle w:val="FootnoteReference"/>
          <w:rFonts w:eastAsia="Times New Roman" w:cstheme="minorHAnsi"/>
        </w:rPr>
        <w:footnoteReference w:id="38"/>
      </w:r>
      <w:r w:rsidR="00325C4D" w:rsidRPr="004641AC">
        <w:rPr>
          <w:rFonts w:eastAsia="Times New Roman" w:cstheme="minorHAnsi"/>
        </w:rPr>
        <w:t xml:space="preserve"> </w:t>
      </w:r>
      <w:r w:rsidR="00851E9A" w:rsidRPr="009434F9">
        <w:rPr>
          <w:rFonts w:eastAsia="Times New Roman" w:cstheme="minorHAnsi"/>
        </w:rPr>
        <w:t xml:space="preserve">First, </w:t>
      </w:r>
      <w:r w:rsidR="009E6091" w:rsidRPr="009434F9">
        <w:rPr>
          <w:rFonts w:eastAsia="Times New Roman" w:cstheme="minorHAnsi"/>
        </w:rPr>
        <w:t>we</w:t>
      </w:r>
      <w:r w:rsidR="00851E9A" w:rsidRPr="009434F9">
        <w:rPr>
          <w:rFonts w:eastAsia="Times New Roman" w:cstheme="minorHAnsi"/>
        </w:rPr>
        <w:t xml:space="preserve"> might worry that jumping over individuals to the group view treats individuals within that marginalized group as a monolith. Marginalized people have different views, and this knowledge should both lead us to seek out whether there is a consensus view as well as to listen to individual marginalized people who may have different views. </w:t>
      </w:r>
      <w:r w:rsidR="001123F4" w:rsidRPr="009434F9">
        <w:rPr>
          <w:rFonts w:eastAsia="Times New Roman" w:cstheme="minorHAnsi"/>
        </w:rPr>
        <w:t>More importantly</w:t>
      </w:r>
      <w:r w:rsidR="00851E9A" w:rsidRPr="009434F9">
        <w:rPr>
          <w:rFonts w:eastAsia="Times New Roman" w:cstheme="minorHAnsi"/>
        </w:rPr>
        <w:t>, there is moral value to participating in testimonial exchanges with marginalized people so that those individuals are actually listened to</w:t>
      </w:r>
      <w:r w:rsidR="004E5E22" w:rsidRPr="009434F9">
        <w:rPr>
          <w:rFonts w:eastAsia="Times New Roman" w:cstheme="minorHAnsi"/>
        </w:rPr>
        <w:t xml:space="preserve"> and recognized</w:t>
      </w:r>
      <w:r w:rsidR="004B0685" w:rsidRPr="009434F9">
        <w:rPr>
          <w:rFonts w:eastAsia="Times New Roman" w:cstheme="minorHAnsi"/>
        </w:rPr>
        <w:t xml:space="preserve"> as full-fledged moral and epistemic agents</w:t>
      </w:r>
      <w:r w:rsidR="00851E9A" w:rsidRPr="009434F9">
        <w:rPr>
          <w:rFonts w:eastAsia="Times New Roman" w:cstheme="minorHAnsi"/>
        </w:rPr>
        <w:t xml:space="preserve">. By going straight to the group view, </w:t>
      </w:r>
      <w:r w:rsidR="00640231" w:rsidRPr="009434F9">
        <w:rPr>
          <w:rFonts w:eastAsia="Times New Roman" w:cstheme="minorHAnsi"/>
        </w:rPr>
        <w:t xml:space="preserve">we bypass </w:t>
      </w:r>
      <w:r w:rsidR="009F76DB" w:rsidRPr="009434F9">
        <w:rPr>
          <w:rFonts w:eastAsia="Times New Roman" w:cstheme="minorHAnsi"/>
        </w:rPr>
        <w:t>valuable</w:t>
      </w:r>
      <w:r w:rsidR="00640231" w:rsidRPr="009434F9">
        <w:rPr>
          <w:rFonts w:eastAsia="Times New Roman" w:cstheme="minorHAnsi"/>
        </w:rPr>
        <w:t xml:space="preserve"> interpersonal social goods, such as directed car</w:t>
      </w:r>
      <w:r w:rsidR="00FF398D" w:rsidRPr="009434F9">
        <w:rPr>
          <w:rFonts w:eastAsia="Times New Roman" w:cstheme="minorHAnsi"/>
        </w:rPr>
        <w:t>e,</w:t>
      </w:r>
      <w:r w:rsidR="009F76DB" w:rsidRPr="009434F9">
        <w:rPr>
          <w:rFonts w:eastAsia="Times New Roman" w:cstheme="minorHAnsi"/>
        </w:rPr>
        <w:t xml:space="preserve"> </w:t>
      </w:r>
      <w:r w:rsidR="00640231" w:rsidRPr="009434F9">
        <w:rPr>
          <w:rFonts w:eastAsia="Times New Roman" w:cstheme="minorHAnsi"/>
        </w:rPr>
        <w:t>empathy,</w:t>
      </w:r>
      <w:r w:rsidR="009F76DB" w:rsidRPr="009434F9">
        <w:rPr>
          <w:rFonts w:eastAsia="Times New Roman" w:cstheme="minorHAnsi"/>
        </w:rPr>
        <w:t xml:space="preserve"> a</w:t>
      </w:r>
      <w:r w:rsidR="00FF398D" w:rsidRPr="009434F9">
        <w:rPr>
          <w:rFonts w:eastAsia="Times New Roman" w:cstheme="minorHAnsi"/>
        </w:rPr>
        <w:t>nd</w:t>
      </w:r>
      <w:r w:rsidR="009F76DB" w:rsidRPr="009434F9">
        <w:rPr>
          <w:rFonts w:eastAsia="Times New Roman" w:cstheme="minorHAnsi"/>
        </w:rPr>
        <w:t xml:space="preserve"> relationship-building between people with salient identity differences. </w:t>
      </w:r>
      <w:r w:rsidR="00640231" w:rsidRPr="009434F9">
        <w:rPr>
          <w:rFonts w:eastAsia="Times New Roman" w:cstheme="minorHAnsi"/>
        </w:rPr>
        <w:t xml:space="preserve"> </w:t>
      </w:r>
    </w:p>
    <w:p w14:paraId="2A79B167" w14:textId="14D7A3FC" w:rsidR="00001D13" w:rsidRPr="009434F9" w:rsidRDefault="00851E9A" w:rsidP="006602A4">
      <w:pPr>
        <w:spacing w:line="480" w:lineRule="auto"/>
        <w:ind w:firstLine="720"/>
        <w:rPr>
          <w:rFonts w:eastAsia="Times New Roman" w:cstheme="minorHAnsi"/>
        </w:rPr>
      </w:pPr>
      <w:r w:rsidRPr="009434F9">
        <w:rPr>
          <w:rFonts w:eastAsia="Times New Roman" w:cstheme="minorHAnsi"/>
        </w:rPr>
        <w:t>A</w:t>
      </w:r>
      <w:r w:rsidR="00001D13" w:rsidRPr="009434F9">
        <w:rPr>
          <w:rFonts w:eastAsia="Times New Roman" w:cstheme="minorHAnsi"/>
        </w:rPr>
        <w:t xml:space="preserve">nother point of concern is that internalized oppression might interfere or distort the marginalized person’s own beliefs such that they are not a reliable or good source of moral advice about aspects of their experience. For instance, a gay man might testify that his same-sex attraction is morally reprehensible and that LGBTQ people should resist their desires and live heterosexual lives. In a less drastic example, marginalized individuals might treat certain arguments or statements as reasonable even when they are not, because they are used to hearing them. Internalized oppression complicates the picture, but there will be cases in which internalized oppression is not a strongly distorting factor, such as in cases where there is a consensus view among members of the marginalized group about an aspect of their experience. In these cases, (assuming our other conditions are met) you ought to defer. In cases in which the testimony contradicts the consensus, suspension of belief and more investigation may be in order. </w:t>
      </w:r>
    </w:p>
    <w:p w14:paraId="196E1D93" w14:textId="4A8AE078" w:rsidR="004B1251" w:rsidRDefault="00001D13" w:rsidP="006602A4">
      <w:pPr>
        <w:pStyle w:val="CommentText"/>
        <w:spacing w:line="480" w:lineRule="auto"/>
        <w:ind w:firstLine="720"/>
        <w:rPr>
          <w:rFonts w:eastAsia="Times New Roman" w:cstheme="minorHAnsi"/>
          <w:sz w:val="24"/>
          <w:szCs w:val="24"/>
        </w:rPr>
      </w:pPr>
      <w:r w:rsidRPr="009434F9">
        <w:rPr>
          <w:rFonts w:eastAsia="Times New Roman" w:cstheme="minorHAnsi"/>
          <w:sz w:val="24"/>
          <w:szCs w:val="24"/>
        </w:rPr>
        <w:t>Relatedly, marginalized experiences are often traumatic</w:t>
      </w:r>
      <w:r w:rsidR="009E6091" w:rsidRPr="009434F9">
        <w:rPr>
          <w:rFonts w:eastAsia="Times New Roman" w:cstheme="minorHAnsi"/>
          <w:sz w:val="24"/>
          <w:szCs w:val="24"/>
        </w:rPr>
        <w:t>,</w:t>
      </w:r>
      <w:r w:rsidRPr="009434F9">
        <w:rPr>
          <w:rFonts w:eastAsia="Times New Roman" w:cstheme="minorHAnsi"/>
          <w:sz w:val="24"/>
          <w:szCs w:val="24"/>
        </w:rPr>
        <w:t xml:space="preserve"> and trauma often distorts not only the initial experience(s) of harm but subsequent experiences that appear to be similar to the original experience(s) of harm.</w:t>
      </w:r>
      <w:r w:rsidRPr="009434F9">
        <w:rPr>
          <w:rStyle w:val="FootnoteReference"/>
          <w:rFonts w:eastAsia="Times New Roman" w:cstheme="minorHAnsi"/>
          <w:sz w:val="24"/>
          <w:szCs w:val="24"/>
        </w:rPr>
        <w:footnoteReference w:id="39"/>
      </w:r>
      <w:r w:rsidRPr="009434F9">
        <w:rPr>
          <w:rFonts w:eastAsia="Times New Roman" w:cstheme="minorHAnsi"/>
          <w:sz w:val="24"/>
          <w:szCs w:val="24"/>
        </w:rPr>
        <w:t xml:space="preserve"> If trauma is distorting, then why should we defer in cases in which the testimony is shaped by it?</w:t>
      </w:r>
      <w:r w:rsidR="00701DA1" w:rsidRPr="009434F9">
        <w:rPr>
          <w:rStyle w:val="FootnoteReference"/>
          <w:rFonts w:eastAsia="Times New Roman" w:cstheme="minorHAnsi"/>
          <w:sz w:val="24"/>
          <w:szCs w:val="24"/>
        </w:rPr>
        <w:footnoteReference w:id="40"/>
      </w:r>
      <w:r w:rsidRPr="009434F9">
        <w:rPr>
          <w:rFonts w:eastAsia="Times New Roman" w:cstheme="minorHAnsi"/>
          <w:sz w:val="24"/>
          <w:szCs w:val="24"/>
        </w:rPr>
        <w:t xml:space="preserve"> We agree that trauma is often distorting, but, as a general rule, </w:t>
      </w:r>
      <w:r w:rsidR="00055C99" w:rsidRPr="009434F9">
        <w:rPr>
          <w:rFonts w:eastAsia="Times New Roman" w:cstheme="minorHAnsi"/>
          <w:sz w:val="24"/>
          <w:szCs w:val="24"/>
        </w:rPr>
        <w:t>it is not sufficient to block deference</w:t>
      </w:r>
      <w:r w:rsidRPr="009434F9">
        <w:rPr>
          <w:rFonts w:eastAsia="Times New Roman" w:cstheme="minorHAnsi"/>
          <w:sz w:val="24"/>
          <w:szCs w:val="24"/>
        </w:rPr>
        <w:t xml:space="preserve">. </w:t>
      </w:r>
      <w:r w:rsidR="004B1251" w:rsidRPr="00D5453E">
        <w:rPr>
          <w:rFonts w:eastAsia="Noto Sans" w:cs="Times New Roman"/>
          <w:sz w:val="24"/>
          <w:szCs w:val="24"/>
        </w:rPr>
        <w:t xml:space="preserve">Part of respecting others is taking a default stance of trust towards them when they speak about their own experiences unless we have a special reason to disbelieve them. The mere existence of trauma in someone’s background does not provide a sufficient special reason. If it did, it would undermine a great amount of human testimony, </w:t>
      </w:r>
      <w:r w:rsidR="007F4CC5">
        <w:rPr>
          <w:rFonts w:eastAsia="Noto Sans" w:cs="Times New Roman"/>
          <w:sz w:val="24"/>
          <w:szCs w:val="24"/>
        </w:rPr>
        <w:t>which</w:t>
      </w:r>
      <w:r w:rsidR="004B1251" w:rsidRPr="00D5453E">
        <w:rPr>
          <w:rFonts w:eastAsia="Noto Sans" w:cs="Times New Roman"/>
          <w:sz w:val="24"/>
          <w:szCs w:val="24"/>
        </w:rPr>
        <w:t xml:space="preserve"> occurs in important contexts (e.g., refugees from war, the experience of the incarcerated, etc.) There must be something specific about how the trauma manifests (e.g., if someone who is diagnosed with PTSD has lost their memory of the traumatic incident and tries to testify about the specifics of that incident) in order to create a sufficiently strong reason to set aside </w:t>
      </w:r>
      <w:r w:rsidR="004B1251">
        <w:rPr>
          <w:rFonts w:eastAsia="Noto Sans" w:cs="Times New Roman"/>
          <w:sz w:val="24"/>
          <w:szCs w:val="24"/>
        </w:rPr>
        <w:t>the receiver’s obligation to</w:t>
      </w:r>
      <w:r w:rsidR="004B1251" w:rsidRPr="00D5453E">
        <w:rPr>
          <w:rFonts w:eastAsia="Noto Sans" w:cs="Times New Roman"/>
          <w:sz w:val="24"/>
          <w:szCs w:val="24"/>
        </w:rPr>
        <w:t xml:space="preserve"> </w:t>
      </w:r>
      <w:r w:rsidR="004B1251">
        <w:rPr>
          <w:rFonts w:eastAsia="Noto Sans" w:cs="Times New Roman"/>
          <w:sz w:val="24"/>
          <w:szCs w:val="24"/>
        </w:rPr>
        <w:t>defer</w:t>
      </w:r>
      <w:r w:rsidR="004B1251" w:rsidRPr="00D5453E">
        <w:rPr>
          <w:rFonts w:eastAsia="Noto Sans" w:cs="Times New Roman"/>
          <w:sz w:val="24"/>
          <w:szCs w:val="24"/>
        </w:rPr>
        <w:t>.</w:t>
      </w:r>
    </w:p>
    <w:p w14:paraId="19977404" w14:textId="0316B6C4" w:rsidR="00001D13" w:rsidRPr="009434F9" w:rsidRDefault="00055C99" w:rsidP="006602A4">
      <w:pPr>
        <w:pStyle w:val="CommentText"/>
        <w:spacing w:line="480" w:lineRule="auto"/>
        <w:ind w:firstLine="720"/>
        <w:rPr>
          <w:rFonts w:cstheme="minorHAnsi"/>
          <w:sz w:val="24"/>
          <w:szCs w:val="24"/>
        </w:rPr>
      </w:pPr>
      <w:r w:rsidRPr="009434F9">
        <w:rPr>
          <w:rFonts w:eastAsia="Times New Roman" w:cstheme="minorHAnsi"/>
          <w:sz w:val="24"/>
          <w:szCs w:val="24"/>
        </w:rPr>
        <w:t xml:space="preserve">Individual people deal with trauma very differently and have very different reactions, some of which are epistemically illuminating rather than clouding. </w:t>
      </w:r>
      <w:r w:rsidR="00001D13" w:rsidRPr="009434F9">
        <w:rPr>
          <w:rFonts w:cstheme="minorHAnsi"/>
          <w:sz w:val="24"/>
          <w:szCs w:val="24"/>
        </w:rPr>
        <w:t xml:space="preserve">Ideally, for epistemic reasons, we would like to find testifiers who have processed their trauma and learned from it in constructive ways, but, for moral reasons, it is important to listen to those who are still processing through their trauma. </w:t>
      </w:r>
      <w:r w:rsidRPr="009434F9">
        <w:rPr>
          <w:rFonts w:cstheme="minorHAnsi"/>
          <w:sz w:val="24"/>
          <w:szCs w:val="24"/>
        </w:rPr>
        <w:t>Our account emphasizes these norms of interpersonal respect, and we should be wary of dismissing those with trauma, especially as that trauma is often informed by a failure of respect.</w:t>
      </w:r>
      <w:r w:rsidR="00B31ACE" w:rsidRPr="00B31ACE">
        <w:t xml:space="preserve"> </w:t>
      </w:r>
      <w:r w:rsidR="00B31ACE" w:rsidRPr="00B31ACE">
        <w:rPr>
          <w:rFonts w:cstheme="minorHAnsi"/>
          <w:sz w:val="24"/>
          <w:szCs w:val="24"/>
        </w:rPr>
        <w:t>We should also be wary of assuming that the testifier’s perspective is warped due to trauma, especially since those who are not in marginalized groups are often blind to instances of marginalization, even after they have been pointed out by the people who have experienced them.</w:t>
      </w:r>
      <w:r w:rsidRPr="009434F9">
        <w:rPr>
          <w:rStyle w:val="FootnoteReference"/>
          <w:rFonts w:cstheme="minorHAnsi"/>
          <w:sz w:val="24"/>
          <w:szCs w:val="24"/>
        </w:rPr>
        <w:footnoteReference w:id="41"/>
      </w:r>
    </w:p>
    <w:p w14:paraId="3B9AE29E" w14:textId="5AE1A823" w:rsidR="008F1ADD" w:rsidRPr="009434F9" w:rsidRDefault="00CB696C" w:rsidP="006602A4">
      <w:pPr>
        <w:spacing w:line="480" w:lineRule="auto"/>
        <w:ind w:firstLine="720"/>
        <w:rPr>
          <w:rFonts w:cstheme="minorHAnsi"/>
        </w:rPr>
      </w:pPr>
      <w:r w:rsidRPr="009434F9">
        <w:rPr>
          <w:rFonts w:cstheme="minorHAnsi"/>
        </w:rPr>
        <w:t xml:space="preserve">A similar worry is that deference might be patronizing or fail to treat marginalized persons as full-fledged persons capable of withstanding and repelling disagreement or criticism. </w:t>
      </w:r>
      <w:r w:rsidR="004D17E8" w:rsidRPr="009434F9">
        <w:rPr>
          <w:rFonts w:cstheme="minorHAnsi"/>
        </w:rPr>
        <w:t>This worr</w:t>
      </w:r>
      <w:r w:rsidR="00C02A5B" w:rsidRPr="009434F9">
        <w:rPr>
          <w:rFonts w:cstheme="minorHAnsi"/>
        </w:rPr>
        <w:t xml:space="preserve">y </w:t>
      </w:r>
      <w:r w:rsidR="00311856" w:rsidRPr="009434F9">
        <w:rPr>
          <w:rFonts w:cstheme="minorHAnsi"/>
        </w:rPr>
        <w:t>assumes th</w:t>
      </w:r>
      <w:r w:rsidR="00E8380D" w:rsidRPr="009434F9">
        <w:rPr>
          <w:rFonts w:cstheme="minorHAnsi"/>
        </w:rPr>
        <w:t xml:space="preserve">at </w:t>
      </w:r>
      <w:r w:rsidR="007838F7" w:rsidRPr="009434F9">
        <w:rPr>
          <w:rFonts w:cstheme="minorHAnsi"/>
        </w:rPr>
        <w:t xml:space="preserve">to do justice to </w:t>
      </w:r>
      <w:r w:rsidR="00E22772" w:rsidRPr="009434F9">
        <w:rPr>
          <w:rFonts w:cstheme="minorHAnsi"/>
        </w:rPr>
        <w:t>a</w:t>
      </w:r>
      <w:r w:rsidR="007838F7" w:rsidRPr="009434F9">
        <w:rPr>
          <w:rFonts w:cstheme="minorHAnsi"/>
        </w:rPr>
        <w:t xml:space="preserve"> marginalized person, the non-marginalized person with whom they speak </w:t>
      </w:r>
      <w:r w:rsidR="00C97DE9" w:rsidRPr="009434F9">
        <w:rPr>
          <w:rFonts w:cstheme="minorHAnsi"/>
        </w:rPr>
        <w:t>ought</w:t>
      </w:r>
      <w:r w:rsidR="00A20F51" w:rsidRPr="009434F9">
        <w:rPr>
          <w:rFonts w:cstheme="minorHAnsi"/>
        </w:rPr>
        <w:t xml:space="preserve"> to treat them </w:t>
      </w:r>
      <w:r w:rsidR="006C36C3" w:rsidRPr="009434F9">
        <w:rPr>
          <w:rFonts w:cstheme="minorHAnsi"/>
        </w:rPr>
        <w:t xml:space="preserve">as </w:t>
      </w:r>
      <w:r w:rsidR="00201CDB" w:rsidRPr="009434F9">
        <w:rPr>
          <w:rFonts w:cstheme="minorHAnsi"/>
        </w:rPr>
        <w:t xml:space="preserve">epistemic equals. </w:t>
      </w:r>
      <w:r w:rsidR="00D73BFC" w:rsidRPr="009434F9">
        <w:rPr>
          <w:rFonts w:cstheme="minorHAnsi"/>
        </w:rPr>
        <w:t xml:space="preserve">We have argued, however, that </w:t>
      </w:r>
      <w:r w:rsidR="00181230" w:rsidRPr="009434F9">
        <w:rPr>
          <w:rFonts w:cstheme="minorHAnsi"/>
        </w:rPr>
        <w:t xml:space="preserve">such testifiers and receivers are </w:t>
      </w:r>
      <w:r w:rsidR="00181230" w:rsidRPr="009434F9">
        <w:rPr>
          <w:rFonts w:cstheme="minorHAnsi"/>
          <w:i/>
          <w:iCs/>
        </w:rPr>
        <w:t>not</w:t>
      </w:r>
      <w:r w:rsidR="00181230" w:rsidRPr="009434F9">
        <w:rPr>
          <w:rFonts w:cstheme="minorHAnsi"/>
        </w:rPr>
        <w:t xml:space="preserve"> epistemic peers.</w:t>
      </w:r>
      <w:r w:rsidR="00F24BBA" w:rsidRPr="009434F9">
        <w:rPr>
          <w:rFonts w:cstheme="minorHAnsi"/>
        </w:rPr>
        <w:t xml:space="preserve"> </w:t>
      </w:r>
      <w:r w:rsidR="00EF6DB0" w:rsidRPr="009434F9">
        <w:rPr>
          <w:rFonts w:cstheme="minorHAnsi"/>
        </w:rPr>
        <w:t>While thinking of another as capable of “holding their own</w:t>
      </w:r>
      <w:r w:rsidR="00BC510B">
        <w:rPr>
          <w:rFonts w:cstheme="minorHAnsi"/>
        </w:rPr>
        <w:t xml:space="preserve">” </w:t>
      </w:r>
      <w:r w:rsidR="00C97DE9" w:rsidRPr="009434F9">
        <w:rPr>
          <w:rFonts w:cstheme="minorHAnsi"/>
        </w:rPr>
        <w:t xml:space="preserve">in response to </w:t>
      </w:r>
      <w:r w:rsidR="00281F32" w:rsidRPr="009434F9">
        <w:rPr>
          <w:rFonts w:cstheme="minorHAnsi"/>
        </w:rPr>
        <w:t>criticism</w:t>
      </w:r>
      <w:r w:rsidR="00EF6DB0" w:rsidRPr="009434F9">
        <w:rPr>
          <w:rFonts w:cstheme="minorHAnsi"/>
        </w:rPr>
        <w:t xml:space="preserve"> may be </w:t>
      </w:r>
      <w:r w:rsidR="00B82290" w:rsidRPr="009434F9">
        <w:rPr>
          <w:rFonts w:cstheme="minorHAnsi"/>
        </w:rPr>
        <w:t>a show of respect</w:t>
      </w:r>
      <w:r w:rsidR="003845C3" w:rsidRPr="009434F9">
        <w:rPr>
          <w:rFonts w:cstheme="minorHAnsi"/>
        </w:rPr>
        <w:t xml:space="preserve"> among </w:t>
      </w:r>
      <w:r w:rsidR="00593EF6" w:rsidRPr="009434F9">
        <w:rPr>
          <w:rFonts w:cstheme="minorHAnsi"/>
        </w:rPr>
        <w:t>epistemic peers</w:t>
      </w:r>
      <w:r w:rsidR="00B82290" w:rsidRPr="009434F9">
        <w:rPr>
          <w:rFonts w:cstheme="minorHAnsi"/>
        </w:rPr>
        <w:t xml:space="preserve">, </w:t>
      </w:r>
      <w:r w:rsidR="0066214C" w:rsidRPr="009434F9">
        <w:rPr>
          <w:rFonts w:cstheme="minorHAnsi"/>
        </w:rPr>
        <w:t>the relation</w:t>
      </w:r>
      <w:r w:rsidR="00825A50" w:rsidRPr="009434F9">
        <w:rPr>
          <w:rFonts w:cstheme="minorHAnsi"/>
        </w:rPr>
        <w:t xml:space="preserve"> manifests as </w:t>
      </w:r>
      <w:r w:rsidR="00F043F3" w:rsidRPr="009434F9">
        <w:rPr>
          <w:rFonts w:cstheme="minorHAnsi"/>
        </w:rPr>
        <w:t xml:space="preserve">disrespect between a relative novice and a domain expert. </w:t>
      </w:r>
    </w:p>
    <w:p w14:paraId="159A6132" w14:textId="2C0844DA" w:rsidR="00CB696C" w:rsidRPr="009434F9" w:rsidRDefault="00CB696C" w:rsidP="006602A4">
      <w:pPr>
        <w:spacing w:line="480" w:lineRule="auto"/>
        <w:ind w:firstLine="720"/>
        <w:rPr>
          <w:rFonts w:cstheme="minorHAnsi"/>
        </w:rPr>
      </w:pPr>
      <w:r w:rsidRPr="009434F9">
        <w:rPr>
          <w:rFonts w:cstheme="minorHAnsi"/>
        </w:rPr>
        <w:t xml:space="preserve">We reject the notion that there is something patronizing about deferring to someone to whom deference is owed. Domain-experts are owed deference when the receiver is a comparative novice about the topic at hand. While we do not have a right to regulate other’s emotional responses, including their response to deference, the testifiers in our cases are providing an invitation to trust—an invitation to defer to them. It would be odd for a person to invite us to defer to them on an issue about which they are a relative expert and </w:t>
      </w:r>
      <w:r w:rsidR="00573FB7" w:rsidRPr="009434F9">
        <w:rPr>
          <w:rFonts w:cstheme="minorHAnsi"/>
        </w:rPr>
        <w:t>for our subsequent deference to be patronizing</w:t>
      </w:r>
      <w:r w:rsidRPr="009434F9">
        <w:rPr>
          <w:rFonts w:cstheme="minorHAnsi"/>
        </w:rPr>
        <w:t xml:space="preserve">. Imagine a pulmonologist recommending an inhaler, and then feeling patronized when I fulfill the prescription. There’s something incongruent about providing this invitation </w:t>
      </w:r>
      <w:r w:rsidR="00573FB7" w:rsidRPr="009434F9">
        <w:rPr>
          <w:rFonts w:cstheme="minorHAnsi"/>
        </w:rPr>
        <w:t xml:space="preserve">as a relative expert </w:t>
      </w:r>
      <w:r w:rsidRPr="009434F9">
        <w:rPr>
          <w:rFonts w:cstheme="minorHAnsi"/>
        </w:rPr>
        <w:t xml:space="preserve">and </w:t>
      </w:r>
      <w:r w:rsidR="00573FB7" w:rsidRPr="009434F9">
        <w:rPr>
          <w:rFonts w:cstheme="minorHAnsi"/>
        </w:rPr>
        <w:t xml:space="preserve">being </w:t>
      </w:r>
      <w:r w:rsidRPr="009434F9">
        <w:rPr>
          <w:rFonts w:cstheme="minorHAnsi"/>
        </w:rPr>
        <w:t>patronized upon its acceptance.</w:t>
      </w:r>
    </w:p>
    <w:p w14:paraId="50B18E39" w14:textId="77777777" w:rsidR="00001D13" w:rsidRPr="009434F9" w:rsidRDefault="00001D13" w:rsidP="006602A4">
      <w:pPr>
        <w:spacing w:line="480" w:lineRule="auto"/>
        <w:ind w:firstLine="720"/>
        <w:rPr>
          <w:rFonts w:eastAsia="Times New Roman" w:cstheme="minorHAnsi"/>
        </w:rPr>
      </w:pPr>
      <w:r w:rsidRPr="009434F9">
        <w:rPr>
          <w:rFonts w:eastAsia="Times New Roman" w:cstheme="minorHAnsi"/>
        </w:rPr>
        <w:t>There is also the problem that some receivers may be unaware of the testifier’s marginalized status. A testifier may have an invisible disability, or may perhaps present as straight, cis, or gender-conforming when they are not.</w:t>
      </w:r>
      <w:r w:rsidRPr="009434F9">
        <w:rPr>
          <w:rStyle w:val="FootnoteReference"/>
          <w:rFonts w:eastAsia="Times New Roman" w:cstheme="minorHAnsi"/>
        </w:rPr>
        <w:footnoteReference w:id="42"/>
      </w:r>
      <w:r w:rsidRPr="009434F9">
        <w:rPr>
          <w:rFonts w:eastAsia="Times New Roman" w:cstheme="minorHAnsi"/>
        </w:rPr>
        <w:t xml:space="preserve"> The result is that the receiver may accidentally treat the testifier as an epistemic peer, when they are not. In cases such as these, there exists a </w:t>
      </w:r>
      <w:r w:rsidRPr="009434F9">
        <w:rPr>
          <w:rFonts w:eastAsia="Times New Roman" w:cstheme="minorHAnsi"/>
          <w:i/>
          <w:iCs/>
        </w:rPr>
        <w:t>prima facie</w:t>
      </w:r>
      <w:r w:rsidRPr="009434F9">
        <w:rPr>
          <w:rFonts w:eastAsia="Times New Roman" w:cstheme="minorHAnsi"/>
        </w:rPr>
        <w:t xml:space="preserve"> duty to defer, but the testifier is unaware that it applies. </w:t>
      </w:r>
    </w:p>
    <w:p w14:paraId="46AA10F3" w14:textId="7D05164A" w:rsidR="00001D13" w:rsidRPr="009434F9" w:rsidRDefault="00001D13" w:rsidP="006602A4">
      <w:pPr>
        <w:spacing w:line="480" w:lineRule="auto"/>
        <w:ind w:firstLine="720"/>
        <w:rPr>
          <w:rFonts w:eastAsia="Times New Roman" w:cstheme="minorHAnsi"/>
        </w:rPr>
      </w:pPr>
      <w:r w:rsidRPr="009434F9">
        <w:rPr>
          <w:rFonts w:eastAsia="Times New Roman" w:cstheme="minorHAnsi"/>
        </w:rPr>
        <w:t xml:space="preserve">While these circumstances do not affect the duty itself, they will determine whether the receiver is blameworthy if they are unaware that the testifier’s marginalized identity is epistemically relevant to their testimony. In the innocent case—where </w:t>
      </w:r>
      <w:r w:rsidR="009E6091" w:rsidRPr="009434F9">
        <w:rPr>
          <w:rFonts w:eastAsia="Times New Roman" w:cstheme="minorHAnsi"/>
        </w:rPr>
        <w:t>the receiver</w:t>
      </w:r>
      <w:r w:rsidRPr="009434F9">
        <w:rPr>
          <w:rFonts w:eastAsia="Times New Roman" w:cstheme="minorHAnsi"/>
        </w:rPr>
        <w:t xml:space="preserve"> could not have known and it is not the case that </w:t>
      </w:r>
      <w:r w:rsidR="009E6091" w:rsidRPr="009434F9">
        <w:rPr>
          <w:rFonts w:eastAsia="Times New Roman" w:cstheme="minorHAnsi"/>
        </w:rPr>
        <w:t>they</w:t>
      </w:r>
      <w:r w:rsidRPr="009434F9">
        <w:rPr>
          <w:rFonts w:eastAsia="Times New Roman" w:cstheme="minorHAnsi"/>
        </w:rPr>
        <w:t xml:space="preserve"> should have known that the testifier is a member of a marginalized group—the receiver is not blameworthy for treating the testifier as an epistemic peer. However, when the receiver is willfully ignorant—say the receiver is being purposefully insensitive to relevant identity conditions—the receiver is blameworthy for minimizing the role of identity-experience as it relates to their testimony.  </w:t>
      </w:r>
    </w:p>
    <w:p w14:paraId="055917DE" w14:textId="77777777" w:rsidR="00001D13" w:rsidRPr="009434F9" w:rsidRDefault="00001D13" w:rsidP="006602A4">
      <w:pPr>
        <w:spacing w:line="480" w:lineRule="auto"/>
        <w:ind w:firstLine="720"/>
        <w:rPr>
          <w:rFonts w:eastAsia="Times New Roman" w:cstheme="minorHAnsi"/>
        </w:rPr>
      </w:pPr>
      <w:r w:rsidRPr="009434F9">
        <w:rPr>
          <w:rFonts w:cstheme="minorHAnsi"/>
          <w:noProof/>
        </w:rPr>
        <w:t xml:space="preserve">A final issue here is the problem of tokenizing a marginalized person as a spokesperson for their identity group. </w:t>
      </w:r>
      <w:r w:rsidRPr="009434F9">
        <w:rPr>
          <w:rFonts w:eastAsia="Times New Roman" w:cstheme="minorHAnsi"/>
        </w:rPr>
        <w:t xml:space="preserve">As Emmalon Davis (2016) notes, the harms of tokenization and other forms of identity-prejudicial credibility excess include a) that the testifier is only valued for the information they can give and not valued as an individual, b) that the testifier is presumed to have the same experiences as any other member of that group, c) that the testifier is expected to only contribute knowledge and experiences that are recognized as “distinct” to their marginalized identity by dominant others, and d) that the testifier is subject to pressure to deliver on behalf of the whole marginalized community. </w:t>
      </w:r>
    </w:p>
    <w:p w14:paraId="45F54E1B" w14:textId="70859CDA" w:rsidR="00001D13" w:rsidRPr="009434F9" w:rsidRDefault="00001D13" w:rsidP="006602A4">
      <w:pPr>
        <w:spacing w:line="480" w:lineRule="auto"/>
        <w:ind w:firstLine="720"/>
        <w:rPr>
          <w:rFonts w:eastAsia="Times New Roman" w:cstheme="minorHAnsi"/>
        </w:rPr>
      </w:pPr>
      <w:r w:rsidRPr="009434F9">
        <w:rPr>
          <w:rFonts w:eastAsia="Times New Roman" w:cstheme="minorHAnsi"/>
        </w:rPr>
        <w:t xml:space="preserve">Our view avoids a), as we emphasize valuing and respecting marginalized individuals as individuals, not merely as dispensers of moral knowledge. It avoids b), as our view only pertains to experiences that marginalized individuals themselves have had qua member of that group, and we recognize that marginalized experience is heterogenous within a marginalized group. It avoids c), as our view does not entail that marginalized individuals should only be deferred to when giving testimony about their experience as a marginalized person. Our framework emphasizes the epistemic reason to defer in the case of expertise, which entails that </w:t>
      </w:r>
      <w:r w:rsidR="009E6091" w:rsidRPr="009434F9">
        <w:rPr>
          <w:rFonts w:eastAsia="Times New Roman" w:cstheme="minorHAnsi"/>
        </w:rPr>
        <w:t xml:space="preserve">we have </w:t>
      </w:r>
      <w:r w:rsidRPr="009434F9">
        <w:rPr>
          <w:rFonts w:eastAsia="Times New Roman" w:cstheme="minorHAnsi"/>
        </w:rPr>
        <w:t xml:space="preserve">good reason to defer to marginalized individuals who are testifying on other subjects (outside of marginalization) about which they are experts. </w:t>
      </w:r>
    </w:p>
    <w:p w14:paraId="6EC22CF6" w14:textId="04AD7A77" w:rsidR="00001D13" w:rsidRPr="009434F9" w:rsidRDefault="00001D13" w:rsidP="006602A4">
      <w:pPr>
        <w:spacing w:line="480" w:lineRule="auto"/>
        <w:ind w:firstLine="720"/>
        <w:rPr>
          <w:rFonts w:cstheme="minorHAnsi"/>
          <w:noProof/>
        </w:rPr>
      </w:pPr>
      <w:r w:rsidRPr="009434F9">
        <w:rPr>
          <w:rFonts w:eastAsia="Times New Roman" w:cstheme="minorHAnsi"/>
        </w:rPr>
        <w:t xml:space="preserve">The last harm, d), is more difficult to avoid. One way to read d) is that it picks out the harm of epistemic exploitation. </w:t>
      </w:r>
      <w:r w:rsidRPr="009434F9">
        <w:rPr>
          <w:rFonts w:cstheme="minorHAnsi"/>
          <w:noProof/>
        </w:rPr>
        <w:t xml:space="preserve">As Nora Berenstain (2016) writes: “Epistemic exploitation occurs when privileged persons compel marginalized persons to produce an education or explanation about the nature of the oppression they face” (570). The epistemic labor of producing an explanation is often “unrecognized, uncompensated, emotionally taxing, [and] coerced” (570). To avoid epistemic exploitation, we warn non-members against making demands or insisting that a marginalized person explain their experiences. </w:t>
      </w:r>
      <w:r w:rsidRPr="009434F9">
        <w:rPr>
          <w:rFonts w:eastAsia="Times New Roman" w:cstheme="minorHAnsi"/>
        </w:rPr>
        <w:t>It is for this reason that we emphasize that testimony must be offered voluntarily and that non-members are responsible for educating themselves.</w:t>
      </w:r>
    </w:p>
    <w:p w14:paraId="1846F1DC" w14:textId="2ADBF3BD" w:rsidR="00CB696C" w:rsidRPr="009434F9" w:rsidRDefault="00001D13" w:rsidP="006602A4">
      <w:pPr>
        <w:spacing w:line="480" w:lineRule="auto"/>
        <w:rPr>
          <w:rFonts w:eastAsia="Times New Roman" w:cstheme="minorHAnsi"/>
        </w:rPr>
      </w:pPr>
      <w:r w:rsidRPr="009434F9">
        <w:rPr>
          <w:rFonts w:eastAsia="Times New Roman" w:cstheme="minorHAnsi"/>
        </w:rPr>
        <w:tab/>
        <w:t xml:space="preserve">However, even if the testifier is speaking voluntarily about their experiences as a member of a marginalized group, there may still be pressure to deliver for the entire marginalized community. There is often disagreement within different communities, and speaking for the entire group can sometimes risk harming other individuals within that group. At the same time, it is still important to listen to the voices of those who are speaking authoritatively in their representative role to others outside of the group. Sometimes it may be difficult to determine when a marginalized person testifies from this stance, and we should be careful not to put pressure on a marginalized person to be speaking authoritatively when they are, for instance, trying to work out for themselves a part of their experience. But, even in cases in which a marginalized person is working out a part of their experience, that can often provide information about a common kind of experience, even if it is not universal. Even in this kind of case, deference may still be warranted, so long as the testimony is not taken to be representative of </w:t>
      </w:r>
      <w:r w:rsidRPr="009434F9">
        <w:rPr>
          <w:rFonts w:eastAsia="Times New Roman" w:cstheme="minorHAnsi"/>
          <w:i/>
          <w:iCs/>
        </w:rPr>
        <w:t>all</w:t>
      </w:r>
      <w:r w:rsidRPr="009434F9">
        <w:rPr>
          <w:rFonts w:eastAsia="Times New Roman" w:cstheme="minorHAnsi"/>
        </w:rPr>
        <w:t xml:space="preserve"> who have this identity feature. </w:t>
      </w:r>
    </w:p>
    <w:p w14:paraId="034FDDCB" w14:textId="77777777" w:rsidR="00001D13" w:rsidRPr="009434F9" w:rsidRDefault="00001D13" w:rsidP="006602A4">
      <w:pPr>
        <w:spacing w:line="480" w:lineRule="auto"/>
        <w:ind w:firstLine="720"/>
        <w:rPr>
          <w:rFonts w:eastAsia="Times New Roman" w:cstheme="minorHAnsi"/>
        </w:rPr>
      </w:pPr>
      <w:r w:rsidRPr="009434F9">
        <w:rPr>
          <w:rFonts w:eastAsia="Times New Roman" w:cstheme="minorHAnsi"/>
        </w:rPr>
        <w:t>Marginalized experience and systems of oppression are complex, and as such, a number of issues may arise in testimonial exchanges that are not covered in this paper. These complexities warrant further philosophical investigation.</w:t>
      </w:r>
    </w:p>
    <w:p w14:paraId="541C936E" w14:textId="4B01C051" w:rsidR="00001D13" w:rsidRPr="009434F9" w:rsidRDefault="00001D13" w:rsidP="006602A4">
      <w:pPr>
        <w:spacing w:line="480" w:lineRule="auto"/>
        <w:rPr>
          <w:rFonts w:cstheme="minorHAnsi"/>
        </w:rPr>
      </w:pPr>
      <w:r w:rsidRPr="009434F9">
        <w:rPr>
          <w:rFonts w:cstheme="minorHAnsi"/>
          <w:b/>
          <w:bCs/>
        </w:rPr>
        <w:tab/>
      </w:r>
      <w:r w:rsidRPr="009434F9">
        <w:rPr>
          <w:rFonts w:cstheme="minorHAnsi"/>
        </w:rPr>
        <w:t xml:space="preserve">In conclusion, we have argued that we have a </w:t>
      </w:r>
      <w:r w:rsidRPr="009434F9">
        <w:rPr>
          <w:rFonts w:cstheme="minorHAnsi"/>
          <w:i/>
          <w:iCs/>
        </w:rPr>
        <w:t>prima facie</w:t>
      </w:r>
      <w:r w:rsidRPr="009434F9">
        <w:rPr>
          <w:rFonts w:cstheme="minorHAnsi"/>
        </w:rPr>
        <w:t xml:space="preserve"> duty to defer—both epistemically and actionally—to marginalized people in their moral testimony about harms that relate to their identity when the receiver is not a member of that identity group. We have shown that, in the cases with which we are concerned, </w:t>
      </w:r>
      <w:r w:rsidR="009E6091" w:rsidRPr="009434F9">
        <w:rPr>
          <w:rFonts w:cstheme="minorHAnsi"/>
        </w:rPr>
        <w:t>we</w:t>
      </w:r>
      <w:r w:rsidRPr="009434F9">
        <w:rPr>
          <w:rFonts w:cstheme="minorHAnsi"/>
        </w:rPr>
        <w:t xml:space="preserve"> ought to epistemically defer for both moral and epistemic reasons. </w:t>
      </w:r>
    </w:p>
    <w:p w14:paraId="6750C437" w14:textId="244C00F9" w:rsidR="00001D13" w:rsidRPr="009434F9" w:rsidRDefault="00001D13" w:rsidP="006602A4">
      <w:pPr>
        <w:spacing w:line="480" w:lineRule="auto"/>
        <w:ind w:firstLine="720"/>
        <w:rPr>
          <w:rFonts w:cstheme="minorHAnsi"/>
          <w:b/>
          <w:bCs/>
        </w:rPr>
      </w:pPr>
      <w:r w:rsidRPr="009434F9">
        <w:rPr>
          <w:rFonts w:cstheme="minorHAnsi"/>
        </w:rPr>
        <w:t xml:space="preserve">Even if </w:t>
      </w:r>
      <w:r w:rsidR="009E6091" w:rsidRPr="009434F9">
        <w:rPr>
          <w:rFonts w:cstheme="minorHAnsi"/>
        </w:rPr>
        <w:t>the receiver</w:t>
      </w:r>
      <w:r w:rsidRPr="009434F9">
        <w:rPr>
          <w:rFonts w:cstheme="minorHAnsi"/>
        </w:rPr>
        <w:t xml:space="preserve"> rejects the duty to epistemically defer, </w:t>
      </w:r>
      <w:r w:rsidR="009E6091" w:rsidRPr="009434F9">
        <w:rPr>
          <w:rFonts w:cstheme="minorHAnsi"/>
        </w:rPr>
        <w:t>they</w:t>
      </w:r>
      <w:r w:rsidRPr="009434F9">
        <w:rPr>
          <w:rFonts w:cstheme="minorHAnsi"/>
        </w:rPr>
        <w:t xml:space="preserve"> should accept a </w:t>
      </w:r>
      <w:r w:rsidRPr="009434F9">
        <w:rPr>
          <w:rFonts w:cstheme="minorHAnsi"/>
          <w:i/>
          <w:iCs/>
        </w:rPr>
        <w:t>prima facie</w:t>
      </w:r>
      <w:r w:rsidRPr="009434F9">
        <w:rPr>
          <w:rFonts w:cstheme="minorHAnsi"/>
        </w:rPr>
        <w:t xml:space="preserve"> duty to actionally defer. Receivers are not off the hook simply because belief</w:t>
      </w:r>
      <w:r w:rsidRPr="009434F9">
        <w:rPr>
          <w:rFonts w:cstheme="minorHAnsi"/>
          <w:b/>
          <w:bCs/>
          <w:i/>
          <w:iCs/>
        </w:rPr>
        <w:t xml:space="preserve"> </w:t>
      </w:r>
      <w:r w:rsidRPr="009434F9">
        <w:rPr>
          <w:rFonts w:cstheme="minorHAnsi"/>
        </w:rPr>
        <w:t xml:space="preserve">is not warranted. Distinguishing epistemic deference from actional deference allows us to explain the appropriateness of a divergent response—epistemic deference without actional deference, or actional deference without epistemic deference—to cases that traditional accounts of moral deference must take as all or nothing. </w:t>
      </w:r>
    </w:p>
    <w:p w14:paraId="20846958" w14:textId="77777777" w:rsidR="00001D13" w:rsidRPr="009434F9" w:rsidRDefault="00001D13" w:rsidP="006602A4">
      <w:pPr>
        <w:spacing w:line="480" w:lineRule="auto"/>
        <w:ind w:firstLine="720"/>
        <w:rPr>
          <w:rFonts w:cstheme="minorHAnsi"/>
        </w:rPr>
      </w:pPr>
      <w:r w:rsidRPr="009434F9">
        <w:rPr>
          <w:rFonts w:cstheme="minorHAnsi"/>
        </w:rPr>
        <w:t xml:space="preserve">Our account might be extended to a broader variety of cases, and there is more work to be done in understanding the conditions under which the everyday varieties of moral deference are appropriate and even morally required. </w:t>
      </w:r>
    </w:p>
    <w:p w14:paraId="5CF0B6BC" w14:textId="77777777" w:rsidR="00944C5C" w:rsidRPr="009434F9" w:rsidRDefault="00944C5C" w:rsidP="006602A4">
      <w:pPr>
        <w:spacing w:line="480" w:lineRule="auto"/>
        <w:rPr>
          <w:rFonts w:cstheme="minorHAnsi"/>
        </w:rPr>
      </w:pPr>
    </w:p>
    <w:p w14:paraId="6DBB17AD" w14:textId="289450E9" w:rsidR="00001D13" w:rsidRPr="009434F9" w:rsidRDefault="00001D13" w:rsidP="002E7481">
      <w:pPr>
        <w:spacing w:line="480" w:lineRule="auto"/>
        <w:rPr>
          <w:rFonts w:cstheme="minorHAnsi"/>
        </w:rPr>
      </w:pPr>
      <w:r w:rsidRPr="009434F9">
        <w:rPr>
          <w:rFonts w:cstheme="minorHAnsi"/>
          <w:b/>
          <w:bCs/>
        </w:rPr>
        <w:t>References</w:t>
      </w:r>
    </w:p>
    <w:p w14:paraId="341ADBB5" w14:textId="62309CF7" w:rsidR="00FC0E3E" w:rsidRPr="009434F9" w:rsidRDefault="00001D13" w:rsidP="002E7481">
      <w:pPr>
        <w:ind w:left="720" w:hanging="720"/>
        <w:rPr>
          <w:rFonts w:cstheme="minorHAnsi"/>
        </w:rPr>
      </w:pPr>
      <w:r w:rsidRPr="009434F9">
        <w:rPr>
          <w:rFonts w:cstheme="minorHAnsi"/>
        </w:rPr>
        <w:t>Anderson, E</w:t>
      </w:r>
      <w:r w:rsidR="004B2310" w:rsidRPr="009434F9">
        <w:rPr>
          <w:rFonts w:cstheme="minorHAnsi"/>
        </w:rPr>
        <w:t>lizabeth</w:t>
      </w:r>
      <w:r w:rsidRPr="009434F9">
        <w:rPr>
          <w:rFonts w:cstheme="minorHAnsi"/>
        </w:rPr>
        <w:t xml:space="preserve">. 2012. </w:t>
      </w:r>
      <w:r w:rsidR="004B2310" w:rsidRPr="009434F9">
        <w:rPr>
          <w:rFonts w:cstheme="minorHAnsi"/>
        </w:rPr>
        <w:t>“</w:t>
      </w:r>
      <w:r w:rsidRPr="009434F9">
        <w:rPr>
          <w:rFonts w:cstheme="minorHAnsi"/>
        </w:rPr>
        <w:t xml:space="preserve">Epistemic </w:t>
      </w:r>
      <w:r w:rsidR="004B2310" w:rsidRPr="009434F9">
        <w:rPr>
          <w:rFonts w:cstheme="minorHAnsi"/>
        </w:rPr>
        <w:t>J</w:t>
      </w:r>
      <w:r w:rsidRPr="009434F9">
        <w:rPr>
          <w:rFonts w:cstheme="minorHAnsi"/>
        </w:rPr>
        <w:t xml:space="preserve">ustice as a </w:t>
      </w:r>
      <w:r w:rsidR="004B2310" w:rsidRPr="009434F9">
        <w:rPr>
          <w:rFonts w:cstheme="minorHAnsi"/>
        </w:rPr>
        <w:t>V</w:t>
      </w:r>
      <w:r w:rsidRPr="009434F9">
        <w:rPr>
          <w:rFonts w:cstheme="minorHAnsi"/>
        </w:rPr>
        <w:t xml:space="preserve">irtue of </w:t>
      </w:r>
      <w:r w:rsidR="004B2310" w:rsidRPr="009434F9">
        <w:rPr>
          <w:rFonts w:cstheme="minorHAnsi"/>
        </w:rPr>
        <w:t>S</w:t>
      </w:r>
      <w:r w:rsidRPr="009434F9">
        <w:rPr>
          <w:rFonts w:cstheme="minorHAnsi"/>
        </w:rPr>
        <w:t xml:space="preserve">ocial </w:t>
      </w:r>
      <w:r w:rsidR="004B2310" w:rsidRPr="009434F9">
        <w:rPr>
          <w:rFonts w:cstheme="minorHAnsi"/>
        </w:rPr>
        <w:t>I</w:t>
      </w:r>
      <w:r w:rsidRPr="009434F9">
        <w:rPr>
          <w:rFonts w:cstheme="minorHAnsi"/>
        </w:rPr>
        <w:t>nstitutions.</w:t>
      </w:r>
      <w:r w:rsidR="004B2310" w:rsidRPr="009434F9">
        <w:rPr>
          <w:rFonts w:cstheme="minorHAnsi"/>
        </w:rPr>
        <w:t>”</w:t>
      </w:r>
      <w:r w:rsidRPr="009434F9">
        <w:rPr>
          <w:rFonts w:cstheme="minorHAnsi"/>
        </w:rPr>
        <w:t xml:space="preserve"> </w:t>
      </w:r>
      <w:r w:rsidRPr="009434F9">
        <w:rPr>
          <w:rFonts w:cstheme="minorHAnsi"/>
          <w:i/>
          <w:iCs/>
        </w:rPr>
        <w:t xml:space="preserve">Social Epistemology </w:t>
      </w:r>
      <w:r w:rsidRPr="009434F9">
        <w:rPr>
          <w:rFonts w:cstheme="minorHAnsi"/>
        </w:rPr>
        <w:t>26</w:t>
      </w:r>
      <w:r w:rsidR="004B2310" w:rsidRPr="009434F9">
        <w:rPr>
          <w:rFonts w:cstheme="minorHAnsi"/>
        </w:rPr>
        <w:t xml:space="preserve"> </w:t>
      </w:r>
      <w:r w:rsidRPr="009434F9">
        <w:rPr>
          <w:rFonts w:cstheme="minorHAnsi"/>
        </w:rPr>
        <w:t>(2)</w:t>
      </w:r>
      <w:r w:rsidR="004B2310" w:rsidRPr="009434F9">
        <w:rPr>
          <w:rFonts w:cstheme="minorHAnsi"/>
        </w:rPr>
        <w:t>:</w:t>
      </w:r>
      <w:r w:rsidRPr="009434F9">
        <w:rPr>
          <w:rFonts w:cstheme="minorHAnsi"/>
        </w:rPr>
        <w:t xml:space="preserve"> 163-73.</w:t>
      </w:r>
    </w:p>
    <w:p w14:paraId="7E02AC42" w14:textId="1FDD6E1B" w:rsidR="00D76581" w:rsidRPr="009434F9" w:rsidRDefault="00D76581" w:rsidP="002E7481">
      <w:pPr>
        <w:ind w:left="720" w:hanging="720"/>
        <w:rPr>
          <w:rFonts w:cstheme="minorHAnsi"/>
        </w:rPr>
      </w:pPr>
      <w:r w:rsidRPr="009434F9">
        <w:rPr>
          <w:rFonts w:cstheme="minorHAnsi"/>
        </w:rPr>
        <w:t xml:space="preserve">Basu, Rima. 2019. “The Wrongs of Racist Beliefs.” </w:t>
      </w:r>
      <w:r w:rsidRPr="009434F9">
        <w:rPr>
          <w:rFonts w:cstheme="minorHAnsi"/>
          <w:i/>
          <w:iCs/>
        </w:rPr>
        <w:t>Philosophical Studies</w:t>
      </w:r>
      <w:r w:rsidRPr="009434F9">
        <w:rPr>
          <w:rFonts w:cstheme="minorHAnsi"/>
        </w:rPr>
        <w:t xml:space="preserve"> 176 (9): 2497-515.</w:t>
      </w:r>
    </w:p>
    <w:p w14:paraId="06DD3DFE" w14:textId="27D9B72A" w:rsidR="00FC0E3E" w:rsidRPr="009434F9" w:rsidRDefault="00001D13" w:rsidP="002E7481">
      <w:pPr>
        <w:ind w:left="720" w:hanging="720"/>
        <w:rPr>
          <w:rFonts w:cstheme="minorHAnsi"/>
        </w:rPr>
      </w:pPr>
      <w:r w:rsidRPr="009434F9">
        <w:rPr>
          <w:rFonts w:cstheme="minorHAnsi"/>
        </w:rPr>
        <w:t>Berenstain, N</w:t>
      </w:r>
      <w:r w:rsidR="004B2310" w:rsidRPr="009434F9">
        <w:rPr>
          <w:rFonts w:cstheme="minorHAnsi"/>
        </w:rPr>
        <w:t>ora</w:t>
      </w:r>
      <w:r w:rsidRPr="009434F9">
        <w:rPr>
          <w:rFonts w:cstheme="minorHAnsi"/>
        </w:rPr>
        <w:t xml:space="preserve">. 2016. </w:t>
      </w:r>
      <w:r w:rsidR="004B2310" w:rsidRPr="009434F9">
        <w:rPr>
          <w:rFonts w:cstheme="minorHAnsi"/>
        </w:rPr>
        <w:t>“</w:t>
      </w:r>
      <w:r w:rsidRPr="009434F9">
        <w:rPr>
          <w:rFonts w:cstheme="minorHAnsi"/>
        </w:rPr>
        <w:t xml:space="preserve">Epistemic </w:t>
      </w:r>
      <w:r w:rsidR="004B2310" w:rsidRPr="009434F9">
        <w:rPr>
          <w:rFonts w:cstheme="minorHAnsi"/>
        </w:rPr>
        <w:t>E</w:t>
      </w:r>
      <w:r w:rsidRPr="009434F9">
        <w:rPr>
          <w:rFonts w:cstheme="minorHAnsi"/>
        </w:rPr>
        <w:t>xploitation.</w:t>
      </w:r>
      <w:r w:rsidR="004B2310" w:rsidRPr="009434F9">
        <w:rPr>
          <w:rFonts w:cstheme="minorHAnsi"/>
        </w:rPr>
        <w:t>”</w:t>
      </w:r>
      <w:r w:rsidRPr="009434F9">
        <w:rPr>
          <w:rFonts w:cstheme="minorHAnsi"/>
        </w:rPr>
        <w:t xml:space="preserve"> </w:t>
      </w:r>
      <w:r w:rsidRPr="009434F9">
        <w:rPr>
          <w:rFonts w:cstheme="minorHAnsi"/>
          <w:i/>
          <w:iCs/>
        </w:rPr>
        <w:t>Ergo</w:t>
      </w:r>
      <w:r w:rsidRPr="009434F9">
        <w:rPr>
          <w:rFonts w:cstheme="minorHAnsi"/>
        </w:rPr>
        <w:t xml:space="preserve"> 3</w:t>
      </w:r>
      <w:r w:rsidR="004B2310" w:rsidRPr="009434F9">
        <w:rPr>
          <w:rFonts w:cstheme="minorHAnsi"/>
        </w:rPr>
        <w:t xml:space="preserve"> </w:t>
      </w:r>
      <w:r w:rsidRPr="009434F9">
        <w:rPr>
          <w:rFonts w:cstheme="minorHAnsi"/>
        </w:rPr>
        <w:t>(22</w:t>
      </w:r>
      <w:r w:rsidR="004B2310" w:rsidRPr="009434F9">
        <w:rPr>
          <w:rFonts w:cstheme="minorHAnsi"/>
        </w:rPr>
        <w:t>):</w:t>
      </w:r>
      <w:r w:rsidRPr="009434F9">
        <w:rPr>
          <w:rFonts w:cstheme="minorHAnsi"/>
        </w:rPr>
        <w:t xml:space="preserve"> 569-90.</w:t>
      </w:r>
    </w:p>
    <w:p w14:paraId="433328F2" w14:textId="2266EC1E" w:rsidR="00FC0E3E" w:rsidRPr="009434F9" w:rsidRDefault="00001D13" w:rsidP="002E7481">
      <w:pPr>
        <w:ind w:left="720" w:hanging="720"/>
        <w:rPr>
          <w:rFonts w:eastAsia="Times New Roman" w:cstheme="minorHAnsi"/>
          <w:iCs/>
          <w:color w:val="000000" w:themeColor="text1"/>
        </w:rPr>
      </w:pPr>
      <w:r w:rsidRPr="009434F9">
        <w:rPr>
          <w:rFonts w:eastAsia="Times New Roman" w:cstheme="minorHAnsi"/>
          <w:color w:val="000000" w:themeColor="text1"/>
        </w:rPr>
        <w:t>Callahan, L</w:t>
      </w:r>
      <w:r w:rsidR="004B2310" w:rsidRPr="009434F9">
        <w:rPr>
          <w:rFonts w:eastAsia="Times New Roman" w:cstheme="minorHAnsi"/>
          <w:color w:val="000000" w:themeColor="text1"/>
        </w:rPr>
        <w:t>aura</w:t>
      </w:r>
      <w:r w:rsidRPr="009434F9">
        <w:rPr>
          <w:rFonts w:eastAsia="Times New Roman" w:cstheme="minorHAnsi"/>
          <w:color w:val="000000" w:themeColor="text1"/>
        </w:rPr>
        <w:t xml:space="preserve">. 2018. </w:t>
      </w:r>
      <w:r w:rsidR="004B2310" w:rsidRPr="009434F9">
        <w:rPr>
          <w:rFonts w:eastAsia="Times New Roman" w:cstheme="minorHAnsi"/>
          <w:color w:val="000000" w:themeColor="text1"/>
        </w:rPr>
        <w:t>“</w:t>
      </w:r>
      <w:r w:rsidRPr="009434F9">
        <w:rPr>
          <w:rFonts w:eastAsia="Times New Roman" w:cstheme="minorHAnsi"/>
          <w:color w:val="000000" w:themeColor="text1"/>
        </w:rPr>
        <w:t xml:space="preserve">Moral </w:t>
      </w:r>
      <w:r w:rsidR="004B2310" w:rsidRPr="009434F9">
        <w:rPr>
          <w:rFonts w:eastAsia="Times New Roman" w:cstheme="minorHAnsi"/>
          <w:color w:val="000000" w:themeColor="text1"/>
        </w:rPr>
        <w:t>T</w:t>
      </w:r>
      <w:r w:rsidRPr="009434F9">
        <w:rPr>
          <w:rFonts w:eastAsia="Times New Roman" w:cstheme="minorHAnsi"/>
          <w:color w:val="000000" w:themeColor="text1"/>
        </w:rPr>
        <w:t xml:space="preserve">estimony: A </w:t>
      </w:r>
      <w:r w:rsidR="004B2310" w:rsidRPr="009434F9">
        <w:rPr>
          <w:rFonts w:eastAsia="Times New Roman" w:cstheme="minorHAnsi"/>
          <w:color w:val="000000" w:themeColor="text1"/>
        </w:rPr>
        <w:t>R</w:t>
      </w:r>
      <w:r w:rsidRPr="009434F9">
        <w:rPr>
          <w:rFonts w:eastAsia="Times New Roman" w:cstheme="minorHAnsi"/>
          <w:color w:val="000000" w:themeColor="text1"/>
        </w:rPr>
        <w:t>e-</w:t>
      </w:r>
      <w:r w:rsidR="004B2310" w:rsidRPr="009434F9">
        <w:rPr>
          <w:rFonts w:eastAsia="Times New Roman" w:cstheme="minorHAnsi"/>
          <w:color w:val="000000" w:themeColor="text1"/>
        </w:rPr>
        <w:t>Co</w:t>
      </w:r>
      <w:r w:rsidRPr="009434F9">
        <w:rPr>
          <w:rFonts w:eastAsia="Times New Roman" w:cstheme="minorHAnsi"/>
          <w:color w:val="000000" w:themeColor="text1"/>
        </w:rPr>
        <w:t xml:space="preserve">nceived </w:t>
      </w:r>
      <w:r w:rsidR="004B2310" w:rsidRPr="009434F9">
        <w:rPr>
          <w:rFonts w:eastAsia="Times New Roman" w:cstheme="minorHAnsi"/>
          <w:color w:val="000000" w:themeColor="text1"/>
        </w:rPr>
        <w:t>U</w:t>
      </w:r>
      <w:r w:rsidRPr="009434F9">
        <w:rPr>
          <w:rFonts w:eastAsia="Times New Roman" w:cstheme="minorHAnsi"/>
          <w:color w:val="000000" w:themeColor="text1"/>
        </w:rPr>
        <w:t xml:space="preserve">nderstanding </w:t>
      </w:r>
      <w:r w:rsidR="004B2310" w:rsidRPr="009434F9">
        <w:rPr>
          <w:rFonts w:eastAsia="Times New Roman" w:cstheme="minorHAnsi"/>
          <w:color w:val="000000" w:themeColor="text1"/>
        </w:rPr>
        <w:t>E</w:t>
      </w:r>
      <w:r w:rsidRPr="009434F9">
        <w:rPr>
          <w:rFonts w:eastAsia="Times New Roman" w:cstheme="minorHAnsi"/>
          <w:color w:val="000000" w:themeColor="text1"/>
        </w:rPr>
        <w:t>xplanation.</w:t>
      </w:r>
      <w:r w:rsidR="004B2310" w:rsidRPr="009434F9">
        <w:rPr>
          <w:rFonts w:eastAsia="Times New Roman" w:cstheme="minorHAnsi"/>
          <w:color w:val="000000" w:themeColor="text1"/>
        </w:rPr>
        <w:t>”</w:t>
      </w:r>
      <w:r w:rsidRPr="009434F9">
        <w:rPr>
          <w:rFonts w:eastAsia="Times New Roman" w:cstheme="minorHAnsi"/>
          <w:color w:val="000000" w:themeColor="text1"/>
        </w:rPr>
        <w:t xml:space="preserve"> </w:t>
      </w:r>
      <w:r w:rsidRPr="009434F9">
        <w:rPr>
          <w:rFonts w:eastAsia="Times New Roman" w:cstheme="minorHAnsi"/>
          <w:i/>
          <w:iCs/>
          <w:color w:val="000000" w:themeColor="text1"/>
        </w:rPr>
        <w:t xml:space="preserve">The </w:t>
      </w:r>
      <w:r w:rsidRPr="009434F9">
        <w:rPr>
          <w:rFonts w:eastAsia="Times New Roman" w:cstheme="minorHAnsi"/>
          <w:i/>
          <w:color w:val="000000" w:themeColor="text1"/>
        </w:rPr>
        <w:t xml:space="preserve">Philosophical Quarterly </w:t>
      </w:r>
      <w:r w:rsidRPr="009434F9">
        <w:rPr>
          <w:rFonts w:eastAsia="Times New Roman" w:cstheme="minorHAnsi"/>
          <w:iCs/>
          <w:color w:val="000000" w:themeColor="text1"/>
        </w:rPr>
        <w:t>68</w:t>
      </w:r>
      <w:r w:rsidR="004B2310" w:rsidRPr="009434F9">
        <w:rPr>
          <w:rFonts w:eastAsia="Times New Roman" w:cstheme="minorHAnsi"/>
          <w:iCs/>
          <w:color w:val="000000" w:themeColor="text1"/>
        </w:rPr>
        <w:t xml:space="preserve"> </w:t>
      </w:r>
      <w:r w:rsidRPr="009434F9">
        <w:rPr>
          <w:rFonts w:eastAsia="Times New Roman" w:cstheme="minorHAnsi"/>
          <w:iCs/>
          <w:color w:val="000000" w:themeColor="text1"/>
        </w:rPr>
        <w:t>(272)</w:t>
      </w:r>
      <w:r w:rsidR="004B2310" w:rsidRPr="009434F9">
        <w:rPr>
          <w:rFonts w:eastAsia="Times New Roman" w:cstheme="minorHAnsi"/>
          <w:iCs/>
          <w:color w:val="000000" w:themeColor="text1"/>
        </w:rPr>
        <w:t>:</w:t>
      </w:r>
      <w:r w:rsidRPr="009434F9">
        <w:rPr>
          <w:rFonts w:eastAsia="Times New Roman" w:cstheme="minorHAnsi"/>
          <w:iCs/>
          <w:color w:val="000000" w:themeColor="text1"/>
        </w:rPr>
        <w:t xml:space="preserve"> 437-59.</w:t>
      </w:r>
    </w:p>
    <w:p w14:paraId="27AB1BA6" w14:textId="6A8ACC82" w:rsidR="00FC0E3E" w:rsidRPr="009434F9" w:rsidRDefault="00001D13" w:rsidP="002E7481">
      <w:pPr>
        <w:ind w:left="720" w:hanging="720"/>
        <w:rPr>
          <w:rFonts w:cstheme="minorHAnsi"/>
          <w:color w:val="000000" w:themeColor="text1"/>
        </w:rPr>
      </w:pPr>
      <w:r w:rsidRPr="009434F9">
        <w:rPr>
          <w:rFonts w:cstheme="minorHAnsi"/>
          <w:color w:val="000000" w:themeColor="text1"/>
        </w:rPr>
        <w:t>Christensen, D</w:t>
      </w:r>
      <w:r w:rsidR="004B2310" w:rsidRPr="009434F9">
        <w:rPr>
          <w:rFonts w:cstheme="minorHAnsi"/>
          <w:color w:val="000000" w:themeColor="text1"/>
        </w:rPr>
        <w:t>avid</w:t>
      </w:r>
      <w:r w:rsidRPr="009434F9">
        <w:rPr>
          <w:rFonts w:cstheme="minorHAnsi"/>
          <w:color w:val="000000" w:themeColor="text1"/>
        </w:rPr>
        <w:t xml:space="preserve">. 2007. </w:t>
      </w:r>
      <w:r w:rsidR="004B2310" w:rsidRPr="009434F9">
        <w:rPr>
          <w:rFonts w:cstheme="minorHAnsi"/>
          <w:color w:val="000000" w:themeColor="text1"/>
        </w:rPr>
        <w:t>“</w:t>
      </w:r>
      <w:r w:rsidRPr="009434F9">
        <w:rPr>
          <w:rFonts w:cstheme="minorHAnsi"/>
          <w:color w:val="000000" w:themeColor="text1"/>
        </w:rPr>
        <w:t>Epistemology of Disagreement: The Good News.</w:t>
      </w:r>
      <w:r w:rsidR="004B2310" w:rsidRPr="009434F9">
        <w:rPr>
          <w:rFonts w:cstheme="minorHAnsi"/>
          <w:color w:val="000000" w:themeColor="text1"/>
        </w:rPr>
        <w:t>”</w:t>
      </w:r>
      <w:r w:rsidRPr="009434F9">
        <w:rPr>
          <w:rFonts w:cstheme="minorHAnsi"/>
          <w:color w:val="000000" w:themeColor="text1"/>
        </w:rPr>
        <w:t xml:space="preserve"> </w:t>
      </w:r>
      <w:r w:rsidRPr="009434F9">
        <w:rPr>
          <w:rFonts w:cstheme="minorHAnsi"/>
          <w:i/>
          <w:iCs/>
          <w:color w:val="000000" w:themeColor="text1"/>
        </w:rPr>
        <w:t>The Philosophical Review</w:t>
      </w:r>
      <w:r w:rsidRPr="009434F9">
        <w:rPr>
          <w:rFonts w:cstheme="minorHAnsi"/>
          <w:color w:val="000000" w:themeColor="text1"/>
        </w:rPr>
        <w:t xml:space="preserve"> 116</w:t>
      </w:r>
      <w:r w:rsidR="004B2310" w:rsidRPr="009434F9">
        <w:rPr>
          <w:rFonts w:cstheme="minorHAnsi"/>
          <w:color w:val="000000" w:themeColor="text1"/>
        </w:rPr>
        <w:t xml:space="preserve"> </w:t>
      </w:r>
      <w:r w:rsidRPr="009434F9">
        <w:rPr>
          <w:rFonts w:cstheme="minorHAnsi"/>
          <w:color w:val="000000" w:themeColor="text1"/>
        </w:rPr>
        <w:t>(2)</w:t>
      </w:r>
      <w:r w:rsidR="004B2310" w:rsidRPr="009434F9">
        <w:rPr>
          <w:rFonts w:cstheme="minorHAnsi"/>
          <w:color w:val="000000" w:themeColor="text1"/>
        </w:rPr>
        <w:t>:</w:t>
      </w:r>
      <w:r w:rsidRPr="009434F9">
        <w:rPr>
          <w:rFonts w:cstheme="minorHAnsi"/>
          <w:color w:val="000000" w:themeColor="text1"/>
        </w:rPr>
        <w:t xml:space="preserve"> 187-217. </w:t>
      </w:r>
    </w:p>
    <w:p w14:paraId="296E9E61" w14:textId="1F8AB4FA" w:rsidR="00FC0E3E" w:rsidRPr="009434F9" w:rsidRDefault="00001D13" w:rsidP="002E7481">
      <w:pPr>
        <w:ind w:left="720" w:hanging="720"/>
        <w:rPr>
          <w:rFonts w:cstheme="minorHAnsi"/>
        </w:rPr>
      </w:pPr>
      <w:r w:rsidRPr="009434F9">
        <w:rPr>
          <w:rFonts w:cstheme="minorHAnsi"/>
        </w:rPr>
        <w:t>Coady, D</w:t>
      </w:r>
      <w:r w:rsidR="004B2310" w:rsidRPr="009434F9">
        <w:rPr>
          <w:rFonts w:cstheme="minorHAnsi"/>
        </w:rPr>
        <w:t>avid</w:t>
      </w:r>
      <w:r w:rsidRPr="009434F9">
        <w:rPr>
          <w:rFonts w:cstheme="minorHAnsi"/>
        </w:rPr>
        <w:t xml:space="preserve">. 2006. “When Experts Disagree.” </w:t>
      </w:r>
      <w:r w:rsidRPr="009434F9">
        <w:rPr>
          <w:rFonts w:cstheme="minorHAnsi"/>
          <w:i/>
          <w:iCs/>
        </w:rPr>
        <w:t>Episteme: A Journal of Social Epistemology</w:t>
      </w:r>
      <w:r w:rsidRPr="009434F9">
        <w:rPr>
          <w:rFonts w:cstheme="minorHAnsi"/>
        </w:rPr>
        <w:t xml:space="preserve"> 3</w:t>
      </w:r>
      <w:r w:rsidR="004B2310" w:rsidRPr="009434F9">
        <w:rPr>
          <w:rFonts w:cstheme="minorHAnsi"/>
        </w:rPr>
        <w:t xml:space="preserve"> </w:t>
      </w:r>
      <w:r w:rsidRPr="009434F9">
        <w:rPr>
          <w:rFonts w:cstheme="minorHAnsi"/>
        </w:rPr>
        <w:t>(1-2)</w:t>
      </w:r>
      <w:r w:rsidR="004B2310" w:rsidRPr="009434F9">
        <w:rPr>
          <w:rFonts w:cstheme="minorHAnsi"/>
        </w:rPr>
        <w:t>:</w:t>
      </w:r>
      <w:r w:rsidRPr="009434F9">
        <w:rPr>
          <w:rFonts w:cstheme="minorHAnsi"/>
        </w:rPr>
        <w:t xml:space="preserve"> 68-79.</w:t>
      </w:r>
    </w:p>
    <w:p w14:paraId="1979D2D6" w14:textId="190B0207" w:rsidR="00FC0E3E" w:rsidRPr="009434F9" w:rsidRDefault="00001D13" w:rsidP="002E7481">
      <w:pPr>
        <w:ind w:left="720" w:hanging="720"/>
        <w:rPr>
          <w:rFonts w:cstheme="minorHAnsi"/>
        </w:rPr>
      </w:pPr>
      <w:r w:rsidRPr="009434F9">
        <w:rPr>
          <w:rFonts w:cstheme="minorHAnsi"/>
        </w:rPr>
        <w:t>Darwall, S</w:t>
      </w:r>
      <w:r w:rsidR="004B2310" w:rsidRPr="009434F9">
        <w:rPr>
          <w:rFonts w:cstheme="minorHAnsi"/>
        </w:rPr>
        <w:t>tephen</w:t>
      </w:r>
      <w:r w:rsidRPr="009434F9">
        <w:rPr>
          <w:rFonts w:cstheme="minorHAnsi"/>
        </w:rPr>
        <w:t xml:space="preserve">. 1977. </w:t>
      </w:r>
      <w:r w:rsidR="004B2310" w:rsidRPr="009434F9">
        <w:rPr>
          <w:rFonts w:cstheme="minorHAnsi"/>
        </w:rPr>
        <w:t>“</w:t>
      </w:r>
      <w:r w:rsidRPr="009434F9">
        <w:rPr>
          <w:rFonts w:cstheme="minorHAnsi"/>
        </w:rPr>
        <w:t xml:space="preserve">Two </w:t>
      </w:r>
      <w:r w:rsidR="004B2310" w:rsidRPr="009434F9">
        <w:rPr>
          <w:rFonts w:cstheme="minorHAnsi"/>
        </w:rPr>
        <w:t>K</w:t>
      </w:r>
      <w:r w:rsidRPr="009434F9">
        <w:rPr>
          <w:rFonts w:cstheme="minorHAnsi"/>
        </w:rPr>
        <w:t xml:space="preserve">inds of </w:t>
      </w:r>
      <w:r w:rsidR="004B2310" w:rsidRPr="009434F9">
        <w:rPr>
          <w:rFonts w:cstheme="minorHAnsi"/>
        </w:rPr>
        <w:t>R</w:t>
      </w:r>
      <w:r w:rsidRPr="009434F9">
        <w:rPr>
          <w:rFonts w:cstheme="minorHAnsi"/>
        </w:rPr>
        <w:t>espect.</w:t>
      </w:r>
      <w:r w:rsidR="004B2310" w:rsidRPr="009434F9">
        <w:rPr>
          <w:rFonts w:cstheme="minorHAnsi"/>
        </w:rPr>
        <w:t>”</w:t>
      </w:r>
      <w:r w:rsidRPr="009434F9">
        <w:rPr>
          <w:rFonts w:cstheme="minorHAnsi"/>
        </w:rPr>
        <w:t xml:space="preserve"> </w:t>
      </w:r>
      <w:r w:rsidRPr="009434F9">
        <w:rPr>
          <w:rFonts w:cstheme="minorHAnsi"/>
          <w:i/>
          <w:iCs/>
        </w:rPr>
        <w:t>Ethic</w:t>
      </w:r>
      <w:r w:rsidR="004B2310" w:rsidRPr="009434F9">
        <w:rPr>
          <w:rFonts w:cstheme="minorHAnsi"/>
          <w:i/>
          <w:iCs/>
        </w:rPr>
        <w:t>s</w:t>
      </w:r>
      <w:r w:rsidRPr="009434F9">
        <w:rPr>
          <w:rFonts w:cstheme="minorHAnsi"/>
          <w:i/>
          <w:iCs/>
        </w:rPr>
        <w:t xml:space="preserve"> </w:t>
      </w:r>
      <w:r w:rsidRPr="009434F9">
        <w:rPr>
          <w:rFonts w:cstheme="minorHAnsi"/>
        </w:rPr>
        <w:t>88</w:t>
      </w:r>
      <w:r w:rsidR="004B2310" w:rsidRPr="009434F9">
        <w:rPr>
          <w:rFonts w:cstheme="minorHAnsi"/>
        </w:rPr>
        <w:t xml:space="preserve"> </w:t>
      </w:r>
      <w:r w:rsidRPr="009434F9">
        <w:rPr>
          <w:rFonts w:cstheme="minorHAnsi"/>
        </w:rPr>
        <w:t>(1)</w:t>
      </w:r>
      <w:r w:rsidR="004B2310" w:rsidRPr="009434F9">
        <w:rPr>
          <w:rFonts w:cstheme="minorHAnsi"/>
        </w:rPr>
        <w:t>:</w:t>
      </w:r>
      <w:r w:rsidRPr="009434F9">
        <w:rPr>
          <w:rFonts w:cstheme="minorHAnsi"/>
        </w:rPr>
        <w:t xml:space="preserve"> 36-49.</w:t>
      </w:r>
    </w:p>
    <w:p w14:paraId="40A24DDC" w14:textId="777CCB31" w:rsidR="00FC0E3E" w:rsidRPr="009434F9" w:rsidRDefault="00001D13" w:rsidP="002E7481">
      <w:pPr>
        <w:ind w:left="720" w:hanging="720"/>
        <w:rPr>
          <w:rFonts w:cstheme="minorHAnsi"/>
        </w:rPr>
      </w:pPr>
      <w:r w:rsidRPr="009434F9">
        <w:rPr>
          <w:rFonts w:cstheme="minorHAnsi"/>
        </w:rPr>
        <w:t>Davia, C</w:t>
      </w:r>
      <w:r w:rsidR="004B2310" w:rsidRPr="009434F9">
        <w:rPr>
          <w:rFonts w:cstheme="minorHAnsi"/>
        </w:rPr>
        <w:t>ory,</w:t>
      </w:r>
      <w:r w:rsidRPr="009434F9">
        <w:rPr>
          <w:rFonts w:cstheme="minorHAnsi"/>
        </w:rPr>
        <w:t xml:space="preserve"> </w:t>
      </w:r>
      <w:r w:rsidR="001A47C9" w:rsidRPr="009434F9">
        <w:rPr>
          <w:rFonts w:cstheme="minorHAnsi"/>
        </w:rPr>
        <w:t>and</w:t>
      </w:r>
      <w:r w:rsidRPr="009434F9">
        <w:rPr>
          <w:rFonts w:cstheme="minorHAnsi"/>
        </w:rPr>
        <w:t xml:space="preserve"> M</w:t>
      </w:r>
      <w:r w:rsidR="004B2310" w:rsidRPr="009434F9">
        <w:rPr>
          <w:rFonts w:cstheme="minorHAnsi"/>
        </w:rPr>
        <w:t>ichele Palmira</w:t>
      </w:r>
      <w:r w:rsidRPr="009434F9">
        <w:rPr>
          <w:rFonts w:cstheme="minorHAnsi"/>
        </w:rPr>
        <w:t xml:space="preserve">. 2015. </w:t>
      </w:r>
      <w:r w:rsidR="004B2310" w:rsidRPr="009434F9">
        <w:rPr>
          <w:rFonts w:cstheme="minorHAnsi"/>
        </w:rPr>
        <w:t>“</w:t>
      </w:r>
      <w:r w:rsidRPr="009434F9">
        <w:rPr>
          <w:rFonts w:cstheme="minorHAnsi"/>
        </w:rPr>
        <w:t xml:space="preserve">Moral </w:t>
      </w:r>
      <w:r w:rsidR="004B2310" w:rsidRPr="009434F9">
        <w:rPr>
          <w:rFonts w:cstheme="minorHAnsi"/>
        </w:rPr>
        <w:t>D</w:t>
      </w:r>
      <w:r w:rsidRPr="009434F9">
        <w:rPr>
          <w:rFonts w:cstheme="minorHAnsi"/>
        </w:rPr>
        <w:t xml:space="preserve">eference and </w:t>
      </w:r>
      <w:r w:rsidR="004B2310" w:rsidRPr="009434F9">
        <w:rPr>
          <w:rFonts w:cstheme="minorHAnsi"/>
        </w:rPr>
        <w:t>D</w:t>
      </w:r>
      <w:r w:rsidRPr="009434F9">
        <w:rPr>
          <w:rFonts w:cstheme="minorHAnsi"/>
        </w:rPr>
        <w:t xml:space="preserve">eference to an </w:t>
      </w:r>
      <w:r w:rsidR="004B2310" w:rsidRPr="009434F9">
        <w:rPr>
          <w:rFonts w:cstheme="minorHAnsi"/>
        </w:rPr>
        <w:t>E</w:t>
      </w:r>
      <w:r w:rsidRPr="009434F9">
        <w:rPr>
          <w:rFonts w:cstheme="minorHAnsi"/>
        </w:rPr>
        <w:t xml:space="preserve">pistemic </w:t>
      </w:r>
      <w:r w:rsidR="004B2310" w:rsidRPr="009434F9">
        <w:rPr>
          <w:rFonts w:cstheme="minorHAnsi"/>
        </w:rPr>
        <w:t>P</w:t>
      </w:r>
      <w:r w:rsidRPr="009434F9">
        <w:rPr>
          <w:rFonts w:cstheme="minorHAnsi"/>
        </w:rPr>
        <w:t>eer.</w:t>
      </w:r>
      <w:r w:rsidR="004B2310" w:rsidRPr="009434F9">
        <w:rPr>
          <w:rFonts w:cstheme="minorHAnsi"/>
        </w:rPr>
        <w:t>”</w:t>
      </w:r>
      <w:r w:rsidRPr="009434F9">
        <w:rPr>
          <w:rFonts w:cstheme="minorHAnsi"/>
        </w:rPr>
        <w:t xml:space="preserve"> </w:t>
      </w:r>
      <w:r w:rsidRPr="009434F9">
        <w:rPr>
          <w:rFonts w:cstheme="minorHAnsi"/>
          <w:i/>
          <w:iCs/>
        </w:rPr>
        <w:t xml:space="preserve">The Philosophical Quarterly </w:t>
      </w:r>
      <w:r w:rsidRPr="009434F9">
        <w:rPr>
          <w:rFonts w:cstheme="minorHAnsi"/>
        </w:rPr>
        <w:t>65</w:t>
      </w:r>
      <w:r w:rsidR="004B2310" w:rsidRPr="009434F9">
        <w:rPr>
          <w:rFonts w:cstheme="minorHAnsi"/>
        </w:rPr>
        <w:t xml:space="preserve"> </w:t>
      </w:r>
      <w:r w:rsidRPr="009434F9">
        <w:rPr>
          <w:rFonts w:cstheme="minorHAnsi"/>
        </w:rPr>
        <w:t>(261)</w:t>
      </w:r>
      <w:r w:rsidR="004B2310" w:rsidRPr="009434F9">
        <w:rPr>
          <w:rFonts w:cstheme="minorHAnsi"/>
        </w:rPr>
        <w:t>:</w:t>
      </w:r>
      <w:r w:rsidRPr="009434F9">
        <w:rPr>
          <w:rFonts w:cstheme="minorHAnsi"/>
        </w:rPr>
        <w:t xml:space="preserve"> 605-25.</w:t>
      </w:r>
    </w:p>
    <w:p w14:paraId="49D51246" w14:textId="33D5CAED" w:rsidR="00FC0E3E" w:rsidRPr="009434F9" w:rsidRDefault="00001D13" w:rsidP="002E7481">
      <w:pPr>
        <w:ind w:left="720" w:hanging="720"/>
        <w:rPr>
          <w:rFonts w:cstheme="minorHAnsi"/>
        </w:rPr>
      </w:pPr>
      <w:r w:rsidRPr="009434F9">
        <w:rPr>
          <w:rFonts w:cstheme="minorHAnsi"/>
        </w:rPr>
        <w:t>Davis, E</w:t>
      </w:r>
      <w:r w:rsidR="005936B7" w:rsidRPr="009434F9">
        <w:rPr>
          <w:rFonts w:cstheme="minorHAnsi"/>
        </w:rPr>
        <w:t>mmalon</w:t>
      </w:r>
      <w:r w:rsidRPr="009434F9">
        <w:rPr>
          <w:rFonts w:cstheme="minorHAnsi"/>
        </w:rPr>
        <w:t xml:space="preserve">. 2016. </w:t>
      </w:r>
      <w:r w:rsidR="005936B7" w:rsidRPr="009434F9">
        <w:rPr>
          <w:rFonts w:cstheme="minorHAnsi"/>
        </w:rPr>
        <w:t>“</w:t>
      </w:r>
      <w:r w:rsidRPr="009434F9">
        <w:rPr>
          <w:rFonts w:cstheme="minorHAnsi"/>
        </w:rPr>
        <w:t xml:space="preserve">Typecasts, </w:t>
      </w:r>
      <w:r w:rsidR="005936B7" w:rsidRPr="009434F9">
        <w:rPr>
          <w:rFonts w:cstheme="minorHAnsi"/>
        </w:rPr>
        <w:t>T</w:t>
      </w:r>
      <w:r w:rsidRPr="009434F9">
        <w:rPr>
          <w:rFonts w:cstheme="minorHAnsi"/>
        </w:rPr>
        <w:t xml:space="preserve">okens, and </w:t>
      </w:r>
      <w:r w:rsidR="005936B7" w:rsidRPr="009434F9">
        <w:rPr>
          <w:rFonts w:cstheme="minorHAnsi"/>
        </w:rPr>
        <w:t>S</w:t>
      </w:r>
      <w:r w:rsidRPr="009434F9">
        <w:rPr>
          <w:rFonts w:cstheme="minorHAnsi"/>
        </w:rPr>
        <w:t xml:space="preserve">pokespersons: A </w:t>
      </w:r>
      <w:r w:rsidR="005936B7" w:rsidRPr="009434F9">
        <w:rPr>
          <w:rFonts w:cstheme="minorHAnsi"/>
        </w:rPr>
        <w:t>C</w:t>
      </w:r>
      <w:r w:rsidRPr="009434F9">
        <w:rPr>
          <w:rFonts w:cstheme="minorHAnsi"/>
        </w:rPr>
        <w:t xml:space="preserve">ase for </w:t>
      </w:r>
      <w:r w:rsidR="005936B7" w:rsidRPr="009434F9">
        <w:rPr>
          <w:rFonts w:cstheme="minorHAnsi"/>
        </w:rPr>
        <w:t>C</w:t>
      </w:r>
      <w:r w:rsidRPr="009434F9">
        <w:rPr>
          <w:rFonts w:cstheme="minorHAnsi"/>
        </w:rPr>
        <w:t xml:space="preserve">redibility </w:t>
      </w:r>
      <w:r w:rsidR="005936B7" w:rsidRPr="009434F9">
        <w:rPr>
          <w:rFonts w:cstheme="minorHAnsi"/>
        </w:rPr>
        <w:t>E</w:t>
      </w:r>
      <w:r w:rsidRPr="009434F9">
        <w:rPr>
          <w:rFonts w:cstheme="minorHAnsi"/>
        </w:rPr>
        <w:t xml:space="preserve">xcess as </w:t>
      </w:r>
      <w:r w:rsidR="005936B7" w:rsidRPr="009434F9">
        <w:rPr>
          <w:rFonts w:cstheme="minorHAnsi"/>
        </w:rPr>
        <w:t>T</w:t>
      </w:r>
      <w:r w:rsidRPr="009434F9">
        <w:rPr>
          <w:rFonts w:cstheme="minorHAnsi"/>
        </w:rPr>
        <w:t xml:space="preserve">estimonial </w:t>
      </w:r>
      <w:r w:rsidR="005936B7" w:rsidRPr="009434F9">
        <w:rPr>
          <w:rFonts w:cstheme="minorHAnsi"/>
        </w:rPr>
        <w:t>I</w:t>
      </w:r>
      <w:r w:rsidRPr="009434F9">
        <w:rPr>
          <w:rFonts w:cstheme="minorHAnsi"/>
        </w:rPr>
        <w:t>njustice.</w:t>
      </w:r>
      <w:r w:rsidR="005936B7" w:rsidRPr="009434F9">
        <w:rPr>
          <w:rFonts w:cstheme="minorHAnsi"/>
        </w:rPr>
        <w:t>”</w:t>
      </w:r>
      <w:r w:rsidRPr="009434F9">
        <w:rPr>
          <w:rFonts w:cstheme="minorHAnsi"/>
        </w:rPr>
        <w:t xml:space="preserve"> </w:t>
      </w:r>
      <w:r w:rsidRPr="009434F9">
        <w:rPr>
          <w:rFonts w:cstheme="minorHAnsi"/>
          <w:i/>
          <w:iCs/>
        </w:rPr>
        <w:t xml:space="preserve">Hypatia </w:t>
      </w:r>
      <w:r w:rsidRPr="009434F9">
        <w:rPr>
          <w:rFonts w:cstheme="minorHAnsi"/>
        </w:rPr>
        <w:t>31</w:t>
      </w:r>
      <w:r w:rsidR="005936B7" w:rsidRPr="009434F9">
        <w:rPr>
          <w:rFonts w:cstheme="minorHAnsi"/>
        </w:rPr>
        <w:t xml:space="preserve"> </w:t>
      </w:r>
      <w:r w:rsidRPr="009434F9">
        <w:rPr>
          <w:rFonts w:cstheme="minorHAnsi"/>
        </w:rPr>
        <w:t>(3)</w:t>
      </w:r>
      <w:r w:rsidR="005936B7" w:rsidRPr="009434F9">
        <w:rPr>
          <w:rFonts w:cstheme="minorHAnsi"/>
        </w:rPr>
        <w:t>:</w:t>
      </w:r>
      <w:r w:rsidRPr="009434F9">
        <w:rPr>
          <w:rFonts w:cstheme="minorHAnsi"/>
        </w:rPr>
        <w:t xml:space="preserve"> 485-501.</w:t>
      </w:r>
    </w:p>
    <w:p w14:paraId="201C0E34" w14:textId="0A37FC82" w:rsidR="00FC0E3E" w:rsidRPr="009434F9" w:rsidRDefault="00001D13" w:rsidP="002E7481">
      <w:pPr>
        <w:ind w:left="720" w:hanging="720"/>
        <w:rPr>
          <w:rFonts w:cstheme="minorHAnsi"/>
        </w:rPr>
      </w:pPr>
      <w:r w:rsidRPr="009434F9">
        <w:rPr>
          <w:rFonts w:cstheme="minorHAnsi"/>
        </w:rPr>
        <w:t>Enoch, D</w:t>
      </w:r>
      <w:r w:rsidR="005936B7" w:rsidRPr="009434F9">
        <w:rPr>
          <w:rFonts w:cstheme="minorHAnsi"/>
        </w:rPr>
        <w:t>avid</w:t>
      </w:r>
      <w:r w:rsidRPr="009434F9">
        <w:rPr>
          <w:rFonts w:cstheme="minorHAnsi"/>
        </w:rPr>
        <w:t xml:space="preserve">. 2009. </w:t>
      </w:r>
      <w:r w:rsidR="005936B7" w:rsidRPr="009434F9">
        <w:rPr>
          <w:rFonts w:cstheme="minorHAnsi"/>
        </w:rPr>
        <w:t>“</w:t>
      </w:r>
      <w:r w:rsidRPr="009434F9">
        <w:rPr>
          <w:rFonts w:cstheme="minorHAnsi"/>
        </w:rPr>
        <w:t xml:space="preserve">How is </w:t>
      </w:r>
      <w:r w:rsidR="005936B7" w:rsidRPr="009434F9">
        <w:rPr>
          <w:rFonts w:cstheme="minorHAnsi"/>
        </w:rPr>
        <w:t>M</w:t>
      </w:r>
      <w:r w:rsidRPr="009434F9">
        <w:rPr>
          <w:rFonts w:cstheme="minorHAnsi"/>
        </w:rPr>
        <w:t xml:space="preserve">oral </w:t>
      </w:r>
      <w:r w:rsidR="005936B7" w:rsidRPr="009434F9">
        <w:rPr>
          <w:rFonts w:cstheme="minorHAnsi"/>
        </w:rPr>
        <w:t>D</w:t>
      </w:r>
      <w:r w:rsidRPr="009434F9">
        <w:rPr>
          <w:rFonts w:cstheme="minorHAnsi"/>
        </w:rPr>
        <w:t xml:space="preserve">isagreement a </w:t>
      </w:r>
      <w:r w:rsidR="005936B7" w:rsidRPr="009434F9">
        <w:rPr>
          <w:rFonts w:cstheme="minorHAnsi"/>
        </w:rPr>
        <w:t>P</w:t>
      </w:r>
      <w:r w:rsidRPr="009434F9">
        <w:rPr>
          <w:rFonts w:cstheme="minorHAnsi"/>
        </w:rPr>
        <w:t xml:space="preserve">roblem for </w:t>
      </w:r>
      <w:r w:rsidR="005936B7" w:rsidRPr="009434F9">
        <w:rPr>
          <w:rFonts w:cstheme="minorHAnsi"/>
        </w:rPr>
        <w:t>R</w:t>
      </w:r>
      <w:r w:rsidRPr="009434F9">
        <w:rPr>
          <w:rFonts w:cstheme="minorHAnsi"/>
        </w:rPr>
        <w:t>ealism?</w:t>
      </w:r>
      <w:r w:rsidR="005936B7" w:rsidRPr="009434F9">
        <w:rPr>
          <w:rFonts w:cstheme="minorHAnsi"/>
        </w:rPr>
        <w:t>”</w:t>
      </w:r>
      <w:r w:rsidRPr="009434F9">
        <w:rPr>
          <w:rFonts w:cstheme="minorHAnsi"/>
        </w:rPr>
        <w:t xml:space="preserve"> </w:t>
      </w:r>
      <w:r w:rsidRPr="009434F9">
        <w:rPr>
          <w:rFonts w:cstheme="minorHAnsi"/>
          <w:i/>
        </w:rPr>
        <w:t xml:space="preserve">Ethics </w:t>
      </w:r>
      <w:r w:rsidRPr="009434F9">
        <w:rPr>
          <w:rFonts w:cstheme="minorHAnsi"/>
          <w:iCs/>
        </w:rPr>
        <w:t>13</w:t>
      </w:r>
      <w:r w:rsidR="005936B7" w:rsidRPr="009434F9">
        <w:rPr>
          <w:rFonts w:cstheme="minorHAnsi"/>
          <w:iCs/>
        </w:rPr>
        <w:t xml:space="preserve"> </w:t>
      </w:r>
      <w:r w:rsidRPr="009434F9">
        <w:rPr>
          <w:rFonts w:cstheme="minorHAnsi"/>
          <w:iCs/>
        </w:rPr>
        <w:t>(1)</w:t>
      </w:r>
      <w:r w:rsidR="005936B7" w:rsidRPr="009434F9">
        <w:rPr>
          <w:rFonts w:cstheme="minorHAnsi"/>
          <w:iCs/>
        </w:rPr>
        <w:t>:</w:t>
      </w:r>
      <w:r w:rsidRPr="009434F9">
        <w:rPr>
          <w:rFonts w:cstheme="minorHAnsi"/>
        </w:rPr>
        <w:t xml:space="preserve"> 15-50.</w:t>
      </w:r>
    </w:p>
    <w:p w14:paraId="5D218EDA" w14:textId="3419807A" w:rsidR="00FC0E3E" w:rsidRPr="009434F9" w:rsidRDefault="00001D13" w:rsidP="002E7481">
      <w:pPr>
        <w:ind w:left="720" w:hanging="720"/>
        <w:rPr>
          <w:rFonts w:cstheme="minorHAnsi"/>
        </w:rPr>
      </w:pPr>
      <w:r w:rsidRPr="009434F9">
        <w:rPr>
          <w:rFonts w:cstheme="minorHAnsi"/>
        </w:rPr>
        <w:t>Enoch, D</w:t>
      </w:r>
      <w:r w:rsidR="005936B7" w:rsidRPr="009434F9">
        <w:rPr>
          <w:rFonts w:cstheme="minorHAnsi"/>
        </w:rPr>
        <w:t>avid</w:t>
      </w:r>
      <w:r w:rsidRPr="009434F9">
        <w:rPr>
          <w:rFonts w:cstheme="minorHAnsi"/>
        </w:rPr>
        <w:t xml:space="preserve">. 2014. </w:t>
      </w:r>
      <w:r w:rsidR="005936B7" w:rsidRPr="009434F9">
        <w:rPr>
          <w:rFonts w:cstheme="minorHAnsi"/>
        </w:rPr>
        <w:t>“</w:t>
      </w:r>
      <w:r w:rsidRPr="009434F9">
        <w:rPr>
          <w:rFonts w:cstheme="minorHAnsi"/>
        </w:rPr>
        <w:t xml:space="preserve">A </w:t>
      </w:r>
      <w:r w:rsidR="005936B7" w:rsidRPr="009434F9">
        <w:rPr>
          <w:rFonts w:cstheme="minorHAnsi"/>
        </w:rPr>
        <w:t>D</w:t>
      </w:r>
      <w:r w:rsidRPr="009434F9">
        <w:rPr>
          <w:rFonts w:cstheme="minorHAnsi"/>
        </w:rPr>
        <w:t xml:space="preserve">efense of </w:t>
      </w:r>
      <w:r w:rsidR="005936B7" w:rsidRPr="009434F9">
        <w:rPr>
          <w:rFonts w:cstheme="minorHAnsi"/>
        </w:rPr>
        <w:t>M</w:t>
      </w:r>
      <w:r w:rsidRPr="009434F9">
        <w:rPr>
          <w:rFonts w:cstheme="minorHAnsi"/>
        </w:rPr>
        <w:t xml:space="preserve">oral </w:t>
      </w:r>
      <w:r w:rsidR="005936B7" w:rsidRPr="009434F9">
        <w:rPr>
          <w:rFonts w:cstheme="minorHAnsi"/>
        </w:rPr>
        <w:t>D</w:t>
      </w:r>
      <w:r w:rsidRPr="009434F9">
        <w:rPr>
          <w:rFonts w:cstheme="minorHAnsi"/>
        </w:rPr>
        <w:t>eference.</w:t>
      </w:r>
      <w:r w:rsidR="005936B7" w:rsidRPr="009434F9">
        <w:rPr>
          <w:rFonts w:cstheme="minorHAnsi"/>
        </w:rPr>
        <w:t>”</w:t>
      </w:r>
      <w:r w:rsidRPr="009434F9">
        <w:rPr>
          <w:rFonts w:cstheme="minorHAnsi"/>
        </w:rPr>
        <w:t xml:space="preserve"> </w:t>
      </w:r>
      <w:r w:rsidRPr="009434F9">
        <w:rPr>
          <w:rFonts w:cstheme="minorHAnsi"/>
          <w:i/>
          <w:iCs/>
        </w:rPr>
        <w:t xml:space="preserve">The Journal of Philosophy </w:t>
      </w:r>
      <w:r w:rsidRPr="009434F9">
        <w:rPr>
          <w:rFonts w:cstheme="minorHAnsi"/>
        </w:rPr>
        <w:t>111</w:t>
      </w:r>
      <w:r w:rsidR="005936B7" w:rsidRPr="009434F9">
        <w:rPr>
          <w:rFonts w:cstheme="minorHAnsi"/>
        </w:rPr>
        <w:t xml:space="preserve"> </w:t>
      </w:r>
      <w:r w:rsidRPr="009434F9">
        <w:rPr>
          <w:rFonts w:cstheme="minorHAnsi"/>
        </w:rPr>
        <w:t>(5)</w:t>
      </w:r>
      <w:r w:rsidR="005936B7" w:rsidRPr="009434F9">
        <w:rPr>
          <w:rFonts w:cstheme="minorHAnsi"/>
        </w:rPr>
        <w:t>:</w:t>
      </w:r>
      <w:r w:rsidRPr="009434F9">
        <w:rPr>
          <w:rFonts w:cstheme="minorHAnsi"/>
        </w:rPr>
        <w:t xml:space="preserve"> 229-58.</w:t>
      </w:r>
    </w:p>
    <w:p w14:paraId="55331639" w14:textId="53419782" w:rsidR="00001D13" w:rsidRPr="009434F9" w:rsidRDefault="00001D13" w:rsidP="002E7481">
      <w:pPr>
        <w:ind w:left="720" w:hanging="720"/>
        <w:contextualSpacing/>
        <w:rPr>
          <w:rFonts w:cstheme="minorHAnsi"/>
        </w:rPr>
      </w:pPr>
      <w:r w:rsidRPr="009434F9">
        <w:rPr>
          <w:rFonts w:cstheme="minorHAnsi"/>
        </w:rPr>
        <w:t>Foley, R</w:t>
      </w:r>
      <w:r w:rsidR="005936B7" w:rsidRPr="009434F9">
        <w:rPr>
          <w:rFonts w:cstheme="minorHAnsi"/>
        </w:rPr>
        <w:t>ichard</w:t>
      </w:r>
      <w:r w:rsidRPr="009434F9">
        <w:rPr>
          <w:rFonts w:cstheme="minorHAnsi"/>
        </w:rPr>
        <w:t xml:space="preserve">. 2001. </w:t>
      </w:r>
      <w:r w:rsidRPr="009434F9">
        <w:rPr>
          <w:rFonts w:cstheme="minorHAnsi"/>
          <w:i/>
          <w:iCs/>
        </w:rPr>
        <w:t>Intellectual Trust in Oneself and Others</w:t>
      </w:r>
      <w:r w:rsidRPr="009434F9">
        <w:rPr>
          <w:rFonts w:cstheme="minorHAnsi"/>
        </w:rPr>
        <w:t>. New York: Cambridge University Press.</w:t>
      </w:r>
    </w:p>
    <w:p w14:paraId="14716EEC" w14:textId="4F391239" w:rsidR="000B62EF" w:rsidRPr="009434F9" w:rsidRDefault="00001D13" w:rsidP="002E7481">
      <w:pPr>
        <w:spacing w:before="100" w:beforeAutospacing="1" w:after="100" w:afterAutospacing="1"/>
        <w:ind w:left="720" w:hanging="720"/>
        <w:contextualSpacing/>
        <w:rPr>
          <w:rFonts w:eastAsia="Times New Roman" w:cstheme="minorHAnsi"/>
        </w:rPr>
      </w:pPr>
      <w:r w:rsidRPr="009434F9">
        <w:rPr>
          <w:rFonts w:eastAsia="Times New Roman" w:cstheme="minorHAnsi"/>
        </w:rPr>
        <w:t>Franklin, J</w:t>
      </w:r>
      <w:r w:rsidR="005936B7" w:rsidRPr="009434F9">
        <w:rPr>
          <w:rFonts w:eastAsia="Times New Roman" w:cstheme="minorHAnsi"/>
        </w:rPr>
        <w:t>ohn Hope</w:t>
      </w:r>
      <w:r w:rsidRPr="009434F9">
        <w:rPr>
          <w:rFonts w:eastAsia="Times New Roman" w:cstheme="minorHAnsi"/>
        </w:rPr>
        <w:t>. 2005</w:t>
      </w:r>
      <w:r w:rsidR="005936B7" w:rsidRPr="009434F9">
        <w:rPr>
          <w:rFonts w:eastAsia="Times New Roman" w:cstheme="minorHAnsi"/>
        </w:rPr>
        <w:t>.</w:t>
      </w:r>
      <w:r w:rsidRPr="009434F9">
        <w:rPr>
          <w:rFonts w:eastAsia="Times New Roman" w:cstheme="minorHAnsi"/>
        </w:rPr>
        <w:t xml:space="preserve"> </w:t>
      </w:r>
      <w:r w:rsidRPr="009434F9">
        <w:rPr>
          <w:rFonts w:eastAsia="Times New Roman" w:cstheme="minorHAnsi"/>
          <w:i/>
          <w:iCs/>
        </w:rPr>
        <w:t>Mirror to America: The Autobiography of John Hope Franklin</w:t>
      </w:r>
      <w:r w:rsidR="005936B7" w:rsidRPr="009434F9">
        <w:rPr>
          <w:rFonts w:eastAsia="Times New Roman" w:cstheme="minorHAnsi"/>
          <w:i/>
          <w:iCs/>
        </w:rPr>
        <w:t>.</w:t>
      </w:r>
      <w:r w:rsidRPr="009434F9">
        <w:rPr>
          <w:rFonts w:eastAsia="Times New Roman" w:cstheme="minorHAnsi"/>
          <w:i/>
          <w:iCs/>
        </w:rPr>
        <w:t xml:space="preserve"> </w:t>
      </w:r>
      <w:r w:rsidRPr="009434F9">
        <w:rPr>
          <w:rFonts w:eastAsia="Times New Roman" w:cstheme="minorHAnsi"/>
        </w:rPr>
        <w:t>New York, NY: Farrar, Straus</w:t>
      </w:r>
      <w:r w:rsidR="005936B7" w:rsidRPr="009434F9">
        <w:rPr>
          <w:rFonts w:eastAsia="Times New Roman" w:cstheme="minorHAnsi"/>
        </w:rPr>
        <w:t>,</w:t>
      </w:r>
      <w:r w:rsidRPr="009434F9">
        <w:rPr>
          <w:rFonts w:eastAsia="Times New Roman" w:cstheme="minorHAnsi"/>
        </w:rPr>
        <w:t xml:space="preserve"> and Giroux.</w:t>
      </w:r>
    </w:p>
    <w:p w14:paraId="131C7E9A" w14:textId="3A5D0485" w:rsidR="00FC0E3E" w:rsidRPr="009434F9" w:rsidRDefault="00B823D5" w:rsidP="002E7481">
      <w:pPr>
        <w:ind w:left="720" w:hanging="720"/>
        <w:rPr>
          <w:rFonts w:cstheme="minorHAnsi"/>
        </w:rPr>
      </w:pPr>
      <w:r w:rsidRPr="009434F9">
        <w:rPr>
          <w:rFonts w:cstheme="minorHAnsi"/>
        </w:rPr>
        <w:t>Fricker, E</w:t>
      </w:r>
      <w:r w:rsidR="005936B7" w:rsidRPr="009434F9">
        <w:rPr>
          <w:rFonts w:cstheme="minorHAnsi"/>
        </w:rPr>
        <w:t>lizabeth</w:t>
      </w:r>
      <w:r w:rsidRPr="009434F9">
        <w:rPr>
          <w:rFonts w:cstheme="minorHAnsi"/>
        </w:rPr>
        <w:t xml:space="preserve">. 2006. </w:t>
      </w:r>
      <w:r w:rsidR="005936B7" w:rsidRPr="009434F9">
        <w:rPr>
          <w:rFonts w:cstheme="minorHAnsi"/>
        </w:rPr>
        <w:t>“</w:t>
      </w:r>
      <w:r w:rsidRPr="009434F9">
        <w:rPr>
          <w:rFonts w:cstheme="minorHAnsi"/>
        </w:rPr>
        <w:t>Testimony and Epistemic Autonomy.</w:t>
      </w:r>
      <w:r w:rsidR="005936B7" w:rsidRPr="009434F9">
        <w:rPr>
          <w:rFonts w:cstheme="minorHAnsi"/>
        </w:rPr>
        <w:t>”</w:t>
      </w:r>
      <w:r w:rsidRPr="009434F9">
        <w:rPr>
          <w:rFonts w:cstheme="minorHAnsi"/>
        </w:rPr>
        <w:t xml:space="preserve"> In </w:t>
      </w:r>
      <w:r w:rsidRPr="009434F9">
        <w:rPr>
          <w:rFonts w:cstheme="minorHAnsi"/>
          <w:i/>
          <w:iCs/>
        </w:rPr>
        <w:t>The Epistemology of Testimony</w:t>
      </w:r>
      <w:r w:rsidRPr="009434F9">
        <w:rPr>
          <w:rFonts w:cstheme="minorHAnsi"/>
        </w:rPr>
        <w:t xml:space="preserve">. Eds. J. Lackey and E. Sosa. New York: Oxford University Press. </w:t>
      </w:r>
    </w:p>
    <w:p w14:paraId="523C4338" w14:textId="48752222" w:rsidR="00FC0E3E" w:rsidRPr="009434F9" w:rsidRDefault="00001D13" w:rsidP="002E7481">
      <w:pPr>
        <w:ind w:left="720" w:hanging="720"/>
        <w:rPr>
          <w:rFonts w:cstheme="minorHAnsi"/>
        </w:rPr>
      </w:pPr>
      <w:r w:rsidRPr="009434F9">
        <w:rPr>
          <w:rFonts w:cstheme="minorHAnsi"/>
        </w:rPr>
        <w:t>Fricker, M</w:t>
      </w:r>
      <w:r w:rsidR="005936B7" w:rsidRPr="009434F9">
        <w:rPr>
          <w:rFonts w:cstheme="minorHAnsi"/>
        </w:rPr>
        <w:t>iranda</w:t>
      </w:r>
      <w:r w:rsidRPr="009434F9">
        <w:rPr>
          <w:rFonts w:cstheme="minorHAnsi"/>
        </w:rPr>
        <w:t xml:space="preserve">. 2007. </w:t>
      </w:r>
      <w:r w:rsidRPr="009434F9">
        <w:rPr>
          <w:rFonts w:cstheme="minorHAnsi"/>
          <w:i/>
          <w:iCs/>
        </w:rPr>
        <w:t xml:space="preserve">Epistemic </w:t>
      </w:r>
      <w:r w:rsidR="005936B7" w:rsidRPr="009434F9">
        <w:rPr>
          <w:rFonts w:cstheme="minorHAnsi"/>
          <w:i/>
          <w:iCs/>
        </w:rPr>
        <w:t>I</w:t>
      </w:r>
      <w:r w:rsidRPr="009434F9">
        <w:rPr>
          <w:rFonts w:cstheme="minorHAnsi"/>
          <w:i/>
          <w:iCs/>
        </w:rPr>
        <w:t xml:space="preserve">njustice: Power and the </w:t>
      </w:r>
      <w:r w:rsidR="005936B7" w:rsidRPr="009434F9">
        <w:rPr>
          <w:rFonts w:cstheme="minorHAnsi"/>
          <w:i/>
          <w:iCs/>
        </w:rPr>
        <w:t>E</w:t>
      </w:r>
      <w:r w:rsidRPr="009434F9">
        <w:rPr>
          <w:rFonts w:cstheme="minorHAnsi"/>
          <w:i/>
          <w:iCs/>
        </w:rPr>
        <w:t xml:space="preserve">thics of </w:t>
      </w:r>
      <w:r w:rsidR="005936B7" w:rsidRPr="009434F9">
        <w:rPr>
          <w:rFonts w:cstheme="minorHAnsi"/>
          <w:i/>
          <w:iCs/>
        </w:rPr>
        <w:t>K</w:t>
      </w:r>
      <w:r w:rsidRPr="009434F9">
        <w:rPr>
          <w:rFonts w:cstheme="minorHAnsi"/>
          <w:i/>
          <w:iCs/>
        </w:rPr>
        <w:t xml:space="preserve">nowing. </w:t>
      </w:r>
      <w:r w:rsidRPr="009434F9">
        <w:rPr>
          <w:rFonts w:cstheme="minorHAnsi"/>
        </w:rPr>
        <w:t>Oxford University Press.</w:t>
      </w:r>
    </w:p>
    <w:p w14:paraId="232ED01D" w14:textId="1E105547" w:rsidR="00FC0E3E" w:rsidRPr="009434F9" w:rsidRDefault="00001D13" w:rsidP="002E7481">
      <w:pPr>
        <w:ind w:left="720" w:hanging="720"/>
        <w:rPr>
          <w:rFonts w:cstheme="minorHAnsi"/>
          <w:i/>
          <w:iCs/>
        </w:rPr>
      </w:pPr>
      <w:r w:rsidRPr="009434F9">
        <w:rPr>
          <w:rFonts w:cstheme="minorHAnsi"/>
        </w:rPr>
        <w:t>Goldman, A</w:t>
      </w:r>
      <w:r w:rsidR="005936B7" w:rsidRPr="009434F9">
        <w:rPr>
          <w:rFonts w:cstheme="minorHAnsi"/>
        </w:rPr>
        <w:t>lvin</w:t>
      </w:r>
      <w:r w:rsidRPr="009434F9">
        <w:rPr>
          <w:rFonts w:cstheme="minorHAnsi"/>
        </w:rPr>
        <w:t xml:space="preserve">. 2001. “Experts: Which Ones Should You Trust?” </w:t>
      </w:r>
      <w:r w:rsidRPr="009434F9">
        <w:rPr>
          <w:rFonts w:cstheme="minorHAnsi"/>
          <w:i/>
          <w:iCs/>
        </w:rPr>
        <w:t>Philosophy and Phenomenological Research</w:t>
      </w:r>
      <w:r w:rsidRPr="009434F9">
        <w:rPr>
          <w:rFonts w:cstheme="minorHAnsi"/>
        </w:rPr>
        <w:t xml:space="preserve"> 63</w:t>
      </w:r>
      <w:r w:rsidR="005936B7" w:rsidRPr="009434F9">
        <w:rPr>
          <w:rFonts w:cstheme="minorHAnsi"/>
        </w:rPr>
        <w:t xml:space="preserve"> </w:t>
      </w:r>
      <w:r w:rsidRPr="009434F9">
        <w:rPr>
          <w:rFonts w:cstheme="minorHAnsi"/>
        </w:rPr>
        <w:t>(1</w:t>
      </w:r>
      <w:r w:rsidR="005936B7" w:rsidRPr="009434F9">
        <w:rPr>
          <w:rFonts w:cstheme="minorHAnsi"/>
        </w:rPr>
        <w:t>):</w:t>
      </w:r>
      <w:r w:rsidRPr="009434F9">
        <w:rPr>
          <w:rFonts w:cstheme="minorHAnsi"/>
        </w:rPr>
        <w:t xml:space="preserve"> 85-110.</w:t>
      </w:r>
    </w:p>
    <w:p w14:paraId="58BC60B9" w14:textId="4B10089D" w:rsidR="00FC0E3E" w:rsidRPr="009434F9" w:rsidRDefault="00001D13" w:rsidP="002E7481">
      <w:pPr>
        <w:ind w:left="720" w:hanging="720"/>
        <w:rPr>
          <w:rFonts w:cstheme="minorHAnsi"/>
        </w:rPr>
      </w:pPr>
      <w:r w:rsidRPr="009434F9">
        <w:rPr>
          <w:rFonts w:cstheme="minorHAnsi"/>
        </w:rPr>
        <w:t>Hardwig, J</w:t>
      </w:r>
      <w:r w:rsidR="005936B7" w:rsidRPr="009434F9">
        <w:rPr>
          <w:rFonts w:cstheme="minorHAnsi"/>
        </w:rPr>
        <w:t>ohn</w:t>
      </w:r>
      <w:r w:rsidRPr="009434F9">
        <w:rPr>
          <w:rFonts w:cstheme="minorHAnsi"/>
        </w:rPr>
        <w:t xml:space="preserve">. 1985. “Epistemic Dependence.” </w:t>
      </w:r>
      <w:r w:rsidRPr="009434F9">
        <w:rPr>
          <w:rFonts w:cstheme="minorHAnsi"/>
          <w:i/>
          <w:iCs/>
        </w:rPr>
        <w:t>The Journal of Philosoph</w:t>
      </w:r>
      <w:r w:rsidR="005936B7" w:rsidRPr="009434F9">
        <w:rPr>
          <w:rFonts w:cstheme="minorHAnsi"/>
          <w:i/>
          <w:iCs/>
        </w:rPr>
        <w:t>y</w:t>
      </w:r>
      <w:r w:rsidRPr="009434F9">
        <w:rPr>
          <w:rFonts w:cstheme="minorHAnsi"/>
          <w:i/>
          <w:iCs/>
        </w:rPr>
        <w:t xml:space="preserve"> </w:t>
      </w:r>
      <w:r w:rsidRPr="009434F9">
        <w:rPr>
          <w:rFonts w:cstheme="minorHAnsi"/>
        </w:rPr>
        <w:t>82</w:t>
      </w:r>
      <w:r w:rsidR="005936B7" w:rsidRPr="009434F9">
        <w:rPr>
          <w:rFonts w:cstheme="minorHAnsi"/>
        </w:rPr>
        <w:t xml:space="preserve"> </w:t>
      </w:r>
      <w:r w:rsidRPr="009434F9">
        <w:rPr>
          <w:rFonts w:cstheme="minorHAnsi"/>
        </w:rPr>
        <w:t>(7)</w:t>
      </w:r>
      <w:r w:rsidR="005936B7" w:rsidRPr="009434F9">
        <w:rPr>
          <w:rFonts w:cstheme="minorHAnsi"/>
        </w:rPr>
        <w:t>:</w:t>
      </w:r>
      <w:r w:rsidRPr="009434F9">
        <w:rPr>
          <w:rFonts w:cstheme="minorHAnsi"/>
        </w:rPr>
        <w:t xml:space="preserve"> 335-49. </w:t>
      </w:r>
    </w:p>
    <w:p w14:paraId="3EE2C7B1" w14:textId="1B9ED179" w:rsidR="00FC0E3E" w:rsidRPr="009434F9" w:rsidRDefault="00940D82" w:rsidP="002E7481">
      <w:pPr>
        <w:ind w:left="720" w:hanging="720"/>
        <w:rPr>
          <w:rFonts w:eastAsia="Times New Roman" w:cstheme="minorHAnsi"/>
        </w:rPr>
      </w:pPr>
      <w:r w:rsidRPr="009434F9">
        <w:rPr>
          <w:rFonts w:eastAsia="Times New Roman" w:cstheme="minorHAnsi"/>
        </w:rPr>
        <w:t>Hawley, K</w:t>
      </w:r>
      <w:r w:rsidR="00B60E24" w:rsidRPr="009434F9">
        <w:rPr>
          <w:rFonts w:eastAsia="Times New Roman" w:cstheme="minorHAnsi"/>
        </w:rPr>
        <w:t>atherine</w:t>
      </w:r>
      <w:r w:rsidRPr="009434F9">
        <w:rPr>
          <w:rFonts w:eastAsia="Times New Roman" w:cstheme="minorHAnsi"/>
        </w:rPr>
        <w:t xml:space="preserve">. 2014. “Trust, Distrust and Commitment.” </w:t>
      </w:r>
      <w:r w:rsidRPr="009434F9">
        <w:rPr>
          <w:rFonts w:eastAsia="Times New Roman" w:cstheme="minorHAnsi"/>
          <w:i/>
          <w:iCs/>
        </w:rPr>
        <w:t>Noûs</w:t>
      </w:r>
      <w:r w:rsidRPr="009434F9">
        <w:rPr>
          <w:rFonts w:eastAsia="Times New Roman" w:cstheme="minorHAnsi"/>
        </w:rPr>
        <w:t xml:space="preserve"> 48</w:t>
      </w:r>
      <w:r w:rsidR="00B60E24" w:rsidRPr="009434F9">
        <w:rPr>
          <w:rFonts w:eastAsia="Times New Roman" w:cstheme="minorHAnsi"/>
        </w:rPr>
        <w:t>:</w:t>
      </w:r>
      <w:r w:rsidRPr="009434F9">
        <w:rPr>
          <w:rFonts w:eastAsia="Times New Roman" w:cstheme="minorHAnsi"/>
        </w:rPr>
        <w:t xml:space="preserve"> 1–20.</w:t>
      </w:r>
    </w:p>
    <w:p w14:paraId="164E991E" w14:textId="16871910" w:rsidR="00FC0E3E" w:rsidRPr="009434F9" w:rsidRDefault="00DD7EF2" w:rsidP="002E7481">
      <w:pPr>
        <w:ind w:left="720" w:hanging="720"/>
        <w:rPr>
          <w:rFonts w:eastAsia="Times New Roman" w:cstheme="minorHAnsi"/>
          <w:i/>
          <w:iCs/>
        </w:rPr>
      </w:pPr>
      <w:r w:rsidRPr="009434F9">
        <w:rPr>
          <w:rFonts w:eastAsia="Times New Roman" w:cstheme="minorHAnsi"/>
        </w:rPr>
        <w:t xml:space="preserve">Helm, </w:t>
      </w:r>
      <w:r w:rsidR="00026F99" w:rsidRPr="009434F9">
        <w:rPr>
          <w:rFonts w:eastAsia="Times New Roman" w:cstheme="minorHAnsi"/>
        </w:rPr>
        <w:t>B</w:t>
      </w:r>
      <w:r w:rsidR="00B60E24" w:rsidRPr="009434F9">
        <w:rPr>
          <w:rFonts w:eastAsia="Times New Roman" w:cstheme="minorHAnsi"/>
        </w:rPr>
        <w:t>ennett</w:t>
      </w:r>
      <w:r w:rsidRPr="009434F9">
        <w:rPr>
          <w:rFonts w:eastAsia="Times New Roman" w:cstheme="minorHAnsi"/>
        </w:rPr>
        <w:t>. 2015. “Trust as a Reactive Attitude</w:t>
      </w:r>
      <w:r w:rsidR="005D5D88" w:rsidRPr="009434F9">
        <w:rPr>
          <w:rFonts w:eastAsia="Times New Roman" w:cstheme="minorHAnsi"/>
        </w:rPr>
        <w:t>.</w:t>
      </w:r>
      <w:r w:rsidRPr="009434F9">
        <w:rPr>
          <w:rFonts w:eastAsia="Times New Roman" w:cstheme="minorHAnsi"/>
        </w:rPr>
        <w:t xml:space="preserve">” </w:t>
      </w:r>
      <w:r w:rsidR="00B60E24" w:rsidRPr="009434F9">
        <w:rPr>
          <w:rFonts w:eastAsia="Times New Roman" w:cstheme="minorHAnsi"/>
        </w:rPr>
        <w:t xml:space="preserve">In </w:t>
      </w:r>
      <w:r w:rsidRPr="009434F9">
        <w:rPr>
          <w:rFonts w:eastAsia="Times New Roman" w:cstheme="minorHAnsi"/>
          <w:i/>
          <w:iCs/>
        </w:rPr>
        <w:t>Oxford Studies in Agency and Responsibility, Vol. 2: “Freedom and Resentment”</w:t>
      </w:r>
      <w:r w:rsidR="00B60E24" w:rsidRPr="009434F9">
        <w:rPr>
          <w:rFonts w:eastAsia="Times New Roman" w:cstheme="minorHAnsi"/>
          <w:i/>
          <w:iCs/>
        </w:rPr>
        <w:t xml:space="preserve"> at 50,</w:t>
      </w:r>
      <w:r w:rsidRPr="009434F9">
        <w:rPr>
          <w:rFonts w:eastAsia="Times New Roman" w:cstheme="minorHAnsi"/>
          <w:i/>
          <w:iCs/>
        </w:rPr>
        <w:t xml:space="preserve"> </w:t>
      </w:r>
      <w:r w:rsidR="00B60E24" w:rsidRPr="009434F9">
        <w:rPr>
          <w:rFonts w:eastAsia="Times New Roman" w:cstheme="minorHAnsi"/>
        </w:rPr>
        <w:t xml:space="preserve">edited by </w:t>
      </w:r>
      <w:r w:rsidRPr="009434F9">
        <w:rPr>
          <w:rFonts w:eastAsia="Times New Roman" w:cstheme="minorHAnsi"/>
        </w:rPr>
        <w:t>David Shoemaker and Neal Tognazzini</w:t>
      </w:r>
      <w:r w:rsidR="00B60E24" w:rsidRPr="009434F9">
        <w:rPr>
          <w:rFonts w:eastAsia="Times New Roman" w:cstheme="minorHAnsi"/>
        </w:rPr>
        <w:t>, 187-215</w:t>
      </w:r>
      <w:r w:rsidR="005D5D88" w:rsidRPr="009434F9">
        <w:rPr>
          <w:rFonts w:eastAsia="Times New Roman" w:cstheme="minorHAnsi"/>
        </w:rPr>
        <w:t>.</w:t>
      </w:r>
      <w:r w:rsidR="000B62EF" w:rsidRPr="009434F9">
        <w:rPr>
          <w:rFonts w:eastAsia="Times New Roman" w:cstheme="minorHAnsi"/>
        </w:rPr>
        <w:t xml:space="preserve"> </w:t>
      </w:r>
      <w:r w:rsidRPr="009434F9">
        <w:rPr>
          <w:rFonts w:eastAsia="Times New Roman" w:cstheme="minorHAnsi"/>
        </w:rPr>
        <w:t>Oxford: Oxford University Press.</w:t>
      </w:r>
    </w:p>
    <w:p w14:paraId="6D829850" w14:textId="6840550B" w:rsidR="00672C5A" w:rsidRPr="009434F9" w:rsidRDefault="00026F99" w:rsidP="002E7481">
      <w:pPr>
        <w:ind w:left="720" w:hanging="720"/>
        <w:rPr>
          <w:rFonts w:eastAsia="Times New Roman" w:cstheme="minorHAnsi"/>
        </w:rPr>
      </w:pPr>
      <w:r w:rsidRPr="009434F9">
        <w:rPr>
          <w:rFonts w:eastAsia="Times New Roman" w:cstheme="minorHAnsi"/>
        </w:rPr>
        <w:t xml:space="preserve">Hieronymi, </w:t>
      </w:r>
      <w:r w:rsidR="00940D82" w:rsidRPr="009434F9">
        <w:rPr>
          <w:rFonts w:eastAsia="Times New Roman" w:cstheme="minorHAnsi"/>
        </w:rPr>
        <w:t>P</w:t>
      </w:r>
      <w:r w:rsidR="00B60E24" w:rsidRPr="009434F9">
        <w:rPr>
          <w:rFonts w:eastAsia="Times New Roman" w:cstheme="minorHAnsi"/>
        </w:rPr>
        <w:t>amela</w:t>
      </w:r>
      <w:r w:rsidRPr="009434F9">
        <w:rPr>
          <w:rFonts w:eastAsia="Times New Roman" w:cstheme="minorHAnsi"/>
        </w:rPr>
        <w:t xml:space="preserve">. 2008. “The Reasons of Trust.” </w:t>
      </w:r>
      <w:r w:rsidRPr="009434F9">
        <w:rPr>
          <w:rFonts w:eastAsia="Times New Roman" w:cstheme="minorHAnsi"/>
          <w:i/>
          <w:iCs/>
        </w:rPr>
        <w:t xml:space="preserve">Australasian Journal of Philosophy </w:t>
      </w:r>
      <w:r w:rsidRPr="009434F9">
        <w:rPr>
          <w:rFonts w:eastAsia="Times New Roman" w:cstheme="minorHAnsi"/>
        </w:rPr>
        <w:t>86</w:t>
      </w:r>
      <w:r w:rsidR="00B60E24" w:rsidRPr="009434F9">
        <w:rPr>
          <w:rFonts w:eastAsia="Times New Roman" w:cstheme="minorHAnsi"/>
        </w:rPr>
        <w:t>:</w:t>
      </w:r>
      <w:r w:rsidRPr="009434F9">
        <w:rPr>
          <w:rFonts w:eastAsia="Times New Roman" w:cstheme="minorHAnsi"/>
        </w:rPr>
        <w:t xml:space="preserve"> 213–36</w:t>
      </w:r>
      <w:r w:rsidR="00FC0E3E" w:rsidRPr="009434F9">
        <w:rPr>
          <w:rFonts w:eastAsia="Times New Roman" w:cstheme="minorHAnsi"/>
        </w:rPr>
        <w:t>.</w:t>
      </w:r>
    </w:p>
    <w:p w14:paraId="7168A37E" w14:textId="03C2FF6F" w:rsidR="00FC0E3E" w:rsidRPr="009434F9" w:rsidRDefault="00001D13" w:rsidP="002E7481">
      <w:pPr>
        <w:ind w:left="720" w:hanging="720"/>
        <w:rPr>
          <w:rFonts w:cstheme="minorHAnsi"/>
        </w:rPr>
      </w:pPr>
      <w:r w:rsidRPr="009434F9">
        <w:rPr>
          <w:rFonts w:cstheme="minorHAnsi"/>
        </w:rPr>
        <w:t>Hills, A</w:t>
      </w:r>
      <w:r w:rsidR="00B60E24" w:rsidRPr="009434F9">
        <w:rPr>
          <w:rFonts w:cstheme="minorHAnsi"/>
        </w:rPr>
        <w:t>lison</w:t>
      </w:r>
      <w:r w:rsidRPr="009434F9">
        <w:rPr>
          <w:rFonts w:cstheme="minorHAnsi"/>
        </w:rPr>
        <w:t xml:space="preserve">. 2009. </w:t>
      </w:r>
      <w:r w:rsidR="00B60E24" w:rsidRPr="009434F9">
        <w:rPr>
          <w:rFonts w:cstheme="minorHAnsi"/>
        </w:rPr>
        <w:t>“</w:t>
      </w:r>
      <w:r w:rsidRPr="009434F9">
        <w:rPr>
          <w:rFonts w:cstheme="minorHAnsi"/>
        </w:rPr>
        <w:t xml:space="preserve">Moral </w:t>
      </w:r>
      <w:r w:rsidR="00B60E24" w:rsidRPr="009434F9">
        <w:rPr>
          <w:rFonts w:cstheme="minorHAnsi"/>
        </w:rPr>
        <w:t>T</w:t>
      </w:r>
      <w:r w:rsidRPr="009434F9">
        <w:rPr>
          <w:rFonts w:cstheme="minorHAnsi"/>
        </w:rPr>
        <w:t xml:space="preserve">estimony and </w:t>
      </w:r>
      <w:r w:rsidR="00B60E24" w:rsidRPr="009434F9">
        <w:rPr>
          <w:rFonts w:cstheme="minorHAnsi"/>
        </w:rPr>
        <w:t>M</w:t>
      </w:r>
      <w:r w:rsidRPr="009434F9">
        <w:rPr>
          <w:rFonts w:cstheme="minorHAnsi"/>
        </w:rPr>
        <w:t xml:space="preserve">oral </w:t>
      </w:r>
      <w:r w:rsidR="00B60E24" w:rsidRPr="009434F9">
        <w:rPr>
          <w:rFonts w:cstheme="minorHAnsi"/>
        </w:rPr>
        <w:t>E</w:t>
      </w:r>
      <w:r w:rsidRPr="009434F9">
        <w:rPr>
          <w:rFonts w:cstheme="minorHAnsi"/>
        </w:rPr>
        <w:t>pistemology.</w:t>
      </w:r>
      <w:r w:rsidR="00B60E24" w:rsidRPr="009434F9">
        <w:rPr>
          <w:rFonts w:cstheme="minorHAnsi"/>
        </w:rPr>
        <w:t>”</w:t>
      </w:r>
      <w:r w:rsidRPr="009434F9">
        <w:rPr>
          <w:rFonts w:cstheme="minorHAnsi"/>
        </w:rPr>
        <w:t xml:space="preserve"> </w:t>
      </w:r>
      <w:r w:rsidRPr="009434F9">
        <w:rPr>
          <w:rFonts w:cstheme="minorHAnsi"/>
          <w:i/>
          <w:iCs/>
        </w:rPr>
        <w:t xml:space="preserve">Ethics </w:t>
      </w:r>
      <w:r w:rsidRPr="009434F9">
        <w:rPr>
          <w:rFonts w:cstheme="minorHAnsi"/>
        </w:rPr>
        <w:t>120</w:t>
      </w:r>
      <w:r w:rsidR="00B60E24" w:rsidRPr="009434F9">
        <w:rPr>
          <w:rFonts w:cstheme="minorHAnsi"/>
        </w:rPr>
        <w:t xml:space="preserve"> </w:t>
      </w:r>
      <w:r w:rsidRPr="009434F9">
        <w:rPr>
          <w:rFonts w:cstheme="minorHAnsi"/>
        </w:rPr>
        <w:t>(1)</w:t>
      </w:r>
      <w:r w:rsidR="00B60E24" w:rsidRPr="009434F9">
        <w:rPr>
          <w:rFonts w:cstheme="minorHAnsi"/>
        </w:rPr>
        <w:t>:</w:t>
      </w:r>
      <w:r w:rsidRPr="009434F9">
        <w:rPr>
          <w:rFonts w:cstheme="minorHAnsi"/>
        </w:rPr>
        <w:t xml:space="preserve"> 94-127.</w:t>
      </w:r>
    </w:p>
    <w:p w14:paraId="17647AC0" w14:textId="1CB7BC89" w:rsidR="00FC0E3E" w:rsidRPr="009434F9" w:rsidRDefault="00001D13" w:rsidP="002E7481">
      <w:pPr>
        <w:ind w:left="720" w:hanging="720"/>
        <w:rPr>
          <w:rFonts w:cstheme="minorHAnsi"/>
        </w:rPr>
      </w:pPr>
      <w:r w:rsidRPr="009434F9">
        <w:rPr>
          <w:rFonts w:cstheme="minorHAnsi"/>
        </w:rPr>
        <w:t>Hinchman, E</w:t>
      </w:r>
      <w:r w:rsidR="00E91CBF" w:rsidRPr="009434F9">
        <w:rPr>
          <w:rFonts w:cstheme="minorHAnsi"/>
        </w:rPr>
        <w:t>dward</w:t>
      </w:r>
      <w:r w:rsidRPr="009434F9">
        <w:rPr>
          <w:rFonts w:cstheme="minorHAnsi"/>
        </w:rPr>
        <w:t xml:space="preserve"> S. 2005. </w:t>
      </w:r>
      <w:r w:rsidR="00E91CBF" w:rsidRPr="009434F9">
        <w:rPr>
          <w:rFonts w:cstheme="minorHAnsi"/>
        </w:rPr>
        <w:t>“</w:t>
      </w:r>
      <w:r w:rsidRPr="009434F9">
        <w:rPr>
          <w:rFonts w:cstheme="minorHAnsi"/>
        </w:rPr>
        <w:t xml:space="preserve">Telling as </w:t>
      </w:r>
      <w:r w:rsidR="00E91CBF" w:rsidRPr="009434F9">
        <w:rPr>
          <w:rFonts w:cstheme="minorHAnsi"/>
        </w:rPr>
        <w:t>I</w:t>
      </w:r>
      <w:r w:rsidRPr="009434F9">
        <w:rPr>
          <w:rFonts w:cstheme="minorHAnsi"/>
        </w:rPr>
        <w:t xml:space="preserve">nviting to </w:t>
      </w:r>
      <w:r w:rsidR="00E91CBF" w:rsidRPr="009434F9">
        <w:rPr>
          <w:rFonts w:cstheme="minorHAnsi"/>
        </w:rPr>
        <w:t>T</w:t>
      </w:r>
      <w:r w:rsidRPr="009434F9">
        <w:rPr>
          <w:rFonts w:cstheme="minorHAnsi"/>
        </w:rPr>
        <w:t>rust.</w:t>
      </w:r>
      <w:r w:rsidR="00E91CBF" w:rsidRPr="009434F9">
        <w:rPr>
          <w:rFonts w:cstheme="minorHAnsi"/>
        </w:rPr>
        <w:t>”</w:t>
      </w:r>
      <w:r w:rsidRPr="009434F9">
        <w:rPr>
          <w:rFonts w:cstheme="minorHAnsi"/>
        </w:rPr>
        <w:t xml:space="preserve"> </w:t>
      </w:r>
      <w:r w:rsidRPr="009434F9">
        <w:rPr>
          <w:rFonts w:cstheme="minorHAnsi"/>
          <w:i/>
          <w:iCs/>
        </w:rPr>
        <w:t xml:space="preserve">Philosophy and Phenomenological Research </w:t>
      </w:r>
      <w:r w:rsidRPr="009434F9">
        <w:rPr>
          <w:rFonts w:cstheme="minorHAnsi"/>
        </w:rPr>
        <w:t>70</w:t>
      </w:r>
      <w:r w:rsidR="00E91CBF" w:rsidRPr="009434F9">
        <w:rPr>
          <w:rFonts w:cstheme="minorHAnsi"/>
        </w:rPr>
        <w:t>:</w:t>
      </w:r>
      <w:r w:rsidRPr="009434F9">
        <w:rPr>
          <w:rFonts w:cstheme="minorHAnsi"/>
        </w:rPr>
        <w:t xml:space="preserve"> 562-87.</w:t>
      </w:r>
    </w:p>
    <w:p w14:paraId="31E46F53" w14:textId="1DCF06BC" w:rsidR="00FC0E3E" w:rsidRPr="009434F9" w:rsidRDefault="00672C5A" w:rsidP="002E7481">
      <w:pPr>
        <w:ind w:left="720" w:hanging="720"/>
        <w:rPr>
          <w:rFonts w:eastAsia="Times New Roman" w:cstheme="minorHAnsi"/>
          <w:i/>
          <w:iCs/>
        </w:rPr>
      </w:pPr>
      <w:r w:rsidRPr="009434F9">
        <w:rPr>
          <w:rFonts w:eastAsia="Times New Roman" w:cstheme="minorHAnsi"/>
        </w:rPr>
        <w:t xml:space="preserve">Holton, Richard. 1994. “Deciding to Trust, Coming to Believe.” </w:t>
      </w:r>
      <w:r w:rsidRPr="009434F9">
        <w:rPr>
          <w:rFonts w:eastAsia="Times New Roman" w:cstheme="minorHAnsi"/>
          <w:i/>
          <w:iCs/>
        </w:rPr>
        <w:t xml:space="preserve">Australasian Journal of Philosophy </w:t>
      </w:r>
      <w:r w:rsidRPr="009434F9">
        <w:rPr>
          <w:rFonts w:eastAsia="Times New Roman" w:cstheme="minorHAnsi"/>
        </w:rPr>
        <w:t>72</w:t>
      </w:r>
      <w:r w:rsidR="00E91CBF" w:rsidRPr="009434F9">
        <w:rPr>
          <w:rFonts w:eastAsia="Times New Roman" w:cstheme="minorHAnsi"/>
        </w:rPr>
        <w:t>:</w:t>
      </w:r>
      <w:r w:rsidRPr="009434F9">
        <w:rPr>
          <w:rFonts w:eastAsia="Times New Roman" w:cstheme="minorHAnsi"/>
        </w:rPr>
        <w:t xml:space="preserve"> 63–76.</w:t>
      </w:r>
    </w:p>
    <w:p w14:paraId="53509E71" w14:textId="4E3D938C" w:rsidR="00FC0E3E" w:rsidRPr="009434F9" w:rsidRDefault="00001D13" w:rsidP="002E7481">
      <w:pPr>
        <w:ind w:left="720" w:hanging="720"/>
        <w:rPr>
          <w:rFonts w:cstheme="minorHAnsi"/>
        </w:rPr>
      </w:pPr>
      <w:r w:rsidRPr="009434F9">
        <w:rPr>
          <w:rFonts w:cstheme="minorHAnsi"/>
        </w:rPr>
        <w:t>Howell, R</w:t>
      </w:r>
      <w:r w:rsidR="00E91CBF" w:rsidRPr="009434F9">
        <w:rPr>
          <w:rFonts w:cstheme="minorHAnsi"/>
        </w:rPr>
        <w:t>obert J</w:t>
      </w:r>
      <w:r w:rsidRPr="009434F9">
        <w:rPr>
          <w:rFonts w:cstheme="minorHAnsi"/>
        </w:rPr>
        <w:t xml:space="preserve">. 2014. </w:t>
      </w:r>
      <w:r w:rsidR="00E91CBF" w:rsidRPr="009434F9">
        <w:rPr>
          <w:rFonts w:cstheme="minorHAnsi"/>
        </w:rPr>
        <w:t>“</w:t>
      </w:r>
      <w:r w:rsidRPr="009434F9">
        <w:rPr>
          <w:rFonts w:cstheme="minorHAnsi"/>
        </w:rPr>
        <w:t xml:space="preserve">Google </w:t>
      </w:r>
      <w:r w:rsidR="00E91CBF" w:rsidRPr="009434F9">
        <w:rPr>
          <w:rFonts w:cstheme="minorHAnsi"/>
        </w:rPr>
        <w:t>M</w:t>
      </w:r>
      <w:r w:rsidRPr="009434F9">
        <w:rPr>
          <w:rFonts w:cstheme="minorHAnsi"/>
        </w:rPr>
        <w:t xml:space="preserve">orals, </w:t>
      </w:r>
      <w:r w:rsidR="00E91CBF" w:rsidRPr="009434F9">
        <w:rPr>
          <w:rFonts w:cstheme="minorHAnsi"/>
        </w:rPr>
        <w:t>V</w:t>
      </w:r>
      <w:r w:rsidRPr="009434F9">
        <w:rPr>
          <w:rFonts w:cstheme="minorHAnsi"/>
        </w:rPr>
        <w:t xml:space="preserve">irtue, and the </w:t>
      </w:r>
      <w:r w:rsidR="00E91CBF" w:rsidRPr="009434F9">
        <w:rPr>
          <w:rFonts w:cstheme="minorHAnsi"/>
        </w:rPr>
        <w:t>A</w:t>
      </w:r>
      <w:r w:rsidRPr="009434F9">
        <w:rPr>
          <w:rFonts w:cstheme="minorHAnsi"/>
        </w:rPr>
        <w:t xml:space="preserve">symmetry of </w:t>
      </w:r>
      <w:r w:rsidR="00E91CBF" w:rsidRPr="009434F9">
        <w:rPr>
          <w:rFonts w:cstheme="minorHAnsi"/>
        </w:rPr>
        <w:t>D</w:t>
      </w:r>
      <w:r w:rsidRPr="009434F9">
        <w:rPr>
          <w:rFonts w:cstheme="minorHAnsi"/>
        </w:rPr>
        <w:t>eference.</w:t>
      </w:r>
      <w:r w:rsidR="00E91CBF" w:rsidRPr="009434F9">
        <w:rPr>
          <w:rFonts w:cstheme="minorHAnsi"/>
        </w:rPr>
        <w:t>”</w:t>
      </w:r>
      <w:r w:rsidRPr="009434F9">
        <w:rPr>
          <w:rFonts w:cstheme="minorHAnsi"/>
        </w:rPr>
        <w:t xml:space="preserve"> </w:t>
      </w:r>
      <w:r w:rsidRPr="009434F9">
        <w:rPr>
          <w:rFonts w:cstheme="minorHAnsi"/>
          <w:i/>
          <w:iCs/>
        </w:rPr>
        <w:t xml:space="preserve">Noûs </w:t>
      </w:r>
      <w:r w:rsidRPr="009434F9">
        <w:rPr>
          <w:rFonts w:cstheme="minorHAnsi"/>
        </w:rPr>
        <w:t>48</w:t>
      </w:r>
      <w:r w:rsidR="00E91CBF" w:rsidRPr="009434F9">
        <w:rPr>
          <w:rFonts w:cstheme="minorHAnsi"/>
        </w:rPr>
        <w:t xml:space="preserve"> </w:t>
      </w:r>
      <w:r w:rsidRPr="009434F9">
        <w:rPr>
          <w:rFonts w:cstheme="minorHAnsi"/>
        </w:rPr>
        <w:t>(3)</w:t>
      </w:r>
      <w:r w:rsidR="00E91CBF" w:rsidRPr="009434F9">
        <w:rPr>
          <w:rFonts w:cstheme="minorHAnsi"/>
        </w:rPr>
        <w:t>:</w:t>
      </w:r>
      <w:r w:rsidRPr="009434F9">
        <w:rPr>
          <w:rFonts w:cstheme="minorHAnsi"/>
        </w:rPr>
        <w:t xml:space="preserve"> 389-415.</w:t>
      </w:r>
    </w:p>
    <w:p w14:paraId="33324086" w14:textId="5DAF6F92" w:rsidR="00FC0E3E" w:rsidRPr="009434F9" w:rsidRDefault="00001D13" w:rsidP="002E7481">
      <w:pPr>
        <w:ind w:left="720" w:hanging="720"/>
        <w:rPr>
          <w:rFonts w:cstheme="minorHAnsi"/>
        </w:rPr>
      </w:pPr>
      <w:r w:rsidRPr="009434F9">
        <w:rPr>
          <w:rFonts w:cstheme="minorHAnsi"/>
        </w:rPr>
        <w:t>Jones, K</w:t>
      </w:r>
      <w:r w:rsidR="00E91CBF" w:rsidRPr="009434F9">
        <w:rPr>
          <w:rFonts w:cstheme="minorHAnsi"/>
        </w:rPr>
        <w:t>aren</w:t>
      </w:r>
      <w:r w:rsidRPr="009434F9">
        <w:rPr>
          <w:rFonts w:cstheme="minorHAnsi"/>
        </w:rPr>
        <w:t xml:space="preserve">. 1999. </w:t>
      </w:r>
      <w:r w:rsidR="00E91CBF" w:rsidRPr="009434F9">
        <w:rPr>
          <w:rFonts w:cstheme="minorHAnsi"/>
        </w:rPr>
        <w:t>“</w:t>
      </w:r>
      <w:r w:rsidRPr="009434F9">
        <w:rPr>
          <w:rFonts w:cstheme="minorHAnsi"/>
        </w:rPr>
        <w:t>Second-</w:t>
      </w:r>
      <w:r w:rsidR="00E91CBF" w:rsidRPr="009434F9">
        <w:rPr>
          <w:rFonts w:cstheme="minorHAnsi"/>
        </w:rPr>
        <w:t>H</w:t>
      </w:r>
      <w:r w:rsidRPr="009434F9">
        <w:rPr>
          <w:rFonts w:cstheme="minorHAnsi"/>
        </w:rPr>
        <w:t xml:space="preserve">and </w:t>
      </w:r>
      <w:r w:rsidR="00E91CBF" w:rsidRPr="009434F9">
        <w:rPr>
          <w:rFonts w:cstheme="minorHAnsi"/>
        </w:rPr>
        <w:t>M</w:t>
      </w:r>
      <w:r w:rsidRPr="009434F9">
        <w:rPr>
          <w:rFonts w:cstheme="minorHAnsi"/>
        </w:rPr>
        <w:t xml:space="preserve">oral </w:t>
      </w:r>
      <w:r w:rsidR="00E91CBF" w:rsidRPr="009434F9">
        <w:rPr>
          <w:rFonts w:cstheme="minorHAnsi"/>
        </w:rPr>
        <w:t>K</w:t>
      </w:r>
      <w:r w:rsidRPr="009434F9">
        <w:rPr>
          <w:rFonts w:cstheme="minorHAnsi"/>
        </w:rPr>
        <w:t>nowledge.</w:t>
      </w:r>
      <w:r w:rsidR="00E91CBF" w:rsidRPr="009434F9">
        <w:rPr>
          <w:rFonts w:cstheme="minorHAnsi"/>
        </w:rPr>
        <w:t>”</w:t>
      </w:r>
      <w:r w:rsidRPr="009434F9">
        <w:rPr>
          <w:rFonts w:cstheme="minorHAnsi"/>
        </w:rPr>
        <w:t xml:space="preserve"> </w:t>
      </w:r>
      <w:r w:rsidRPr="009434F9">
        <w:rPr>
          <w:rFonts w:cstheme="minorHAnsi"/>
          <w:i/>
          <w:iCs/>
        </w:rPr>
        <w:t xml:space="preserve">The Journal of Philosophy </w:t>
      </w:r>
      <w:r w:rsidRPr="009434F9">
        <w:rPr>
          <w:rFonts w:cstheme="minorHAnsi"/>
        </w:rPr>
        <w:t>96</w:t>
      </w:r>
      <w:r w:rsidR="00E91CBF" w:rsidRPr="009434F9">
        <w:rPr>
          <w:rFonts w:cstheme="minorHAnsi"/>
        </w:rPr>
        <w:t xml:space="preserve"> </w:t>
      </w:r>
      <w:r w:rsidRPr="009434F9">
        <w:rPr>
          <w:rFonts w:cstheme="minorHAnsi"/>
        </w:rPr>
        <w:t>(2</w:t>
      </w:r>
      <w:r w:rsidR="00E91CBF" w:rsidRPr="009434F9">
        <w:rPr>
          <w:rFonts w:cstheme="minorHAnsi"/>
        </w:rPr>
        <w:t>):</w:t>
      </w:r>
      <w:r w:rsidRPr="009434F9">
        <w:rPr>
          <w:rFonts w:cstheme="minorHAnsi"/>
        </w:rPr>
        <w:t xml:space="preserve"> 55-78.</w:t>
      </w:r>
    </w:p>
    <w:p w14:paraId="6572D23C" w14:textId="12C3BD25" w:rsidR="00FC0E3E" w:rsidRPr="009434F9" w:rsidRDefault="00001D13" w:rsidP="002E7481">
      <w:pPr>
        <w:ind w:left="720" w:hanging="720"/>
        <w:rPr>
          <w:rFonts w:cstheme="minorHAnsi"/>
        </w:rPr>
      </w:pPr>
      <w:r w:rsidRPr="009434F9">
        <w:rPr>
          <w:rFonts w:cstheme="minorHAnsi"/>
        </w:rPr>
        <w:t>Kelly, T</w:t>
      </w:r>
      <w:r w:rsidR="00E91CBF" w:rsidRPr="009434F9">
        <w:rPr>
          <w:rFonts w:cstheme="minorHAnsi"/>
        </w:rPr>
        <w:t>homas</w:t>
      </w:r>
      <w:r w:rsidRPr="009434F9">
        <w:rPr>
          <w:rFonts w:cstheme="minorHAnsi"/>
        </w:rPr>
        <w:t xml:space="preserve">. 2005. </w:t>
      </w:r>
      <w:r w:rsidR="00E91CBF" w:rsidRPr="009434F9">
        <w:rPr>
          <w:rFonts w:cstheme="minorHAnsi"/>
        </w:rPr>
        <w:t>“</w:t>
      </w:r>
      <w:r w:rsidRPr="009434F9">
        <w:rPr>
          <w:rFonts w:cstheme="minorHAnsi"/>
        </w:rPr>
        <w:t>The Epistemic Significance of Disagreement.</w:t>
      </w:r>
      <w:r w:rsidR="00E91CBF" w:rsidRPr="009434F9">
        <w:rPr>
          <w:rFonts w:cstheme="minorHAnsi"/>
        </w:rPr>
        <w:t>” In</w:t>
      </w:r>
      <w:r w:rsidRPr="009434F9">
        <w:rPr>
          <w:rFonts w:cstheme="minorHAnsi"/>
        </w:rPr>
        <w:t xml:space="preserve"> </w:t>
      </w:r>
      <w:r w:rsidRPr="009434F9">
        <w:rPr>
          <w:rFonts w:cstheme="minorHAnsi"/>
          <w:i/>
          <w:iCs/>
        </w:rPr>
        <w:t>Oxford</w:t>
      </w:r>
      <w:r w:rsidRPr="009434F9">
        <w:rPr>
          <w:rFonts w:cstheme="minorHAnsi"/>
        </w:rPr>
        <w:t xml:space="preserve"> </w:t>
      </w:r>
      <w:r w:rsidRPr="009434F9">
        <w:rPr>
          <w:rFonts w:cstheme="minorHAnsi"/>
          <w:i/>
          <w:iCs/>
        </w:rPr>
        <w:t>Studies in Epistemology</w:t>
      </w:r>
      <w:r w:rsidR="00E91CBF" w:rsidRPr="009434F9">
        <w:rPr>
          <w:rFonts w:cstheme="minorHAnsi"/>
        </w:rPr>
        <w:t>, edited by John Hawthorne and Tamar Gendler,</w:t>
      </w:r>
      <w:r w:rsidRPr="009434F9">
        <w:rPr>
          <w:rFonts w:cstheme="minorHAnsi"/>
        </w:rPr>
        <w:t xml:space="preserve"> 167-96. </w:t>
      </w:r>
      <w:r w:rsidR="00E91CBF" w:rsidRPr="009434F9">
        <w:rPr>
          <w:rFonts w:cstheme="minorHAnsi"/>
        </w:rPr>
        <w:t>Oxford University Press.</w:t>
      </w:r>
    </w:p>
    <w:p w14:paraId="54E651E2" w14:textId="4DD3254E" w:rsidR="00FC0E3E" w:rsidRPr="009434F9" w:rsidRDefault="00001D13" w:rsidP="002E7481">
      <w:pPr>
        <w:ind w:left="720" w:hanging="720"/>
        <w:rPr>
          <w:rFonts w:cstheme="minorHAnsi"/>
          <w:i/>
          <w:iCs/>
        </w:rPr>
      </w:pPr>
      <w:r w:rsidRPr="009434F9">
        <w:rPr>
          <w:rFonts w:cstheme="minorHAnsi"/>
        </w:rPr>
        <w:t>Lackey, J</w:t>
      </w:r>
      <w:r w:rsidR="00E91CBF" w:rsidRPr="009434F9">
        <w:rPr>
          <w:rFonts w:cstheme="minorHAnsi"/>
        </w:rPr>
        <w:t>ennifer</w:t>
      </w:r>
      <w:r w:rsidRPr="009434F9">
        <w:rPr>
          <w:rFonts w:cstheme="minorHAnsi"/>
        </w:rPr>
        <w:t xml:space="preserve">. 2008. </w:t>
      </w:r>
      <w:r w:rsidRPr="009434F9">
        <w:rPr>
          <w:rFonts w:cstheme="minorHAnsi"/>
          <w:i/>
          <w:iCs/>
        </w:rPr>
        <w:t>Learning From Words: Testimony as a Source of Knowledge</w:t>
      </w:r>
      <w:r w:rsidRPr="009434F9">
        <w:rPr>
          <w:rFonts w:cstheme="minorHAnsi"/>
        </w:rPr>
        <w:t>. Oxford University Press.</w:t>
      </w:r>
    </w:p>
    <w:p w14:paraId="0E34E95C" w14:textId="2351860F" w:rsidR="00FC0E3E" w:rsidRPr="009434F9" w:rsidRDefault="00001D13" w:rsidP="002E7481">
      <w:pPr>
        <w:ind w:left="720" w:hanging="720"/>
        <w:rPr>
          <w:rFonts w:cstheme="minorHAnsi"/>
          <w:color w:val="000000" w:themeColor="text1"/>
        </w:rPr>
      </w:pPr>
      <w:r w:rsidRPr="009434F9">
        <w:rPr>
          <w:rFonts w:cstheme="minorHAnsi"/>
          <w:color w:val="000000" w:themeColor="text1"/>
        </w:rPr>
        <w:t>Lackey, J</w:t>
      </w:r>
      <w:r w:rsidR="00E91CBF" w:rsidRPr="009434F9">
        <w:rPr>
          <w:rFonts w:cstheme="minorHAnsi"/>
          <w:color w:val="000000" w:themeColor="text1"/>
        </w:rPr>
        <w:t>ennifer</w:t>
      </w:r>
      <w:r w:rsidRPr="009434F9">
        <w:rPr>
          <w:rFonts w:cstheme="minorHAnsi"/>
          <w:color w:val="000000" w:themeColor="text1"/>
        </w:rPr>
        <w:t xml:space="preserve">. 2011. </w:t>
      </w:r>
      <w:r w:rsidR="00AE2DAA" w:rsidRPr="009434F9">
        <w:rPr>
          <w:rFonts w:cstheme="minorHAnsi"/>
          <w:color w:val="000000" w:themeColor="text1"/>
        </w:rPr>
        <w:t xml:space="preserve">“Testimony: Acquiring Knowledge from Others.” </w:t>
      </w:r>
      <w:r w:rsidRPr="009434F9">
        <w:rPr>
          <w:rFonts w:cstheme="minorHAnsi"/>
          <w:color w:val="000000" w:themeColor="text1"/>
        </w:rPr>
        <w:t>In</w:t>
      </w:r>
      <w:r w:rsidR="00AE2DAA" w:rsidRPr="009434F9">
        <w:rPr>
          <w:rFonts w:cstheme="minorHAnsi"/>
          <w:color w:val="000000" w:themeColor="text1"/>
        </w:rPr>
        <w:t xml:space="preserve"> </w:t>
      </w:r>
      <w:r w:rsidRPr="009434F9">
        <w:rPr>
          <w:rFonts w:cstheme="minorHAnsi"/>
          <w:i/>
          <w:iCs/>
          <w:color w:val="000000" w:themeColor="text1"/>
        </w:rPr>
        <w:t xml:space="preserve">Social </w:t>
      </w:r>
      <w:r w:rsidR="000751B9">
        <w:rPr>
          <w:rFonts w:cstheme="minorHAnsi"/>
          <w:i/>
          <w:iCs/>
          <w:color w:val="000000" w:themeColor="text1"/>
        </w:rPr>
        <w:t>E</w:t>
      </w:r>
      <w:r w:rsidRPr="009434F9">
        <w:rPr>
          <w:rFonts w:cstheme="minorHAnsi"/>
          <w:i/>
          <w:iCs/>
          <w:color w:val="000000" w:themeColor="text1"/>
        </w:rPr>
        <w:t xml:space="preserve">pistemology: </w:t>
      </w:r>
      <w:r w:rsidR="00AE2DAA" w:rsidRPr="009434F9">
        <w:rPr>
          <w:rFonts w:cstheme="minorHAnsi"/>
          <w:i/>
          <w:iCs/>
          <w:color w:val="000000" w:themeColor="text1"/>
        </w:rPr>
        <w:t>Essential Readings</w:t>
      </w:r>
      <w:r w:rsidR="00E91CBF" w:rsidRPr="009434F9">
        <w:rPr>
          <w:rFonts w:cstheme="minorHAnsi"/>
          <w:color w:val="000000" w:themeColor="text1"/>
        </w:rPr>
        <w:t xml:space="preserve">, edited by </w:t>
      </w:r>
      <w:r w:rsidR="00AE2DAA" w:rsidRPr="009434F9">
        <w:rPr>
          <w:rFonts w:cstheme="minorHAnsi"/>
          <w:color w:val="000000" w:themeColor="text1"/>
        </w:rPr>
        <w:t xml:space="preserve">Alvin I. Goldman and Dennis Whitcomb, </w:t>
      </w:r>
      <w:r w:rsidRPr="009434F9">
        <w:rPr>
          <w:rFonts w:cstheme="minorHAnsi"/>
          <w:color w:val="000000" w:themeColor="text1"/>
        </w:rPr>
        <w:t>71-91.</w:t>
      </w:r>
      <w:r w:rsidR="006A3B23">
        <w:rPr>
          <w:rFonts w:cstheme="minorHAnsi"/>
          <w:color w:val="000000" w:themeColor="text1"/>
        </w:rPr>
        <w:t xml:space="preserve"> New York:</w:t>
      </w:r>
      <w:r w:rsidRPr="009434F9">
        <w:rPr>
          <w:rFonts w:cstheme="minorHAnsi"/>
          <w:color w:val="000000" w:themeColor="text1"/>
        </w:rPr>
        <w:t xml:space="preserve"> Oxford University Press.</w:t>
      </w:r>
    </w:p>
    <w:p w14:paraId="73ABE4DC" w14:textId="3BDE9691" w:rsidR="00FC0E3E" w:rsidRPr="009434F9" w:rsidRDefault="00001D13" w:rsidP="002E7481">
      <w:pPr>
        <w:ind w:left="720" w:hanging="720"/>
        <w:rPr>
          <w:rFonts w:cstheme="minorHAnsi"/>
          <w:color w:val="000000" w:themeColor="text1"/>
        </w:rPr>
      </w:pPr>
      <w:r w:rsidRPr="009434F9">
        <w:rPr>
          <w:rFonts w:cstheme="minorHAnsi"/>
          <w:color w:val="000000" w:themeColor="text1"/>
        </w:rPr>
        <w:t>Lewis, M</w:t>
      </w:r>
      <w:r w:rsidR="00B63A64" w:rsidRPr="009434F9">
        <w:rPr>
          <w:rFonts w:cstheme="minorHAnsi"/>
          <w:color w:val="000000" w:themeColor="text1"/>
        </w:rPr>
        <w:t>ax</w:t>
      </w:r>
      <w:r w:rsidRPr="009434F9">
        <w:rPr>
          <w:rFonts w:cstheme="minorHAnsi"/>
          <w:color w:val="000000" w:themeColor="text1"/>
        </w:rPr>
        <w:t xml:space="preserve">. 2020. </w:t>
      </w:r>
      <w:r w:rsidR="00B63A64" w:rsidRPr="009434F9">
        <w:rPr>
          <w:rFonts w:cstheme="minorHAnsi"/>
          <w:color w:val="000000" w:themeColor="text1"/>
        </w:rPr>
        <w:t>“</w:t>
      </w:r>
      <w:r w:rsidRPr="009434F9">
        <w:rPr>
          <w:rFonts w:cstheme="minorHAnsi"/>
          <w:color w:val="000000" w:themeColor="text1"/>
        </w:rPr>
        <w:t xml:space="preserve">A </w:t>
      </w:r>
      <w:r w:rsidR="00B63A64" w:rsidRPr="009434F9">
        <w:rPr>
          <w:rFonts w:cstheme="minorHAnsi"/>
          <w:color w:val="000000" w:themeColor="text1"/>
        </w:rPr>
        <w:t>D</w:t>
      </w:r>
      <w:r w:rsidRPr="009434F9">
        <w:rPr>
          <w:rFonts w:cstheme="minorHAnsi"/>
          <w:color w:val="000000" w:themeColor="text1"/>
        </w:rPr>
        <w:t xml:space="preserve">efense of the </w:t>
      </w:r>
      <w:r w:rsidR="00B63A64" w:rsidRPr="009434F9">
        <w:rPr>
          <w:rFonts w:cstheme="minorHAnsi"/>
          <w:color w:val="000000" w:themeColor="text1"/>
        </w:rPr>
        <w:t>V</w:t>
      </w:r>
      <w:r w:rsidRPr="009434F9">
        <w:rPr>
          <w:rFonts w:cstheme="minorHAnsi"/>
          <w:color w:val="000000" w:themeColor="text1"/>
        </w:rPr>
        <w:t xml:space="preserve">ery </w:t>
      </w:r>
      <w:r w:rsidR="00B63A64" w:rsidRPr="009434F9">
        <w:rPr>
          <w:rFonts w:cstheme="minorHAnsi"/>
          <w:color w:val="000000" w:themeColor="text1"/>
        </w:rPr>
        <w:t>I</w:t>
      </w:r>
      <w:r w:rsidRPr="009434F9">
        <w:rPr>
          <w:rFonts w:cstheme="minorHAnsi"/>
          <w:color w:val="000000" w:themeColor="text1"/>
        </w:rPr>
        <w:t xml:space="preserve">dea of </w:t>
      </w:r>
      <w:r w:rsidR="00B63A64" w:rsidRPr="009434F9">
        <w:rPr>
          <w:rFonts w:cstheme="minorHAnsi"/>
          <w:color w:val="000000" w:themeColor="text1"/>
        </w:rPr>
        <w:t>M</w:t>
      </w:r>
      <w:r w:rsidRPr="009434F9">
        <w:rPr>
          <w:rFonts w:cstheme="minorHAnsi"/>
          <w:color w:val="000000" w:themeColor="text1"/>
        </w:rPr>
        <w:t xml:space="preserve">oral </w:t>
      </w:r>
      <w:r w:rsidR="00B63A64" w:rsidRPr="009434F9">
        <w:rPr>
          <w:rFonts w:cstheme="minorHAnsi"/>
          <w:color w:val="000000" w:themeColor="text1"/>
        </w:rPr>
        <w:t>D</w:t>
      </w:r>
      <w:r w:rsidRPr="009434F9">
        <w:rPr>
          <w:rFonts w:cstheme="minorHAnsi"/>
          <w:color w:val="000000" w:themeColor="text1"/>
        </w:rPr>
        <w:t xml:space="preserve">eference </w:t>
      </w:r>
      <w:r w:rsidR="00B63A64" w:rsidRPr="009434F9">
        <w:rPr>
          <w:rFonts w:cstheme="minorHAnsi"/>
          <w:color w:val="000000" w:themeColor="text1"/>
        </w:rPr>
        <w:t>P</w:t>
      </w:r>
      <w:r w:rsidRPr="009434F9">
        <w:rPr>
          <w:rFonts w:cstheme="minorHAnsi"/>
          <w:color w:val="000000" w:themeColor="text1"/>
        </w:rPr>
        <w:t>essimism.</w:t>
      </w:r>
      <w:r w:rsidR="00B63A64" w:rsidRPr="009434F9">
        <w:rPr>
          <w:rFonts w:cstheme="minorHAnsi"/>
          <w:color w:val="000000" w:themeColor="text1"/>
        </w:rPr>
        <w:t>”</w:t>
      </w:r>
      <w:r w:rsidRPr="009434F9">
        <w:rPr>
          <w:rFonts w:cstheme="minorHAnsi"/>
          <w:color w:val="000000" w:themeColor="text1"/>
        </w:rPr>
        <w:t xml:space="preserve"> </w:t>
      </w:r>
      <w:r w:rsidRPr="009434F9">
        <w:rPr>
          <w:rFonts w:cstheme="minorHAnsi"/>
          <w:i/>
          <w:iCs/>
          <w:color w:val="000000" w:themeColor="text1"/>
        </w:rPr>
        <w:t xml:space="preserve">Philosophical Studies </w:t>
      </w:r>
      <w:r w:rsidRPr="009434F9">
        <w:rPr>
          <w:rFonts w:cstheme="minorHAnsi"/>
          <w:color w:val="000000" w:themeColor="text1"/>
        </w:rPr>
        <w:t>8</w:t>
      </w:r>
      <w:r w:rsidR="00B63A64" w:rsidRPr="009434F9">
        <w:rPr>
          <w:rFonts w:cstheme="minorHAnsi"/>
          <w:color w:val="000000" w:themeColor="text1"/>
        </w:rPr>
        <w:t>:</w:t>
      </w:r>
      <w:r w:rsidRPr="009434F9">
        <w:rPr>
          <w:rFonts w:cstheme="minorHAnsi"/>
          <w:color w:val="000000" w:themeColor="text1"/>
        </w:rPr>
        <w:t xml:space="preserve"> 2323-40.</w:t>
      </w:r>
    </w:p>
    <w:p w14:paraId="1EB1697C" w14:textId="455ED706" w:rsidR="00FC0E3E" w:rsidRPr="009434F9" w:rsidRDefault="00001D13" w:rsidP="002E7481">
      <w:pPr>
        <w:ind w:left="720" w:hanging="720"/>
        <w:rPr>
          <w:rFonts w:cstheme="minorHAnsi"/>
          <w:color w:val="000000" w:themeColor="text1"/>
        </w:rPr>
      </w:pPr>
      <w:r w:rsidRPr="009434F9">
        <w:rPr>
          <w:rFonts w:cstheme="minorHAnsi"/>
          <w:color w:val="000000" w:themeColor="text1"/>
        </w:rPr>
        <w:t>Frye, M</w:t>
      </w:r>
      <w:r w:rsidR="00B63A64" w:rsidRPr="009434F9">
        <w:rPr>
          <w:rFonts w:cstheme="minorHAnsi"/>
          <w:color w:val="000000" w:themeColor="text1"/>
        </w:rPr>
        <w:t>arilyn</w:t>
      </w:r>
      <w:r w:rsidRPr="009434F9">
        <w:rPr>
          <w:rFonts w:cstheme="minorHAnsi"/>
          <w:color w:val="000000" w:themeColor="text1"/>
        </w:rPr>
        <w:t xml:space="preserve">. 2000. </w:t>
      </w:r>
      <w:r w:rsidR="00B63A64" w:rsidRPr="009434F9">
        <w:rPr>
          <w:rFonts w:cstheme="minorHAnsi"/>
          <w:color w:val="000000" w:themeColor="text1"/>
        </w:rPr>
        <w:t>“</w:t>
      </w:r>
      <w:r w:rsidRPr="009434F9">
        <w:rPr>
          <w:rFonts w:cstheme="minorHAnsi"/>
          <w:color w:val="000000" w:themeColor="text1"/>
        </w:rPr>
        <w:t>Oppression.</w:t>
      </w:r>
      <w:r w:rsidR="00B63A64" w:rsidRPr="009434F9">
        <w:rPr>
          <w:rFonts w:cstheme="minorHAnsi"/>
          <w:color w:val="000000" w:themeColor="text1"/>
        </w:rPr>
        <w:t>”</w:t>
      </w:r>
      <w:r w:rsidRPr="009434F9">
        <w:rPr>
          <w:rFonts w:cstheme="minorHAnsi"/>
          <w:color w:val="000000" w:themeColor="text1"/>
        </w:rPr>
        <w:t xml:space="preserve"> In </w:t>
      </w:r>
      <w:r w:rsidRPr="009434F9">
        <w:rPr>
          <w:rFonts w:cstheme="minorHAnsi"/>
          <w:i/>
          <w:iCs/>
          <w:color w:val="000000" w:themeColor="text1"/>
        </w:rPr>
        <w:t xml:space="preserve">Gender </w:t>
      </w:r>
      <w:r w:rsidR="00610665" w:rsidRPr="009434F9">
        <w:rPr>
          <w:rFonts w:cstheme="minorHAnsi"/>
          <w:i/>
          <w:iCs/>
          <w:color w:val="000000" w:themeColor="text1"/>
        </w:rPr>
        <w:t>B</w:t>
      </w:r>
      <w:r w:rsidRPr="009434F9">
        <w:rPr>
          <w:rFonts w:cstheme="minorHAnsi"/>
          <w:i/>
          <w:iCs/>
          <w:color w:val="000000" w:themeColor="text1"/>
        </w:rPr>
        <w:t xml:space="preserve">asics: Feminist </w:t>
      </w:r>
      <w:r w:rsidR="00610665" w:rsidRPr="009434F9">
        <w:rPr>
          <w:rFonts w:cstheme="minorHAnsi"/>
          <w:i/>
          <w:iCs/>
          <w:color w:val="000000" w:themeColor="text1"/>
        </w:rPr>
        <w:t>P</w:t>
      </w:r>
      <w:r w:rsidRPr="009434F9">
        <w:rPr>
          <w:rFonts w:cstheme="minorHAnsi"/>
          <w:i/>
          <w:iCs/>
          <w:color w:val="000000" w:themeColor="text1"/>
        </w:rPr>
        <w:t xml:space="preserve">erspectives on </w:t>
      </w:r>
      <w:r w:rsidR="00610665" w:rsidRPr="009434F9">
        <w:rPr>
          <w:rFonts w:cstheme="minorHAnsi"/>
          <w:i/>
          <w:iCs/>
          <w:color w:val="000000" w:themeColor="text1"/>
        </w:rPr>
        <w:t>W</w:t>
      </w:r>
      <w:r w:rsidRPr="009434F9">
        <w:rPr>
          <w:rFonts w:cstheme="minorHAnsi"/>
          <w:i/>
          <w:iCs/>
          <w:color w:val="000000" w:themeColor="text1"/>
        </w:rPr>
        <w:t xml:space="preserve">omen and </w:t>
      </w:r>
      <w:r w:rsidR="00610665" w:rsidRPr="009434F9">
        <w:rPr>
          <w:rFonts w:cstheme="minorHAnsi"/>
          <w:i/>
          <w:iCs/>
          <w:color w:val="000000" w:themeColor="text1"/>
        </w:rPr>
        <w:t>M</w:t>
      </w:r>
      <w:r w:rsidRPr="009434F9">
        <w:rPr>
          <w:rFonts w:cstheme="minorHAnsi"/>
          <w:i/>
          <w:iCs/>
          <w:color w:val="000000" w:themeColor="text1"/>
        </w:rPr>
        <w:t>en</w:t>
      </w:r>
      <w:r w:rsidRPr="009434F9">
        <w:rPr>
          <w:rFonts w:cstheme="minorHAnsi"/>
          <w:color w:val="000000" w:themeColor="text1"/>
        </w:rPr>
        <w:t xml:space="preserve">, </w:t>
      </w:r>
      <w:r w:rsidRPr="009434F9">
        <w:rPr>
          <w:rFonts w:cstheme="minorHAnsi"/>
          <w:i/>
          <w:iCs/>
          <w:color w:val="000000" w:themeColor="text1"/>
        </w:rPr>
        <w:t>2</w:t>
      </w:r>
      <w:r w:rsidRPr="009434F9">
        <w:rPr>
          <w:rFonts w:cstheme="minorHAnsi"/>
          <w:i/>
          <w:iCs/>
          <w:color w:val="000000" w:themeColor="text1"/>
          <w:vertAlign w:val="superscript"/>
        </w:rPr>
        <w:t>nd</w:t>
      </w:r>
      <w:r w:rsidRPr="009434F9">
        <w:rPr>
          <w:rFonts w:cstheme="minorHAnsi"/>
          <w:i/>
          <w:iCs/>
          <w:color w:val="000000" w:themeColor="text1"/>
        </w:rPr>
        <w:t xml:space="preserve"> Edition</w:t>
      </w:r>
      <w:r w:rsidR="00B63A64" w:rsidRPr="009434F9">
        <w:rPr>
          <w:rFonts w:cstheme="minorHAnsi"/>
          <w:color w:val="000000" w:themeColor="text1"/>
        </w:rPr>
        <w:t>, edited by</w:t>
      </w:r>
      <w:r w:rsidR="00610665" w:rsidRPr="009434F9">
        <w:rPr>
          <w:rFonts w:cstheme="minorHAnsi"/>
          <w:color w:val="000000" w:themeColor="text1"/>
        </w:rPr>
        <w:t xml:space="preserve"> Anne Minas,</w:t>
      </w:r>
      <w:r w:rsidRPr="009434F9">
        <w:rPr>
          <w:rFonts w:cstheme="minorHAnsi"/>
          <w:color w:val="000000" w:themeColor="text1"/>
        </w:rPr>
        <w:t xml:space="preserve"> 10-16. Wadsworth.</w:t>
      </w:r>
    </w:p>
    <w:p w14:paraId="05BF16B1" w14:textId="4D65BF0D" w:rsidR="00FC0E3E" w:rsidRPr="009434F9" w:rsidRDefault="00001D13" w:rsidP="002E7481">
      <w:pPr>
        <w:ind w:left="720" w:hanging="720"/>
        <w:rPr>
          <w:rFonts w:cstheme="minorHAnsi"/>
        </w:rPr>
      </w:pPr>
      <w:r w:rsidRPr="009434F9">
        <w:rPr>
          <w:rFonts w:cstheme="minorHAnsi"/>
        </w:rPr>
        <w:t>Marušić, B</w:t>
      </w:r>
      <w:r w:rsidR="00C120D5" w:rsidRPr="009434F9">
        <w:rPr>
          <w:rFonts w:cstheme="minorHAnsi"/>
        </w:rPr>
        <w:t>erislav</w:t>
      </w:r>
      <w:r w:rsidRPr="009434F9">
        <w:rPr>
          <w:rFonts w:cstheme="minorHAnsi"/>
        </w:rPr>
        <w:t xml:space="preserve">. 2017. </w:t>
      </w:r>
      <w:r w:rsidR="00C120D5" w:rsidRPr="009434F9">
        <w:rPr>
          <w:rFonts w:cstheme="minorHAnsi"/>
        </w:rPr>
        <w:t>“</w:t>
      </w:r>
      <w:r w:rsidRPr="009434F9">
        <w:rPr>
          <w:rFonts w:cstheme="minorHAnsi"/>
        </w:rPr>
        <w:t xml:space="preserve">Trust, </w:t>
      </w:r>
      <w:r w:rsidR="00C120D5" w:rsidRPr="009434F9">
        <w:rPr>
          <w:rFonts w:cstheme="minorHAnsi"/>
        </w:rPr>
        <w:t>R</w:t>
      </w:r>
      <w:r w:rsidRPr="009434F9">
        <w:rPr>
          <w:rFonts w:cstheme="minorHAnsi"/>
        </w:rPr>
        <w:t xml:space="preserve">eliance and </w:t>
      </w:r>
      <w:r w:rsidR="00C120D5" w:rsidRPr="009434F9">
        <w:rPr>
          <w:rFonts w:cstheme="minorHAnsi"/>
        </w:rPr>
        <w:t>T</w:t>
      </w:r>
      <w:r w:rsidRPr="009434F9">
        <w:rPr>
          <w:rFonts w:cstheme="minorHAnsi"/>
        </w:rPr>
        <w:t xml:space="preserve">he </w:t>
      </w:r>
      <w:r w:rsidR="00C120D5" w:rsidRPr="009434F9">
        <w:rPr>
          <w:rFonts w:cstheme="minorHAnsi"/>
        </w:rPr>
        <w:t>P</w:t>
      </w:r>
      <w:r w:rsidRPr="009434F9">
        <w:rPr>
          <w:rFonts w:cstheme="minorHAnsi"/>
        </w:rPr>
        <w:t xml:space="preserve">articipant </w:t>
      </w:r>
      <w:r w:rsidR="00C120D5" w:rsidRPr="009434F9">
        <w:rPr>
          <w:rFonts w:cstheme="minorHAnsi"/>
        </w:rPr>
        <w:t>S</w:t>
      </w:r>
      <w:r w:rsidRPr="009434F9">
        <w:rPr>
          <w:rFonts w:cstheme="minorHAnsi"/>
        </w:rPr>
        <w:t>tance.</w:t>
      </w:r>
      <w:r w:rsidR="00C120D5" w:rsidRPr="009434F9">
        <w:rPr>
          <w:rFonts w:cstheme="minorHAnsi"/>
        </w:rPr>
        <w:t>”</w:t>
      </w:r>
      <w:r w:rsidRPr="009434F9">
        <w:rPr>
          <w:rFonts w:cstheme="minorHAnsi"/>
        </w:rPr>
        <w:t xml:space="preserve"> </w:t>
      </w:r>
      <w:r w:rsidRPr="009434F9">
        <w:rPr>
          <w:rFonts w:cstheme="minorHAnsi"/>
          <w:i/>
          <w:iCs/>
        </w:rPr>
        <w:t xml:space="preserve">Philosopher’s Imprint </w:t>
      </w:r>
      <w:r w:rsidRPr="009434F9">
        <w:rPr>
          <w:rFonts w:cstheme="minorHAnsi"/>
        </w:rPr>
        <w:t>17</w:t>
      </w:r>
      <w:r w:rsidR="00C120D5" w:rsidRPr="009434F9">
        <w:rPr>
          <w:rFonts w:cstheme="minorHAnsi"/>
        </w:rPr>
        <w:t xml:space="preserve"> </w:t>
      </w:r>
      <w:r w:rsidRPr="009434F9">
        <w:rPr>
          <w:rFonts w:cstheme="minorHAnsi"/>
        </w:rPr>
        <w:t>(17)</w:t>
      </w:r>
      <w:r w:rsidR="00C120D5" w:rsidRPr="009434F9">
        <w:rPr>
          <w:rFonts w:cstheme="minorHAnsi"/>
        </w:rPr>
        <w:t>:</w:t>
      </w:r>
      <w:r w:rsidRPr="009434F9">
        <w:rPr>
          <w:rFonts w:cstheme="minorHAnsi"/>
        </w:rPr>
        <w:t xml:space="preserve"> 1-10. </w:t>
      </w:r>
    </w:p>
    <w:p w14:paraId="49F30CCD" w14:textId="31FE3E8B" w:rsidR="00FC0E3E" w:rsidRPr="009434F9" w:rsidRDefault="00001D13" w:rsidP="002E7481">
      <w:pPr>
        <w:ind w:left="720" w:hanging="720"/>
        <w:rPr>
          <w:rFonts w:cstheme="minorHAnsi"/>
        </w:rPr>
      </w:pPr>
      <w:r w:rsidRPr="009434F9">
        <w:rPr>
          <w:rFonts w:cstheme="minorHAnsi"/>
        </w:rPr>
        <w:t>Matheson, J</w:t>
      </w:r>
      <w:r w:rsidR="00C120D5" w:rsidRPr="009434F9">
        <w:rPr>
          <w:rFonts w:cstheme="minorHAnsi"/>
        </w:rPr>
        <w:t>onathan</w:t>
      </w:r>
      <w:r w:rsidRPr="009434F9">
        <w:rPr>
          <w:rFonts w:cstheme="minorHAnsi"/>
        </w:rPr>
        <w:t xml:space="preserve">. 2015. </w:t>
      </w:r>
      <w:r w:rsidR="00C120D5" w:rsidRPr="009434F9">
        <w:rPr>
          <w:rFonts w:cstheme="minorHAnsi"/>
        </w:rPr>
        <w:t>“</w:t>
      </w:r>
      <w:r w:rsidRPr="009434F9">
        <w:rPr>
          <w:rFonts w:cstheme="minorHAnsi"/>
        </w:rPr>
        <w:t>Disagreement and Epistemic Peers.</w:t>
      </w:r>
      <w:r w:rsidR="00C120D5" w:rsidRPr="009434F9">
        <w:rPr>
          <w:rFonts w:cstheme="minorHAnsi"/>
        </w:rPr>
        <w:t>”</w:t>
      </w:r>
      <w:r w:rsidRPr="009434F9">
        <w:rPr>
          <w:rFonts w:cstheme="minorHAnsi"/>
        </w:rPr>
        <w:t xml:space="preserve"> </w:t>
      </w:r>
      <w:r w:rsidR="00C120D5" w:rsidRPr="009434F9">
        <w:rPr>
          <w:rFonts w:cstheme="minorHAnsi"/>
        </w:rPr>
        <w:t xml:space="preserve">In </w:t>
      </w:r>
      <w:r w:rsidRPr="009434F9">
        <w:rPr>
          <w:rFonts w:cstheme="minorHAnsi"/>
          <w:i/>
          <w:iCs/>
        </w:rPr>
        <w:t>Oxford Handbooks Online</w:t>
      </w:r>
      <w:r w:rsidR="00C120D5" w:rsidRPr="009434F9">
        <w:rPr>
          <w:rFonts w:cstheme="minorHAnsi"/>
        </w:rPr>
        <w:t>,</w:t>
      </w:r>
      <w:r w:rsidRPr="009434F9">
        <w:rPr>
          <w:rFonts w:cstheme="minorHAnsi"/>
        </w:rPr>
        <w:t xml:space="preserve"> 1-24.</w:t>
      </w:r>
      <w:r w:rsidR="00C120D5" w:rsidRPr="009434F9">
        <w:rPr>
          <w:rFonts w:cstheme="minorHAnsi"/>
        </w:rPr>
        <w:t xml:space="preserve"> Oxford University Press.</w:t>
      </w:r>
    </w:p>
    <w:p w14:paraId="680F44CA" w14:textId="238FC189" w:rsidR="00FC0E3E" w:rsidRPr="009434F9" w:rsidRDefault="00001D13" w:rsidP="002E7481">
      <w:pPr>
        <w:ind w:left="720" w:hanging="720"/>
        <w:rPr>
          <w:rFonts w:cstheme="minorHAnsi"/>
        </w:rPr>
      </w:pPr>
      <w:r w:rsidRPr="009434F9">
        <w:rPr>
          <w:rFonts w:cstheme="minorHAnsi"/>
        </w:rPr>
        <w:t>Matheson, J</w:t>
      </w:r>
      <w:r w:rsidR="00C120D5" w:rsidRPr="009434F9">
        <w:rPr>
          <w:rFonts w:cstheme="minorHAnsi"/>
        </w:rPr>
        <w:t>onathan</w:t>
      </w:r>
      <w:r w:rsidRPr="009434F9">
        <w:rPr>
          <w:rFonts w:cstheme="minorHAnsi"/>
        </w:rPr>
        <w:t xml:space="preserve">, </w:t>
      </w:r>
      <w:r w:rsidR="00C120D5" w:rsidRPr="009434F9">
        <w:rPr>
          <w:rFonts w:cstheme="minorHAnsi"/>
        </w:rPr>
        <w:t xml:space="preserve">Nathan Nobis, and Scott </w:t>
      </w:r>
      <w:r w:rsidRPr="009434F9">
        <w:rPr>
          <w:rFonts w:cstheme="minorHAnsi"/>
        </w:rPr>
        <w:t>McElreath</w:t>
      </w:r>
      <w:r w:rsidR="00C120D5" w:rsidRPr="009434F9">
        <w:rPr>
          <w:rFonts w:cstheme="minorHAnsi"/>
        </w:rPr>
        <w:t>.</w:t>
      </w:r>
      <w:r w:rsidRPr="009434F9">
        <w:rPr>
          <w:rFonts w:cstheme="minorHAnsi"/>
        </w:rPr>
        <w:t xml:space="preserve"> 2018. </w:t>
      </w:r>
      <w:r w:rsidR="00C120D5" w:rsidRPr="009434F9">
        <w:rPr>
          <w:rFonts w:cstheme="minorHAnsi"/>
        </w:rPr>
        <w:t>“</w:t>
      </w:r>
      <w:r w:rsidRPr="009434F9">
        <w:rPr>
          <w:rFonts w:cstheme="minorHAnsi"/>
        </w:rPr>
        <w:t xml:space="preserve">Moral </w:t>
      </w:r>
      <w:r w:rsidR="00C120D5" w:rsidRPr="009434F9">
        <w:rPr>
          <w:rFonts w:cstheme="minorHAnsi"/>
        </w:rPr>
        <w:t>E</w:t>
      </w:r>
      <w:r w:rsidRPr="009434F9">
        <w:rPr>
          <w:rFonts w:cstheme="minorHAnsi"/>
        </w:rPr>
        <w:t xml:space="preserve">xperts, </w:t>
      </w:r>
      <w:r w:rsidR="00C120D5" w:rsidRPr="009434F9">
        <w:rPr>
          <w:rFonts w:cstheme="minorHAnsi"/>
        </w:rPr>
        <w:t>D</w:t>
      </w:r>
      <w:r w:rsidRPr="009434F9">
        <w:rPr>
          <w:rFonts w:cstheme="minorHAnsi"/>
        </w:rPr>
        <w:t xml:space="preserve">eference, &amp; </w:t>
      </w:r>
      <w:r w:rsidR="00C120D5" w:rsidRPr="009434F9">
        <w:rPr>
          <w:rFonts w:cstheme="minorHAnsi"/>
        </w:rPr>
        <w:t>D</w:t>
      </w:r>
      <w:r w:rsidRPr="009434F9">
        <w:rPr>
          <w:rFonts w:cstheme="minorHAnsi"/>
        </w:rPr>
        <w:t>isagreement.</w:t>
      </w:r>
      <w:r w:rsidR="00C120D5" w:rsidRPr="009434F9">
        <w:rPr>
          <w:rFonts w:cstheme="minorHAnsi"/>
        </w:rPr>
        <w:t>”</w:t>
      </w:r>
      <w:r w:rsidRPr="009434F9">
        <w:rPr>
          <w:rFonts w:cstheme="minorHAnsi"/>
        </w:rPr>
        <w:t xml:space="preserve"> </w:t>
      </w:r>
      <w:r w:rsidR="00C120D5" w:rsidRPr="009434F9">
        <w:rPr>
          <w:rFonts w:cstheme="minorHAnsi"/>
        </w:rPr>
        <w:t xml:space="preserve">In </w:t>
      </w:r>
      <w:r w:rsidRPr="009434F9">
        <w:rPr>
          <w:rFonts w:cstheme="minorHAnsi"/>
          <w:i/>
          <w:iCs/>
        </w:rPr>
        <w:t xml:space="preserve">Moral </w:t>
      </w:r>
      <w:r w:rsidR="00C120D5" w:rsidRPr="009434F9">
        <w:rPr>
          <w:rFonts w:cstheme="minorHAnsi"/>
          <w:i/>
          <w:iCs/>
        </w:rPr>
        <w:t>E</w:t>
      </w:r>
      <w:r w:rsidRPr="009434F9">
        <w:rPr>
          <w:rFonts w:cstheme="minorHAnsi"/>
          <w:i/>
          <w:iCs/>
        </w:rPr>
        <w:t>xpertise</w:t>
      </w:r>
      <w:r w:rsidR="00C120D5" w:rsidRPr="009434F9">
        <w:rPr>
          <w:rFonts w:cstheme="minorHAnsi"/>
        </w:rPr>
        <w:t>, edited by Nathan Nobis, Scott McElreath, and Jonathan Matheson</w:t>
      </w:r>
      <w:r w:rsidR="00DA4206" w:rsidRPr="009434F9">
        <w:rPr>
          <w:rFonts w:cstheme="minorHAnsi"/>
        </w:rPr>
        <w:t>.</w:t>
      </w:r>
      <w:r w:rsidRPr="009434F9">
        <w:rPr>
          <w:rFonts w:cstheme="minorHAnsi"/>
          <w:i/>
          <w:iCs/>
        </w:rPr>
        <w:t xml:space="preserve"> </w:t>
      </w:r>
      <w:r w:rsidRPr="009434F9">
        <w:rPr>
          <w:rFonts w:cstheme="minorHAnsi"/>
        </w:rPr>
        <w:t>Springer Verlag.</w:t>
      </w:r>
    </w:p>
    <w:p w14:paraId="1827C540" w14:textId="17777683" w:rsidR="00FC0E3E" w:rsidRPr="009434F9" w:rsidRDefault="00001D13" w:rsidP="002E7481">
      <w:pPr>
        <w:ind w:left="720" w:hanging="720"/>
        <w:rPr>
          <w:rFonts w:cstheme="minorHAnsi"/>
        </w:rPr>
      </w:pPr>
      <w:r w:rsidRPr="009434F9">
        <w:rPr>
          <w:rFonts w:cstheme="minorHAnsi"/>
        </w:rPr>
        <w:t>McGrath, S</w:t>
      </w:r>
      <w:r w:rsidR="00DA4206" w:rsidRPr="009434F9">
        <w:rPr>
          <w:rFonts w:cstheme="minorHAnsi"/>
        </w:rPr>
        <w:t>arah</w:t>
      </w:r>
      <w:r w:rsidRPr="009434F9">
        <w:rPr>
          <w:rFonts w:cstheme="minorHAnsi"/>
        </w:rPr>
        <w:t xml:space="preserve">. 2009. </w:t>
      </w:r>
      <w:r w:rsidR="00DA4206" w:rsidRPr="009434F9">
        <w:rPr>
          <w:rFonts w:cstheme="minorHAnsi"/>
        </w:rPr>
        <w:t>“</w:t>
      </w:r>
      <w:r w:rsidRPr="009434F9">
        <w:rPr>
          <w:rFonts w:cstheme="minorHAnsi"/>
        </w:rPr>
        <w:t xml:space="preserve">The </w:t>
      </w:r>
      <w:r w:rsidR="00DA4206" w:rsidRPr="009434F9">
        <w:rPr>
          <w:rFonts w:cstheme="minorHAnsi"/>
        </w:rPr>
        <w:t>P</w:t>
      </w:r>
      <w:r w:rsidRPr="009434F9">
        <w:rPr>
          <w:rFonts w:cstheme="minorHAnsi"/>
        </w:rPr>
        <w:t xml:space="preserve">uzzle of </w:t>
      </w:r>
      <w:r w:rsidR="00DA4206" w:rsidRPr="009434F9">
        <w:rPr>
          <w:rFonts w:cstheme="minorHAnsi"/>
        </w:rPr>
        <w:t>P</w:t>
      </w:r>
      <w:r w:rsidRPr="009434F9">
        <w:rPr>
          <w:rFonts w:cstheme="minorHAnsi"/>
        </w:rPr>
        <w:t xml:space="preserve">ure </w:t>
      </w:r>
      <w:r w:rsidR="00DA4206" w:rsidRPr="009434F9">
        <w:rPr>
          <w:rFonts w:cstheme="minorHAnsi"/>
        </w:rPr>
        <w:t>M</w:t>
      </w:r>
      <w:r w:rsidRPr="009434F9">
        <w:rPr>
          <w:rFonts w:cstheme="minorHAnsi"/>
        </w:rPr>
        <w:t xml:space="preserve">oral </w:t>
      </w:r>
      <w:r w:rsidR="00DA4206" w:rsidRPr="009434F9">
        <w:rPr>
          <w:rFonts w:cstheme="minorHAnsi"/>
        </w:rPr>
        <w:t>D</w:t>
      </w:r>
      <w:r w:rsidRPr="009434F9">
        <w:rPr>
          <w:rFonts w:cstheme="minorHAnsi"/>
        </w:rPr>
        <w:t>eference.</w:t>
      </w:r>
      <w:r w:rsidR="00DA4206" w:rsidRPr="009434F9">
        <w:rPr>
          <w:rFonts w:cstheme="minorHAnsi"/>
        </w:rPr>
        <w:t>”</w:t>
      </w:r>
      <w:r w:rsidRPr="009434F9">
        <w:rPr>
          <w:rFonts w:cstheme="minorHAnsi"/>
        </w:rPr>
        <w:t xml:space="preserve"> </w:t>
      </w:r>
      <w:r w:rsidRPr="009434F9">
        <w:rPr>
          <w:rFonts w:cstheme="minorHAnsi"/>
          <w:i/>
          <w:iCs/>
        </w:rPr>
        <w:t>Philosophical Perspectives</w:t>
      </w:r>
      <w:r w:rsidR="00DA4206" w:rsidRPr="009434F9">
        <w:rPr>
          <w:rFonts w:cstheme="minorHAnsi"/>
        </w:rPr>
        <w:t xml:space="preserve"> </w:t>
      </w:r>
      <w:r w:rsidRPr="009434F9">
        <w:rPr>
          <w:rFonts w:cstheme="minorHAnsi"/>
        </w:rPr>
        <w:t>23</w:t>
      </w:r>
      <w:r w:rsidR="00DA4206" w:rsidRPr="009434F9">
        <w:rPr>
          <w:rFonts w:cstheme="minorHAnsi"/>
        </w:rPr>
        <w:t>:</w:t>
      </w:r>
      <w:r w:rsidRPr="009434F9">
        <w:rPr>
          <w:rFonts w:cstheme="minorHAnsi"/>
        </w:rPr>
        <w:t xml:space="preserve"> 321-44.</w:t>
      </w:r>
    </w:p>
    <w:p w14:paraId="0FABE2F6" w14:textId="101A4485" w:rsidR="00FC0E3E" w:rsidRPr="009434F9" w:rsidRDefault="00001D13" w:rsidP="002E7481">
      <w:pPr>
        <w:ind w:left="720" w:hanging="720"/>
        <w:rPr>
          <w:rFonts w:eastAsia="Times New Roman" w:cstheme="minorHAnsi"/>
          <w:iCs/>
          <w:color w:val="000000" w:themeColor="text1"/>
        </w:rPr>
      </w:pPr>
      <w:r w:rsidRPr="009434F9">
        <w:rPr>
          <w:rFonts w:eastAsia="Times New Roman" w:cstheme="minorHAnsi"/>
          <w:color w:val="000000" w:themeColor="text1"/>
        </w:rPr>
        <w:t>McGrath, S</w:t>
      </w:r>
      <w:r w:rsidR="00DA4206" w:rsidRPr="009434F9">
        <w:rPr>
          <w:rFonts w:eastAsia="Times New Roman" w:cstheme="minorHAnsi"/>
          <w:color w:val="000000" w:themeColor="text1"/>
        </w:rPr>
        <w:t>arah</w:t>
      </w:r>
      <w:r w:rsidRPr="009434F9">
        <w:rPr>
          <w:rFonts w:eastAsia="Times New Roman" w:cstheme="minorHAnsi"/>
          <w:color w:val="000000" w:themeColor="text1"/>
        </w:rPr>
        <w:t xml:space="preserve">. 2011. </w:t>
      </w:r>
      <w:r w:rsidR="00DA4206" w:rsidRPr="009434F9">
        <w:rPr>
          <w:rFonts w:eastAsia="Times New Roman" w:cstheme="minorHAnsi"/>
          <w:color w:val="000000" w:themeColor="text1"/>
        </w:rPr>
        <w:t>“</w:t>
      </w:r>
      <w:r w:rsidRPr="009434F9">
        <w:rPr>
          <w:rFonts w:eastAsia="Times New Roman" w:cstheme="minorHAnsi"/>
          <w:color w:val="000000" w:themeColor="text1"/>
        </w:rPr>
        <w:t xml:space="preserve">Skepticism about </w:t>
      </w:r>
      <w:r w:rsidR="00DA4206" w:rsidRPr="009434F9">
        <w:rPr>
          <w:rFonts w:eastAsia="Times New Roman" w:cstheme="minorHAnsi"/>
          <w:color w:val="000000" w:themeColor="text1"/>
        </w:rPr>
        <w:t>M</w:t>
      </w:r>
      <w:r w:rsidRPr="009434F9">
        <w:rPr>
          <w:rFonts w:eastAsia="Times New Roman" w:cstheme="minorHAnsi"/>
          <w:color w:val="000000" w:themeColor="text1"/>
        </w:rPr>
        <w:t xml:space="preserve">oral </w:t>
      </w:r>
      <w:r w:rsidR="00DA4206" w:rsidRPr="009434F9">
        <w:rPr>
          <w:rFonts w:eastAsia="Times New Roman" w:cstheme="minorHAnsi"/>
          <w:color w:val="000000" w:themeColor="text1"/>
        </w:rPr>
        <w:t>E</w:t>
      </w:r>
      <w:r w:rsidRPr="009434F9">
        <w:rPr>
          <w:rFonts w:eastAsia="Times New Roman" w:cstheme="minorHAnsi"/>
          <w:color w:val="000000" w:themeColor="text1"/>
        </w:rPr>
        <w:t xml:space="preserve">xpertise as a </w:t>
      </w:r>
      <w:r w:rsidR="00DA4206" w:rsidRPr="009434F9">
        <w:rPr>
          <w:rFonts w:eastAsia="Times New Roman" w:cstheme="minorHAnsi"/>
          <w:color w:val="000000" w:themeColor="text1"/>
        </w:rPr>
        <w:t>P</w:t>
      </w:r>
      <w:r w:rsidRPr="009434F9">
        <w:rPr>
          <w:rFonts w:eastAsia="Times New Roman" w:cstheme="minorHAnsi"/>
          <w:color w:val="000000" w:themeColor="text1"/>
        </w:rPr>
        <w:t xml:space="preserve">uzzle for </w:t>
      </w:r>
      <w:r w:rsidR="00DA4206" w:rsidRPr="009434F9">
        <w:rPr>
          <w:rFonts w:eastAsia="Times New Roman" w:cstheme="minorHAnsi"/>
          <w:color w:val="000000" w:themeColor="text1"/>
        </w:rPr>
        <w:t>M</w:t>
      </w:r>
      <w:r w:rsidRPr="009434F9">
        <w:rPr>
          <w:rFonts w:eastAsia="Times New Roman" w:cstheme="minorHAnsi"/>
          <w:color w:val="000000" w:themeColor="text1"/>
        </w:rPr>
        <w:t xml:space="preserve">oral </w:t>
      </w:r>
      <w:r w:rsidR="00DA4206" w:rsidRPr="009434F9">
        <w:rPr>
          <w:rFonts w:eastAsia="Times New Roman" w:cstheme="minorHAnsi"/>
          <w:color w:val="000000" w:themeColor="text1"/>
        </w:rPr>
        <w:t>R</w:t>
      </w:r>
      <w:r w:rsidRPr="009434F9">
        <w:rPr>
          <w:rFonts w:eastAsia="Times New Roman" w:cstheme="minorHAnsi"/>
          <w:color w:val="000000" w:themeColor="text1"/>
        </w:rPr>
        <w:t>ealism.</w:t>
      </w:r>
      <w:r w:rsidR="00DA4206" w:rsidRPr="009434F9">
        <w:rPr>
          <w:rFonts w:eastAsia="Times New Roman" w:cstheme="minorHAnsi"/>
          <w:color w:val="000000" w:themeColor="text1"/>
        </w:rPr>
        <w:t>”</w:t>
      </w:r>
      <w:r w:rsidRPr="009434F9">
        <w:rPr>
          <w:rFonts w:eastAsia="Times New Roman" w:cstheme="minorHAnsi"/>
          <w:color w:val="000000" w:themeColor="text1"/>
        </w:rPr>
        <w:t xml:space="preserve"> </w:t>
      </w:r>
      <w:r w:rsidRPr="009434F9">
        <w:rPr>
          <w:rFonts w:eastAsia="Times New Roman" w:cstheme="minorHAnsi"/>
          <w:i/>
          <w:color w:val="000000" w:themeColor="text1"/>
        </w:rPr>
        <w:t xml:space="preserve">The Journal of Philosophy </w:t>
      </w:r>
      <w:r w:rsidRPr="009434F9">
        <w:rPr>
          <w:rFonts w:eastAsia="Times New Roman" w:cstheme="minorHAnsi"/>
          <w:iCs/>
          <w:color w:val="000000" w:themeColor="text1"/>
        </w:rPr>
        <w:t>108</w:t>
      </w:r>
      <w:r w:rsidR="00DA4206" w:rsidRPr="009434F9">
        <w:rPr>
          <w:rFonts w:eastAsia="Times New Roman" w:cstheme="minorHAnsi"/>
          <w:iCs/>
          <w:color w:val="000000" w:themeColor="text1"/>
        </w:rPr>
        <w:t xml:space="preserve"> </w:t>
      </w:r>
      <w:r w:rsidRPr="009434F9">
        <w:rPr>
          <w:rFonts w:eastAsia="Times New Roman" w:cstheme="minorHAnsi"/>
          <w:iCs/>
          <w:color w:val="000000" w:themeColor="text1"/>
        </w:rPr>
        <w:t>(3)</w:t>
      </w:r>
      <w:r w:rsidR="00DA4206" w:rsidRPr="009434F9">
        <w:rPr>
          <w:rFonts w:eastAsia="Times New Roman" w:cstheme="minorHAnsi"/>
          <w:iCs/>
          <w:color w:val="000000" w:themeColor="text1"/>
        </w:rPr>
        <w:t>:</w:t>
      </w:r>
      <w:r w:rsidRPr="009434F9">
        <w:rPr>
          <w:rFonts w:eastAsia="Times New Roman" w:cstheme="minorHAnsi"/>
          <w:iCs/>
          <w:color w:val="000000" w:themeColor="text1"/>
        </w:rPr>
        <w:t xml:space="preserve"> 111-137.</w:t>
      </w:r>
    </w:p>
    <w:p w14:paraId="2AC441FA" w14:textId="29B90F7B" w:rsidR="00FC0E3E" w:rsidRPr="009434F9" w:rsidRDefault="00001D13" w:rsidP="002E7481">
      <w:pPr>
        <w:ind w:left="720" w:hanging="720"/>
        <w:rPr>
          <w:rFonts w:cstheme="minorHAnsi"/>
        </w:rPr>
      </w:pPr>
      <w:r w:rsidRPr="009434F9">
        <w:rPr>
          <w:rFonts w:cstheme="minorHAnsi"/>
        </w:rPr>
        <w:t>Moran, R</w:t>
      </w:r>
      <w:r w:rsidR="00DA4206" w:rsidRPr="009434F9">
        <w:rPr>
          <w:rFonts w:cstheme="minorHAnsi"/>
        </w:rPr>
        <w:t>ichard</w:t>
      </w:r>
      <w:r w:rsidRPr="009434F9">
        <w:rPr>
          <w:rFonts w:cstheme="minorHAnsi"/>
        </w:rPr>
        <w:t xml:space="preserve">. 2005. </w:t>
      </w:r>
      <w:r w:rsidR="00DA4206" w:rsidRPr="009434F9">
        <w:rPr>
          <w:rFonts w:cstheme="minorHAnsi"/>
        </w:rPr>
        <w:t>“</w:t>
      </w:r>
      <w:r w:rsidRPr="009434F9">
        <w:rPr>
          <w:rFonts w:cstheme="minorHAnsi"/>
        </w:rPr>
        <w:t xml:space="preserve">Getting </w:t>
      </w:r>
      <w:r w:rsidR="00DA4206" w:rsidRPr="009434F9">
        <w:rPr>
          <w:rFonts w:cstheme="minorHAnsi"/>
        </w:rPr>
        <w:t>T</w:t>
      </w:r>
      <w:r w:rsidRPr="009434F9">
        <w:rPr>
          <w:rFonts w:cstheme="minorHAnsi"/>
        </w:rPr>
        <w:t xml:space="preserve">old and </w:t>
      </w:r>
      <w:r w:rsidR="00DA4206" w:rsidRPr="009434F9">
        <w:rPr>
          <w:rFonts w:cstheme="minorHAnsi"/>
        </w:rPr>
        <w:t>B</w:t>
      </w:r>
      <w:r w:rsidRPr="009434F9">
        <w:rPr>
          <w:rFonts w:cstheme="minorHAnsi"/>
        </w:rPr>
        <w:t xml:space="preserve">eing </w:t>
      </w:r>
      <w:r w:rsidR="00DA4206" w:rsidRPr="009434F9">
        <w:rPr>
          <w:rFonts w:cstheme="minorHAnsi"/>
        </w:rPr>
        <w:t>B</w:t>
      </w:r>
      <w:r w:rsidRPr="009434F9">
        <w:rPr>
          <w:rFonts w:cstheme="minorHAnsi"/>
        </w:rPr>
        <w:t>elieved.</w:t>
      </w:r>
      <w:r w:rsidR="00DA4206" w:rsidRPr="009434F9">
        <w:rPr>
          <w:rFonts w:cstheme="minorHAnsi"/>
        </w:rPr>
        <w:t>”</w:t>
      </w:r>
      <w:r w:rsidRPr="009434F9">
        <w:rPr>
          <w:rFonts w:cstheme="minorHAnsi"/>
        </w:rPr>
        <w:t xml:space="preserve"> </w:t>
      </w:r>
      <w:r w:rsidRPr="009434F9">
        <w:rPr>
          <w:rFonts w:cstheme="minorHAnsi"/>
          <w:i/>
          <w:iCs/>
        </w:rPr>
        <w:t xml:space="preserve">Philosopher’s Imprint </w:t>
      </w:r>
      <w:r w:rsidRPr="009434F9">
        <w:rPr>
          <w:rFonts w:cstheme="minorHAnsi"/>
        </w:rPr>
        <w:t>5</w:t>
      </w:r>
      <w:r w:rsidR="00DA4206" w:rsidRPr="009434F9">
        <w:rPr>
          <w:rFonts w:cstheme="minorHAnsi"/>
        </w:rPr>
        <w:t xml:space="preserve"> </w:t>
      </w:r>
      <w:r w:rsidRPr="009434F9">
        <w:rPr>
          <w:rFonts w:cstheme="minorHAnsi"/>
        </w:rPr>
        <w:t>(5)</w:t>
      </w:r>
      <w:r w:rsidR="00DA4206" w:rsidRPr="009434F9">
        <w:rPr>
          <w:rFonts w:cstheme="minorHAnsi"/>
        </w:rPr>
        <w:t>:</w:t>
      </w:r>
      <w:r w:rsidRPr="009434F9">
        <w:rPr>
          <w:rFonts w:cstheme="minorHAnsi"/>
        </w:rPr>
        <w:t xml:space="preserve"> 1-29.</w:t>
      </w:r>
    </w:p>
    <w:p w14:paraId="68DA7B2A" w14:textId="3BF01F1F" w:rsidR="00FC0E3E" w:rsidRPr="009434F9" w:rsidRDefault="00001D13" w:rsidP="002E7481">
      <w:pPr>
        <w:ind w:left="720" w:hanging="720"/>
        <w:rPr>
          <w:rFonts w:cstheme="minorHAnsi"/>
        </w:rPr>
      </w:pPr>
      <w:r w:rsidRPr="009434F9">
        <w:rPr>
          <w:rFonts w:cstheme="minorHAnsi"/>
        </w:rPr>
        <w:t>Moran, R</w:t>
      </w:r>
      <w:r w:rsidR="00DA4206" w:rsidRPr="009434F9">
        <w:rPr>
          <w:rFonts w:cstheme="minorHAnsi"/>
        </w:rPr>
        <w:t>ichard</w:t>
      </w:r>
      <w:r w:rsidRPr="009434F9">
        <w:rPr>
          <w:rFonts w:cstheme="minorHAnsi"/>
        </w:rPr>
        <w:t xml:space="preserve">. 2018. </w:t>
      </w:r>
      <w:r w:rsidRPr="009434F9">
        <w:rPr>
          <w:rFonts w:cstheme="minorHAnsi"/>
          <w:i/>
          <w:iCs/>
        </w:rPr>
        <w:t>The</w:t>
      </w:r>
      <w:r w:rsidR="00DA4206" w:rsidRPr="009434F9">
        <w:rPr>
          <w:rFonts w:cstheme="minorHAnsi"/>
          <w:i/>
          <w:iCs/>
        </w:rPr>
        <w:t xml:space="preserve"> E</w:t>
      </w:r>
      <w:r w:rsidRPr="009434F9">
        <w:rPr>
          <w:rFonts w:cstheme="minorHAnsi"/>
          <w:i/>
          <w:iCs/>
        </w:rPr>
        <w:t xml:space="preserve">xchange of </w:t>
      </w:r>
      <w:r w:rsidR="00DA4206" w:rsidRPr="009434F9">
        <w:rPr>
          <w:rFonts w:cstheme="minorHAnsi"/>
          <w:i/>
          <w:iCs/>
        </w:rPr>
        <w:t>W</w:t>
      </w:r>
      <w:r w:rsidRPr="009434F9">
        <w:rPr>
          <w:rFonts w:cstheme="minorHAnsi"/>
          <w:i/>
          <w:iCs/>
        </w:rPr>
        <w:t xml:space="preserve">ords: Speech, </w:t>
      </w:r>
      <w:r w:rsidR="00DA4206" w:rsidRPr="009434F9">
        <w:rPr>
          <w:rFonts w:cstheme="minorHAnsi"/>
          <w:i/>
          <w:iCs/>
        </w:rPr>
        <w:t>T</w:t>
      </w:r>
      <w:r w:rsidRPr="009434F9">
        <w:rPr>
          <w:rFonts w:cstheme="minorHAnsi"/>
          <w:i/>
          <w:iCs/>
        </w:rPr>
        <w:t xml:space="preserve">estimony, and </w:t>
      </w:r>
      <w:r w:rsidR="00DA4206" w:rsidRPr="009434F9">
        <w:rPr>
          <w:rFonts w:cstheme="minorHAnsi"/>
          <w:i/>
          <w:iCs/>
        </w:rPr>
        <w:t>I</w:t>
      </w:r>
      <w:r w:rsidRPr="009434F9">
        <w:rPr>
          <w:rFonts w:cstheme="minorHAnsi"/>
          <w:i/>
          <w:iCs/>
        </w:rPr>
        <w:t xml:space="preserve">ntersubjectivity. </w:t>
      </w:r>
      <w:r w:rsidR="00EC6384">
        <w:rPr>
          <w:rFonts w:cstheme="minorHAnsi"/>
        </w:rPr>
        <w:t xml:space="preserve">New York: </w:t>
      </w:r>
      <w:r w:rsidRPr="009434F9">
        <w:rPr>
          <w:rFonts w:cstheme="minorHAnsi"/>
        </w:rPr>
        <w:t>Oxford University Press.</w:t>
      </w:r>
    </w:p>
    <w:p w14:paraId="2EC56A48" w14:textId="28D48552" w:rsidR="00FC0E3E" w:rsidRPr="009434F9" w:rsidRDefault="00001D13" w:rsidP="002E7481">
      <w:pPr>
        <w:ind w:left="720" w:hanging="720"/>
        <w:rPr>
          <w:rFonts w:cstheme="minorHAnsi"/>
          <w:color w:val="1A1A1A"/>
          <w:sz w:val="25"/>
          <w:szCs w:val="25"/>
          <w:shd w:val="clear" w:color="auto" w:fill="FFFFFF"/>
        </w:rPr>
      </w:pPr>
      <w:r w:rsidRPr="009434F9">
        <w:rPr>
          <w:rFonts w:cstheme="minorHAnsi"/>
          <w:color w:val="1A1A1A"/>
          <w:sz w:val="25"/>
          <w:szCs w:val="25"/>
          <w:shd w:val="clear" w:color="auto" w:fill="FFFFFF"/>
        </w:rPr>
        <w:t>Moss, S</w:t>
      </w:r>
      <w:r w:rsidR="00DA4206" w:rsidRPr="009434F9">
        <w:rPr>
          <w:rFonts w:cstheme="minorHAnsi"/>
          <w:color w:val="1A1A1A"/>
          <w:sz w:val="25"/>
          <w:szCs w:val="25"/>
          <w:shd w:val="clear" w:color="auto" w:fill="FFFFFF"/>
        </w:rPr>
        <w:t>arah</w:t>
      </w:r>
      <w:r w:rsidRPr="009434F9">
        <w:rPr>
          <w:rFonts w:cstheme="minorHAnsi"/>
          <w:color w:val="1A1A1A"/>
          <w:sz w:val="25"/>
          <w:szCs w:val="25"/>
          <w:shd w:val="clear" w:color="auto" w:fill="FFFFFF"/>
        </w:rPr>
        <w:t xml:space="preserve">. 2018. </w:t>
      </w:r>
      <w:r w:rsidRPr="009434F9">
        <w:rPr>
          <w:rFonts w:cstheme="minorHAnsi"/>
          <w:i/>
          <w:iCs/>
          <w:color w:val="1A1A1A"/>
          <w:sz w:val="25"/>
          <w:szCs w:val="25"/>
          <w:shd w:val="clear" w:color="auto" w:fill="FFFFFF"/>
        </w:rPr>
        <w:t xml:space="preserve">Probabilistic Knowledge. </w:t>
      </w:r>
      <w:r w:rsidRPr="009434F9">
        <w:rPr>
          <w:rFonts w:cstheme="minorHAnsi"/>
          <w:color w:val="1A1A1A"/>
          <w:sz w:val="25"/>
          <w:szCs w:val="25"/>
          <w:shd w:val="clear" w:color="auto" w:fill="FFFFFF"/>
        </w:rPr>
        <w:t>Oxford University Press.</w:t>
      </w:r>
    </w:p>
    <w:p w14:paraId="7F244882" w14:textId="4C2BA34D" w:rsidR="00FC0E3E" w:rsidRPr="009434F9" w:rsidRDefault="00001D13" w:rsidP="002E7481">
      <w:pPr>
        <w:ind w:left="720" w:hanging="720"/>
        <w:rPr>
          <w:rFonts w:eastAsia="Times New Roman" w:cstheme="minorHAnsi"/>
          <w:color w:val="000000" w:themeColor="text1"/>
        </w:rPr>
      </w:pPr>
      <w:r w:rsidRPr="009434F9">
        <w:rPr>
          <w:rFonts w:eastAsia="Times New Roman" w:cstheme="minorHAnsi"/>
          <w:color w:val="000000" w:themeColor="text1"/>
        </w:rPr>
        <w:t>Nickel, P</w:t>
      </w:r>
      <w:r w:rsidR="00DA4206" w:rsidRPr="009434F9">
        <w:rPr>
          <w:rFonts w:eastAsia="Times New Roman" w:cstheme="minorHAnsi"/>
          <w:color w:val="000000" w:themeColor="text1"/>
        </w:rPr>
        <w:t>hilip</w:t>
      </w:r>
      <w:r w:rsidRPr="009434F9">
        <w:rPr>
          <w:rFonts w:eastAsia="Times New Roman" w:cstheme="minorHAnsi"/>
          <w:color w:val="000000" w:themeColor="text1"/>
        </w:rPr>
        <w:t xml:space="preserve">. 2001. </w:t>
      </w:r>
      <w:r w:rsidR="00DA4206" w:rsidRPr="009434F9">
        <w:rPr>
          <w:rFonts w:eastAsia="Times New Roman" w:cstheme="minorHAnsi"/>
          <w:color w:val="000000" w:themeColor="text1"/>
        </w:rPr>
        <w:t>“</w:t>
      </w:r>
      <w:r w:rsidRPr="009434F9">
        <w:rPr>
          <w:rFonts w:eastAsia="Times New Roman" w:cstheme="minorHAnsi"/>
          <w:color w:val="000000" w:themeColor="text1"/>
        </w:rPr>
        <w:t xml:space="preserve">Moral </w:t>
      </w:r>
      <w:r w:rsidR="00DA4206" w:rsidRPr="009434F9">
        <w:rPr>
          <w:rFonts w:eastAsia="Times New Roman" w:cstheme="minorHAnsi"/>
          <w:color w:val="000000" w:themeColor="text1"/>
        </w:rPr>
        <w:t>T</w:t>
      </w:r>
      <w:r w:rsidRPr="009434F9">
        <w:rPr>
          <w:rFonts w:eastAsia="Times New Roman" w:cstheme="minorHAnsi"/>
          <w:color w:val="000000" w:themeColor="text1"/>
        </w:rPr>
        <w:t xml:space="preserve">estimony and </w:t>
      </w:r>
      <w:r w:rsidR="00DA4206" w:rsidRPr="009434F9">
        <w:rPr>
          <w:rFonts w:eastAsia="Times New Roman" w:cstheme="minorHAnsi"/>
          <w:color w:val="000000" w:themeColor="text1"/>
        </w:rPr>
        <w:t>I</w:t>
      </w:r>
      <w:r w:rsidRPr="009434F9">
        <w:rPr>
          <w:rFonts w:eastAsia="Times New Roman" w:cstheme="minorHAnsi"/>
          <w:color w:val="000000" w:themeColor="text1"/>
        </w:rPr>
        <w:t xml:space="preserve">ts </w:t>
      </w:r>
      <w:r w:rsidR="00DA4206" w:rsidRPr="009434F9">
        <w:rPr>
          <w:rFonts w:eastAsia="Times New Roman" w:cstheme="minorHAnsi"/>
          <w:color w:val="000000" w:themeColor="text1"/>
        </w:rPr>
        <w:t>A</w:t>
      </w:r>
      <w:r w:rsidRPr="009434F9">
        <w:rPr>
          <w:rFonts w:eastAsia="Times New Roman" w:cstheme="minorHAnsi"/>
          <w:color w:val="000000" w:themeColor="text1"/>
        </w:rPr>
        <w:t>uthority.</w:t>
      </w:r>
      <w:r w:rsidR="00DA4206" w:rsidRPr="009434F9">
        <w:rPr>
          <w:rFonts w:eastAsia="Times New Roman" w:cstheme="minorHAnsi"/>
          <w:color w:val="000000" w:themeColor="text1"/>
        </w:rPr>
        <w:t>”</w:t>
      </w:r>
      <w:r w:rsidRPr="009434F9">
        <w:rPr>
          <w:rFonts w:eastAsia="Times New Roman" w:cstheme="minorHAnsi"/>
          <w:color w:val="000000" w:themeColor="text1"/>
        </w:rPr>
        <w:t xml:space="preserve"> </w:t>
      </w:r>
      <w:r w:rsidRPr="009434F9">
        <w:rPr>
          <w:rFonts w:eastAsia="Times New Roman" w:cstheme="minorHAnsi"/>
          <w:i/>
          <w:color w:val="000000" w:themeColor="text1"/>
        </w:rPr>
        <w:t xml:space="preserve">Ethical Theory and Moral Practice </w:t>
      </w:r>
      <w:r w:rsidRPr="009434F9">
        <w:rPr>
          <w:rFonts w:eastAsia="Times New Roman" w:cstheme="minorHAnsi"/>
          <w:iCs/>
          <w:color w:val="000000" w:themeColor="text1"/>
        </w:rPr>
        <w:t>4</w:t>
      </w:r>
      <w:r w:rsidR="00DA4206" w:rsidRPr="009434F9">
        <w:rPr>
          <w:rFonts w:eastAsia="Times New Roman" w:cstheme="minorHAnsi"/>
          <w:iCs/>
          <w:color w:val="000000" w:themeColor="text1"/>
        </w:rPr>
        <w:t>:</w:t>
      </w:r>
      <w:r w:rsidRPr="009434F9">
        <w:rPr>
          <w:rFonts w:eastAsia="Times New Roman" w:cstheme="minorHAnsi"/>
          <w:color w:val="000000" w:themeColor="text1"/>
        </w:rPr>
        <w:t xml:space="preserve"> 253-66.</w:t>
      </w:r>
    </w:p>
    <w:p w14:paraId="1DF2D793" w14:textId="73836FA7" w:rsidR="00FC0E3E" w:rsidRPr="009434F9" w:rsidRDefault="00001D13" w:rsidP="002E7481">
      <w:pPr>
        <w:ind w:left="720" w:hanging="720"/>
        <w:rPr>
          <w:rFonts w:cstheme="minorHAnsi"/>
        </w:rPr>
      </w:pPr>
      <w:r w:rsidRPr="009434F9">
        <w:rPr>
          <w:rFonts w:cstheme="minorHAnsi"/>
        </w:rPr>
        <w:t>Pohlhaus, G</w:t>
      </w:r>
      <w:r w:rsidR="00DA4206" w:rsidRPr="009434F9">
        <w:rPr>
          <w:rFonts w:cstheme="minorHAnsi"/>
        </w:rPr>
        <w:t>aile</w:t>
      </w:r>
      <w:r w:rsidRPr="009434F9">
        <w:rPr>
          <w:rFonts w:cstheme="minorHAnsi"/>
        </w:rPr>
        <w:t xml:space="preserve">. 2017. </w:t>
      </w:r>
      <w:r w:rsidR="00DA4206" w:rsidRPr="009434F9">
        <w:rPr>
          <w:rFonts w:cstheme="minorHAnsi"/>
        </w:rPr>
        <w:t>“</w:t>
      </w:r>
      <w:r w:rsidRPr="009434F9">
        <w:rPr>
          <w:rFonts w:cstheme="minorHAnsi"/>
        </w:rPr>
        <w:t xml:space="preserve">Varieties of </w:t>
      </w:r>
      <w:r w:rsidR="00DA4206" w:rsidRPr="009434F9">
        <w:rPr>
          <w:rFonts w:cstheme="minorHAnsi"/>
        </w:rPr>
        <w:t>E</w:t>
      </w:r>
      <w:r w:rsidRPr="009434F9">
        <w:rPr>
          <w:rFonts w:cstheme="minorHAnsi"/>
        </w:rPr>
        <w:t xml:space="preserve">pistemic </w:t>
      </w:r>
      <w:r w:rsidR="00DA4206" w:rsidRPr="009434F9">
        <w:rPr>
          <w:rFonts w:cstheme="minorHAnsi"/>
        </w:rPr>
        <w:t>I</w:t>
      </w:r>
      <w:r w:rsidRPr="009434F9">
        <w:rPr>
          <w:rFonts w:cstheme="minorHAnsi"/>
        </w:rPr>
        <w:t>njustice.</w:t>
      </w:r>
      <w:r w:rsidR="00DA4206" w:rsidRPr="009434F9">
        <w:rPr>
          <w:rFonts w:cstheme="minorHAnsi"/>
        </w:rPr>
        <w:t>”</w:t>
      </w:r>
      <w:r w:rsidRPr="009434F9">
        <w:rPr>
          <w:rFonts w:cstheme="minorHAnsi"/>
        </w:rPr>
        <w:t xml:space="preserve"> In </w:t>
      </w:r>
      <w:r w:rsidRPr="009434F9">
        <w:rPr>
          <w:rFonts w:cstheme="minorHAnsi"/>
          <w:i/>
          <w:iCs/>
        </w:rPr>
        <w:t xml:space="preserve">The </w:t>
      </w:r>
      <w:r w:rsidR="00B6327B" w:rsidRPr="009434F9">
        <w:rPr>
          <w:rFonts w:cstheme="minorHAnsi"/>
          <w:i/>
          <w:iCs/>
        </w:rPr>
        <w:t>R</w:t>
      </w:r>
      <w:r w:rsidRPr="009434F9">
        <w:rPr>
          <w:rFonts w:cstheme="minorHAnsi"/>
          <w:i/>
          <w:iCs/>
        </w:rPr>
        <w:t>outledge</w:t>
      </w:r>
      <w:r w:rsidR="00B6327B" w:rsidRPr="009434F9">
        <w:rPr>
          <w:rFonts w:cstheme="minorHAnsi"/>
          <w:i/>
          <w:iCs/>
        </w:rPr>
        <w:t xml:space="preserve"> H</w:t>
      </w:r>
      <w:r w:rsidRPr="009434F9">
        <w:rPr>
          <w:rFonts w:cstheme="minorHAnsi"/>
          <w:i/>
          <w:iCs/>
        </w:rPr>
        <w:t xml:space="preserve">andbook of </w:t>
      </w:r>
      <w:r w:rsidR="00B6327B" w:rsidRPr="009434F9">
        <w:rPr>
          <w:rFonts w:cstheme="minorHAnsi"/>
          <w:i/>
          <w:iCs/>
        </w:rPr>
        <w:t>E</w:t>
      </w:r>
      <w:r w:rsidRPr="009434F9">
        <w:rPr>
          <w:rFonts w:cstheme="minorHAnsi"/>
          <w:i/>
          <w:iCs/>
        </w:rPr>
        <w:t xml:space="preserve">pistemic </w:t>
      </w:r>
      <w:r w:rsidR="00B6327B" w:rsidRPr="009434F9">
        <w:rPr>
          <w:rFonts w:cstheme="minorHAnsi"/>
          <w:i/>
          <w:iCs/>
        </w:rPr>
        <w:t>I</w:t>
      </w:r>
      <w:r w:rsidRPr="009434F9">
        <w:rPr>
          <w:rFonts w:cstheme="minorHAnsi"/>
          <w:i/>
          <w:iCs/>
        </w:rPr>
        <w:t>njustice</w:t>
      </w:r>
      <w:r w:rsidR="00B6327B" w:rsidRPr="009434F9">
        <w:rPr>
          <w:rFonts w:cstheme="minorHAnsi"/>
        </w:rPr>
        <w:t>, edited by Ian James Kidd, Gaile Pohlhaus &amp; José Médina Médina.</w:t>
      </w:r>
    </w:p>
    <w:p w14:paraId="549A013A" w14:textId="7486A7D5" w:rsidR="00FC0E3E" w:rsidRPr="009434F9" w:rsidRDefault="00001D13" w:rsidP="002E7481">
      <w:pPr>
        <w:ind w:left="720" w:hanging="720"/>
        <w:rPr>
          <w:rFonts w:cstheme="minorHAnsi"/>
        </w:rPr>
      </w:pPr>
      <w:r w:rsidRPr="009434F9">
        <w:rPr>
          <w:rFonts w:cstheme="minorHAnsi"/>
        </w:rPr>
        <w:t>Schmitt, F</w:t>
      </w:r>
      <w:r w:rsidR="00B6327B" w:rsidRPr="009434F9">
        <w:rPr>
          <w:rFonts w:cstheme="minorHAnsi"/>
        </w:rPr>
        <w:t>rederick</w:t>
      </w:r>
      <w:r w:rsidRPr="009434F9">
        <w:rPr>
          <w:rFonts w:cstheme="minorHAnsi"/>
        </w:rPr>
        <w:t xml:space="preserve"> F. 2010. </w:t>
      </w:r>
      <w:r w:rsidR="00B6327B" w:rsidRPr="009434F9">
        <w:rPr>
          <w:rFonts w:cstheme="minorHAnsi"/>
        </w:rPr>
        <w:t>“</w:t>
      </w:r>
      <w:r w:rsidRPr="009434F9">
        <w:rPr>
          <w:rFonts w:cstheme="minorHAnsi"/>
        </w:rPr>
        <w:t xml:space="preserve">The </w:t>
      </w:r>
      <w:r w:rsidR="00B6327B" w:rsidRPr="009434F9">
        <w:rPr>
          <w:rFonts w:cstheme="minorHAnsi"/>
        </w:rPr>
        <w:t>A</w:t>
      </w:r>
      <w:r w:rsidRPr="009434F9">
        <w:rPr>
          <w:rFonts w:cstheme="minorHAnsi"/>
        </w:rPr>
        <w:t xml:space="preserve">ssurance </w:t>
      </w:r>
      <w:r w:rsidR="00B6327B" w:rsidRPr="009434F9">
        <w:rPr>
          <w:rFonts w:cstheme="minorHAnsi"/>
        </w:rPr>
        <w:t>V</w:t>
      </w:r>
      <w:r w:rsidRPr="009434F9">
        <w:rPr>
          <w:rFonts w:cstheme="minorHAnsi"/>
        </w:rPr>
        <w:t xml:space="preserve">iew of </w:t>
      </w:r>
      <w:r w:rsidR="00B6327B" w:rsidRPr="009434F9">
        <w:rPr>
          <w:rFonts w:cstheme="minorHAnsi"/>
        </w:rPr>
        <w:t>T</w:t>
      </w:r>
      <w:r w:rsidRPr="009434F9">
        <w:rPr>
          <w:rFonts w:cstheme="minorHAnsi"/>
        </w:rPr>
        <w:t>estimony.</w:t>
      </w:r>
      <w:r w:rsidR="00B6327B" w:rsidRPr="009434F9">
        <w:rPr>
          <w:rFonts w:cstheme="minorHAnsi"/>
        </w:rPr>
        <w:t>”</w:t>
      </w:r>
      <w:r w:rsidRPr="009434F9">
        <w:rPr>
          <w:rFonts w:cstheme="minorHAnsi"/>
        </w:rPr>
        <w:t xml:space="preserve"> In </w:t>
      </w:r>
      <w:r w:rsidR="00B6327B" w:rsidRPr="009434F9">
        <w:rPr>
          <w:rFonts w:cstheme="minorHAnsi"/>
          <w:i/>
          <w:iCs/>
        </w:rPr>
        <w:t>Social Epistemology</w:t>
      </w:r>
      <w:r w:rsidR="00B6327B" w:rsidRPr="009434F9">
        <w:rPr>
          <w:rFonts w:cstheme="minorHAnsi"/>
        </w:rPr>
        <w:t xml:space="preserve">, edited by </w:t>
      </w:r>
      <w:r w:rsidRPr="009434F9">
        <w:rPr>
          <w:rFonts w:cstheme="minorHAnsi"/>
        </w:rPr>
        <w:t>A</w:t>
      </w:r>
      <w:r w:rsidR="00B6327B" w:rsidRPr="009434F9">
        <w:rPr>
          <w:rFonts w:cstheme="minorHAnsi"/>
        </w:rPr>
        <w:t>drian</w:t>
      </w:r>
      <w:r w:rsidRPr="009434F9">
        <w:rPr>
          <w:rFonts w:cstheme="minorHAnsi"/>
        </w:rPr>
        <w:t xml:space="preserve"> Haddock, A</w:t>
      </w:r>
      <w:r w:rsidR="00B6327B" w:rsidRPr="009434F9">
        <w:rPr>
          <w:rFonts w:cstheme="minorHAnsi"/>
        </w:rPr>
        <w:t>lan</w:t>
      </w:r>
      <w:r w:rsidRPr="009434F9">
        <w:rPr>
          <w:rFonts w:cstheme="minorHAnsi"/>
        </w:rPr>
        <w:t xml:space="preserve"> Miller, </w:t>
      </w:r>
      <w:r w:rsidR="001A47C9" w:rsidRPr="009434F9">
        <w:rPr>
          <w:rFonts w:cstheme="minorHAnsi"/>
        </w:rPr>
        <w:t>and</w:t>
      </w:r>
      <w:r w:rsidRPr="009434F9">
        <w:rPr>
          <w:rFonts w:cstheme="minorHAnsi"/>
        </w:rPr>
        <w:t xml:space="preserve"> D</w:t>
      </w:r>
      <w:r w:rsidR="00B6327B" w:rsidRPr="009434F9">
        <w:rPr>
          <w:rFonts w:cstheme="minorHAnsi"/>
        </w:rPr>
        <w:t>uncan</w:t>
      </w:r>
      <w:r w:rsidRPr="009434F9">
        <w:rPr>
          <w:rFonts w:cstheme="minorHAnsi"/>
        </w:rPr>
        <w:t xml:space="preserve"> Pritchard, 216-42. Oxford University Press.</w:t>
      </w:r>
    </w:p>
    <w:p w14:paraId="053A6F65" w14:textId="41330302" w:rsidR="00FC0E3E" w:rsidRPr="009434F9" w:rsidRDefault="00DC7C06" w:rsidP="002E7481">
      <w:pPr>
        <w:ind w:left="720" w:hanging="720"/>
        <w:rPr>
          <w:rFonts w:cstheme="minorHAnsi"/>
        </w:rPr>
      </w:pPr>
      <w:r w:rsidRPr="009434F9">
        <w:rPr>
          <w:rFonts w:cstheme="minorHAnsi"/>
        </w:rPr>
        <w:t xml:space="preserve">Schulman, </w:t>
      </w:r>
      <w:r w:rsidR="00C301B3" w:rsidRPr="009434F9">
        <w:rPr>
          <w:rFonts w:cstheme="minorHAnsi"/>
        </w:rPr>
        <w:t>S</w:t>
      </w:r>
      <w:r w:rsidR="00B6327B" w:rsidRPr="009434F9">
        <w:rPr>
          <w:rFonts w:cstheme="minorHAnsi"/>
        </w:rPr>
        <w:t>arah</w:t>
      </w:r>
      <w:r w:rsidRPr="009434F9">
        <w:rPr>
          <w:rFonts w:cstheme="minorHAnsi"/>
        </w:rPr>
        <w:t xml:space="preserve">. 2016. </w:t>
      </w:r>
      <w:r w:rsidRPr="009434F9">
        <w:rPr>
          <w:rFonts w:cstheme="minorHAnsi"/>
          <w:i/>
          <w:iCs/>
        </w:rPr>
        <w:t>Conflict Is Not Abuse: Overstating Harm, Community Responsibility, and the Duty of Repair</w:t>
      </w:r>
      <w:r w:rsidRPr="009434F9">
        <w:rPr>
          <w:rFonts w:cstheme="minorHAnsi"/>
        </w:rPr>
        <w:t>. Vancouver: Arsenal Pulp Press.</w:t>
      </w:r>
    </w:p>
    <w:p w14:paraId="2671C0AA" w14:textId="58CBBE39" w:rsidR="00FC0E3E" w:rsidRPr="009434F9" w:rsidRDefault="00001D13" w:rsidP="002E7481">
      <w:pPr>
        <w:ind w:left="720" w:hanging="720"/>
        <w:rPr>
          <w:rFonts w:cstheme="minorHAnsi"/>
        </w:rPr>
      </w:pPr>
      <w:r w:rsidRPr="009434F9">
        <w:rPr>
          <w:rFonts w:cstheme="minorHAnsi"/>
        </w:rPr>
        <w:t>Simpson, R</w:t>
      </w:r>
      <w:r w:rsidR="00B6327B" w:rsidRPr="009434F9">
        <w:rPr>
          <w:rFonts w:cstheme="minorHAnsi"/>
        </w:rPr>
        <w:t>obert Mark</w:t>
      </w:r>
      <w:r w:rsidRPr="009434F9">
        <w:rPr>
          <w:rFonts w:cstheme="minorHAnsi"/>
        </w:rPr>
        <w:t xml:space="preserve">. 2013. </w:t>
      </w:r>
      <w:r w:rsidR="00B6327B" w:rsidRPr="009434F9">
        <w:rPr>
          <w:rFonts w:cstheme="minorHAnsi"/>
        </w:rPr>
        <w:t>“</w:t>
      </w:r>
      <w:r w:rsidRPr="009434F9">
        <w:rPr>
          <w:rFonts w:cstheme="minorHAnsi"/>
        </w:rPr>
        <w:t xml:space="preserve">Epistemic </w:t>
      </w:r>
      <w:r w:rsidR="00B6327B" w:rsidRPr="009434F9">
        <w:rPr>
          <w:rFonts w:cstheme="minorHAnsi"/>
        </w:rPr>
        <w:t>P</w:t>
      </w:r>
      <w:r w:rsidRPr="009434F9">
        <w:rPr>
          <w:rFonts w:cstheme="minorHAnsi"/>
        </w:rPr>
        <w:t xml:space="preserve">eerhood and the </w:t>
      </w:r>
      <w:r w:rsidR="00B6327B" w:rsidRPr="009434F9">
        <w:rPr>
          <w:rFonts w:cstheme="minorHAnsi"/>
        </w:rPr>
        <w:t>E</w:t>
      </w:r>
      <w:r w:rsidRPr="009434F9">
        <w:rPr>
          <w:rFonts w:cstheme="minorHAnsi"/>
        </w:rPr>
        <w:t xml:space="preserve">pistemology of </w:t>
      </w:r>
      <w:r w:rsidR="00B6327B" w:rsidRPr="009434F9">
        <w:rPr>
          <w:rFonts w:cstheme="minorHAnsi"/>
        </w:rPr>
        <w:t>D</w:t>
      </w:r>
      <w:r w:rsidRPr="009434F9">
        <w:rPr>
          <w:rFonts w:cstheme="minorHAnsi"/>
        </w:rPr>
        <w:t>isagreement.</w:t>
      </w:r>
      <w:r w:rsidR="00B6327B" w:rsidRPr="009434F9">
        <w:rPr>
          <w:rFonts w:cstheme="minorHAnsi"/>
        </w:rPr>
        <w:t>”</w:t>
      </w:r>
      <w:r w:rsidRPr="009434F9">
        <w:rPr>
          <w:rFonts w:cstheme="minorHAnsi"/>
        </w:rPr>
        <w:t xml:space="preserve"> </w:t>
      </w:r>
      <w:r w:rsidRPr="009434F9">
        <w:rPr>
          <w:rFonts w:cstheme="minorHAnsi"/>
          <w:i/>
          <w:iCs/>
        </w:rPr>
        <w:t>Philosophical Studies</w:t>
      </w:r>
      <w:r w:rsidRPr="009434F9">
        <w:rPr>
          <w:rFonts w:cstheme="minorHAnsi"/>
        </w:rPr>
        <w:t xml:space="preserve"> 164</w:t>
      </w:r>
      <w:r w:rsidR="00B6327B" w:rsidRPr="009434F9">
        <w:rPr>
          <w:rFonts w:cstheme="minorHAnsi"/>
        </w:rPr>
        <w:t>:</w:t>
      </w:r>
      <w:r w:rsidRPr="009434F9">
        <w:rPr>
          <w:rFonts w:cstheme="minorHAnsi"/>
        </w:rPr>
        <w:t xml:space="preserve"> 561-77.</w:t>
      </w:r>
    </w:p>
    <w:p w14:paraId="146B6C98" w14:textId="2920DBDB" w:rsidR="00C301B3" w:rsidRPr="009434F9" w:rsidRDefault="00C301B3" w:rsidP="002E7481">
      <w:pPr>
        <w:ind w:left="720" w:hanging="720"/>
        <w:rPr>
          <w:rFonts w:cstheme="minorHAnsi"/>
        </w:rPr>
      </w:pPr>
      <w:r w:rsidRPr="009434F9">
        <w:rPr>
          <w:rFonts w:cstheme="minorHAnsi"/>
        </w:rPr>
        <w:t>Sliwa, P</w:t>
      </w:r>
      <w:r w:rsidR="00B6327B" w:rsidRPr="009434F9">
        <w:rPr>
          <w:rFonts w:cstheme="minorHAnsi"/>
        </w:rPr>
        <w:t>aulina</w:t>
      </w:r>
      <w:r w:rsidRPr="009434F9">
        <w:rPr>
          <w:rFonts w:cstheme="minorHAnsi"/>
        </w:rPr>
        <w:t xml:space="preserve">. 2012. </w:t>
      </w:r>
      <w:r w:rsidR="00B6327B" w:rsidRPr="009434F9">
        <w:rPr>
          <w:rFonts w:cstheme="minorHAnsi"/>
        </w:rPr>
        <w:t>“</w:t>
      </w:r>
      <w:r w:rsidRPr="009434F9">
        <w:rPr>
          <w:rFonts w:cstheme="minorHAnsi"/>
        </w:rPr>
        <w:t>In Defense of Moral Testimony.</w:t>
      </w:r>
      <w:r w:rsidR="00B6327B" w:rsidRPr="009434F9">
        <w:rPr>
          <w:rFonts w:cstheme="minorHAnsi"/>
        </w:rPr>
        <w:t>”</w:t>
      </w:r>
      <w:r w:rsidRPr="009434F9">
        <w:rPr>
          <w:rFonts w:cstheme="minorHAnsi"/>
        </w:rPr>
        <w:t xml:space="preserve"> </w:t>
      </w:r>
      <w:r w:rsidRPr="009434F9">
        <w:rPr>
          <w:rFonts w:cstheme="minorHAnsi"/>
          <w:i/>
          <w:iCs/>
        </w:rPr>
        <w:t>Philosophical Studies</w:t>
      </w:r>
      <w:r w:rsidRPr="009434F9">
        <w:rPr>
          <w:rFonts w:cstheme="minorHAnsi"/>
        </w:rPr>
        <w:t xml:space="preserve"> 158: 175–95.</w:t>
      </w:r>
    </w:p>
    <w:p w14:paraId="106F1D68" w14:textId="23DBA761" w:rsidR="00FC0E3E" w:rsidRPr="009434F9" w:rsidRDefault="00FF622C" w:rsidP="002E7481">
      <w:pPr>
        <w:ind w:left="720" w:hanging="720"/>
        <w:rPr>
          <w:rFonts w:cstheme="minorHAnsi"/>
          <w:i/>
          <w:iCs/>
        </w:rPr>
      </w:pPr>
      <w:r w:rsidRPr="009434F9">
        <w:rPr>
          <w:rFonts w:cstheme="minorHAnsi"/>
        </w:rPr>
        <w:t>Strawson, P</w:t>
      </w:r>
      <w:r w:rsidR="00DF4456" w:rsidRPr="009434F9">
        <w:rPr>
          <w:rFonts w:cstheme="minorHAnsi"/>
        </w:rPr>
        <w:t>. F.</w:t>
      </w:r>
      <w:r w:rsidRPr="009434F9">
        <w:rPr>
          <w:rFonts w:cstheme="minorHAnsi"/>
        </w:rPr>
        <w:t xml:space="preserve"> 1962. “Freedom and Resentment.” In </w:t>
      </w:r>
      <w:r w:rsidRPr="009434F9">
        <w:rPr>
          <w:rFonts w:cstheme="minorHAnsi"/>
          <w:i/>
          <w:iCs/>
        </w:rPr>
        <w:t>Freedom and Resentment and Other Essays</w:t>
      </w:r>
      <w:r w:rsidRPr="009434F9">
        <w:rPr>
          <w:rFonts w:cstheme="minorHAnsi"/>
        </w:rPr>
        <w:t>. New York and London: Routledge, 2008.</w:t>
      </w:r>
    </w:p>
    <w:p w14:paraId="3B1BF12A" w14:textId="5CBCFF77" w:rsidR="00FC0E3E" w:rsidRPr="009434F9" w:rsidRDefault="00001D13" w:rsidP="002E7481">
      <w:pPr>
        <w:ind w:left="720" w:hanging="720"/>
        <w:rPr>
          <w:rFonts w:cstheme="minorHAnsi"/>
        </w:rPr>
      </w:pPr>
      <w:r w:rsidRPr="009434F9">
        <w:rPr>
          <w:rFonts w:cstheme="minorHAnsi"/>
        </w:rPr>
        <w:t xml:space="preserve">Táíwò, </w:t>
      </w:r>
      <w:r w:rsidR="00C301B3" w:rsidRPr="009434F9">
        <w:rPr>
          <w:rFonts w:cstheme="minorHAnsi"/>
        </w:rPr>
        <w:t>O</w:t>
      </w:r>
      <w:r w:rsidR="00DF4456" w:rsidRPr="009434F9">
        <w:rPr>
          <w:rFonts w:cstheme="minorHAnsi"/>
        </w:rPr>
        <w:t>lúfémi</w:t>
      </w:r>
      <w:r w:rsidRPr="009434F9">
        <w:rPr>
          <w:rFonts w:cstheme="minorHAnsi"/>
        </w:rPr>
        <w:t xml:space="preserve">. 2021. </w:t>
      </w:r>
      <w:r w:rsidR="00DF4456" w:rsidRPr="009434F9">
        <w:rPr>
          <w:rFonts w:cstheme="minorHAnsi"/>
        </w:rPr>
        <w:t>“</w:t>
      </w:r>
      <w:r w:rsidRPr="009434F9">
        <w:rPr>
          <w:rFonts w:cstheme="minorHAnsi"/>
        </w:rPr>
        <w:t>Being-in-the-</w:t>
      </w:r>
      <w:r w:rsidR="00DF4456" w:rsidRPr="009434F9">
        <w:rPr>
          <w:rFonts w:cstheme="minorHAnsi"/>
        </w:rPr>
        <w:t>R</w:t>
      </w:r>
      <w:r w:rsidRPr="009434F9">
        <w:rPr>
          <w:rFonts w:cstheme="minorHAnsi"/>
        </w:rPr>
        <w:t xml:space="preserve">oom </w:t>
      </w:r>
      <w:r w:rsidR="00DF4456" w:rsidRPr="009434F9">
        <w:rPr>
          <w:rFonts w:cstheme="minorHAnsi"/>
        </w:rPr>
        <w:t>P</w:t>
      </w:r>
      <w:r w:rsidRPr="009434F9">
        <w:rPr>
          <w:rFonts w:cstheme="minorHAnsi"/>
        </w:rPr>
        <w:t xml:space="preserve">rivilege: Elite </w:t>
      </w:r>
      <w:r w:rsidR="00DF4456" w:rsidRPr="009434F9">
        <w:rPr>
          <w:rFonts w:cstheme="minorHAnsi"/>
        </w:rPr>
        <w:t>C</w:t>
      </w:r>
      <w:r w:rsidRPr="009434F9">
        <w:rPr>
          <w:rFonts w:cstheme="minorHAnsi"/>
        </w:rPr>
        <w:t xml:space="preserve">apture and </w:t>
      </w:r>
      <w:r w:rsidR="00DF4456" w:rsidRPr="009434F9">
        <w:rPr>
          <w:rFonts w:cstheme="minorHAnsi"/>
        </w:rPr>
        <w:t>E</w:t>
      </w:r>
      <w:r w:rsidRPr="009434F9">
        <w:rPr>
          <w:rFonts w:cstheme="minorHAnsi"/>
        </w:rPr>
        <w:t xml:space="preserve">pistemic </w:t>
      </w:r>
      <w:r w:rsidR="00DF4456" w:rsidRPr="009434F9">
        <w:rPr>
          <w:rFonts w:cstheme="minorHAnsi"/>
        </w:rPr>
        <w:t>D</w:t>
      </w:r>
      <w:r w:rsidRPr="009434F9">
        <w:rPr>
          <w:rFonts w:cstheme="minorHAnsi"/>
        </w:rPr>
        <w:t>eference.</w:t>
      </w:r>
      <w:r w:rsidR="00DF4456" w:rsidRPr="009434F9">
        <w:rPr>
          <w:rFonts w:cstheme="minorHAnsi"/>
        </w:rPr>
        <w:t>”</w:t>
      </w:r>
      <w:r w:rsidRPr="009434F9">
        <w:rPr>
          <w:rFonts w:cstheme="minorHAnsi"/>
        </w:rPr>
        <w:t xml:space="preserve"> </w:t>
      </w:r>
      <w:r w:rsidRPr="009434F9">
        <w:rPr>
          <w:rFonts w:cstheme="minorHAnsi"/>
          <w:i/>
          <w:iCs/>
        </w:rPr>
        <w:t>The Philosopher</w:t>
      </w:r>
      <w:r w:rsidRPr="009434F9">
        <w:rPr>
          <w:rFonts w:cstheme="minorHAnsi"/>
        </w:rPr>
        <w:t xml:space="preserve"> 108</w:t>
      </w:r>
      <w:r w:rsidR="00DF4456" w:rsidRPr="009434F9">
        <w:rPr>
          <w:rFonts w:cstheme="minorHAnsi"/>
        </w:rPr>
        <w:t xml:space="preserve"> </w:t>
      </w:r>
      <w:r w:rsidRPr="009434F9">
        <w:rPr>
          <w:rFonts w:cstheme="minorHAnsi"/>
        </w:rPr>
        <w:t>(4).</w:t>
      </w:r>
    </w:p>
    <w:p w14:paraId="2120FD9A" w14:textId="1D7BF4AC" w:rsidR="00FC0E3E" w:rsidRPr="009434F9" w:rsidRDefault="00001D13" w:rsidP="002E7481">
      <w:pPr>
        <w:ind w:left="720" w:hanging="720"/>
        <w:rPr>
          <w:rFonts w:cstheme="minorHAnsi"/>
        </w:rPr>
      </w:pPr>
      <w:r w:rsidRPr="009434F9">
        <w:rPr>
          <w:rFonts w:cstheme="minorHAnsi"/>
        </w:rPr>
        <w:t>Thomas, L</w:t>
      </w:r>
      <w:r w:rsidR="00DF4456" w:rsidRPr="009434F9">
        <w:rPr>
          <w:rFonts w:cstheme="minorHAnsi"/>
        </w:rPr>
        <w:t>aurence</w:t>
      </w:r>
      <w:r w:rsidRPr="009434F9">
        <w:rPr>
          <w:rFonts w:cstheme="minorHAnsi"/>
        </w:rPr>
        <w:t xml:space="preserve">. 1998. </w:t>
      </w:r>
      <w:r w:rsidR="00DF4456" w:rsidRPr="009434F9">
        <w:rPr>
          <w:rFonts w:cstheme="minorHAnsi"/>
        </w:rPr>
        <w:t>“</w:t>
      </w:r>
      <w:r w:rsidRPr="009434F9">
        <w:rPr>
          <w:rFonts w:cstheme="minorHAnsi"/>
        </w:rPr>
        <w:t>Moral</w:t>
      </w:r>
      <w:r w:rsidR="00DF4456" w:rsidRPr="009434F9">
        <w:rPr>
          <w:rFonts w:cstheme="minorHAnsi"/>
        </w:rPr>
        <w:t xml:space="preserve"> D</w:t>
      </w:r>
      <w:r w:rsidRPr="009434F9">
        <w:rPr>
          <w:rFonts w:cstheme="minorHAnsi"/>
        </w:rPr>
        <w:t>eference.</w:t>
      </w:r>
      <w:r w:rsidR="00DF4456" w:rsidRPr="009434F9">
        <w:rPr>
          <w:rFonts w:cstheme="minorHAnsi"/>
        </w:rPr>
        <w:t>”</w:t>
      </w:r>
      <w:r w:rsidRPr="009434F9">
        <w:rPr>
          <w:rFonts w:cstheme="minorHAnsi"/>
        </w:rPr>
        <w:t xml:space="preserve"> In </w:t>
      </w:r>
      <w:r w:rsidRPr="009434F9">
        <w:rPr>
          <w:rFonts w:cstheme="minorHAnsi"/>
          <w:i/>
          <w:iCs/>
        </w:rPr>
        <w:t xml:space="preserve">Theorizing </w:t>
      </w:r>
      <w:r w:rsidR="00DF4456" w:rsidRPr="009434F9">
        <w:rPr>
          <w:rFonts w:cstheme="minorHAnsi"/>
          <w:i/>
          <w:iCs/>
        </w:rPr>
        <w:t>M</w:t>
      </w:r>
      <w:r w:rsidRPr="009434F9">
        <w:rPr>
          <w:rFonts w:cstheme="minorHAnsi"/>
          <w:i/>
          <w:iCs/>
        </w:rPr>
        <w:t>ulticulturalism</w:t>
      </w:r>
      <w:r w:rsidR="00DF4456" w:rsidRPr="009434F9">
        <w:rPr>
          <w:rFonts w:cstheme="minorHAnsi"/>
        </w:rPr>
        <w:t>, edited by Cynthia Willet</w:t>
      </w:r>
      <w:r w:rsidRPr="009434F9">
        <w:rPr>
          <w:rFonts w:cstheme="minorHAnsi"/>
        </w:rPr>
        <w:t>. 359-81.</w:t>
      </w:r>
    </w:p>
    <w:p w14:paraId="40B80BFA" w14:textId="63A800AF" w:rsidR="005171A4" w:rsidRPr="009434F9" w:rsidRDefault="005171A4" w:rsidP="002E7481">
      <w:pPr>
        <w:ind w:left="720" w:hanging="720"/>
        <w:rPr>
          <w:rFonts w:cstheme="minorHAnsi"/>
        </w:rPr>
      </w:pPr>
      <w:r w:rsidRPr="009434F9">
        <w:rPr>
          <w:rFonts w:cstheme="minorHAnsi"/>
        </w:rPr>
        <w:t>Wiland, E</w:t>
      </w:r>
      <w:r w:rsidR="00DF4456" w:rsidRPr="009434F9">
        <w:rPr>
          <w:rFonts w:cstheme="minorHAnsi"/>
        </w:rPr>
        <w:t>ric</w:t>
      </w:r>
      <w:r w:rsidRPr="009434F9">
        <w:rPr>
          <w:rFonts w:cstheme="minorHAnsi"/>
        </w:rPr>
        <w:t xml:space="preserve">. 2021. </w:t>
      </w:r>
      <w:r w:rsidRPr="009434F9">
        <w:rPr>
          <w:rFonts w:cstheme="minorHAnsi"/>
          <w:i/>
          <w:iCs/>
        </w:rPr>
        <w:t xml:space="preserve">Guided By Voices: Moral </w:t>
      </w:r>
      <w:r w:rsidR="00DF4456" w:rsidRPr="009434F9">
        <w:rPr>
          <w:rFonts w:cstheme="minorHAnsi"/>
          <w:i/>
          <w:iCs/>
        </w:rPr>
        <w:t>T</w:t>
      </w:r>
      <w:r w:rsidRPr="009434F9">
        <w:rPr>
          <w:rFonts w:cstheme="minorHAnsi"/>
          <w:i/>
          <w:iCs/>
        </w:rPr>
        <w:t xml:space="preserve">estimony, </w:t>
      </w:r>
      <w:r w:rsidR="00DF4456" w:rsidRPr="009434F9">
        <w:rPr>
          <w:rFonts w:cstheme="minorHAnsi"/>
          <w:i/>
          <w:iCs/>
        </w:rPr>
        <w:t>A</w:t>
      </w:r>
      <w:r w:rsidRPr="009434F9">
        <w:rPr>
          <w:rFonts w:cstheme="minorHAnsi"/>
          <w:i/>
          <w:iCs/>
        </w:rPr>
        <w:t>dvice</w:t>
      </w:r>
      <w:r w:rsidR="00DF4456" w:rsidRPr="009434F9">
        <w:rPr>
          <w:rFonts w:cstheme="minorHAnsi"/>
          <w:i/>
          <w:iCs/>
        </w:rPr>
        <w:t>, and</w:t>
      </w:r>
      <w:r w:rsidRPr="009434F9">
        <w:rPr>
          <w:rFonts w:cstheme="minorHAnsi"/>
          <w:i/>
          <w:iCs/>
        </w:rPr>
        <w:t xml:space="preserve"> </w:t>
      </w:r>
      <w:r w:rsidR="00DF4456" w:rsidRPr="009434F9">
        <w:rPr>
          <w:rFonts w:cstheme="minorHAnsi"/>
          <w:i/>
          <w:iCs/>
        </w:rPr>
        <w:t>F</w:t>
      </w:r>
      <w:r w:rsidRPr="009434F9">
        <w:rPr>
          <w:rFonts w:cstheme="minorHAnsi"/>
          <w:i/>
          <w:iCs/>
        </w:rPr>
        <w:t>orging a ‘</w:t>
      </w:r>
      <w:r w:rsidR="00DF4456" w:rsidRPr="009434F9">
        <w:rPr>
          <w:rFonts w:cstheme="minorHAnsi"/>
          <w:i/>
          <w:iCs/>
        </w:rPr>
        <w:t>W</w:t>
      </w:r>
      <w:r w:rsidRPr="009434F9">
        <w:rPr>
          <w:rFonts w:cstheme="minorHAnsi"/>
          <w:i/>
          <w:iCs/>
        </w:rPr>
        <w:t xml:space="preserve">e’. </w:t>
      </w:r>
      <w:r w:rsidR="00AE7233">
        <w:rPr>
          <w:rFonts w:cstheme="minorHAnsi"/>
        </w:rPr>
        <w:t>New York</w:t>
      </w:r>
      <w:r w:rsidR="00AE2DAA" w:rsidRPr="009434F9">
        <w:rPr>
          <w:rFonts w:cstheme="minorHAnsi"/>
        </w:rPr>
        <w:t xml:space="preserve">: </w:t>
      </w:r>
      <w:r w:rsidRPr="009434F9">
        <w:rPr>
          <w:rFonts w:cstheme="minorHAnsi"/>
        </w:rPr>
        <w:t>Oxford University Press.</w:t>
      </w:r>
    </w:p>
    <w:p w14:paraId="03127236" w14:textId="3E8DF35E" w:rsidR="00FC0E3E" w:rsidRPr="009434F9" w:rsidRDefault="00001D13" w:rsidP="002E7481">
      <w:pPr>
        <w:ind w:left="720" w:hanging="720"/>
        <w:rPr>
          <w:rFonts w:cstheme="minorHAnsi"/>
        </w:rPr>
      </w:pPr>
      <w:r w:rsidRPr="009434F9">
        <w:rPr>
          <w:rFonts w:cstheme="minorHAnsi"/>
        </w:rPr>
        <w:t>Young, I</w:t>
      </w:r>
      <w:r w:rsidR="00AE2DAA" w:rsidRPr="009434F9">
        <w:rPr>
          <w:rFonts w:cstheme="minorHAnsi"/>
        </w:rPr>
        <w:t>ris</w:t>
      </w:r>
      <w:r w:rsidRPr="009434F9">
        <w:rPr>
          <w:rFonts w:cstheme="minorHAnsi"/>
        </w:rPr>
        <w:t xml:space="preserve"> M</w:t>
      </w:r>
      <w:r w:rsidR="00AE2DAA" w:rsidRPr="009434F9">
        <w:rPr>
          <w:rFonts w:cstheme="minorHAnsi"/>
        </w:rPr>
        <w:t>arion</w:t>
      </w:r>
      <w:r w:rsidRPr="009434F9">
        <w:rPr>
          <w:rFonts w:cstheme="minorHAnsi"/>
        </w:rPr>
        <w:t xml:space="preserve">. 2014. </w:t>
      </w:r>
      <w:r w:rsidR="00AE2DAA" w:rsidRPr="009434F9">
        <w:rPr>
          <w:rFonts w:cstheme="minorHAnsi"/>
        </w:rPr>
        <w:t>“</w:t>
      </w:r>
      <w:r w:rsidRPr="009434F9">
        <w:rPr>
          <w:rFonts w:cstheme="minorHAnsi"/>
        </w:rPr>
        <w:t xml:space="preserve">Five </w:t>
      </w:r>
      <w:r w:rsidR="00AE2DAA" w:rsidRPr="009434F9">
        <w:rPr>
          <w:rFonts w:cstheme="minorHAnsi"/>
        </w:rPr>
        <w:t>F</w:t>
      </w:r>
      <w:r w:rsidRPr="009434F9">
        <w:rPr>
          <w:rFonts w:cstheme="minorHAnsi"/>
        </w:rPr>
        <w:t xml:space="preserve">aces of </w:t>
      </w:r>
      <w:r w:rsidR="00AE2DAA" w:rsidRPr="009434F9">
        <w:rPr>
          <w:rFonts w:cstheme="minorHAnsi"/>
        </w:rPr>
        <w:t>O</w:t>
      </w:r>
      <w:r w:rsidRPr="009434F9">
        <w:rPr>
          <w:rFonts w:cstheme="minorHAnsi"/>
        </w:rPr>
        <w:t>ppression.</w:t>
      </w:r>
      <w:r w:rsidR="00AE2DAA" w:rsidRPr="009434F9">
        <w:rPr>
          <w:rFonts w:cstheme="minorHAnsi"/>
        </w:rPr>
        <w:t>”</w:t>
      </w:r>
      <w:r w:rsidRPr="009434F9">
        <w:rPr>
          <w:rFonts w:cstheme="minorHAnsi"/>
        </w:rPr>
        <w:t xml:space="preserve"> In </w:t>
      </w:r>
      <w:r w:rsidRPr="009434F9">
        <w:rPr>
          <w:rFonts w:cstheme="minorHAnsi"/>
          <w:i/>
          <w:iCs/>
        </w:rPr>
        <w:t xml:space="preserve">Diversity, </w:t>
      </w:r>
      <w:r w:rsidR="00AE2DAA" w:rsidRPr="009434F9">
        <w:rPr>
          <w:rFonts w:cstheme="minorHAnsi"/>
          <w:i/>
          <w:iCs/>
        </w:rPr>
        <w:t>S</w:t>
      </w:r>
      <w:r w:rsidRPr="009434F9">
        <w:rPr>
          <w:rFonts w:cstheme="minorHAnsi"/>
          <w:i/>
          <w:iCs/>
        </w:rPr>
        <w:t>ocial</w:t>
      </w:r>
      <w:r w:rsidR="00AE2DAA" w:rsidRPr="009434F9">
        <w:rPr>
          <w:rFonts w:cstheme="minorHAnsi"/>
          <w:i/>
          <w:iCs/>
        </w:rPr>
        <w:t xml:space="preserve"> J</w:t>
      </w:r>
      <w:r w:rsidRPr="009434F9">
        <w:rPr>
          <w:rFonts w:cstheme="minorHAnsi"/>
          <w:i/>
          <w:iCs/>
        </w:rPr>
        <w:t xml:space="preserve">ustice, and </w:t>
      </w:r>
      <w:r w:rsidR="00AE2DAA" w:rsidRPr="009434F9">
        <w:rPr>
          <w:rFonts w:cstheme="minorHAnsi"/>
          <w:i/>
          <w:iCs/>
        </w:rPr>
        <w:t>I</w:t>
      </w:r>
      <w:r w:rsidRPr="009434F9">
        <w:rPr>
          <w:rFonts w:cstheme="minorHAnsi"/>
          <w:i/>
          <w:iCs/>
        </w:rPr>
        <w:t xml:space="preserve">nclusive </w:t>
      </w:r>
      <w:r w:rsidR="00AE2DAA" w:rsidRPr="009434F9">
        <w:rPr>
          <w:rFonts w:cstheme="minorHAnsi"/>
          <w:i/>
          <w:iCs/>
        </w:rPr>
        <w:t>E</w:t>
      </w:r>
      <w:r w:rsidRPr="009434F9">
        <w:rPr>
          <w:rFonts w:cstheme="minorHAnsi"/>
          <w:i/>
          <w:iCs/>
        </w:rPr>
        <w:t>xcellence</w:t>
      </w:r>
      <w:r w:rsidR="00AE2DAA" w:rsidRPr="009434F9">
        <w:rPr>
          <w:rFonts w:cstheme="minorHAnsi"/>
        </w:rPr>
        <w:t>, edited by Seth N. Asumah and Mechthild Nagel</w:t>
      </w:r>
      <w:r w:rsidR="00AE2DAA" w:rsidRPr="009434F9">
        <w:rPr>
          <w:rFonts w:cstheme="minorHAnsi"/>
          <w:i/>
          <w:iCs/>
        </w:rPr>
        <w:t>,</w:t>
      </w:r>
      <w:r w:rsidRPr="009434F9">
        <w:rPr>
          <w:rFonts w:cstheme="minorHAnsi"/>
          <w:i/>
          <w:iCs/>
        </w:rPr>
        <w:t xml:space="preserve"> </w:t>
      </w:r>
      <w:r w:rsidRPr="009434F9">
        <w:rPr>
          <w:rFonts w:cstheme="minorHAnsi"/>
        </w:rPr>
        <w:t>3-32. State University of New York Press.</w:t>
      </w:r>
    </w:p>
    <w:p w14:paraId="078997B0" w14:textId="51FCA08C" w:rsidR="0058704A" w:rsidRPr="009434F9" w:rsidRDefault="004A352B" w:rsidP="002E7481">
      <w:pPr>
        <w:ind w:left="720" w:hanging="720"/>
        <w:rPr>
          <w:rFonts w:cstheme="minorHAnsi"/>
        </w:rPr>
      </w:pPr>
      <w:r w:rsidRPr="009434F9">
        <w:rPr>
          <w:rFonts w:cstheme="minorHAnsi"/>
        </w:rPr>
        <w:t>Zagzebski, L</w:t>
      </w:r>
      <w:r w:rsidR="00AE2DAA" w:rsidRPr="009434F9">
        <w:rPr>
          <w:rFonts w:cstheme="minorHAnsi"/>
        </w:rPr>
        <w:t>inda</w:t>
      </w:r>
      <w:r w:rsidRPr="009434F9">
        <w:rPr>
          <w:rFonts w:cstheme="minorHAnsi"/>
        </w:rPr>
        <w:t xml:space="preserve">. 2012. </w:t>
      </w:r>
      <w:r w:rsidRPr="009434F9">
        <w:rPr>
          <w:rFonts w:cstheme="minorHAnsi"/>
          <w:i/>
          <w:iCs/>
        </w:rPr>
        <w:t>Epistemic Authority: A Theory of Trust, Authority, and Autonomy in Belief</w:t>
      </w:r>
      <w:r w:rsidRPr="009434F9">
        <w:rPr>
          <w:rFonts w:cstheme="minorHAnsi"/>
        </w:rPr>
        <w:t xml:space="preserve">. </w:t>
      </w:r>
      <w:r w:rsidR="00AE2DAA" w:rsidRPr="009434F9">
        <w:rPr>
          <w:rFonts w:cstheme="minorHAnsi"/>
        </w:rPr>
        <w:t xml:space="preserve">New York: </w:t>
      </w:r>
      <w:r w:rsidRPr="009434F9">
        <w:rPr>
          <w:rFonts w:cstheme="minorHAnsi"/>
        </w:rPr>
        <w:t>Oxford University Press.</w:t>
      </w:r>
    </w:p>
    <w:sectPr w:rsidR="0058704A" w:rsidRPr="009434F9" w:rsidSect="000B62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6B81" w14:textId="77777777" w:rsidR="007236FA" w:rsidRDefault="007236FA" w:rsidP="00001D13">
      <w:r>
        <w:separator/>
      </w:r>
    </w:p>
  </w:endnote>
  <w:endnote w:type="continuationSeparator" w:id="0">
    <w:p w14:paraId="5ED729D3" w14:textId="77777777" w:rsidR="007236FA" w:rsidRDefault="007236FA" w:rsidP="0000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Body)">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B310" w14:textId="77777777" w:rsidR="000F3B64" w:rsidRDefault="000F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6985" w14:textId="77777777" w:rsidR="000F3B64" w:rsidRDefault="000F3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635A" w14:textId="77777777" w:rsidR="000F3B64" w:rsidRDefault="000F3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C793" w14:textId="77777777" w:rsidR="007236FA" w:rsidRDefault="007236FA" w:rsidP="00001D13">
      <w:r>
        <w:separator/>
      </w:r>
    </w:p>
  </w:footnote>
  <w:footnote w:type="continuationSeparator" w:id="0">
    <w:p w14:paraId="0949B6D5" w14:textId="77777777" w:rsidR="007236FA" w:rsidRDefault="007236FA" w:rsidP="00001D13">
      <w:r>
        <w:continuationSeparator/>
      </w:r>
    </w:p>
  </w:footnote>
  <w:footnote w:id="1">
    <w:p w14:paraId="67A574F4"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For examples of such signs, see: </w:t>
      </w:r>
      <w:hyperlink r:id="rId1" w:history="1">
        <w:r w:rsidRPr="009434F9">
          <w:rPr>
            <w:rStyle w:val="Hyperlink"/>
            <w:rFonts w:ascii="Garamond" w:hAnsi="Garamond" w:cstheme="minorHAnsi"/>
          </w:rPr>
          <w:t>https://cdn.customsigns.com/media/catalog/product/cache/3/image/600x600/9df78eab33525d08d6e5fb8d27136e95/1/2/12285-custom-engraved-unisex-stick-figure-funny-bathroom-sign-8-x-8.png</w:t>
        </w:r>
      </w:hyperlink>
      <w:r w:rsidRPr="009434F9">
        <w:rPr>
          <w:rFonts w:ascii="Garamond" w:hAnsi="Garamond" w:cstheme="minorHAnsi"/>
        </w:rPr>
        <w:t xml:space="preserve"> and </w:t>
      </w:r>
      <w:hyperlink r:id="rId2" w:history="1">
        <w:r w:rsidRPr="009434F9">
          <w:rPr>
            <w:rStyle w:val="Hyperlink"/>
            <w:rFonts w:ascii="Garamond" w:hAnsi="Garamond" w:cstheme="minorHAnsi"/>
          </w:rPr>
          <w:t>https://i.pinimg.com/originals/19/bd/fb/19bdfbdb3cb796cd957c44be1334f4a9.jpg</w:t>
        </w:r>
      </w:hyperlink>
      <w:r w:rsidRPr="009434F9">
        <w:rPr>
          <w:rFonts w:ascii="Garamond" w:hAnsi="Garamond" w:cstheme="minorHAnsi"/>
        </w:rPr>
        <w:t xml:space="preserve"> </w:t>
      </w:r>
    </w:p>
  </w:footnote>
  <w:footnote w:id="2">
    <w:p w14:paraId="30977183" w14:textId="228612C6" w:rsidR="0096259D" w:rsidRPr="009434F9" w:rsidRDefault="0096259D">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By “prima facie” we do not mean </w:t>
      </w:r>
      <w:r w:rsidR="0041475D" w:rsidRPr="009434F9">
        <w:rPr>
          <w:rFonts w:ascii="Garamond" w:hAnsi="Garamond" w:cstheme="minorHAnsi"/>
        </w:rPr>
        <w:t>to convey that</w:t>
      </w:r>
      <w:r w:rsidRPr="009434F9">
        <w:rPr>
          <w:rFonts w:ascii="Garamond" w:hAnsi="Garamond" w:cstheme="minorHAnsi"/>
        </w:rPr>
        <w:t xml:space="preserve"> this </w:t>
      </w:r>
      <w:r w:rsidR="00B10797" w:rsidRPr="009434F9">
        <w:rPr>
          <w:rFonts w:ascii="Garamond" w:hAnsi="Garamond" w:cstheme="minorHAnsi"/>
        </w:rPr>
        <w:t xml:space="preserve">merely appears to be a duty, which we will later disprove. </w:t>
      </w:r>
      <w:r w:rsidR="005A51BC" w:rsidRPr="009434F9">
        <w:rPr>
          <w:rFonts w:ascii="Garamond" w:hAnsi="Garamond" w:cstheme="minorHAnsi"/>
        </w:rPr>
        <w:t xml:space="preserve">Rather, we mean </w:t>
      </w:r>
      <w:r w:rsidR="0041475D" w:rsidRPr="009434F9">
        <w:rPr>
          <w:rFonts w:ascii="Garamond" w:hAnsi="Garamond" w:cstheme="minorHAnsi"/>
        </w:rPr>
        <w:t xml:space="preserve">this </w:t>
      </w:r>
      <w:r w:rsidR="0045313B" w:rsidRPr="009434F9">
        <w:rPr>
          <w:rFonts w:ascii="Garamond" w:hAnsi="Garamond" w:cstheme="minorHAnsi"/>
        </w:rPr>
        <w:t>is, indeed, a duty, but that such a duty</w:t>
      </w:r>
      <w:r w:rsidR="0041475D" w:rsidRPr="009434F9">
        <w:rPr>
          <w:rFonts w:ascii="Garamond" w:hAnsi="Garamond" w:cstheme="minorHAnsi"/>
        </w:rPr>
        <w:t xml:space="preserve"> </w:t>
      </w:r>
      <w:r w:rsidR="005A51BC" w:rsidRPr="009434F9">
        <w:rPr>
          <w:rFonts w:ascii="Garamond" w:hAnsi="Garamond" w:cstheme="minorHAnsi"/>
        </w:rPr>
        <w:t>is defeasible</w:t>
      </w:r>
      <w:r w:rsidR="001268E0" w:rsidRPr="009434F9">
        <w:rPr>
          <w:rFonts w:ascii="Garamond" w:hAnsi="Garamond" w:cstheme="minorHAnsi"/>
        </w:rPr>
        <w:t>—</w:t>
      </w:r>
      <w:r w:rsidR="005A51BC" w:rsidRPr="009434F9">
        <w:rPr>
          <w:rFonts w:ascii="Garamond" w:hAnsi="Garamond" w:cstheme="minorHAnsi"/>
        </w:rPr>
        <w:t xml:space="preserve">other considerations may override it. </w:t>
      </w:r>
    </w:p>
  </w:footnote>
  <w:footnote w:id="3">
    <w:p w14:paraId="5184B225" w14:textId="573EF0EF"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For discussion of this puzzle, see McGrath (2009), Hills (2009), McGrath (2011),</w:t>
      </w:r>
      <w:r w:rsidR="00C301B3" w:rsidRPr="009434F9">
        <w:rPr>
          <w:rFonts w:ascii="Garamond" w:hAnsi="Garamond" w:cstheme="minorHAnsi"/>
        </w:rPr>
        <w:t xml:space="preserve"> Sliwa (2012),</w:t>
      </w:r>
      <w:r w:rsidRPr="009434F9">
        <w:rPr>
          <w:rFonts w:ascii="Garamond" w:hAnsi="Garamond" w:cstheme="minorHAnsi"/>
        </w:rPr>
        <w:t xml:space="preserve"> Enoch (2014), Howell (2014), Davia </w:t>
      </w:r>
      <w:r w:rsidR="001A47C9" w:rsidRPr="009434F9">
        <w:rPr>
          <w:rFonts w:ascii="Garamond" w:hAnsi="Garamond" w:cstheme="minorHAnsi"/>
        </w:rPr>
        <w:t>and</w:t>
      </w:r>
      <w:r w:rsidRPr="009434F9">
        <w:rPr>
          <w:rFonts w:ascii="Garamond" w:hAnsi="Garamond" w:cstheme="minorHAnsi"/>
        </w:rPr>
        <w:t xml:space="preserve"> Palmira (2015), Callahan (2018), and Lewis (2020). Much of the contemporary moral deference literature questions the permissibility of pure moral deference, i.e., cases in which </w:t>
      </w:r>
      <w:r w:rsidR="009E6091" w:rsidRPr="009434F9">
        <w:rPr>
          <w:rFonts w:ascii="Garamond" w:hAnsi="Garamond" w:cstheme="minorHAnsi"/>
        </w:rPr>
        <w:t>the receiver</w:t>
      </w:r>
      <w:r w:rsidRPr="009434F9">
        <w:rPr>
          <w:rFonts w:ascii="Garamond" w:hAnsi="Garamond" w:cstheme="minorHAnsi"/>
        </w:rPr>
        <w:t xml:space="preserve"> believes some moral claim, </w:t>
      </w:r>
      <w:r w:rsidRPr="009434F9">
        <w:rPr>
          <w:rFonts w:ascii="Garamond" w:hAnsi="Garamond" w:cstheme="minorHAnsi"/>
          <w:i/>
          <w:iCs/>
        </w:rPr>
        <w:t>p</w:t>
      </w:r>
      <w:r w:rsidRPr="009434F9">
        <w:rPr>
          <w:rFonts w:ascii="Garamond" w:hAnsi="Garamond" w:cstheme="minorHAnsi"/>
        </w:rPr>
        <w:t>,</w:t>
      </w:r>
      <w:r w:rsidRPr="009434F9">
        <w:rPr>
          <w:rFonts w:ascii="Garamond" w:hAnsi="Garamond" w:cstheme="minorHAnsi"/>
          <w:i/>
          <w:iCs/>
        </w:rPr>
        <w:t xml:space="preserve"> </w:t>
      </w:r>
      <w:r w:rsidRPr="009434F9">
        <w:rPr>
          <w:rFonts w:ascii="Garamond" w:hAnsi="Garamond" w:cstheme="minorHAnsi"/>
        </w:rPr>
        <w:t xml:space="preserve">on the basis of another’s testimony that </w:t>
      </w:r>
      <w:r w:rsidRPr="009434F9">
        <w:rPr>
          <w:rFonts w:ascii="Garamond" w:hAnsi="Garamond" w:cstheme="minorHAnsi"/>
          <w:i/>
          <w:iCs/>
        </w:rPr>
        <w:t>p</w:t>
      </w:r>
      <w:r w:rsidRPr="009434F9">
        <w:rPr>
          <w:rFonts w:ascii="Garamond" w:hAnsi="Garamond" w:cstheme="minorHAnsi"/>
        </w:rPr>
        <w:t>,</w:t>
      </w:r>
      <w:r w:rsidRPr="009434F9">
        <w:rPr>
          <w:rFonts w:ascii="Garamond" w:hAnsi="Garamond" w:cstheme="minorHAnsi"/>
          <w:i/>
          <w:iCs/>
        </w:rPr>
        <w:t xml:space="preserve"> </w:t>
      </w:r>
      <w:r w:rsidRPr="009434F9">
        <w:rPr>
          <w:rFonts w:ascii="Garamond" w:hAnsi="Garamond" w:cstheme="minorHAnsi"/>
        </w:rPr>
        <w:t>though both testifier and receiver share the same non-moral information. Our discussion will be limited to impure deference, i.e., cases in which the testifier has more relevant nonmoral information that the receiver lacks. The pure/impure distinction is Sarah McGrath’s (2009, 322).</w:t>
      </w:r>
    </w:p>
  </w:footnote>
  <w:footnote w:id="4">
    <w:p w14:paraId="6AB318CB"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In this paper we will use the terms “testifier” and “receiver” instead of “speaker” and “hearer.” We prefer the language of “testifier” and “receiver,” as it is more inclusive of those with disabilities. </w:t>
      </w:r>
    </w:p>
  </w:footnote>
  <w:footnote w:id="5">
    <w:p w14:paraId="73CB1E67" w14:textId="34F90DDA"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This is not to say that </w:t>
      </w:r>
      <w:r w:rsidR="009E6091" w:rsidRPr="009434F9">
        <w:rPr>
          <w:rFonts w:ascii="Garamond" w:hAnsi="Garamond" w:cstheme="minorHAnsi"/>
        </w:rPr>
        <w:t>individuals are</w:t>
      </w:r>
      <w:r w:rsidRPr="009434F9">
        <w:rPr>
          <w:rFonts w:ascii="Garamond" w:hAnsi="Garamond" w:cstheme="minorHAnsi"/>
        </w:rPr>
        <w:t xml:space="preserve"> wholly marginalized or wholly privileged. Recent trends in feminist literature have highlighted the complex, interwoven threads of various identities. It will be a frequent occurrence where </w:t>
      </w:r>
      <w:r w:rsidR="009E6091" w:rsidRPr="009434F9">
        <w:rPr>
          <w:rFonts w:ascii="Garamond" w:hAnsi="Garamond" w:cstheme="minorHAnsi"/>
        </w:rPr>
        <w:t>someone</w:t>
      </w:r>
      <w:r w:rsidRPr="009434F9">
        <w:rPr>
          <w:rFonts w:ascii="Garamond" w:hAnsi="Garamond" w:cstheme="minorHAnsi"/>
        </w:rPr>
        <w:t xml:space="preserve"> will belong to a marginalized group but also a privileged group—</w:t>
      </w:r>
      <w:r w:rsidR="009E6091" w:rsidRPr="009434F9">
        <w:rPr>
          <w:rFonts w:ascii="Garamond" w:hAnsi="Garamond" w:cstheme="minorHAnsi"/>
        </w:rPr>
        <w:t>an individual</w:t>
      </w:r>
      <w:r w:rsidRPr="009434F9">
        <w:rPr>
          <w:rFonts w:ascii="Garamond" w:hAnsi="Garamond" w:cstheme="minorHAnsi"/>
        </w:rPr>
        <w:t xml:space="preserve"> can be simultaneously oppressor and oppressed.</w:t>
      </w:r>
    </w:p>
  </w:footnote>
  <w:footnote w:id="6">
    <w:p w14:paraId="525A3C85" w14:textId="03E70BEC"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t>
      </w:r>
      <w:r w:rsidRPr="009434F9">
        <w:rPr>
          <w:rFonts w:ascii="Garamond" w:hAnsi="Garamond" w:cstheme="minorHAnsi"/>
          <w:noProof/>
        </w:rPr>
        <w:t xml:space="preserve">Robert Howell (2014) comes the closest to providing the </w:t>
      </w:r>
      <w:r w:rsidRPr="009434F9">
        <w:rPr>
          <w:rFonts w:ascii="Garamond" w:hAnsi="Garamond" w:cstheme="minorHAnsi"/>
          <w:noProof/>
        </w:rPr>
        <w:softHyphen/>
      </w:r>
      <w:r w:rsidRPr="009434F9">
        <w:rPr>
          <w:rFonts w:ascii="Garamond" w:hAnsi="Garamond" w:cstheme="minorHAnsi"/>
          <w:noProof/>
        </w:rPr>
        <w:softHyphen/>
      </w:r>
      <w:r w:rsidRPr="009434F9">
        <w:rPr>
          <w:rFonts w:ascii="Garamond" w:hAnsi="Garamond" w:cstheme="minorHAnsi"/>
          <w:noProof/>
        </w:rPr>
        <w:softHyphen/>
      </w:r>
      <w:r w:rsidRPr="009434F9">
        <w:rPr>
          <w:rFonts w:ascii="Garamond" w:hAnsi="Garamond" w:cstheme="minorHAnsi"/>
          <w:noProof/>
        </w:rPr>
        <w:softHyphen/>
        <w:t xml:space="preserve">distinction we have in mind, with his doxastic and active deference. However, whereas Howell’s active deference is limited to acting as though the judgment is true, our actional deference will contain this possibility as well as varieties of partial deference, as we explain in Section </w:t>
      </w:r>
      <w:r w:rsidR="004D46B8" w:rsidRPr="009434F9">
        <w:rPr>
          <w:rFonts w:ascii="Garamond" w:hAnsi="Garamond" w:cstheme="minorHAnsi"/>
          <w:noProof/>
        </w:rPr>
        <w:t>3</w:t>
      </w:r>
      <w:r w:rsidRPr="009434F9">
        <w:rPr>
          <w:rFonts w:ascii="Garamond" w:hAnsi="Garamond" w:cstheme="minorHAnsi"/>
          <w:noProof/>
        </w:rPr>
        <w:t>.</w:t>
      </w:r>
    </w:p>
  </w:footnote>
  <w:footnote w:id="7">
    <w:p w14:paraId="6AD091C1" w14:textId="3CBDA071" w:rsidR="00001D13" w:rsidRPr="009434F9" w:rsidRDefault="00001D13" w:rsidP="00001D13">
      <w:pPr>
        <w:contextualSpacing/>
        <w:rPr>
          <w:rFonts w:cstheme="minorHAnsi"/>
          <w:sz w:val="20"/>
        </w:rPr>
      </w:pPr>
      <w:r w:rsidRPr="009434F9">
        <w:rPr>
          <w:rStyle w:val="FootnoteReference"/>
          <w:rFonts w:cstheme="minorHAnsi"/>
          <w:sz w:val="20"/>
        </w:rPr>
        <w:footnoteRef/>
      </w:r>
      <w:r w:rsidRPr="009434F9">
        <w:rPr>
          <w:rFonts w:cstheme="minorHAnsi"/>
          <w:sz w:val="20"/>
        </w:rPr>
        <w:t xml:space="preserve"> Implicit in the division of marginalized membership is a basic question of social ontology</w:t>
      </w:r>
      <w:r w:rsidRPr="009434F9">
        <w:rPr>
          <w:rFonts w:cstheme="minorHAnsi"/>
          <w:sz w:val="20"/>
        </w:rPr>
        <w:softHyphen/>
        <w:t>: How do we go about defining and distinguishing these groups? We follow Iris Marion Young (2014) in her suggestion that social groups exist in relation to other groups and constitute the identity of their members (11). While social relations produce groups, there is not one feature that all group members necessarily share (12). Still, members of the same group have “a specific affinity with one another because of their similar experience or way of life” (7)</w:t>
      </w:r>
      <w:r w:rsidRPr="009434F9">
        <w:rPr>
          <w:rFonts w:cstheme="minorHAnsi"/>
          <w:sz w:val="20"/>
          <w:szCs w:val="20"/>
        </w:rPr>
        <w:t>. See Frye (2000) for more on oppression.</w:t>
      </w:r>
    </w:p>
  </w:footnote>
  <w:footnote w:id="8">
    <w:p w14:paraId="5E749857" w14:textId="33FF4E7D" w:rsidR="00001D13" w:rsidRPr="009434F9" w:rsidRDefault="00001D13" w:rsidP="00001D13">
      <w:pPr>
        <w:pStyle w:val="FootnoteText"/>
        <w:rPr>
          <w:rFonts w:ascii="Garamond" w:hAnsi="Garamond" w:cstheme="minorHAnsi"/>
        </w:rPr>
      </w:pPr>
      <w:r w:rsidRPr="009434F9">
        <w:rPr>
          <w:rFonts w:ascii="Garamond" w:hAnsi="Garamond" w:cstheme="minorHAnsi"/>
          <w:vertAlign w:val="superscript"/>
        </w:rPr>
        <w:footnoteRef/>
      </w:r>
      <w:r w:rsidRPr="009434F9">
        <w:rPr>
          <w:rFonts w:ascii="Garamond" w:hAnsi="Garamond" w:cstheme="minorHAnsi"/>
        </w:rPr>
        <w:t xml:space="preserve"> According to Young (2014), structural oppression harms members of a marginalized identity via the “often unconscious assumptions and reactions of well-meaning people in ordinary interactions, media and cultural stereotypes, and structural features of bureaucratic hierarchies and market mechanisms—in short the normal processes of everyday life” (39). </w:t>
      </w:r>
    </w:p>
  </w:footnote>
  <w:footnote w:id="9">
    <w:p w14:paraId="5A4E8C3A" w14:textId="67DDD34A" w:rsidR="00DE0984" w:rsidRPr="009434F9" w:rsidRDefault="00DE0984" w:rsidP="00DE0984">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A number of philosophers</w:t>
      </w:r>
      <w:r w:rsidR="00E74C9B">
        <w:rPr>
          <w:rFonts w:ascii="Garamond" w:hAnsi="Garamond" w:cstheme="minorHAnsi"/>
        </w:rPr>
        <w:t xml:space="preserve"> have argued </w:t>
      </w:r>
      <w:r w:rsidR="00E74C9B" w:rsidRPr="009434F9">
        <w:rPr>
          <w:rFonts w:ascii="Garamond" w:hAnsi="Garamond" w:cstheme="minorHAnsi"/>
        </w:rPr>
        <w:t>that the fishiness of moral deference is rooted within the deferrer’s lack of moral understanding about the moral claim on which they defer</w:t>
      </w:r>
      <w:r w:rsidR="00E74C9B">
        <w:rPr>
          <w:rFonts w:ascii="Garamond" w:hAnsi="Garamond" w:cstheme="minorHAnsi"/>
        </w:rPr>
        <w:t xml:space="preserve">, </w:t>
      </w:r>
      <w:r w:rsidRPr="009434F9">
        <w:rPr>
          <w:rFonts w:ascii="Garamond" w:hAnsi="Garamond" w:cstheme="minorHAnsi"/>
        </w:rPr>
        <w:t>Hills (2009) most prominently.</w:t>
      </w:r>
    </w:p>
  </w:footnote>
  <w:footnote w:id="10">
    <w:p w14:paraId="3A052BEE" w14:textId="2793E3EE" w:rsidR="00001D13" w:rsidRPr="009434F9" w:rsidRDefault="00001D13" w:rsidP="00001D13">
      <w:pPr>
        <w:pStyle w:val="FootnoteText"/>
        <w:contextualSpacing/>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In this, we follow Karen Jones (1999), who contends that “someone accepts the testimony of another if she forms the belief that </w:t>
      </w:r>
      <w:r w:rsidRPr="009434F9">
        <w:rPr>
          <w:rFonts w:ascii="Garamond" w:hAnsi="Garamond" w:cstheme="minorHAnsi"/>
          <w:i/>
          <w:iCs/>
        </w:rPr>
        <w:t xml:space="preserve">p </w:t>
      </w:r>
      <w:r w:rsidRPr="009434F9">
        <w:rPr>
          <w:rFonts w:ascii="Garamond" w:hAnsi="Garamond" w:cstheme="minorHAnsi"/>
        </w:rPr>
        <w:t>on the basis of the other’s saying that</w:t>
      </w:r>
      <w:r w:rsidRPr="009434F9">
        <w:rPr>
          <w:rFonts w:ascii="Garamond" w:hAnsi="Garamond" w:cstheme="minorHAnsi"/>
          <w:i/>
          <w:iCs/>
        </w:rPr>
        <w:t xml:space="preserve"> p</w:t>
      </w:r>
      <w:r w:rsidRPr="009434F9">
        <w:rPr>
          <w:rFonts w:ascii="Garamond" w:hAnsi="Garamond" w:cstheme="minorHAnsi"/>
        </w:rPr>
        <w:t xml:space="preserve"> is the case” (67).</w:t>
      </w:r>
    </w:p>
  </w:footnote>
  <w:footnote w:id="11">
    <w:p w14:paraId="737319A2" w14:textId="156E9AF2"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00BB4E0B" w:rsidRPr="009434F9">
        <w:rPr>
          <w:rFonts w:ascii="Garamond" w:hAnsi="Garamond" w:cstheme="minorHAnsi"/>
        </w:rPr>
        <w:t xml:space="preserve"> Jennifer</w:t>
      </w:r>
      <w:r w:rsidRPr="009434F9">
        <w:rPr>
          <w:rFonts w:ascii="Garamond" w:hAnsi="Garamond" w:cstheme="minorHAnsi"/>
        </w:rPr>
        <w:t xml:space="preserve"> Lackey (2008; 2011) and </w:t>
      </w:r>
      <w:r w:rsidR="00BB4E0B" w:rsidRPr="009434F9">
        <w:rPr>
          <w:rFonts w:ascii="Garamond" w:hAnsi="Garamond" w:cstheme="minorHAnsi"/>
        </w:rPr>
        <w:t xml:space="preserve">Frederick F. </w:t>
      </w:r>
      <w:r w:rsidRPr="009434F9">
        <w:rPr>
          <w:rFonts w:ascii="Garamond" w:hAnsi="Garamond" w:cstheme="minorHAnsi"/>
        </w:rPr>
        <w:t xml:space="preserve">Schmitt (2010) have raised notable criticisms of the Assurance View. Lackey (2008; 2011) has argued that the view faces a two-horned dilemma: “either the view of testimony in question is genuinely interpersonal but epistemologically impotent, or it is not epistemologically </w:t>
      </w:r>
      <w:proofErr w:type="gramStart"/>
      <w:r w:rsidRPr="009434F9">
        <w:rPr>
          <w:rFonts w:ascii="Garamond" w:hAnsi="Garamond" w:cstheme="minorHAnsi"/>
        </w:rPr>
        <w:t>impotent</w:t>
      </w:r>
      <w:proofErr w:type="gramEnd"/>
      <w:r w:rsidRPr="009434F9">
        <w:rPr>
          <w:rFonts w:ascii="Garamond" w:hAnsi="Garamond" w:cstheme="minorHAnsi"/>
        </w:rPr>
        <w:t xml:space="preserve"> but neither is it genuinely interpersonal” (Lackey 2008, 222). As we will show in Section </w:t>
      </w:r>
      <w:r w:rsidR="004D46B8" w:rsidRPr="009434F9">
        <w:rPr>
          <w:rFonts w:ascii="Garamond" w:hAnsi="Garamond" w:cstheme="minorHAnsi"/>
        </w:rPr>
        <w:t>2</w:t>
      </w:r>
      <w:r w:rsidRPr="009434F9">
        <w:rPr>
          <w:rFonts w:ascii="Garamond" w:hAnsi="Garamond" w:cstheme="minorHAnsi"/>
        </w:rPr>
        <w:t>, the three conditions we take to be necessary to have good reason to defer are both epistemologically potent (truth-conducive and evidentially based) and genuinely interpersonal (sensitive to assurance and trust). For a full-fledged defense of the Assurance View against these charges, see Moran (2018).</w:t>
      </w:r>
    </w:p>
  </w:footnote>
  <w:footnote w:id="12">
    <w:p w14:paraId="43ADE41D" w14:textId="77777777" w:rsidR="004B186C" w:rsidRPr="009434F9" w:rsidRDefault="004B186C" w:rsidP="004B186C">
      <w:pPr>
        <w:pStyle w:val="FootnoteText"/>
        <w:contextualSpacing/>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Note that the assurance can be implicit, otherwise deference would be limited to very few cases indeed.</w:t>
      </w:r>
    </w:p>
  </w:footnote>
  <w:footnote w:id="13">
    <w:p w14:paraId="66988842" w14:textId="4F3AF35B" w:rsidR="000B2FC1" w:rsidRPr="009434F9" w:rsidRDefault="000B2FC1">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t>
      </w:r>
      <w:r w:rsidR="00941CFC" w:rsidRPr="009434F9">
        <w:rPr>
          <w:rFonts w:ascii="Garamond" w:hAnsi="Garamond" w:cstheme="minorHAnsi"/>
        </w:rPr>
        <w:t xml:space="preserve">Drawn from P.F. Strawson’s notion of the “participant point of view,” the participant stance is meant to capture the way in which we interact with other people </w:t>
      </w:r>
      <w:r w:rsidR="00941CFC" w:rsidRPr="009434F9">
        <w:rPr>
          <w:rFonts w:ascii="Garamond" w:hAnsi="Garamond" w:cstheme="minorHAnsi"/>
          <w:i/>
          <w:iCs/>
        </w:rPr>
        <w:t xml:space="preserve">as persons, </w:t>
      </w:r>
      <w:r w:rsidR="00941CFC" w:rsidRPr="009434F9">
        <w:rPr>
          <w:rFonts w:ascii="Garamond" w:hAnsi="Garamond" w:cstheme="minorHAnsi"/>
        </w:rPr>
        <w:t>capable of ho</w:t>
      </w:r>
      <w:r w:rsidR="00BB4E0B" w:rsidRPr="009434F9">
        <w:rPr>
          <w:rFonts w:ascii="Garamond" w:hAnsi="Garamond" w:cstheme="minorHAnsi"/>
        </w:rPr>
        <w:t>l</w:t>
      </w:r>
      <w:r w:rsidR="00941CFC" w:rsidRPr="009434F9">
        <w:rPr>
          <w:rFonts w:ascii="Garamond" w:hAnsi="Garamond" w:cstheme="minorHAnsi"/>
        </w:rPr>
        <w:t>ding reactive attitudes towards one another, rather than as</w:t>
      </w:r>
      <w:r w:rsidR="00941CFC" w:rsidRPr="009434F9">
        <w:rPr>
          <w:rFonts w:ascii="Garamond" w:hAnsi="Garamond" w:cstheme="minorHAnsi"/>
          <w:i/>
          <w:iCs/>
        </w:rPr>
        <w:t xml:space="preserve"> </w:t>
      </w:r>
      <w:r w:rsidR="00941CFC" w:rsidRPr="009434F9">
        <w:rPr>
          <w:rFonts w:ascii="Garamond" w:hAnsi="Garamond" w:cstheme="minorHAnsi"/>
        </w:rPr>
        <w:t xml:space="preserve">mere </w:t>
      </w:r>
      <w:r w:rsidR="00941CFC" w:rsidRPr="009434F9">
        <w:rPr>
          <w:rFonts w:ascii="Garamond" w:hAnsi="Garamond" w:cstheme="minorHAnsi"/>
          <w:i/>
          <w:iCs/>
        </w:rPr>
        <w:t>things</w:t>
      </w:r>
      <w:r w:rsidR="00941CFC" w:rsidRPr="009434F9">
        <w:rPr>
          <w:rFonts w:ascii="Garamond" w:hAnsi="Garamond" w:cstheme="minorHAnsi"/>
        </w:rPr>
        <w:t>, “posing problems simply of intellectual understanding, management, treatment, and control” (Strawson</w:t>
      </w:r>
      <w:r w:rsidR="00BB4E0B" w:rsidRPr="009434F9">
        <w:rPr>
          <w:rFonts w:ascii="Garamond" w:hAnsi="Garamond" w:cstheme="minorHAnsi"/>
        </w:rPr>
        <w:t xml:space="preserve"> 1962,</w:t>
      </w:r>
      <w:r w:rsidR="00941CFC" w:rsidRPr="009434F9">
        <w:rPr>
          <w:rFonts w:ascii="Garamond" w:hAnsi="Garamond" w:cstheme="minorHAnsi"/>
        </w:rPr>
        <w:t xml:space="preserve"> 18). </w:t>
      </w:r>
      <w:r w:rsidRPr="009434F9">
        <w:rPr>
          <w:rFonts w:ascii="Garamond" w:hAnsi="Garamond" w:cstheme="minorHAnsi"/>
        </w:rPr>
        <w:t>For accounts of trust rooted in the participant stance, see Marušić (2017), Helm (2015), Hawley (2014), Hieronymi (2008) and Holton (1994).</w:t>
      </w:r>
    </w:p>
  </w:footnote>
  <w:footnote w:id="14">
    <w:p w14:paraId="21AB4354" w14:textId="130990EA"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We think this combination is sufficient to avoid Lackey’s (2008; 2011) concerns. While Lackey (2011) takes Hinchman’s view to successfully place “the Trust View on the epistemological map</w:t>
      </w:r>
      <w:r w:rsidR="00F1511E" w:rsidRPr="009434F9">
        <w:rPr>
          <w:rFonts w:ascii="Garamond" w:hAnsi="Garamond" w:cstheme="minorHAnsi"/>
        </w:rPr>
        <w:t>,</w:t>
      </w:r>
      <w:r w:rsidRPr="009434F9">
        <w:rPr>
          <w:rFonts w:ascii="Garamond" w:hAnsi="Garamond" w:cstheme="minorHAnsi"/>
        </w:rPr>
        <w:t xml:space="preserve">” she also contends that on it, “trust itself turns out to be epistemically superfluous” (18). Lackey’s primary worry is that someone could overhear the information and, without having any of the interpersonal relations, succeed in gaining the epistemic information. To this, we are convinced of Moran’s (2005) reply to such cases: That the asymmetry between cases where you are the intended receiver of testimony versus an unintended overhearer lies in the risk that such testimony is deceptive. In the case where you are the intended receiver, the testifier acts as a guarantor—they accept the risk on themself that what they are saying is truthful (and not an inside joke or a sarcastic quip). In the case where you are not the intended recipient of testimony, the burden of risk shifts to you. </w:t>
      </w:r>
    </w:p>
  </w:footnote>
  <w:footnote w:id="15">
    <w:p w14:paraId="4242C183" w14:textId="5A28E504"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The importance of the interpersonal relationship also helps to block various unjust beliefs that would seem warranted on the basis of evidence alone. For example, Basu (2019) highlights the “rationally racist” belief that Black customers leave worse tips. Moss (2018) describes a case where, statistically, </w:t>
      </w:r>
      <w:r w:rsidR="00106D0B" w:rsidRPr="009434F9">
        <w:rPr>
          <w:rFonts w:ascii="Garamond" w:hAnsi="Garamond" w:cstheme="minorHAnsi"/>
        </w:rPr>
        <w:t>one</w:t>
      </w:r>
      <w:r w:rsidRPr="009434F9">
        <w:rPr>
          <w:rFonts w:ascii="Garamond" w:hAnsi="Garamond" w:cstheme="minorHAnsi"/>
        </w:rPr>
        <w:t xml:space="preserve"> could infer that a female employee is an administrative assistant. Franklin (2005) describes a case where he was mistaken as a worker at a social club that he attended, since the club had very few Black members and many Black workers. </w:t>
      </w:r>
    </w:p>
  </w:footnote>
  <w:footnote w:id="16">
    <w:p w14:paraId="160689D2" w14:textId="4E2B5CE1"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In this we roughly follow Marušić’s (2017) account, on which “trust and reliance are fundamentally different—as different as judgment and action” (3).</w:t>
      </w:r>
    </w:p>
  </w:footnote>
  <w:footnote w:id="17">
    <w:p w14:paraId="13E1FEDB" w14:textId="48191F23"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Testimony may be more or less clear with regard to what actions the receiver should take. For example, an organizer might testify that you should sign the petition in front of you, show up to Saturday’s protest, etc. </w:t>
      </w:r>
      <w:r w:rsidR="00106D0B" w:rsidRPr="009434F9">
        <w:rPr>
          <w:rFonts w:ascii="Garamond" w:hAnsi="Garamond" w:cstheme="minorHAnsi"/>
        </w:rPr>
        <w:t>The receiver</w:t>
      </w:r>
      <w:r w:rsidRPr="009434F9">
        <w:rPr>
          <w:rFonts w:ascii="Garamond" w:hAnsi="Garamond" w:cstheme="minorHAnsi"/>
        </w:rPr>
        <w:t xml:space="preserve"> might also receive advice that is targeted to specific situations, such as “don’t comment on your daughter’s weight when she comes home for Thanksgiving.” </w:t>
      </w:r>
      <w:proofErr w:type="gramStart"/>
      <w:r w:rsidRPr="009434F9">
        <w:rPr>
          <w:rFonts w:ascii="Garamond" w:hAnsi="Garamond" w:cstheme="minorHAnsi"/>
        </w:rPr>
        <w:t>But,</w:t>
      </w:r>
      <w:proofErr w:type="gramEnd"/>
      <w:r w:rsidRPr="009434F9">
        <w:rPr>
          <w:rFonts w:ascii="Garamond" w:hAnsi="Garamond" w:cstheme="minorHAnsi"/>
        </w:rPr>
        <w:t xml:space="preserve"> frequently, moral advice will be difficult to translate into action. Take, for instance, the task of determining which maxims are licensed by Kant’s categorical imperatives or the task of determining what the most virtuous person would do in a given situation.</w:t>
      </w:r>
    </w:p>
  </w:footnote>
  <w:footnote w:id="18">
    <w:p w14:paraId="5FFAC88F" w14:textId="7C7F07FA" w:rsidR="00001D13" w:rsidRPr="009434F9" w:rsidRDefault="00001D13" w:rsidP="00001D13">
      <w:pPr>
        <w:pStyle w:val="CommentText"/>
        <w:rPr>
          <w:rFonts w:cstheme="minorHAnsi"/>
        </w:rPr>
      </w:pPr>
      <w:r w:rsidRPr="009434F9">
        <w:rPr>
          <w:rStyle w:val="FootnoteReference"/>
          <w:rFonts w:cstheme="minorHAnsi"/>
        </w:rPr>
        <w:footnoteRef/>
      </w:r>
      <w:r w:rsidRPr="009434F9">
        <w:rPr>
          <w:rFonts w:cstheme="minorHAnsi"/>
        </w:rPr>
        <w:t xml:space="preserve"> One </w:t>
      </w:r>
      <w:r w:rsidR="00BB557D" w:rsidRPr="009434F9">
        <w:rPr>
          <w:rFonts w:cstheme="minorHAnsi"/>
        </w:rPr>
        <w:t>worry is that</w:t>
      </w:r>
      <w:r w:rsidRPr="009434F9">
        <w:rPr>
          <w:rFonts w:cstheme="minorHAnsi"/>
        </w:rPr>
        <w:t xml:space="preserve">, when the demands of actional deference are unclear, actional deference will collapse into the epistemic. For instance, if we must try </w:t>
      </w:r>
      <w:r w:rsidR="00F1511E" w:rsidRPr="009434F9">
        <w:rPr>
          <w:rFonts w:cstheme="minorHAnsi"/>
        </w:rPr>
        <w:t>acting on</w:t>
      </w:r>
      <w:r w:rsidRPr="009434F9">
        <w:rPr>
          <w:rFonts w:cstheme="minorHAnsi"/>
        </w:rPr>
        <w:t xml:space="preserve"> the advice or do our own research to determine its applicability in a particular instance, it seems that we will eventually either form the belief and epistemically defer or determine that the testimony was inaccurate. Though this might occur, we do not agree that actional deference necessarily reduces to the order of the epistemic. </w:t>
      </w:r>
      <w:r w:rsidR="00BB557D" w:rsidRPr="009434F9">
        <w:rPr>
          <w:rFonts w:cstheme="minorHAnsi"/>
        </w:rPr>
        <w:t>You</w:t>
      </w:r>
      <w:r w:rsidRPr="009434F9">
        <w:rPr>
          <w:rFonts w:cstheme="minorHAnsi"/>
        </w:rPr>
        <w:t xml:space="preserve"> might continue to act in accordance with what someone tells you to do but remain morally unconvinced that it is the right thing to do, even if you never run across any potential counterexamples in experience. See, for instance, the male colleague who is given the advice “don’t comment on female colleague’s appearance.” The male colleague may be unconvinced that this is wrong in all cases but may adhere to the advice out of self-preservation and never encounter any good reason to act differently. Likewise, we could imagine someone who is constitutionally agnostic, such that they are unable to fully trust and believe any testimony or evidence provided to them. Despite their doxastic agnosticism, this person might act on the testimony given to them for practical reasons that do not reduce to belief in the testimony. </w:t>
      </w:r>
    </w:p>
  </w:footnote>
  <w:footnote w:id="19">
    <w:p w14:paraId="4B46F58C"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Condition 2, coupled with a general epistemic norm that receivers should be generally aware of the basic conditions for trustworthiness and reliability, fortifies our view against gullible receivers.</w:t>
      </w:r>
    </w:p>
  </w:footnote>
  <w:footnote w:id="20">
    <w:p w14:paraId="7C46E415" w14:textId="7249FB65"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t>
      </w:r>
      <w:r w:rsidR="00B32627" w:rsidRPr="009434F9">
        <w:rPr>
          <w:rFonts w:ascii="Garamond" w:hAnsi="Garamond" w:cstheme="minorHAnsi"/>
        </w:rPr>
        <w:t xml:space="preserve">John </w:t>
      </w:r>
      <w:r w:rsidRPr="009434F9">
        <w:rPr>
          <w:rFonts w:ascii="Garamond" w:hAnsi="Garamond" w:cstheme="minorHAnsi"/>
        </w:rPr>
        <w:t xml:space="preserve">Hardwig (1985) argues that rationality sometimes requires a layperson to defer to an expert. Or, as he puts it “rationality sometimes consists in refusing to think for oneself” (336). </w:t>
      </w:r>
    </w:p>
  </w:footnote>
  <w:footnote w:id="21">
    <w:p w14:paraId="46A8ECDE"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Take the following example: I am a flight attendant on an airplane and there is a medical emergency. I have very little medical training. Concerned, I call for a doctor over the loudspeaker. Though no doctors are available, there is a veterinarian ready and willing to help. Certainly, she is not an expert on the </w:t>
      </w:r>
      <w:r w:rsidRPr="009434F9">
        <w:rPr>
          <w:rFonts w:ascii="Garamond" w:hAnsi="Garamond" w:cstheme="minorHAnsi"/>
          <w:i/>
          <w:iCs/>
        </w:rPr>
        <w:t>human</w:t>
      </w:r>
      <w:r w:rsidRPr="009434F9">
        <w:rPr>
          <w:rFonts w:ascii="Garamond" w:hAnsi="Garamond" w:cstheme="minorHAnsi"/>
        </w:rPr>
        <w:t xml:space="preserve"> body, but I am justified in deferring to her medical orders in handling this sick passenger.</w:t>
      </w:r>
    </w:p>
  </w:footnote>
  <w:footnote w:id="22">
    <w:p w14:paraId="5993E893" w14:textId="3695B3C6" w:rsidR="00001D13" w:rsidRPr="009434F9" w:rsidRDefault="00001D13" w:rsidP="00001D13">
      <w:pPr>
        <w:pStyle w:val="NormalWeb"/>
        <w:spacing w:before="0" w:beforeAutospacing="0" w:after="0" w:afterAutospacing="0"/>
        <w:contextualSpacing/>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sz w:val="20"/>
          <w:szCs w:val="20"/>
        </w:rPr>
        <w:t xml:space="preserve"> Our second condition is similar to an amendment offered by Hinchman (2005), which we referenced in Section </w:t>
      </w:r>
      <w:r w:rsidR="004D46B8" w:rsidRPr="009434F9">
        <w:rPr>
          <w:rFonts w:ascii="Garamond" w:hAnsi="Garamond" w:cstheme="minorHAnsi"/>
          <w:sz w:val="20"/>
          <w:szCs w:val="20"/>
        </w:rPr>
        <w:t>1</w:t>
      </w:r>
      <w:r w:rsidRPr="009434F9">
        <w:rPr>
          <w:rFonts w:ascii="Garamond" w:hAnsi="Garamond" w:cstheme="minorHAnsi"/>
          <w:sz w:val="20"/>
          <w:szCs w:val="20"/>
        </w:rPr>
        <w:t xml:space="preserve">. </w:t>
      </w:r>
    </w:p>
  </w:footnote>
  <w:footnote w:id="23">
    <w:p w14:paraId="1A4E26C5"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The appraisal respect / recognition respect distinction was introduced by Darwall (1977).</w:t>
      </w:r>
    </w:p>
  </w:footnote>
  <w:footnote w:id="24">
    <w:p w14:paraId="43322577" w14:textId="3C84DFA8"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For accounts of epistemic injustice, see Fricker (2007), Davis (2016), Anderson (2012), and Pohlhaus (2017).</w:t>
      </w:r>
    </w:p>
  </w:footnote>
  <w:footnote w:id="25">
    <w:p w14:paraId="75D40E29" w14:textId="365EBB00"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We recognize the harm of assuming marginalized persons to be spokespersons for their identity. We will address this and other similar worries in Section </w:t>
      </w:r>
      <w:r w:rsidR="004D46B8" w:rsidRPr="009434F9">
        <w:rPr>
          <w:rFonts w:ascii="Garamond" w:hAnsi="Garamond" w:cstheme="minorHAnsi"/>
        </w:rPr>
        <w:t>4</w:t>
      </w:r>
      <w:r w:rsidRPr="009434F9">
        <w:rPr>
          <w:rFonts w:ascii="Garamond" w:hAnsi="Garamond" w:cstheme="minorHAnsi"/>
        </w:rPr>
        <w:t xml:space="preserve">.  </w:t>
      </w:r>
    </w:p>
  </w:footnote>
  <w:footnote w:id="26">
    <w:p w14:paraId="6330231E"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Our view does not reduce to the claim that deference is sufficient to counteract epistemic injustice. We recognize that epistemic injustice is a complex interpersonal, institutional, and structural phenomenon, and our view only addresses a small part of this larger problem. </w:t>
      </w:r>
    </w:p>
  </w:footnote>
  <w:footnote w:id="27">
    <w:p w14:paraId="48C02936" w14:textId="6055F8D8"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This, of course, depends on whether the testifier is sufficiently trustworthy and reliable. </w:t>
      </w:r>
      <w:r w:rsidR="008166C0" w:rsidRPr="009434F9">
        <w:rPr>
          <w:rFonts w:ascii="Garamond" w:hAnsi="Garamond" w:cstheme="minorHAnsi"/>
        </w:rPr>
        <w:t>The receiver</w:t>
      </w:r>
      <w:r w:rsidRPr="009434F9">
        <w:rPr>
          <w:rFonts w:ascii="Garamond" w:hAnsi="Garamond" w:cstheme="minorHAnsi"/>
        </w:rPr>
        <w:t xml:space="preserve"> might have good reason to do the opposite of what a constitutional liar says. Depending on the stakes involved, a slight degree of untrustworthiness might be sufficient to make actional deference inappropriate.</w:t>
      </w:r>
    </w:p>
  </w:footnote>
  <w:footnote w:id="28">
    <w:p w14:paraId="458CB92C" w14:textId="77777777" w:rsidR="00971B42" w:rsidRDefault="00971B42" w:rsidP="00971B42">
      <w:pPr>
        <w:pStyle w:val="FootnoteText"/>
      </w:pPr>
      <w:r w:rsidRPr="00DD4A72">
        <w:rPr>
          <w:rFonts w:ascii="Garamond" w:hAnsi="Garamond" w:cs="Calibri (Body)"/>
          <w:vertAlign w:val="superscript"/>
        </w:rPr>
        <w:footnoteRef/>
      </w:r>
      <w:r w:rsidRPr="00DD4A72">
        <w:rPr>
          <w:rFonts w:ascii="Garamond" w:hAnsi="Garamond" w:cs="Calibri (Body)"/>
          <w:vertAlign w:val="superscript"/>
        </w:rPr>
        <w:t xml:space="preserve"> </w:t>
      </w:r>
      <w:r w:rsidRPr="00DD4A72">
        <w:rPr>
          <w:rFonts w:ascii="Garamond" w:hAnsi="Garamond" w:cstheme="minorHAnsi"/>
        </w:rPr>
        <w:t>Some might suggest that a credence notion of belief would better describe those cases in which beliefs seem to be partial, amount, potentially to partial epistemic deference. However, the credence view has its own difficulties; namely, a penchant for vagueness and mathematical complication. For this reason, our account uses a more traditional epistemic framework. Still, while we take belief to be all-or-nothing, the way we determine how to act will depend on our degree of confidence that the testimony is correct (or incorrect). Thus, determining how we act in response to testimony parallels the credence view about belief.”</w:t>
      </w:r>
    </w:p>
  </w:footnote>
  <w:footnote w:id="29">
    <w:p w14:paraId="0EF9EB5D"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Depending on the relationship, it might also be appropriate for me to attempt to have a deeper conversation with her about whether this particular claim is true, knowing that she has lied in the past. Finding the right way to have that conversation might be incredibly fraught. But doing so might be necessary to discover whether this claim is truthful, so I can either get behind my friend fully or help her to grow with regard to her tendency to lie about these things. </w:t>
      </w:r>
    </w:p>
  </w:footnote>
  <w:footnote w:id="30">
    <w:p w14:paraId="24C71419" w14:textId="5D2A4ECF" w:rsidR="00001D13" w:rsidRPr="009434F9" w:rsidRDefault="00001D13" w:rsidP="00001D13">
      <w:pPr>
        <w:contextualSpacing/>
        <w:rPr>
          <w:rFonts w:eastAsia="Times New Roman" w:cstheme="minorHAnsi"/>
          <w:sz w:val="20"/>
          <w:szCs w:val="20"/>
        </w:rPr>
      </w:pPr>
      <w:r w:rsidRPr="009434F9">
        <w:rPr>
          <w:rFonts w:cstheme="minorHAnsi"/>
          <w:sz w:val="20"/>
          <w:szCs w:val="20"/>
          <w:vertAlign w:val="superscript"/>
        </w:rPr>
        <w:footnoteRef/>
      </w:r>
      <w:r w:rsidRPr="009434F9">
        <w:rPr>
          <w:rFonts w:eastAsia="Times New Roman" w:cstheme="minorHAnsi"/>
          <w:sz w:val="20"/>
          <w:szCs w:val="20"/>
        </w:rPr>
        <w:t xml:space="preserve"> See </w:t>
      </w:r>
      <w:r w:rsidR="00951FC9" w:rsidRPr="009434F9">
        <w:rPr>
          <w:rFonts w:eastAsia="Times New Roman" w:cstheme="minorHAnsi"/>
          <w:sz w:val="20"/>
          <w:szCs w:val="20"/>
        </w:rPr>
        <w:t xml:space="preserve">Hills (2009), </w:t>
      </w:r>
      <w:r w:rsidRPr="009434F9">
        <w:rPr>
          <w:rFonts w:eastAsia="Times New Roman" w:cstheme="minorHAnsi"/>
          <w:sz w:val="20"/>
          <w:szCs w:val="20"/>
        </w:rPr>
        <w:t>Callahan (2018), McGrath (2011), and Nickel (2001). “Fishiness” is Enoch’s word (2014).</w:t>
      </w:r>
    </w:p>
  </w:footnote>
  <w:footnote w:id="31">
    <w:p w14:paraId="6F3A15D2" w14:textId="48A01BDF" w:rsidR="00951B83" w:rsidRPr="009434F9" w:rsidRDefault="00951B8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Thank you to the anonymous reviewer for imagining this scenario. </w:t>
      </w:r>
    </w:p>
  </w:footnote>
  <w:footnote w:id="32">
    <w:p w14:paraId="1BB67509" w14:textId="544D60A4" w:rsidR="00211951" w:rsidRPr="009434F9" w:rsidRDefault="00211951" w:rsidP="00211951">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t>
      </w:r>
      <w:r w:rsidR="00250E25" w:rsidRPr="009434F9">
        <w:rPr>
          <w:rFonts w:ascii="Garamond" w:hAnsi="Garamond" w:cstheme="minorHAnsi"/>
        </w:rPr>
        <w:t>We have argued in a previous footnote that</w:t>
      </w:r>
      <w:r w:rsidR="00EE532F" w:rsidRPr="009434F9">
        <w:rPr>
          <w:rFonts w:ascii="Garamond" w:hAnsi="Garamond" w:cstheme="minorHAnsi"/>
        </w:rPr>
        <w:t xml:space="preserve"> although </w:t>
      </w:r>
      <w:r w:rsidRPr="009434F9">
        <w:rPr>
          <w:rFonts w:ascii="Garamond" w:hAnsi="Garamond" w:cstheme="minorHAnsi"/>
        </w:rPr>
        <w:t xml:space="preserve">knowledge </w:t>
      </w:r>
      <w:r w:rsidR="00B34E1C" w:rsidRPr="009434F9">
        <w:rPr>
          <w:rFonts w:ascii="Garamond" w:hAnsi="Garamond" w:cstheme="minorHAnsi"/>
        </w:rPr>
        <w:t xml:space="preserve">can </w:t>
      </w:r>
      <w:r w:rsidR="00EE532F" w:rsidRPr="009434F9">
        <w:rPr>
          <w:rFonts w:ascii="Garamond" w:hAnsi="Garamond" w:cstheme="minorHAnsi"/>
        </w:rPr>
        <w:t>usually</w:t>
      </w:r>
      <w:r w:rsidR="00250E25" w:rsidRPr="009434F9">
        <w:rPr>
          <w:rFonts w:ascii="Garamond" w:hAnsi="Garamond" w:cstheme="minorHAnsi"/>
        </w:rPr>
        <w:t xml:space="preserve"> </w:t>
      </w:r>
      <w:r w:rsidRPr="009434F9">
        <w:rPr>
          <w:rFonts w:ascii="Garamond" w:hAnsi="Garamond" w:cstheme="minorHAnsi"/>
        </w:rPr>
        <w:t>transmit via testimony</w:t>
      </w:r>
      <w:r w:rsidR="00B7159D" w:rsidRPr="009434F9">
        <w:rPr>
          <w:rFonts w:ascii="Garamond" w:hAnsi="Garamond" w:cstheme="minorHAnsi"/>
        </w:rPr>
        <w:t xml:space="preserve"> (or overheard testimony)</w:t>
      </w:r>
      <w:r w:rsidR="00EE532F" w:rsidRPr="009434F9">
        <w:rPr>
          <w:rFonts w:ascii="Garamond" w:hAnsi="Garamond" w:cstheme="minorHAnsi"/>
        </w:rPr>
        <w:t>, this fact</w:t>
      </w:r>
      <w:r w:rsidR="0096334E" w:rsidRPr="009434F9">
        <w:rPr>
          <w:rFonts w:ascii="Garamond" w:hAnsi="Garamond" w:cstheme="minorHAnsi"/>
        </w:rPr>
        <w:t xml:space="preserve"> </w:t>
      </w:r>
      <w:r w:rsidR="00A2694C" w:rsidRPr="009434F9">
        <w:rPr>
          <w:rFonts w:ascii="Garamond" w:hAnsi="Garamond" w:cstheme="minorHAnsi"/>
        </w:rPr>
        <w:t>does not</w:t>
      </w:r>
      <w:r w:rsidR="0096334E" w:rsidRPr="009434F9">
        <w:rPr>
          <w:rFonts w:ascii="Garamond" w:hAnsi="Garamond" w:cstheme="minorHAnsi"/>
        </w:rPr>
        <w:t xml:space="preserve"> </w:t>
      </w:r>
      <w:r w:rsidR="00A2694C" w:rsidRPr="009434F9">
        <w:rPr>
          <w:rFonts w:ascii="Garamond" w:hAnsi="Garamond" w:cstheme="minorHAnsi"/>
        </w:rPr>
        <w:t>indicate</w:t>
      </w:r>
      <w:r w:rsidR="0096334E" w:rsidRPr="009434F9">
        <w:rPr>
          <w:rFonts w:ascii="Garamond" w:hAnsi="Garamond" w:cstheme="minorHAnsi"/>
        </w:rPr>
        <w:t xml:space="preserve"> that</w:t>
      </w:r>
      <w:r w:rsidR="0096373F" w:rsidRPr="009434F9">
        <w:rPr>
          <w:rFonts w:ascii="Garamond" w:hAnsi="Garamond" w:cstheme="minorHAnsi"/>
        </w:rPr>
        <w:t xml:space="preserve"> assurance </w:t>
      </w:r>
      <w:r w:rsidR="00FC582F" w:rsidRPr="009434F9">
        <w:rPr>
          <w:rFonts w:ascii="Garamond" w:hAnsi="Garamond" w:cstheme="minorHAnsi"/>
        </w:rPr>
        <w:t>is epistemically superfluous</w:t>
      </w:r>
      <w:r w:rsidR="00B80AA6" w:rsidRPr="009434F9">
        <w:rPr>
          <w:rFonts w:ascii="Garamond" w:hAnsi="Garamond" w:cstheme="minorHAnsi"/>
        </w:rPr>
        <w:t>, as Lackey claims</w:t>
      </w:r>
      <w:r w:rsidR="00FC582F" w:rsidRPr="009434F9">
        <w:rPr>
          <w:rFonts w:ascii="Garamond" w:hAnsi="Garamond" w:cstheme="minorHAnsi"/>
        </w:rPr>
        <w:t xml:space="preserve">. </w:t>
      </w:r>
      <w:r w:rsidR="005C3283" w:rsidRPr="009434F9">
        <w:rPr>
          <w:rFonts w:ascii="Garamond" w:hAnsi="Garamond" w:cstheme="minorHAnsi"/>
        </w:rPr>
        <w:t xml:space="preserve">Moran (2005) </w:t>
      </w:r>
      <w:r w:rsidR="002A1929" w:rsidRPr="009434F9">
        <w:rPr>
          <w:rFonts w:ascii="Garamond" w:hAnsi="Garamond" w:cstheme="minorHAnsi"/>
        </w:rPr>
        <w:t xml:space="preserve">highlights </w:t>
      </w:r>
      <w:r w:rsidR="002E2938" w:rsidRPr="009434F9">
        <w:rPr>
          <w:rFonts w:ascii="Garamond" w:hAnsi="Garamond" w:cstheme="minorHAnsi"/>
        </w:rPr>
        <w:t xml:space="preserve">that in such cases, </w:t>
      </w:r>
      <w:r w:rsidR="00EE1359" w:rsidRPr="009434F9">
        <w:rPr>
          <w:rFonts w:ascii="Garamond" w:hAnsi="Garamond" w:cstheme="minorHAnsi"/>
        </w:rPr>
        <w:t xml:space="preserve">the fact that the receiver is not the target of the assurance puts them at greater risk to misconstrue the testimony’s </w:t>
      </w:r>
      <w:r w:rsidR="009260D6" w:rsidRPr="009434F9">
        <w:rPr>
          <w:rFonts w:ascii="Garamond" w:hAnsi="Garamond" w:cstheme="minorHAnsi"/>
        </w:rPr>
        <w:t xml:space="preserve">content or intended </w:t>
      </w:r>
      <w:r w:rsidR="002B5AB2" w:rsidRPr="009434F9">
        <w:rPr>
          <w:rFonts w:ascii="Garamond" w:hAnsi="Garamond" w:cstheme="minorHAnsi"/>
        </w:rPr>
        <w:t>speech act</w:t>
      </w:r>
      <w:r w:rsidR="005C3283" w:rsidRPr="009434F9">
        <w:rPr>
          <w:rFonts w:ascii="Garamond" w:hAnsi="Garamond" w:cstheme="minorHAnsi"/>
        </w:rPr>
        <w:t>.</w:t>
      </w:r>
      <w:r w:rsidR="00B63E62" w:rsidRPr="009434F9">
        <w:rPr>
          <w:rFonts w:ascii="Garamond" w:hAnsi="Garamond" w:cstheme="minorHAnsi"/>
        </w:rPr>
        <w:t xml:space="preserve"> </w:t>
      </w:r>
    </w:p>
  </w:footnote>
  <w:footnote w:id="33">
    <w:p w14:paraId="396F9777" w14:textId="5B222078" w:rsidR="002C3EB5" w:rsidRPr="009434F9" w:rsidRDefault="002C3EB5" w:rsidP="002C3EB5">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Thank you to </w:t>
      </w:r>
      <w:r w:rsidR="00106D0B" w:rsidRPr="009434F9">
        <w:rPr>
          <w:rFonts w:ascii="Garamond" w:hAnsi="Garamond" w:cstheme="minorHAnsi"/>
        </w:rPr>
        <w:t>an</w:t>
      </w:r>
      <w:r w:rsidRPr="009434F9">
        <w:rPr>
          <w:rFonts w:ascii="Garamond" w:hAnsi="Garamond" w:cstheme="minorHAnsi"/>
        </w:rPr>
        <w:t xml:space="preserve"> anonymous reviewer for </w:t>
      </w:r>
      <w:r w:rsidR="0089095F" w:rsidRPr="009434F9">
        <w:rPr>
          <w:rFonts w:ascii="Garamond" w:hAnsi="Garamond" w:cstheme="minorHAnsi"/>
        </w:rPr>
        <w:t xml:space="preserve">this </w:t>
      </w:r>
      <w:r w:rsidRPr="009434F9">
        <w:rPr>
          <w:rFonts w:ascii="Garamond" w:hAnsi="Garamond" w:cstheme="minorHAnsi"/>
        </w:rPr>
        <w:t xml:space="preserve">formulation of </w:t>
      </w:r>
      <w:r w:rsidR="0089095F" w:rsidRPr="009434F9">
        <w:rPr>
          <w:rFonts w:ascii="Garamond" w:hAnsi="Garamond" w:cstheme="minorHAnsi"/>
        </w:rPr>
        <w:t xml:space="preserve">the </w:t>
      </w:r>
      <w:r w:rsidRPr="009434F9">
        <w:rPr>
          <w:rFonts w:ascii="Garamond" w:hAnsi="Garamond" w:cstheme="minorHAnsi"/>
        </w:rPr>
        <w:t>worry.</w:t>
      </w:r>
    </w:p>
  </w:footnote>
  <w:footnote w:id="34">
    <w:p w14:paraId="09129384" w14:textId="56A88ACF" w:rsidR="002C3EB5" w:rsidRPr="009434F9" w:rsidRDefault="002C3EB5" w:rsidP="002C3EB5">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We say “generally speaking” because there will be a limited number of cases where the reasons may be inaccessible or difficult to parse.</w:t>
      </w:r>
      <w:r w:rsidR="002B5AB2" w:rsidRPr="009434F9">
        <w:rPr>
          <w:rFonts w:ascii="Garamond" w:hAnsi="Garamond" w:cstheme="minorHAnsi"/>
        </w:rPr>
        <w:t xml:space="preserve"> Marginalized people may also have a good understanding of the moral features of their experience but lack the ability to effectively communicate it to others.</w:t>
      </w:r>
    </w:p>
  </w:footnote>
  <w:footnote w:id="35">
    <w:p w14:paraId="28B1D5EB" w14:textId="1260E16C" w:rsidR="002C3EB5" w:rsidRPr="009434F9" w:rsidRDefault="002C3EB5" w:rsidP="002C3EB5">
      <w:pPr>
        <w:pStyle w:val="FootnoteText"/>
        <w:rPr>
          <w:rFonts w:ascii="Garamond" w:hAnsi="Garamond" w:cstheme="minorHAnsi"/>
        </w:rPr>
      </w:pPr>
      <w:r w:rsidRPr="009434F9">
        <w:rPr>
          <w:rStyle w:val="FootnoteReference"/>
          <w:rFonts w:ascii="Garamond" w:hAnsi="Garamond" w:cstheme="minorHAnsi"/>
        </w:rPr>
        <w:footnoteRef/>
      </w:r>
      <w:r w:rsidR="002B7EAA" w:rsidRPr="009434F9">
        <w:rPr>
          <w:rFonts w:ascii="Garamond" w:hAnsi="Garamond" w:cstheme="minorHAnsi"/>
        </w:rPr>
        <w:t xml:space="preserve"> </w:t>
      </w:r>
      <w:r w:rsidR="002B7EAA" w:rsidRPr="009434F9">
        <w:rPr>
          <w:rFonts w:ascii="Garamond" w:hAnsi="Garamond" w:cstheme="minorHAnsi"/>
          <w:color w:val="000000" w:themeColor="text1"/>
        </w:rPr>
        <w:t>We will bracket this conversation, but others have discussed the virtue or vice of epistemic autonomy at length.</w:t>
      </w:r>
      <w:r w:rsidRPr="009434F9">
        <w:rPr>
          <w:rFonts w:ascii="Garamond" w:hAnsi="Garamond" w:cstheme="minorHAnsi"/>
          <w:color w:val="000000" w:themeColor="text1"/>
        </w:rPr>
        <w:t xml:space="preserve"> Fricker (2006) has argued that epistemic autonomy is an ideal we should seek to achieve. Zagzebski (2012) and Wiland (2021) deny that epistemic autonomy has any intrinsic value. </w:t>
      </w:r>
    </w:p>
  </w:footnote>
  <w:footnote w:id="36">
    <w:p w14:paraId="045AB73C" w14:textId="71642C3A"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While </w:t>
      </w:r>
      <w:r w:rsidR="001123F4" w:rsidRPr="009434F9">
        <w:rPr>
          <w:rFonts w:ascii="Garamond" w:hAnsi="Garamond" w:cstheme="minorHAnsi"/>
        </w:rPr>
        <w:t xml:space="preserve">Alvin </w:t>
      </w:r>
      <w:r w:rsidRPr="009434F9">
        <w:rPr>
          <w:rFonts w:ascii="Garamond" w:hAnsi="Garamond" w:cstheme="minorHAnsi"/>
        </w:rPr>
        <w:t xml:space="preserve">Goldman (2001) argues against “going by the numbers” when it comes to deferring to experts, we are convinced by </w:t>
      </w:r>
      <w:r w:rsidR="001123F4" w:rsidRPr="009434F9">
        <w:rPr>
          <w:rFonts w:ascii="Garamond" w:hAnsi="Garamond" w:cstheme="minorHAnsi"/>
        </w:rPr>
        <w:t xml:space="preserve">David </w:t>
      </w:r>
      <w:r w:rsidRPr="009434F9">
        <w:rPr>
          <w:rFonts w:ascii="Garamond" w:hAnsi="Garamond" w:cstheme="minorHAnsi"/>
        </w:rPr>
        <w:t xml:space="preserve">Coady’s (2006) reply. In it, Coady contends that Goldman’s formal argument wrongly assumes that the probabilities involved will remain constant, when they are usually in flux (70). </w:t>
      </w:r>
    </w:p>
  </w:footnote>
  <w:footnote w:id="37">
    <w:p w14:paraId="27343C75" w14:textId="7CBDD62B"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It is generally agreed upon within the epistemology of disagreement that, when </w:t>
      </w:r>
      <w:r w:rsidR="008166C0" w:rsidRPr="009434F9">
        <w:rPr>
          <w:rFonts w:ascii="Garamond" w:hAnsi="Garamond" w:cstheme="minorHAnsi"/>
        </w:rPr>
        <w:t>a testifier</w:t>
      </w:r>
      <w:r w:rsidRPr="009434F9">
        <w:rPr>
          <w:rFonts w:ascii="Garamond" w:hAnsi="Garamond" w:cstheme="minorHAnsi"/>
        </w:rPr>
        <w:t xml:space="preserve"> has better evidence or a better ability to correctly respond to that evidence, we ought to defer to that person in the case of disagreement. See: Hardwig (1985), Foley (2001), Kelly (2005), </w:t>
      </w:r>
      <w:r w:rsidR="002D1DEB" w:rsidRPr="009434F9">
        <w:rPr>
          <w:rFonts w:ascii="Garamond" w:hAnsi="Garamond" w:cstheme="minorHAnsi"/>
        </w:rPr>
        <w:t>Christensen</w:t>
      </w:r>
      <w:r w:rsidRPr="009434F9">
        <w:rPr>
          <w:rFonts w:ascii="Garamond" w:hAnsi="Garamond" w:cstheme="minorHAnsi"/>
        </w:rPr>
        <w:t xml:space="preserve"> (2007), Simpson (2013) and Matheson (2015). See Goldman (2001) for a full-fledged account of who to trust when experts disagree. </w:t>
      </w:r>
    </w:p>
  </w:footnote>
  <w:footnote w:id="38">
    <w:p w14:paraId="55D1D21E" w14:textId="77777777" w:rsidR="00325C4D" w:rsidRPr="008336EA" w:rsidRDefault="00325C4D" w:rsidP="00325C4D">
      <w:pPr>
        <w:pStyle w:val="FootnoteText"/>
        <w:rPr>
          <w:rFonts w:ascii="Garamond" w:hAnsi="Garamond"/>
        </w:rPr>
      </w:pPr>
      <w:r w:rsidRPr="008336EA">
        <w:rPr>
          <w:rStyle w:val="FootnoteReference"/>
          <w:rFonts w:ascii="Garamond" w:hAnsi="Garamond"/>
        </w:rPr>
        <w:footnoteRef/>
      </w:r>
      <w:r w:rsidRPr="008336EA">
        <w:rPr>
          <w:rFonts w:ascii="Garamond" w:hAnsi="Garamond"/>
        </w:rPr>
        <w:t xml:space="preserve"> In order to know that you should do your homework in the first place, it is likely that you will have to encounter at least some testimony from marginalized individuals. </w:t>
      </w:r>
      <w:r>
        <w:rPr>
          <w:rFonts w:ascii="Garamond" w:hAnsi="Garamond"/>
        </w:rPr>
        <w:t>This is in some</w:t>
      </w:r>
      <w:r w:rsidRPr="008336EA">
        <w:rPr>
          <w:rFonts w:ascii="Garamond" w:hAnsi="Garamond"/>
        </w:rPr>
        <w:t xml:space="preserve"> way a chicken and egg problem, by which, in order to get to a consensus view and know you should seek out such a view, you will likely have to defer to others. What this suggests is that there isn’t really a </w:t>
      </w:r>
      <w:r>
        <w:rPr>
          <w:rFonts w:ascii="Garamond" w:hAnsi="Garamond"/>
        </w:rPr>
        <w:t>path</w:t>
      </w:r>
      <w:r w:rsidRPr="008336EA">
        <w:rPr>
          <w:rFonts w:ascii="Garamond" w:hAnsi="Garamond"/>
        </w:rPr>
        <w:t xml:space="preserve"> to understanding marginalized issues without deferring to or at least provisionally relying on the testimony of marginalized individuals. As we have argued, the former is preferable to the latter, because failing to defer can often communicate a lack of trust</w:t>
      </w:r>
      <w:r>
        <w:rPr>
          <w:rFonts w:ascii="Garamond" w:hAnsi="Garamond"/>
        </w:rPr>
        <w:t xml:space="preserve"> and subsequently disrespect</w:t>
      </w:r>
      <w:r w:rsidRPr="008336EA">
        <w:rPr>
          <w:rFonts w:ascii="Garamond" w:hAnsi="Garamond"/>
        </w:rPr>
        <w:t xml:space="preserve">, especially if </w:t>
      </w:r>
      <w:r>
        <w:rPr>
          <w:rFonts w:ascii="Garamond" w:hAnsi="Garamond"/>
        </w:rPr>
        <w:t>the receiver</w:t>
      </w:r>
      <w:r w:rsidRPr="008336EA">
        <w:rPr>
          <w:rFonts w:ascii="Garamond" w:hAnsi="Garamond"/>
        </w:rPr>
        <w:t xml:space="preserve"> only holds marginalized testimony in this provisional light. Perhaps </w:t>
      </w:r>
      <w:r>
        <w:rPr>
          <w:rFonts w:ascii="Garamond" w:hAnsi="Garamond"/>
        </w:rPr>
        <w:t>the receiver</w:t>
      </w:r>
      <w:r w:rsidRPr="008336EA">
        <w:rPr>
          <w:rFonts w:ascii="Garamond" w:hAnsi="Garamond"/>
        </w:rPr>
        <w:t xml:space="preserve"> could be generally skeptical and withhold belief in any </w:t>
      </w:r>
      <w:r>
        <w:rPr>
          <w:rFonts w:ascii="Garamond" w:hAnsi="Garamond"/>
        </w:rPr>
        <w:t>domain</w:t>
      </w:r>
      <w:r w:rsidRPr="008336EA">
        <w:rPr>
          <w:rFonts w:ascii="Garamond" w:hAnsi="Garamond"/>
        </w:rPr>
        <w:t xml:space="preserve"> without full understanding, but that seems </w:t>
      </w:r>
      <w:r>
        <w:rPr>
          <w:rFonts w:ascii="Garamond" w:hAnsi="Garamond"/>
        </w:rPr>
        <w:t>to us to be</w:t>
      </w:r>
      <w:r w:rsidRPr="008336EA">
        <w:rPr>
          <w:rFonts w:ascii="Garamond" w:hAnsi="Garamond"/>
        </w:rPr>
        <w:t xml:space="preserve"> an epistemically and socially impoverished way to move through the world, as that receiver will never </w:t>
      </w:r>
      <w:r>
        <w:rPr>
          <w:rFonts w:ascii="Garamond" w:hAnsi="Garamond"/>
        </w:rPr>
        <w:t>positively</w:t>
      </w:r>
      <w:r w:rsidRPr="008336EA">
        <w:rPr>
          <w:rFonts w:ascii="Garamond" w:hAnsi="Garamond"/>
        </w:rPr>
        <w:t xml:space="preserve"> trust anyone else.</w:t>
      </w:r>
    </w:p>
  </w:footnote>
  <w:footnote w:id="39">
    <w:p w14:paraId="1A002F2B" w14:textId="37815642"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w:t>
      </w:r>
      <w:r w:rsidR="00236FC7" w:rsidRPr="009434F9">
        <w:rPr>
          <w:rFonts w:ascii="Garamond" w:hAnsi="Garamond" w:cstheme="minorHAnsi"/>
        </w:rPr>
        <w:t xml:space="preserve">For instance, </w:t>
      </w:r>
      <w:r w:rsidR="00961521" w:rsidRPr="009434F9">
        <w:rPr>
          <w:rFonts w:ascii="Garamond" w:hAnsi="Garamond" w:cstheme="minorHAnsi"/>
        </w:rPr>
        <w:t xml:space="preserve">a woman who has experienced sexual harassment in the workplace might interpret an otherwise benign comment about her </w:t>
      </w:r>
      <w:r w:rsidR="00A1474B" w:rsidRPr="009434F9">
        <w:rPr>
          <w:rFonts w:ascii="Garamond" w:hAnsi="Garamond" w:cstheme="minorHAnsi"/>
        </w:rPr>
        <w:t xml:space="preserve">wardrobe </w:t>
      </w:r>
      <w:r w:rsidR="003635DB" w:rsidRPr="009434F9">
        <w:rPr>
          <w:rFonts w:ascii="Garamond" w:hAnsi="Garamond" w:cstheme="minorHAnsi"/>
        </w:rPr>
        <w:t>to imply sexual content</w:t>
      </w:r>
      <w:r w:rsidR="00FE3B2D" w:rsidRPr="009434F9">
        <w:rPr>
          <w:rFonts w:ascii="Garamond" w:hAnsi="Garamond" w:cstheme="minorHAnsi"/>
        </w:rPr>
        <w:t>. That’s to say, she may be</w:t>
      </w:r>
      <w:r w:rsidR="003635DB" w:rsidRPr="009434F9">
        <w:rPr>
          <w:rFonts w:ascii="Garamond" w:hAnsi="Garamond" w:cstheme="minorHAnsi"/>
        </w:rPr>
        <w:t xml:space="preserve"> </w:t>
      </w:r>
      <w:r w:rsidR="006667F4" w:rsidRPr="009434F9">
        <w:rPr>
          <w:rFonts w:ascii="Garamond" w:hAnsi="Garamond" w:cstheme="minorHAnsi"/>
        </w:rPr>
        <w:t xml:space="preserve">primed </w:t>
      </w:r>
      <w:r w:rsidR="006A4A40" w:rsidRPr="009434F9">
        <w:rPr>
          <w:rFonts w:ascii="Garamond" w:hAnsi="Garamond" w:cstheme="minorHAnsi"/>
        </w:rPr>
        <w:t xml:space="preserve">to interpret comments in such a way </w:t>
      </w:r>
      <w:r w:rsidR="00EE08AE" w:rsidRPr="009434F9">
        <w:rPr>
          <w:rFonts w:ascii="Garamond" w:hAnsi="Garamond" w:cstheme="minorHAnsi"/>
        </w:rPr>
        <w:t>as a result of her experience with</w:t>
      </w:r>
      <w:r w:rsidR="006A4A40" w:rsidRPr="009434F9">
        <w:rPr>
          <w:rFonts w:ascii="Garamond" w:hAnsi="Garamond" w:cstheme="minorHAnsi"/>
        </w:rPr>
        <w:t xml:space="preserve"> </w:t>
      </w:r>
      <w:r w:rsidR="006667F4" w:rsidRPr="009434F9">
        <w:rPr>
          <w:rFonts w:ascii="Garamond" w:hAnsi="Garamond" w:cstheme="minorHAnsi"/>
        </w:rPr>
        <w:t>past</w:t>
      </w:r>
      <w:r w:rsidR="006A4A40" w:rsidRPr="009434F9">
        <w:rPr>
          <w:rFonts w:ascii="Garamond" w:hAnsi="Garamond" w:cstheme="minorHAnsi"/>
        </w:rPr>
        <w:t xml:space="preserve"> </w:t>
      </w:r>
      <w:r w:rsidR="006667F4" w:rsidRPr="009434F9">
        <w:rPr>
          <w:rFonts w:ascii="Garamond" w:hAnsi="Garamond" w:cstheme="minorHAnsi"/>
        </w:rPr>
        <w:t xml:space="preserve">trauma. </w:t>
      </w:r>
    </w:p>
  </w:footnote>
  <w:footnote w:id="40">
    <w:p w14:paraId="168C984C" w14:textId="5BEB38C3" w:rsidR="00701DA1" w:rsidRPr="009434F9" w:rsidRDefault="00701DA1">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For an objection of this kind, see Táíwò (2021).</w:t>
      </w:r>
    </w:p>
  </w:footnote>
  <w:footnote w:id="41">
    <w:p w14:paraId="6520B03F" w14:textId="1E85E6D7" w:rsidR="00055C99" w:rsidRPr="009434F9" w:rsidRDefault="00055C99">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As Sarah Schulman (2016) argues, supremacy mindsets (held by the privileged) can </w:t>
      </w:r>
      <w:r w:rsidR="008C2D6B" w:rsidRPr="009434F9">
        <w:rPr>
          <w:rFonts w:ascii="Garamond" w:hAnsi="Garamond" w:cstheme="minorHAnsi"/>
        </w:rPr>
        <w:t>distort</w:t>
      </w:r>
      <w:r w:rsidRPr="009434F9">
        <w:rPr>
          <w:rFonts w:ascii="Garamond" w:hAnsi="Garamond" w:cstheme="minorHAnsi"/>
        </w:rPr>
        <w:t xml:space="preserve"> in very similar ways to trauma. Even if a person’s </w:t>
      </w:r>
      <w:r w:rsidR="008C2D6B" w:rsidRPr="009434F9">
        <w:rPr>
          <w:rFonts w:ascii="Garamond" w:hAnsi="Garamond" w:cstheme="minorHAnsi"/>
        </w:rPr>
        <w:t xml:space="preserve">individual </w:t>
      </w:r>
      <w:r w:rsidRPr="009434F9">
        <w:rPr>
          <w:rFonts w:ascii="Garamond" w:hAnsi="Garamond" w:cstheme="minorHAnsi"/>
        </w:rPr>
        <w:t>trauma presents a sufficient reason not to defer, there will be similar cases in which privileged persons will be equally epistemically corrupted due to supremacist mindsets. Think about, for instance, the white person that cannot accept any suggestion that their community might be racist. Additionally, trauma is not unique to the marginalized. As such, we should be especially wary of any suggestion that marginalized people as a class are unique in being subject to epistemically contaminating experiences.</w:t>
      </w:r>
    </w:p>
  </w:footnote>
  <w:footnote w:id="42">
    <w:p w14:paraId="141E5639" w14:textId="77777777" w:rsidR="00001D13" w:rsidRPr="009434F9" w:rsidRDefault="00001D13" w:rsidP="00001D13">
      <w:pPr>
        <w:pStyle w:val="FootnoteText"/>
        <w:rPr>
          <w:rFonts w:ascii="Garamond" w:hAnsi="Garamond" w:cstheme="minorHAnsi"/>
        </w:rPr>
      </w:pPr>
      <w:r w:rsidRPr="009434F9">
        <w:rPr>
          <w:rStyle w:val="FootnoteReference"/>
          <w:rFonts w:ascii="Garamond" w:hAnsi="Garamond" w:cstheme="minorHAnsi"/>
        </w:rPr>
        <w:footnoteRef/>
      </w:r>
      <w:r w:rsidRPr="009434F9">
        <w:rPr>
          <w:rFonts w:ascii="Garamond" w:hAnsi="Garamond" w:cstheme="minorHAnsi"/>
        </w:rPr>
        <w:t xml:space="preserve"> Those with invisible marginalized status will not be subject to all of the same experiences as someone with a visible marginalized status.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374262"/>
      <w:docPartObj>
        <w:docPartGallery w:val="Page Numbers (Top of Page)"/>
        <w:docPartUnique/>
      </w:docPartObj>
    </w:sdtPr>
    <w:sdtContent>
      <w:p w14:paraId="6ADE74C3" w14:textId="77777777" w:rsidR="00B9330D" w:rsidRDefault="00AF17B2" w:rsidP="00A42E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32558C" w14:textId="77777777" w:rsidR="00B9330D" w:rsidRDefault="00000000" w:rsidP="004F51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Calibri (Body)"/>
      </w:rPr>
      <w:id w:val="1806731008"/>
      <w:docPartObj>
        <w:docPartGallery w:val="Page Numbers (Top of Page)"/>
        <w:docPartUnique/>
      </w:docPartObj>
    </w:sdtPr>
    <w:sdtContent>
      <w:p w14:paraId="05C73C65" w14:textId="77777777" w:rsidR="00B9330D" w:rsidRPr="00AA2332" w:rsidRDefault="00AF17B2" w:rsidP="00A42EC6">
        <w:pPr>
          <w:pStyle w:val="Header"/>
          <w:framePr w:wrap="none" w:vAnchor="text" w:hAnchor="margin" w:xAlign="right" w:y="1"/>
          <w:rPr>
            <w:rStyle w:val="PageNumber"/>
            <w:rFonts w:cs="Calibri (Body)"/>
          </w:rPr>
        </w:pPr>
        <w:r w:rsidRPr="00AA2332">
          <w:rPr>
            <w:rStyle w:val="PageNumber"/>
            <w:rFonts w:cs="Calibri (Body)"/>
          </w:rPr>
          <w:fldChar w:fldCharType="begin"/>
        </w:r>
        <w:r w:rsidRPr="00AA2332">
          <w:rPr>
            <w:rStyle w:val="PageNumber"/>
            <w:rFonts w:cs="Calibri (Body)"/>
          </w:rPr>
          <w:instrText xml:space="preserve"> PAGE </w:instrText>
        </w:r>
        <w:r w:rsidRPr="00AA2332">
          <w:rPr>
            <w:rStyle w:val="PageNumber"/>
            <w:rFonts w:cs="Calibri (Body)"/>
          </w:rPr>
          <w:fldChar w:fldCharType="separate"/>
        </w:r>
        <w:r w:rsidRPr="00AA2332">
          <w:rPr>
            <w:rStyle w:val="PageNumber"/>
            <w:rFonts w:cs="Calibri (Body)"/>
            <w:noProof/>
          </w:rPr>
          <w:t>10</w:t>
        </w:r>
        <w:r w:rsidRPr="00AA2332">
          <w:rPr>
            <w:rStyle w:val="PageNumber"/>
            <w:rFonts w:cs="Calibri (Body)"/>
          </w:rPr>
          <w:fldChar w:fldCharType="end"/>
        </w:r>
      </w:p>
    </w:sdtContent>
  </w:sdt>
  <w:p w14:paraId="702D38B9" w14:textId="02E8145D" w:rsidR="000F3B64" w:rsidRPr="00812AAC" w:rsidRDefault="000F3B64" w:rsidP="000F3B64">
    <w:pPr>
      <w:pStyle w:val="Header"/>
      <w:ind w:right="360"/>
      <w:rPr>
        <w:sz w:val="20"/>
      </w:rPr>
    </w:pPr>
    <w:r w:rsidRPr="00812AAC">
      <w:rPr>
        <w:bCs/>
        <w:sz w:val="20"/>
      </w:rPr>
      <w:t>*This is the penultimate draft</w:t>
    </w:r>
    <w:r>
      <w:rPr>
        <w:bCs/>
        <w:sz w:val="20"/>
      </w:rPr>
      <w:t xml:space="preserve">, forthcoming in </w:t>
    </w:r>
    <w:r>
      <w:rPr>
        <w:bCs/>
        <w:i/>
        <w:iCs/>
        <w:sz w:val="20"/>
      </w:rPr>
      <w:t>Feminist Philosophy Quarterly</w:t>
    </w:r>
    <w:r>
      <w:rPr>
        <w:bCs/>
        <w:sz w:val="20"/>
      </w:rPr>
      <w:t xml:space="preserve">. </w:t>
    </w:r>
    <w:r>
      <w:rPr>
        <w:bCs/>
        <w:sz w:val="20"/>
      </w:rPr>
      <w:t xml:space="preserve">Please cite the published version, when </w:t>
    </w:r>
    <w:r w:rsidR="00B045D3">
      <w:rPr>
        <w:bCs/>
        <w:sz w:val="20"/>
      </w:rPr>
      <w:t xml:space="preserve">it becomes </w:t>
    </w:r>
    <w:r>
      <w:rPr>
        <w:bCs/>
        <w:sz w:val="20"/>
      </w:rPr>
      <w:t>available.</w:t>
    </w:r>
  </w:p>
  <w:p w14:paraId="47649A60" w14:textId="77777777" w:rsidR="00B9330D" w:rsidRDefault="00000000" w:rsidP="004F510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DB6" w14:textId="77777777" w:rsidR="000F3B64" w:rsidRDefault="000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F47DC1"/>
    <w:multiLevelType w:val="multilevel"/>
    <w:tmpl w:val="7206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E7E8E"/>
    <w:multiLevelType w:val="hybridMultilevel"/>
    <w:tmpl w:val="B64A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824B5"/>
    <w:multiLevelType w:val="multilevel"/>
    <w:tmpl w:val="DA4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F61EA"/>
    <w:multiLevelType w:val="hybridMultilevel"/>
    <w:tmpl w:val="AD702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701633">
    <w:abstractNumId w:val="3"/>
  </w:num>
  <w:num w:numId="2" w16cid:durableId="1716271084">
    <w:abstractNumId w:val="1"/>
  </w:num>
  <w:num w:numId="3" w16cid:durableId="1064987025">
    <w:abstractNumId w:val="0"/>
  </w:num>
  <w:num w:numId="4" w16cid:durableId="293757818">
    <w:abstractNumId w:val="2"/>
  </w:num>
  <w:num w:numId="5" w16cid:durableId="101623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13"/>
    <w:rsid w:val="00001714"/>
    <w:rsid w:val="00001D13"/>
    <w:rsid w:val="000223CE"/>
    <w:rsid w:val="00022437"/>
    <w:rsid w:val="00024D52"/>
    <w:rsid w:val="00026F99"/>
    <w:rsid w:val="000373D8"/>
    <w:rsid w:val="00047623"/>
    <w:rsid w:val="00050057"/>
    <w:rsid w:val="000508D3"/>
    <w:rsid w:val="00052663"/>
    <w:rsid w:val="00055C99"/>
    <w:rsid w:val="00056FD5"/>
    <w:rsid w:val="00060DEA"/>
    <w:rsid w:val="000751B9"/>
    <w:rsid w:val="0009056D"/>
    <w:rsid w:val="0009263F"/>
    <w:rsid w:val="0009664C"/>
    <w:rsid w:val="000B0C4C"/>
    <w:rsid w:val="000B0ED5"/>
    <w:rsid w:val="000B2FC1"/>
    <w:rsid w:val="000B62EF"/>
    <w:rsid w:val="000B7B0F"/>
    <w:rsid w:val="000C18D4"/>
    <w:rsid w:val="000D0EEB"/>
    <w:rsid w:val="000D2DC7"/>
    <w:rsid w:val="000D3717"/>
    <w:rsid w:val="000E2A82"/>
    <w:rsid w:val="000E6E27"/>
    <w:rsid w:val="000F3B64"/>
    <w:rsid w:val="000F454B"/>
    <w:rsid w:val="00106D0B"/>
    <w:rsid w:val="00107002"/>
    <w:rsid w:val="00107CFD"/>
    <w:rsid w:val="00110C51"/>
    <w:rsid w:val="001123F4"/>
    <w:rsid w:val="001237E8"/>
    <w:rsid w:val="00124F41"/>
    <w:rsid w:val="001268E0"/>
    <w:rsid w:val="0012798D"/>
    <w:rsid w:val="00130EFF"/>
    <w:rsid w:val="001401AF"/>
    <w:rsid w:val="00140550"/>
    <w:rsid w:val="001531E2"/>
    <w:rsid w:val="00154BD1"/>
    <w:rsid w:val="00155F8B"/>
    <w:rsid w:val="001703B4"/>
    <w:rsid w:val="00181230"/>
    <w:rsid w:val="00182410"/>
    <w:rsid w:val="00191768"/>
    <w:rsid w:val="00192886"/>
    <w:rsid w:val="001A47C9"/>
    <w:rsid w:val="001B176D"/>
    <w:rsid w:val="001C00A3"/>
    <w:rsid w:val="001C6E30"/>
    <w:rsid w:val="001C77D1"/>
    <w:rsid w:val="001D0F02"/>
    <w:rsid w:val="001D211A"/>
    <w:rsid w:val="001E202C"/>
    <w:rsid w:val="001E32AD"/>
    <w:rsid w:val="001E3AEC"/>
    <w:rsid w:val="001E70D6"/>
    <w:rsid w:val="001F47CF"/>
    <w:rsid w:val="001F715D"/>
    <w:rsid w:val="0020138D"/>
    <w:rsid w:val="00201CDB"/>
    <w:rsid w:val="00207CD7"/>
    <w:rsid w:val="00211951"/>
    <w:rsid w:val="00215EA2"/>
    <w:rsid w:val="00216D73"/>
    <w:rsid w:val="0022350B"/>
    <w:rsid w:val="00230748"/>
    <w:rsid w:val="00236FC7"/>
    <w:rsid w:val="00241E5C"/>
    <w:rsid w:val="00242020"/>
    <w:rsid w:val="00246A92"/>
    <w:rsid w:val="00250E25"/>
    <w:rsid w:val="00251203"/>
    <w:rsid w:val="00256C2F"/>
    <w:rsid w:val="002735CB"/>
    <w:rsid w:val="002743D2"/>
    <w:rsid w:val="002757EA"/>
    <w:rsid w:val="00275C87"/>
    <w:rsid w:val="00276486"/>
    <w:rsid w:val="00281F32"/>
    <w:rsid w:val="0028203F"/>
    <w:rsid w:val="0029293E"/>
    <w:rsid w:val="00294BAC"/>
    <w:rsid w:val="002A1929"/>
    <w:rsid w:val="002A6DD6"/>
    <w:rsid w:val="002A6E18"/>
    <w:rsid w:val="002B1123"/>
    <w:rsid w:val="002B2A27"/>
    <w:rsid w:val="002B5AB2"/>
    <w:rsid w:val="002B646D"/>
    <w:rsid w:val="002B7036"/>
    <w:rsid w:val="002B7EAA"/>
    <w:rsid w:val="002C3EB5"/>
    <w:rsid w:val="002C4E09"/>
    <w:rsid w:val="002D1127"/>
    <w:rsid w:val="002D1DEB"/>
    <w:rsid w:val="002D283B"/>
    <w:rsid w:val="002E1547"/>
    <w:rsid w:val="002E2938"/>
    <w:rsid w:val="002E4EDC"/>
    <w:rsid w:val="002E6462"/>
    <w:rsid w:val="002E7481"/>
    <w:rsid w:val="002F73BE"/>
    <w:rsid w:val="00306CEE"/>
    <w:rsid w:val="00306DDE"/>
    <w:rsid w:val="00311856"/>
    <w:rsid w:val="00325C4D"/>
    <w:rsid w:val="003369A2"/>
    <w:rsid w:val="00340F91"/>
    <w:rsid w:val="0034588D"/>
    <w:rsid w:val="003635DB"/>
    <w:rsid w:val="00366209"/>
    <w:rsid w:val="003669F8"/>
    <w:rsid w:val="003771F9"/>
    <w:rsid w:val="00384196"/>
    <w:rsid w:val="003845C3"/>
    <w:rsid w:val="003875FD"/>
    <w:rsid w:val="003B4C3E"/>
    <w:rsid w:val="003D30FC"/>
    <w:rsid w:val="003E1110"/>
    <w:rsid w:val="003E74BF"/>
    <w:rsid w:val="00401FEF"/>
    <w:rsid w:val="004045D0"/>
    <w:rsid w:val="00406888"/>
    <w:rsid w:val="00411479"/>
    <w:rsid w:val="0041279A"/>
    <w:rsid w:val="0041475D"/>
    <w:rsid w:val="00424116"/>
    <w:rsid w:val="0042697C"/>
    <w:rsid w:val="00436419"/>
    <w:rsid w:val="00441A21"/>
    <w:rsid w:val="00447C57"/>
    <w:rsid w:val="004515DD"/>
    <w:rsid w:val="004525AF"/>
    <w:rsid w:val="0045313B"/>
    <w:rsid w:val="00460F04"/>
    <w:rsid w:val="004710C1"/>
    <w:rsid w:val="00484068"/>
    <w:rsid w:val="004860AB"/>
    <w:rsid w:val="004903C5"/>
    <w:rsid w:val="004917C2"/>
    <w:rsid w:val="004952E4"/>
    <w:rsid w:val="00496300"/>
    <w:rsid w:val="004A352B"/>
    <w:rsid w:val="004A6358"/>
    <w:rsid w:val="004A7E7D"/>
    <w:rsid w:val="004B0685"/>
    <w:rsid w:val="004B1251"/>
    <w:rsid w:val="004B186C"/>
    <w:rsid w:val="004B2310"/>
    <w:rsid w:val="004C5CE0"/>
    <w:rsid w:val="004C5F10"/>
    <w:rsid w:val="004D17E8"/>
    <w:rsid w:val="004D46B8"/>
    <w:rsid w:val="004E2A24"/>
    <w:rsid w:val="004E5E22"/>
    <w:rsid w:val="004F029A"/>
    <w:rsid w:val="004F2C68"/>
    <w:rsid w:val="004F7F4D"/>
    <w:rsid w:val="00501FBF"/>
    <w:rsid w:val="00505929"/>
    <w:rsid w:val="005063F3"/>
    <w:rsid w:val="00507507"/>
    <w:rsid w:val="005171A4"/>
    <w:rsid w:val="005366B6"/>
    <w:rsid w:val="005424D7"/>
    <w:rsid w:val="00555D2A"/>
    <w:rsid w:val="00563F81"/>
    <w:rsid w:val="005641C3"/>
    <w:rsid w:val="00573FB7"/>
    <w:rsid w:val="00590E89"/>
    <w:rsid w:val="00592246"/>
    <w:rsid w:val="005936B7"/>
    <w:rsid w:val="00593EF6"/>
    <w:rsid w:val="00595999"/>
    <w:rsid w:val="005A146E"/>
    <w:rsid w:val="005A51BC"/>
    <w:rsid w:val="005A626D"/>
    <w:rsid w:val="005C3283"/>
    <w:rsid w:val="005D5D88"/>
    <w:rsid w:val="005E27DA"/>
    <w:rsid w:val="005E538A"/>
    <w:rsid w:val="005F3450"/>
    <w:rsid w:val="0060367B"/>
    <w:rsid w:val="006037E0"/>
    <w:rsid w:val="006069EB"/>
    <w:rsid w:val="00610665"/>
    <w:rsid w:val="00640231"/>
    <w:rsid w:val="0064054C"/>
    <w:rsid w:val="006465D7"/>
    <w:rsid w:val="00650956"/>
    <w:rsid w:val="006602A4"/>
    <w:rsid w:val="0066214C"/>
    <w:rsid w:val="006667F4"/>
    <w:rsid w:val="00672C5A"/>
    <w:rsid w:val="00687779"/>
    <w:rsid w:val="00687AA1"/>
    <w:rsid w:val="006907F1"/>
    <w:rsid w:val="006A148D"/>
    <w:rsid w:val="006A3B23"/>
    <w:rsid w:val="006A4A40"/>
    <w:rsid w:val="006A612F"/>
    <w:rsid w:val="006B0116"/>
    <w:rsid w:val="006B4127"/>
    <w:rsid w:val="006B6766"/>
    <w:rsid w:val="006C36C3"/>
    <w:rsid w:val="006C72BD"/>
    <w:rsid w:val="006D346E"/>
    <w:rsid w:val="006E1769"/>
    <w:rsid w:val="006F1846"/>
    <w:rsid w:val="00701DA1"/>
    <w:rsid w:val="0070502F"/>
    <w:rsid w:val="00714CB6"/>
    <w:rsid w:val="00716708"/>
    <w:rsid w:val="00720973"/>
    <w:rsid w:val="00721500"/>
    <w:rsid w:val="007236FA"/>
    <w:rsid w:val="00752DCF"/>
    <w:rsid w:val="00757225"/>
    <w:rsid w:val="00762BF4"/>
    <w:rsid w:val="00765802"/>
    <w:rsid w:val="00775A3B"/>
    <w:rsid w:val="00776E33"/>
    <w:rsid w:val="007825CE"/>
    <w:rsid w:val="007838F7"/>
    <w:rsid w:val="00793032"/>
    <w:rsid w:val="007A3F28"/>
    <w:rsid w:val="007C4668"/>
    <w:rsid w:val="007C6FFB"/>
    <w:rsid w:val="007D20E9"/>
    <w:rsid w:val="007F0B40"/>
    <w:rsid w:val="007F1620"/>
    <w:rsid w:val="007F4CC5"/>
    <w:rsid w:val="007F6DE6"/>
    <w:rsid w:val="00803345"/>
    <w:rsid w:val="00810D12"/>
    <w:rsid w:val="0081487F"/>
    <w:rsid w:val="008166C0"/>
    <w:rsid w:val="0082099D"/>
    <w:rsid w:val="00825A50"/>
    <w:rsid w:val="008321AA"/>
    <w:rsid w:val="00842158"/>
    <w:rsid w:val="00842595"/>
    <w:rsid w:val="008452D1"/>
    <w:rsid w:val="00851548"/>
    <w:rsid w:val="00851A93"/>
    <w:rsid w:val="00851E9A"/>
    <w:rsid w:val="00852304"/>
    <w:rsid w:val="008532BC"/>
    <w:rsid w:val="0086378B"/>
    <w:rsid w:val="008674AF"/>
    <w:rsid w:val="00871496"/>
    <w:rsid w:val="008845BB"/>
    <w:rsid w:val="0089095F"/>
    <w:rsid w:val="008979F8"/>
    <w:rsid w:val="008A01F9"/>
    <w:rsid w:val="008A2013"/>
    <w:rsid w:val="008A5DE5"/>
    <w:rsid w:val="008B0700"/>
    <w:rsid w:val="008B3DCD"/>
    <w:rsid w:val="008B6D6A"/>
    <w:rsid w:val="008B7CD2"/>
    <w:rsid w:val="008C2D6B"/>
    <w:rsid w:val="008E0C66"/>
    <w:rsid w:val="008F0594"/>
    <w:rsid w:val="008F1ADD"/>
    <w:rsid w:val="009036E5"/>
    <w:rsid w:val="009043AF"/>
    <w:rsid w:val="00914861"/>
    <w:rsid w:val="009260D6"/>
    <w:rsid w:val="00940D82"/>
    <w:rsid w:val="00941A00"/>
    <w:rsid w:val="00941CFC"/>
    <w:rsid w:val="009434F9"/>
    <w:rsid w:val="00944C5C"/>
    <w:rsid w:val="00951B83"/>
    <w:rsid w:val="00951FC9"/>
    <w:rsid w:val="00961521"/>
    <w:rsid w:val="0096200E"/>
    <w:rsid w:val="0096259D"/>
    <w:rsid w:val="0096334E"/>
    <w:rsid w:val="0096373F"/>
    <w:rsid w:val="00971B42"/>
    <w:rsid w:val="00983393"/>
    <w:rsid w:val="00985999"/>
    <w:rsid w:val="00987D65"/>
    <w:rsid w:val="00991242"/>
    <w:rsid w:val="0099159F"/>
    <w:rsid w:val="009A3DF6"/>
    <w:rsid w:val="009C5C1B"/>
    <w:rsid w:val="009C5E7E"/>
    <w:rsid w:val="009D0F77"/>
    <w:rsid w:val="009E6091"/>
    <w:rsid w:val="009F5C15"/>
    <w:rsid w:val="009F76DB"/>
    <w:rsid w:val="00A0058D"/>
    <w:rsid w:val="00A008EC"/>
    <w:rsid w:val="00A01181"/>
    <w:rsid w:val="00A0432E"/>
    <w:rsid w:val="00A04C87"/>
    <w:rsid w:val="00A1474B"/>
    <w:rsid w:val="00A14A73"/>
    <w:rsid w:val="00A14E6C"/>
    <w:rsid w:val="00A20F51"/>
    <w:rsid w:val="00A2694C"/>
    <w:rsid w:val="00A513F4"/>
    <w:rsid w:val="00A51C93"/>
    <w:rsid w:val="00A53D14"/>
    <w:rsid w:val="00A775C5"/>
    <w:rsid w:val="00A91040"/>
    <w:rsid w:val="00A92296"/>
    <w:rsid w:val="00AA2332"/>
    <w:rsid w:val="00AA3035"/>
    <w:rsid w:val="00AA55CC"/>
    <w:rsid w:val="00AB1AD3"/>
    <w:rsid w:val="00AB7FAC"/>
    <w:rsid w:val="00AC5211"/>
    <w:rsid w:val="00AE2DAA"/>
    <w:rsid w:val="00AE6C70"/>
    <w:rsid w:val="00AE7233"/>
    <w:rsid w:val="00AF17B2"/>
    <w:rsid w:val="00AF555D"/>
    <w:rsid w:val="00B045D3"/>
    <w:rsid w:val="00B04E4A"/>
    <w:rsid w:val="00B10797"/>
    <w:rsid w:val="00B15425"/>
    <w:rsid w:val="00B21926"/>
    <w:rsid w:val="00B31ACE"/>
    <w:rsid w:val="00B32627"/>
    <w:rsid w:val="00B34E1C"/>
    <w:rsid w:val="00B3765F"/>
    <w:rsid w:val="00B44496"/>
    <w:rsid w:val="00B47E9E"/>
    <w:rsid w:val="00B600B1"/>
    <w:rsid w:val="00B60550"/>
    <w:rsid w:val="00B60E24"/>
    <w:rsid w:val="00B6327B"/>
    <w:rsid w:val="00B63A64"/>
    <w:rsid w:val="00B63E62"/>
    <w:rsid w:val="00B669B8"/>
    <w:rsid w:val="00B704EC"/>
    <w:rsid w:val="00B7159D"/>
    <w:rsid w:val="00B80813"/>
    <w:rsid w:val="00B80AA6"/>
    <w:rsid w:val="00B82290"/>
    <w:rsid w:val="00B823D5"/>
    <w:rsid w:val="00B8717E"/>
    <w:rsid w:val="00B97F9D"/>
    <w:rsid w:val="00BA3DA8"/>
    <w:rsid w:val="00BB2B97"/>
    <w:rsid w:val="00BB4E0B"/>
    <w:rsid w:val="00BB557D"/>
    <w:rsid w:val="00BC510B"/>
    <w:rsid w:val="00BC793A"/>
    <w:rsid w:val="00BF5DDD"/>
    <w:rsid w:val="00C01E0C"/>
    <w:rsid w:val="00C02A5B"/>
    <w:rsid w:val="00C033BE"/>
    <w:rsid w:val="00C042E2"/>
    <w:rsid w:val="00C120D5"/>
    <w:rsid w:val="00C159E5"/>
    <w:rsid w:val="00C20579"/>
    <w:rsid w:val="00C222AC"/>
    <w:rsid w:val="00C278C6"/>
    <w:rsid w:val="00C301B3"/>
    <w:rsid w:val="00C305B5"/>
    <w:rsid w:val="00C30C05"/>
    <w:rsid w:val="00C34881"/>
    <w:rsid w:val="00C47051"/>
    <w:rsid w:val="00C502EB"/>
    <w:rsid w:val="00C52C65"/>
    <w:rsid w:val="00C5588D"/>
    <w:rsid w:val="00C651C5"/>
    <w:rsid w:val="00C7127B"/>
    <w:rsid w:val="00C7177A"/>
    <w:rsid w:val="00C71F37"/>
    <w:rsid w:val="00C73135"/>
    <w:rsid w:val="00C74D77"/>
    <w:rsid w:val="00C7566B"/>
    <w:rsid w:val="00C87981"/>
    <w:rsid w:val="00C87D09"/>
    <w:rsid w:val="00C91E25"/>
    <w:rsid w:val="00C97DE9"/>
    <w:rsid w:val="00CA2E77"/>
    <w:rsid w:val="00CA30ED"/>
    <w:rsid w:val="00CB00A2"/>
    <w:rsid w:val="00CB696C"/>
    <w:rsid w:val="00CD50FF"/>
    <w:rsid w:val="00CD5C9D"/>
    <w:rsid w:val="00CE6C05"/>
    <w:rsid w:val="00CF38FB"/>
    <w:rsid w:val="00D0396B"/>
    <w:rsid w:val="00D04FF8"/>
    <w:rsid w:val="00D07D71"/>
    <w:rsid w:val="00D2211F"/>
    <w:rsid w:val="00D25EAB"/>
    <w:rsid w:val="00D275D4"/>
    <w:rsid w:val="00D31AFA"/>
    <w:rsid w:val="00D41AE0"/>
    <w:rsid w:val="00D42AA1"/>
    <w:rsid w:val="00D44E73"/>
    <w:rsid w:val="00D5051D"/>
    <w:rsid w:val="00D53209"/>
    <w:rsid w:val="00D713AE"/>
    <w:rsid w:val="00D73BFC"/>
    <w:rsid w:val="00D76581"/>
    <w:rsid w:val="00D9274E"/>
    <w:rsid w:val="00D9337C"/>
    <w:rsid w:val="00DA4206"/>
    <w:rsid w:val="00DA7229"/>
    <w:rsid w:val="00DB23AD"/>
    <w:rsid w:val="00DC7C06"/>
    <w:rsid w:val="00DD466C"/>
    <w:rsid w:val="00DD4A72"/>
    <w:rsid w:val="00DD785B"/>
    <w:rsid w:val="00DD7EF2"/>
    <w:rsid w:val="00DE0984"/>
    <w:rsid w:val="00DF2D66"/>
    <w:rsid w:val="00DF4456"/>
    <w:rsid w:val="00DF6508"/>
    <w:rsid w:val="00E015E8"/>
    <w:rsid w:val="00E01676"/>
    <w:rsid w:val="00E02272"/>
    <w:rsid w:val="00E048AD"/>
    <w:rsid w:val="00E100A6"/>
    <w:rsid w:val="00E22772"/>
    <w:rsid w:val="00E366AA"/>
    <w:rsid w:val="00E5234F"/>
    <w:rsid w:val="00E52A61"/>
    <w:rsid w:val="00E52B47"/>
    <w:rsid w:val="00E52B5C"/>
    <w:rsid w:val="00E74183"/>
    <w:rsid w:val="00E74C9B"/>
    <w:rsid w:val="00E75F6B"/>
    <w:rsid w:val="00E8380D"/>
    <w:rsid w:val="00E8459A"/>
    <w:rsid w:val="00E84C55"/>
    <w:rsid w:val="00E856EC"/>
    <w:rsid w:val="00E913D8"/>
    <w:rsid w:val="00E91CBF"/>
    <w:rsid w:val="00E934C4"/>
    <w:rsid w:val="00E96241"/>
    <w:rsid w:val="00EA6157"/>
    <w:rsid w:val="00EA6DF5"/>
    <w:rsid w:val="00EB4B65"/>
    <w:rsid w:val="00EB56FF"/>
    <w:rsid w:val="00EB7B08"/>
    <w:rsid w:val="00EC38D8"/>
    <w:rsid w:val="00EC6384"/>
    <w:rsid w:val="00EC6F6B"/>
    <w:rsid w:val="00ED0657"/>
    <w:rsid w:val="00EE08AE"/>
    <w:rsid w:val="00EE1359"/>
    <w:rsid w:val="00EE46A6"/>
    <w:rsid w:val="00EE532F"/>
    <w:rsid w:val="00EE7D39"/>
    <w:rsid w:val="00EF06D8"/>
    <w:rsid w:val="00EF24B0"/>
    <w:rsid w:val="00EF6DB0"/>
    <w:rsid w:val="00F043F3"/>
    <w:rsid w:val="00F0732B"/>
    <w:rsid w:val="00F1511E"/>
    <w:rsid w:val="00F24BBA"/>
    <w:rsid w:val="00F31ABB"/>
    <w:rsid w:val="00F44626"/>
    <w:rsid w:val="00F52426"/>
    <w:rsid w:val="00F5292F"/>
    <w:rsid w:val="00F573C5"/>
    <w:rsid w:val="00F6146A"/>
    <w:rsid w:val="00F61885"/>
    <w:rsid w:val="00F65EA0"/>
    <w:rsid w:val="00F7249A"/>
    <w:rsid w:val="00F76B7B"/>
    <w:rsid w:val="00F83907"/>
    <w:rsid w:val="00F83A63"/>
    <w:rsid w:val="00F91FEE"/>
    <w:rsid w:val="00FA384C"/>
    <w:rsid w:val="00FB6D77"/>
    <w:rsid w:val="00FC0E3E"/>
    <w:rsid w:val="00FC244B"/>
    <w:rsid w:val="00FC582F"/>
    <w:rsid w:val="00FC746F"/>
    <w:rsid w:val="00FD016B"/>
    <w:rsid w:val="00FE3B2D"/>
    <w:rsid w:val="00FE7BC1"/>
    <w:rsid w:val="00FF398D"/>
    <w:rsid w:val="00FF404B"/>
    <w:rsid w:val="00FF622C"/>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3EE5B9"/>
  <w15:chartTrackingRefBased/>
  <w15:docId w15:val="{F79FD012-E173-EE4C-A13C-C6B349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13"/>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1D13"/>
    <w:rPr>
      <w:rFonts w:asciiTheme="minorHAnsi" w:hAnsiTheme="minorHAnsi" w:cstheme="minorBidi"/>
      <w:sz w:val="20"/>
      <w:szCs w:val="20"/>
      <w:lang w:bidi="he-IL"/>
    </w:rPr>
  </w:style>
  <w:style w:type="character" w:customStyle="1" w:styleId="FootnoteTextChar">
    <w:name w:val="Footnote Text Char"/>
    <w:basedOn w:val="DefaultParagraphFont"/>
    <w:link w:val="FootnoteText"/>
    <w:uiPriority w:val="99"/>
    <w:rsid w:val="00001D13"/>
    <w:rPr>
      <w:rFonts w:asciiTheme="minorHAnsi" w:hAnsiTheme="minorHAnsi" w:cstheme="minorBidi"/>
      <w:sz w:val="20"/>
      <w:szCs w:val="20"/>
      <w:lang w:bidi="he-IL"/>
    </w:rPr>
  </w:style>
  <w:style w:type="character" w:styleId="FootnoteReference">
    <w:name w:val="footnote reference"/>
    <w:basedOn w:val="DefaultParagraphFont"/>
    <w:uiPriority w:val="99"/>
    <w:semiHidden/>
    <w:unhideWhenUsed/>
    <w:rsid w:val="00001D13"/>
    <w:rPr>
      <w:vertAlign w:val="superscript"/>
    </w:rPr>
  </w:style>
  <w:style w:type="character" w:styleId="Hyperlink">
    <w:name w:val="Hyperlink"/>
    <w:basedOn w:val="DefaultParagraphFont"/>
    <w:uiPriority w:val="99"/>
    <w:unhideWhenUsed/>
    <w:rsid w:val="00001D13"/>
    <w:rPr>
      <w:color w:val="0000FF"/>
      <w:u w:val="single"/>
    </w:rPr>
  </w:style>
  <w:style w:type="character" w:styleId="CommentReference">
    <w:name w:val="annotation reference"/>
    <w:basedOn w:val="DefaultParagraphFont"/>
    <w:uiPriority w:val="99"/>
    <w:semiHidden/>
    <w:unhideWhenUsed/>
    <w:rsid w:val="00001D13"/>
    <w:rPr>
      <w:sz w:val="16"/>
      <w:szCs w:val="16"/>
    </w:rPr>
  </w:style>
  <w:style w:type="paragraph" w:styleId="CommentText">
    <w:name w:val="annotation text"/>
    <w:basedOn w:val="Normal"/>
    <w:link w:val="CommentTextChar"/>
    <w:uiPriority w:val="99"/>
    <w:unhideWhenUsed/>
    <w:rsid w:val="00001D13"/>
    <w:rPr>
      <w:sz w:val="20"/>
      <w:szCs w:val="20"/>
    </w:rPr>
  </w:style>
  <w:style w:type="character" w:customStyle="1" w:styleId="CommentTextChar">
    <w:name w:val="Comment Text Char"/>
    <w:basedOn w:val="DefaultParagraphFont"/>
    <w:link w:val="CommentText"/>
    <w:uiPriority w:val="99"/>
    <w:rsid w:val="00001D13"/>
    <w:rPr>
      <w:rFonts w:ascii="Garamond" w:hAnsi="Garamond"/>
      <w:sz w:val="20"/>
      <w:szCs w:val="20"/>
    </w:rPr>
  </w:style>
  <w:style w:type="paragraph" w:styleId="BalloonText">
    <w:name w:val="Balloon Text"/>
    <w:basedOn w:val="Normal"/>
    <w:link w:val="BalloonTextChar"/>
    <w:uiPriority w:val="99"/>
    <w:semiHidden/>
    <w:unhideWhenUsed/>
    <w:rsid w:val="00001D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1D13"/>
    <w:rPr>
      <w:rFonts w:cs="Times New Roman"/>
      <w:sz w:val="18"/>
      <w:szCs w:val="18"/>
    </w:rPr>
  </w:style>
  <w:style w:type="character" w:styleId="UnresolvedMention">
    <w:name w:val="Unresolved Mention"/>
    <w:basedOn w:val="DefaultParagraphFont"/>
    <w:uiPriority w:val="99"/>
    <w:rsid w:val="00001D1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1D13"/>
    <w:rPr>
      <w:b/>
      <w:bCs/>
    </w:rPr>
  </w:style>
  <w:style w:type="character" w:customStyle="1" w:styleId="CommentSubjectChar">
    <w:name w:val="Comment Subject Char"/>
    <w:basedOn w:val="CommentTextChar"/>
    <w:link w:val="CommentSubject"/>
    <w:uiPriority w:val="99"/>
    <w:semiHidden/>
    <w:rsid w:val="00001D13"/>
    <w:rPr>
      <w:rFonts w:ascii="Garamond" w:hAnsi="Garamond"/>
      <w:b/>
      <w:bCs/>
      <w:sz w:val="20"/>
      <w:szCs w:val="20"/>
    </w:rPr>
  </w:style>
  <w:style w:type="paragraph" w:styleId="NormalWeb">
    <w:name w:val="Normal (Web)"/>
    <w:basedOn w:val="Normal"/>
    <w:uiPriority w:val="99"/>
    <w:unhideWhenUsed/>
    <w:rsid w:val="00001D1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01D13"/>
    <w:pPr>
      <w:tabs>
        <w:tab w:val="center" w:pos="4680"/>
        <w:tab w:val="right" w:pos="9360"/>
      </w:tabs>
    </w:pPr>
  </w:style>
  <w:style w:type="character" w:customStyle="1" w:styleId="HeaderChar">
    <w:name w:val="Header Char"/>
    <w:basedOn w:val="DefaultParagraphFont"/>
    <w:link w:val="Header"/>
    <w:uiPriority w:val="99"/>
    <w:rsid w:val="00001D13"/>
    <w:rPr>
      <w:rFonts w:ascii="Garamond" w:hAnsi="Garamond"/>
    </w:rPr>
  </w:style>
  <w:style w:type="paragraph" w:styleId="Footer">
    <w:name w:val="footer"/>
    <w:basedOn w:val="Normal"/>
    <w:link w:val="FooterChar"/>
    <w:uiPriority w:val="99"/>
    <w:unhideWhenUsed/>
    <w:rsid w:val="00001D13"/>
    <w:pPr>
      <w:tabs>
        <w:tab w:val="center" w:pos="4680"/>
        <w:tab w:val="right" w:pos="9360"/>
      </w:tabs>
    </w:pPr>
  </w:style>
  <w:style w:type="character" w:customStyle="1" w:styleId="FooterChar">
    <w:name w:val="Footer Char"/>
    <w:basedOn w:val="DefaultParagraphFont"/>
    <w:link w:val="Footer"/>
    <w:uiPriority w:val="99"/>
    <w:rsid w:val="00001D13"/>
    <w:rPr>
      <w:rFonts w:ascii="Garamond" w:hAnsi="Garamond"/>
    </w:rPr>
  </w:style>
  <w:style w:type="character" w:styleId="PageNumber">
    <w:name w:val="page number"/>
    <w:basedOn w:val="DefaultParagraphFont"/>
    <w:uiPriority w:val="99"/>
    <w:semiHidden/>
    <w:unhideWhenUsed/>
    <w:rsid w:val="00001D13"/>
  </w:style>
  <w:style w:type="paragraph" w:styleId="Revision">
    <w:name w:val="Revision"/>
    <w:hidden/>
    <w:uiPriority w:val="99"/>
    <w:semiHidden/>
    <w:rsid w:val="00001D13"/>
    <w:rPr>
      <w:rFonts w:ascii="Garamond" w:hAnsi="Garamond"/>
    </w:rPr>
  </w:style>
  <w:style w:type="character" w:styleId="FollowedHyperlink">
    <w:name w:val="FollowedHyperlink"/>
    <w:basedOn w:val="DefaultParagraphFont"/>
    <w:uiPriority w:val="99"/>
    <w:semiHidden/>
    <w:unhideWhenUsed/>
    <w:rsid w:val="00001D13"/>
    <w:rPr>
      <w:color w:val="954F72" w:themeColor="followedHyperlink"/>
      <w:u w:val="single"/>
    </w:rPr>
  </w:style>
  <w:style w:type="character" w:customStyle="1" w:styleId="apple-converted-space">
    <w:name w:val="apple-converted-space"/>
    <w:basedOn w:val="DefaultParagraphFont"/>
    <w:rsid w:val="00001D13"/>
  </w:style>
  <w:style w:type="paragraph" w:customStyle="1" w:styleId="show">
    <w:name w:val="show"/>
    <w:basedOn w:val="Normal"/>
    <w:rsid w:val="00001D1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8543">
      <w:bodyDiv w:val="1"/>
      <w:marLeft w:val="0"/>
      <w:marRight w:val="0"/>
      <w:marTop w:val="0"/>
      <w:marBottom w:val="0"/>
      <w:divBdr>
        <w:top w:val="none" w:sz="0" w:space="0" w:color="auto"/>
        <w:left w:val="none" w:sz="0" w:space="0" w:color="auto"/>
        <w:bottom w:val="none" w:sz="0" w:space="0" w:color="auto"/>
        <w:right w:val="none" w:sz="0" w:space="0" w:color="auto"/>
      </w:divBdr>
    </w:div>
    <w:div w:id="1431703982">
      <w:bodyDiv w:val="1"/>
      <w:marLeft w:val="0"/>
      <w:marRight w:val="0"/>
      <w:marTop w:val="0"/>
      <w:marBottom w:val="0"/>
      <w:divBdr>
        <w:top w:val="none" w:sz="0" w:space="0" w:color="auto"/>
        <w:left w:val="none" w:sz="0" w:space="0" w:color="auto"/>
        <w:bottom w:val="none" w:sz="0" w:space="0" w:color="auto"/>
        <w:right w:val="none" w:sz="0" w:space="0" w:color="auto"/>
      </w:divBdr>
    </w:div>
    <w:div w:id="1465545230">
      <w:bodyDiv w:val="1"/>
      <w:marLeft w:val="0"/>
      <w:marRight w:val="0"/>
      <w:marTop w:val="0"/>
      <w:marBottom w:val="0"/>
      <w:divBdr>
        <w:top w:val="none" w:sz="0" w:space="0" w:color="auto"/>
        <w:left w:val="none" w:sz="0" w:space="0" w:color="auto"/>
        <w:bottom w:val="none" w:sz="0" w:space="0" w:color="auto"/>
        <w:right w:val="none" w:sz="0" w:space="0" w:color="auto"/>
      </w:divBdr>
    </w:div>
    <w:div w:id="15855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pinimg.com/originals/19/bd/fb/19bdfbdb3cb796cd957c44be1334f4a9.jpg" TargetMode="External"/><Relationship Id="rId1" Type="http://schemas.openxmlformats.org/officeDocument/2006/relationships/hyperlink" Target="https://cdn.customsigns.com/media/catalog/product/cache/3/image/600x600/9df78eab33525d08d6e5fb8d27136e95/1/2/12285-custom-engraved-unisex-stick-figure-funny-bathroom-sign-8-x-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9495</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73</cp:revision>
  <cp:lastPrinted>2022-04-28T19:14:00Z</cp:lastPrinted>
  <dcterms:created xsi:type="dcterms:W3CDTF">2022-05-01T15:33:00Z</dcterms:created>
  <dcterms:modified xsi:type="dcterms:W3CDTF">2022-07-05T15:04:00Z</dcterms:modified>
</cp:coreProperties>
</file>