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Apostles College and Seminary</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Aristotle and Kant on the Validity of Metaphysics as a Science</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Phillips</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Timothy Smith</w:t>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PHS 621 Philosophy of Nature and Metaphysics</w:t>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April 2021</w:t>
      </w:r>
    </w:p>
    <w:p w:rsidR="00000000" w:rsidDel="00000000" w:rsidP="00000000" w:rsidRDefault="00000000" w:rsidRPr="00000000" w14:paraId="0000001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Immanuel Kant and Aristotle both explored the possibility of whether Metaphysics could be studied as a science. Both answer in the affirmative, although Kant wishes to make a qualification: namely, that for metaphysics to exist as a science it needs to find an a priori foundation. I will be drawing from two main sources. From Kant, the “Prolegomena to any Future Metaphysic that can Present itself as a Science”.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From Aristotle, the “Metaphysics.”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In this essay, I will compare and contrast both thinkers perspectives on whether and how Metaphysics can be studied. Following this compare and contrast, I will look briefly at the implications for both perspectives.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worth noting at the outset what each author means by science. They do not use the term in the way we do today. Bennett, the editor and translator of Kant’s work, says, “throughout this work, ‘science’ means ‘branch of knowledge that is theoretically organised, highly structured, and soundly based’.”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 think that Aristotle would accept this definition, especially when contrasted with our modern notion of science. It’s not that Kant didn’t know about modern science. In fact, he spends a section of the work discussing their types of knowledge as well. He describes natural sciences as empirical and physical.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However, science more generally is a body of knowledge, whether empirical or theoretical.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begin by discussing Aristotle’s thoughts on metaphysics as a science. Next, I will discuss Kant’s arguments about the subject. Then, I will compare the two thinkers. Then, I will contrast them. Finally, I will look at the implications of both thinkers on metaphysics as a subject before concluding.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Aristotle on the Necessity of the Study of Being</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Aristotle begins his treatise on metaphysics by saying that “all human beings by nature stretch themselves out toward knowing.”</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That ultimately, the wise man wants to know the causes of things. He explores how some in his day sought this materially, and others mathematically, and others formally, but these accounts fall short, to varying degrees.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gain this knowledge then, Aristotle thinks, the wise man must study “the first causes of being as being.”</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He proves this in the following way.</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He says that being is meant in multiple ways. However, all of the meanings of the term approximate the actual meaning. He gives an important analogy of health. That there is health in the individual, but there is also health in the blood samples, and health in his food, and health in his medicine. All of these secondary uses of the term are only meaningful, though, insofar as they are ordered toward the individual. In the same way, being is in the things that are. And so we can say that being is both in substances and accidents, and in everything that is, but only if we are willing to treat the term being analogously.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being is in things actually, there are a multitude of types of being.</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And since these are all types of the same thing, being, it follows that there is a primary philosophy that studies the cause of this being.</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Just as in other subjects there are sub disciplines which work their way back to the primary discipline, so there must be with the different philosophies (which study different types of being), but ultimately, there must be a First Philosophy which studies the cause of being as being.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defining terms in Book 5, he returns to the subject of what is the science of Being as Being? Here, he goes through the highest disciplines and their relationship with matter. He says that natural philosophy relates to things that are material and in motion.</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There is also mathematics, which studies immaterial things, but only insofar as they exist within material things.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But, he thinks, “if there were no other independent thing besides the composite natural ones, the study of nature would be the primary kind of knowledge; but if there is some motionless independent thing, the knowledge of this precedes it and is first philosophy.”</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there is being that is eternal and immaterial (in thinghood) we need to have a study of being as being, and so we need Metaphysics as a subject of study. By thinghood I mean the immaterial form of a thing. We recognize a horse as horse, because we recognize it to be the type of thing that it is. Now this thinghood is not in the matter that makes up the horse, but is an intellectual notion, and so is immaterial. It is because there are these immaterial independent things that this subject is needed; without them, Aristotle thinks, we could stop at Philosophy of Nature.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goes on through the next couple books to show that this being as being is primarily meant by thinghood (substance), and that this is best expressed in being at work (activity) as opposed to potency.</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This being at work is what drives things to fulfillment. As young children we know that we are meant to develop into fully thriving adults, for example. Similar to how the problems of motion are solved by having an Unmoved Mover (God) in the Physics, the problems of forms are solved by having an eternal, motionless and intelligent cause (God) that explains where this thinghood comes from in the latter books of the Metaphysics.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Notice that the object of study is not God, but that the object of study is being, which is only explained by God, similar to how the Physics studies motion, which can only be explained by God.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Kant on How Metaphysics Can Be a Science</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Kant begins his Preliminaries (Prolegomena) with a question for his readers to ponder. Is “such a thing as metaphysics even possible.”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After all, sciences get “universal and lasting approval,” and it seems that metaphysics comes and goes and changes throughout time. So are we just pretending that it is a science, when it is really just pretense? He adds that other sciences that have been around for as long have only developed, whereas metaphysics seems to “circle the same spot.” He raises a further problem using the thought of David Hume. He thinks that, since Hume, the relationship between cause and effect has been ruptured, and so knowledge must start from a priori (theoretical, or non experiential) principles. Or, in Kant’s own language, metaphysics must be validated as a subject by pure reason.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Kant’s goal in this work is to “once and for all reach a conclusion about the nature of this would-be science.”</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He wishes to start over and give the principles necessary to build metaphysics in a way that it can actually be a science, and not wishful conjecture. And so, in Kant’s eyes, for metaphysics to be a science, it must be able to operate off of the principles that he will lay out throughout the rest of the work. “Someone who undertakes to make judgements in metaphysics...must satisfy the demands I have made here, which he can’t do by rejecting them, so he must either adopt my solution or thoroughly refute it and put another in its place.”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this, he goes on to lay the rules for future metaphysicians. He begins by laying out the possible sources of metaphysics.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He says that this knowledge must be a priori, or based on pure reason. Thus, he eliminates experience from being a source of metaphysical knowledge. Second, he distinguishes between analytic and synthetic a priori judgements.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 former don’t seek new knowledge, while the latter does. While mathematics and natural science can use and seek both types; metaphysics must only seek synthetic judgements, and only use (not find) analytical judgements. And so, for metaphysics to exist, it must only seek synthetic a priori knowledge.</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this, he seeks to see how is it possible to attain this kind of knowledge? He goes on to give examples from mathematics and natural science before turning to metaphysics. He goes on to describe different ideas that we have that are often considered metaphysical . First is the psychological idea.</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Next, is the cosmological idea.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Last, is the theological idea.</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The first two are problematic because they use reason beyond experience. The last is problematic because it is too conjectural, it is used to make sense of the world, but is without evidence. </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so, he lands on the position that metaphysics is possible, but riddled with traps. It needs to be built on: a priori concepts, classified by their different senses, listed completely, analyzed through all consequences and must prove that synthetic a priori knowledge is possible, and show the correct boundaries in which pure reason can be conducted.</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This can only be done by healthy criticism, Kant thinks. </w:t>
      </w:r>
    </w:p>
    <w:p w:rsidR="00000000" w:rsidDel="00000000" w:rsidP="00000000" w:rsidRDefault="00000000" w:rsidRPr="00000000" w14:paraId="0000002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Comparison Between Perspectives</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laying out both thinkers' perspectives on the possibility of metaphysics as a field of knowledge, we see a few similarities. First, both thinkers appreciate the fact that metaphysics is related to being. Second, there is an epistemological element to metaphysics. Third, both situate metaphysics alongside natural science and mathematics. </w:t>
      </w:r>
      <w:r w:rsidDel="00000000" w:rsidR="00000000" w:rsidRPr="00000000">
        <w:rPr>
          <w:rFonts w:ascii="Times New Roman" w:cs="Times New Roman" w:eastAsia="Times New Roman" w:hAnsi="Times New Roman"/>
          <w:sz w:val="24"/>
          <w:szCs w:val="24"/>
          <w:rtl w:val="0"/>
        </w:rPr>
        <w:t xml:space="preserve">I will treat each of these points individually.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point of common ground is that both thinkers relate metaphysics to being. As we saw above, Aristotle sees metaphysics as the study of being qua being.</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Similarly, Kant says that in metaphysics “you will find the knowledge of the highest being and of the world.”</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As we will see in the contrast sections, there is a radical difference in how these thinkers interpret the actual subject of study of metaphysics. However, it is clear that both perceive being to be a fundamental end of the subject. The question is whether it is being, in and of itself, or the highest being (God)? Put in another way, are we seeking the ground of being, or the pinnacle of being by which all things participate in?</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point is that there is an epistemological element that needs to be addressed in seeking to define metaphysics as a subject. One key element of Kant’s Prolegomena is that he is defining the epistemological parameters by which Metaphysics can be possible. Similarly, Aristotle makes pains throughout his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to show in what ways this study can be possible.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Again here, we will explore differences, but it is clear that both thinkers believe that you need to have the proper epistemological roots in order to be able to build the study of Metaphysics.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third similarity is that both thinkers approximate metaphysics near mathematics and natural science in their situating it as a discipline. Kant spends individual sections on mathematics and natural science and how they are epistemologically possible.</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In doing this analysis, he is paving the way to show how metaphysics can be possible. And so Kant see’s that just like mathematics and natural science are possible subjects of inquiry, so can metaphysics if it fits within the synthetic a priori knowledge parameter that he sets. Similarly, followers of the Aristotelian-Thomist tradition have long interpreted the three speculative sciences as physics (philosophy of nature), mathematics, and metaphysics as the three speculative sciences which are distinct from natural science.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And so both philosophers describe these subjects as related, even though they would almost certainly order them differently.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Contrast Between Perspectives</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differences between these thinkers. First, the difference in epistemology (both in emphasis and in its role in metaphysics). Second, what each takes to be the subject matter of metaphysics. And third, the utility of metaphysics. I will treat each of these individually.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difference can be split into two parts. First, in the form of epistemology that is being employed by each philosopher. They differ in whether knowledge can be derived from sense experience, whether knowledge can be derived a posteriori and whether we can know by thinking about thinking itself. </w:t>
      </w:r>
      <w:r w:rsidDel="00000000" w:rsidR="00000000" w:rsidRPr="00000000">
        <w:rPr>
          <w:rFonts w:ascii="Times New Roman" w:cs="Times New Roman" w:eastAsia="Times New Roman" w:hAnsi="Times New Roman"/>
          <w:sz w:val="24"/>
          <w:szCs w:val="24"/>
          <w:rtl w:val="0"/>
        </w:rPr>
        <w:t xml:space="preserve">Second, in how epistemology is made to take the place of metaphysics in Kant’s view, whereas it is only a building block for Aristotle. I will treat each of these individually. </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part of the first contrast is how each philosopher's epistemology informs their view of Metaphysics as a science. Father Thomas Joseph White comments, this is “the true point of conflict between Aristotle and Kant...whether or not we are naturally capable of true knowledge of beings and their intrinsic and extrinsic causes qua being, or whether such claims to knowledge are in fact merely the a priori constructions of reason.”</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For Aristotle, our sense experience is what informs all of our knowledge. And so, since we can trust our sense experiences discovery of real being, Metaphysics is a valid subject of inquiry. Kant, on the other hand, thinks that only through pure reason, a priori and synthetic, can a given discipline be trusted. Since Metaphysics, up until now, has not relied on these notions, it is unreliable and not yet a valid subject. For Father White this difference in epistemology is the largest divide on this issue. </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element to this contrast has to do with what kinds of knowledge are valid. Kant expresses that metaphysics can only be possible if it is sought a priori. Aristotle, on the other hand, thought that knowledge came about through the senses. The sensory information that we take in goes to the memory, and from there can be reformulated for the reason through the phantasms (like imagination). From there, the intellect can use this sense information to group, gather, and build off of these phantasms. This is clearly an a posteriori approach since we are relying on sense information from our experience to develop rational inquiry. </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view that we can think about our thinking in the highly analytical way that Kant argues for, is something that Aristotileans like St. Thomas Aquinas would push back on. Rather than being able to analyze our thinking as such, Aquinas would say that we can only analyze our thinking as it is in act, or when it is in the midst of looking at an external object. So, Aquinas, and presumably Aristotle,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look at epistemology’s role in the exact opposite way as Kant. Rather than us needing to prove the usefulness of sense experience in our knowledge, sense experience is the very vehicle by which we can know things. We only come to know things by observing them, and then abstracting information from them. And so this is one radical difference between Kant and Aristotle. </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point related to epistemology has to do with epistemology’s role in metaphysics for each philosopher. As Father Thomas Joseph White says of the effects of Kant’s Prolegomena, “Metaphysical ‘science,’ then, is explained in terms of a necessary transcendental ‘illusion’ of pure reason permitting a theoretically coherent ordering of the subject’s sensible experience.”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So, for Kant, metaphysics (as it existed before him), was uncareful organizing of things that we don’t have the logical right or power to organize. It is illusory. And so ideas psychological, cosmological and theological that were derived from this uncareful Metaphysics cannot be trusted. </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Because Kant has this perspective on knowledge, he revolutionized how philosophers before him are interpreted. As White continues, Kant’s work “shifted the meaning of metaphysics from being an explanation of the structure of the real to explaining the immanent nature of human transempirical reason.” And so even former philosophers are “now interpreted through the grid of an anthropological epistemology.” This is a radical shift from Aristotle’s study of being qua being. Aristotle thinks that we can know things they way they actually are. As Joe Sachs notes when Aristotle introduces the law of contradiction, “this formulation makes it clear that Aristotle considers [laws of thought] principles that govern being rather than thinking.”</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Where Kant takes these principles to be purely epistemological, Aristotle thinks that these are principles of reality that govern being, and are not just products of human thought.                       </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difference between Kant and Aristotle on Metaphysics as a science is what the object of the science is. As I mentioned above, these two are similar in saying the end of the subject is being. They are different in what they mean by this, though. As noted above, Kant thinks that this science seeks to work towards a highest being. This seems to stem from him treating being as a genus by which all other types of being participate in. This is because Kant has dismissed the possibility of an analogical understanding of God, and so the Being of which God is the cause must be the exact same type of being that all other types of being participate in. </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different from Aristotle who thinks that metaphysics seeks being itself, or being qua being as its subject. While ultimately the answer to this question of what is the cause of being, is God, the object of the science of metaphysics is to find the cause of this being. The most primary type of being is thinghood, which is immaterial, although it exists in the particular things in the world. And so, being is not a genus for Aristotle, because you can’t have a specific difference for a subject that is as diverse as being.</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of note here, is that Kant is presupposing the object of metaphysics. His Prolegomena never explains why this is the subject matter of metaphysics, only states that it is. And so, in conjunction with the last point, if Kant is presupposing that the subject of metaphysics is God, while ruling out the possibility of reasoning from sense experience, he is largely assuming his answer that metaphysics requires a priori demonstrations that God is the highest possible being. </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third difference to be elucidated is on the utility of the subject. Kant has a preconceived notion that sciences should be useful.</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In describing the problems with metaphysics from the past, he thinks that if we don’t give these guidelines for how this subject can be done, it has no chance “of being useful and wise.” This is the complete opposite of Aristotle's conception. He describes how knowledge sought for its own sake is the best. He gives the example that the mathematical arts were constructed not for use but from contemplation in leisure by Egyptian Priests.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Rather than utility being the motivation for speculative science, leisure and contemplation are the true basis for the speculative sciences, but most especially for wisdom which we are seeking in metaphysics. It is only in this leisure and contemplation that we can seek “knowledge concerned with certain sources and causes (982a2-3),” which is the very definition of wisdom for Aristotle.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Implications of Viewpoints</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concluding, I will explore the implications of inhabiting either of these perspectives on metaphysics. I will start with Kant and give Aristotle the last word. There are 3 implications of Kant’s views of Metaphysics as a science. First, metaphysics as a study is now stripped of its power to reach any conclusions. If Aristotle is correct, that all knowledge begins in the senses, but Kant is correct is saying that a posteriori knowledge cannot be used to build a foundation for metaphysics, then metaphysics is largely impossible. </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leads to a second implication.</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Since metaphysics has lost the ability to study being and its ultimate cause, you cannot prove God’s existence. Kant keeps God as a regulative notion or ideal that is useful for us, but we don’t have rational evidence that He actually exists. This leads to 2 minor implications. First, ethics turns from the pursuit of happiness according to your nature and growth in virtue, to fulfilling moral obligations to your neighbor based on the Kantian Imperatives. Second, transcendence turns from an upwards path seeking communion with God to a forward path towards building a utopic future in which there is a Universal Secular State. </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implication from Kant’s emptying of metaphysics is that Math and Science become the two paths for the intellect to seek truth. Since these have an a priori foundation for their pursuit, the knowledge that they obtain is actually reflective of reality. And so metaphysics, and philosophy more generally needs to concede to science and math as the vehicles for man to seek truth. </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if Aristotle is right that metaphysics is a valid subject of inquiry by which we seek the cause of being qua being, there are a different set of implications. I will present three. First, is that the answer to the question of what is the cause of being qua being is the Unmoved Mover who is the source of all motion (from the Physics) and the source of all being (from the Metaphysics).</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this we see a second implication, that we can see that God is not only the cause of being in the past, but is presently causing anything that has being right now. And so God is not some foreign cause who caused, but is rather causing all that is in being right now. This leads us to a God who is personal and attainable if he were to reveal himself.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if Aristotle is right about their being a study of being as being, this has a major implication for you and me. Since “wisdom is a knowledge concerned with sources and causes,”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and we can discover the cause of all being, we are capable of attaining wisdom. As Aquinas puts it, “Wisdom considers the highest causes...wherefore it rightly judges all things and sets them in order.”</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By knowing the ultimate cause of all things that are, we are able to subordinate all of our knowledge rightly, and so live a well ordered life.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Conclusion</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essay, I have compared and contrasted the perspectives of Aristotle and Immanuel Kant on whether there can be a study of being, or metaphysics. Aristotle answered in the affirmative, as did Kant, although Kant gave very stringent qualifications that make the study largely impossible. In comparison, I showed that both understood metaphysics to be about being, I showed that metaphysics has an epistemological dimension, and I showed that metaphysics needs to be situated alongside other disciplines. In contrasting, I discussed that Kant largely turns metaphysics into an epistemological enterprise, whereas Aristotle used epistemology as a tool to study the subject as such. Also that they use vastly different rules in guiding their epistemological basis for such an inquiry. Secondly, I discussed their different objects of metaphysics. For Kant, metaphysics seeks the highest of all beings, whereas Aristotle’s object for metaphysics is the cause of being as being. Thirdly, I differentiated the utilitarian perspective of Kant against the leisurely contemplation of Aristotle in regard to this subject. And so, we have seen two of the largest thinkers on the subject answer the question of how metaphysics can be studied as a science.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to any Future Metaphysic that can Present itself as a Science.</w:t>
      </w:r>
      <w:r w:rsidDel="00000000" w:rsidR="00000000" w:rsidRPr="00000000">
        <w:rPr>
          <w:rFonts w:ascii="Times New Roman" w:cs="Times New Roman" w:eastAsia="Times New Roman" w:hAnsi="Times New Roman"/>
          <w:sz w:val="24"/>
          <w:szCs w:val="24"/>
          <w:rtl w:val="0"/>
        </w:rPr>
        <w:t xml:space="preserve"> Found at </w:t>
      </w:r>
      <w:hyperlink r:id="rId1">
        <w:r w:rsidDel="00000000" w:rsidR="00000000" w:rsidRPr="00000000">
          <w:rPr>
            <w:rFonts w:ascii="Times New Roman" w:cs="Times New Roman" w:eastAsia="Times New Roman" w:hAnsi="Times New Roman"/>
            <w:color w:val="1155cc"/>
            <w:sz w:val="24"/>
            <w:szCs w:val="24"/>
            <w:u w:val="single"/>
            <w:rtl w:val="0"/>
          </w:rPr>
          <w:t xml:space="preserve">https://www.earlymoderntexts.com/assets/pdfs/kant1783.pdf</w:t>
        </w:r>
      </w:hyperlink>
      <w:r w:rsidDel="00000000" w:rsidR="00000000" w:rsidRPr="00000000">
        <w:rPr>
          <w:rFonts w:ascii="Times New Roman" w:cs="Times New Roman" w:eastAsia="Times New Roman" w:hAnsi="Times New Roman"/>
          <w:sz w:val="24"/>
          <w:szCs w:val="24"/>
          <w:rtl w:val="0"/>
        </w:rPr>
        <w:t xml:space="preserve"> , translated by Jonathan Bennett, 2017. </w:t>
      </w:r>
      <w:r w:rsidDel="00000000" w:rsidR="00000000" w:rsidRPr="00000000">
        <w:rPr>
          <w:rtl w:val="0"/>
        </w:rPr>
      </w:r>
    </w:p>
  </w:footnote>
  <w:footnote w:id="1">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Translated by Joe Sachs, (Green Lion Press, Santa Fe: NM, 2019). </w:t>
      </w:r>
      <w:r w:rsidDel="00000000" w:rsidR="00000000" w:rsidRPr="00000000">
        <w:rPr>
          <w:rtl w:val="0"/>
        </w:rPr>
      </w:r>
    </w:p>
  </w:footnote>
  <w:footnote w:id="2">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Bennett, Jonathan. </w:t>
      </w:r>
      <w:r w:rsidDel="00000000" w:rsidR="00000000" w:rsidRPr="00000000">
        <w:rPr>
          <w:rFonts w:ascii="Times New Roman" w:cs="Times New Roman" w:eastAsia="Times New Roman" w:hAnsi="Times New Roman"/>
          <w:i w:val="1"/>
          <w:sz w:val="24"/>
          <w:szCs w:val="24"/>
          <w:rtl w:val="0"/>
        </w:rPr>
        <w:t xml:space="preserve">Prolegomena</w:t>
      </w:r>
      <w:r w:rsidDel="00000000" w:rsidR="00000000" w:rsidRPr="00000000">
        <w:rPr>
          <w:rFonts w:ascii="Times New Roman" w:cs="Times New Roman" w:eastAsia="Times New Roman" w:hAnsi="Times New Roman"/>
          <w:sz w:val="24"/>
          <w:szCs w:val="24"/>
          <w:rtl w:val="0"/>
        </w:rPr>
        <w:t xml:space="preserve">. In text note on page 1. </w:t>
      </w:r>
    </w:p>
  </w:footnote>
  <w:footnote w:id="3">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15. 25. </w:t>
      </w:r>
    </w:p>
  </w:footnote>
  <w:footnote w:id="15">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Introduction, 1.</w:t>
      </w:r>
      <w:r w:rsidDel="00000000" w:rsidR="00000000" w:rsidRPr="00000000">
        <w:rPr>
          <w:rtl w:val="0"/>
        </w:rPr>
      </w:r>
    </w:p>
  </w:footnote>
  <w:footnote w:id="16">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tl w:val="0"/>
        </w:rPr>
      </w:r>
    </w:p>
  </w:footnote>
  <w:footnote w:id="17">
    <w:p w:rsidR="00000000" w:rsidDel="00000000" w:rsidP="00000000" w:rsidRDefault="00000000" w:rsidRPr="00000000" w14:paraId="0000004E">
      <w:pPr>
        <w:spacing w:after="0" w:line="240" w:lineRule="auto"/>
        <w:rPr>
          <w:rFonts w:ascii="Times New Roman" w:cs="Times New Roman" w:eastAsia="Times New Roman" w:hAnsi="Times New Roman"/>
          <w:i w:val="1"/>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Introduction, 6</w:t>
      </w:r>
      <w:r w:rsidDel="00000000" w:rsidR="00000000" w:rsidRPr="00000000">
        <w:rPr>
          <w:rFonts w:ascii="Times New Roman" w:cs="Times New Roman" w:eastAsia="Times New Roman" w:hAnsi="Times New Roman"/>
          <w:i w:val="1"/>
          <w:sz w:val="24"/>
          <w:szCs w:val="24"/>
          <w:rtl w:val="0"/>
        </w:rPr>
        <w:t xml:space="preserve">.</w:t>
      </w:r>
    </w:p>
  </w:footnote>
  <w:footnote w:id="18">
    <w:p w:rsidR="00000000" w:rsidDel="00000000" w:rsidP="00000000" w:rsidRDefault="00000000" w:rsidRPr="00000000" w14:paraId="0000004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footnote>
  <w:footnote w:id="19">
    <w:p w:rsidR="00000000" w:rsidDel="00000000" w:rsidP="00000000" w:rsidRDefault="00000000" w:rsidRPr="00000000" w14:paraId="0000005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2. 7-12. </w:t>
      </w:r>
      <w:r w:rsidDel="00000000" w:rsidR="00000000" w:rsidRPr="00000000">
        <w:rPr>
          <w:rtl w:val="0"/>
        </w:rPr>
      </w:r>
    </w:p>
  </w:footnote>
  <w:footnote w:id="20">
    <w:p w:rsidR="00000000" w:rsidDel="00000000" w:rsidP="00000000" w:rsidRDefault="00000000" w:rsidRPr="00000000" w14:paraId="0000005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w:t>
      </w:r>
      <w:r w:rsidDel="00000000" w:rsidR="00000000" w:rsidRPr="00000000">
        <w:rPr>
          <w:rFonts w:ascii="Times New Roman" w:cs="Times New Roman" w:eastAsia="Times New Roman" w:hAnsi="Times New Roman"/>
          <w:sz w:val="24"/>
          <w:szCs w:val="24"/>
          <w:rtl w:val="0"/>
        </w:rPr>
        <w:t xml:space="preserve"> 46-49.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49-52. </w:t>
      </w:r>
      <w:r w:rsidDel="00000000" w:rsidR="00000000" w:rsidRPr="00000000">
        <w:rPr>
          <w:rtl w:val="0"/>
        </w:rPr>
      </w:r>
    </w:p>
  </w:footnote>
  <w:footnote w:id="21">
    <w:p w:rsidR="00000000" w:rsidDel="00000000" w:rsidP="00000000" w:rsidRDefault="00000000" w:rsidRPr="00000000" w14:paraId="0000005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50-54.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52-59. </w:t>
      </w:r>
      <w:r w:rsidDel="00000000" w:rsidR="00000000" w:rsidRPr="00000000">
        <w:rPr>
          <w:rtl w:val="0"/>
        </w:rPr>
      </w:r>
    </w:p>
  </w:footnote>
  <w:footnote w:id="22">
    <w:p w:rsidR="00000000" w:rsidDel="00000000" w:rsidP="00000000" w:rsidRDefault="00000000" w:rsidRPr="00000000" w14:paraId="0000005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55-56. 59-60. </w:t>
      </w:r>
      <w:r w:rsidDel="00000000" w:rsidR="00000000" w:rsidRPr="00000000">
        <w:rPr>
          <w:rtl w:val="0"/>
        </w:rPr>
      </w:r>
    </w:p>
  </w:footnote>
  <w:footnote w:id="23">
    <w:p w:rsidR="00000000" w:rsidDel="00000000" w:rsidP="00000000" w:rsidRDefault="00000000" w:rsidRPr="00000000" w14:paraId="0000005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Solution.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73. </w:t>
      </w:r>
      <w:r w:rsidDel="00000000" w:rsidR="00000000" w:rsidRPr="00000000">
        <w:rPr>
          <w:rtl w:val="0"/>
        </w:rPr>
      </w:r>
    </w:p>
  </w:footnote>
  <w:footnote w:id="4">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1, 1, opening line. </w:t>
      </w:r>
    </w:p>
  </w:footnote>
  <w:footnote w:id="5">
    <w:p w:rsidR="00000000" w:rsidDel="00000000" w:rsidP="00000000" w:rsidRDefault="00000000" w:rsidRPr="00000000" w14:paraId="0000005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4, 1, 1003a25, 53.</w:t>
      </w:r>
      <w:r w:rsidDel="00000000" w:rsidR="00000000" w:rsidRPr="00000000">
        <w:rPr>
          <w:rtl w:val="0"/>
        </w:rPr>
      </w:r>
    </w:p>
  </w:footnote>
  <w:footnote w:id="6">
    <w:p w:rsidR="00000000" w:rsidDel="00000000" w:rsidP="00000000" w:rsidRDefault="00000000" w:rsidRPr="00000000" w14:paraId="0000005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4, 2, 1003a31-1003b19, 53-54.</w:t>
      </w:r>
      <w:r w:rsidDel="00000000" w:rsidR="00000000" w:rsidRPr="00000000">
        <w:rPr>
          <w:rtl w:val="0"/>
        </w:rPr>
      </w:r>
    </w:p>
  </w:footnote>
  <w:footnote w:id="24">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4, 1, 1003a24, 30-31. 53.</w:t>
      </w:r>
    </w:p>
  </w:footnote>
  <w:footnote w:id="25">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4. 12.</w:t>
      </w:r>
    </w:p>
  </w:footnote>
  <w:footnote w:id="26">
    <w:p w:rsidR="00000000" w:rsidDel="00000000" w:rsidP="00000000" w:rsidRDefault="00000000" w:rsidRPr="00000000" w14:paraId="000000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see especially books 1, 4 and 6. </w:t>
      </w:r>
      <w:r w:rsidDel="00000000" w:rsidR="00000000" w:rsidRPr="00000000">
        <w:rPr>
          <w:rtl w:val="0"/>
        </w:rPr>
      </w:r>
    </w:p>
  </w:footnote>
  <w:footnote w:id="27">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Main Transcendental Problem 1, 2. </w:t>
      </w:r>
      <w:r w:rsidDel="00000000" w:rsidR="00000000" w:rsidRPr="00000000">
        <w:rPr>
          <w:rtl w:val="0"/>
        </w:rPr>
      </w:r>
    </w:p>
  </w:footnote>
  <w:footnote w:id="28">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Smith, Timothy. </w:t>
      </w:r>
      <w:r w:rsidDel="00000000" w:rsidR="00000000" w:rsidRPr="00000000">
        <w:rPr>
          <w:rFonts w:ascii="Times New Roman" w:cs="Times New Roman" w:eastAsia="Times New Roman" w:hAnsi="Times New Roman"/>
          <w:i w:val="1"/>
          <w:sz w:val="24"/>
          <w:szCs w:val="24"/>
          <w:rtl w:val="0"/>
        </w:rPr>
        <w:t xml:space="preserve">Week 1- The Division and Methodology of the Sciences,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found at </w:t>
      </w:r>
      <w:hyperlink r:id="rId2">
        <w:r w:rsidDel="00000000" w:rsidR="00000000" w:rsidRPr="00000000">
          <w:rPr>
            <w:rFonts w:ascii="Times New Roman" w:cs="Times New Roman" w:eastAsia="Times New Roman" w:hAnsi="Times New Roman"/>
            <w:color w:val="1155cc"/>
            <w:sz w:val="24"/>
            <w:szCs w:val="24"/>
            <w:u w:val="single"/>
            <w:rtl w:val="0"/>
          </w:rPr>
          <w:t xml:space="preserve">https://holyapostles.populiweb.com/router/courseofferings/10262731/lessons/11734933/show</w:t>
        </w:r>
      </w:hyperlink>
      <w:r w:rsidDel="00000000" w:rsidR="00000000" w:rsidRPr="00000000">
        <w:rPr>
          <w:rFonts w:ascii="Times New Roman" w:cs="Times New Roman" w:eastAsia="Times New Roman" w:hAnsi="Times New Roman"/>
          <w:sz w:val="24"/>
          <w:szCs w:val="24"/>
          <w:rtl w:val="0"/>
        </w:rPr>
        <w:t xml:space="preserve"> , first paragraph. </w:t>
      </w:r>
      <w:r w:rsidDel="00000000" w:rsidR="00000000" w:rsidRPr="00000000">
        <w:rPr>
          <w:rtl w:val="0"/>
        </w:rPr>
      </w:r>
    </w:p>
  </w:footnote>
  <w:footnote w:id="31">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11111"/>
          <w:sz w:val="24"/>
          <w:szCs w:val="24"/>
          <w:highlight w:val="white"/>
          <w:rtl w:val="0"/>
        </w:rPr>
        <w:t xml:space="preserve">White OP, Thomas Joseph. </w:t>
      </w:r>
      <w:r w:rsidDel="00000000" w:rsidR="00000000" w:rsidRPr="00000000">
        <w:rPr>
          <w:rFonts w:ascii="Times New Roman" w:cs="Times New Roman" w:eastAsia="Times New Roman" w:hAnsi="Times New Roman"/>
          <w:i w:val="1"/>
          <w:color w:val="111111"/>
          <w:sz w:val="24"/>
          <w:szCs w:val="24"/>
          <w:highlight w:val="white"/>
          <w:rtl w:val="0"/>
        </w:rPr>
        <w:t xml:space="preserve">Wisdom in the Face of Modernity (2nd Edition)</w:t>
      </w:r>
      <w:r w:rsidDel="00000000" w:rsidR="00000000" w:rsidRPr="00000000">
        <w:rPr>
          <w:rFonts w:ascii="Times New Roman" w:cs="Times New Roman" w:eastAsia="Times New Roman" w:hAnsi="Times New Roman"/>
          <w:color w:val="111111"/>
          <w:sz w:val="24"/>
          <w:szCs w:val="24"/>
          <w:highlight w:val="white"/>
          <w:rtl w:val="0"/>
        </w:rPr>
        <w:t xml:space="preserve">, (Sapientia Press, Ave Maria: FL; 2016), 10.</w:t>
      </w:r>
      <w:r w:rsidDel="00000000" w:rsidR="00000000" w:rsidRPr="00000000">
        <w:rPr>
          <w:rtl w:val="0"/>
        </w:rPr>
      </w:r>
    </w:p>
  </w:footnote>
  <w:footnote w:id="32">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Joe Sachs.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footnote 7. 59. </w:t>
      </w:r>
    </w:p>
  </w:footnote>
  <w:footnote w:id="7">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Aquinas, Thomas. </w:t>
      </w:r>
      <w:r w:rsidDel="00000000" w:rsidR="00000000" w:rsidRPr="00000000">
        <w:rPr>
          <w:rFonts w:ascii="Times New Roman" w:cs="Times New Roman" w:eastAsia="Times New Roman" w:hAnsi="Times New Roman"/>
          <w:i w:val="1"/>
          <w:sz w:val="24"/>
          <w:szCs w:val="24"/>
          <w:rtl w:val="0"/>
        </w:rPr>
        <w:t xml:space="preserve">Commentary on Aristotle’s Metaphysics. </w:t>
      </w:r>
      <w:r w:rsidDel="00000000" w:rsidR="00000000" w:rsidRPr="00000000">
        <w:rPr>
          <w:rFonts w:ascii="Times New Roman" w:cs="Times New Roman" w:eastAsia="Times New Roman" w:hAnsi="Times New Roman"/>
          <w:color w:val="111111"/>
          <w:sz w:val="24"/>
          <w:szCs w:val="24"/>
          <w:highlight w:val="white"/>
          <w:rtl w:val="0"/>
        </w:rPr>
        <w:t xml:space="preserve">B. 4, L.1, 534, trans by Rowan, John Patrick, (Aquinas Institute, Green Bay, WI: 2020), 269.</w:t>
      </w:r>
      <w:r w:rsidDel="00000000" w:rsidR="00000000" w:rsidRPr="00000000">
        <w:rPr>
          <w:rtl w:val="0"/>
        </w:rPr>
      </w:r>
    </w:p>
  </w:footnote>
  <w:footnote w:id="8">
    <w:p w:rsidR="00000000" w:rsidDel="00000000" w:rsidP="00000000" w:rsidRDefault="00000000" w:rsidRPr="00000000" w14:paraId="0000006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4, 2, 1003b31-34, 54-55.</w:t>
      </w:r>
      <w:r w:rsidDel="00000000" w:rsidR="00000000" w:rsidRPr="00000000">
        <w:rPr>
          <w:rtl w:val="0"/>
        </w:rPr>
      </w:r>
    </w:p>
  </w:footnote>
  <w:footnote w:id="9">
    <w:p w:rsidR="00000000" w:rsidDel="00000000" w:rsidP="00000000" w:rsidRDefault="00000000" w:rsidRPr="00000000" w14:paraId="0000006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4, 2, 1004a3-9, 55.</w:t>
      </w:r>
      <w:r w:rsidDel="00000000" w:rsidR="00000000" w:rsidRPr="00000000">
        <w:rPr>
          <w:rtl w:val="0"/>
        </w:rPr>
      </w:r>
    </w:p>
  </w:footnote>
  <w:footnote w:id="33">
    <w:p w:rsidR="00000000" w:rsidDel="00000000" w:rsidP="00000000" w:rsidRDefault="00000000" w:rsidRPr="00000000" w14:paraId="0000006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4, 2, 1004a5, 55.</w:t>
      </w:r>
      <w:r w:rsidDel="00000000" w:rsidR="00000000" w:rsidRPr="00000000">
        <w:rPr>
          <w:rtl w:val="0"/>
        </w:rPr>
      </w:r>
    </w:p>
  </w:footnote>
  <w:footnote w:id="34">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Kant, Immanuel. </w:t>
      </w:r>
      <w:r w:rsidDel="00000000" w:rsidR="00000000" w:rsidRPr="00000000">
        <w:rPr>
          <w:rFonts w:ascii="Times New Roman" w:cs="Times New Roman" w:eastAsia="Times New Roman" w:hAnsi="Times New Roman"/>
          <w:i w:val="1"/>
          <w:sz w:val="24"/>
          <w:szCs w:val="24"/>
          <w:rtl w:val="0"/>
        </w:rPr>
        <w:t xml:space="preserve">Prolegomena. </w:t>
      </w:r>
      <w:r w:rsidDel="00000000" w:rsidR="00000000" w:rsidRPr="00000000">
        <w:rPr>
          <w:rFonts w:ascii="Times New Roman" w:cs="Times New Roman" w:eastAsia="Times New Roman" w:hAnsi="Times New Roman"/>
          <w:sz w:val="24"/>
          <w:szCs w:val="24"/>
          <w:rtl w:val="0"/>
        </w:rPr>
        <w:t xml:space="preserve">5. 15. </w:t>
      </w:r>
      <w:r w:rsidDel="00000000" w:rsidR="00000000" w:rsidRPr="00000000">
        <w:rPr>
          <w:rtl w:val="0"/>
        </w:rPr>
      </w:r>
    </w:p>
  </w:footnote>
  <w:footnote w:id="35">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1, 2, 981b20-25, 3.</w:t>
      </w:r>
      <w:r w:rsidDel="00000000" w:rsidR="00000000" w:rsidRPr="00000000">
        <w:rPr>
          <w:rtl w:val="0"/>
        </w:rPr>
      </w:r>
    </w:p>
  </w:footnote>
  <w:footnote w:id="36">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Is the Human Person Naturally Religious.? Father Thomas Joseph White. </w:t>
      </w:r>
      <w:r w:rsidDel="00000000" w:rsidR="00000000" w:rsidRPr="00000000">
        <w:rPr>
          <w:rFonts w:ascii="Times New Roman" w:cs="Times New Roman" w:eastAsia="Times New Roman" w:hAnsi="Times New Roman"/>
          <w:i w:val="1"/>
          <w:sz w:val="24"/>
          <w:szCs w:val="24"/>
          <w:rtl w:val="0"/>
        </w:rPr>
        <w:t xml:space="preserve">The Thomistic Institute. </w:t>
      </w:r>
      <w:r w:rsidDel="00000000" w:rsidR="00000000" w:rsidRPr="00000000">
        <w:rPr>
          <w:rFonts w:ascii="Times New Roman" w:cs="Times New Roman" w:eastAsia="Times New Roman" w:hAnsi="Times New Roman"/>
          <w:sz w:val="24"/>
          <w:szCs w:val="24"/>
          <w:rtl w:val="0"/>
        </w:rPr>
        <w:t xml:space="preserve">9 Oct 2020. Apple Podcasts.  </w:t>
      </w:r>
    </w:p>
  </w:footnote>
  <w:footnote w:id="37">
    <w:p w:rsidR="00000000" w:rsidDel="00000000" w:rsidP="00000000" w:rsidRDefault="00000000" w:rsidRPr="00000000" w14:paraId="0000006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12, 232-252.</w:t>
      </w:r>
      <w:r w:rsidDel="00000000" w:rsidR="00000000" w:rsidRPr="00000000">
        <w:rPr>
          <w:rtl w:val="0"/>
        </w:rPr>
      </w:r>
    </w:p>
  </w:footnote>
  <w:footnote w:id="38">
    <w:p w:rsidR="00000000" w:rsidDel="00000000" w:rsidP="00000000" w:rsidRDefault="00000000" w:rsidRPr="00000000" w14:paraId="0000006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Fonts w:ascii="Times New Roman" w:cs="Times New Roman" w:eastAsia="Times New Roman" w:hAnsi="Times New Roman"/>
          <w:sz w:val="24"/>
          <w:szCs w:val="24"/>
          <w:rtl w:val="0"/>
        </w:rPr>
        <w:t xml:space="preserve">. 1, 1, 982a2, 3. </w:t>
      </w:r>
      <w:r w:rsidDel="00000000" w:rsidR="00000000" w:rsidRPr="00000000">
        <w:rPr>
          <w:rtl w:val="0"/>
        </w:rPr>
      </w:r>
    </w:p>
  </w:footnote>
  <w:footnote w:id="39">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ST I-II, 57, a. 2, c., and ad 1</w:t>
      </w:r>
    </w:p>
  </w:footnote>
  <w:footnote w:id="12">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6, 1, 1026a28-31, 111.</w:t>
      </w:r>
      <w:r w:rsidDel="00000000" w:rsidR="00000000" w:rsidRPr="00000000">
        <w:rPr>
          <w:rtl w:val="0"/>
        </w:rPr>
      </w:r>
    </w:p>
  </w:footnote>
  <w:footnote w:id="10">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6, 1, 1025b19-1026a5. </w:t>
      </w:r>
      <w:r w:rsidDel="00000000" w:rsidR="00000000" w:rsidRPr="00000000">
        <w:rPr>
          <w:rtl w:val="0"/>
        </w:rPr>
      </w:r>
    </w:p>
  </w:footnote>
  <w:footnote w:id="11">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6, 1, 1026a6-16. </w:t>
      </w:r>
    </w:p>
  </w:footnote>
  <w:footnote w:id="13">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9, 8, 1050b1, 179. </w:t>
      </w:r>
      <w:r w:rsidDel="00000000" w:rsidR="00000000" w:rsidRPr="00000000">
        <w:rPr>
          <w:rtl w:val="0"/>
        </w:rPr>
      </w:r>
    </w:p>
  </w:footnote>
  <w:footnote w:id="14">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12, 7, 10, 1073a2-12, 1074b30-33</w:t>
      </w:r>
    </w:p>
  </w:footnote>
  <w:footnote w:id="29">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White, Thomas Joseph. </w:t>
      </w:r>
      <w:r w:rsidDel="00000000" w:rsidR="00000000" w:rsidRPr="00000000">
        <w:rPr>
          <w:rFonts w:ascii="Times New Roman" w:cs="Times New Roman" w:eastAsia="Times New Roman" w:hAnsi="Times New Roman"/>
          <w:i w:val="1"/>
          <w:sz w:val="24"/>
          <w:szCs w:val="24"/>
          <w:rtl w:val="0"/>
        </w:rPr>
        <w:t xml:space="preserve">Wisdom. </w:t>
      </w:r>
      <w:r w:rsidDel="00000000" w:rsidR="00000000" w:rsidRPr="00000000">
        <w:rPr>
          <w:rFonts w:ascii="Times New Roman" w:cs="Times New Roman" w:eastAsia="Times New Roman" w:hAnsi="Times New Roman"/>
          <w:sz w:val="24"/>
          <w:szCs w:val="24"/>
          <w:rtl w:val="0"/>
        </w:rPr>
        <w:t xml:space="preserve">65.</w:t>
      </w:r>
    </w:p>
  </w:footnote>
  <w:footnote w:id="30">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Metaphysics. </w:t>
      </w:r>
      <w:r w:rsidDel="00000000" w:rsidR="00000000" w:rsidRPr="00000000">
        <w:rPr>
          <w:rFonts w:ascii="Times New Roman" w:cs="Times New Roman" w:eastAsia="Times New Roman" w:hAnsi="Times New Roman"/>
          <w:sz w:val="24"/>
          <w:szCs w:val="24"/>
          <w:rtl w:val="0"/>
        </w:rPr>
        <w:t xml:space="preserve">1074b30-32, 1075a5-11, 248, 249. Aristotle himself remarks about how this thinking on thinking applies to God, but for composite beings like humans, is not doable.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earlymoderntexts.com/assets/pdfs/kant1783.pdf" TargetMode="External"/><Relationship Id="rId2" Type="http://schemas.openxmlformats.org/officeDocument/2006/relationships/hyperlink" Target="https://holyapostles.populiweb.com/router/courseofferings/10262731/lessons/11734933/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Iksz8cSDCnfwZ5y9GkzbQhWlA==">AMUW2mVAxvtzNt0eClZOMGWmUrERlOcp7O6nFkg5ZYacy6BJeMJqR4An146rnZPIklm340Ntd8H8freK0BLCRTjjCpOxYdcnTEeTTB+GVPyHfxDroPkRHlJVzjY0XUafb4FEevTRDszh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2021-02-25T15:51:00Z</dcterms:created>
  <dc:creator>Jordan Phillips</dc:creator>
</cp:coreProperties>
</file>