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FC80C" w14:textId="77777777" w:rsidR="00E269F2" w:rsidRPr="006848D7" w:rsidRDefault="00E269F2" w:rsidP="0064114D">
      <w:pPr>
        <w:autoSpaceDE w:val="0"/>
        <w:autoSpaceDN w:val="0"/>
        <w:adjustRightInd w:val="0"/>
        <w:snapToGrid w:val="0"/>
        <w:spacing w:after="120"/>
        <w:jc w:val="both"/>
        <w:rPr>
          <w:rFonts w:ascii="Helvetica" w:hAnsi="Helvetica" w:cs="Helvetica"/>
          <w:b/>
          <w:bCs/>
          <w:sz w:val="28"/>
          <w:szCs w:val="28"/>
          <w:lang w:val="ru-RU"/>
        </w:rPr>
      </w:pPr>
      <w:r w:rsidRPr="006848D7">
        <w:rPr>
          <w:rFonts w:ascii="Helvetica" w:hAnsi="Helvetica" w:cs="Helvetica"/>
          <w:b/>
          <w:bCs/>
          <w:sz w:val="28"/>
          <w:szCs w:val="28"/>
          <w:lang w:val="ru-RU"/>
        </w:rPr>
        <w:t xml:space="preserve">P. Seungoh Chung. </w:t>
      </w:r>
      <w:r w:rsidRPr="006848D7">
        <w:rPr>
          <w:rFonts w:ascii="Helvetica" w:hAnsi="Helvetica" w:cs="Helvetica"/>
          <w:b/>
          <w:bCs/>
          <w:i/>
          <w:sz w:val="28"/>
          <w:szCs w:val="28"/>
          <w:lang w:val="ru-RU"/>
        </w:rPr>
        <w:t>God at the Crossroads of Worldviews. Toward a Different Debate about the Existence of God</w:t>
      </w:r>
      <w:r w:rsidRPr="006848D7">
        <w:rPr>
          <w:rFonts w:ascii="Helvetica" w:hAnsi="Helvetica" w:cs="Helvetica"/>
          <w:b/>
          <w:bCs/>
          <w:sz w:val="28"/>
          <w:szCs w:val="28"/>
          <w:lang w:val="ru-RU"/>
        </w:rPr>
        <w:t>. Notre Dame: University of Notre Dame Press, 2016. 289 pp. ISBN: 978-0-268-10056-8.</w:t>
      </w:r>
    </w:p>
    <w:p w14:paraId="157A3B05" w14:textId="77777777" w:rsidR="0047199F" w:rsidRPr="0047199F" w:rsidRDefault="0047199F" w:rsidP="0064114D">
      <w:pPr>
        <w:adjustRightInd w:val="0"/>
        <w:snapToGrid w:val="0"/>
        <w:spacing w:after="120"/>
        <w:jc w:val="both"/>
        <w:rPr>
          <w:rFonts w:ascii="Helvetica" w:hAnsi="Helvetica" w:cs="Helvetica"/>
          <w:sz w:val="28"/>
          <w:szCs w:val="28"/>
          <w:lang w:val="ru-RU"/>
        </w:rPr>
      </w:pPr>
    </w:p>
    <w:p w14:paraId="0D36ED4F" w14:textId="7B759F8D" w:rsidR="009478ED" w:rsidRDefault="0047199F" w:rsidP="0064114D">
      <w:pPr>
        <w:adjustRightInd w:val="0"/>
        <w:snapToGrid w:val="0"/>
        <w:spacing w:after="120"/>
        <w:jc w:val="both"/>
        <w:rPr>
          <w:rFonts w:ascii="Helvetica" w:hAnsi="Helvetica"/>
          <w:sz w:val="28"/>
          <w:szCs w:val="28"/>
          <w:lang w:val="ru-RU"/>
        </w:rPr>
      </w:pPr>
      <w:r w:rsidRPr="0047199F">
        <w:rPr>
          <w:rFonts w:ascii="Helvetica" w:hAnsi="Helvetica"/>
          <w:sz w:val="28"/>
          <w:szCs w:val="28"/>
          <w:lang w:val="ru-RU"/>
        </w:rPr>
        <w:t xml:space="preserve">Книга </w:t>
      </w:r>
      <w:r>
        <w:rPr>
          <w:rFonts w:ascii="Helvetica" w:hAnsi="Helvetica"/>
          <w:sz w:val="28"/>
          <w:szCs w:val="28"/>
          <w:lang w:val="ru-RU"/>
        </w:rPr>
        <w:t xml:space="preserve">представляет из себя философский, исторический и </w:t>
      </w:r>
      <w:r w:rsidR="00333C55">
        <w:rPr>
          <w:rFonts w:ascii="Helvetica" w:hAnsi="Helvetica"/>
          <w:sz w:val="28"/>
          <w:szCs w:val="28"/>
          <w:lang w:val="ru-RU"/>
        </w:rPr>
        <w:t>социально</w:t>
      </w:r>
      <w:r>
        <w:rPr>
          <w:rFonts w:ascii="Helvetica" w:hAnsi="Helvetica"/>
          <w:sz w:val="28"/>
          <w:szCs w:val="28"/>
          <w:lang w:val="ru-RU"/>
        </w:rPr>
        <w:t xml:space="preserve">культуральный анализ аргументов в доказательство за существование Бога. Автор развивает этот анализ </w:t>
      </w:r>
      <w:r w:rsidR="000657C2">
        <w:rPr>
          <w:rFonts w:ascii="Helvetica" w:hAnsi="Helvetica"/>
          <w:sz w:val="28"/>
          <w:szCs w:val="28"/>
          <w:lang w:val="ru-RU"/>
        </w:rPr>
        <w:t xml:space="preserve">по </w:t>
      </w:r>
      <w:r>
        <w:rPr>
          <w:rFonts w:ascii="Helvetica" w:hAnsi="Helvetica"/>
          <w:sz w:val="28"/>
          <w:szCs w:val="28"/>
          <w:lang w:val="ru-RU"/>
        </w:rPr>
        <w:t>дву</w:t>
      </w:r>
      <w:r w:rsidR="000657C2">
        <w:rPr>
          <w:rFonts w:ascii="Helvetica" w:hAnsi="Helvetica"/>
          <w:sz w:val="28"/>
          <w:szCs w:val="28"/>
          <w:lang w:val="ru-RU"/>
        </w:rPr>
        <w:t>м</w:t>
      </w:r>
      <w:r>
        <w:rPr>
          <w:rFonts w:ascii="Helvetica" w:hAnsi="Helvetica"/>
          <w:sz w:val="28"/>
          <w:szCs w:val="28"/>
          <w:lang w:val="ru-RU"/>
        </w:rPr>
        <w:t xml:space="preserve"> этапа</w:t>
      </w:r>
      <w:r w:rsidR="000657C2">
        <w:rPr>
          <w:rFonts w:ascii="Helvetica" w:hAnsi="Helvetica"/>
          <w:sz w:val="28"/>
          <w:szCs w:val="28"/>
          <w:lang w:val="ru-RU"/>
        </w:rPr>
        <w:t>м</w:t>
      </w:r>
      <w:r>
        <w:rPr>
          <w:rFonts w:ascii="Helvetica" w:hAnsi="Helvetica"/>
          <w:sz w:val="28"/>
          <w:szCs w:val="28"/>
          <w:lang w:val="ru-RU"/>
        </w:rPr>
        <w:t xml:space="preserve">. Во-первых, Пол Чунг </w:t>
      </w:r>
      <w:r w:rsidR="000C0FED">
        <w:rPr>
          <w:rFonts w:ascii="Helvetica" w:hAnsi="Helvetica"/>
          <w:sz w:val="28"/>
          <w:szCs w:val="28"/>
          <w:lang w:val="ru-RU"/>
        </w:rPr>
        <w:t xml:space="preserve">указывает </w:t>
      </w:r>
      <w:r w:rsidR="00333C55">
        <w:rPr>
          <w:rFonts w:ascii="Helvetica" w:hAnsi="Helvetica"/>
          <w:sz w:val="28"/>
          <w:szCs w:val="28"/>
          <w:lang w:val="ru-RU"/>
        </w:rPr>
        <w:t xml:space="preserve">на </w:t>
      </w:r>
      <w:r w:rsidR="000C0FED">
        <w:rPr>
          <w:rFonts w:ascii="Helvetica" w:hAnsi="Helvetica"/>
          <w:sz w:val="28"/>
          <w:szCs w:val="28"/>
          <w:lang w:val="ru-RU"/>
        </w:rPr>
        <w:t xml:space="preserve">отличие в понимании Бога теизма и веры от понимания </w:t>
      </w:r>
      <w:r w:rsidR="000657C2">
        <w:rPr>
          <w:rFonts w:ascii="Helvetica" w:hAnsi="Helvetica"/>
          <w:sz w:val="28"/>
          <w:szCs w:val="28"/>
          <w:lang w:val="ru-RU"/>
        </w:rPr>
        <w:t>Бога аргументов. В последних</w:t>
      </w:r>
      <w:r w:rsidR="000C0FED">
        <w:rPr>
          <w:rFonts w:ascii="Helvetica" w:hAnsi="Helvetica"/>
          <w:sz w:val="28"/>
          <w:szCs w:val="28"/>
          <w:lang w:val="ru-RU"/>
        </w:rPr>
        <w:t xml:space="preserve"> Бог представлен как логический субъект, существование Которого требуется доказать, тогда как Бог веры, религии и теизма, это </w:t>
      </w:r>
      <w:r w:rsidR="00333C55">
        <w:rPr>
          <w:rFonts w:ascii="Helvetica" w:hAnsi="Helvetica"/>
          <w:sz w:val="28"/>
          <w:szCs w:val="28"/>
          <w:lang w:val="ru-RU"/>
        </w:rPr>
        <w:t xml:space="preserve">прежде всего </w:t>
      </w:r>
      <w:r w:rsidR="000C0FED">
        <w:rPr>
          <w:rFonts w:ascii="Helvetica" w:hAnsi="Helvetica"/>
          <w:sz w:val="28"/>
          <w:szCs w:val="28"/>
          <w:lang w:val="ru-RU"/>
        </w:rPr>
        <w:t xml:space="preserve">Бог-личность. Такое явное несоответствие Чунг объясняет </w:t>
      </w:r>
      <w:r w:rsidR="000657C2">
        <w:rPr>
          <w:rFonts w:ascii="Helvetica" w:hAnsi="Helvetica"/>
          <w:sz w:val="28"/>
          <w:szCs w:val="28"/>
          <w:lang w:val="ru-RU"/>
        </w:rPr>
        <w:t>во второ</w:t>
      </w:r>
      <w:r w:rsidR="000C0FED">
        <w:rPr>
          <w:rFonts w:ascii="Helvetica" w:hAnsi="Helvetica"/>
          <w:sz w:val="28"/>
          <w:szCs w:val="28"/>
          <w:lang w:val="ru-RU"/>
        </w:rPr>
        <w:t>м этап</w:t>
      </w:r>
      <w:r w:rsidR="000657C2">
        <w:rPr>
          <w:rFonts w:ascii="Helvetica" w:hAnsi="Helvetica"/>
          <w:sz w:val="28"/>
          <w:szCs w:val="28"/>
          <w:lang w:val="ru-RU"/>
        </w:rPr>
        <w:t>е</w:t>
      </w:r>
      <w:r w:rsidR="000C0FED">
        <w:rPr>
          <w:rFonts w:ascii="Helvetica" w:hAnsi="Helvetica"/>
          <w:sz w:val="28"/>
          <w:szCs w:val="28"/>
          <w:lang w:val="ru-RU"/>
        </w:rPr>
        <w:t xml:space="preserve"> своего анализа указывая на те различные контексты в которых появились наиболее известные аргументы. </w:t>
      </w:r>
      <w:r w:rsidR="003222D5">
        <w:rPr>
          <w:rFonts w:ascii="Helvetica" w:hAnsi="Helvetica"/>
          <w:sz w:val="28"/>
          <w:szCs w:val="28"/>
          <w:lang w:val="ru-RU"/>
        </w:rPr>
        <w:t xml:space="preserve">Автор анализирует исторические эпохи, культуры, социумы и философские системы как теизма, в которых родились аргументы, так и атеизма, </w:t>
      </w:r>
      <w:r w:rsidR="009F06CA">
        <w:rPr>
          <w:rFonts w:ascii="Helvetica" w:hAnsi="Helvetica"/>
          <w:sz w:val="28"/>
          <w:szCs w:val="28"/>
          <w:lang w:val="ru-RU"/>
        </w:rPr>
        <w:t>отвергающего их. Именно в этом этапе анализа мотивировок авторов аргументов и их противников заключается оригинальность этой монографии.</w:t>
      </w:r>
    </w:p>
    <w:p w14:paraId="356EE4E4" w14:textId="23881FE7" w:rsidR="009F06CA" w:rsidRDefault="009F06CA"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 xml:space="preserve">Основной тезис всей книги можно сформулировать следующим образом: </w:t>
      </w:r>
      <w:r w:rsidR="0064114D">
        <w:rPr>
          <w:rFonts w:ascii="Helvetica" w:hAnsi="Helvetica"/>
          <w:sz w:val="28"/>
          <w:szCs w:val="28"/>
          <w:lang w:val="ru-RU"/>
        </w:rPr>
        <w:t>практически все аргументы в доказательство за существование Бога, равно как и их контраргументы, напрямую обусловлены тем или иным социополитическим, социорелигиозным, или социокультуральным контекст</w:t>
      </w:r>
      <w:r w:rsidR="000657C2">
        <w:rPr>
          <w:rFonts w:ascii="Helvetica" w:hAnsi="Helvetica"/>
          <w:sz w:val="28"/>
          <w:szCs w:val="28"/>
          <w:lang w:val="ru-RU"/>
        </w:rPr>
        <w:t>а</w:t>
      </w:r>
      <w:r w:rsidR="0064114D">
        <w:rPr>
          <w:rFonts w:ascii="Helvetica" w:hAnsi="Helvetica"/>
          <w:sz w:val="28"/>
          <w:szCs w:val="28"/>
          <w:lang w:val="ru-RU"/>
        </w:rPr>
        <w:t>м</w:t>
      </w:r>
      <w:r w:rsidR="000657C2">
        <w:rPr>
          <w:rFonts w:ascii="Helvetica" w:hAnsi="Helvetica"/>
          <w:sz w:val="28"/>
          <w:szCs w:val="28"/>
          <w:lang w:val="ru-RU"/>
        </w:rPr>
        <w:t>и</w:t>
      </w:r>
      <w:r w:rsidR="0064114D">
        <w:rPr>
          <w:rFonts w:ascii="Helvetica" w:hAnsi="Helvetica"/>
          <w:sz w:val="28"/>
          <w:szCs w:val="28"/>
          <w:lang w:val="ru-RU"/>
        </w:rPr>
        <w:t xml:space="preserve"> их авторов. Следовательно, целью аргументов и контраргументов является не столько доказательство или опровержение существования Бога, сколько дискуссия о том, как понимать Бога с позиции </w:t>
      </w:r>
      <w:r w:rsidR="000657C2">
        <w:rPr>
          <w:rFonts w:ascii="Helvetica" w:hAnsi="Helvetica"/>
          <w:sz w:val="28"/>
          <w:szCs w:val="28"/>
          <w:lang w:val="ru-RU"/>
        </w:rPr>
        <w:t xml:space="preserve">этих </w:t>
      </w:r>
      <w:r w:rsidR="0064114D">
        <w:rPr>
          <w:rFonts w:ascii="Helvetica" w:hAnsi="Helvetica"/>
          <w:sz w:val="28"/>
          <w:szCs w:val="28"/>
          <w:lang w:val="ru-RU"/>
        </w:rPr>
        <w:t xml:space="preserve">разных контекстов. </w:t>
      </w:r>
    </w:p>
    <w:p w14:paraId="5B26495F" w14:textId="4921029F" w:rsidR="0064114D" w:rsidRDefault="0064114D"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 xml:space="preserve">Поэтому </w:t>
      </w:r>
      <w:r w:rsidR="00514DCF">
        <w:rPr>
          <w:rFonts w:ascii="Helvetica" w:hAnsi="Helvetica"/>
          <w:sz w:val="28"/>
          <w:szCs w:val="28"/>
          <w:lang w:val="ru-RU"/>
        </w:rPr>
        <w:t xml:space="preserve">автор рассматривает </w:t>
      </w:r>
      <w:r>
        <w:rPr>
          <w:rFonts w:ascii="Helvetica" w:hAnsi="Helvetica"/>
          <w:sz w:val="28"/>
          <w:szCs w:val="28"/>
          <w:lang w:val="ru-RU"/>
        </w:rPr>
        <w:t xml:space="preserve">спор между </w:t>
      </w:r>
      <w:r w:rsidR="00514DCF">
        <w:rPr>
          <w:rFonts w:ascii="Helvetica" w:hAnsi="Helvetica"/>
          <w:sz w:val="28"/>
          <w:szCs w:val="28"/>
          <w:lang w:val="ru-RU"/>
        </w:rPr>
        <w:t>теизмом и атеизмом не как расхождение в логике и в философии, но как столкновение двух «существенно диспропорциональных» позиций, т.к. они основаны на противоположных системах утверждений и представляют собой, выражают противоположные, «диспропорциональные мировоззрения».</w:t>
      </w:r>
      <w:r w:rsidR="001D05B0">
        <w:rPr>
          <w:rFonts w:ascii="Helvetica" w:hAnsi="Helvetica"/>
          <w:sz w:val="28"/>
          <w:szCs w:val="28"/>
          <w:lang w:val="ru-RU"/>
        </w:rPr>
        <w:t xml:space="preserve"> Именно в таких диспропорциональных мировоззрени</w:t>
      </w:r>
      <w:r w:rsidR="000657C2">
        <w:rPr>
          <w:rFonts w:ascii="Helvetica" w:hAnsi="Helvetica"/>
          <w:sz w:val="28"/>
          <w:szCs w:val="28"/>
          <w:lang w:val="ru-RU"/>
        </w:rPr>
        <w:t>ях,</w:t>
      </w:r>
      <w:r w:rsidR="001D05B0">
        <w:rPr>
          <w:rFonts w:ascii="Helvetica" w:hAnsi="Helvetica"/>
          <w:sz w:val="28"/>
          <w:szCs w:val="28"/>
          <w:lang w:val="ru-RU"/>
        </w:rPr>
        <w:t xml:space="preserve"> как отправны</w:t>
      </w:r>
      <w:r w:rsidR="000657C2">
        <w:rPr>
          <w:rFonts w:ascii="Helvetica" w:hAnsi="Helvetica"/>
          <w:sz w:val="28"/>
          <w:szCs w:val="28"/>
          <w:lang w:val="ru-RU"/>
        </w:rPr>
        <w:t>е</w:t>
      </w:r>
      <w:r w:rsidR="001D05B0">
        <w:rPr>
          <w:rFonts w:ascii="Helvetica" w:hAnsi="Helvetica"/>
          <w:sz w:val="28"/>
          <w:szCs w:val="28"/>
          <w:lang w:val="ru-RU"/>
        </w:rPr>
        <w:t xml:space="preserve"> точ</w:t>
      </w:r>
      <w:r w:rsidR="000657C2">
        <w:rPr>
          <w:rFonts w:ascii="Helvetica" w:hAnsi="Helvetica"/>
          <w:sz w:val="28"/>
          <w:szCs w:val="28"/>
          <w:lang w:val="ru-RU"/>
        </w:rPr>
        <w:t>ки</w:t>
      </w:r>
      <w:r w:rsidR="001D05B0">
        <w:rPr>
          <w:rFonts w:ascii="Helvetica" w:hAnsi="Helvetica"/>
          <w:sz w:val="28"/>
          <w:szCs w:val="28"/>
          <w:lang w:val="ru-RU"/>
        </w:rPr>
        <w:t xml:space="preserve"> в дискуссиях теизма и атеизма</w:t>
      </w:r>
      <w:r w:rsidR="000657C2">
        <w:rPr>
          <w:rFonts w:ascii="Helvetica" w:hAnsi="Helvetica"/>
          <w:sz w:val="28"/>
          <w:szCs w:val="28"/>
          <w:lang w:val="ru-RU"/>
        </w:rPr>
        <w:t>,</w:t>
      </w:r>
      <w:r w:rsidR="001D05B0">
        <w:rPr>
          <w:rFonts w:ascii="Helvetica" w:hAnsi="Helvetica"/>
          <w:sz w:val="28"/>
          <w:szCs w:val="28"/>
          <w:lang w:val="ru-RU"/>
        </w:rPr>
        <w:t xml:space="preserve"> Чунг видит </w:t>
      </w:r>
      <w:r w:rsidR="001D05B0">
        <w:rPr>
          <w:rFonts w:ascii="Helvetica" w:hAnsi="Helvetica"/>
          <w:sz w:val="28"/>
          <w:szCs w:val="28"/>
          <w:lang w:val="ru-RU"/>
        </w:rPr>
        <w:lastRenderedPageBreak/>
        <w:t xml:space="preserve">причину безрезультативности </w:t>
      </w:r>
      <w:r w:rsidR="000657C2">
        <w:rPr>
          <w:rFonts w:ascii="Helvetica" w:hAnsi="Helvetica"/>
          <w:sz w:val="28"/>
          <w:szCs w:val="28"/>
          <w:lang w:val="ru-RU"/>
        </w:rPr>
        <w:t xml:space="preserve">и неизбежной обреченности любой философской </w:t>
      </w:r>
      <w:r w:rsidR="001D05B0">
        <w:rPr>
          <w:rFonts w:ascii="Helvetica" w:hAnsi="Helvetica"/>
          <w:sz w:val="28"/>
          <w:szCs w:val="28"/>
          <w:lang w:val="ru-RU"/>
        </w:rPr>
        <w:t>дискусси</w:t>
      </w:r>
      <w:r w:rsidR="000657C2">
        <w:rPr>
          <w:rFonts w:ascii="Helvetica" w:hAnsi="Helvetica"/>
          <w:sz w:val="28"/>
          <w:szCs w:val="28"/>
          <w:lang w:val="ru-RU"/>
        </w:rPr>
        <w:t>и</w:t>
      </w:r>
      <w:r w:rsidR="001D05B0">
        <w:rPr>
          <w:rFonts w:ascii="Helvetica" w:hAnsi="Helvetica"/>
          <w:sz w:val="28"/>
          <w:szCs w:val="28"/>
          <w:lang w:val="ru-RU"/>
        </w:rPr>
        <w:t>.</w:t>
      </w:r>
      <w:r w:rsidR="000657C2">
        <w:rPr>
          <w:rFonts w:ascii="Helvetica" w:hAnsi="Helvetica"/>
          <w:sz w:val="28"/>
          <w:szCs w:val="28"/>
          <w:lang w:val="ru-RU"/>
        </w:rPr>
        <w:t xml:space="preserve"> </w:t>
      </w:r>
    </w:p>
    <w:p w14:paraId="31AB16A1" w14:textId="2B2C5720" w:rsidR="00D74BAE" w:rsidRDefault="004D7C59"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Но уже в самой про</w:t>
      </w:r>
      <w:r w:rsidR="00560986">
        <w:rPr>
          <w:rFonts w:ascii="Helvetica" w:hAnsi="Helvetica"/>
          <w:sz w:val="28"/>
          <w:szCs w:val="28"/>
          <w:lang w:val="ru-RU"/>
        </w:rPr>
        <w:t>блеме автор видит и ее решение, если только участники споров согласятся уйти от абстрактной концепции Бога аргументов и обратить свое внимание на Бога</w:t>
      </w:r>
      <w:r w:rsidR="00333C55">
        <w:rPr>
          <w:rFonts w:ascii="Helvetica" w:hAnsi="Helvetica"/>
          <w:sz w:val="28"/>
          <w:szCs w:val="28"/>
          <w:lang w:val="ru-RU"/>
        </w:rPr>
        <w:t>-</w:t>
      </w:r>
      <w:r w:rsidR="00560986">
        <w:rPr>
          <w:rFonts w:ascii="Helvetica" w:hAnsi="Helvetica"/>
          <w:sz w:val="28"/>
          <w:szCs w:val="28"/>
          <w:lang w:val="ru-RU"/>
        </w:rPr>
        <w:t xml:space="preserve">протагониста конфликтующих мировоззрений. Во-первых, полезность аргументов в защиту существования Бога </w:t>
      </w:r>
      <w:r w:rsidR="00D74BAE">
        <w:rPr>
          <w:rFonts w:ascii="Helvetica" w:hAnsi="Helvetica"/>
          <w:sz w:val="28"/>
          <w:szCs w:val="28"/>
          <w:lang w:val="ru-RU"/>
        </w:rPr>
        <w:t xml:space="preserve">гарантируется рациональностью основанной не на абстрактных логико-философских тезисах, но на представлении </w:t>
      </w:r>
      <w:r w:rsidR="00333C55">
        <w:rPr>
          <w:rFonts w:ascii="Helvetica" w:hAnsi="Helvetica"/>
          <w:sz w:val="28"/>
          <w:szCs w:val="28"/>
          <w:lang w:val="ru-RU"/>
        </w:rPr>
        <w:t>правомерности</w:t>
      </w:r>
      <w:r w:rsidR="000657C2">
        <w:rPr>
          <w:rFonts w:ascii="Helvetica" w:hAnsi="Helvetica"/>
          <w:sz w:val="28"/>
          <w:szCs w:val="28"/>
          <w:lang w:val="ru-RU"/>
        </w:rPr>
        <w:t xml:space="preserve"> самого </w:t>
      </w:r>
      <w:r w:rsidR="00D74BAE">
        <w:rPr>
          <w:rFonts w:ascii="Helvetica" w:hAnsi="Helvetica"/>
          <w:sz w:val="28"/>
          <w:szCs w:val="28"/>
          <w:lang w:val="ru-RU"/>
        </w:rPr>
        <w:t>мировоззрения теизма. Во-вторых, в современном глобал</w:t>
      </w:r>
      <w:r w:rsidR="000657C2">
        <w:rPr>
          <w:rFonts w:ascii="Helvetica" w:hAnsi="Helvetica"/>
          <w:sz w:val="28"/>
          <w:szCs w:val="28"/>
          <w:lang w:val="ru-RU"/>
        </w:rPr>
        <w:t>ьно</w:t>
      </w:r>
      <w:r w:rsidR="00D74BAE">
        <w:rPr>
          <w:rFonts w:ascii="Helvetica" w:hAnsi="Helvetica"/>
          <w:sz w:val="28"/>
          <w:szCs w:val="28"/>
          <w:lang w:val="ru-RU"/>
        </w:rPr>
        <w:t>м мире, где даже самые далекие друг от друга культуры, социумы, группы, религии и иные контексты столь часто пересекаются, даже диспропорциональные мировоззрения теизма и атеизма могут встретиться в некоторых общих подходах</w:t>
      </w:r>
      <w:r w:rsidR="00333C55">
        <w:rPr>
          <w:rFonts w:ascii="Helvetica" w:hAnsi="Helvetica"/>
          <w:sz w:val="28"/>
          <w:szCs w:val="28"/>
          <w:lang w:val="ru-RU"/>
        </w:rPr>
        <w:t xml:space="preserve"> в понимании мира</w:t>
      </w:r>
      <w:r w:rsidR="00D74BAE">
        <w:rPr>
          <w:rFonts w:ascii="Helvetica" w:hAnsi="Helvetica"/>
          <w:sz w:val="28"/>
          <w:szCs w:val="28"/>
          <w:lang w:val="ru-RU"/>
        </w:rPr>
        <w:t>.</w:t>
      </w:r>
    </w:p>
    <w:p w14:paraId="7DC4D20D" w14:textId="3148C301" w:rsidR="00257831" w:rsidRDefault="00D74BAE"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 xml:space="preserve">Наибольшее внимание автор уделяет пяти путям, космологическим аргументам Фомы Аквинского, которые служат примером того, как два мировоззрения способны найти общие точки соприкосновения. Для Чунга пять путей на самом деле не являются </w:t>
      </w:r>
      <w:r w:rsidR="00A77A59">
        <w:rPr>
          <w:rFonts w:ascii="Helvetica" w:hAnsi="Helvetica"/>
          <w:sz w:val="28"/>
          <w:szCs w:val="28"/>
          <w:lang w:val="ru-RU"/>
        </w:rPr>
        <w:t xml:space="preserve">чисто философскими аргументами, но </w:t>
      </w:r>
      <w:r w:rsidR="000657C2">
        <w:rPr>
          <w:rFonts w:ascii="Helvetica" w:hAnsi="Helvetica"/>
          <w:sz w:val="28"/>
          <w:szCs w:val="28"/>
          <w:lang w:val="ru-RU"/>
        </w:rPr>
        <w:t>скорее</w:t>
      </w:r>
      <w:r w:rsidR="00A77A59">
        <w:rPr>
          <w:rFonts w:ascii="Helvetica" w:hAnsi="Helvetica"/>
          <w:sz w:val="28"/>
          <w:szCs w:val="28"/>
          <w:lang w:val="ru-RU"/>
        </w:rPr>
        <w:t xml:space="preserve"> предположениями существования Бога</w:t>
      </w:r>
      <w:r w:rsidR="00F76B6E">
        <w:rPr>
          <w:rFonts w:ascii="Helvetica" w:hAnsi="Helvetica"/>
          <w:sz w:val="28"/>
          <w:szCs w:val="28"/>
          <w:lang w:val="ru-RU"/>
        </w:rPr>
        <w:t xml:space="preserve">, причем уже включающие в себя два противоположных мировоззрения теизма и атеизма. Поэтому сами аргументы, на самом деле, представляют из себя попытку диалога </w:t>
      </w:r>
      <w:r w:rsidR="000657C2">
        <w:rPr>
          <w:rFonts w:ascii="Helvetica" w:hAnsi="Helvetica"/>
          <w:sz w:val="28"/>
          <w:szCs w:val="28"/>
          <w:lang w:val="ru-RU"/>
        </w:rPr>
        <w:t xml:space="preserve">диспропорциональных </w:t>
      </w:r>
      <w:r w:rsidR="00F76B6E">
        <w:rPr>
          <w:rFonts w:ascii="Helvetica" w:hAnsi="Helvetica"/>
          <w:sz w:val="28"/>
          <w:szCs w:val="28"/>
          <w:lang w:val="ru-RU"/>
        </w:rPr>
        <w:t xml:space="preserve">мировоззрений. </w:t>
      </w:r>
    </w:p>
    <w:p w14:paraId="1F9B88F3" w14:textId="436FDCDD" w:rsidR="00F76B6E" w:rsidRDefault="00257831"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Подобная интерпретация философского богословия Фомы Аквинского, по признанию самого автора, основана на современных подходах к его философии, прежде всего в работах Р. Суинберна, А. Плантинги и И. Макинтайра. Именно эти современные комментарии интересуют автора более чем экзегетический</w:t>
      </w:r>
      <w:r w:rsidR="000657C2">
        <w:rPr>
          <w:rFonts w:ascii="Helvetica" w:hAnsi="Helvetica"/>
          <w:sz w:val="28"/>
          <w:szCs w:val="28"/>
          <w:lang w:val="ru-RU"/>
        </w:rPr>
        <w:t xml:space="preserve"> и</w:t>
      </w:r>
      <w:r>
        <w:rPr>
          <w:rFonts w:ascii="Helvetica" w:hAnsi="Helvetica"/>
          <w:sz w:val="28"/>
          <w:szCs w:val="28"/>
          <w:lang w:val="ru-RU"/>
        </w:rPr>
        <w:t xml:space="preserve"> историческо-критический анализ текстов Фомы Аквинского.</w:t>
      </w:r>
    </w:p>
    <w:p w14:paraId="38428CC4" w14:textId="5F1726B0" w:rsidR="00257831" w:rsidRDefault="000657C2"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В контексте этой современной интерпретации текстов а</w:t>
      </w:r>
      <w:r w:rsidR="00257831">
        <w:rPr>
          <w:rFonts w:ascii="Helvetica" w:hAnsi="Helvetica"/>
          <w:sz w:val="28"/>
          <w:szCs w:val="28"/>
          <w:lang w:val="ru-RU"/>
        </w:rPr>
        <w:t xml:space="preserve">втор повторяет уже общепризнанную идею о том, что атеизм Нового времени стал результатом не столько научной революции 16-17вв., сколько уходом в науках и в философии от аристотелевского и томистского учения об Абсолюте (Боге) как первопричине мира, что в свою очередь было результатом ухода от </w:t>
      </w:r>
      <w:r>
        <w:rPr>
          <w:rFonts w:ascii="Helvetica" w:hAnsi="Helvetica"/>
          <w:sz w:val="28"/>
          <w:szCs w:val="28"/>
          <w:lang w:val="ru-RU"/>
        </w:rPr>
        <w:t xml:space="preserve">древнего и средневекового </w:t>
      </w:r>
      <w:r w:rsidR="00257831">
        <w:rPr>
          <w:rFonts w:ascii="Helvetica" w:hAnsi="Helvetica"/>
          <w:sz w:val="28"/>
          <w:szCs w:val="28"/>
          <w:lang w:val="ru-RU"/>
        </w:rPr>
        <w:t>учени</w:t>
      </w:r>
      <w:r>
        <w:rPr>
          <w:rFonts w:ascii="Helvetica" w:hAnsi="Helvetica"/>
          <w:sz w:val="28"/>
          <w:szCs w:val="28"/>
          <w:lang w:val="ru-RU"/>
        </w:rPr>
        <w:t>й</w:t>
      </w:r>
      <w:r w:rsidR="00257831">
        <w:rPr>
          <w:rFonts w:ascii="Helvetica" w:hAnsi="Helvetica"/>
          <w:sz w:val="28"/>
          <w:szCs w:val="28"/>
          <w:lang w:val="ru-RU"/>
        </w:rPr>
        <w:t xml:space="preserve"> о </w:t>
      </w:r>
      <w:r w:rsidR="00257831">
        <w:rPr>
          <w:rFonts w:ascii="Helvetica" w:hAnsi="Helvetica"/>
          <w:sz w:val="28"/>
          <w:szCs w:val="28"/>
          <w:lang w:val="ru-RU"/>
        </w:rPr>
        <w:lastRenderedPageBreak/>
        <w:t>причинах в науках и в философии. Чунг повторяет тезис многих современных теистов о том, что отказ от аристотелевской доктрины о причинах (айтиологи</w:t>
      </w:r>
      <w:r>
        <w:rPr>
          <w:rFonts w:ascii="Helvetica" w:hAnsi="Helvetica"/>
          <w:sz w:val="28"/>
          <w:szCs w:val="28"/>
          <w:lang w:val="ru-RU"/>
        </w:rPr>
        <w:t>и</w:t>
      </w:r>
      <w:r w:rsidR="00257831">
        <w:rPr>
          <w:rFonts w:ascii="Helvetica" w:hAnsi="Helvetica"/>
          <w:sz w:val="28"/>
          <w:szCs w:val="28"/>
          <w:lang w:val="ru-RU"/>
        </w:rPr>
        <w:t xml:space="preserve">) отнюдь не должен привести к отрицанию существования Бога. </w:t>
      </w:r>
      <w:r>
        <w:rPr>
          <w:rFonts w:ascii="Helvetica" w:hAnsi="Helvetica"/>
          <w:sz w:val="28"/>
          <w:szCs w:val="28"/>
          <w:lang w:val="ru-RU"/>
        </w:rPr>
        <w:t>Таким образом, п</w:t>
      </w:r>
      <w:r w:rsidR="00257831">
        <w:rPr>
          <w:rFonts w:ascii="Helvetica" w:hAnsi="Helvetica"/>
          <w:sz w:val="28"/>
          <w:szCs w:val="28"/>
          <w:lang w:val="ru-RU"/>
        </w:rPr>
        <w:t>ереосмысление понятия «причины» с позиции иного, современного мировоззрения в науках и в философии</w:t>
      </w:r>
      <w:r w:rsidR="00333C55">
        <w:rPr>
          <w:rFonts w:ascii="Helvetica" w:hAnsi="Helvetica"/>
          <w:sz w:val="28"/>
          <w:szCs w:val="28"/>
          <w:lang w:val="ru-RU"/>
        </w:rPr>
        <w:t>, согласно автору,</w:t>
      </w:r>
      <w:r w:rsidR="00257831">
        <w:rPr>
          <w:rFonts w:ascii="Helvetica" w:hAnsi="Helvetica"/>
          <w:sz w:val="28"/>
          <w:szCs w:val="28"/>
          <w:lang w:val="ru-RU"/>
        </w:rPr>
        <w:t xml:space="preserve"> есть одним из возможных решений конфликта между теизмом и атеизмом.</w:t>
      </w:r>
    </w:p>
    <w:p w14:paraId="7FB196B5" w14:textId="10F5E495" w:rsidR="007E3EEB" w:rsidRDefault="00257831"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 xml:space="preserve">В итоге автор </w:t>
      </w:r>
      <w:r w:rsidR="000657C2">
        <w:rPr>
          <w:rFonts w:ascii="Helvetica" w:hAnsi="Helvetica"/>
          <w:sz w:val="28"/>
          <w:szCs w:val="28"/>
          <w:lang w:val="ru-RU"/>
        </w:rPr>
        <w:t xml:space="preserve">считает, что </w:t>
      </w:r>
      <w:r>
        <w:rPr>
          <w:rFonts w:ascii="Helvetica" w:hAnsi="Helvetica"/>
          <w:sz w:val="28"/>
          <w:szCs w:val="28"/>
          <w:lang w:val="ru-RU"/>
        </w:rPr>
        <w:t xml:space="preserve">повторяет замысел Фомы Аквинского – найти общие пункты соприкосновения двух </w:t>
      </w:r>
      <w:r w:rsidR="000657C2">
        <w:rPr>
          <w:rFonts w:ascii="Helvetica" w:hAnsi="Helvetica"/>
          <w:sz w:val="28"/>
          <w:szCs w:val="28"/>
          <w:lang w:val="ru-RU"/>
        </w:rPr>
        <w:t>диспропорциональных</w:t>
      </w:r>
      <w:r>
        <w:rPr>
          <w:rFonts w:ascii="Helvetica" w:hAnsi="Helvetica"/>
          <w:sz w:val="28"/>
          <w:szCs w:val="28"/>
          <w:lang w:val="ru-RU"/>
        </w:rPr>
        <w:t xml:space="preserve"> мировоззрений, только теперь уже в современном контексте нашего мира и времени. Чунг предлагает «оставить все как есть» в структурах классических аргументов, но в то же время призывает читателя увидеть те же аргументы в свете новых мировоззрений. В этом новом взгляде заключается надежда автора на возможность создания диалога между современным теизмом и атеизмом, где общим пунктом соприкосновения был бы отход от абстрактного дискурса и открытость к реальному миру. Причем в таком диалоге ни одна из противоположных и несовместимых позиций не изменила бы ни своей основной структуры, ни свои исходные тезисы. Цель книги в при</w:t>
      </w:r>
      <w:r w:rsidR="007E3EEB">
        <w:rPr>
          <w:rFonts w:ascii="Helvetica" w:hAnsi="Helvetica"/>
          <w:sz w:val="28"/>
          <w:szCs w:val="28"/>
          <w:lang w:val="ru-RU"/>
        </w:rPr>
        <w:t>глашении с разных и противоречивых позиций увидеть в новом свете классические и современные идеи теизма и атеизма.</w:t>
      </w:r>
    </w:p>
    <w:p w14:paraId="165742B3" w14:textId="16341365" w:rsidR="001D05B0" w:rsidRPr="0047199F" w:rsidRDefault="007E3EEB" w:rsidP="0064114D">
      <w:pPr>
        <w:adjustRightInd w:val="0"/>
        <w:snapToGrid w:val="0"/>
        <w:spacing w:after="120"/>
        <w:jc w:val="both"/>
        <w:rPr>
          <w:rFonts w:ascii="Helvetica" w:hAnsi="Helvetica"/>
          <w:sz w:val="28"/>
          <w:szCs w:val="28"/>
          <w:lang w:val="ru-RU"/>
        </w:rPr>
      </w:pPr>
      <w:r>
        <w:rPr>
          <w:rFonts w:ascii="Helvetica" w:hAnsi="Helvetica"/>
          <w:sz w:val="28"/>
          <w:szCs w:val="28"/>
          <w:lang w:val="ru-RU"/>
        </w:rPr>
        <w:t xml:space="preserve">Книга прежде всего будет интересна сторонникам философии Аласдаира Макинтаира, продолжателем идей философии религии </w:t>
      </w:r>
      <w:r w:rsidR="00333C55">
        <w:rPr>
          <w:rFonts w:ascii="Helvetica" w:hAnsi="Helvetica"/>
          <w:sz w:val="28"/>
          <w:szCs w:val="28"/>
          <w:lang w:val="ru-RU"/>
        </w:rPr>
        <w:t xml:space="preserve">и этики </w:t>
      </w:r>
      <w:r>
        <w:rPr>
          <w:rFonts w:ascii="Helvetica" w:hAnsi="Helvetica"/>
          <w:sz w:val="28"/>
          <w:szCs w:val="28"/>
          <w:lang w:val="ru-RU"/>
        </w:rPr>
        <w:t>которого явно является Пол Чунг. Автор также представляет собственный критический анализ значительной по объему и релевантности современной литературы по современному философскому богословию, что делает эту книгу важным вкладом в современную дискуссию с позиций христианского теизма.</w:t>
      </w:r>
    </w:p>
    <w:sectPr w:rsidR="001D05B0" w:rsidRPr="0047199F" w:rsidSect="006C619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9F2"/>
    <w:rsid w:val="000657C2"/>
    <w:rsid w:val="000C0FED"/>
    <w:rsid w:val="001D05B0"/>
    <w:rsid w:val="00257831"/>
    <w:rsid w:val="003222D5"/>
    <w:rsid w:val="00333C55"/>
    <w:rsid w:val="0047199F"/>
    <w:rsid w:val="004D7C59"/>
    <w:rsid w:val="00514DCF"/>
    <w:rsid w:val="00560986"/>
    <w:rsid w:val="0064114D"/>
    <w:rsid w:val="006848D7"/>
    <w:rsid w:val="006C619C"/>
    <w:rsid w:val="007E3EEB"/>
    <w:rsid w:val="009478ED"/>
    <w:rsid w:val="009F06CA"/>
    <w:rsid w:val="00A77A59"/>
    <w:rsid w:val="00D74BAE"/>
    <w:rsid w:val="00E269F2"/>
    <w:rsid w:val="00F7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6166B0"/>
  <w14:defaultImageDpi w14:val="300"/>
  <w15:docId w15:val="{9853BE8D-A427-6B46-AA71-9189F8DA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Андрей Пухаев</cp:lastModifiedBy>
  <cp:revision>14</cp:revision>
  <dcterms:created xsi:type="dcterms:W3CDTF">2018-01-01T08:55:00Z</dcterms:created>
  <dcterms:modified xsi:type="dcterms:W3CDTF">2023-03-12T19:14:00Z</dcterms:modified>
</cp:coreProperties>
</file>