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21A" w:rsidRDefault="007B321A" w:rsidP="008F21CF">
      <w:pPr>
        <w:pStyle w:val="Heading1"/>
        <w:spacing w:before="200" w:after="0" w:line="480" w:lineRule="auto"/>
      </w:pPr>
      <w:r>
        <w:t>Hume’s</w:t>
      </w:r>
      <w:r w:rsidR="00B0437A">
        <w:t xml:space="preserve"> (</w:t>
      </w:r>
      <w:r w:rsidR="00B0437A">
        <w:rPr>
          <w:i/>
        </w:rPr>
        <w:t>Ad Hoc</w:t>
      </w:r>
      <w:r w:rsidR="000151E5">
        <w:t>?</w:t>
      </w:r>
      <w:r w:rsidR="00B0437A">
        <w:rPr>
          <w:i/>
        </w:rPr>
        <w:t>)</w:t>
      </w:r>
      <w:r>
        <w:t xml:space="preserve"> Appeal to the Calm Passions</w:t>
      </w:r>
    </w:p>
    <w:p w:rsidR="00F31CF5" w:rsidRDefault="00F31CF5" w:rsidP="00F31CF5">
      <w:pPr>
        <w:spacing w:before="0"/>
        <w:jc w:val="center"/>
        <w:rPr>
          <w:i/>
        </w:rPr>
      </w:pPr>
      <w:r>
        <w:rPr>
          <w:i/>
        </w:rPr>
        <w:t>Hsueh Qu</w:t>
      </w:r>
    </w:p>
    <w:p w:rsidR="00F31CF5" w:rsidRPr="00F31CF5" w:rsidRDefault="00F31CF5" w:rsidP="00F31CF5">
      <w:pPr>
        <w:spacing w:before="0"/>
        <w:jc w:val="center"/>
        <w:rPr>
          <w:i/>
        </w:rPr>
      </w:pPr>
      <w:r>
        <w:rPr>
          <w:i/>
        </w:rPr>
        <w:t>National University of Singapore</w:t>
      </w:r>
    </w:p>
    <w:p w:rsidR="007B321A" w:rsidRDefault="000223FF" w:rsidP="00512563">
      <w:pPr>
        <w:pStyle w:val="Heading2"/>
        <w:numPr>
          <w:ilvl w:val="0"/>
          <w:numId w:val="1"/>
        </w:numPr>
        <w:spacing w:before="200" w:after="200" w:line="480" w:lineRule="auto"/>
        <w:jc w:val="both"/>
      </w:pPr>
      <w:r>
        <w:t xml:space="preserve">Conativism: </w:t>
      </w:r>
      <w:r w:rsidR="007B321A">
        <w:t>Relation of Ideas or Matter of Fact?</w:t>
      </w:r>
    </w:p>
    <w:p w:rsidR="00164A8F" w:rsidRDefault="007B321A" w:rsidP="00512563">
      <w:pPr>
        <w:spacing w:before="200" w:after="200" w:line="480" w:lineRule="auto"/>
        <w:jc w:val="both"/>
      </w:pPr>
      <w:r>
        <w:t xml:space="preserve">Hume </w:t>
      </w:r>
      <w:r w:rsidR="009811BD">
        <w:t>famously champions</w:t>
      </w:r>
      <w:r>
        <w:t xml:space="preserve"> conativism, that is, the position that </w:t>
      </w:r>
      <w:r w:rsidR="00B0437A">
        <w:t>the passions do the end-setting</w:t>
      </w:r>
      <w:r w:rsidR="000F1550">
        <w:t xml:space="preserve"> motivational</w:t>
      </w:r>
      <w:r w:rsidR="00B0437A">
        <w:t xml:space="preserve"> work, while reason</w:t>
      </w:r>
      <w:r w:rsidR="00452310">
        <w:rPr>
          <w:rStyle w:val="FootnoteReference"/>
        </w:rPr>
        <w:footnoteReference w:id="1"/>
      </w:r>
      <w:r w:rsidR="00B0437A">
        <w:t xml:space="preserve"> plays only an instrumental role by revealing how to achie</w:t>
      </w:r>
      <w:r w:rsidR="007F05DD">
        <w:t>ve</w:t>
      </w:r>
      <w:r w:rsidR="00B0437A">
        <w:t xml:space="preserve"> the goals set by our passions.</w:t>
      </w:r>
      <w:r w:rsidR="002D2515">
        <w:rPr>
          <w:rStyle w:val="FootnoteReference"/>
        </w:rPr>
        <w:footnoteReference w:id="2"/>
      </w:r>
      <w:r w:rsidR="00164A8F">
        <w:t xml:space="preserve"> </w:t>
      </w:r>
      <w:r w:rsidR="00E25E0D">
        <w:t>H</w:t>
      </w:r>
      <w:r w:rsidR="007A2A5A">
        <w:t>e</w:t>
      </w:r>
      <w:r w:rsidR="00E25E0D">
        <w:t xml:space="preserve"> </w:t>
      </w:r>
      <w:r w:rsidR="00AD3EF5">
        <w:t>states</w:t>
      </w:r>
      <w:r w:rsidR="007A2A5A">
        <w:t xml:space="preserve"> that ‘reason alone can never produce any action, or give rise to volition’ (THN 2.3.3.4)</w:t>
      </w:r>
      <w:r w:rsidR="00452310">
        <w:t>.</w:t>
      </w:r>
      <w:r w:rsidR="000223FF" w:rsidRPr="000223FF">
        <w:rPr>
          <w:vertAlign w:val="superscript"/>
        </w:rPr>
        <w:footnoteReference w:id="3"/>
      </w:r>
      <w:r w:rsidR="00452310">
        <w:t xml:space="preserve"> ‘Reason is, and ought only to be the slave of the passions’ (</w:t>
      </w:r>
      <w:r w:rsidR="00452310">
        <w:rPr>
          <w:i/>
        </w:rPr>
        <w:t>ibid</w:t>
      </w:r>
      <w:r w:rsidR="00452310">
        <w:t>.)</w:t>
      </w:r>
      <w:r w:rsidR="007A2A5A">
        <w:t xml:space="preserve"> and only serves to discover the connection between causes and effects, </w:t>
      </w:r>
      <w:r w:rsidR="00C24842">
        <w:t>fa</w:t>
      </w:r>
      <w:bookmarkStart w:id="0" w:name="_GoBack"/>
      <w:bookmarkEnd w:id="0"/>
      <w:r w:rsidR="00C24842">
        <w:t>cilitating the achievement of the</w:t>
      </w:r>
      <w:r w:rsidR="007A2A5A">
        <w:t xml:space="preserve"> goals set by our passions; </w:t>
      </w:r>
      <w:r w:rsidR="00452310">
        <w:t xml:space="preserve">in short, </w:t>
      </w:r>
      <w:r w:rsidR="007A2A5A">
        <w:t>reason plays</w:t>
      </w:r>
      <w:r w:rsidR="00452310">
        <w:t xml:space="preserve"> only</w:t>
      </w:r>
      <w:r w:rsidR="007A2A5A">
        <w:t xml:space="preserve"> an instrumental</w:t>
      </w:r>
      <w:r w:rsidR="00164A8F">
        <w:t xml:space="preserve"> </w:t>
      </w:r>
      <w:r w:rsidR="007A2A5A">
        <w:t>role in motivation, while the passions play the end-setting role.</w:t>
      </w:r>
      <w:r w:rsidR="00017D9D">
        <w:t xml:space="preserve"> I will henceforth use ‘conativism’ and its cognates to indicate</w:t>
      </w:r>
      <w:r w:rsidR="00F87EF8">
        <w:t xml:space="preserve"> only</w:t>
      </w:r>
      <w:r w:rsidR="00017D9D">
        <w:t xml:space="preserve"> the thesis that the passions play the end-setting motivational</w:t>
      </w:r>
      <w:r w:rsidR="00BA1845">
        <w:t xml:space="preserve"> role</w:t>
      </w:r>
      <w:r w:rsidR="00017D9D">
        <w:t xml:space="preserve">; the details of the instrumental role </w:t>
      </w:r>
      <w:r w:rsidR="00460A99">
        <w:t>are tangential to</w:t>
      </w:r>
      <w:r w:rsidR="00017D9D">
        <w:t xml:space="preserve"> my purposes </w:t>
      </w:r>
      <w:r w:rsidR="00560A01">
        <w:t>here</w:t>
      </w:r>
      <w:r w:rsidR="00017D9D">
        <w:t>.</w:t>
      </w:r>
    </w:p>
    <w:p w:rsidR="00B0437A" w:rsidRDefault="00C24842" w:rsidP="000B0A7E">
      <w:pPr>
        <w:spacing w:before="200" w:after="200" w:line="480" w:lineRule="auto"/>
        <w:ind w:firstLine="720"/>
        <w:jc w:val="both"/>
      </w:pPr>
      <w:r>
        <w:t>Conativism</w:t>
      </w:r>
      <w:r w:rsidR="00164A8F">
        <w:t xml:space="preserve"> </w:t>
      </w:r>
      <w:r w:rsidR="00B0437A">
        <w:t xml:space="preserve">is subject to </w:t>
      </w:r>
      <w:r>
        <w:t xml:space="preserve">apparent </w:t>
      </w:r>
      <w:r w:rsidR="00B0437A">
        <w:t xml:space="preserve">counterexamples </w:t>
      </w:r>
      <w:r w:rsidR="001702B6">
        <w:t>in which</w:t>
      </w:r>
      <w:r w:rsidR="00B0437A">
        <w:t xml:space="preserve"> </w:t>
      </w:r>
      <w:r w:rsidR="00EB680C">
        <w:t>the</w:t>
      </w:r>
      <w:r w:rsidR="00B0437A">
        <w:t xml:space="preserve"> phenomenolog</w:t>
      </w:r>
      <w:r w:rsidR="00EB680C">
        <w:t>ical evidence supports the rationalist claim</w:t>
      </w:r>
      <w:r w:rsidR="00B0437A">
        <w:t xml:space="preserve"> that reason </w:t>
      </w:r>
      <w:r w:rsidR="001B6716">
        <w:t>performs the</w:t>
      </w:r>
      <w:r w:rsidR="00E44155">
        <w:t xml:space="preserve"> end-setting</w:t>
      </w:r>
      <w:r w:rsidR="00E25E0D">
        <w:t xml:space="preserve"> role in</w:t>
      </w:r>
      <w:r w:rsidR="00E44155">
        <w:t xml:space="preserve"> motivation</w:t>
      </w:r>
      <w:r w:rsidR="00B0437A">
        <w:t xml:space="preserve">. </w:t>
      </w:r>
      <w:r w:rsidR="00560A01">
        <w:t>Imagine</w:t>
      </w:r>
      <w:r w:rsidR="00B0437A">
        <w:t xml:space="preserve"> a student who re</w:t>
      </w:r>
      <w:r w:rsidR="00E44155">
        <w:t>luctantly decides to revise for</w:t>
      </w:r>
      <w:r w:rsidR="00B0437A">
        <w:t xml:space="preserve"> an upcoming test instead of attending a party –</w:t>
      </w:r>
      <w:r w:rsidR="00E8792D">
        <w:t xml:space="preserve"> </w:t>
      </w:r>
      <w:r w:rsidR="00E44155">
        <w:t>to her</w:t>
      </w:r>
      <w:r w:rsidR="00B0437A">
        <w:t xml:space="preserve"> it </w:t>
      </w:r>
      <w:r w:rsidR="00B0437A">
        <w:rPr>
          <w:i/>
        </w:rPr>
        <w:lastRenderedPageBreak/>
        <w:t>feels</w:t>
      </w:r>
      <w:r w:rsidR="00B0437A">
        <w:t xml:space="preserve"> </w:t>
      </w:r>
      <w:r w:rsidR="006C47C8">
        <w:t>as if</w:t>
      </w:r>
      <w:r w:rsidR="00B0437A">
        <w:t xml:space="preserve"> she has a </w:t>
      </w:r>
      <w:r w:rsidR="00017D9D">
        <w:t>passion</w:t>
      </w:r>
      <w:r w:rsidR="000F1550">
        <w:t xml:space="preserve"> for the latter</w:t>
      </w:r>
      <w:r w:rsidR="00017D9D">
        <w:t xml:space="preserve"> but none for the former</w:t>
      </w:r>
      <w:r w:rsidR="002B05A6">
        <w:t>,</w:t>
      </w:r>
      <w:r w:rsidR="00B0437A">
        <w:t xml:space="preserve"> </w:t>
      </w:r>
      <w:r w:rsidR="002B05A6">
        <w:t>with reason (successfully) telling</w:t>
      </w:r>
      <w:r w:rsidR="00B0437A">
        <w:t xml:space="preserve"> her </w:t>
      </w:r>
      <w:r w:rsidR="00A7492C">
        <w:t>to revise</w:t>
      </w:r>
      <w:r w:rsidR="00017D9D">
        <w:t xml:space="preserve">; the phenomenology therefore suggests that reason successfully </w:t>
      </w:r>
      <w:r w:rsidR="00805A35">
        <w:t>motivates in</w:t>
      </w:r>
      <w:r w:rsidR="00017D9D">
        <w:t xml:space="preserve"> an end-setting role</w:t>
      </w:r>
      <w:r w:rsidR="00E44155">
        <w:t>.</w:t>
      </w:r>
      <w:r w:rsidR="00B0437A">
        <w:t xml:space="preserve"> </w:t>
      </w:r>
      <w:r w:rsidR="00AD3EF5">
        <w:t>In response</w:t>
      </w:r>
      <w:r w:rsidR="00207659">
        <w:t xml:space="preserve"> to such purported counterexamples</w:t>
      </w:r>
      <w:r w:rsidR="00B0437A">
        <w:t xml:space="preserve">, </w:t>
      </w:r>
      <w:r w:rsidR="00AD3EF5">
        <w:t>Hume</w:t>
      </w:r>
      <w:r w:rsidR="00B0437A">
        <w:t xml:space="preserve"> defends his conativism by appealing to the calm passions:</w:t>
      </w:r>
    </w:p>
    <w:p w:rsidR="00B0437A" w:rsidRPr="005050B0" w:rsidRDefault="00A7492C" w:rsidP="005050B0">
      <w:pPr>
        <w:pStyle w:val="HumeReferences"/>
      </w:pPr>
      <w:r w:rsidRPr="005050B0">
        <w:t>...</w:t>
      </w:r>
      <w:r w:rsidR="00B0437A" w:rsidRPr="005050B0">
        <w:t xml:space="preserve"> there are certain calm desires and tendencies, which, ’tho they be real passions, produce little emotion in the mind, and are more known by their effects than by the </w:t>
      </w:r>
      <w:r w:rsidR="000B793B" w:rsidRPr="005050B0">
        <w:t>immediate feeling or sensation</w:t>
      </w:r>
      <w:r w:rsidR="00C00418" w:rsidRPr="005050B0">
        <w:t>… When any of these passions are calm, and cause no disorder in the soul, they are very readily taken for the determinations of reason, and are suppos’d to proceed from the same faculty, with that, which judges of truth and falshood.</w:t>
      </w:r>
      <w:r w:rsidR="00B0437A" w:rsidRPr="005050B0">
        <w:t xml:space="preserve"> (T</w:t>
      </w:r>
      <w:r w:rsidR="00FA594E" w:rsidRPr="005050B0">
        <w:t>HN</w:t>
      </w:r>
      <w:r w:rsidR="00B0437A" w:rsidRPr="005050B0">
        <w:t xml:space="preserve"> 2.3.3.8)</w:t>
      </w:r>
      <w:r w:rsidR="00950851" w:rsidRPr="005050B0">
        <w:rPr>
          <w:rStyle w:val="dc"/>
        </w:rPr>
        <w:t xml:space="preserve"> </w:t>
      </w:r>
    </w:p>
    <w:p w:rsidR="00C9604F" w:rsidRPr="006545C4" w:rsidRDefault="00C9604F" w:rsidP="006545C4">
      <w:pPr>
        <w:pStyle w:val="BlockQuotations"/>
        <w:spacing w:before="200" w:after="200"/>
        <w:ind w:left="0" w:right="9"/>
        <w:jc w:val="both"/>
        <w:rPr>
          <w:sz w:val="24"/>
          <w:szCs w:val="24"/>
        </w:rPr>
      </w:pPr>
      <w:r>
        <w:rPr>
          <w:sz w:val="24"/>
          <w:szCs w:val="24"/>
        </w:rPr>
        <w:t>Hume argues that</w:t>
      </w:r>
      <w:r w:rsidR="00F6182E">
        <w:rPr>
          <w:sz w:val="24"/>
          <w:szCs w:val="24"/>
        </w:rPr>
        <w:t xml:space="preserve"> in</w:t>
      </w:r>
      <w:r>
        <w:rPr>
          <w:sz w:val="24"/>
          <w:szCs w:val="24"/>
        </w:rPr>
        <w:t xml:space="preserve"> </w:t>
      </w:r>
      <w:r w:rsidR="002B05A6">
        <w:rPr>
          <w:sz w:val="24"/>
          <w:szCs w:val="24"/>
        </w:rPr>
        <w:t xml:space="preserve">these </w:t>
      </w:r>
      <w:r w:rsidR="009A4908">
        <w:rPr>
          <w:sz w:val="24"/>
          <w:szCs w:val="24"/>
        </w:rPr>
        <w:t>apparent</w:t>
      </w:r>
      <w:r w:rsidR="002B05A6">
        <w:rPr>
          <w:sz w:val="24"/>
          <w:szCs w:val="24"/>
        </w:rPr>
        <w:t xml:space="preserve"> counterexamples</w:t>
      </w:r>
      <w:r>
        <w:rPr>
          <w:sz w:val="24"/>
          <w:szCs w:val="24"/>
        </w:rPr>
        <w:t xml:space="preserve">, there </w:t>
      </w:r>
      <w:r w:rsidR="00D53EBA">
        <w:rPr>
          <w:sz w:val="24"/>
          <w:szCs w:val="24"/>
        </w:rPr>
        <w:t>are one or more passions that perform</w:t>
      </w:r>
      <w:r w:rsidR="00A8479A">
        <w:rPr>
          <w:sz w:val="24"/>
          <w:szCs w:val="24"/>
        </w:rPr>
        <w:t xml:space="preserve"> the end-setting </w:t>
      </w:r>
      <w:r w:rsidR="00D53EBA">
        <w:rPr>
          <w:sz w:val="24"/>
          <w:szCs w:val="24"/>
        </w:rPr>
        <w:t>role</w:t>
      </w:r>
      <w:r w:rsidR="00A8479A">
        <w:rPr>
          <w:sz w:val="24"/>
          <w:szCs w:val="24"/>
        </w:rPr>
        <w:t>.</w:t>
      </w:r>
      <w:r w:rsidR="001F414B">
        <w:rPr>
          <w:rStyle w:val="FootnoteReference"/>
          <w:sz w:val="24"/>
          <w:szCs w:val="24"/>
        </w:rPr>
        <w:footnoteReference w:id="4"/>
      </w:r>
      <w:r w:rsidR="00A8479A">
        <w:rPr>
          <w:sz w:val="24"/>
          <w:szCs w:val="24"/>
        </w:rPr>
        <w:t xml:space="preserve"> </w:t>
      </w:r>
      <w:r w:rsidR="001702B6">
        <w:rPr>
          <w:sz w:val="24"/>
          <w:szCs w:val="24"/>
        </w:rPr>
        <w:t>Because t</w:t>
      </w:r>
      <w:r w:rsidR="00A8479A">
        <w:rPr>
          <w:sz w:val="24"/>
          <w:szCs w:val="24"/>
        </w:rPr>
        <w:t xml:space="preserve">hese passions are </w:t>
      </w:r>
      <w:r w:rsidR="002B05A6">
        <w:rPr>
          <w:sz w:val="24"/>
          <w:szCs w:val="24"/>
        </w:rPr>
        <w:t>‘</w:t>
      </w:r>
      <w:r w:rsidR="00A8479A">
        <w:rPr>
          <w:sz w:val="24"/>
          <w:szCs w:val="24"/>
        </w:rPr>
        <w:t>calm</w:t>
      </w:r>
      <w:r w:rsidR="002B05A6">
        <w:rPr>
          <w:sz w:val="24"/>
          <w:szCs w:val="24"/>
        </w:rPr>
        <w:t>’</w:t>
      </w:r>
      <w:r w:rsidR="00A8479A">
        <w:rPr>
          <w:sz w:val="24"/>
          <w:szCs w:val="24"/>
        </w:rPr>
        <w:t xml:space="preserve"> and produce little discernible emotion</w:t>
      </w:r>
      <w:r w:rsidR="00E8792D">
        <w:rPr>
          <w:sz w:val="24"/>
          <w:szCs w:val="24"/>
        </w:rPr>
        <w:t>,</w:t>
      </w:r>
      <w:r w:rsidR="001702B6">
        <w:rPr>
          <w:sz w:val="24"/>
          <w:szCs w:val="24"/>
        </w:rPr>
        <w:t xml:space="preserve"> however,</w:t>
      </w:r>
      <w:r w:rsidR="00E8792D">
        <w:rPr>
          <w:sz w:val="24"/>
          <w:szCs w:val="24"/>
        </w:rPr>
        <w:t xml:space="preserve"> </w:t>
      </w:r>
      <w:r w:rsidR="001702B6">
        <w:rPr>
          <w:sz w:val="24"/>
          <w:szCs w:val="24"/>
        </w:rPr>
        <w:t>we</w:t>
      </w:r>
      <w:r w:rsidR="00560A01">
        <w:rPr>
          <w:sz w:val="24"/>
          <w:szCs w:val="24"/>
        </w:rPr>
        <w:t xml:space="preserve"> mistakenly think </w:t>
      </w:r>
      <w:r w:rsidR="00A8479A">
        <w:rPr>
          <w:sz w:val="24"/>
          <w:szCs w:val="24"/>
        </w:rPr>
        <w:t>reason</w:t>
      </w:r>
      <w:r w:rsidR="009A4908">
        <w:rPr>
          <w:sz w:val="24"/>
          <w:szCs w:val="24"/>
        </w:rPr>
        <w:t xml:space="preserve"> </w:t>
      </w:r>
      <w:r w:rsidR="00A8479A">
        <w:rPr>
          <w:sz w:val="24"/>
          <w:szCs w:val="24"/>
        </w:rPr>
        <w:t>to be doing the</w:t>
      </w:r>
      <w:r w:rsidR="002B05A6">
        <w:rPr>
          <w:sz w:val="24"/>
          <w:szCs w:val="24"/>
        </w:rPr>
        <w:t xml:space="preserve"> motivational</w:t>
      </w:r>
      <w:r w:rsidR="00A8479A">
        <w:rPr>
          <w:sz w:val="24"/>
          <w:szCs w:val="24"/>
        </w:rPr>
        <w:t xml:space="preserve"> heavy-lifting.</w:t>
      </w:r>
      <w:r w:rsidR="003A5167">
        <w:rPr>
          <w:rStyle w:val="FootnoteReference"/>
          <w:sz w:val="24"/>
          <w:szCs w:val="24"/>
        </w:rPr>
        <w:footnoteReference w:id="5"/>
      </w:r>
      <w:r w:rsidR="002233B1">
        <w:rPr>
          <w:sz w:val="24"/>
          <w:szCs w:val="24"/>
          <w:vertAlign w:val="superscript"/>
        </w:rPr>
        <w:t>,</w:t>
      </w:r>
      <w:r w:rsidR="002233B1" w:rsidRPr="002233B1">
        <w:rPr>
          <w:sz w:val="24"/>
          <w:szCs w:val="24"/>
          <w:vertAlign w:val="superscript"/>
        </w:rPr>
        <w:footnoteReference w:id="6"/>
      </w:r>
      <w:r w:rsidR="002233B1">
        <w:rPr>
          <w:sz w:val="24"/>
          <w:szCs w:val="24"/>
        </w:rPr>
        <w:t xml:space="preserve"> </w:t>
      </w:r>
      <w:r w:rsidR="00E744EC">
        <w:rPr>
          <w:sz w:val="24"/>
          <w:szCs w:val="24"/>
        </w:rPr>
        <w:t xml:space="preserve">Hume goes on to explain that a calm passion arises when a passion becomes ‘a settled principle of action’; ‘repeated custom and its own force have made every thing yield to it’, thus removing the ‘opposition and emotion’ that would </w:t>
      </w:r>
      <w:r w:rsidR="006545C4">
        <w:rPr>
          <w:sz w:val="24"/>
          <w:szCs w:val="24"/>
        </w:rPr>
        <w:t>typic</w:t>
      </w:r>
      <w:r w:rsidR="00982149">
        <w:rPr>
          <w:sz w:val="24"/>
          <w:szCs w:val="24"/>
        </w:rPr>
        <w:t>ally accompany it (THN 2.3.4.1). H</w:t>
      </w:r>
      <w:r w:rsidR="006545C4">
        <w:rPr>
          <w:sz w:val="24"/>
          <w:szCs w:val="24"/>
        </w:rPr>
        <w:t>e also notes that passions</w:t>
      </w:r>
      <w:r w:rsidR="002D4142">
        <w:rPr>
          <w:sz w:val="24"/>
          <w:szCs w:val="24"/>
        </w:rPr>
        <w:t xml:space="preserve"> tend to be</w:t>
      </w:r>
      <w:r w:rsidR="006545C4">
        <w:rPr>
          <w:sz w:val="24"/>
          <w:szCs w:val="24"/>
        </w:rPr>
        <w:t xml:space="preserve"> calm when their objects are distant: ‘</w:t>
      </w:r>
      <w:r w:rsidR="006545C4" w:rsidRPr="006545C4">
        <w:rPr>
          <w:sz w:val="24"/>
          <w:szCs w:val="24"/>
        </w:rPr>
        <w:t>The same good, when near, will cause a violent passion, which, when remote, produces only a calm one</w:t>
      </w:r>
      <w:r w:rsidR="006545C4">
        <w:rPr>
          <w:sz w:val="24"/>
          <w:szCs w:val="24"/>
        </w:rPr>
        <w:t>’ (</w:t>
      </w:r>
      <w:r w:rsidR="006545C4">
        <w:rPr>
          <w:i/>
          <w:sz w:val="24"/>
          <w:szCs w:val="24"/>
        </w:rPr>
        <w:t>ibid</w:t>
      </w:r>
      <w:r w:rsidR="006545C4">
        <w:rPr>
          <w:sz w:val="24"/>
          <w:szCs w:val="24"/>
        </w:rPr>
        <w:t>.). Hume thus provides an explanation of how the calm passions would fit into his psychological account</w:t>
      </w:r>
      <w:r w:rsidR="0018180D">
        <w:rPr>
          <w:sz w:val="24"/>
          <w:szCs w:val="24"/>
        </w:rPr>
        <w:t>.</w:t>
      </w:r>
    </w:p>
    <w:p w:rsidR="00A648F1" w:rsidRPr="00BF1039" w:rsidRDefault="006545C4" w:rsidP="00BF1039">
      <w:pPr>
        <w:spacing w:line="480" w:lineRule="auto"/>
        <w:ind w:firstLine="720"/>
        <w:jc w:val="both"/>
        <w:rPr>
          <w:szCs w:val="24"/>
        </w:rPr>
      </w:pPr>
      <w:r>
        <w:t>Despite Hume’s efforts</w:t>
      </w:r>
      <w:r w:rsidR="00B0437A">
        <w:t xml:space="preserve">, </w:t>
      </w:r>
      <w:r w:rsidR="00FB3CBE" w:rsidRPr="00FB3CBE">
        <w:t>Cohon (2008, p.</w:t>
      </w:r>
      <w:r w:rsidR="00FB3CBE">
        <w:t>17)</w:t>
      </w:r>
      <w:r w:rsidR="00B0437A">
        <w:t xml:space="preserve"> </w:t>
      </w:r>
      <w:r w:rsidR="00AB004B">
        <w:t>note</w:t>
      </w:r>
      <w:r w:rsidR="009E7D58">
        <w:t>s</w:t>
      </w:r>
      <w:r w:rsidR="009C5A35">
        <w:t xml:space="preserve"> that</w:t>
      </w:r>
      <w:r w:rsidR="0083513C">
        <w:t xml:space="preserve"> this</w:t>
      </w:r>
      <w:r w:rsidR="007938DD">
        <w:t xml:space="preserve"> appeal to the calm passions</w:t>
      </w:r>
      <w:r w:rsidR="004F2252">
        <w:t xml:space="preserve"> </w:t>
      </w:r>
      <w:r w:rsidR="00AB004B">
        <w:t>seems</w:t>
      </w:r>
      <w:r w:rsidR="00A8479A">
        <w:t xml:space="preserve"> </w:t>
      </w:r>
      <w:r w:rsidR="00FB3CBE">
        <w:t>‘inadequate’</w:t>
      </w:r>
      <w:r w:rsidR="0083513C">
        <w:t xml:space="preserve">, so long as </w:t>
      </w:r>
      <w:r w:rsidR="009733E7">
        <w:t xml:space="preserve">it </w:t>
      </w:r>
      <w:r w:rsidR="0083513C">
        <w:t xml:space="preserve">is read empirically; </w:t>
      </w:r>
      <w:r w:rsidR="00FB3CBE">
        <w:t xml:space="preserve">similarly, Stroud (1977, p.167) argues that </w:t>
      </w:r>
      <w:r w:rsidR="00FB3CBE">
        <w:lastRenderedPageBreak/>
        <w:t>‘Hume does not prove, or even make very plausible, the contention that a feeling or passion must always be present for action to occur’, which indicates his dissatisfaction for Hume’s empirical case for the calm passions</w:t>
      </w:r>
      <w:r w:rsidR="009C5A35">
        <w:t>.</w:t>
      </w:r>
      <w:r w:rsidR="007938DD">
        <w:t xml:space="preserve"> </w:t>
      </w:r>
      <w:r w:rsidR="000223FF">
        <w:t>If</w:t>
      </w:r>
      <w:r w:rsidR="00BF1039">
        <w:t xml:space="preserve"> the calm passions lack adequate empirical support, </w:t>
      </w:r>
      <w:r w:rsidR="000223FF">
        <w:t>then it seems that</w:t>
      </w:r>
      <w:r w:rsidR="00BF1039">
        <w:t xml:space="preserve"> appealing to them in order to rescue conativism seems an </w:t>
      </w:r>
      <w:r w:rsidR="00BF1039">
        <w:rPr>
          <w:i/>
        </w:rPr>
        <w:t>ad hoc</w:t>
      </w:r>
      <w:r w:rsidR="00BF1039">
        <w:t xml:space="preserve"> move.</w:t>
      </w:r>
    </w:p>
    <w:p w:rsidR="00AD3EF5" w:rsidRDefault="00C24842" w:rsidP="00917D9F">
      <w:pPr>
        <w:spacing w:line="480" w:lineRule="auto"/>
        <w:ind w:firstLine="720"/>
        <w:jc w:val="both"/>
      </w:pPr>
      <w:r>
        <w:t>To</w:t>
      </w:r>
      <w:r w:rsidR="00222DC2">
        <w:t xml:space="preserve"> </w:t>
      </w:r>
      <w:r w:rsidR="00BF1039">
        <w:t>circumvent this worry</w:t>
      </w:r>
      <w:r w:rsidR="007938DD">
        <w:t>,</w:t>
      </w:r>
      <w:r w:rsidR="009C5A35">
        <w:t xml:space="preserve"> </w:t>
      </w:r>
      <w:r w:rsidR="009A449F" w:rsidRPr="009C5A35">
        <w:t>Stroud</w:t>
      </w:r>
      <w:r w:rsidR="00FB3CBE">
        <w:t xml:space="preserve"> (1977, pp.168-9)</w:t>
      </w:r>
      <w:r w:rsidR="009A449F" w:rsidRPr="009C5A35">
        <w:t xml:space="preserve"> departs from Hume in providing a f</w:t>
      </w:r>
      <w:r w:rsidR="00512563" w:rsidRPr="009C5A35">
        <w:t>unctionalist</w:t>
      </w:r>
      <w:r w:rsidR="00566BC0" w:rsidRPr="009C5A35">
        <w:rPr>
          <w:rStyle w:val="FootnoteReference"/>
          <w:szCs w:val="24"/>
        </w:rPr>
        <w:footnoteReference w:id="7"/>
      </w:r>
      <w:r w:rsidR="00512563" w:rsidRPr="009C5A35">
        <w:t xml:space="preserve"> account of desires</w:t>
      </w:r>
      <w:r w:rsidR="009A449F" w:rsidRPr="009C5A35">
        <w:t>.</w:t>
      </w:r>
      <w:r w:rsidR="00566BC0">
        <w:rPr>
          <w:rStyle w:val="FootnoteReference"/>
          <w:szCs w:val="24"/>
        </w:rPr>
        <w:footnoteReference w:id="8"/>
      </w:r>
      <w:r w:rsidR="00C85E80" w:rsidRPr="009C5A35">
        <w:t xml:space="preserve"> Hume’s</w:t>
      </w:r>
      <w:r w:rsidR="00AD3EF5">
        <w:t xml:space="preserve"> </w:t>
      </w:r>
      <w:r w:rsidR="00C85E80" w:rsidRPr="009C5A35">
        <w:t xml:space="preserve">account is </w:t>
      </w:r>
      <w:r w:rsidR="006C47C8">
        <w:t xml:space="preserve">seemingly </w:t>
      </w:r>
      <w:r w:rsidR="002233B1">
        <w:t>problematic</w:t>
      </w:r>
      <w:r w:rsidR="006C47C8">
        <w:t xml:space="preserve"> as an empirical one</w:t>
      </w:r>
      <w:r w:rsidR="00C85E80" w:rsidRPr="009C5A35">
        <w:t xml:space="preserve"> because </w:t>
      </w:r>
      <w:r w:rsidR="007A16DB">
        <w:t>its appeal</w:t>
      </w:r>
      <w:r w:rsidR="00566BC0">
        <w:t xml:space="preserve"> </w:t>
      </w:r>
      <w:r w:rsidR="00C85E80" w:rsidRPr="009C5A35">
        <w:t>to the calm passions</w:t>
      </w:r>
      <w:r w:rsidR="007A16DB">
        <w:t xml:space="preserve"> lacks</w:t>
      </w:r>
      <w:r w:rsidR="00A7492C">
        <w:t xml:space="preserve"> adequate</w:t>
      </w:r>
      <w:r w:rsidR="00C85E80" w:rsidRPr="009C5A35">
        <w:t xml:space="preserve"> empirical support</w:t>
      </w:r>
      <w:r w:rsidR="002233B1">
        <w:t xml:space="preserve">, and thus seems </w:t>
      </w:r>
      <w:r w:rsidR="002233B1">
        <w:rPr>
          <w:i/>
        </w:rPr>
        <w:t>ad hoc</w:t>
      </w:r>
      <w:r w:rsidR="00C85E80" w:rsidRPr="009C5A35">
        <w:t xml:space="preserve">. Dispositional accounts such as Stroud’s do not ground the conativist thesis </w:t>
      </w:r>
      <w:r w:rsidR="00805A35">
        <w:t>empirically</w:t>
      </w:r>
      <w:r w:rsidR="00C85E80" w:rsidRPr="009C5A35">
        <w:t xml:space="preserve">, as </w:t>
      </w:r>
      <w:r w:rsidR="00A269D6">
        <w:t>desires</w:t>
      </w:r>
      <w:r w:rsidR="008F683C" w:rsidRPr="009C5A35">
        <w:t xml:space="preserve"> are </w:t>
      </w:r>
      <w:r w:rsidR="008F683C" w:rsidRPr="009C5A35">
        <w:rPr>
          <w:i/>
        </w:rPr>
        <w:t>defined</w:t>
      </w:r>
      <w:r w:rsidR="008F683C" w:rsidRPr="009C5A35">
        <w:t xml:space="preserve"> as being </w:t>
      </w:r>
      <w:r w:rsidR="00C82F4F" w:rsidRPr="009C5A35">
        <w:t>the end-setting</w:t>
      </w:r>
      <w:r w:rsidR="008F683C" w:rsidRPr="009C5A35">
        <w:t xml:space="preserve"> component of motivation</w:t>
      </w:r>
      <w:r w:rsidR="001B6716">
        <w:t>,</w:t>
      </w:r>
      <w:r w:rsidR="00B27876">
        <w:t xml:space="preserve"> thus</w:t>
      </w:r>
      <w:r w:rsidR="001B6716">
        <w:t xml:space="preserve"> </w:t>
      </w:r>
      <w:r w:rsidR="007A16DB">
        <w:t>removing</w:t>
      </w:r>
      <w:r w:rsidR="00C85E80" w:rsidRPr="009C5A35">
        <w:t xml:space="preserve"> the need for empirical </w:t>
      </w:r>
      <w:r w:rsidR="000A5F89">
        <w:t>confirmation</w:t>
      </w:r>
      <w:r w:rsidR="00460A99">
        <w:t>:</w:t>
      </w:r>
      <w:r w:rsidR="009A4908">
        <w:t xml:space="preserve"> </w:t>
      </w:r>
      <w:r w:rsidR="00C85E80" w:rsidRPr="009C5A35">
        <w:t xml:space="preserve">by definition, any case of motivation </w:t>
      </w:r>
      <w:r w:rsidR="00C85E80" w:rsidRPr="009C5A35">
        <w:rPr>
          <w:i/>
        </w:rPr>
        <w:t>must</w:t>
      </w:r>
      <w:r w:rsidR="00C85E80" w:rsidRPr="009C5A35">
        <w:t xml:space="preserve"> involve a passion in an end-setting capacity.</w:t>
      </w:r>
      <w:r w:rsidR="00A7492C">
        <w:t xml:space="preserve"> </w:t>
      </w:r>
      <w:r w:rsidR="00C85E80">
        <w:t xml:space="preserve">In essence, </w:t>
      </w:r>
      <w:r w:rsidR="00586051">
        <w:t>such accounts</w:t>
      </w:r>
      <w:r w:rsidR="00C85E80">
        <w:t xml:space="preserve"> differ from Hume’s </w:t>
      </w:r>
      <w:r w:rsidR="009F3650">
        <w:t>with respect to</w:t>
      </w:r>
      <w:r w:rsidR="008F683C">
        <w:t xml:space="preserve"> the status of </w:t>
      </w:r>
      <w:r w:rsidR="00C85E80">
        <w:t>the</w:t>
      </w:r>
      <w:r w:rsidR="00F87EF8">
        <w:t xml:space="preserve"> conativist</w:t>
      </w:r>
      <w:r w:rsidR="008F683C">
        <w:t xml:space="preserve"> </w:t>
      </w:r>
      <w:r w:rsidR="00A269D6">
        <w:t>thesis</w:t>
      </w:r>
      <w:r w:rsidR="004F2252">
        <w:t xml:space="preserve">: </w:t>
      </w:r>
      <w:r w:rsidR="00566BC0">
        <w:t>in the terminology of ‘Hume’s Fork’</w:t>
      </w:r>
      <w:r w:rsidR="006C47C8">
        <w:t xml:space="preserve"> (EHU 4.1)</w:t>
      </w:r>
      <w:r w:rsidR="00566BC0">
        <w:t xml:space="preserve">, </w:t>
      </w:r>
      <w:r w:rsidR="004F2252">
        <w:t xml:space="preserve">Hume believes </w:t>
      </w:r>
      <w:r w:rsidR="00566BC0">
        <w:t>th</w:t>
      </w:r>
      <w:r w:rsidR="00A269D6">
        <w:t>is</w:t>
      </w:r>
      <w:r w:rsidR="00566BC0">
        <w:t xml:space="preserve"> thesis</w:t>
      </w:r>
      <w:r w:rsidR="004F2252">
        <w:t xml:space="preserve"> to be</w:t>
      </w:r>
      <w:r w:rsidR="008F683C">
        <w:t xml:space="preserve"> a matter of fact</w:t>
      </w:r>
      <w:r w:rsidR="00BF0DD1">
        <w:t xml:space="preserve"> (that is, empirical)</w:t>
      </w:r>
      <w:r w:rsidR="004F2252">
        <w:t>, while Stroud construes it as</w:t>
      </w:r>
      <w:r w:rsidR="00F6182E">
        <w:t xml:space="preserve"> a</w:t>
      </w:r>
      <w:r w:rsidR="008F683C">
        <w:t xml:space="preserve"> relation of ideas</w:t>
      </w:r>
      <w:r w:rsidR="00BF0DD1">
        <w:t xml:space="preserve"> (that is, conceptual)</w:t>
      </w:r>
      <w:r w:rsidR="007938DD">
        <w:t>.</w:t>
      </w:r>
      <w:r w:rsidR="008F683C">
        <w:t xml:space="preserve"> </w:t>
      </w:r>
      <w:r w:rsidR="00915957">
        <w:t>Viewed as a matter of fact, Hume’s appeal to the calm passion</w:t>
      </w:r>
      <w:r w:rsidR="000F1550">
        <w:t xml:space="preserve">s </w:t>
      </w:r>
      <w:r w:rsidR="007A7AD6">
        <w:t>can seem</w:t>
      </w:r>
      <w:r w:rsidR="002B05A6">
        <w:t xml:space="preserve"> </w:t>
      </w:r>
      <w:r w:rsidR="000F1550">
        <w:t>question</w:t>
      </w:r>
      <w:r w:rsidR="009733E7">
        <w:t>-begging</w:t>
      </w:r>
      <w:r w:rsidR="007A7AD6">
        <w:t xml:space="preserve"> given the lack of empirical support for this claim</w:t>
      </w:r>
      <w:r w:rsidR="007327F0">
        <w:t xml:space="preserve">. Stroud </w:t>
      </w:r>
      <w:r w:rsidR="00BA1845">
        <w:t>circumvents</w:t>
      </w:r>
      <w:r w:rsidR="007327F0">
        <w:t xml:space="preserve"> this problem</w:t>
      </w:r>
      <w:r w:rsidR="00BA1845">
        <w:t xml:space="preserve"> by treating</w:t>
      </w:r>
      <w:r w:rsidR="00915957">
        <w:t xml:space="preserve"> the conativist thesis </w:t>
      </w:r>
      <w:r w:rsidR="00BA1845">
        <w:rPr>
          <w:i/>
        </w:rPr>
        <w:t>conceptually</w:t>
      </w:r>
      <w:r w:rsidR="00BA1845">
        <w:t xml:space="preserve"> – a passion is </w:t>
      </w:r>
      <w:r w:rsidR="00BA1845">
        <w:rPr>
          <w:i/>
        </w:rPr>
        <w:t>whatever</w:t>
      </w:r>
      <w:r w:rsidR="00915957">
        <w:t xml:space="preserve"> is the end-setter in motivation</w:t>
      </w:r>
      <w:r w:rsidR="007A7AD6">
        <w:t>, avoiding any such problem</w:t>
      </w:r>
      <w:r w:rsidR="00915957">
        <w:t xml:space="preserve">. </w:t>
      </w:r>
    </w:p>
    <w:p w:rsidR="008F683C" w:rsidRDefault="009733E7" w:rsidP="00917D9F">
      <w:pPr>
        <w:spacing w:before="200" w:after="200" w:line="480" w:lineRule="auto"/>
        <w:ind w:firstLine="720"/>
        <w:jc w:val="both"/>
      </w:pPr>
      <w:r>
        <w:t>Similarly, the ‘direction of fit’ reading also</w:t>
      </w:r>
      <w:r w:rsidR="002B05A6">
        <w:t xml:space="preserve"> views</w:t>
      </w:r>
      <w:r w:rsidR="00056E5E">
        <w:t xml:space="preserve"> the conativist thesis as a relation of ideas. </w:t>
      </w:r>
      <w:r w:rsidR="00EB7206">
        <w:t>Bricke (1996)</w:t>
      </w:r>
      <w:r w:rsidR="002D2515">
        <w:t xml:space="preserve"> adopts Michael Smith’s</w:t>
      </w:r>
      <w:r w:rsidR="00586051">
        <w:t xml:space="preserve"> (1994)</w:t>
      </w:r>
      <w:r w:rsidR="002D2515">
        <w:t xml:space="preserve"> Humean account whereby beliefs and desires differ in having different directions of fit</w:t>
      </w:r>
      <w:r w:rsidR="002D2515">
        <w:rPr>
          <w:rStyle w:val="FootnoteReference"/>
        </w:rPr>
        <w:footnoteReference w:id="9"/>
      </w:r>
      <w:r w:rsidR="002D2515">
        <w:t xml:space="preserve"> – beliefs aim to conform to the world and therefore have a mind-to-world direction of fit, while desires aim to make the world conform to them and therefore have a </w:t>
      </w:r>
      <w:r w:rsidR="002D2515">
        <w:lastRenderedPageBreak/>
        <w:t>world-to-mind direction of fit.</w:t>
      </w:r>
      <w:r w:rsidR="00017D9D">
        <w:rPr>
          <w:rStyle w:val="FootnoteReference"/>
        </w:rPr>
        <w:footnoteReference w:id="10"/>
      </w:r>
      <w:r w:rsidR="00EB7206">
        <w:t xml:space="preserve"> </w:t>
      </w:r>
      <w:r w:rsidR="007E01E5">
        <w:t xml:space="preserve">Crucially, </w:t>
      </w:r>
      <w:r w:rsidR="008F5EAF">
        <w:t>Bricke’s</w:t>
      </w:r>
      <w:r w:rsidR="007E01E5">
        <w:t xml:space="preserve"> functional</w:t>
      </w:r>
      <w:r w:rsidR="002D4142">
        <w:t>ist</w:t>
      </w:r>
      <w:r w:rsidR="007E01E5">
        <w:t xml:space="preserve"> account</w:t>
      </w:r>
      <w:r w:rsidR="008F5EAF">
        <w:t xml:space="preserve"> diverges</w:t>
      </w:r>
      <w:r w:rsidR="007E01E5">
        <w:t xml:space="preserve"> </w:t>
      </w:r>
      <w:r w:rsidR="00EB7206">
        <w:t xml:space="preserve">from </w:t>
      </w:r>
      <w:r w:rsidR="008F5EAF">
        <w:t>a strictly</w:t>
      </w:r>
      <w:r w:rsidR="00EB7206">
        <w:t xml:space="preserve"> phenomenological conception of </w:t>
      </w:r>
      <w:r w:rsidR="00C46797">
        <w:t>the passions</w:t>
      </w:r>
      <w:r w:rsidR="00EB7206">
        <w:t>.</w:t>
      </w:r>
    </w:p>
    <w:p w:rsidR="007327F0" w:rsidRDefault="007327F0" w:rsidP="00917D9F">
      <w:pPr>
        <w:spacing w:before="200" w:after="200" w:line="480" w:lineRule="auto"/>
        <w:jc w:val="both"/>
      </w:pPr>
      <w:r>
        <w:tab/>
      </w:r>
      <w:r w:rsidR="00FF0914">
        <w:t xml:space="preserve">In what follows, </w:t>
      </w:r>
      <w:r>
        <w:t xml:space="preserve">I will argue that </w:t>
      </w:r>
      <w:r w:rsidR="00F6182E">
        <w:t>conceptual</w:t>
      </w:r>
      <w:r>
        <w:t xml:space="preserve"> accounts of Hume</w:t>
      </w:r>
      <w:r w:rsidR="00F6182E">
        <w:t>’</w:t>
      </w:r>
      <w:r>
        <w:t>s</w:t>
      </w:r>
      <w:r w:rsidR="00F6182E">
        <w:t xml:space="preserve"> conativism</w:t>
      </w:r>
      <w:r>
        <w:t xml:space="preserve"> fail</w:t>
      </w:r>
      <w:r w:rsidR="00512563">
        <w:t xml:space="preserve"> both as </w:t>
      </w:r>
      <w:r w:rsidR="00AD3EF5">
        <w:t>interpretations</w:t>
      </w:r>
      <w:r w:rsidR="00512563">
        <w:t xml:space="preserve"> of Hume and as </w:t>
      </w:r>
      <w:r w:rsidR="000F1550">
        <w:t>theories in their</w:t>
      </w:r>
      <w:r w:rsidR="00512563">
        <w:t xml:space="preserve"> own right</w:t>
      </w:r>
      <w:r w:rsidR="00917D9F">
        <w:t>, the cure being far worse than the disease</w:t>
      </w:r>
      <w:r>
        <w:t xml:space="preserve">. I </w:t>
      </w:r>
      <w:r w:rsidR="002D4142">
        <w:t xml:space="preserve">then </w:t>
      </w:r>
      <w:r>
        <w:t>argue that</w:t>
      </w:r>
      <w:r w:rsidR="00635FD7">
        <w:t xml:space="preserve"> a</w:t>
      </w:r>
      <w:r w:rsidR="000C3652">
        <w:t>n empirical</w:t>
      </w:r>
      <w:r w:rsidR="00635FD7">
        <w:t xml:space="preserve"> reading</w:t>
      </w:r>
      <w:r>
        <w:t xml:space="preserve"> can </w:t>
      </w:r>
      <w:r w:rsidR="002D4142">
        <w:t xml:space="preserve">in fact </w:t>
      </w:r>
      <w:r w:rsidR="009F3650">
        <w:t>be theoretically justified</w:t>
      </w:r>
      <w:r w:rsidR="000C3652">
        <w:t xml:space="preserve"> against objections of </w:t>
      </w:r>
      <w:r w:rsidR="000C3652">
        <w:rPr>
          <w:i/>
        </w:rPr>
        <w:t>ad hockery</w:t>
      </w:r>
      <w:r w:rsidR="009F3650">
        <w:t xml:space="preserve">, both by </w:t>
      </w:r>
      <w:r w:rsidR="009733E7">
        <w:t>Hume’</w:t>
      </w:r>
      <w:r w:rsidR="009F3650">
        <w:t xml:space="preserve">s </w:t>
      </w:r>
      <w:r w:rsidR="0053342F">
        <w:t>rules by which to judge of causes and effects (THN 1.3.15)</w:t>
      </w:r>
      <w:r w:rsidR="009F3650">
        <w:t xml:space="preserve">, and by the </w:t>
      </w:r>
      <w:r w:rsidR="005F57F2">
        <w:t>framework of the</w:t>
      </w:r>
      <w:r w:rsidR="009F3650">
        <w:t xml:space="preserve"> theoretical virtues</w:t>
      </w:r>
      <w:r w:rsidR="007938DD">
        <w:t>.</w:t>
      </w:r>
      <w:r w:rsidR="00017D9D">
        <w:t xml:space="preserve"> </w:t>
      </w:r>
    </w:p>
    <w:p w:rsidR="007327F0" w:rsidRDefault="00C83554" w:rsidP="00512563">
      <w:pPr>
        <w:pStyle w:val="Heading2"/>
        <w:numPr>
          <w:ilvl w:val="0"/>
          <w:numId w:val="1"/>
        </w:numPr>
        <w:spacing w:before="200" w:after="200" w:line="480" w:lineRule="auto"/>
        <w:jc w:val="both"/>
      </w:pPr>
      <w:r>
        <w:t>Trivial Pursuits</w:t>
      </w:r>
      <w:r w:rsidR="001702B6">
        <w:t xml:space="preserve"> and O</w:t>
      </w:r>
      <w:r w:rsidR="00831063">
        <w:t>ther Problems</w:t>
      </w:r>
    </w:p>
    <w:p w:rsidR="00C46797" w:rsidRDefault="0053342F" w:rsidP="00017D9D">
      <w:pPr>
        <w:spacing w:before="200" w:after="200" w:line="480" w:lineRule="auto"/>
        <w:jc w:val="both"/>
      </w:pPr>
      <w:r>
        <w:t>One initial worry</w:t>
      </w:r>
      <w:r w:rsidR="004B3821">
        <w:t xml:space="preserve"> for </w:t>
      </w:r>
      <w:r w:rsidR="00F6182E">
        <w:t>conceptual reading</w:t>
      </w:r>
      <w:r w:rsidR="00646C21">
        <w:t>s</w:t>
      </w:r>
      <w:r w:rsidR="00F6182E">
        <w:t xml:space="preserve"> of </w:t>
      </w:r>
      <w:r w:rsidR="00D53EBA">
        <w:t>Hum</w:t>
      </w:r>
      <w:r w:rsidR="00AD3EF5">
        <w:t>e</w:t>
      </w:r>
      <w:r w:rsidR="00D53EBA">
        <w:t>’s</w:t>
      </w:r>
      <w:r w:rsidR="00646C21">
        <w:t xml:space="preserve"> conativist </w:t>
      </w:r>
      <w:r w:rsidR="00AD3EF5">
        <w:t>thesis</w:t>
      </w:r>
      <w:r w:rsidR="00646C21">
        <w:t xml:space="preserve"> is </w:t>
      </w:r>
      <w:r w:rsidR="00AD40D6">
        <w:t xml:space="preserve">that </w:t>
      </w:r>
      <w:r w:rsidR="004B3821">
        <w:t xml:space="preserve">in trying to evade the frying pan of </w:t>
      </w:r>
      <w:r w:rsidR="004B3821">
        <w:rPr>
          <w:i/>
        </w:rPr>
        <w:t>ad hockery</w:t>
      </w:r>
      <w:r w:rsidR="004B3821">
        <w:t xml:space="preserve"> on Hume’s behalf, </w:t>
      </w:r>
      <w:r w:rsidR="00646C21">
        <w:t xml:space="preserve">they </w:t>
      </w:r>
      <w:r w:rsidR="004B3821">
        <w:t>cast him</w:t>
      </w:r>
      <w:r w:rsidR="006241C8">
        <w:t xml:space="preserve"> instead</w:t>
      </w:r>
      <w:r w:rsidR="00F84858">
        <w:t xml:space="preserve"> into the fires of triviality</w:t>
      </w:r>
      <w:r w:rsidR="00F6182E">
        <w:t xml:space="preserve">. The conceptual reading of the conativist argument </w:t>
      </w:r>
      <w:r w:rsidR="00E5085E">
        <w:t>designates</w:t>
      </w:r>
      <w:r w:rsidR="00F6182E">
        <w:t xml:space="preserve"> the passions (co</w:t>
      </w:r>
      <w:r w:rsidR="00646C21">
        <w:t>nstrued dispositionally) as the</w:t>
      </w:r>
      <w:r w:rsidR="000C3652">
        <w:t xml:space="preserve"> end-setting</w:t>
      </w:r>
      <w:r w:rsidR="00F6182E">
        <w:t xml:space="preserve"> cause of </w:t>
      </w:r>
      <w:r w:rsidR="00646C21">
        <w:t>motivation</w:t>
      </w:r>
      <w:r w:rsidR="00F6182E">
        <w:t>. However, c</w:t>
      </w:r>
      <w:r w:rsidR="00145AE0" w:rsidRPr="00F909D1">
        <w:t xml:space="preserve">iting a </w:t>
      </w:r>
      <w:r w:rsidR="000B3DF7">
        <w:t xml:space="preserve">bare </w:t>
      </w:r>
      <w:r w:rsidR="00145AE0" w:rsidRPr="00F909D1">
        <w:t>disposition</w:t>
      </w:r>
      <w:r w:rsidR="00EB680C">
        <w:t xml:space="preserve"> to an effect</w:t>
      </w:r>
      <w:r w:rsidR="00145AE0" w:rsidRPr="00F909D1">
        <w:t xml:space="preserve"> as a </w:t>
      </w:r>
      <w:r w:rsidR="001B6716">
        <w:t>cause</w:t>
      </w:r>
      <w:r w:rsidR="00EB680C">
        <w:t xml:space="preserve"> of this same effect</w:t>
      </w:r>
      <w:r w:rsidR="001B6716">
        <w:t xml:space="preserve"> is no explanation at all, but</w:t>
      </w:r>
      <w:r w:rsidR="00145AE0" w:rsidRPr="00F909D1">
        <w:t xml:space="preserve"> merely redescrib</w:t>
      </w:r>
      <w:r w:rsidR="00D3512E">
        <w:t>es</w:t>
      </w:r>
      <w:r w:rsidR="00145AE0" w:rsidRPr="00F909D1">
        <w:t xml:space="preserve"> the </w:t>
      </w:r>
      <w:r w:rsidR="00C24842">
        <w:t>explanandum</w:t>
      </w:r>
      <w:r w:rsidR="00145AE0" w:rsidRPr="00F909D1">
        <w:t xml:space="preserve">. </w:t>
      </w:r>
      <w:r w:rsidR="00C46797">
        <w:t>Stroud’s formulation of his position</w:t>
      </w:r>
      <w:r w:rsidR="005050B0">
        <w:t xml:space="preserve"> clearly</w:t>
      </w:r>
      <w:r w:rsidR="00C46797">
        <w:t xml:space="preserve"> highlights this emptiness: </w:t>
      </w:r>
    </w:p>
    <w:p w:rsidR="00C46797" w:rsidRDefault="00C46797" w:rsidP="005050B0">
      <w:pPr>
        <w:pStyle w:val="HumeReferences"/>
      </w:pPr>
      <w:r>
        <w:t xml:space="preserve">It might well be that to have a desire for or propensity towards E is simply to be in a state such that when you come to believe that a certain action will lead to E you are moved to perform that action... </w:t>
      </w:r>
      <w:r w:rsidRPr="00C33D13">
        <w:rPr>
          <w:i/>
        </w:rPr>
        <w:t>And being in some such dispositional state might be all that having a certain desire or propensity consists in.</w:t>
      </w:r>
      <w:r>
        <w:t xml:space="preserve"> </w:t>
      </w:r>
      <w:r w:rsidRPr="00AD40D6">
        <w:rPr>
          <w:i/>
        </w:rPr>
        <w:t>It need not be an additional mental item that itself produces the action</w:t>
      </w:r>
      <w:r w:rsidR="007A16DB">
        <w:t>. (Stroud 1977, pp.</w:t>
      </w:r>
      <w:r>
        <w:t>167-8, emphasis mine)</w:t>
      </w:r>
    </w:p>
    <w:p w:rsidR="00426B01" w:rsidRDefault="00C46797" w:rsidP="00017D9D">
      <w:pPr>
        <w:spacing w:before="200" w:after="200" w:line="480" w:lineRule="auto"/>
        <w:jc w:val="both"/>
      </w:pPr>
      <w:r>
        <w:lastRenderedPageBreak/>
        <w:t>If a desire is wholly constituted by its dispositional propert</w:t>
      </w:r>
      <w:r w:rsidR="00F87EF8">
        <w:t>y</w:t>
      </w:r>
      <w:r w:rsidR="009733E7">
        <w:t xml:space="preserve"> of</w:t>
      </w:r>
      <w:r>
        <w:t xml:space="preserve"> ‘</w:t>
      </w:r>
      <w:r w:rsidR="00F87EF8">
        <w:t xml:space="preserve">being </w:t>
      </w:r>
      <w:r>
        <w:t>the end-setting cause of motivation’, it trivially follows that desires play the end-setting role in motivation.</w:t>
      </w:r>
      <w:r w:rsidR="00426B01">
        <w:t xml:space="preserve"> Similarly, the ‘direction of fit’ reading of Hume’s conativist thesis characterises desires as </w:t>
      </w:r>
      <w:r w:rsidR="000C3652">
        <w:t>whatever</w:t>
      </w:r>
      <w:r w:rsidR="00426B01">
        <w:t xml:space="preserve"> aim</w:t>
      </w:r>
      <w:r w:rsidR="000C3652">
        <w:t>s</w:t>
      </w:r>
      <w:r w:rsidR="00426B01">
        <w:t xml:space="preserve"> to</w:t>
      </w:r>
      <w:r w:rsidR="001702B6">
        <w:t xml:space="preserve"> make the world conform to them;</w:t>
      </w:r>
      <w:r w:rsidR="00426B01">
        <w:t xml:space="preserve"> that is, it characterises desires as</w:t>
      </w:r>
      <w:r w:rsidR="000C3652">
        <w:t xml:space="preserve"> exactly</w:t>
      </w:r>
      <w:r w:rsidR="00426B01">
        <w:t xml:space="preserve"> those things that perform the</w:t>
      </w:r>
      <w:r w:rsidR="000C3652">
        <w:t xml:space="preserve"> end-setting role in motivation</w:t>
      </w:r>
      <w:r w:rsidR="00BF0DD1">
        <w:t>!</w:t>
      </w:r>
      <w:r w:rsidR="00426B01">
        <w:t xml:space="preserve"> Again, it becomes trivially true that any case of motivation will involve a passion performing this end-setting role.</w:t>
      </w:r>
      <w:r w:rsidR="00426B01" w:rsidRPr="00DF6F8B">
        <w:t xml:space="preserve"> </w:t>
      </w:r>
      <w:r w:rsidR="00426B01">
        <w:t xml:space="preserve">Bricke’s </w:t>
      </w:r>
      <w:r w:rsidR="003D6445">
        <w:t>discussion</w:t>
      </w:r>
      <w:r w:rsidR="00426B01">
        <w:t>, like Stroud’s, h</w:t>
      </w:r>
      <w:r w:rsidR="00C24842">
        <w:t>ighlights this shallowness of his</w:t>
      </w:r>
      <w:r w:rsidR="00426B01">
        <w:t xml:space="preserve"> </w:t>
      </w:r>
      <w:r w:rsidR="003D6445">
        <w:t>account</w:t>
      </w:r>
      <w:r w:rsidR="00426B01">
        <w:t xml:space="preserve">: </w:t>
      </w:r>
    </w:p>
    <w:p w:rsidR="00C46797" w:rsidRDefault="00426B01" w:rsidP="005050B0">
      <w:pPr>
        <w:pStyle w:val="HumeReferences"/>
      </w:pPr>
      <w:r>
        <w:t>Were they genuinely beliefs, the cognitivist’s explicitly evaluative beliefs could not play the major role in reasons for action for they would have the mind-to-world direction of fit. On the other hand, if they can play the major role in action explanations – and it seems clear that they can – they cannot be beliefs, for, playing that major role, they must have the world-to-mind dir</w:t>
      </w:r>
      <w:r w:rsidR="007A16DB">
        <w:t>ection of fit. (Bricke 1996, p.</w:t>
      </w:r>
      <w:r>
        <w:t>28)</w:t>
      </w:r>
    </w:p>
    <w:p w:rsidR="00A6546A" w:rsidRDefault="00BF0DD1" w:rsidP="00A6546A">
      <w:pPr>
        <w:spacing w:before="200" w:after="200" w:line="480" w:lineRule="auto"/>
        <w:jc w:val="both"/>
      </w:pPr>
      <w:r>
        <w:t xml:space="preserve">Here Bricke argues that evaluative beliefs </w:t>
      </w:r>
      <w:r>
        <w:rPr>
          <w:i/>
        </w:rPr>
        <w:t>must be</w:t>
      </w:r>
      <w:r>
        <w:t xml:space="preserve"> desires simply because they play the end-setting (or major) role in motivation – in short,</w:t>
      </w:r>
      <w:r w:rsidR="00A6546A">
        <w:t xml:space="preserve"> whatever plays the end-setting role in motivation must be a desire, simply </w:t>
      </w:r>
      <w:r w:rsidR="00A6546A" w:rsidRPr="005F57F2">
        <w:rPr>
          <w:i/>
        </w:rPr>
        <w:t>in virtue of what it is to be a desire</w:t>
      </w:r>
      <w:r w:rsidR="00813574">
        <w:t>. T</w:t>
      </w:r>
      <w:r w:rsidR="009733E7">
        <w:t>his</w:t>
      </w:r>
      <w:r w:rsidR="00A6546A">
        <w:t xml:space="preserve"> </w:t>
      </w:r>
      <w:r>
        <w:t>smacks</w:t>
      </w:r>
      <w:r w:rsidR="00A6546A">
        <w:t xml:space="preserve"> of triviality.</w:t>
      </w:r>
    </w:p>
    <w:p w:rsidR="00145AE0" w:rsidRPr="00145AE0" w:rsidRDefault="00BA1845" w:rsidP="00426B01">
      <w:pPr>
        <w:spacing w:before="200" w:after="200" w:line="480" w:lineRule="auto"/>
        <w:ind w:firstLine="720"/>
        <w:jc w:val="both"/>
      </w:pPr>
      <w:r>
        <w:t>Hume, needless to say, i</w:t>
      </w:r>
      <w:r w:rsidR="0028150C">
        <w:t>s no fan of trivial explanations</w:t>
      </w:r>
      <w:r w:rsidR="00426B01">
        <w:t>. H</w:t>
      </w:r>
      <w:r w:rsidR="00145AE0" w:rsidRPr="00F909D1">
        <w:t xml:space="preserve">e </w:t>
      </w:r>
      <w:r w:rsidR="000F1550">
        <w:t>i</w:t>
      </w:r>
      <w:r w:rsidR="00145AE0" w:rsidRPr="00F909D1">
        <w:t>s</w:t>
      </w:r>
      <w:r w:rsidR="00646C21">
        <w:t xml:space="preserve"> trenchantly</w:t>
      </w:r>
      <w:r w:rsidR="00426B01">
        <w:t xml:space="preserve"> critical of</w:t>
      </w:r>
      <w:r w:rsidR="00145AE0" w:rsidRPr="00F909D1">
        <w:t xml:space="preserve"> </w:t>
      </w:r>
      <w:r w:rsidR="00C304A3">
        <w:t>the a</w:t>
      </w:r>
      <w:r w:rsidR="00017D9D">
        <w:t>ncient philosophers’</w:t>
      </w:r>
      <w:r>
        <w:t xml:space="preserve"> usage of mere disposition</w:t>
      </w:r>
      <w:r w:rsidR="005F57F2">
        <w:t>s</w:t>
      </w:r>
      <w:r>
        <w:t xml:space="preserve"> to</w:t>
      </w:r>
      <w:r w:rsidR="00017D9D">
        <w:t xml:space="preserve"> </w:t>
      </w:r>
      <w:r w:rsidR="0028150C">
        <w:t>‘expla</w:t>
      </w:r>
      <w:r>
        <w:t>i</w:t>
      </w:r>
      <w:r w:rsidR="0028150C">
        <w:t>n’</w:t>
      </w:r>
      <w:r>
        <w:t xml:space="preserve"> </w:t>
      </w:r>
      <w:r w:rsidR="00145AE0" w:rsidRPr="00F909D1">
        <w:t>unknown phenomena:</w:t>
      </w:r>
    </w:p>
    <w:p w:rsidR="00145AE0" w:rsidRPr="00F909D1" w:rsidRDefault="00145AE0" w:rsidP="005050B0">
      <w:pPr>
        <w:pStyle w:val="HumeReferences"/>
      </w:pPr>
      <w:r w:rsidRPr="00F909D1">
        <w:t>By this means, these philosophers set themselves at ease, and arrive at last, by an illusion, at the same indifference, which the people attain by their stupidity, and true philosophers by their moderate scepticism. They need only say, that any phaenomenon, which puzzles them, arises from a faculty or an occult quality, and there is an end of all dispu</w:t>
      </w:r>
      <w:r w:rsidR="000B793B">
        <w:t>te and enquiry upon the matter.</w:t>
      </w:r>
      <w:r w:rsidRPr="00F909D1">
        <w:t xml:space="preserve"> (T</w:t>
      </w:r>
      <w:r>
        <w:t>HN</w:t>
      </w:r>
      <w:r w:rsidRPr="00F909D1">
        <w:t xml:space="preserve"> 1.4.</w:t>
      </w:r>
      <w:r w:rsidR="00CE547D">
        <w:t>3.10</w:t>
      </w:r>
      <w:r w:rsidRPr="00F909D1">
        <w:t>)</w:t>
      </w:r>
    </w:p>
    <w:p w:rsidR="006241C8" w:rsidRDefault="00F6182E" w:rsidP="00512563">
      <w:pPr>
        <w:spacing w:before="200" w:after="200" w:line="480" w:lineRule="auto"/>
        <w:jc w:val="both"/>
      </w:pPr>
      <w:r>
        <w:t>Indeed, Hume</w:t>
      </w:r>
      <w:r w:rsidR="00460A99">
        <w:t>’s</w:t>
      </w:r>
      <w:r>
        <w:t xml:space="preserve"> conativist argument</w:t>
      </w:r>
      <w:r w:rsidR="00460A99">
        <w:t xml:space="preserve"> cannot be trivial, because he intends it</w:t>
      </w:r>
      <w:r>
        <w:t xml:space="preserve"> </w:t>
      </w:r>
      <w:r w:rsidR="00F87EF8">
        <w:t>to do</w:t>
      </w:r>
      <w:r>
        <w:t xml:space="preserve"> su</w:t>
      </w:r>
      <w:r w:rsidR="00460A99">
        <w:t>bstantial philosophical lifting</w:t>
      </w:r>
      <w:r w:rsidR="009811BD">
        <w:t>,</w:t>
      </w:r>
      <w:r w:rsidR="00017D9D">
        <w:t xml:space="preserve"> </w:t>
      </w:r>
      <w:r w:rsidR="00C24842">
        <w:t>refuting</w:t>
      </w:r>
      <w:r w:rsidR="00A6546A">
        <w:t xml:space="preserve"> his rationalist opponents</w:t>
      </w:r>
      <w:r w:rsidR="00017D9D">
        <w:t xml:space="preserve"> who believe reas</w:t>
      </w:r>
      <w:r w:rsidR="0028150C">
        <w:t>on alone sufficient to motivate</w:t>
      </w:r>
      <w:r w:rsidR="00017D9D">
        <w:t xml:space="preserve"> action:</w:t>
      </w:r>
      <w:r>
        <w:t xml:space="preserve"> </w:t>
      </w:r>
    </w:p>
    <w:p w:rsidR="006241C8" w:rsidRDefault="006241C8" w:rsidP="005050B0">
      <w:pPr>
        <w:pStyle w:val="HumeReferences"/>
      </w:pPr>
      <w:r>
        <w:rPr>
          <w:rStyle w:val="dc"/>
          <w:caps/>
        </w:rPr>
        <w:lastRenderedPageBreak/>
        <w:t>N</w:t>
      </w:r>
      <w:r>
        <w:rPr>
          <w:caps/>
        </w:rPr>
        <w:t>othing</w:t>
      </w:r>
      <w:r>
        <w:t xml:space="preserve"> is more usual in philosophy, and even in common life, than to talk of the combat of passion and reason, to give the preference to reason, and assert that men are only so far virtuous as they con</w:t>
      </w:r>
      <w:r w:rsidR="004D6838">
        <w:t>form themselves to its dictates</w:t>
      </w:r>
      <w:r>
        <w:t xml:space="preserve">... In order to shew the fallacy of all this philosophy, I shall endeavour to prove </w:t>
      </w:r>
      <w:r>
        <w:rPr>
          <w:i/>
          <w:iCs/>
        </w:rPr>
        <w:t>first</w:t>
      </w:r>
      <w:r>
        <w:t xml:space="preserve">, that reason alone can never be a motive to any action of the will; and </w:t>
      </w:r>
      <w:r>
        <w:rPr>
          <w:i/>
          <w:iCs/>
        </w:rPr>
        <w:t>secondly</w:t>
      </w:r>
      <w:r>
        <w:t>, that it can never oppose passio</w:t>
      </w:r>
      <w:r w:rsidR="000B793B">
        <w:t>n in the direction of the will.</w:t>
      </w:r>
      <w:r w:rsidR="0063563D">
        <w:t xml:space="preserve"> (THN 2.3.3.1</w:t>
      </w:r>
      <w:r>
        <w:t>)</w:t>
      </w:r>
    </w:p>
    <w:p w:rsidR="00C83554" w:rsidRDefault="00017D9D" w:rsidP="00512563">
      <w:pPr>
        <w:spacing w:before="200" w:after="200" w:line="480" w:lineRule="auto"/>
        <w:jc w:val="both"/>
      </w:pPr>
      <w:r>
        <w:t>Interpreted conceptually, Hume’s argument</w:t>
      </w:r>
      <w:r w:rsidR="000C3652">
        <w:t xml:space="preserve"> for conativism</w:t>
      </w:r>
      <w:r w:rsidR="009733E7" w:rsidRPr="009733E7">
        <w:t xml:space="preserve"> </w:t>
      </w:r>
      <w:r w:rsidR="009733E7">
        <w:t>spectacularly fails to accomplish his stated goal of refuting (or even engaging with) his rationalist opponents</w:t>
      </w:r>
      <w:r w:rsidR="000C3652">
        <w:t>;</w:t>
      </w:r>
      <w:r w:rsidR="00C24842">
        <w:t xml:space="preserve"> for example,</w:t>
      </w:r>
      <w:r w:rsidR="00432B7B">
        <w:t xml:space="preserve"> th</w:t>
      </w:r>
      <w:r w:rsidR="0028150C">
        <w:t xml:space="preserve">e rationalists could simply accept </w:t>
      </w:r>
      <w:r w:rsidR="00432B7B">
        <w:t>such a definition</w:t>
      </w:r>
      <w:r w:rsidR="00A7492C">
        <w:t xml:space="preserve"> of ‘passion</w:t>
      </w:r>
      <w:r w:rsidR="0028150C">
        <w:t>’ as whatever plays the end-setting role in motivation</w:t>
      </w:r>
      <w:r w:rsidR="00432B7B">
        <w:t>, but claim that reason is a pa</w:t>
      </w:r>
      <w:r w:rsidR="000C3652">
        <w:t>ssion.</w:t>
      </w:r>
      <w:r w:rsidR="00432B7B">
        <w:t xml:space="preserve"> </w:t>
      </w:r>
    </w:p>
    <w:p w:rsidR="009733E7" w:rsidRDefault="009733E7" w:rsidP="000122AA">
      <w:pPr>
        <w:spacing w:before="200" w:after="200" w:line="480" w:lineRule="auto"/>
        <w:ind w:firstLine="720"/>
        <w:jc w:val="both"/>
        <w:rPr>
          <w:lang w:val="en-US"/>
        </w:rPr>
      </w:pPr>
      <w:r>
        <w:rPr>
          <w:lang w:val="en-US"/>
        </w:rPr>
        <w:t>Bricke</w:t>
      </w:r>
      <w:r w:rsidR="00586051">
        <w:rPr>
          <w:lang w:val="en-US"/>
        </w:rPr>
        <w:t xml:space="preserve"> </w:t>
      </w:r>
      <w:r w:rsidR="000122AA">
        <w:rPr>
          <w:lang w:val="en-US"/>
        </w:rPr>
        <w:t xml:space="preserve">unsurprisingly denies such an accusation of triviality: </w:t>
      </w:r>
    </w:p>
    <w:p w:rsidR="009733E7" w:rsidRDefault="000122AA" w:rsidP="005050B0">
      <w:pPr>
        <w:pStyle w:val="HumeReferences"/>
        <w:rPr>
          <w:lang w:val="en-US"/>
        </w:rPr>
      </w:pPr>
      <w:r>
        <w:rPr>
          <w:lang w:val="en-US"/>
        </w:rPr>
        <w:t>Humean desires… must be characterizable in a suitably independent way. But they are so characterizable. They are ineliminable elements, psychologically primitive elements, in an explan</w:t>
      </w:r>
      <w:r w:rsidR="009733E7">
        <w:rPr>
          <w:lang w:val="en-US"/>
        </w:rPr>
        <w:t>atory theory of human behaviour</w:t>
      </w:r>
      <w:r>
        <w:rPr>
          <w:lang w:val="en-US"/>
        </w:rPr>
        <w:t>.</w:t>
      </w:r>
      <w:r w:rsidR="009733E7">
        <w:rPr>
          <w:lang w:val="en-US"/>
        </w:rPr>
        <w:t xml:space="preserve"> (Bricke 1996, p.31)</w:t>
      </w:r>
      <w:r>
        <w:rPr>
          <w:lang w:val="en-US"/>
        </w:rPr>
        <w:t xml:space="preserve"> </w:t>
      </w:r>
    </w:p>
    <w:p w:rsidR="00CC4ADB" w:rsidRDefault="000122AA" w:rsidP="009733E7">
      <w:pPr>
        <w:spacing w:before="200" w:after="200" w:line="480" w:lineRule="auto"/>
        <w:jc w:val="both"/>
      </w:pPr>
      <w:r>
        <w:rPr>
          <w:lang w:val="en-US"/>
        </w:rPr>
        <w:t xml:space="preserve">It is unclear whether this gloss </w:t>
      </w:r>
      <w:r w:rsidR="001477FD">
        <w:rPr>
          <w:lang w:val="en-US"/>
        </w:rPr>
        <w:t>genuinely</w:t>
      </w:r>
      <w:r>
        <w:rPr>
          <w:lang w:val="en-US"/>
        </w:rPr>
        <w:t xml:space="preserve"> characterises Humean desires independently from describing them as having a world-to-mind direction of fit, given that their</w:t>
      </w:r>
      <w:r w:rsidR="00813574">
        <w:rPr>
          <w:lang w:val="en-US"/>
        </w:rPr>
        <w:t xml:space="preserve"> primary</w:t>
      </w:r>
      <w:r>
        <w:rPr>
          <w:lang w:val="en-US"/>
        </w:rPr>
        <w:t xml:space="preserve"> role in ‘an explanatory theory of human behaviour’ seems to be that they play the ‘major role in action explanations’, which is inextricably tied to their world-to-mind direction of fit, as Bricke’s quotation</w:t>
      </w:r>
      <w:r w:rsidR="00586051">
        <w:rPr>
          <w:lang w:val="en-US"/>
        </w:rPr>
        <w:t xml:space="preserve"> above</w:t>
      </w:r>
      <w:r w:rsidR="0028150C">
        <w:rPr>
          <w:lang w:val="en-US"/>
        </w:rPr>
        <w:t xml:space="preserve"> (p.28)</w:t>
      </w:r>
      <w:r>
        <w:rPr>
          <w:lang w:val="en-US"/>
        </w:rPr>
        <w:t xml:space="preserve"> makes clear</w:t>
      </w:r>
      <w:r w:rsidR="001946F7">
        <w:rPr>
          <w:lang w:val="en-US"/>
        </w:rPr>
        <w:t>.</w:t>
      </w:r>
      <w:r w:rsidR="00CC021E">
        <w:rPr>
          <w:lang w:val="en-US"/>
        </w:rPr>
        <w:t xml:space="preserve"> </w:t>
      </w:r>
      <w:r w:rsidR="001946F7">
        <w:rPr>
          <w:lang w:val="en-US"/>
        </w:rPr>
        <w:t>Of course, since</w:t>
      </w:r>
      <w:r w:rsidR="00813574">
        <w:rPr>
          <w:lang w:val="en-US"/>
        </w:rPr>
        <w:t xml:space="preserve"> Bricke seeks to characterise desire functionally, </w:t>
      </w:r>
      <w:r w:rsidR="00CC021E">
        <w:rPr>
          <w:lang w:val="en-US"/>
        </w:rPr>
        <w:t>he cannot independently characterise</w:t>
      </w:r>
      <w:r w:rsidR="00813574">
        <w:rPr>
          <w:lang w:val="en-US"/>
        </w:rPr>
        <w:t xml:space="preserve"> them </w:t>
      </w:r>
      <w:r w:rsidR="00CC021E">
        <w:rPr>
          <w:lang w:val="en-US"/>
        </w:rPr>
        <w:t>by appealing to</w:t>
      </w:r>
      <w:r w:rsidR="00813574">
        <w:rPr>
          <w:lang w:val="en-US"/>
        </w:rPr>
        <w:t xml:space="preserve"> their qualitative character</w:t>
      </w:r>
      <w:r>
        <w:rPr>
          <w:lang w:val="en-US"/>
        </w:rPr>
        <w:t xml:space="preserve">. Nevertheless, even if </w:t>
      </w:r>
      <w:r w:rsidR="00CC021E">
        <w:rPr>
          <w:lang w:val="en-US"/>
        </w:rPr>
        <w:t xml:space="preserve">his account does indeed provide </w:t>
      </w:r>
      <w:r w:rsidR="001946F7">
        <w:rPr>
          <w:lang w:val="en-US"/>
        </w:rPr>
        <w:t xml:space="preserve">an </w:t>
      </w:r>
      <w:r w:rsidR="00CC021E">
        <w:rPr>
          <w:lang w:val="en-US"/>
        </w:rPr>
        <w:t>independent</w:t>
      </w:r>
      <w:r w:rsidR="001946F7">
        <w:rPr>
          <w:lang w:val="en-US"/>
        </w:rPr>
        <w:t xml:space="preserve"> functional characteris</w:t>
      </w:r>
      <w:r w:rsidR="00CC021E">
        <w:rPr>
          <w:lang w:val="en-US"/>
        </w:rPr>
        <w:t>ation for desires</w:t>
      </w:r>
      <w:r>
        <w:rPr>
          <w:lang w:val="en-US"/>
        </w:rPr>
        <w:t xml:space="preserve">, the thesis </w:t>
      </w:r>
      <w:r w:rsidR="00B640F8">
        <w:rPr>
          <w:lang w:val="en-US"/>
        </w:rPr>
        <w:t xml:space="preserve">would then </w:t>
      </w:r>
      <w:r w:rsidR="00460A99">
        <w:rPr>
          <w:lang w:val="en-US"/>
        </w:rPr>
        <w:t>violate</w:t>
      </w:r>
      <w:r w:rsidR="009733E7">
        <w:rPr>
          <w:lang w:val="en-US"/>
        </w:rPr>
        <w:t xml:space="preserve"> Hume’s principle of the </w:t>
      </w:r>
      <w:r w:rsidR="001702B6">
        <w:rPr>
          <w:lang w:val="en-US"/>
        </w:rPr>
        <w:t xml:space="preserve">metaphysical </w:t>
      </w:r>
      <w:r w:rsidR="009811BD">
        <w:rPr>
          <w:lang w:val="en-US"/>
        </w:rPr>
        <w:t>contingency of causation</w:t>
      </w:r>
      <w:r w:rsidR="009733E7">
        <w:rPr>
          <w:lang w:val="en-US"/>
        </w:rPr>
        <w:t xml:space="preserve"> (henceforth CC)</w:t>
      </w:r>
      <w:r w:rsidR="009811BD">
        <w:rPr>
          <w:lang w:val="en-US"/>
        </w:rPr>
        <w:t>:</w:t>
      </w:r>
      <w:r w:rsidR="001702B6">
        <w:rPr>
          <w:lang w:val="en-US"/>
        </w:rPr>
        <w:t xml:space="preserve"> </w:t>
      </w:r>
      <w:r w:rsidR="001702B6">
        <w:t>‘</w:t>
      </w:r>
      <w:r w:rsidR="001702B6" w:rsidRPr="00F909D1">
        <w:rPr>
          <w:i/>
        </w:rPr>
        <w:t>a priori</w:t>
      </w:r>
      <w:r w:rsidR="001702B6" w:rsidRPr="00F909D1">
        <w:t xml:space="preserve">, </w:t>
      </w:r>
      <w:r w:rsidR="001702B6">
        <w:t>any thing may produce any thing’</w:t>
      </w:r>
      <w:r w:rsidR="001702B6" w:rsidRPr="00F909D1">
        <w:t xml:space="preserve"> (T</w:t>
      </w:r>
      <w:r w:rsidR="001702B6">
        <w:t>HN</w:t>
      </w:r>
      <w:r w:rsidR="001702B6" w:rsidRPr="00F909D1">
        <w:t xml:space="preserve"> 1.4.5.30)</w:t>
      </w:r>
      <w:r w:rsidR="001702B6">
        <w:t>. Conceptual readings of the conativist thesis face the following dilemma:</w:t>
      </w:r>
      <w:r>
        <w:rPr>
          <w:lang w:val="en-US"/>
        </w:rPr>
        <w:t xml:space="preserve"> </w:t>
      </w:r>
      <w:r w:rsidR="009811BD">
        <w:t>c</w:t>
      </w:r>
      <w:r w:rsidR="00AD3EF5">
        <w:t>itin</w:t>
      </w:r>
      <w:r w:rsidR="0028150C">
        <w:t>g a bare disposition as a cause</w:t>
      </w:r>
      <w:r w:rsidR="00AD3EF5">
        <w:t xml:space="preserve"> renders the thesis empty and lacking in explanatory value, but fleshing out the disposition by </w:t>
      </w:r>
      <w:r w:rsidR="00AD3EF5">
        <w:lastRenderedPageBreak/>
        <w:t xml:space="preserve">attributing substantive properties to it </w:t>
      </w:r>
      <w:r w:rsidR="009733E7">
        <w:t>violates CC</w:t>
      </w:r>
      <w:r w:rsidR="004D6838">
        <w:t xml:space="preserve">. </w:t>
      </w:r>
      <w:r w:rsidR="00DF6E21">
        <w:t>I take this to be</w:t>
      </w:r>
      <w:r w:rsidR="00A6546A">
        <w:t xml:space="preserve"> a philosophical problem as well as an interpretive</w:t>
      </w:r>
      <w:r w:rsidR="00AD40D6">
        <w:t xml:space="preserve"> one, given </w:t>
      </w:r>
      <w:r w:rsidR="009733E7">
        <w:t>CC’s</w:t>
      </w:r>
      <w:r w:rsidR="00DF6E21">
        <w:t xml:space="preserve"> plausibility</w:t>
      </w:r>
      <w:r w:rsidR="0028150C">
        <w:t xml:space="preserve"> and widespread acceptance</w:t>
      </w:r>
      <w:r w:rsidR="004D6838">
        <w:t>.</w:t>
      </w:r>
      <w:r w:rsidR="00B640F8">
        <w:rPr>
          <w:rStyle w:val="FootnoteReference"/>
        </w:rPr>
        <w:footnoteReference w:id="11"/>
      </w:r>
      <w:r w:rsidR="00EA38FF" w:rsidRPr="00F909D1">
        <w:t xml:space="preserve"> </w:t>
      </w:r>
    </w:p>
    <w:p w:rsidR="00BC4367" w:rsidRPr="0083513C" w:rsidRDefault="005F57F2" w:rsidP="004D6838">
      <w:pPr>
        <w:spacing w:before="200" w:after="200" w:line="480" w:lineRule="auto"/>
        <w:ind w:firstLine="720"/>
        <w:jc w:val="both"/>
      </w:pPr>
      <w:r>
        <w:t>This</w:t>
      </w:r>
      <w:r w:rsidR="0028150C">
        <w:t xml:space="preserve"> dilemma </w:t>
      </w:r>
      <w:r>
        <w:t>can</w:t>
      </w:r>
      <w:r w:rsidR="0028150C">
        <w:t xml:space="preserve"> be highlighted by the following</w:t>
      </w:r>
      <w:r w:rsidR="00BA1845">
        <w:t xml:space="preserve"> example</w:t>
      </w:r>
      <w:r w:rsidR="0028150C">
        <w:t xml:space="preserve">. </w:t>
      </w:r>
      <w:r w:rsidR="00460A99">
        <w:t>T</w:t>
      </w:r>
      <w:r w:rsidR="00BA1845">
        <w:t xml:space="preserve">he conceptual truth that </w:t>
      </w:r>
      <w:r w:rsidR="00BC4367">
        <w:t>‘egg-breakers break eggs’</w:t>
      </w:r>
      <w:r w:rsidR="0028150C">
        <w:t xml:space="preserve"> (where</w:t>
      </w:r>
      <w:r w:rsidR="00BC4367">
        <w:t xml:space="preserve"> </w:t>
      </w:r>
      <w:r w:rsidR="00432B7B">
        <w:t>‘</w:t>
      </w:r>
      <w:r w:rsidR="00BC4367">
        <w:t>egg</w:t>
      </w:r>
      <w:r w:rsidR="00432B7B">
        <w:t>-</w:t>
      </w:r>
      <w:r w:rsidR="00BC4367">
        <w:t>breakers</w:t>
      </w:r>
      <w:r w:rsidR="00432B7B">
        <w:t>’</w:t>
      </w:r>
      <w:r w:rsidR="0028150C">
        <w:t xml:space="preserve"> are defined</w:t>
      </w:r>
      <w:r w:rsidR="00BC4367">
        <w:t xml:space="preserve"> such that all and only egg-breakers break eggs</w:t>
      </w:r>
      <w:r w:rsidR="0028150C">
        <w:t>)</w:t>
      </w:r>
      <w:r w:rsidR="00BA1845">
        <w:t xml:space="preserve"> </w:t>
      </w:r>
      <w:r w:rsidR="0028150C">
        <w:t>do</w:t>
      </w:r>
      <w:r w:rsidR="00BA1845">
        <w:t>es</w:t>
      </w:r>
      <w:r w:rsidR="0028150C">
        <w:t xml:space="preserve"> not violate </w:t>
      </w:r>
      <w:r w:rsidR="009733E7">
        <w:t>CC</w:t>
      </w:r>
      <w:r w:rsidR="00DF6E21">
        <w:t xml:space="preserve">, because </w:t>
      </w:r>
      <w:r w:rsidR="00BA1845">
        <w:t>it</w:t>
      </w:r>
      <w:r w:rsidR="00BC4367">
        <w:t xml:space="preserve"> does not make any </w:t>
      </w:r>
      <w:r w:rsidR="00217451">
        <w:t xml:space="preserve">substantive </w:t>
      </w:r>
      <w:r w:rsidR="00BC4367">
        <w:t xml:space="preserve">claim about </w:t>
      </w:r>
      <w:r w:rsidR="00C24842">
        <w:t>the cause of broken eggs, merely assigning it a name</w:t>
      </w:r>
      <w:r w:rsidR="00BC4367">
        <w:t xml:space="preserve"> – the concept of an egg-breaker is bare other than its functional characterisatio</w:t>
      </w:r>
      <w:r w:rsidR="00AD40D6">
        <w:t>n</w:t>
      </w:r>
      <w:r w:rsidR="00BC4367">
        <w:t>.</w:t>
      </w:r>
      <w:r w:rsidR="00635FD7">
        <w:t xml:space="preserve"> The statement therefore does not</w:t>
      </w:r>
      <w:r w:rsidR="00635FD7" w:rsidRPr="002B59B9">
        <w:rPr>
          <w:i/>
        </w:rPr>
        <w:t xml:space="preserve"> </w:t>
      </w:r>
      <w:r w:rsidR="002B59B9" w:rsidRPr="002B59B9">
        <w:rPr>
          <w:i/>
        </w:rPr>
        <w:t>a priori</w:t>
      </w:r>
      <w:r w:rsidR="002B59B9">
        <w:t xml:space="preserve"> </w:t>
      </w:r>
      <w:r w:rsidR="00635FD7">
        <w:t>rule anything out as the cause of broken eg</w:t>
      </w:r>
      <w:r w:rsidR="00DF6E21">
        <w:t xml:space="preserve">gs, </w:t>
      </w:r>
      <w:r w:rsidR="0028150C">
        <w:t>which</w:t>
      </w:r>
      <w:r w:rsidR="00043061">
        <w:t xml:space="preserve"> renders it consistent with </w:t>
      </w:r>
      <w:r w:rsidR="009733E7">
        <w:t>CC</w:t>
      </w:r>
      <w:r>
        <w:t>, but</w:t>
      </w:r>
      <w:r w:rsidR="0028150C">
        <w:t xml:space="preserve"> at the cost of triviality</w:t>
      </w:r>
      <w:r w:rsidR="00043061">
        <w:t>.</w:t>
      </w:r>
      <w:r w:rsidR="002B59B9">
        <w:t xml:space="preserve"> However, if we </w:t>
      </w:r>
      <w:r w:rsidR="0028150C">
        <w:t>avoid emptiness</w:t>
      </w:r>
      <w:r w:rsidR="00C24842">
        <w:t xml:space="preserve"> by</w:t>
      </w:r>
      <w:r w:rsidR="0028150C">
        <w:t xml:space="preserve"> </w:t>
      </w:r>
      <w:r w:rsidR="00A7492C">
        <w:t>attributing substantive properties to</w:t>
      </w:r>
      <w:r w:rsidR="002B59B9">
        <w:t xml:space="preserve"> the notion of an </w:t>
      </w:r>
      <w:r w:rsidR="0028150C">
        <w:t>‘</w:t>
      </w:r>
      <w:r w:rsidR="002B59B9">
        <w:t>egg-breaker</w:t>
      </w:r>
      <w:r w:rsidR="0028150C">
        <w:t>’</w:t>
      </w:r>
      <w:r w:rsidR="002B59B9">
        <w:t xml:space="preserve">, we would </w:t>
      </w:r>
      <w:r>
        <w:t>instead violate</w:t>
      </w:r>
      <w:r w:rsidR="002B59B9">
        <w:t xml:space="preserve"> </w:t>
      </w:r>
      <w:r w:rsidR="009733E7">
        <w:t>CC</w:t>
      </w:r>
      <w:r w:rsidR="00E8792D">
        <w:t xml:space="preserve">. </w:t>
      </w:r>
      <w:r w:rsidR="002B59B9">
        <w:t>Similarly, the conceptual reading of the conativist thesis faces an identical dilemma: either it defines desires as pure dispositions</w:t>
      </w:r>
      <w:r w:rsidR="00A7492C">
        <w:t xml:space="preserve"> to perform the end-setting motivational role</w:t>
      </w:r>
      <w:r w:rsidR="002B59B9">
        <w:t xml:space="preserve">, in which case the thesis would be trivial; or it defines desires as more, in which case </w:t>
      </w:r>
      <w:r w:rsidR="00DF6E21">
        <w:t>it</w:t>
      </w:r>
      <w:r w:rsidR="002B59B9">
        <w:t xml:space="preserve"> would violate </w:t>
      </w:r>
      <w:r w:rsidR="009733E7">
        <w:t>CC</w:t>
      </w:r>
      <w:r w:rsidR="002B59B9">
        <w:t>.</w:t>
      </w:r>
      <w:r w:rsidR="000A5F89">
        <w:rPr>
          <w:rStyle w:val="FootnoteReference"/>
          <w:szCs w:val="24"/>
        </w:rPr>
        <w:footnoteReference w:id="12"/>
      </w:r>
      <w:r w:rsidR="00C45DEC" w:rsidRPr="00C45DEC">
        <w:t xml:space="preserve"> </w:t>
      </w:r>
      <w:r w:rsidR="00C45DEC">
        <w:t>And indeed, Hume sees his account of the passions as being empirically substantive</w:t>
      </w:r>
      <w:r w:rsidR="007E01E5">
        <w:t xml:space="preserve">, </w:t>
      </w:r>
      <w:r w:rsidR="00CC021E">
        <w:t>impaling</w:t>
      </w:r>
      <w:r w:rsidR="0032150F">
        <w:t xml:space="preserve"> him on the second horn</w:t>
      </w:r>
      <w:r w:rsidR="00D53EBA">
        <w:t>: the passions</w:t>
      </w:r>
      <w:r w:rsidR="00C45DEC">
        <w:t xml:space="preserve"> are occurrent mental states with qualitative characters, for example.</w:t>
      </w:r>
    </w:p>
    <w:p w:rsidR="001702B6" w:rsidRDefault="00AC7B9C" w:rsidP="005F29B9">
      <w:pPr>
        <w:pStyle w:val="HTMLPreformatted"/>
        <w:spacing w:before="200" w:after="200" w:line="480" w:lineRule="auto"/>
        <w:jc w:val="both"/>
        <w:rPr>
          <w:rFonts w:ascii="Times New Roman" w:hAnsi="Times New Roman" w:cs="Times New Roman"/>
          <w:sz w:val="24"/>
          <w:szCs w:val="24"/>
        </w:rPr>
      </w:pPr>
      <w:r>
        <w:rPr>
          <w:rFonts w:ascii="Times New Roman" w:hAnsi="Times New Roman" w:cs="Times New Roman"/>
          <w:sz w:val="24"/>
          <w:szCs w:val="24"/>
        </w:rPr>
        <w:tab/>
      </w:r>
      <w:r w:rsidR="00586051">
        <w:rPr>
          <w:rFonts w:ascii="Times New Roman" w:hAnsi="Times New Roman" w:cs="Times New Roman"/>
          <w:sz w:val="24"/>
          <w:szCs w:val="24"/>
        </w:rPr>
        <w:t>N</w:t>
      </w:r>
      <w:r w:rsidR="00813AF8">
        <w:rPr>
          <w:rFonts w:ascii="Times New Roman" w:hAnsi="Times New Roman" w:cs="Times New Roman"/>
          <w:sz w:val="24"/>
          <w:szCs w:val="24"/>
        </w:rPr>
        <w:t xml:space="preserve">ote that I am not </w:t>
      </w:r>
      <w:r w:rsidR="00C24842">
        <w:rPr>
          <w:rFonts w:ascii="Times New Roman" w:hAnsi="Times New Roman" w:cs="Times New Roman"/>
          <w:sz w:val="24"/>
          <w:szCs w:val="24"/>
        </w:rPr>
        <w:t>attacking</w:t>
      </w:r>
      <w:r w:rsidR="00813AF8">
        <w:rPr>
          <w:rFonts w:ascii="Times New Roman" w:hAnsi="Times New Roman" w:cs="Times New Roman"/>
          <w:sz w:val="24"/>
          <w:szCs w:val="24"/>
        </w:rPr>
        <w:t xml:space="preserve"> functional </w:t>
      </w:r>
      <w:r w:rsidR="00B27876">
        <w:rPr>
          <w:rFonts w:ascii="Times New Roman" w:hAnsi="Times New Roman" w:cs="Times New Roman"/>
          <w:sz w:val="24"/>
          <w:szCs w:val="24"/>
        </w:rPr>
        <w:t>characteri</w:t>
      </w:r>
      <w:r w:rsidR="001702B6">
        <w:rPr>
          <w:rFonts w:ascii="Times New Roman" w:hAnsi="Times New Roman" w:cs="Times New Roman"/>
          <w:sz w:val="24"/>
          <w:szCs w:val="24"/>
        </w:rPr>
        <w:t>s</w:t>
      </w:r>
      <w:r w:rsidR="00B27876">
        <w:rPr>
          <w:rFonts w:ascii="Times New Roman" w:hAnsi="Times New Roman" w:cs="Times New Roman"/>
          <w:sz w:val="24"/>
          <w:szCs w:val="24"/>
        </w:rPr>
        <w:t xml:space="preserve">ations </w:t>
      </w:r>
      <w:r w:rsidR="00B27876">
        <w:rPr>
          <w:rFonts w:ascii="Times New Roman" w:hAnsi="Times New Roman" w:cs="Times New Roman"/>
          <w:i/>
          <w:sz w:val="24"/>
          <w:szCs w:val="24"/>
        </w:rPr>
        <w:t>per se</w:t>
      </w:r>
      <w:r w:rsidR="001702B6">
        <w:rPr>
          <w:rFonts w:ascii="Times New Roman" w:hAnsi="Times New Roman" w:cs="Times New Roman"/>
          <w:sz w:val="24"/>
          <w:szCs w:val="24"/>
        </w:rPr>
        <w:t>,</w:t>
      </w:r>
      <w:r w:rsidR="009733E7">
        <w:rPr>
          <w:rFonts w:ascii="Times New Roman" w:hAnsi="Times New Roman" w:cs="Times New Roman"/>
          <w:sz w:val="24"/>
          <w:szCs w:val="24"/>
        </w:rPr>
        <w:t xml:space="preserve"> merely </w:t>
      </w:r>
      <w:r w:rsidR="009733E7">
        <w:rPr>
          <w:rFonts w:ascii="Times New Roman" w:hAnsi="Times New Roman" w:cs="Times New Roman"/>
          <w:i/>
          <w:sz w:val="24"/>
          <w:szCs w:val="24"/>
        </w:rPr>
        <w:t>a priori</w:t>
      </w:r>
      <w:r w:rsidR="009733E7">
        <w:rPr>
          <w:rFonts w:ascii="Times New Roman" w:hAnsi="Times New Roman" w:cs="Times New Roman"/>
          <w:sz w:val="24"/>
          <w:szCs w:val="24"/>
        </w:rPr>
        <w:t xml:space="preserve"> ones; I think</w:t>
      </w:r>
      <w:r w:rsidR="001702B6">
        <w:rPr>
          <w:rFonts w:ascii="Times New Roman" w:hAnsi="Times New Roman" w:cs="Times New Roman"/>
          <w:sz w:val="24"/>
          <w:szCs w:val="24"/>
        </w:rPr>
        <w:t xml:space="preserve"> empirical functional characterisations </w:t>
      </w:r>
      <w:r w:rsidR="009733E7">
        <w:rPr>
          <w:rFonts w:ascii="Times New Roman" w:hAnsi="Times New Roman" w:cs="Times New Roman"/>
          <w:sz w:val="24"/>
          <w:szCs w:val="24"/>
        </w:rPr>
        <w:t>to be</w:t>
      </w:r>
      <w:r w:rsidR="001702B6">
        <w:rPr>
          <w:rFonts w:ascii="Times New Roman" w:hAnsi="Times New Roman" w:cs="Times New Roman"/>
          <w:sz w:val="24"/>
          <w:szCs w:val="24"/>
        </w:rPr>
        <w:t xml:space="preserve"> unproblematic</w:t>
      </w:r>
      <w:r w:rsidR="00432B7B">
        <w:rPr>
          <w:rFonts w:ascii="Times New Roman" w:hAnsi="Times New Roman" w:cs="Times New Roman"/>
          <w:sz w:val="24"/>
          <w:szCs w:val="24"/>
        </w:rPr>
        <w:t>. For example, the Higgs-Boson particle</w:t>
      </w:r>
      <w:r w:rsidR="00C45DEC">
        <w:rPr>
          <w:rFonts w:ascii="Times New Roman" w:hAnsi="Times New Roman" w:cs="Times New Roman"/>
          <w:sz w:val="24"/>
          <w:szCs w:val="24"/>
        </w:rPr>
        <w:t xml:space="preserve"> is</w:t>
      </w:r>
      <w:r w:rsidR="00432B7B">
        <w:rPr>
          <w:rFonts w:ascii="Times New Roman" w:hAnsi="Times New Roman" w:cs="Times New Roman"/>
          <w:sz w:val="24"/>
          <w:szCs w:val="24"/>
        </w:rPr>
        <w:t xml:space="preserve"> defined functionally as something like ‘the particle that grants elementary particles their mass’</w:t>
      </w:r>
      <w:r w:rsidR="0028150C">
        <w:rPr>
          <w:rFonts w:ascii="Times New Roman" w:hAnsi="Times New Roman" w:cs="Times New Roman"/>
          <w:sz w:val="24"/>
          <w:szCs w:val="24"/>
        </w:rPr>
        <w:t>, yet its postulation is highly respectable</w:t>
      </w:r>
      <w:r w:rsidR="00432B7B">
        <w:rPr>
          <w:rFonts w:ascii="Times New Roman" w:hAnsi="Times New Roman" w:cs="Times New Roman"/>
          <w:sz w:val="24"/>
          <w:szCs w:val="24"/>
        </w:rPr>
        <w:t>.</w:t>
      </w:r>
      <w:r w:rsidR="007A5AAA">
        <w:rPr>
          <w:rFonts w:ascii="Times New Roman" w:hAnsi="Times New Roman" w:cs="Times New Roman"/>
          <w:sz w:val="24"/>
          <w:szCs w:val="24"/>
        </w:rPr>
        <w:t xml:space="preserve"> </w:t>
      </w:r>
      <w:r w:rsidR="00813AF8">
        <w:rPr>
          <w:rFonts w:ascii="Times New Roman" w:hAnsi="Times New Roman" w:cs="Times New Roman"/>
          <w:sz w:val="24"/>
          <w:szCs w:val="24"/>
        </w:rPr>
        <w:t xml:space="preserve">Such </w:t>
      </w:r>
      <w:r w:rsidR="00241049">
        <w:rPr>
          <w:rFonts w:ascii="Times New Roman" w:hAnsi="Times New Roman" w:cs="Times New Roman"/>
          <w:sz w:val="24"/>
          <w:szCs w:val="24"/>
        </w:rPr>
        <w:t>a functional characterisation does not render the thesis</w:t>
      </w:r>
      <w:r w:rsidR="00A7492C">
        <w:rPr>
          <w:rFonts w:ascii="Times New Roman" w:hAnsi="Times New Roman" w:cs="Times New Roman"/>
          <w:sz w:val="24"/>
          <w:szCs w:val="24"/>
        </w:rPr>
        <w:t xml:space="preserve"> </w:t>
      </w:r>
      <w:r w:rsidR="00DF25E6">
        <w:rPr>
          <w:rFonts w:ascii="Times New Roman" w:hAnsi="Times New Roman" w:cs="Times New Roman"/>
          <w:i/>
          <w:sz w:val="24"/>
          <w:szCs w:val="24"/>
        </w:rPr>
        <w:t>M</w:t>
      </w:r>
      <w:r w:rsidR="00241049">
        <w:rPr>
          <w:rFonts w:ascii="Times New Roman" w:hAnsi="Times New Roman" w:cs="Times New Roman"/>
          <w:sz w:val="24"/>
          <w:szCs w:val="24"/>
        </w:rPr>
        <w:t xml:space="preserve"> that ‘the Higgs-Boson grants elementary particles mass’</w:t>
      </w:r>
      <w:r w:rsidR="00813AF8">
        <w:rPr>
          <w:rFonts w:ascii="Times New Roman" w:hAnsi="Times New Roman" w:cs="Times New Roman"/>
          <w:sz w:val="24"/>
          <w:szCs w:val="24"/>
        </w:rPr>
        <w:t xml:space="preserve"> trivially true (</w:t>
      </w:r>
      <w:r w:rsidR="005F29B9">
        <w:rPr>
          <w:rFonts w:ascii="Times New Roman" w:hAnsi="Times New Roman" w:cs="Times New Roman"/>
          <w:sz w:val="24"/>
          <w:szCs w:val="24"/>
        </w:rPr>
        <w:t xml:space="preserve">on the </w:t>
      </w:r>
      <w:r w:rsidR="005F29B9">
        <w:rPr>
          <w:rFonts w:ascii="Times New Roman" w:hAnsi="Times New Roman" w:cs="Times New Roman"/>
          <w:sz w:val="24"/>
          <w:szCs w:val="24"/>
        </w:rPr>
        <w:lastRenderedPageBreak/>
        <w:t>assumption</w:t>
      </w:r>
      <w:r w:rsidR="00813AF8">
        <w:rPr>
          <w:rFonts w:ascii="Times New Roman" w:hAnsi="Times New Roman" w:cs="Times New Roman"/>
          <w:sz w:val="24"/>
          <w:szCs w:val="24"/>
        </w:rPr>
        <w:t xml:space="preserve"> that mass does exist), because</w:t>
      </w:r>
      <w:r w:rsidR="00C45DEC">
        <w:rPr>
          <w:rFonts w:ascii="Times New Roman" w:hAnsi="Times New Roman" w:cs="Times New Roman"/>
          <w:sz w:val="24"/>
          <w:szCs w:val="24"/>
        </w:rPr>
        <w:t xml:space="preserve"> the Higgs-Boson is also characterised as </w:t>
      </w:r>
      <w:r w:rsidR="00C45DEC" w:rsidRPr="00C45DEC">
        <w:rPr>
          <w:rFonts w:ascii="Times New Roman" w:hAnsi="Times New Roman" w:cs="Times New Roman"/>
          <w:i/>
          <w:sz w:val="24"/>
          <w:szCs w:val="24"/>
        </w:rPr>
        <w:t>a</w:t>
      </w:r>
      <w:r w:rsidR="0028150C">
        <w:rPr>
          <w:rFonts w:ascii="Times New Roman" w:hAnsi="Times New Roman" w:cs="Times New Roman"/>
          <w:i/>
          <w:sz w:val="24"/>
          <w:szCs w:val="24"/>
        </w:rPr>
        <w:t xml:space="preserve"> sub-atomic</w:t>
      </w:r>
      <w:r w:rsidR="00C45DEC" w:rsidRPr="00C45DEC">
        <w:rPr>
          <w:rFonts w:ascii="Times New Roman" w:hAnsi="Times New Roman" w:cs="Times New Roman"/>
          <w:i/>
          <w:sz w:val="24"/>
          <w:szCs w:val="24"/>
        </w:rPr>
        <w:t xml:space="preserve"> particle</w:t>
      </w:r>
      <w:r w:rsidR="00C45DEC">
        <w:rPr>
          <w:rFonts w:ascii="Times New Roman" w:hAnsi="Times New Roman" w:cs="Times New Roman"/>
          <w:sz w:val="24"/>
          <w:szCs w:val="24"/>
        </w:rPr>
        <w:t xml:space="preserve"> </w:t>
      </w:r>
      <w:r w:rsidR="00C45DEC" w:rsidRPr="00597BCA">
        <w:rPr>
          <w:rFonts w:ascii="Times New Roman" w:hAnsi="Times New Roman" w:cs="Times New Roman"/>
          <w:i/>
          <w:sz w:val="24"/>
          <w:szCs w:val="24"/>
        </w:rPr>
        <w:t>that is</w:t>
      </w:r>
      <w:r w:rsidR="00C45DEC">
        <w:rPr>
          <w:rFonts w:ascii="Times New Roman" w:hAnsi="Times New Roman" w:cs="Times New Roman"/>
          <w:sz w:val="24"/>
          <w:szCs w:val="24"/>
        </w:rPr>
        <w:t xml:space="preserve"> </w:t>
      </w:r>
      <w:r w:rsidR="00597BCA">
        <w:rPr>
          <w:rFonts w:ascii="Times New Roman" w:hAnsi="Times New Roman" w:cs="Times New Roman"/>
          <w:i/>
          <w:sz w:val="24"/>
          <w:szCs w:val="24"/>
        </w:rPr>
        <w:t>a vibration of the</w:t>
      </w:r>
      <w:r w:rsidR="00C45DEC" w:rsidRPr="006F2983">
        <w:rPr>
          <w:rFonts w:ascii="Times New Roman" w:hAnsi="Times New Roman" w:cs="Times New Roman"/>
          <w:i/>
          <w:sz w:val="24"/>
          <w:szCs w:val="24"/>
        </w:rPr>
        <w:t xml:space="preserve"> Higgs field</w:t>
      </w:r>
      <w:r w:rsidR="0028150C">
        <w:rPr>
          <w:rFonts w:ascii="Times New Roman" w:hAnsi="Times New Roman" w:cs="Times New Roman"/>
          <w:i/>
          <w:sz w:val="24"/>
          <w:szCs w:val="24"/>
        </w:rPr>
        <w:t xml:space="preserve"> under high energy</w:t>
      </w:r>
      <w:r w:rsidR="00597BCA">
        <w:rPr>
          <w:rFonts w:ascii="Times New Roman" w:hAnsi="Times New Roman" w:cs="Times New Roman"/>
          <w:i/>
          <w:sz w:val="24"/>
          <w:szCs w:val="24"/>
        </w:rPr>
        <w:t xml:space="preserve"> conditions</w:t>
      </w:r>
      <w:r w:rsidR="006F2983">
        <w:rPr>
          <w:rFonts w:ascii="Times New Roman" w:hAnsi="Times New Roman" w:cs="Times New Roman"/>
          <w:sz w:val="24"/>
          <w:szCs w:val="24"/>
        </w:rPr>
        <w:t>, for example.</w:t>
      </w:r>
      <w:r w:rsidR="005F29B9">
        <w:rPr>
          <w:rStyle w:val="FootnoteReference"/>
          <w:rFonts w:ascii="Times New Roman" w:hAnsi="Times New Roman" w:cs="Times New Roman"/>
          <w:sz w:val="24"/>
          <w:szCs w:val="24"/>
        </w:rPr>
        <w:footnoteReference w:id="13"/>
      </w:r>
      <w:r w:rsidR="006F2983">
        <w:rPr>
          <w:rFonts w:ascii="Times New Roman" w:hAnsi="Times New Roman" w:cs="Times New Roman"/>
          <w:sz w:val="24"/>
          <w:szCs w:val="24"/>
        </w:rPr>
        <w:t xml:space="preserve"> </w:t>
      </w:r>
      <w:r w:rsidR="0028150C">
        <w:rPr>
          <w:rFonts w:ascii="Times New Roman" w:hAnsi="Times New Roman" w:cs="Times New Roman"/>
          <w:sz w:val="24"/>
          <w:szCs w:val="24"/>
        </w:rPr>
        <w:t>T</w:t>
      </w:r>
      <w:r w:rsidR="00C45DEC">
        <w:rPr>
          <w:rFonts w:ascii="Times New Roman" w:hAnsi="Times New Roman" w:cs="Times New Roman"/>
          <w:sz w:val="24"/>
          <w:szCs w:val="24"/>
        </w:rPr>
        <w:t xml:space="preserve">he Higgs-Boson </w:t>
      </w:r>
      <w:r w:rsidR="0028150C">
        <w:rPr>
          <w:rFonts w:ascii="Times New Roman" w:hAnsi="Times New Roman" w:cs="Times New Roman"/>
          <w:sz w:val="24"/>
          <w:szCs w:val="24"/>
        </w:rPr>
        <w:t>is not</w:t>
      </w:r>
      <w:r w:rsidR="00C45DEC">
        <w:rPr>
          <w:rFonts w:ascii="Times New Roman" w:hAnsi="Times New Roman" w:cs="Times New Roman"/>
          <w:sz w:val="24"/>
          <w:szCs w:val="24"/>
        </w:rPr>
        <w:t xml:space="preserve"> merely characte</w:t>
      </w:r>
      <w:r w:rsidR="00597BCA">
        <w:rPr>
          <w:rFonts w:ascii="Times New Roman" w:hAnsi="Times New Roman" w:cs="Times New Roman"/>
          <w:sz w:val="24"/>
          <w:szCs w:val="24"/>
        </w:rPr>
        <w:t>rised as ‘whatever grants mass’</w:t>
      </w:r>
      <w:r w:rsidR="006F2983">
        <w:rPr>
          <w:rFonts w:ascii="Times New Roman" w:hAnsi="Times New Roman" w:cs="Times New Roman"/>
          <w:sz w:val="24"/>
          <w:szCs w:val="24"/>
        </w:rPr>
        <w:t>; i</w:t>
      </w:r>
      <w:r w:rsidR="00C45DEC">
        <w:rPr>
          <w:rFonts w:ascii="Times New Roman" w:hAnsi="Times New Roman" w:cs="Times New Roman"/>
          <w:sz w:val="24"/>
          <w:szCs w:val="24"/>
        </w:rPr>
        <w:t>f it turned out instead that mass was granted by tiny fairies weighing dow</w:t>
      </w:r>
      <w:r w:rsidR="0032150F">
        <w:rPr>
          <w:rFonts w:ascii="Times New Roman" w:hAnsi="Times New Roman" w:cs="Times New Roman"/>
          <w:sz w:val="24"/>
          <w:szCs w:val="24"/>
        </w:rPr>
        <w:t xml:space="preserve">n particles, </w:t>
      </w:r>
      <w:r w:rsidR="007A7AD6">
        <w:rPr>
          <w:rFonts w:ascii="Times New Roman" w:hAnsi="Times New Roman" w:cs="Times New Roman"/>
          <w:sz w:val="24"/>
          <w:szCs w:val="24"/>
        </w:rPr>
        <w:t>physicists</w:t>
      </w:r>
      <w:r w:rsidR="0032150F">
        <w:rPr>
          <w:rFonts w:ascii="Times New Roman" w:hAnsi="Times New Roman" w:cs="Times New Roman"/>
          <w:sz w:val="24"/>
          <w:szCs w:val="24"/>
        </w:rPr>
        <w:t xml:space="preserve"> would hardly</w:t>
      </w:r>
      <w:r w:rsidR="00C45DEC">
        <w:rPr>
          <w:rFonts w:ascii="Times New Roman" w:hAnsi="Times New Roman" w:cs="Times New Roman"/>
          <w:sz w:val="24"/>
          <w:szCs w:val="24"/>
        </w:rPr>
        <w:t xml:space="preserve"> claim that they </w:t>
      </w:r>
      <w:r w:rsidR="006F2983">
        <w:rPr>
          <w:rFonts w:ascii="Times New Roman" w:hAnsi="Times New Roman" w:cs="Times New Roman"/>
          <w:sz w:val="24"/>
          <w:szCs w:val="24"/>
        </w:rPr>
        <w:t>had discovered that Higgs-Boson</w:t>
      </w:r>
      <w:r w:rsidR="00C45DEC">
        <w:rPr>
          <w:rFonts w:ascii="Times New Roman" w:hAnsi="Times New Roman" w:cs="Times New Roman"/>
          <w:sz w:val="24"/>
          <w:szCs w:val="24"/>
        </w:rPr>
        <w:t>s were fairies!</w:t>
      </w:r>
      <w:r w:rsidR="00586051">
        <w:rPr>
          <w:rFonts w:ascii="Times New Roman" w:hAnsi="Times New Roman" w:cs="Times New Roman"/>
          <w:sz w:val="24"/>
          <w:szCs w:val="24"/>
        </w:rPr>
        <w:t xml:space="preserve"> </w:t>
      </w:r>
      <w:r w:rsidR="00207659">
        <w:rPr>
          <w:rFonts w:ascii="Times New Roman" w:hAnsi="Times New Roman" w:cs="Times New Roman"/>
          <w:sz w:val="24"/>
          <w:szCs w:val="24"/>
        </w:rPr>
        <w:t>In short</w:t>
      </w:r>
      <w:r w:rsidR="00586051">
        <w:rPr>
          <w:rFonts w:ascii="Times New Roman" w:hAnsi="Times New Roman" w:cs="Times New Roman"/>
          <w:sz w:val="24"/>
          <w:szCs w:val="24"/>
        </w:rPr>
        <w:t>,</w:t>
      </w:r>
      <w:r w:rsidR="006F2983">
        <w:rPr>
          <w:rFonts w:ascii="Times New Roman" w:hAnsi="Times New Roman" w:cs="Times New Roman"/>
          <w:sz w:val="24"/>
          <w:szCs w:val="24"/>
        </w:rPr>
        <w:t xml:space="preserve"> </w:t>
      </w:r>
      <w:r w:rsidR="00DF25E6">
        <w:rPr>
          <w:rFonts w:ascii="Times New Roman" w:hAnsi="Times New Roman" w:cs="Times New Roman"/>
          <w:i/>
          <w:sz w:val="24"/>
          <w:szCs w:val="24"/>
        </w:rPr>
        <w:t>M</w:t>
      </w:r>
      <w:r w:rsidR="008B21AB">
        <w:rPr>
          <w:rFonts w:ascii="Times New Roman" w:hAnsi="Times New Roman" w:cs="Times New Roman"/>
          <w:sz w:val="24"/>
          <w:szCs w:val="24"/>
        </w:rPr>
        <w:t xml:space="preserve"> is </w:t>
      </w:r>
      <w:r w:rsidR="00813AF8">
        <w:rPr>
          <w:rFonts w:ascii="Times New Roman" w:hAnsi="Times New Roman" w:cs="Times New Roman"/>
          <w:sz w:val="24"/>
          <w:szCs w:val="24"/>
        </w:rPr>
        <w:t xml:space="preserve">not an </w:t>
      </w:r>
      <w:r w:rsidR="00813AF8">
        <w:rPr>
          <w:rFonts w:ascii="Times New Roman" w:hAnsi="Times New Roman" w:cs="Times New Roman"/>
          <w:i/>
          <w:sz w:val="24"/>
          <w:szCs w:val="24"/>
        </w:rPr>
        <w:t>a priori</w:t>
      </w:r>
      <w:r w:rsidR="00813AF8">
        <w:rPr>
          <w:rFonts w:ascii="Times New Roman" w:hAnsi="Times New Roman" w:cs="Times New Roman"/>
          <w:sz w:val="24"/>
          <w:szCs w:val="24"/>
        </w:rPr>
        <w:t xml:space="preserve"> truth, since we have to look into the world to verify it</w:t>
      </w:r>
      <w:r w:rsidR="00241049">
        <w:rPr>
          <w:rFonts w:ascii="Times New Roman" w:hAnsi="Times New Roman" w:cs="Times New Roman"/>
          <w:sz w:val="24"/>
          <w:szCs w:val="24"/>
        </w:rPr>
        <w:t xml:space="preserve">, examining if there is anything out there that </w:t>
      </w:r>
      <w:r w:rsidR="00917D9F">
        <w:rPr>
          <w:rFonts w:ascii="Times New Roman" w:hAnsi="Times New Roman" w:cs="Times New Roman"/>
          <w:sz w:val="24"/>
          <w:szCs w:val="24"/>
        </w:rPr>
        <w:t xml:space="preserve">grants mass and </w:t>
      </w:r>
      <w:r w:rsidR="00241049">
        <w:rPr>
          <w:rFonts w:ascii="Times New Roman" w:hAnsi="Times New Roman" w:cs="Times New Roman"/>
          <w:sz w:val="24"/>
          <w:szCs w:val="24"/>
        </w:rPr>
        <w:t>matches our description of a Higgs-Boson</w:t>
      </w:r>
      <w:r w:rsidR="00813AF8">
        <w:rPr>
          <w:rFonts w:ascii="Times New Roman" w:hAnsi="Times New Roman" w:cs="Times New Roman"/>
          <w:sz w:val="24"/>
          <w:szCs w:val="24"/>
        </w:rPr>
        <w:t>;</w:t>
      </w:r>
      <w:r w:rsidR="00597BCA">
        <w:rPr>
          <w:rFonts w:ascii="Times New Roman" w:hAnsi="Times New Roman" w:cs="Times New Roman"/>
          <w:sz w:val="24"/>
          <w:szCs w:val="24"/>
        </w:rPr>
        <w:t xml:space="preserve"> </w:t>
      </w:r>
      <w:r w:rsidR="00DF25E6">
        <w:rPr>
          <w:rFonts w:ascii="Times New Roman" w:hAnsi="Times New Roman" w:cs="Times New Roman"/>
          <w:i/>
          <w:sz w:val="24"/>
          <w:szCs w:val="24"/>
        </w:rPr>
        <w:t>M</w:t>
      </w:r>
      <w:r w:rsidR="00813AF8">
        <w:rPr>
          <w:rFonts w:ascii="Times New Roman" w:hAnsi="Times New Roman" w:cs="Times New Roman"/>
          <w:sz w:val="24"/>
          <w:szCs w:val="24"/>
        </w:rPr>
        <w:t xml:space="preserve"> therefore does not violate the contingency of causation.</w:t>
      </w:r>
      <w:r w:rsidR="00597BCA">
        <w:rPr>
          <w:rFonts w:ascii="Times New Roman" w:hAnsi="Times New Roman" w:cs="Times New Roman"/>
          <w:sz w:val="24"/>
          <w:szCs w:val="24"/>
        </w:rPr>
        <w:t xml:space="preserve"> </w:t>
      </w:r>
      <w:r w:rsidR="009811BD">
        <w:rPr>
          <w:rFonts w:ascii="Times New Roman" w:hAnsi="Times New Roman" w:cs="Times New Roman"/>
          <w:sz w:val="24"/>
          <w:szCs w:val="24"/>
        </w:rPr>
        <w:t xml:space="preserve">Thus, </w:t>
      </w:r>
      <w:r w:rsidR="00DF25E6">
        <w:rPr>
          <w:rFonts w:ascii="Times New Roman" w:hAnsi="Times New Roman" w:cs="Times New Roman"/>
          <w:i/>
          <w:sz w:val="24"/>
          <w:szCs w:val="24"/>
        </w:rPr>
        <w:t>M</w:t>
      </w:r>
      <w:r w:rsidR="009811BD">
        <w:rPr>
          <w:rFonts w:ascii="Times New Roman" w:hAnsi="Times New Roman" w:cs="Times New Roman"/>
          <w:sz w:val="24"/>
          <w:szCs w:val="24"/>
        </w:rPr>
        <w:t xml:space="preserve"> avoids the above dilemma</w:t>
      </w:r>
      <w:r w:rsidR="00813AF8">
        <w:rPr>
          <w:rFonts w:ascii="Times New Roman" w:hAnsi="Times New Roman" w:cs="Times New Roman"/>
          <w:sz w:val="24"/>
          <w:szCs w:val="24"/>
        </w:rPr>
        <w:t xml:space="preserve">. </w:t>
      </w:r>
      <w:r w:rsidR="008B21AB">
        <w:rPr>
          <w:rFonts w:ascii="Times New Roman" w:hAnsi="Times New Roman" w:cs="Times New Roman"/>
          <w:sz w:val="24"/>
          <w:szCs w:val="24"/>
        </w:rPr>
        <w:t xml:space="preserve"> </w:t>
      </w:r>
    </w:p>
    <w:p w:rsidR="00C84ADD" w:rsidRPr="000A5F89" w:rsidRDefault="001702B6" w:rsidP="005F29B9">
      <w:pPr>
        <w:pStyle w:val="HTMLPreformatted"/>
        <w:spacing w:before="200" w:after="200" w:line="480" w:lineRule="auto"/>
        <w:jc w:val="both"/>
        <w:rPr>
          <w:rFonts w:ascii="Times New Roman" w:hAnsi="Times New Roman" w:cs="Times New Roman"/>
          <w:sz w:val="24"/>
          <w:szCs w:val="24"/>
        </w:rPr>
      </w:pPr>
      <w:r>
        <w:rPr>
          <w:rFonts w:ascii="Times New Roman" w:hAnsi="Times New Roman" w:cs="Times New Roman"/>
          <w:sz w:val="24"/>
          <w:szCs w:val="24"/>
        </w:rPr>
        <w:tab/>
      </w:r>
      <w:r w:rsidR="009811BD">
        <w:rPr>
          <w:rFonts w:ascii="Times New Roman" w:hAnsi="Times New Roman" w:cs="Times New Roman"/>
          <w:sz w:val="24"/>
          <w:szCs w:val="24"/>
        </w:rPr>
        <w:t>F</w:t>
      </w:r>
      <w:r w:rsidR="00813AF8">
        <w:rPr>
          <w:rFonts w:ascii="Times New Roman" w:hAnsi="Times New Roman" w:cs="Times New Roman"/>
          <w:sz w:val="24"/>
          <w:szCs w:val="24"/>
        </w:rPr>
        <w:t xml:space="preserve">or </w:t>
      </w:r>
      <w:r w:rsidR="00D53EBA">
        <w:rPr>
          <w:rFonts w:ascii="Times New Roman" w:hAnsi="Times New Roman" w:cs="Times New Roman"/>
          <w:sz w:val="24"/>
          <w:szCs w:val="24"/>
        </w:rPr>
        <w:t>a functional construal of the</w:t>
      </w:r>
      <w:r w:rsidR="00813AF8">
        <w:rPr>
          <w:rFonts w:ascii="Times New Roman" w:hAnsi="Times New Roman" w:cs="Times New Roman"/>
          <w:sz w:val="24"/>
          <w:szCs w:val="24"/>
        </w:rPr>
        <w:t xml:space="preserve"> conativist thesis</w:t>
      </w:r>
      <w:r w:rsidR="005F29B9">
        <w:rPr>
          <w:rFonts w:ascii="Times New Roman" w:hAnsi="Times New Roman" w:cs="Times New Roman"/>
          <w:sz w:val="24"/>
          <w:szCs w:val="24"/>
        </w:rPr>
        <w:t xml:space="preserve"> to</w:t>
      </w:r>
      <w:r w:rsidR="009811BD">
        <w:rPr>
          <w:rFonts w:ascii="Times New Roman" w:hAnsi="Times New Roman" w:cs="Times New Roman"/>
          <w:sz w:val="24"/>
          <w:szCs w:val="24"/>
        </w:rPr>
        <w:t xml:space="preserve"> similarly</w:t>
      </w:r>
      <w:r w:rsidR="005F29B9">
        <w:rPr>
          <w:rFonts w:ascii="Times New Roman" w:hAnsi="Times New Roman" w:cs="Times New Roman"/>
          <w:sz w:val="24"/>
          <w:szCs w:val="24"/>
        </w:rPr>
        <w:t xml:space="preserve"> avoid my dilemma</w:t>
      </w:r>
      <w:r w:rsidR="00813AF8">
        <w:rPr>
          <w:rFonts w:ascii="Times New Roman" w:hAnsi="Times New Roman" w:cs="Times New Roman"/>
          <w:sz w:val="24"/>
          <w:szCs w:val="24"/>
        </w:rPr>
        <w:t>,</w:t>
      </w:r>
      <w:r w:rsidR="005F29B9">
        <w:rPr>
          <w:rFonts w:ascii="Times New Roman" w:hAnsi="Times New Roman" w:cs="Times New Roman"/>
          <w:sz w:val="24"/>
          <w:szCs w:val="24"/>
        </w:rPr>
        <w:t xml:space="preserve"> desires</w:t>
      </w:r>
      <w:r w:rsidR="00813AF8">
        <w:rPr>
          <w:rFonts w:ascii="Times New Roman" w:hAnsi="Times New Roman" w:cs="Times New Roman"/>
          <w:sz w:val="24"/>
          <w:szCs w:val="24"/>
        </w:rPr>
        <w:t xml:space="preserve"> must be independen</w:t>
      </w:r>
      <w:r w:rsidR="005F29B9">
        <w:rPr>
          <w:rFonts w:ascii="Times New Roman" w:hAnsi="Times New Roman" w:cs="Times New Roman"/>
          <w:sz w:val="24"/>
          <w:szCs w:val="24"/>
        </w:rPr>
        <w:t>tly characterisable apart from their</w:t>
      </w:r>
      <w:r w:rsidR="00813AF8">
        <w:rPr>
          <w:rFonts w:ascii="Times New Roman" w:hAnsi="Times New Roman" w:cs="Times New Roman"/>
          <w:sz w:val="24"/>
          <w:szCs w:val="24"/>
        </w:rPr>
        <w:t xml:space="preserve"> functional role,</w:t>
      </w:r>
      <w:r w:rsidR="005F29B9">
        <w:rPr>
          <w:rFonts w:ascii="Times New Roman" w:hAnsi="Times New Roman" w:cs="Times New Roman"/>
          <w:sz w:val="24"/>
          <w:szCs w:val="24"/>
        </w:rPr>
        <w:t xml:space="preserve"> and the thesis must be empirically verified. But if these </w:t>
      </w:r>
      <w:r w:rsidR="008B21AB">
        <w:rPr>
          <w:rFonts w:ascii="Times New Roman" w:hAnsi="Times New Roman" w:cs="Times New Roman"/>
          <w:sz w:val="24"/>
          <w:szCs w:val="24"/>
        </w:rPr>
        <w:t>conditions are satisfied</w:t>
      </w:r>
      <w:r w:rsidR="005F29B9">
        <w:rPr>
          <w:rFonts w:ascii="Times New Roman" w:hAnsi="Times New Roman" w:cs="Times New Roman"/>
          <w:sz w:val="24"/>
          <w:szCs w:val="24"/>
        </w:rPr>
        <w:t>, then th</w:t>
      </w:r>
      <w:r w:rsidR="00241049">
        <w:rPr>
          <w:rFonts w:ascii="Times New Roman" w:hAnsi="Times New Roman" w:cs="Times New Roman"/>
          <w:sz w:val="24"/>
          <w:szCs w:val="24"/>
        </w:rPr>
        <w:t>e conativist thesis has to be</w:t>
      </w:r>
      <w:r w:rsidR="005F29B9">
        <w:rPr>
          <w:rFonts w:ascii="Times New Roman" w:hAnsi="Times New Roman" w:cs="Times New Roman"/>
          <w:sz w:val="24"/>
          <w:szCs w:val="24"/>
        </w:rPr>
        <w:t xml:space="preserve"> empirical</w:t>
      </w:r>
      <w:r w:rsidR="00241049">
        <w:rPr>
          <w:rFonts w:ascii="Times New Roman" w:hAnsi="Times New Roman" w:cs="Times New Roman"/>
          <w:sz w:val="24"/>
          <w:szCs w:val="24"/>
        </w:rPr>
        <w:t xml:space="preserve"> rather than conceptual</w:t>
      </w:r>
      <w:r w:rsidR="005F29B9">
        <w:rPr>
          <w:rFonts w:ascii="Times New Roman" w:hAnsi="Times New Roman" w:cs="Times New Roman"/>
          <w:sz w:val="24"/>
          <w:szCs w:val="24"/>
        </w:rPr>
        <w:t>; we need to observe instances of motivation, examining the properties of the end-setting state and seeing if they match our (substantive) descriptions of desires.</w:t>
      </w:r>
      <w:r w:rsidR="000A5F89">
        <w:rPr>
          <w:rStyle w:val="FootnoteReference"/>
          <w:rFonts w:ascii="Times New Roman" w:hAnsi="Times New Roman" w:cs="Times New Roman"/>
          <w:sz w:val="24"/>
          <w:szCs w:val="24"/>
        </w:rPr>
        <w:footnoteReference w:id="14"/>
      </w:r>
      <w:r w:rsidR="00C84ADD">
        <w:rPr>
          <w:rFonts w:ascii="Times New Roman" w:hAnsi="Times New Roman" w:cs="Times New Roman"/>
          <w:sz w:val="24"/>
          <w:szCs w:val="24"/>
        </w:rPr>
        <w:t xml:space="preserve"> I take such an empirical functional characterisation of conativism to be unproblematic, but </w:t>
      </w:r>
      <w:r w:rsidR="009733E7">
        <w:rPr>
          <w:rFonts w:ascii="Times New Roman" w:hAnsi="Times New Roman" w:cs="Times New Roman"/>
          <w:sz w:val="24"/>
          <w:szCs w:val="24"/>
        </w:rPr>
        <w:t>by itself, it does nothing</w:t>
      </w:r>
      <w:r w:rsidR="00C84ADD">
        <w:rPr>
          <w:rFonts w:ascii="Times New Roman" w:hAnsi="Times New Roman" w:cs="Times New Roman"/>
          <w:sz w:val="24"/>
          <w:szCs w:val="24"/>
        </w:rPr>
        <w:t xml:space="preserve"> to rescue Hume from the accusation of </w:t>
      </w:r>
      <w:r w:rsidR="00C84ADD">
        <w:rPr>
          <w:rFonts w:ascii="Times New Roman" w:hAnsi="Times New Roman" w:cs="Times New Roman"/>
          <w:i/>
          <w:sz w:val="24"/>
          <w:szCs w:val="24"/>
        </w:rPr>
        <w:t>ad hockery</w:t>
      </w:r>
      <w:r w:rsidR="00C84ADD">
        <w:rPr>
          <w:rFonts w:ascii="Times New Roman" w:hAnsi="Times New Roman" w:cs="Times New Roman"/>
          <w:sz w:val="24"/>
          <w:szCs w:val="24"/>
        </w:rPr>
        <w:t>. Examine the assiduous student: the conativist will claim that what is playing the end-setting role is a calm passion, while the rationalist will claim that it is a belief. To decide the issue, we must examine the properties of the end-setter to see which it is more likely to be (just as we examine the properties of the mass-granter and find it to fit our characterisation of a</w:t>
      </w:r>
      <w:r w:rsidR="000A5F89">
        <w:rPr>
          <w:rFonts w:ascii="Times New Roman" w:hAnsi="Times New Roman" w:cs="Times New Roman"/>
          <w:sz w:val="24"/>
          <w:szCs w:val="24"/>
        </w:rPr>
        <w:t xml:space="preserve"> Higgs-Boson). Both theories agree in what they expect the functional role of this entity to be,</w:t>
      </w:r>
      <w:r w:rsidR="007E01E5">
        <w:rPr>
          <w:rFonts w:ascii="Times New Roman" w:hAnsi="Times New Roman" w:cs="Times New Roman"/>
          <w:sz w:val="24"/>
          <w:szCs w:val="24"/>
        </w:rPr>
        <w:t xml:space="preserve"> so this cannot decide between the two accounts; </w:t>
      </w:r>
      <w:r w:rsidR="005050B0">
        <w:rPr>
          <w:rFonts w:ascii="Times New Roman" w:hAnsi="Times New Roman" w:cs="Times New Roman"/>
          <w:sz w:val="24"/>
          <w:szCs w:val="24"/>
        </w:rPr>
        <w:t>thus</w:t>
      </w:r>
      <w:r w:rsidR="000A5F89">
        <w:rPr>
          <w:rFonts w:ascii="Times New Roman" w:hAnsi="Times New Roman" w:cs="Times New Roman"/>
          <w:sz w:val="24"/>
          <w:szCs w:val="24"/>
        </w:rPr>
        <w:t xml:space="preserve"> </w:t>
      </w:r>
      <w:r w:rsidR="000A5F89">
        <w:rPr>
          <w:rFonts w:ascii="Times New Roman" w:hAnsi="Times New Roman" w:cs="Times New Roman"/>
          <w:sz w:val="24"/>
          <w:szCs w:val="24"/>
        </w:rPr>
        <w:lastRenderedPageBreak/>
        <w:t xml:space="preserve">we must look to phenomenology to decide the issue: does it </w:t>
      </w:r>
      <w:r w:rsidR="000A5F89">
        <w:rPr>
          <w:rFonts w:ascii="Times New Roman" w:hAnsi="Times New Roman" w:cs="Times New Roman"/>
          <w:i/>
          <w:sz w:val="24"/>
          <w:szCs w:val="24"/>
        </w:rPr>
        <w:t>feel</w:t>
      </w:r>
      <w:r w:rsidR="000A5F89">
        <w:rPr>
          <w:rFonts w:ascii="Times New Roman" w:hAnsi="Times New Roman" w:cs="Times New Roman"/>
          <w:sz w:val="24"/>
          <w:szCs w:val="24"/>
        </w:rPr>
        <w:t xml:space="preserve"> like a desire or belief? And the answer is clearly the </w:t>
      </w:r>
      <w:r w:rsidR="007E01E5">
        <w:rPr>
          <w:rFonts w:ascii="Times New Roman" w:hAnsi="Times New Roman" w:cs="Times New Roman"/>
          <w:sz w:val="24"/>
          <w:szCs w:val="24"/>
        </w:rPr>
        <w:t>latter</w:t>
      </w:r>
      <w:r w:rsidR="002D4142">
        <w:rPr>
          <w:rFonts w:ascii="Times New Roman" w:hAnsi="Times New Roman" w:cs="Times New Roman"/>
          <w:sz w:val="24"/>
          <w:szCs w:val="24"/>
        </w:rPr>
        <w:t>, leaving untouched</w:t>
      </w:r>
      <w:r w:rsidR="007E01E5">
        <w:rPr>
          <w:rFonts w:ascii="Times New Roman" w:hAnsi="Times New Roman" w:cs="Times New Roman"/>
          <w:sz w:val="24"/>
          <w:szCs w:val="24"/>
        </w:rPr>
        <w:t xml:space="preserve"> the worry</w:t>
      </w:r>
      <w:r w:rsidR="000A5F89">
        <w:rPr>
          <w:rFonts w:ascii="Times New Roman" w:hAnsi="Times New Roman" w:cs="Times New Roman"/>
          <w:sz w:val="24"/>
          <w:szCs w:val="24"/>
        </w:rPr>
        <w:t xml:space="preserve"> of </w:t>
      </w:r>
      <w:r w:rsidR="000A5F89">
        <w:rPr>
          <w:rFonts w:ascii="Times New Roman" w:hAnsi="Times New Roman" w:cs="Times New Roman"/>
          <w:i/>
          <w:sz w:val="24"/>
          <w:szCs w:val="24"/>
        </w:rPr>
        <w:t>ad hockery</w:t>
      </w:r>
      <w:r w:rsidR="000A5F89">
        <w:rPr>
          <w:rFonts w:ascii="Times New Roman" w:hAnsi="Times New Roman" w:cs="Times New Roman"/>
          <w:sz w:val="24"/>
          <w:szCs w:val="24"/>
        </w:rPr>
        <w:t xml:space="preserve">. An </w:t>
      </w:r>
      <w:r w:rsidR="000A5F89">
        <w:rPr>
          <w:rFonts w:ascii="Times New Roman" w:hAnsi="Times New Roman" w:cs="Times New Roman"/>
          <w:i/>
          <w:sz w:val="24"/>
          <w:szCs w:val="24"/>
        </w:rPr>
        <w:t>a priori</w:t>
      </w:r>
      <w:r w:rsidR="000A5F89">
        <w:rPr>
          <w:rFonts w:ascii="Times New Roman" w:hAnsi="Times New Roman" w:cs="Times New Roman"/>
          <w:sz w:val="24"/>
          <w:szCs w:val="24"/>
        </w:rPr>
        <w:t xml:space="preserve"> functional characterisation solves the</w:t>
      </w:r>
      <w:r w:rsidR="00D53EBA">
        <w:rPr>
          <w:rFonts w:ascii="Times New Roman" w:hAnsi="Times New Roman" w:cs="Times New Roman"/>
          <w:sz w:val="24"/>
          <w:szCs w:val="24"/>
        </w:rPr>
        <w:t xml:space="preserve"> worry of</w:t>
      </w:r>
      <w:r w:rsidR="000A5F89">
        <w:rPr>
          <w:rFonts w:ascii="Times New Roman" w:hAnsi="Times New Roman" w:cs="Times New Roman"/>
          <w:sz w:val="24"/>
          <w:szCs w:val="24"/>
        </w:rPr>
        <w:t xml:space="preserve"> </w:t>
      </w:r>
      <w:r w:rsidR="000A5F89">
        <w:rPr>
          <w:rFonts w:ascii="Times New Roman" w:hAnsi="Times New Roman" w:cs="Times New Roman"/>
          <w:i/>
          <w:sz w:val="24"/>
          <w:szCs w:val="24"/>
        </w:rPr>
        <w:t>ad hockery</w:t>
      </w:r>
      <w:r w:rsidR="000A5F89">
        <w:rPr>
          <w:rFonts w:ascii="Times New Roman" w:hAnsi="Times New Roman" w:cs="Times New Roman"/>
          <w:sz w:val="24"/>
          <w:szCs w:val="24"/>
        </w:rPr>
        <w:t xml:space="preserve">, but on pain of facing a dilemma between triviality and violating </w:t>
      </w:r>
      <w:r w:rsidR="009733E7">
        <w:rPr>
          <w:rFonts w:ascii="Times New Roman" w:hAnsi="Times New Roman" w:cs="Times New Roman"/>
          <w:sz w:val="24"/>
          <w:szCs w:val="24"/>
        </w:rPr>
        <w:t>CC</w:t>
      </w:r>
      <w:r w:rsidR="000A5F89">
        <w:rPr>
          <w:rFonts w:ascii="Times New Roman" w:hAnsi="Times New Roman" w:cs="Times New Roman"/>
          <w:sz w:val="24"/>
          <w:szCs w:val="24"/>
        </w:rPr>
        <w:t xml:space="preserve">; an empirical functional characterisation avoids this worry, but does nothing to address the original objection. Therefore, </w:t>
      </w:r>
      <w:r w:rsidR="00CC021E">
        <w:rPr>
          <w:rFonts w:ascii="Times New Roman" w:hAnsi="Times New Roman" w:cs="Times New Roman"/>
          <w:sz w:val="24"/>
          <w:szCs w:val="24"/>
        </w:rPr>
        <w:t>functional characterisations by themselves do nothing</w:t>
      </w:r>
      <w:r w:rsidR="000A5F89">
        <w:rPr>
          <w:rFonts w:ascii="Times New Roman" w:hAnsi="Times New Roman" w:cs="Times New Roman"/>
          <w:sz w:val="24"/>
          <w:szCs w:val="24"/>
        </w:rPr>
        <w:t xml:space="preserve"> to solve this problem.</w:t>
      </w:r>
      <w:r w:rsidR="000A5F89">
        <w:rPr>
          <w:rStyle w:val="FootnoteReference"/>
          <w:rFonts w:ascii="Times New Roman" w:hAnsi="Times New Roman" w:cs="Times New Roman"/>
          <w:sz w:val="24"/>
          <w:szCs w:val="24"/>
        </w:rPr>
        <w:footnoteReference w:id="15"/>
      </w:r>
    </w:p>
    <w:p w:rsidR="00556FEF" w:rsidRDefault="00AC7B9C" w:rsidP="00512563">
      <w:pPr>
        <w:pStyle w:val="Heading2"/>
        <w:numPr>
          <w:ilvl w:val="0"/>
          <w:numId w:val="1"/>
        </w:numPr>
        <w:spacing w:before="200" w:after="200" w:line="480" w:lineRule="auto"/>
        <w:jc w:val="both"/>
      </w:pPr>
      <w:r>
        <w:t>Rescuing an Empirical Account</w:t>
      </w:r>
    </w:p>
    <w:p w:rsidR="00BF1039" w:rsidRDefault="00BF1039" w:rsidP="00BF1039">
      <w:pPr>
        <w:pStyle w:val="Heading3"/>
        <w:numPr>
          <w:ilvl w:val="0"/>
          <w:numId w:val="5"/>
        </w:numPr>
      </w:pPr>
      <w:r>
        <w:t>Making a Phenomenological Case for the Calm Passions</w:t>
      </w:r>
    </w:p>
    <w:p w:rsidR="00BF1039" w:rsidRDefault="00BF1039" w:rsidP="00BF1039">
      <w:pPr>
        <w:spacing w:before="200" w:after="200" w:line="480" w:lineRule="auto"/>
        <w:jc w:val="both"/>
      </w:pPr>
      <w:r>
        <w:t>In judging the force of th</w:t>
      </w:r>
      <w:r w:rsidR="00B26C95">
        <w:t>e</w:t>
      </w:r>
      <w:r>
        <w:t xml:space="preserve"> objection</w:t>
      </w:r>
      <w:r w:rsidR="00B26C95">
        <w:t xml:space="preserve"> of </w:t>
      </w:r>
      <w:r w:rsidR="00B26C95">
        <w:rPr>
          <w:i/>
        </w:rPr>
        <w:t>ad hockery</w:t>
      </w:r>
      <w:r>
        <w:t xml:space="preserve">, one crucial issue </w:t>
      </w:r>
      <w:r w:rsidR="00500E25">
        <w:t xml:space="preserve">is whether the </w:t>
      </w:r>
      <w:r>
        <w:t>calm passions</w:t>
      </w:r>
      <w:r w:rsidR="00500E25">
        <w:t xml:space="preserve"> are sensible or not</w:t>
      </w:r>
      <w:r>
        <w:t xml:space="preserve">. </w:t>
      </w:r>
      <w:r w:rsidR="00AB004B">
        <w:t>Some</w:t>
      </w:r>
      <w:r>
        <w:t xml:space="preserve"> commentators think Hume’s calm passions to be completely insensible: Stroud (1977, pp.164-5) claims that there is no independent way of discerning the calm passions besides their purported effects; Smith (1994, p.112) reads Hume as claiming that the calm passions ‘lack phenomenological content altogether’; Shaw (1989) believes the calm passions to be completely insensible, consequently arguing that they are unactualised dispositions to have certain desires were the individual to think about the relevant objects. The point is that Hume, as an empirically grounded scientist of man, only seems licensed to postulate sensible mental entities; if the calm passions lack any phenomenology, then Hume would be begging the question in postulating them. If these commentators are correct, then there would be no rescuing Hume from the objection of </w:t>
      </w:r>
      <w:r w:rsidRPr="007A7AD6">
        <w:rPr>
          <w:i/>
        </w:rPr>
        <w:t>ad hockery</w:t>
      </w:r>
      <w:r>
        <w:t xml:space="preserve"> – his appeal to the calm passions would be devoid of any empirical support and thus utterly question-begging. </w:t>
      </w:r>
      <w:r w:rsidR="008A1E77">
        <w:t>This would be especially troubling given Hume’s psychological framework – how can a passions exist independently of its being perceived in some manner?</w:t>
      </w:r>
    </w:p>
    <w:p w:rsidR="00BF1039" w:rsidRDefault="00BF1039" w:rsidP="00BF1039">
      <w:pPr>
        <w:spacing w:before="200" w:after="200" w:line="480" w:lineRule="auto"/>
        <w:ind w:firstLine="720"/>
        <w:jc w:val="both"/>
      </w:pPr>
      <w:r>
        <w:lastRenderedPageBreak/>
        <w:t xml:space="preserve">I think Hume’s position not so dire: in appealing to the calm passions, Hume is not postulating something for which there is absolutely no phenomenological evidence. Hume clearly holds that we do on some level feel the calm passions. For one, he says they produce ‘little emotion’ (THN 2.3.3.8), and not no emotion. Likewise, Hume’s claim that the calm passions ‘cause no disorder in the soul’ (THN 2.3.3.8) merely indicates that they are not emotionally violent; a feeling of contentment could be said to ‘cause no disorder in the soul’, despite uncontroversially possessing phenomenal character. Similar remarks may be made about the claim that they produce ‘no sensible agitation’ (THN 2.3.4.1). </w:t>
      </w:r>
    </w:p>
    <w:p w:rsidR="00BF1039" w:rsidRDefault="007A7AD6" w:rsidP="00BF1039">
      <w:pPr>
        <w:spacing w:before="200" w:after="200" w:line="480" w:lineRule="auto"/>
        <w:ind w:firstLine="720"/>
        <w:jc w:val="both"/>
      </w:pPr>
      <w:r>
        <w:t>Indeed, that the calm passions have phenomenology</w:t>
      </w:r>
      <w:r w:rsidR="00A321F4">
        <w:t xml:space="preserve"> can be verified by the fact that Hume takes the calm passions to be readily confused with the determinations of reason, precisely because they share a similar </w:t>
      </w:r>
      <w:r>
        <w:t>sensation</w:t>
      </w:r>
      <w:r w:rsidR="00A321F4">
        <w:t>:</w:t>
      </w:r>
    </w:p>
    <w:p w:rsidR="00A321F4" w:rsidRDefault="00A321F4" w:rsidP="00A321F4">
      <w:pPr>
        <w:pStyle w:val="HumeReferences"/>
      </w:pPr>
      <w:r w:rsidRPr="00A321F4">
        <w:t> When any of these passions are calm, and cause no disorder in the soul, they are very readily taken for the determinations of reason, and are suppos’d to proceed from the same faculty, with that, which judges of truth and falshood. Their nature and principles have been suppos’d the same, because their sensations are not evidently different.</w:t>
      </w:r>
      <w:r>
        <w:t xml:space="preserve"> (THN 2.3.3.8)</w:t>
      </w:r>
    </w:p>
    <w:p w:rsidR="008A1E77" w:rsidRPr="008A1E77" w:rsidRDefault="00A321F4" w:rsidP="007A7AD6">
      <w:pPr>
        <w:spacing w:before="200" w:after="200" w:line="480" w:lineRule="auto"/>
        <w:jc w:val="both"/>
      </w:pPr>
      <w:r>
        <w:t xml:space="preserve">Clearly, the determinations of reason are not wholly insensible. </w:t>
      </w:r>
      <w:r w:rsidR="0053342F">
        <w:t>B</w:t>
      </w:r>
      <w:r>
        <w:t>eliefs are characterised by their force and vivacity, which is a phenomenological notion: ‘</w:t>
      </w:r>
      <w:r w:rsidRPr="00A321F4">
        <w:t>An opinion, therefore, or belief may be most accurately defin’d, A lively idea related to or associated with a present impression</w:t>
      </w:r>
      <w:r>
        <w:t>’ (THN 1.3.7.5).</w:t>
      </w:r>
      <w:r w:rsidRPr="00A321F4">
        <w:rPr>
          <w:vertAlign w:val="superscript"/>
        </w:rPr>
        <w:footnoteReference w:id="16"/>
      </w:r>
      <w:r w:rsidR="00660E93">
        <w:t xml:space="preserve"> Since beliefs have a distinct phenomenology, and the calm passions are confused with beliefs in virtue of sharing a similar phenomenology or sensation, it follows that Hume holds that the calm passions have phenomenology. Hume does say that reason ‘</w:t>
      </w:r>
      <w:r w:rsidR="00660E93" w:rsidRPr="00660E93">
        <w:t>exerts itself without producing any sensible emotion</w:t>
      </w:r>
      <w:r w:rsidR="00660E93">
        <w:t xml:space="preserve">’ (THN 2.3.3.8), but Hume only means that reason does not typically produce </w:t>
      </w:r>
      <w:r w:rsidR="00660E93">
        <w:lastRenderedPageBreak/>
        <w:t>passions, rather than that it does not possess a phenomenology. The determinations of reason, like the calm passions</w:t>
      </w:r>
      <w:r w:rsidR="0053342F">
        <w:t>, are perfectly sensible, but</w:t>
      </w:r>
      <w:r w:rsidR="00660E93">
        <w:t xml:space="preserve"> simply have a phenomenological valence that lacks violence.</w:t>
      </w:r>
      <w:r w:rsidR="008A1E77" w:rsidRPr="008A1E77">
        <w:t xml:space="preserve"> This reading can be confirmed by Hume’s noting that we have no need to invent unperceived passions, which clearly indicates that he believes that we do recognise the calm passions, even if only dimly:</w:t>
      </w:r>
    </w:p>
    <w:p w:rsidR="008A1E77" w:rsidRPr="008A1E77" w:rsidRDefault="008A1E77" w:rsidP="008A1E77">
      <w:pPr>
        <w:spacing w:before="200" w:after="200" w:line="480" w:lineRule="auto"/>
        <w:ind w:left="567" w:right="567"/>
        <w:jc w:val="both"/>
        <w:rPr>
          <w:rFonts w:eastAsia="Times New Roman"/>
          <w:sz w:val="20"/>
          <w:szCs w:val="20"/>
          <w:lang w:eastAsia="en-GB"/>
        </w:rPr>
      </w:pPr>
      <w:r w:rsidRPr="008A1E77">
        <w:rPr>
          <w:rFonts w:eastAsia="Times New Roman"/>
          <w:sz w:val="20"/>
          <w:szCs w:val="20"/>
          <w:lang w:eastAsia="en-GB"/>
        </w:rPr>
        <w:t>Our passions are found by experience to have a mutual connexion with and dependence on each other; but on no occasion is it necessary to suppose, that they have existed and operated, when they were not perceiv’d, in order to preserve the same dependence and connexion, of which we have had experience. (THN 1.4.2.20)</w:t>
      </w:r>
    </w:p>
    <w:p w:rsidR="00A321F4" w:rsidRDefault="008A1E77" w:rsidP="008A1E77">
      <w:pPr>
        <w:spacing w:before="200" w:after="200" w:line="480" w:lineRule="auto"/>
        <w:jc w:val="both"/>
      </w:pPr>
      <w:r w:rsidRPr="008A1E77">
        <w:t xml:space="preserve">Thus, it is plain that Hume does not </w:t>
      </w:r>
      <w:r>
        <w:t>believe the calm passions to exist unperceived.</w:t>
      </w:r>
    </w:p>
    <w:p w:rsidR="00241237" w:rsidRDefault="00660E93" w:rsidP="00241237">
      <w:pPr>
        <w:spacing w:before="200" w:after="200" w:line="480" w:lineRule="auto"/>
        <w:ind w:firstLine="720"/>
        <w:jc w:val="both"/>
      </w:pPr>
      <w:r>
        <w:t xml:space="preserve">Thus, the crucial issue in this debate is not whether </w:t>
      </w:r>
      <w:r w:rsidR="001477FD">
        <w:t xml:space="preserve">Hume thinks </w:t>
      </w:r>
      <w:r>
        <w:t xml:space="preserve">the calm passions are sensible, because </w:t>
      </w:r>
      <w:r w:rsidR="001477FD">
        <w:t>he</w:t>
      </w:r>
      <w:r>
        <w:t xml:space="preserve"> clearly </w:t>
      </w:r>
      <w:r w:rsidR="001477FD">
        <w:t>does</w:t>
      </w:r>
      <w:r>
        <w:t xml:space="preserve">. What is important is whether there is sufficient empirical grounds for </w:t>
      </w:r>
      <w:r w:rsidR="00B26C95">
        <w:t>taking ourselves to be motivated by calm passions rather than the determinations of reason</w:t>
      </w:r>
      <w:r>
        <w:t xml:space="preserve">. </w:t>
      </w:r>
      <w:r w:rsidR="00B26C95">
        <w:t>Certainly,</w:t>
      </w:r>
      <w:r w:rsidR="008A1E77">
        <w:t xml:space="preserve"> we </w:t>
      </w:r>
      <w:r w:rsidR="00B26C95">
        <w:t xml:space="preserve">all </w:t>
      </w:r>
      <w:r w:rsidR="008A1E77">
        <w:t xml:space="preserve">feel </w:t>
      </w:r>
      <w:r w:rsidR="008A1E77">
        <w:rPr>
          <w:i/>
        </w:rPr>
        <w:t>something</w:t>
      </w:r>
      <w:r w:rsidR="008A1E77">
        <w:t xml:space="preserve"> in cases such as the assiduous student, </w:t>
      </w:r>
      <w:r w:rsidR="00B26C95">
        <w:t xml:space="preserve">but </w:t>
      </w:r>
      <w:r w:rsidR="008A1E77">
        <w:t xml:space="preserve">is what we feel a calm passion or a determination of reason? If it </w:t>
      </w:r>
      <w:r w:rsidR="00B26C95">
        <w:t>seems more like a determination of reason than a calm passion</w:t>
      </w:r>
      <w:r w:rsidR="008A1E77">
        <w:t xml:space="preserve">, then Hume’s appeal to the calm passions can nevertheless be seen as </w:t>
      </w:r>
      <w:r w:rsidR="008A1E77">
        <w:rPr>
          <w:i/>
        </w:rPr>
        <w:t>ad hoc</w:t>
      </w:r>
      <w:r w:rsidR="008A1E77">
        <w:t xml:space="preserve">. </w:t>
      </w:r>
    </w:p>
    <w:p w:rsidR="008A1E77" w:rsidRDefault="008A1E77" w:rsidP="00BF1039">
      <w:pPr>
        <w:spacing w:before="200" w:after="200" w:line="480" w:lineRule="auto"/>
        <w:ind w:firstLine="720"/>
        <w:jc w:val="both"/>
      </w:pPr>
      <w:r>
        <w:t>Nevertheless, note</w:t>
      </w:r>
      <w:r w:rsidR="00BF1039">
        <w:t xml:space="preserve"> that the calm passions are</w:t>
      </w:r>
      <w:r>
        <w:t xml:space="preserve"> not</w:t>
      </w:r>
      <w:r w:rsidR="00BF1039">
        <w:t xml:space="preserve"> wholly indistinguishable from the actions of reason. When Hume claims that the two ‘are not immediately distinguishable to the feeling and perception’ (THN 2.3.3.8), this does not entail that they are completely indistinguishable, but rather that such a distinction is difficult and not immediate; similarly for his claim that ‘their sensations are not evidently different’ (ibid.), which is best read as claiming that their qualitative difference is not obvious, but nevertheless exists. </w:t>
      </w:r>
      <w:r w:rsidR="004131ED">
        <w:t xml:space="preserve">Hume does not think this confusion between the calm passions and the determinations of reason to afflict everyone, but only those who lack a ‘strict philosophic </w:t>
      </w:r>
      <w:r w:rsidR="004131ED">
        <w:lastRenderedPageBreak/>
        <w:t xml:space="preserve">eye’ (THN 2.3.3.8). Those with a less refined sense of introspection are liable to confuse the two, but those with more sophistication will be able to tell the difference. </w:t>
      </w:r>
    </w:p>
    <w:p w:rsidR="00BF1039" w:rsidRDefault="004131ED" w:rsidP="004131ED">
      <w:pPr>
        <w:spacing w:before="200" w:after="200" w:line="480" w:lineRule="auto"/>
        <w:ind w:firstLine="720"/>
        <w:jc w:val="both"/>
      </w:pPr>
      <w:r>
        <w:t xml:space="preserve">A model for this can be found in </w:t>
      </w:r>
      <w:r w:rsidR="00BF1039">
        <w:t>Baillie (2000</w:t>
      </w:r>
      <w:r w:rsidR="000A2AC9">
        <w:t>, p.95</w:t>
      </w:r>
      <w:r w:rsidR="00BF1039">
        <w:t>)</w:t>
      </w:r>
      <w:r>
        <w:t>, who</w:t>
      </w:r>
      <w:r w:rsidR="00BF1039">
        <w:t xml:space="preserve"> suggests that a refined observer would be able to discern the calm passions amidst the tempest of more violent emotions, a reading somewhat inspired by Hume’s adaptation of a tale from Cervantes’ Don Quixote in ‘Of a Standard of Taste’. Here Hume gives the example of the refined palate of Sancho Panza’s kinsmen, who discerned the subtle tastes of iron and leather in a hogshead of wine, which </w:t>
      </w:r>
      <w:r w:rsidR="0053342F">
        <w:t>failed to be recognised</w:t>
      </w:r>
      <w:r w:rsidR="00BF1039">
        <w:t xml:space="preserve"> by the less refined drinkers around them (EMPL 234-5).</w:t>
      </w:r>
      <w:r w:rsidR="00500E25">
        <w:t xml:space="preserve"> Just as </w:t>
      </w:r>
      <w:r w:rsidR="000424A1">
        <w:t>an unrefined drinker</w:t>
      </w:r>
      <w:r w:rsidR="00500E25">
        <w:t xml:space="preserve"> might, in tasting a rich Barolo, </w:t>
      </w:r>
      <w:r w:rsidR="000424A1">
        <w:t>mistake</w:t>
      </w:r>
      <w:r w:rsidR="00500E25">
        <w:t xml:space="preserve"> the </w:t>
      </w:r>
      <w:r w:rsidR="000424A1">
        <w:t>a note of cherry for the taste of strawberry amidst the complexity of flavour,</w:t>
      </w:r>
      <w:r w:rsidR="00BF1039">
        <w:t xml:space="preserve"> </w:t>
      </w:r>
      <w:r w:rsidR="000424A1">
        <w:t xml:space="preserve">an unrefined feeler might mistake a calm passion for an action of reason. </w:t>
      </w:r>
      <w:r w:rsidR="007A7AD6">
        <w:t>This phenomenon of greater and lesser</w:t>
      </w:r>
      <w:r w:rsidR="00BF1039">
        <w:t xml:space="preserve"> sensitivity to our passions is described by Hume in his essay ‘Of the Delicacy of Taste and Passion’. Immerwahr (1991, p.9) argues that in this essay, ‘passion’ corresponds to </w:t>
      </w:r>
      <w:r>
        <w:t xml:space="preserve">the </w:t>
      </w:r>
      <w:r w:rsidR="00BF1039">
        <w:t>violent passions, while ‘taste’ corresponds to</w:t>
      </w:r>
      <w:r>
        <w:t xml:space="preserve"> the</w:t>
      </w:r>
      <w:r w:rsidR="00BF1039">
        <w:t xml:space="preserve"> calm passions. On this reading, Hume in this essay </w:t>
      </w:r>
      <w:r w:rsidR="007A7AD6">
        <w:t>expresses approval</w:t>
      </w:r>
      <w:r w:rsidR="00BF1039">
        <w:t xml:space="preserve"> of those who have a sensitivity to calm (but not violent) passions, </w:t>
      </w:r>
      <w:r w:rsidR="0053342F">
        <w:t>presumably including</w:t>
      </w:r>
      <w:r w:rsidR="00BF1039">
        <w:t xml:space="preserve"> those able to distinguish their calm passions from the actions of reason.</w:t>
      </w:r>
    </w:p>
    <w:p w:rsidR="00241237" w:rsidRDefault="00241237" w:rsidP="00241237">
      <w:pPr>
        <w:spacing w:before="200" w:after="200" w:line="480" w:lineRule="auto"/>
        <w:ind w:firstLine="720"/>
        <w:jc w:val="both"/>
      </w:pPr>
      <w:r>
        <w:t xml:space="preserve">It should also be noted that Hume certainly thinks it possible for us to make second-order mistakes </w:t>
      </w:r>
      <w:r w:rsidR="007A7AD6">
        <w:t xml:space="preserve">(such as misclassifying our perceptions) </w:t>
      </w:r>
      <w:r>
        <w:t>when reflecting on our perceptions:</w:t>
      </w:r>
    </w:p>
    <w:p w:rsidR="00241237" w:rsidRDefault="00241237" w:rsidP="00241237">
      <w:pPr>
        <w:pStyle w:val="HumeReferences"/>
      </w:pPr>
      <w:r w:rsidRPr="00241237">
        <w:t>... the operations of the mind... though most intimately present to us, yet, whenever they become the object of reflection, the</w:t>
      </w:r>
      <w:r>
        <w:t>y seem involved in obscurity...</w:t>
      </w:r>
      <w:r w:rsidRPr="00241237">
        <w:t xml:space="preserve"> (EHU 1.13</w:t>
      </w:r>
      <w:r>
        <w:t>)</w:t>
      </w:r>
    </w:p>
    <w:p w:rsidR="00241237" w:rsidRDefault="00241237" w:rsidP="00241237">
      <w:pPr>
        <w:pStyle w:val="HumeReferences"/>
      </w:pPr>
      <w:r>
        <w:t xml:space="preserve"> </w:t>
      </w:r>
      <w:r w:rsidRPr="00241237">
        <w:t>But the finer sentiments of the mind, the operations of the understanding, the various agitations of the passions, though really in themselves distinct, easily escape us, when surveyed by reflection</w:t>
      </w:r>
      <w:r>
        <w:t>... (EHU 7.1</w:t>
      </w:r>
      <w:r w:rsidRPr="00241237">
        <w:t>).</w:t>
      </w:r>
    </w:p>
    <w:p w:rsidR="00241237" w:rsidRDefault="00241237" w:rsidP="00241237">
      <w:pPr>
        <w:spacing w:before="200" w:after="200" w:line="480" w:lineRule="auto"/>
        <w:jc w:val="both"/>
      </w:pPr>
      <w:r>
        <w:lastRenderedPageBreak/>
        <w:t xml:space="preserve">On this reading, those who confuse the calm passions for the determinations of reason would be making a </w:t>
      </w:r>
      <w:r w:rsidR="007A7AD6">
        <w:t xml:space="preserve">classificatory </w:t>
      </w:r>
      <w:r>
        <w:t>mistake along these lines – an understandable one, but a mistake nonetheless.</w:t>
      </w:r>
    </w:p>
    <w:p w:rsidR="00BF1039" w:rsidRDefault="001477FD" w:rsidP="00BF1039">
      <w:pPr>
        <w:spacing w:before="200" w:after="200" w:line="480" w:lineRule="auto"/>
        <w:ind w:firstLine="720"/>
        <w:jc w:val="both"/>
      </w:pPr>
      <w:r>
        <w:t>To sum up</w:t>
      </w:r>
      <w:r w:rsidR="004131ED">
        <w:t xml:space="preserve">, intuitions seem split in </w:t>
      </w:r>
      <w:r w:rsidR="00BF1039">
        <w:t>cases</w:t>
      </w:r>
      <w:r w:rsidR="004131ED">
        <w:t xml:space="preserve"> of motivation involving the calm passions</w:t>
      </w:r>
      <w:r w:rsidR="00BF1039">
        <w:t xml:space="preserve">: some assiduous students, when tempted, will report the existence of a faint desire to stay home and study, while others might </w:t>
      </w:r>
      <w:r w:rsidR="004131ED">
        <w:t>take this to be a belief or something similar</w:t>
      </w:r>
      <w:r w:rsidR="00BF1039">
        <w:t xml:space="preserve">. </w:t>
      </w:r>
      <w:r w:rsidR="007A7AD6">
        <w:t>Hume maintains that the latter group are making a classificatory mistake, but is he justified in claiming this?</w:t>
      </w:r>
      <w:r w:rsidR="00BF1039">
        <w:t xml:space="preserve"> </w:t>
      </w:r>
      <w:r w:rsidR="00AB004B">
        <w:t>For</w:t>
      </w:r>
      <w:r w:rsidR="00BF1039">
        <w:t xml:space="preserve"> the sake of argument I will grant that plausibly, </w:t>
      </w:r>
      <w:r w:rsidR="004131ED">
        <w:t>a significant proportion</w:t>
      </w:r>
      <w:r w:rsidR="00BF1039">
        <w:t xml:space="preserve"> of people </w:t>
      </w:r>
      <w:r w:rsidR="004131ED">
        <w:t>take themselves to be motivated by a belief or somesuch rather than a calm passion. In such a situation,</w:t>
      </w:r>
      <w:r w:rsidR="00BF1039">
        <w:t xml:space="preserve"> Hume’s appeal to the calm passions, although not totally devoid of empirical support, would nevertheless be inadequately substantiated. This is problematic for an empirical construal of Hume’s conativist thesis: if one propounds an empirical thesis, one’s arguments for it had better have sufficient empirical </w:t>
      </w:r>
      <w:r w:rsidR="004131ED">
        <w:t>grounding</w:t>
      </w:r>
      <w:r w:rsidR="00BF1039">
        <w:t>.</w:t>
      </w:r>
      <w:r w:rsidR="004131ED">
        <w:t xml:space="preserve"> In what follows, I proceed </w:t>
      </w:r>
      <w:r>
        <w:t>to make a theoretical case for justifying Hume’s appeal to</w:t>
      </w:r>
      <w:r w:rsidR="004131ED">
        <w:t xml:space="preserve"> the calm passions in </w:t>
      </w:r>
      <w:r>
        <w:t>light of this</w:t>
      </w:r>
      <w:r w:rsidR="004131ED">
        <w:t>.</w:t>
      </w:r>
    </w:p>
    <w:p w:rsidR="00BF1039" w:rsidRPr="00BF1039" w:rsidRDefault="00BF1039" w:rsidP="00BF1039">
      <w:pPr>
        <w:pStyle w:val="Heading3"/>
        <w:numPr>
          <w:ilvl w:val="0"/>
          <w:numId w:val="5"/>
        </w:numPr>
      </w:pPr>
      <w:r>
        <w:t>Making a Theoretical case for the Calm Passions</w:t>
      </w:r>
    </w:p>
    <w:p w:rsidR="001C4BFA" w:rsidRPr="009B0944" w:rsidRDefault="007A7AD6" w:rsidP="009B0944">
      <w:pPr>
        <w:spacing w:before="200" w:after="200" w:line="480" w:lineRule="auto"/>
        <w:jc w:val="both"/>
      </w:pPr>
      <w:r>
        <w:t>Having addressed the phenomenological issue, I now</w:t>
      </w:r>
      <w:r w:rsidR="009B0944">
        <w:t xml:space="preserve"> argue that Hume’s appeal to the calm passions can be </w:t>
      </w:r>
      <w:r w:rsidR="00703B77">
        <w:t>justified</w:t>
      </w:r>
      <w:r w:rsidR="009B0944">
        <w:t xml:space="preserve"> within</w:t>
      </w:r>
      <w:r w:rsidR="00EB680C">
        <w:t xml:space="preserve"> such</w:t>
      </w:r>
      <w:r w:rsidR="009B0944">
        <w:t xml:space="preserve"> an empirical reading from the point of view of his methodology of systematisation. I provide two theoretical frameworks </w:t>
      </w:r>
      <w:r w:rsidR="002B59B9">
        <w:t>within</w:t>
      </w:r>
      <w:r w:rsidR="009B0944">
        <w:t xml:space="preserve"> which his appeal to the calm passions</w:t>
      </w:r>
      <w:r w:rsidR="002B59B9">
        <w:t xml:space="preserve"> may be justified</w:t>
      </w:r>
      <w:r w:rsidR="009B0944">
        <w:t>:</w:t>
      </w:r>
      <w:r w:rsidR="002B59B9" w:rsidRPr="002B59B9">
        <w:t xml:space="preserve"> </w:t>
      </w:r>
      <w:r w:rsidR="002B59B9">
        <w:t xml:space="preserve">first, by the admittedly modern </w:t>
      </w:r>
      <w:r w:rsidR="005F57F2">
        <w:t>framework</w:t>
      </w:r>
      <w:r w:rsidR="002B59B9">
        <w:t xml:space="preserve"> of</w:t>
      </w:r>
      <w:r w:rsidR="005F57F2">
        <w:t xml:space="preserve"> the</w:t>
      </w:r>
      <w:r w:rsidR="002B59B9">
        <w:t xml:space="preserve"> theoretical virtues (of which there are hints in Hume),</w:t>
      </w:r>
      <w:r w:rsidR="000223FF">
        <w:rPr>
          <w:rStyle w:val="FootnoteReference"/>
        </w:rPr>
        <w:footnoteReference w:id="17"/>
      </w:r>
      <w:r w:rsidR="002B59B9">
        <w:t xml:space="preserve"> and secondly, by his own ‘rules by which to judge of causes and effects’ (THN 1.3.15).</w:t>
      </w:r>
      <w:r w:rsidR="001C4BFA" w:rsidRPr="001C4BFA">
        <w:t xml:space="preserve"> Note that such a theoretical evaluation is distinct from Hume’s arguments for his conativist thesis. Theoretical considerations come into play only after Hume’s arguments have </w:t>
      </w:r>
      <w:r w:rsidR="001C4BFA" w:rsidRPr="001C4BFA">
        <w:lastRenderedPageBreak/>
        <w:t>made a case for the conativist thesis; the theoretical comparison of competing theses is only meaningful once the case has been staked for the theses and their respective theoretical credentials established.</w:t>
      </w:r>
    </w:p>
    <w:p w:rsidR="009B0944" w:rsidRPr="009B0944" w:rsidRDefault="009B0944" w:rsidP="00BF1039">
      <w:pPr>
        <w:pStyle w:val="Heading3"/>
        <w:numPr>
          <w:ilvl w:val="0"/>
          <w:numId w:val="6"/>
        </w:numPr>
      </w:pPr>
      <w:r>
        <w:t>Systematisation</w:t>
      </w:r>
    </w:p>
    <w:p w:rsidR="00CB0419" w:rsidRDefault="000F016D" w:rsidP="00CB0419">
      <w:pPr>
        <w:spacing w:before="200" w:after="200" w:line="480" w:lineRule="auto"/>
        <w:jc w:val="both"/>
      </w:pPr>
      <w:r>
        <w:t>It</w:t>
      </w:r>
      <w:r w:rsidR="00497EF2">
        <w:t xml:space="preserve"> is important to note</w:t>
      </w:r>
      <w:r w:rsidR="002B056C">
        <w:t xml:space="preserve"> the </w:t>
      </w:r>
      <w:r w:rsidR="004D71BB">
        <w:t>prominent</w:t>
      </w:r>
      <w:r w:rsidR="002B056C">
        <w:t xml:space="preserve"> role</w:t>
      </w:r>
      <w:r w:rsidR="00BA1845">
        <w:t xml:space="preserve"> that</w:t>
      </w:r>
      <w:r w:rsidR="002B056C">
        <w:t xml:space="preserve"> system</w:t>
      </w:r>
      <w:r w:rsidR="00ED527D">
        <w:t>at</w:t>
      </w:r>
      <w:r w:rsidR="004D71BB">
        <w:t>isation</w:t>
      </w:r>
      <w:r w:rsidR="00C24842">
        <w:t xml:space="preserve"> – that is, the derivation of general principles from a multitude of observations –</w:t>
      </w:r>
      <w:r w:rsidR="00222DC2">
        <w:t xml:space="preserve"> </w:t>
      </w:r>
      <w:r w:rsidR="005F57F2">
        <w:t>plays in</w:t>
      </w:r>
      <w:r w:rsidR="002B056C">
        <w:t xml:space="preserve"> </w:t>
      </w:r>
      <w:r w:rsidR="005F57F2">
        <w:t>Hume’</w:t>
      </w:r>
      <w:r w:rsidR="00222DC2">
        <w:t>s philosophical project</w:t>
      </w:r>
      <w:r w:rsidR="004D71BB">
        <w:t>.</w:t>
      </w:r>
      <w:r w:rsidR="004D71BB">
        <w:rPr>
          <w:rStyle w:val="FootnoteReference"/>
          <w:szCs w:val="24"/>
        </w:rPr>
        <w:footnoteReference w:id="18"/>
      </w:r>
      <w:r w:rsidR="004D71BB">
        <w:t xml:space="preserve"> </w:t>
      </w:r>
      <w:r w:rsidR="004F2252">
        <w:t xml:space="preserve">The </w:t>
      </w:r>
      <w:r w:rsidR="00BA1845">
        <w:t>crucial idea</w:t>
      </w:r>
      <w:r w:rsidR="004F2252">
        <w:t xml:space="preserve"> is that some general principles can be</w:t>
      </w:r>
      <w:r w:rsidR="00217451">
        <w:t xml:space="preserve"> sufficiently well established </w:t>
      </w:r>
      <w:r w:rsidR="00A46E9C">
        <w:t>that they are resistant to apparent counterexamples up to a point</w:t>
      </w:r>
      <w:r w:rsidR="004F2252">
        <w:t>.</w:t>
      </w:r>
      <w:r w:rsidR="00855590">
        <w:t xml:space="preserve"> </w:t>
      </w:r>
    </w:p>
    <w:p w:rsidR="00CB0419" w:rsidRPr="00411A74" w:rsidRDefault="00043061" w:rsidP="00CB0419">
      <w:pPr>
        <w:spacing w:before="200" w:after="200" w:line="480" w:lineRule="auto"/>
        <w:ind w:firstLine="720"/>
        <w:jc w:val="both"/>
        <w:rPr>
          <w:szCs w:val="24"/>
        </w:rPr>
      </w:pPr>
      <w:r>
        <w:t>S</w:t>
      </w:r>
      <w:r w:rsidR="004F2252">
        <w:t>ystematisation is a recur</w:t>
      </w:r>
      <w:r w:rsidR="00CB0419">
        <w:t>ring theme in Hume’s philosophy.</w:t>
      </w:r>
      <w:r w:rsidR="004F2252">
        <w:t xml:space="preserve"> </w:t>
      </w:r>
      <w:r w:rsidR="00CB0419">
        <w:rPr>
          <w:szCs w:val="24"/>
        </w:rPr>
        <w:t>I</w:t>
      </w:r>
      <w:r w:rsidR="00CB0419" w:rsidRPr="00BC3498">
        <w:rPr>
          <w:szCs w:val="24"/>
        </w:rPr>
        <w:t xml:space="preserve">n describing </w:t>
      </w:r>
      <w:r w:rsidR="00CB0419">
        <w:rPr>
          <w:szCs w:val="24"/>
        </w:rPr>
        <w:t>the</w:t>
      </w:r>
      <w:r w:rsidR="00CB0419" w:rsidRPr="00BC3498">
        <w:rPr>
          <w:szCs w:val="24"/>
        </w:rPr>
        <w:t xml:space="preserve"> </w:t>
      </w:r>
      <w:r w:rsidR="00CB0419" w:rsidRPr="00BC3498">
        <w:rPr>
          <w:i/>
          <w:szCs w:val="24"/>
        </w:rPr>
        <w:t>Treatise</w:t>
      </w:r>
      <w:r w:rsidR="00CB0419" w:rsidRPr="00BC3498">
        <w:rPr>
          <w:szCs w:val="24"/>
        </w:rPr>
        <w:t xml:space="preserve"> in his anonymous </w:t>
      </w:r>
      <w:r w:rsidR="00CB0419" w:rsidRPr="00BC3498">
        <w:rPr>
          <w:i/>
          <w:szCs w:val="24"/>
        </w:rPr>
        <w:t>Abstract</w:t>
      </w:r>
      <w:r w:rsidR="00CB0419">
        <w:rPr>
          <w:szCs w:val="24"/>
        </w:rPr>
        <w:t xml:space="preserve">, Hume </w:t>
      </w:r>
      <w:r w:rsidR="00CB0419" w:rsidRPr="00BC3498">
        <w:rPr>
          <w:szCs w:val="24"/>
        </w:rPr>
        <w:t>emphasises the system</w:t>
      </w:r>
      <w:r w:rsidR="00CB0419">
        <w:rPr>
          <w:szCs w:val="24"/>
        </w:rPr>
        <w:t>at</w:t>
      </w:r>
      <w:r w:rsidR="00CB0419" w:rsidRPr="00BC3498">
        <w:rPr>
          <w:szCs w:val="24"/>
        </w:rPr>
        <w:t>ising nature of his project:</w:t>
      </w:r>
    </w:p>
    <w:p w:rsidR="00CB0419" w:rsidRPr="00BC3498" w:rsidRDefault="00CB0419" w:rsidP="005050B0">
      <w:pPr>
        <w:pStyle w:val="HumeReferences"/>
      </w:pPr>
      <w:r w:rsidRPr="00BC3498">
        <w:t>He proposes to anatomize human nature in a regular manner, and promises to draw no conclusions but where he is authorized by experience... This treatise therefore of human nature seems intend</w:t>
      </w:r>
      <w:r>
        <w:t>ed for a system of the sciences.</w:t>
      </w:r>
      <w:r w:rsidRPr="00BC3498">
        <w:t xml:space="preserve"> (A 1-3)</w:t>
      </w:r>
    </w:p>
    <w:p w:rsidR="00CB0419" w:rsidRDefault="00CB0419" w:rsidP="00CB0419">
      <w:pPr>
        <w:spacing w:before="200" w:after="200" w:line="480" w:lineRule="auto"/>
        <w:jc w:val="both"/>
        <w:rPr>
          <w:szCs w:val="24"/>
        </w:rPr>
      </w:pPr>
      <w:r>
        <w:rPr>
          <w:szCs w:val="24"/>
        </w:rPr>
        <w:t>Hume also n</w:t>
      </w:r>
      <w:r w:rsidRPr="00BC3498">
        <w:rPr>
          <w:szCs w:val="24"/>
        </w:rPr>
        <w:t xml:space="preserve">otes that philosophy is simply this process of </w:t>
      </w:r>
      <w:r>
        <w:rPr>
          <w:szCs w:val="24"/>
        </w:rPr>
        <w:t>systematisi</w:t>
      </w:r>
      <w:r w:rsidRPr="00BC3498">
        <w:rPr>
          <w:szCs w:val="24"/>
        </w:rPr>
        <w:t>n</w:t>
      </w:r>
      <w:r>
        <w:rPr>
          <w:szCs w:val="24"/>
        </w:rPr>
        <w:t>g our</w:t>
      </w:r>
      <w:r w:rsidR="00A64444">
        <w:rPr>
          <w:szCs w:val="24"/>
        </w:rPr>
        <w:t xml:space="preserve"> careful observations of</w:t>
      </w:r>
      <w:r>
        <w:rPr>
          <w:szCs w:val="24"/>
        </w:rPr>
        <w:t xml:space="preserve"> </w:t>
      </w:r>
      <w:r w:rsidR="00A64444">
        <w:rPr>
          <w:szCs w:val="24"/>
        </w:rPr>
        <w:t>our experience and reflections</w:t>
      </w:r>
      <w:r w:rsidRPr="00BC3498">
        <w:rPr>
          <w:szCs w:val="24"/>
        </w:rPr>
        <w:t>: ‘philosophical decisions are nothing but the reflections of common life, methodized and corrected’ (EHU 12</w:t>
      </w:r>
      <w:r>
        <w:rPr>
          <w:szCs w:val="24"/>
        </w:rPr>
        <w:t>.</w:t>
      </w:r>
      <w:r w:rsidRPr="00BC3498">
        <w:rPr>
          <w:szCs w:val="24"/>
        </w:rPr>
        <w:t xml:space="preserve">25). </w:t>
      </w:r>
      <w:r w:rsidR="007549BA">
        <w:rPr>
          <w:szCs w:val="24"/>
        </w:rPr>
        <w:t xml:space="preserve">As </w:t>
      </w:r>
      <w:r w:rsidR="00A64444">
        <w:rPr>
          <w:szCs w:val="24"/>
        </w:rPr>
        <w:t>S</w:t>
      </w:r>
      <w:r w:rsidR="00A64444" w:rsidRPr="00A64444">
        <w:rPr>
          <w:szCs w:val="24"/>
        </w:rPr>
        <w:t>chliesser</w:t>
      </w:r>
      <w:r w:rsidR="00A64444">
        <w:rPr>
          <w:szCs w:val="24"/>
        </w:rPr>
        <w:t xml:space="preserve"> (2007) points out</w:t>
      </w:r>
      <w:r w:rsidR="007549BA">
        <w:rPr>
          <w:szCs w:val="24"/>
        </w:rPr>
        <w:t>,</w:t>
      </w:r>
      <w:r w:rsidR="00A64444">
        <w:rPr>
          <w:szCs w:val="24"/>
        </w:rPr>
        <w:t xml:space="preserve"> for Hume, ‘experiment’ seems almost indistinguishable from systematic observations of our everyday experience</w:t>
      </w:r>
      <w:r w:rsidR="00E23267">
        <w:rPr>
          <w:szCs w:val="24"/>
        </w:rPr>
        <w:t xml:space="preserve">. Demeter (2012, p.580) </w:t>
      </w:r>
      <w:r w:rsidR="00400B21">
        <w:rPr>
          <w:szCs w:val="24"/>
        </w:rPr>
        <w:t>describes Hume’s project</w:t>
      </w:r>
      <w:r w:rsidR="00E23267">
        <w:rPr>
          <w:szCs w:val="24"/>
        </w:rPr>
        <w:t xml:space="preserve"> pithily: ‘Observation of human life is thus the point where inquiry and common life turn out to be continuous, the only difference being that the former is reflective, systematic and theory oriented whereas the other is unreflective, sporadic and practice-oriented.’</w:t>
      </w:r>
      <w:r w:rsidR="00400B21">
        <w:rPr>
          <w:szCs w:val="24"/>
        </w:rPr>
        <w:t xml:space="preserve"> In short, Hume’s experimental method is clearly concerned with systematisation.</w:t>
      </w:r>
    </w:p>
    <w:p w:rsidR="00107588" w:rsidRDefault="00CB0419" w:rsidP="00512563">
      <w:pPr>
        <w:spacing w:before="200" w:after="200" w:line="480" w:lineRule="auto"/>
        <w:jc w:val="both"/>
        <w:rPr>
          <w:szCs w:val="24"/>
        </w:rPr>
      </w:pPr>
      <w:r>
        <w:lastRenderedPageBreak/>
        <w:tab/>
        <w:t>For Hume, systematisation involves the derivation of general rules from a multitude of observations.</w:t>
      </w:r>
      <w:r>
        <w:rPr>
          <w:rStyle w:val="FootnoteReference"/>
        </w:rPr>
        <w:footnoteReference w:id="19"/>
      </w:r>
      <w:r>
        <w:t xml:space="preserve"> H</w:t>
      </w:r>
      <w:r w:rsidR="004F2252">
        <w:t>e</w:t>
      </w:r>
      <w:r w:rsidR="00107588" w:rsidRPr="00BC3498">
        <w:rPr>
          <w:szCs w:val="24"/>
        </w:rPr>
        <w:t xml:space="preserve"> explicitly describes his project in the </w:t>
      </w:r>
      <w:r w:rsidR="00107588" w:rsidRPr="00BC3498">
        <w:rPr>
          <w:i/>
          <w:szCs w:val="24"/>
        </w:rPr>
        <w:t>Treatise</w:t>
      </w:r>
      <w:r w:rsidR="00107588" w:rsidRPr="00BC3498">
        <w:rPr>
          <w:szCs w:val="24"/>
        </w:rPr>
        <w:t xml:space="preserve"> as ‘being an attempt to introduce the experimental method of reasoning into moral subjects’</w:t>
      </w:r>
      <w:r w:rsidR="00107588">
        <w:rPr>
          <w:szCs w:val="24"/>
        </w:rPr>
        <w:t xml:space="preserve">, </w:t>
      </w:r>
      <w:r>
        <w:rPr>
          <w:szCs w:val="24"/>
        </w:rPr>
        <w:t>and describes</w:t>
      </w:r>
      <w:r w:rsidR="00107588">
        <w:rPr>
          <w:szCs w:val="24"/>
        </w:rPr>
        <w:t xml:space="preserve"> this experimental method as consisting in ‘deducing general maxims from a comparison of particular instances’</w:t>
      </w:r>
      <w:r>
        <w:rPr>
          <w:szCs w:val="24"/>
        </w:rPr>
        <w:t xml:space="preserve"> </w:t>
      </w:r>
      <w:r w:rsidR="00107588">
        <w:rPr>
          <w:szCs w:val="24"/>
        </w:rPr>
        <w:t>(EPM 1.10).</w:t>
      </w:r>
      <w:r w:rsidR="00107588" w:rsidRPr="00107588">
        <w:rPr>
          <w:szCs w:val="24"/>
        </w:rPr>
        <w:t xml:space="preserve"> </w:t>
      </w:r>
      <w:r w:rsidR="00107588">
        <w:rPr>
          <w:szCs w:val="24"/>
        </w:rPr>
        <w:t xml:space="preserve">Similarly, in the first </w:t>
      </w:r>
      <w:r w:rsidR="00107588">
        <w:rPr>
          <w:i/>
          <w:szCs w:val="24"/>
        </w:rPr>
        <w:t>Enquiry</w:t>
      </w:r>
      <w:r w:rsidR="00107588">
        <w:rPr>
          <w:szCs w:val="24"/>
        </w:rPr>
        <w:t>, Hume identifies with the abstruse philosopher, who</w:t>
      </w:r>
      <w:r w:rsidR="00E44155">
        <w:rPr>
          <w:szCs w:val="24"/>
        </w:rPr>
        <w:t>m</w:t>
      </w:r>
      <w:r w:rsidR="00107588">
        <w:rPr>
          <w:szCs w:val="24"/>
        </w:rPr>
        <w:t xml:space="preserve"> he describes as deriving general principles from his observations of human nature: </w:t>
      </w:r>
    </w:p>
    <w:p w:rsidR="00107588" w:rsidRDefault="00107588" w:rsidP="005050B0">
      <w:pPr>
        <w:pStyle w:val="HumeReferences"/>
      </w:pPr>
      <w:r>
        <w:t xml:space="preserve">...[the abstruse philosophers] regard human nature as a subject of speculation; and with a narrow scrutiny examine it, in order to find those principles, which regulate our understanding, excite our sentiments, and make us approve or blame any particular object, action, or behaviour... </w:t>
      </w:r>
      <w:r w:rsidR="00AD40D6">
        <w:t>[P]</w:t>
      </w:r>
      <w:r>
        <w:t>roceeding from particular instances to general principles, they still push on their enquiries to principles more general, and rest not satisfied till they arrive at those original principles, by which, in every science, all human curiosity must be bounded. (EHU 1.2)</w:t>
      </w:r>
      <w:r w:rsidR="00B239A8">
        <w:rPr>
          <w:rStyle w:val="FootnoteReference"/>
        </w:rPr>
        <w:footnoteReference w:id="20"/>
      </w:r>
    </w:p>
    <w:p w:rsidR="00C24842" w:rsidRDefault="00C24842" w:rsidP="00C24842">
      <w:pPr>
        <w:spacing w:before="200" w:after="200" w:line="480" w:lineRule="auto"/>
        <w:jc w:val="both"/>
        <w:rPr>
          <w:szCs w:val="24"/>
        </w:rPr>
      </w:pPr>
      <w:r>
        <w:t>Likewise, ‘the utmost effort of human reason is, to reduce the principles, productive of natural phaenomena, to a greater simplicity, and to resolve the many particular effects into a few general causes, by means of reasonings from analogy, experience, and observation’ (EHU 4.12).</w:t>
      </w:r>
      <w:r w:rsidR="00844EB4">
        <w:t xml:space="preserve"> Hazony (2014, p.162) stresses the centrality of th</w:t>
      </w:r>
      <w:r w:rsidR="001477FD">
        <w:t>e</w:t>
      </w:r>
      <w:r w:rsidR="00844EB4">
        <w:t xml:space="preserve"> project of reducing to the fewest principles </w:t>
      </w:r>
      <w:r w:rsidR="001477FD">
        <w:t>in Hume’s philosophy</w:t>
      </w:r>
      <w:r w:rsidR="00844EB4">
        <w:t>.</w:t>
      </w:r>
      <w:r w:rsidR="004F583F">
        <w:t xml:space="preserve"> Demeter (2012, pp.586-7) reads Hume’s experimental method as consisting in ‘a kind of </w:t>
      </w:r>
      <w:r w:rsidR="004F583F" w:rsidRPr="004F583F">
        <w:rPr>
          <w:i/>
        </w:rPr>
        <w:t>analysis</w:t>
      </w:r>
      <w:r w:rsidR="004F583F">
        <w:t xml:space="preserve"> and </w:t>
      </w:r>
      <w:r w:rsidR="004F583F" w:rsidRPr="004F583F">
        <w:rPr>
          <w:i/>
        </w:rPr>
        <w:t>synthesis’</w:t>
      </w:r>
      <w:r w:rsidR="00AB004B">
        <w:t xml:space="preserve"> in the spirit of Newton</w:t>
      </w:r>
      <w:r w:rsidR="004F583F">
        <w:t>: we derive principles from analysing phenomena, and we explain phenomena by synthesis, applying these principles to account for the phenomena.</w:t>
      </w:r>
      <w:r w:rsidR="00844EB4">
        <w:t xml:space="preserve"> Hume’s reliance on analysis and synthesis</w:t>
      </w:r>
      <w:r w:rsidR="00AB004B">
        <w:t xml:space="preserve"> is </w:t>
      </w:r>
      <w:r w:rsidR="00844EB4">
        <w:t>echoed by Hazony (2014, p.164), although he argues that Hume’s terminology and method</w:t>
      </w:r>
      <w:r w:rsidR="0053342F">
        <w:t xml:space="preserve"> ultimately</w:t>
      </w:r>
      <w:r w:rsidR="00844EB4">
        <w:t xml:space="preserve"> more closely follows Boyle</w:t>
      </w:r>
      <w:r w:rsidR="00AB004B">
        <w:t xml:space="preserve"> rather than Newton</w:t>
      </w:r>
      <w:r w:rsidR="00844EB4">
        <w:t>.</w:t>
      </w:r>
    </w:p>
    <w:p w:rsidR="002233B1" w:rsidRDefault="00CB0419" w:rsidP="00B052C4">
      <w:pPr>
        <w:spacing w:before="200" w:after="200" w:line="480" w:lineRule="auto"/>
        <w:ind w:firstLine="720"/>
        <w:jc w:val="both"/>
        <w:rPr>
          <w:lang w:val="en-US"/>
        </w:rPr>
      </w:pPr>
      <w:r>
        <w:rPr>
          <w:szCs w:val="24"/>
        </w:rPr>
        <w:lastRenderedPageBreak/>
        <w:t xml:space="preserve">Hume’s emphasis on systematisation has two significant implications for his conativist thesis. </w:t>
      </w:r>
      <w:r w:rsidR="00B052C4">
        <w:rPr>
          <w:szCs w:val="24"/>
        </w:rPr>
        <w:t xml:space="preserve">First, </w:t>
      </w:r>
      <w:r>
        <w:rPr>
          <w:szCs w:val="24"/>
        </w:rPr>
        <w:t>it</w:t>
      </w:r>
      <w:r w:rsidR="00B052C4">
        <w:rPr>
          <w:szCs w:val="24"/>
        </w:rPr>
        <w:t xml:space="preserve"> reveals </w:t>
      </w:r>
      <w:r w:rsidR="009811BD">
        <w:rPr>
          <w:szCs w:val="24"/>
        </w:rPr>
        <w:t>its</w:t>
      </w:r>
      <w:r w:rsidR="00FB10B4">
        <w:rPr>
          <w:szCs w:val="24"/>
        </w:rPr>
        <w:t xml:space="preserve"> empirical nature</w:t>
      </w:r>
      <w:r w:rsidR="00B052C4">
        <w:rPr>
          <w:szCs w:val="24"/>
        </w:rPr>
        <w:t>: he is examining a multitude of observations about human motivation, and then deriving general principles from them. This is</w:t>
      </w:r>
      <w:r w:rsidR="00207659">
        <w:rPr>
          <w:szCs w:val="24"/>
        </w:rPr>
        <w:t xml:space="preserve"> an</w:t>
      </w:r>
      <w:r w:rsidR="00B052C4">
        <w:rPr>
          <w:szCs w:val="24"/>
        </w:rPr>
        <w:t xml:space="preserve"> unambiguously empirical undertaking founded on scientific observation, and his resulting principles must therefore be empirical generalisations </w:t>
      </w:r>
      <w:r w:rsidR="00FB10B4">
        <w:rPr>
          <w:szCs w:val="24"/>
        </w:rPr>
        <w:t>rather than conceptual truths</w:t>
      </w:r>
      <w:r w:rsidR="00B052C4">
        <w:rPr>
          <w:szCs w:val="24"/>
        </w:rPr>
        <w:t xml:space="preserve">. </w:t>
      </w:r>
      <w:r w:rsidR="009811BD">
        <w:rPr>
          <w:szCs w:val="24"/>
        </w:rPr>
        <w:t xml:space="preserve">Correspondingly, </w:t>
      </w:r>
      <w:r w:rsidR="00E8792D">
        <w:rPr>
          <w:szCs w:val="24"/>
        </w:rPr>
        <w:t xml:space="preserve">Hume’s </w:t>
      </w:r>
      <w:r w:rsidR="00A6546A">
        <w:rPr>
          <w:szCs w:val="24"/>
        </w:rPr>
        <w:t>arguments for this</w:t>
      </w:r>
      <w:r w:rsidR="005F57F2">
        <w:rPr>
          <w:szCs w:val="24"/>
        </w:rPr>
        <w:t xml:space="preserve"> thesis</w:t>
      </w:r>
      <w:r w:rsidR="00A6546A">
        <w:rPr>
          <w:szCs w:val="24"/>
        </w:rPr>
        <w:t xml:space="preserve"> are also empirical in nature: h</w:t>
      </w:r>
      <w:r w:rsidR="00E8792D">
        <w:rPr>
          <w:lang w:val="en-US"/>
        </w:rPr>
        <w:t xml:space="preserve">is dismissal of probable and demonstrative reasoning as end-setters in motivation (THN 2.3.3.2-3) rests </w:t>
      </w:r>
      <w:r w:rsidR="00703B77">
        <w:rPr>
          <w:lang w:val="en-US"/>
        </w:rPr>
        <w:t>on concrete examples (such as a</w:t>
      </w:r>
      <w:r w:rsidR="00E8792D">
        <w:rPr>
          <w:lang w:val="en-US"/>
        </w:rPr>
        <w:t xml:space="preserve"> merchant employin</w:t>
      </w:r>
      <w:r w:rsidR="005F57F2">
        <w:rPr>
          <w:lang w:val="en-US"/>
        </w:rPr>
        <w:t>g demonstrative reasoning only</w:t>
      </w:r>
      <w:r w:rsidR="00E8792D">
        <w:rPr>
          <w:lang w:val="en-US"/>
        </w:rPr>
        <w:t xml:space="preserve"> to guide his causal inferences) and introspection (in arguing that causal reasoning </w:t>
      </w:r>
      <w:r w:rsidR="00C24842">
        <w:rPr>
          <w:lang w:val="en-US"/>
        </w:rPr>
        <w:t xml:space="preserve">serves </w:t>
      </w:r>
      <w:r w:rsidR="00E8792D">
        <w:rPr>
          <w:lang w:val="en-US"/>
        </w:rPr>
        <w:t xml:space="preserve">only to guide our passions). </w:t>
      </w:r>
      <w:r w:rsidR="002233B1">
        <w:rPr>
          <w:lang w:val="en-US"/>
        </w:rPr>
        <w:t>However, Hume’</w:t>
      </w:r>
      <w:r w:rsidR="00E8792D">
        <w:rPr>
          <w:lang w:val="en-US"/>
        </w:rPr>
        <w:t>s argument that passions are ‘original existences’</w:t>
      </w:r>
      <w:r w:rsidR="00561AA2">
        <w:rPr>
          <w:rStyle w:val="FootnoteReference"/>
          <w:lang w:val="en-US"/>
        </w:rPr>
        <w:footnoteReference w:id="21"/>
      </w:r>
      <w:r w:rsidR="00E8792D">
        <w:rPr>
          <w:lang w:val="en-US"/>
        </w:rPr>
        <w:t xml:space="preserve"> and therefore cannot oppose reason (THN 2.3.3.5) </w:t>
      </w:r>
      <w:r w:rsidR="002233B1">
        <w:rPr>
          <w:lang w:val="en-US"/>
        </w:rPr>
        <w:t xml:space="preserve">is </w:t>
      </w:r>
      <w:r w:rsidR="008B1786">
        <w:rPr>
          <w:lang w:val="en-US"/>
        </w:rPr>
        <w:t>sometimes</w:t>
      </w:r>
      <w:r w:rsidR="002233B1">
        <w:rPr>
          <w:lang w:val="en-US"/>
        </w:rPr>
        <w:t xml:space="preserve"> seen as </w:t>
      </w:r>
      <w:r w:rsidR="00BF6BAF">
        <w:rPr>
          <w:lang w:val="en-US"/>
        </w:rPr>
        <w:t xml:space="preserve">a </w:t>
      </w:r>
      <w:r w:rsidR="002233B1">
        <w:rPr>
          <w:lang w:val="en-US"/>
        </w:rPr>
        <w:t xml:space="preserve">conceptual </w:t>
      </w:r>
      <w:r w:rsidR="00BF6BAF">
        <w:rPr>
          <w:lang w:val="en-US"/>
        </w:rPr>
        <w:t>one</w:t>
      </w:r>
      <w:r w:rsidR="002233B1">
        <w:rPr>
          <w:lang w:val="en-US"/>
        </w:rPr>
        <w:t>:</w:t>
      </w:r>
      <w:r w:rsidR="008B1786">
        <w:rPr>
          <w:rStyle w:val="FootnoteReference"/>
          <w:lang w:val="en-US"/>
        </w:rPr>
        <w:footnoteReference w:id="22"/>
      </w:r>
      <w:r w:rsidR="00E8792D">
        <w:rPr>
          <w:lang w:val="en-US"/>
        </w:rPr>
        <w:t xml:space="preserve"> </w:t>
      </w:r>
    </w:p>
    <w:p w:rsidR="002233B1" w:rsidRDefault="002233B1" w:rsidP="002233B1">
      <w:pPr>
        <w:pStyle w:val="HumeReferences"/>
        <w:rPr>
          <w:lang w:val="en-US"/>
        </w:rPr>
      </w:pPr>
      <w:r w:rsidRPr="002233B1">
        <w:t>A passion is an original existence, or, if you will, modification of existence, and contains not any representative quality, which renders it a copy of any other existence or modification. When I am angry, I am actually possest with the passion, and in that emotion have no more a reference to any other object, than when I am thirsty, or sick, or more than five foot high. ’Tis impossible, therefore, that this passion can be oppos’d by, or be contradictory to truth and reason; since this contradiction consists in the disagreement of ideas, consider’d as copies, with those objects, which they represent.</w:t>
      </w:r>
      <w:r>
        <w:t xml:space="preserve"> (THN 2.3.3.5)</w:t>
      </w:r>
    </w:p>
    <w:p w:rsidR="00B052C4" w:rsidRDefault="002233B1" w:rsidP="002233B1">
      <w:pPr>
        <w:spacing w:before="200" w:after="200" w:line="480" w:lineRule="auto"/>
        <w:jc w:val="both"/>
        <w:rPr>
          <w:szCs w:val="24"/>
        </w:rPr>
      </w:pPr>
      <w:r>
        <w:rPr>
          <w:lang w:val="en-US"/>
        </w:rPr>
        <w:t>I think that it would be a mistake to treat th</w:t>
      </w:r>
      <w:r w:rsidR="0018180D">
        <w:rPr>
          <w:lang w:val="en-US"/>
        </w:rPr>
        <w:t>e above</w:t>
      </w:r>
      <w:r>
        <w:rPr>
          <w:lang w:val="en-US"/>
        </w:rPr>
        <w:t xml:space="preserve"> argument as conceptual</w:t>
      </w:r>
      <w:r w:rsidR="00BF6BAF">
        <w:rPr>
          <w:lang w:val="en-US"/>
        </w:rPr>
        <w:t xml:space="preserve"> in nature</w:t>
      </w:r>
      <w:r>
        <w:rPr>
          <w:lang w:val="en-US"/>
        </w:rPr>
        <w:t>. The conclusion that Hume wishes to establish is that passions cannot ‘be oppos’d by’ reason; in short, reason cannot exert a countervailing motivational force to the passions.</w:t>
      </w:r>
      <w:r w:rsidR="00866232">
        <w:rPr>
          <w:lang w:val="en-US"/>
        </w:rPr>
        <w:t xml:space="preserve"> </w:t>
      </w:r>
      <w:r w:rsidR="001C4BFA">
        <w:rPr>
          <w:lang w:val="en-US"/>
        </w:rPr>
        <w:t>Importantly, t</w:t>
      </w:r>
      <w:r w:rsidR="00866232">
        <w:rPr>
          <w:lang w:val="en-US"/>
        </w:rPr>
        <w:t xml:space="preserve">his </w:t>
      </w:r>
      <w:r w:rsidR="001C4BFA">
        <w:rPr>
          <w:lang w:val="en-US"/>
        </w:rPr>
        <w:t>causal</w:t>
      </w:r>
      <w:r w:rsidR="00866232">
        <w:rPr>
          <w:lang w:val="en-US"/>
        </w:rPr>
        <w:t xml:space="preserve"> conclusion </w:t>
      </w:r>
      <w:r w:rsidR="001C4BFA">
        <w:rPr>
          <w:lang w:val="en-US"/>
        </w:rPr>
        <w:t xml:space="preserve">is the one </w:t>
      </w:r>
      <w:r w:rsidR="00866232">
        <w:rPr>
          <w:lang w:val="en-US"/>
        </w:rPr>
        <w:t>that Hume needs if the argument is to support his conativism</w:t>
      </w:r>
      <w:r w:rsidR="001C4BFA">
        <w:rPr>
          <w:lang w:val="en-US"/>
        </w:rPr>
        <w:t xml:space="preserve">; a conclusion </w:t>
      </w:r>
      <w:r w:rsidR="001C4BFA">
        <w:rPr>
          <w:lang w:val="en-US"/>
        </w:rPr>
        <w:lastRenderedPageBreak/>
        <w:t>that (say) the passions are not truth-apt would not by itself bear on the topic of motivation</w:t>
      </w:r>
      <w:r w:rsidR="002D4142">
        <w:rPr>
          <w:lang w:val="en-US"/>
        </w:rPr>
        <w:t>, which THN 2.3.3 conce</w:t>
      </w:r>
      <w:r w:rsidR="00E2510D">
        <w:rPr>
          <w:lang w:val="en-US"/>
        </w:rPr>
        <w:t>rn</w:t>
      </w:r>
      <w:r w:rsidR="002D4142">
        <w:rPr>
          <w:lang w:val="en-US"/>
        </w:rPr>
        <w:t>s</w:t>
      </w:r>
      <w:r w:rsidR="00866232">
        <w:rPr>
          <w:lang w:val="en-US"/>
        </w:rPr>
        <w:t>.</w:t>
      </w:r>
      <w:r>
        <w:rPr>
          <w:lang w:val="en-US"/>
        </w:rPr>
        <w:t xml:space="preserve"> </w:t>
      </w:r>
      <w:r w:rsidR="001C4BFA">
        <w:rPr>
          <w:lang w:val="en-US"/>
        </w:rPr>
        <w:t>As previously mentioned, t</w:t>
      </w:r>
      <w:r>
        <w:rPr>
          <w:lang w:val="en-US"/>
        </w:rPr>
        <w:t xml:space="preserve">his opposition is a </w:t>
      </w:r>
      <w:r>
        <w:rPr>
          <w:i/>
          <w:lang w:val="en-US"/>
        </w:rPr>
        <w:t>causal</w:t>
      </w:r>
      <w:r>
        <w:rPr>
          <w:lang w:val="en-US"/>
        </w:rPr>
        <w:t xml:space="preserve"> notion, and according to CC, </w:t>
      </w:r>
      <w:r>
        <w:rPr>
          <w:i/>
          <w:lang w:val="en-US"/>
        </w:rPr>
        <w:t>a priori</w:t>
      </w:r>
      <w:r>
        <w:rPr>
          <w:lang w:val="en-US"/>
        </w:rPr>
        <w:t xml:space="preserve"> anything may cause anything.</w:t>
      </w:r>
      <w:r w:rsidR="001C4BFA">
        <w:rPr>
          <w:lang w:val="en-US"/>
        </w:rPr>
        <w:t xml:space="preserve"> So, any argument for the</w:t>
      </w:r>
      <w:r w:rsidR="00866232">
        <w:rPr>
          <w:lang w:val="en-US"/>
        </w:rPr>
        <w:t xml:space="preserve"> claim</w:t>
      </w:r>
      <w:r w:rsidR="001C4BFA">
        <w:rPr>
          <w:lang w:val="en-US"/>
        </w:rPr>
        <w:t xml:space="preserve"> that reason cannot oppose the passions</w:t>
      </w:r>
      <w:r w:rsidR="00866232">
        <w:rPr>
          <w:lang w:val="en-US"/>
        </w:rPr>
        <w:t xml:space="preserve"> would have to be empirical rather than conceptual in nature. </w:t>
      </w:r>
      <w:r w:rsidR="0018180D">
        <w:rPr>
          <w:lang w:val="en-US"/>
        </w:rPr>
        <w:t>Indeed, the argument rests on</w:t>
      </w:r>
      <w:r w:rsidR="00E8792D">
        <w:rPr>
          <w:lang w:val="en-US"/>
        </w:rPr>
        <w:t xml:space="preserve"> the observation that pas</w:t>
      </w:r>
      <w:r w:rsidR="00B27876">
        <w:rPr>
          <w:lang w:val="en-US"/>
        </w:rPr>
        <w:t>sions are original existences</w:t>
      </w:r>
      <w:r w:rsidR="00866232">
        <w:rPr>
          <w:lang w:val="en-US"/>
        </w:rPr>
        <w:t xml:space="preserve"> and are not copied from anything</w:t>
      </w:r>
      <w:r w:rsidR="0018180D">
        <w:rPr>
          <w:lang w:val="en-US"/>
        </w:rPr>
        <w:t>, which is plainly</w:t>
      </w:r>
      <w:r w:rsidR="00E8792D">
        <w:rPr>
          <w:lang w:val="en-US"/>
        </w:rPr>
        <w:t xml:space="preserve"> an empirical </w:t>
      </w:r>
      <w:r w:rsidR="0018180D">
        <w:rPr>
          <w:lang w:val="en-US"/>
        </w:rPr>
        <w:t>point. In examining our passions such as pride and humility</w:t>
      </w:r>
      <w:r w:rsidR="00866232">
        <w:rPr>
          <w:lang w:val="en-US"/>
        </w:rPr>
        <w:t>, we find that</w:t>
      </w:r>
      <w:r w:rsidR="001C4BFA">
        <w:rPr>
          <w:lang w:val="en-US"/>
        </w:rPr>
        <w:t xml:space="preserve"> the </w:t>
      </w:r>
      <w:r w:rsidR="00866232">
        <w:rPr>
          <w:lang w:val="en-US"/>
        </w:rPr>
        <w:t>ideas that resemble them are copied from them rather than vice versa, as Hume establishes by empirical argument (introspection, citing the case of a blind man, etc.) in THN 1.1.1.8-9 in arguing for his Copy Principle.</w:t>
      </w:r>
      <w:r w:rsidR="00B27876">
        <w:rPr>
          <w:lang w:val="en-US"/>
        </w:rPr>
        <w:t xml:space="preserve"> </w:t>
      </w:r>
      <w:r w:rsidR="00BF6BAF">
        <w:t>In short</w:t>
      </w:r>
      <w:r w:rsidR="009733E7">
        <w:t>,</w:t>
      </w:r>
      <w:r w:rsidR="00E8792D">
        <w:t xml:space="preserve"> Hume’s </w:t>
      </w:r>
      <w:r w:rsidR="00460A99">
        <w:t>arguments for conativism</w:t>
      </w:r>
      <w:r w:rsidR="00E8792D">
        <w:t xml:space="preserve"> </w:t>
      </w:r>
      <w:r w:rsidR="00396963">
        <w:t xml:space="preserve">are </w:t>
      </w:r>
      <w:r w:rsidR="00BF6BAF">
        <w:t xml:space="preserve">one and all </w:t>
      </w:r>
      <w:r w:rsidR="00E8792D">
        <w:t>empirical</w:t>
      </w:r>
      <w:r w:rsidR="00866232">
        <w:t xml:space="preserve"> in nature</w:t>
      </w:r>
      <w:r w:rsidR="00E8792D">
        <w:t xml:space="preserve">. </w:t>
      </w:r>
    </w:p>
    <w:p w:rsidR="009B0944" w:rsidRDefault="00CB0419" w:rsidP="00043061">
      <w:pPr>
        <w:spacing w:before="200" w:after="200" w:line="480" w:lineRule="auto"/>
        <w:ind w:firstLine="720"/>
        <w:jc w:val="both"/>
        <w:rPr>
          <w:szCs w:val="24"/>
        </w:rPr>
      </w:pPr>
      <w:r>
        <w:rPr>
          <w:szCs w:val="24"/>
        </w:rPr>
        <w:t>The second crucial implication derives from the fact that</w:t>
      </w:r>
      <w:r w:rsidR="00BA1845">
        <w:rPr>
          <w:szCs w:val="24"/>
        </w:rPr>
        <w:t xml:space="preserve"> a methodology of systematisation presupposes some theoretical criteria. A</w:t>
      </w:r>
      <w:r w:rsidR="009B0944">
        <w:rPr>
          <w:szCs w:val="24"/>
        </w:rPr>
        <w:t xml:space="preserve"> given set of data or intuitions may generate many</w:t>
      </w:r>
      <w:r w:rsidR="002B59B9">
        <w:rPr>
          <w:szCs w:val="24"/>
        </w:rPr>
        <w:t xml:space="preserve"> competing</w:t>
      </w:r>
      <w:r w:rsidR="009B0944">
        <w:rPr>
          <w:szCs w:val="24"/>
        </w:rPr>
        <w:t xml:space="preserve"> </w:t>
      </w:r>
      <w:r w:rsidR="007005D6">
        <w:rPr>
          <w:szCs w:val="24"/>
        </w:rPr>
        <w:t>sets of general principles, and we need some way to compare</w:t>
      </w:r>
      <w:r w:rsidR="00EB680C">
        <w:rPr>
          <w:szCs w:val="24"/>
        </w:rPr>
        <w:t xml:space="preserve"> and choose </w:t>
      </w:r>
      <w:r w:rsidR="00D53EBA">
        <w:rPr>
          <w:szCs w:val="24"/>
        </w:rPr>
        <w:t>between</w:t>
      </w:r>
      <w:r w:rsidR="007005D6">
        <w:rPr>
          <w:szCs w:val="24"/>
        </w:rPr>
        <w:t xml:space="preserve"> these different </w:t>
      </w:r>
      <w:r w:rsidR="00EB680C">
        <w:rPr>
          <w:szCs w:val="24"/>
        </w:rPr>
        <w:t>theories</w:t>
      </w:r>
      <w:r w:rsidR="00FB10B4">
        <w:rPr>
          <w:szCs w:val="24"/>
        </w:rPr>
        <w:t xml:space="preserve">; systematisation is </w:t>
      </w:r>
      <w:r w:rsidR="005D49C9">
        <w:rPr>
          <w:szCs w:val="24"/>
        </w:rPr>
        <w:t xml:space="preserve">therefore </w:t>
      </w:r>
      <w:r w:rsidR="00FB10B4">
        <w:rPr>
          <w:szCs w:val="24"/>
        </w:rPr>
        <w:t>useless without such criter</w:t>
      </w:r>
      <w:r w:rsidR="00BA1845">
        <w:rPr>
          <w:szCs w:val="24"/>
        </w:rPr>
        <w:t>i</w:t>
      </w:r>
      <w:r w:rsidR="00FB10B4">
        <w:rPr>
          <w:szCs w:val="24"/>
        </w:rPr>
        <w:t>a</w:t>
      </w:r>
      <w:r w:rsidR="007005D6">
        <w:rPr>
          <w:szCs w:val="24"/>
        </w:rPr>
        <w:t xml:space="preserve">. </w:t>
      </w:r>
      <w:r w:rsidR="00D621CD">
        <w:rPr>
          <w:szCs w:val="24"/>
        </w:rPr>
        <w:t>T</w:t>
      </w:r>
      <w:r w:rsidR="005167BF">
        <w:rPr>
          <w:szCs w:val="24"/>
        </w:rPr>
        <w:t>hrough such theoretical criteria</w:t>
      </w:r>
      <w:r w:rsidR="00D621CD">
        <w:rPr>
          <w:szCs w:val="24"/>
        </w:rPr>
        <w:t>,</w:t>
      </w:r>
      <w:r w:rsidR="007005D6">
        <w:rPr>
          <w:szCs w:val="24"/>
        </w:rPr>
        <w:t xml:space="preserve"> I will </w:t>
      </w:r>
      <w:r w:rsidR="008B21AB">
        <w:rPr>
          <w:szCs w:val="24"/>
        </w:rPr>
        <w:t>justify</w:t>
      </w:r>
      <w:r w:rsidR="007005D6">
        <w:rPr>
          <w:szCs w:val="24"/>
        </w:rPr>
        <w:t xml:space="preserve"> Hume’s appeal to the calm passions</w:t>
      </w:r>
      <w:r w:rsidR="00D621CD">
        <w:rPr>
          <w:szCs w:val="24"/>
        </w:rPr>
        <w:t>, construed empirically</w:t>
      </w:r>
      <w:r w:rsidR="007005D6">
        <w:rPr>
          <w:szCs w:val="24"/>
        </w:rPr>
        <w:t>.</w:t>
      </w:r>
    </w:p>
    <w:p w:rsidR="007005D6" w:rsidRDefault="007005D6" w:rsidP="00BF1039">
      <w:pPr>
        <w:pStyle w:val="Heading3"/>
        <w:numPr>
          <w:ilvl w:val="0"/>
          <w:numId w:val="6"/>
        </w:numPr>
      </w:pPr>
      <w:r>
        <w:t>The Theoretical Virtues</w:t>
      </w:r>
    </w:p>
    <w:p w:rsidR="007005D6" w:rsidRPr="007005D6" w:rsidRDefault="007005D6" w:rsidP="00CB0419">
      <w:pPr>
        <w:spacing w:line="480" w:lineRule="auto"/>
        <w:jc w:val="both"/>
      </w:pPr>
      <w:r>
        <w:t>The theoretical virtues are certain properties that we think successful theories should possess</w:t>
      </w:r>
      <w:r w:rsidR="005167BF">
        <w:t>;</w:t>
      </w:r>
      <w:r>
        <w:t xml:space="preserve"> </w:t>
      </w:r>
      <w:r w:rsidR="005167BF">
        <w:t>t</w:t>
      </w:r>
      <w:r>
        <w:t xml:space="preserve">he best theory will be the one with the best balance of </w:t>
      </w:r>
      <w:r w:rsidR="00805A35">
        <w:t>these</w:t>
      </w:r>
      <w:r>
        <w:t xml:space="preserve"> virtues. </w:t>
      </w:r>
      <w:r w:rsidR="005167BF">
        <w:t xml:space="preserve">I argue that Hume endorses three theoretical virtues in his philosophy: empirical </w:t>
      </w:r>
      <w:r w:rsidR="000A5F89">
        <w:t>confirmation</w:t>
      </w:r>
      <w:r w:rsidR="005167BF">
        <w:t>, explanatory power, and simplicity.</w:t>
      </w:r>
      <w:r w:rsidR="00F87EF8">
        <w:rPr>
          <w:rStyle w:val="FootnoteReference"/>
        </w:rPr>
        <w:footnoteReference w:id="23"/>
      </w:r>
      <w:r w:rsidR="005167BF">
        <w:t xml:space="preserve"> </w:t>
      </w:r>
      <w:r w:rsidR="005167BF">
        <w:lastRenderedPageBreak/>
        <w:t xml:space="preserve">Empirical </w:t>
      </w:r>
      <w:r w:rsidR="000A5F89">
        <w:t>confirmation</w:t>
      </w:r>
      <w:r w:rsidR="005167BF">
        <w:t xml:space="preserve"> is the degree to which a theory is s</w:t>
      </w:r>
      <w:r w:rsidR="009733E7">
        <w:t>ubstantiated</w:t>
      </w:r>
      <w:r w:rsidR="005167BF">
        <w:t xml:space="preserve"> by the observed evidence,</w:t>
      </w:r>
      <w:r w:rsidR="00CD3AA2">
        <w:rPr>
          <w:rStyle w:val="FootnoteReference"/>
        </w:rPr>
        <w:footnoteReference w:id="24"/>
      </w:r>
      <w:r w:rsidR="005167BF">
        <w:t xml:space="preserve"> and explanatory power is how much the theory </w:t>
      </w:r>
      <w:r w:rsidR="00D86F34">
        <w:t>explains</w:t>
      </w:r>
      <w:r w:rsidR="00AB004B">
        <w:t>, and how little it leaves unexplained</w:t>
      </w:r>
      <w:r w:rsidR="005167BF">
        <w:t>.</w:t>
      </w:r>
      <w:r w:rsidR="00EE5ECD">
        <w:rPr>
          <w:rStyle w:val="FootnoteReference"/>
        </w:rPr>
        <w:footnoteReference w:id="25"/>
      </w:r>
      <w:r w:rsidR="005167BF">
        <w:t xml:space="preserve"> Simplicity</w:t>
      </w:r>
      <w:r w:rsidR="00703B77">
        <w:t xml:space="preserve"> </w:t>
      </w:r>
      <w:r w:rsidR="00FB10B4">
        <w:t xml:space="preserve">is </w:t>
      </w:r>
      <w:r w:rsidR="00703B77">
        <w:t xml:space="preserve">(ironically!) a complicated virtue, and </w:t>
      </w:r>
      <w:r w:rsidR="005167BF">
        <w:t>takes multiple forms.</w:t>
      </w:r>
      <w:r w:rsidR="00EE5ECD">
        <w:rPr>
          <w:rStyle w:val="FootnoteReference"/>
        </w:rPr>
        <w:footnoteReference w:id="26"/>
      </w:r>
      <w:r w:rsidR="00F87EF8">
        <w:t xml:space="preserve"> The driving idea behind simplicity being a theoretical virtue is that there </w:t>
      </w:r>
      <w:r w:rsidR="00D86F34">
        <w:t>are</w:t>
      </w:r>
      <w:r w:rsidR="00F87EF8">
        <w:t xml:space="preserve"> relatively few things (and/or types of things) in the world, and these things relate </w:t>
      </w:r>
      <w:r w:rsidR="009C6D07">
        <w:t xml:space="preserve">to each other </w:t>
      </w:r>
      <w:r w:rsidR="00F87EF8">
        <w:t xml:space="preserve">in simple ways. Given that the world should contain relatively few things (and/or types of things), a theory should be </w:t>
      </w:r>
      <w:r w:rsidR="00F87EF8">
        <w:rPr>
          <w:i/>
        </w:rPr>
        <w:t>ontologically</w:t>
      </w:r>
      <w:r w:rsidR="00F87EF8">
        <w:t xml:space="preserve"> simple; given that these things should relate in simple ways, a theory should be </w:t>
      </w:r>
      <w:r w:rsidR="00F87EF8">
        <w:rPr>
          <w:i/>
        </w:rPr>
        <w:t>syntactically</w:t>
      </w:r>
      <w:r w:rsidR="00F87EF8">
        <w:t xml:space="preserve"> simple.</w:t>
      </w:r>
      <w:r w:rsidR="00B96A10">
        <w:rPr>
          <w:rStyle w:val="FootnoteReference"/>
        </w:rPr>
        <w:footnoteReference w:id="27"/>
      </w:r>
      <w:r w:rsidR="00F87EF8">
        <w:t xml:space="preserve"> A</w:t>
      </w:r>
      <w:r w:rsidR="005167BF">
        <w:t xml:space="preserve"> theory </w:t>
      </w:r>
      <w:r w:rsidR="009811BD">
        <w:t>is</w:t>
      </w:r>
      <w:r w:rsidR="005167BF">
        <w:t xml:space="preserve"> </w:t>
      </w:r>
      <w:r w:rsidR="00B00CE6">
        <w:t xml:space="preserve">ontologically </w:t>
      </w:r>
      <w:r w:rsidR="005167BF">
        <w:t xml:space="preserve">simpler </w:t>
      </w:r>
      <w:r w:rsidR="00B00CE6">
        <w:t xml:space="preserve">than another </w:t>
      </w:r>
      <w:r w:rsidR="005167BF">
        <w:t xml:space="preserve">if it postulates fewer </w:t>
      </w:r>
      <w:r w:rsidR="00CB0419">
        <w:t>entities</w:t>
      </w:r>
      <w:r w:rsidR="005167BF">
        <w:t xml:space="preserve">, or fewer kinds of </w:t>
      </w:r>
      <w:r w:rsidR="00CB0419">
        <w:t>entities</w:t>
      </w:r>
      <w:r w:rsidR="00B00CE6">
        <w:t xml:space="preserve"> (quantitative and qualitative parsimony respectively, in Lewis’ [1973</w:t>
      </w:r>
      <w:r w:rsidR="00B640F8">
        <w:t>a</w:t>
      </w:r>
      <w:r w:rsidR="00B00CE6">
        <w:t>] terminology)</w:t>
      </w:r>
      <w:r w:rsidR="009811BD">
        <w:t>,</w:t>
      </w:r>
      <w:r w:rsidR="00B00CE6">
        <w:t xml:space="preserve"> </w:t>
      </w:r>
      <w:r w:rsidR="009811BD">
        <w:t>and s</w:t>
      </w:r>
      <w:r w:rsidR="00B00CE6">
        <w:t>yntactically simpler if its basic principles are fewer and/or more concise</w:t>
      </w:r>
      <w:r w:rsidR="00F87EF8">
        <w:t xml:space="preserve">, that is, if it describes </w:t>
      </w:r>
      <w:r w:rsidR="00CB0419">
        <w:t>entities</w:t>
      </w:r>
      <w:r w:rsidR="00F87EF8">
        <w:t xml:space="preserve"> as relating to each other in simple ways</w:t>
      </w:r>
      <w:r w:rsidR="00B00CE6">
        <w:t>.</w:t>
      </w:r>
      <w:r w:rsidR="00B96A10">
        <w:rPr>
          <w:rStyle w:val="FootnoteReference"/>
        </w:rPr>
        <w:footnoteReference w:id="28"/>
      </w:r>
    </w:p>
    <w:p w:rsidR="00B052C4" w:rsidRDefault="00602DC7" w:rsidP="00043061">
      <w:pPr>
        <w:spacing w:before="200" w:after="200" w:line="480" w:lineRule="auto"/>
        <w:ind w:firstLine="720"/>
        <w:jc w:val="both"/>
        <w:rPr>
          <w:szCs w:val="24"/>
        </w:rPr>
      </w:pPr>
      <w:r>
        <w:rPr>
          <w:szCs w:val="24"/>
        </w:rPr>
        <w:t xml:space="preserve">Hume takes empirical </w:t>
      </w:r>
      <w:r w:rsidR="000A5F89">
        <w:rPr>
          <w:szCs w:val="24"/>
        </w:rPr>
        <w:t>confirmation</w:t>
      </w:r>
      <w:r>
        <w:rPr>
          <w:szCs w:val="24"/>
        </w:rPr>
        <w:t xml:space="preserve"> to </w:t>
      </w:r>
      <w:r w:rsidR="00236C31">
        <w:rPr>
          <w:szCs w:val="24"/>
        </w:rPr>
        <w:t>be a crucial theoretical virtue. Boehm (2013, p.16) points out that ‘Hume considers experience to be the ultimate source of authority, and it is this reverence for experience that inspires Hume’s foundational ambition’. Hume</w:t>
      </w:r>
      <w:r>
        <w:rPr>
          <w:szCs w:val="24"/>
        </w:rPr>
        <w:t xml:space="preserve"> </w:t>
      </w:r>
      <w:r w:rsidR="00236C31">
        <w:rPr>
          <w:szCs w:val="24"/>
        </w:rPr>
        <w:t>criticises</w:t>
      </w:r>
      <w:r>
        <w:rPr>
          <w:szCs w:val="24"/>
        </w:rPr>
        <w:t xml:space="preserve"> systems that </w:t>
      </w:r>
      <w:r>
        <w:rPr>
          <w:szCs w:val="24"/>
        </w:rPr>
        <w:lastRenderedPageBreak/>
        <w:t>are not founded on adequate experience as common sources of ‘illusion and mistake’ (EPM 1.10)</w:t>
      </w:r>
      <w:r>
        <w:rPr>
          <w:i/>
          <w:szCs w:val="24"/>
        </w:rPr>
        <w:t>.</w:t>
      </w:r>
      <w:r w:rsidR="00D53EBA">
        <w:rPr>
          <w:szCs w:val="24"/>
        </w:rPr>
        <w:t xml:space="preserve"> H</w:t>
      </w:r>
      <w:r w:rsidR="00B052C4">
        <w:rPr>
          <w:szCs w:val="24"/>
        </w:rPr>
        <w:t>e</w:t>
      </w:r>
      <w:r w:rsidR="00D53EBA">
        <w:rPr>
          <w:szCs w:val="24"/>
        </w:rPr>
        <w:t xml:space="preserve"> also</w:t>
      </w:r>
      <w:r w:rsidR="00A75270">
        <w:rPr>
          <w:szCs w:val="24"/>
        </w:rPr>
        <w:t xml:space="preserve"> derides the work</w:t>
      </w:r>
      <w:r w:rsidR="00B052C4">
        <w:rPr>
          <w:szCs w:val="24"/>
        </w:rPr>
        <w:t xml:space="preserve"> of </w:t>
      </w:r>
      <w:r w:rsidR="00FB10B4">
        <w:rPr>
          <w:szCs w:val="24"/>
        </w:rPr>
        <w:t>‘</w:t>
      </w:r>
      <w:r w:rsidR="00B052C4">
        <w:rPr>
          <w:szCs w:val="24"/>
        </w:rPr>
        <w:t>the</w:t>
      </w:r>
      <w:r w:rsidR="00FB10B4">
        <w:rPr>
          <w:szCs w:val="24"/>
        </w:rPr>
        <w:t xml:space="preserve"> most eminent</w:t>
      </w:r>
      <w:r w:rsidR="00B052C4">
        <w:rPr>
          <w:szCs w:val="24"/>
        </w:rPr>
        <w:t xml:space="preserve"> philosophers</w:t>
      </w:r>
      <w:r w:rsidR="00FB10B4">
        <w:rPr>
          <w:szCs w:val="24"/>
        </w:rPr>
        <w:t>’</w:t>
      </w:r>
      <w:r w:rsidR="00586051">
        <w:rPr>
          <w:szCs w:val="24"/>
        </w:rPr>
        <w:t xml:space="preserve"> for lackin</w:t>
      </w:r>
      <w:r w:rsidR="00B239A8">
        <w:rPr>
          <w:szCs w:val="24"/>
        </w:rPr>
        <w:t>g</w:t>
      </w:r>
      <w:r w:rsidR="00A75270">
        <w:rPr>
          <w:szCs w:val="24"/>
        </w:rPr>
        <w:t xml:space="preserve"> evidence</w:t>
      </w:r>
      <w:r w:rsidR="00B239A8">
        <w:rPr>
          <w:szCs w:val="24"/>
        </w:rPr>
        <w:t xml:space="preserve"> (which presumably includes empirical evidence)</w:t>
      </w:r>
      <w:r w:rsidR="00A75270">
        <w:rPr>
          <w:szCs w:val="24"/>
        </w:rPr>
        <w:t>:</w:t>
      </w:r>
    </w:p>
    <w:p w:rsidR="00B052C4" w:rsidRDefault="00B052C4" w:rsidP="005050B0">
      <w:pPr>
        <w:pStyle w:val="HumeReferences"/>
      </w:pPr>
      <w:r>
        <w:t xml:space="preserve">Principles taken upon trust, consequences lamely deduced from them, want of coherence in the parts, and </w:t>
      </w:r>
      <w:r w:rsidRPr="00B052C4">
        <w:rPr>
          <w:i/>
        </w:rPr>
        <w:t>of evidence in the whole</w:t>
      </w:r>
      <w:r>
        <w:t>, these are every where to be met with in the systems of the most eminent philosophers, and seem to have drawn disgrace upon philosophy itself. (THN Intro 1, emphasis added)</w:t>
      </w:r>
    </w:p>
    <w:p w:rsidR="00B052C4" w:rsidRPr="002679F2" w:rsidRDefault="00A75270" w:rsidP="00B052C4">
      <w:pPr>
        <w:spacing w:before="200" w:after="200" w:line="480" w:lineRule="auto"/>
        <w:jc w:val="both"/>
        <w:rPr>
          <w:szCs w:val="24"/>
        </w:rPr>
      </w:pPr>
      <w:r>
        <w:rPr>
          <w:szCs w:val="24"/>
        </w:rPr>
        <w:t xml:space="preserve">Similarly, he criticises ‘the moral philosophy transmitted to us by </w:t>
      </w:r>
      <w:r w:rsidRPr="00A75270">
        <w:rPr>
          <w:szCs w:val="24"/>
        </w:rPr>
        <w:t>Antiquity</w:t>
      </w:r>
      <w:r>
        <w:rPr>
          <w:szCs w:val="24"/>
        </w:rPr>
        <w:t>’ for ‘being entirely Hypothetical, &amp; depending more upon Invention than Experience</w:t>
      </w:r>
      <w:r w:rsidR="00412C50">
        <w:rPr>
          <w:szCs w:val="24"/>
        </w:rPr>
        <w:t>’</w:t>
      </w:r>
      <w:r>
        <w:rPr>
          <w:szCs w:val="24"/>
        </w:rPr>
        <w:t xml:space="preserve"> (</w:t>
      </w:r>
      <w:r w:rsidR="007A6444">
        <w:rPr>
          <w:szCs w:val="24"/>
        </w:rPr>
        <w:t>HL i</w:t>
      </w:r>
      <w:r w:rsidR="00460A99">
        <w:rPr>
          <w:szCs w:val="24"/>
        </w:rPr>
        <w:t>.16</w:t>
      </w:r>
      <w:r>
        <w:rPr>
          <w:szCs w:val="24"/>
        </w:rPr>
        <w:t>).</w:t>
      </w:r>
      <w:r w:rsidR="00412C50">
        <w:rPr>
          <w:szCs w:val="24"/>
        </w:rPr>
        <w:t xml:space="preserve"> More pointedly: ‘</w:t>
      </w:r>
      <w:r w:rsidR="00412C50">
        <w:t>none but a fool or madman will ever pretend to dispute the authority of experience’ (EHU 4.20).</w:t>
      </w:r>
      <w:r w:rsidR="00D07F74">
        <w:t xml:space="preserve"> As Hume makes clear:</w:t>
      </w:r>
      <w:r w:rsidR="00412C50">
        <w:rPr>
          <w:szCs w:val="24"/>
        </w:rPr>
        <w:t xml:space="preserve"> </w:t>
      </w:r>
      <w:r w:rsidR="00D07F74">
        <w:rPr>
          <w:szCs w:val="24"/>
        </w:rPr>
        <w:t>‘</w:t>
      </w:r>
      <w:r w:rsidR="00D07F74" w:rsidRPr="00D07F74">
        <w:rPr>
          <w:szCs w:val="24"/>
        </w:rPr>
        <w:t xml:space="preserve">None of </w:t>
      </w:r>
      <w:r w:rsidR="00D07F74">
        <w:rPr>
          <w:szCs w:val="24"/>
        </w:rPr>
        <w:t>[the sciences and arts]</w:t>
      </w:r>
      <w:r w:rsidR="00D07F74" w:rsidRPr="00D07F74">
        <w:rPr>
          <w:szCs w:val="24"/>
        </w:rPr>
        <w:t xml:space="preserve"> can go beyond experience, or establish any principles which are not founded on that authority</w:t>
      </w:r>
      <w:r w:rsidR="00D07F74">
        <w:rPr>
          <w:szCs w:val="24"/>
        </w:rPr>
        <w:t>’ (THN Intro 10)</w:t>
      </w:r>
      <w:r w:rsidR="00D07F74" w:rsidRPr="00D07F74">
        <w:rPr>
          <w:szCs w:val="24"/>
        </w:rPr>
        <w:t xml:space="preserve">. </w:t>
      </w:r>
      <w:r>
        <w:rPr>
          <w:szCs w:val="24"/>
        </w:rPr>
        <w:t xml:space="preserve"> </w:t>
      </w:r>
      <w:r w:rsidR="00412C50">
        <w:rPr>
          <w:szCs w:val="24"/>
        </w:rPr>
        <w:t>In contrast</w:t>
      </w:r>
      <w:r w:rsidR="00460A99">
        <w:rPr>
          <w:szCs w:val="24"/>
        </w:rPr>
        <w:t xml:space="preserve"> to such careless philosophers, Hum</w:t>
      </w:r>
      <w:r w:rsidR="002679F2">
        <w:rPr>
          <w:szCs w:val="24"/>
        </w:rPr>
        <w:t>e describes himself as promising to ‘</w:t>
      </w:r>
      <w:r w:rsidR="002679F2">
        <w:t>draw no conclusions but where he is authorized by experience’ (</w:t>
      </w:r>
      <w:r w:rsidR="002679F2" w:rsidRPr="002679F2">
        <w:t>A</w:t>
      </w:r>
      <w:r w:rsidR="002679F2">
        <w:rPr>
          <w:i/>
        </w:rPr>
        <w:t xml:space="preserve"> </w:t>
      </w:r>
      <w:r w:rsidR="002679F2">
        <w:t>2).</w:t>
      </w:r>
      <w:r w:rsidR="00412C50">
        <w:t xml:space="preserve"> </w:t>
      </w:r>
    </w:p>
    <w:p w:rsidR="00626577" w:rsidRPr="00B052C4" w:rsidRDefault="00B052C4" w:rsidP="00B052C4">
      <w:pPr>
        <w:spacing w:before="200" w:after="200" w:line="480" w:lineRule="auto"/>
        <w:ind w:firstLine="720"/>
        <w:jc w:val="both"/>
        <w:rPr>
          <w:szCs w:val="24"/>
        </w:rPr>
      </w:pPr>
      <w:r>
        <w:rPr>
          <w:szCs w:val="24"/>
        </w:rPr>
        <w:t xml:space="preserve">Explanatory power </w:t>
      </w:r>
      <w:r w:rsidR="007A7AD6">
        <w:rPr>
          <w:szCs w:val="24"/>
        </w:rPr>
        <w:t xml:space="preserve">– that is, how much a theory explains – </w:t>
      </w:r>
      <w:r>
        <w:rPr>
          <w:szCs w:val="24"/>
        </w:rPr>
        <w:t>is also important to Hume</w:t>
      </w:r>
      <w:r w:rsidR="009733E7">
        <w:rPr>
          <w:szCs w:val="24"/>
        </w:rPr>
        <w:t>. He</w:t>
      </w:r>
      <w:r>
        <w:rPr>
          <w:szCs w:val="24"/>
        </w:rPr>
        <w:t xml:space="preserve"> </w:t>
      </w:r>
      <w:r w:rsidR="00626577">
        <w:rPr>
          <w:szCs w:val="24"/>
        </w:rPr>
        <w:t xml:space="preserve">speaks of rendering our principles </w:t>
      </w:r>
      <w:r w:rsidR="00626577">
        <w:rPr>
          <w:i/>
          <w:szCs w:val="24"/>
        </w:rPr>
        <w:t>more general and comprehensive</w:t>
      </w:r>
      <w:r w:rsidR="00626577">
        <w:rPr>
          <w:szCs w:val="24"/>
        </w:rPr>
        <w:t xml:space="preserve"> (and therefore more explanatory powerful), pointing out that philosophy is simply ‘a more regular and methodical operation of the same kind’ (DNR 134);</w:t>
      </w:r>
      <w:r w:rsidR="008B21AB">
        <w:rPr>
          <w:szCs w:val="24"/>
        </w:rPr>
        <w:t xml:space="preserve"> </w:t>
      </w:r>
      <w:r w:rsidR="003F71E7">
        <w:rPr>
          <w:szCs w:val="24"/>
        </w:rPr>
        <w:t>he</w:t>
      </w:r>
      <w:r w:rsidR="008B21AB">
        <w:rPr>
          <w:szCs w:val="24"/>
        </w:rPr>
        <w:t xml:space="preserve"> </w:t>
      </w:r>
      <w:r w:rsidR="003F71E7">
        <w:rPr>
          <w:szCs w:val="24"/>
        </w:rPr>
        <w:t>approves</w:t>
      </w:r>
      <w:r w:rsidR="008B21AB">
        <w:rPr>
          <w:szCs w:val="24"/>
        </w:rPr>
        <w:t xml:space="preserve"> of the abstruse philosophers, who ‘proceeding from particular instances to general principles</w:t>
      </w:r>
      <w:r w:rsidR="00586051">
        <w:rPr>
          <w:szCs w:val="24"/>
        </w:rPr>
        <w:t>...</w:t>
      </w:r>
      <w:r w:rsidR="008B21AB">
        <w:rPr>
          <w:szCs w:val="24"/>
        </w:rPr>
        <w:t xml:space="preserve"> still push on their enquiries to principles more general, and rest not satisfied till they arrive at those original principles, by which, in every science, all human curiosity must be bounded’ (EHU 1.2)</w:t>
      </w:r>
      <w:r w:rsidR="003F71E7">
        <w:rPr>
          <w:szCs w:val="24"/>
        </w:rPr>
        <w:t xml:space="preserve">; </w:t>
      </w:r>
      <w:r w:rsidR="009733E7">
        <w:rPr>
          <w:szCs w:val="24"/>
        </w:rPr>
        <w:t>h</w:t>
      </w:r>
      <w:r w:rsidR="003F71E7">
        <w:rPr>
          <w:szCs w:val="24"/>
        </w:rPr>
        <w:t>e also endeavours ‘to render all our principles as universal as possible (THN Intro 8)</w:t>
      </w:r>
      <w:r w:rsidR="008B21AB">
        <w:rPr>
          <w:szCs w:val="24"/>
        </w:rPr>
        <w:t>.</w:t>
      </w:r>
      <w:r w:rsidR="00626577">
        <w:rPr>
          <w:szCs w:val="24"/>
        </w:rPr>
        <w:t xml:space="preserve"> Hume therefore thinks that general principles should </w:t>
      </w:r>
      <w:r w:rsidR="002B59B9">
        <w:rPr>
          <w:szCs w:val="24"/>
        </w:rPr>
        <w:t>predict phenomena not merely at</w:t>
      </w:r>
      <w:r w:rsidR="00FB10B4">
        <w:rPr>
          <w:szCs w:val="24"/>
        </w:rPr>
        <w:t xml:space="preserve"> a</w:t>
      </w:r>
      <w:r w:rsidR="002B59B9">
        <w:rPr>
          <w:szCs w:val="24"/>
        </w:rPr>
        <w:t xml:space="preserve"> local</w:t>
      </w:r>
      <w:r w:rsidR="00BA1845">
        <w:rPr>
          <w:szCs w:val="24"/>
        </w:rPr>
        <w:t xml:space="preserve"> but also</w:t>
      </w:r>
      <w:r w:rsidR="00FB10B4">
        <w:rPr>
          <w:szCs w:val="24"/>
        </w:rPr>
        <w:t xml:space="preserve"> general</w:t>
      </w:r>
      <w:r w:rsidR="009733E7">
        <w:rPr>
          <w:szCs w:val="24"/>
        </w:rPr>
        <w:t xml:space="preserve"> level; t</w:t>
      </w:r>
      <w:r w:rsidR="002B59B9">
        <w:rPr>
          <w:szCs w:val="24"/>
        </w:rPr>
        <w:t>heories that</w:t>
      </w:r>
      <w:r w:rsidR="00E80011">
        <w:rPr>
          <w:szCs w:val="24"/>
        </w:rPr>
        <w:t xml:space="preserve"> are</w:t>
      </w:r>
      <w:r w:rsidR="002B59B9">
        <w:rPr>
          <w:szCs w:val="24"/>
        </w:rPr>
        <w:t xml:space="preserve"> limit</w:t>
      </w:r>
      <w:r w:rsidR="00E80011">
        <w:rPr>
          <w:szCs w:val="24"/>
        </w:rPr>
        <w:t>ed in</w:t>
      </w:r>
      <w:r w:rsidR="002B59B9">
        <w:rPr>
          <w:szCs w:val="24"/>
        </w:rPr>
        <w:t xml:space="preserve"> their predictions are, </w:t>
      </w:r>
      <w:r w:rsidR="002B59B9">
        <w:rPr>
          <w:i/>
          <w:szCs w:val="24"/>
        </w:rPr>
        <w:t>ceteris paribus</w:t>
      </w:r>
      <w:r w:rsidR="00CB0419">
        <w:rPr>
          <w:szCs w:val="24"/>
        </w:rPr>
        <w:t>, poorer theories.</w:t>
      </w:r>
      <w:r w:rsidR="002B59B9">
        <w:rPr>
          <w:szCs w:val="24"/>
        </w:rPr>
        <w:t xml:space="preserve"> Hume seeks principles that explain and predict as much as </w:t>
      </w:r>
      <w:r w:rsidR="002B59B9">
        <w:rPr>
          <w:szCs w:val="24"/>
        </w:rPr>
        <w:lastRenderedPageBreak/>
        <w:t xml:space="preserve">possible within a certain set of </w:t>
      </w:r>
      <w:r w:rsidR="0083640B">
        <w:rPr>
          <w:szCs w:val="24"/>
        </w:rPr>
        <w:t xml:space="preserve">theoretical </w:t>
      </w:r>
      <w:r w:rsidR="002B59B9">
        <w:rPr>
          <w:szCs w:val="24"/>
        </w:rPr>
        <w:t>constraints</w:t>
      </w:r>
      <w:r w:rsidR="003F71E7">
        <w:rPr>
          <w:szCs w:val="24"/>
        </w:rPr>
        <w:t>;</w:t>
      </w:r>
      <w:r w:rsidR="00CB0419">
        <w:rPr>
          <w:szCs w:val="24"/>
        </w:rPr>
        <w:t xml:space="preserve"> that is, he endorses</w:t>
      </w:r>
      <w:r w:rsidR="002B59B9">
        <w:rPr>
          <w:szCs w:val="24"/>
        </w:rPr>
        <w:t xml:space="preserve"> explanatory power as a theoretical virtue.</w:t>
      </w:r>
      <w:r>
        <w:rPr>
          <w:szCs w:val="24"/>
        </w:rPr>
        <w:t xml:space="preserve"> </w:t>
      </w:r>
    </w:p>
    <w:p w:rsidR="00B052C4" w:rsidRDefault="00626577" w:rsidP="00043061">
      <w:pPr>
        <w:spacing w:before="200" w:after="200" w:line="480" w:lineRule="auto"/>
        <w:ind w:firstLine="720"/>
        <w:jc w:val="both"/>
        <w:rPr>
          <w:szCs w:val="24"/>
        </w:rPr>
      </w:pPr>
      <w:r>
        <w:rPr>
          <w:szCs w:val="24"/>
        </w:rPr>
        <w:t>Of the t</w:t>
      </w:r>
      <w:r w:rsidR="007E01E5">
        <w:rPr>
          <w:szCs w:val="24"/>
        </w:rPr>
        <w:t>hree theoretical virtues, Hume</w:t>
      </w:r>
      <w:r>
        <w:rPr>
          <w:szCs w:val="24"/>
        </w:rPr>
        <w:t xml:space="preserve"> says the most about simplicity</w:t>
      </w:r>
      <w:r w:rsidR="00CB0419">
        <w:rPr>
          <w:szCs w:val="24"/>
        </w:rPr>
        <w:t xml:space="preserve">, </w:t>
      </w:r>
      <w:r w:rsidR="002B59B9">
        <w:rPr>
          <w:szCs w:val="24"/>
        </w:rPr>
        <w:t>syntactical simplicity in particular</w:t>
      </w:r>
      <w:r>
        <w:rPr>
          <w:szCs w:val="24"/>
        </w:rPr>
        <w:t>.</w:t>
      </w:r>
      <w:r w:rsidR="00A30707">
        <w:rPr>
          <w:rStyle w:val="FootnoteReference"/>
          <w:szCs w:val="24"/>
        </w:rPr>
        <w:footnoteReference w:id="29"/>
      </w:r>
      <w:r>
        <w:rPr>
          <w:szCs w:val="24"/>
        </w:rPr>
        <w:t xml:space="preserve"> </w:t>
      </w:r>
      <w:r w:rsidR="00043061" w:rsidRPr="00602DC7">
        <w:rPr>
          <w:szCs w:val="24"/>
        </w:rPr>
        <w:t>He</w:t>
      </w:r>
      <w:r w:rsidR="001B6716">
        <w:rPr>
          <w:szCs w:val="24"/>
        </w:rPr>
        <w:t xml:space="preserve"> </w:t>
      </w:r>
      <w:r w:rsidR="002B59B9">
        <w:rPr>
          <w:szCs w:val="24"/>
        </w:rPr>
        <w:t>argues that our general principles should be few in number:</w:t>
      </w:r>
      <w:r w:rsidR="00107588" w:rsidRPr="00BC3498">
        <w:rPr>
          <w:szCs w:val="24"/>
        </w:rPr>
        <w:t xml:space="preserve"> </w:t>
      </w:r>
    </w:p>
    <w:p w:rsidR="001B6B03" w:rsidRDefault="001B6B03" w:rsidP="005050B0">
      <w:pPr>
        <w:pStyle w:val="HumeReferences"/>
      </w:pPr>
      <w:r>
        <w:t>…</w:t>
      </w:r>
      <w:r w:rsidRPr="008D4396">
        <w:t>we must endeavour to render all our principles as universal as possible, by tracing up our experiments to the utmost, and explaining all effects from the simplest and fewest causes</w:t>
      </w:r>
      <w:r>
        <w:t>… (THN Intro 8)</w:t>
      </w:r>
    </w:p>
    <w:p w:rsidR="002B59B9" w:rsidRDefault="002B59B9" w:rsidP="002B59B9">
      <w:pPr>
        <w:spacing w:before="200" w:after="200" w:line="480" w:lineRule="auto"/>
        <w:jc w:val="both"/>
        <w:rPr>
          <w:szCs w:val="24"/>
        </w:rPr>
      </w:pPr>
      <w:r>
        <w:rPr>
          <w:szCs w:val="24"/>
        </w:rPr>
        <w:t>Hume</w:t>
      </w:r>
      <w:r w:rsidR="00290BB3">
        <w:rPr>
          <w:szCs w:val="24"/>
        </w:rPr>
        <w:t xml:space="preserve"> further</w:t>
      </w:r>
      <w:r>
        <w:rPr>
          <w:szCs w:val="24"/>
        </w:rPr>
        <w:t xml:space="preserve"> emphasises the importance of syntactical simplicity when he claims that we should attempt to explain new phenomena</w:t>
      </w:r>
      <w:r w:rsidR="005D49C9">
        <w:rPr>
          <w:szCs w:val="24"/>
        </w:rPr>
        <w:t xml:space="preserve"> without </w:t>
      </w:r>
      <w:r w:rsidR="009811BD">
        <w:rPr>
          <w:szCs w:val="24"/>
        </w:rPr>
        <w:t xml:space="preserve">needlessly </w:t>
      </w:r>
      <w:r w:rsidR="005D49C9">
        <w:rPr>
          <w:szCs w:val="24"/>
        </w:rPr>
        <w:t>multiplying principles;</w:t>
      </w:r>
      <w:r>
        <w:rPr>
          <w:szCs w:val="24"/>
        </w:rPr>
        <w:t xml:space="preserve"> such a</w:t>
      </w:r>
      <w:r w:rsidR="00EB680C">
        <w:rPr>
          <w:szCs w:val="24"/>
        </w:rPr>
        <w:t xml:space="preserve"> wanton postulation </w:t>
      </w:r>
      <w:r w:rsidR="009811BD">
        <w:rPr>
          <w:szCs w:val="24"/>
        </w:rPr>
        <w:t>indicates</w:t>
      </w:r>
      <w:r>
        <w:rPr>
          <w:szCs w:val="24"/>
        </w:rPr>
        <w:t xml:space="preserve"> the falsehood of a theory:</w:t>
      </w:r>
    </w:p>
    <w:p w:rsidR="002B59B9" w:rsidRPr="002B59B9" w:rsidRDefault="002B59B9" w:rsidP="005050B0">
      <w:pPr>
        <w:pStyle w:val="HumeReferences"/>
      </w:pPr>
      <w:r>
        <w:t xml:space="preserve">The antients, tho’ sensible of that maxim, </w:t>
      </w:r>
      <w:r>
        <w:rPr>
          <w:rStyle w:val="Emphasis"/>
        </w:rPr>
        <w:t>that nature does nothing in vain</w:t>
      </w:r>
      <w:r>
        <w:t>, contriv’d such intricate systems of the heavens, as seem’d inconsistent with true philosophy, and gave place at last to something more simple and natural. To invent without scruple a new principle to every new ph</w:t>
      </w:r>
      <w:r>
        <w:rPr>
          <w:rStyle w:val="added"/>
        </w:rPr>
        <w:t>ae</w:t>
      </w:r>
      <w:r>
        <w:t>nomenon, instead of adapting it to the old; to overload our hypotheses with a variety of this kind; are certain proofs, that none of these principles is the just one, and that we only desire, by a number of falsehoods, to cover our ignorance of the truth. (THN 2.1.3.7)</w:t>
      </w:r>
    </w:p>
    <w:p w:rsidR="00B052C4" w:rsidRDefault="00B052C4" w:rsidP="005050B0">
      <w:pPr>
        <w:pStyle w:val="HumeReferences"/>
      </w:pPr>
      <w:r>
        <w:t>Such a subtility is a clear proof of the falshood, as the contrary simplicity of the truth, of any system. (THN 1.3.16.3)</w:t>
      </w:r>
    </w:p>
    <w:p w:rsidR="005050B0" w:rsidRDefault="002679F2" w:rsidP="004D6838">
      <w:pPr>
        <w:spacing w:before="200" w:after="200" w:line="480" w:lineRule="auto"/>
        <w:jc w:val="both"/>
        <w:rPr>
          <w:szCs w:val="24"/>
        </w:rPr>
      </w:pPr>
      <w:r>
        <w:rPr>
          <w:szCs w:val="24"/>
        </w:rPr>
        <w:t>N</w:t>
      </w:r>
      <w:r w:rsidR="002B59B9">
        <w:rPr>
          <w:szCs w:val="24"/>
        </w:rPr>
        <w:t>ot only should our principles be few in number, but they should also be simple in themselves</w:t>
      </w:r>
      <w:r>
        <w:rPr>
          <w:szCs w:val="24"/>
        </w:rPr>
        <w:t>:</w:t>
      </w:r>
      <w:r w:rsidR="005050B0" w:rsidRPr="005050B0">
        <w:rPr>
          <w:rStyle w:val="FootnoteReference"/>
          <w:szCs w:val="24"/>
        </w:rPr>
        <w:t xml:space="preserve"> </w:t>
      </w:r>
      <w:r w:rsidR="005050B0">
        <w:rPr>
          <w:rStyle w:val="FootnoteReference"/>
          <w:szCs w:val="24"/>
        </w:rPr>
        <w:footnoteReference w:id="30"/>
      </w:r>
      <w:r w:rsidR="005050B0">
        <w:rPr>
          <w:szCs w:val="24"/>
        </w:rPr>
        <w:t xml:space="preserve"> </w:t>
      </w:r>
      <w:r>
        <w:rPr>
          <w:szCs w:val="24"/>
        </w:rPr>
        <w:t xml:space="preserve"> </w:t>
      </w:r>
    </w:p>
    <w:p w:rsidR="005050B0" w:rsidRPr="005050B0" w:rsidRDefault="005050B0" w:rsidP="005050B0">
      <w:pPr>
        <w:pStyle w:val="HumeReferences"/>
        <w:rPr>
          <w:szCs w:val="24"/>
        </w:rPr>
      </w:pPr>
      <w:r w:rsidRPr="005050B0">
        <w:rPr>
          <w:szCs w:val="24"/>
        </w:rPr>
        <w:t>...</w:t>
      </w:r>
      <w:r w:rsidR="002679F2" w:rsidRPr="005050B0">
        <w:t>principles... are commonly but few and simple, and that ’tis the sign of an unskilful naturalist to have recourse to a different quality, in order to explain every different operation</w:t>
      </w:r>
      <w:r>
        <w:t>.</w:t>
      </w:r>
      <w:r w:rsidR="002679F2" w:rsidRPr="005050B0">
        <w:rPr>
          <w:szCs w:val="24"/>
        </w:rPr>
        <w:t xml:space="preserve"> (THN 2.1.3.6).</w:t>
      </w:r>
    </w:p>
    <w:p w:rsidR="005050B0" w:rsidRPr="005050B0" w:rsidRDefault="005050B0" w:rsidP="005050B0">
      <w:pPr>
        <w:pStyle w:val="HumeReferences"/>
      </w:pPr>
      <w:r>
        <w:lastRenderedPageBreak/>
        <w:t>…</w:t>
      </w:r>
      <w:r w:rsidRPr="00BC3498">
        <w:t xml:space="preserve">the utmost effort of human reason is, to reduce the principles, productive of natural phaenomena, </w:t>
      </w:r>
      <w:r w:rsidRPr="005050B0">
        <w:t>to a greater simplicity</w:t>
      </w:r>
      <w:r w:rsidRPr="00BC3498">
        <w:t>, and to resolve the many particular effects into a few general causes, by means of reasonings from analogy, experience, and</w:t>
      </w:r>
      <w:r>
        <w:t xml:space="preserve"> observation. (EHU 4.12) </w:t>
      </w:r>
    </w:p>
    <w:p w:rsidR="00B052C4" w:rsidRDefault="002B59B9" w:rsidP="004D6838">
      <w:pPr>
        <w:spacing w:before="200" w:after="200" w:line="480" w:lineRule="auto"/>
        <w:jc w:val="both"/>
        <w:rPr>
          <w:szCs w:val="24"/>
        </w:rPr>
      </w:pPr>
      <w:r>
        <w:rPr>
          <w:szCs w:val="24"/>
        </w:rPr>
        <w:t>Hume</w:t>
      </w:r>
      <w:r w:rsidR="00290BB3">
        <w:rPr>
          <w:szCs w:val="24"/>
        </w:rPr>
        <w:t xml:space="preserve"> also</w:t>
      </w:r>
      <w:r>
        <w:rPr>
          <w:szCs w:val="24"/>
        </w:rPr>
        <w:t xml:space="preserve"> </w:t>
      </w:r>
      <w:r w:rsidR="004D6838">
        <w:rPr>
          <w:szCs w:val="24"/>
        </w:rPr>
        <w:t>describes the ‘simplicity’ of his system as its ‘principal force and beauty’ (THN 2.2.6.2)</w:t>
      </w:r>
      <w:r w:rsidR="004D6838">
        <w:t xml:space="preserve">. </w:t>
      </w:r>
      <w:r w:rsidR="00B052C4">
        <w:rPr>
          <w:szCs w:val="24"/>
        </w:rPr>
        <w:t>In short, Hume</w:t>
      </w:r>
      <w:r w:rsidR="00343719">
        <w:rPr>
          <w:szCs w:val="24"/>
        </w:rPr>
        <w:t xml:space="preserve"> clearly takes simplicity to be crucial to the acceptability of a theory.</w:t>
      </w:r>
      <w:r w:rsidR="00460A99">
        <w:rPr>
          <w:rStyle w:val="FootnoteReference"/>
          <w:szCs w:val="24"/>
        </w:rPr>
        <w:footnoteReference w:id="31"/>
      </w:r>
      <w:r w:rsidR="00343719">
        <w:rPr>
          <w:szCs w:val="24"/>
        </w:rPr>
        <w:t xml:space="preserve"> </w:t>
      </w:r>
    </w:p>
    <w:p w:rsidR="00DE0A52" w:rsidRPr="004D6838" w:rsidRDefault="00DE0A52" w:rsidP="004D6838">
      <w:pPr>
        <w:spacing w:before="200" w:after="200" w:line="480" w:lineRule="auto"/>
        <w:jc w:val="both"/>
      </w:pPr>
      <w:r>
        <w:rPr>
          <w:szCs w:val="24"/>
        </w:rPr>
        <w:tab/>
        <w:t>Hazony (2014) persuasively argues that Hume follows Boyle in his emphasis on</w:t>
      </w:r>
      <w:r w:rsidR="001477FD">
        <w:rPr>
          <w:szCs w:val="24"/>
        </w:rPr>
        <w:t xml:space="preserve"> the</w:t>
      </w:r>
      <w:r>
        <w:rPr>
          <w:szCs w:val="24"/>
        </w:rPr>
        <w:t xml:space="preserve"> reduction and resolution</w:t>
      </w:r>
      <w:r w:rsidR="001477FD">
        <w:rPr>
          <w:szCs w:val="24"/>
        </w:rPr>
        <w:t xml:space="preserve"> of terms and principles</w:t>
      </w:r>
      <w:r>
        <w:rPr>
          <w:szCs w:val="24"/>
        </w:rPr>
        <w:t xml:space="preserve">. Notably, Hazony (2014, p.150) argues that Boyle thinks that the </w:t>
      </w:r>
      <w:r w:rsidR="007A7AD6">
        <w:rPr>
          <w:szCs w:val="24"/>
        </w:rPr>
        <w:t>merit</w:t>
      </w:r>
      <w:r>
        <w:rPr>
          <w:szCs w:val="24"/>
        </w:rPr>
        <w:t xml:space="preserve"> of a scientific theory is based upon two qualities: simplicity, and generality. As Hazony (2014, p.152) puts it: ‘what makes a scientific theory worth attending to is that it is simpler than its competitors, and that the range of what can be explained by means of it is far greater’. In short, </w:t>
      </w:r>
      <w:r w:rsidR="003D6445">
        <w:rPr>
          <w:szCs w:val="24"/>
        </w:rPr>
        <w:t>Hume follows Boyle in taking</w:t>
      </w:r>
      <w:r>
        <w:rPr>
          <w:szCs w:val="24"/>
        </w:rPr>
        <w:t xml:space="preserve"> simplicity and what I call explanatory power </w:t>
      </w:r>
      <w:r w:rsidR="007A7AD6">
        <w:rPr>
          <w:szCs w:val="24"/>
        </w:rPr>
        <w:t xml:space="preserve">to be </w:t>
      </w:r>
      <w:r>
        <w:rPr>
          <w:szCs w:val="24"/>
        </w:rPr>
        <w:t>theoretical virtues.</w:t>
      </w:r>
    </w:p>
    <w:p w:rsidR="00950023" w:rsidRDefault="00343719" w:rsidP="000B0A7E">
      <w:pPr>
        <w:spacing w:before="200" w:after="200" w:line="480" w:lineRule="auto"/>
        <w:ind w:firstLine="720"/>
        <w:jc w:val="both"/>
        <w:rPr>
          <w:szCs w:val="24"/>
        </w:rPr>
      </w:pPr>
      <w:r>
        <w:rPr>
          <w:szCs w:val="24"/>
        </w:rPr>
        <w:t xml:space="preserve">Let us now examine Hume’s conativist thesis </w:t>
      </w:r>
      <w:r w:rsidR="00BA1845">
        <w:rPr>
          <w:szCs w:val="24"/>
        </w:rPr>
        <w:t>through the lenses of these</w:t>
      </w:r>
      <w:r>
        <w:rPr>
          <w:szCs w:val="24"/>
        </w:rPr>
        <w:t xml:space="preserve"> theoretical virtues.</w:t>
      </w:r>
      <w:r w:rsidR="00B96A10">
        <w:rPr>
          <w:rStyle w:val="FootnoteReference"/>
          <w:szCs w:val="24"/>
        </w:rPr>
        <w:footnoteReference w:id="32"/>
      </w:r>
      <w:r>
        <w:rPr>
          <w:szCs w:val="24"/>
        </w:rPr>
        <w:t xml:space="preserve"> </w:t>
      </w:r>
      <w:r w:rsidR="00107588">
        <w:rPr>
          <w:szCs w:val="24"/>
        </w:rPr>
        <w:t xml:space="preserve">He finds </w:t>
      </w:r>
      <w:r>
        <w:rPr>
          <w:szCs w:val="24"/>
        </w:rPr>
        <w:t>his conativist thesis</w:t>
      </w:r>
      <w:r w:rsidR="00107588">
        <w:rPr>
          <w:szCs w:val="24"/>
        </w:rPr>
        <w:t xml:space="preserve"> to be simple, explanatorily powerful, and empirically substantiated</w:t>
      </w:r>
      <w:r w:rsidR="00602DC7">
        <w:rPr>
          <w:szCs w:val="24"/>
        </w:rPr>
        <w:t>, and therefore endorses it as a general principle</w:t>
      </w:r>
      <w:r w:rsidR="00107588">
        <w:rPr>
          <w:szCs w:val="24"/>
        </w:rPr>
        <w:t>.</w:t>
      </w:r>
      <w:r>
        <w:rPr>
          <w:szCs w:val="24"/>
        </w:rPr>
        <w:t xml:space="preserve"> </w:t>
      </w:r>
      <w:r w:rsidR="00107588">
        <w:rPr>
          <w:szCs w:val="24"/>
        </w:rPr>
        <w:t>However</w:t>
      </w:r>
      <w:r w:rsidR="00646C21">
        <w:rPr>
          <w:szCs w:val="24"/>
        </w:rPr>
        <w:t>, not all</w:t>
      </w:r>
      <w:r w:rsidR="00D3512E">
        <w:rPr>
          <w:szCs w:val="24"/>
        </w:rPr>
        <w:t xml:space="preserve"> of</w:t>
      </w:r>
      <w:r w:rsidR="00646C21">
        <w:rPr>
          <w:szCs w:val="24"/>
        </w:rPr>
        <w:t xml:space="preserve"> Hume’s </w:t>
      </w:r>
      <w:r w:rsidR="00D3512E">
        <w:rPr>
          <w:szCs w:val="24"/>
        </w:rPr>
        <w:t>data</w:t>
      </w:r>
      <w:r w:rsidR="00646C21">
        <w:rPr>
          <w:szCs w:val="24"/>
        </w:rPr>
        <w:t xml:space="preserve"> align neatly with</w:t>
      </w:r>
      <w:r w:rsidR="001B6716">
        <w:rPr>
          <w:szCs w:val="24"/>
        </w:rPr>
        <w:t xml:space="preserve"> his theory;</w:t>
      </w:r>
      <w:r w:rsidR="00107588">
        <w:rPr>
          <w:szCs w:val="24"/>
        </w:rPr>
        <w:t xml:space="preserve"> there exist observational outliers, such as the case of the reluctantly assiduous student. </w:t>
      </w:r>
      <w:r w:rsidR="0062373E">
        <w:rPr>
          <w:szCs w:val="24"/>
        </w:rPr>
        <w:t>Nevertheless</w:t>
      </w:r>
      <w:r w:rsidR="00107588">
        <w:rPr>
          <w:szCs w:val="24"/>
        </w:rPr>
        <w:t>, given that Hume’</w:t>
      </w:r>
      <w:r w:rsidR="00844846">
        <w:rPr>
          <w:szCs w:val="24"/>
        </w:rPr>
        <w:t>s system</w:t>
      </w:r>
      <w:r w:rsidR="00ED527D">
        <w:rPr>
          <w:szCs w:val="24"/>
        </w:rPr>
        <w:t>ati</w:t>
      </w:r>
      <w:r w:rsidR="00844846">
        <w:rPr>
          <w:szCs w:val="24"/>
        </w:rPr>
        <w:t xml:space="preserve">sed theory is sufficiently </w:t>
      </w:r>
      <w:r w:rsidR="00FB10B4">
        <w:rPr>
          <w:szCs w:val="24"/>
        </w:rPr>
        <w:t xml:space="preserve">simple and </w:t>
      </w:r>
      <w:r w:rsidR="00FB10B4">
        <w:rPr>
          <w:szCs w:val="24"/>
        </w:rPr>
        <w:lastRenderedPageBreak/>
        <w:t>explanatorily powerful</w:t>
      </w:r>
      <w:r w:rsidR="00844846">
        <w:rPr>
          <w:szCs w:val="24"/>
        </w:rPr>
        <w:t xml:space="preserve">, </w:t>
      </w:r>
      <w:r w:rsidR="00B239A8">
        <w:rPr>
          <w:szCs w:val="24"/>
        </w:rPr>
        <w:t xml:space="preserve">he is justified in providing a conativist explanation of the phenomena that is </w:t>
      </w:r>
      <w:r w:rsidR="001477FD">
        <w:rPr>
          <w:szCs w:val="24"/>
        </w:rPr>
        <w:t xml:space="preserve">perhaps </w:t>
      </w:r>
      <w:r w:rsidR="00B239A8">
        <w:rPr>
          <w:szCs w:val="24"/>
        </w:rPr>
        <w:t>less phenomenologically plausible, despite the cost to empirical confirmation</w:t>
      </w:r>
      <w:r w:rsidR="00C66477">
        <w:rPr>
          <w:szCs w:val="24"/>
        </w:rPr>
        <w:t>.</w:t>
      </w:r>
      <w:r w:rsidR="0062373E">
        <w:rPr>
          <w:szCs w:val="24"/>
        </w:rPr>
        <w:t xml:space="preserve"> </w:t>
      </w:r>
    </w:p>
    <w:p w:rsidR="00950023" w:rsidRDefault="00950023" w:rsidP="000B0A7E">
      <w:pPr>
        <w:spacing w:before="200" w:after="200" w:line="480" w:lineRule="auto"/>
        <w:ind w:firstLine="720"/>
        <w:jc w:val="both"/>
        <w:rPr>
          <w:szCs w:val="24"/>
        </w:rPr>
      </w:pPr>
      <w:r>
        <w:rPr>
          <w:szCs w:val="24"/>
        </w:rPr>
        <w:t xml:space="preserve">To </w:t>
      </w:r>
      <w:r w:rsidR="00460A99">
        <w:rPr>
          <w:szCs w:val="24"/>
        </w:rPr>
        <w:t>highlight</w:t>
      </w:r>
      <w:r>
        <w:rPr>
          <w:szCs w:val="24"/>
        </w:rPr>
        <w:t xml:space="preserve"> the theoretical strength possessed by Hume’s conativist thesis, it is useful to c</w:t>
      </w:r>
      <w:r w:rsidR="0062373E">
        <w:rPr>
          <w:szCs w:val="24"/>
        </w:rPr>
        <w:t>ompare</w:t>
      </w:r>
      <w:r w:rsidR="00602DC7">
        <w:rPr>
          <w:szCs w:val="24"/>
        </w:rPr>
        <w:t xml:space="preserve"> Hume’s </w:t>
      </w:r>
      <w:r w:rsidR="007E01E5">
        <w:rPr>
          <w:szCs w:val="24"/>
        </w:rPr>
        <w:t xml:space="preserve">conativist thesis </w:t>
      </w:r>
      <w:r w:rsidR="007E01E5" w:rsidRPr="007E01E5">
        <w:rPr>
          <w:i/>
          <w:szCs w:val="24"/>
        </w:rPr>
        <w:t>C</w:t>
      </w:r>
      <w:r w:rsidR="00602DC7">
        <w:rPr>
          <w:szCs w:val="24"/>
        </w:rPr>
        <w:t xml:space="preserve"> with the alternative</w:t>
      </w:r>
      <w:r>
        <w:rPr>
          <w:szCs w:val="24"/>
        </w:rPr>
        <w:t xml:space="preserve"> rationalist</w:t>
      </w:r>
      <w:r w:rsidR="00602DC7">
        <w:rPr>
          <w:szCs w:val="24"/>
        </w:rPr>
        <w:t xml:space="preserve"> </w:t>
      </w:r>
      <w:r w:rsidR="001B6716">
        <w:rPr>
          <w:szCs w:val="24"/>
        </w:rPr>
        <w:t>hypo</w:t>
      </w:r>
      <w:r w:rsidR="00602DC7">
        <w:rPr>
          <w:szCs w:val="24"/>
        </w:rPr>
        <w:t>thesis</w:t>
      </w:r>
      <w:r w:rsidR="004F3CE8">
        <w:rPr>
          <w:szCs w:val="24"/>
        </w:rPr>
        <w:t xml:space="preserve"> </w:t>
      </w:r>
      <w:r w:rsidR="009733E7" w:rsidRPr="007E01E5">
        <w:rPr>
          <w:i/>
          <w:szCs w:val="24"/>
        </w:rPr>
        <w:t>R</w:t>
      </w:r>
      <w:r>
        <w:rPr>
          <w:szCs w:val="24"/>
        </w:rPr>
        <w:t>:</w:t>
      </w:r>
    </w:p>
    <w:p w:rsidR="00703B77" w:rsidRPr="00703B77" w:rsidRDefault="00703B77" w:rsidP="00CF30EB">
      <w:pPr>
        <w:spacing w:before="0" w:line="480" w:lineRule="auto"/>
        <w:ind w:left="720"/>
        <w:jc w:val="both"/>
        <w:rPr>
          <w:szCs w:val="24"/>
        </w:rPr>
      </w:pPr>
      <w:r w:rsidRPr="006E0B16">
        <w:rPr>
          <w:b/>
          <w:i/>
          <w:szCs w:val="24"/>
        </w:rPr>
        <w:t>Key</w:t>
      </w:r>
      <w:r w:rsidRPr="006E0B16">
        <w:rPr>
          <w:i/>
          <w:szCs w:val="24"/>
        </w:rPr>
        <w:t>:</w:t>
      </w:r>
      <w:r>
        <w:rPr>
          <w:szCs w:val="24"/>
        </w:rPr>
        <w:t xml:space="preserve"> Mx – x plays the end-setting role in motivation; Px – x is a passion; Rx – x is reason.</w:t>
      </w:r>
    </w:p>
    <w:p w:rsidR="00703B77" w:rsidRDefault="00950023" w:rsidP="00CF30EB">
      <w:pPr>
        <w:spacing w:before="0" w:line="480" w:lineRule="auto"/>
        <w:ind w:left="720"/>
        <w:jc w:val="both"/>
        <w:rPr>
          <w:szCs w:val="24"/>
        </w:rPr>
      </w:pPr>
      <w:r w:rsidRPr="00950023">
        <w:rPr>
          <w:b/>
          <w:szCs w:val="24"/>
        </w:rPr>
        <w:t xml:space="preserve">Hume’s Conativist </w:t>
      </w:r>
      <w:r w:rsidR="007E01E5">
        <w:rPr>
          <w:b/>
          <w:szCs w:val="24"/>
        </w:rPr>
        <w:t>Hypot</w:t>
      </w:r>
      <w:r w:rsidRPr="00950023">
        <w:rPr>
          <w:b/>
          <w:szCs w:val="24"/>
        </w:rPr>
        <w:t>hesis</w:t>
      </w:r>
      <w:r w:rsidR="009733E7">
        <w:rPr>
          <w:b/>
          <w:szCs w:val="24"/>
        </w:rPr>
        <w:t xml:space="preserve"> </w:t>
      </w:r>
      <w:r w:rsidR="009733E7" w:rsidRPr="009733E7">
        <w:rPr>
          <w:b/>
          <w:i/>
          <w:szCs w:val="24"/>
        </w:rPr>
        <w:t>C</w:t>
      </w:r>
      <w:r>
        <w:rPr>
          <w:szCs w:val="24"/>
        </w:rPr>
        <w:t xml:space="preserve">: </w:t>
      </w:r>
      <w:r w:rsidR="00703B77">
        <w:sym w:font="Symbol" w:char="F022"/>
      </w:r>
      <w:r w:rsidR="00703B77">
        <w:t>x (Mx → Px)</w:t>
      </w:r>
    </w:p>
    <w:p w:rsidR="00950023" w:rsidRDefault="000E2EBA" w:rsidP="00CF30EB">
      <w:pPr>
        <w:spacing w:before="0" w:line="480" w:lineRule="auto"/>
        <w:ind w:left="720"/>
        <w:jc w:val="both"/>
        <w:rPr>
          <w:szCs w:val="24"/>
        </w:rPr>
      </w:pPr>
      <w:r>
        <w:rPr>
          <w:szCs w:val="24"/>
        </w:rPr>
        <w:t>“</w:t>
      </w:r>
      <w:r w:rsidR="006E0B16">
        <w:rPr>
          <w:szCs w:val="24"/>
        </w:rPr>
        <w:t>The</w:t>
      </w:r>
      <w:r w:rsidR="00950023">
        <w:rPr>
          <w:szCs w:val="24"/>
        </w:rPr>
        <w:t xml:space="preserve"> end-setting role</w:t>
      </w:r>
      <w:r w:rsidR="006E0B16">
        <w:rPr>
          <w:szCs w:val="24"/>
        </w:rPr>
        <w:t xml:space="preserve"> in motivation</w:t>
      </w:r>
      <w:r w:rsidR="00950023">
        <w:rPr>
          <w:szCs w:val="24"/>
        </w:rPr>
        <w:t xml:space="preserve"> is played by the passions.</w:t>
      </w:r>
      <w:r>
        <w:rPr>
          <w:szCs w:val="24"/>
        </w:rPr>
        <w:t>”</w:t>
      </w:r>
    </w:p>
    <w:p w:rsidR="00703B77" w:rsidRDefault="00950023" w:rsidP="00950023">
      <w:pPr>
        <w:spacing w:before="0" w:line="480" w:lineRule="auto"/>
        <w:ind w:left="720"/>
        <w:jc w:val="both"/>
        <w:rPr>
          <w:szCs w:val="24"/>
        </w:rPr>
      </w:pPr>
      <w:r w:rsidRPr="00950023">
        <w:rPr>
          <w:b/>
          <w:szCs w:val="24"/>
        </w:rPr>
        <w:t xml:space="preserve">Rationalist Hypothesis </w:t>
      </w:r>
      <w:r w:rsidR="009733E7" w:rsidRPr="009733E7">
        <w:rPr>
          <w:b/>
          <w:i/>
          <w:szCs w:val="24"/>
        </w:rPr>
        <w:t>R</w:t>
      </w:r>
      <w:r>
        <w:rPr>
          <w:szCs w:val="24"/>
        </w:rPr>
        <w:t xml:space="preserve">: </w:t>
      </w:r>
      <w:r w:rsidR="00703B77">
        <w:sym w:font="Symbol" w:char="F022"/>
      </w:r>
      <w:r w:rsidR="006E0B16">
        <w:t>x (Mx → (Px v R</w:t>
      </w:r>
      <w:r w:rsidR="00703B77">
        <w:t>x))</w:t>
      </w:r>
    </w:p>
    <w:p w:rsidR="00950023" w:rsidRDefault="000E2EBA" w:rsidP="00950023">
      <w:pPr>
        <w:spacing w:before="0" w:line="480" w:lineRule="auto"/>
        <w:ind w:left="720"/>
        <w:jc w:val="both"/>
        <w:rPr>
          <w:szCs w:val="24"/>
        </w:rPr>
      </w:pPr>
      <w:r>
        <w:rPr>
          <w:szCs w:val="24"/>
        </w:rPr>
        <w:t>“</w:t>
      </w:r>
      <w:r w:rsidR="006E0B16">
        <w:rPr>
          <w:szCs w:val="24"/>
        </w:rPr>
        <w:t>T</w:t>
      </w:r>
      <w:r w:rsidR="0062373E">
        <w:rPr>
          <w:szCs w:val="24"/>
        </w:rPr>
        <w:t>he end-setting role</w:t>
      </w:r>
      <w:r w:rsidR="006E0B16">
        <w:rPr>
          <w:szCs w:val="24"/>
        </w:rPr>
        <w:t xml:space="preserve"> in motivation</w:t>
      </w:r>
      <w:r w:rsidR="0062373E">
        <w:rPr>
          <w:szCs w:val="24"/>
        </w:rPr>
        <w:t xml:space="preserve"> </w:t>
      </w:r>
      <w:r w:rsidR="00950023">
        <w:rPr>
          <w:szCs w:val="24"/>
        </w:rPr>
        <w:t>is played either by the passions or by reason.</w:t>
      </w:r>
      <w:r>
        <w:rPr>
          <w:szCs w:val="24"/>
        </w:rPr>
        <w:t>”</w:t>
      </w:r>
    </w:p>
    <w:p w:rsidR="00DF25E6" w:rsidRPr="00DF25E6" w:rsidRDefault="008B21AB" w:rsidP="00E253DE">
      <w:pPr>
        <w:spacing w:before="200" w:after="200" w:line="480" w:lineRule="auto"/>
        <w:jc w:val="both"/>
        <w:rPr>
          <w:szCs w:val="24"/>
        </w:rPr>
      </w:pPr>
      <w:r>
        <w:rPr>
          <w:szCs w:val="24"/>
        </w:rPr>
        <w:t xml:space="preserve">As </w:t>
      </w:r>
      <w:r w:rsidR="002A68DD">
        <w:rPr>
          <w:szCs w:val="24"/>
        </w:rPr>
        <w:t xml:space="preserve">is </w:t>
      </w:r>
      <w:r w:rsidR="00E253DE">
        <w:rPr>
          <w:szCs w:val="24"/>
        </w:rPr>
        <w:t xml:space="preserve">plain </w:t>
      </w:r>
      <w:r>
        <w:rPr>
          <w:szCs w:val="24"/>
        </w:rPr>
        <w:t>from the logical form of the two theses,</w:t>
      </w:r>
      <w:r>
        <w:rPr>
          <w:i/>
          <w:szCs w:val="24"/>
        </w:rPr>
        <w:t xml:space="preserve"> </w:t>
      </w:r>
      <w:r w:rsidR="0018180D">
        <w:rPr>
          <w:i/>
          <w:szCs w:val="24"/>
        </w:rPr>
        <w:t>C</w:t>
      </w:r>
      <w:r w:rsidR="0062373E">
        <w:rPr>
          <w:szCs w:val="24"/>
        </w:rPr>
        <w:t xml:space="preserve"> is </w:t>
      </w:r>
      <w:r w:rsidR="00805A35">
        <w:rPr>
          <w:szCs w:val="24"/>
        </w:rPr>
        <w:t>syntactically</w:t>
      </w:r>
      <w:r w:rsidR="0062373E">
        <w:rPr>
          <w:szCs w:val="24"/>
        </w:rPr>
        <w:t xml:space="preserve"> simple</w:t>
      </w:r>
      <w:r w:rsidR="0018180D">
        <w:rPr>
          <w:szCs w:val="24"/>
        </w:rPr>
        <w:t>r</w:t>
      </w:r>
      <w:r w:rsidR="0062373E">
        <w:rPr>
          <w:szCs w:val="24"/>
        </w:rPr>
        <w:t xml:space="preserve"> </w:t>
      </w:r>
      <w:r w:rsidR="00805A35">
        <w:rPr>
          <w:szCs w:val="24"/>
        </w:rPr>
        <w:t>than</w:t>
      </w:r>
      <w:r w:rsidR="0062373E">
        <w:rPr>
          <w:szCs w:val="24"/>
        </w:rPr>
        <w:t xml:space="preserve"> </w:t>
      </w:r>
      <w:r w:rsidR="0018180D">
        <w:rPr>
          <w:i/>
          <w:szCs w:val="24"/>
        </w:rPr>
        <w:t>R</w:t>
      </w:r>
      <w:r w:rsidR="001B6716">
        <w:rPr>
          <w:szCs w:val="24"/>
        </w:rPr>
        <w:t xml:space="preserve">, since </w:t>
      </w:r>
      <w:r w:rsidR="0018180D">
        <w:rPr>
          <w:i/>
          <w:szCs w:val="24"/>
        </w:rPr>
        <w:t>R</w:t>
      </w:r>
      <w:r w:rsidR="001B6716">
        <w:rPr>
          <w:szCs w:val="24"/>
        </w:rPr>
        <w:t xml:space="preserve"> postulates a </w:t>
      </w:r>
      <w:r>
        <w:rPr>
          <w:szCs w:val="24"/>
        </w:rPr>
        <w:t>second end-setter in motivation</w:t>
      </w:r>
      <w:r w:rsidR="00950023">
        <w:rPr>
          <w:szCs w:val="24"/>
        </w:rPr>
        <w:t xml:space="preserve">. </w:t>
      </w:r>
      <w:r w:rsidR="0018180D">
        <w:rPr>
          <w:szCs w:val="24"/>
        </w:rPr>
        <w:t xml:space="preserve">Moreover, </w:t>
      </w:r>
      <w:r w:rsidR="0018180D">
        <w:rPr>
          <w:i/>
          <w:szCs w:val="24"/>
        </w:rPr>
        <w:t>C</w:t>
      </w:r>
      <w:r w:rsidR="0018180D">
        <w:rPr>
          <w:szCs w:val="24"/>
        </w:rPr>
        <w:t xml:space="preserve"> is also ontologically simpler than </w:t>
      </w:r>
      <w:r w:rsidR="0018180D">
        <w:rPr>
          <w:i/>
          <w:szCs w:val="24"/>
        </w:rPr>
        <w:t>R</w:t>
      </w:r>
      <w:r w:rsidR="00DF25E6">
        <w:rPr>
          <w:szCs w:val="24"/>
        </w:rPr>
        <w:t xml:space="preserve">. </w:t>
      </w:r>
      <w:r w:rsidR="00DF25E6">
        <w:rPr>
          <w:i/>
          <w:szCs w:val="24"/>
        </w:rPr>
        <w:t>R</w:t>
      </w:r>
      <w:r w:rsidR="00DF25E6">
        <w:rPr>
          <w:szCs w:val="24"/>
        </w:rPr>
        <w:t xml:space="preserve"> has to admit that there exist end-setting passions, and so </w:t>
      </w:r>
      <w:r w:rsidR="00DF25E6">
        <w:rPr>
          <w:i/>
          <w:szCs w:val="24"/>
        </w:rPr>
        <w:t>C</w:t>
      </w:r>
      <w:r w:rsidR="00DF25E6">
        <w:rPr>
          <w:szCs w:val="24"/>
        </w:rPr>
        <w:t xml:space="preserve"> does not postulate more than </w:t>
      </w:r>
      <w:r w:rsidR="00DF25E6">
        <w:rPr>
          <w:i/>
          <w:szCs w:val="24"/>
        </w:rPr>
        <w:t>R</w:t>
      </w:r>
      <w:r w:rsidR="00DF25E6">
        <w:rPr>
          <w:szCs w:val="24"/>
        </w:rPr>
        <w:t xml:space="preserve"> does. However, </w:t>
      </w:r>
      <w:r w:rsidR="00DF25E6">
        <w:rPr>
          <w:i/>
          <w:szCs w:val="24"/>
        </w:rPr>
        <w:t xml:space="preserve">R </w:t>
      </w:r>
      <w:r w:rsidR="00DF25E6">
        <w:rPr>
          <w:szCs w:val="24"/>
        </w:rPr>
        <w:t xml:space="preserve">has to postulate more than </w:t>
      </w:r>
      <w:r w:rsidR="00DF25E6">
        <w:rPr>
          <w:i/>
          <w:szCs w:val="24"/>
        </w:rPr>
        <w:t>C</w:t>
      </w:r>
      <w:r w:rsidR="00DF25E6">
        <w:rPr>
          <w:szCs w:val="24"/>
        </w:rPr>
        <w:t xml:space="preserve"> in admitting a </w:t>
      </w:r>
      <w:r w:rsidR="00DF25E6">
        <w:rPr>
          <w:i/>
          <w:szCs w:val="24"/>
        </w:rPr>
        <w:t>sui generis</w:t>
      </w:r>
      <w:r w:rsidR="00DF25E6">
        <w:rPr>
          <w:szCs w:val="24"/>
        </w:rPr>
        <w:t xml:space="preserve"> faculty of practical reason, the existence of which </w:t>
      </w:r>
      <w:r w:rsidR="00DF25E6">
        <w:rPr>
          <w:i/>
          <w:szCs w:val="24"/>
        </w:rPr>
        <w:t>C</w:t>
      </w:r>
      <w:r w:rsidR="00DF25E6">
        <w:rPr>
          <w:szCs w:val="24"/>
        </w:rPr>
        <w:t xml:space="preserve"> denies. </w:t>
      </w:r>
      <w:r w:rsidR="0018180D">
        <w:rPr>
          <w:szCs w:val="24"/>
        </w:rPr>
        <w:t>In short,</w:t>
      </w:r>
      <w:r w:rsidR="00DF25E6">
        <w:rPr>
          <w:szCs w:val="24"/>
        </w:rPr>
        <w:t xml:space="preserve"> </w:t>
      </w:r>
      <w:r w:rsidR="00DF25E6">
        <w:rPr>
          <w:i/>
          <w:szCs w:val="24"/>
        </w:rPr>
        <w:t>C</w:t>
      </w:r>
      <w:r w:rsidR="00DF25E6">
        <w:rPr>
          <w:szCs w:val="24"/>
        </w:rPr>
        <w:t xml:space="preserve"> is clearly </w:t>
      </w:r>
      <w:r w:rsidR="0018180D">
        <w:rPr>
          <w:szCs w:val="24"/>
        </w:rPr>
        <w:t xml:space="preserve">both syntactically and ontologically </w:t>
      </w:r>
      <w:r w:rsidR="00DF25E6">
        <w:rPr>
          <w:szCs w:val="24"/>
        </w:rPr>
        <w:t xml:space="preserve">simpler than </w:t>
      </w:r>
      <w:r w:rsidR="00DF25E6">
        <w:rPr>
          <w:i/>
          <w:szCs w:val="24"/>
        </w:rPr>
        <w:t>R</w:t>
      </w:r>
      <w:r w:rsidR="00DF25E6">
        <w:rPr>
          <w:szCs w:val="24"/>
        </w:rPr>
        <w:t>.</w:t>
      </w:r>
    </w:p>
    <w:p w:rsidR="00E253DE" w:rsidRDefault="003A40BE" w:rsidP="00E253DE">
      <w:pPr>
        <w:spacing w:before="200" w:after="200" w:line="480" w:lineRule="auto"/>
        <w:ind w:firstLine="720"/>
        <w:jc w:val="both"/>
        <w:rPr>
          <w:szCs w:val="24"/>
        </w:rPr>
      </w:pPr>
      <w:r>
        <w:rPr>
          <w:szCs w:val="24"/>
        </w:rPr>
        <w:t>W</w:t>
      </w:r>
      <w:r w:rsidR="00E253DE" w:rsidRPr="00E253DE">
        <w:rPr>
          <w:szCs w:val="24"/>
        </w:rPr>
        <w:t>i</w:t>
      </w:r>
      <w:r>
        <w:rPr>
          <w:szCs w:val="24"/>
        </w:rPr>
        <w:t>th respect to explanatory power,</w:t>
      </w:r>
      <w:r w:rsidR="00E253DE" w:rsidRPr="00E253DE">
        <w:rPr>
          <w:szCs w:val="24"/>
        </w:rPr>
        <w:t xml:space="preserve"> Hume would claim that </w:t>
      </w:r>
      <w:r w:rsidR="00E253DE" w:rsidRPr="00E253DE">
        <w:rPr>
          <w:i/>
          <w:szCs w:val="24"/>
        </w:rPr>
        <w:t>C</w:t>
      </w:r>
      <w:r w:rsidR="00E253DE" w:rsidRPr="00E253DE">
        <w:rPr>
          <w:szCs w:val="24"/>
        </w:rPr>
        <w:t xml:space="preserve"> enjoys </w:t>
      </w:r>
      <w:r w:rsidR="001C4BFA">
        <w:rPr>
          <w:szCs w:val="24"/>
        </w:rPr>
        <w:t>the advantage</w:t>
      </w:r>
      <w:r w:rsidR="00E253DE" w:rsidRPr="00E253DE">
        <w:rPr>
          <w:szCs w:val="24"/>
        </w:rPr>
        <w:t xml:space="preserve"> </w:t>
      </w:r>
      <w:r w:rsidR="00E253DE" w:rsidRPr="00E253DE">
        <w:rPr>
          <w:szCs w:val="24"/>
          <w:lang w:val="en-US"/>
        </w:rPr>
        <w:t xml:space="preserve">in virtue of the way it flows out of </w:t>
      </w:r>
      <w:r w:rsidR="00E253DE">
        <w:rPr>
          <w:szCs w:val="24"/>
          <w:lang w:val="en-US"/>
        </w:rPr>
        <w:t>the</w:t>
      </w:r>
      <w:r w:rsidR="00E253DE" w:rsidRPr="00E253DE">
        <w:rPr>
          <w:szCs w:val="24"/>
          <w:lang w:val="en-US"/>
        </w:rPr>
        <w:t xml:space="preserve"> overall psychological framework</w:t>
      </w:r>
      <w:r w:rsidR="00E253DE">
        <w:rPr>
          <w:szCs w:val="24"/>
          <w:lang w:val="en-US"/>
        </w:rPr>
        <w:t xml:space="preserve"> of the </w:t>
      </w:r>
      <w:r w:rsidR="00E253DE">
        <w:rPr>
          <w:i/>
          <w:szCs w:val="24"/>
          <w:lang w:val="en-US"/>
        </w:rPr>
        <w:t>Treatise</w:t>
      </w:r>
      <w:r w:rsidR="00E253DE" w:rsidRPr="00E253DE">
        <w:rPr>
          <w:szCs w:val="24"/>
          <w:lang w:val="en-US"/>
        </w:rPr>
        <w:t xml:space="preserve">: Hume explains the calmness of passions partly by appealing to the actions of custom (THN 2.3.4.1), which plays a large role in Book 1, for instance; Hume also uses </w:t>
      </w:r>
      <w:r>
        <w:rPr>
          <w:szCs w:val="24"/>
          <w:lang w:val="en-US"/>
        </w:rPr>
        <w:t>his</w:t>
      </w:r>
      <w:r w:rsidR="0053342F">
        <w:rPr>
          <w:szCs w:val="24"/>
          <w:lang w:val="en-US"/>
        </w:rPr>
        <w:t xml:space="preserve"> general</w:t>
      </w:r>
      <w:r>
        <w:rPr>
          <w:szCs w:val="24"/>
          <w:lang w:val="en-US"/>
        </w:rPr>
        <w:t xml:space="preserve"> theory of the passions </w:t>
      </w:r>
      <w:r w:rsidR="00E253DE" w:rsidRPr="00E253DE">
        <w:rPr>
          <w:szCs w:val="24"/>
          <w:lang w:val="en-US"/>
        </w:rPr>
        <w:t xml:space="preserve">to explain a wide </w:t>
      </w:r>
      <w:r w:rsidR="001477FD">
        <w:rPr>
          <w:szCs w:val="24"/>
          <w:lang w:val="en-US"/>
        </w:rPr>
        <w:t>range</w:t>
      </w:r>
      <w:r w:rsidR="00E253DE" w:rsidRPr="00E253DE">
        <w:rPr>
          <w:szCs w:val="24"/>
          <w:lang w:val="en-US"/>
        </w:rPr>
        <w:t xml:space="preserve"> of behavioural phenomena. However, the rationalist might make a similar claim that </w:t>
      </w:r>
      <w:r w:rsidR="00E253DE" w:rsidRPr="00E253DE">
        <w:rPr>
          <w:i/>
          <w:szCs w:val="24"/>
          <w:lang w:val="en-US"/>
        </w:rPr>
        <w:t xml:space="preserve">R </w:t>
      </w:r>
      <w:r w:rsidR="00E253DE" w:rsidRPr="00E253DE">
        <w:rPr>
          <w:szCs w:val="24"/>
          <w:lang w:val="en-US"/>
        </w:rPr>
        <w:t>fits naturally into rationalist psychology</w:t>
      </w:r>
      <w:r w:rsidR="002D4142">
        <w:rPr>
          <w:szCs w:val="24"/>
          <w:lang w:val="en-US"/>
        </w:rPr>
        <w:t xml:space="preserve"> and </w:t>
      </w:r>
      <w:r w:rsidR="0053342F">
        <w:rPr>
          <w:szCs w:val="24"/>
          <w:lang w:val="en-US"/>
        </w:rPr>
        <w:t xml:space="preserve">also </w:t>
      </w:r>
      <w:r w:rsidR="002D4142">
        <w:rPr>
          <w:szCs w:val="24"/>
          <w:lang w:val="en-US"/>
        </w:rPr>
        <w:t>explains the relevant phenomena</w:t>
      </w:r>
      <w:r>
        <w:rPr>
          <w:szCs w:val="24"/>
        </w:rPr>
        <w:t xml:space="preserve">. However, there is one clear respect in which </w:t>
      </w:r>
      <w:r>
        <w:rPr>
          <w:i/>
          <w:szCs w:val="24"/>
        </w:rPr>
        <w:t>C</w:t>
      </w:r>
      <w:r>
        <w:rPr>
          <w:szCs w:val="24"/>
        </w:rPr>
        <w:t xml:space="preserve"> trumps </w:t>
      </w:r>
      <w:r>
        <w:rPr>
          <w:i/>
          <w:szCs w:val="24"/>
        </w:rPr>
        <w:t>R</w:t>
      </w:r>
      <w:r>
        <w:rPr>
          <w:szCs w:val="24"/>
        </w:rPr>
        <w:t xml:space="preserve"> in explanatory power. While </w:t>
      </w:r>
      <w:r>
        <w:rPr>
          <w:i/>
          <w:szCs w:val="24"/>
        </w:rPr>
        <w:t>C</w:t>
      </w:r>
      <w:r>
        <w:rPr>
          <w:szCs w:val="24"/>
        </w:rPr>
        <w:t xml:space="preserve"> postulates only respectable entities</w:t>
      </w:r>
      <w:r w:rsidR="000F1A11">
        <w:rPr>
          <w:szCs w:val="24"/>
        </w:rPr>
        <w:t>,</w:t>
      </w:r>
      <w:r>
        <w:rPr>
          <w:szCs w:val="24"/>
        </w:rPr>
        <w:t xml:space="preserve"> </w:t>
      </w:r>
      <w:r>
        <w:rPr>
          <w:i/>
          <w:szCs w:val="24"/>
        </w:rPr>
        <w:t>R</w:t>
      </w:r>
      <w:r>
        <w:rPr>
          <w:szCs w:val="24"/>
        </w:rPr>
        <w:t xml:space="preserve"> is forced to postulate a somewhat mysterious, unexplained faculty of practical reason. </w:t>
      </w:r>
      <w:r>
        <w:rPr>
          <w:szCs w:val="24"/>
        </w:rPr>
        <w:lastRenderedPageBreak/>
        <w:t xml:space="preserve">This incurs a cost in explanatory power on </w:t>
      </w:r>
      <w:r>
        <w:rPr>
          <w:i/>
          <w:szCs w:val="24"/>
        </w:rPr>
        <w:t>R</w:t>
      </w:r>
      <w:r>
        <w:rPr>
          <w:szCs w:val="24"/>
        </w:rPr>
        <w:t>, since it is forced to admit an entity which is</w:t>
      </w:r>
      <w:r w:rsidR="002D4142">
        <w:rPr>
          <w:szCs w:val="24"/>
        </w:rPr>
        <w:t xml:space="preserve"> itself</w:t>
      </w:r>
      <w:r>
        <w:rPr>
          <w:szCs w:val="24"/>
        </w:rPr>
        <w:t xml:space="preserve"> poorly explained</w:t>
      </w:r>
      <w:r w:rsidR="007A7AD6">
        <w:rPr>
          <w:szCs w:val="24"/>
        </w:rPr>
        <w:t xml:space="preserve"> – there is something significant that </w:t>
      </w:r>
      <w:r w:rsidR="007A7AD6">
        <w:rPr>
          <w:i/>
          <w:szCs w:val="24"/>
        </w:rPr>
        <w:t>R</w:t>
      </w:r>
      <w:r w:rsidR="007A7AD6">
        <w:rPr>
          <w:szCs w:val="24"/>
        </w:rPr>
        <w:t xml:space="preserve"> leaves unexplained</w:t>
      </w:r>
      <w:r>
        <w:rPr>
          <w:szCs w:val="24"/>
        </w:rPr>
        <w:t xml:space="preserve">. The problem is not just that </w:t>
      </w:r>
      <w:r>
        <w:rPr>
          <w:i/>
          <w:szCs w:val="24"/>
        </w:rPr>
        <w:t>R</w:t>
      </w:r>
      <w:r>
        <w:rPr>
          <w:szCs w:val="24"/>
        </w:rPr>
        <w:t xml:space="preserve"> postulates more than </w:t>
      </w:r>
      <w:r>
        <w:rPr>
          <w:i/>
          <w:szCs w:val="24"/>
        </w:rPr>
        <w:t>C</w:t>
      </w:r>
      <w:r>
        <w:rPr>
          <w:szCs w:val="24"/>
        </w:rPr>
        <w:t xml:space="preserve"> (hence why it suffers with regard to simplicity), but that the things it postulates are themselves ill-explained. While </w:t>
      </w:r>
      <w:r>
        <w:rPr>
          <w:i/>
          <w:szCs w:val="24"/>
        </w:rPr>
        <w:t>C</w:t>
      </w:r>
      <w:r>
        <w:rPr>
          <w:szCs w:val="24"/>
        </w:rPr>
        <w:t xml:space="preserve"> and </w:t>
      </w:r>
      <w:r>
        <w:rPr>
          <w:i/>
          <w:szCs w:val="24"/>
        </w:rPr>
        <w:t>R</w:t>
      </w:r>
      <w:r>
        <w:rPr>
          <w:szCs w:val="24"/>
        </w:rPr>
        <w:t xml:space="preserve"> both arguably explain all the relevant human phenomena, </w:t>
      </w:r>
      <w:r>
        <w:rPr>
          <w:i/>
          <w:szCs w:val="24"/>
        </w:rPr>
        <w:t>C</w:t>
      </w:r>
      <w:r>
        <w:rPr>
          <w:szCs w:val="24"/>
        </w:rPr>
        <w:t xml:space="preserve"> does so without appealing to unexplained components, and so</w:t>
      </w:r>
      <w:r w:rsidR="00BF6BAF">
        <w:rPr>
          <w:szCs w:val="24"/>
        </w:rPr>
        <w:t xml:space="preserve"> </w:t>
      </w:r>
      <w:r w:rsidR="00BF6BAF">
        <w:rPr>
          <w:i/>
          <w:szCs w:val="24"/>
        </w:rPr>
        <w:t>R</w:t>
      </w:r>
      <w:r w:rsidR="00BF6BAF">
        <w:rPr>
          <w:szCs w:val="24"/>
        </w:rPr>
        <w:t xml:space="preserve">’s framework leaves more unexplained that </w:t>
      </w:r>
      <w:r w:rsidR="00BF6BAF">
        <w:rPr>
          <w:i/>
          <w:szCs w:val="24"/>
        </w:rPr>
        <w:t>C</w:t>
      </w:r>
      <w:r w:rsidR="00BF6BAF">
        <w:rPr>
          <w:szCs w:val="24"/>
        </w:rPr>
        <w:t>’s; all in all,</w:t>
      </w:r>
      <w:r>
        <w:rPr>
          <w:szCs w:val="24"/>
        </w:rPr>
        <w:t xml:space="preserve"> </w:t>
      </w:r>
      <w:r>
        <w:rPr>
          <w:i/>
          <w:szCs w:val="24"/>
        </w:rPr>
        <w:t>C</w:t>
      </w:r>
      <w:r>
        <w:rPr>
          <w:szCs w:val="24"/>
        </w:rPr>
        <w:t xml:space="preserve"> has the more explanatorily complete theory.</w:t>
      </w:r>
    </w:p>
    <w:p w:rsidR="003A40BE" w:rsidRPr="003A40BE" w:rsidRDefault="003A40BE" w:rsidP="003A40BE">
      <w:pPr>
        <w:spacing w:before="200" w:after="200" w:line="480" w:lineRule="auto"/>
        <w:ind w:firstLine="720"/>
        <w:jc w:val="both"/>
        <w:rPr>
          <w:szCs w:val="24"/>
        </w:rPr>
      </w:pPr>
      <w:r w:rsidRPr="003A40BE">
        <w:rPr>
          <w:szCs w:val="24"/>
        </w:rPr>
        <w:t xml:space="preserve">Of course, </w:t>
      </w:r>
      <w:r w:rsidR="007A7AD6">
        <w:rPr>
          <w:szCs w:val="24"/>
        </w:rPr>
        <w:t xml:space="preserve">as granted for the sake of argument, </w:t>
      </w:r>
      <w:r w:rsidRPr="003A40BE">
        <w:rPr>
          <w:i/>
          <w:szCs w:val="24"/>
        </w:rPr>
        <w:t>C</w:t>
      </w:r>
      <w:r w:rsidRPr="003A40BE">
        <w:rPr>
          <w:szCs w:val="24"/>
        </w:rPr>
        <w:t xml:space="preserve"> is admittedly less empirically substantiated than </w:t>
      </w:r>
      <w:r w:rsidRPr="003A40BE">
        <w:rPr>
          <w:i/>
          <w:szCs w:val="24"/>
        </w:rPr>
        <w:t>R</w:t>
      </w:r>
      <w:r w:rsidRPr="003A40BE">
        <w:rPr>
          <w:szCs w:val="24"/>
        </w:rPr>
        <w:t xml:space="preserve"> precisely because of the apparent counterexamples such as the case of the assiduous student: in such cases, the phenomenology</w:t>
      </w:r>
      <w:r w:rsidR="007A7AD6">
        <w:rPr>
          <w:szCs w:val="24"/>
        </w:rPr>
        <w:t xml:space="preserve"> generally</w:t>
      </w:r>
      <w:r w:rsidRPr="003A40BE">
        <w:rPr>
          <w:szCs w:val="24"/>
        </w:rPr>
        <w:t xml:space="preserve"> suggests that reason plays the end-setting role in motivation</w:t>
      </w:r>
      <w:r w:rsidR="007A7AD6">
        <w:rPr>
          <w:szCs w:val="24"/>
        </w:rPr>
        <w:t xml:space="preserve"> (those with a delicacy of taste and passion aside)</w:t>
      </w:r>
      <w:r w:rsidRPr="003A40BE">
        <w:rPr>
          <w:szCs w:val="24"/>
        </w:rPr>
        <w:t xml:space="preserve">, and therefore the empirical evidence supports </w:t>
      </w:r>
      <w:r w:rsidRPr="003A40BE">
        <w:rPr>
          <w:i/>
          <w:szCs w:val="24"/>
        </w:rPr>
        <w:t xml:space="preserve">R </w:t>
      </w:r>
      <w:r w:rsidRPr="003A40BE">
        <w:rPr>
          <w:szCs w:val="24"/>
        </w:rPr>
        <w:t xml:space="preserve">more than it does </w:t>
      </w:r>
      <w:r w:rsidRPr="003A40BE">
        <w:rPr>
          <w:i/>
          <w:szCs w:val="24"/>
        </w:rPr>
        <w:t>C</w:t>
      </w:r>
      <w:r w:rsidRPr="003A40BE">
        <w:rPr>
          <w:szCs w:val="24"/>
        </w:rPr>
        <w:t xml:space="preserve">. </w:t>
      </w:r>
    </w:p>
    <w:p w:rsidR="00C864AC" w:rsidRDefault="00E253DE" w:rsidP="00E253DE">
      <w:pPr>
        <w:spacing w:before="200" w:after="200" w:line="480" w:lineRule="auto"/>
        <w:ind w:firstLine="720"/>
        <w:jc w:val="both"/>
        <w:rPr>
          <w:szCs w:val="24"/>
        </w:rPr>
      </w:pPr>
      <w:r>
        <w:rPr>
          <w:szCs w:val="24"/>
        </w:rPr>
        <w:t xml:space="preserve">However, </w:t>
      </w:r>
      <w:r w:rsidR="003A40BE">
        <w:rPr>
          <w:szCs w:val="24"/>
        </w:rPr>
        <w:t>d</w:t>
      </w:r>
      <w:r w:rsidR="0062373E">
        <w:rPr>
          <w:szCs w:val="24"/>
        </w:rPr>
        <w:t xml:space="preserve">espite its deficiency in empirical </w:t>
      </w:r>
      <w:r w:rsidR="000A5F89">
        <w:rPr>
          <w:szCs w:val="24"/>
        </w:rPr>
        <w:t>confirmation</w:t>
      </w:r>
      <w:r w:rsidR="00CF30EB">
        <w:rPr>
          <w:szCs w:val="24"/>
        </w:rPr>
        <w:t>,</w:t>
      </w:r>
      <w:r>
        <w:rPr>
          <w:szCs w:val="24"/>
        </w:rPr>
        <w:t xml:space="preserve"> one can see why Hume would favour </w:t>
      </w:r>
      <w:r>
        <w:rPr>
          <w:i/>
          <w:szCs w:val="24"/>
        </w:rPr>
        <w:t>C</w:t>
      </w:r>
      <w:r w:rsidR="00CF30EB">
        <w:rPr>
          <w:szCs w:val="24"/>
        </w:rPr>
        <w:t xml:space="preserve"> given its advantage in simplicity</w:t>
      </w:r>
      <w:r w:rsidR="003A40BE">
        <w:rPr>
          <w:szCs w:val="24"/>
        </w:rPr>
        <w:t xml:space="preserve"> and explanatory power</w:t>
      </w:r>
      <w:r>
        <w:rPr>
          <w:szCs w:val="24"/>
        </w:rPr>
        <w:t>;</w:t>
      </w:r>
      <w:r w:rsidR="003A40BE">
        <w:rPr>
          <w:rStyle w:val="FootnoteReference"/>
          <w:szCs w:val="24"/>
        </w:rPr>
        <w:footnoteReference w:id="33"/>
      </w:r>
      <w:r>
        <w:rPr>
          <w:szCs w:val="24"/>
        </w:rPr>
        <w:t xml:space="preserve"> Hume i</w:t>
      </w:r>
      <w:r w:rsidR="00F5480D">
        <w:rPr>
          <w:szCs w:val="24"/>
        </w:rPr>
        <w:t>s plausibly justified</w:t>
      </w:r>
      <w:r w:rsidR="001B6716">
        <w:rPr>
          <w:szCs w:val="24"/>
        </w:rPr>
        <w:t xml:space="preserve"> in endorsing </w:t>
      </w:r>
      <w:r w:rsidR="002332D7">
        <w:rPr>
          <w:i/>
          <w:szCs w:val="24"/>
        </w:rPr>
        <w:t>C</w:t>
      </w:r>
      <w:r w:rsidR="001B6716">
        <w:rPr>
          <w:szCs w:val="24"/>
        </w:rPr>
        <w:t xml:space="preserve"> even in the face of these apparent counterexamples</w:t>
      </w:r>
      <w:r w:rsidR="006E0B16">
        <w:rPr>
          <w:szCs w:val="24"/>
        </w:rPr>
        <w:t>.</w:t>
      </w:r>
      <w:r w:rsidR="00710A64" w:rsidRPr="00710A64">
        <w:t xml:space="preserve"> </w:t>
      </w:r>
      <w:r w:rsidR="00710A64">
        <w:t xml:space="preserve">Even if one disagrees with Hume’s weighting of the theoretical virtues and thinks empirical </w:t>
      </w:r>
      <w:r w:rsidR="000A5F89">
        <w:t>confirmation</w:t>
      </w:r>
      <w:r w:rsidR="00710A64">
        <w:t xml:space="preserve"> to be vastly more important than simplicity</w:t>
      </w:r>
      <w:r w:rsidR="003A40BE">
        <w:t xml:space="preserve"> and explanatory power</w:t>
      </w:r>
      <w:r w:rsidR="00710A64">
        <w:t xml:space="preserve">, one </w:t>
      </w:r>
      <w:r w:rsidR="003F71E7">
        <w:t>should still</w:t>
      </w:r>
      <w:r w:rsidR="00710A64">
        <w:t xml:space="preserve"> concede that Hume</w:t>
      </w:r>
      <w:r w:rsidR="001946F7">
        <w:t xml:space="preserve"> position seems reasonable enough; he</w:t>
      </w:r>
      <w:r w:rsidR="00710A64">
        <w:t xml:space="preserve"> is</w:t>
      </w:r>
      <w:r w:rsidR="001946F7">
        <w:t xml:space="preserve"> certainly</w:t>
      </w:r>
      <w:r w:rsidR="00710A64">
        <w:t xml:space="preserve"> not being obviously irrational or </w:t>
      </w:r>
      <w:r w:rsidR="00710A64">
        <w:rPr>
          <w:i/>
        </w:rPr>
        <w:t>ad hoc</w:t>
      </w:r>
      <w:r w:rsidR="00710A64">
        <w:t xml:space="preserve"> in taking this methodological stance.</w:t>
      </w:r>
      <w:r w:rsidR="0062373E">
        <w:rPr>
          <w:szCs w:val="24"/>
        </w:rPr>
        <w:t xml:space="preserve"> </w:t>
      </w:r>
      <w:r w:rsidR="002332D7">
        <w:rPr>
          <w:i/>
          <w:szCs w:val="24"/>
        </w:rPr>
        <w:t>C</w:t>
      </w:r>
      <w:r w:rsidR="00C864AC">
        <w:rPr>
          <w:szCs w:val="24"/>
        </w:rPr>
        <w:t xml:space="preserve"> is therefore defensible </w:t>
      </w:r>
      <w:r w:rsidR="00A269D6">
        <w:rPr>
          <w:szCs w:val="24"/>
        </w:rPr>
        <w:t>according to</w:t>
      </w:r>
      <w:r w:rsidR="00C864AC">
        <w:rPr>
          <w:szCs w:val="24"/>
        </w:rPr>
        <w:t xml:space="preserve"> the </w:t>
      </w:r>
      <w:r w:rsidR="001477FD">
        <w:rPr>
          <w:szCs w:val="24"/>
        </w:rPr>
        <w:t xml:space="preserve">framework of the </w:t>
      </w:r>
      <w:r w:rsidR="00C864AC">
        <w:rPr>
          <w:szCs w:val="24"/>
        </w:rPr>
        <w:t>theoretical virtues.</w:t>
      </w:r>
      <w:r w:rsidR="00C864AC">
        <w:rPr>
          <w:rStyle w:val="FootnoteReference"/>
          <w:szCs w:val="24"/>
        </w:rPr>
        <w:footnoteReference w:id="34"/>
      </w:r>
    </w:p>
    <w:p w:rsidR="00D217CF" w:rsidRDefault="00D217CF" w:rsidP="00BF1039">
      <w:pPr>
        <w:pStyle w:val="Heading3"/>
        <w:numPr>
          <w:ilvl w:val="0"/>
          <w:numId w:val="6"/>
        </w:numPr>
      </w:pPr>
      <w:r>
        <w:lastRenderedPageBreak/>
        <w:t>Rules by which to Judge of Causes and Effects</w:t>
      </w:r>
    </w:p>
    <w:p w:rsidR="00691964" w:rsidRDefault="00691964" w:rsidP="00D217CF">
      <w:pPr>
        <w:spacing w:before="200" w:after="200" w:line="480" w:lineRule="auto"/>
        <w:jc w:val="both"/>
        <w:rPr>
          <w:szCs w:val="24"/>
        </w:rPr>
      </w:pPr>
      <w:r>
        <w:rPr>
          <w:szCs w:val="24"/>
        </w:rPr>
        <w:t xml:space="preserve">We can </w:t>
      </w:r>
      <w:r w:rsidR="00FC4B69">
        <w:rPr>
          <w:szCs w:val="24"/>
        </w:rPr>
        <w:t xml:space="preserve">also defend Hume’s conativist thesis </w:t>
      </w:r>
      <w:r w:rsidR="001B6B03">
        <w:rPr>
          <w:szCs w:val="24"/>
        </w:rPr>
        <w:t xml:space="preserve">from the accusation of </w:t>
      </w:r>
      <w:r w:rsidR="001B6B03">
        <w:rPr>
          <w:i/>
          <w:szCs w:val="24"/>
        </w:rPr>
        <w:t>ad hockery</w:t>
      </w:r>
      <w:r w:rsidR="00A269D6">
        <w:rPr>
          <w:szCs w:val="24"/>
        </w:rPr>
        <w:t xml:space="preserve"> by </w:t>
      </w:r>
      <w:r w:rsidR="005F57F2">
        <w:rPr>
          <w:szCs w:val="24"/>
        </w:rPr>
        <w:t>looking</w:t>
      </w:r>
      <w:r>
        <w:rPr>
          <w:szCs w:val="24"/>
        </w:rPr>
        <w:t xml:space="preserve"> to Hume’s ‘rules by which to judge of causes and effects’</w:t>
      </w:r>
      <w:r w:rsidR="00C00418">
        <w:rPr>
          <w:szCs w:val="24"/>
        </w:rPr>
        <w:t>.</w:t>
      </w:r>
      <w:r w:rsidR="00CF30EB">
        <w:rPr>
          <w:szCs w:val="24"/>
        </w:rPr>
        <w:t xml:space="preserve"> Hume offers</w:t>
      </w:r>
      <w:r w:rsidR="00C00418">
        <w:rPr>
          <w:szCs w:val="24"/>
        </w:rPr>
        <w:t xml:space="preserve"> these rules</w:t>
      </w:r>
      <w:r w:rsidR="006E0B16">
        <w:rPr>
          <w:szCs w:val="24"/>
        </w:rPr>
        <w:t xml:space="preserve"> (which are largely motivated by his analysis of causation as constant conjunction)</w:t>
      </w:r>
      <w:r w:rsidR="00CF30EB">
        <w:rPr>
          <w:szCs w:val="24"/>
        </w:rPr>
        <w:t xml:space="preserve"> as guidelines to our causal theorising</w:t>
      </w:r>
      <w:r>
        <w:rPr>
          <w:szCs w:val="24"/>
        </w:rPr>
        <w:t>:</w:t>
      </w:r>
      <w:r w:rsidR="00290BB3">
        <w:rPr>
          <w:szCs w:val="24"/>
        </w:rPr>
        <w:t xml:space="preserve"> ‘</w:t>
      </w:r>
      <w:r w:rsidR="001B6B03">
        <w:rPr>
          <w:rStyle w:val="sc"/>
        </w:rPr>
        <w:t>Since</w:t>
      </w:r>
      <w:r w:rsidR="001B6B03">
        <w:t xml:space="preserve"> therefore ’tis possible for all objects to become causes or effects to each other, it may be proper to fix some general rules, by which we may know when th</w:t>
      </w:r>
      <w:r w:rsidR="0097531C">
        <w:t>ey really are so’ (THN 1.3.15.2</w:t>
      </w:r>
      <w:r w:rsidR="001B6B03">
        <w:t>). Hume’s fourth rule is especially relevant:</w:t>
      </w:r>
    </w:p>
    <w:p w:rsidR="00691964" w:rsidRPr="00691964" w:rsidRDefault="00691964" w:rsidP="005050B0">
      <w:pPr>
        <w:pStyle w:val="HumeReferences"/>
        <w:rPr>
          <w:lang w:val="en-US"/>
        </w:rPr>
      </w:pPr>
      <w:r w:rsidRPr="00691964">
        <w:rPr>
          <w:lang w:val="en-US"/>
        </w:rPr>
        <w:t>The same cause always produces the same effect, and the same effect never arises but from the same cause. This principle we derive from experience, and is the source of most o</w:t>
      </w:r>
      <w:r w:rsidR="004F3CE8">
        <w:rPr>
          <w:lang w:val="en-US"/>
        </w:rPr>
        <w:t>f our philosophical reasonings</w:t>
      </w:r>
      <w:r w:rsidR="004F3CE8">
        <w:t>.</w:t>
      </w:r>
      <w:r w:rsidR="00C864AC">
        <w:rPr>
          <w:lang w:val="en-US"/>
        </w:rPr>
        <w:t xml:space="preserve"> (THN 1.3.15.</w:t>
      </w:r>
      <w:r w:rsidR="008E045D">
        <w:rPr>
          <w:lang w:val="en-US"/>
        </w:rPr>
        <w:t>6</w:t>
      </w:r>
      <w:r>
        <w:rPr>
          <w:lang w:val="en-US"/>
        </w:rPr>
        <w:t>)</w:t>
      </w:r>
    </w:p>
    <w:p w:rsidR="00B239A8" w:rsidRPr="00B239A8" w:rsidRDefault="008E045D" w:rsidP="00691964">
      <w:pPr>
        <w:spacing w:before="200" w:after="200" w:line="480" w:lineRule="auto"/>
        <w:jc w:val="both"/>
        <w:rPr>
          <w:szCs w:val="24"/>
        </w:rPr>
      </w:pPr>
      <w:r>
        <w:rPr>
          <w:szCs w:val="24"/>
        </w:rPr>
        <w:t>Here Hume</w:t>
      </w:r>
      <w:r w:rsidR="00A509E9">
        <w:rPr>
          <w:szCs w:val="24"/>
        </w:rPr>
        <w:t xml:space="preserve"> puts forth</w:t>
      </w:r>
      <w:r>
        <w:rPr>
          <w:szCs w:val="24"/>
        </w:rPr>
        <w:t xml:space="preserve"> the principle</w:t>
      </w:r>
      <w:r w:rsidR="00691964">
        <w:rPr>
          <w:szCs w:val="24"/>
        </w:rPr>
        <w:t xml:space="preserve"> that the same cause always produces the same effect</w:t>
      </w:r>
      <w:r w:rsidR="004F3CE8">
        <w:rPr>
          <w:szCs w:val="24"/>
        </w:rPr>
        <w:t>.</w:t>
      </w:r>
      <w:r w:rsidR="00B239A8" w:rsidRPr="00B239A8">
        <w:rPr>
          <w:lang w:val="en-US"/>
        </w:rPr>
        <w:t xml:space="preserve"> </w:t>
      </w:r>
      <w:r w:rsidR="00B239A8" w:rsidRPr="00B239A8">
        <w:rPr>
          <w:szCs w:val="24"/>
          <w:lang w:val="en-US"/>
        </w:rPr>
        <w:t xml:space="preserve">This principle seems to be patently false at first sight: a fire can be caused by a match or by lightning, for instance. This is uncharitable, and we can save Hume’s blushes by </w:t>
      </w:r>
      <w:r w:rsidR="00F47D3F">
        <w:rPr>
          <w:szCs w:val="24"/>
          <w:lang w:val="en-US"/>
        </w:rPr>
        <w:t xml:space="preserve">reading this rule as concerning </w:t>
      </w:r>
      <w:r w:rsidR="00F47D3F">
        <w:rPr>
          <w:i/>
          <w:szCs w:val="24"/>
          <w:lang w:val="en-US"/>
        </w:rPr>
        <w:t>deepest</w:t>
      </w:r>
      <w:r w:rsidR="00B239A8" w:rsidRPr="00B239A8">
        <w:rPr>
          <w:szCs w:val="24"/>
          <w:lang w:val="en-US"/>
        </w:rPr>
        <w:t xml:space="preserve"> causes. In both cases, the fire is ultimately caused by a combination of heat and combustible material. Indeed, Hume sees his project as one concerned with deeper, more general causes</w:t>
      </w:r>
      <w:r w:rsidR="001946F7">
        <w:rPr>
          <w:szCs w:val="24"/>
          <w:lang w:val="en-US"/>
        </w:rPr>
        <w:t>, characterising</w:t>
      </w:r>
      <w:r w:rsidR="00B239A8" w:rsidRPr="00B239A8">
        <w:rPr>
          <w:szCs w:val="24"/>
          <w:lang w:val="en-US"/>
        </w:rPr>
        <w:t xml:space="preserve"> his project as ‘explaining all effects from the simplest and fewest causes’ (THN Intro 8)</w:t>
      </w:r>
      <w:r w:rsidR="00B239A8" w:rsidRPr="00B239A8">
        <w:rPr>
          <w:szCs w:val="24"/>
        </w:rPr>
        <w:t xml:space="preserve">. Hume might claim that finding </w:t>
      </w:r>
      <w:r w:rsidR="0053342F">
        <w:rPr>
          <w:szCs w:val="24"/>
        </w:rPr>
        <w:t>a plurality of causal explanations for the same effect</w:t>
      </w:r>
      <w:r w:rsidR="00B239A8" w:rsidRPr="00B239A8">
        <w:rPr>
          <w:szCs w:val="24"/>
        </w:rPr>
        <w:t xml:space="preserve"> </w:t>
      </w:r>
      <w:r w:rsidR="000F1A11">
        <w:rPr>
          <w:szCs w:val="24"/>
        </w:rPr>
        <w:t>indicates</w:t>
      </w:r>
      <w:r w:rsidR="00B239A8" w:rsidRPr="00B239A8">
        <w:rPr>
          <w:szCs w:val="24"/>
        </w:rPr>
        <w:t xml:space="preserve"> that we have not yet arrived at ‘original principles’</w:t>
      </w:r>
      <w:r w:rsidR="00B239A8">
        <w:rPr>
          <w:szCs w:val="24"/>
        </w:rPr>
        <w:t xml:space="preserve"> (EHU 1.2), and must dig deeper; the same effect is always produced by the same </w:t>
      </w:r>
      <w:r w:rsidR="00B239A8">
        <w:rPr>
          <w:i/>
          <w:szCs w:val="24"/>
        </w:rPr>
        <w:t>deepest</w:t>
      </w:r>
      <w:r w:rsidR="00B239A8">
        <w:rPr>
          <w:szCs w:val="24"/>
        </w:rPr>
        <w:t xml:space="preserve"> cause.</w:t>
      </w:r>
    </w:p>
    <w:p w:rsidR="007A3DFD" w:rsidRDefault="008E045D" w:rsidP="00B239A8">
      <w:pPr>
        <w:spacing w:before="200" w:after="200" w:line="480" w:lineRule="auto"/>
        <w:ind w:firstLine="720"/>
        <w:jc w:val="both"/>
        <w:rPr>
          <w:szCs w:val="24"/>
        </w:rPr>
      </w:pPr>
      <w:r>
        <w:rPr>
          <w:szCs w:val="24"/>
        </w:rPr>
        <w:t>In light of this, compare again</w:t>
      </w:r>
      <w:r w:rsidR="004F3CE8">
        <w:rPr>
          <w:szCs w:val="24"/>
        </w:rPr>
        <w:t xml:space="preserve"> </w:t>
      </w:r>
      <w:r w:rsidR="004F3CE8">
        <w:rPr>
          <w:i/>
          <w:szCs w:val="24"/>
        </w:rPr>
        <w:t>C</w:t>
      </w:r>
      <w:r w:rsidR="004F3CE8">
        <w:rPr>
          <w:szCs w:val="24"/>
        </w:rPr>
        <w:t xml:space="preserve"> with </w:t>
      </w:r>
      <w:r w:rsidR="002332D7">
        <w:rPr>
          <w:i/>
          <w:szCs w:val="24"/>
        </w:rPr>
        <w:t>R</w:t>
      </w:r>
      <w:r w:rsidR="004F3CE8">
        <w:rPr>
          <w:szCs w:val="24"/>
        </w:rPr>
        <w:t xml:space="preserve">. </w:t>
      </w:r>
      <w:r w:rsidR="002332D7">
        <w:rPr>
          <w:i/>
          <w:szCs w:val="24"/>
        </w:rPr>
        <w:t xml:space="preserve">R </w:t>
      </w:r>
      <w:r w:rsidR="0018180D">
        <w:rPr>
          <w:szCs w:val="24"/>
        </w:rPr>
        <w:t>threatens to violate</w:t>
      </w:r>
      <w:r w:rsidR="00D55A18">
        <w:rPr>
          <w:szCs w:val="24"/>
        </w:rPr>
        <w:t xml:space="preserve"> the above</w:t>
      </w:r>
      <w:r w:rsidR="004F3CE8">
        <w:rPr>
          <w:szCs w:val="24"/>
        </w:rPr>
        <w:t xml:space="preserve"> principle, as it postulates different causes for multiple instances of the same effect: sometimes </w:t>
      </w:r>
      <w:r w:rsidR="00624F90">
        <w:rPr>
          <w:szCs w:val="24"/>
        </w:rPr>
        <w:t xml:space="preserve">the end-setting </w:t>
      </w:r>
      <w:r w:rsidR="004F3CE8">
        <w:rPr>
          <w:szCs w:val="24"/>
        </w:rPr>
        <w:t>role</w:t>
      </w:r>
      <w:r w:rsidR="00624F90">
        <w:rPr>
          <w:szCs w:val="24"/>
        </w:rPr>
        <w:t xml:space="preserve"> in </w:t>
      </w:r>
      <w:r w:rsidR="00207659">
        <w:rPr>
          <w:szCs w:val="24"/>
        </w:rPr>
        <w:t>motivation is played by reason, and other times it is played by the passions</w:t>
      </w:r>
      <w:r w:rsidR="004F3CE8">
        <w:rPr>
          <w:szCs w:val="24"/>
        </w:rPr>
        <w:t>.</w:t>
      </w:r>
      <w:r w:rsidR="001B6B03">
        <w:rPr>
          <w:rStyle w:val="FootnoteReference"/>
          <w:szCs w:val="24"/>
        </w:rPr>
        <w:footnoteReference w:id="35"/>
      </w:r>
      <w:r w:rsidR="00B239A8">
        <w:rPr>
          <w:szCs w:val="24"/>
        </w:rPr>
        <w:t xml:space="preserve"> Importantly, it is </w:t>
      </w:r>
      <w:r w:rsidR="00B239A8">
        <w:rPr>
          <w:szCs w:val="24"/>
        </w:rPr>
        <w:lastRenderedPageBreak/>
        <w:t>difficult to see reason and passions sharing a deeper</w:t>
      </w:r>
      <w:r w:rsidR="001946F7">
        <w:rPr>
          <w:szCs w:val="24"/>
        </w:rPr>
        <w:t xml:space="preserve"> mutual</w:t>
      </w:r>
      <w:r w:rsidR="00B239A8">
        <w:rPr>
          <w:szCs w:val="24"/>
        </w:rPr>
        <w:t xml:space="preserve"> cause that would explai</w:t>
      </w:r>
      <w:r w:rsidR="007A3DFD">
        <w:rPr>
          <w:szCs w:val="24"/>
        </w:rPr>
        <w:t xml:space="preserve">n the end-setting aspect of motivation, which proponents of </w:t>
      </w:r>
      <w:r w:rsidR="001946F7">
        <w:rPr>
          <w:i/>
          <w:szCs w:val="24"/>
        </w:rPr>
        <w:t>R</w:t>
      </w:r>
      <w:r w:rsidR="007A3DFD">
        <w:rPr>
          <w:szCs w:val="24"/>
        </w:rPr>
        <w:t xml:space="preserve"> would have to provide if they are not to fall foul of Hume’ fourth rule; at the very least, </w:t>
      </w:r>
      <w:r w:rsidR="007A3DFD" w:rsidRPr="001946F7">
        <w:rPr>
          <w:i/>
          <w:szCs w:val="24"/>
        </w:rPr>
        <w:t>R</w:t>
      </w:r>
      <w:r w:rsidR="007A3DFD">
        <w:rPr>
          <w:szCs w:val="24"/>
        </w:rPr>
        <w:t xml:space="preserve"> suffers a theoretical cost by light of Hume’s rules without some such </w:t>
      </w:r>
      <w:r w:rsidR="00F5480D">
        <w:rPr>
          <w:szCs w:val="24"/>
        </w:rPr>
        <w:t xml:space="preserve">deeper </w:t>
      </w:r>
      <w:r w:rsidR="007A3DFD">
        <w:rPr>
          <w:szCs w:val="24"/>
        </w:rPr>
        <w:t>explanation. And indeed,</w:t>
      </w:r>
      <w:r w:rsidR="004F3CE8">
        <w:rPr>
          <w:szCs w:val="24"/>
        </w:rPr>
        <w:t xml:space="preserve"> </w:t>
      </w:r>
      <w:r w:rsidR="007A3DFD">
        <w:rPr>
          <w:szCs w:val="24"/>
        </w:rPr>
        <w:t xml:space="preserve">the rationalist proponents of </w:t>
      </w:r>
      <w:r w:rsidR="007A3DFD" w:rsidRPr="001946F7">
        <w:rPr>
          <w:i/>
          <w:szCs w:val="24"/>
        </w:rPr>
        <w:t>R</w:t>
      </w:r>
      <w:r w:rsidR="007A3DFD">
        <w:rPr>
          <w:szCs w:val="24"/>
        </w:rPr>
        <w:t xml:space="preserve"> would be loathe to offer such an explanation </w:t>
      </w:r>
      <w:r w:rsidR="00BF6BAF">
        <w:rPr>
          <w:szCs w:val="24"/>
        </w:rPr>
        <w:t>on pain of removing reason from</w:t>
      </w:r>
      <w:r w:rsidR="007A3DFD">
        <w:rPr>
          <w:szCs w:val="24"/>
        </w:rPr>
        <w:t xml:space="preserve"> the </w:t>
      </w:r>
      <w:r w:rsidR="00F47D3F">
        <w:rPr>
          <w:szCs w:val="24"/>
        </w:rPr>
        <w:t xml:space="preserve">pedestal that </w:t>
      </w:r>
      <w:r w:rsidR="00BF6BAF">
        <w:rPr>
          <w:szCs w:val="24"/>
        </w:rPr>
        <w:t>it</w:t>
      </w:r>
      <w:r w:rsidR="00F47D3F">
        <w:rPr>
          <w:szCs w:val="24"/>
        </w:rPr>
        <w:t xml:space="preserve"> occupies</w:t>
      </w:r>
      <w:r w:rsidR="007A3DFD">
        <w:rPr>
          <w:szCs w:val="24"/>
        </w:rPr>
        <w:t xml:space="preserve"> in their framework.</w:t>
      </w:r>
    </w:p>
    <w:p w:rsidR="00691964" w:rsidRDefault="002332D7" w:rsidP="00B239A8">
      <w:pPr>
        <w:spacing w:before="200" w:after="200" w:line="480" w:lineRule="auto"/>
        <w:ind w:firstLine="720"/>
        <w:jc w:val="both"/>
        <w:rPr>
          <w:szCs w:val="24"/>
        </w:rPr>
      </w:pPr>
      <w:r>
        <w:rPr>
          <w:i/>
          <w:szCs w:val="24"/>
        </w:rPr>
        <w:t>C</w:t>
      </w:r>
      <w:r w:rsidR="004F3CE8">
        <w:rPr>
          <w:szCs w:val="24"/>
        </w:rPr>
        <w:t>, however, satisfies this principle, as it postulates a single cause for instances of the same effect</w:t>
      </w:r>
      <w:r w:rsidR="007A3DFD">
        <w:rPr>
          <w:szCs w:val="24"/>
        </w:rPr>
        <w:t xml:space="preserve">; in comparison to </w:t>
      </w:r>
      <w:r w:rsidR="007A3DFD" w:rsidRPr="001946F7">
        <w:rPr>
          <w:i/>
          <w:szCs w:val="24"/>
        </w:rPr>
        <w:t>R</w:t>
      </w:r>
      <w:r w:rsidR="007A3DFD">
        <w:rPr>
          <w:szCs w:val="24"/>
        </w:rPr>
        <w:t xml:space="preserve">, </w:t>
      </w:r>
      <w:r w:rsidR="007A3DFD" w:rsidRPr="001946F7">
        <w:rPr>
          <w:i/>
          <w:szCs w:val="24"/>
        </w:rPr>
        <w:t>C</w:t>
      </w:r>
      <w:r w:rsidR="007A3DFD">
        <w:rPr>
          <w:szCs w:val="24"/>
        </w:rPr>
        <w:t xml:space="preserve"> clearly has the theoretical advantage by light of Hume’s rules</w:t>
      </w:r>
      <w:r w:rsidR="004F3CE8">
        <w:rPr>
          <w:szCs w:val="24"/>
        </w:rPr>
        <w:t>.</w:t>
      </w:r>
      <w:r w:rsidR="00C864AC">
        <w:rPr>
          <w:rStyle w:val="FootnoteReference"/>
          <w:szCs w:val="24"/>
        </w:rPr>
        <w:footnoteReference w:id="36"/>
      </w:r>
      <w:r w:rsidR="00D53EBA">
        <w:rPr>
          <w:szCs w:val="24"/>
        </w:rPr>
        <w:t xml:space="preserve"> </w:t>
      </w:r>
      <w:r w:rsidR="00207659">
        <w:rPr>
          <w:szCs w:val="24"/>
        </w:rPr>
        <w:t>Notably, Hume takes</w:t>
      </w:r>
      <w:r w:rsidR="00D53EBA">
        <w:rPr>
          <w:szCs w:val="24"/>
        </w:rPr>
        <w:t xml:space="preserve"> the</w:t>
      </w:r>
      <w:r w:rsidR="004F3CE8">
        <w:rPr>
          <w:szCs w:val="24"/>
        </w:rPr>
        <w:t xml:space="preserve"> </w:t>
      </w:r>
      <w:r w:rsidR="00FB10B4">
        <w:rPr>
          <w:szCs w:val="24"/>
        </w:rPr>
        <w:t>fourth rule</w:t>
      </w:r>
      <w:r w:rsidR="00D55A18">
        <w:rPr>
          <w:szCs w:val="24"/>
        </w:rPr>
        <w:t xml:space="preserve"> to be ‘the source of most of our p</w:t>
      </w:r>
      <w:r w:rsidR="00855590">
        <w:rPr>
          <w:szCs w:val="24"/>
        </w:rPr>
        <w:t xml:space="preserve">hilosophical reasoning’; </w:t>
      </w:r>
      <w:r w:rsidR="00207659">
        <w:rPr>
          <w:szCs w:val="24"/>
        </w:rPr>
        <w:t xml:space="preserve">thus, </w:t>
      </w:r>
      <w:r w:rsidR="00855590">
        <w:rPr>
          <w:szCs w:val="24"/>
        </w:rPr>
        <w:t>it is</w:t>
      </w:r>
      <w:r w:rsidR="00D55A18">
        <w:rPr>
          <w:szCs w:val="24"/>
        </w:rPr>
        <w:t xml:space="preserve"> </w:t>
      </w:r>
      <w:r w:rsidR="00F34734">
        <w:rPr>
          <w:szCs w:val="24"/>
        </w:rPr>
        <w:t xml:space="preserve">extremely </w:t>
      </w:r>
      <w:r w:rsidR="00D55A18">
        <w:rPr>
          <w:szCs w:val="24"/>
        </w:rPr>
        <w:t>plausible that</w:t>
      </w:r>
      <w:r w:rsidR="002A68DD">
        <w:rPr>
          <w:szCs w:val="24"/>
        </w:rPr>
        <w:t xml:space="preserve"> </w:t>
      </w:r>
      <w:r w:rsidR="00D55A18">
        <w:rPr>
          <w:szCs w:val="24"/>
        </w:rPr>
        <w:t xml:space="preserve">he </w:t>
      </w:r>
      <w:r w:rsidR="00A509E9">
        <w:rPr>
          <w:szCs w:val="24"/>
        </w:rPr>
        <w:t xml:space="preserve">was explicitly guided </w:t>
      </w:r>
      <w:r w:rsidR="007F7A91">
        <w:rPr>
          <w:szCs w:val="24"/>
        </w:rPr>
        <w:t xml:space="preserve">by </w:t>
      </w:r>
      <w:r w:rsidR="00FB10B4">
        <w:rPr>
          <w:szCs w:val="24"/>
        </w:rPr>
        <w:t>this principle</w:t>
      </w:r>
      <w:r w:rsidR="00F34734">
        <w:rPr>
          <w:szCs w:val="24"/>
        </w:rPr>
        <w:t xml:space="preserve"> in</w:t>
      </w:r>
      <w:r w:rsidR="00D55A18">
        <w:rPr>
          <w:szCs w:val="24"/>
        </w:rPr>
        <w:t xml:space="preserve"> </w:t>
      </w:r>
      <w:r w:rsidR="00207659">
        <w:rPr>
          <w:szCs w:val="24"/>
        </w:rPr>
        <w:t>evaluating</w:t>
      </w:r>
      <w:r w:rsidR="00D55A18">
        <w:rPr>
          <w:szCs w:val="24"/>
        </w:rPr>
        <w:t xml:space="preserve"> </w:t>
      </w:r>
      <w:r>
        <w:rPr>
          <w:i/>
          <w:szCs w:val="24"/>
        </w:rPr>
        <w:t>C</w:t>
      </w:r>
      <w:r w:rsidR="00D55A18">
        <w:rPr>
          <w:szCs w:val="24"/>
        </w:rPr>
        <w:t xml:space="preserve">. In short, Hume’s theory of motivation, far from being </w:t>
      </w:r>
      <w:r w:rsidR="00D55A18">
        <w:rPr>
          <w:i/>
          <w:szCs w:val="24"/>
        </w:rPr>
        <w:t>ad hoc</w:t>
      </w:r>
      <w:r w:rsidR="00D55A18">
        <w:rPr>
          <w:szCs w:val="24"/>
        </w:rPr>
        <w:t>, is in</w:t>
      </w:r>
      <w:r w:rsidR="00D53EBA">
        <w:rPr>
          <w:szCs w:val="24"/>
        </w:rPr>
        <w:t xml:space="preserve"> fact </w:t>
      </w:r>
      <w:r w:rsidR="00D55A18">
        <w:rPr>
          <w:szCs w:val="24"/>
        </w:rPr>
        <w:t>a shining example of his philosophical methodology in action.</w:t>
      </w:r>
    </w:p>
    <w:p w:rsidR="001B6B03" w:rsidRPr="00D55A18" w:rsidRDefault="001B6B03" w:rsidP="00BF1039">
      <w:pPr>
        <w:pStyle w:val="Heading3"/>
        <w:numPr>
          <w:ilvl w:val="0"/>
          <w:numId w:val="6"/>
        </w:numPr>
      </w:pPr>
      <w:r>
        <w:t xml:space="preserve">Reflective </w:t>
      </w:r>
      <w:r w:rsidR="005138FC">
        <w:t>Equilibrium</w:t>
      </w:r>
      <w:r>
        <w:t xml:space="preserve"> an</w:t>
      </w:r>
      <w:r w:rsidR="005138FC">
        <w:t>d Reinterpreting Data</w:t>
      </w:r>
    </w:p>
    <w:p w:rsidR="00107588" w:rsidRDefault="001B6B03" w:rsidP="001B6B03">
      <w:pPr>
        <w:spacing w:before="200" w:after="200" w:line="480" w:lineRule="auto"/>
        <w:jc w:val="both"/>
      </w:pPr>
      <w:r>
        <w:t>O</w:t>
      </w:r>
      <w:r w:rsidR="00BC4376">
        <w:t>nce a theory is accepted, we reinterpret data in light of this theory; sometimes reflective equilibrium is attained by favouring general principles over particular instances.</w:t>
      </w:r>
      <w:r w:rsidR="00D07F74">
        <w:t xml:space="preserve"> Recall Demeter’s (2012) characterisation of Hume’s experimental method as one consisting in a kind of analysis and synthesis. We use phenomena to derive general principles (analysis), and then use these principles </w:t>
      </w:r>
      <w:r w:rsidR="00D07F74">
        <w:lastRenderedPageBreak/>
        <w:t>to explain phenomena (synthesis). But not all phenomena will be explained by the theory, and if our theory is strong enough</w:t>
      </w:r>
      <w:r w:rsidR="007577A7">
        <w:t xml:space="preserve"> – that is, if it explanatorily powerful and simple, in line with Hazony’s (2014) reading of Boyle and Hume –</w:t>
      </w:r>
      <w:r w:rsidR="00D07F74">
        <w:t xml:space="preserve"> we are licensed to explain </w:t>
      </w:r>
      <w:r w:rsidR="00D07F74">
        <w:rPr>
          <w:i/>
        </w:rPr>
        <w:t>away</w:t>
      </w:r>
      <w:r w:rsidR="00D07F74">
        <w:t xml:space="preserve"> troublesome phenomena within the </w:t>
      </w:r>
      <w:r w:rsidR="007A7AD6">
        <w:t>framework</w:t>
      </w:r>
      <w:r w:rsidR="00D07F74">
        <w:t xml:space="preserve"> of this theory in our synthesis.</w:t>
      </w:r>
      <w:r w:rsidR="00BC4376">
        <w:t xml:space="preserve"> </w:t>
      </w:r>
      <w:r w:rsidR="00635FD7">
        <w:t>O</w:t>
      </w:r>
      <w:r w:rsidR="00BC4376">
        <w:t>nce Hume rules in favour of his theory of motivation, he can now use his systematised theory to examine the recalcitrant observations through new theoretical lenses. He concludes that in these cases, there is an unnoticed calm passion at work, despite our pre</w:t>
      </w:r>
      <w:r w:rsidR="00DD2B0E">
        <w:t>-</w:t>
      </w:r>
      <w:r w:rsidR="00BC4376">
        <w:t xml:space="preserve">theoretic intuitions to the contrary. This judgment is </w:t>
      </w:r>
      <w:r w:rsidR="002332D7">
        <w:t>justified</w:t>
      </w:r>
      <w:r w:rsidR="00BC4376">
        <w:t xml:space="preserve"> given the </w:t>
      </w:r>
      <w:r w:rsidR="00855590">
        <w:t>theoretical soundness</w:t>
      </w:r>
      <w:r w:rsidR="00BC4376">
        <w:t xml:space="preserve"> </w:t>
      </w:r>
      <w:r w:rsidR="00855590">
        <w:t>possessed by Hume’s</w:t>
      </w:r>
      <w:r w:rsidR="00BC4376">
        <w:t xml:space="preserve"> theory of motivation</w:t>
      </w:r>
      <w:r w:rsidR="00855590">
        <w:t xml:space="preserve">; </w:t>
      </w:r>
      <w:r w:rsidR="00BC4376">
        <w:t xml:space="preserve">accusations of </w:t>
      </w:r>
      <w:r w:rsidR="00BC4376">
        <w:rPr>
          <w:i/>
        </w:rPr>
        <w:t>ad hockery</w:t>
      </w:r>
      <w:r w:rsidR="00BC4376">
        <w:t xml:space="preserve"> are, if not refuted, at the very least mitigated by</w:t>
      </w:r>
      <w:r w:rsidR="00FB10B4">
        <w:t xml:space="preserve"> these theoretical</w:t>
      </w:r>
      <w:r w:rsidR="00BC4376">
        <w:t xml:space="preserve"> consideration</w:t>
      </w:r>
      <w:r w:rsidR="00FB10B4">
        <w:t>s.</w:t>
      </w:r>
      <w:r w:rsidR="00BC4376">
        <w:t xml:space="preserve"> </w:t>
      </w:r>
      <w:r w:rsidR="00FB10B4">
        <w:t>Therefore</w:t>
      </w:r>
      <w:r w:rsidR="00855590">
        <w:t>, Hume can justifiably</w:t>
      </w:r>
      <w:r w:rsidR="00BC4376">
        <w:t xml:space="preserve"> postulate the calm passions in explaining away purported counterexamples to his theory of motivation.</w:t>
      </w:r>
    </w:p>
    <w:p w:rsidR="00635FD7" w:rsidRDefault="00855590" w:rsidP="00855590">
      <w:pPr>
        <w:spacing w:before="200" w:after="200" w:line="480" w:lineRule="auto"/>
        <w:ind w:firstLine="720"/>
        <w:jc w:val="both"/>
      </w:pPr>
      <w:r>
        <w:t xml:space="preserve">Indeed, Hume </w:t>
      </w:r>
      <w:r w:rsidR="00FB10B4">
        <w:t>does</w:t>
      </w:r>
      <w:r>
        <w:t xml:space="preserve"> something very similar with the ‘monkish virtues’ in the second </w:t>
      </w:r>
      <w:r>
        <w:rPr>
          <w:i/>
        </w:rPr>
        <w:t>Enquiry</w:t>
      </w:r>
      <w:r>
        <w:t xml:space="preserve"> (EPM 9.3) – having derived his definition of virtue as qualities </w:t>
      </w:r>
      <w:r w:rsidR="00635FD7">
        <w:t>‘</w:t>
      </w:r>
      <w:r>
        <w:t xml:space="preserve">useful or agreeable to </w:t>
      </w:r>
      <w:r w:rsidR="00635FD7">
        <w:t>ourselves or others</w:t>
      </w:r>
      <w:r>
        <w:t>’ from his observations of the personal qualities that we praise and blame, he dismisses the ‘monkish virtues’</w:t>
      </w:r>
      <w:r w:rsidR="00FB10B4">
        <w:t xml:space="preserve"> </w:t>
      </w:r>
      <w:r>
        <w:t xml:space="preserve">as vices despite the fact that some might pre-philosophically think </w:t>
      </w:r>
      <w:r w:rsidR="007A3DFD">
        <w:t xml:space="preserve">at least some of </w:t>
      </w:r>
      <w:r>
        <w:t>them to be virtues</w:t>
      </w:r>
      <w:r w:rsidR="007A3DFD">
        <w:t xml:space="preserve"> (humility, for example, is still </w:t>
      </w:r>
      <w:r w:rsidR="00F47D3F">
        <w:t xml:space="preserve">widely </w:t>
      </w:r>
      <w:r w:rsidR="007A3DFD">
        <w:t>considered a virtue today)</w:t>
      </w:r>
      <w:r>
        <w:t xml:space="preserve">, because he finds them to be disagreeable and detrimental to the </w:t>
      </w:r>
      <w:r w:rsidR="00207659">
        <w:t>self and to others</w:t>
      </w:r>
      <w:r w:rsidR="00635FD7">
        <w:t>:</w:t>
      </w:r>
    </w:p>
    <w:p w:rsidR="00635FD7" w:rsidRDefault="00635FD7" w:rsidP="005050B0">
      <w:pPr>
        <w:pStyle w:val="HumeReferences"/>
      </w:pPr>
      <w:r>
        <w:t>And as every quality, which is useful or agreeable to ourselves or others, is, in common life, allowed to be a part of personal merit; so no other will ever be received, where men judge of things by their natural, unprejudiced reason, without the delusive glosses of superstition and false religion</w:t>
      </w:r>
      <w:r w:rsidR="004D6838">
        <w:t>...</w:t>
      </w:r>
      <w:r>
        <w:t xml:space="preserve"> the whole train of monkish virtues</w:t>
      </w:r>
      <w:r w:rsidR="00FB10B4">
        <w:t xml:space="preserve">; for what reason are they every where rejected by men of sense, but because they... </w:t>
      </w:r>
      <w:r>
        <w:t>cross all these desirable ends; stupify the understanding and harden the heart, obscure the fancy and sour the temper. We justly, therefore, transfer them to the opposite column, and place them in the catalogue of vices; nor has any superstition force sufficient among men of the world, to pervert entirely these natural sentiments.</w:t>
      </w:r>
      <w:r w:rsidR="00AC3644">
        <w:t xml:space="preserve">  (EPM 9.3)</w:t>
      </w:r>
    </w:p>
    <w:p w:rsidR="00855590" w:rsidRDefault="005138FC" w:rsidP="00635FD7">
      <w:pPr>
        <w:spacing w:before="200" w:after="200" w:line="480" w:lineRule="auto"/>
        <w:jc w:val="both"/>
      </w:pPr>
      <w:r>
        <w:lastRenderedPageBreak/>
        <w:t xml:space="preserve">Hume says that ‘we justly, therefore, </w:t>
      </w:r>
      <w:r w:rsidRPr="00F5480D">
        <w:rPr>
          <w:i/>
        </w:rPr>
        <w:t>transfer’</w:t>
      </w:r>
      <w:r w:rsidR="00F5480D">
        <w:rPr>
          <w:i/>
        </w:rPr>
        <w:t xml:space="preserve"> </w:t>
      </w:r>
      <w:r w:rsidR="00F5480D">
        <w:t>(emphasis added)</w:t>
      </w:r>
      <w:r>
        <w:t xml:space="preserve"> the monkish virtues to ‘the catalogue of vices</w:t>
      </w:r>
      <w:r w:rsidR="00290BB3">
        <w:t>’</w:t>
      </w:r>
      <w:r>
        <w:t xml:space="preserve">: this indicates that he thinks that they are </w:t>
      </w:r>
      <w:r w:rsidR="00667C33">
        <w:t>pre-theoretically treated as virtu</w:t>
      </w:r>
      <w:r>
        <w:t>es</w:t>
      </w:r>
      <w:r w:rsidR="001946F7">
        <w:t xml:space="preserve"> (hence why a ‘transfer’ is necessary)</w:t>
      </w:r>
      <w:r>
        <w:t>,</w:t>
      </w:r>
      <w:r w:rsidR="007A3DFD">
        <w:rPr>
          <w:rStyle w:val="FootnoteReference"/>
        </w:rPr>
        <w:footnoteReference w:id="37"/>
      </w:r>
      <w:r>
        <w:t xml:space="preserve"> and that his general principles give sufficient reason to abandon this intuition.</w:t>
      </w:r>
      <w:r>
        <w:rPr>
          <w:rStyle w:val="FootnoteReference"/>
        </w:rPr>
        <w:footnoteReference w:id="38"/>
      </w:r>
      <w:r>
        <w:t xml:space="preserve"> </w:t>
      </w:r>
      <w:r w:rsidR="00855590">
        <w:t xml:space="preserve">Here Hume is favouring his general theory over the particular instances, because he finds </w:t>
      </w:r>
      <w:r w:rsidR="00667C33">
        <w:t>it</w:t>
      </w:r>
      <w:r w:rsidR="00855590">
        <w:t xml:space="preserve"> to be theoretically well-founded;</w:t>
      </w:r>
      <w:r w:rsidR="008D30AB">
        <w:t xml:space="preserve"> </w:t>
      </w:r>
      <w:r w:rsidR="005050B0">
        <w:t xml:space="preserve">in this case, </w:t>
      </w:r>
      <w:r w:rsidR="008D30AB">
        <w:t>reflective equilibrium is attained by dismissing the latter to accommodate the former.</w:t>
      </w:r>
      <w:r w:rsidR="00855590">
        <w:t xml:space="preserve"> </w:t>
      </w:r>
      <w:r w:rsidR="008D30AB">
        <w:t>T</w:t>
      </w:r>
      <w:r w:rsidR="00855590">
        <w:t>his is directly analogous to what Hume does with respect to the calm passions</w:t>
      </w:r>
      <w:r w:rsidR="008D30AB">
        <w:t>, and in neither case is Hume theorising in an</w:t>
      </w:r>
      <w:r w:rsidR="00AC3644">
        <w:t xml:space="preserve"> obviously</w:t>
      </w:r>
      <w:r w:rsidR="008D30AB">
        <w:t xml:space="preserve"> </w:t>
      </w:r>
      <w:r w:rsidR="008D30AB">
        <w:rPr>
          <w:i/>
        </w:rPr>
        <w:t>ad hoc</w:t>
      </w:r>
      <w:r w:rsidR="008D30AB">
        <w:t xml:space="preserve"> manner</w:t>
      </w:r>
      <w:r w:rsidR="00855590">
        <w:t>.</w:t>
      </w:r>
    </w:p>
    <w:p w:rsidR="003A5167" w:rsidRDefault="000E623B" w:rsidP="003A5167">
      <w:pPr>
        <w:pStyle w:val="Heading2"/>
        <w:numPr>
          <w:ilvl w:val="0"/>
          <w:numId w:val="1"/>
        </w:numPr>
        <w:jc w:val="both"/>
      </w:pPr>
      <w:r>
        <w:t>Conclusion</w:t>
      </w:r>
    </w:p>
    <w:p w:rsidR="00B35650" w:rsidRDefault="008444EB" w:rsidP="00980D51">
      <w:pPr>
        <w:spacing w:before="200" w:after="200" w:line="480" w:lineRule="auto"/>
        <w:jc w:val="both"/>
      </w:pPr>
      <w:r>
        <w:t>In this paper I hope to have shown how</w:t>
      </w:r>
      <w:r w:rsidR="00B35650">
        <w:t xml:space="preserve"> an empirical</w:t>
      </w:r>
      <w:r>
        <w:t xml:space="preserve"> Hume’s account of the calm passions may be theoretically defended</w:t>
      </w:r>
      <w:r w:rsidR="00B35650">
        <w:t>, and why conceptual accounts would prove problematic. This is not a full treatment of the complex issues of the calm passions, and does not pretend to be. Notably, this paper does not</w:t>
      </w:r>
      <w:r w:rsidR="001477FD">
        <w:t xml:space="preserve"> discuss </w:t>
      </w:r>
      <w:r w:rsidR="001477FD" w:rsidRPr="001477FD">
        <w:t>non-conceptual defences of Hume’s appeal to the calm passions</w:t>
      </w:r>
      <w:r w:rsidR="001477FD">
        <w:t>, nor does it</w:t>
      </w:r>
      <w:r w:rsidR="00B35650">
        <w:t xml:space="preserve"> address in detail Hume’s discussion of the calm/violent distinction.</w:t>
      </w:r>
    </w:p>
    <w:p w:rsidR="009B6034" w:rsidRPr="00D34550" w:rsidRDefault="00B35650" w:rsidP="00B35650">
      <w:pPr>
        <w:spacing w:before="200" w:after="200" w:line="480" w:lineRule="auto"/>
        <w:ind w:firstLine="720"/>
        <w:jc w:val="both"/>
      </w:pPr>
      <w:r>
        <w:t>Nevertheless, t</w:t>
      </w:r>
      <w:r w:rsidR="009B6034">
        <w:t xml:space="preserve">his paper hopes to have both historical and contemporary significance. From a historical perspective, I have hoped to shed </w:t>
      </w:r>
      <w:r w:rsidR="001477FD">
        <w:t xml:space="preserve">some </w:t>
      </w:r>
      <w:r w:rsidR="009B6034">
        <w:t xml:space="preserve">light on Hume’s theoretical framework, both explicit (his rules by which to judge of causes and effects) and implicit (the theoretical virtues). In using these frameworks to rule out </w:t>
      </w:r>
      <w:r w:rsidR="005D0CBD">
        <w:t xml:space="preserve">rationalist theories of motivation, it becomes apparent </w:t>
      </w:r>
      <w:r w:rsidR="00D34550">
        <w:t xml:space="preserve">just how important simplicity is to Hume, and how restrictive his fourth rule by which to judge of causes and </w:t>
      </w:r>
      <w:r w:rsidR="00D34550">
        <w:lastRenderedPageBreak/>
        <w:t>effects really is.</w:t>
      </w:r>
      <w:r w:rsidR="00AC41F4">
        <w:rPr>
          <w:rStyle w:val="FootnoteReference"/>
        </w:rPr>
        <w:footnoteReference w:id="39"/>
      </w:r>
      <w:r w:rsidR="00D34550">
        <w:t xml:space="preserve"> Further work could be done on how exactly these theoretical frameworks (particularly his emphasis on simplicity and the fourth rule) may be wielded to dismiss other hypotheses Hume objects to. </w:t>
      </w:r>
      <w:r w:rsidR="00BB0A86">
        <w:t>For instance</w:t>
      </w:r>
      <w:r w:rsidR="00D34550">
        <w:t xml:space="preserve">, it might prove interesting to investigate </w:t>
      </w:r>
      <w:r w:rsidR="00561AA2">
        <w:t>to what extent</w:t>
      </w:r>
      <w:r w:rsidR="00D34550">
        <w:t xml:space="preserve"> these frameworks might prove useful in illuminating his dismissal of </w:t>
      </w:r>
      <w:r w:rsidR="00561AA2">
        <w:t>the Design Argument for God’s existence</w:t>
      </w:r>
      <w:r w:rsidR="00D34550">
        <w:t xml:space="preserve"> (Section 1</w:t>
      </w:r>
      <w:r w:rsidR="00561AA2">
        <w:t>1</w:t>
      </w:r>
      <w:r w:rsidR="00D34550">
        <w:t xml:space="preserve"> of the </w:t>
      </w:r>
      <w:r w:rsidR="00D34550">
        <w:rPr>
          <w:i/>
        </w:rPr>
        <w:t>Enquiry</w:t>
      </w:r>
      <w:r w:rsidR="00561AA2">
        <w:t xml:space="preserve"> and the </w:t>
      </w:r>
      <w:r w:rsidR="00561AA2">
        <w:rPr>
          <w:i/>
        </w:rPr>
        <w:t>Dialogues</w:t>
      </w:r>
      <w:r w:rsidR="00D34550">
        <w:t>)</w:t>
      </w:r>
      <w:r w:rsidR="00BB0A86">
        <w:t>.</w:t>
      </w:r>
    </w:p>
    <w:p w:rsidR="002534FF" w:rsidRDefault="00D34550" w:rsidP="00D34550">
      <w:pPr>
        <w:spacing w:before="200" w:after="200" w:line="480" w:lineRule="auto"/>
        <w:ind w:firstLine="720"/>
        <w:jc w:val="both"/>
      </w:pPr>
      <w:r>
        <w:t>From a contemporary perspective, I have hoped to have gone a small way in showing that b</w:t>
      </w:r>
      <w:r w:rsidR="008444EB">
        <w:t xml:space="preserve">y appealing to the simplicity of </w:t>
      </w:r>
      <w:r>
        <w:t>conativism</w:t>
      </w:r>
      <w:r w:rsidR="008444EB">
        <w:t>, as well as</w:t>
      </w:r>
      <w:r w:rsidR="00AB5927">
        <w:t xml:space="preserve"> using its framework to</w:t>
      </w:r>
      <w:r w:rsidR="008444EB">
        <w:t xml:space="preserve"> provid</w:t>
      </w:r>
      <w:r w:rsidR="00AB5927">
        <w:t>e</w:t>
      </w:r>
      <w:r w:rsidR="008444EB">
        <w:t xml:space="preserve"> plausible explanation</w:t>
      </w:r>
      <w:r w:rsidR="00AB5927">
        <w:t>s</w:t>
      </w:r>
      <w:r w:rsidR="008444EB">
        <w:t xml:space="preserve"> for apparently problematic phenomena, conativism can reasonably be defended not just as a conceptual teleological thesis (e.g. Smith 1994), but as </w:t>
      </w:r>
      <w:r w:rsidR="003317E7">
        <w:t>an</w:t>
      </w:r>
      <w:r w:rsidR="008444EB">
        <w:t xml:space="preserve"> empirical causal thesis. Sinhababu (</w:t>
      </w:r>
      <w:r w:rsidR="005D0CBD">
        <w:t>forthcoming</w:t>
      </w:r>
      <w:r w:rsidR="008444EB">
        <w:t>) carefully does much of this</w:t>
      </w:r>
      <w:r w:rsidR="001477FD">
        <w:t xml:space="preserve"> careful</w:t>
      </w:r>
      <w:r w:rsidR="008444EB">
        <w:t xml:space="preserve"> legwork, defending a </w:t>
      </w:r>
      <w:r w:rsidR="00A768B9">
        <w:t xml:space="preserve">modern </w:t>
      </w:r>
      <w:r w:rsidR="008444EB">
        <w:t xml:space="preserve">conativist </w:t>
      </w:r>
      <w:r w:rsidR="00A768B9">
        <w:t>account</w:t>
      </w:r>
      <w:r w:rsidR="00F47D3F">
        <w:t xml:space="preserve"> (construed as a psychological thesis)</w:t>
      </w:r>
      <w:r w:rsidR="008444EB">
        <w:t xml:space="preserve"> from attack</w:t>
      </w:r>
      <w:r w:rsidR="001477FD">
        <w:t>, in part by appealing to theoretical considerations not dissimilar to the ones discussed in this paper, and in part</w:t>
      </w:r>
      <w:r w:rsidR="008444EB">
        <w:t xml:space="preserve"> by using its framework to explain an extremely wide range of human phenomena such as </w:t>
      </w:r>
      <w:r w:rsidR="008444EB">
        <w:rPr>
          <w:i/>
        </w:rPr>
        <w:t>akrasia</w:t>
      </w:r>
      <w:r w:rsidR="008444EB">
        <w:t xml:space="preserve">, willpower, and Gendler’s ‘aliefs’ (2008). Sinhababu sees his account to be </w:t>
      </w:r>
      <w:r>
        <w:t xml:space="preserve">strongly </w:t>
      </w:r>
      <w:r w:rsidR="008444EB">
        <w:t xml:space="preserve">inspired by Hume; I hope to have shown that he is right to read Hume in this light, and that Hume in turn was right </w:t>
      </w:r>
      <w:r w:rsidR="00F47D3F">
        <w:t>in offering</w:t>
      </w:r>
      <w:r w:rsidR="008444EB">
        <w:t xml:space="preserve"> </w:t>
      </w:r>
      <w:r w:rsidR="00F47D3F">
        <w:t>his</w:t>
      </w:r>
      <w:r w:rsidR="008444EB">
        <w:t xml:space="preserve"> </w:t>
      </w:r>
      <w:r w:rsidR="00F47D3F">
        <w:t xml:space="preserve">original </w:t>
      </w:r>
      <w:r w:rsidR="008444EB">
        <w:t>account in the first place.</w:t>
      </w:r>
      <w:r w:rsidR="00561AA2">
        <w:rPr>
          <w:rStyle w:val="FootnoteReference"/>
        </w:rPr>
        <w:footnoteReference w:id="40"/>
      </w:r>
      <w:r w:rsidR="008444EB">
        <w:t xml:space="preserve"> </w:t>
      </w:r>
      <w:r w:rsidR="00924FF1" w:rsidRPr="00BC4376">
        <w:t xml:space="preserve"> </w:t>
      </w:r>
    </w:p>
    <w:p w:rsidR="00612F63" w:rsidRPr="00724BD2" w:rsidRDefault="00612F63" w:rsidP="00612F63">
      <w:pPr>
        <w:spacing w:before="200" w:after="200" w:line="480" w:lineRule="auto"/>
        <w:jc w:val="center"/>
      </w:pPr>
      <w:r>
        <w:t>__________________________________________________</w:t>
      </w:r>
    </w:p>
    <w:p w:rsidR="00FA594E" w:rsidRPr="008F21CF" w:rsidRDefault="006755CB" w:rsidP="00225806">
      <w:pPr>
        <w:pStyle w:val="Heading2"/>
        <w:spacing w:before="360" w:after="0"/>
      </w:pPr>
      <w:r>
        <w:softHyphen/>
      </w:r>
      <w:r>
        <w:softHyphen/>
      </w:r>
      <w:r>
        <w:softHyphen/>
      </w:r>
      <w:r>
        <w:softHyphen/>
      </w:r>
      <w:r>
        <w:softHyphen/>
      </w:r>
      <w:r>
        <w:softHyphen/>
      </w:r>
      <w:r>
        <w:softHyphen/>
      </w:r>
      <w:r>
        <w:softHyphen/>
      </w:r>
      <w:r w:rsidR="00E66C2D">
        <w:softHyphen/>
      </w:r>
      <w:r w:rsidR="00E66C2D">
        <w:softHyphen/>
      </w:r>
      <w:r w:rsidR="00290BB3">
        <w:t>Referen</w:t>
      </w:r>
      <w:r w:rsidR="00FA594E" w:rsidRPr="008F21CF">
        <w:t>ces</w:t>
      </w:r>
    </w:p>
    <w:p w:rsidR="00917FE7" w:rsidRPr="00225806" w:rsidRDefault="00667C33" w:rsidP="003C6530">
      <w:pPr>
        <w:spacing w:before="0" w:line="480" w:lineRule="auto"/>
        <w:jc w:val="both"/>
        <w:rPr>
          <w:sz w:val="22"/>
        </w:rPr>
      </w:pPr>
      <w:r w:rsidRPr="00225806">
        <w:rPr>
          <w:sz w:val="22"/>
        </w:rPr>
        <w:t>Baillie, James,</w:t>
      </w:r>
      <w:r w:rsidR="00917FE7" w:rsidRPr="00225806">
        <w:rPr>
          <w:sz w:val="22"/>
        </w:rPr>
        <w:t xml:space="preserve"> 2000. </w:t>
      </w:r>
      <w:r w:rsidR="00917FE7" w:rsidRPr="00225806">
        <w:rPr>
          <w:i/>
          <w:sz w:val="22"/>
        </w:rPr>
        <w:t>Hume on Morality</w:t>
      </w:r>
      <w:r w:rsidR="00917FE7" w:rsidRPr="00225806">
        <w:rPr>
          <w:sz w:val="22"/>
        </w:rPr>
        <w:t>, Routledge.</w:t>
      </w:r>
    </w:p>
    <w:p w:rsidR="00236C31" w:rsidRPr="00236C31" w:rsidRDefault="00236C31" w:rsidP="00236C31">
      <w:pPr>
        <w:spacing w:before="0" w:line="480" w:lineRule="auto"/>
        <w:ind w:left="709" w:hanging="709"/>
        <w:jc w:val="both"/>
        <w:rPr>
          <w:sz w:val="22"/>
          <w:lang w:val="en-SG"/>
        </w:rPr>
      </w:pPr>
      <w:r>
        <w:rPr>
          <w:sz w:val="22"/>
        </w:rPr>
        <w:lastRenderedPageBreak/>
        <w:t xml:space="preserve">Boehm, Miren, 2013. “Hume’s Foundational Project in the </w:t>
      </w:r>
      <w:r>
        <w:rPr>
          <w:i/>
          <w:sz w:val="22"/>
        </w:rPr>
        <w:t>Treatise</w:t>
      </w:r>
      <w:r>
        <w:rPr>
          <w:sz w:val="22"/>
        </w:rPr>
        <w:t xml:space="preserve">’, </w:t>
      </w:r>
      <w:r>
        <w:rPr>
          <w:i/>
          <w:sz w:val="22"/>
        </w:rPr>
        <w:t>European Journal of Philosophy</w:t>
      </w:r>
      <w:r>
        <w:rPr>
          <w:sz w:val="22"/>
        </w:rPr>
        <w:t xml:space="preserve"> (Early View).</w:t>
      </w:r>
      <w:r w:rsidRPr="00236C31">
        <w:rPr>
          <w:rFonts w:ascii="Arial" w:eastAsia="Times New Roman" w:hAnsi="Arial" w:cs="Arial"/>
          <w:color w:val="000000"/>
          <w:sz w:val="18"/>
          <w:szCs w:val="18"/>
          <w:lang w:val="en-SG" w:eastAsia="en-SG"/>
        </w:rPr>
        <w:t xml:space="preserve"> </w:t>
      </w:r>
      <w:r w:rsidRPr="00236C31">
        <w:rPr>
          <w:sz w:val="22"/>
          <w:lang w:val="en-SG"/>
        </w:rPr>
        <w:t>doi: 10.1111/ejop.12056</w:t>
      </w:r>
      <w:r w:rsidR="007577A7">
        <w:rPr>
          <w:sz w:val="22"/>
          <w:lang w:val="en-SG"/>
        </w:rPr>
        <w:t>.</w:t>
      </w:r>
    </w:p>
    <w:p w:rsidR="00236C31" w:rsidRPr="00236C31" w:rsidRDefault="00236C31" w:rsidP="00236C31">
      <w:pPr>
        <w:spacing w:before="0" w:line="480" w:lineRule="auto"/>
        <w:ind w:left="709" w:hanging="709"/>
        <w:jc w:val="both"/>
        <w:rPr>
          <w:vanish/>
          <w:sz w:val="22"/>
          <w:lang w:val="en-SG"/>
        </w:rPr>
      </w:pPr>
      <w:r w:rsidRPr="00236C31">
        <w:rPr>
          <w:vanish/>
          <w:sz w:val="22"/>
          <w:lang w:val="en-SG"/>
        </w:rPr>
        <w:t>Top of Form</w:t>
      </w:r>
    </w:p>
    <w:p w:rsidR="00CD519B" w:rsidRPr="00225806" w:rsidRDefault="00667C33" w:rsidP="003C6530">
      <w:pPr>
        <w:spacing w:before="0" w:line="480" w:lineRule="auto"/>
        <w:ind w:left="709" w:hanging="709"/>
        <w:jc w:val="both"/>
        <w:rPr>
          <w:sz w:val="22"/>
        </w:rPr>
      </w:pPr>
      <w:r w:rsidRPr="00225806">
        <w:rPr>
          <w:sz w:val="22"/>
        </w:rPr>
        <w:t>Bricke, John,</w:t>
      </w:r>
      <w:r w:rsidR="00CD519B" w:rsidRPr="00225806">
        <w:rPr>
          <w:sz w:val="22"/>
        </w:rPr>
        <w:t xml:space="preserve"> 1996. </w:t>
      </w:r>
      <w:r w:rsidR="00CD519B" w:rsidRPr="00225806">
        <w:rPr>
          <w:i/>
          <w:sz w:val="22"/>
        </w:rPr>
        <w:t>Mind and Morality: An Examination of Hume’s Moral Psychology</w:t>
      </w:r>
      <w:r w:rsidR="00CD519B" w:rsidRPr="00225806">
        <w:rPr>
          <w:sz w:val="22"/>
        </w:rPr>
        <w:t xml:space="preserve">, </w:t>
      </w:r>
      <w:r w:rsidR="002332D7" w:rsidRPr="00225806">
        <w:rPr>
          <w:sz w:val="22"/>
        </w:rPr>
        <w:t>OUP</w:t>
      </w:r>
      <w:r w:rsidR="00CD519B" w:rsidRPr="00225806">
        <w:rPr>
          <w:sz w:val="22"/>
        </w:rPr>
        <w:t>.</w:t>
      </w:r>
    </w:p>
    <w:p w:rsidR="00BE37F9" w:rsidRDefault="00667C33" w:rsidP="003C6530">
      <w:pPr>
        <w:spacing w:before="0" w:line="480" w:lineRule="auto"/>
        <w:ind w:left="709" w:hanging="709"/>
        <w:jc w:val="both"/>
        <w:rPr>
          <w:sz w:val="22"/>
        </w:rPr>
      </w:pPr>
      <w:r w:rsidRPr="00225806">
        <w:rPr>
          <w:sz w:val="22"/>
        </w:rPr>
        <w:t>Cohon, Rachel,</w:t>
      </w:r>
      <w:r w:rsidR="00BE37F9" w:rsidRPr="00225806">
        <w:rPr>
          <w:sz w:val="22"/>
        </w:rPr>
        <w:t xml:space="preserve"> 2008. </w:t>
      </w:r>
      <w:r w:rsidR="00BE37F9" w:rsidRPr="00225806">
        <w:rPr>
          <w:i/>
          <w:sz w:val="22"/>
        </w:rPr>
        <w:t>Hume’s Morality: Feeling and Fabrication</w:t>
      </w:r>
      <w:r w:rsidR="00BE37F9" w:rsidRPr="00225806">
        <w:rPr>
          <w:sz w:val="22"/>
        </w:rPr>
        <w:t xml:space="preserve">, </w:t>
      </w:r>
      <w:r w:rsidR="002332D7" w:rsidRPr="00225806">
        <w:rPr>
          <w:sz w:val="22"/>
        </w:rPr>
        <w:t>OUP</w:t>
      </w:r>
      <w:r w:rsidR="00BE37F9" w:rsidRPr="00225806">
        <w:rPr>
          <w:sz w:val="22"/>
        </w:rPr>
        <w:t>.</w:t>
      </w:r>
    </w:p>
    <w:p w:rsidR="00E23267" w:rsidRPr="00E23267" w:rsidRDefault="00E23267" w:rsidP="003C6530">
      <w:pPr>
        <w:spacing w:before="0" w:line="480" w:lineRule="auto"/>
        <w:ind w:left="709" w:hanging="709"/>
        <w:jc w:val="both"/>
        <w:rPr>
          <w:sz w:val="22"/>
        </w:rPr>
      </w:pPr>
      <w:r>
        <w:rPr>
          <w:sz w:val="22"/>
        </w:rPr>
        <w:t xml:space="preserve">Demeter, Tamás, 2012. “Hume’s Experimental Method”, </w:t>
      </w:r>
      <w:r>
        <w:rPr>
          <w:i/>
          <w:sz w:val="22"/>
        </w:rPr>
        <w:t>British Journal for the History of Philosophy</w:t>
      </w:r>
      <w:r>
        <w:rPr>
          <w:sz w:val="22"/>
        </w:rPr>
        <w:t xml:space="preserve"> 20:3.</w:t>
      </w:r>
    </w:p>
    <w:p w:rsidR="00532D02" w:rsidRPr="00225806" w:rsidRDefault="00532D02" w:rsidP="003C6530">
      <w:pPr>
        <w:spacing w:before="0" w:line="480" w:lineRule="auto"/>
        <w:ind w:left="709" w:hanging="709"/>
        <w:jc w:val="both"/>
        <w:rPr>
          <w:sz w:val="22"/>
        </w:rPr>
      </w:pPr>
      <w:r>
        <w:rPr>
          <w:sz w:val="22"/>
        </w:rPr>
        <w:t xml:space="preserve">Eells, Ellery, 1991. </w:t>
      </w:r>
      <w:r w:rsidRPr="00532D02">
        <w:rPr>
          <w:i/>
          <w:iCs/>
          <w:sz w:val="22"/>
        </w:rPr>
        <w:t>Probabilistic Causality</w:t>
      </w:r>
      <w:r w:rsidRPr="00532D02">
        <w:rPr>
          <w:sz w:val="22"/>
        </w:rPr>
        <w:t>, Cambridge, U.K.: Cambridge University Press.</w:t>
      </w:r>
    </w:p>
    <w:p w:rsidR="00AB5927" w:rsidRPr="00AB5927" w:rsidRDefault="00AB5927" w:rsidP="003C6530">
      <w:pPr>
        <w:spacing w:before="0" w:line="480" w:lineRule="auto"/>
        <w:ind w:left="567" w:hanging="567"/>
        <w:jc w:val="both"/>
        <w:rPr>
          <w:sz w:val="22"/>
        </w:rPr>
      </w:pPr>
      <w:r>
        <w:rPr>
          <w:sz w:val="22"/>
        </w:rPr>
        <w:t xml:space="preserve">Gendler, Tamar Szabó, 2008. Alief and Belief. </w:t>
      </w:r>
      <w:r>
        <w:rPr>
          <w:i/>
          <w:sz w:val="22"/>
        </w:rPr>
        <w:t>Journal of Philosophy</w:t>
      </w:r>
      <w:r>
        <w:rPr>
          <w:sz w:val="22"/>
        </w:rPr>
        <w:t xml:space="preserve"> 105 (10): 634-663.</w:t>
      </w:r>
    </w:p>
    <w:p w:rsidR="00A509E9" w:rsidRPr="00225806" w:rsidRDefault="00A509E9" w:rsidP="003C6530">
      <w:pPr>
        <w:spacing w:before="0" w:line="480" w:lineRule="auto"/>
        <w:ind w:left="567" w:hanging="567"/>
        <w:jc w:val="both"/>
        <w:rPr>
          <w:rStyle w:val="pubinfo"/>
          <w:sz w:val="22"/>
        </w:rPr>
      </w:pPr>
      <w:r w:rsidRPr="00225806">
        <w:rPr>
          <w:sz w:val="22"/>
        </w:rPr>
        <w:t>G</w:t>
      </w:r>
      <w:r w:rsidR="00667C33" w:rsidRPr="00225806">
        <w:rPr>
          <w:sz w:val="22"/>
        </w:rPr>
        <w:t>oodman, Nelson,</w:t>
      </w:r>
      <w:r w:rsidRPr="00225806">
        <w:rPr>
          <w:sz w:val="22"/>
        </w:rPr>
        <w:t xml:space="preserve"> 1961. “Safety, Strength, Simplicity”, </w:t>
      </w:r>
      <w:r w:rsidRPr="00225806">
        <w:rPr>
          <w:rStyle w:val="Emphasis"/>
          <w:sz w:val="22"/>
        </w:rPr>
        <w:t>Philosophy of Science</w:t>
      </w:r>
      <w:r w:rsidRPr="00225806">
        <w:rPr>
          <w:rStyle w:val="pubinfo"/>
          <w:sz w:val="22"/>
        </w:rPr>
        <w:t xml:space="preserve"> 28 (2):150-151.</w:t>
      </w:r>
    </w:p>
    <w:p w:rsidR="00980D51" w:rsidRDefault="00667C33" w:rsidP="003C6530">
      <w:pPr>
        <w:spacing w:before="0" w:line="480" w:lineRule="auto"/>
        <w:ind w:left="567" w:hanging="567"/>
        <w:jc w:val="both"/>
        <w:rPr>
          <w:rStyle w:val="reference-text"/>
          <w:sz w:val="22"/>
        </w:rPr>
      </w:pPr>
      <w:r w:rsidRPr="00225806">
        <w:rPr>
          <w:rStyle w:val="reference-text"/>
          <w:sz w:val="22"/>
        </w:rPr>
        <w:t>Goodman, Nelson,</w:t>
      </w:r>
      <w:r w:rsidR="00980D51" w:rsidRPr="00225806">
        <w:rPr>
          <w:rStyle w:val="reference-text"/>
          <w:sz w:val="22"/>
        </w:rPr>
        <w:t xml:space="preserve"> 1965. </w:t>
      </w:r>
      <w:r w:rsidR="00980D51" w:rsidRPr="00225806">
        <w:rPr>
          <w:rStyle w:val="reference-text"/>
          <w:i/>
          <w:iCs/>
          <w:sz w:val="22"/>
        </w:rPr>
        <w:t>Fact, Fiction, and Forecast</w:t>
      </w:r>
      <w:r w:rsidR="00980D51" w:rsidRPr="00225806">
        <w:rPr>
          <w:rStyle w:val="reference-text"/>
          <w:sz w:val="22"/>
        </w:rPr>
        <w:t xml:space="preserve">, </w:t>
      </w:r>
      <w:r w:rsidR="00980D51" w:rsidRPr="00225806">
        <w:rPr>
          <w:sz w:val="22"/>
        </w:rPr>
        <w:t>Bobbs-Merrill</w:t>
      </w:r>
      <w:r w:rsidR="00980D51" w:rsidRPr="00225806">
        <w:rPr>
          <w:rStyle w:val="reference-text"/>
          <w:sz w:val="22"/>
        </w:rPr>
        <w:t>.</w:t>
      </w:r>
    </w:p>
    <w:p w:rsidR="00DE0A52" w:rsidRDefault="00DE0A52" w:rsidP="003C6530">
      <w:pPr>
        <w:spacing w:before="0" w:line="480" w:lineRule="auto"/>
        <w:ind w:left="567" w:hanging="567"/>
        <w:jc w:val="both"/>
        <w:rPr>
          <w:rStyle w:val="reference-text"/>
          <w:sz w:val="22"/>
        </w:rPr>
      </w:pPr>
      <w:r>
        <w:rPr>
          <w:rStyle w:val="reference-text"/>
          <w:sz w:val="22"/>
        </w:rPr>
        <w:t xml:space="preserve">Hazony, Yoram, 2014. “Newton’s Explanatory Reduction and Hume’s System of the Sciences”, in Biener, Z., and Schliesser, E. (eds.), </w:t>
      </w:r>
      <w:r>
        <w:rPr>
          <w:rStyle w:val="reference-text"/>
          <w:i/>
          <w:sz w:val="22"/>
        </w:rPr>
        <w:t>Newton and Empiricism</w:t>
      </w:r>
      <w:r>
        <w:rPr>
          <w:rStyle w:val="reference-text"/>
          <w:sz w:val="22"/>
        </w:rPr>
        <w:t>, Oxford University Press.</w:t>
      </w:r>
    </w:p>
    <w:p w:rsidR="00AC41F4" w:rsidRPr="00AC41F4" w:rsidRDefault="00AC41F4" w:rsidP="003C6530">
      <w:pPr>
        <w:spacing w:before="0" w:line="480" w:lineRule="auto"/>
        <w:ind w:left="567" w:hanging="567"/>
        <w:jc w:val="both"/>
        <w:rPr>
          <w:sz w:val="22"/>
        </w:rPr>
      </w:pPr>
      <w:r>
        <w:rPr>
          <w:rStyle w:val="reference-text"/>
          <w:sz w:val="22"/>
        </w:rPr>
        <w:t xml:space="preserve">Hazony, Yoram, and Schliesser, Eric, Forthcoming. “Newton and Hume”, in Russell, P. (ed.), </w:t>
      </w:r>
      <w:r>
        <w:rPr>
          <w:rStyle w:val="reference-text"/>
          <w:i/>
          <w:sz w:val="22"/>
        </w:rPr>
        <w:t>The Oxford Handbook of Hume</w:t>
      </w:r>
      <w:r>
        <w:rPr>
          <w:rStyle w:val="reference-text"/>
          <w:sz w:val="22"/>
        </w:rPr>
        <w:t>, Oxford University Press.</w:t>
      </w:r>
    </w:p>
    <w:p w:rsidR="001D357D" w:rsidRPr="00225806" w:rsidRDefault="00667C33" w:rsidP="003C6530">
      <w:pPr>
        <w:spacing w:before="0" w:line="480" w:lineRule="auto"/>
        <w:ind w:left="709" w:hanging="709"/>
        <w:jc w:val="both"/>
        <w:rPr>
          <w:sz w:val="22"/>
        </w:rPr>
      </w:pPr>
      <w:r w:rsidRPr="00225806">
        <w:rPr>
          <w:sz w:val="22"/>
        </w:rPr>
        <w:t>Hume, David, 1739-1740.</w:t>
      </w:r>
      <w:r w:rsidR="001D357D" w:rsidRPr="00225806">
        <w:rPr>
          <w:sz w:val="22"/>
        </w:rPr>
        <w:t xml:space="preserve"> </w:t>
      </w:r>
      <w:r w:rsidR="001D357D" w:rsidRPr="00225806">
        <w:rPr>
          <w:rStyle w:val="Emphasis"/>
          <w:sz w:val="22"/>
        </w:rPr>
        <w:t>A Treatise of Human Nature</w:t>
      </w:r>
      <w:r w:rsidR="001D357D" w:rsidRPr="00225806">
        <w:rPr>
          <w:sz w:val="22"/>
        </w:rPr>
        <w:t>, edited by L. A. Selby-Bigge, 2nd ed. revised by P.H. Nidditch, Oxford</w:t>
      </w:r>
      <w:r w:rsidR="002332D7" w:rsidRPr="00225806">
        <w:rPr>
          <w:sz w:val="22"/>
        </w:rPr>
        <w:t xml:space="preserve"> </w:t>
      </w:r>
      <w:r w:rsidR="001D357D" w:rsidRPr="00225806">
        <w:rPr>
          <w:sz w:val="22"/>
        </w:rPr>
        <w:t>1975.</w:t>
      </w:r>
    </w:p>
    <w:p w:rsidR="001D357D" w:rsidRPr="00B26C95" w:rsidRDefault="00B26C95" w:rsidP="00B26C95">
      <w:pPr>
        <w:spacing w:before="0" w:line="480" w:lineRule="auto"/>
        <w:ind w:left="720" w:hanging="720"/>
        <w:jc w:val="both"/>
        <w:rPr>
          <w:sz w:val="22"/>
        </w:rPr>
      </w:pPr>
      <w:r>
        <w:rPr>
          <w:sz w:val="22"/>
        </w:rPr>
        <w:t xml:space="preserve">Hume, David, </w:t>
      </w:r>
      <w:r w:rsidR="00667C33" w:rsidRPr="00B26C95">
        <w:rPr>
          <w:sz w:val="22"/>
        </w:rPr>
        <w:t>1748.</w:t>
      </w:r>
      <w:r w:rsidR="001D357D" w:rsidRPr="00B26C95">
        <w:rPr>
          <w:sz w:val="22"/>
        </w:rPr>
        <w:t xml:space="preserve"> </w:t>
      </w:r>
      <w:r w:rsidR="001D357D" w:rsidRPr="00B26C95">
        <w:rPr>
          <w:rStyle w:val="Emphasis"/>
          <w:sz w:val="22"/>
        </w:rPr>
        <w:t>Enquiries concerning Human Understanding a</w:t>
      </w:r>
      <w:r w:rsidR="00667C33" w:rsidRPr="00B26C95">
        <w:rPr>
          <w:rStyle w:val="Emphasis"/>
          <w:sz w:val="22"/>
        </w:rPr>
        <w:t xml:space="preserve">nd concerning the Principles of </w:t>
      </w:r>
      <w:r w:rsidR="001D357D" w:rsidRPr="00B26C95">
        <w:rPr>
          <w:rStyle w:val="Emphasis"/>
          <w:sz w:val="22"/>
        </w:rPr>
        <w:t>Morals</w:t>
      </w:r>
      <w:r w:rsidR="001D357D" w:rsidRPr="00B26C95">
        <w:rPr>
          <w:sz w:val="22"/>
        </w:rPr>
        <w:t>, edited by L. A. Selby-Bigge, 3rd edition re</w:t>
      </w:r>
      <w:r w:rsidR="002332D7" w:rsidRPr="00B26C95">
        <w:rPr>
          <w:sz w:val="22"/>
        </w:rPr>
        <w:t>vised by P. H. Nidditch, Oxford</w:t>
      </w:r>
      <w:r w:rsidR="001D357D" w:rsidRPr="00B26C95">
        <w:rPr>
          <w:sz w:val="22"/>
        </w:rPr>
        <w:t xml:space="preserve"> 1975. </w:t>
      </w:r>
    </w:p>
    <w:p w:rsidR="00917FE7" w:rsidRPr="00B26C95" w:rsidRDefault="00B26C95" w:rsidP="00B26C95">
      <w:pPr>
        <w:spacing w:before="0" w:line="480" w:lineRule="auto"/>
        <w:ind w:left="720" w:hanging="720"/>
        <w:jc w:val="both"/>
        <w:rPr>
          <w:sz w:val="22"/>
        </w:rPr>
      </w:pPr>
      <w:r>
        <w:rPr>
          <w:sz w:val="22"/>
        </w:rPr>
        <w:t xml:space="preserve">Hume, David, </w:t>
      </w:r>
      <w:r w:rsidR="00917FE7" w:rsidRPr="00B26C95">
        <w:rPr>
          <w:sz w:val="22"/>
        </w:rPr>
        <w:t xml:space="preserve">1777. </w:t>
      </w:r>
      <w:r w:rsidR="00917FE7" w:rsidRPr="00B26C95">
        <w:rPr>
          <w:i/>
          <w:sz w:val="22"/>
        </w:rPr>
        <w:t>Essays Moral, Political and Literary</w:t>
      </w:r>
      <w:r w:rsidR="00917FE7" w:rsidRPr="00B26C95">
        <w:rPr>
          <w:sz w:val="22"/>
        </w:rPr>
        <w:t>, rev</w:t>
      </w:r>
      <w:r w:rsidR="00225806" w:rsidRPr="00B26C95">
        <w:rPr>
          <w:sz w:val="22"/>
        </w:rPr>
        <w:t>.</w:t>
      </w:r>
      <w:r w:rsidR="00917FE7" w:rsidRPr="00B26C95">
        <w:rPr>
          <w:sz w:val="22"/>
        </w:rPr>
        <w:t xml:space="preserve"> edition edited by E. Miller, Liberty Fund Inc., 1985.</w:t>
      </w:r>
    </w:p>
    <w:p w:rsidR="00C24842" w:rsidRPr="00B26C95" w:rsidRDefault="00B26C95" w:rsidP="00B26C95">
      <w:pPr>
        <w:spacing w:before="0" w:line="480" w:lineRule="auto"/>
        <w:ind w:left="720" w:hanging="720"/>
        <w:jc w:val="both"/>
        <w:rPr>
          <w:sz w:val="22"/>
        </w:rPr>
      </w:pPr>
      <w:r>
        <w:rPr>
          <w:sz w:val="22"/>
        </w:rPr>
        <w:t xml:space="preserve">Hume, David, </w:t>
      </w:r>
      <w:r w:rsidR="001D357D" w:rsidRPr="00B26C95">
        <w:rPr>
          <w:sz w:val="22"/>
        </w:rPr>
        <w:t>177</w:t>
      </w:r>
      <w:r w:rsidR="00917FE7" w:rsidRPr="00B26C95">
        <w:rPr>
          <w:sz w:val="22"/>
        </w:rPr>
        <w:t>9</w:t>
      </w:r>
      <w:r w:rsidR="001D357D" w:rsidRPr="00B26C95">
        <w:rPr>
          <w:sz w:val="22"/>
        </w:rPr>
        <w:t xml:space="preserve">. </w:t>
      </w:r>
      <w:r w:rsidR="00F973E3" w:rsidRPr="00B26C95">
        <w:rPr>
          <w:i/>
          <w:sz w:val="22"/>
        </w:rPr>
        <w:t>Dialogues Concerning Natural Religion</w:t>
      </w:r>
      <w:r w:rsidR="00F973E3" w:rsidRPr="00B26C95">
        <w:rPr>
          <w:sz w:val="22"/>
        </w:rPr>
        <w:t>, edited by N. Kemp Smith, Bobbs-Merill Educational Publishing, 1947.</w:t>
      </w:r>
      <w:r w:rsidR="00C24842" w:rsidRPr="00B26C95">
        <w:rPr>
          <w:sz w:val="22"/>
        </w:rPr>
        <w:t xml:space="preserve"> </w:t>
      </w:r>
    </w:p>
    <w:p w:rsidR="00A75270" w:rsidRPr="00B26C95" w:rsidRDefault="00B26C95" w:rsidP="00B26C95">
      <w:pPr>
        <w:spacing w:before="0" w:line="480" w:lineRule="auto"/>
        <w:ind w:left="720" w:hanging="720"/>
        <w:jc w:val="both"/>
        <w:rPr>
          <w:sz w:val="22"/>
        </w:rPr>
      </w:pPr>
      <w:r>
        <w:rPr>
          <w:sz w:val="22"/>
        </w:rPr>
        <w:t xml:space="preserve">Hume, David. </w:t>
      </w:r>
      <w:r w:rsidR="00A75270" w:rsidRPr="00B26C95">
        <w:rPr>
          <w:i/>
          <w:sz w:val="22"/>
        </w:rPr>
        <w:t>The Letters of David Hume</w:t>
      </w:r>
      <w:r w:rsidR="00A75270" w:rsidRPr="00B26C95">
        <w:rPr>
          <w:sz w:val="22"/>
        </w:rPr>
        <w:t xml:space="preserve">, edited by J.Y.T Greig, </w:t>
      </w:r>
      <w:r w:rsidR="002332D7" w:rsidRPr="00B26C95">
        <w:rPr>
          <w:sz w:val="22"/>
        </w:rPr>
        <w:t>OUP</w:t>
      </w:r>
      <w:r w:rsidR="00A75270" w:rsidRPr="00B26C95">
        <w:rPr>
          <w:sz w:val="22"/>
        </w:rPr>
        <w:t xml:space="preserve"> 1932.</w:t>
      </w:r>
    </w:p>
    <w:p w:rsidR="009C2F63" w:rsidRPr="009C2F63" w:rsidRDefault="009C2F63" w:rsidP="009C2F63">
      <w:pPr>
        <w:spacing w:before="0" w:line="480" w:lineRule="auto"/>
        <w:ind w:left="720" w:hanging="720"/>
        <w:jc w:val="both"/>
        <w:rPr>
          <w:sz w:val="22"/>
        </w:rPr>
      </w:pPr>
      <w:r>
        <w:rPr>
          <w:sz w:val="22"/>
        </w:rPr>
        <w:t xml:space="preserve">Immerwahr, John, 1991. “The Anatomist and the Painter: The Continuity of Hume’s </w:t>
      </w:r>
      <w:r>
        <w:rPr>
          <w:i/>
          <w:sz w:val="22"/>
        </w:rPr>
        <w:t>Treatise</w:t>
      </w:r>
      <w:r>
        <w:rPr>
          <w:sz w:val="22"/>
        </w:rPr>
        <w:t xml:space="preserve"> and </w:t>
      </w:r>
      <w:r>
        <w:rPr>
          <w:i/>
          <w:sz w:val="22"/>
        </w:rPr>
        <w:t>Essays</w:t>
      </w:r>
      <w:r>
        <w:rPr>
          <w:sz w:val="22"/>
        </w:rPr>
        <w:t xml:space="preserve">, </w:t>
      </w:r>
      <w:r>
        <w:rPr>
          <w:i/>
          <w:sz w:val="22"/>
        </w:rPr>
        <w:t>Hume Studies</w:t>
      </w:r>
      <w:r>
        <w:rPr>
          <w:sz w:val="22"/>
        </w:rPr>
        <w:t xml:space="preserve"> 17.1: 1-14.</w:t>
      </w:r>
    </w:p>
    <w:p w:rsidR="00C24842" w:rsidRPr="00225806" w:rsidRDefault="00C24842" w:rsidP="003C6530">
      <w:pPr>
        <w:spacing w:before="0" w:line="480" w:lineRule="auto"/>
        <w:ind w:left="709" w:hanging="709"/>
        <w:jc w:val="both"/>
        <w:rPr>
          <w:sz w:val="22"/>
        </w:rPr>
      </w:pPr>
      <w:r w:rsidRPr="00225806">
        <w:rPr>
          <w:sz w:val="22"/>
        </w:rPr>
        <w:t>Kant, Immanuel, 1781/1787.</w:t>
      </w:r>
      <w:r w:rsidRPr="00225806">
        <w:rPr>
          <w:rFonts w:eastAsia="Times New Roman"/>
          <w:iCs/>
          <w:smallCaps/>
          <w:sz w:val="22"/>
          <w:lang w:eastAsia="en-GB"/>
        </w:rPr>
        <w:t xml:space="preserve"> </w:t>
      </w:r>
      <w:r w:rsidRPr="00225806">
        <w:rPr>
          <w:rFonts w:eastAsia="Times New Roman"/>
          <w:i/>
          <w:iCs/>
          <w:sz w:val="22"/>
          <w:lang w:eastAsia="en-GB"/>
        </w:rPr>
        <w:t>Critique of Pure Reason</w:t>
      </w:r>
      <w:r w:rsidRPr="00225806">
        <w:rPr>
          <w:rFonts w:eastAsia="Times New Roman"/>
          <w:sz w:val="22"/>
          <w:lang w:eastAsia="en-GB"/>
        </w:rPr>
        <w:t xml:space="preserve">, translated and edited by Paul Guyer and Allen W. Wood (Cambridge: Cambridge University Press, 1997). </w:t>
      </w:r>
    </w:p>
    <w:p w:rsidR="003A5167" w:rsidRDefault="003A5167" w:rsidP="003C6530">
      <w:pPr>
        <w:spacing w:before="0" w:line="480" w:lineRule="auto"/>
        <w:ind w:left="709" w:hanging="709"/>
        <w:jc w:val="both"/>
        <w:rPr>
          <w:sz w:val="22"/>
        </w:rPr>
      </w:pPr>
      <w:r w:rsidRPr="00225806">
        <w:rPr>
          <w:sz w:val="22"/>
        </w:rPr>
        <w:t>Lewis, David</w:t>
      </w:r>
      <w:r w:rsidR="00667C33" w:rsidRPr="00225806">
        <w:rPr>
          <w:sz w:val="22"/>
        </w:rPr>
        <w:t>,</w:t>
      </w:r>
      <w:r w:rsidRPr="00225806">
        <w:rPr>
          <w:sz w:val="22"/>
        </w:rPr>
        <w:t xml:space="preserve"> 1973</w:t>
      </w:r>
      <w:r w:rsidR="00B640F8">
        <w:rPr>
          <w:sz w:val="22"/>
        </w:rPr>
        <w:t>a</w:t>
      </w:r>
      <w:r w:rsidRPr="00225806">
        <w:rPr>
          <w:sz w:val="22"/>
        </w:rPr>
        <w:t xml:space="preserve">. </w:t>
      </w:r>
      <w:r w:rsidRPr="00225806">
        <w:rPr>
          <w:rStyle w:val="Emphasis"/>
          <w:sz w:val="22"/>
        </w:rPr>
        <w:t>Counterfactuals</w:t>
      </w:r>
      <w:r w:rsidRPr="00225806">
        <w:rPr>
          <w:sz w:val="22"/>
        </w:rPr>
        <w:t>, Oxford: Basil Blackwell.</w:t>
      </w:r>
    </w:p>
    <w:p w:rsidR="00B640F8" w:rsidRDefault="00B640F8" w:rsidP="00B640F8">
      <w:pPr>
        <w:spacing w:before="0" w:line="480" w:lineRule="auto"/>
        <w:ind w:left="709" w:hanging="709"/>
        <w:jc w:val="both"/>
        <w:rPr>
          <w:sz w:val="22"/>
        </w:rPr>
      </w:pPr>
      <w:r w:rsidRPr="00B640F8">
        <w:rPr>
          <w:sz w:val="22"/>
        </w:rPr>
        <w:lastRenderedPageBreak/>
        <w:t>Lewis, David, 1973</w:t>
      </w:r>
      <w:r>
        <w:rPr>
          <w:sz w:val="22"/>
        </w:rPr>
        <w:t>b</w:t>
      </w:r>
      <w:r w:rsidRPr="00B640F8">
        <w:rPr>
          <w:sz w:val="22"/>
        </w:rPr>
        <w:t xml:space="preserve">. </w:t>
      </w:r>
      <w:r>
        <w:rPr>
          <w:iCs/>
          <w:sz w:val="22"/>
        </w:rPr>
        <w:t>“Causation”</w:t>
      </w:r>
      <w:r>
        <w:rPr>
          <w:sz w:val="22"/>
        </w:rPr>
        <w:t xml:space="preserve">, </w:t>
      </w:r>
      <w:r>
        <w:rPr>
          <w:i/>
          <w:sz w:val="22"/>
        </w:rPr>
        <w:t>Journal of Philosophy</w:t>
      </w:r>
      <w:r>
        <w:rPr>
          <w:sz w:val="22"/>
        </w:rPr>
        <w:t xml:space="preserve"> </w:t>
      </w:r>
      <w:r w:rsidR="00532D02" w:rsidRPr="00532D02">
        <w:rPr>
          <w:sz w:val="22"/>
        </w:rPr>
        <w:t>70: 556–67</w:t>
      </w:r>
      <w:r w:rsidRPr="00B640F8">
        <w:rPr>
          <w:sz w:val="22"/>
        </w:rPr>
        <w:t>.</w:t>
      </w:r>
    </w:p>
    <w:p w:rsidR="00F5480D" w:rsidRDefault="00F5480D" w:rsidP="00F5480D">
      <w:pPr>
        <w:spacing w:before="0" w:line="480" w:lineRule="auto"/>
        <w:ind w:left="709" w:hanging="709"/>
        <w:jc w:val="both"/>
        <w:rPr>
          <w:sz w:val="22"/>
        </w:rPr>
      </w:pPr>
      <w:r w:rsidRPr="00F5480D">
        <w:rPr>
          <w:sz w:val="22"/>
        </w:rPr>
        <w:t>Lewis, David,</w:t>
      </w:r>
      <w:r>
        <w:rPr>
          <w:sz w:val="22"/>
        </w:rPr>
        <w:t xml:space="preserve"> 1986</w:t>
      </w:r>
      <w:r w:rsidRPr="00F5480D">
        <w:rPr>
          <w:sz w:val="22"/>
        </w:rPr>
        <w:t xml:space="preserve">. </w:t>
      </w:r>
      <w:r>
        <w:rPr>
          <w:i/>
          <w:sz w:val="22"/>
        </w:rPr>
        <w:t>On the Plurality of Worlds</w:t>
      </w:r>
      <w:r w:rsidRPr="00F5480D">
        <w:rPr>
          <w:sz w:val="22"/>
        </w:rPr>
        <w:t>, Oxford: Blackwell</w:t>
      </w:r>
      <w:r>
        <w:rPr>
          <w:sz w:val="22"/>
        </w:rPr>
        <w:t xml:space="preserve"> Publishers</w:t>
      </w:r>
      <w:r w:rsidRPr="00F5480D">
        <w:rPr>
          <w:sz w:val="22"/>
        </w:rPr>
        <w:t>.</w:t>
      </w:r>
    </w:p>
    <w:p w:rsidR="005C5892" w:rsidRPr="00225806" w:rsidRDefault="005C5892" w:rsidP="005C5892">
      <w:pPr>
        <w:spacing w:before="0" w:line="480" w:lineRule="auto"/>
        <w:ind w:left="709" w:hanging="709"/>
        <w:jc w:val="both"/>
        <w:rPr>
          <w:sz w:val="22"/>
        </w:rPr>
      </w:pPr>
      <w:r>
        <w:rPr>
          <w:sz w:val="22"/>
        </w:rPr>
        <w:t>Loeb, Louis E., 2002.</w:t>
      </w:r>
      <w:r w:rsidRPr="005C5892">
        <w:rPr>
          <w:sz w:val="22"/>
        </w:rPr>
        <w:t xml:space="preserve"> </w:t>
      </w:r>
      <w:r w:rsidRPr="005C5892">
        <w:rPr>
          <w:i/>
          <w:iCs/>
          <w:sz w:val="22"/>
        </w:rPr>
        <w:t>Stability and Justification in Hume's</w:t>
      </w:r>
      <w:r w:rsidRPr="005C5892">
        <w:rPr>
          <w:sz w:val="22"/>
        </w:rPr>
        <w:t xml:space="preserve"> Treatise, Oxford University Press.</w:t>
      </w:r>
    </w:p>
    <w:p w:rsidR="00532D02" w:rsidRDefault="00532D02" w:rsidP="003C6530">
      <w:pPr>
        <w:spacing w:before="0" w:line="480" w:lineRule="auto"/>
        <w:jc w:val="both"/>
        <w:rPr>
          <w:sz w:val="22"/>
        </w:rPr>
      </w:pPr>
      <w:r>
        <w:rPr>
          <w:sz w:val="22"/>
        </w:rPr>
        <w:t xml:space="preserve">Mackie, J.L., 1965. </w:t>
      </w:r>
      <w:r w:rsidRPr="00532D02">
        <w:rPr>
          <w:sz w:val="22"/>
        </w:rPr>
        <w:t>“Causes and Conditions”, </w:t>
      </w:r>
      <w:r w:rsidRPr="00532D02">
        <w:rPr>
          <w:i/>
          <w:iCs/>
          <w:sz w:val="22"/>
        </w:rPr>
        <w:t>American Philosophical Quarterly</w:t>
      </w:r>
      <w:r w:rsidRPr="00532D02">
        <w:rPr>
          <w:sz w:val="22"/>
        </w:rPr>
        <w:t>, 12: 245–65.</w:t>
      </w:r>
    </w:p>
    <w:p w:rsidR="005C5892" w:rsidRDefault="005C5892" w:rsidP="005C5892">
      <w:pPr>
        <w:spacing w:before="0" w:line="480" w:lineRule="auto"/>
        <w:ind w:left="720" w:hanging="720"/>
        <w:jc w:val="both"/>
        <w:rPr>
          <w:sz w:val="22"/>
        </w:rPr>
      </w:pPr>
      <w:r w:rsidRPr="005C5892">
        <w:rPr>
          <w:sz w:val="22"/>
        </w:rPr>
        <w:t>Marusic, Jennifer S.</w:t>
      </w:r>
      <w:r w:rsidR="00460C75">
        <w:rPr>
          <w:sz w:val="22"/>
        </w:rPr>
        <w:t>, 2010.</w:t>
      </w:r>
      <w:r w:rsidRPr="005C5892">
        <w:rPr>
          <w:sz w:val="22"/>
        </w:rPr>
        <w:t xml:space="preserve"> ‘Does Hume Hold a Dispositional Account of Belief?’. </w:t>
      </w:r>
      <w:r w:rsidRPr="005C5892">
        <w:rPr>
          <w:i/>
          <w:sz w:val="22"/>
        </w:rPr>
        <w:t>Canadian Journal of Philosophy</w:t>
      </w:r>
      <w:r w:rsidRPr="005C5892">
        <w:rPr>
          <w:sz w:val="22"/>
        </w:rPr>
        <w:t xml:space="preserve"> 40:2. </w:t>
      </w:r>
    </w:p>
    <w:p w:rsidR="00F91B7B" w:rsidRPr="00F91B7B" w:rsidRDefault="00F91B7B" w:rsidP="005C5892">
      <w:pPr>
        <w:spacing w:before="0" w:line="480" w:lineRule="auto"/>
        <w:ind w:left="720" w:hanging="720"/>
        <w:jc w:val="both"/>
        <w:rPr>
          <w:sz w:val="22"/>
        </w:rPr>
      </w:pPr>
      <w:r>
        <w:rPr>
          <w:sz w:val="22"/>
        </w:rPr>
        <w:t xml:space="preserve">McMullin, E., 2008. “The Virtues of a Good Theory”, in Psillos, S., and Curd, M. (eds.), </w:t>
      </w:r>
      <w:r w:rsidRPr="00F91B7B">
        <w:rPr>
          <w:i/>
          <w:sz w:val="22"/>
        </w:rPr>
        <w:t>The Routledge Companion to Philosophy of Science</w:t>
      </w:r>
      <w:r>
        <w:rPr>
          <w:sz w:val="22"/>
        </w:rPr>
        <w:t>, Routledge.</w:t>
      </w:r>
    </w:p>
    <w:p w:rsidR="00F91B7B" w:rsidRDefault="00F91B7B" w:rsidP="003C6530">
      <w:pPr>
        <w:spacing w:before="0" w:line="480" w:lineRule="auto"/>
        <w:jc w:val="both"/>
        <w:rPr>
          <w:sz w:val="22"/>
        </w:rPr>
      </w:pPr>
      <w:r>
        <w:rPr>
          <w:sz w:val="22"/>
        </w:rPr>
        <w:t xml:space="preserve">Phillos, S., 2005. </w:t>
      </w:r>
      <w:r w:rsidRPr="00F91B7B">
        <w:rPr>
          <w:i/>
          <w:sz w:val="22"/>
        </w:rPr>
        <w:t>Scientific Realism: How Science Tracks Truth</w:t>
      </w:r>
      <w:r>
        <w:rPr>
          <w:sz w:val="22"/>
        </w:rPr>
        <w:t xml:space="preserve">, Routledge. </w:t>
      </w:r>
    </w:p>
    <w:p w:rsidR="005959AE" w:rsidRPr="005959AE" w:rsidRDefault="005959AE" w:rsidP="003C6530">
      <w:pPr>
        <w:spacing w:before="0" w:line="480" w:lineRule="auto"/>
        <w:jc w:val="both"/>
        <w:rPr>
          <w:sz w:val="22"/>
        </w:rPr>
      </w:pPr>
      <w:r>
        <w:rPr>
          <w:sz w:val="22"/>
        </w:rPr>
        <w:t>Qu, H., 2012. “The Simple Duality: Humean Passions”,</w:t>
      </w:r>
      <w:r w:rsidRPr="005959AE">
        <w:rPr>
          <w:i/>
        </w:rPr>
        <w:t xml:space="preserve"> </w:t>
      </w:r>
      <w:r w:rsidRPr="005959AE">
        <w:rPr>
          <w:i/>
          <w:sz w:val="22"/>
        </w:rPr>
        <w:t>Canadian Journal of Philosophy</w:t>
      </w:r>
      <w:r w:rsidRPr="005959AE">
        <w:rPr>
          <w:sz w:val="22"/>
        </w:rPr>
        <w:t>, 42:supp1, 92-116.</w:t>
      </w:r>
    </w:p>
    <w:p w:rsidR="005959AE" w:rsidRPr="005959AE" w:rsidRDefault="005959AE" w:rsidP="005959AE">
      <w:pPr>
        <w:spacing w:before="0" w:line="480" w:lineRule="auto"/>
        <w:ind w:left="720" w:hanging="720"/>
        <w:jc w:val="both"/>
        <w:rPr>
          <w:sz w:val="22"/>
        </w:rPr>
      </w:pPr>
      <w:r w:rsidRPr="005959AE">
        <w:rPr>
          <w:sz w:val="22"/>
        </w:rPr>
        <w:t xml:space="preserve">Qu, H., </w:t>
      </w:r>
      <w:r>
        <w:rPr>
          <w:sz w:val="22"/>
        </w:rPr>
        <w:t xml:space="preserve">2016. “Prescription, Description, and Hume’s Experimental Method”, </w:t>
      </w:r>
      <w:r>
        <w:rPr>
          <w:i/>
          <w:sz w:val="22"/>
        </w:rPr>
        <w:t>British Journal of the History of Philosophy</w:t>
      </w:r>
      <w:r>
        <w:rPr>
          <w:sz w:val="22"/>
        </w:rPr>
        <w:t>.</w:t>
      </w:r>
    </w:p>
    <w:p w:rsidR="005959AE" w:rsidRPr="005959AE" w:rsidRDefault="005959AE" w:rsidP="003C6530">
      <w:pPr>
        <w:spacing w:before="0" w:line="480" w:lineRule="auto"/>
        <w:jc w:val="both"/>
        <w:rPr>
          <w:sz w:val="22"/>
        </w:rPr>
      </w:pPr>
      <w:r w:rsidRPr="005959AE">
        <w:rPr>
          <w:sz w:val="22"/>
        </w:rPr>
        <w:t xml:space="preserve">Qu, H., </w:t>
      </w:r>
      <w:r>
        <w:rPr>
          <w:sz w:val="22"/>
        </w:rPr>
        <w:t>Forthcoming. “Hume on Mental Transparency”, Pacific Philosophical Quarterly.</w:t>
      </w:r>
    </w:p>
    <w:p w:rsidR="007549BA" w:rsidRDefault="007549BA" w:rsidP="007549BA">
      <w:pPr>
        <w:spacing w:before="0" w:line="480" w:lineRule="auto"/>
        <w:ind w:left="720" w:hanging="720"/>
        <w:jc w:val="both"/>
        <w:rPr>
          <w:sz w:val="22"/>
        </w:rPr>
      </w:pPr>
      <w:r w:rsidRPr="007549BA">
        <w:rPr>
          <w:sz w:val="22"/>
        </w:rPr>
        <w:t>Schliesser</w:t>
      </w:r>
      <w:r>
        <w:rPr>
          <w:sz w:val="22"/>
        </w:rPr>
        <w:t xml:space="preserve">, E., 2007. “Hume’s Newtonianism and Anti-Newtonianism”, </w:t>
      </w:r>
      <w:r>
        <w:rPr>
          <w:i/>
          <w:sz w:val="22"/>
        </w:rPr>
        <w:t>Stanford Encyclopedia of Philosophy</w:t>
      </w:r>
      <w:r>
        <w:rPr>
          <w:sz w:val="22"/>
        </w:rPr>
        <w:t>.</w:t>
      </w:r>
    </w:p>
    <w:p w:rsidR="00A30707" w:rsidRPr="00A30707" w:rsidRDefault="00A30707" w:rsidP="007549BA">
      <w:pPr>
        <w:spacing w:before="0" w:line="480" w:lineRule="auto"/>
        <w:ind w:left="720" w:hanging="720"/>
        <w:jc w:val="both"/>
        <w:rPr>
          <w:sz w:val="22"/>
        </w:rPr>
      </w:pPr>
      <w:r>
        <w:rPr>
          <w:sz w:val="22"/>
        </w:rPr>
        <w:t>Schliesser, E., 2010</w:t>
      </w:r>
      <w:r w:rsidRPr="00A30707">
        <w:rPr>
          <w:sz w:val="22"/>
        </w:rPr>
        <w:t>.</w:t>
      </w:r>
      <w:r w:rsidRPr="00A30707">
        <w:t xml:space="preserve"> </w:t>
      </w:r>
      <w:r>
        <w:t>“</w:t>
      </w:r>
      <w:r w:rsidRPr="00A30707">
        <w:rPr>
          <w:sz w:val="22"/>
        </w:rPr>
        <w:t xml:space="preserve">Copernican Revolutions Revisited in </w:t>
      </w:r>
      <w:r>
        <w:rPr>
          <w:sz w:val="22"/>
        </w:rPr>
        <w:t xml:space="preserve">Adam Smith by way of David Hume”, </w:t>
      </w:r>
      <w:r>
        <w:rPr>
          <w:i/>
          <w:sz w:val="22"/>
        </w:rPr>
        <w:t>Revista Empresa y Humanismo</w:t>
      </w:r>
      <w:r>
        <w:rPr>
          <w:sz w:val="22"/>
        </w:rPr>
        <w:t xml:space="preserve"> 13:213-248.</w:t>
      </w:r>
    </w:p>
    <w:p w:rsidR="009A6128" w:rsidRPr="00225806" w:rsidRDefault="009A6128" w:rsidP="003C6530">
      <w:pPr>
        <w:spacing w:before="0" w:line="480" w:lineRule="auto"/>
        <w:jc w:val="both"/>
        <w:rPr>
          <w:sz w:val="22"/>
        </w:rPr>
      </w:pPr>
      <w:r w:rsidRPr="00225806">
        <w:rPr>
          <w:sz w:val="22"/>
        </w:rPr>
        <w:t>Shaw</w:t>
      </w:r>
      <w:r w:rsidR="001D357D" w:rsidRPr="00225806">
        <w:rPr>
          <w:sz w:val="22"/>
        </w:rPr>
        <w:t>, Daniel</w:t>
      </w:r>
      <w:r w:rsidR="00667C33" w:rsidRPr="00225806">
        <w:rPr>
          <w:sz w:val="22"/>
        </w:rPr>
        <w:t>,</w:t>
      </w:r>
      <w:r w:rsidRPr="00225806">
        <w:rPr>
          <w:sz w:val="22"/>
        </w:rPr>
        <w:t xml:space="preserve"> 1989</w:t>
      </w:r>
      <w:r w:rsidR="001D357D" w:rsidRPr="00225806">
        <w:rPr>
          <w:sz w:val="22"/>
        </w:rPr>
        <w:t>. “</w:t>
      </w:r>
      <w:r w:rsidR="00E87823" w:rsidRPr="00225806">
        <w:rPr>
          <w:sz w:val="22"/>
        </w:rPr>
        <w:t>Hume’s Theory of Motivation”,</w:t>
      </w:r>
      <w:r w:rsidR="001D357D" w:rsidRPr="00225806">
        <w:rPr>
          <w:sz w:val="22"/>
        </w:rPr>
        <w:t xml:space="preserve"> </w:t>
      </w:r>
      <w:r w:rsidR="001D357D" w:rsidRPr="00225806">
        <w:rPr>
          <w:i/>
          <w:sz w:val="22"/>
        </w:rPr>
        <w:t>Hume Studies</w:t>
      </w:r>
      <w:r w:rsidR="001D357D" w:rsidRPr="00225806">
        <w:rPr>
          <w:sz w:val="22"/>
        </w:rPr>
        <w:t xml:space="preserve"> </w:t>
      </w:r>
      <w:r w:rsidR="0008011D" w:rsidRPr="00225806">
        <w:rPr>
          <w:sz w:val="22"/>
        </w:rPr>
        <w:t>15:1.</w:t>
      </w:r>
    </w:p>
    <w:p w:rsidR="00AB5927" w:rsidRPr="00AB5927" w:rsidRDefault="00AB5927" w:rsidP="003C6530">
      <w:pPr>
        <w:spacing w:before="0" w:line="480" w:lineRule="auto"/>
        <w:jc w:val="both"/>
        <w:rPr>
          <w:sz w:val="22"/>
        </w:rPr>
      </w:pPr>
      <w:r>
        <w:rPr>
          <w:sz w:val="22"/>
        </w:rPr>
        <w:t xml:space="preserve">Sinhababu, Neil, </w:t>
      </w:r>
      <w:r w:rsidR="005D0CBD">
        <w:rPr>
          <w:sz w:val="22"/>
        </w:rPr>
        <w:t>forthcoming</w:t>
      </w:r>
      <w:r>
        <w:rPr>
          <w:sz w:val="22"/>
        </w:rPr>
        <w:t xml:space="preserve">. </w:t>
      </w:r>
      <w:r>
        <w:rPr>
          <w:i/>
          <w:sz w:val="22"/>
        </w:rPr>
        <w:t>A Treatise of Humean Nature</w:t>
      </w:r>
      <w:r>
        <w:rPr>
          <w:sz w:val="22"/>
        </w:rPr>
        <w:t xml:space="preserve">, </w:t>
      </w:r>
      <w:r w:rsidR="005D0CBD">
        <w:rPr>
          <w:sz w:val="22"/>
        </w:rPr>
        <w:t>Oxford University Press</w:t>
      </w:r>
      <w:r>
        <w:rPr>
          <w:sz w:val="22"/>
        </w:rPr>
        <w:t>.</w:t>
      </w:r>
    </w:p>
    <w:p w:rsidR="00CD519B" w:rsidRPr="00225806" w:rsidRDefault="00667C33" w:rsidP="003C6530">
      <w:pPr>
        <w:spacing w:before="0" w:line="480" w:lineRule="auto"/>
        <w:jc w:val="both"/>
        <w:rPr>
          <w:sz w:val="22"/>
        </w:rPr>
      </w:pPr>
      <w:r w:rsidRPr="00225806">
        <w:rPr>
          <w:sz w:val="22"/>
        </w:rPr>
        <w:t>Smith, Michael,</w:t>
      </w:r>
      <w:r w:rsidR="00CD519B" w:rsidRPr="00225806">
        <w:rPr>
          <w:sz w:val="22"/>
        </w:rPr>
        <w:t xml:space="preserve"> 1994. </w:t>
      </w:r>
      <w:r w:rsidR="00CD519B" w:rsidRPr="00225806">
        <w:rPr>
          <w:i/>
          <w:sz w:val="22"/>
        </w:rPr>
        <w:t>The Moral Problem</w:t>
      </w:r>
      <w:r w:rsidR="00CD519B" w:rsidRPr="00225806">
        <w:rPr>
          <w:sz w:val="22"/>
        </w:rPr>
        <w:t>, Blackwell.</w:t>
      </w:r>
    </w:p>
    <w:p w:rsidR="009A6128" w:rsidRDefault="009A6128" w:rsidP="003C6530">
      <w:pPr>
        <w:spacing w:before="0" w:line="480" w:lineRule="auto"/>
        <w:jc w:val="both"/>
        <w:rPr>
          <w:sz w:val="22"/>
        </w:rPr>
      </w:pPr>
      <w:r w:rsidRPr="00225806">
        <w:rPr>
          <w:sz w:val="22"/>
        </w:rPr>
        <w:t>Stroud</w:t>
      </w:r>
      <w:r w:rsidR="00667C33" w:rsidRPr="00225806">
        <w:rPr>
          <w:sz w:val="22"/>
        </w:rPr>
        <w:t>, Barry,</w:t>
      </w:r>
      <w:r w:rsidRPr="00225806">
        <w:rPr>
          <w:sz w:val="22"/>
        </w:rPr>
        <w:t xml:space="preserve"> 19</w:t>
      </w:r>
      <w:r w:rsidR="00ED6232" w:rsidRPr="00225806">
        <w:rPr>
          <w:sz w:val="22"/>
        </w:rPr>
        <w:t>7</w:t>
      </w:r>
      <w:r w:rsidRPr="00225806">
        <w:rPr>
          <w:sz w:val="22"/>
        </w:rPr>
        <w:t>7</w:t>
      </w:r>
      <w:r w:rsidR="001D357D" w:rsidRPr="00225806">
        <w:rPr>
          <w:sz w:val="22"/>
        </w:rPr>
        <w:t xml:space="preserve">. </w:t>
      </w:r>
      <w:r w:rsidR="001D357D" w:rsidRPr="00225806">
        <w:rPr>
          <w:i/>
          <w:sz w:val="22"/>
        </w:rPr>
        <w:t>Hume</w:t>
      </w:r>
      <w:r w:rsidR="001D357D" w:rsidRPr="00225806">
        <w:rPr>
          <w:sz w:val="22"/>
        </w:rPr>
        <w:t>, Routledge.</w:t>
      </w:r>
    </w:p>
    <w:p w:rsidR="00AA079F" w:rsidRPr="00225806" w:rsidRDefault="00F91B7B" w:rsidP="005C5892">
      <w:pPr>
        <w:spacing w:before="0" w:line="480" w:lineRule="auto"/>
        <w:ind w:left="720" w:hanging="720"/>
        <w:jc w:val="both"/>
        <w:rPr>
          <w:sz w:val="22"/>
        </w:rPr>
      </w:pPr>
      <w:r w:rsidRPr="00F91B7B">
        <w:rPr>
          <w:sz w:val="22"/>
        </w:rPr>
        <w:t>Zellner, A., Keuze</w:t>
      </w:r>
      <w:r>
        <w:rPr>
          <w:sz w:val="22"/>
        </w:rPr>
        <w:t>nkamp, H. &amp; McAleer, M. (eds.), 2001.</w:t>
      </w:r>
      <w:r w:rsidRPr="00F91B7B">
        <w:rPr>
          <w:sz w:val="22"/>
        </w:rPr>
        <w:t xml:space="preserve"> </w:t>
      </w:r>
      <w:r w:rsidRPr="00F91B7B">
        <w:rPr>
          <w:i/>
          <w:sz w:val="22"/>
        </w:rPr>
        <w:t>Simplicity, Inference and Modelling: Keeping It Sophisticatedly Simple</w:t>
      </w:r>
      <w:r w:rsidRPr="00F91B7B">
        <w:rPr>
          <w:sz w:val="22"/>
        </w:rPr>
        <w:t>, Cambridge: Cambridge University Press.</w:t>
      </w:r>
    </w:p>
    <w:sectPr w:rsidR="00AA079F" w:rsidRPr="00225806" w:rsidSect="00A46E9C">
      <w:headerReference w:type="even" r:id="rId8"/>
      <w:headerReference w:type="default" r:id="rId9"/>
      <w:footerReference w:type="even" r:id="rId10"/>
      <w:footerReference w:type="default" r:id="rId11"/>
      <w:headerReference w:type="first" r:id="rId12"/>
      <w:footerReference w:type="first" r:id="rId13"/>
      <w:pgSz w:w="11906" w:h="16838"/>
      <w:pgMar w:top="1418" w:right="1133" w:bottom="170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30B" w:rsidRDefault="0079330B" w:rsidP="007327F0">
      <w:pPr>
        <w:spacing w:before="0" w:line="240" w:lineRule="auto"/>
      </w:pPr>
      <w:r>
        <w:separator/>
      </w:r>
    </w:p>
  </w:endnote>
  <w:endnote w:type="continuationSeparator" w:id="0">
    <w:p w:rsidR="0079330B" w:rsidRDefault="0079330B" w:rsidP="007327F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93" w:rsidRDefault="00BE7B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423063"/>
      <w:docPartObj>
        <w:docPartGallery w:val="Page Numbers (Bottom of Page)"/>
        <w:docPartUnique/>
      </w:docPartObj>
    </w:sdtPr>
    <w:sdtEndPr/>
    <w:sdtContent>
      <w:p w:rsidR="00E253DE" w:rsidRDefault="00E253DE">
        <w:pPr>
          <w:pStyle w:val="Footer"/>
          <w:jc w:val="right"/>
        </w:pPr>
        <w:r>
          <w:fldChar w:fldCharType="begin"/>
        </w:r>
        <w:r>
          <w:instrText xml:space="preserve"> PAGE   \* MERGEFORMAT </w:instrText>
        </w:r>
        <w:r>
          <w:fldChar w:fldCharType="separate"/>
        </w:r>
        <w:r w:rsidR="00F31CF5">
          <w:rPr>
            <w:noProof/>
          </w:rPr>
          <w:t>3</w:t>
        </w:r>
        <w:r>
          <w:rPr>
            <w:noProof/>
          </w:rPr>
          <w:fldChar w:fldCharType="end"/>
        </w:r>
      </w:p>
    </w:sdtContent>
  </w:sdt>
  <w:p w:rsidR="00E253DE" w:rsidRDefault="00E253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93" w:rsidRDefault="00BE7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30B" w:rsidRDefault="0079330B" w:rsidP="007327F0">
      <w:pPr>
        <w:spacing w:before="0" w:line="240" w:lineRule="auto"/>
      </w:pPr>
      <w:r>
        <w:separator/>
      </w:r>
    </w:p>
  </w:footnote>
  <w:footnote w:type="continuationSeparator" w:id="0">
    <w:p w:rsidR="0079330B" w:rsidRDefault="0079330B" w:rsidP="007327F0">
      <w:pPr>
        <w:spacing w:before="0" w:line="240" w:lineRule="auto"/>
      </w:pPr>
      <w:r>
        <w:continuationSeparator/>
      </w:r>
    </w:p>
  </w:footnote>
  <w:footnote w:id="1">
    <w:p w:rsidR="00E253DE" w:rsidRDefault="00E253DE" w:rsidP="00660E93">
      <w:pPr>
        <w:pStyle w:val="FootnoteText"/>
        <w:spacing w:before="60"/>
        <w:jc w:val="both"/>
      </w:pPr>
      <w:r>
        <w:rPr>
          <w:rStyle w:val="FootnoteReference"/>
        </w:rPr>
        <w:footnoteRef/>
      </w:r>
      <w:r>
        <w:t xml:space="preserve"> The characterisation of Hume’s account of reason is a notoriously contentious issue which I cannot adequately address due to space constraints. Here I only make the uncontroversial claim that reason is the faculty that concerns the generation of beliefs i</w:t>
      </w:r>
      <w:r w:rsidR="006545C4">
        <w:t>n some way: ‘Reason is the discovery of truth and falsehood’</w:t>
      </w:r>
      <w:r w:rsidR="00982149">
        <w:t xml:space="preserve"> </w:t>
      </w:r>
      <w:r w:rsidR="006545C4">
        <w:t>(THN 3.1.1.9), and since Hume thinks that only beliefs are truth-apt (c.f. THN 2.3.3.5), it seems clear that reason at the very least concerns the production of beliefs.</w:t>
      </w:r>
    </w:p>
  </w:footnote>
  <w:footnote w:id="2">
    <w:p w:rsidR="00E253DE" w:rsidRDefault="00E253DE" w:rsidP="00660E93">
      <w:pPr>
        <w:pStyle w:val="FootnoteText"/>
        <w:spacing w:before="60"/>
        <w:jc w:val="both"/>
      </w:pPr>
      <w:r>
        <w:rPr>
          <w:rStyle w:val="FootnoteReference"/>
        </w:rPr>
        <w:footnoteRef/>
      </w:r>
      <w:r>
        <w:t xml:space="preserve"> Although reason can work in conjunction with the passions to generate new passions, which in turn can play the end-setting role in motivation. I have a desire for sweet things, reason tells me that the ice-cream is sweet, and this produces a passion for the ice-cream, which motivates me to reach for it.</w:t>
      </w:r>
    </w:p>
  </w:footnote>
  <w:footnote w:id="3">
    <w:p w:rsidR="000223FF" w:rsidRPr="00F973E3" w:rsidRDefault="000223FF" w:rsidP="000223FF">
      <w:pPr>
        <w:pStyle w:val="FootnoteText"/>
        <w:spacing w:before="60"/>
        <w:jc w:val="both"/>
      </w:pPr>
      <w:r>
        <w:rPr>
          <w:rStyle w:val="FootnoteReference"/>
        </w:rPr>
        <w:footnoteRef/>
      </w:r>
      <w:r>
        <w:t xml:space="preserve"> In the references to Hume’s texts throughout, ‘THN’ refers to the </w:t>
      </w:r>
      <w:r>
        <w:rPr>
          <w:i/>
        </w:rPr>
        <w:t>Treatise of Human Nature</w:t>
      </w:r>
      <w:r>
        <w:t xml:space="preserve">, ‘A’ to the </w:t>
      </w:r>
      <w:r>
        <w:rPr>
          <w:i/>
        </w:rPr>
        <w:t>Abstract of a Book Lately Published</w:t>
      </w:r>
      <w:r>
        <w:t>,</w:t>
      </w:r>
      <w:r w:rsidRPr="00207659">
        <w:rPr>
          <w:sz w:val="24"/>
          <w:szCs w:val="22"/>
        </w:rPr>
        <w:t xml:space="preserve"> </w:t>
      </w:r>
      <w:r w:rsidRPr="00207659">
        <w:t xml:space="preserve">‘EHU’ to the </w:t>
      </w:r>
      <w:r w:rsidRPr="00207659">
        <w:rPr>
          <w:i/>
        </w:rPr>
        <w:t>Enquiry Concerning Human Understanding</w:t>
      </w:r>
      <w:r w:rsidRPr="00207659">
        <w:t>,</w:t>
      </w:r>
      <w:r>
        <w:t xml:space="preserve"> ‘EPM’ to the </w:t>
      </w:r>
      <w:r>
        <w:rPr>
          <w:i/>
        </w:rPr>
        <w:t>Enquiry Concerning the Principles of Morals</w:t>
      </w:r>
      <w:r>
        <w:t xml:space="preserve">, ‘EMPL’ </w:t>
      </w:r>
      <w:r w:rsidRPr="00643526">
        <w:t xml:space="preserve">to </w:t>
      </w:r>
      <w:r w:rsidRPr="00B8457C">
        <w:rPr>
          <w:i/>
        </w:rPr>
        <w:t>Essays Moral, Political, and Literary</w:t>
      </w:r>
      <w:r>
        <w:rPr>
          <w:i/>
        </w:rPr>
        <w:t>,</w:t>
      </w:r>
      <w:r>
        <w:t xml:space="preserve"> ‘DNR’ to the </w:t>
      </w:r>
      <w:r>
        <w:rPr>
          <w:i/>
        </w:rPr>
        <w:t>Dialogues Concerning Natural Religion</w:t>
      </w:r>
      <w:r>
        <w:t xml:space="preserve">’, and ‘HL’ to </w:t>
      </w:r>
      <w:r>
        <w:rPr>
          <w:i/>
        </w:rPr>
        <w:t>The Letters of David Hume</w:t>
      </w:r>
      <w:r>
        <w:t xml:space="preserve">. Arabic numerals refer to section and paragraph numbers (EHU and EPM); book, part, section, and paragraph numbers (THN); or to paragraph numbers (A). EMPL </w:t>
      </w:r>
      <w:r w:rsidRPr="00643526">
        <w:t xml:space="preserve">numbers refer to pages in the Miller revised edition of the </w:t>
      </w:r>
      <w:r w:rsidRPr="00B8457C">
        <w:rPr>
          <w:i/>
        </w:rPr>
        <w:t>Essays</w:t>
      </w:r>
      <w:r>
        <w:t xml:space="preserve"> (Liberty Fund Inc., 1985</w:t>
      </w:r>
      <w:r w:rsidRPr="00643526">
        <w:t>)</w:t>
      </w:r>
      <w:r>
        <w:t xml:space="preserve">, and DNR numbers to pages in the Kemp Smith edition of the </w:t>
      </w:r>
      <w:r>
        <w:rPr>
          <w:i/>
        </w:rPr>
        <w:t xml:space="preserve">Dialogues </w:t>
      </w:r>
      <w:r>
        <w:t xml:space="preserve">(Bobbs-Merill Educational Publishing, 1947). HL Roman numerals refer to volume, and Arabic numerals to page numbers in the Greig edition of the </w:t>
      </w:r>
      <w:r>
        <w:rPr>
          <w:i/>
        </w:rPr>
        <w:t>Letters</w:t>
      </w:r>
      <w:r>
        <w:t xml:space="preserve"> (OUP, 1932)</w:t>
      </w:r>
      <w:r w:rsidRPr="00643526">
        <w:t>.</w:t>
      </w:r>
    </w:p>
  </w:footnote>
  <w:footnote w:id="4">
    <w:p w:rsidR="00E253DE" w:rsidRDefault="00E253DE" w:rsidP="00660E93">
      <w:pPr>
        <w:pStyle w:val="FootnoteText"/>
        <w:spacing w:before="60"/>
        <w:jc w:val="both"/>
      </w:pPr>
      <w:r>
        <w:rPr>
          <w:rStyle w:val="FootnoteReference"/>
        </w:rPr>
        <w:footnoteRef/>
      </w:r>
      <w:r>
        <w:t xml:space="preserve"> The calm passions are not ever-present but rather occurrent; indeed Hume argues that there is no impression that is constant and invariant throughout our lives (THN 1.4.6.2). Detailing their triggers is a difficult task which is in any case tangential to my purposes, thus I will abstain from doing so here.</w:t>
      </w:r>
    </w:p>
  </w:footnote>
  <w:footnote w:id="5">
    <w:p w:rsidR="00E253DE" w:rsidRPr="003A5167" w:rsidRDefault="00E253DE" w:rsidP="00660E93">
      <w:pPr>
        <w:pStyle w:val="FootnoteText"/>
        <w:spacing w:before="60"/>
        <w:jc w:val="both"/>
        <w:rPr>
          <w:lang w:val="en-US"/>
        </w:rPr>
      </w:pPr>
      <w:r>
        <w:rPr>
          <w:rStyle w:val="FootnoteReference"/>
        </w:rPr>
        <w:footnoteRef/>
      </w:r>
      <w:r>
        <w:t xml:space="preserve"> </w:t>
      </w:r>
      <w:r>
        <w:rPr>
          <w:lang w:val="en-US"/>
        </w:rPr>
        <w:t>Hume certainly thinks that calm passions can possess more causal efficacy than their violent counterparts; what determines their relative causal efficacies is the agent’s ‘strength of mind’ (</w:t>
      </w:r>
      <w:r>
        <w:t xml:space="preserve">THN 2.3.3.10). </w:t>
      </w:r>
    </w:p>
  </w:footnote>
  <w:footnote w:id="6">
    <w:p w:rsidR="002233B1" w:rsidRPr="001946F7" w:rsidRDefault="002233B1" w:rsidP="00660E93">
      <w:pPr>
        <w:pStyle w:val="FootnoteText"/>
        <w:spacing w:before="60"/>
        <w:jc w:val="both"/>
        <w:rPr>
          <w:lang w:val="en-US"/>
        </w:rPr>
      </w:pPr>
      <w:r>
        <w:rPr>
          <w:rStyle w:val="FootnoteReference"/>
        </w:rPr>
        <w:footnoteRef/>
      </w:r>
      <w:r>
        <w:t xml:space="preserve"> </w:t>
      </w:r>
      <w:r w:rsidR="002D4142">
        <w:rPr>
          <w:lang w:val="en-US"/>
        </w:rPr>
        <w:t>A different worry is that such an introspective mistake would</w:t>
      </w:r>
      <w:r>
        <w:rPr>
          <w:lang w:val="en-US"/>
        </w:rPr>
        <w:t xml:space="preserve"> violate Hume’s Incorrigibility Principle (c.f. THN 1.4.2.7). I lack the space to adequately address this worry here, but in my </w:t>
      </w:r>
      <w:r w:rsidR="00561AA2">
        <w:rPr>
          <w:lang w:val="en-US"/>
        </w:rPr>
        <w:t>Qu (Forthcoming)</w:t>
      </w:r>
      <w:r>
        <w:rPr>
          <w:lang w:val="en-US"/>
        </w:rPr>
        <w:t xml:space="preserve"> I argue that Hume’s Incorrigibility Principle only bears on first-order qualitative character and not on higher-order mental states; a mistaken second-order belief about our passions (such as mistaking them for the actions of reason) is allowed by this principle. And indeed, the principle would be an implausible one if it did not allow for errors of this kind.</w:t>
      </w:r>
    </w:p>
  </w:footnote>
  <w:footnote w:id="7">
    <w:p w:rsidR="00E253DE" w:rsidRPr="00566BC0" w:rsidRDefault="00E253DE" w:rsidP="00660E93">
      <w:pPr>
        <w:pStyle w:val="FootnoteText"/>
        <w:spacing w:before="60"/>
        <w:jc w:val="both"/>
      </w:pPr>
      <w:r>
        <w:rPr>
          <w:rStyle w:val="FootnoteReference"/>
        </w:rPr>
        <w:footnoteRef/>
      </w:r>
      <w:r>
        <w:t xml:space="preserve"> Briefly, functionalist theories of the mind characterise mental states by their functional role, rather than, say, their qualitative character.</w:t>
      </w:r>
    </w:p>
  </w:footnote>
  <w:footnote w:id="8">
    <w:p w:rsidR="00E253DE" w:rsidRPr="00566BC0" w:rsidRDefault="00E253DE" w:rsidP="00660E93">
      <w:pPr>
        <w:pStyle w:val="FootnoteText"/>
        <w:spacing w:before="60"/>
        <w:jc w:val="both"/>
        <w:rPr>
          <w:lang w:val="en-US"/>
        </w:rPr>
      </w:pPr>
      <w:r>
        <w:rPr>
          <w:rStyle w:val="FootnoteReference"/>
        </w:rPr>
        <w:footnoteRef/>
      </w:r>
      <w:r>
        <w:t xml:space="preserve"> </w:t>
      </w:r>
      <w:r>
        <w:rPr>
          <w:lang w:val="en-US"/>
        </w:rPr>
        <w:t>Here I assume that desires are, by definition, passions. Stroud therefore subscribes to a more restricted form of conativism than Hume (that is, those passions that are desires perform the end-setting role in motivation).</w:t>
      </w:r>
    </w:p>
  </w:footnote>
  <w:footnote w:id="9">
    <w:p w:rsidR="00E253DE" w:rsidRPr="0058495D" w:rsidRDefault="00E253DE" w:rsidP="00660E93">
      <w:pPr>
        <w:pStyle w:val="FootnoteText"/>
        <w:spacing w:before="60"/>
        <w:jc w:val="both"/>
        <w:rPr>
          <w:lang w:val="en-US"/>
        </w:rPr>
      </w:pPr>
      <w:r>
        <w:rPr>
          <w:rStyle w:val="FootnoteReference"/>
        </w:rPr>
        <w:footnoteRef/>
      </w:r>
      <w:r>
        <w:t xml:space="preserve"> </w:t>
      </w:r>
      <w:r>
        <w:rPr>
          <w:lang w:val="en-US"/>
        </w:rPr>
        <w:t>Note that Smith (1994, p.114), like Stroud, also sees his account of the desires as dispositional.</w:t>
      </w:r>
      <w:r w:rsidRPr="002D2515">
        <w:t xml:space="preserve"> </w:t>
      </w:r>
      <w:r>
        <w:t>Note also that Smith’s and Bricke’s accounts, like Stroud’s, deals with desires rather than passions more generally; correspondingly, Bricke’s interpretation gives desires a pride of place in that all passions ultimately presuppose desire and/or aversion (p.36).</w:t>
      </w:r>
    </w:p>
  </w:footnote>
  <w:footnote w:id="10">
    <w:p w:rsidR="00E253DE" w:rsidRDefault="00E253DE" w:rsidP="00660E93">
      <w:pPr>
        <w:pStyle w:val="FootnoteText"/>
        <w:spacing w:before="60"/>
        <w:jc w:val="both"/>
      </w:pPr>
      <w:r>
        <w:rPr>
          <w:rStyle w:val="FootnoteReference"/>
        </w:rPr>
        <w:footnoteRef/>
      </w:r>
      <w:r>
        <w:t xml:space="preserve"> Smith (</w:t>
      </w:r>
      <w:r w:rsidR="003D6445">
        <w:t xml:space="preserve">1994, </w:t>
      </w:r>
      <w:r>
        <w:t xml:space="preserve">p.103) </w:t>
      </w:r>
      <w:r>
        <w:rPr>
          <w:lang w:val="en-US"/>
        </w:rPr>
        <w:t>emphasises that his thesis is not a causal one, but a teleological one in giving an explanation for action; Bricke (</w:t>
      </w:r>
      <w:r w:rsidR="003D6445">
        <w:rPr>
          <w:lang w:val="en-US"/>
        </w:rPr>
        <w:t xml:space="preserve">1996, </w:t>
      </w:r>
      <w:r>
        <w:rPr>
          <w:lang w:val="en-US"/>
        </w:rPr>
        <w:t>p.8) meanwhile treats the conativist thesis causally. My paper is</w:t>
      </w:r>
      <w:r w:rsidR="00BF6BAF">
        <w:rPr>
          <w:lang w:val="en-US"/>
        </w:rPr>
        <w:t>, like Hume,</w:t>
      </w:r>
      <w:r>
        <w:rPr>
          <w:lang w:val="en-US"/>
        </w:rPr>
        <w:t xml:space="preserve"> concerned with the causal version, and therefore does not directly address Smith’s framework, but rather Bricke’s appropriation of it.</w:t>
      </w:r>
      <w:r w:rsidRPr="00BF0DD1">
        <w:t xml:space="preserve"> </w:t>
      </w:r>
      <w:r>
        <w:t>Moreover, Smith does not take his account to be an interpretation, but a thesis that is merely Humean in spirit, whereas Bricke attributes the thesis to Hume.</w:t>
      </w:r>
      <w:r>
        <w:rPr>
          <w:lang w:val="en-US"/>
        </w:rPr>
        <w:t xml:space="preserve"> Admittedly, </w:t>
      </w:r>
      <w:r>
        <w:t>to what extent Bricke’s account is a straightforward interpretation is uncertain: he talks of ‘regimenting’ Hume’s texts and revising his theories, and explicitly abandons Hume’s psychological atomism despite attributing the thesis to him. Bricke (p.25) also describes his account as only ‘insecurely Hume’s’. Bricke’s account therefore seems more in the spirit of an interpretive rational reconstruction, teasing out a comprehensive, cohesive account from Hume’s less sophisticated theory. In rejecting this account I argue that even a reconstruction of this nature fares worse than Hume’s original account, and that Hume would have resisted this reconstruction for reasons above and beyond the denial of his psychological atomism.</w:t>
      </w:r>
    </w:p>
  </w:footnote>
  <w:footnote w:id="11">
    <w:p w:rsidR="00B640F8" w:rsidRPr="00B640F8" w:rsidRDefault="00B640F8" w:rsidP="00660E93">
      <w:pPr>
        <w:pStyle w:val="FootnoteText"/>
        <w:spacing w:before="60"/>
        <w:jc w:val="both"/>
        <w:rPr>
          <w:lang w:val="en-US"/>
        </w:rPr>
      </w:pPr>
      <w:r>
        <w:rPr>
          <w:rStyle w:val="FootnoteReference"/>
        </w:rPr>
        <w:footnoteRef/>
      </w:r>
      <w:r>
        <w:t xml:space="preserve"> </w:t>
      </w:r>
      <w:r>
        <w:rPr>
          <w:lang w:val="en-US"/>
        </w:rPr>
        <w:t>I cannot think of any modern theory of causation that treats the relation as metaphysically necessary; Lewis’(1973b) counterfactual analysis, Mackie’s (1965) INUS conditions analysis, and probabilistic accounts (e.g. Eells 1991) all take causation to be contingent.</w:t>
      </w:r>
    </w:p>
  </w:footnote>
  <w:footnote w:id="12">
    <w:p w:rsidR="00E253DE" w:rsidRDefault="00E253DE" w:rsidP="00660E93">
      <w:pPr>
        <w:pStyle w:val="FootnoteText"/>
        <w:spacing w:before="60"/>
        <w:jc w:val="both"/>
      </w:pPr>
      <w:r>
        <w:rPr>
          <w:rStyle w:val="FootnoteReference"/>
        </w:rPr>
        <w:footnoteRef/>
      </w:r>
      <w:r>
        <w:t xml:space="preserve"> These are of course not the only interpretive problems with a conceptual reading: such a reading would contradict Hume’s impressionistic theory of the passions, as well as their indefinability (THN 2.1.2.1); furthermore, it would be difficult to make sense of such a reading from within Hume’s overall project of providing an </w:t>
      </w:r>
      <w:r w:rsidRPr="00586051">
        <w:rPr>
          <w:i/>
        </w:rPr>
        <w:t>empirical</w:t>
      </w:r>
      <w:r>
        <w:t xml:space="preserve"> science of man. </w:t>
      </w:r>
      <w:r w:rsidR="00B26C95">
        <w:t xml:space="preserve">Here </w:t>
      </w:r>
      <w:r>
        <w:t>I focus on the interpretive problems which are also substantive philosophical worries.</w:t>
      </w:r>
    </w:p>
  </w:footnote>
  <w:footnote w:id="13">
    <w:p w:rsidR="00E253DE" w:rsidRDefault="00E253DE" w:rsidP="00660E93">
      <w:pPr>
        <w:pStyle w:val="FootnoteText"/>
        <w:spacing w:before="60"/>
        <w:jc w:val="both"/>
      </w:pPr>
      <w:r>
        <w:rPr>
          <w:rStyle w:val="FootnoteReference"/>
        </w:rPr>
        <w:footnoteRef/>
      </w:r>
      <w:r>
        <w:t xml:space="preserve"> Arguably, the claim that ‘the Higgs-Boson, if it exists, is capable of granting mass’ might be necessarily true, but this is not the interesting claim, which is that the Higgs-Boson </w:t>
      </w:r>
      <w:r>
        <w:rPr>
          <w:i/>
        </w:rPr>
        <w:t>actually</w:t>
      </w:r>
      <w:r>
        <w:t xml:space="preserve"> grants mass. Similarly, conativism is interesting only if treated as a thesis about what actually does and does not motivate in an end-setting role, rather than what, if existent, is capable of doing so.</w:t>
      </w:r>
    </w:p>
  </w:footnote>
  <w:footnote w:id="14">
    <w:p w:rsidR="00E253DE" w:rsidRPr="000A5F89" w:rsidRDefault="00E253DE" w:rsidP="00660E93">
      <w:pPr>
        <w:pStyle w:val="FootnoteText"/>
        <w:spacing w:before="60"/>
        <w:jc w:val="both"/>
        <w:rPr>
          <w:lang w:val="en-US"/>
        </w:rPr>
      </w:pPr>
      <w:r w:rsidRPr="000A5F89">
        <w:rPr>
          <w:rStyle w:val="FootnoteReference"/>
        </w:rPr>
        <w:footnoteRef/>
      </w:r>
      <w:r w:rsidRPr="000A5F89">
        <w:t xml:space="preserve"> </w:t>
      </w:r>
      <w:r w:rsidRPr="000A5F89">
        <w:rPr>
          <w:lang w:val="en-US"/>
        </w:rPr>
        <w:t>Bricke arguably sees his account</w:t>
      </w:r>
      <w:r>
        <w:rPr>
          <w:lang w:val="en-US"/>
        </w:rPr>
        <w:t xml:space="preserve"> as an empirical one</w:t>
      </w:r>
      <w:r w:rsidRPr="000A5F89">
        <w:rPr>
          <w:lang w:val="en-US"/>
        </w:rPr>
        <w:t xml:space="preserve">, but his treatment of evaluative beliefs casts doubt on </w:t>
      </w:r>
      <w:r>
        <w:rPr>
          <w:lang w:val="en-US"/>
        </w:rPr>
        <w:t>whether this view is justified</w:t>
      </w:r>
      <w:r w:rsidRPr="000A5F89">
        <w:rPr>
          <w:lang w:val="en-US"/>
        </w:rPr>
        <w:t xml:space="preserve">: if his account were really an empirical one, he would not be licensed to </w:t>
      </w:r>
      <w:r w:rsidRPr="000A5F89">
        <w:t xml:space="preserve">rule that evaluative beliefs are really desires despite their empirically better matching the description of beliefs </w:t>
      </w:r>
      <w:r w:rsidRPr="000A5F89">
        <w:rPr>
          <w:i/>
        </w:rPr>
        <w:t>simply because</w:t>
      </w:r>
      <w:r w:rsidRPr="000A5F89">
        <w:t xml:space="preserve"> they play the end-setting role in motivation</w:t>
      </w:r>
      <w:r>
        <w:t xml:space="preserve"> (Bricke 1996, p.28). Similarly, Stroud’s account cannot be empirical, because he characterises desires as bare dispositions to perform the end-setting role in motivation (Stroud 1977, pp.167-8).</w:t>
      </w:r>
    </w:p>
  </w:footnote>
  <w:footnote w:id="15">
    <w:p w:rsidR="00E253DE" w:rsidRPr="000A5F89" w:rsidRDefault="00E253DE" w:rsidP="00660E93">
      <w:pPr>
        <w:pStyle w:val="FootnoteText"/>
        <w:spacing w:before="60"/>
        <w:jc w:val="both"/>
        <w:rPr>
          <w:lang w:val="en-US"/>
        </w:rPr>
      </w:pPr>
      <w:r>
        <w:rPr>
          <w:rStyle w:val="FootnoteReference"/>
        </w:rPr>
        <w:footnoteRef/>
      </w:r>
      <w:r>
        <w:t xml:space="preserve"> </w:t>
      </w:r>
      <w:r>
        <w:rPr>
          <w:lang w:val="en-US"/>
        </w:rPr>
        <w:t xml:space="preserve">I remain neutral on whether </w:t>
      </w:r>
      <w:r w:rsidR="00BF6BAF">
        <w:rPr>
          <w:lang w:val="en-US"/>
        </w:rPr>
        <w:t>Hume’s account provides an</w:t>
      </w:r>
      <w:r>
        <w:rPr>
          <w:lang w:val="en-US"/>
        </w:rPr>
        <w:t xml:space="preserve"> empirical functional characterisation </w:t>
      </w:r>
      <w:r w:rsidR="00BF6BAF">
        <w:rPr>
          <w:lang w:val="en-US"/>
        </w:rPr>
        <w:t>(as opposed to a phenomenal characteri</w:t>
      </w:r>
      <w:r w:rsidR="002D4142">
        <w:rPr>
          <w:lang w:val="en-US"/>
        </w:rPr>
        <w:t>s</w:t>
      </w:r>
      <w:r w:rsidR="00BF6BAF">
        <w:rPr>
          <w:lang w:val="en-US"/>
        </w:rPr>
        <w:t>ation) of the passions</w:t>
      </w:r>
      <w:r>
        <w:rPr>
          <w:lang w:val="en-US"/>
        </w:rPr>
        <w:t xml:space="preserve">, independently of worries of </w:t>
      </w:r>
      <w:r>
        <w:rPr>
          <w:i/>
          <w:lang w:val="en-US"/>
        </w:rPr>
        <w:t>ad hockery</w:t>
      </w:r>
      <w:r>
        <w:rPr>
          <w:lang w:val="en-US"/>
        </w:rPr>
        <w:t>.</w:t>
      </w:r>
    </w:p>
  </w:footnote>
  <w:footnote w:id="16">
    <w:p w:rsidR="00A321F4" w:rsidRPr="00F018A5" w:rsidRDefault="00A321F4" w:rsidP="00660E93">
      <w:pPr>
        <w:pStyle w:val="FootnoteText"/>
        <w:spacing w:before="60"/>
        <w:jc w:val="both"/>
      </w:pPr>
      <w:r w:rsidRPr="00F018A5">
        <w:rPr>
          <w:rStyle w:val="FootnoteReference"/>
        </w:rPr>
        <w:footnoteRef/>
      </w:r>
      <w:r w:rsidRPr="00F018A5">
        <w:t xml:space="preserve"> Loeb (2002) argues that Hume is fundamentally committed to a dispositional account of beliefs, although his official theory treats </w:t>
      </w:r>
      <w:r w:rsidR="00660E93">
        <w:t>beliefs</w:t>
      </w:r>
      <w:r w:rsidRPr="00F018A5">
        <w:t xml:space="preserve"> as occurrent</w:t>
      </w:r>
      <w:r w:rsidR="00660E93">
        <w:t>; vivacity would correspondingly be treated as something like firmness or steadiness rather than as something phenomenological. I find this account implausible as an interpretation of Hume.</w:t>
      </w:r>
      <w:r w:rsidRPr="00F018A5">
        <w:t xml:space="preserve"> For a </w:t>
      </w:r>
      <w:r w:rsidR="00660E93">
        <w:t xml:space="preserve">convincing response to Loeb’s </w:t>
      </w:r>
      <w:r w:rsidR="007A7AD6">
        <w:t>interpretation of Hume on beliefs</w:t>
      </w:r>
      <w:r w:rsidR="00660E93">
        <w:t>, see Marusic (2010).</w:t>
      </w:r>
    </w:p>
  </w:footnote>
  <w:footnote w:id="17">
    <w:p w:rsidR="000223FF" w:rsidRPr="000223FF" w:rsidRDefault="000223FF" w:rsidP="000223FF">
      <w:pPr>
        <w:pStyle w:val="FootnoteText"/>
        <w:spacing w:before="60"/>
        <w:rPr>
          <w:lang w:val="en-US"/>
        </w:rPr>
      </w:pPr>
      <w:r>
        <w:rPr>
          <w:rStyle w:val="FootnoteReference"/>
        </w:rPr>
        <w:footnoteRef/>
      </w:r>
      <w:r>
        <w:t xml:space="preserve"> </w:t>
      </w:r>
      <w:r>
        <w:rPr>
          <w:lang w:val="en-US"/>
        </w:rPr>
        <w:t xml:space="preserve">The </w:t>
      </w:r>
      <w:r w:rsidR="00561AA2">
        <w:rPr>
          <w:lang w:val="en-US"/>
        </w:rPr>
        <w:t>discussions of systematisation,</w:t>
      </w:r>
      <w:r>
        <w:rPr>
          <w:lang w:val="en-US"/>
        </w:rPr>
        <w:t xml:space="preserve"> the theoretical virtues</w:t>
      </w:r>
      <w:r w:rsidR="00561AA2">
        <w:rPr>
          <w:lang w:val="en-US"/>
        </w:rPr>
        <w:t>, and reflective equilibrium</w:t>
      </w:r>
      <w:r>
        <w:rPr>
          <w:lang w:val="en-US"/>
        </w:rPr>
        <w:t xml:space="preserve"> is something I also make use of in Qu </w:t>
      </w:r>
      <w:r w:rsidR="00F75BFF">
        <w:rPr>
          <w:lang w:val="en-US"/>
        </w:rPr>
        <w:t>(</w:t>
      </w:r>
      <w:r w:rsidR="00A36A5F">
        <w:rPr>
          <w:lang w:val="en-US"/>
        </w:rPr>
        <w:t>2016</w:t>
      </w:r>
      <w:r w:rsidR="00F75BFF">
        <w:rPr>
          <w:lang w:val="en-US"/>
        </w:rPr>
        <w:t>), in exploring how Hume derives genuine prescriptions from his seemingly descriptive experimental method.</w:t>
      </w:r>
    </w:p>
  </w:footnote>
  <w:footnote w:id="18">
    <w:p w:rsidR="00E253DE" w:rsidRDefault="00E253DE" w:rsidP="00660E93">
      <w:pPr>
        <w:pStyle w:val="FootnoteText"/>
        <w:spacing w:before="60"/>
        <w:jc w:val="both"/>
      </w:pPr>
      <w:r>
        <w:rPr>
          <w:rStyle w:val="FootnoteReference"/>
        </w:rPr>
        <w:footnoteRef/>
      </w:r>
      <w:r>
        <w:t xml:space="preserve"> Indeed, lack of systematisation is precisely what separates bad general rules from good: the latter reveal the ‘irregular nature’ of the former, which are ‘destructive of all the most establish’d principles of reasoning’ (THN 1.3.13.12).</w:t>
      </w:r>
    </w:p>
  </w:footnote>
  <w:footnote w:id="19">
    <w:p w:rsidR="00E253DE" w:rsidRPr="00CB0419" w:rsidRDefault="00E253DE" w:rsidP="00660E93">
      <w:pPr>
        <w:pStyle w:val="FootnoteText"/>
        <w:spacing w:before="60"/>
        <w:jc w:val="both"/>
      </w:pPr>
      <w:r>
        <w:rPr>
          <w:rStyle w:val="FootnoteReference"/>
        </w:rPr>
        <w:footnoteRef/>
      </w:r>
      <w:r>
        <w:t xml:space="preserve"> Kant’s notion of systematicity, although better-developed, is fundamentally similar, involving the subsuming of knowledge under fewer and fewer principles, as he notes in the </w:t>
      </w:r>
      <w:r>
        <w:rPr>
          <w:i/>
        </w:rPr>
        <w:t xml:space="preserve">Critique of Pure Reason </w:t>
      </w:r>
      <w:r>
        <w:t xml:space="preserve">(B674). The key difference is that for Kant, the rules for systematisation are </w:t>
      </w:r>
      <w:r>
        <w:rPr>
          <w:i/>
        </w:rPr>
        <w:t>a priori</w:t>
      </w:r>
      <w:r>
        <w:t xml:space="preserve">, whereas Hume’s criteria are </w:t>
      </w:r>
      <w:r>
        <w:rPr>
          <w:i/>
        </w:rPr>
        <w:t>a posteriori</w:t>
      </w:r>
      <w:r>
        <w:t>; Kant’s notion of systematicity is also deeply hierarchical in a way that Hume’s is not.</w:t>
      </w:r>
    </w:p>
  </w:footnote>
  <w:footnote w:id="20">
    <w:p w:rsidR="00E253DE" w:rsidRPr="00B239A8" w:rsidRDefault="00E253DE" w:rsidP="00660E93">
      <w:pPr>
        <w:pStyle w:val="FootnoteText"/>
        <w:spacing w:before="60"/>
        <w:jc w:val="both"/>
        <w:rPr>
          <w:lang w:val="en-US"/>
        </w:rPr>
      </w:pPr>
      <w:r>
        <w:rPr>
          <w:rStyle w:val="FootnoteReference"/>
        </w:rPr>
        <w:footnoteRef/>
      </w:r>
      <w:r>
        <w:t xml:space="preserve"> </w:t>
      </w:r>
      <w:r>
        <w:rPr>
          <w:lang w:val="en-US"/>
        </w:rPr>
        <w:t xml:space="preserve">Hume uses the </w:t>
      </w:r>
      <w:r w:rsidR="00982149">
        <w:rPr>
          <w:lang w:val="en-US"/>
        </w:rPr>
        <w:t>term</w:t>
      </w:r>
      <w:r>
        <w:rPr>
          <w:lang w:val="en-US"/>
        </w:rPr>
        <w:t xml:space="preserve"> </w:t>
      </w:r>
      <w:r w:rsidR="00982149">
        <w:rPr>
          <w:lang w:val="en-US"/>
        </w:rPr>
        <w:t>‘</w:t>
      </w:r>
      <w:r>
        <w:rPr>
          <w:lang w:val="en-US"/>
        </w:rPr>
        <w:t>principle</w:t>
      </w:r>
      <w:r w:rsidR="00982149">
        <w:rPr>
          <w:lang w:val="en-US"/>
        </w:rPr>
        <w:t>’</w:t>
      </w:r>
      <w:r>
        <w:rPr>
          <w:lang w:val="en-US"/>
        </w:rPr>
        <w:t xml:space="preserve"> in two senses: as a type of cause or origin, and as a general rule. There seems to be some equivocation between the two senses in this passage: clearly Hume’s reference to finding principles that ‘excite our sentiments’ makes use of the former sense (since general rules do not often do so), but his speaking of proceeding from particular instances to general principles clearly makes use of of the latter sense.</w:t>
      </w:r>
    </w:p>
  </w:footnote>
  <w:footnote w:id="21">
    <w:p w:rsidR="00561AA2" w:rsidRPr="00561AA2" w:rsidRDefault="00561AA2" w:rsidP="00561AA2">
      <w:pPr>
        <w:pStyle w:val="FootnoteText"/>
        <w:spacing w:before="60"/>
        <w:rPr>
          <w:lang w:val="en-US"/>
        </w:rPr>
      </w:pPr>
      <w:r>
        <w:rPr>
          <w:rStyle w:val="FootnoteReference"/>
        </w:rPr>
        <w:footnoteRef/>
      </w:r>
      <w:r>
        <w:t xml:space="preserve"> </w:t>
      </w:r>
      <w:r>
        <w:rPr>
          <w:lang w:val="en-US"/>
        </w:rPr>
        <w:t>This should not be read as denying that the passions have intentionality. For discussion of how to reconcile the intentionality of the passions with their qualitative character and also their simplicity, see Qu (2012).</w:t>
      </w:r>
    </w:p>
  </w:footnote>
  <w:footnote w:id="22">
    <w:p w:rsidR="008B1786" w:rsidRPr="008F5EAF" w:rsidRDefault="008B1786" w:rsidP="00660E93">
      <w:pPr>
        <w:pStyle w:val="FootnoteText"/>
        <w:spacing w:before="60"/>
        <w:jc w:val="both"/>
        <w:rPr>
          <w:lang w:val="en-US"/>
        </w:rPr>
      </w:pPr>
      <w:r>
        <w:rPr>
          <w:rStyle w:val="FootnoteReference"/>
        </w:rPr>
        <w:footnoteRef/>
      </w:r>
      <w:r>
        <w:t xml:space="preserve"> </w:t>
      </w:r>
      <w:r>
        <w:rPr>
          <w:lang w:val="en-US"/>
        </w:rPr>
        <w:t>I see Stroud’s (1977, pp.158-61) reading of this passage as conceptual, turning as it does on the nature of propositions.</w:t>
      </w:r>
      <w:r w:rsidR="008F5EAF">
        <w:rPr>
          <w:lang w:val="en-US"/>
        </w:rPr>
        <w:t xml:space="preserve"> Bricke’s (1996) reading of the argument also seems conceptual, as the following discussion of the original existences argument makes clear: ‘Reflection on the conditions on acting for a reason, and of explaining an action by citing the agent’s reason for acting, when deepened by reflection on the concept of direction of fit, leads directly to the conativist conception of reasons for action. (Perhaps that is why Hume neglected to spell out the steps.)’ (Bricke 1996, p.28). Here, </w:t>
      </w:r>
      <w:r w:rsidR="008F5EAF">
        <w:rPr>
          <w:i/>
          <w:lang w:val="en-US"/>
        </w:rPr>
        <w:t>a priori</w:t>
      </w:r>
      <w:r w:rsidR="008F5EAF">
        <w:rPr>
          <w:lang w:val="en-US"/>
        </w:rPr>
        <w:t xml:space="preserve"> reflection on our concepts suffices for the conclusion, which certainly indicates a conceptual argument.</w:t>
      </w:r>
    </w:p>
  </w:footnote>
  <w:footnote w:id="23">
    <w:p w:rsidR="00E253DE" w:rsidRPr="00B00CE6" w:rsidRDefault="00E253DE" w:rsidP="00660E93">
      <w:pPr>
        <w:pStyle w:val="FootnoteText"/>
        <w:spacing w:before="60"/>
        <w:jc w:val="both"/>
        <w:rPr>
          <w:lang w:val="en-US"/>
        </w:rPr>
      </w:pPr>
      <w:r>
        <w:rPr>
          <w:rStyle w:val="FootnoteReference"/>
        </w:rPr>
        <w:footnoteRef/>
      </w:r>
      <w:r>
        <w:t xml:space="preserve"> </w:t>
      </w:r>
      <w:r>
        <w:rPr>
          <w:lang w:val="en-US"/>
        </w:rPr>
        <w:t xml:space="preserve">These theoretical virtues are not meant to be an exhaustive list, although they are the three that I think Hume to recognise, and also the minimum needed for an adequate set of theoretical criteria. We need empirical confirmation, since a theory cannot so much as get off the ground if it fails to explain our empirical observations. But this is insufficient, as many different theories will account for the empirical phenomena; we also need other criteria, such as simplicity. We cannot have simplicity without explanatory power or vice versa, since they counterbalance each other. If we cared only about simplicity, we would only have very austere theories that did not make many predictions. If we cared only about explanatory power, we would have overly extravagant theories that </w:t>
      </w:r>
      <w:r w:rsidR="00BF6BAF">
        <w:rPr>
          <w:lang w:val="en-US"/>
        </w:rPr>
        <w:t>wantonly multiplied principles (</w:t>
      </w:r>
      <w:r w:rsidR="00982149">
        <w:rPr>
          <w:lang w:val="en-US"/>
        </w:rPr>
        <w:t>the sign of</w:t>
      </w:r>
      <w:r w:rsidR="00BF6BAF">
        <w:rPr>
          <w:lang w:val="en-US"/>
        </w:rPr>
        <w:t xml:space="preserve"> an ‘unskilful naturalist’ [THN 2.1.3.6])</w:t>
      </w:r>
      <w:r>
        <w:rPr>
          <w:lang w:val="en-US"/>
        </w:rPr>
        <w:t xml:space="preserve"> in their quest to predict everything. Of course simplicity and explanatory power need not always conflict; sometimes a simpler theory might turn out to be more explanatorily powerful as well. In any case, as a basic conception these three virtues perform adequately in theory selection. </w:t>
      </w:r>
      <w:r w:rsidR="00EE5ECD">
        <w:t xml:space="preserve">This is similar to </w:t>
      </w:r>
      <w:r>
        <w:t>Goodman (1961)</w:t>
      </w:r>
      <w:r w:rsidR="00EE5ECD">
        <w:t xml:space="preserve">, who </w:t>
      </w:r>
      <w:r>
        <w:t>advocates simplicity, strength (that is, explanatory power), and safety (which we can take as corresponding to empirical confirmation) as theoretical virtues.</w:t>
      </w:r>
      <w:r w:rsidR="00F91B7B">
        <w:t xml:space="preserve"> Such a taxonomy is of course cruder than contemporary accounts of theoretical virtues (see McMullin [2008] for an excellent discussion of various types of theoretical virtues), but this would not be surprising from an 18</w:t>
      </w:r>
      <w:r w:rsidR="00F91B7B" w:rsidRPr="00F91B7B">
        <w:rPr>
          <w:vertAlign w:val="superscript"/>
        </w:rPr>
        <w:t>th</w:t>
      </w:r>
      <w:r w:rsidR="00F91B7B">
        <w:t xml:space="preserve"> century thinker such as Hume.</w:t>
      </w:r>
    </w:p>
  </w:footnote>
  <w:footnote w:id="24">
    <w:p w:rsidR="00E253DE" w:rsidRPr="00CD3AA2" w:rsidRDefault="00E253DE" w:rsidP="00660E93">
      <w:pPr>
        <w:pStyle w:val="FootnoteText"/>
        <w:spacing w:before="60"/>
        <w:jc w:val="both"/>
      </w:pPr>
      <w:r>
        <w:rPr>
          <w:rStyle w:val="FootnoteReference"/>
        </w:rPr>
        <w:footnoteRef/>
      </w:r>
      <w:r>
        <w:t xml:space="preserve"> I am using ‘evidence’ in a non-factive manner. I also include pre-philosophical intuitions under ‘observed evidence’, given that some of Hume’s data will source from these intuitions; for example, in the second </w:t>
      </w:r>
      <w:r>
        <w:rPr>
          <w:i/>
        </w:rPr>
        <w:t>Enquiry</w:t>
      </w:r>
      <w:r>
        <w:t xml:space="preserve">, Hume examines our pre-philosophical intuitions regarding virtue and vice in deriving his account of morality. </w:t>
      </w:r>
    </w:p>
  </w:footnote>
  <w:footnote w:id="25">
    <w:p w:rsidR="00EE5ECD" w:rsidRPr="00EE5ECD" w:rsidRDefault="00EE5ECD" w:rsidP="00660E93">
      <w:pPr>
        <w:pStyle w:val="FootnoteText"/>
        <w:spacing w:before="60"/>
        <w:jc w:val="both"/>
        <w:rPr>
          <w:lang w:val="en-US"/>
        </w:rPr>
      </w:pPr>
      <w:r>
        <w:rPr>
          <w:rStyle w:val="FootnoteReference"/>
        </w:rPr>
        <w:footnoteRef/>
      </w:r>
      <w:r>
        <w:t xml:space="preserve"> </w:t>
      </w:r>
      <w:r w:rsidR="00AA079F">
        <w:t>I use ‘explanatory power’ in a narrower fashion than commentators such as Psillos (2005, p.165), who take it to encompass a variety of theoretical virtues, including unifying power (which ties in with simplicity). McMullin (2008, p.502) takes a similar view of explanatory power to Psillos.</w:t>
      </w:r>
    </w:p>
  </w:footnote>
  <w:footnote w:id="26">
    <w:p w:rsidR="00EE5ECD" w:rsidRPr="00EE5ECD" w:rsidRDefault="00EE5ECD" w:rsidP="00660E93">
      <w:pPr>
        <w:pStyle w:val="FootnoteText"/>
        <w:spacing w:before="60"/>
        <w:jc w:val="both"/>
        <w:rPr>
          <w:lang w:val="en-US"/>
        </w:rPr>
      </w:pPr>
      <w:r>
        <w:rPr>
          <w:rStyle w:val="FootnoteReference"/>
        </w:rPr>
        <w:footnoteRef/>
      </w:r>
      <w:r>
        <w:t xml:space="preserve"> Simplicity has received much attention in the philosophy of science. For a multi-disciplinary discussion, see the papers in </w:t>
      </w:r>
      <w:r w:rsidRPr="00EE5ECD">
        <w:t>Zellner, A., Keuzenkamp, H. &amp; McAleer, M. (eds.)</w:t>
      </w:r>
      <w:r>
        <w:t>, 2009.</w:t>
      </w:r>
    </w:p>
  </w:footnote>
  <w:footnote w:id="27">
    <w:p w:rsidR="00E253DE" w:rsidRPr="00B96A10" w:rsidRDefault="00E253DE" w:rsidP="00660E93">
      <w:pPr>
        <w:pStyle w:val="FootnoteText"/>
        <w:spacing w:before="60"/>
        <w:jc w:val="both"/>
        <w:rPr>
          <w:lang w:val="en-US"/>
        </w:rPr>
      </w:pPr>
      <w:r>
        <w:rPr>
          <w:rStyle w:val="FootnoteReference"/>
        </w:rPr>
        <w:footnoteRef/>
      </w:r>
      <w:r>
        <w:t xml:space="preserve"> </w:t>
      </w:r>
      <w:r>
        <w:rPr>
          <w:lang w:val="en-US"/>
        </w:rPr>
        <w:t>These two forms of simplicity often come into conflict: sometimes it might be that positing extra entities allows us to simplify our general principles. For example, postulating Neptune allowed astronomers to explain perturbations in the orbits of other planets without needlessly complicating astronomical principles.</w:t>
      </w:r>
      <w:r w:rsidR="001946F7" w:rsidRPr="001946F7">
        <w:rPr>
          <w:sz w:val="24"/>
          <w:szCs w:val="22"/>
        </w:rPr>
        <w:t xml:space="preserve"> </w:t>
      </w:r>
      <w:r w:rsidR="001946F7" w:rsidRPr="001946F7">
        <w:t>Lewis (1986) famously was happy to sacrifice quantitative parsimony for qualitative in postulating an infinitude of possible worlds in order to eliminate abstract entities such as properties and propositions.</w:t>
      </w:r>
    </w:p>
  </w:footnote>
  <w:footnote w:id="28">
    <w:p w:rsidR="00E253DE" w:rsidRPr="00B96A10" w:rsidRDefault="00E253DE" w:rsidP="00660E93">
      <w:pPr>
        <w:pStyle w:val="FootnoteText"/>
        <w:spacing w:before="60"/>
        <w:jc w:val="both"/>
        <w:rPr>
          <w:lang w:val="en-US"/>
        </w:rPr>
      </w:pPr>
      <w:r>
        <w:rPr>
          <w:rStyle w:val="FootnoteReference"/>
        </w:rPr>
        <w:footnoteRef/>
      </w:r>
      <w:r>
        <w:t xml:space="preserve"> I</w:t>
      </w:r>
      <w:r>
        <w:rPr>
          <w:lang w:val="en-US"/>
        </w:rPr>
        <w:t xml:space="preserve">t should be noted that syntactic simplicity is an empty notion if language is up for grabs, as Goodman (1965) notes. Syntactic simplicity is always </w:t>
      </w:r>
      <w:r w:rsidRPr="00CB0419">
        <w:rPr>
          <w:lang w:val="en-US"/>
        </w:rPr>
        <w:t>relative to a language</w:t>
      </w:r>
      <w:r>
        <w:rPr>
          <w:lang w:val="en-US"/>
        </w:rPr>
        <w:t>, and so we need to fix our language before examining relative syntactic simplicity.</w:t>
      </w:r>
    </w:p>
  </w:footnote>
  <w:footnote w:id="29">
    <w:p w:rsidR="00A30707" w:rsidRPr="00A30707" w:rsidRDefault="00A30707" w:rsidP="00A30707">
      <w:pPr>
        <w:pStyle w:val="FootnoteText"/>
        <w:spacing w:before="60"/>
        <w:jc w:val="both"/>
        <w:rPr>
          <w:lang w:val="en-US"/>
        </w:rPr>
      </w:pPr>
      <w:r>
        <w:rPr>
          <w:rStyle w:val="FootnoteReference"/>
        </w:rPr>
        <w:footnoteRef/>
      </w:r>
      <w:r>
        <w:t xml:space="preserve"> </w:t>
      </w:r>
      <w:r>
        <w:rPr>
          <w:lang w:val="en-US"/>
        </w:rPr>
        <w:t xml:space="preserve">Schliesser (2010) contains some interesting discussion of Hume on simplicity and beauty with respect to Copernicus. </w:t>
      </w:r>
    </w:p>
  </w:footnote>
  <w:footnote w:id="30">
    <w:p w:rsidR="00E253DE" w:rsidRDefault="00E253DE" w:rsidP="00660E93">
      <w:pPr>
        <w:pStyle w:val="FootnoteText"/>
        <w:spacing w:before="60"/>
        <w:jc w:val="both"/>
      </w:pPr>
      <w:r>
        <w:rPr>
          <w:rStyle w:val="FootnoteReference"/>
        </w:rPr>
        <w:footnoteRef/>
      </w:r>
      <w:r>
        <w:t xml:space="preserve"> Indeed, there is no point minimising the number of principles without paying any attention to the simplicity of these principles. A theory consisting of a single principle which was a conjunction of an arbitrarily large number of propositions would certainly not count as simple, for instance.</w:t>
      </w:r>
    </w:p>
  </w:footnote>
  <w:footnote w:id="31">
    <w:p w:rsidR="00E253DE" w:rsidRPr="00D217CF" w:rsidRDefault="00E253DE" w:rsidP="00660E93">
      <w:pPr>
        <w:pStyle w:val="FootnoteText"/>
        <w:spacing w:before="60"/>
        <w:jc w:val="both"/>
        <w:rPr>
          <w:lang w:val="en-US"/>
        </w:rPr>
      </w:pPr>
      <w:r>
        <w:rPr>
          <w:rStyle w:val="FootnoteReference"/>
        </w:rPr>
        <w:footnoteRef/>
      </w:r>
      <w:r>
        <w:t xml:space="preserve"> </w:t>
      </w:r>
      <w:r>
        <w:rPr>
          <w:lang w:val="en-US"/>
        </w:rPr>
        <w:t xml:space="preserve">It is important to note that despite his emphasis on simplicity, Hume does not take it to be an </w:t>
      </w:r>
      <w:r>
        <w:rPr>
          <w:i/>
          <w:lang w:val="en-US"/>
        </w:rPr>
        <w:t>overriding</w:t>
      </w:r>
      <w:r>
        <w:rPr>
          <w:lang w:val="en-US"/>
        </w:rPr>
        <w:t xml:space="preserve"> consideration. He </w:t>
      </w:r>
      <w:r w:rsidR="000F1A11">
        <w:rPr>
          <w:lang w:val="en-US"/>
        </w:rPr>
        <w:t>recognises</w:t>
      </w:r>
      <w:r>
        <w:rPr>
          <w:lang w:val="en-US"/>
        </w:rPr>
        <w:t xml:space="preserve"> that theories can easily run into falsehoods when they single-mindedly pursue simplicity at the expense of the other theoretical virtues: in arguing against the thesis that men are solely motivated by self-love, he derides ‘</w:t>
      </w:r>
      <w:r>
        <w:t xml:space="preserve">that love of </w:t>
      </w:r>
      <w:r>
        <w:rPr>
          <w:rStyle w:val="Emphasis"/>
        </w:rPr>
        <w:t>simplicity</w:t>
      </w:r>
      <w:r>
        <w:t>, which has been the source of much false reasoning in philosophy’ (EPM App 2.6). This is not to say that he denies the importance of simplicity, only that we should be careful in pursuing it: ‘And though they [moralists] have sometimes carried the matter too far, by their passion for some one general principle; it must, however, be confessed, that they are excusable in expecting to find some general principles, into which all the vices and virtues were justly to be resolved’ (EHU 1.15). Simplicity has to be weighed up against empirical confirmation and explanatory power in determining the worth of a theory.</w:t>
      </w:r>
    </w:p>
  </w:footnote>
  <w:footnote w:id="32">
    <w:p w:rsidR="00E253DE" w:rsidRPr="00710A64" w:rsidRDefault="00E253DE" w:rsidP="00660E93">
      <w:pPr>
        <w:pStyle w:val="FootnoteText"/>
        <w:spacing w:before="60"/>
        <w:jc w:val="both"/>
        <w:rPr>
          <w:lang w:val="en-US"/>
        </w:rPr>
      </w:pPr>
      <w:r>
        <w:rPr>
          <w:rStyle w:val="FootnoteReference"/>
        </w:rPr>
        <w:footnoteRef/>
      </w:r>
      <w:r>
        <w:t xml:space="preserve"> </w:t>
      </w:r>
      <w:r>
        <w:rPr>
          <w:lang w:val="en-US"/>
        </w:rPr>
        <w:t xml:space="preserve">We would expect a theory of motivation to be simple and explanatorily powerful only if we presumed that motivation is a </w:t>
      </w:r>
      <w:r>
        <w:rPr>
          <w:i/>
          <w:lang w:val="en-US"/>
        </w:rPr>
        <w:t>natural kind</w:t>
      </w:r>
      <w:r>
        <w:rPr>
          <w:lang w:val="en-US"/>
        </w:rPr>
        <w:t xml:space="preserve">, that is, if motivation is projectible, grounds counterfactuals, and so forth. If motivation were a gerrymandered concept, an adequate analysis of it might turn out to be very complex and explanatorily weak. </w:t>
      </w:r>
      <w:r w:rsidR="00926E96">
        <w:rPr>
          <w:lang w:val="en-US"/>
        </w:rPr>
        <w:t xml:space="preserve">It seems clear from Hume’s ambitions of introducing the experimental method to moral subjects (as stated in the subtitle of the </w:t>
      </w:r>
      <w:r w:rsidR="00926E96">
        <w:rPr>
          <w:i/>
          <w:lang w:val="en-US"/>
        </w:rPr>
        <w:t>Treatise</w:t>
      </w:r>
      <w:r w:rsidR="00926E96">
        <w:rPr>
          <w:lang w:val="en-US"/>
        </w:rPr>
        <w:t>) and providing a science of man (THN Intro 4) that</w:t>
      </w:r>
      <w:r>
        <w:rPr>
          <w:lang w:val="en-US"/>
        </w:rPr>
        <w:t xml:space="preserve"> </w:t>
      </w:r>
      <w:r w:rsidR="00926E96">
        <w:rPr>
          <w:lang w:val="en-US"/>
        </w:rPr>
        <w:t>he</w:t>
      </w:r>
      <w:r>
        <w:rPr>
          <w:lang w:val="en-US"/>
        </w:rPr>
        <w:t xml:space="preserve"> thinks that motivation</w:t>
      </w:r>
      <w:r w:rsidR="00926E96">
        <w:rPr>
          <w:lang w:val="en-US"/>
        </w:rPr>
        <w:t xml:space="preserve"> (among the other mental phenomena he discusses)</w:t>
      </w:r>
      <w:r>
        <w:rPr>
          <w:lang w:val="en-US"/>
        </w:rPr>
        <w:t xml:space="preserve"> is a natural kind in the relevant sense</w:t>
      </w:r>
      <w:r w:rsidR="00926E96">
        <w:rPr>
          <w:lang w:val="en-US"/>
        </w:rPr>
        <w:t>.</w:t>
      </w:r>
    </w:p>
  </w:footnote>
  <w:footnote w:id="33">
    <w:p w:rsidR="003A40BE" w:rsidRPr="003A40BE" w:rsidRDefault="003A40BE" w:rsidP="00660E93">
      <w:pPr>
        <w:pStyle w:val="FootnoteText"/>
        <w:spacing w:before="60"/>
        <w:jc w:val="both"/>
        <w:rPr>
          <w:lang w:val="en-US"/>
        </w:rPr>
      </w:pPr>
      <w:r>
        <w:rPr>
          <w:rStyle w:val="FootnoteReference"/>
        </w:rPr>
        <w:footnoteRef/>
      </w:r>
      <w:r>
        <w:t xml:space="preserve"> </w:t>
      </w:r>
      <w:r>
        <w:rPr>
          <w:lang w:val="en-US"/>
        </w:rPr>
        <w:t xml:space="preserve">Note that I am not claiming that </w:t>
      </w:r>
      <w:r>
        <w:rPr>
          <w:i/>
          <w:lang w:val="en-US"/>
        </w:rPr>
        <w:t>C</w:t>
      </w:r>
      <w:r>
        <w:rPr>
          <w:lang w:val="en-US"/>
        </w:rPr>
        <w:t xml:space="preserve"> should be favoured simply because it wins ‘two to one’; the weighting process will </w:t>
      </w:r>
      <w:r w:rsidR="000F1A11">
        <w:rPr>
          <w:lang w:val="en-US"/>
        </w:rPr>
        <w:t>like</w:t>
      </w:r>
      <w:r w:rsidR="002D4142">
        <w:rPr>
          <w:lang w:val="en-US"/>
        </w:rPr>
        <w:t>ly</w:t>
      </w:r>
      <w:r w:rsidR="000F1A11">
        <w:rPr>
          <w:lang w:val="en-US"/>
        </w:rPr>
        <w:t xml:space="preserve"> </w:t>
      </w:r>
      <w:r>
        <w:rPr>
          <w:lang w:val="en-US"/>
        </w:rPr>
        <w:t xml:space="preserve">have to be far more complex than </w:t>
      </w:r>
      <w:r w:rsidR="000F1A11">
        <w:rPr>
          <w:lang w:val="en-US"/>
        </w:rPr>
        <w:t>this</w:t>
      </w:r>
      <w:r>
        <w:rPr>
          <w:lang w:val="en-US"/>
        </w:rPr>
        <w:t>.</w:t>
      </w:r>
      <w:r w:rsidR="0018180D">
        <w:rPr>
          <w:lang w:val="en-US"/>
        </w:rPr>
        <w:t xml:space="preserve"> There are no hard and fast rules as to how conflicts between theoretical virtues should be decided.</w:t>
      </w:r>
    </w:p>
  </w:footnote>
  <w:footnote w:id="34">
    <w:p w:rsidR="00E253DE" w:rsidRPr="00C864AC" w:rsidRDefault="00E253DE" w:rsidP="00660E93">
      <w:pPr>
        <w:pStyle w:val="FootnoteText"/>
        <w:spacing w:before="60"/>
        <w:jc w:val="both"/>
        <w:rPr>
          <w:lang w:val="en-US"/>
        </w:rPr>
      </w:pPr>
      <w:r>
        <w:rPr>
          <w:rStyle w:val="FootnoteReference"/>
        </w:rPr>
        <w:footnoteRef/>
      </w:r>
      <w:r>
        <w:t xml:space="preserve"> </w:t>
      </w:r>
      <w:r>
        <w:rPr>
          <w:lang w:val="en-US"/>
        </w:rPr>
        <w:t xml:space="preserve">The above reasoning holds for the comparison of </w:t>
      </w:r>
      <w:r>
        <w:rPr>
          <w:i/>
          <w:lang w:val="en-US"/>
        </w:rPr>
        <w:t xml:space="preserve">C </w:t>
      </w:r>
      <w:r>
        <w:rPr>
          <w:lang w:val="en-US"/>
        </w:rPr>
        <w:t xml:space="preserve">with </w:t>
      </w:r>
      <w:r>
        <w:rPr>
          <w:i/>
          <w:lang w:val="en-US"/>
        </w:rPr>
        <w:t>R</w:t>
      </w:r>
      <w:r>
        <w:rPr>
          <w:lang w:val="en-US"/>
        </w:rPr>
        <w:t xml:space="preserve">, but what about the simpler hyper-rationalist hypothesis </w:t>
      </w:r>
      <w:r>
        <w:rPr>
          <w:i/>
          <w:lang w:val="en-US"/>
        </w:rPr>
        <w:t>H</w:t>
      </w:r>
      <w:r>
        <w:rPr>
          <w:lang w:val="en-US"/>
        </w:rPr>
        <w:t xml:space="preserve"> that postulates reason as the end-setter in </w:t>
      </w:r>
      <w:r>
        <w:rPr>
          <w:i/>
          <w:lang w:val="en-US"/>
        </w:rPr>
        <w:t>every</w:t>
      </w:r>
      <w:r>
        <w:rPr>
          <w:lang w:val="en-US"/>
        </w:rPr>
        <w:t xml:space="preserve"> case of motivation? </w:t>
      </w:r>
      <w:r w:rsidRPr="002332D7">
        <w:rPr>
          <w:i/>
          <w:lang w:val="en-US"/>
        </w:rPr>
        <w:t>H</w:t>
      </w:r>
      <w:r>
        <w:rPr>
          <w:lang w:val="en-US"/>
        </w:rPr>
        <w:t xml:space="preserve"> Hume has ruled out already: he argues in THN 2.3.3.2-3 (prior to his discussion of the calm passions) that there are many clear-cut cases whereby reason is </w:t>
      </w:r>
      <w:r>
        <w:rPr>
          <w:i/>
          <w:lang w:val="en-US"/>
        </w:rPr>
        <w:t>not</w:t>
      </w:r>
      <w:r>
        <w:rPr>
          <w:lang w:val="en-US"/>
        </w:rPr>
        <w:t xml:space="preserve"> the end-setter in motivation; the problem cases for </w:t>
      </w:r>
      <w:r>
        <w:rPr>
          <w:i/>
          <w:lang w:val="en-US"/>
        </w:rPr>
        <w:t>C</w:t>
      </w:r>
      <w:r>
        <w:rPr>
          <w:lang w:val="en-US"/>
        </w:rPr>
        <w:t xml:space="preserve"> on the other hand are less numerous, and it is not entirely clear that the end-setter in these cases is unambiguously reason. Although </w:t>
      </w:r>
      <w:r>
        <w:rPr>
          <w:i/>
          <w:lang w:val="en-US"/>
        </w:rPr>
        <w:t>H</w:t>
      </w:r>
      <w:r>
        <w:rPr>
          <w:lang w:val="en-US"/>
        </w:rPr>
        <w:t xml:space="preserve"> is approximately as simple </w:t>
      </w:r>
      <w:r w:rsidR="007A7AD6">
        <w:rPr>
          <w:lang w:val="en-US"/>
        </w:rPr>
        <w:t>as</w:t>
      </w:r>
      <w:r>
        <w:rPr>
          <w:lang w:val="en-US"/>
        </w:rPr>
        <w:t xml:space="preserve"> </w:t>
      </w:r>
      <w:r>
        <w:rPr>
          <w:i/>
          <w:lang w:val="en-US"/>
        </w:rPr>
        <w:t>C</w:t>
      </w:r>
      <w:r>
        <w:rPr>
          <w:lang w:val="en-US"/>
        </w:rPr>
        <w:t xml:space="preserve">, it fails with respects to empirical confirmation, and is therefore Pareto dominated by </w:t>
      </w:r>
      <w:r>
        <w:rPr>
          <w:i/>
          <w:lang w:val="en-US"/>
        </w:rPr>
        <w:t>C</w:t>
      </w:r>
      <w:r>
        <w:rPr>
          <w:lang w:val="en-US"/>
        </w:rPr>
        <w:t xml:space="preserve"> with respect to theoretical soundness.</w:t>
      </w:r>
    </w:p>
  </w:footnote>
  <w:footnote w:id="35">
    <w:p w:rsidR="00E253DE" w:rsidRPr="001B6B03" w:rsidRDefault="00E253DE" w:rsidP="00660E93">
      <w:pPr>
        <w:pStyle w:val="FootnoteText"/>
        <w:spacing w:before="60"/>
        <w:jc w:val="both"/>
        <w:rPr>
          <w:lang w:val="en-US"/>
        </w:rPr>
      </w:pPr>
      <w:r>
        <w:rPr>
          <w:rStyle w:val="FootnoteReference"/>
        </w:rPr>
        <w:footnoteRef/>
      </w:r>
      <w:r>
        <w:t xml:space="preserve"> </w:t>
      </w:r>
      <w:r>
        <w:rPr>
          <w:lang w:val="en-US"/>
        </w:rPr>
        <w:t xml:space="preserve">Perhaps one could defend </w:t>
      </w:r>
      <w:r>
        <w:rPr>
          <w:i/>
          <w:lang w:val="en-US"/>
        </w:rPr>
        <w:t>R</w:t>
      </w:r>
      <w:r>
        <w:rPr>
          <w:lang w:val="en-US"/>
        </w:rPr>
        <w:t xml:space="preserve"> by maintaining that we should individuate effects finely enough such that ‘being motivated by a passion’ counts as a different effect from ‘being motivated by reason’, and so the principle ‘same effect, same cause’ does not apply here. However, there does not seem to be a principled reason for distinguishing these two effects, as the behaviour of the agent</w:t>
      </w:r>
      <w:r w:rsidR="002D4142">
        <w:rPr>
          <w:lang w:val="en-US"/>
        </w:rPr>
        <w:t>s</w:t>
      </w:r>
      <w:r>
        <w:rPr>
          <w:lang w:val="en-US"/>
        </w:rPr>
        <w:t xml:space="preserve"> in both cases does not seem as though it should relevantly differ.</w:t>
      </w:r>
    </w:p>
  </w:footnote>
  <w:footnote w:id="36">
    <w:p w:rsidR="00E253DE" w:rsidRPr="00E274AD" w:rsidRDefault="00E253DE" w:rsidP="00660E93">
      <w:pPr>
        <w:pStyle w:val="FootnoteText"/>
        <w:spacing w:before="60"/>
        <w:jc w:val="both"/>
        <w:rPr>
          <w:lang w:val="en-US"/>
        </w:rPr>
      </w:pPr>
      <w:r>
        <w:rPr>
          <w:rStyle w:val="FootnoteReference"/>
        </w:rPr>
        <w:footnoteRef/>
      </w:r>
      <w:r>
        <w:t xml:space="preserve"> Thesis </w:t>
      </w:r>
      <w:r>
        <w:rPr>
          <w:i/>
          <w:lang w:val="en-US"/>
        </w:rPr>
        <w:t>H</w:t>
      </w:r>
      <w:r>
        <w:rPr>
          <w:lang w:val="en-US"/>
        </w:rPr>
        <w:t xml:space="preserve"> also satisfies Hume’s principle, but as </w:t>
      </w:r>
      <w:r w:rsidR="007A7AD6">
        <w:rPr>
          <w:lang w:val="en-US"/>
        </w:rPr>
        <w:t>noted in an earlier footnote</w:t>
      </w:r>
      <w:r>
        <w:rPr>
          <w:lang w:val="en-US"/>
        </w:rPr>
        <w:t xml:space="preserve">, Hume rules it out early on in his argument. Presumably he would think it to violate his third rule (THN 1.3.15.7) requiring constant conjunction between cause and effect, given that he argues in THN 2.3.3.2-3 that reasoning is frequently observed to fail to correspond to an end-setting state, and only does so when there is a passion present (which is itself the true end-setter). Of course, the apparent counterexamples </w:t>
      </w:r>
      <w:r w:rsidR="00BF6BAF">
        <w:rPr>
          <w:lang w:val="en-US"/>
        </w:rPr>
        <w:t>such as the assiduous student</w:t>
      </w:r>
      <w:r>
        <w:rPr>
          <w:lang w:val="en-US"/>
        </w:rPr>
        <w:t xml:space="preserve"> also threaten </w:t>
      </w:r>
      <w:r>
        <w:rPr>
          <w:i/>
          <w:lang w:val="en-US"/>
        </w:rPr>
        <w:t>C</w:t>
      </w:r>
      <w:r>
        <w:rPr>
          <w:lang w:val="en-US"/>
        </w:rPr>
        <w:t xml:space="preserve"> with respect to the third rule, but Hume presumably thinks the passions to be </w:t>
      </w:r>
      <w:r>
        <w:rPr>
          <w:i/>
          <w:lang w:val="en-US"/>
        </w:rPr>
        <w:t>more obviously</w:t>
      </w:r>
      <w:r>
        <w:rPr>
          <w:lang w:val="en-US"/>
        </w:rPr>
        <w:t xml:space="preserve"> constantly conjoined in an end-setting role with motivation than reason seems to be (which is not very much at all, if we take his argument in THN 2.3.3.2-3 seriously); as mentioned </w:t>
      </w:r>
      <w:r w:rsidR="007A7AD6">
        <w:rPr>
          <w:lang w:val="en-US"/>
        </w:rPr>
        <w:t>earlier</w:t>
      </w:r>
      <w:r>
        <w:rPr>
          <w:lang w:val="en-US"/>
        </w:rPr>
        <w:t xml:space="preserve">, the problem cases for </w:t>
      </w:r>
      <w:r>
        <w:rPr>
          <w:i/>
          <w:lang w:val="en-US"/>
        </w:rPr>
        <w:t>C</w:t>
      </w:r>
      <w:r>
        <w:rPr>
          <w:lang w:val="en-US"/>
        </w:rPr>
        <w:t xml:space="preserve"> are more ambiguous than the problem cases for </w:t>
      </w:r>
      <w:r>
        <w:rPr>
          <w:i/>
          <w:lang w:val="en-US"/>
        </w:rPr>
        <w:t>H</w:t>
      </w:r>
      <w:r>
        <w:rPr>
          <w:lang w:val="en-US"/>
        </w:rPr>
        <w:t xml:space="preserve">, and </w:t>
      </w:r>
      <w:r>
        <w:rPr>
          <w:i/>
          <w:lang w:val="en-US"/>
        </w:rPr>
        <w:t>C</w:t>
      </w:r>
      <w:r>
        <w:rPr>
          <w:lang w:val="en-US"/>
        </w:rPr>
        <w:t xml:space="preserve"> seems to win on this count. In this respect, Hume’s treatment of </w:t>
      </w:r>
      <w:r>
        <w:rPr>
          <w:i/>
          <w:lang w:val="en-US"/>
        </w:rPr>
        <w:t xml:space="preserve">H </w:t>
      </w:r>
      <w:r>
        <w:rPr>
          <w:lang w:val="en-US"/>
        </w:rPr>
        <w:t>is analogous to his discussion of the claim that we are only motivated by self-love (EPM App 2); this hypothesis satisfies Hume’s fourth rule, but he dismisses it because of the various counterexamples he finds (which entail that it violates the third rule).</w:t>
      </w:r>
    </w:p>
  </w:footnote>
  <w:footnote w:id="37">
    <w:p w:rsidR="00E253DE" w:rsidRPr="007A3DFD" w:rsidRDefault="00E253DE" w:rsidP="00660E93">
      <w:pPr>
        <w:pStyle w:val="FootnoteText"/>
        <w:spacing w:before="60"/>
        <w:jc w:val="both"/>
        <w:rPr>
          <w:lang w:val="en-US"/>
        </w:rPr>
      </w:pPr>
      <w:r>
        <w:rPr>
          <w:rStyle w:val="FootnoteReference"/>
        </w:rPr>
        <w:footnoteRef/>
      </w:r>
      <w:r>
        <w:t xml:space="preserve"> </w:t>
      </w:r>
      <w:r>
        <w:rPr>
          <w:lang w:val="en-US"/>
        </w:rPr>
        <w:t>Hume does note that the monkish virtues are rejected by ‘men of sense’, but of course such men may be rare; certainly in Hume’s time the monkish virtues were commonly taken as virtues, and even today humility is widely considered a virtue.</w:t>
      </w:r>
      <w:r w:rsidR="00F5480D" w:rsidRPr="00F5480D">
        <w:rPr>
          <w:sz w:val="24"/>
          <w:szCs w:val="22"/>
          <w:lang w:val="en-US"/>
        </w:rPr>
        <w:t xml:space="preserve"> </w:t>
      </w:r>
      <w:r w:rsidR="00F5480D" w:rsidRPr="00F5480D">
        <w:rPr>
          <w:lang w:val="en-US"/>
        </w:rPr>
        <w:t>The ‘men of sense’ who reject the monkish virtues can be seen as analogous to the discerning agents who successfully discern a calm passion in cases of motivation such as the assiduous student.</w:t>
      </w:r>
    </w:p>
  </w:footnote>
  <w:footnote w:id="38">
    <w:p w:rsidR="00E253DE" w:rsidRPr="005138FC" w:rsidRDefault="00E253DE" w:rsidP="00660E93">
      <w:pPr>
        <w:pStyle w:val="FootnoteText"/>
        <w:spacing w:before="60"/>
        <w:jc w:val="both"/>
        <w:rPr>
          <w:lang w:val="en-US"/>
        </w:rPr>
      </w:pPr>
      <w:r>
        <w:rPr>
          <w:rStyle w:val="FootnoteReference"/>
        </w:rPr>
        <w:footnoteRef/>
      </w:r>
      <w:r>
        <w:t xml:space="preserve"> Admittedly, this might not be a purely theoretical correction, since the transfer is at least partially the result of our ‘natural sentiments’, which are not ‘entirely’ perverted. Nevertheless, it seems clear that theoretical considerations can and do play a role in pushing us one way or another, especially when our sentiments are on the fence (because only partially perverted). </w:t>
      </w:r>
    </w:p>
  </w:footnote>
  <w:footnote w:id="39">
    <w:p w:rsidR="00AC41F4" w:rsidRPr="00AC41F4" w:rsidRDefault="00AC41F4" w:rsidP="00AC41F4">
      <w:pPr>
        <w:pStyle w:val="FootnoteText"/>
        <w:spacing w:before="60"/>
        <w:jc w:val="both"/>
        <w:rPr>
          <w:lang w:val="en-US"/>
        </w:rPr>
      </w:pPr>
      <w:r>
        <w:rPr>
          <w:rStyle w:val="FootnoteReference"/>
        </w:rPr>
        <w:footnoteRef/>
      </w:r>
      <w:r>
        <w:t xml:space="preserve"> </w:t>
      </w:r>
      <w:r>
        <w:rPr>
          <w:lang w:val="en-US"/>
        </w:rPr>
        <w:t xml:space="preserve">Similar remarks might be made regarding some of Hume’s other rules by which to judge of causes and effects. </w:t>
      </w:r>
      <w:r w:rsidR="00AB004B">
        <w:rPr>
          <w:lang w:val="en-US"/>
        </w:rPr>
        <w:t xml:space="preserve">For instance, </w:t>
      </w:r>
      <w:r>
        <w:rPr>
          <w:lang w:val="en-US"/>
        </w:rPr>
        <w:t>Hazony and Schliesser (forthcoming) argue that Hume’s seventh rule obliquely critiques Newton’s theory of gravitation.</w:t>
      </w:r>
    </w:p>
  </w:footnote>
  <w:footnote w:id="40">
    <w:p w:rsidR="00561AA2" w:rsidRPr="00561AA2" w:rsidRDefault="00561AA2" w:rsidP="00561AA2">
      <w:pPr>
        <w:pStyle w:val="FootnoteText"/>
        <w:spacing w:before="60"/>
        <w:rPr>
          <w:lang w:val="en-US"/>
        </w:rPr>
      </w:pPr>
      <w:r>
        <w:rPr>
          <w:rStyle w:val="FootnoteReference"/>
        </w:rPr>
        <w:footnoteRef/>
      </w:r>
      <w:r>
        <w:t xml:space="preserve"> </w:t>
      </w:r>
      <w:r w:rsidR="00BD71F4">
        <w:t>For invaluable and detailed comments on this paper, I am indebted to Don Garrett. I owe much also to B</w:t>
      </w:r>
      <w:r w:rsidR="00BD71F4" w:rsidRPr="00BD71F4">
        <w:t>é</w:t>
      </w:r>
      <w:r w:rsidR="00BD71F4">
        <w:t>atrice Longuenesse, Peter Millican, and Kelley Schiffman for very helpful feedback. Thanks also to Harjit Bhogal, Camil Golub, and Alexis Elder for useful comments on an earlier draft. I would also like to thank an audience at the Yale-UConn Graduate Philosophy Conference 2012 for their excellent comments.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93" w:rsidRDefault="00BE7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93" w:rsidRDefault="00BE7B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93" w:rsidRDefault="00BE7B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BCA"/>
    <w:multiLevelType w:val="hybridMultilevel"/>
    <w:tmpl w:val="7DA0F4BA"/>
    <w:lvl w:ilvl="0" w:tplc="E78CA63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EC80C21"/>
    <w:multiLevelType w:val="hybridMultilevel"/>
    <w:tmpl w:val="432A147A"/>
    <w:lvl w:ilvl="0" w:tplc="EE6E7E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E1485"/>
    <w:multiLevelType w:val="hybridMultilevel"/>
    <w:tmpl w:val="9028D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0401C8"/>
    <w:multiLevelType w:val="hybridMultilevel"/>
    <w:tmpl w:val="478AF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206D2"/>
    <w:multiLevelType w:val="hybridMultilevel"/>
    <w:tmpl w:val="070003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93512"/>
    <w:multiLevelType w:val="hybridMultilevel"/>
    <w:tmpl w:val="79DC5BA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321A"/>
    <w:rsid w:val="00003C79"/>
    <w:rsid w:val="00004752"/>
    <w:rsid w:val="000122AA"/>
    <w:rsid w:val="00014419"/>
    <w:rsid w:val="000151E5"/>
    <w:rsid w:val="00017D9D"/>
    <w:rsid w:val="000205B8"/>
    <w:rsid w:val="000223FF"/>
    <w:rsid w:val="00024601"/>
    <w:rsid w:val="000257EA"/>
    <w:rsid w:val="00027DD9"/>
    <w:rsid w:val="00035BF2"/>
    <w:rsid w:val="000424A1"/>
    <w:rsid w:val="00043061"/>
    <w:rsid w:val="0005094D"/>
    <w:rsid w:val="00052D55"/>
    <w:rsid w:val="00054116"/>
    <w:rsid w:val="00056E5E"/>
    <w:rsid w:val="0007765B"/>
    <w:rsid w:val="0008011D"/>
    <w:rsid w:val="00081E1F"/>
    <w:rsid w:val="00082929"/>
    <w:rsid w:val="00082A55"/>
    <w:rsid w:val="000875C6"/>
    <w:rsid w:val="00094746"/>
    <w:rsid w:val="00095CC6"/>
    <w:rsid w:val="000A2AC9"/>
    <w:rsid w:val="000A5F89"/>
    <w:rsid w:val="000A6118"/>
    <w:rsid w:val="000B0A7E"/>
    <w:rsid w:val="000B3DF7"/>
    <w:rsid w:val="000B793B"/>
    <w:rsid w:val="000C3652"/>
    <w:rsid w:val="000C48B0"/>
    <w:rsid w:val="000C6128"/>
    <w:rsid w:val="000C7DEC"/>
    <w:rsid w:val="000D0AEB"/>
    <w:rsid w:val="000E2EBA"/>
    <w:rsid w:val="000E3DF7"/>
    <w:rsid w:val="000E623B"/>
    <w:rsid w:val="000E6B69"/>
    <w:rsid w:val="000F016D"/>
    <w:rsid w:val="000F1550"/>
    <w:rsid w:val="000F1A11"/>
    <w:rsid w:val="000F2E25"/>
    <w:rsid w:val="0010029B"/>
    <w:rsid w:val="00107588"/>
    <w:rsid w:val="001079A3"/>
    <w:rsid w:val="00107D29"/>
    <w:rsid w:val="0012069B"/>
    <w:rsid w:val="00124E81"/>
    <w:rsid w:val="00126DA1"/>
    <w:rsid w:val="0012760F"/>
    <w:rsid w:val="00133F42"/>
    <w:rsid w:val="0013639D"/>
    <w:rsid w:val="0014047A"/>
    <w:rsid w:val="00145AE0"/>
    <w:rsid w:val="001477FD"/>
    <w:rsid w:val="0015129D"/>
    <w:rsid w:val="00160FE7"/>
    <w:rsid w:val="00161401"/>
    <w:rsid w:val="0016421C"/>
    <w:rsid w:val="00164A8F"/>
    <w:rsid w:val="00165A27"/>
    <w:rsid w:val="001702B6"/>
    <w:rsid w:val="00170642"/>
    <w:rsid w:val="0017337B"/>
    <w:rsid w:val="0018180D"/>
    <w:rsid w:val="001832E9"/>
    <w:rsid w:val="0018682E"/>
    <w:rsid w:val="0018775F"/>
    <w:rsid w:val="00192395"/>
    <w:rsid w:val="001931AB"/>
    <w:rsid w:val="001946F7"/>
    <w:rsid w:val="00194F4A"/>
    <w:rsid w:val="001A0032"/>
    <w:rsid w:val="001A68B5"/>
    <w:rsid w:val="001B2963"/>
    <w:rsid w:val="001B6716"/>
    <w:rsid w:val="001B6B03"/>
    <w:rsid w:val="001B74CC"/>
    <w:rsid w:val="001C4BFA"/>
    <w:rsid w:val="001C58AB"/>
    <w:rsid w:val="001D0421"/>
    <w:rsid w:val="001D1B09"/>
    <w:rsid w:val="001D357D"/>
    <w:rsid w:val="001D4707"/>
    <w:rsid w:val="001D610D"/>
    <w:rsid w:val="001E23ED"/>
    <w:rsid w:val="001E4D05"/>
    <w:rsid w:val="001F0A6F"/>
    <w:rsid w:val="001F1980"/>
    <w:rsid w:val="001F3C1F"/>
    <w:rsid w:val="001F414B"/>
    <w:rsid w:val="001F446F"/>
    <w:rsid w:val="00200430"/>
    <w:rsid w:val="00200870"/>
    <w:rsid w:val="00207659"/>
    <w:rsid w:val="002157E3"/>
    <w:rsid w:val="00217451"/>
    <w:rsid w:val="002220D7"/>
    <w:rsid w:val="00222DC2"/>
    <w:rsid w:val="002233B1"/>
    <w:rsid w:val="00225806"/>
    <w:rsid w:val="00227817"/>
    <w:rsid w:val="00233129"/>
    <w:rsid w:val="002332D7"/>
    <w:rsid w:val="00234910"/>
    <w:rsid w:val="00235261"/>
    <w:rsid w:val="00236C31"/>
    <w:rsid w:val="00240E2A"/>
    <w:rsid w:val="00241049"/>
    <w:rsid w:val="00241237"/>
    <w:rsid w:val="0024195C"/>
    <w:rsid w:val="002534FF"/>
    <w:rsid w:val="00267681"/>
    <w:rsid w:val="002679F2"/>
    <w:rsid w:val="0028150C"/>
    <w:rsid w:val="0028296A"/>
    <w:rsid w:val="00290BB3"/>
    <w:rsid w:val="002A68DD"/>
    <w:rsid w:val="002B056C"/>
    <w:rsid w:val="002B05A6"/>
    <w:rsid w:val="002B0CD2"/>
    <w:rsid w:val="002B14B8"/>
    <w:rsid w:val="002B157F"/>
    <w:rsid w:val="002B33FE"/>
    <w:rsid w:val="002B3BFE"/>
    <w:rsid w:val="002B59B9"/>
    <w:rsid w:val="002D2515"/>
    <w:rsid w:val="002D4142"/>
    <w:rsid w:val="002D6304"/>
    <w:rsid w:val="002E0F4A"/>
    <w:rsid w:val="002E1F4F"/>
    <w:rsid w:val="002E778A"/>
    <w:rsid w:val="002F2167"/>
    <w:rsid w:val="00320B0D"/>
    <w:rsid w:val="00321096"/>
    <w:rsid w:val="0032150F"/>
    <w:rsid w:val="0032684B"/>
    <w:rsid w:val="00327329"/>
    <w:rsid w:val="00327EE2"/>
    <w:rsid w:val="003305BB"/>
    <w:rsid w:val="003317E7"/>
    <w:rsid w:val="00335C66"/>
    <w:rsid w:val="00340B3F"/>
    <w:rsid w:val="00343719"/>
    <w:rsid w:val="003447D3"/>
    <w:rsid w:val="00345732"/>
    <w:rsid w:val="003562DD"/>
    <w:rsid w:val="003614A2"/>
    <w:rsid w:val="00362D5F"/>
    <w:rsid w:val="00364A30"/>
    <w:rsid w:val="0036614A"/>
    <w:rsid w:val="00366A39"/>
    <w:rsid w:val="00370FA4"/>
    <w:rsid w:val="00387113"/>
    <w:rsid w:val="00396963"/>
    <w:rsid w:val="00397682"/>
    <w:rsid w:val="003A40BE"/>
    <w:rsid w:val="003A5167"/>
    <w:rsid w:val="003C2366"/>
    <w:rsid w:val="003C6530"/>
    <w:rsid w:val="003D4331"/>
    <w:rsid w:val="003D6445"/>
    <w:rsid w:val="003E3412"/>
    <w:rsid w:val="003E3B6A"/>
    <w:rsid w:val="003E6913"/>
    <w:rsid w:val="003F71E7"/>
    <w:rsid w:val="003F7576"/>
    <w:rsid w:val="00400B21"/>
    <w:rsid w:val="0040275A"/>
    <w:rsid w:val="00406695"/>
    <w:rsid w:val="004066F7"/>
    <w:rsid w:val="00412C50"/>
    <w:rsid w:val="004131ED"/>
    <w:rsid w:val="00422149"/>
    <w:rsid w:val="00426B01"/>
    <w:rsid w:val="004277AE"/>
    <w:rsid w:val="004278E1"/>
    <w:rsid w:val="004308DE"/>
    <w:rsid w:val="00432B7B"/>
    <w:rsid w:val="00432E6A"/>
    <w:rsid w:val="0043627F"/>
    <w:rsid w:val="00440C29"/>
    <w:rsid w:val="00444A7C"/>
    <w:rsid w:val="0045053B"/>
    <w:rsid w:val="00452310"/>
    <w:rsid w:val="00460A99"/>
    <w:rsid w:val="00460C75"/>
    <w:rsid w:val="00464A9C"/>
    <w:rsid w:val="0046538D"/>
    <w:rsid w:val="00470C0E"/>
    <w:rsid w:val="00472D1C"/>
    <w:rsid w:val="0047521D"/>
    <w:rsid w:val="00476E29"/>
    <w:rsid w:val="004828AE"/>
    <w:rsid w:val="00492814"/>
    <w:rsid w:val="00495A7C"/>
    <w:rsid w:val="00496C3A"/>
    <w:rsid w:val="00497EF2"/>
    <w:rsid w:val="004B3821"/>
    <w:rsid w:val="004B3D27"/>
    <w:rsid w:val="004D6838"/>
    <w:rsid w:val="004D71BB"/>
    <w:rsid w:val="004F16C7"/>
    <w:rsid w:val="004F2252"/>
    <w:rsid w:val="004F302E"/>
    <w:rsid w:val="004F35AB"/>
    <w:rsid w:val="004F3CE8"/>
    <w:rsid w:val="004F5745"/>
    <w:rsid w:val="004F57DE"/>
    <w:rsid w:val="004F583F"/>
    <w:rsid w:val="00500E25"/>
    <w:rsid w:val="00501E3E"/>
    <w:rsid w:val="005050B0"/>
    <w:rsid w:val="00512563"/>
    <w:rsid w:val="005138FC"/>
    <w:rsid w:val="005167BF"/>
    <w:rsid w:val="0052159E"/>
    <w:rsid w:val="00527AA8"/>
    <w:rsid w:val="00530B80"/>
    <w:rsid w:val="00532D02"/>
    <w:rsid w:val="0053342F"/>
    <w:rsid w:val="00543C65"/>
    <w:rsid w:val="0054645B"/>
    <w:rsid w:val="0054776D"/>
    <w:rsid w:val="005511C1"/>
    <w:rsid w:val="00556FEF"/>
    <w:rsid w:val="00560A01"/>
    <w:rsid w:val="00561AA2"/>
    <w:rsid w:val="005639D3"/>
    <w:rsid w:val="00564B21"/>
    <w:rsid w:val="005658DD"/>
    <w:rsid w:val="00566BC0"/>
    <w:rsid w:val="00575234"/>
    <w:rsid w:val="00577639"/>
    <w:rsid w:val="00583E07"/>
    <w:rsid w:val="0058495D"/>
    <w:rsid w:val="00586051"/>
    <w:rsid w:val="00586FF2"/>
    <w:rsid w:val="00587AB5"/>
    <w:rsid w:val="00592AD5"/>
    <w:rsid w:val="0059512E"/>
    <w:rsid w:val="005959AE"/>
    <w:rsid w:val="00597BCA"/>
    <w:rsid w:val="005A591F"/>
    <w:rsid w:val="005A64B4"/>
    <w:rsid w:val="005B0EA1"/>
    <w:rsid w:val="005C2C18"/>
    <w:rsid w:val="005C5892"/>
    <w:rsid w:val="005D0CBD"/>
    <w:rsid w:val="005D49C9"/>
    <w:rsid w:val="005D62CB"/>
    <w:rsid w:val="005E2796"/>
    <w:rsid w:val="005F29B9"/>
    <w:rsid w:val="005F57F2"/>
    <w:rsid w:val="00602DC7"/>
    <w:rsid w:val="00606ECE"/>
    <w:rsid w:val="00612B5D"/>
    <w:rsid w:val="00612F63"/>
    <w:rsid w:val="006153A9"/>
    <w:rsid w:val="00615BFE"/>
    <w:rsid w:val="00620EFA"/>
    <w:rsid w:val="0062373E"/>
    <w:rsid w:val="00623AB1"/>
    <w:rsid w:val="006241C8"/>
    <w:rsid w:val="00624DEF"/>
    <w:rsid w:val="00624F90"/>
    <w:rsid w:val="00626298"/>
    <w:rsid w:val="00626577"/>
    <w:rsid w:val="00627F0C"/>
    <w:rsid w:val="00631B80"/>
    <w:rsid w:val="00632B11"/>
    <w:rsid w:val="0063544A"/>
    <w:rsid w:val="0063563D"/>
    <w:rsid w:val="00635FD7"/>
    <w:rsid w:val="00643CC8"/>
    <w:rsid w:val="006466CD"/>
    <w:rsid w:val="00646C21"/>
    <w:rsid w:val="006545C4"/>
    <w:rsid w:val="00660E93"/>
    <w:rsid w:val="0066597A"/>
    <w:rsid w:val="00667253"/>
    <w:rsid w:val="00667C33"/>
    <w:rsid w:val="00672636"/>
    <w:rsid w:val="006755CB"/>
    <w:rsid w:val="006770B2"/>
    <w:rsid w:val="00684DE0"/>
    <w:rsid w:val="006917E9"/>
    <w:rsid w:val="00691964"/>
    <w:rsid w:val="00695A8F"/>
    <w:rsid w:val="00695F98"/>
    <w:rsid w:val="006B4D5E"/>
    <w:rsid w:val="006C3BE4"/>
    <w:rsid w:val="006C47C8"/>
    <w:rsid w:val="006C6564"/>
    <w:rsid w:val="006D53A6"/>
    <w:rsid w:val="006E0B16"/>
    <w:rsid w:val="006E6DB0"/>
    <w:rsid w:val="006F2983"/>
    <w:rsid w:val="006F777B"/>
    <w:rsid w:val="0070035F"/>
    <w:rsid w:val="007005D6"/>
    <w:rsid w:val="0070064C"/>
    <w:rsid w:val="00703B77"/>
    <w:rsid w:val="00710A64"/>
    <w:rsid w:val="00713732"/>
    <w:rsid w:val="0071728D"/>
    <w:rsid w:val="00723B6E"/>
    <w:rsid w:val="00724BD2"/>
    <w:rsid w:val="00730281"/>
    <w:rsid w:val="007327F0"/>
    <w:rsid w:val="00740FFE"/>
    <w:rsid w:val="00741C5B"/>
    <w:rsid w:val="00746BAE"/>
    <w:rsid w:val="007549BA"/>
    <w:rsid w:val="007577A7"/>
    <w:rsid w:val="00765E19"/>
    <w:rsid w:val="007671DD"/>
    <w:rsid w:val="0079330B"/>
    <w:rsid w:val="007938DD"/>
    <w:rsid w:val="007A16DB"/>
    <w:rsid w:val="007A1827"/>
    <w:rsid w:val="007A2A5A"/>
    <w:rsid w:val="007A3DFD"/>
    <w:rsid w:val="007A5AAA"/>
    <w:rsid w:val="007A6444"/>
    <w:rsid w:val="007A7AD6"/>
    <w:rsid w:val="007B321A"/>
    <w:rsid w:val="007B48E6"/>
    <w:rsid w:val="007B4DCB"/>
    <w:rsid w:val="007C2A7F"/>
    <w:rsid w:val="007D110D"/>
    <w:rsid w:val="007D1D82"/>
    <w:rsid w:val="007D2044"/>
    <w:rsid w:val="007D7654"/>
    <w:rsid w:val="007E01E5"/>
    <w:rsid w:val="007E0FAD"/>
    <w:rsid w:val="007E120B"/>
    <w:rsid w:val="007E245B"/>
    <w:rsid w:val="007E71AD"/>
    <w:rsid w:val="007F05DD"/>
    <w:rsid w:val="007F6E8D"/>
    <w:rsid w:val="007F7A91"/>
    <w:rsid w:val="008015D3"/>
    <w:rsid w:val="0080597D"/>
    <w:rsid w:val="00805A35"/>
    <w:rsid w:val="00811952"/>
    <w:rsid w:val="00813574"/>
    <w:rsid w:val="00813AF8"/>
    <w:rsid w:val="00824EB9"/>
    <w:rsid w:val="00831063"/>
    <w:rsid w:val="008327E6"/>
    <w:rsid w:val="0083513C"/>
    <w:rsid w:val="0083640B"/>
    <w:rsid w:val="00843275"/>
    <w:rsid w:val="008444EB"/>
    <w:rsid w:val="00844846"/>
    <w:rsid w:val="00844EB4"/>
    <w:rsid w:val="00847CEA"/>
    <w:rsid w:val="00855590"/>
    <w:rsid w:val="00860DA9"/>
    <w:rsid w:val="00866232"/>
    <w:rsid w:val="00867ED5"/>
    <w:rsid w:val="00877848"/>
    <w:rsid w:val="00886FA9"/>
    <w:rsid w:val="008871AD"/>
    <w:rsid w:val="008925BE"/>
    <w:rsid w:val="008A1E77"/>
    <w:rsid w:val="008A6E1D"/>
    <w:rsid w:val="008A73AB"/>
    <w:rsid w:val="008B1786"/>
    <w:rsid w:val="008B21AB"/>
    <w:rsid w:val="008B2F39"/>
    <w:rsid w:val="008C6184"/>
    <w:rsid w:val="008D30AB"/>
    <w:rsid w:val="008E045D"/>
    <w:rsid w:val="008E3704"/>
    <w:rsid w:val="008E3C6F"/>
    <w:rsid w:val="008F21CF"/>
    <w:rsid w:val="008F332B"/>
    <w:rsid w:val="008F5EAF"/>
    <w:rsid w:val="008F683C"/>
    <w:rsid w:val="00910CC7"/>
    <w:rsid w:val="00913188"/>
    <w:rsid w:val="00915957"/>
    <w:rsid w:val="00916014"/>
    <w:rsid w:val="00917D9F"/>
    <w:rsid w:val="00917FE7"/>
    <w:rsid w:val="00924FF1"/>
    <w:rsid w:val="00926E96"/>
    <w:rsid w:val="0092725C"/>
    <w:rsid w:val="00931A33"/>
    <w:rsid w:val="0093293C"/>
    <w:rsid w:val="0094073C"/>
    <w:rsid w:val="009428AE"/>
    <w:rsid w:val="00946C3C"/>
    <w:rsid w:val="00950023"/>
    <w:rsid w:val="00950851"/>
    <w:rsid w:val="009610B7"/>
    <w:rsid w:val="00964673"/>
    <w:rsid w:val="0096479F"/>
    <w:rsid w:val="009716E6"/>
    <w:rsid w:val="009733E7"/>
    <w:rsid w:val="0097531C"/>
    <w:rsid w:val="00975A26"/>
    <w:rsid w:val="00975B67"/>
    <w:rsid w:val="00980AB9"/>
    <w:rsid w:val="00980D51"/>
    <w:rsid w:val="009811BD"/>
    <w:rsid w:val="009811FE"/>
    <w:rsid w:val="00982149"/>
    <w:rsid w:val="00985DB4"/>
    <w:rsid w:val="00990EFC"/>
    <w:rsid w:val="009A1059"/>
    <w:rsid w:val="009A449F"/>
    <w:rsid w:val="009A4908"/>
    <w:rsid w:val="009A6128"/>
    <w:rsid w:val="009B0944"/>
    <w:rsid w:val="009B46E6"/>
    <w:rsid w:val="009B6034"/>
    <w:rsid w:val="009C2F63"/>
    <w:rsid w:val="009C4004"/>
    <w:rsid w:val="009C4717"/>
    <w:rsid w:val="009C5A35"/>
    <w:rsid w:val="009C6D07"/>
    <w:rsid w:val="009D1E8B"/>
    <w:rsid w:val="009D4A07"/>
    <w:rsid w:val="009E7D58"/>
    <w:rsid w:val="009F3650"/>
    <w:rsid w:val="00A02BE2"/>
    <w:rsid w:val="00A02F0D"/>
    <w:rsid w:val="00A20CA7"/>
    <w:rsid w:val="00A21D01"/>
    <w:rsid w:val="00A24808"/>
    <w:rsid w:val="00A263E1"/>
    <w:rsid w:val="00A269D6"/>
    <w:rsid w:val="00A30081"/>
    <w:rsid w:val="00A30707"/>
    <w:rsid w:val="00A321F4"/>
    <w:rsid w:val="00A36A5F"/>
    <w:rsid w:val="00A3767F"/>
    <w:rsid w:val="00A43906"/>
    <w:rsid w:val="00A46E9C"/>
    <w:rsid w:val="00A509E9"/>
    <w:rsid w:val="00A55036"/>
    <w:rsid w:val="00A556DC"/>
    <w:rsid w:val="00A64444"/>
    <w:rsid w:val="00A648F1"/>
    <w:rsid w:val="00A6546A"/>
    <w:rsid w:val="00A744D4"/>
    <w:rsid w:val="00A7492C"/>
    <w:rsid w:val="00A75270"/>
    <w:rsid w:val="00A75454"/>
    <w:rsid w:val="00A768B9"/>
    <w:rsid w:val="00A8479A"/>
    <w:rsid w:val="00A91653"/>
    <w:rsid w:val="00A9678D"/>
    <w:rsid w:val="00AA079F"/>
    <w:rsid w:val="00AA1FA3"/>
    <w:rsid w:val="00AB004B"/>
    <w:rsid w:val="00AB0262"/>
    <w:rsid w:val="00AB5927"/>
    <w:rsid w:val="00AC3644"/>
    <w:rsid w:val="00AC37F7"/>
    <w:rsid w:val="00AC41F4"/>
    <w:rsid w:val="00AC7B9C"/>
    <w:rsid w:val="00AD3D4A"/>
    <w:rsid w:val="00AD3EF5"/>
    <w:rsid w:val="00AD40D6"/>
    <w:rsid w:val="00AD6246"/>
    <w:rsid w:val="00AF7379"/>
    <w:rsid w:val="00B00CE6"/>
    <w:rsid w:val="00B0437A"/>
    <w:rsid w:val="00B052C4"/>
    <w:rsid w:val="00B17DA7"/>
    <w:rsid w:val="00B212DB"/>
    <w:rsid w:val="00B2378D"/>
    <w:rsid w:val="00B2391D"/>
    <w:rsid w:val="00B239A8"/>
    <w:rsid w:val="00B26C95"/>
    <w:rsid w:val="00B27876"/>
    <w:rsid w:val="00B33D78"/>
    <w:rsid w:val="00B35650"/>
    <w:rsid w:val="00B408A2"/>
    <w:rsid w:val="00B46093"/>
    <w:rsid w:val="00B467C4"/>
    <w:rsid w:val="00B46996"/>
    <w:rsid w:val="00B53031"/>
    <w:rsid w:val="00B640F8"/>
    <w:rsid w:val="00B64553"/>
    <w:rsid w:val="00B733D3"/>
    <w:rsid w:val="00B75059"/>
    <w:rsid w:val="00B7634E"/>
    <w:rsid w:val="00B77100"/>
    <w:rsid w:val="00B96A10"/>
    <w:rsid w:val="00BA1845"/>
    <w:rsid w:val="00BA1E06"/>
    <w:rsid w:val="00BA4919"/>
    <w:rsid w:val="00BB0A86"/>
    <w:rsid w:val="00BC23F2"/>
    <w:rsid w:val="00BC4367"/>
    <w:rsid w:val="00BC4376"/>
    <w:rsid w:val="00BD07AD"/>
    <w:rsid w:val="00BD61FC"/>
    <w:rsid w:val="00BD71F4"/>
    <w:rsid w:val="00BE182A"/>
    <w:rsid w:val="00BE37F9"/>
    <w:rsid w:val="00BE7B93"/>
    <w:rsid w:val="00BE7CF9"/>
    <w:rsid w:val="00BF0DD1"/>
    <w:rsid w:val="00BF1039"/>
    <w:rsid w:val="00BF6BAF"/>
    <w:rsid w:val="00C00418"/>
    <w:rsid w:val="00C03A46"/>
    <w:rsid w:val="00C10BBC"/>
    <w:rsid w:val="00C23AB1"/>
    <w:rsid w:val="00C24842"/>
    <w:rsid w:val="00C27369"/>
    <w:rsid w:val="00C27D32"/>
    <w:rsid w:val="00C304A3"/>
    <w:rsid w:val="00C31436"/>
    <w:rsid w:val="00C32D81"/>
    <w:rsid w:val="00C33D13"/>
    <w:rsid w:val="00C34E4F"/>
    <w:rsid w:val="00C35DE1"/>
    <w:rsid w:val="00C40D42"/>
    <w:rsid w:val="00C45DEC"/>
    <w:rsid w:val="00C46797"/>
    <w:rsid w:val="00C471AD"/>
    <w:rsid w:val="00C5144E"/>
    <w:rsid w:val="00C53957"/>
    <w:rsid w:val="00C5783D"/>
    <w:rsid w:val="00C614DF"/>
    <w:rsid w:val="00C6397A"/>
    <w:rsid w:val="00C66477"/>
    <w:rsid w:val="00C82F4F"/>
    <w:rsid w:val="00C83554"/>
    <w:rsid w:val="00C84ADD"/>
    <w:rsid w:val="00C85E80"/>
    <w:rsid w:val="00C864AC"/>
    <w:rsid w:val="00C87F13"/>
    <w:rsid w:val="00C917F5"/>
    <w:rsid w:val="00C9604F"/>
    <w:rsid w:val="00CA7CB4"/>
    <w:rsid w:val="00CB0419"/>
    <w:rsid w:val="00CB269A"/>
    <w:rsid w:val="00CB6FC5"/>
    <w:rsid w:val="00CB75C0"/>
    <w:rsid w:val="00CC021E"/>
    <w:rsid w:val="00CC2F8A"/>
    <w:rsid w:val="00CC4ADB"/>
    <w:rsid w:val="00CC5ADD"/>
    <w:rsid w:val="00CD2EE0"/>
    <w:rsid w:val="00CD3AA2"/>
    <w:rsid w:val="00CD519B"/>
    <w:rsid w:val="00CE0B0E"/>
    <w:rsid w:val="00CE547D"/>
    <w:rsid w:val="00CF30EB"/>
    <w:rsid w:val="00D07F74"/>
    <w:rsid w:val="00D1003E"/>
    <w:rsid w:val="00D13493"/>
    <w:rsid w:val="00D16D27"/>
    <w:rsid w:val="00D217CF"/>
    <w:rsid w:val="00D2456A"/>
    <w:rsid w:val="00D25223"/>
    <w:rsid w:val="00D34550"/>
    <w:rsid w:val="00D3512E"/>
    <w:rsid w:val="00D410DD"/>
    <w:rsid w:val="00D514C1"/>
    <w:rsid w:val="00D5263A"/>
    <w:rsid w:val="00D52947"/>
    <w:rsid w:val="00D53EBA"/>
    <w:rsid w:val="00D55A18"/>
    <w:rsid w:val="00D60639"/>
    <w:rsid w:val="00D621CD"/>
    <w:rsid w:val="00D64A58"/>
    <w:rsid w:val="00D67616"/>
    <w:rsid w:val="00D67688"/>
    <w:rsid w:val="00D72AD3"/>
    <w:rsid w:val="00D86F34"/>
    <w:rsid w:val="00DB41F1"/>
    <w:rsid w:val="00DC1736"/>
    <w:rsid w:val="00DD2B0E"/>
    <w:rsid w:val="00DD5AF1"/>
    <w:rsid w:val="00DE0A52"/>
    <w:rsid w:val="00DE4AF1"/>
    <w:rsid w:val="00DF25E6"/>
    <w:rsid w:val="00DF3FD3"/>
    <w:rsid w:val="00DF6E21"/>
    <w:rsid w:val="00DF6F8B"/>
    <w:rsid w:val="00E001C8"/>
    <w:rsid w:val="00E23267"/>
    <w:rsid w:val="00E2510D"/>
    <w:rsid w:val="00E253DE"/>
    <w:rsid w:val="00E25480"/>
    <w:rsid w:val="00E25E0D"/>
    <w:rsid w:val="00E2685C"/>
    <w:rsid w:val="00E274AD"/>
    <w:rsid w:val="00E34C72"/>
    <w:rsid w:val="00E351FC"/>
    <w:rsid w:val="00E44155"/>
    <w:rsid w:val="00E47F4B"/>
    <w:rsid w:val="00E5085E"/>
    <w:rsid w:val="00E53C3F"/>
    <w:rsid w:val="00E618E5"/>
    <w:rsid w:val="00E66441"/>
    <w:rsid w:val="00E66C2D"/>
    <w:rsid w:val="00E744EC"/>
    <w:rsid w:val="00E74BB4"/>
    <w:rsid w:val="00E80011"/>
    <w:rsid w:val="00E81D34"/>
    <w:rsid w:val="00E834A9"/>
    <w:rsid w:val="00E87823"/>
    <w:rsid w:val="00E8792D"/>
    <w:rsid w:val="00EA38FF"/>
    <w:rsid w:val="00EA4F09"/>
    <w:rsid w:val="00EB680C"/>
    <w:rsid w:val="00EB7206"/>
    <w:rsid w:val="00EC3A29"/>
    <w:rsid w:val="00ED5119"/>
    <w:rsid w:val="00ED527D"/>
    <w:rsid w:val="00ED6232"/>
    <w:rsid w:val="00EE5BC8"/>
    <w:rsid w:val="00EE5ECD"/>
    <w:rsid w:val="00EE75EC"/>
    <w:rsid w:val="00EF2E97"/>
    <w:rsid w:val="00F027C1"/>
    <w:rsid w:val="00F049A4"/>
    <w:rsid w:val="00F24AF4"/>
    <w:rsid w:val="00F254C5"/>
    <w:rsid w:val="00F31CF5"/>
    <w:rsid w:val="00F34734"/>
    <w:rsid w:val="00F43D4A"/>
    <w:rsid w:val="00F475E7"/>
    <w:rsid w:val="00F47D3F"/>
    <w:rsid w:val="00F53909"/>
    <w:rsid w:val="00F5480D"/>
    <w:rsid w:val="00F54B39"/>
    <w:rsid w:val="00F6182E"/>
    <w:rsid w:val="00F644E4"/>
    <w:rsid w:val="00F667F2"/>
    <w:rsid w:val="00F71678"/>
    <w:rsid w:val="00F75BFF"/>
    <w:rsid w:val="00F7717C"/>
    <w:rsid w:val="00F77635"/>
    <w:rsid w:val="00F84713"/>
    <w:rsid w:val="00F84858"/>
    <w:rsid w:val="00F87EF8"/>
    <w:rsid w:val="00F91B7B"/>
    <w:rsid w:val="00F92683"/>
    <w:rsid w:val="00F973E3"/>
    <w:rsid w:val="00F9757B"/>
    <w:rsid w:val="00FA5813"/>
    <w:rsid w:val="00FA594E"/>
    <w:rsid w:val="00FB10B4"/>
    <w:rsid w:val="00FB3CBE"/>
    <w:rsid w:val="00FB5DC6"/>
    <w:rsid w:val="00FC4B69"/>
    <w:rsid w:val="00FD7957"/>
    <w:rsid w:val="00FE3EC2"/>
    <w:rsid w:val="00FE52C9"/>
    <w:rsid w:val="00FE7141"/>
    <w:rsid w:val="00FF0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0D7"/>
    <w:pPr>
      <w:spacing w:before="240" w:line="432" w:lineRule="auto"/>
    </w:pPr>
    <w:rPr>
      <w:rFonts w:ascii="Times New Roman" w:hAnsi="Times New Roman"/>
      <w:sz w:val="24"/>
      <w:szCs w:val="22"/>
      <w:lang w:eastAsia="en-US"/>
    </w:rPr>
  </w:style>
  <w:style w:type="paragraph" w:styleId="Heading1">
    <w:name w:val="heading 1"/>
    <w:basedOn w:val="Normal"/>
    <w:next w:val="Normal"/>
    <w:link w:val="Heading1Char"/>
    <w:qFormat/>
    <w:rsid w:val="002220D7"/>
    <w:pPr>
      <w:keepNext/>
      <w:spacing w:after="480"/>
      <w:jc w:val="center"/>
      <w:outlineLvl w:val="0"/>
    </w:pPr>
    <w:rPr>
      <w:rFonts w:eastAsia="Times New Roman" w:cs="Arial"/>
      <w:b/>
      <w:bCs/>
      <w:kern w:val="32"/>
      <w:sz w:val="32"/>
      <w:szCs w:val="32"/>
    </w:rPr>
  </w:style>
  <w:style w:type="paragraph" w:styleId="Heading2">
    <w:name w:val="heading 2"/>
    <w:basedOn w:val="Normal"/>
    <w:next w:val="Normal"/>
    <w:link w:val="Heading2Char"/>
    <w:qFormat/>
    <w:rsid w:val="002220D7"/>
    <w:pPr>
      <w:keepNext/>
      <w:spacing w:before="480" w:after="60"/>
      <w:outlineLvl w:val="1"/>
    </w:pPr>
    <w:rPr>
      <w:rFonts w:eastAsia="Times New Roman" w:cs="Arial"/>
      <w:b/>
      <w:bCs/>
      <w:iCs/>
      <w:szCs w:val="28"/>
      <w:u w:val="single"/>
    </w:rPr>
  </w:style>
  <w:style w:type="paragraph" w:styleId="Heading3">
    <w:name w:val="heading 3"/>
    <w:basedOn w:val="Normal"/>
    <w:next w:val="Normal"/>
    <w:link w:val="Heading3Char"/>
    <w:qFormat/>
    <w:rsid w:val="002220D7"/>
    <w:pPr>
      <w:keepNext/>
      <w:spacing w:before="480" w:after="60"/>
      <w:outlineLvl w:val="2"/>
    </w:pPr>
    <w:rPr>
      <w:rFonts w:eastAsia="Times New Roman" w:cs="Arial"/>
      <w:b/>
      <w:bCs/>
      <w:szCs w:val="26"/>
    </w:rPr>
  </w:style>
  <w:style w:type="paragraph" w:styleId="Heading4">
    <w:name w:val="heading 4"/>
    <w:basedOn w:val="Normal"/>
    <w:next w:val="Normal"/>
    <w:link w:val="Heading4Char"/>
    <w:qFormat/>
    <w:rsid w:val="002220D7"/>
    <w:pPr>
      <w:keepNext/>
      <w:spacing w:before="480" w:after="6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0D7"/>
    <w:rPr>
      <w:rFonts w:ascii="Times New Roman" w:eastAsia="Times New Roman" w:hAnsi="Times New Roman" w:cs="Arial"/>
      <w:b/>
      <w:bCs/>
      <w:kern w:val="32"/>
      <w:sz w:val="32"/>
      <w:szCs w:val="32"/>
      <w:lang w:eastAsia="en-US"/>
    </w:rPr>
  </w:style>
  <w:style w:type="character" w:customStyle="1" w:styleId="Heading2Char">
    <w:name w:val="Heading 2 Char"/>
    <w:basedOn w:val="DefaultParagraphFont"/>
    <w:link w:val="Heading2"/>
    <w:rsid w:val="002220D7"/>
    <w:rPr>
      <w:rFonts w:ascii="Times New Roman" w:eastAsia="Times New Roman" w:hAnsi="Times New Roman" w:cs="Arial"/>
      <w:b/>
      <w:bCs/>
      <w:iCs/>
      <w:sz w:val="24"/>
      <w:szCs w:val="28"/>
      <w:u w:val="single"/>
      <w:lang w:eastAsia="en-US"/>
    </w:rPr>
  </w:style>
  <w:style w:type="character" w:customStyle="1" w:styleId="Heading3Char">
    <w:name w:val="Heading 3 Char"/>
    <w:basedOn w:val="DefaultParagraphFont"/>
    <w:link w:val="Heading3"/>
    <w:rsid w:val="002220D7"/>
    <w:rPr>
      <w:rFonts w:ascii="Times New Roman" w:eastAsia="Times New Roman" w:hAnsi="Times New Roman" w:cs="Arial"/>
      <w:b/>
      <w:bCs/>
      <w:sz w:val="24"/>
      <w:szCs w:val="26"/>
      <w:lang w:eastAsia="en-US"/>
    </w:rPr>
  </w:style>
  <w:style w:type="character" w:customStyle="1" w:styleId="Heading4Char">
    <w:name w:val="Heading 4 Char"/>
    <w:basedOn w:val="DefaultParagraphFont"/>
    <w:link w:val="Heading4"/>
    <w:rsid w:val="002220D7"/>
    <w:rPr>
      <w:rFonts w:ascii="Times New Roman" w:eastAsia="Times New Roman" w:hAnsi="Times New Roman"/>
      <w:bCs/>
      <w:i/>
      <w:sz w:val="24"/>
      <w:szCs w:val="28"/>
      <w:lang w:eastAsia="en-US"/>
    </w:rPr>
  </w:style>
  <w:style w:type="paragraph" w:customStyle="1" w:styleId="HumeReferences">
    <w:name w:val="Hume References"/>
    <w:basedOn w:val="BlockQuotations"/>
    <w:link w:val="HumeReferencesChar"/>
    <w:qFormat/>
    <w:rsid w:val="005050B0"/>
    <w:pPr>
      <w:spacing w:before="200" w:after="200"/>
      <w:jc w:val="both"/>
    </w:pPr>
  </w:style>
  <w:style w:type="character" w:customStyle="1" w:styleId="HumeReferencesChar">
    <w:name w:val="Hume References Char"/>
    <w:basedOn w:val="DefaultParagraphFont"/>
    <w:link w:val="HumeReferences"/>
    <w:rsid w:val="005050B0"/>
    <w:rPr>
      <w:rFonts w:ascii="Times New Roman" w:eastAsia="Times New Roman" w:hAnsi="Times New Roman"/>
    </w:rPr>
  </w:style>
  <w:style w:type="paragraph" w:customStyle="1" w:styleId="BlockQuotations">
    <w:name w:val="Block Quotations"/>
    <w:basedOn w:val="Normal"/>
    <w:link w:val="BlockQuotationsChar"/>
    <w:rsid w:val="00B0437A"/>
    <w:pPr>
      <w:spacing w:before="0" w:line="480" w:lineRule="auto"/>
      <w:ind w:left="567" w:right="567"/>
    </w:pPr>
    <w:rPr>
      <w:rFonts w:eastAsia="Times New Roman"/>
      <w:sz w:val="20"/>
      <w:szCs w:val="20"/>
      <w:lang w:eastAsia="en-GB"/>
    </w:rPr>
  </w:style>
  <w:style w:type="character" w:customStyle="1" w:styleId="BlockQuotationsChar">
    <w:name w:val="Block Quotations Char"/>
    <w:basedOn w:val="DefaultParagraphFont"/>
    <w:link w:val="BlockQuotations"/>
    <w:rsid w:val="00B0437A"/>
    <w:rPr>
      <w:rFonts w:ascii="Times New Roman" w:eastAsia="Times New Roman" w:hAnsi="Times New Roman"/>
    </w:rPr>
  </w:style>
  <w:style w:type="paragraph" w:styleId="FootnoteText">
    <w:name w:val="footnote text"/>
    <w:basedOn w:val="Normal"/>
    <w:link w:val="FootnoteTextChar"/>
    <w:semiHidden/>
    <w:unhideWhenUsed/>
    <w:rsid w:val="007327F0"/>
    <w:pPr>
      <w:spacing w:before="0" w:line="240" w:lineRule="auto"/>
    </w:pPr>
    <w:rPr>
      <w:sz w:val="20"/>
      <w:szCs w:val="20"/>
    </w:rPr>
  </w:style>
  <w:style w:type="character" w:customStyle="1" w:styleId="FootnoteTextChar">
    <w:name w:val="Footnote Text Char"/>
    <w:basedOn w:val="DefaultParagraphFont"/>
    <w:link w:val="FootnoteText"/>
    <w:semiHidden/>
    <w:rsid w:val="007327F0"/>
    <w:rPr>
      <w:rFonts w:ascii="Times New Roman" w:hAnsi="Times New Roman"/>
      <w:lang w:eastAsia="en-US"/>
    </w:rPr>
  </w:style>
  <w:style w:type="character" w:styleId="FootnoteReference">
    <w:name w:val="footnote reference"/>
    <w:basedOn w:val="DefaultParagraphFont"/>
    <w:semiHidden/>
    <w:unhideWhenUsed/>
    <w:rsid w:val="007327F0"/>
    <w:rPr>
      <w:vertAlign w:val="superscript"/>
    </w:rPr>
  </w:style>
  <w:style w:type="character" w:customStyle="1" w:styleId="dc">
    <w:name w:val="dc"/>
    <w:basedOn w:val="DefaultParagraphFont"/>
    <w:rsid w:val="006241C8"/>
  </w:style>
  <w:style w:type="paragraph" w:styleId="HTMLPreformatted">
    <w:name w:val="HTML Preformatted"/>
    <w:basedOn w:val="Normal"/>
    <w:link w:val="HTMLPreformattedChar"/>
    <w:rsid w:val="00831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831063"/>
    <w:rPr>
      <w:rFonts w:ascii="Courier New" w:eastAsia="Times New Roman" w:hAnsi="Courier New" w:cs="Courier New"/>
      <w:lang w:val="en-US" w:eastAsia="en-US"/>
    </w:rPr>
  </w:style>
  <w:style w:type="character" w:styleId="Emphasis">
    <w:name w:val="Emphasis"/>
    <w:basedOn w:val="DefaultParagraphFont"/>
    <w:uiPriority w:val="20"/>
    <w:qFormat/>
    <w:locked/>
    <w:rsid w:val="00145AE0"/>
    <w:rPr>
      <w:i/>
      <w:iCs/>
    </w:rPr>
  </w:style>
  <w:style w:type="paragraph" w:customStyle="1" w:styleId="HumeReference">
    <w:name w:val="Hume Reference"/>
    <w:basedOn w:val="Normal"/>
    <w:link w:val="HumeReferenceChar"/>
    <w:rsid w:val="00107588"/>
    <w:pPr>
      <w:spacing w:before="0" w:line="480" w:lineRule="auto"/>
      <w:ind w:left="567" w:right="567"/>
    </w:pPr>
    <w:rPr>
      <w:rFonts w:eastAsia="Times New Roman"/>
      <w:sz w:val="20"/>
      <w:szCs w:val="20"/>
      <w:lang w:eastAsia="en-GB"/>
    </w:rPr>
  </w:style>
  <w:style w:type="character" w:customStyle="1" w:styleId="HumeReferenceChar">
    <w:name w:val="Hume Reference Char"/>
    <w:basedOn w:val="DefaultParagraphFont"/>
    <w:link w:val="HumeReference"/>
    <w:rsid w:val="00107588"/>
    <w:rPr>
      <w:rFonts w:ascii="Times New Roman" w:eastAsia="Times New Roman" w:hAnsi="Times New Roman"/>
    </w:rPr>
  </w:style>
  <w:style w:type="paragraph" w:styleId="Header">
    <w:name w:val="header"/>
    <w:basedOn w:val="Normal"/>
    <w:link w:val="HeaderChar"/>
    <w:uiPriority w:val="99"/>
    <w:unhideWhenUsed/>
    <w:rsid w:val="00035BF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5BF2"/>
    <w:rPr>
      <w:rFonts w:ascii="Times New Roman" w:hAnsi="Times New Roman"/>
      <w:sz w:val="24"/>
      <w:szCs w:val="22"/>
      <w:lang w:eastAsia="en-US"/>
    </w:rPr>
  </w:style>
  <w:style w:type="paragraph" w:styleId="Footer">
    <w:name w:val="footer"/>
    <w:basedOn w:val="Normal"/>
    <w:link w:val="FooterChar"/>
    <w:uiPriority w:val="99"/>
    <w:unhideWhenUsed/>
    <w:rsid w:val="00035BF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5BF2"/>
    <w:rPr>
      <w:rFonts w:ascii="Times New Roman" w:hAnsi="Times New Roman"/>
      <w:sz w:val="24"/>
      <w:szCs w:val="22"/>
      <w:lang w:eastAsia="en-US"/>
    </w:rPr>
  </w:style>
  <w:style w:type="character" w:customStyle="1" w:styleId="pubinfo">
    <w:name w:val="pubinfo"/>
    <w:basedOn w:val="DefaultParagraphFont"/>
    <w:rsid w:val="001B6716"/>
  </w:style>
  <w:style w:type="paragraph" w:styleId="NormalWeb">
    <w:name w:val="Normal (Web)"/>
    <w:basedOn w:val="Normal"/>
    <w:uiPriority w:val="99"/>
    <w:semiHidden/>
    <w:unhideWhenUsed/>
    <w:rsid w:val="00691964"/>
    <w:pPr>
      <w:spacing w:before="100" w:beforeAutospacing="1" w:after="100" w:afterAutospacing="1" w:line="240" w:lineRule="auto"/>
    </w:pPr>
    <w:rPr>
      <w:rFonts w:eastAsia="Times New Roman"/>
      <w:szCs w:val="24"/>
      <w:lang w:val="en-US"/>
    </w:rPr>
  </w:style>
  <w:style w:type="character" w:customStyle="1" w:styleId="sc">
    <w:name w:val="sc"/>
    <w:basedOn w:val="DefaultParagraphFont"/>
    <w:rsid w:val="00691964"/>
  </w:style>
  <w:style w:type="character" w:customStyle="1" w:styleId="added">
    <w:name w:val="added"/>
    <w:basedOn w:val="DefaultParagraphFont"/>
    <w:rsid w:val="00691964"/>
  </w:style>
  <w:style w:type="paragraph" w:styleId="ListParagraph">
    <w:name w:val="List Paragraph"/>
    <w:basedOn w:val="Normal"/>
    <w:uiPriority w:val="34"/>
    <w:qFormat/>
    <w:rsid w:val="009B0944"/>
    <w:pPr>
      <w:ind w:left="720"/>
      <w:contextualSpacing/>
    </w:pPr>
  </w:style>
  <w:style w:type="character" w:customStyle="1" w:styleId="reference-text">
    <w:name w:val="reference-text"/>
    <w:basedOn w:val="DefaultParagraphFont"/>
    <w:rsid w:val="00980D51"/>
  </w:style>
  <w:style w:type="paragraph" w:styleId="BalloonText">
    <w:name w:val="Balloon Text"/>
    <w:basedOn w:val="Normal"/>
    <w:link w:val="BalloonTextChar"/>
    <w:uiPriority w:val="99"/>
    <w:semiHidden/>
    <w:unhideWhenUsed/>
    <w:rsid w:val="00910CC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C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80769">
      <w:bodyDiv w:val="1"/>
      <w:marLeft w:val="0"/>
      <w:marRight w:val="0"/>
      <w:marTop w:val="0"/>
      <w:marBottom w:val="0"/>
      <w:divBdr>
        <w:top w:val="none" w:sz="0" w:space="0" w:color="auto"/>
        <w:left w:val="none" w:sz="0" w:space="0" w:color="auto"/>
        <w:bottom w:val="none" w:sz="0" w:space="0" w:color="auto"/>
        <w:right w:val="none" w:sz="0" w:space="0" w:color="auto"/>
      </w:divBdr>
      <w:divsChild>
        <w:div w:id="1391929280">
          <w:marLeft w:val="0"/>
          <w:marRight w:val="0"/>
          <w:marTop w:val="0"/>
          <w:marBottom w:val="0"/>
          <w:divBdr>
            <w:top w:val="none" w:sz="0" w:space="0" w:color="auto"/>
            <w:left w:val="none" w:sz="0" w:space="0" w:color="auto"/>
            <w:bottom w:val="none" w:sz="0" w:space="0" w:color="auto"/>
            <w:right w:val="none" w:sz="0" w:space="0" w:color="auto"/>
          </w:divBdr>
        </w:div>
        <w:div w:id="103038801">
          <w:marLeft w:val="0"/>
          <w:marRight w:val="0"/>
          <w:marTop w:val="0"/>
          <w:marBottom w:val="0"/>
          <w:divBdr>
            <w:top w:val="none" w:sz="0" w:space="0" w:color="auto"/>
            <w:left w:val="none" w:sz="0" w:space="0" w:color="auto"/>
            <w:bottom w:val="none" w:sz="0" w:space="0" w:color="auto"/>
            <w:right w:val="none" w:sz="0" w:space="0" w:color="auto"/>
          </w:divBdr>
        </w:div>
        <w:div w:id="276447665">
          <w:marLeft w:val="0"/>
          <w:marRight w:val="0"/>
          <w:marTop w:val="0"/>
          <w:marBottom w:val="0"/>
          <w:divBdr>
            <w:top w:val="none" w:sz="0" w:space="0" w:color="auto"/>
            <w:left w:val="none" w:sz="0" w:space="0" w:color="auto"/>
            <w:bottom w:val="none" w:sz="0" w:space="0" w:color="auto"/>
            <w:right w:val="none" w:sz="0" w:space="0" w:color="auto"/>
          </w:divBdr>
        </w:div>
      </w:divsChild>
    </w:div>
    <w:div w:id="1265648142">
      <w:bodyDiv w:val="1"/>
      <w:marLeft w:val="0"/>
      <w:marRight w:val="0"/>
      <w:marTop w:val="0"/>
      <w:marBottom w:val="0"/>
      <w:divBdr>
        <w:top w:val="none" w:sz="0" w:space="0" w:color="auto"/>
        <w:left w:val="none" w:sz="0" w:space="0" w:color="auto"/>
        <w:bottom w:val="none" w:sz="0" w:space="0" w:color="auto"/>
        <w:right w:val="none" w:sz="0" w:space="0" w:color="auto"/>
      </w:divBdr>
      <w:divsChild>
        <w:div w:id="2040934823">
          <w:marLeft w:val="0"/>
          <w:marRight w:val="0"/>
          <w:marTop w:val="0"/>
          <w:marBottom w:val="0"/>
          <w:divBdr>
            <w:top w:val="none" w:sz="0" w:space="0" w:color="auto"/>
            <w:left w:val="none" w:sz="0" w:space="0" w:color="auto"/>
            <w:bottom w:val="none" w:sz="0" w:space="0" w:color="auto"/>
            <w:right w:val="none" w:sz="0" w:space="0" w:color="auto"/>
          </w:divBdr>
          <w:divsChild>
            <w:div w:id="303505894">
              <w:marLeft w:val="0"/>
              <w:marRight w:val="0"/>
              <w:marTop w:val="0"/>
              <w:marBottom w:val="240"/>
              <w:divBdr>
                <w:top w:val="none" w:sz="0" w:space="0" w:color="auto"/>
                <w:left w:val="none" w:sz="0" w:space="0" w:color="auto"/>
                <w:bottom w:val="none" w:sz="0" w:space="0" w:color="auto"/>
                <w:right w:val="none" w:sz="0" w:space="0" w:color="auto"/>
              </w:divBdr>
              <w:divsChild>
                <w:div w:id="1532188582">
                  <w:marLeft w:val="0"/>
                  <w:marRight w:val="0"/>
                  <w:marTop w:val="240"/>
                  <w:marBottom w:val="0"/>
                  <w:divBdr>
                    <w:top w:val="single" w:sz="18" w:space="3" w:color="E1E9EB"/>
                    <w:left w:val="none" w:sz="0" w:space="0" w:color="auto"/>
                    <w:bottom w:val="none" w:sz="0" w:space="0" w:color="auto"/>
                    <w:right w:val="none" w:sz="0" w:space="0" w:color="auto"/>
                  </w:divBdr>
                  <w:divsChild>
                    <w:div w:id="1121148937">
                      <w:marLeft w:val="0"/>
                      <w:marRight w:val="0"/>
                      <w:marTop w:val="0"/>
                      <w:marBottom w:val="0"/>
                      <w:divBdr>
                        <w:top w:val="none" w:sz="0" w:space="0" w:color="auto"/>
                        <w:left w:val="none" w:sz="0" w:space="0" w:color="auto"/>
                        <w:bottom w:val="none" w:sz="0" w:space="0" w:color="auto"/>
                        <w:right w:val="none" w:sz="0" w:space="0" w:color="auto"/>
                      </w:divBdr>
                      <w:divsChild>
                        <w:div w:id="6800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62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5566-19FD-4B1F-A770-6204E5AE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8173</Words>
  <Characters>46587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2015-08-03T08:21:00Z</dcterms:created>
  <dcterms:modified xsi:type="dcterms:W3CDTF">2016-02-26T10:04:00Z</dcterms:modified>
</cp:coreProperties>
</file>