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037" w:rsidRDefault="00BF07C7">
      <w:pPr>
        <w:pStyle w:val="Standard"/>
        <w:jc w:val="center"/>
        <w:rPr>
          <w:i/>
          <w:iCs/>
          <w:lang w:val="en-GB"/>
        </w:rPr>
      </w:pPr>
      <w:r>
        <w:rPr>
          <w:i/>
          <w:iCs/>
          <w:lang w:val="en-GB"/>
        </w:rPr>
        <w:t>This is the final version of the article that appeared in the Journal of Medical Ethics in 2018.</w:t>
      </w:r>
    </w:p>
    <w:p w:rsidR="005B1037" w:rsidRDefault="00BF07C7">
      <w:pPr>
        <w:pStyle w:val="Standard"/>
        <w:jc w:val="center"/>
        <w:rPr>
          <w:i/>
          <w:iCs/>
          <w:lang w:val="en-GB"/>
        </w:rPr>
      </w:pPr>
      <w:r>
        <w:rPr>
          <w:i/>
          <w:iCs/>
          <w:lang w:val="en-GB"/>
        </w:rPr>
        <w:t xml:space="preserve">PLEASE DO </w:t>
      </w:r>
      <w:bookmarkStart w:id="0" w:name="_GoBack"/>
      <w:bookmarkEnd w:id="0"/>
      <w:r>
        <w:rPr>
          <w:i/>
          <w:iCs/>
          <w:lang w:val="en-GB"/>
        </w:rPr>
        <w:t>NOT DISTRIBUTE OR CITE WITHOUT PERMISSION. QUESTIONS AND COMMENTS ARE ALWAYS WELCOME.</w:t>
      </w:r>
    </w:p>
    <w:p w:rsidR="005B1037" w:rsidRDefault="005B1037">
      <w:pPr>
        <w:pStyle w:val="Standard"/>
        <w:rPr>
          <w:lang w:val="en-GB"/>
        </w:rPr>
      </w:pPr>
    </w:p>
    <w:p w:rsidR="001A1BAF" w:rsidRDefault="001A1BAF">
      <w:pPr>
        <w:pStyle w:val="Standard"/>
        <w:rPr>
          <w:lang w:val="en-GB"/>
        </w:rPr>
      </w:pPr>
      <w:r>
        <w:rPr>
          <w:rFonts w:ascii="Helvetica" w:eastAsia="Times New Roman" w:hAnsi="Helvetica"/>
          <w:i/>
          <w:iCs/>
          <w:shd w:val="clear" w:color="auto" w:fill="FFFFFF"/>
          <w:lang w:bidi="ar-SA"/>
        </w:rPr>
        <w:t>This article has been published in Journal of Medical Ethics </w:t>
      </w:r>
      <w:r>
        <w:rPr>
          <w:rFonts w:ascii="Helvetica" w:eastAsia="Times New Roman" w:hAnsi="Helvetica"/>
          <w:shd w:val="clear" w:color="auto" w:fill="FFFFFF"/>
          <w:lang w:bidi="ar-SA"/>
        </w:rPr>
        <w:t>2018;44:567-574</w:t>
      </w:r>
      <w:r>
        <w:rPr>
          <w:rFonts w:ascii="Helvetica" w:eastAsia="Times New Roman" w:hAnsi="Helvetica"/>
          <w:i/>
          <w:iCs/>
          <w:shd w:val="clear" w:color="auto" w:fill="FFFFFF"/>
          <w:lang w:bidi="ar-SA"/>
        </w:rPr>
        <w:t xml:space="preserve">,  following peer review and can also be viewed on the journal’s website </w:t>
      </w:r>
      <w:proofErr w:type="spellStart"/>
      <w:r>
        <w:rPr>
          <w:rFonts w:ascii="Helvetica" w:eastAsia="Times New Roman" w:hAnsi="Helvetica"/>
          <w:i/>
          <w:iCs/>
          <w:shd w:val="clear" w:color="auto" w:fill="FFFFFF"/>
          <w:lang w:bidi="ar-SA"/>
        </w:rPr>
        <w:t>at</w:t>
      </w:r>
      <w:hyperlink r:id="rId7" w:tgtFrame="_blank" w:history="1">
        <w:r>
          <w:rPr>
            <w:rStyle w:val="Hyperlink"/>
            <w:rFonts w:ascii="Helvetica" w:eastAsia="Times New Roman" w:hAnsi="Helvetica"/>
            <w:i/>
            <w:iCs/>
            <w:color w:val="4285F4"/>
            <w:shd w:val="clear" w:color="auto" w:fill="FFFFFF"/>
            <w:lang w:bidi="ar-SA"/>
          </w:rPr>
          <w:t>http</w:t>
        </w:r>
        <w:proofErr w:type="spellEnd"/>
        <w:r>
          <w:rPr>
            <w:rStyle w:val="Hyperlink"/>
            <w:rFonts w:ascii="Helvetica" w:eastAsia="Times New Roman" w:hAnsi="Helvetica"/>
            <w:i/>
            <w:iCs/>
            <w:color w:val="4285F4"/>
            <w:shd w:val="clear" w:color="auto" w:fill="FFFFFF"/>
            <w:lang w:bidi="ar-SA"/>
          </w:rPr>
          <w:t>://dx.doi.org/10.1136/medethics-2017-104201</w:t>
        </w:r>
      </w:hyperlink>
      <w:r>
        <w:rPr>
          <w:rFonts w:ascii="Helvetica" w:eastAsia="Times New Roman" w:hAnsi="Helvetica"/>
          <w:i/>
          <w:iCs/>
          <w:shd w:val="clear" w:color="auto" w:fill="FFFFFF"/>
          <w:lang w:bidi="ar-SA"/>
        </w:rPr>
        <w:t>.</w:t>
      </w:r>
    </w:p>
    <w:p w:rsidR="001A1BAF" w:rsidRDefault="001A1BAF">
      <w:pPr>
        <w:pStyle w:val="Standard"/>
        <w:rPr>
          <w:lang w:val="en-GB"/>
        </w:rPr>
      </w:pPr>
    </w:p>
    <w:p w:rsidR="005B1037" w:rsidRDefault="00BF07C7">
      <w:pPr>
        <w:pStyle w:val="Heading1"/>
        <w:numPr>
          <w:ilvl w:val="0"/>
          <w:numId w:val="6"/>
        </w:numPr>
        <w:spacing w:before="0" w:after="0"/>
        <w:jc w:val="center"/>
        <w:rPr>
          <w:rFonts w:ascii="Times New Roman" w:eastAsia="Times New Roman" w:hAnsi="Times New Roman" w:cs="Times New Roman"/>
          <w:sz w:val="36"/>
          <w:szCs w:val="36"/>
          <w:lang w:val="en-GB"/>
        </w:rPr>
      </w:pPr>
      <w:bookmarkStart w:id="1" w:name="_pk8s1d2ut5h0"/>
      <w:bookmarkEnd w:id="1"/>
      <w:r>
        <w:rPr>
          <w:rFonts w:ascii="Times New Roman" w:eastAsia="Times New Roman" w:hAnsi="Times New Roman" w:cs="Times New Roman"/>
          <w:sz w:val="36"/>
          <w:szCs w:val="36"/>
          <w:lang w:val="en-GB"/>
        </w:rPr>
        <w:t>Forgetting Ourselves: Epistemic Costs and Ethical Concerns in Mindfulness Exercises</w:t>
      </w:r>
    </w:p>
    <w:p w:rsidR="005B1037" w:rsidRDefault="005B1037">
      <w:pPr>
        <w:pStyle w:val="Heading1"/>
        <w:numPr>
          <w:ilvl w:val="0"/>
          <w:numId w:val="2"/>
        </w:numPr>
        <w:spacing w:before="0" w:after="0"/>
        <w:jc w:val="both"/>
        <w:rPr>
          <w:lang w:val="en-GB"/>
        </w:rPr>
      </w:pPr>
      <w:bookmarkStart w:id="2" w:name="_hqdxjkql0el6"/>
      <w:bookmarkEnd w:id="2"/>
    </w:p>
    <w:p w:rsidR="005B1037" w:rsidRDefault="00BF07C7">
      <w:pPr>
        <w:pStyle w:val="Heading1"/>
        <w:numPr>
          <w:ilvl w:val="0"/>
          <w:numId w:val="2"/>
        </w:numPr>
        <w:spacing w:before="0" w:after="0"/>
        <w:jc w:val="both"/>
      </w:pPr>
      <w:bookmarkStart w:id="3" w:name="_7ht65ho8gr95"/>
      <w:bookmarkEnd w:id="3"/>
      <w:r>
        <w:rPr>
          <w:rFonts w:ascii="Times New Roman" w:eastAsia="Times New Roman" w:hAnsi="Times New Roman" w:cs="Times New Roman"/>
          <w:b/>
          <w:sz w:val="22"/>
          <w:szCs w:val="22"/>
          <w:lang w:val="en-GB"/>
        </w:rPr>
        <w:t xml:space="preserve">Abstract: </w:t>
      </w:r>
      <w:r>
        <w:rPr>
          <w:rFonts w:ascii="Times New Roman" w:eastAsia="Times New Roman" w:hAnsi="Times New Roman" w:cs="Times New Roman"/>
          <w:sz w:val="22"/>
          <w:szCs w:val="22"/>
          <w:lang w:val="en-GB"/>
        </w:rPr>
        <w:t>mindfulness exercises are presented as being compatible with almost any spiritual, religious, or philosophical beliefs. In this paper we argue that they in fact involve imagining and conceptualising rather striking and controversial claims about the self, and the self’s relationship to thoughts and feelings. For this reason, practicing mindfulness exercises is likely to be in tension with many people’s core beliefs and values, a tension that should be treated as a downside of therapeutic interventions involving mindfulness exercises, not unlike a side-effect. Clients ought to be informed of these metaphysical aspects of the exercises, and mental health providers ought to take them into account in assessing which course of treatment to recommend. Given these concerns, the casual way in which mindfulness exercises are presently distributed by mental health providers to the general public is inappropriate.</w:t>
      </w:r>
    </w:p>
    <w:p w:rsidR="005B1037" w:rsidRDefault="005B1037">
      <w:pPr>
        <w:pStyle w:val="Heading1"/>
        <w:numPr>
          <w:ilvl w:val="0"/>
          <w:numId w:val="2"/>
        </w:numPr>
        <w:spacing w:before="0" w:after="0"/>
        <w:jc w:val="center"/>
        <w:rPr>
          <w:lang w:val="en-GB"/>
        </w:rPr>
      </w:pPr>
      <w:bookmarkStart w:id="4" w:name="_dvvalbiv1pem"/>
      <w:bookmarkEnd w:id="4"/>
    </w:p>
    <w:p w:rsidR="005B1037" w:rsidRDefault="00BF07C7">
      <w:pPr>
        <w:pStyle w:val="Heading1"/>
        <w:numPr>
          <w:ilvl w:val="0"/>
          <w:numId w:val="2"/>
        </w:numPr>
        <w:spacing w:before="0" w:after="0"/>
        <w:jc w:val="center"/>
        <w:rPr>
          <w:rFonts w:ascii="Times New Roman" w:eastAsia="Times New Roman" w:hAnsi="Times New Roman" w:cs="Times New Roman"/>
          <w:b/>
          <w:sz w:val="22"/>
          <w:szCs w:val="22"/>
          <w:lang w:val="en-GB"/>
        </w:rPr>
      </w:pPr>
      <w:bookmarkStart w:id="5" w:name="_mi6y2enb6933"/>
      <w:bookmarkEnd w:id="5"/>
      <w:r>
        <w:rPr>
          <w:rFonts w:ascii="Times New Roman" w:eastAsia="Times New Roman" w:hAnsi="Times New Roman" w:cs="Times New Roman"/>
          <w:b/>
          <w:sz w:val="22"/>
          <w:szCs w:val="22"/>
          <w:lang w:val="en-GB"/>
        </w:rPr>
        <w:t>Introduction</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Mindfulness exercises are widely used in psychotherapy. They form part of mindfulness-based cognitive therapy, dialectical behavioural therapy (DBT), acceptance and commitment therapy (ACT), and Jon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-Zinn’s mindfulness based stress reduction program (MBSR). Mindfulness is often described as a particular mode of engaging with the present moment, often involving a lack of judgement, evaluation or particular kinds of conceptualisation.</w:t>
      </w:r>
      <w:r>
        <w:rPr>
          <w:rFonts w:ascii="Times New Roman" w:eastAsia="Times New Roman" w:hAnsi="Times New Roman" w:cs="Times New Roman"/>
          <w:vertAlign w:val="superscript"/>
          <w:lang w:val="en-GB"/>
        </w:rPr>
        <w:t>1</w:t>
      </w:r>
      <w:r>
        <w:rPr>
          <w:rFonts w:ascii="Times New Roman" w:eastAsia="Times New Roman" w:hAnsi="Times New Roman" w:cs="Times New Roman"/>
          <w:lang w:val="en-GB"/>
        </w:rPr>
        <w:t xml:space="preserve"> These exercises are being widely distributed through self-help books, apps, and websites. As well as being recommended for serious psychological problems, they are marketed to people for stress, workplace resilience, becoming happier, or indeed, for not becoming happier but living with meaning.</w:t>
      </w:r>
      <w:r>
        <w:rPr>
          <w:rFonts w:ascii="Times New Roman" w:eastAsia="Times New Roman" w:hAnsi="Times New Roman" w:cs="Times New Roman"/>
          <w:vertAlign w:val="superscript"/>
          <w:lang w:val="en-GB"/>
        </w:rPr>
        <w:t>2</w:t>
      </w:r>
      <w:r>
        <w:rPr>
          <w:rFonts w:ascii="Times New Roman" w:eastAsia="Times New Roman" w:hAnsi="Times New Roman" w:cs="Times New Roman"/>
          <w:lang w:val="en-GB"/>
        </w:rPr>
        <w:t xml:space="preserve"> Presently, mindfulness is taught in schools, universities and workplaces.</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Although mindfulness exercises originated in close connection to various philosophical and spiritual traditions, their proponents claim that they are universal, or non-</w:t>
      </w:r>
      <w:proofErr w:type="spellStart"/>
      <w:r>
        <w:rPr>
          <w:rFonts w:ascii="Times New Roman" w:eastAsia="Times New Roman" w:hAnsi="Times New Roman" w:cs="Times New Roman"/>
          <w:lang w:val="en-GB"/>
        </w:rPr>
        <w:t>denominational.</w:t>
      </w:r>
      <w:r>
        <w:rPr>
          <w:rFonts w:ascii="Times New Roman" w:eastAsia="Times New Roman" w:hAnsi="Times New Roman" w:cs="Times New Roman"/>
          <w:vertAlign w:val="superscript"/>
          <w:lang w:val="en-GB"/>
        </w:rPr>
        <w:t>i</w:t>
      </w:r>
      <w:proofErr w:type="spellEnd"/>
      <w:r>
        <w:rPr>
          <w:rFonts w:ascii="Times New Roman" w:eastAsia="Times New Roman" w:hAnsi="Times New Roman" w:cs="Times New Roman"/>
          <w:lang w:val="en-GB"/>
        </w:rPr>
        <w:t xml:space="preserve"> The thought is that, in the context of contemporary psychotherapy, mindfulness exercises lose whatever spiritual or philosophical meaning they may have had, in the same way that a yoga pose might in the context of </w:t>
      </w:r>
      <w:proofErr w:type="spellStart"/>
      <w:r>
        <w:rPr>
          <w:rFonts w:ascii="Times New Roman" w:eastAsia="Times New Roman" w:hAnsi="Times New Roman" w:cs="Times New Roman"/>
          <w:lang w:val="en-GB"/>
        </w:rPr>
        <w:t>physiotherapy.</w:t>
      </w:r>
      <w:r>
        <w:rPr>
          <w:rFonts w:ascii="Times New Roman" w:eastAsia="Times New Roman" w:hAnsi="Times New Roman" w:cs="Times New Roman"/>
          <w:vertAlign w:val="superscript"/>
          <w:lang w:val="en-GB"/>
        </w:rPr>
        <w:t>ii</w:t>
      </w:r>
      <w:proofErr w:type="spellEnd"/>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We aim to show that this portrayal of mindfulness exercises is problematically misleading. We will argue that, as they occur in contemporary psychotherapy, mindfulness exercises are tightly connected with philosophical claims about the self incompatible with a range of philosophical, religious, and spiritual </w:t>
      </w:r>
      <w:r>
        <w:rPr>
          <w:rFonts w:ascii="Times New Roman" w:eastAsia="Times New Roman" w:hAnsi="Times New Roman" w:cs="Times New Roman"/>
          <w:lang w:val="en-GB"/>
        </w:rPr>
        <w:lastRenderedPageBreak/>
        <w:t>beliefs. As such, mental health practitioners and their clients ought to take this into account when considering their use.</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We do not wish to deny the benefits of mindfulness exercises, nor that they are often overall helpful. Instead we wish to point out that, as with many beneficial medical interventions, mindfulness exercises have potentially negative aspects which need to be taken seriously.</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the first part of the paper, we show how, in the context of contemporary psychotherapy, certain mindfulness exercises are metaphysically loaded with philosophical claims about the self – namely, claims that the self is separate from ones thoughts, feelings, values and beliefs. Some mindfulness exercises, known as cognitive </w:t>
      </w:r>
      <w:proofErr w:type="spellStart"/>
      <w:r>
        <w:rPr>
          <w:rFonts w:ascii="Times New Roman" w:eastAsia="Times New Roman" w:hAnsi="Times New Roman" w:cs="Times New Roman"/>
          <w:lang w:val="en-GB"/>
        </w:rPr>
        <w:t>defusion</w:t>
      </w:r>
      <w:proofErr w:type="spellEnd"/>
      <w:r>
        <w:rPr>
          <w:rFonts w:ascii="Times New Roman" w:eastAsia="Times New Roman" w:hAnsi="Times New Roman" w:cs="Times New Roman"/>
          <w:lang w:val="en-GB"/>
        </w:rPr>
        <w:t xml:space="preserve"> exercises, were developed by contemporary psychologists quite explicitly to be loaded in this way, others, taken over from Buddhist practice,  vary in how explicit they are regarding their metaphysical commitments. We focus on the cognitive </w:t>
      </w:r>
      <w:proofErr w:type="spellStart"/>
      <w:r>
        <w:rPr>
          <w:rFonts w:ascii="Times New Roman" w:eastAsia="Times New Roman" w:hAnsi="Times New Roman" w:cs="Times New Roman"/>
          <w:lang w:val="en-GB"/>
        </w:rPr>
        <w:t>defusion</w:t>
      </w:r>
      <w:proofErr w:type="spellEnd"/>
      <w:r>
        <w:rPr>
          <w:rFonts w:ascii="Times New Roman" w:eastAsia="Times New Roman" w:hAnsi="Times New Roman" w:cs="Times New Roman"/>
          <w:lang w:val="en-GB"/>
        </w:rPr>
        <w:t xml:space="preserve"> exercises developed by Steven Hayes for ACT and the mindful breathing exercises popularised by Jon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 xml:space="preserve">-Zinn in MBSR by way of illustration; the former is a particularly apparent case of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whilst the latter is noteworthy given its popularity and incorporation into other therapies as well as more generalised mindfulness programs.</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the second part of the paper, we argue that this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ought to be taken into account in a way similar to side-effects of other interventions. Clients ought to be informed of the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as part of informed consent, and mental health providers ought to take it into account in selecting courses of treatment. Our concern is not primarily the effect that the mindfulness exercises may have on a person’s reasonable core beliefs about the self. Rather, we argue that simply practicing these exercises will be in tension with many people’s core beliefs and values.</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These exercises offer an important case-study, because psychotherapies are frequently seen, in contrast to medication, as interventions without significant downsides. It is not obvious that the downsides of mindfulness exercises discussed here are less serious, say, than the side-effects of antidepressant medication. Although what we say here does not apply straightforwardly to other kinds of psychotherapy, it does show that one cannot assume the harmlessness of a psychotherapeutic approach.</w:t>
      </w:r>
    </w:p>
    <w:p w:rsidR="005B1037" w:rsidRDefault="005B1037">
      <w:pPr>
        <w:pStyle w:val="Heading1"/>
        <w:numPr>
          <w:ilvl w:val="0"/>
          <w:numId w:val="2"/>
        </w:numPr>
        <w:spacing w:before="0" w:after="0"/>
        <w:jc w:val="center"/>
        <w:rPr>
          <w:lang w:val="en-GB"/>
        </w:rPr>
      </w:pPr>
      <w:bookmarkStart w:id="6" w:name="_pger5ubwjswz"/>
      <w:bookmarkEnd w:id="6"/>
    </w:p>
    <w:p w:rsidR="005B1037" w:rsidRDefault="00BF07C7">
      <w:pPr>
        <w:pStyle w:val="Heading1"/>
        <w:numPr>
          <w:ilvl w:val="0"/>
          <w:numId w:val="2"/>
        </w:numPr>
        <w:spacing w:before="0" w:after="0"/>
        <w:jc w:val="center"/>
        <w:rPr>
          <w:rFonts w:ascii="Times New Roman" w:eastAsia="Times New Roman" w:hAnsi="Times New Roman" w:cs="Times New Roman"/>
          <w:b/>
          <w:sz w:val="22"/>
          <w:szCs w:val="22"/>
          <w:lang w:val="en-GB"/>
        </w:rPr>
      </w:pPr>
      <w:bookmarkStart w:id="7" w:name="_n0lt3d8hpl80"/>
      <w:bookmarkEnd w:id="7"/>
      <w:r>
        <w:rPr>
          <w:rFonts w:ascii="Times New Roman" w:eastAsia="Times New Roman" w:hAnsi="Times New Roman" w:cs="Times New Roman"/>
          <w:b/>
          <w:sz w:val="22"/>
          <w:szCs w:val="22"/>
          <w:lang w:val="en-GB"/>
        </w:rPr>
        <w:t>Mindfulness Exercises and Theories of The Self</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In this section we argue that, contrary to the sanitised presentation they are often given, mindfulness exercises are </w:t>
      </w:r>
      <w:r>
        <w:rPr>
          <w:rFonts w:ascii="Times New Roman" w:eastAsia="Times New Roman" w:hAnsi="Times New Roman" w:cs="Times New Roman"/>
          <w:i/>
          <w:lang w:val="en-GB"/>
        </w:rPr>
        <w:t xml:space="preserve">metaphysically loaded </w:t>
      </w:r>
      <w:r>
        <w:rPr>
          <w:rFonts w:ascii="Times New Roman" w:eastAsia="Times New Roman" w:hAnsi="Times New Roman" w:cs="Times New Roman"/>
          <w:lang w:val="en-GB"/>
        </w:rPr>
        <w:t xml:space="preserve">in that they encourage practitioners to view and conceptualise their mental states in a particular manner; a manner with which many would quite reasonably disagree. In what follows, we will clarify what this amounts to. To do so is easiest through consideration of how this way of seeing mental states connects to debates about the self to which the ancient Buddhists were a party, and in which contemporary psychologists have joined, in particular through the conception of self in ACT, which also draws inspiration from the earlier </w:t>
      </w:r>
      <w:proofErr w:type="spellStart"/>
      <w:r>
        <w:rPr>
          <w:rFonts w:ascii="Times New Roman" w:eastAsia="Times New Roman" w:hAnsi="Times New Roman" w:cs="Times New Roman"/>
          <w:lang w:val="en-GB"/>
        </w:rPr>
        <w:t>Vedantic</w:t>
      </w:r>
      <w:proofErr w:type="spellEnd"/>
      <w:r>
        <w:rPr>
          <w:rFonts w:ascii="Times New Roman" w:eastAsia="Times New Roman" w:hAnsi="Times New Roman" w:cs="Times New Roman"/>
          <w:lang w:val="en-GB"/>
        </w:rPr>
        <w:t xml:space="preserve"> conceptions of the </w:t>
      </w:r>
      <w:proofErr w:type="spellStart"/>
      <w:r>
        <w:rPr>
          <w:rFonts w:ascii="Times New Roman" w:eastAsia="Times New Roman" w:hAnsi="Times New Roman" w:cs="Times New Roman"/>
          <w:lang w:val="en-GB"/>
        </w:rPr>
        <w:t>self.</w:t>
      </w:r>
      <w:r>
        <w:rPr>
          <w:rFonts w:ascii="Times New Roman" w:eastAsia="Times New Roman" w:hAnsi="Times New Roman" w:cs="Times New Roman"/>
          <w:vertAlign w:val="superscript"/>
          <w:lang w:val="en-GB"/>
        </w:rPr>
        <w:t>iv</w:t>
      </w:r>
      <w:proofErr w:type="spellEnd"/>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describing the accounts of the self and their relationship to modern mindfulness exercises, we will focus on two sets of parallels. Firstly, we will show that the arguments used by ACT to establish the account of the self accompanying cognitive </w:t>
      </w:r>
      <w:proofErr w:type="spellStart"/>
      <w:r>
        <w:rPr>
          <w:rFonts w:ascii="Times New Roman" w:eastAsia="Times New Roman" w:hAnsi="Times New Roman" w:cs="Times New Roman"/>
          <w:lang w:val="en-GB"/>
        </w:rPr>
        <w:t>defusion</w:t>
      </w:r>
      <w:proofErr w:type="spellEnd"/>
      <w:r>
        <w:rPr>
          <w:rFonts w:ascii="Times New Roman" w:eastAsia="Times New Roman" w:hAnsi="Times New Roman" w:cs="Times New Roman"/>
          <w:lang w:val="en-GB"/>
        </w:rPr>
        <w:t xml:space="preserve"> exercises originate in </w:t>
      </w:r>
      <w:proofErr w:type="spellStart"/>
      <w:r>
        <w:rPr>
          <w:rFonts w:ascii="Times New Roman" w:eastAsia="Times New Roman" w:hAnsi="Times New Roman" w:cs="Times New Roman"/>
          <w:lang w:val="en-GB"/>
        </w:rPr>
        <w:t>Vedantic</w:t>
      </w:r>
      <w:proofErr w:type="spellEnd"/>
      <w:r>
        <w:rPr>
          <w:rFonts w:ascii="Times New Roman" w:eastAsia="Times New Roman" w:hAnsi="Times New Roman" w:cs="Times New Roman"/>
          <w:lang w:val="en-GB"/>
        </w:rPr>
        <w:t xml:space="preserve"> philosophy and are similar to the </w:t>
      </w:r>
      <w:r>
        <w:rPr>
          <w:rFonts w:ascii="Times New Roman" w:eastAsia="Times New Roman" w:hAnsi="Times New Roman" w:cs="Times New Roman"/>
          <w:lang w:val="en-GB"/>
        </w:rPr>
        <w:lastRenderedPageBreak/>
        <w:t xml:space="preserve">arguments that establish the opposite conclusion in Buddhism. This not only undermines the claim that cognitive </w:t>
      </w:r>
      <w:proofErr w:type="spellStart"/>
      <w:r>
        <w:rPr>
          <w:rFonts w:ascii="Times New Roman" w:eastAsia="Times New Roman" w:hAnsi="Times New Roman" w:cs="Times New Roman"/>
          <w:lang w:val="en-GB"/>
        </w:rPr>
        <w:t>defusion</w:t>
      </w:r>
      <w:proofErr w:type="spellEnd"/>
      <w:r>
        <w:rPr>
          <w:rFonts w:ascii="Times New Roman" w:eastAsia="Times New Roman" w:hAnsi="Times New Roman" w:cs="Times New Roman"/>
          <w:lang w:val="en-GB"/>
        </w:rPr>
        <w:t xml:space="preserve"> exercises are nondenominational, but as we shall see in the next section, suggests that the justification for ACT's account of the self is more controversial than often presented.</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Secondly, we focus on the two types of mindfulness exercises themselves, showing that they bear a striking resemblance to the mindfulness meditations of early Buddhism as described in the </w:t>
      </w:r>
      <w:proofErr w:type="spellStart"/>
      <w:r>
        <w:rPr>
          <w:rFonts w:ascii="Times New Roman" w:eastAsia="Times New Roman" w:hAnsi="Times New Roman" w:cs="Times New Roman"/>
          <w:i/>
          <w:lang w:val="en-GB"/>
        </w:rPr>
        <w:t>Satipatthana</w:t>
      </w:r>
      <w:proofErr w:type="spellEnd"/>
      <w:r>
        <w:rPr>
          <w:rFonts w:ascii="Times New Roman" w:eastAsia="Times New Roman" w:hAnsi="Times New Roman" w:cs="Times New Roman"/>
          <w:i/>
          <w:lang w:val="en-GB"/>
        </w:rPr>
        <w:t xml:space="preserve"> </w:t>
      </w:r>
      <w:proofErr w:type="spellStart"/>
      <w:r>
        <w:rPr>
          <w:rFonts w:ascii="Times New Roman" w:eastAsia="Times New Roman" w:hAnsi="Times New Roman" w:cs="Times New Roman"/>
          <w:i/>
          <w:lang w:val="en-GB"/>
        </w:rPr>
        <w:t>Sutta</w:t>
      </w:r>
      <w:proofErr w:type="spellEnd"/>
      <w:r>
        <w:rPr>
          <w:rFonts w:ascii="Times New Roman" w:eastAsia="Times New Roman" w:hAnsi="Times New Roman" w:cs="Times New Roman"/>
          <w:i/>
          <w:lang w:val="en-GB"/>
        </w:rPr>
        <w:t xml:space="preserve"> </w:t>
      </w:r>
      <w:r>
        <w:rPr>
          <w:rFonts w:ascii="Times New Roman" w:eastAsia="Times New Roman" w:hAnsi="Times New Roman" w:cs="Times New Roman"/>
          <w:lang w:val="en-GB"/>
        </w:rPr>
        <w:t>(SS)</w:t>
      </w:r>
      <w:r>
        <w:rPr>
          <w:rFonts w:ascii="Times New Roman" w:eastAsia="Times New Roman" w:hAnsi="Times New Roman" w:cs="Times New Roman"/>
          <w:vertAlign w:val="superscript"/>
          <w:lang w:val="en-GB"/>
        </w:rPr>
        <w:t>v.</w:t>
      </w:r>
      <w:r>
        <w:rPr>
          <w:rFonts w:ascii="Times New Roman" w:eastAsia="Times New Roman" w:hAnsi="Times New Roman" w:cs="Times New Roman"/>
          <w:lang w:val="en-GB"/>
        </w:rPr>
        <w:t xml:space="preserve">  Translated variously as 'Discourse establishing Mindfulness' and 'Frames of Reference' the SS is found both in the collection of middle length discourses of the Buddha (</w:t>
      </w:r>
      <w:proofErr w:type="spellStart"/>
      <w:r>
        <w:rPr>
          <w:rFonts w:ascii="Times New Roman" w:eastAsia="Times New Roman" w:hAnsi="Times New Roman" w:cs="Times New Roman"/>
          <w:i/>
          <w:iCs/>
          <w:lang w:val="en-GB"/>
        </w:rPr>
        <w:t>Majjhima</w:t>
      </w:r>
      <w:proofErr w:type="spellEnd"/>
      <w:r>
        <w:rPr>
          <w:rFonts w:ascii="Times New Roman" w:eastAsia="Times New Roman" w:hAnsi="Times New Roman" w:cs="Times New Roman"/>
          <w:i/>
          <w:iCs/>
          <w:lang w:val="en-GB"/>
        </w:rPr>
        <w:t xml:space="preserve"> </w:t>
      </w:r>
      <w:proofErr w:type="spellStart"/>
      <w:r>
        <w:rPr>
          <w:rFonts w:ascii="Times New Roman" w:eastAsia="Times New Roman" w:hAnsi="Times New Roman" w:cs="Times New Roman"/>
          <w:i/>
          <w:iCs/>
          <w:lang w:val="en-GB"/>
        </w:rPr>
        <w:t>Nikāya</w:t>
      </w:r>
      <w:proofErr w:type="spellEnd"/>
      <w:r>
        <w:rPr>
          <w:rFonts w:ascii="Times New Roman" w:eastAsia="Times New Roman" w:hAnsi="Times New Roman" w:cs="Times New Roman"/>
          <w:lang w:val="en-GB"/>
        </w:rPr>
        <w:t>) and in expanded form in the longer discourses (</w:t>
      </w:r>
      <w:proofErr w:type="spellStart"/>
      <w:r>
        <w:rPr>
          <w:rFonts w:ascii="Times New Roman" w:eastAsia="Times New Roman" w:hAnsi="Times New Roman" w:cs="Times New Roman"/>
          <w:i/>
          <w:iCs/>
          <w:lang w:val="en-GB"/>
        </w:rPr>
        <w:t>Digha</w:t>
      </w:r>
      <w:proofErr w:type="spellEnd"/>
      <w:r>
        <w:rPr>
          <w:rFonts w:ascii="Times New Roman" w:eastAsia="Times New Roman" w:hAnsi="Times New Roman" w:cs="Times New Roman"/>
          <w:i/>
          <w:iCs/>
          <w:lang w:val="en-GB"/>
        </w:rPr>
        <w:t xml:space="preserve"> </w:t>
      </w:r>
      <w:proofErr w:type="spellStart"/>
      <w:r>
        <w:rPr>
          <w:rFonts w:ascii="Times New Roman" w:eastAsia="Times New Roman" w:hAnsi="Times New Roman" w:cs="Times New Roman"/>
          <w:i/>
          <w:iCs/>
          <w:lang w:val="en-GB"/>
        </w:rPr>
        <w:t>Nikāya</w:t>
      </w:r>
      <w:proofErr w:type="spellEnd"/>
      <w:r>
        <w:rPr>
          <w:rFonts w:ascii="Times New Roman" w:eastAsia="Times New Roman" w:hAnsi="Times New Roman" w:cs="Times New Roman"/>
          <w:lang w:val="en-GB"/>
        </w:rPr>
        <w:t xml:space="preserve">) which are components of the early </w:t>
      </w:r>
      <w:proofErr w:type="spellStart"/>
      <w:r>
        <w:rPr>
          <w:rFonts w:ascii="Times New Roman" w:eastAsia="Times New Roman" w:hAnsi="Times New Roman" w:cs="Times New Roman"/>
          <w:lang w:val="en-GB"/>
        </w:rPr>
        <w:t>Pali</w:t>
      </w:r>
      <w:proofErr w:type="spellEnd"/>
      <w:r>
        <w:rPr>
          <w:rFonts w:ascii="Times New Roman" w:eastAsia="Times New Roman" w:hAnsi="Times New Roman" w:cs="Times New Roman"/>
          <w:lang w:val="en-GB"/>
        </w:rPr>
        <w:t xml:space="preserve"> canon of Buddhist writings. As we shall see shortly, the influence of the SS in contemporary psychotherapy is readily apparent when we consider the texts that the likes of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 xml:space="preserve">-Zinn cite within their own work. In mindfulness breathing exercises the resemblance to the meditation practice described in the SS is immediately apparent and explicit. In the case of the cognitive </w:t>
      </w:r>
      <w:proofErr w:type="spellStart"/>
      <w:r>
        <w:rPr>
          <w:rFonts w:ascii="Times New Roman" w:eastAsia="Times New Roman" w:hAnsi="Times New Roman" w:cs="Times New Roman"/>
          <w:lang w:val="en-GB"/>
        </w:rPr>
        <w:t>defusion</w:t>
      </w:r>
      <w:proofErr w:type="spellEnd"/>
      <w:r>
        <w:rPr>
          <w:rFonts w:ascii="Times New Roman" w:eastAsia="Times New Roman" w:hAnsi="Times New Roman" w:cs="Times New Roman"/>
          <w:lang w:val="en-GB"/>
        </w:rPr>
        <w:t xml:space="preserve"> exercises, we will show that they bear structural similarities to  this practice.</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ACT, unlike many other psychotherapies, is explicit about the fact that it comes bundled with a theory of the self which is referred to variously as the "transcendental self" or "self as context". The argument establishing this account of the self, as espoused by Steven Hayes, the founder of ACT,  takes the unusual form of a behaviourist analysis of the term 'spirit'.</w:t>
      </w:r>
      <w:r>
        <w:rPr>
          <w:rFonts w:ascii="Times New Roman" w:eastAsia="Times New Roman" w:hAnsi="Times New Roman" w:cs="Times New Roman"/>
          <w:vertAlign w:val="superscript"/>
          <w:lang w:val="en-GB"/>
        </w:rPr>
        <w:t xml:space="preserve">10 </w:t>
      </w:r>
      <w:r>
        <w:rPr>
          <w:rFonts w:ascii="Times New Roman" w:eastAsia="Times New Roman" w:hAnsi="Times New Roman" w:cs="Times New Roman"/>
          <w:lang w:val="en-GB"/>
        </w:rPr>
        <w:t>Apart from the methodology, Hayes takes his account of the self, more or less wholesale, from Deikman.</w:t>
      </w:r>
      <w:r>
        <w:rPr>
          <w:rFonts w:ascii="Times New Roman" w:eastAsia="Times New Roman" w:hAnsi="Times New Roman" w:cs="Times New Roman"/>
          <w:vertAlign w:val="superscript"/>
          <w:lang w:val="en-GB"/>
        </w:rPr>
        <w:t>12</w:t>
      </w:r>
      <w:r>
        <w:rPr>
          <w:rFonts w:ascii="Times New Roman" w:eastAsia="Times New Roman" w:hAnsi="Times New Roman" w:cs="Times New Roman"/>
          <w:lang w:val="en-GB"/>
        </w:rPr>
        <w:t xml:space="preserve"> One of the central claims of this account of the self is that in spite of all the changes individuals undergo, there is one constant - the "perspective, locus or point of view" from which one observes and interacts with the world:</w:t>
      </w:r>
      <w:r>
        <w:rPr>
          <w:rFonts w:ascii="Times New Roman" w:eastAsia="Times New Roman" w:hAnsi="Times New Roman" w:cs="Times New Roman"/>
          <w:lang w:val="en-GB"/>
        </w:rPr>
        <w:br/>
      </w:r>
      <w:r>
        <w:rPr>
          <w:rFonts w:ascii="Times New Roman" w:eastAsia="Times New Roman" w:hAnsi="Times New Roman" w:cs="Times New Roman"/>
          <w:lang w:val="en-GB"/>
        </w:rPr>
        <w:tab/>
      </w:r>
    </w:p>
    <w:p w:rsidR="005B1037" w:rsidRDefault="00BF07C7">
      <w:pPr>
        <w:pStyle w:val="Standard"/>
        <w:ind w:left="825" w:right="885"/>
        <w:jc w:val="both"/>
      </w:pPr>
      <w:r>
        <w:rPr>
          <w:rFonts w:ascii="Times New Roman" w:eastAsia="Times New Roman" w:hAnsi="Times New Roman" w:cs="Times New Roman"/>
          <w:lang w:val="en-GB"/>
        </w:rPr>
        <w:t>If you are asked to remember what it was like to be 10 years old-to remember looking out at the world at that age and you are asked "Was that you then?" or "Deep down, is the you that is here now the you that was there then?" again the obvious answer is yes.</w:t>
      </w:r>
      <w:r>
        <w:rPr>
          <w:rFonts w:ascii="Times New Roman" w:eastAsia="Times New Roman" w:hAnsi="Times New Roman" w:cs="Times New Roman"/>
          <w:vertAlign w:val="superscript"/>
          <w:lang w:val="en-GB"/>
        </w:rPr>
        <w:t>10</w:t>
      </w: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br/>
        <w:t xml:space="preserve">The self espoused by </w:t>
      </w:r>
      <w:proofErr w:type="spellStart"/>
      <w:r>
        <w:rPr>
          <w:rFonts w:ascii="Times New Roman" w:eastAsia="Times New Roman" w:hAnsi="Times New Roman" w:cs="Times New Roman"/>
          <w:lang w:val="en-GB"/>
        </w:rPr>
        <w:t>Deikman</w:t>
      </w:r>
      <w:proofErr w:type="spellEnd"/>
      <w:r>
        <w:rPr>
          <w:rFonts w:ascii="Times New Roman" w:eastAsia="Times New Roman" w:hAnsi="Times New Roman" w:cs="Times New Roman"/>
          <w:lang w:val="en-GB"/>
        </w:rPr>
        <w:t xml:space="preserve"> and Hayes is characterless, bare and lacking any form whatsoever. It is simply the ongoing locus or context from which one is aware of, or can observe, the world and mental phenomena such as perceptions, thoughts and feelings. This is somewhat at odds with our ordinary first personal understanding of the self. Whilst we might be prepared to agree that the above accurately describes our experience of "looking out at the world", we tend not to think of ourselves as simply a vantage point from which we observe mental phenomena such as our own feelings and thoughts. We shall say more about how accounts of the self such as this sit in tension with core beliefs we might already have about the self, in the next section.</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addition to the appeal from continuity of perspective, Hayes and </w:t>
      </w:r>
      <w:proofErr w:type="spellStart"/>
      <w:r>
        <w:rPr>
          <w:rFonts w:ascii="Times New Roman" w:eastAsia="Times New Roman" w:hAnsi="Times New Roman" w:cs="Times New Roman"/>
          <w:lang w:val="en-GB"/>
        </w:rPr>
        <w:t>Deikman</w:t>
      </w:r>
      <w:proofErr w:type="spellEnd"/>
      <w:r>
        <w:rPr>
          <w:rFonts w:ascii="Times New Roman" w:eastAsia="Times New Roman" w:hAnsi="Times New Roman" w:cs="Times New Roman"/>
          <w:lang w:val="en-GB"/>
        </w:rPr>
        <w:t xml:space="preserve"> argue that once we peel back the phenomena traditionally associated with the self, something still remains. </w:t>
      </w:r>
      <w:proofErr w:type="spellStart"/>
      <w:r>
        <w:rPr>
          <w:rFonts w:ascii="Times New Roman" w:eastAsia="Times New Roman" w:hAnsi="Times New Roman" w:cs="Times New Roman"/>
          <w:lang w:val="en-GB"/>
        </w:rPr>
        <w:t>Deikman</w:t>
      </w:r>
      <w:proofErr w:type="spellEnd"/>
      <w:r>
        <w:rPr>
          <w:rFonts w:ascii="Times New Roman" w:eastAsia="Times New Roman" w:hAnsi="Times New Roman" w:cs="Times New Roman"/>
          <w:lang w:val="en-GB"/>
        </w:rPr>
        <w:t xml:space="preserve"> appeals to Eastern sources to establish this point. The original source of the ACT account of the self is the school of views referred to as Vedanta. There are a number of early Indian philosophies that advance similar views of the self, which are variously considered by </w:t>
      </w:r>
      <w:proofErr w:type="spellStart"/>
      <w:r>
        <w:rPr>
          <w:rFonts w:ascii="Times New Roman" w:eastAsia="Times New Roman" w:hAnsi="Times New Roman" w:cs="Times New Roman"/>
          <w:lang w:val="en-GB"/>
        </w:rPr>
        <w:t>Deikman</w:t>
      </w:r>
      <w:proofErr w:type="spellEnd"/>
      <w:r>
        <w:rPr>
          <w:rFonts w:ascii="Times New Roman" w:eastAsia="Times New Roman" w:hAnsi="Times New Roman" w:cs="Times New Roman"/>
          <w:lang w:val="en-GB"/>
        </w:rPr>
        <w:t xml:space="preserve">, but the majority of his sources, including the source </w:t>
      </w:r>
      <w:r>
        <w:rPr>
          <w:rFonts w:ascii="Times New Roman" w:eastAsia="Times New Roman" w:hAnsi="Times New Roman" w:cs="Times New Roman"/>
          <w:lang w:val="en-GB"/>
        </w:rPr>
        <w:lastRenderedPageBreak/>
        <w:t xml:space="preserve">below, falls under the </w:t>
      </w:r>
      <w:proofErr w:type="spellStart"/>
      <w:r>
        <w:rPr>
          <w:rFonts w:ascii="Times New Roman" w:eastAsia="Times New Roman" w:hAnsi="Times New Roman" w:cs="Times New Roman"/>
          <w:lang w:val="en-GB"/>
        </w:rPr>
        <w:t>Vedantic</w:t>
      </w:r>
      <w:proofErr w:type="spellEnd"/>
      <w:r>
        <w:rPr>
          <w:rFonts w:ascii="Times New Roman" w:eastAsia="Times New Roman" w:hAnsi="Times New Roman" w:cs="Times New Roman"/>
          <w:lang w:val="en-GB"/>
        </w:rPr>
        <w:t xml:space="preserve"> school. Here, </w:t>
      </w:r>
      <w:proofErr w:type="spellStart"/>
      <w:r>
        <w:rPr>
          <w:rFonts w:ascii="Times New Roman" w:eastAsia="Times New Roman" w:hAnsi="Times New Roman" w:cs="Times New Roman"/>
          <w:lang w:val="en-GB"/>
        </w:rPr>
        <w:t>Deikman</w:t>
      </w:r>
      <w:proofErr w:type="spellEnd"/>
      <w:r>
        <w:rPr>
          <w:rFonts w:ascii="Times New Roman" w:eastAsia="Times New Roman" w:hAnsi="Times New Roman" w:cs="Times New Roman"/>
          <w:lang w:val="en-GB"/>
        </w:rPr>
        <w:t xml:space="preserve"> describes the "Who am I?" exercise of </w:t>
      </w:r>
      <w:proofErr w:type="spellStart"/>
      <w:r>
        <w:rPr>
          <w:rFonts w:ascii="Times New Roman" w:eastAsia="Times New Roman" w:hAnsi="Times New Roman" w:cs="Times New Roman"/>
          <w:lang w:val="en-GB"/>
        </w:rPr>
        <w:t>Ramana</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Maharshi</w:t>
      </w:r>
      <w:proofErr w:type="spellEnd"/>
      <w:r>
        <w:rPr>
          <w:rFonts w:ascii="Times New Roman" w:eastAsia="Times New Roman" w:hAnsi="Times New Roman" w:cs="Times New Roman"/>
          <w:lang w:val="en-GB"/>
        </w:rPr>
        <w:t>:</w:t>
      </w:r>
    </w:p>
    <w:p w:rsidR="005B1037" w:rsidRDefault="00BF07C7">
      <w:pPr>
        <w:pStyle w:val="Standard"/>
        <w:ind w:left="825" w:right="885"/>
        <w:jc w:val="both"/>
      </w:pPr>
      <w:r>
        <w:rPr>
          <w:rFonts w:ascii="Times New Roman" w:eastAsia="Times New Roman" w:hAnsi="Times New Roman" w:cs="Times New Roman"/>
          <w:lang w:val="en-GB"/>
        </w:rPr>
        <w:br/>
        <w:t>If I lost my arm, I would still exist, therefore I am not my arm. If I could not hear, I would still exist. Therefore I am not my hearing. And so on, until finally, "I am not this thought", which leads to a radically different experience of the self.</w:t>
      </w:r>
      <w:r>
        <w:rPr>
          <w:rFonts w:ascii="Times New Roman" w:eastAsia="Times New Roman" w:hAnsi="Times New Roman" w:cs="Times New Roman"/>
          <w:vertAlign w:val="superscript"/>
          <w:lang w:val="en-GB"/>
        </w:rPr>
        <w:t>12</w:t>
      </w: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br/>
        <w:t>This radically different experience is, in ACT, the self as the continuing locus from which all the other phenomena that we traditionally associate with the self are observed.</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Opposed to </w:t>
      </w:r>
      <w:proofErr w:type="spellStart"/>
      <w:r>
        <w:rPr>
          <w:rFonts w:ascii="Times New Roman" w:eastAsia="Times New Roman" w:hAnsi="Times New Roman" w:cs="Times New Roman"/>
          <w:lang w:val="en-GB"/>
        </w:rPr>
        <w:t>Vedantic</w:t>
      </w:r>
      <w:proofErr w:type="spellEnd"/>
      <w:r>
        <w:rPr>
          <w:rFonts w:ascii="Times New Roman" w:eastAsia="Times New Roman" w:hAnsi="Times New Roman" w:cs="Times New Roman"/>
          <w:lang w:val="en-GB"/>
        </w:rPr>
        <w:t xml:space="preserve"> accounts is the Buddhist no-self doctrine. The no-self doctrine is best understood as a negative metaphysical thesis. According to this doctrine, there are no substances or persisting entities which are the appropriate metaphysical referent to the term 'self', or related terms such as 'I'. Although this radically differs from the </w:t>
      </w:r>
      <w:proofErr w:type="spellStart"/>
      <w:r>
        <w:rPr>
          <w:rFonts w:ascii="Times New Roman" w:eastAsia="Times New Roman" w:hAnsi="Times New Roman" w:cs="Times New Roman"/>
          <w:lang w:val="en-GB"/>
        </w:rPr>
        <w:t>Vedantic</w:t>
      </w:r>
      <w:proofErr w:type="spellEnd"/>
      <w:r>
        <w:rPr>
          <w:rFonts w:ascii="Times New Roman" w:eastAsia="Times New Roman" w:hAnsi="Times New Roman" w:cs="Times New Roman"/>
          <w:lang w:val="en-GB"/>
        </w:rPr>
        <w:t xml:space="preserve"> view, it is motivated by some of the same claims, ones reflected in contemporary mindfulness exercises.</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Much like the ACT view, the doctrine of no-self is at odds with commonplace understandings of the self. What the doctrine of no-self means for a first personal or phenomenological perspective is that individuals are deeply deluded with regard to how they understand themselves. Whilst we tend to conceptualise ourselves as persisting subjects or selves, who have thoughts and feelings etc., the doctrine states that there is no such underlying subject or self. There are thoughts and feelings, but no underlying entity to whom they can be said to belong.</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A common argumentative strategy used to establish the Buddhist doctrine of no-self resembles strongly the approach used above to establish the opposite conclusion. This is unsurprising given that the Buddhist account of the self is a challenge to the earlier </w:t>
      </w:r>
      <w:proofErr w:type="spellStart"/>
      <w:r>
        <w:rPr>
          <w:rFonts w:ascii="Times New Roman" w:eastAsia="Times New Roman" w:hAnsi="Times New Roman" w:cs="Times New Roman"/>
          <w:lang w:val="en-GB"/>
        </w:rPr>
        <w:t>Vedantic</w:t>
      </w:r>
      <w:proofErr w:type="spellEnd"/>
      <w:r>
        <w:rPr>
          <w:rFonts w:ascii="Times New Roman" w:eastAsia="Times New Roman" w:hAnsi="Times New Roman" w:cs="Times New Roman"/>
          <w:lang w:val="en-GB"/>
        </w:rPr>
        <w:t xml:space="preserve"> view. Perhaps the most well known instance of this argumentative strategy is found in the </w:t>
      </w:r>
      <w:proofErr w:type="spellStart"/>
      <w:r>
        <w:rPr>
          <w:rFonts w:ascii="Times New Roman" w:eastAsia="Times New Roman" w:hAnsi="Times New Roman" w:cs="Times New Roman"/>
          <w:i/>
          <w:lang w:val="en-GB"/>
        </w:rPr>
        <w:t>Milindapanha</w:t>
      </w:r>
      <w:proofErr w:type="spellEnd"/>
      <w:r>
        <w:rPr>
          <w:rFonts w:ascii="Times New Roman" w:eastAsia="Times New Roman" w:hAnsi="Times New Roman" w:cs="Times New Roman"/>
          <w:lang w:val="en-GB"/>
        </w:rPr>
        <w:t xml:space="preserve">, where a King, </w:t>
      </w:r>
      <w:proofErr w:type="spellStart"/>
      <w:r>
        <w:rPr>
          <w:rFonts w:ascii="Times New Roman" w:eastAsia="Times New Roman" w:hAnsi="Times New Roman" w:cs="Times New Roman"/>
          <w:lang w:val="en-GB"/>
        </w:rPr>
        <w:t>Milinda</w:t>
      </w:r>
      <w:proofErr w:type="spellEnd"/>
      <w:r>
        <w:rPr>
          <w:rFonts w:ascii="Times New Roman" w:eastAsia="Times New Roman" w:hAnsi="Times New Roman" w:cs="Times New Roman"/>
          <w:lang w:val="en-GB"/>
        </w:rPr>
        <w:t>, gets the following mysterious reply to the simple question, "What is your name?":</w:t>
      </w:r>
    </w:p>
    <w:p w:rsidR="005B1037" w:rsidRDefault="005B1037">
      <w:pPr>
        <w:pStyle w:val="Standard"/>
        <w:jc w:val="both"/>
        <w:rPr>
          <w:lang w:val="en-GB"/>
        </w:rPr>
      </w:pPr>
    </w:p>
    <w:p w:rsidR="005B1037" w:rsidRDefault="00BF07C7">
      <w:pPr>
        <w:pStyle w:val="Standard"/>
        <w:ind w:left="825" w:right="885"/>
        <w:jc w:val="both"/>
      </w:pPr>
      <w:r>
        <w:rPr>
          <w:rFonts w:ascii="Times New Roman" w:eastAsia="Times New Roman" w:hAnsi="Times New Roman" w:cs="Times New Roman"/>
          <w:lang w:val="en-GB"/>
        </w:rPr>
        <w:t xml:space="preserve">'Your majesty I am called </w:t>
      </w:r>
      <w:proofErr w:type="spellStart"/>
      <w:r>
        <w:rPr>
          <w:rFonts w:ascii="Times New Roman" w:eastAsia="Times New Roman" w:hAnsi="Times New Roman" w:cs="Times New Roman"/>
          <w:lang w:val="en-GB"/>
        </w:rPr>
        <w:t>Nāgasena</w:t>
      </w:r>
      <w:proofErr w:type="spellEnd"/>
      <w:r>
        <w:rPr>
          <w:rFonts w:ascii="Times New Roman" w:eastAsia="Times New Roman" w:hAnsi="Times New Roman" w:cs="Times New Roman"/>
          <w:lang w:val="en-GB"/>
        </w:rPr>
        <w:t xml:space="preserve">, my fellow monks, your majesty, address me as </w:t>
      </w:r>
      <w:proofErr w:type="spellStart"/>
      <w:r>
        <w:rPr>
          <w:rFonts w:ascii="Times New Roman" w:eastAsia="Times New Roman" w:hAnsi="Times New Roman" w:cs="Times New Roman"/>
          <w:lang w:val="en-GB"/>
        </w:rPr>
        <w:t>Nāgasena</w:t>
      </w:r>
      <w:proofErr w:type="spellEnd"/>
      <w:r>
        <w:rPr>
          <w:rFonts w:ascii="Times New Roman" w:eastAsia="Times New Roman" w:hAnsi="Times New Roman" w:cs="Times New Roman"/>
          <w:lang w:val="en-GB"/>
        </w:rPr>
        <w:t xml:space="preserve">: But whether parents, give one the name </w:t>
      </w:r>
      <w:proofErr w:type="spellStart"/>
      <w:r>
        <w:rPr>
          <w:rFonts w:ascii="Times New Roman" w:eastAsia="Times New Roman" w:hAnsi="Times New Roman" w:cs="Times New Roman"/>
          <w:lang w:val="en-GB"/>
        </w:rPr>
        <w:t>Nāgasena</w:t>
      </w:r>
      <w:proofErr w:type="spellEnd"/>
      <w:r>
        <w:rPr>
          <w:rFonts w:ascii="Times New Roman" w:eastAsia="Times New Roman" w:hAnsi="Times New Roman" w:cs="Times New Roman"/>
          <w:lang w:val="en-GB"/>
        </w:rPr>
        <w:t xml:space="preserve">, or </w:t>
      </w:r>
      <w:proofErr w:type="spellStart"/>
      <w:r>
        <w:rPr>
          <w:rFonts w:ascii="Times New Roman" w:eastAsia="Times New Roman" w:hAnsi="Times New Roman" w:cs="Times New Roman"/>
          <w:lang w:val="en-GB"/>
        </w:rPr>
        <w:t>Sūrasena</w:t>
      </w:r>
      <w:proofErr w:type="spellEnd"/>
      <w:r>
        <w:rPr>
          <w:rFonts w:ascii="Times New Roman" w:eastAsia="Times New Roman" w:hAnsi="Times New Roman" w:cs="Times New Roman"/>
          <w:lang w:val="en-GB"/>
        </w:rPr>
        <w:t xml:space="preserve">, or </w:t>
      </w:r>
      <w:proofErr w:type="spellStart"/>
      <w:r>
        <w:rPr>
          <w:rFonts w:ascii="Times New Roman" w:eastAsia="Times New Roman" w:hAnsi="Times New Roman" w:cs="Times New Roman"/>
          <w:lang w:val="en-GB"/>
        </w:rPr>
        <w:t>Vīrasena</w:t>
      </w:r>
      <w:proofErr w:type="spellEnd"/>
      <w:r>
        <w:rPr>
          <w:rFonts w:ascii="Times New Roman" w:eastAsia="Times New Roman" w:hAnsi="Times New Roman" w:cs="Times New Roman"/>
          <w:lang w:val="en-GB"/>
        </w:rPr>
        <w:t xml:space="preserve">, or </w:t>
      </w:r>
      <w:proofErr w:type="spellStart"/>
      <w:r>
        <w:rPr>
          <w:rFonts w:ascii="Times New Roman" w:eastAsia="Times New Roman" w:hAnsi="Times New Roman" w:cs="Times New Roman"/>
          <w:lang w:val="en-GB"/>
        </w:rPr>
        <w:t>Sīhasena</w:t>
      </w:r>
      <w:proofErr w:type="spellEnd"/>
      <w:r>
        <w:rPr>
          <w:rFonts w:ascii="Times New Roman" w:eastAsia="Times New Roman" w:hAnsi="Times New Roman" w:cs="Times New Roman"/>
          <w:lang w:val="en-GB"/>
        </w:rPr>
        <w:t xml:space="preserve">, it is nevertheless your majesty, just a counter, an expression, a convenient designator, a mere name, this </w:t>
      </w:r>
      <w:proofErr w:type="spellStart"/>
      <w:r>
        <w:rPr>
          <w:rFonts w:ascii="Times New Roman" w:eastAsia="Times New Roman" w:hAnsi="Times New Roman" w:cs="Times New Roman"/>
          <w:lang w:val="en-GB"/>
        </w:rPr>
        <w:t>Nāgasena</w:t>
      </w:r>
      <w:proofErr w:type="spellEnd"/>
      <w:r>
        <w:rPr>
          <w:rFonts w:ascii="Times New Roman" w:eastAsia="Times New Roman" w:hAnsi="Times New Roman" w:cs="Times New Roman"/>
          <w:lang w:val="en-GB"/>
        </w:rPr>
        <w:t xml:space="preserve">; </w:t>
      </w:r>
      <w:r>
        <w:rPr>
          <w:rFonts w:ascii="Times New Roman" w:eastAsia="Times New Roman" w:hAnsi="Times New Roman" w:cs="Times New Roman"/>
          <w:i/>
          <w:lang w:val="en-GB"/>
        </w:rPr>
        <w:t>for here there is no person to be found</w:t>
      </w:r>
      <w:r>
        <w:rPr>
          <w:rFonts w:ascii="Times New Roman" w:eastAsia="Times New Roman" w:hAnsi="Times New Roman" w:cs="Times New Roman"/>
          <w:lang w:val="en-GB"/>
        </w:rPr>
        <w:t>.</w:t>
      </w:r>
      <w:r>
        <w:rPr>
          <w:rFonts w:ascii="Times New Roman" w:eastAsia="Times New Roman" w:hAnsi="Times New Roman" w:cs="Times New Roman"/>
          <w:vertAlign w:val="superscript"/>
          <w:lang w:val="en-GB"/>
        </w:rPr>
        <w:t>13</w:t>
      </w:r>
    </w:p>
    <w:p w:rsidR="005B1037" w:rsidRDefault="00BF07C7">
      <w:pPr>
        <w:pStyle w:val="Standard"/>
        <w:jc w:val="both"/>
      </w:pPr>
      <w:r>
        <w:rPr>
          <w:rFonts w:ascii="Times New Roman" w:eastAsia="Times New Roman" w:hAnsi="Times New Roman" w:cs="Times New Roman"/>
          <w:lang w:val="en-GB"/>
        </w:rPr>
        <w:br/>
      </w:r>
      <w:proofErr w:type="spellStart"/>
      <w:r>
        <w:rPr>
          <w:rFonts w:ascii="Times New Roman" w:eastAsia="Times New Roman" w:hAnsi="Times New Roman" w:cs="Times New Roman"/>
          <w:lang w:val="en-GB"/>
        </w:rPr>
        <w:t>Milinda</w:t>
      </w:r>
      <w:proofErr w:type="spellEnd"/>
      <w:r>
        <w:rPr>
          <w:rFonts w:ascii="Times New Roman" w:eastAsia="Times New Roman" w:hAnsi="Times New Roman" w:cs="Times New Roman"/>
          <w:lang w:val="en-GB"/>
        </w:rPr>
        <w:t xml:space="preserve"> then asks what exactly the other monks in the order are referring to when they use the name '</w:t>
      </w:r>
      <w:proofErr w:type="spellStart"/>
      <w:r>
        <w:rPr>
          <w:rFonts w:ascii="Times New Roman" w:eastAsia="Times New Roman" w:hAnsi="Times New Roman" w:cs="Times New Roman"/>
          <w:lang w:val="en-GB"/>
        </w:rPr>
        <w:t>Nāgasena</w:t>
      </w:r>
      <w:proofErr w:type="spellEnd"/>
      <w:r>
        <w:rPr>
          <w:rFonts w:ascii="Times New Roman" w:eastAsia="Times New Roman" w:hAnsi="Times New Roman" w:cs="Times New Roman"/>
          <w:lang w:val="en-GB"/>
        </w:rPr>
        <w:t>'. He asks in turn whether the name refers to each of a person’s physical constituents (e.g. heart, lungs, brain) and whether it refers to each of a person’s physical or mental constituents as identified in Buddhist doctrine (</w:t>
      </w:r>
      <w:proofErr w:type="spellStart"/>
      <w:r>
        <w:rPr>
          <w:rFonts w:ascii="Times New Roman" w:eastAsia="Times New Roman" w:hAnsi="Times New Roman" w:cs="Times New Roman"/>
          <w:i/>
          <w:lang w:val="en-GB"/>
        </w:rPr>
        <w:t>skandhas</w:t>
      </w:r>
      <w:proofErr w:type="spellEnd"/>
      <w:r>
        <w:rPr>
          <w:rFonts w:ascii="Times New Roman" w:eastAsia="Times New Roman" w:hAnsi="Times New Roman" w:cs="Times New Roman"/>
          <w:lang w:val="en-GB"/>
        </w:rPr>
        <w:t>).</w:t>
      </w:r>
      <w:proofErr w:type="spellStart"/>
      <w:r>
        <w:rPr>
          <w:rFonts w:ascii="Times New Roman" w:eastAsia="Times New Roman" w:hAnsi="Times New Roman" w:cs="Times New Roman"/>
          <w:vertAlign w:val="superscript"/>
          <w:lang w:val="en-GB"/>
        </w:rPr>
        <w:t>vii</w:t>
      </w:r>
      <w:r>
        <w:rPr>
          <w:rFonts w:ascii="Times New Roman" w:eastAsia="Times New Roman" w:hAnsi="Times New Roman" w:cs="Times New Roman"/>
          <w:lang w:val="en-GB"/>
        </w:rPr>
        <w:t>Each</w:t>
      </w:r>
      <w:proofErr w:type="spellEnd"/>
      <w:r>
        <w:rPr>
          <w:rFonts w:ascii="Times New Roman" w:eastAsia="Times New Roman" w:hAnsi="Times New Roman" w:cs="Times New Roman"/>
          <w:lang w:val="en-GB"/>
        </w:rPr>
        <w:t xml:space="preserve"> time, </w:t>
      </w:r>
      <w:proofErr w:type="spellStart"/>
      <w:r>
        <w:rPr>
          <w:rFonts w:ascii="Times New Roman" w:eastAsia="Times New Roman" w:hAnsi="Times New Roman" w:cs="Times New Roman"/>
          <w:lang w:val="en-GB"/>
        </w:rPr>
        <w:t>Nāgasena</w:t>
      </w:r>
      <w:proofErr w:type="spellEnd"/>
      <w:r>
        <w:rPr>
          <w:rFonts w:ascii="Times New Roman" w:eastAsia="Times New Roman" w:hAnsi="Times New Roman" w:cs="Times New Roman"/>
          <w:lang w:val="en-GB"/>
        </w:rPr>
        <w:t xml:space="preserve"> replies in the negative.</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This is the same argumentative strategy encountered previously; an exhaustive search for the self is conducted, resulting in a philosophical problem: if the self is not your thoughts, feelings, body, and so on, then is it something else? </w:t>
      </w:r>
      <w:proofErr w:type="spellStart"/>
      <w:r>
        <w:rPr>
          <w:rFonts w:ascii="Times New Roman" w:eastAsia="Times New Roman" w:hAnsi="Times New Roman" w:cs="Times New Roman"/>
          <w:lang w:val="en-GB"/>
        </w:rPr>
        <w:t>Vedantic</w:t>
      </w:r>
      <w:proofErr w:type="spellEnd"/>
      <w:r>
        <w:rPr>
          <w:rFonts w:ascii="Times New Roman" w:eastAsia="Times New Roman" w:hAnsi="Times New Roman" w:cs="Times New Roman"/>
          <w:lang w:val="en-GB"/>
        </w:rPr>
        <w:t xml:space="preserve"> philosophers answered yes, offering a number of candidates. Hayes gives an ambiguous answer: the self is a perspective, but he denies that this is an entity.</w:t>
      </w:r>
      <w:r>
        <w:rPr>
          <w:rFonts w:ascii="Times New Roman" w:eastAsia="Times New Roman" w:hAnsi="Times New Roman" w:cs="Times New Roman"/>
          <w:vertAlign w:val="superscript"/>
          <w:lang w:val="en-GB"/>
        </w:rPr>
        <w:t>14</w:t>
      </w:r>
      <w:r>
        <w:rPr>
          <w:rFonts w:ascii="Times New Roman" w:eastAsia="Times New Roman" w:hAnsi="Times New Roman" w:cs="Times New Roman"/>
          <w:lang w:val="en-GB"/>
        </w:rPr>
        <w:t xml:space="preserve"> Here, when explicitly asked whether the self is to be found apart from the things considered, </w:t>
      </w:r>
      <w:proofErr w:type="spellStart"/>
      <w:r>
        <w:rPr>
          <w:rFonts w:ascii="Times New Roman" w:eastAsia="Times New Roman" w:hAnsi="Times New Roman" w:cs="Times New Roman"/>
          <w:lang w:val="en-GB"/>
        </w:rPr>
        <w:t>Nāgasena</w:t>
      </w:r>
      <w:proofErr w:type="spellEnd"/>
      <w:r>
        <w:rPr>
          <w:rFonts w:ascii="Times New Roman" w:eastAsia="Times New Roman" w:hAnsi="Times New Roman" w:cs="Times New Roman"/>
          <w:lang w:val="en-GB"/>
        </w:rPr>
        <w:t xml:space="preserve"> answers no. In </w:t>
      </w:r>
      <w:r>
        <w:rPr>
          <w:rFonts w:ascii="Times New Roman" w:eastAsia="Times New Roman" w:hAnsi="Times New Roman" w:cs="Times New Roman"/>
          <w:lang w:val="en-GB"/>
        </w:rPr>
        <w:lastRenderedPageBreak/>
        <w:t>doing so, he is appealing to the "Principle of Lightness", a much older appeal to parsimony, not unlike Occam's razor.</w:t>
      </w:r>
      <w:r>
        <w:rPr>
          <w:rFonts w:ascii="Times New Roman" w:eastAsia="Times New Roman" w:hAnsi="Times New Roman" w:cs="Times New Roman"/>
          <w:vertAlign w:val="superscript"/>
          <w:lang w:val="en-GB"/>
        </w:rPr>
        <w:t>14</w:t>
      </w:r>
      <w:r>
        <w:rPr>
          <w:rFonts w:ascii="Times New Roman" w:eastAsia="Times New Roman" w:hAnsi="Times New Roman" w:cs="Times New Roman"/>
          <w:lang w:val="en-GB"/>
        </w:rPr>
        <w:t xml:space="preserve">  </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The philosophical problem motivating these theories of the self stems from a particular understanding of mental states and their relationship to the self. The problem would not arise if mental states were seen as partial constituents of the self, or its products, as they seem to be in many commonplace understandings of the self. We will find that mindfulness exercises in contemporary psychology are loaded with this controversial manner of conceptualising mental states as somehow separate from the self.</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Apart from parsimony, a number of arguments support the doctrine of no-self. Using the strategy above, potential candidates for the self are examined exhaustively and their impermanence noted. This is significant as it is generally assumed that whatever the self is, it must be abiding, or continuous. Buddhists deny the permanence of the self both in the sense that the self is eternal in a way that survives death, and more pertinently for our ordinary beliefs, in the sense that underlying the changes individuals undergo, there is an abiding subject to be found. The argument from impermanence becomes extremely important as we turn to Buddhist meditation.</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Of the many varieties of Buddhist meditation, the one that matters for present purposes is mindfulness meditation, as espoused in the SS of the </w:t>
      </w:r>
      <w:proofErr w:type="spellStart"/>
      <w:r>
        <w:rPr>
          <w:rFonts w:ascii="Times New Roman" w:eastAsia="Times New Roman" w:hAnsi="Times New Roman" w:cs="Times New Roman"/>
          <w:lang w:val="en-GB"/>
        </w:rPr>
        <w:t>Pali</w:t>
      </w:r>
      <w:proofErr w:type="spellEnd"/>
      <w:r>
        <w:rPr>
          <w:rFonts w:ascii="Times New Roman" w:eastAsia="Times New Roman" w:hAnsi="Times New Roman" w:cs="Times New Roman"/>
          <w:lang w:val="en-GB"/>
        </w:rPr>
        <w:t xml:space="preserve"> canon. </w:t>
      </w:r>
      <w:proofErr w:type="spellStart"/>
      <w:r>
        <w:rPr>
          <w:rFonts w:ascii="Times New Roman" w:eastAsia="Times New Roman" w:hAnsi="Times New Roman" w:cs="Times New Roman"/>
          <w:lang w:val="en-GB"/>
        </w:rPr>
        <w:t>Deikman</w:t>
      </w:r>
      <w:proofErr w:type="spellEnd"/>
      <w:r>
        <w:rPr>
          <w:rFonts w:ascii="Times New Roman" w:eastAsia="Times New Roman" w:hAnsi="Times New Roman" w:cs="Times New Roman"/>
          <w:lang w:val="en-GB"/>
        </w:rPr>
        <w:t xml:space="preserve"> was likely familiar with the SS through a popular secondary text and the primary commentary by </w:t>
      </w:r>
      <w:proofErr w:type="spellStart"/>
      <w:r>
        <w:rPr>
          <w:rFonts w:ascii="Times New Roman" w:eastAsia="Times New Roman" w:hAnsi="Times New Roman" w:cs="Times New Roman"/>
          <w:lang w:val="en-GB"/>
        </w:rPr>
        <w:t>Buddhaghosa</w:t>
      </w:r>
      <w:proofErr w:type="spellEnd"/>
      <w:r>
        <w:rPr>
          <w:rFonts w:ascii="Times New Roman" w:eastAsia="Times New Roman" w:hAnsi="Times New Roman" w:cs="Times New Roman"/>
          <w:lang w:val="en-GB"/>
        </w:rPr>
        <w:t xml:space="preserve"> in the </w:t>
      </w:r>
      <w:r>
        <w:rPr>
          <w:rFonts w:ascii="Times New Roman" w:eastAsia="Times New Roman" w:hAnsi="Times New Roman" w:cs="Times New Roman"/>
          <w:i/>
          <w:lang w:val="en-GB"/>
        </w:rPr>
        <w:t>Visuddhimagga</w:t>
      </w:r>
      <w:r>
        <w:rPr>
          <w:rFonts w:ascii="Times New Roman" w:eastAsia="Times New Roman" w:hAnsi="Times New Roman" w:cs="Times New Roman"/>
          <w:lang w:val="en-GB"/>
        </w:rPr>
        <w:t>.</w:t>
      </w:r>
      <w:r>
        <w:rPr>
          <w:rFonts w:ascii="Times New Roman" w:eastAsia="Times New Roman" w:hAnsi="Times New Roman" w:cs="Times New Roman"/>
          <w:vertAlign w:val="superscript"/>
          <w:lang w:val="en-GB"/>
        </w:rPr>
        <w:t>16</w:t>
      </w:r>
      <w:r>
        <w:rPr>
          <w:rFonts w:ascii="Times New Roman" w:eastAsia="Times New Roman" w:hAnsi="Times New Roman" w:cs="Times New Roman"/>
          <w:lang w:val="en-GB"/>
        </w:rPr>
        <w:t xml:space="preserve"> Further, there is abundant evidence that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-Zinn was familiar with the SS and relied heavily upon it in devising the MBSR mindfulness exercises; some of his sources cite the SS, while others reproduce its text and discuss it extensively.</w:t>
      </w:r>
      <w:r>
        <w:rPr>
          <w:rFonts w:ascii="Times New Roman" w:eastAsia="Times New Roman" w:hAnsi="Times New Roman" w:cs="Times New Roman"/>
          <w:vertAlign w:val="superscript"/>
          <w:lang w:val="en-GB"/>
        </w:rPr>
        <w:t>17-19</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In a manner reminiscent of the argumentative strategy encountered above, in the SS, meditation practitioners are asked to consider themselves from various perspectives, or frames of reference. For instance, they are asked to consider their body, their feelings, the </w:t>
      </w:r>
      <w:proofErr w:type="spellStart"/>
      <w:r>
        <w:rPr>
          <w:rFonts w:ascii="Times New Roman" w:eastAsia="Times New Roman" w:hAnsi="Times New Roman" w:cs="Times New Roman"/>
          <w:lang w:val="en-GB"/>
        </w:rPr>
        <w:t>skandhas</w:t>
      </w:r>
      <w:proofErr w:type="spellEnd"/>
      <w:r>
        <w:rPr>
          <w:rFonts w:ascii="Times New Roman" w:eastAsia="Times New Roman" w:hAnsi="Times New Roman" w:cs="Times New Roman"/>
          <w:lang w:val="en-GB"/>
        </w:rPr>
        <w:t xml:space="preserve"> and so on. In thus observing themselves, practitioners are to </w:t>
      </w:r>
      <w:r>
        <w:rPr>
          <w:rFonts w:ascii="Times New Roman" w:eastAsia="Times New Roman" w:hAnsi="Times New Roman" w:cs="Times New Roman"/>
          <w:i/>
          <w:lang w:val="en-GB"/>
        </w:rPr>
        <w:t>label</w:t>
      </w:r>
      <w:r>
        <w:rPr>
          <w:rFonts w:ascii="Times New Roman" w:eastAsia="Times New Roman" w:hAnsi="Times New Roman" w:cs="Times New Roman"/>
          <w:lang w:val="en-GB"/>
        </w:rPr>
        <w:t xml:space="preserve"> the phenomena under consideration and observe its quality, for instance with regard to breathing:</w:t>
      </w:r>
    </w:p>
    <w:p w:rsidR="005B1037" w:rsidRDefault="005B1037">
      <w:pPr>
        <w:pStyle w:val="Standard"/>
        <w:jc w:val="both"/>
        <w:rPr>
          <w:lang w:val="en-GB"/>
        </w:rPr>
      </w:pPr>
    </w:p>
    <w:p w:rsidR="005B1037" w:rsidRDefault="00BF07C7">
      <w:pPr>
        <w:pStyle w:val="Standard"/>
        <w:ind w:left="825" w:right="885"/>
        <w:jc w:val="both"/>
        <w:rPr>
          <w:rFonts w:ascii="Times New Roman" w:eastAsia="Times New Roman" w:hAnsi="Times New Roman" w:cs="Times New Roman"/>
          <w:lang w:val="en-GB"/>
        </w:rPr>
      </w:pPr>
      <w:r>
        <w:rPr>
          <w:rFonts w:ascii="Times New Roman" w:eastAsia="Times New Roman" w:hAnsi="Times New Roman" w:cs="Times New Roman"/>
          <w:lang w:val="en-GB"/>
        </w:rPr>
        <w:t>... Always mindful, he breathes in; mindful he breathes out.</w:t>
      </w:r>
    </w:p>
    <w:p w:rsidR="005B1037" w:rsidRDefault="005B1037">
      <w:pPr>
        <w:pStyle w:val="Standard"/>
        <w:ind w:left="825" w:right="885"/>
        <w:jc w:val="both"/>
        <w:rPr>
          <w:lang w:val="en-GB"/>
        </w:rPr>
      </w:pPr>
    </w:p>
    <w:p w:rsidR="005B1037" w:rsidRDefault="00BF07C7">
      <w:pPr>
        <w:pStyle w:val="Standard"/>
        <w:ind w:left="825" w:right="885"/>
        <w:jc w:val="both"/>
        <w:rPr>
          <w:rFonts w:ascii="Times New Roman" w:eastAsia="Times New Roman" w:hAnsi="Times New Roman" w:cs="Times New Roman"/>
          <w:lang w:val="en-GB"/>
        </w:rPr>
      </w:pPr>
      <w:r>
        <w:rPr>
          <w:rFonts w:ascii="Times New Roman" w:eastAsia="Times New Roman" w:hAnsi="Times New Roman" w:cs="Times New Roman"/>
          <w:lang w:val="en-GB"/>
        </w:rPr>
        <w:t>Breathing in long, he discerns, 'I am breathing in long'; or breathing out long, he discerns, 'I am breathing out long.' Or breathing in short, he discerns, 'I am breathing in short'; or breathing out short, he discerns, 'I am breathing out short.'</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This resembles the instructions given by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-Zinn in an introductory breathing exercise:</w:t>
      </w:r>
    </w:p>
    <w:p w:rsidR="005B1037" w:rsidRDefault="005B1037">
      <w:pPr>
        <w:pStyle w:val="Standard"/>
        <w:jc w:val="both"/>
        <w:rPr>
          <w:lang w:val="en-GB"/>
        </w:rPr>
      </w:pPr>
    </w:p>
    <w:p w:rsidR="005B1037" w:rsidRDefault="00BF07C7">
      <w:pPr>
        <w:pStyle w:val="Standard"/>
        <w:ind w:left="825" w:right="885"/>
        <w:jc w:val="both"/>
      </w:pPr>
      <w:r>
        <w:rPr>
          <w:rFonts w:ascii="Times New Roman" w:eastAsia="Times New Roman" w:hAnsi="Times New Roman" w:cs="Times New Roman"/>
          <w:lang w:val="en-GB"/>
        </w:rPr>
        <w:t xml:space="preserve">Bring your attention to your belly, feeling it rise or expand gently on the </w:t>
      </w:r>
      <w:proofErr w:type="spellStart"/>
      <w:r>
        <w:rPr>
          <w:rFonts w:ascii="Times New Roman" w:eastAsia="Times New Roman" w:hAnsi="Times New Roman" w:cs="Times New Roman"/>
          <w:lang w:val="en-GB"/>
        </w:rPr>
        <w:t>inbreath</w:t>
      </w:r>
      <w:proofErr w:type="spellEnd"/>
      <w:r>
        <w:rPr>
          <w:rFonts w:ascii="Times New Roman" w:eastAsia="Times New Roman" w:hAnsi="Times New Roman" w:cs="Times New Roman"/>
          <w:lang w:val="en-GB"/>
        </w:rPr>
        <w:t xml:space="preserve"> and fall or recede on the outbreath. Keep the focus on your breathing, "being with" each </w:t>
      </w:r>
      <w:proofErr w:type="spellStart"/>
      <w:r>
        <w:rPr>
          <w:rFonts w:ascii="Times New Roman" w:eastAsia="Times New Roman" w:hAnsi="Times New Roman" w:cs="Times New Roman"/>
          <w:lang w:val="en-GB"/>
        </w:rPr>
        <w:lastRenderedPageBreak/>
        <w:t>inbreath</w:t>
      </w:r>
      <w:proofErr w:type="spellEnd"/>
      <w:r>
        <w:rPr>
          <w:rFonts w:ascii="Times New Roman" w:eastAsia="Times New Roman" w:hAnsi="Times New Roman" w:cs="Times New Roman"/>
          <w:lang w:val="en-GB"/>
        </w:rPr>
        <w:t xml:space="preserve"> for its full duration and with each outbreath for its full duration, as if you were riding the waves of your own breathing.</w:t>
      </w:r>
      <w:r>
        <w:rPr>
          <w:rFonts w:ascii="Times New Roman" w:eastAsia="Times New Roman" w:hAnsi="Times New Roman" w:cs="Times New Roman"/>
          <w:vertAlign w:val="superscript"/>
          <w:lang w:val="en-GB"/>
        </w:rPr>
        <w:t>4</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He goes on to state, in a manner that mimics even more closely the language of the SS: "...you should be aware of it [(the breath)] and feel the sensations associated with it and attend to their changing qualities."</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The SS progresses by describing how the same procedure is to be used, mutatis mutandis, with regard to other mental phenomena such as feelings:</w:t>
      </w:r>
      <w:r>
        <w:rPr>
          <w:rFonts w:ascii="Times New Roman" w:eastAsia="Times New Roman" w:hAnsi="Times New Roman" w:cs="Times New Roman"/>
          <w:lang w:val="en-GB"/>
        </w:rPr>
        <w:br/>
      </w:r>
    </w:p>
    <w:p w:rsidR="005B1037" w:rsidRDefault="00BF07C7">
      <w:pPr>
        <w:pStyle w:val="Standard"/>
        <w:ind w:left="855" w:right="885"/>
        <w:jc w:val="both"/>
        <w:rPr>
          <w:rFonts w:ascii="Times New Roman" w:eastAsia="Times New Roman" w:hAnsi="Times New Roman" w:cs="Times New Roman"/>
          <w:lang w:val="en-GB"/>
        </w:rPr>
      </w:pPr>
      <w:r>
        <w:rPr>
          <w:rFonts w:ascii="Times New Roman" w:eastAsia="Times New Roman" w:hAnsi="Times New Roman" w:cs="Times New Roman"/>
          <w:lang w:val="en-GB"/>
        </w:rPr>
        <w:t>And how does a monk remain focused on feelings in and of themselves? There is the case where a monk, when feeling a painful feeling, discerns, 'I am feeling a painful feeling.' When feeling a pleasant feeling, he discerns, 'I am feeling a pleasant feeling.' When feeling a neither-painful-nor-pleasant feeling, he discerns, 'I am feeling a neither-painful-nor-pleasant feeling.'</w:t>
      </w:r>
    </w:p>
    <w:p w:rsidR="005B1037" w:rsidRDefault="00BF07C7">
      <w:pPr>
        <w:pStyle w:val="Standard"/>
        <w:jc w:val="both"/>
      </w:pPr>
      <w:r>
        <w:rPr>
          <w:rFonts w:ascii="Times New Roman" w:eastAsia="Times New Roman" w:hAnsi="Times New Roman" w:cs="Times New Roman"/>
          <w:lang w:val="en-GB"/>
        </w:rPr>
        <w:br/>
        <w:t xml:space="preserve">Apart from labelling and identifying the phenomena, practitioners are to note the way in which phenomena come to arise and pass, thereby coming to an understanding of their </w:t>
      </w:r>
      <w:r>
        <w:rPr>
          <w:rFonts w:ascii="Times New Roman" w:eastAsia="Times New Roman" w:hAnsi="Times New Roman" w:cs="Times New Roman"/>
          <w:i/>
          <w:lang w:val="en-GB"/>
        </w:rPr>
        <w:t>impermanence</w:t>
      </w:r>
      <w:r>
        <w:rPr>
          <w:rFonts w:ascii="Times New Roman" w:eastAsia="Times New Roman" w:hAnsi="Times New Roman" w:cs="Times New Roman"/>
          <w:lang w:val="en-GB"/>
        </w:rPr>
        <w:t>:</w:t>
      </w:r>
    </w:p>
    <w:p w:rsidR="005B1037" w:rsidRDefault="00BF07C7">
      <w:pPr>
        <w:pStyle w:val="Standard"/>
        <w:ind w:left="855" w:right="885"/>
        <w:jc w:val="both"/>
        <w:rPr>
          <w:rFonts w:ascii="Times New Roman" w:eastAsia="Times New Roman" w:hAnsi="Times New Roman" w:cs="Times New Roman"/>
          <w:lang w:val="en-GB"/>
        </w:rPr>
      </w:pPr>
      <w:r>
        <w:rPr>
          <w:rFonts w:ascii="Times New Roman" w:eastAsia="Times New Roman" w:hAnsi="Times New Roman" w:cs="Times New Roman"/>
          <w:lang w:val="en-GB"/>
        </w:rPr>
        <w:br/>
        <w:t>… he remains focused on the phenomenon of origination with regard to feelings, on the phenomenon of passing away with regard to feelings, or on the phenomenon of origination and passing away with regard to feelings.</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In the initial directive to label, the practitioner considers their feelings in a first personal sense. Some distance is introduced when the practitioner is asked to observe these phenomena only with regard to their impermanence. By the end of the directive for each frame of reference, the SS instructs the practitioner to simply note, "There are feelings": they are no longer the practitioner's feelings, simply feelings. There is a shift in the meditators understanding of themselves and their mental states, from recognising that they are personally experiencing certain phenomena such as feelings and thoughts, to impersonally noting that certain phenomena are the case, thereby relinquishing any claim to them. This suggests the same </w:t>
      </w:r>
      <w:proofErr w:type="spellStart"/>
      <w:r>
        <w:rPr>
          <w:rFonts w:ascii="Times New Roman" w:eastAsia="Times New Roman" w:hAnsi="Times New Roman" w:cs="Times New Roman"/>
          <w:i/>
          <w:lang w:val="en-GB"/>
        </w:rPr>
        <w:t>separability</w:t>
      </w:r>
      <w:proofErr w:type="spellEnd"/>
      <w:r>
        <w:rPr>
          <w:rFonts w:ascii="Times New Roman" w:eastAsia="Times New Roman" w:hAnsi="Times New Roman" w:cs="Times New Roman"/>
          <w:lang w:val="en-GB"/>
        </w:rPr>
        <w:t>, or distance, between the self and mental phenomena we encountered earlier. In stating impersonally that there are feelings, one is making a similar claim to "I am not this thought", encountered previously in the arguments supporting various accounts of the self.</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There is some controversy about how to understand Buddhist meditation. Some have argued that the role of meditation in Buddhist practice and in understanding Buddhist metaphysical claims is exaggerated,</w:t>
      </w:r>
      <w:r>
        <w:rPr>
          <w:rFonts w:ascii="Times New Roman" w:eastAsia="Times New Roman" w:hAnsi="Times New Roman" w:cs="Times New Roman"/>
          <w:vertAlign w:val="superscript"/>
          <w:lang w:val="en-GB"/>
        </w:rPr>
        <w:t>20</w:t>
      </w:r>
      <w:r>
        <w:rPr>
          <w:rFonts w:ascii="Times New Roman" w:eastAsia="Times New Roman" w:hAnsi="Times New Roman" w:cs="Times New Roman"/>
          <w:lang w:val="en-GB"/>
        </w:rPr>
        <w:t xml:space="preserve">  whilst others go so far as to claim that many early Buddhists texts are not expounding metaphysical claims but rather are for the most part describing what meditators can expect to experience during their practice.</w:t>
      </w:r>
      <w:r>
        <w:rPr>
          <w:rFonts w:ascii="Times New Roman" w:eastAsia="Times New Roman" w:hAnsi="Times New Roman" w:cs="Times New Roman"/>
          <w:vertAlign w:val="superscript"/>
          <w:lang w:val="en-GB"/>
        </w:rPr>
        <w:t>20-21</w:t>
      </w:r>
      <w:r>
        <w:rPr>
          <w:rFonts w:ascii="Times New Roman" w:eastAsia="Times New Roman" w:hAnsi="Times New Roman" w:cs="Times New Roman"/>
          <w:lang w:val="en-GB"/>
        </w:rPr>
        <w:t xml:space="preserve"> There are also various textual and translation </w:t>
      </w:r>
      <w:proofErr w:type="spellStart"/>
      <w:r>
        <w:rPr>
          <w:rFonts w:ascii="Times New Roman" w:eastAsia="Times New Roman" w:hAnsi="Times New Roman" w:cs="Times New Roman"/>
          <w:lang w:val="en-GB"/>
        </w:rPr>
        <w:t>issues.</w:t>
      </w:r>
      <w:r>
        <w:rPr>
          <w:rFonts w:ascii="Times New Roman" w:eastAsia="Times New Roman" w:hAnsi="Times New Roman" w:cs="Times New Roman"/>
          <w:vertAlign w:val="superscript"/>
          <w:lang w:val="en-GB"/>
        </w:rPr>
        <w:t>vii</w:t>
      </w:r>
      <w:proofErr w:type="spellEnd"/>
      <w:r>
        <w:rPr>
          <w:rFonts w:ascii="Times New Roman" w:eastAsia="Times New Roman" w:hAnsi="Times New Roman" w:cs="Times New Roman"/>
          <w:lang w:val="en-GB"/>
        </w:rPr>
        <w:t xml:space="preserve"> We have waded into the midst of this debate by drawing parallels between arguments for the metaphysical doctrine of no-self and certain directives found in the SS. We do not mean to defend a particular interpretation of the SS, here. Rather, we shall show that, regardless of how we might best interpret the original texts, the fact that contemporary mindfulness </w:t>
      </w:r>
      <w:r>
        <w:rPr>
          <w:rFonts w:ascii="Times New Roman" w:eastAsia="Times New Roman" w:hAnsi="Times New Roman" w:cs="Times New Roman"/>
          <w:lang w:val="en-GB"/>
        </w:rPr>
        <w:lastRenderedPageBreak/>
        <w:t xml:space="preserve">exercises encourage practitioners to conceptualise their mental states in a manner drawn from various accounts of the self is readily apparent, indicating their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features of labelling, impermanence and </w:t>
      </w:r>
      <w:proofErr w:type="spellStart"/>
      <w:r>
        <w:rPr>
          <w:rFonts w:ascii="Times New Roman" w:eastAsia="Times New Roman" w:hAnsi="Times New Roman" w:cs="Times New Roman"/>
          <w:lang w:val="en-GB"/>
        </w:rPr>
        <w:t>separability</w:t>
      </w:r>
      <w:proofErr w:type="spellEnd"/>
      <w:r>
        <w:rPr>
          <w:rFonts w:ascii="Times New Roman" w:eastAsia="Times New Roman" w:hAnsi="Times New Roman" w:cs="Times New Roman"/>
          <w:lang w:val="en-GB"/>
        </w:rPr>
        <w:t xml:space="preserve"> that we encountered in the SS are obvious in the instructions for the MBSR sitting meditation which introduces mindfulness of thoughts and feelings in addition to the breath;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-Zinn provides a list of the thoughts one is to identify based on their content. Practitioners are also directed to note feelings and moods. In addition to labelling, the emphasis on impermanence is clear:</w:t>
      </w:r>
    </w:p>
    <w:p w:rsidR="005B1037" w:rsidRDefault="005B1037">
      <w:pPr>
        <w:pStyle w:val="Standard"/>
        <w:jc w:val="both"/>
        <w:rPr>
          <w:lang w:val="en-GB"/>
        </w:rPr>
      </w:pPr>
    </w:p>
    <w:p w:rsidR="005B1037" w:rsidRDefault="00BF07C7">
      <w:pPr>
        <w:pStyle w:val="Standard"/>
        <w:ind w:left="720" w:right="885"/>
        <w:jc w:val="both"/>
        <w:rPr>
          <w:rFonts w:ascii="Times New Roman" w:eastAsia="Times New Roman" w:hAnsi="Times New Roman" w:cs="Times New Roman"/>
          <w:lang w:val="en-GB"/>
        </w:rPr>
      </w:pPr>
      <w:r>
        <w:rPr>
          <w:rFonts w:ascii="Times New Roman" w:eastAsia="Times New Roman" w:hAnsi="Times New Roman" w:cs="Times New Roman"/>
          <w:lang w:val="en-GB"/>
        </w:rPr>
        <w:t>When your attention is relatively stable on the breath, try shifting your awareness to the process of thinking itself. Let go of the breath and just watch thoughts come into and leave the field of your attention...Try to perceive them as "events" in your mind...Note that an individual thought does not last long. It is impermanent. If it comes, it will go. Be aware of this...Note feelings and moods as they come and go.</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The directive to perceive thoughts and feelings as "events" closely resembles the directive in the SS to view oneself, and one's mental states, from an impersonal perspective. This involves taking a stance towards one's mental states which reflects a particular relationship with oneself. Namely that if there is a self, it is somehow separable from, and not to be found amongst, one's mental states. The relationship between the exercises and the background account of the self is explicit in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 xml:space="preserve">-Zinn's wider remarks.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-Zinn describes a process he refers to as "</w:t>
      </w:r>
      <w:proofErr w:type="spellStart"/>
      <w:r>
        <w:rPr>
          <w:rFonts w:ascii="Times New Roman" w:eastAsia="Times New Roman" w:hAnsi="Times New Roman" w:cs="Times New Roman"/>
          <w:lang w:val="en-GB"/>
        </w:rPr>
        <w:t>selfing</w:t>
      </w:r>
      <w:proofErr w:type="spellEnd"/>
      <w:r>
        <w:rPr>
          <w:rFonts w:ascii="Times New Roman" w:eastAsia="Times New Roman" w:hAnsi="Times New Roman" w:cs="Times New Roman"/>
          <w:lang w:val="en-GB"/>
        </w:rPr>
        <w:t>" whereby phenomena such as experiences, thoughts and feelings are constructed as "my experience", "my thoughts" and "my feelings".</w:t>
      </w:r>
      <w:r>
        <w:rPr>
          <w:rFonts w:ascii="Times New Roman" w:eastAsia="Times New Roman" w:hAnsi="Times New Roman" w:cs="Times New Roman"/>
          <w:vertAlign w:val="superscript"/>
          <w:lang w:val="en-GB"/>
        </w:rPr>
        <w:t>4</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What we hope will be apparent by now to the reader, given the historical background, is the extent to which the view expounded by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 xml:space="preserve">-Zinn is based on the no-self doctrine and that this is likely to be profoundly at odds with practitioner's </w:t>
      </w:r>
      <w:proofErr w:type="spellStart"/>
      <w:r>
        <w:rPr>
          <w:rFonts w:ascii="Times New Roman" w:eastAsia="Times New Roman" w:hAnsi="Times New Roman" w:cs="Times New Roman"/>
          <w:lang w:val="en-GB"/>
        </w:rPr>
        <w:t>preexisting</w:t>
      </w:r>
      <w:proofErr w:type="spellEnd"/>
      <w:r>
        <w:rPr>
          <w:rFonts w:ascii="Times New Roman" w:eastAsia="Times New Roman" w:hAnsi="Times New Roman" w:cs="Times New Roman"/>
          <w:lang w:val="en-GB"/>
        </w:rPr>
        <w:t xml:space="preserve"> core beliefs about the self. Whilst MBSR is explicit about the Buddhist roots of these exercises, their significance and association with the Buddhist account of the self is downplayed. Furthermore, more generalised mindfulness programmes as well as other therapies, such as DBT, that have adopted these exercises often misleadingly present them as not subscribing to any particular religious or spiritual view whatsoever.</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In the case of the cognitive </w:t>
      </w:r>
      <w:proofErr w:type="spellStart"/>
      <w:r>
        <w:rPr>
          <w:rFonts w:ascii="Times New Roman" w:eastAsia="Times New Roman" w:hAnsi="Times New Roman" w:cs="Times New Roman"/>
          <w:lang w:val="en-GB"/>
        </w:rPr>
        <w:t>defusion</w:t>
      </w:r>
      <w:proofErr w:type="spellEnd"/>
      <w:r>
        <w:rPr>
          <w:rFonts w:ascii="Times New Roman" w:eastAsia="Times New Roman" w:hAnsi="Times New Roman" w:cs="Times New Roman"/>
          <w:lang w:val="en-GB"/>
        </w:rPr>
        <w:t xml:space="preserve"> exercises developed by Hayes and adopted by psychotherapies such as DBT, where they are classified under the umbrella of mindfulness, the parallels with the SS are less immediately obvious. In Hayes, some of the cognitive </w:t>
      </w:r>
      <w:proofErr w:type="spellStart"/>
      <w:r>
        <w:rPr>
          <w:rFonts w:ascii="Times New Roman" w:eastAsia="Times New Roman" w:hAnsi="Times New Roman" w:cs="Times New Roman"/>
          <w:lang w:val="en-GB"/>
        </w:rPr>
        <w:t>defusion</w:t>
      </w:r>
      <w:proofErr w:type="spellEnd"/>
      <w:r>
        <w:rPr>
          <w:rFonts w:ascii="Times New Roman" w:eastAsia="Times New Roman" w:hAnsi="Times New Roman" w:cs="Times New Roman"/>
          <w:lang w:val="en-GB"/>
        </w:rPr>
        <w:t xml:space="preserve"> exercises explicitly establish the ACT account of the self in addition to displaying these aforementioned characteristics of labelling, impermanence and </w:t>
      </w:r>
      <w:proofErr w:type="spellStart"/>
      <w:r>
        <w:rPr>
          <w:rFonts w:ascii="Times New Roman" w:eastAsia="Times New Roman" w:hAnsi="Times New Roman" w:cs="Times New Roman"/>
          <w:lang w:val="en-GB"/>
        </w:rPr>
        <w:t>separability</w:t>
      </w:r>
      <w:proofErr w:type="spellEnd"/>
      <w:r>
        <w:rPr>
          <w:rFonts w:ascii="Times New Roman" w:eastAsia="Times New Roman" w:hAnsi="Times New Roman" w:cs="Times New Roman"/>
          <w:lang w:val="en-GB"/>
        </w:rPr>
        <w:t xml:space="preserve">, so their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is explicit, though their controversial nature is not.</w:t>
      </w:r>
      <w:r>
        <w:rPr>
          <w:rFonts w:ascii="Times New Roman" w:eastAsia="Times New Roman" w:hAnsi="Times New Roman" w:cs="Times New Roman"/>
          <w:vertAlign w:val="superscript"/>
          <w:lang w:val="en-GB"/>
        </w:rPr>
        <w:t xml:space="preserve">10 </w:t>
      </w:r>
      <w:r>
        <w:rPr>
          <w:rFonts w:ascii="Times New Roman" w:eastAsia="Times New Roman" w:hAnsi="Times New Roman" w:cs="Times New Roman"/>
          <w:lang w:val="en-GB"/>
        </w:rPr>
        <w:t xml:space="preserve">Our interest is in the exercises adopted by DBT which are ostensibly more innocent, but also adopt the same characteristics. In DBT, there is often a 'divide and conquer' approach used with regard to these characteristics. Labelling and noting the quality of an experience is used with breathing but more notably with emotions, where the practitioner is directed to identify and describe their </w:t>
      </w:r>
      <w:proofErr w:type="spellStart"/>
      <w:r>
        <w:rPr>
          <w:rFonts w:ascii="Times New Roman" w:eastAsia="Times New Roman" w:hAnsi="Times New Roman" w:cs="Times New Roman"/>
          <w:lang w:val="en-GB"/>
        </w:rPr>
        <w:t>emotions.</w:t>
      </w:r>
      <w:r>
        <w:rPr>
          <w:rFonts w:ascii="Times New Roman" w:eastAsia="Times New Roman" w:hAnsi="Times New Roman" w:cs="Times New Roman"/>
          <w:vertAlign w:val="superscript"/>
          <w:lang w:val="en-GB"/>
        </w:rPr>
        <w:t>vii</w:t>
      </w:r>
      <w:proofErr w:type="spellEnd"/>
      <w:r>
        <w:rPr>
          <w:rFonts w:ascii="Times New Roman" w:eastAsia="Times New Roman" w:hAnsi="Times New Roman" w:cs="Times New Roman"/>
          <w:lang w:val="en-GB"/>
        </w:rPr>
        <w:t xml:space="preserve"> For </w:t>
      </w:r>
      <w:r>
        <w:rPr>
          <w:rFonts w:ascii="Times New Roman" w:eastAsia="Times New Roman" w:hAnsi="Times New Roman" w:cs="Times New Roman"/>
          <w:lang w:val="en-GB"/>
        </w:rPr>
        <w:lastRenderedPageBreak/>
        <w:t>instance, in addition to labelling the emotion, practitioners are asked to consider what colour one's emotion might be.</w:t>
      </w:r>
      <w:r>
        <w:rPr>
          <w:rFonts w:ascii="Times New Roman" w:eastAsia="Times New Roman" w:hAnsi="Times New Roman" w:cs="Times New Roman"/>
          <w:vertAlign w:val="superscript"/>
          <w:lang w:val="en-GB"/>
        </w:rPr>
        <w:t>23</w:t>
      </w:r>
      <w:r>
        <w:rPr>
          <w:rFonts w:ascii="Times New Roman" w:eastAsia="Times New Roman" w:hAnsi="Times New Roman" w:cs="Times New Roman"/>
          <w:lang w:val="en-GB"/>
        </w:rPr>
        <w:t xml:space="preserve">  </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Noting impermanence and the </w:t>
      </w:r>
      <w:proofErr w:type="spellStart"/>
      <w:r>
        <w:rPr>
          <w:rFonts w:ascii="Times New Roman" w:eastAsia="Times New Roman" w:hAnsi="Times New Roman" w:cs="Times New Roman"/>
          <w:lang w:val="en-GB"/>
        </w:rPr>
        <w:t>separability</w:t>
      </w:r>
      <w:proofErr w:type="spellEnd"/>
      <w:r>
        <w:rPr>
          <w:rFonts w:ascii="Times New Roman" w:eastAsia="Times New Roman" w:hAnsi="Times New Roman" w:cs="Times New Roman"/>
          <w:lang w:val="en-GB"/>
        </w:rPr>
        <w:t xml:space="preserve"> of the self and mental states is reserved predominantly for </w:t>
      </w:r>
      <w:proofErr w:type="spellStart"/>
      <w:r>
        <w:rPr>
          <w:rFonts w:ascii="Times New Roman" w:eastAsia="Times New Roman" w:hAnsi="Times New Roman" w:cs="Times New Roman"/>
          <w:lang w:val="en-GB"/>
        </w:rPr>
        <w:t>targetting</w:t>
      </w:r>
      <w:proofErr w:type="spellEnd"/>
      <w:r>
        <w:rPr>
          <w:rFonts w:ascii="Times New Roman" w:eastAsia="Times New Roman" w:hAnsi="Times New Roman" w:cs="Times New Roman"/>
          <w:lang w:val="en-GB"/>
        </w:rPr>
        <w:t xml:space="preserve"> thoughts, in the context of visualisation exercises such as the following:</w:t>
      </w:r>
      <w:r>
        <w:rPr>
          <w:rFonts w:ascii="Times New Roman" w:eastAsia="Times New Roman" w:hAnsi="Times New Roman" w:cs="Times New Roman"/>
          <w:lang w:val="en-GB"/>
        </w:rPr>
        <w:br/>
      </w:r>
    </w:p>
    <w:p w:rsidR="005B1037" w:rsidRDefault="00BF07C7">
      <w:pPr>
        <w:pStyle w:val="Standard"/>
        <w:numPr>
          <w:ilvl w:val="0"/>
          <w:numId w:val="7"/>
        </w:numPr>
        <w:ind w:hanging="360"/>
        <w:jc w:val="both"/>
        <w:rPr>
          <w:rFonts w:ascii="Times New Roman" w:eastAsia="Times New Roman" w:hAnsi="Times New Roman" w:cs="Times New Roman"/>
          <w:lang w:val="en-GB"/>
        </w:rPr>
      </w:pPr>
      <w:r>
        <w:rPr>
          <w:rFonts w:ascii="Times New Roman" w:eastAsia="Times New Roman" w:hAnsi="Times New Roman" w:cs="Times New Roman"/>
          <w:lang w:val="en-GB"/>
        </w:rPr>
        <w:t>Imagine sitting in a field watching your thoughts float away on clouds.</w:t>
      </w:r>
    </w:p>
    <w:p w:rsidR="005B1037" w:rsidRDefault="00BF07C7">
      <w:pPr>
        <w:pStyle w:val="Standard"/>
        <w:numPr>
          <w:ilvl w:val="0"/>
          <w:numId w:val="3"/>
        </w:numPr>
        <w:ind w:hanging="360"/>
        <w:jc w:val="both"/>
        <w:rPr>
          <w:rFonts w:ascii="Times New Roman" w:eastAsia="Times New Roman" w:hAnsi="Times New Roman" w:cs="Times New Roman"/>
          <w:lang w:val="en-GB"/>
        </w:rPr>
      </w:pPr>
      <w:r>
        <w:rPr>
          <w:rFonts w:ascii="Times New Roman" w:eastAsia="Times New Roman" w:hAnsi="Times New Roman" w:cs="Times New Roman"/>
          <w:lang w:val="en-GB"/>
        </w:rPr>
        <w:t>See your thoughts written in the sand and then watch the waves wash them away</w:t>
      </w:r>
    </w:p>
    <w:p w:rsidR="005B1037" w:rsidRDefault="00BF07C7">
      <w:pPr>
        <w:pStyle w:val="Standard"/>
        <w:numPr>
          <w:ilvl w:val="0"/>
          <w:numId w:val="8"/>
        </w:numPr>
        <w:ind w:hanging="360"/>
        <w:jc w:val="both"/>
      </w:pPr>
      <w:r>
        <w:rPr>
          <w:rFonts w:ascii="Times New Roman" w:eastAsia="Times New Roman" w:hAnsi="Times New Roman" w:cs="Times New Roman"/>
          <w:lang w:val="en-GB"/>
        </w:rPr>
        <w:t>Envision yourself driving a car and see your thoughts pass by on billboards.</w:t>
      </w:r>
      <w:r>
        <w:rPr>
          <w:rFonts w:ascii="Times New Roman" w:eastAsia="Times New Roman" w:hAnsi="Times New Roman" w:cs="Times New Roman"/>
          <w:vertAlign w:val="superscript"/>
          <w:lang w:val="en-GB"/>
        </w:rPr>
        <w:t>23</w:t>
      </w:r>
    </w:p>
    <w:p w:rsidR="005B1037" w:rsidRDefault="00BF07C7">
      <w:pPr>
        <w:pStyle w:val="Standard"/>
        <w:ind w:left="720" w:hanging="36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similarity to the SS in terms of impermanence should be apparent. Note also that the practitioner is positioned to observe their thoughts from a distance, as if they were separate and apart from them. In addition to the imagery adopted, </w:t>
      </w:r>
      <w:proofErr w:type="spellStart"/>
      <w:r>
        <w:rPr>
          <w:rFonts w:ascii="Times New Roman" w:eastAsia="Times New Roman" w:hAnsi="Times New Roman" w:cs="Times New Roman"/>
          <w:lang w:val="en-GB"/>
        </w:rPr>
        <w:t>separability</w:t>
      </w:r>
      <w:proofErr w:type="spellEnd"/>
      <w:r>
        <w:rPr>
          <w:rFonts w:ascii="Times New Roman" w:eastAsia="Times New Roman" w:hAnsi="Times New Roman" w:cs="Times New Roman"/>
          <w:lang w:val="en-GB"/>
        </w:rPr>
        <w:t xml:space="preserve"> and impermanence are often an explicit part of the instructions:</w:t>
      </w:r>
    </w:p>
    <w:p w:rsidR="005B1037" w:rsidRDefault="005B1037">
      <w:pPr>
        <w:pStyle w:val="Standard"/>
        <w:jc w:val="both"/>
        <w:rPr>
          <w:lang w:val="en-GB"/>
        </w:rPr>
      </w:pPr>
    </w:p>
    <w:p w:rsidR="005B1037" w:rsidRDefault="00BF07C7">
      <w:pPr>
        <w:pStyle w:val="Standard"/>
        <w:ind w:left="855" w:right="1020"/>
        <w:jc w:val="both"/>
      </w:pPr>
      <w:r>
        <w:rPr>
          <w:rFonts w:ascii="Times New Roman" w:eastAsia="Times New Roman" w:hAnsi="Times New Roman" w:cs="Times New Roman"/>
          <w:lang w:val="en-GB"/>
        </w:rPr>
        <w:t xml:space="preserve">Just be sure that your idea captures the purpose of this exercise, which is to visually watch your thoughts come and go without holding on to them and without </w:t>
      </w:r>
      <w:proofErr w:type="spellStart"/>
      <w:r>
        <w:rPr>
          <w:rFonts w:ascii="Times New Roman" w:eastAsia="Times New Roman" w:hAnsi="Times New Roman" w:cs="Times New Roman"/>
          <w:lang w:val="en-GB"/>
        </w:rPr>
        <w:t>analyzing</w:t>
      </w:r>
      <w:proofErr w:type="spellEnd"/>
      <w:r>
        <w:rPr>
          <w:rFonts w:ascii="Times New Roman" w:eastAsia="Times New Roman" w:hAnsi="Times New Roman" w:cs="Times New Roman"/>
          <w:lang w:val="en-GB"/>
        </w:rPr>
        <w:t xml:space="preserve"> them.</w:t>
      </w:r>
      <w:r>
        <w:rPr>
          <w:rFonts w:ascii="Times New Roman" w:eastAsia="Times New Roman" w:hAnsi="Times New Roman" w:cs="Times New Roman"/>
          <w:vertAlign w:val="superscript"/>
          <w:lang w:val="en-GB"/>
        </w:rPr>
        <w:t>23</w:t>
      </w:r>
    </w:p>
    <w:p w:rsidR="005B1037" w:rsidRDefault="005B1037">
      <w:pPr>
        <w:pStyle w:val="Standard"/>
        <w:ind w:left="855" w:right="1020"/>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spite of how they are presented to the public, both the breathing exercises of </w:t>
      </w: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 xml:space="preserve">-Zinn and the cognitive </w:t>
      </w:r>
      <w:proofErr w:type="spellStart"/>
      <w:r>
        <w:rPr>
          <w:rFonts w:ascii="Times New Roman" w:eastAsia="Times New Roman" w:hAnsi="Times New Roman" w:cs="Times New Roman"/>
          <w:lang w:val="en-GB"/>
        </w:rPr>
        <w:t>defusion</w:t>
      </w:r>
      <w:proofErr w:type="spellEnd"/>
      <w:r>
        <w:rPr>
          <w:rFonts w:ascii="Times New Roman" w:eastAsia="Times New Roman" w:hAnsi="Times New Roman" w:cs="Times New Roman"/>
          <w:lang w:val="en-GB"/>
        </w:rPr>
        <w:t xml:space="preserve"> exercises of Hayes bring philosophical content with them and cannot be extracted fully from their original contexts which involve various Eastern accounts of the self. Their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is apparent where the practitioner is encouraged to conceptualise their mental states as separable from the self, a claim found in various background theories of the self.</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As noted throughout, these background accounts of the self and the claim that individuals are somehow separable from their mental states are likely to sit in tension with </w:t>
      </w:r>
      <w:r>
        <w:rPr>
          <w:rFonts w:ascii="Times New Roman" w:eastAsia="Times New Roman" w:hAnsi="Times New Roman" w:cs="Times New Roman"/>
        </w:rPr>
        <w:t xml:space="preserve">a range of common and important </w:t>
      </w:r>
      <w:r>
        <w:rPr>
          <w:rFonts w:ascii="Times New Roman" w:eastAsia="Times New Roman" w:hAnsi="Times New Roman" w:cs="Times New Roman"/>
          <w:lang w:val="en-GB"/>
        </w:rPr>
        <w:t xml:space="preserve"> core beliefs that practitioners may  hold about the self. </w:t>
      </w:r>
      <w:r>
        <w:rPr>
          <w:rFonts w:ascii="Times New Roman" w:eastAsia="Times New Roman" w:hAnsi="Times New Roman" w:cs="Times New Roman"/>
        </w:rPr>
        <w:t xml:space="preserve"> Most obvious is the tension between the various Eastern accounts of the self which underlie mindfulness exercises and any belief in an immortal soul with  attributes of a person’s personality or moral character; belief in such an immortal soul is a core doctrine in many other religions. Mindfulness exercises also conflict with widely held fundamental secular beliefs, such as the idea that there is a stable set of attributes that make up who we are, that our thoughts and feelings are reflections of this, and that we can see ourselves in them and judge our worth. These beliefs are strongly at odds with the directive found both explicitly and </w:t>
      </w:r>
      <w:proofErr w:type="spellStart"/>
      <w:r>
        <w:rPr>
          <w:rFonts w:ascii="Times New Roman" w:eastAsia="Times New Roman" w:hAnsi="Times New Roman" w:cs="Times New Roman"/>
        </w:rPr>
        <w:t>implicity</w:t>
      </w:r>
      <w:proofErr w:type="spellEnd"/>
      <w:r>
        <w:rPr>
          <w:rFonts w:ascii="Times New Roman" w:eastAsia="Times New Roman" w:hAnsi="Times New Roman" w:cs="Times New Roman"/>
        </w:rPr>
        <w:t xml:space="preserve"> in mindfulness exercises to consider thoughts and feelings as separable from the self. </w:t>
      </w:r>
      <w:r>
        <w:rPr>
          <w:rFonts w:ascii="Times New Roman" w:eastAsia="Times New Roman" w:hAnsi="Times New Roman" w:cs="Times New Roman"/>
          <w:lang w:val="en-GB"/>
        </w:rPr>
        <w:t xml:space="preserve">We shall discuss these tensions in more detail, </w:t>
      </w:r>
      <w:proofErr w:type="spellStart"/>
      <w:r>
        <w:rPr>
          <w:rFonts w:ascii="Times New Roman" w:eastAsia="Times New Roman" w:hAnsi="Times New Roman" w:cs="Times New Roman"/>
          <w:lang w:val="en-GB"/>
        </w:rPr>
        <w:t>Iinn</w:t>
      </w:r>
      <w:proofErr w:type="spellEnd"/>
      <w:r>
        <w:rPr>
          <w:rFonts w:ascii="Times New Roman" w:eastAsia="Times New Roman" w:hAnsi="Times New Roman" w:cs="Times New Roman"/>
          <w:lang w:val="en-GB"/>
        </w:rPr>
        <w:t xml:space="preserve"> the next section we shall consider as well as the ethical and epistemic concerns raised as a result.</w:t>
      </w:r>
    </w:p>
    <w:p w:rsidR="005B1037" w:rsidRDefault="005B1037">
      <w:pPr>
        <w:pStyle w:val="Standard"/>
        <w:jc w:val="both"/>
        <w:rPr>
          <w:rFonts w:ascii="Times New Roman" w:eastAsia="Times New Roman" w:hAnsi="Times New Roman" w:cs="Times New Roman"/>
          <w:lang w:val="en-GB"/>
        </w:rPr>
      </w:pPr>
    </w:p>
    <w:p w:rsidR="005B1037" w:rsidRDefault="005B1037">
      <w:pPr>
        <w:pStyle w:val="Standard"/>
        <w:jc w:val="both"/>
        <w:rPr>
          <w:rFonts w:ascii="Times New Roman" w:eastAsia="Times New Roman" w:hAnsi="Times New Roman" w:cs="Times New Roman"/>
          <w:lang w:val="en-GB"/>
        </w:rPr>
      </w:pPr>
    </w:p>
    <w:p w:rsidR="005B1037" w:rsidRDefault="00BF07C7">
      <w:pPr>
        <w:pStyle w:val="Standard"/>
        <w:jc w:val="center"/>
        <w:rPr>
          <w:rFonts w:ascii="Times New Roman" w:eastAsia="Times New Roman" w:hAnsi="Times New Roman" w:cs="Times New Roman"/>
          <w:b/>
          <w:lang w:val="en-GB"/>
        </w:rPr>
      </w:pPr>
      <w:r>
        <w:rPr>
          <w:rFonts w:ascii="Times New Roman" w:eastAsia="Times New Roman" w:hAnsi="Times New Roman" w:cs="Times New Roman"/>
          <w:b/>
          <w:lang w:val="en-GB"/>
        </w:rPr>
        <w:t>The Epistemic Cost: Implications for Practice</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this section, we argue that mental health providers and their clients should consider the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of mindfulness exercises in assessing treatment options, in a way analogous to possible side effects of medication. We believe that in order to meet prevailing standards of informed consent, clients must be informed of the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of mindfulness exercises, and given appropriate space and support to assess whether the benefits of the treatment justify their use. This also suggests that mental </w:t>
      </w:r>
      <w:r>
        <w:rPr>
          <w:rFonts w:ascii="Times New Roman" w:eastAsia="Times New Roman" w:hAnsi="Times New Roman" w:cs="Times New Roman"/>
          <w:lang w:val="en-GB"/>
        </w:rPr>
        <w:lastRenderedPageBreak/>
        <w:t>health providers should consider whether the patient’s condition is serious enough to justify a metaphysically loaded course of treatment, in light of available alternatives.</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In saying that the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of mindfulness exercises should be treated like a side-effect, we do not claim that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necessarily leads to further negative effects. We shall begin by considering this possibility and the implications for practice. However, we are more centrally concerned that engaging in the practice itself may be in tension with a person’s core beliefs and values. After considering this possibility and what it entails, we will close the discussion by addressing some plausible objections to the argument presented here.</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color w:val="00000A"/>
          <w:lang w:val="en-GB"/>
        </w:rPr>
        <w:t xml:space="preserve">Although it is not our central worry, we think some concern about effects and alterations to a person’s core beliefs is justified. The core beliefs we are concerned about are those which are reasonable and valued parts of a client’s worldview. As we saw, mindfulness exercises encourage practitioners to see their mental states as events that happen to the self, rather than its products or constituents. According to some Christians, the self is a soul tainted by original sin. Various mental states are thought to evidence this tainted state, such as lust or greed. If a course of therapy were to remove or weaken this belief by persuading individuals, for instance that feelings of lust were not essentially tied up with one's nature, that would be a cost: Christian clients may rightly feel they had been led by therapy into </w:t>
      </w:r>
      <w:proofErr w:type="spellStart"/>
      <w:r>
        <w:rPr>
          <w:rFonts w:ascii="Times New Roman" w:eastAsia="Times New Roman" w:hAnsi="Times New Roman" w:cs="Times New Roman"/>
          <w:color w:val="00000A"/>
          <w:lang w:val="en-GB"/>
        </w:rPr>
        <w:t>heresy.</w:t>
      </w:r>
      <w:r>
        <w:rPr>
          <w:rFonts w:ascii="Times New Roman" w:eastAsia="Times New Roman" w:hAnsi="Times New Roman" w:cs="Times New Roman"/>
          <w:color w:val="00000A"/>
          <w:vertAlign w:val="superscript"/>
          <w:lang w:val="en-GB"/>
        </w:rPr>
        <w:t>ix</w:t>
      </w:r>
      <w:proofErr w:type="spellEnd"/>
      <w:r>
        <w:rPr>
          <w:rFonts w:ascii="Times New Roman" w:eastAsia="Times New Roman" w:hAnsi="Times New Roman" w:cs="Times New Roman"/>
          <w:color w:val="00000A"/>
          <w:vertAlign w:val="superscript"/>
          <w:lang w:val="en-GB"/>
        </w:rPr>
        <w:t xml:space="preserve"> </w:t>
      </w:r>
      <w:r>
        <w:rPr>
          <w:rFonts w:ascii="Times New Roman" w:eastAsia="Times New Roman" w:hAnsi="Times New Roman" w:cs="Times New Roman"/>
          <w:color w:val="00000A"/>
          <w:lang w:val="en-GB"/>
        </w:rPr>
        <w:t>Similarly in a secular sense, people may reasonably enough see themselves as being partly constituted by various aspects of their personality, such as kindness or impulsiveness, which are correspondingly accompanied by various mental states such as feelings of empathy and reckless judgements. Since mindfulness exercises encourage people to see mental states as events that do not belong to the self, they teach people not to see their mental states as evidence for what their self is like. They thus oppose deep beliefs people may have about who they are. Mental health providers should be reluctant to interfere with people’s reasonable core beliefs and clients may quite reasonably see tensions with them as reasons not to undergo a course of treatment.</w:t>
      </w:r>
    </w:p>
    <w:p w:rsidR="005B1037" w:rsidRDefault="005B1037">
      <w:pPr>
        <w:pStyle w:val="Standard"/>
        <w:jc w:val="both"/>
        <w:rPr>
          <w:color w:val="00000A"/>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effects of mindfulness on core beliefs have not been studied, so are unknown. But there are intuitive reasons to suspect they might have some effect, and the burden of proof usually lies on the those claiming that something is safe. At the very least, the discussion thus far is an invitation to conduct further research.  </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We do not intend to deny that these exercises might have positive effects on people’s core beliefs about themselves. Through building metacognitive abilities, mindfulness exercises may help people develop insight that some of their core beliefs are delusional. But there is no tension between thinking that a course of therapy may remove delusions about the self, and that it may also affect reasonable and valued core beliefs about the self, just as there is none in worrying about damage to the brain in removing a brain tumour. The potential costs and benefits must be weighed against each other, and frequently, the assessment will involve a difficult judgement call.</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Psychology is a frequently surprising subject, and it might surprisingly turn out that mindfulness exercises have little impact on people’s core beliefs about themselves, or that they </w:t>
      </w:r>
      <w:r>
        <w:rPr>
          <w:rFonts w:ascii="Times New Roman" w:eastAsia="Times New Roman" w:hAnsi="Times New Roman" w:cs="Times New Roman"/>
          <w:i/>
          <w:lang w:val="en-GB"/>
        </w:rPr>
        <w:t>only</w:t>
      </w:r>
      <w:r>
        <w:rPr>
          <w:rFonts w:ascii="Times New Roman" w:eastAsia="Times New Roman" w:hAnsi="Times New Roman" w:cs="Times New Roman"/>
          <w:lang w:val="en-GB"/>
        </w:rPr>
        <w:t xml:space="preserve"> affect delusional beliefs. For this reason, we see the core of our argument as not being the effect mindfulness exercises have on core </w:t>
      </w:r>
      <w:r>
        <w:rPr>
          <w:rFonts w:ascii="Times New Roman" w:eastAsia="Times New Roman" w:hAnsi="Times New Roman" w:cs="Times New Roman"/>
          <w:lang w:val="en-GB"/>
        </w:rPr>
        <w:lastRenderedPageBreak/>
        <w:t xml:space="preserve">beliefs. Instead, we are most interested in the tensions that might exist between the very practice of these exercises, and the core beliefs and values people hold.  </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color w:val="9900FF"/>
          <w:lang w:val="en-GB"/>
        </w:rPr>
      </w:pPr>
      <w:r>
        <w:rPr>
          <w:rFonts w:ascii="Times New Roman" w:eastAsia="Times New Roman" w:hAnsi="Times New Roman" w:cs="Times New Roman"/>
          <w:color w:val="9900FF"/>
          <w:lang w:val="en-GB"/>
        </w:rPr>
        <w:t>Many people would reject the views of the self involved in mindfulness exercises. One kind of tension this introduces is that, for these people, mindfulness exercises could be a consoling fantasy. Suppose an atheist was having trouble coping emotionally with a natural disaster in which there were many casualties. They might object to imagining the people who died in the disaster frolicking in heaven, even if doing so would help them cope. They do not believe in heaven, thus the imaginative exercise is in tension with their core beliefs. Mindfulness exercises involve a similar tension with the core beliefs of those who strongly reject the metaphysical claims they involve, for example, for those who see aspects of their personality as partly constitutive of who they are and those of particular religious persuasions. These beliefs are likely to be of importance to those who hold them even when they bring about significant suffering, as they may for instance in the aforementioned religious case where one could be overwhelmed by guilt about one's flawed nature. Practising mindfulness exercises for such an individual in order to relieve suffering would be participating in a consoling fantasy akin to the atheist case.</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Different people will rate the importance of tensions between one's core beliefs and the views of the  self associated with mindfulness exercises differently: a practitioner might accept the tension involved in using such imaginative exercises to overcome severe problems in interpersonal relationships, but not be willing to do so to simply relieve suffering. Such value-judgments need to be acknowledged and respected when deciding whether a course of treatment is appropriate.</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A different tension, may arise between a person’s </w:t>
      </w:r>
      <w:r>
        <w:rPr>
          <w:rFonts w:ascii="Times New Roman" w:eastAsia="Times New Roman" w:hAnsi="Times New Roman" w:cs="Times New Roman"/>
          <w:i/>
          <w:lang w:val="en-GB"/>
        </w:rPr>
        <w:t xml:space="preserve">epistemic </w:t>
      </w:r>
      <w:r>
        <w:rPr>
          <w:rFonts w:ascii="Times New Roman" w:eastAsia="Times New Roman" w:hAnsi="Times New Roman" w:cs="Times New Roman"/>
          <w:lang w:val="en-GB"/>
        </w:rPr>
        <w:t xml:space="preserve">values and the </w:t>
      </w:r>
      <w:r>
        <w:rPr>
          <w:rFonts w:ascii="Times New Roman" w:eastAsia="Times New Roman" w:hAnsi="Times New Roman" w:cs="Times New Roman"/>
          <w:i/>
          <w:lang w:val="en-GB"/>
        </w:rPr>
        <w:t xml:space="preserve">pragmatic </w:t>
      </w:r>
      <w:r>
        <w:rPr>
          <w:rFonts w:ascii="Times New Roman" w:eastAsia="Times New Roman" w:hAnsi="Times New Roman" w:cs="Times New Roman"/>
          <w:lang w:val="en-GB"/>
        </w:rPr>
        <w:t>use to which mindfulness exercises are put. Since mindfulness exercises are metaphysically loaded, they are appropriate objects of critical exploration, as part of self-discovery. In therapy, they are adopted as a tool to relieve suffering and increase functioning. This goes against common epistemic values, the sort of values that lead one to accept uncomfortable truths, and to be honest, even brutally honest, with oneself. A common example of a tension between pragmatism and epistemic values is the lack of consensus about whether one would like to know if one's partner was cheating on them; some prefer the 'ignorance is bliss' approach whilst others defend the importance of truth even when it brings about distress. In the same way that there is legitimate disagreement about how the tension between pragmatically avoiding suffering and epistemic values in this case, patients might legitimately have different views regarding exercises which may bring their epistemic values into question. Note that this tension may arise even if one basically agrees with the metaphysical claims involved in these exercises, since one gives up the appropriate critical perspective.</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This tension has particular relevance to ACT. Hayes presents the transcendental self in ACT as an assumption inherent in language, and claims talk of the transcendental self is justified from a scientific perspective.</w:t>
      </w:r>
      <w:r>
        <w:rPr>
          <w:rFonts w:ascii="Times New Roman" w:eastAsia="Times New Roman" w:hAnsi="Times New Roman" w:cs="Times New Roman"/>
          <w:vertAlign w:val="superscript"/>
          <w:lang w:val="en-GB"/>
        </w:rPr>
        <w:t xml:space="preserve">8 </w:t>
      </w:r>
      <w:r>
        <w:rPr>
          <w:rFonts w:ascii="Times New Roman" w:eastAsia="Times New Roman" w:hAnsi="Times New Roman" w:cs="Times New Roman"/>
          <w:lang w:val="en-GB"/>
        </w:rPr>
        <w:t xml:space="preserve">This may give clients the impression that they are accepting a claim about the self on good scientific authority. Yet the theory of the self in ACT is defended, as we saw, using similar considerations as the </w:t>
      </w:r>
      <w:proofErr w:type="spellStart"/>
      <w:r>
        <w:rPr>
          <w:rFonts w:ascii="Times New Roman" w:eastAsia="Times New Roman" w:hAnsi="Times New Roman" w:cs="Times New Roman"/>
          <w:lang w:val="en-GB"/>
        </w:rPr>
        <w:t>Vedantic</w:t>
      </w:r>
      <w:proofErr w:type="spellEnd"/>
      <w:r>
        <w:rPr>
          <w:rFonts w:ascii="Times New Roman" w:eastAsia="Times New Roman" w:hAnsi="Times New Roman" w:cs="Times New Roman"/>
          <w:lang w:val="en-GB"/>
        </w:rPr>
        <w:t xml:space="preserve"> theory of the self. These considerations are contestable, and can equally well support the Buddhist denial of the self. Providers of ACT should be clear that the transcendental self is a philosophically </w:t>
      </w:r>
      <w:r>
        <w:rPr>
          <w:rFonts w:ascii="Times New Roman" w:eastAsia="Times New Roman" w:hAnsi="Times New Roman" w:cs="Times New Roman"/>
          <w:lang w:val="en-GB"/>
        </w:rPr>
        <w:lastRenderedPageBreak/>
        <w:t>controversial position, and practitioners are being asked to adopt it for pragmatic rather than epistemic reasons.</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 xml:space="preserve">It may be objected that the epistemic costs of mindfulness exercises are importantly different from physiological side-effects. One difference is that paradigmatic side effects such as stomach aches and the collateral damage that may accompany certain medical procedures are questions of bodily integrity. We will return to the accusation of </w:t>
      </w:r>
      <w:proofErr w:type="spellStart"/>
      <w:r>
        <w:rPr>
          <w:rFonts w:ascii="Times New Roman" w:eastAsia="Times New Roman" w:hAnsi="Times New Roman" w:cs="Times New Roman"/>
          <w:lang w:val="en-GB"/>
        </w:rPr>
        <w:t>disanalogy</w:t>
      </w:r>
      <w:proofErr w:type="spellEnd"/>
      <w:r>
        <w:rPr>
          <w:rFonts w:ascii="Times New Roman" w:eastAsia="Times New Roman" w:hAnsi="Times New Roman" w:cs="Times New Roman"/>
          <w:lang w:val="en-GB"/>
        </w:rPr>
        <w:t xml:space="preserve"> shortly but note for now that this difference might seem particularly important if you support the waiver model of informed consent, which construes informed consent as a waiver of otherwise prevailing moral or legal norms, and so only required when an action would violate them.</w:t>
      </w:r>
      <w:r>
        <w:rPr>
          <w:rFonts w:ascii="Times New Roman" w:eastAsia="Times New Roman" w:hAnsi="Times New Roman" w:cs="Times New Roman"/>
          <w:vertAlign w:val="superscript"/>
          <w:lang w:val="en-GB"/>
        </w:rPr>
        <w:t xml:space="preserve">30 </w:t>
      </w:r>
      <w:r>
        <w:rPr>
          <w:rFonts w:ascii="Times New Roman" w:eastAsia="Times New Roman" w:hAnsi="Times New Roman" w:cs="Times New Roman"/>
          <w:lang w:val="en-GB"/>
        </w:rPr>
        <w:t>For instance, without consent from the patient, surgery would be physical assault. Since laypeople are allowed, the objection goes, to offer meditation exercises and philosophical arguments to each other, mindfulness exercises do not violate any prevailing norms.</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But there is a relevant norm in professional contexts: professionals must respect the religious, spiritual, and ethical beliefs of their clients. People should reasonably expect that professionals will not try to convert them, for example, and will respectfully acknowledge when a recommended course of action is morally unacceptable to the patient. Maintaining this norm is partly an acknowledgement of the power imbalance that exists between professionals and their clients: patients may feel considerably less able to raise objections or adopt a critical stance towards what the professional says given the perceived asymmetry in expertise. As such it is particularly important for professionals to stay within the realms of their expertise; they should not use their expertise in law or medicine to give weight to their moral or religious convictions. Finally, it is a question of trust. People who seek services from professionals often seriously need them and they will not seek help if they expect these professionals to lead them away from their religious convictions, or pressure them into doing things that they find morally problematic. The possible tensions detailed earlier between mindfulness, core beliefs and values show that recommending mindfulness exercises potentially violates this professional norm, so there is good reason to think a waiver would be required in order to meet the standards of informed consent.</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A second possible difference is that the metaphysical issues involved in mindfulness exercises are harder to explain to people than other side effects, and that trying to explain it to people may alarm them unnecessarily. One might think that this is another way in which 'typical' side effects differ from the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of mindfulness exercises. We believe however that the difficulty of explaining the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xml:space="preserve"> reveals an analogy with more common side effects; in both cases, the professional reveals something about the treatment that is not immediately obvious to the patient. In the same way that a patient is likely to be unaware that a particular medication will cause nausea, they will be unaware of the metaphysical implications of mindfulness exercises.</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We believe that the difficulty of explaining these issues is in danger of being overstated. Although the details of the metaphysics are delicate and difficult to explain, the general issue is not. Most people have spent some time reflecting on questions of the self: whether something of them will survive the body, whether they are their brain, whether they are the same person they were ten years ago. Mental health professionals </w:t>
      </w:r>
      <w:r>
        <w:rPr>
          <w:rFonts w:ascii="Times New Roman" w:eastAsia="Times New Roman" w:hAnsi="Times New Roman" w:cs="Times New Roman"/>
          <w:lang w:val="en-GB"/>
        </w:rPr>
        <w:lastRenderedPageBreak/>
        <w:t>can in the first instance alert patients that there is an issue of this sort. For some patients, this will suffice to establish either that they are comfortable with the therapy, or that they are not.</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Other patients might only consent to the therapy if they understood the metaphysics better, a task that may be onerous and time consuming. Mental health providers might develop resources that will help patients understand the metaphysical issues. Such reluctance may, however, be a reason to consider an alternative therapeutic approach. If patients are not willing to proceed when they are aware that there may be metaphysical implications of the treatment that they do not understand, it is not acceptable to get them to accept the course of treatment by keeping quiet about these implications.</w:t>
      </w:r>
    </w:p>
    <w:p w:rsidR="005B1037" w:rsidRDefault="005B1037">
      <w:pPr>
        <w:pStyle w:val="Standard"/>
        <w:jc w:val="both"/>
        <w:rPr>
          <w:rFonts w:ascii="Times New Roman" w:eastAsia="Times New Roman" w:hAnsi="Times New Roman" w:cs="Times New Roman"/>
          <w:lang w:val="en-GB"/>
        </w:rPr>
      </w:pPr>
    </w:p>
    <w:p w:rsidR="005B1037" w:rsidRDefault="00BF07C7">
      <w:pPr>
        <w:pStyle w:val="Standard"/>
        <w:jc w:val="both"/>
      </w:pPr>
      <w:r>
        <w:rPr>
          <w:rFonts w:ascii="Times New Roman" w:eastAsia="Times New Roman" w:hAnsi="Times New Roman" w:cs="Times New Roman"/>
          <w:lang w:val="en-GB"/>
        </w:rPr>
        <w:t xml:space="preserve">Another possible objection is that almost every therapeutic intervention will come with some metaphysical </w:t>
      </w:r>
      <w:proofErr w:type="spellStart"/>
      <w:r>
        <w:rPr>
          <w:rFonts w:ascii="Times New Roman" w:eastAsia="Times New Roman" w:hAnsi="Times New Roman" w:cs="Times New Roman"/>
          <w:lang w:val="en-GB"/>
        </w:rPr>
        <w:t>commitments.</w:t>
      </w:r>
      <w:r>
        <w:rPr>
          <w:rFonts w:ascii="Times New Roman" w:eastAsia="Times New Roman" w:hAnsi="Times New Roman" w:cs="Times New Roman"/>
          <w:vertAlign w:val="superscript"/>
          <w:lang w:val="en-GB"/>
        </w:rPr>
        <w:t>x</w:t>
      </w:r>
      <w:proofErr w:type="spellEnd"/>
      <w:r>
        <w:rPr>
          <w:rFonts w:ascii="Times New Roman" w:eastAsia="Times New Roman" w:hAnsi="Times New Roman" w:cs="Times New Roman"/>
          <w:lang w:val="en-GB"/>
        </w:rPr>
        <w:t xml:space="preserve"> As such, mindfulness exercises and the background theories of the self that accompany them may only differ in degree rather than kind from other interventions. For example, a psychopharmacological intervention for depression presupposes that a person’s mood can be influenced by changes to the body, which could be accompanied by particular metaphysical commitments regarding the nature of causality and the body. It might be an important part of a person’s self-conception, however, to see their mood as influenced by what is going on in their life, rather than the state of their body. Taking the drug might lead them to see their mood as more influenced by the state of their body than they would like to think. Consequently, one might think that it is unclear whether metal health service providers ought to discuss these potential metaphysical implications given that there are likely to.</w:t>
      </w:r>
    </w:p>
    <w:p w:rsidR="005B1037" w:rsidRDefault="005B1037">
      <w:pPr>
        <w:pStyle w:val="Standard"/>
        <w:jc w:val="both"/>
        <w:rPr>
          <w:rFonts w:ascii="Times New Roman" w:eastAsia="Times New Roman" w:hAnsi="Times New Roman" w:cs="Times New Roman"/>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There are two responses we would make to this objection. The first is that mindfulness exercises seem to be an unusual case in that many other interventions such as psychopharmacological ones do not involve a representation of the world as being a certain way, while mindfulness exercises do. In mindfulness exercises, practitioners are encouraged to represent to themselves a particular account of the self that they may feel uncomfortable with. They actively engage with this representation by conceptualising and in some cases acting out (via visualisation exercises) a particular relationship between themselves and various phenomena such as thoughts. Psychopharmacological interventions may presuppose that the mood can be influenced by changes in the body, but insofar as their effectiveness exceeds that of a placebo, they do not depend on the patient actively engaging with representations of things being this way. Even when practitioners are not asked to see these representations as accurate, they might reasonably object to using them to produce clinical outcomes. There is an uncomfortable parallel between participating in the rituals of another religion or belief system that one objects to and practising mindfulness exercises that is very salient in the case of mindfulness exercises that is potentially less obvious with other interventions.</w:t>
      </w:r>
    </w:p>
    <w:p w:rsidR="005B1037" w:rsidRDefault="005B1037">
      <w:pPr>
        <w:pStyle w:val="Standard"/>
        <w:jc w:val="both"/>
        <w:rPr>
          <w:rFonts w:ascii="Times New Roman" w:eastAsia="Times New Roman" w:hAnsi="Times New Roman" w:cs="Times New Roman"/>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Secondly, if it were the case that mindfulness exercises are not a special case and that other interventions came with metaphysical commitments that the clinician felt would be at odds with their patient's core beliefs we do believe that this should be made apparent to the patient and discussed openly in selecting a treatment plan. It seems highly unlikely that a clinician could discuss every putative metaphysical commitment of an intervention but following the precedent set by other areas of medical ethics, we suggest that these issues be discussed where there is good reason to believe that they will sit in tension with a particular patients core beliefs and values, in particular moral beliefs. For instance, whilst a doctor would not normally feel the need to discuss at length the necessity and benefits of a blood transfusion, this will not be the case where the patient objects to them based in religious grounds. Similarly, it seems plausible to think that in the case </w:t>
      </w:r>
      <w:r>
        <w:rPr>
          <w:rFonts w:ascii="Times New Roman" w:eastAsia="Times New Roman" w:hAnsi="Times New Roman" w:cs="Times New Roman"/>
          <w:lang w:val="en-GB"/>
        </w:rPr>
        <w:lastRenderedPageBreak/>
        <w:t>of specific patients, for instance those holding a Christian world view, it is more pressing to discuss metaphysical commitments. Furthermore where the course of treatment raises metaphysical concerns for the patient as they are undergoing it, clinicians should be open to discussing rather than dismissing these concerns. For instance if it were the case that a psychopharmacological intervention distresses the patient as they are uncomfortable with the belief that their mood is not as responsive to life events than they'd first believed this should be discussed rather than deemed to be  outside the purview of the treatment.</w:t>
      </w:r>
    </w:p>
    <w:p w:rsidR="005B1037" w:rsidRDefault="00BF07C7">
      <w:pPr>
        <w:pStyle w:val="Standard"/>
        <w:jc w:val="both"/>
      </w:pPr>
      <w:r>
        <w:rPr>
          <w:rFonts w:ascii="Times New Roman" w:eastAsia="Times New Roman" w:hAnsi="Times New Roman" w:cs="Times New Roman"/>
          <w:lang w:val="en-GB"/>
        </w:rPr>
        <w:t>We close with some further remarks about practical implementations that expand upon the observations made above. First, the requirement for informed consent has been supplemented in many practices by a requirement for shared deliberation, in which clients discuss the pros and cons of therapeutic approaches with mental health providers, and aim to come to a shared decision.</w:t>
      </w:r>
      <w:r>
        <w:rPr>
          <w:rFonts w:ascii="Times New Roman" w:eastAsia="Times New Roman" w:hAnsi="Times New Roman" w:cs="Times New Roman"/>
          <w:vertAlign w:val="superscript"/>
          <w:lang w:val="en-GB"/>
        </w:rPr>
        <w:t>31</w:t>
      </w:r>
      <w:r>
        <w:rPr>
          <w:rFonts w:ascii="Times New Roman" w:eastAsia="Times New Roman" w:hAnsi="Times New Roman" w:cs="Times New Roman"/>
          <w:lang w:val="en-GB"/>
        </w:rPr>
        <w:t xml:space="preserve"> If mental health providers enter such discussions believing that mindfulness exercises have no  metaphysical implications, or that it is never reasonable to refuse therapy for these reasons, then they may underrate patients’ legitimate concerns. This is particularly problematic in light of the power asymmetry discussed earlier. Part of training in therapies involving these exercises should involve learning about their metaphysical </w:t>
      </w:r>
      <w:proofErr w:type="spellStart"/>
      <w:r>
        <w:rPr>
          <w:rFonts w:ascii="Times New Roman" w:eastAsia="Times New Roman" w:hAnsi="Times New Roman" w:cs="Times New Roman"/>
          <w:lang w:val="en-GB"/>
        </w:rPr>
        <w:t>loadedness</w:t>
      </w:r>
      <w:proofErr w:type="spellEnd"/>
      <w:r>
        <w:rPr>
          <w:rFonts w:ascii="Times New Roman" w:eastAsia="Times New Roman" w:hAnsi="Times New Roman" w:cs="Times New Roman"/>
          <w:lang w:val="en-GB"/>
        </w:rPr>
        <w:t>, and the variety of resultant concerns patients may have both before and as a part of ongoing treatment. Furthermore, as we saw immediately above, it is possible that metaphysical commitments which sit in tension with a  patient's core beliefs could encompass a number of interventions beyond just mindfulness exercises. As such, it is more pressing to interrogate the current model of the therapeutic relationships with an eye towards improving the procedure of shared deliberation.</w:t>
      </w:r>
    </w:p>
    <w:p w:rsidR="005B1037" w:rsidRDefault="005B1037">
      <w:pPr>
        <w:pStyle w:val="Standard"/>
        <w:jc w:val="both"/>
        <w:rPr>
          <w:lang w:val="en-GB"/>
        </w:rPr>
      </w:pPr>
    </w:p>
    <w:p w:rsidR="005B1037" w:rsidRDefault="00BF07C7">
      <w:pPr>
        <w:pStyle w:val="Standard"/>
        <w:jc w:val="both"/>
        <w:rPr>
          <w:rFonts w:ascii="Times New Roman" w:eastAsia="Times New Roman" w:hAnsi="Times New Roman" w:cs="Times New Roman"/>
          <w:lang w:val="en-GB"/>
        </w:rPr>
      </w:pPr>
      <w:r>
        <w:rPr>
          <w:rFonts w:ascii="Times New Roman" w:eastAsia="Times New Roman" w:hAnsi="Times New Roman" w:cs="Times New Roman"/>
          <w:lang w:val="en-GB"/>
        </w:rPr>
        <w:t>Second, it should be apparent that we do not think mindfulness exercises such as these should be abandoned altogether. Apart from informing clients, there may be avenues for making mindfulness exercises less metaphysically loaded. One can pay attention to the present moment in more and less metaphysically loaded ways, and if this is the mechanism through which mindfulness assists people in dealing with mental illness, then it may be possible to develop exercises that are more metaphysically innocent. Alternatively, one might develop a range of exercises drawing from different spiritual traditions, so as to be able to offer exercises that line up with a client’s metaphysical convictions.</w:t>
      </w:r>
    </w:p>
    <w:p w:rsidR="005B1037" w:rsidRDefault="005B1037">
      <w:pPr>
        <w:pStyle w:val="Standard"/>
        <w:jc w:val="both"/>
        <w:rPr>
          <w:lang w:val="en-GB"/>
        </w:rPr>
      </w:pPr>
    </w:p>
    <w:p w:rsidR="005B1037" w:rsidRDefault="00BF07C7">
      <w:pPr>
        <w:pStyle w:val="Standard"/>
        <w:jc w:val="both"/>
      </w:pPr>
      <w:r>
        <w:rPr>
          <w:rFonts w:ascii="Times New Roman" w:eastAsia="Times New Roman" w:hAnsi="Times New Roman" w:cs="Times New Roman"/>
          <w:lang w:val="en-GB"/>
        </w:rPr>
        <w:t>The final remark concerns the dissemination of mindfulness exercises to the general public. Decisions to distribute mindfulness widely should be undertaken only to achieve specific outcomes which are significant enough to outweigh the downsides discussed here. Importantly, such efforts must make it clear that mindfulness exercises encourage practitioners to conceptualise the relationship between their mental states and their self in a way many will find objectionable. We urge mental health providers to take a more balanced approach that considers the epistemic costs of mindfulness exercises, and communicates them openly.</w:t>
      </w:r>
    </w:p>
    <w:p w:rsidR="005B1037" w:rsidRDefault="005B1037">
      <w:pPr>
        <w:pStyle w:val="Standard"/>
        <w:rPr>
          <w:lang w:val="en-GB"/>
        </w:rPr>
      </w:pPr>
    </w:p>
    <w:p w:rsidR="005B1037" w:rsidRDefault="005B1037">
      <w:pPr>
        <w:pStyle w:val="Standard"/>
        <w:spacing w:line="100" w:lineRule="atLeast"/>
        <w:rPr>
          <w:lang w:val="en-GB"/>
        </w:rPr>
      </w:pPr>
    </w:p>
    <w:p w:rsidR="005B1037" w:rsidRDefault="00BF07C7">
      <w:pPr>
        <w:pStyle w:val="Standard"/>
      </w:pPr>
      <w:proofErr w:type="spellStart"/>
      <w:r>
        <w:rPr>
          <w:rFonts w:ascii="Times New Roman" w:hAnsi="Times New Roman"/>
        </w:rPr>
        <w:t>i</w:t>
      </w:r>
      <w:proofErr w:type="spellEnd"/>
      <w:r>
        <w:rPr>
          <w:rFonts w:ascii="Times New Roman" w:hAnsi="Times New Roman"/>
        </w:rPr>
        <w:t xml:space="preserve"> </w:t>
      </w:r>
      <w:proofErr w:type="spellStart"/>
      <w:r>
        <w:rPr>
          <w:rFonts w:ascii="Times New Roman" w:hAnsi="Times New Roman"/>
        </w:rPr>
        <w:t>Linehan</w:t>
      </w:r>
      <w:proofErr w:type="spellEnd"/>
      <w:r>
        <w:rPr>
          <w:rFonts w:ascii="Times New Roman" w:hAnsi="Times New Roman"/>
        </w:rPr>
        <w:t xml:space="preserve"> states mindfulness is “non-denominational”; </w:t>
      </w:r>
      <w:proofErr w:type="spellStart"/>
      <w:r>
        <w:rPr>
          <w:rFonts w:ascii="Times New Roman" w:hAnsi="Times New Roman"/>
        </w:rPr>
        <w:t>Kabat</w:t>
      </w:r>
      <w:proofErr w:type="spellEnd"/>
      <w:r>
        <w:rPr>
          <w:rFonts w:ascii="Times New Roman" w:hAnsi="Times New Roman"/>
        </w:rPr>
        <w:t>-Zinn claims mindfulness is “universal”, that it is “just a particular way of paying attention”.</w:t>
      </w:r>
      <w:r>
        <w:rPr>
          <w:rFonts w:ascii="Times New Roman" w:hAnsi="Times New Roman"/>
          <w:vertAlign w:val="superscript"/>
        </w:rPr>
        <w:t>3-4</w:t>
      </w:r>
      <w:r>
        <w:rPr>
          <w:rFonts w:ascii="Times New Roman" w:hAnsi="Times New Roman"/>
        </w:rPr>
        <w:t xml:space="preserve"> Similar reassurances are found in popular discussions of mindfulness.</w:t>
      </w:r>
      <w:r>
        <w:rPr>
          <w:rFonts w:ascii="Times New Roman" w:hAnsi="Times New Roman"/>
          <w:vertAlign w:val="superscript"/>
        </w:rPr>
        <w:t>5-7</w:t>
      </w:r>
    </w:p>
    <w:p w:rsidR="005B1037" w:rsidRDefault="00BF07C7">
      <w:pPr>
        <w:pStyle w:val="Standard"/>
        <w:spacing w:line="240" w:lineRule="auto"/>
        <w:rPr>
          <w:rFonts w:ascii="Times New Roman" w:eastAsia="Times New Roman" w:hAnsi="Times New Roman" w:cs="Times New Roman"/>
        </w:rPr>
      </w:pPr>
      <w:r>
        <w:rPr>
          <w:rFonts w:ascii="Times New Roman" w:eastAsia="Times New Roman" w:hAnsi="Times New Roman" w:cs="Times New Roman"/>
        </w:rPr>
        <w:t xml:space="preserve">ii We are skeptical that the case is straightforward with yoga poses, but we offer this example because we think it illustrates the thought process well.  </w:t>
      </w:r>
    </w:p>
    <w:p w:rsidR="005B1037" w:rsidRDefault="00BF07C7">
      <w:pPr>
        <w:pStyle w:val="Standard"/>
        <w:spacing w:line="240" w:lineRule="auto"/>
      </w:pPr>
      <w:r>
        <w:rPr>
          <w:rFonts w:ascii="Times New Roman" w:eastAsia="Times New Roman" w:hAnsi="Times New Roman" w:cs="Times New Roman"/>
        </w:rPr>
        <w:t xml:space="preserve">iii The term ‘feeling’ here is taken up by proponents of mindfulness exercises as a translation of the Buddhist term </w:t>
      </w:r>
      <w:proofErr w:type="spellStart"/>
      <w:r>
        <w:rPr>
          <w:rFonts w:ascii="Times New Roman" w:eastAsia="Times New Roman" w:hAnsi="Times New Roman" w:cs="Times New Roman"/>
          <w:i/>
          <w:iCs/>
        </w:rPr>
        <w:t>vedanā</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Putting aside complex interpretive issues, it can be understood roughly as </w:t>
      </w:r>
      <w:r>
        <w:rPr>
          <w:rFonts w:ascii="Times New Roman" w:eastAsia="Times New Roman" w:hAnsi="Times New Roman" w:cs="Times New Roman"/>
        </w:rPr>
        <w:lastRenderedPageBreak/>
        <w:t xml:space="preserve">sensations that are either pleasant, painful or neutral, and is amongst other things, included in the list of </w:t>
      </w:r>
      <w:proofErr w:type="spellStart"/>
      <w:r>
        <w:rPr>
          <w:rFonts w:ascii="Times New Roman" w:eastAsia="Times New Roman" w:hAnsi="Times New Roman" w:cs="Times New Roman"/>
          <w:i/>
          <w:iCs/>
        </w:rPr>
        <w:t>skhandas</w:t>
      </w:r>
      <w:proofErr w:type="spellEnd"/>
      <w:r>
        <w:rPr>
          <w:rFonts w:ascii="Times New Roman" w:eastAsia="Times New Roman" w:hAnsi="Times New Roman" w:cs="Times New Roman"/>
        </w:rPr>
        <w:t xml:space="preserve"> (see note vi). The relationship between </w:t>
      </w:r>
      <w:proofErr w:type="spellStart"/>
      <w:r>
        <w:rPr>
          <w:rFonts w:ascii="Times New Roman" w:eastAsia="Times New Roman" w:hAnsi="Times New Roman" w:cs="Times New Roman"/>
          <w:i/>
          <w:iCs/>
        </w:rPr>
        <w:t>vedanā</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and emotions is unclear, though </w:t>
      </w:r>
      <w:proofErr w:type="spellStart"/>
      <w:r>
        <w:rPr>
          <w:rFonts w:ascii="Times New Roman" w:eastAsia="Times New Roman" w:hAnsi="Times New Roman" w:cs="Times New Roman"/>
          <w:i/>
          <w:iCs/>
        </w:rPr>
        <w:t>vedanā</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may be an important component of emotions.</w:t>
      </w:r>
      <w:r>
        <w:rPr>
          <w:rFonts w:ascii="Times New Roman" w:eastAsia="Times New Roman" w:hAnsi="Times New Roman" w:cs="Times New Roman"/>
          <w:vertAlign w:val="superscript"/>
        </w:rPr>
        <w:t>8</w:t>
      </w:r>
    </w:p>
    <w:p w:rsidR="005B1037" w:rsidRDefault="00BF07C7">
      <w:pPr>
        <w:pStyle w:val="Standard"/>
        <w:spacing w:line="240" w:lineRule="auto"/>
      </w:pPr>
      <w:r>
        <w:rPr>
          <w:rFonts w:ascii="Times New Roman" w:hAnsi="Times New Roman"/>
        </w:rPr>
        <w:t>iv Hayes</w:t>
      </w:r>
      <w:r>
        <w:rPr>
          <w:rFonts w:ascii="Times New Roman" w:eastAsia="Times New Roman" w:hAnsi="Times New Roman" w:cs="Times New Roman"/>
        </w:rPr>
        <w:t xml:space="preserve"> claims Relational Frame Theory offers “a scientific account of how it [ACT's account of the self] emerges”.</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Nonetheless, the core arguments are similar to those used in philosophical discussions of the self.</w:t>
      </w:r>
      <w:r>
        <w:rPr>
          <w:rFonts w:ascii="Times New Roman" w:eastAsia="Times New Roman" w:hAnsi="Times New Roman" w:cs="Times New Roman"/>
          <w:vertAlign w:val="superscript"/>
        </w:rPr>
        <w:t>9</w:t>
      </w:r>
    </w:p>
    <w:p w:rsidR="005B1037" w:rsidRDefault="00BF07C7">
      <w:pPr>
        <w:pStyle w:val="Standard"/>
        <w:spacing w:line="240" w:lineRule="auto"/>
      </w:pPr>
      <w:r>
        <w:rPr>
          <w:rFonts w:ascii="Times New Roman" w:eastAsia="Times New Roman" w:hAnsi="Times New Roman" w:cs="Times New Roman"/>
        </w:rPr>
        <w:t>v All references to the SS are sourced from Thanissaro.</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We have chosen this translation as it is significantly less interpretively laden than certain other translations.</w:t>
      </w:r>
    </w:p>
    <w:p w:rsidR="005B1037" w:rsidRDefault="00BF07C7">
      <w:pPr>
        <w:pStyle w:val="Standard"/>
        <w:spacing w:line="240" w:lineRule="auto"/>
      </w:pPr>
      <w:r>
        <w:rPr>
          <w:rFonts w:ascii="Times New Roman" w:eastAsia="Times New Roman" w:hAnsi="Times New Roman" w:cs="Times New Roman"/>
        </w:rPr>
        <w:t xml:space="preserve">vi </w:t>
      </w:r>
      <w:proofErr w:type="spellStart"/>
      <w:r>
        <w:rPr>
          <w:rFonts w:ascii="Times New Roman" w:eastAsia="Times New Roman" w:hAnsi="Times New Roman" w:cs="Times New Roman"/>
          <w:i/>
          <w:iCs/>
        </w:rPr>
        <w:t>Skhandas</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translated variously as heaps, aggregates or bundles) refer to the collection of components that are thought to exhaustively constitute sentient beings according to Buddhist doctrine; both physical and mental components are included in this taxonomy.</w:t>
      </w:r>
      <w:r>
        <w:rPr>
          <w:rFonts w:ascii="Times New Roman" w:eastAsia="Times New Roman" w:hAnsi="Times New Roman" w:cs="Times New Roman"/>
          <w:vertAlign w:val="superscript"/>
        </w:rPr>
        <w:t>14</w:t>
      </w:r>
    </w:p>
    <w:p w:rsidR="005B1037" w:rsidRDefault="00BF07C7">
      <w:pPr>
        <w:pStyle w:val="Standard"/>
        <w:spacing w:line="240" w:lineRule="auto"/>
      </w:pPr>
      <w:r>
        <w:rPr>
          <w:rFonts w:ascii="Times New Roman" w:eastAsia="Times New Roman" w:hAnsi="Times New Roman" w:cs="Times New Roman"/>
        </w:rPr>
        <w:t>vii For example particular translations make the connection with the doctrine of no-self far more explicit.</w:t>
      </w:r>
      <w:r>
        <w:rPr>
          <w:rFonts w:ascii="Times New Roman" w:eastAsia="Times New Roman" w:hAnsi="Times New Roman" w:cs="Times New Roman"/>
          <w:vertAlign w:val="superscript"/>
        </w:rPr>
        <w:t>21</w:t>
      </w:r>
    </w:p>
    <w:p w:rsidR="005B1037" w:rsidRDefault="00BF07C7">
      <w:pPr>
        <w:pStyle w:val="Standard"/>
        <w:spacing w:line="240" w:lineRule="auto"/>
      </w:pPr>
      <w:r>
        <w:rPr>
          <w:rFonts w:ascii="Times New Roman" w:eastAsia="Times New Roman" w:hAnsi="Times New Roman" w:cs="Times New Roman"/>
        </w:rPr>
        <w:t xml:space="preserve">viii. If emotions are </w:t>
      </w:r>
      <w:proofErr w:type="spellStart"/>
      <w:r>
        <w:rPr>
          <w:rFonts w:ascii="Times New Roman" w:eastAsia="Times New Roman" w:hAnsi="Times New Roman" w:cs="Times New Roman"/>
        </w:rPr>
        <w:t>construals</w:t>
      </w:r>
      <w:proofErr w:type="spellEnd"/>
      <w:r>
        <w:rPr>
          <w:rFonts w:ascii="Times New Roman" w:eastAsia="Times New Roman" w:hAnsi="Times New Roman" w:cs="Times New Roman"/>
        </w:rPr>
        <w:t xml:space="preserve"> (as Robert C. Roberts suggests)</w:t>
      </w:r>
      <w:r>
        <w:rPr>
          <w:rFonts w:ascii="Times New Roman" w:eastAsia="Times New Roman" w:hAnsi="Times New Roman" w:cs="Times New Roman"/>
          <w:vertAlign w:val="superscript"/>
        </w:rPr>
        <w:t>24</w:t>
      </w:r>
      <w:r>
        <w:rPr>
          <w:rFonts w:ascii="Times New Roman" w:eastAsia="Times New Roman" w:hAnsi="Times New Roman" w:cs="Times New Roman"/>
        </w:rPr>
        <w:t xml:space="preserve"> or judgements (as Martha Nussbaum holds)</w:t>
      </w:r>
      <w:r>
        <w:rPr>
          <w:rFonts w:ascii="Times New Roman" w:eastAsia="Times New Roman" w:hAnsi="Times New Roman" w:cs="Times New Roman"/>
          <w:vertAlign w:val="superscript"/>
        </w:rPr>
        <w:t>25</w:t>
      </w:r>
      <w:r>
        <w:rPr>
          <w:rFonts w:ascii="Times New Roman" w:eastAsia="Times New Roman" w:hAnsi="Times New Roman" w:cs="Times New Roman"/>
        </w:rPr>
        <w:t xml:space="preserve">, dealing with them in this way may also be suspect, as it asks people to desensitize themselves from what is valuable. It also may lead to seeing emotions as episodic, where the ongoing nature of </w:t>
      </w:r>
      <w:r>
        <w:rPr>
          <w:rFonts w:ascii="Times New Roman" w:eastAsia="Times New Roman" w:hAnsi="Times New Roman" w:cs="Times New Roman"/>
        </w:rPr>
        <w:lastRenderedPageBreak/>
        <w:t>emotions has been emphasised.</w:t>
      </w:r>
      <w:r>
        <w:rPr>
          <w:rFonts w:ascii="Times New Roman" w:eastAsia="Times New Roman" w:hAnsi="Times New Roman" w:cs="Times New Roman"/>
          <w:vertAlign w:val="superscript"/>
        </w:rPr>
        <w:t>26–29</w:t>
      </w:r>
      <w:r>
        <w:rPr>
          <w:rFonts w:ascii="Times New Roman" w:eastAsia="Times New Roman" w:hAnsi="Times New Roman" w:cs="Times New Roman"/>
        </w:rPr>
        <w:t xml:space="preserve"> We thank an anonymous reviewer for Journal of Medical Ethics for raising these points.</w:t>
      </w:r>
    </w:p>
    <w:p w:rsidR="005B1037" w:rsidRDefault="00BF07C7">
      <w:pPr>
        <w:pStyle w:val="Standard"/>
        <w:spacing w:line="240" w:lineRule="auto"/>
        <w:rPr>
          <w:rFonts w:ascii="Times New Roman" w:eastAsia="Times New Roman" w:hAnsi="Times New Roman" w:cs="Times New Roman"/>
        </w:rPr>
      </w:pPr>
      <w:r>
        <w:rPr>
          <w:rFonts w:ascii="Times New Roman" w:eastAsia="Times New Roman" w:hAnsi="Times New Roman" w:cs="Times New Roman"/>
        </w:rPr>
        <w:t>ix In presenting this paper, an audience member mentioned being unable to continue with meditation because of a conflict with a different Christian theory of the self.</w:t>
      </w:r>
    </w:p>
    <w:p w:rsidR="005B1037" w:rsidRDefault="00BF07C7">
      <w:pPr>
        <w:pStyle w:val="Standard"/>
        <w:spacing w:line="240" w:lineRule="auto"/>
        <w:rPr>
          <w:rFonts w:ascii="Times New Roman" w:eastAsia="Times New Roman" w:hAnsi="Times New Roman" w:cs="Times New Roman"/>
        </w:rPr>
      </w:pPr>
      <w:r>
        <w:rPr>
          <w:rFonts w:ascii="Times New Roman" w:eastAsia="Times New Roman" w:hAnsi="Times New Roman" w:cs="Times New Roman"/>
        </w:rPr>
        <w:t>x We thank an anonymous referee for Journal of Medical Ethics for raising this objection.</w:t>
      </w:r>
    </w:p>
    <w:p w:rsidR="005B1037" w:rsidRDefault="005B1037">
      <w:pPr>
        <w:pStyle w:val="Standard"/>
        <w:spacing w:line="240" w:lineRule="auto"/>
        <w:rPr>
          <w:rFonts w:ascii="Times New Roman" w:eastAsia="Times New Roman" w:hAnsi="Times New Roman" w:cs="Times New Roman"/>
        </w:rPr>
      </w:pPr>
    </w:p>
    <w:p w:rsidR="005B1037" w:rsidRDefault="005B1037">
      <w:pPr>
        <w:pStyle w:val="Standard"/>
        <w:spacing w:line="240" w:lineRule="auto"/>
        <w:rPr>
          <w:rFonts w:ascii="Times New Roman" w:eastAsia="Times New Roman" w:hAnsi="Times New Roman" w:cs="Times New Roman"/>
        </w:rPr>
      </w:pPr>
    </w:p>
    <w:p w:rsidR="005B1037" w:rsidRDefault="005B1037">
      <w:pPr>
        <w:pStyle w:val="Standard"/>
        <w:spacing w:line="240" w:lineRule="auto"/>
        <w:rPr>
          <w:lang w:val="en-GB"/>
        </w:rPr>
      </w:pPr>
    </w:p>
    <w:p w:rsidR="005B1037" w:rsidRDefault="00BF07C7">
      <w:pPr>
        <w:pStyle w:val="Standard"/>
        <w:rPr>
          <w:rFonts w:ascii="Times New Roman" w:eastAsia="Times New Roman" w:hAnsi="Times New Roman" w:cs="Times New Roman"/>
          <w:b/>
          <w:bCs/>
          <w:lang w:val="en-GB"/>
        </w:rPr>
      </w:pPr>
      <w:r>
        <w:rPr>
          <w:rFonts w:ascii="Times New Roman" w:eastAsia="Times New Roman" w:hAnsi="Times New Roman" w:cs="Times New Roman"/>
          <w:b/>
          <w:bCs/>
          <w:lang w:val="en-GB"/>
        </w:rPr>
        <w:t>References</w:t>
      </w:r>
    </w:p>
    <w:p w:rsidR="005B1037" w:rsidRDefault="005B1037">
      <w:pPr>
        <w:pStyle w:val="Standard"/>
        <w:rPr>
          <w:rFonts w:ascii="Times New Roman" w:eastAsia="Times New Roman" w:hAnsi="Times New Roman" w:cs="Times New Roman"/>
          <w:lang w:val="en-GB"/>
        </w:rPr>
      </w:pPr>
    </w:p>
    <w:p w:rsidR="005B1037" w:rsidRDefault="00BF07C7">
      <w:pPr>
        <w:pStyle w:val="Standard"/>
        <w:numPr>
          <w:ilvl w:val="0"/>
          <w:numId w:val="9"/>
        </w:numPr>
        <w:rPr>
          <w:rFonts w:ascii="Times New Roman" w:eastAsia="Times New Roman" w:hAnsi="Times New Roman" w:cs="Times New Roman"/>
          <w:lang w:val="en-GB"/>
        </w:rPr>
      </w:pP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-Zinn J. Wherever You Go, There You Are: Mindfulness Meditation in Everyday Life. New York, NY: Hyperion Books. 1994.</w:t>
      </w:r>
    </w:p>
    <w:p w:rsidR="005B1037" w:rsidRDefault="00BF07C7">
      <w:pPr>
        <w:pStyle w:val="Standard"/>
        <w:numPr>
          <w:ilvl w:val="0"/>
          <w:numId w:val="5"/>
        </w:numPr>
        <w:rPr>
          <w:rFonts w:ascii="Times New Roman" w:eastAsia="Times New Roman" w:hAnsi="Times New Roman" w:cs="Times New Roman"/>
          <w:lang w:val="en-GB"/>
        </w:rPr>
      </w:pPr>
      <w:r>
        <w:rPr>
          <w:rFonts w:ascii="Times New Roman" w:eastAsia="Times New Roman" w:hAnsi="Times New Roman" w:cs="Times New Roman"/>
          <w:lang w:val="en-GB"/>
        </w:rPr>
        <w:t xml:space="preserve">Harris R. The Happiness Trap. </w:t>
      </w:r>
      <w:proofErr w:type="spellStart"/>
      <w:r>
        <w:rPr>
          <w:rFonts w:ascii="Times New Roman" w:eastAsia="Times New Roman" w:hAnsi="Times New Roman" w:cs="Times New Roman"/>
          <w:lang w:val="en-GB"/>
        </w:rPr>
        <w:t>Wollombin</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Exisle</w:t>
      </w:r>
      <w:proofErr w:type="spellEnd"/>
      <w:r>
        <w:rPr>
          <w:rFonts w:ascii="Times New Roman" w:eastAsia="Times New Roman" w:hAnsi="Times New Roman" w:cs="Times New Roman"/>
          <w:lang w:val="en-GB"/>
        </w:rPr>
        <w:t xml:space="preserve"> Publishing. 2007.</w:t>
      </w:r>
    </w:p>
    <w:p w:rsidR="005B1037" w:rsidRDefault="00BF07C7">
      <w:pPr>
        <w:pStyle w:val="Standard"/>
        <w:numPr>
          <w:ilvl w:val="0"/>
          <w:numId w:val="5"/>
        </w:numPr>
        <w:rPr>
          <w:rFonts w:ascii="Times New Roman" w:eastAsia="Times New Roman" w:hAnsi="Times New Roman" w:cs="Times New Roman"/>
          <w:lang w:val="en-GB"/>
        </w:rPr>
      </w:pPr>
      <w:proofErr w:type="spellStart"/>
      <w:r>
        <w:rPr>
          <w:rFonts w:ascii="Times New Roman" w:eastAsia="Times New Roman" w:hAnsi="Times New Roman" w:cs="Times New Roman"/>
          <w:lang w:val="en-GB"/>
        </w:rPr>
        <w:t>Linehan</w:t>
      </w:r>
      <w:proofErr w:type="spellEnd"/>
      <w:r>
        <w:rPr>
          <w:rFonts w:ascii="Times New Roman" w:eastAsia="Times New Roman" w:hAnsi="Times New Roman" w:cs="Times New Roman"/>
          <w:lang w:val="en-GB"/>
        </w:rPr>
        <w:t xml:space="preserve"> M. DBT Skills Training Manual. 2nd ed. New York, NY: The Guilford Press. 2015.</w:t>
      </w:r>
    </w:p>
    <w:p w:rsidR="005B1037" w:rsidRDefault="00BF07C7">
      <w:pPr>
        <w:pStyle w:val="Standard"/>
        <w:numPr>
          <w:ilvl w:val="0"/>
          <w:numId w:val="5"/>
        </w:numPr>
        <w:rPr>
          <w:rFonts w:ascii="Times New Roman" w:eastAsia="Times New Roman" w:hAnsi="Times New Roman" w:cs="Times New Roman"/>
          <w:lang w:val="en-GB"/>
        </w:rPr>
      </w:pPr>
      <w:proofErr w:type="spellStart"/>
      <w:r>
        <w:rPr>
          <w:rFonts w:ascii="Times New Roman" w:eastAsia="Times New Roman" w:hAnsi="Times New Roman" w:cs="Times New Roman"/>
          <w:lang w:val="en-GB"/>
        </w:rPr>
        <w:t>Kabat</w:t>
      </w:r>
      <w:proofErr w:type="spellEnd"/>
      <w:r>
        <w:rPr>
          <w:rFonts w:ascii="Times New Roman" w:eastAsia="Times New Roman" w:hAnsi="Times New Roman" w:cs="Times New Roman"/>
          <w:lang w:val="en-GB"/>
        </w:rPr>
        <w:t>-Zinn J. Full Catastrophe Living. New York, NY: Bantam Dell. 2005.</w:t>
      </w:r>
    </w:p>
    <w:p w:rsidR="005B1037" w:rsidRDefault="00BF07C7">
      <w:pPr>
        <w:pStyle w:val="Standard"/>
        <w:numPr>
          <w:ilvl w:val="0"/>
          <w:numId w:val="5"/>
        </w:numPr>
      </w:pPr>
      <w:r>
        <w:rPr>
          <w:rFonts w:ascii="Times New Roman" w:eastAsia="Times New Roman" w:hAnsi="Times New Roman" w:cs="Times New Roman"/>
          <w:lang w:val="en-GB"/>
        </w:rPr>
        <w:t xml:space="preserve">Kozlowski E. Can Christians Practice Mindfulness? [Internet]. Huffington Post: 2013 [cited from 2017 Jan 18]. Available from: </w:t>
      </w:r>
      <w:hyperlink r:id="rId8" w:history="1">
        <w:r>
          <w:rPr>
            <w:rStyle w:val="Internetlink"/>
            <w:rFonts w:ascii="Times New Roman" w:eastAsia="Times New Roman" w:hAnsi="Times New Roman" w:cs="Times New Roman"/>
          </w:rPr>
          <w:t>http://www.huffingtonpost.com/eden-kozlowski/mindfulness-and-religion_b_3224505.html</w:t>
        </w:r>
      </w:hyperlink>
      <w:r>
        <w:rPr>
          <w:rFonts w:ascii="Times New Roman" w:eastAsia="Times New Roman" w:hAnsi="Times New Roman" w:cs="Times New Roman"/>
          <w:lang w:val="en-GB"/>
        </w:rPr>
        <w:t>.</w:t>
      </w:r>
    </w:p>
    <w:p w:rsidR="005B1037" w:rsidRDefault="00BF07C7">
      <w:pPr>
        <w:pStyle w:val="Standard"/>
        <w:numPr>
          <w:ilvl w:val="0"/>
          <w:numId w:val="5"/>
        </w:numPr>
      </w:pPr>
      <w:proofErr w:type="spellStart"/>
      <w:r>
        <w:rPr>
          <w:rFonts w:ascii="Times New Roman" w:eastAsia="Times New Roman" w:hAnsi="Times New Roman" w:cs="Times New Roman"/>
          <w:lang w:val="en-GB"/>
        </w:rPr>
        <w:t>Center</w:t>
      </w:r>
      <w:proofErr w:type="spellEnd"/>
      <w:r>
        <w:rPr>
          <w:rFonts w:ascii="Times New Roman" w:eastAsia="Times New Roman" w:hAnsi="Times New Roman" w:cs="Times New Roman"/>
          <w:lang w:val="en-GB"/>
        </w:rPr>
        <w:t xml:space="preserve"> for Mindfulness. History of MBSR [Internet]. 2014  [cited from 2017 Jan 18]. Available from: </w:t>
      </w:r>
      <w:r>
        <w:rPr>
          <w:rFonts w:ascii="Times New Roman" w:eastAsia="Times New Roman" w:hAnsi="Times New Roman" w:cs="Times New Roman"/>
          <w:color w:val="1155CC"/>
          <w:u w:val="single"/>
          <w:lang w:val="en-GB"/>
        </w:rPr>
        <w:t>http://www.umassmed.edu/cfm/stress-reduction/history-of-mbsr/</w:t>
      </w:r>
      <w:r>
        <w:rPr>
          <w:rFonts w:ascii="Times New Roman" w:eastAsia="Times New Roman" w:hAnsi="Times New Roman" w:cs="Times New Roman"/>
          <w:lang w:val="en-GB"/>
        </w:rPr>
        <w:t xml:space="preserve">  </w:t>
      </w:r>
    </w:p>
    <w:p w:rsidR="005B1037" w:rsidRDefault="00BF07C7">
      <w:pPr>
        <w:pStyle w:val="Standard"/>
        <w:numPr>
          <w:ilvl w:val="0"/>
          <w:numId w:val="5"/>
        </w:numPr>
        <w:rPr>
          <w:rFonts w:ascii="Times New Roman" w:eastAsia="Times New Roman" w:hAnsi="Times New Roman" w:cs="Times New Roman"/>
          <w:lang w:val="en-GB"/>
        </w:rPr>
      </w:pPr>
      <w:r>
        <w:rPr>
          <w:rFonts w:ascii="Times New Roman" w:eastAsia="Times New Roman" w:hAnsi="Times New Roman" w:cs="Times New Roman"/>
          <w:lang w:val="en-GB"/>
        </w:rPr>
        <w:t>Mental Health Foundation, Be Mindful [Internet]. n. d. [cited from 2017 Jan 18]. Available from http://bemindful.co.uk/.</w:t>
      </w:r>
    </w:p>
    <w:p w:rsidR="005B1037" w:rsidRDefault="00BF07C7">
      <w:pPr>
        <w:pStyle w:val="Standard"/>
        <w:numPr>
          <w:ilvl w:val="0"/>
          <w:numId w:val="5"/>
        </w:numPr>
      </w:pPr>
      <w:proofErr w:type="spellStart"/>
      <w:r>
        <w:rPr>
          <w:rStyle w:val="Betont"/>
          <w:rFonts w:ascii="Times New Roman" w:eastAsia="Times New Roman" w:hAnsi="Times New Roman" w:cs="Times New Roman"/>
          <w:i w:val="0"/>
          <w:lang w:val="en-GB"/>
        </w:rPr>
        <w:t>Anālayo</w:t>
      </w:r>
      <w:proofErr w:type="spellEnd"/>
      <w:r>
        <w:rPr>
          <w:rFonts w:ascii="Times New Roman" w:eastAsia="Times New Roman" w:hAnsi="Times New Roman" w:cs="Times New Roman"/>
          <w:lang w:val="en-GB"/>
        </w:rPr>
        <w:t xml:space="preserve">. </w:t>
      </w:r>
      <w:proofErr w:type="spellStart"/>
      <w:r>
        <w:rPr>
          <w:rStyle w:val="Betont"/>
          <w:rFonts w:ascii="Times New Roman" w:eastAsia="Times New Roman" w:hAnsi="Times New Roman" w:cs="Times New Roman"/>
          <w:i w:val="0"/>
          <w:lang w:val="en-GB"/>
        </w:rPr>
        <w:t>Satipaṭṭhāna</w:t>
      </w:r>
      <w:proofErr w:type="spellEnd"/>
      <w:r>
        <w:rPr>
          <w:rFonts w:ascii="Times New Roman" w:eastAsia="Times New Roman" w:hAnsi="Times New Roman" w:cs="Times New Roman"/>
          <w:lang w:val="en-GB"/>
        </w:rPr>
        <w:t xml:space="preserve">.:: The Direct Path to Realization. Cambridge: </w:t>
      </w:r>
      <w:proofErr w:type="spellStart"/>
      <w:r>
        <w:rPr>
          <w:rFonts w:ascii="Times New Roman" w:eastAsia="Times New Roman" w:hAnsi="Times New Roman" w:cs="Times New Roman"/>
          <w:lang w:val="en-GB"/>
        </w:rPr>
        <w:t>Windhorse</w:t>
      </w:r>
      <w:proofErr w:type="spellEnd"/>
      <w:r>
        <w:rPr>
          <w:rFonts w:ascii="Times New Roman" w:eastAsia="Times New Roman" w:hAnsi="Times New Roman" w:cs="Times New Roman"/>
          <w:lang w:val="en-GB"/>
        </w:rPr>
        <w:t xml:space="preserve"> Publications. 2004.</w:t>
      </w:r>
    </w:p>
    <w:p w:rsidR="005B1037" w:rsidRDefault="00BF07C7">
      <w:pPr>
        <w:pStyle w:val="Standard"/>
        <w:numPr>
          <w:ilvl w:val="0"/>
          <w:numId w:val="5"/>
        </w:num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 xml:space="preserve">Fletcher L,  Hayes SC. Relational Frame Theory, Acceptance and Commitment Therapy, and a Functional Analytic Definition of Mindfulness. JRE&amp;CBT 2005;23(4):315–336.  </w:t>
      </w:r>
    </w:p>
    <w:p w:rsidR="005B1037" w:rsidRDefault="00BF07C7">
      <w:pPr>
        <w:pStyle w:val="Standard"/>
        <w:numPr>
          <w:ilvl w:val="0"/>
          <w:numId w:val="5"/>
        </w:numPr>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Hayes SC. Making Sense of Spirituality. Behaviourism. 1984;12(2):99–110</w:t>
      </w:r>
    </w:p>
    <w:p w:rsidR="005B1037" w:rsidRDefault="00BF07C7">
      <w:pPr>
        <w:pStyle w:val="Standard"/>
        <w:numPr>
          <w:ilvl w:val="0"/>
          <w:numId w:val="5"/>
        </w:numPr>
      </w:pPr>
      <w:proofErr w:type="spellStart"/>
      <w:r>
        <w:rPr>
          <w:rFonts w:ascii="Times New Roman" w:eastAsia="Times New Roman" w:hAnsi="Times New Roman" w:cs="Times New Roman"/>
          <w:shd w:val="clear" w:color="auto" w:fill="FFFFFF"/>
          <w:lang w:val="en-GB"/>
        </w:rPr>
        <w:t>Bhuikku</w:t>
      </w:r>
      <w:proofErr w:type="spellEnd"/>
      <w:r>
        <w:rPr>
          <w:rFonts w:ascii="Times New Roman" w:eastAsia="Times New Roman" w:hAnsi="Times New Roman" w:cs="Times New Roman"/>
          <w:shd w:val="clear" w:color="auto" w:fill="FFFFFF"/>
          <w:lang w:val="en-GB"/>
        </w:rPr>
        <w:t xml:space="preserve"> T trans. </w:t>
      </w:r>
      <w:proofErr w:type="spellStart"/>
      <w:r>
        <w:rPr>
          <w:rFonts w:ascii="Times New Roman" w:eastAsia="Times New Roman" w:hAnsi="Times New Roman" w:cs="Times New Roman"/>
          <w:shd w:val="clear" w:color="auto" w:fill="FFFFFF"/>
          <w:lang w:val="en-GB"/>
        </w:rPr>
        <w:t>Satipatthana</w:t>
      </w:r>
      <w:proofErr w:type="spellEnd"/>
      <w:r>
        <w:rPr>
          <w:rFonts w:ascii="Times New Roman" w:eastAsia="Times New Roman" w:hAnsi="Times New Roman" w:cs="Times New Roman"/>
          <w:shd w:val="clear" w:color="auto" w:fill="FFFFFF"/>
          <w:lang w:val="en-GB"/>
        </w:rPr>
        <w:t xml:space="preserve"> </w:t>
      </w:r>
      <w:proofErr w:type="spellStart"/>
      <w:r>
        <w:rPr>
          <w:rFonts w:ascii="Times New Roman" w:eastAsia="Times New Roman" w:hAnsi="Times New Roman" w:cs="Times New Roman"/>
          <w:shd w:val="clear" w:color="auto" w:fill="FFFFFF"/>
          <w:lang w:val="en-GB"/>
        </w:rPr>
        <w:t>Sutta</w:t>
      </w:r>
      <w:proofErr w:type="spellEnd"/>
      <w:r>
        <w:rPr>
          <w:rFonts w:ascii="Times New Roman" w:eastAsia="Times New Roman" w:hAnsi="Times New Roman" w:cs="Times New Roman"/>
          <w:shd w:val="clear" w:color="auto" w:fill="FFFFFF"/>
          <w:lang w:val="en-GB"/>
        </w:rPr>
        <w:t xml:space="preserve">: Frames of Reference [Internet]. 2008. Available from </w:t>
      </w:r>
      <w:hyperlink r:id="rId9" w:history="1">
        <w:r>
          <w:rPr>
            <w:rStyle w:val="Internetlink"/>
            <w:rFonts w:ascii="Times New Roman" w:eastAsia="Times New Roman" w:hAnsi="Times New Roman" w:cs="Times New Roman"/>
            <w:color w:val="1155CC"/>
            <w:shd w:val="clear" w:color="auto" w:fill="FFFFFF"/>
          </w:rPr>
          <w:t>http://www.accesstoinsight.org/tipitaka/mn/mn.010.than.html</w:t>
        </w:r>
      </w:hyperlink>
      <w:r>
        <w:rPr>
          <w:rFonts w:ascii="Times New Roman" w:eastAsia="Times New Roman" w:hAnsi="Times New Roman" w:cs="Times New Roman"/>
          <w:shd w:val="clear" w:color="auto" w:fill="FFFFFF"/>
          <w:lang w:val="en-GB"/>
        </w:rPr>
        <w:t>.</w:t>
      </w:r>
    </w:p>
    <w:p w:rsidR="005B1037" w:rsidRDefault="00BF07C7">
      <w:pPr>
        <w:pStyle w:val="Standard"/>
        <w:numPr>
          <w:ilvl w:val="0"/>
          <w:numId w:val="5"/>
        </w:numPr>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Deikman</w:t>
      </w:r>
      <w:proofErr w:type="spellEnd"/>
      <w:r>
        <w:rPr>
          <w:rFonts w:ascii="Times New Roman" w:eastAsia="Times New Roman" w:hAnsi="Times New Roman" w:cs="Times New Roman"/>
          <w:shd w:val="clear" w:color="auto" w:fill="FFFFFF"/>
          <w:lang w:val="en-GB"/>
        </w:rPr>
        <w:t xml:space="preserve"> A. The Observing Self: Mysticism and Psychotherapy. Boston, MA: Beacon Press. 1982.</w:t>
      </w:r>
    </w:p>
    <w:p w:rsidR="005B1037" w:rsidRDefault="00BF07C7">
      <w:pPr>
        <w:pStyle w:val="Standard"/>
        <w:numPr>
          <w:ilvl w:val="0"/>
          <w:numId w:val="5"/>
        </w:numPr>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Davids</w:t>
      </w:r>
      <w:proofErr w:type="spellEnd"/>
      <w:r>
        <w:rPr>
          <w:rFonts w:ascii="Times New Roman" w:eastAsia="Times New Roman" w:hAnsi="Times New Roman" w:cs="Times New Roman"/>
          <w:shd w:val="clear" w:color="auto" w:fill="FFFFFF"/>
          <w:lang w:val="en-GB"/>
        </w:rPr>
        <w:t xml:space="preserve"> R trans. The Questions of King </w:t>
      </w:r>
      <w:proofErr w:type="spellStart"/>
      <w:r>
        <w:rPr>
          <w:rFonts w:ascii="Times New Roman" w:eastAsia="Times New Roman" w:hAnsi="Times New Roman" w:cs="Times New Roman"/>
          <w:shd w:val="clear" w:color="auto" w:fill="FFFFFF"/>
          <w:lang w:val="en-GB"/>
        </w:rPr>
        <w:t>Milinda</w:t>
      </w:r>
      <w:proofErr w:type="spellEnd"/>
      <w:r>
        <w:rPr>
          <w:rFonts w:ascii="Times New Roman" w:eastAsia="Times New Roman" w:hAnsi="Times New Roman" w:cs="Times New Roman"/>
          <w:shd w:val="clear" w:color="auto" w:fill="FFFFFF"/>
          <w:lang w:val="en-GB"/>
        </w:rPr>
        <w:t>. Oxford: Clarendon Press. 1890.</w:t>
      </w:r>
    </w:p>
    <w:p w:rsidR="005B1037" w:rsidRDefault="00BF07C7">
      <w:pPr>
        <w:pStyle w:val="Standard"/>
        <w:numPr>
          <w:ilvl w:val="0"/>
          <w:numId w:val="5"/>
        </w:numPr>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Siderits</w:t>
      </w:r>
      <w:proofErr w:type="spellEnd"/>
      <w:r>
        <w:rPr>
          <w:rFonts w:ascii="Times New Roman" w:eastAsia="Times New Roman" w:hAnsi="Times New Roman" w:cs="Times New Roman"/>
          <w:shd w:val="clear" w:color="auto" w:fill="FFFFFF"/>
          <w:lang w:val="en-GB"/>
        </w:rPr>
        <w:t xml:space="preserve">, M. Buddhism as Philosophy. Surrey: </w:t>
      </w:r>
      <w:proofErr w:type="spellStart"/>
      <w:r>
        <w:rPr>
          <w:rFonts w:ascii="Times New Roman" w:eastAsia="Times New Roman" w:hAnsi="Times New Roman" w:cs="Times New Roman"/>
          <w:shd w:val="clear" w:color="auto" w:fill="FFFFFF"/>
          <w:lang w:val="en-GB"/>
        </w:rPr>
        <w:t>Ashgate</w:t>
      </w:r>
      <w:proofErr w:type="spellEnd"/>
      <w:r>
        <w:rPr>
          <w:rFonts w:ascii="Times New Roman" w:eastAsia="Times New Roman" w:hAnsi="Times New Roman" w:cs="Times New Roman"/>
          <w:shd w:val="clear" w:color="auto" w:fill="FFFFFF"/>
          <w:lang w:val="en-GB"/>
        </w:rPr>
        <w:t xml:space="preserve"> Publishing, 2007.</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 xml:space="preserve">Hayes SC. Buddhism and Acceptance and Commitment Therapy. </w:t>
      </w:r>
      <w:proofErr w:type="spellStart"/>
      <w:r>
        <w:rPr>
          <w:rFonts w:ascii="Times New Roman" w:eastAsia="Times New Roman" w:hAnsi="Times New Roman" w:cs="Times New Roman"/>
          <w:shd w:val="clear" w:color="auto" w:fill="FFFFFF"/>
          <w:lang w:val="en-GB"/>
        </w:rPr>
        <w:t>Cogn</w:t>
      </w:r>
      <w:proofErr w:type="spellEnd"/>
      <w:r>
        <w:rPr>
          <w:rFonts w:ascii="Times New Roman" w:eastAsia="Times New Roman" w:hAnsi="Times New Roman" w:cs="Times New Roman"/>
          <w:shd w:val="clear" w:color="auto" w:fill="FFFFFF"/>
          <w:lang w:val="en-GB"/>
        </w:rPr>
        <w:t xml:space="preserve"> </w:t>
      </w:r>
      <w:proofErr w:type="spellStart"/>
      <w:r>
        <w:rPr>
          <w:rFonts w:ascii="Times New Roman" w:eastAsia="Times New Roman" w:hAnsi="Times New Roman" w:cs="Times New Roman"/>
          <w:shd w:val="clear" w:color="auto" w:fill="FFFFFF"/>
          <w:lang w:val="en-GB"/>
        </w:rPr>
        <w:t>Behav</w:t>
      </w:r>
      <w:proofErr w:type="spellEnd"/>
      <w:r>
        <w:rPr>
          <w:rFonts w:ascii="Times New Roman" w:eastAsia="Times New Roman" w:hAnsi="Times New Roman" w:cs="Times New Roman"/>
          <w:shd w:val="clear" w:color="auto" w:fill="FFFFFF"/>
          <w:lang w:val="en-GB"/>
        </w:rPr>
        <w:t xml:space="preserve"> </w:t>
      </w:r>
      <w:proofErr w:type="spellStart"/>
      <w:r>
        <w:rPr>
          <w:rFonts w:ascii="Times New Roman" w:eastAsia="Times New Roman" w:hAnsi="Times New Roman" w:cs="Times New Roman"/>
          <w:shd w:val="clear" w:color="auto" w:fill="FFFFFF"/>
          <w:lang w:val="en-GB"/>
        </w:rPr>
        <w:t>Pract</w:t>
      </w:r>
      <w:proofErr w:type="spellEnd"/>
      <w:r>
        <w:rPr>
          <w:rFonts w:ascii="Times New Roman" w:eastAsia="Times New Roman" w:hAnsi="Times New Roman" w:cs="Times New Roman"/>
          <w:shd w:val="clear" w:color="auto" w:fill="FFFFFF"/>
          <w:lang w:val="en-GB"/>
        </w:rPr>
        <w:t>. 2002;9(1):58–66.</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Rahula</w:t>
      </w:r>
      <w:proofErr w:type="spellEnd"/>
      <w:r>
        <w:rPr>
          <w:rFonts w:ascii="Times New Roman" w:eastAsia="Times New Roman" w:hAnsi="Times New Roman" w:cs="Times New Roman"/>
          <w:shd w:val="clear" w:color="auto" w:fill="FFFFFF"/>
          <w:lang w:val="en-GB"/>
        </w:rPr>
        <w:t xml:space="preserve"> W. What the Buddha Taught. New York, NY: Grove Press. 1959</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Gunaratana</w:t>
      </w:r>
      <w:proofErr w:type="spellEnd"/>
      <w:r>
        <w:rPr>
          <w:rFonts w:ascii="Times New Roman" w:eastAsia="Times New Roman" w:hAnsi="Times New Roman" w:cs="Times New Roman"/>
          <w:shd w:val="clear" w:color="auto" w:fill="FFFFFF"/>
          <w:lang w:val="en-GB"/>
        </w:rPr>
        <w:t>, H. Mindfulness in Plain English. Somerville, MA: Wisdom Publications. 1993</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Hanh</w:t>
      </w:r>
      <w:proofErr w:type="spellEnd"/>
      <w:r>
        <w:rPr>
          <w:rFonts w:ascii="Times New Roman" w:eastAsia="Times New Roman" w:hAnsi="Times New Roman" w:cs="Times New Roman"/>
          <w:shd w:val="clear" w:color="auto" w:fill="FFFFFF"/>
          <w:lang w:val="en-GB"/>
        </w:rPr>
        <w:t xml:space="preserve"> TN. The miracle of mindfulness: A manual on meditation. Boston, MA: Beacon Press. 1987</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 xml:space="preserve">Thera N. </w:t>
      </w:r>
      <w:proofErr w:type="spellStart"/>
      <w:r>
        <w:rPr>
          <w:rFonts w:ascii="Times New Roman" w:eastAsia="Times New Roman" w:hAnsi="Times New Roman" w:cs="Times New Roman"/>
          <w:shd w:val="clear" w:color="auto" w:fill="FFFFFF"/>
          <w:lang w:val="en-GB"/>
        </w:rPr>
        <w:t>Satipatthana</w:t>
      </w:r>
      <w:proofErr w:type="spellEnd"/>
      <w:r>
        <w:rPr>
          <w:rFonts w:ascii="Times New Roman" w:eastAsia="Times New Roman" w:hAnsi="Times New Roman" w:cs="Times New Roman"/>
          <w:shd w:val="clear" w:color="auto" w:fill="FFFFFF"/>
          <w:lang w:val="en-GB"/>
        </w:rPr>
        <w:t>: The heart of Buddhist meditation: a handbook of mental training based on the Buddha's Way of mindfulness. London: Rider. 1962</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Dreyfus G. The Sound of Two Hands Clapping: The Education of a Tibetan Buddhist Monk. Berkeley, CA: University of California Press. 2003</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Shulman, E. Rethinking the Buddha: Early Buddhist Philosophy as Meditative Perception. Cambridge: Cambridge University Press. 2014</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Jokita</w:t>
      </w:r>
      <w:proofErr w:type="spellEnd"/>
      <w:r>
        <w:rPr>
          <w:rFonts w:ascii="Times New Roman" w:eastAsia="Times New Roman" w:hAnsi="Times New Roman" w:cs="Times New Roman"/>
          <w:shd w:val="clear" w:color="auto" w:fill="FFFFFF"/>
          <w:lang w:val="en-GB"/>
        </w:rPr>
        <w:t xml:space="preserve"> U, </w:t>
      </w:r>
      <w:proofErr w:type="spellStart"/>
      <w:r>
        <w:rPr>
          <w:rFonts w:ascii="Times New Roman" w:eastAsia="Times New Roman" w:hAnsi="Times New Roman" w:cs="Times New Roman"/>
          <w:shd w:val="clear" w:color="auto" w:fill="FFFFFF"/>
          <w:lang w:val="en-GB"/>
        </w:rPr>
        <w:t>Dahmminda</w:t>
      </w:r>
      <w:proofErr w:type="spellEnd"/>
      <w:r>
        <w:rPr>
          <w:rFonts w:ascii="Times New Roman" w:eastAsia="Times New Roman" w:hAnsi="Times New Roman" w:cs="Times New Roman"/>
          <w:shd w:val="clear" w:color="auto" w:fill="FFFFFF"/>
          <w:lang w:val="en-GB"/>
        </w:rPr>
        <w:t xml:space="preserve"> U trans. </w:t>
      </w:r>
      <w:proofErr w:type="spellStart"/>
      <w:r>
        <w:rPr>
          <w:rFonts w:ascii="Times New Roman" w:eastAsia="Times New Roman" w:hAnsi="Times New Roman" w:cs="Times New Roman"/>
          <w:shd w:val="clear" w:color="auto" w:fill="FFFFFF"/>
          <w:lang w:val="en-GB"/>
        </w:rPr>
        <w:t>Mahāsatipaṭṭhāna</w:t>
      </w:r>
      <w:proofErr w:type="spellEnd"/>
      <w:r>
        <w:rPr>
          <w:rFonts w:ascii="Times New Roman" w:eastAsia="Times New Roman" w:hAnsi="Times New Roman" w:cs="Times New Roman"/>
          <w:shd w:val="clear" w:color="auto" w:fill="FFFFFF"/>
          <w:lang w:val="en-GB"/>
        </w:rPr>
        <w:t xml:space="preserve"> </w:t>
      </w:r>
      <w:proofErr w:type="spellStart"/>
      <w:r>
        <w:rPr>
          <w:rFonts w:ascii="Times New Roman" w:eastAsia="Times New Roman" w:hAnsi="Times New Roman" w:cs="Times New Roman"/>
          <w:shd w:val="clear" w:color="auto" w:fill="FFFFFF"/>
          <w:lang w:val="en-GB"/>
        </w:rPr>
        <w:t>Sutta</w:t>
      </w:r>
      <w:proofErr w:type="spellEnd"/>
      <w:r>
        <w:rPr>
          <w:rFonts w:ascii="Times New Roman" w:eastAsia="Times New Roman" w:hAnsi="Times New Roman" w:cs="Times New Roman"/>
          <w:shd w:val="clear" w:color="auto" w:fill="FFFFFF"/>
          <w:lang w:val="en-GB"/>
        </w:rPr>
        <w:t>: The Greater Discourse on Steadfast Mindfulness [Internet]. 1986. Available from http://nrcvee.iitd.ac.in/files/sutta-study/mahasatipatthana-english.pdf.</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lastRenderedPageBreak/>
        <w:t xml:space="preserve">McKay M, Wood J, Brantley J. The Dialectical </w:t>
      </w:r>
      <w:proofErr w:type="spellStart"/>
      <w:r>
        <w:rPr>
          <w:rFonts w:ascii="Times New Roman" w:eastAsia="Times New Roman" w:hAnsi="Times New Roman" w:cs="Times New Roman"/>
          <w:shd w:val="clear" w:color="auto" w:fill="FFFFFF"/>
          <w:lang w:val="en-GB"/>
        </w:rPr>
        <w:t>Behavior</w:t>
      </w:r>
      <w:proofErr w:type="spellEnd"/>
      <w:r>
        <w:rPr>
          <w:rFonts w:ascii="Times New Roman" w:eastAsia="Times New Roman" w:hAnsi="Times New Roman" w:cs="Times New Roman"/>
          <w:shd w:val="clear" w:color="auto" w:fill="FFFFFF"/>
          <w:lang w:val="en-GB"/>
        </w:rPr>
        <w:t xml:space="preserve"> Therapy Skills Workbook. Oakland, CA: New Harbinger. 2007</w:t>
      </w:r>
    </w:p>
    <w:p w:rsidR="005B1037" w:rsidRDefault="00BF07C7">
      <w:pPr>
        <w:pStyle w:val="Standard"/>
        <w:numPr>
          <w:ilvl w:val="0"/>
          <w:numId w:val="5"/>
        </w:numPr>
        <w:rPr>
          <w:rFonts w:ascii="Times New Roman" w:eastAsia="Times New Roman" w:hAnsi="Times New Roman" w:cs="Times New Roman"/>
          <w:lang w:val="en-GB"/>
        </w:rPr>
      </w:pPr>
      <w:r>
        <w:rPr>
          <w:rFonts w:ascii="Times New Roman" w:eastAsia="Times New Roman" w:hAnsi="Times New Roman" w:cs="Times New Roman"/>
          <w:lang w:val="en-GB"/>
        </w:rPr>
        <w:t xml:space="preserve">Nussbaum, MC. </w:t>
      </w:r>
      <w:proofErr w:type="spellStart"/>
      <w:r>
        <w:rPr>
          <w:rFonts w:ascii="Times New Roman" w:eastAsia="Times New Roman" w:hAnsi="Times New Roman" w:cs="Times New Roman"/>
          <w:lang w:val="en-GB"/>
        </w:rPr>
        <w:t>Upheavels</w:t>
      </w:r>
      <w:proofErr w:type="spellEnd"/>
      <w:r>
        <w:rPr>
          <w:rFonts w:ascii="Times New Roman" w:eastAsia="Times New Roman" w:hAnsi="Times New Roman" w:cs="Times New Roman"/>
          <w:lang w:val="en-GB"/>
        </w:rPr>
        <w:t xml:space="preserve"> of Thought: The Intelligence of Emotions. Cambridge: Cambridge University Press. 2001.</w:t>
      </w:r>
    </w:p>
    <w:p w:rsidR="005B1037" w:rsidRDefault="00BF07C7">
      <w:pPr>
        <w:pStyle w:val="Standard"/>
        <w:numPr>
          <w:ilvl w:val="0"/>
          <w:numId w:val="5"/>
        </w:numPr>
        <w:rPr>
          <w:rFonts w:ascii="Times New Roman" w:eastAsia="Times New Roman" w:hAnsi="Times New Roman" w:cs="Times New Roman"/>
          <w:lang w:val="en-GB"/>
        </w:rPr>
      </w:pPr>
      <w:r>
        <w:rPr>
          <w:rFonts w:ascii="Times New Roman" w:eastAsia="Times New Roman" w:hAnsi="Times New Roman" w:cs="Times New Roman"/>
          <w:lang w:val="en-GB"/>
        </w:rPr>
        <w:t>Roberts RC. Emotions: An Essay in Aid of Moral Psychology. Cambridge: Cambridge University Press, 2003.</w:t>
      </w:r>
    </w:p>
    <w:p w:rsidR="005B1037" w:rsidRDefault="00BF07C7">
      <w:pPr>
        <w:pStyle w:val="Standard"/>
        <w:numPr>
          <w:ilvl w:val="0"/>
          <w:numId w:val="5"/>
        </w:numPr>
        <w:rPr>
          <w:rFonts w:ascii="Times New Roman" w:eastAsia="Times New Roman" w:hAnsi="Times New Roman" w:cs="Times New Roman"/>
          <w:lang w:val="en-GB"/>
        </w:rPr>
      </w:pPr>
      <w:r>
        <w:rPr>
          <w:rFonts w:ascii="Times New Roman" w:eastAsia="Times New Roman" w:hAnsi="Times New Roman" w:cs="Times New Roman"/>
          <w:lang w:val="en-GB"/>
        </w:rPr>
        <w:t>Goldie P. The Emotions: A Philosophical Exploration. Oxford: Oxford University Press. 2000.</w:t>
      </w:r>
    </w:p>
    <w:p w:rsidR="005B1037" w:rsidRDefault="00BF07C7">
      <w:pPr>
        <w:pStyle w:val="Standard"/>
        <w:numPr>
          <w:ilvl w:val="0"/>
          <w:numId w:val="5"/>
        </w:numPr>
      </w:pPr>
      <w:r>
        <w:rPr>
          <w:rFonts w:ascii="Times New Roman" w:eastAsia="Times New Roman" w:hAnsi="Times New Roman" w:cs="Times New Roman"/>
          <w:lang w:val="en-GB"/>
        </w:rPr>
        <w:t xml:space="preserve">Goldie P. Emotions, feelings and intentionality. </w:t>
      </w:r>
      <w:proofErr w:type="spellStart"/>
      <w:r>
        <w:rPr>
          <w:rFonts w:ascii="Times New Roman" w:eastAsia="Times New Roman" w:hAnsi="Times New Roman" w:cs="Times New Roman"/>
          <w:lang w:val="en-GB"/>
        </w:rPr>
        <w:t>Phenomenol</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Cogn</w:t>
      </w:r>
      <w:proofErr w:type="spellEnd"/>
      <w:r>
        <w:rPr>
          <w:rFonts w:ascii="Times New Roman" w:eastAsia="Times New Roman" w:hAnsi="Times New Roman" w:cs="Times New Roman"/>
          <w:lang w:val="en-GB"/>
        </w:rPr>
        <w:t xml:space="preserve"> Sci. 2002;1:235–254.</w:t>
      </w:r>
    </w:p>
    <w:p w:rsidR="005B1037" w:rsidRDefault="00BF07C7">
      <w:pPr>
        <w:pStyle w:val="Standard"/>
        <w:numPr>
          <w:ilvl w:val="0"/>
          <w:numId w:val="5"/>
        </w:numPr>
        <w:rPr>
          <w:rFonts w:ascii="Times New Roman" w:eastAsia="Times New Roman" w:hAnsi="Times New Roman" w:cs="Times New Roman"/>
          <w:lang w:val="en-GB"/>
        </w:rPr>
      </w:pPr>
      <w:r>
        <w:rPr>
          <w:rFonts w:ascii="Times New Roman" w:eastAsia="Times New Roman" w:hAnsi="Times New Roman" w:cs="Times New Roman"/>
          <w:lang w:val="en-GB"/>
        </w:rPr>
        <w:t>Ben-Ze’ev A. Emotion as a Subtle Mental Mode. In: Solomon, RC, ed. Thinking about Feeling: Contemporary Philosophers on Emotions. Oxford: Oxford University Press 2004: 250–268.</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Ratcliffe</w:t>
      </w:r>
      <w:proofErr w:type="spellEnd"/>
      <w:r>
        <w:rPr>
          <w:rFonts w:ascii="Times New Roman" w:eastAsia="Times New Roman" w:hAnsi="Times New Roman" w:cs="Times New Roman"/>
          <w:shd w:val="clear" w:color="auto" w:fill="FFFFFF"/>
          <w:lang w:val="en-GB"/>
        </w:rPr>
        <w:t xml:space="preserve">, M. The Feeling of Being. J </w:t>
      </w:r>
      <w:proofErr w:type="spellStart"/>
      <w:r>
        <w:rPr>
          <w:rFonts w:ascii="Times New Roman" w:eastAsia="Times New Roman" w:hAnsi="Times New Roman" w:cs="Times New Roman"/>
          <w:shd w:val="clear" w:color="auto" w:fill="FFFFFF"/>
          <w:lang w:val="en-GB"/>
        </w:rPr>
        <w:t>Consious</w:t>
      </w:r>
      <w:proofErr w:type="spellEnd"/>
      <w:r>
        <w:rPr>
          <w:rFonts w:ascii="Times New Roman" w:eastAsia="Times New Roman" w:hAnsi="Times New Roman" w:cs="Times New Roman"/>
          <w:shd w:val="clear" w:color="auto" w:fill="FFFFFF"/>
          <w:lang w:val="en-GB"/>
        </w:rPr>
        <w:t xml:space="preserve"> Stud. 2005;12(8-10):43–60.</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r>
        <w:rPr>
          <w:rFonts w:ascii="Times New Roman" w:eastAsia="Times New Roman" w:hAnsi="Times New Roman" w:cs="Times New Roman"/>
          <w:shd w:val="clear" w:color="auto" w:fill="FFFFFF"/>
          <w:lang w:val="en-GB"/>
        </w:rPr>
        <w:t>Manson NC, O’Neill O. Rethinking Informed Consent in Bioethics. Cambridge: Cambridge University Press. 2007.</w:t>
      </w:r>
    </w:p>
    <w:p w:rsidR="005B1037" w:rsidRDefault="00BF07C7">
      <w:pPr>
        <w:pStyle w:val="Standard"/>
        <w:numPr>
          <w:ilvl w:val="0"/>
          <w:numId w:val="5"/>
        </w:numPr>
        <w:spacing w:line="240" w:lineRule="auto"/>
        <w:rPr>
          <w:rFonts w:ascii="Times New Roman" w:eastAsia="Times New Roman" w:hAnsi="Times New Roman" w:cs="Times New Roman"/>
          <w:shd w:val="clear" w:color="auto" w:fill="FFFFFF"/>
          <w:lang w:val="en-GB"/>
        </w:rPr>
      </w:pPr>
      <w:proofErr w:type="spellStart"/>
      <w:r>
        <w:rPr>
          <w:rFonts w:ascii="Times New Roman" w:eastAsia="Times New Roman" w:hAnsi="Times New Roman" w:cs="Times New Roman"/>
          <w:shd w:val="clear" w:color="auto" w:fill="FFFFFF"/>
          <w:lang w:val="en-GB"/>
        </w:rPr>
        <w:t>Liégois</w:t>
      </w:r>
      <w:proofErr w:type="spellEnd"/>
      <w:r>
        <w:rPr>
          <w:rFonts w:ascii="Times New Roman" w:eastAsia="Times New Roman" w:hAnsi="Times New Roman" w:cs="Times New Roman"/>
          <w:shd w:val="clear" w:color="auto" w:fill="FFFFFF"/>
          <w:lang w:val="en-GB"/>
        </w:rPr>
        <w:t xml:space="preserve">, A., &amp; </w:t>
      </w:r>
      <w:proofErr w:type="spellStart"/>
      <w:r>
        <w:rPr>
          <w:rFonts w:ascii="Times New Roman" w:eastAsia="Times New Roman" w:hAnsi="Times New Roman" w:cs="Times New Roman"/>
          <w:shd w:val="clear" w:color="auto" w:fill="FFFFFF"/>
          <w:lang w:val="en-GB"/>
        </w:rPr>
        <w:t>Eneman</w:t>
      </w:r>
      <w:proofErr w:type="spellEnd"/>
      <w:r>
        <w:rPr>
          <w:rFonts w:ascii="Times New Roman" w:eastAsia="Times New Roman" w:hAnsi="Times New Roman" w:cs="Times New Roman"/>
          <w:shd w:val="clear" w:color="auto" w:fill="FFFFFF"/>
          <w:lang w:val="en-GB"/>
        </w:rPr>
        <w:t>, M. Ethics of deliberation, consent and coercion in psychiatry. J Med Ethics. 2008;34(2):73–76.</w:t>
      </w:r>
    </w:p>
    <w:p w:rsidR="005B1037" w:rsidRDefault="005B1037">
      <w:pPr>
        <w:pStyle w:val="Standard"/>
        <w:spacing w:line="240" w:lineRule="auto"/>
        <w:ind w:left="720"/>
      </w:pPr>
    </w:p>
    <w:sectPr w:rsidR="005B1037">
      <w:headerReference w:type="default" r:id="rId10"/>
      <w:footerReference w:type="default" r:id="rId11"/>
      <w:pgSz w:w="12240" w:h="15840"/>
      <w:pgMar w:top="1976"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705" w:rsidRDefault="00BF07C7">
      <w:r>
        <w:separator/>
      </w:r>
    </w:p>
  </w:endnote>
  <w:endnote w:type="continuationSeparator" w:id="0">
    <w:p w:rsidR="00D03705" w:rsidRDefault="00BF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OpenSymbol">
    <w:charset w:val="02"/>
    <w:family w:val="auto"/>
    <w:pitch w:val="variable"/>
  </w:font>
  <w:font w:name="OpenSymbol, 'Arial Unicode MS'">
    <w:charset w:val="00"/>
    <w:family w:val="auto"/>
    <w:pitch w:val="variable"/>
  </w:font>
  <w:font w:name="Liberation Serif">
    <w:altName w:val="Times New Roman"/>
    <w:charset w:val="00"/>
    <w:family w:val="roman"/>
    <w:pitch w:val="variable"/>
  </w:font>
  <w:font w:name="Noto Sans CJK SC Regular">
    <w:panose1 w:val="020B0500000000000000"/>
    <w:charset w:val="80"/>
    <w:family w:val="swiss"/>
    <w:pitch w:val="variable"/>
    <w:sig w:usb0="30000003" w:usb1="2BDF3C10" w:usb2="00000016" w:usb3="00000000" w:csb0="002E0107" w:csb1="00000000"/>
  </w:font>
  <w:font w:name="FreeSans">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adea">
    <w:charset w:val="00"/>
    <w:family w:val="auto"/>
    <w:pitch w:val="variable"/>
  </w:font>
  <w:font w:name="Helvetica">
    <w:altName w:val="Arial"/>
    <w:panose1 w:val="020B05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C28" w:rsidRDefault="00BF07C7">
    <w:pPr>
      <w:pStyle w:val="Standard"/>
      <w:spacing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23C28" w:rsidRDefault="007F1AB1">
    <w:pPr>
      <w:pStyle w:val="Standard"/>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705" w:rsidRDefault="00BF07C7">
      <w:r>
        <w:rPr>
          <w:color w:val="000000"/>
        </w:rPr>
        <w:separator/>
      </w:r>
    </w:p>
  </w:footnote>
  <w:footnote w:type="continuationSeparator" w:id="0">
    <w:p w:rsidR="00D03705" w:rsidRDefault="00BF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C28" w:rsidRDefault="007F1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993"/>
    <w:multiLevelType w:val="multilevel"/>
    <w:tmpl w:val="C64255D4"/>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7430D8"/>
    <w:multiLevelType w:val="multilevel"/>
    <w:tmpl w:val="25F8EC9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CB621A2"/>
    <w:multiLevelType w:val="multilevel"/>
    <w:tmpl w:val="DAF45FBE"/>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305B47BD"/>
    <w:multiLevelType w:val="multilevel"/>
    <w:tmpl w:val="B29A4202"/>
    <w:styleLink w:val="WWNum3"/>
    <w:lvl w:ilvl="0">
      <w:numFmt w:val="bullet"/>
      <w:lvlText w:val=""/>
      <w:lvlJc w:val="left"/>
      <w:pPr>
        <w:ind w:left="720" w:firstLine="360"/>
      </w:pPr>
      <w:rPr>
        <w:rFonts w:ascii="Wingdings" w:hAnsi="Wingdings" w:cs="Wingdings"/>
        <w:u w:val="none"/>
      </w:rPr>
    </w:lvl>
    <w:lvl w:ilvl="1">
      <w:numFmt w:val="bullet"/>
      <w:lvlText w:val=""/>
      <w:lvlJc w:val="left"/>
      <w:pPr>
        <w:ind w:left="1440" w:firstLine="1080"/>
      </w:pPr>
      <w:rPr>
        <w:rFonts w:ascii="Wingdings 2" w:hAnsi="Wingdings 2" w:cs="Wingdings 2"/>
        <w:u w:val="none"/>
      </w:rPr>
    </w:lvl>
    <w:lvl w:ilvl="2">
      <w:numFmt w:val="bullet"/>
      <w:lvlText w:val="■"/>
      <w:lvlJc w:val="left"/>
      <w:pPr>
        <w:ind w:left="2160" w:firstLine="1800"/>
      </w:pPr>
      <w:rPr>
        <w:rFonts w:ascii="OpenSymbol" w:hAnsi="OpenSymbol" w:cs="OpenSymbol, 'Arial Unicode MS'"/>
        <w:u w:val="none"/>
      </w:rPr>
    </w:lvl>
    <w:lvl w:ilvl="3">
      <w:numFmt w:val="bullet"/>
      <w:lvlText w:val=""/>
      <w:lvlJc w:val="left"/>
      <w:pPr>
        <w:ind w:left="2880" w:firstLine="2520"/>
      </w:pPr>
      <w:rPr>
        <w:rFonts w:ascii="Wingdings" w:hAnsi="Wingdings" w:cs="Wingdings"/>
        <w:u w:val="none"/>
      </w:rPr>
    </w:lvl>
    <w:lvl w:ilvl="4">
      <w:numFmt w:val="bullet"/>
      <w:lvlText w:val=""/>
      <w:lvlJc w:val="left"/>
      <w:pPr>
        <w:ind w:left="3600" w:firstLine="3240"/>
      </w:pPr>
      <w:rPr>
        <w:rFonts w:ascii="Wingdings 2" w:hAnsi="Wingdings 2" w:cs="Wingdings 2"/>
        <w:u w:val="none"/>
      </w:rPr>
    </w:lvl>
    <w:lvl w:ilvl="5">
      <w:numFmt w:val="bullet"/>
      <w:lvlText w:val="■"/>
      <w:lvlJc w:val="left"/>
      <w:pPr>
        <w:ind w:left="4320" w:firstLine="3960"/>
      </w:pPr>
      <w:rPr>
        <w:rFonts w:ascii="OpenSymbol" w:hAnsi="OpenSymbol" w:cs="OpenSymbol, 'Arial Unicode MS'"/>
        <w:u w:val="none"/>
      </w:rPr>
    </w:lvl>
    <w:lvl w:ilvl="6">
      <w:numFmt w:val="bullet"/>
      <w:lvlText w:val=""/>
      <w:lvlJc w:val="left"/>
      <w:pPr>
        <w:ind w:left="5040" w:firstLine="4680"/>
      </w:pPr>
      <w:rPr>
        <w:rFonts w:ascii="Wingdings" w:hAnsi="Wingdings" w:cs="Wingdings"/>
        <w:u w:val="none"/>
      </w:rPr>
    </w:lvl>
    <w:lvl w:ilvl="7">
      <w:numFmt w:val="bullet"/>
      <w:lvlText w:val=""/>
      <w:lvlJc w:val="left"/>
      <w:pPr>
        <w:ind w:left="5760" w:firstLine="5400"/>
      </w:pPr>
      <w:rPr>
        <w:rFonts w:ascii="Wingdings 2" w:hAnsi="Wingdings 2" w:cs="Wingdings 2"/>
        <w:u w:val="none"/>
      </w:rPr>
    </w:lvl>
    <w:lvl w:ilvl="8">
      <w:numFmt w:val="bullet"/>
      <w:lvlText w:val="■"/>
      <w:lvlJc w:val="left"/>
      <w:pPr>
        <w:ind w:left="6480" w:firstLine="6120"/>
      </w:pPr>
      <w:rPr>
        <w:rFonts w:ascii="OpenSymbol" w:hAnsi="OpenSymbol" w:cs="OpenSymbol, 'Arial Unicode MS'"/>
        <w:u w:val="none"/>
      </w:rPr>
    </w:lvl>
  </w:abstractNum>
  <w:abstractNum w:abstractNumId="4" w15:restartNumberingAfterBreak="0">
    <w:nsid w:val="69C318BD"/>
    <w:multiLevelType w:val="multilevel"/>
    <w:tmpl w:val="898E8014"/>
    <w:styleLink w:val="WWNum4"/>
    <w:lvl w:ilvl="0">
      <w:numFmt w:val="bullet"/>
      <w:lvlText w:val=""/>
      <w:lvlJc w:val="left"/>
      <w:pPr>
        <w:ind w:left="720" w:firstLine="360"/>
      </w:pPr>
      <w:rPr>
        <w:rFonts w:ascii="Wingdings" w:hAnsi="Wingdings" w:cs="Wingdings"/>
        <w:u w:val="none"/>
      </w:rPr>
    </w:lvl>
    <w:lvl w:ilvl="1">
      <w:numFmt w:val="bullet"/>
      <w:lvlText w:val=""/>
      <w:lvlJc w:val="left"/>
      <w:pPr>
        <w:ind w:left="1440" w:firstLine="1080"/>
      </w:pPr>
      <w:rPr>
        <w:rFonts w:ascii="Wingdings 2" w:hAnsi="Wingdings 2" w:cs="Wingdings 2"/>
        <w:u w:val="none"/>
      </w:rPr>
    </w:lvl>
    <w:lvl w:ilvl="2">
      <w:numFmt w:val="bullet"/>
      <w:lvlText w:val="■"/>
      <w:lvlJc w:val="left"/>
      <w:pPr>
        <w:ind w:left="2160" w:firstLine="1800"/>
      </w:pPr>
      <w:rPr>
        <w:rFonts w:ascii="OpenSymbol" w:hAnsi="OpenSymbol" w:cs="OpenSymbol, 'Arial Unicode MS'"/>
        <w:u w:val="none"/>
      </w:rPr>
    </w:lvl>
    <w:lvl w:ilvl="3">
      <w:numFmt w:val="bullet"/>
      <w:lvlText w:val=""/>
      <w:lvlJc w:val="left"/>
      <w:pPr>
        <w:ind w:left="2880" w:firstLine="2520"/>
      </w:pPr>
      <w:rPr>
        <w:rFonts w:ascii="Wingdings" w:hAnsi="Wingdings" w:cs="Wingdings"/>
        <w:u w:val="none"/>
      </w:rPr>
    </w:lvl>
    <w:lvl w:ilvl="4">
      <w:numFmt w:val="bullet"/>
      <w:lvlText w:val=""/>
      <w:lvlJc w:val="left"/>
      <w:pPr>
        <w:ind w:left="3600" w:firstLine="3240"/>
      </w:pPr>
      <w:rPr>
        <w:rFonts w:ascii="Wingdings 2" w:hAnsi="Wingdings 2" w:cs="Wingdings 2"/>
        <w:u w:val="none"/>
      </w:rPr>
    </w:lvl>
    <w:lvl w:ilvl="5">
      <w:numFmt w:val="bullet"/>
      <w:lvlText w:val="■"/>
      <w:lvlJc w:val="left"/>
      <w:pPr>
        <w:ind w:left="4320" w:firstLine="3960"/>
      </w:pPr>
      <w:rPr>
        <w:rFonts w:ascii="OpenSymbol" w:hAnsi="OpenSymbol" w:cs="OpenSymbol, 'Arial Unicode MS'"/>
        <w:u w:val="none"/>
      </w:rPr>
    </w:lvl>
    <w:lvl w:ilvl="6">
      <w:numFmt w:val="bullet"/>
      <w:lvlText w:val=""/>
      <w:lvlJc w:val="left"/>
      <w:pPr>
        <w:ind w:left="5040" w:firstLine="4680"/>
      </w:pPr>
      <w:rPr>
        <w:rFonts w:ascii="Wingdings" w:hAnsi="Wingdings" w:cs="Wingdings"/>
        <w:u w:val="none"/>
      </w:rPr>
    </w:lvl>
    <w:lvl w:ilvl="7">
      <w:numFmt w:val="bullet"/>
      <w:lvlText w:val=""/>
      <w:lvlJc w:val="left"/>
      <w:pPr>
        <w:ind w:left="5760" w:firstLine="5400"/>
      </w:pPr>
      <w:rPr>
        <w:rFonts w:ascii="Wingdings 2" w:hAnsi="Wingdings 2" w:cs="Wingdings 2"/>
        <w:u w:val="none"/>
      </w:rPr>
    </w:lvl>
    <w:lvl w:ilvl="8">
      <w:numFmt w:val="bullet"/>
      <w:lvlText w:val="■"/>
      <w:lvlJc w:val="left"/>
      <w:pPr>
        <w:ind w:left="6480" w:firstLine="6120"/>
      </w:pPr>
      <w:rPr>
        <w:rFonts w:ascii="OpenSymbol" w:hAnsi="OpenSymbol" w:cs="OpenSymbol, 'Arial Unicode MS'"/>
        <w:u w:val="none"/>
      </w:rPr>
    </w:lvl>
  </w:abstractNum>
  <w:num w:numId="1">
    <w:abstractNumId w:val="0"/>
  </w:num>
  <w:num w:numId="2">
    <w:abstractNumId w:val="2"/>
  </w:num>
  <w:num w:numId="3">
    <w:abstractNumId w:val="3"/>
  </w:num>
  <w:num w:numId="4">
    <w:abstractNumId w:val="4"/>
  </w:num>
  <w:num w:numId="5">
    <w:abstractNumId w:val="1"/>
  </w:num>
  <w:num w:numId="6">
    <w:abstractNumId w:val="2"/>
    <w:lvlOverride w:ilvl="0">
      <w:startOverride w:val="1"/>
    </w:lvlOverride>
  </w:num>
  <w:num w:numId="7">
    <w:abstractNumId w:val="3"/>
  </w:num>
  <w:num w:numId="8">
    <w:abstractNumId w:val="4"/>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37"/>
    <w:rsid w:val="001A1BAF"/>
    <w:rsid w:val="001D268E"/>
    <w:rsid w:val="005B1037"/>
    <w:rsid w:val="00BF07C7"/>
    <w:rsid w:val="00D03705"/>
    <w:rsid w:val="00D501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C005EBF"/>
  <w15:docId w15:val="{72E47C2C-B2B6-4CB5-A0DA-CEAE7B9B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Textbody"/>
    <w:uiPriority w:val="9"/>
    <w:qFormat/>
    <w:pPr>
      <w:keepNext/>
      <w:keepLines/>
      <w:spacing w:before="400" w:after="120" w:line="100" w:lineRule="atLeast"/>
      <w:outlineLvl w:val="0"/>
    </w:pPr>
    <w:rPr>
      <w:color w:val="00000A"/>
      <w:sz w:val="40"/>
      <w:szCs w:val="40"/>
    </w:rPr>
  </w:style>
  <w:style w:type="paragraph" w:styleId="Heading2">
    <w:name w:val="heading 2"/>
    <w:next w:val="Textbody"/>
    <w:uiPriority w:val="9"/>
    <w:semiHidden/>
    <w:unhideWhenUsed/>
    <w:qFormat/>
    <w:pPr>
      <w:keepNext/>
      <w:keepLines/>
      <w:spacing w:before="360" w:after="120" w:line="100" w:lineRule="atLeast"/>
      <w:outlineLvl w:val="1"/>
    </w:pPr>
    <w:rPr>
      <w:color w:val="00000A"/>
      <w:sz w:val="32"/>
      <w:szCs w:val="32"/>
    </w:rPr>
  </w:style>
  <w:style w:type="paragraph" w:styleId="Heading3">
    <w:name w:val="heading 3"/>
    <w:next w:val="Textbody"/>
    <w:uiPriority w:val="9"/>
    <w:semiHidden/>
    <w:unhideWhenUsed/>
    <w:qFormat/>
    <w:pPr>
      <w:keepNext/>
      <w:keepLines/>
      <w:spacing w:before="320" w:after="80" w:line="100" w:lineRule="atLeast"/>
      <w:outlineLvl w:val="2"/>
    </w:pPr>
    <w:rPr>
      <w:color w:val="434343"/>
      <w:sz w:val="28"/>
      <w:szCs w:val="28"/>
    </w:rPr>
  </w:style>
  <w:style w:type="paragraph" w:styleId="Heading4">
    <w:name w:val="heading 4"/>
    <w:next w:val="Textbody"/>
    <w:uiPriority w:val="9"/>
    <w:semiHidden/>
    <w:unhideWhenUsed/>
    <w:qFormat/>
    <w:pPr>
      <w:keepNext/>
      <w:keepLines/>
      <w:spacing w:before="280" w:after="80" w:line="100" w:lineRule="atLeast"/>
      <w:outlineLvl w:val="3"/>
    </w:pPr>
    <w:rPr>
      <w:color w:val="666666"/>
    </w:rPr>
  </w:style>
  <w:style w:type="paragraph" w:styleId="Heading5">
    <w:name w:val="heading 5"/>
    <w:next w:val="Textbody"/>
    <w:uiPriority w:val="9"/>
    <w:semiHidden/>
    <w:unhideWhenUsed/>
    <w:qFormat/>
    <w:pPr>
      <w:keepNext/>
      <w:keepLines/>
      <w:spacing w:before="240" w:after="80" w:line="100" w:lineRule="atLeast"/>
      <w:outlineLvl w:val="4"/>
    </w:pPr>
    <w:rPr>
      <w:color w:val="666666"/>
      <w:sz w:val="22"/>
      <w:szCs w:val="22"/>
    </w:rPr>
  </w:style>
  <w:style w:type="paragraph" w:styleId="Heading6">
    <w:name w:val="heading 6"/>
    <w:next w:val="Textbody"/>
    <w:uiPriority w:val="9"/>
    <w:semiHidden/>
    <w:unhideWhenUsed/>
    <w:qFormat/>
    <w:pPr>
      <w:keepNext/>
      <w:keepLines/>
      <w:spacing w:before="240" w:after="80" w:line="100" w:lineRule="atLeast"/>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keepNext/>
      <w:widowControl/>
      <w:spacing w:line="276" w:lineRule="auto"/>
    </w:pPr>
    <w:rPr>
      <w:rFonts w:ascii="Arial" w:eastAsia="Arial" w:hAnsi="Arial" w:cs="Arial"/>
      <w:color w:val="000000"/>
      <w:sz w:val="22"/>
      <w:szCs w:val="22"/>
    </w:rPr>
  </w:style>
  <w:style w:type="paragraph" w:customStyle="1" w:styleId="Heading">
    <w:name w:val="Heading"/>
    <w:basedOn w:val="Standard"/>
    <w:next w:val="Textbody"/>
    <w:pPr>
      <w:spacing w:before="240" w:after="120"/>
    </w:pPr>
    <w:rPr>
      <w:rFonts w:eastAsia="Microsoft YaHei"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berschrift">
    <w:name w:val="Überschrift"/>
    <w:basedOn w:val="Standard"/>
    <w:pPr>
      <w:spacing w:before="240" w:after="120"/>
    </w:pPr>
    <w:rPr>
      <w:rFonts w:ascii="Caladea" w:eastAsia="Caladea" w:hAnsi="Caladea" w:cs="Caladea"/>
      <w:sz w:val="28"/>
      <w:szCs w:val="28"/>
    </w:rPr>
  </w:style>
  <w:style w:type="paragraph" w:customStyle="1" w:styleId="Verzeichnis">
    <w:name w:val="Verzeichnis"/>
    <w:basedOn w:val="Standard"/>
    <w:pPr>
      <w:suppressLineNumbers/>
    </w:pPr>
  </w:style>
  <w:style w:type="paragraph" w:customStyle="1" w:styleId="LO-normal">
    <w:name w:val="LO-normal"/>
    <w:pPr>
      <w:keepNext/>
      <w:widowControl/>
      <w:spacing w:line="276" w:lineRule="auto"/>
    </w:pPr>
    <w:rPr>
      <w:rFonts w:ascii="Arial" w:eastAsia="Arial" w:hAnsi="Arial" w:cs="Arial"/>
      <w:color w:val="000000"/>
      <w:sz w:val="22"/>
      <w:szCs w:val="22"/>
    </w:rPr>
  </w:style>
  <w:style w:type="paragraph" w:styleId="Title">
    <w:name w:val="Title"/>
    <w:basedOn w:val="LO-normal"/>
    <w:next w:val="Subtitle"/>
    <w:uiPriority w:val="10"/>
    <w:qFormat/>
    <w:pPr>
      <w:keepLines/>
      <w:spacing w:after="60" w:line="100" w:lineRule="atLeast"/>
    </w:pPr>
    <w:rPr>
      <w:b/>
      <w:bCs/>
      <w:sz w:val="52"/>
      <w:szCs w:val="52"/>
    </w:rPr>
  </w:style>
  <w:style w:type="paragraph" w:styleId="Subtitle">
    <w:name w:val="Subtitle"/>
    <w:basedOn w:val="LO-normal"/>
    <w:next w:val="Textbody"/>
    <w:uiPriority w:val="11"/>
    <w:qFormat/>
    <w:pPr>
      <w:keepLines/>
      <w:spacing w:after="320" w:line="100" w:lineRule="atLeast"/>
    </w:pPr>
    <w:rPr>
      <w:iCs/>
      <w:color w:val="666666"/>
      <w:sz w:val="30"/>
      <w:szCs w:val="30"/>
    </w:rPr>
  </w:style>
  <w:style w:type="paragraph" w:customStyle="1" w:styleId="Footnote">
    <w:name w:val="Footnote"/>
    <w:basedOn w:val="Standard"/>
    <w:pPr>
      <w:suppressLineNumbers/>
      <w:ind w:left="283" w:hanging="283"/>
    </w:pPr>
    <w:rPr>
      <w:sz w:val="20"/>
      <w:szCs w:val="20"/>
    </w:rPr>
  </w:style>
  <w:style w:type="paragraph" w:styleId="Footer">
    <w:name w:val="footer"/>
    <w:basedOn w:val="Standard"/>
    <w:pPr>
      <w:suppressLineNumbers/>
      <w:tabs>
        <w:tab w:val="center" w:pos="4819"/>
        <w:tab w:val="right" w:pos="9638"/>
      </w:tabs>
    </w:pPr>
  </w:style>
  <w:style w:type="paragraph" w:styleId="Header">
    <w:name w:val="header"/>
    <w:basedOn w:val="Standard"/>
    <w:pPr>
      <w:suppressLineNumbers/>
      <w:tabs>
        <w:tab w:val="center" w:pos="4680"/>
        <w:tab w:val="right" w:pos="9360"/>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u w:val="none"/>
    </w:rPr>
  </w:style>
  <w:style w:type="character" w:customStyle="1" w:styleId="WW8Num2z1">
    <w:name w:val="WW8Num2z1"/>
    <w:rPr>
      <w:rFonts w:ascii="Wingdings 2" w:hAnsi="Wingdings 2" w:cs="Wingdings 2"/>
      <w:u w:val="none"/>
    </w:rPr>
  </w:style>
  <w:style w:type="character" w:customStyle="1" w:styleId="WW8Num2z2">
    <w:name w:val="WW8Num2z2"/>
    <w:rPr>
      <w:rFonts w:ascii="OpenSymbol, 'Arial Unicode MS'" w:hAnsi="OpenSymbol, 'Arial Unicode MS'" w:cs="OpenSymbol, 'Arial Unicode MS'"/>
      <w:u w:val="none"/>
    </w:rPr>
  </w:style>
  <w:style w:type="character" w:customStyle="1" w:styleId="ListLabel1">
    <w:name w:val="ListLabel 1"/>
    <w:rPr>
      <w:rFonts w:ascii="Times New Roman" w:hAnsi="Times New Roman" w:cs="Times New Roman"/>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Internetlink">
    <w:name w:val="Internet link"/>
    <w:rPr>
      <w:color w:val="000080"/>
      <w:u w:val="single"/>
      <w:lang w:val="en-GB" w:eastAsia="en-GB" w:bidi="en-GB"/>
    </w:rPr>
  </w:style>
  <w:style w:type="character" w:customStyle="1" w:styleId="Footnoteanchor">
    <w:name w:val="Footnote anchor"/>
    <w:rPr>
      <w:position w:val="0"/>
      <w:vertAlign w:val="superscript"/>
    </w:rPr>
  </w:style>
  <w:style w:type="character" w:customStyle="1" w:styleId="Nummerierungszeichen">
    <w:name w:val="Nummerierungszeichen"/>
  </w:style>
  <w:style w:type="character" w:customStyle="1" w:styleId="ListLabel10">
    <w:name w:val="ListLabel 10"/>
    <w:rPr>
      <w:rFonts w:ascii="Times New Roman" w:hAnsi="Times New Roman" w:cs="Wingdings"/>
      <w:u w:val="none"/>
    </w:rPr>
  </w:style>
  <w:style w:type="character" w:customStyle="1" w:styleId="ListLabel11">
    <w:name w:val="ListLabel 11"/>
    <w:rPr>
      <w:rFonts w:cs="Wingdings 2"/>
      <w:u w:val="none"/>
    </w:rPr>
  </w:style>
  <w:style w:type="character" w:customStyle="1" w:styleId="ListLabel12">
    <w:name w:val="ListLabel 12"/>
    <w:rPr>
      <w:rFonts w:cs="OpenSymbol, 'Arial Unicode MS'"/>
      <w:u w:val="none"/>
    </w:rPr>
  </w:style>
  <w:style w:type="character" w:customStyle="1" w:styleId="ListLabel13">
    <w:name w:val="ListLabel 13"/>
    <w:rPr>
      <w:rFonts w:cs="Wingdings"/>
      <w:u w:val="none"/>
    </w:rPr>
  </w:style>
  <w:style w:type="character" w:customStyle="1" w:styleId="ListLabel14">
    <w:name w:val="ListLabel 14"/>
    <w:rPr>
      <w:rFonts w:cs="Wingdings 2"/>
      <w:u w:val="none"/>
    </w:rPr>
  </w:style>
  <w:style w:type="character" w:customStyle="1" w:styleId="ListLabel15">
    <w:name w:val="ListLabel 15"/>
    <w:rPr>
      <w:rFonts w:cs="OpenSymbol, 'Arial Unicode MS'"/>
      <w:u w:val="none"/>
    </w:rPr>
  </w:style>
  <w:style w:type="character" w:customStyle="1" w:styleId="ListLabel16">
    <w:name w:val="ListLabel 16"/>
    <w:rPr>
      <w:rFonts w:cs="Wingdings"/>
      <w:u w:val="none"/>
    </w:rPr>
  </w:style>
  <w:style w:type="character" w:customStyle="1" w:styleId="ListLabel17">
    <w:name w:val="ListLabel 17"/>
    <w:rPr>
      <w:rFonts w:cs="Wingdings 2"/>
      <w:u w:val="none"/>
    </w:rPr>
  </w:style>
  <w:style w:type="character" w:customStyle="1" w:styleId="ListLabel18">
    <w:name w:val="ListLabel 18"/>
    <w:rPr>
      <w:rFonts w:cs="OpenSymbol, 'Arial Unicode MS'"/>
      <w:u w:val="none"/>
    </w:rPr>
  </w:style>
  <w:style w:type="character" w:customStyle="1" w:styleId="ListLabel19">
    <w:name w:val="ListLabel 19"/>
    <w:rPr>
      <w:rFonts w:ascii="Times New Roman" w:hAnsi="Times New Roman" w:cs="Wingdings"/>
      <w:u w:val="none"/>
    </w:rPr>
  </w:style>
  <w:style w:type="character" w:customStyle="1" w:styleId="ListLabel20">
    <w:name w:val="ListLabel 20"/>
    <w:rPr>
      <w:rFonts w:cs="Wingdings 2"/>
      <w:u w:val="none"/>
    </w:rPr>
  </w:style>
  <w:style w:type="character" w:customStyle="1" w:styleId="ListLabel21">
    <w:name w:val="ListLabel 21"/>
    <w:rPr>
      <w:rFonts w:cs="OpenSymbol, 'Arial Unicode MS'"/>
      <w:u w:val="none"/>
    </w:rPr>
  </w:style>
  <w:style w:type="character" w:customStyle="1" w:styleId="ListLabel22">
    <w:name w:val="ListLabel 22"/>
    <w:rPr>
      <w:rFonts w:cs="Wingdings"/>
      <w:u w:val="none"/>
    </w:rPr>
  </w:style>
  <w:style w:type="character" w:customStyle="1" w:styleId="ListLabel23">
    <w:name w:val="ListLabel 23"/>
    <w:rPr>
      <w:rFonts w:cs="Wingdings 2"/>
      <w:u w:val="none"/>
    </w:rPr>
  </w:style>
  <w:style w:type="character" w:customStyle="1" w:styleId="ListLabel24">
    <w:name w:val="ListLabel 24"/>
    <w:rPr>
      <w:rFonts w:cs="OpenSymbol, 'Arial Unicode MS'"/>
      <w:u w:val="none"/>
    </w:rPr>
  </w:style>
  <w:style w:type="character" w:customStyle="1" w:styleId="ListLabel25">
    <w:name w:val="ListLabel 25"/>
    <w:rPr>
      <w:rFonts w:cs="Wingdings"/>
      <w:u w:val="none"/>
    </w:rPr>
  </w:style>
  <w:style w:type="character" w:customStyle="1" w:styleId="ListLabel26">
    <w:name w:val="ListLabel 26"/>
    <w:rPr>
      <w:rFonts w:cs="Wingdings 2"/>
      <w:u w:val="none"/>
    </w:rPr>
  </w:style>
  <w:style w:type="character" w:customStyle="1" w:styleId="ListLabel27">
    <w:name w:val="ListLabel 27"/>
    <w:rPr>
      <w:rFonts w:cs="OpenSymbol, 'Arial Unicode MS'"/>
      <w:u w:val="none"/>
    </w:rPr>
  </w:style>
  <w:style w:type="character" w:customStyle="1" w:styleId="ListLabel28">
    <w:name w:val="ListLabel 28"/>
    <w:rPr>
      <w:rFonts w:cs="Wingdings"/>
      <w:u w:val="none"/>
    </w:rPr>
  </w:style>
  <w:style w:type="character" w:customStyle="1" w:styleId="ListLabel29">
    <w:name w:val="ListLabel 29"/>
    <w:rPr>
      <w:rFonts w:cs="Wingdings 2"/>
      <w:u w:val="none"/>
    </w:rPr>
  </w:style>
  <w:style w:type="character" w:customStyle="1" w:styleId="ListLabel30">
    <w:name w:val="ListLabel 30"/>
    <w:rPr>
      <w:rFonts w:cs="OpenSymbol, 'Arial Unicode MS'"/>
      <w:u w:val="none"/>
    </w:rPr>
  </w:style>
  <w:style w:type="character" w:customStyle="1" w:styleId="ListLabel31">
    <w:name w:val="ListLabel 31"/>
    <w:rPr>
      <w:rFonts w:cs="Wingdings"/>
      <w:u w:val="none"/>
    </w:rPr>
  </w:style>
  <w:style w:type="character" w:customStyle="1" w:styleId="ListLabel32">
    <w:name w:val="ListLabel 32"/>
    <w:rPr>
      <w:rFonts w:cs="Wingdings 2"/>
      <w:u w:val="none"/>
    </w:rPr>
  </w:style>
  <w:style w:type="character" w:customStyle="1" w:styleId="ListLabel33">
    <w:name w:val="ListLabel 33"/>
    <w:rPr>
      <w:rFonts w:cs="OpenSymbol, 'Arial Unicode MS'"/>
      <w:u w:val="none"/>
    </w:rPr>
  </w:style>
  <w:style w:type="character" w:customStyle="1" w:styleId="ListLabel34">
    <w:name w:val="ListLabel 34"/>
    <w:rPr>
      <w:rFonts w:cs="Wingdings"/>
      <w:u w:val="none"/>
    </w:rPr>
  </w:style>
  <w:style w:type="character" w:customStyle="1" w:styleId="ListLabel35">
    <w:name w:val="ListLabel 35"/>
    <w:rPr>
      <w:rFonts w:cs="Wingdings 2"/>
      <w:u w:val="none"/>
    </w:rPr>
  </w:style>
  <w:style w:type="character" w:customStyle="1" w:styleId="ListLabel36">
    <w:name w:val="ListLabel 36"/>
    <w:rPr>
      <w:rFonts w:cs="OpenSymbol, 'Arial Unicode MS'"/>
      <w:u w:val="none"/>
    </w:rPr>
  </w:style>
  <w:style w:type="character" w:customStyle="1" w:styleId="Betont">
    <w:name w:val="Betont"/>
    <w:rPr>
      <w:i/>
      <w:iCs/>
    </w:rPr>
  </w:style>
  <w:style w:type="character" w:customStyle="1" w:styleId="ListLabel37">
    <w:name w:val="ListLabel 37"/>
    <w:rPr>
      <w:rFonts w:ascii="Times New Roman" w:hAnsi="Times New Roman" w:cs="Wingdings"/>
      <w:u w:val="none"/>
    </w:rPr>
  </w:style>
  <w:style w:type="character" w:customStyle="1" w:styleId="ListLabel38">
    <w:name w:val="ListLabel 38"/>
    <w:rPr>
      <w:rFonts w:cs="Wingdings 2"/>
      <w:u w:val="none"/>
    </w:rPr>
  </w:style>
  <w:style w:type="character" w:customStyle="1" w:styleId="ListLabel39">
    <w:name w:val="ListLabel 39"/>
    <w:rPr>
      <w:rFonts w:cs="OpenSymbol, 'Arial Unicode MS'"/>
      <w:u w:val="none"/>
    </w:rPr>
  </w:style>
  <w:style w:type="character" w:customStyle="1" w:styleId="ListLabel40">
    <w:name w:val="ListLabel 40"/>
    <w:rPr>
      <w:rFonts w:cs="Wingdings"/>
      <w:u w:val="none"/>
    </w:rPr>
  </w:style>
  <w:style w:type="character" w:customStyle="1" w:styleId="ListLabel41">
    <w:name w:val="ListLabel 41"/>
    <w:rPr>
      <w:rFonts w:cs="Wingdings 2"/>
      <w:u w:val="none"/>
    </w:rPr>
  </w:style>
  <w:style w:type="character" w:customStyle="1" w:styleId="ListLabel42">
    <w:name w:val="ListLabel 42"/>
    <w:rPr>
      <w:rFonts w:cs="OpenSymbol, 'Arial Unicode MS'"/>
      <w:u w:val="none"/>
    </w:rPr>
  </w:style>
  <w:style w:type="character" w:customStyle="1" w:styleId="ListLabel43">
    <w:name w:val="ListLabel 43"/>
    <w:rPr>
      <w:rFonts w:cs="Wingdings"/>
      <w:u w:val="none"/>
    </w:rPr>
  </w:style>
  <w:style w:type="character" w:customStyle="1" w:styleId="ListLabel44">
    <w:name w:val="ListLabel 44"/>
    <w:rPr>
      <w:rFonts w:cs="Wingdings 2"/>
      <w:u w:val="none"/>
    </w:rPr>
  </w:style>
  <w:style w:type="character" w:customStyle="1" w:styleId="ListLabel45">
    <w:name w:val="ListLabel 45"/>
    <w:rPr>
      <w:rFonts w:cs="OpenSymbol, 'Arial Unicode MS'"/>
      <w:u w:val="none"/>
    </w:rPr>
  </w:style>
  <w:style w:type="character" w:customStyle="1" w:styleId="ListLabel46">
    <w:name w:val="ListLabel 46"/>
    <w:rPr>
      <w:rFonts w:cs="Wingdings"/>
      <w:u w:val="none"/>
    </w:rPr>
  </w:style>
  <w:style w:type="character" w:customStyle="1" w:styleId="ListLabel47">
    <w:name w:val="ListLabel 47"/>
    <w:rPr>
      <w:rFonts w:cs="Wingdings 2"/>
      <w:u w:val="none"/>
    </w:rPr>
  </w:style>
  <w:style w:type="character" w:customStyle="1" w:styleId="ListLabel48">
    <w:name w:val="ListLabel 48"/>
    <w:rPr>
      <w:rFonts w:cs="OpenSymbol, 'Arial Unicode MS'"/>
      <w:u w:val="none"/>
    </w:rPr>
  </w:style>
  <w:style w:type="character" w:customStyle="1" w:styleId="ListLabel49">
    <w:name w:val="ListLabel 49"/>
    <w:rPr>
      <w:rFonts w:cs="Wingdings"/>
      <w:u w:val="none"/>
    </w:rPr>
  </w:style>
  <w:style w:type="character" w:customStyle="1" w:styleId="ListLabel50">
    <w:name w:val="ListLabel 50"/>
    <w:rPr>
      <w:rFonts w:cs="Wingdings 2"/>
      <w:u w:val="none"/>
    </w:rPr>
  </w:style>
  <w:style w:type="character" w:customStyle="1" w:styleId="ListLabel51">
    <w:name w:val="ListLabel 51"/>
    <w:rPr>
      <w:rFonts w:cs="OpenSymbol, 'Arial Unicode MS'"/>
      <w:u w:val="none"/>
    </w:rPr>
  </w:style>
  <w:style w:type="character" w:customStyle="1" w:styleId="ListLabel52">
    <w:name w:val="ListLabel 52"/>
    <w:rPr>
      <w:rFonts w:cs="Wingdings"/>
      <w:u w:val="none"/>
    </w:rPr>
  </w:style>
  <w:style w:type="character" w:customStyle="1" w:styleId="ListLabel53">
    <w:name w:val="ListLabel 53"/>
    <w:rPr>
      <w:rFonts w:cs="Wingdings 2"/>
      <w:u w:val="none"/>
    </w:rPr>
  </w:style>
  <w:style w:type="character" w:customStyle="1" w:styleId="ListLabel54">
    <w:name w:val="ListLabel 54"/>
    <w:rPr>
      <w:rFonts w:cs="OpenSymbol, 'Arial Unicode MS'"/>
      <w:u w:val="none"/>
    </w:rPr>
  </w:style>
  <w:style w:type="character" w:customStyle="1" w:styleId="ListLabel55">
    <w:name w:val="ListLabel 55"/>
    <w:rPr>
      <w:rFonts w:ascii="Times New Roman" w:hAnsi="Times New Roman" w:cs="Wingdings"/>
      <w:u w:val="none"/>
    </w:rPr>
  </w:style>
  <w:style w:type="character" w:customStyle="1" w:styleId="ListLabel56">
    <w:name w:val="ListLabel 56"/>
    <w:rPr>
      <w:rFonts w:cs="Wingdings 2"/>
      <w:u w:val="none"/>
    </w:rPr>
  </w:style>
  <w:style w:type="character" w:customStyle="1" w:styleId="ListLabel57">
    <w:name w:val="ListLabel 57"/>
    <w:rPr>
      <w:rFonts w:cs="OpenSymbol, 'Arial Unicode MS'"/>
      <w:u w:val="none"/>
    </w:rPr>
  </w:style>
  <w:style w:type="character" w:customStyle="1" w:styleId="ListLabel58">
    <w:name w:val="ListLabel 58"/>
    <w:rPr>
      <w:rFonts w:cs="Wingdings"/>
      <w:u w:val="none"/>
    </w:rPr>
  </w:style>
  <w:style w:type="character" w:customStyle="1" w:styleId="ListLabel59">
    <w:name w:val="ListLabel 59"/>
    <w:rPr>
      <w:rFonts w:cs="Wingdings 2"/>
      <w:u w:val="none"/>
    </w:rPr>
  </w:style>
  <w:style w:type="character" w:customStyle="1" w:styleId="ListLabel60">
    <w:name w:val="ListLabel 60"/>
    <w:rPr>
      <w:rFonts w:cs="OpenSymbol, 'Arial Unicode MS'"/>
      <w:u w:val="none"/>
    </w:rPr>
  </w:style>
  <w:style w:type="character" w:customStyle="1" w:styleId="ListLabel61">
    <w:name w:val="ListLabel 61"/>
    <w:rPr>
      <w:rFonts w:cs="Wingdings"/>
      <w:u w:val="none"/>
    </w:rPr>
  </w:style>
  <w:style w:type="character" w:customStyle="1" w:styleId="ListLabel62">
    <w:name w:val="ListLabel 62"/>
    <w:rPr>
      <w:rFonts w:cs="Wingdings 2"/>
      <w:u w:val="none"/>
    </w:rPr>
  </w:style>
  <w:style w:type="character" w:customStyle="1" w:styleId="ListLabel63">
    <w:name w:val="ListLabel 63"/>
    <w:rPr>
      <w:rFonts w:cs="OpenSymbol, 'Arial Unicode MS'"/>
      <w:u w:val="none"/>
    </w:rPr>
  </w:style>
  <w:style w:type="character" w:customStyle="1" w:styleId="ListLabel64">
    <w:name w:val="ListLabel 64"/>
    <w:rPr>
      <w:rFonts w:cs="Wingdings"/>
      <w:u w:val="none"/>
    </w:rPr>
  </w:style>
  <w:style w:type="character" w:customStyle="1" w:styleId="ListLabel65">
    <w:name w:val="ListLabel 65"/>
    <w:rPr>
      <w:rFonts w:cs="Wingdings 2"/>
      <w:u w:val="none"/>
    </w:rPr>
  </w:style>
  <w:style w:type="character" w:customStyle="1" w:styleId="ListLabel66">
    <w:name w:val="ListLabel 66"/>
    <w:rPr>
      <w:rFonts w:cs="OpenSymbol, 'Arial Unicode MS'"/>
      <w:u w:val="none"/>
    </w:rPr>
  </w:style>
  <w:style w:type="character" w:customStyle="1" w:styleId="ListLabel67">
    <w:name w:val="ListLabel 67"/>
    <w:rPr>
      <w:rFonts w:cs="Wingdings"/>
      <w:u w:val="none"/>
    </w:rPr>
  </w:style>
  <w:style w:type="character" w:customStyle="1" w:styleId="ListLabel68">
    <w:name w:val="ListLabel 68"/>
    <w:rPr>
      <w:rFonts w:cs="Wingdings 2"/>
      <w:u w:val="none"/>
    </w:rPr>
  </w:style>
  <w:style w:type="character" w:customStyle="1" w:styleId="ListLabel69">
    <w:name w:val="ListLabel 69"/>
    <w:rPr>
      <w:rFonts w:cs="OpenSymbol, 'Arial Unicode MS'"/>
      <w:u w:val="none"/>
    </w:rPr>
  </w:style>
  <w:style w:type="character" w:customStyle="1" w:styleId="ListLabel70">
    <w:name w:val="ListLabel 70"/>
    <w:rPr>
      <w:rFonts w:cs="Wingdings"/>
      <w:u w:val="none"/>
    </w:rPr>
  </w:style>
  <w:style w:type="character" w:customStyle="1" w:styleId="ListLabel71">
    <w:name w:val="ListLabel 71"/>
    <w:rPr>
      <w:rFonts w:cs="Wingdings 2"/>
      <w:u w:val="none"/>
    </w:rPr>
  </w:style>
  <w:style w:type="character" w:customStyle="1" w:styleId="ListLabel72">
    <w:name w:val="ListLabel 72"/>
    <w:rPr>
      <w:rFonts w:cs="OpenSymbol, 'Arial Unicode MS'"/>
      <w:u w:val="none"/>
    </w:rPr>
  </w:style>
  <w:style w:type="character" w:customStyle="1" w:styleId="Internetlink0">
    <w:name w:val="Internetlink"/>
    <w:rPr>
      <w:color w:val="000080"/>
      <w:u w:val="single"/>
      <w:lang w:val="en-GB" w:eastAsia="en-GB" w:bidi="en-GB"/>
    </w:rPr>
  </w:style>
  <w:style w:type="character" w:customStyle="1" w:styleId="ListLabel73">
    <w:name w:val="ListLabel 73"/>
    <w:rPr>
      <w:rFonts w:ascii="Times New Roman" w:hAnsi="Times New Roman" w:cs="Wingdings"/>
      <w:u w:val="none"/>
    </w:rPr>
  </w:style>
  <w:style w:type="character" w:customStyle="1" w:styleId="ListLabel74">
    <w:name w:val="ListLabel 74"/>
    <w:rPr>
      <w:rFonts w:cs="Wingdings 2"/>
      <w:u w:val="none"/>
    </w:rPr>
  </w:style>
  <w:style w:type="character" w:customStyle="1" w:styleId="ListLabel75">
    <w:name w:val="ListLabel 75"/>
    <w:rPr>
      <w:rFonts w:cs="OpenSymbol, 'Arial Unicode MS'"/>
      <w:u w:val="none"/>
    </w:rPr>
  </w:style>
  <w:style w:type="character" w:customStyle="1" w:styleId="ListLabel76">
    <w:name w:val="ListLabel 76"/>
    <w:rPr>
      <w:rFonts w:cs="Wingdings"/>
      <w:u w:val="none"/>
    </w:rPr>
  </w:style>
  <w:style w:type="character" w:customStyle="1" w:styleId="ListLabel77">
    <w:name w:val="ListLabel 77"/>
    <w:rPr>
      <w:rFonts w:cs="Wingdings 2"/>
      <w:u w:val="none"/>
    </w:rPr>
  </w:style>
  <w:style w:type="character" w:customStyle="1" w:styleId="ListLabel78">
    <w:name w:val="ListLabel 78"/>
    <w:rPr>
      <w:rFonts w:cs="OpenSymbol, 'Arial Unicode MS'"/>
      <w:u w:val="none"/>
    </w:rPr>
  </w:style>
  <w:style w:type="character" w:customStyle="1" w:styleId="ListLabel79">
    <w:name w:val="ListLabel 79"/>
    <w:rPr>
      <w:rFonts w:cs="Wingdings"/>
      <w:u w:val="none"/>
    </w:rPr>
  </w:style>
  <w:style w:type="character" w:customStyle="1" w:styleId="ListLabel80">
    <w:name w:val="ListLabel 80"/>
    <w:rPr>
      <w:rFonts w:cs="Wingdings 2"/>
      <w:u w:val="none"/>
    </w:rPr>
  </w:style>
  <w:style w:type="character" w:customStyle="1" w:styleId="ListLabel81">
    <w:name w:val="ListLabel 81"/>
    <w:rPr>
      <w:rFonts w:cs="OpenSymbol, 'Arial Unicode MS'"/>
      <w:u w:val="none"/>
    </w:rPr>
  </w:style>
  <w:style w:type="character" w:customStyle="1" w:styleId="ListLabel82">
    <w:name w:val="ListLabel 82"/>
    <w:rPr>
      <w:rFonts w:cs="Wingdings"/>
      <w:u w:val="none"/>
    </w:rPr>
  </w:style>
  <w:style w:type="character" w:customStyle="1" w:styleId="ListLabel83">
    <w:name w:val="ListLabel 83"/>
    <w:rPr>
      <w:rFonts w:cs="Wingdings 2"/>
      <w:u w:val="none"/>
    </w:rPr>
  </w:style>
  <w:style w:type="character" w:customStyle="1" w:styleId="ListLabel84">
    <w:name w:val="ListLabel 84"/>
    <w:rPr>
      <w:rFonts w:cs="OpenSymbol, 'Arial Unicode MS'"/>
      <w:u w:val="none"/>
    </w:rPr>
  </w:style>
  <w:style w:type="character" w:customStyle="1" w:styleId="ListLabel85">
    <w:name w:val="ListLabel 85"/>
    <w:rPr>
      <w:rFonts w:cs="Wingdings"/>
      <w:u w:val="none"/>
    </w:rPr>
  </w:style>
  <w:style w:type="character" w:customStyle="1" w:styleId="ListLabel86">
    <w:name w:val="ListLabel 86"/>
    <w:rPr>
      <w:rFonts w:cs="Wingdings 2"/>
      <w:u w:val="none"/>
    </w:rPr>
  </w:style>
  <w:style w:type="character" w:customStyle="1" w:styleId="ListLabel87">
    <w:name w:val="ListLabel 87"/>
    <w:rPr>
      <w:rFonts w:cs="OpenSymbol, 'Arial Unicode MS'"/>
      <w:u w:val="none"/>
    </w:rPr>
  </w:style>
  <w:style w:type="character" w:customStyle="1" w:styleId="ListLabel88">
    <w:name w:val="ListLabel 88"/>
    <w:rPr>
      <w:rFonts w:cs="Wingdings"/>
      <w:u w:val="none"/>
    </w:rPr>
  </w:style>
  <w:style w:type="character" w:customStyle="1" w:styleId="ListLabel89">
    <w:name w:val="ListLabel 89"/>
    <w:rPr>
      <w:rFonts w:cs="Wingdings 2"/>
      <w:u w:val="none"/>
    </w:rPr>
  </w:style>
  <w:style w:type="character" w:customStyle="1" w:styleId="ListLabel90">
    <w:name w:val="ListLabel 90"/>
    <w:rPr>
      <w:rFonts w:cs="OpenSymbol, 'Arial Unicode MS'"/>
      <w:u w:val="none"/>
    </w:rPr>
  </w:style>
  <w:style w:type="character" w:customStyle="1" w:styleId="ListLabel91">
    <w:name w:val="ListLabel 91"/>
    <w:rPr>
      <w:rFonts w:cs="Wingdings"/>
      <w:u w:val="none"/>
    </w:rPr>
  </w:style>
  <w:style w:type="character" w:customStyle="1" w:styleId="ListLabel92">
    <w:name w:val="ListLabel 92"/>
    <w:rPr>
      <w:rFonts w:cs="Wingdings 2"/>
      <w:u w:val="none"/>
    </w:rPr>
  </w:style>
  <w:style w:type="character" w:customStyle="1" w:styleId="ListLabel93">
    <w:name w:val="ListLabel 93"/>
    <w:rPr>
      <w:rFonts w:cs="OpenSymbol, 'Arial Unicode MS'"/>
      <w:u w:val="no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styleId="Hyperlink">
    <w:name w:val="Hyperlink"/>
    <w:basedOn w:val="DefaultParagraphFont"/>
    <w:uiPriority w:val="99"/>
    <w:semiHidden/>
    <w:unhideWhenUsed/>
    <w:rsid w:val="001A1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uffingtonpost.com/eden-kozlowski/mindfulness-and-religion_b_3224505.html"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dx.doi.org/10.1136/medethics-2017-104201"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accesstoinsight.org/tipitaka/mn/mn.010.than.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7553</Words>
  <Characters>43056</Characters>
  <Application>Microsoft Office Word</Application>
  <DocSecurity>0</DocSecurity>
  <Lines>358</Lines>
  <Paragraphs>101</Paragraphs>
  <ScaleCrop>false</ScaleCrop>
  <Company/>
  <LinksUpToDate>false</LinksUpToDate>
  <CharactersWithSpaces>50508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Merry</cp:lastModifiedBy>
  <cp:revision>2</cp:revision>
  <cp:lastPrinted>2017-09-27T13:16:00Z</cp:lastPrinted>
  <dcterms:created xsi:type="dcterms:W3CDTF">2019-08-01T10:42:00Z</dcterms:created>
  <dcterms:modified xsi:type="dcterms:W3CDTF">2019-08-01T10:42:00Z</dcterms:modified>
</cp:coreProperties>
</file>