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2296" w14:textId="77777777" w:rsidR="006F0E42" w:rsidRDefault="006F0E42">
      <w:pPr>
        <w:pBdr>
          <w:top w:val="nil"/>
          <w:left w:val="nil"/>
          <w:bottom w:val="nil"/>
          <w:right w:val="nil"/>
          <w:between w:val="nil"/>
        </w:pBdr>
        <w:spacing w:before="1540" w:after="240" w:line="240" w:lineRule="auto"/>
        <w:jc w:val="center"/>
        <w:rPr>
          <w:rFonts w:ascii="Cambria" w:eastAsia="Cambria" w:hAnsi="Cambria" w:cs="Cambria"/>
          <w:color w:val="4F81BD"/>
        </w:rPr>
      </w:pPr>
      <w:bookmarkStart w:id="0" w:name="_Hlk83890267"/>
    </w:p>
    <w:p w14:paraId="111CB8FD" w14:textId="4D12E8E9" w:rsidR="00965727" w:rsidRDefault="000A40CF">
      <w:pPr>
        <w:pBdr>
          <w:top w:val="nil"/>
          <w:left w:val="nil"/>
          <w:bottom w:val="nil"/>
          <w:right w:val="nil"/>
          <w:between w:val="nil"/>
        </w:pBdr>
        <w:spacing w:before="1540" w:after="240" w:line="240" w:lineRule="auto"/>
        <w:jc w:val="center"/>
        <w:rPr>
          <w:rFonts w:ascii="Cambria" w:eastAsia="Cambria" w:hAnsi="Cambria" w:cs="Cambria"/>
          <w:color w:val="4F81BD"/>
        </w:rPr>
      </w:pPr>
      <w:r>
        <w:rPr>
          <w:rFonts w:ascii="Cambria" w:eastAsia="Cambria" w:hAnsi="Cambria" w:cs="Cambria"/>
          <w:noProof/>
          <w:color w:val="4F81BD"/>
        </w:rPr>
        <w:drawing>
          <wp:inline distT="0" distB="0" distL="0" distR="0" wp14:anchorId="21138D45" wp14:editId="061F480B">
            <wp:extent cx="1417320" cy="750898"/>
            <wp:effectExtent l="0" t="0" r="0" b="0"/>
            <wp:docPr id="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17320" cy="750898"/>
                    </a:xfrm>
                    <a:prstGeom prst="rect">
                      <a:avLst/>
                    </a:prstGeom>
                    <a:ln/>
                  </pic:spPr>
                </pic:pic>
              </a:graphicData>
            </a:graphic>
          </wp:inline>
        </w:drawing>
      </w:r>
    </w:p>
    <w:p w14:paraId="15F16A60" w14:textId="77777777" w:rsidR="00965727" w:rsidRDefault="000A40CF">
      <w:pPr>
        <w:pBdr>
          <w:top w:val="single" w:sz="6" w:space="6" w:color="4F81BD"/>
          <w:left w:val="nil"/>
          <w:bottom w:val="single" w:sz="6" w:space="6" w:color="4F81BD"/>
          <w:right w:val="nil"/>
          <w:between w:val="nil"/>
        </w:pBdr>
        <w:spacing w:after="240" w:line="240" w:lineRule="auto"/>
        <w:jc w:val="center"/>
        <w:rPr>
          <w:rFonts w:ascii="Calibri" w:eastAsia="Calibri" w:hAnsi="Calibri" w:cs="Calibri"/>
          <w:smallCaps/>
          <w:color w:val="4F81BD"/>
          <w:sz w:val="40"/>
          <w:szCs w:val="40"/>
        </w:rPr>
      </w:pPr>
      <w:r>
        <w:rPr>
          <w:rFonts w:ascii="Calibri" w:eastAsia="Calibri" w:hAnsi="Calibri" w:cs="Calibri"/>
          <w:smallCaps/>
          <w:color w:val="4F81BD"/>
          <w:sz w:val="40"/>
          <w:szCs w:val="40"/>
        </w:rPr>
        <w:t>ADMINISTRACIÓN DEL FONDO DE EMERGENCIAS EN COLOMBIA PARA LA PROTECCIÓN DEL EMPLEO Y ACTIVIDAD ECONÓMICA DURANTE LA ACTUAL CRISIS SANITARIA</w:t>
      </w:r>
    </w:p>
    <w:p w14:paraId="698A9BA5" w14:textId="77777777" w:rsidR="00965727" w:rsidRDefault="000A40CF">
      <w:pPr>
        <w:pBdr>
          <w:top w:val="nil"/>
          <w:left w:val="nil"/>
          <w:bottom w:val="nil"/>
          <w:right w:val="nil"/>
          <w:between w:val="nil"/>
        </w:pBdr>
        <w:spacing w:line="240" w:lineRule="auto"/>
        <w:jc w:val="center"/>
        <w:rPr>
          <w:rFonts w:ascii="Cambria" w:eastAsia="Cambria" w:hAnsi="Cambria" w:cs="Cambria"/>
          <w:color w:val="4F81BD"/>
          <w:sz w:val="28"/>
          <w:szCs w:val="28"/>
        </w:rPr>
      </w:pPr>
      <w:r>
        <w:rPr>
          <w:rFonts w:ascii="Cambria" w:eastAsia="Cambria" w:hAnsi="Cambria" w:cs="Cambria"/>
          <w:color w:val="4F81BD"/>
          <w:sz w:val="28"/>
          <w:szCs w:val="28"/>
        </w:rPr>
        <w:t xml:space="preserve">Aldana Sánchez Rafael                                                                                                </w:t>
      </w:r>
      <w:r>
        <w:rPr>
          <w:rFonts w:ascii="Cambria" w:eastAsia="Cambria" w:hAnsi="Cambria" w:cs="Cambria"/>
          <w:color w:val="4F81BD"/>
          <w:sz w:val="28"/>
          <w:szCs w:val="28"/>
        </w:rPr>
        <w:t xml:space="preserve">    Doria Rodríguez José David                                                                                                               García Bonilla David</w:t>
      </w:r>
    </w:p>
    <w:p w14:paraId="058200AE" w14:textId="12E06CC5" w:rsidR="00965727" w:rsidRDefault="000A40CF">
      <w:pPr>
        <w:pBdr>
          <w:top w:val="nil"/>
          <w:left w:val="nil"/>
          <w:bottom w:val="nil"/>
          <w:right w:val="nil"/>
          <w:between w:val="nil"/>
        </w:pBdr>
        <w:spacing w:before="480" w:line="240" w:lineRule="auto"/>
        <w:jc w:val="center"/>
        <w:rPr>
          <w:rFonts w:ascii="Cambria" w:eastAsia="Cambria" w:hAnsi="Cambria" w:cs="Cambria"/>
          <w:color w:val="4F81BD"/>
        </w:rPr>
      </w:pPr>
      <w:r>
        <w:rPr>
          <w:rFonts w:ascii="Cambria" w:eastAsia="Cambria" w:hAnsi="Cambria" w:cs="Cambria"/>
          <w:noProof/>
          <w:color w:val="4F81BD"/>
        </w:rPr>
        <w:drawing>
          <wp:inline distT="0" distB="0" distL="0" distR="0" wp14:anchorId="5701F18E" wp14:editId="00FBBCE1">
            <wp:extent cx="758952" cy="478932"/>
            <wp:effectExtent l="0" t="0" r="0" b="0"/>
            <wp:docPr id="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8952" cy="478932"/>
                    </a:xfrm>
                    <a:prstGeom prst="rect">
                      <a:avLst/>
                    </a:prstGeom>
                    <a:ln/>
                  </pic:spPr>
                </pic:pic>
              </a:graphicData>
            </a:graphic>
          </wp:inline>
        </w:drawing>
      </w:r>
    </w:p>
    <w:p w14:paraId="6760D0BA" w14:textId="46B98155" w:rsidR="00965727" w:rsidRDefault="006F0E42">
      <w:pPr>
        <w:jc w:val="center"/>
        <w:rPr>
          <w:sz w:val="24"/>
          <w:szCs w:val="24"/>
        </w:rPr>
      </w:pPr>
      <w:r>
        <w:rPr>
          <w:rFonts w:ascii="Cambria" w:eastAsia="Cambria" w:hAnsi="Cambria" w:cs="Cambria"/>
          <w:noProof/>
          <w:color w:val="4F81BD"/>
        </w:rPr>
        <mc:AlternateContent>
          <mc:Choice Requires="wps">
            <w:drawing>
              <wp:anchor distT="0" distB="0" distL="114300" distR="114300" simplePos="0" relativeHeight="251658240" behindDoc="0" locked="0" layoutInCell="1" hidden="0" allowOverlap="1" wp14:anchorId="791B7568" wp14:editId="2E8F64FF">
                <wp:simplePos x="0" y="0"/>
                <wp:positionH relativeFrom="margin">
                  <wp:posOffset>-419735</wp:posOffset>
                </wp:positionH>
                <wp:positionV relativeFrom="page">
                  <wp:posOffset>8642918</wp:posOffset>
                </wp:positionV>
                <wp:extent cx="6572250" cy="676275"/>
                <wp:effectExtent l="0" t="0" r="0" b="0"/>
                <wp:wrapNone/>
                <wp:docPr id="148" name="Rectángulo 148"/>
                <wp:cNvGraphicFramePr/>
                <a:graphic xmlns:a="http://schemas.openxmlformats.org/drawingml/2006/main">
                  <a:graphicData uri="http://schemas.microsoft.com/office/word/2010/wordprocessingShape">
                    <wps:wsp>
                      <wps:cNvSpPr/>
                      <wps:spPr>
                        <a:xfrm>
                          <a:off x="0" y="0"/>
                          <a:ext cx="6572250" cy="676275"/>
                        </a:xfrm>
                        <a:prstGeom prst="rect">
                          <a:avLst/>
                        </a:prstGeom>
                        <a:noFill/>
                        <a:ln>
                          <a:noFill/>
                        </a:ln>
                      </wps:spPr>
                      <wps:txbx>
                        <w:txbxContent>
                          <w:p w14:paraId="7A2E9FD7" w14:textId="77777777" w:rsidR="00965727" w:rsidRDefault="000A40CF">
                            <w:pPr>
                              <w:spacing w:after="40" w:line="240" w:lineRule="auto"/>
                              <w:jc w:val="center"/>
                              <w:textDirection w:val="btLr"/>
                            </w:pPr>
                            <w:r>
                              <w:rPr>
                                <w:rFonts w:ascii="Cambria" w:eastAsia="Cambria" w:hAnsi="Cambria" w:cs="Cambria"/>
                                <w:smallCaps/>
                                <w:color w:val="4F81BD"/>
                                <w:sz w:val="28"/>
                              </w:rPr>
                              <w:t>30 DE SEPTIEMBRE DE 2021</w:t>
                            </w:r>
                          </w:p>
                          <w:p w14:paraId="69B706FF" w14:textId="77777777" w:rsidR="00965727" w:rsidRDefault="000A40CF">
                            <w:pPr>
                              <w:spacing w:line="240" w:lineRule="auto"/>
                              <w:jc w:val="center"/>
                              <w:textDirection w:val="btLr"/>
                            </w:pPr>
                            <w:r>
                              <w:rPr>
                                <w:rFonts w:ascii="Cambria" w:eastAsia="Cambria" w:hAnsi="Cambria" w:cs="Cambria"/>
                                <w:smallCaps/>
                                <w:color w:val="4F81BD"/>
                                <w:sz w:val="28"/>
                              </w:rPr>
                              <w:t>UNIVERSIDAD COLEGIO MAYOR DE CUNDINAMARCA</w:t>
                            </w:r>
                          </w:p>
                          <w:p w14:paraId="2D944346" w14:textId="2DD12F5E" w:rsidR="00965727" w:rsidRDefault="006F0E42">
                            <w:pPr>
                              <w:spacing w:line="240" w:lineRule="auto"/>
                              <w:jc w:val="center"/>
                              <w:textDirection w:val="btLr"/>
                            </w:pPr>
                            <w:r>
                              <w:rPr>
                                <w:rFonts w:ascii="Cambria" w:eastAsia="Cambria" w:hAnsi="Cambria" w:cs="Cambria"/>
                                <w:color w:val="4F81BD"/>
                                <w:sz w:val="28"/>
                              </w:rPr>
                              <w:t>TEORÍA POLÍTICA Y FISCAL</w:t>
                            </w:r>
                          </w:p>
                        </w:txbxContent>
                      </wps:txbx>
                      <wps:bodyPr spcFirstLastPara="1" wrap="square" lIns="0" tIns="0" rIns="0" bIns="0" anchor="b" anchorCtr="0">
                        <a:noAutofit/>
                      </wps:bodyPr>
                    </wps:wsp>
                  </a:graphicData>
                </a:graphic>
              </wp:anchor>
            </w:drawing>
          </mc:Choice>
          <mc:Fallback>
            <w:pict>
              <v:rect w14:anchorId="791B7568" id="Rectángulo 148" o:spid="_x0000_s1026" style="position:absolute;left:0;text-align:left;margin-left:-33.05pt;margin-top:680.55pt;width:517.5pt;height:53.25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" filled="f" stroked="f">
                <v:textbox inset="0,0,0,0">
                  <w:txbxContent>
                    <w:p w14:paraId="7A2E9FD7" w14:textId="77777777" w:rsidR="00965727" w:rsidRDefault="000A40CF">
                      <w:pPr>
                        <w:spacing w:after="40" w:line="240" w:lineRule="auto"/>
                        <w:jc w:val="center"/>
                        <w:textDirection w:val="btLr"/>
                      </w:pPr>
                      <w:r>
                        <w:rPr>
                          <w:rFonts w:ascii="Cambria" w:eastAsia="Cambria" w:hAnsi="Cambria" w:cs="Cambria"/>
                          <w:smallCaps/>
                          <w:color w:val="4F81BD"/>
                          <w:sz w:val="28"/>
                        </w:rPr>
                        <w:t>30 DE SEPTIEMBRE DE 2021</w:t>
                      </w:r>
                    </w:p>
                    <w:p w14:paraId="69B706FF" w14:textId="77777777" w:rsidR="00965727" w:rsidRDefault="000A40CF">
                      <w:pPr>
                        <w:spacing w:line="240" w:lineRule="auto"/>
                        <w:jc w:val="center"/>
                        <w:textDirection w:val="btLr"/>
                      </w:pPr>
                      <w:r>
                        <w:rPr>
                          <w:rFonts w:ascii="Cambria" w:eastAsia="Cambria" w:hAnsi="Cambria" w:cs="Cambria"/>
                          <w:smallCaps/>
                          <w:color w:val="4F81BD"/>
                          <w:sz w:val="28"/>
                        </w:rPr>
                        <w:t>UNIVERSIDAD COLEGIO MAYOR DE CUNDINAMARCA</w:t>
                      </w:r>
                    </w:p>
                    <w:p w14:paraId="2D944346" w14:textId="2DD12F5E" w:rsidR="00965727" w:rsidRDefault="006F0E42">
                      <w:pPr>
                        <w:spacing w:line="240" w:lineRule="auto"/>
                        <w:jc w:val="center"/>
                        <w:textDirection w:val="btLr"/>
                      </w:pPr>
                      <w:r>
                        <w:rPr>
                          <w:rFonts w:ascii="Cambria" w:eastAsia="Cambria" w:hAnsi="Cambria" w:cs="Cambria"/>
                          <w:color w:val="4F81BD"/>
                          <w:sz w:val="28"/>
                        </w:rPr>
                        <w:t>TEORÍA POLÍTICA Y FISCAL</w:t>
                      </w:r>
                    </w:p>
                  </w:txbxContent>
                </v:textbox>
                <w10:wrap anchorx="margin" anchory="page"/>
              </v:rect>
            </w:pict>
          </mc:Fallback>
        </mc:AlternateContent>
      </w:r>
      <w:r w:rsidR="000A40CF">
        <w:br w:type="page"/>
      </w:r>
    </w:p>
    <w:bookmarkEnd w:id="0" w:displacedByCustomXml="next"/>
    <w:sdt>
      <w:sdtPr>
        <w:rPr>
          <w:rFonts w:ascii="Times New Roman" w:hAnsi="Times New Roman" w:cs="Times New Roman"/>
          <w:sz w:val="24"/>
          <w:szCs w:val="24"/>
          <w:lang w:val="es-ES"/>
        </w:rPr>
        <w:id w:val="136076295"/>
        <w:docPartObj>
          <w:docPartGallery w:val="Table of Contents"/>
          <w:docPartUnique/>
        </w:docPartObj>
      </w:sdtPr>
      <w:sdtEndPr>
        <w:rPr>
          <w:rFonts w:eastAsia="Arial"/>
          <w:color w:val="auto"/>
        </w:rPr>
      </w:sdtEndPr>
      <w:sdtContent>
        <w:p w14:paraId="589C7E5F" w14:textId="704FE7BE" w:rsidR="008824B3" w:rsidRDefault="008824B3">
          <w:pPr>
            <w:pStyle w:val="TtuloTDC"/>
            <w:rPr>
              <w:rFonts w:ascii="Times New Roman" w:hAnsi="Times New Roman" w:cs="Times New Roman"/>
              <w:sz w:val="24"/>
              <w:szCs w:val="24"/>
              <w:lang w:val="es-ES"/>
            </w:rPr>
          </w:pPr>
          <w:r w:rsidRPr="008824B3">
            <w:rPr>
              <w:rFonts w:ascii="Times New Roman" w:hAnsi="Times New Roman" w:cs="Times New Roman"/>
              <w:sz w:val="24"/>
              <w:szCs w:val="24"/>
              <w:lang w:val="es-ES"/>
            </w:rPr>
            <w:t>Contenido</w:t>
          </w:r>
        </w:p>
        <w:p w14:paraId="447A54F1" w14:textId="77777777" w:rsidR="008824B3" w:rsidRPr="008824B3" w:rsidRDefault="008824B3" w:rsidP="008824B3">
          <w:pPr>
            <w:rPr>
              <w:lang w:val="es-ES"/>
            </w:rPr>
          </w:pPr>
        </w:p>
        <w:p w14:paraId="06A8E5DF" w14:textId="436D3F89" w:rsidR="008824B3" w:rsidRPr="008824B3" w:rsidRDefault="008824B3">
          <w:pPr>
            <w:pStyle w:val="TDC1"/>
            <w:rPr>
              <w:rFonts w:ascii="Times New Roman" w:hAnsi="Times New Roman" w:cs="Times New Roman"/>
              <w:sz w:val="24"/>
              <w:szCs w:val="24"/>
            </w:rPr>
          </w:pPr>
          <w:r w:rsidRPr="008824B3">
            <w:rPr>
              <w:rFonts w:ascii="Times New Roman" w:hAnsi="Times New Roman" w:cs="Times New Roman"/>
              <w:b/>
              <w:bCs/>
              <w:sz w:val="24"/>
              <w:szCs w:val="24"/>
            </w:rPr>
            <w:t>Introducción</w:t>
          </w:r>
          <w:r w:rsidRPr="008824B3">
            <w:rPr>
              <w:rFonts w:ascii="Times New Roman" w:hAnsi="Times New Roman" w:cs="Times New Roman"/>
              <w:sz w:val="24"/>
              <w:szCs w:val="24"/>
            </w:rPr>
            <w:ptab w:relativeTo="margin" w:alignment="right" w:leader="dot"/>
          </w:r>
          <w:r w:rsidRPr="008824B3">
            <w:rPr>
              <w:rFonts w:ascii="Times New Roman" w:hAnsi="Times New Roman" w:cs="Times New Roman"/>
              <w:b/>
              <w:bCs/>
              <w:sz w:val="24"/>
              <w:szCs w:val="24"/>
              <w:lang w:val="es-ES"/>
            </w:rPr>
            <w:t>1</w:t>
          </w:r>
        </w:p>
        <w:p w14:paraId="0F95D469" w14:textId="563737C0" w:rsidR="008824B3" w:rsidRPr="008824B3" w:rsidRDefault="008824B3" w:rsidP="008824B3">
          <w:pPr>
            <w:pStyle w:val="TDC1"/>
            <w:rPr>
              <w:rFonts w:ascii="Times New Roman" w:hAnsi="Times New Roman" w:cs="Times New Roman"/>
              <w:sz w:val="24"/>
              <w:szCs w:val="24"/>
            </w:rPr>
          </w:pPr>
          <w:r w:rsidRPr="008824B3">
            <w:rPr>
              <w:rFonts w:ascii="Times New Roman" w:hAnsi="Times New Roman" w:cs="Times New Roman"/>
              <w:b/>
              <w:bCs/>
              <w:sz w:val="24"/>
              <w:szCs w:val="24"/>
            </w:rPr>
            <w:t>Marco Teórico</w:t>
          </w:r>
          <w:r w:rsidRPr="008824B3">
            <w:rPr>
              <w:rFonts w:ascii="Times New Roman" w:hAnsi="Times New Roman" w:cs="Times New Roman"/>
              <w:sz w:val="24"/>
              <w:szCs w:val="24"/>
            </w:rPr>
            <w:ptab w:relativeTo="margin" w:alignment="right" w:leader="dot"/>
          </w:r>
          <w:r w:rsidRPr="008824B3">
            <w:rPr>
              <w:rFonts w:ascii="Times New Roman" w:hAnsi="Times New Roman" w:cs="Times New Roman"/>
              <w:b/>
              <w:bCs/>
              <w:sz w:val="24"/>
              <w:szCs w:val="24"/>
              <w:lang w:val="es-ES"/>
            </w:rPr>
            <w:t>1</w:t>
          </w:r>
        </w:p>
        <w:p w14:paraId="27341271" w14:textId="131F0E93" w:rsidR="008824B3" w:rsidRPr="008824B3" w:rsidRDefault="008824B3" w:rsidP="008824B3">
          <w:pPr>
            <w:pStyle w:val="TDC1"/>
            <w:rPr>
              <w:rFonts w:ascii="Times New Roman" w:hAnsi="Times New Roman" w:cs="Times New Roman"/>
              <w:sz w:val="24"/>
              <w:szCs w:val="24"/>
            </w:rPr>
          </w:pPr>
          <w:r w:rsidRPr="008824B3">
            <w:rPr>
              <w:rFonts w:ascii="Times New Roman" w:hAnsi="Times New Roman" w:cs="Times New Roman"/>
              <w:b/>
              <w:bCs/>
              <w:sz w:val="24"/>
              <w:szCs w:val="24"/>
            </w:rPr>
            <w:t>Metodología</w:t>
          </w:r>
          <w:r w:rsidRPr="008824B3">
            <w:rPr>
              <w:rFonts w:ascii="Times New Roman" w:hAnsi="Times New Roman" w:cs="Times New Roman"/>
              <w:sz w:val="24"/>
              <w:szCs w:val="24"/>
            </w:rPr>
            <w:ptab w:relativeTo="margin" w:alignment="right" w:leader="dot"/>
          </w:r>
          <w:r w:rsidRPr="008824B3">
            <w:rPr>
              <w:rFonts w:ascii="Times New Roman" w:hAnsi="Times New Roman" w:cs="Times New Roman"/>
              <w:b/>
              <w:bCs/>
              <w:sz w:val="24"/>
              <w:szCs w:val="24"/>
              <w:lang w:val="es-ES"/>
            </w:rPr>
            <w:t>1</w:t>
          </w:r>
        </w:p>
        <w:p w14:paraId="692A0ADA" w14:textId="0E62AB59" w:rsidR="008824B3" w:rsidRPr="008824B3" w:rsidRDefault="008824B3" w:rsidP="008824B3">
          <w:pPr>
            <w:pStyle w:val="TDC1"/>
            <w:rPr>
              <w:rFonts w:ascii="Times New Roman" w:hAnsi="Times New Roman" w:cs="Times New Roman"/>
              <w:sz w:val="24"/>
              <w:szCs w:val="24"/>
            </w:rPr>
          </w:pPr>
          <w:r w:rsidRPr="008824B3">
            <w:rPr>
              <w:rFonts w:ascii="Times New Roman" w:hAnsi="Times New Roman" w:cs="Times New Roman"/>
              <w:b/>
              <w:bCs/>
              <w:sz w:val="24"/>
              <w:szCs w:val="24"/>
            </w:rPr>
            <w:t>Revisión de la literatura</w:t>
          </w:r>
          <w:r w:rsidRPr="008824B3">
            <w:rPr>
              <w:rFonts w:ascii="Times New Roman" w:hAnsi="Times New Roman" w:cs="Times New Roman"/>
              <w:sz w:val="24"/>
              <w:szCs w:val="24"/>
            </w:rPr>
            <w:ptab w:relativeTo="margin" w:alignment="right" w:leader="dot"/>
          </w:r>
          <w:r w:rsidRPr="008824B3">
            <w:rPr>
              <w:rFonts w:ascii="Times New Roman" w:hAnsi="Times New Roman" w:cs="Times New Roman"/>
              <w:b/>
              <w:bCs/>
              <w:sz w:val="24"/>
              <w:szCs w:val="24"/>
              <w:lang w:val="es-ES"/>
            </w:rPr>
            <w:t>1</w:t>
          </w:r>
        </w:p>
        <w:p w14:paraId="13693D72" w14:textId="6907BD94" w:rsidR="008824B3" w:rsidRDefault="008824B3" w:rsidP="008824B3">
          <w:pPr>
            <w:pStyle w:val="TDC1"/>
          </w:pPr>
          <w:r w:rsidRPr="008824B3">
            <w:rPr>
              <w:rFonts w:ascii="Times New Roman" w:hAnsi="Times New Roman" w:cs="Times New Roman"/>
              <w:b/>
              <w:bCs/>
              <w:sz w:val="24"/>
              <w:szCs w:val="24"/>
            </w:rPr>
            <w:t>Bibliografía</w:t>
          </w:r>
          <w:r w:rsidRPr="008824B3">
            <w:rPr>
              <w:rFonts w:ascii="Times New Roman" w:hAnsi="Times New Roman" w:cs="Times New Roman"/>
              <w:sz w:val="24"/>
              <w:szCs w:val="24"/>
            </w:rPr>
            <w:ptab w:relativeTo="margin" w:alignment="right" w:leader="dot"/>
          </w:r>
          <w:r w:rsidRPr="008824B3">
            <w:rPr>
              <w:rFonts w:ascii="Times New Roman" w:hAnsi="Times New Roman" w:cs="Times New Roman"/>
              <w:b/>
              <w:bCs/>
              <w:sz w:val="24"/>
              <w:szCs w:val="24"/>
              <w:lang w:val="es-ES"/>
            </w:rPr>
            <w:t>1</w:t>
          </w:r>
        </w:p>
      </w:sdtContent>
    </w:sdt>
    <w:p w14:paraId="28374B38" w14:textId="788A6631" w:rsidR="008824B3" w:rsidRPr="008824B3" w:rsidRDefault="008824B3">
      <w:pPr>
        <w:rPr>
          <w:lang w:val="es-CO"/>
        </w:rPr>
      </w:pPr>
    </w:p>
    <w:p w14:paraId="7525AB4D" w14:textId="0176115B" w:rsidR="00965727" w:rsidRDefault="00965727">
      <w:pPr>
        <w:spacing w:line="480" w:lineRule="auto"/>
        <w:rPr>
          <w:rFonts w:ascii="Times New Roman" w:eastAsia="Times New Roman" w:hAnsi="Times New Roman" w:cs="Times New Roman"/>
          <w:sz w:val="24"/>
          <w:szCs w:val="24"/>
        </w:rPr>
      </w:pPr>
    </w:p>
    <w:p w14:paraId="4129904D" w14:textId="77777777" w:rsidR="00965727" w:rsidRDefault="00965727">
      <w:pPr>
        <w:spacing w:line="480" w:lineRule="auto"/>
        <w:jc w:val="center"/>
        <w:rPr>
          <w:rFonts w:ascii="Times New Roman" w:eastAsia="Times New Roman" w:hAnsi="Times New Roman" w:cs="Times New Roman"/>
          <w:sz w:val="24"/>
          <w:szCs w:val="24"/>
        </w:rPr>
      </w:pPr>
    </w:p>
    <w:p w14:paraId="7291A007" w14:textId="77777777" w:rsidR="00965727" w:rsidRDefault="00965727">
      <w:pPr>
        <w:spacing w:line="480" w:lineRule="auto"/>
        <w:jc w:val="center"/>
        <w:rPr>
          <w:rFonts w:ascii="Times New Roman" w:eastAsia="Times New Roman" w:hAnsi="Times New Roman" w:cs="Times New Roman"/>
          <w:sz w:val="24"/>
          <w:szCs w:val="24"/>
        </w:rPr>
      </w:pPr>
    </w:p>
    <w:p w14:paraId="57B52660" w14:textId="77777777" w:rsidR="00965727" w:rsidRDefault="00965727">
      <w:pPr>
        <w:spacing w:line="480" w:lineRule="auto"/>
        <w:jc w:val="center"/>
        <w:rPr>
          <w:rFonts w:ascii="Times New Roman" w:eastAsia="Times New Roman" w:hAnsi="Times New Roman" w:cs="Times New Roman"/>
          <w:sz w:val="24"/>
          <w:szCs w:val="24"/>
        </w:rPr>
      </w:pPr>
    </w:p>
    <w:p w14:paraId="5B8E1833" w14:textId="77777777" w:rsidR="00965727" w:rsidRDefault="00965727">
      <w:pPr>
        <w:spacing w:line="480" w:lineRule="auto"/>
        <w:jc w:val="center"/>
        <w:rPr>
          <w:rFonts w:ascii="Times New Roman" w:eastAsia="Times New Roman" w:hAnsi="Times New Roman" w:cs="Times New Roman"/>
          <w:sz w:val="24"/>
          <w:szCs w:val="24"/>
        </w:rPr>
      </w:pPr>
    </w:p>
    <w:p w14:paraId="754348DF" w14:textId="77777777" w:rsidR="00965727" w:rsidRDefault="00965727">
      <w:pPr>
        <w:spacing w:line="480" w:lineRule="auto"/>
        <w:jc w:val="center"/>
        <w:rPr>
          <w:rFonts w:ascii="Times New Roman" w:eastAsia="Times New Roman" w:hAnsi="Times New Roman" w:cs="Times New Roman"/>
          <w:sz w:val="24"/>
          <w:szCs w:val="24"/>
        </w:rPr>
      </w:pPr>
    </w:p>
    <w:p w14:paraId="314F85E1" w14:textId="77777777" w:rsidR="00965727" w:rsidRDefault="00965727">
      <w:pPr>
        <w:spacing w:line="480" w:lineRule="auto"/>
        <w:jc w:val="center"/>
        <w:rPr>
          <w:rFonts w:ascii="Times New Roman" w:eastAsia="Times New Roman" w:hAnsi="Times New Roman" w:cs="Times New Roman"/>
          <w:sz w:val="24"/>
          <w:szCs w:val="24"/>
        </w:rPr>
      </w:pPr>
    </w:p>
    <w:p w14:paraId="52CFCDBF" w14:textId="77777777" w:rsidR="00965727" w:rsidRDefault="00965727">
      <w:pPr>
        <w:spacing w:line="480" w:lineRule="auto"/>
        <w:jc w:val="center"/>
        <w:rPr>
          <w:rFonts w:ascii="Times New Roman" w:eastAsia="Times New Roman" w:hAnsi="Times New Roman" w:cs="Times New Roman"/>
          <w:sz w:val="24"/>
          <w:szCs w:val="24"/>
        </w:rPr>
      </w:pPr>
    </w:p>
    <w:p w14:paraId="0914FD65" w14:textId="77777777" w:rsidR="00965727" w:rsidRDefault="00965727">
      <w:pPr>
        <w:spacing w:line="480" w:lineRule="auto"/>
        <w:jc w:val="center"/>
        <w:rPr>
          <w:rFonts w:ascii="Times New Roman" w:eastAsia="Times New Roman" w:hAnsi="Times New Roman" w:cs="Times New Roman"/>
          <w:sz w:val="24"/>
          <w:szCs w:val="24"/>
        </w:rPr>
      </w:pPr>
    </w:p>
    <w:p w14:paraId="0549B97A" w14:textId="77777777" w:rsidR="00965727" w:rsidRDefault="00965727">
      <w:pPr>
        <w:spacing w:line="480" w:lineRule="auto"/>
        <w:jc w:val="center"/>
        <w:rPr>
          <w:rFonts w:ascii="Times New Roman" w:eastAsia="Times New Roman" w:hAnsi="Times New Roman" w:cs="Times New Roman"/>
          <w:sz w:val="24"/>
          <w:szCs w:val="24"/>
        </w:rPr>
      </w:pPr>
    </w:p>
    <w:p w14:paraId="785D301E" w14:textId="77777777" w:rsidR="00965727" w:rsidRDefault="00965727">
      <w:pPr>
        <w:spacing w:line="480" w:lineRule="auto"/>
        <w:jc w:val="center"/>
        <w:rPr>
          <w:rFonts w:ascii="Times New Roman" w:eastAsia="Times New Roman" w:hAnsi="Times New Roman" w:cs="Times New Roman"/>
          <w:sz w:val="24"/>
          <w:szCs w:val="24"/>
        </w:rPr>
      </w:pPr>
    </w:p>
    <w:p w14:paraId="2A0BF4F2" w14:textId="77777777" w:rsidR="00965727" w:rsidRPr="008824B3" w:rsidRDefault="000A40CF" w:rsidP="008824B3">
      <w:pPr>
        <w:pStyle w:val="Ttulo1"/>
        <w:spacing w:line="480" w:lineRule="auto"/>
        <w:rPr>
          <w:rFonts w:ascii="Times New Roman" w:hAnsi="Times New Roman" w:cs="Times New Roman"/>
          <w:sz w:val="24"/>
          <w:szCs w:val="24"/>
        </w:rPr>
      </w:pPr>
      <w:bookmarkStart w:id="1" w:name="_Hlk83890298"/>
      <w:r w:rsidRPr="008824B3">
        <w:rPr>
          <w:rFonts w:ascii="Times New Roman" w:hAnsi="Times New Roman" w:cs="Times New Roman"/>
          <w:sz w:val="24"/>
          <w:szCs w:val="24"/>
        </w:rPr>
        <w:lastRenderedPageBreak/>
        <w:t>Introducción</w:t>
      </w:r>
    </w:p>
    <w:p w14:paraId="27C0C01B" w14:textId="77777777" w:rsidR="00965727" w:rsidRPr="008824B3" w:rsidRDefault="000A40CF" w:rsidP="008824B3">
      <w:pPr>
        <w:keepNext/>
        <w:keepLines/>
        <w:pBdr>
          <w:top w:val="nil"/>
          <w:left w:val="nil"/>
          <w:bottom w:val="nil"/>
          <w:right w:val="nil"/>
          <w:between w:val="nil"/>
        </w:pBdr>
        <w:spacing w:before="240" w:after="240" w:line="480" w:lineRule="auto"/>
        <w:ind w:firstLine="708"/>
        <w:rPr>
          <w:rFonts w:ascii="Times New Roman" w:eastAsia="Times New Roman" w:hAnsi="Times New Roman" w:cs="Times New Roman"/>
          <w:sz w:val="24"/>
          <w:szCs w:val="24"/>
        </w:rPr>
      </w:pPr>
      <w:bookmarkStart w:id="2" w:name="_heading=h.4tk1y6ixlgth" w:colFirst="0" w:colLast="0"/>
      <w:bookmarkEnd w:id="2"/>
      <w:r w:rsidRPr="008824B3">
        <w:rPr>
          <w:rFonts w:ascii="Times New Roman" w:eastAsia="Times New Roman" w:hAnsi="Times New Roman" w:cs="Times New Roman"/>
          <w:sz w:val="24"/>
          <w:szCs w:val="24"/>
        </w:rPr>
        <w:t>En el marco de la actual pandemia, los gobiernos de cada país han presentado grandes dificultades económicas, sociales y ecológicas, que los han llevado a tomar medidas para evitar una coyuntura social más profunda, es por eso que “ante perturbaciones adve</w:t>
      </w:r>
      <w:r w:rsidRPr="008824B3">
        <w:rPr>
          <w:rFonts w:ascii="Times New Roman" w:eastAsia="Times New Roman" w:hAnsi="Times New Roman" w:cs="Times New Roman"/>
          <w:sz w:val="24"/>
          <w:szCs w:val="24"/>
        </w:rPr>
        <w:t>rsas, los Gobiernos deben endeudarse, de manera que los niveles de gasto público se puedan sostener en estas situaciones, o incluso incrementarse, sin necesidad de recurrir a aumentos impositivos” (Alloza, M. 2020). Por consiguiente, el gobierno colombiano</w:t>
      </w:r>
      <w:r w:rsidRPr="008824B3">
        <w:rPr>
          <w:rFonts w:ascii="Times New Roman" w:eastAsia="Times New Roman" w:hAnsi="Times New Roman" w:cs="Times New Roman"/>
          <w:sz w:val="24"/>
          <w:szCs w:val="24"/>
        </w:rPr>
        <w:t xml:space="preserve"> opta por instaurar el Fondo de Mitigación de Emergencia (FOME), canalizando sus esfuerzos en mejorar el sector salud, disminuir el desempleo y aumentar la calidad de vida de la población más vulnerable durante el covid-19 (MinHacienda, 2021).</w:t>
      </w:r>
    </w:p>
    <w:p w14:paraId="512A1095" w14:textId="68585AEF" w:rsidR="008824B3" w:rsidRPr="008824B3" w:rsidRDefault="000A40CF" w:rsidP="008824B3">
      <w:pPr>
        <w:keepNext/>
        <w:keepLines/>
        <w:pBdr>
          <w:top w:val="nil"/>
          <w:left w:val="nil"/>
          <w:bottom w:val="nil"/>
          <w:right w:val="nil"/>
          <w:between w:val="nil"/>
        </w:pBdr>
        <w:spacing w:before="240" w:after="240" w:line="480" w:lineRule="auto"/>
        <w:ind w:firstLine="720"/>
        <w:rPr>
          <w:rFonts w:ascii="Times New Roman" w:eastAsia="Times New Roman" w:hAnsi="Times New Roman" w:cs="Times New Roman"/>
          <w:color w:val="202124"/>
          <w:sz w:val="24"/>
          <w:szCs w:val="24"/>
          <w:highlight w:val="white"/>
        </w:rPr>
      </w:pPr>
      <w:bookmarkStart w:id="3" w:name="_heading=h.g5ocs0h4uhtb" w:colFirst="0" w:colLast="0"/>
      <w:bookmarkStart w:id="4" w:name="_Hlk83890380"/>
      <w:bookmarkEnd w:id="3"/>
      <w:r w:rsidRPr="008824B3">
        <w:rPr>
          <w:rFonts w:ascii="Times New Roman" w:eastAsia="Times New Roman" w:hAnsi="Times New Roman" w:cs="Times New Roman"/>
          <w:sz w:val="24"/>
          <w:szCs w:val="24"/>
        </w:rPr>
        <w:t>La financiac</w:t>
      </w:r>
      <w:r w:rsidRPr="008824B3">
        <w:rPr>
          <w:rFonts w:ascii="Times New Roman" w:eastAsia="Times New Roman" w:hAnsi="Times New Roman" w:cs="Times New Roman"/>
          <w:sz w:val="24"/>
          <w:szCs w:val="24"/>
        </w:rPr>
        <w:t>ión de este fondo se realizará por medio de préstamos del Fondo de Ahorro y Estabilización (FAE) y el Fondo Nacional de Pensiones de las Entidades Territoriales (FONPET), debido a que el gobierno Nacional los considera “recursos líquidos y frescos” produci</w:t>
      </w:r>
      <w:r w:rsidRPr="008824B3">
        <w:rPr>
          <w:rFonts w:ascii="Times New Roman" w:eastAsia="Times New Roman" w:hAnsi="Times New Roman" w:cs="Times New Roman"/>
          <w:sz w:val="24"/>
          <w:szCs w:val="24"/>
        </w:rPr>
        <w:t>endo baja</w:t>
      </w:r>
      <w:r w:rsidRPr="008824B3">
        <w:rPr>
          <w:rFonts w:ascii="Times New Roman" w:eastAsia="Times New Roman" w:hAnsi="Times New Roman" w:cs="Times New Roman"/>
          <w:color w:val="FF0000"/>
          <w:sz w:val="24"/>
          <w:szCs w:val="24"/>
        </w:rPr>
        <w:t xml:space="preserve"> </w:t>
      </w:r>
      <w:r w:rsidRPr="008824B3">
        <w:rPr>
          <w:rFonts w:ascii="Times New Roman" w:eastAsia="Times New Roman" w:hAnsi="Times New Roman" w:cs="Times New Roman"/>
          <w:sz w:val="24"/>
          <w:szCs w:val="24"/>
        </w:rPr>
        <w:t xml:space="preserve">presión sobre los mercados locales y permitiendo ser generadores de volatilidad (URF, 2020). Por otra parte, estos recursos se estiman pagar, inicialmente a partir del 2023 para el caso de la FAE y el FONPET dentro de los próximos 10 </w:t>
      </w:r>
      <w:r w:rsidRPr="008824B3">
        <w:rPr>
          <w:rFonts w:ascii="Times New Roman" w:eastAsia="Times New Roman" w:hAnsi="Times New Roman" w:cs="Times New Roman"/>
          <w:color w:val="202124"/>
          <w:sz w:val="24"/>
          <w:szCs w:val="24"/>
          <w:highlight w:val="white"/>
        </w:rPr>
        <w:t xml:space="preserve">años. </w:t>
      </w:r>
    </w:p>
    <w:bookmarkEnd w:id="1"/>
    <w:bookmarkEnd w:id="4"/>
    <w:p w14:paraId="20A57C49" w14:textId="079DC0DC" w:rsidR="008824B3" w:rsidRPr="008824B3" w:rsidRDefault="008824B3" w:rsidP="008824B3">
      <w:pPr>
        <w:keepNext/>
        <w:keepLines/>
        <w:pBdr>
          <w:top w:val="nil"/>
          <w:left w:val="nil"/>
          <w:bottom w:val="nil"/>
          <w:right w:val="nil"/>
          <w:between w:val="nil"/>
        </w:pBdr>
        <w:spacing w:before="240" w:after="240" w:line="480" w:lineRule="auto"/>
        <w:ind w:firstLine="720"/>
        <w:rPr>
          <w:rFonts w:ascii="Times New Roman" w:eastAsia="Times New Roman" w:hAnsi="Times New Roman" w:cs="Times New Roman"/>
          <w:color w:val="202124"/>
          <w:sz w:val="24"/>
          <w:szCs w:val="24"/>
          <w:highlight w:val="white"/>
        </w:rPr>
      </w:pPr>
    </w:p>
    <w:p w14:paraId="49FC5E36" w14:textId="71B7107C" w:rsidR="008824B3" w:rsidRPr="008824B3" w:rsidRDefault="008824B3" w:rsidP="008824B3">
      <w:pPr>
        <w:keepNext/>
        <w:keepLines/>
        <w:pBdr>
          <w:top w:val="nil"/>
          <w:left w:val="nil"/>
          <w:bottom w:val="nil"/>
          <w:right w:val="nil"/>
          <w:between w:val="nil"/>
        </w:pBdr>
        <w:spacing w:before="240" w:after="240" w:line="480" w:lineRule="auto"/>
        <w:ind w:firstLine="720"/>
        <w:rPr>
          <w:rFonts w:ascii="Times New Roman" w:eastAsia="Times New Roman" w:hAnsi="Times New Roman" w:cs="Times New Roman"/>
          <w:color w:val="202124"/>
          <w:sz w:val="24"/>
          <w:szCs w:val="24"/>
          <w:highlight w:val="white"/>
        </w:rPr>
      </w:pPr>
    </w:p>
    <w:p w14:paraId="352A10D1" w14:textId="3E68967E" w:rsidR="00965727" w:rsidRPr="008824B3" w:rsidRDefault="000A40CF" w:rsidP="008824B3">
      <w:pPr>
        <w:keepNext/>
        <w:keepLines/>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bookmarkStart w:id="5" w:name="_Hlk83890310"/>
      <w:bookmarkStart w:id="6" w:name="_Hlk83890473"/>
      <w:r w:rsidRPr="008824B3">
        <w:rPr>
          <w:rFonts w:ascii="Times New Roman" w:eastAsia="Times New Roman" w:hAnsi="Times New Roman" w:cs="Times New Roman"/>
          <w:color w:val="202124"/>
          <w:sz w:val="24"/>
          <w:szCs w:val="24"/>
          <w:highlight w:val="white"/>
        </w:rPr>
        <w:lastRenderedPageBreak/>
        <w:t xml:space="preserve">Es </w:t>
      </w:r>
      <w:bookmarkStart w:id="7" w:name="_Hlk83890394"/>
      <w:r w:rsidRPr="008824B3">
        <w:rPr>
          <w:rFonts w:ascii="Times New Roman" w:eastAsia="Times New Roman" w:hAnsi="Times New Roman" w:cs="Times New Roman"/>
          <w:color w:val="202124"/>
          <w:sz w:val="24"/>
          <w:szCs w:val="24"/>
          <w:highlight w:val="white"/>
        </w:rPr>
        <w:t>ne</w:t>
      </w:r>
      <w:r w:rsidRPr="008824B3">
        <w:rPr>
          <w:rFonts w:ascii="Times New Roman" w:eastAsia="Times New Roman" w:hAnsi="Times New Roman" w:cs="Times New Roman"/>
          <w:color w:val="202124"/>
          <w:sz w:val="24"/>
          <w:szCs w:val="24"/>
          <w:highlight w:val="white"/>
        </w:rPr>
        <w:t>cesario</w:t>
      </w:r>
      <w:r w:rsidRPr="008824B3">
        <w:rPr>
          <w:rFonts w:ascii="Times New Roman" w:eastAsia="Times New Roman" w:hAnsi="Times New Roman" w:cs="Times New Roman"/>
          <w:sz w:val="24"/>
          <w:szCs w:val="24"/>
        </w:rPr>
        <w:t xml:space="preserve"> entender que los fondos obtenidos por medio de financiación van enfocados a favor de políticas anticíclicas para disminuir el rezago dentro de la economía, buscando mitigar el impacto en la población pero entendiendo que </w:t>
      </w:r>
      <w:r w:rsidRPr="008824B3">
        <w:rPr>
          <w:rFonts w:ascii="Times New Roman" w:eastAsia="Times New Roman" w:hAnsi="Times New Roman" w:cs="Times New Roman"/>
          <w:color w:val="202124"/>
          <w:sz w:val="24"/>
          <w:szCs w:val="24"/>
        </w:rPr>
        <w:t>antes de realizar un aument</w:t>
      </w:r>
      <w:r w:rsidRPr="008824B3">
        <w:rPr>
          <w:rFonts w:ascii="Times New Roman" w:eastAsia="Times New Roman" w:hAnsi="Times New Roman" w:cs="Times New Roman"/>
          <w:color w:val="202124"/>
          <w:sz w:val="24"/>
          <w:szCs w:val="24"/>
        </w:rPr>
        <w:t>o en el gasto público, reducir los impuestos y/o bajar las tasas de interés frente a una crisis económica como mecanismo anticíclico, se debe evaluar la magnitud de los flujos sobre el balance de los hogares, empresas y el mismo gobierno (</w:t>
      </w:r>
      <w:r w:rsidR="008824B3" w:rsidRPr="008824B3">
        <w:rPr>
          <w:rFonts w:ascii="Times New Roman" w:eastAsia="Times New Roman" w:hAnsi="Times New Roman" w:cs="Times New Roman"/>
          <w:color w:val="202124"/>
          <w:sz w:val="24"/>
          <w:szCs w:val="24"/>
        </w:rPr>
        <w:t>López</w:t>
      </w:r>
      <w:r w:rsidRPr="008824B3">
        <w:rPr>
          <w:rFonts w:ascii="Times New Roman" w:eastAsia="Times New Roman" w:hAnsi="Times New Roman" w:cs="Times New Roman"/>
          <w:color w:val="202124"/>
          <w:sz w:val="24"/>
          <w:szCs w:val="24"/>
        </w:rPr>
        <w:t xml:space="preserve">, M. 2009). </w:t>
      </w:r>
      <w:r w:rsidRPr="008824B3">
        <w:rPr>
          <w:rFonts w:ascii="Times New Roman" w:eastAsia="Times New Roman" w:hAnsi="Times New Roman" w:cs="Times New Roman"/>
          <w:color w:val="202124"/>
          <w:sz w:val="24"/>
          <w:szCs w:val="24"/>
          <w:highlight w:val="white"/>
        </w:rPr>
        <w:t>Así como menciona Echeverry (1999), no tiene sentido realizar políticas anticíclicas cuando los balances de los agentes de la economía están en desequilibrio, ya que, si se realiza una inyección de ingreso disponible adicional, para cubrir la inversión del</w:t>
      </w:r>
      <w:r w:rsidRPr="008824B3">
        <w:rPr>
          <w:rFonts w:ascii="Times New Roman" w:eastAsia="Times New Roman" w:hAnsi="Times New Roman" w:cs="Times New Roman"/>
          <w:color w:val="202124"/>
          <w:sz w:val="24"/>
          <w:szCs w:val="24"/>
          <w:highlight w:val="white"/>
        </w:rPr>
        <w:t xml:space="preserve"> gasto público, por una política fiscal anticíclica generará un in</w:t>
      </w:r>
      <w:r w:rsidRPr="008824B3">
        <w:rPr>
          <w:rFonts w:ascii="Times New Roman" w:eastAsia="Times New Roman" w:hAnsi="Times New Roman" w:cs="Times New Roman"/>
          <w:sz w:val="24"/>
          <w:szCs w:val="24"/>
        </w:rPr>
        <w:t>cremento de sus gastos y pasivos (Echeverry, J. 1999).</w:t>
      </w:r>
    </w:p>
    <w:p w14:paraId="29D3E7E9" w14:textId="77777777" w:rsidR="00965727" w:rsidRPr="008824B3" w:rsidRDefault="000A40CF" w:rsidP="008824B3">
      <w:pPr>
        <w:keepNext/>
        <w:keepLines/>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bookmarkStart w:id="8" w:name="_heading=h.dncw0r90u2m" w:colFirst="0" w:colLast="0"/>
      <w:bookmarkEnd w:id="6"/>
      <w:bookmarkEnd w:id="7"/>
      <w:bookmarkEnd w:id="8"/>
      <w:r w:rsidRPr="008824B3">
        <w:rPr>
          <w:rFonts w:ascii="Times New Roman" w:eastAsia="Times New Roman" w:hAnsi="Times New Roman" w:cs="Times New Roman"/>
          <w:sz w:val="24"/>
          <w:szCs w:val="24"/>
        </w:rPr>
        <w:t>El objetivo de este trabajo es determinar la incidencia de la instauración del Fondo de Mitigación de Emergencia, como método para la p</w:t>
      </w:r>
      <w:r w:rsidRPr="008824B3">
        <w:rPr>
          <w:rFonts w:ascii="Times New Roman" w:eastAsia="Times New Roman" w:hAnsi="Times New Roman" w:cs="Times New Roman"/>
          <w:sz w:val="24"/>
          <w:szCs w:val="24"/>
        </w:rPr>
        <w:t>rotección del empleo y actividad económica durante la crisis sanitaria en Colombia. En este sentido, se abordarán las características, condiciones y fuentes de financiación, donde se evidencie su comportamiento en el transcurso de la actual crisis sanitari</w:t>
      </w:r>
      <w:r w:rsidRPr="008824B3">
        <w:rPr>
          <w:rFonts w:ascii="Times New Roman" w:eastAsia="Times New Roman" w:hAnsi="Times New Roman" w:cs="Times New Roman"/>
          <w:sz w:val="24"/>
          <w:szCs w:val="24"/>
        </w:rPr>
        <w:t>a. De igual manera, se pretende establecer la relación entre el empleo y producción, identificando así factores que no han permitido llevar a cabo esta política anticíclica. Finalmente, con el fin de explicar de qué forma el Fondo de Emergencia Sanitaria h</w:t>
      </w:r>
      <w:r w:rsidRPr="008824B3">
        <w:rPr>
          <w:rFonts w:ascii="Times New Roman" w:eastAsia="Times New Roman" w:hAnsi="Times New Roman" w:cs="Times New Roman"/>
          <w:sz w:val="24"/>
          <w:szCs w:val="24"/>
        </w:rPr>
        <w:t>a incentivado la reactivación económica y promovido la protección del empleo para los colombianos, se analizarán los datos recolectados por el DANE, ministerio de hacienda y la contraloría, haciendo uso de gráficos circulares, lineales y combinadas.</w:t>
      </w:r>
    </w:p>
    <w:bookmarkEnd w:id="5"/>
    <w:p w14:paraId="4174A226" w14:textId="77777777" w:rsidR="00965727" w:rsidRPr="008824B3" w:rsidRDefault="000A40CF" w:rsidP="008824B3">
      <w:pPr>
        <w:spacing w:line="480" w:lineRule="auto"/>
        <w:ind w:firstLine="720"/>
        <w:rPr>
          <w:rFonts w:ascii="Times New Roman" w:eastAsia="Times New Roman" w:hAnsi="Times New Roman" w:cs="Times New Roman"/>
          <w:color w:val="202124"/>
          <w:sz w:val="24"/>
          <w:szCs w:val="24"/>
          <w:highlight w:val="white"/>
        </w:rPr>
      </w:pPr>
      <w:r w:rsidRPr="008824B3">
        <w:rPr>
          <w:rFonts w:ascii="Times New Roman" w:eastAsia="Times New Roman" w:hAnsi="Times New Roman" w:cs="Times New Roman"/>
          <w:sz w:val="24"/>
          <w:szCs w:val="24"/>
        </w:rPr>
        <w:t xml:space="preserve">                           </w:t>
      </w:r>
    </w:p>
    <w:p w14:paraId="327D50BD" w14:textId="77777777" w:rsidR="00965727" w:rsidRPr="008824B3" w:rsidRDefault="00965727" w:rsidP="008824B3">
      <w:pPr>
        <w:spacing w:line="480" w:lineRule="auto"/>
        <w:rPr>
          <w:rFonts w:ascii="Times New Roman" w:eastAsia="Times New Roman" w:hAnsi="Times New Roman" w:cs="Times New Roman"/>
          <w:color w:val="202124"/>
          <w:sz w:val="24"/>
          <w:szCs w:val="24"/>
          <w:highlight w:val="white"/>
        </w:rPr>
      </w:pPr>
    </w:p>
    <w:p w14:paraId="0C8F40B3" w14:textId="77777777" w:rsidR="00965727" w:rsidRPr="008824B3" w:rsidRDefault="000A40CF" w:rsidP="008824B3">
      <w:pPr>
        <w:pStyle w:val="Ttulo1"/>
        <w:spacing w:line="480" w:lineRule="auto"/>
        <w:rPr>
          <w:rFonts w:ascii="Times New Roman" w:hAnsi="Times New Roman" w:cs="Times New Roman"/>
          <w:sz w:val="24"/>
          <w:szCs w:val="24"/>
          <w:shd w:val="clear" w:color="auto" w:fill="FF9900"/>
        </w:rPr>
      </w:pPr>
      <w:r w:rsidRPr="008824B3">
        <w:rPr>
          <w:rFonts w:ascii="Times New Roman" w:hAnsi="Times New Roman" w:cs="Times New Roman"/>
          <w:sz w:val="24"/>
          <w:szCs w:val="24"/>
        </w:rPr>
        <w:lastRenderedPageBreak/>
        <w:t>Marco teórico</w:t>
      </w:r>
    </w:p>
    <w:p w14:paraId="6EB1C4ED" w14:textId="77777777" w:rsidR="00965727" w:rsidRPr="008824B3" w:rsidRDefault="000A40CF" w:rsidP="008824B3">
      <w:pPr>
        <w:keepNext/>
        <w:keepLines/>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Ante perturbaciones latentes dentro de una economía, los gobiernos tienden a buscar financiamiento por medio del endeudamiento como afirma Adam Smith, “el gasto público se financia a través de deuda perpetua, sufr</w:t>
      </w:r>
      <w:r w:rsidRPr="008824B3">
        <w:rPr>
          <w:rFonts w:ascii="Times New Roman" w:eastAsia="Times New Roman" w:hAnsi="Times New Roman" w:cs="Times New Roman"/>
          <w:sz w:val="24"/>
          <w:szCs w:val="24"/>
        </w:rPr>
        <w:t>agando mediante la destrucción anual de algún capital que existía en el país” (Smith, A. 1776), de manera que los niveles de gasto público sean sostenibles en estos escenarios de adversidad. Por ende, existe la necesidad de pagar estas deudas para que no a</w:t>
      </w:r>
      <w:r w:rsidRPr="008824B3">
        <w:rPr>
          <w:rFonts w:ascii="Times New Roman" w:eastAsia="Times New Roman" w:hAnsi="Times New Roman" w:cs="Times New Roman"/>
          <w:sz w:val="24"/>
          <w:szCs w:val="24"/>
        </w:rPr>
        <w:t>fecte la credibilidad y reputación en el clima de negocios como lo afirma Musgrave al considerar que la tributación debe corresponder con los pagos recibidos y con la capacidad de pago de los gobiernos (Musgrave, R. 1987).</w:t>
      </w:r>
    </w:p>
    <w:p w14:paraId="34DCB741" w14:textId="77777777" w:rsidR="00965727" w:rsidRPr="008824B3" w:rsidRDefault="000A40CF" w:rsidP="008824B3">
      <w:pPr>
        <w:keepNext/>
        <w:keepLines/>
        <w:spacing w:before="240" w:after="240" w:line="480" w:lineRule="auto"/>
        <w:ind w:firstLine="720"/>
        <w:rPr>
          <w:rFonts w:ascii="Times New Roman" w:eastAsia="Times New Roman" w:hAnsi="Times New Roman" w:cs="Times New Roman"/>
          <w:color w:val="512DA8"/>
          <w:sz w:val="24"/>
          <w:szCs w:val="24"/>
        </w:rPr>
      </w:pPr>
      <w:bookmarkStart w:id="9" w:name="_heading=h.c7kpbcprs3q1" w:colFirst="0" w:colLast="0"/>
      <w:bookmarkEnd w:id="9"/>
      <w:r w:rsidRPr="008824B3">
        <w:rPr>
          <w:rFonts w:ascii="Times New Roman" w:eastAsia="Times New Roman" w:hAnsi="Times New Roman" w:cs="Times New Roman"/>
          <w:sz w:val="24"/>
          <w:szCs w:val="24"/>
        </w:rPr>
        <w:t>Para llevar a cabo lo anterior se debe generar espacio fiscal en los momentos en que las economías se encuentran en situación de expansión económica para ser utilizado posteriormente en situaciones que no son tan favorables para la economía de un país, des</w:t>
      </w:r>
      <w:r w:rsidRPr="008824B3">
        <w:rPr>
          <w:rFonts w:ascii="Times New Roman" w:eastAsia="Times New Roman" w:hAnsi="Times New Roman" w:cs="Times New Roman"/>
          <w:sz w:val="24"/>
          <w:szCs w:val="24"/>
        </w:rPr>
        <w:t xml:space="preserve">tinando parte de ese presupuesto para casos especiales como poder cubrir déficits fiscal futuro, recesión económica, derivados de la disminución del ingreso público (Cardarelli, R. 2009) o para atender futuras emergencias generadas por desastres naturales </w:t>
      </w:r>
      <w:r w:rsidRPr="008824B3">
        <w:rPr>
          <w:rFonts w:ascii="Times New Roman" w:eastAsia="Times New Roman" w:hAnsi="Times New Roman" w:cs="Times New Roman"/>
          <w:sz w:val="24"/>
          <w:szCs w:val="24"/>
        </w:rPr>
        <w:t>donde interfiere la mano del hombre, o situaciones de seguridad pública, entre otras particularidades.</w:t>
      </w:r>
    </w:p>
    <w:p w14:paraId="126EF588" w14:textId="4313F59D" w:rsidR="00965727" w:rsidRPr="008824B3" w:rsidRDefault="000A40CF" w:rsidP="008824B3">
      <w:pP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Sin embargo, la capacidad de acumular espacio fiscal tiene sus límites, puesto que culminando un estado de crisis las deudas que se adquirieron en dicho </w:t>
      </w:r>
      <w:r w:rsidRPr="008824B3">
        <w:rPr>
          <w:rFonts w:ascii="Times New Roman" w:eastAsia="Times New Roman" w:hAnsi="Times New Roman" w:cs="Times New Roman"/>
          <w:sz w:val="24"/>
          <w:szCs w:val="24"/>
        </w:rPr>
        <w:t>escenario tendrán presencia unos cuantos periodos después. Por eso, las economías que se encuentran en situación de recesión económica y aplican una política fiscal anticíclica, generarán un aumento en el gasto público por parte del gobierno y reducción de</w:t>
      </w:r>
      <w:r w:rsidRPr="008824B3">
        <w:rPr>
          <w:rFonts w:ascii="Times New Roman" w:eastAsia="Times New Roman" w:hAnsi="Times New Roman" w:cs="Times New Roman"/>
          <w:sz w:val="24"/>
          <w:szCs w:val="24"/>
        </w:rPr>
        <w:t xml:space="preserve"> los impuestos, mientras </w:t>
      </w:r>
      <w:r w:rsidR="008824B3" w:rsidRPr="008824B3">
        <w:rPr>
          <w:rFonts w:ascii="Times New Roman" w:eastAsia="Times New Roman" w:hAnsi="Times New Roman" w:cs="Times New Roman"/>
          <w:sz w:val="24"/>
          <w:szCs w:val="24"/>
        </w:rPr>
        <w:t>que,</w:t>
      </w:r>
      <w:r w:rsidRPr="008824B3">
        <w:rPr>
          <w:rFonts w:ascii="Times New Roman" w:eastAsia="Times New Roman" w:hAnsi="Times New Roman" w:cs="Times New Roman"/>
          <w:sz w:val="24"/>
          <w:szCs w:val="24"/>
        </w:rPr>
        <w:t xml:space="preserve"> si se opta por una política económica cíclica, dará lugar a la reducción del gasto, para usarse en el ciclo económico de expansión (Baca, W. 2007).</w:t>
      </w:r>
    </w:p>
    <w:p w14:paraId="45CE2FBB" w14:textId="0BFA8D4E" w:rsidR="00965727" w:rsidRPr="008824B3" w:rsidRDefault="000A40CF" w:rsidP="008824B3">
      <w:pP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lastRenderedPageBreak/>
        <w:t>La importancia de que economías latinoamericanas usen políticas anticíclicas de</w:t>
      </w:r>
      <w:r w:rsidRPr="008824B3">
        <w:rPr>
          <w:rFonts w:ascii="Times New Roman" w:eastAsia="Times New Roman" w:hAnsi="Times New Roman" w:cs="Times New Roman"/>
          <w:sz w:val="24"/>
          <w:szCs w:val="24"/>
        </w:rPr>
        <w:t xml:space="preserve"> manera oportuna en tiempos de recesión, genera una </w:t>
      </w:r>
      <w:r w:rsidR="008824B3" w:rsidRPr="008824B3">
        <w:rPr>
          <w:rFonts w:ascii="Times New Roman" w:eastAsia="Times New Roman" w:hAnsi="Times New Roman" w:cs="Times New Roman"/>
          <w:sz w:val="24"/>
          <w:szCs w:val="24"/>
        </w:rPr>
        <w:t>disminución de</w:t>
      </w:r>
      <w:r w:rsidRPr="008824B3">
        <w:rPr>
          <w:rFonts w:ascii="Times New Roman" w:eastAsia="Times New Roman" w:hAnsi="Times New Roman" w:cs="Times New Roman"/>
          <w:sz w:val="24"/>
          <w:szCs w:val="24"/>
        </w:rPr>
        <w:t xml:space="preserve"> la demanda y el empleo en menor medida para mitigar la gran brecha social que sufren los países latinoamericanos en tiempos de crisis (</w:t>
      </w:r>
      <w:r w:rsidR="008824B3" w:rsidRPr="008824B3">
        <w:rPr>
          <w:rFonts w:ascii="Times New Roman" w:eastAsia="Times New Roman" w:hAnsi="Times New Roman" w:cs="Times New Roman"/>
          <w:sz w:val="24"/>
          <w:szCs w:val="24"/>
        </w:rPr>
        <w:t>López</w:t>
      </w:r>
      <w:r w:rsidRPr="008824B3">
        <w:rPr>
          <w:rFonts w:ascii="Times New Roman" w:eastAsia="Times New Roman" w:hAnsi="Times New Roman" w:cs="Times New Roman"/>
          <w:sz w:val="24"/>
          <w:szCs w:val="24"/>
        </w:rPr>
        <w:t>, M. 2009). Keynes argumentaba que un aumento de</w:t>
      </w:r>
      <w:r w:rsidRPr="008824B3">
        <w:rPr>
          <w:rFonts w:ascii="Times New Roman" w:eastAsia="Times New Roman" w:hAnsi="Times New Roman" w:cs="Times New Roman"/>
          <w:sz w:val="24"/>
          <w:szCs w:val="24"/>
        </w:rPr>
        <w:t xml:space="preserve"> la demanda tiene que provenir del consumo, inversión, compras del gobierno o exportaciones netas. No obstante, en periodos de recesión intervienen externalidades que fuerzan a disminuir la demanda, esto erosiona la confianza en la economía de los consumid</w:t>
      </w:r>
      <w:r w:rsidRPr="008824B3">
        <w:rPr>
          <w:rFonts w:ascii="Times New Roman" w:eastAsia="Times New Roman" w:hAnsi="Times New Roman" w:cs="Times New Roman"/>
          <w:sz w:val="24"/>
          <w:szCs w:val="24"/>
        </w:rPr>
        <w:t xml:space="preserve">ores teniendo un impacto negativo en el gasto, y ocasionando que las empresas disminuyan la inversión al bajar la demanda y el </w:t>
      </w:r>
      <w:r w:rsidR="008824B3" w:rsidRPr="008824B3">
        <w:rPr>
          <w:rFonts w:ascii="Times New Roman" w:eastAsia="Times New Roman" w:hAnsi="Times New Roman" w:cs="Times New Roman"/>
          <w:sz w:val="24"/>
          <w:szCs w:val="24"/>
        </w:rPr>
        <w:t>empleo, por</w:t>
      </w:r>
      <w:r w:rsidRPr="008824B3">
        <w:rPr>
          <w:rFonts w:ascii="Times New Roman" w:eastAsia="Times New Roman" w:hAnsi="Times New Roman" w:cs="Times New Roman"/>
          <w:sz w:val="24"/>
          <w:szCs w:val="24"/>
        </w:rPr>
        <w:t xml:space="preserve"> lo que queda en manos del Estado la resiliencia ante los ciclos económicos adversos (Keynes, J. 1936). </w:t>
      </w:r>
    </w:p>
    <w:p w14:paraId="120A0429" w14:textId="77777777" w:rsidR="00965727" w:rsidRPr="008824B3" w:rsidRDefault="000A40CF" w:rsidP="008824B3">
      <w:pPr>
        <w:keepNext/>
        <w:keepLines/>
        <w:spacing w:before="240" w:after="240" w:line="480" w:lineRule="auto"/>
        <w:ind w:firstLine="720"/>
        <w:rPr>
          <w:rFonts w:ascii="Times New Roman" w:eastAsia="Times New Roman" w:hAnsi="Times New Roman" w:cs="Times New Roman"/>
          <w:sz w:val="24"/>
          <w:szCs w:val="24"/>
        </w:rPr>
      </w:pPr>
      <w:bookmarkStart w:id="10" w:name="_heading=h.43fv2xsp4fys" w:colFirst="0" w:colLast="0"/>
      <w:bookmarkEnd w:id="10"/>
      <w:r w:rsidRPr="008824B3">
        <w:rPr>
          <w:rFonts w:ascii="Times New Roman" w:eastAsia="Times New Roman" w:hAnsi="Times New Roman" w:cs="Times New Roman"/>
          <w:sz w:val="24"/>
          <w:szCs w:val="24"/>
        </w:rPr>
        <w:t>Así mismo, K</w:t>
      </w:r>
      <w:r w:rsidRPr="008824B3">
        <w:rPr>
          <w:rFonts w:ascii="Times New Roman" w:eastAsia="Times New Roman" w:hAnsi="Times New Roman" w:cs="Times New Roman"/>
          <w:sz w:val="24"/>
          <w:szCs w:val="24"/>
        </w:rPr>
        <w:t>uznets respalda la relación que tiene el desempleo y el crecimiento económico de un país, haciendo énfasis en que “el crecimiento económico exige un marco social y político estable pero flexible que pueda albergar y aun estimular el cambio estructural rápi</w:t>
      </w:r>
      <w:r w:rsidRPr="008824B3">
        <w:rPr>
          <w:rFonts w:ascii="Times New Roman" w:eastAsia="Times New Roman" w:hAnsi="Times New Roman" w:cs="Times New Roman"/>
          <w:sz w:val="24"/>
          <w:szCs w:val="24"/>
        </w:rPr>
        <w:t xml:space="preserve">do, requiere también un ambiente social capaz de resolver los inevitables conflictos de intereses de grupos y sectores que acompañan a tal cambio estructural” (Kuznets, 1977). </w:t>
      </w:r>
    </w:p>
    <w:p w14:paraId="254E499A" w14:textId="77777777" w:rsidR="00965727" w:rsidRPr="008824B3" w:rsidRDefault="00965727" w:rsidP="008824B3">
      <w:pPr>
        <w:spacing w:before="240" w:after="240" w:line="480" w:lineRule="auto"/>
        <w:ind w:firstLine="720"/>
        <w:rPr>
          <w:rFonts w:ascii="Times New Roman" w:eastAsia="Times New Roman" w:hAnsi="Times New Roman" w:cs="Times New Roman"/>
          <w:sz w:val="24"/>
          <w:szCs w:val="24"/>
        </w:rPr>
      </w:pPr>
    </w:p>
    <w:p w14:paraId="476A4EF8" w14:textId="3496D959" w:rsidR="00965727" w:rsidRPr="008824B3" w:rsidRDefault="00965727" w:rsidP="008824B3">
      <w:pPr>
        <w:spacing w:before="240" w:after="240" w:line="480" w:lineRule="auto"/>
        <w:ind w:firstLine="720"/>
        <w:rPr>
          <w:rFonts w:ascii="Times New Roman" w:eastAsia="Times New Roman" w:hAnsi="Times New Roman" w:cs="Times New Roman"/>
          <w:sz w:val="24"/>
          <w:szCs w:val="24"/>
        </w:rPr>
      </w:pPr>
    </w:p>
    <w:p w14:paraId="1A1CF789" w14:textId="64511231" w:rsidR="008824B3" w:rsidRPr="008824B3" w:rsidRDefault="008824B3" w:rsidP="008824B3">
      <w:pPr>
        <w:spacing w:before="240" w:after="240" w:line="480" w:lineRule="auto"/>
        <w:ind w:firstLine="720"/>
        <w:rPr>
          <w:rFonts w:ascii="Times New Roman" w:eastAsia="Times New Roman" w:hAnsi="Times New Roman" w:cs="Times New Roman"/>
          <w:sz w:val="24"/>
          <w:szCs w:val="24"/>
        </w:rPr>
      </w:pPr>
    </w:p>
    <w:p w14:paraId="1533D053" w14:textId="77777777" w:rsidR="008824B3" w:rsidRPr="008824B3" w:rsidRDefault="008824B3" w:rsidP="008824B3">
      <w:pPr>
        <w:spacing w:before="240" w:after="240" w:line="480" w:lineRule="auto"/>
        <w:ind w:firstLine="720"/>
        <w:rPr>
          <w:rFonts w:ascii="Times New Roman" w:eastAsia="Times New Roman" w:hAnsi="Times New Roman" w:cs="Times New Roman"/>
          <w:sz w:val="24"/>
          <w:szCs w:val="24"/>
        </w:rPr>
      </w:pPr>
    </w:p>
    <w:p w14:paraId="54645882" w14:textId="77777777" w:rsidR="00965727" w:rsidRPr="008824B3" w:rsidRDefault="000A40CF" w:rsidP="008824B3">
      <w:pPr>
        <w:pStyle w:val="Ttulo1"/>
        <w:spacing w:line="480" w:lineRule="auto"/>
        <w:rPr>
          <w:rFonts w:ascii="Times New Roman" w:hAnsi="Times New Roman" w:cs="Times New Roman"/>
          <w:sz w:val="24"/>
          <w:szCs w:val="24"/>
        </w:rPr>
      </w:pPr>
      <w:bookmarkStart w:id="11" w:name="_heading=h.saoifzh0mbyc" w:colFirst="0" w:colLast="0"/>
      <w:bookmarkEnd w:id="11"/>
      <w:r w:rsidRPr="008824B3">
        <w:rPr>
          <w:rFonts w:ascii="Times New Roman" w:hAnsi="Times New Roman" w:cs="Times New Roman"/>
          <w:sz w:val="24"/>
          <w:szCs w:val="24"/>
        </w:rPr>
        <w:lastRenderedPageBreak/>
        <w:t>M</w:t>
      </w:r>
      <w:r w:rsidRPr="008824B3">
        <w:rPr>
          <w:rFonts w:ascii="Times New Roman" w:hAnsi="Times New Roman" w:cs="Times New Roman"/>
          <w:sz w:val="24"/>
          <w:szCs w:val="24"/>
        </w:rPr>
        <w:t>etodología</w:t>
      </w:r>
    </w:p>
    <w:p w14:paraId="28A459F4" w14:textId="77777777" w:rsidR="00965727" w:rsidRPr="008824B3" w:rsidRDefault="000A40CF" w:rsidP="008824B3">
      <w:pPr>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La presente investigación toma como referente a Adam Smith, al ser uno de los primeros autores en hablar sobre la importancia del bienestar ligado a un aumento de la producción; la teoría Keynesiana para aumentar el gasto público en crisis económicas como </w:t>
      </w:r>
      <w:r w:rsidRPr="008824B3">
        <w:rPr>
          <w:rFonts w:ascii="Times New Roman" w:eastAsia="Times New Roman" w:hAnsi="Times New Roman" w:cs="Times New Roman"/>
          <w:sz w:val="24"/>
          <w:szCs w:val="24"/>
        </w:rPr>
        <w:t xml:space="preserve">mecanismo anticíclico (Smith, A. 1776) y Juan Carlos Echeverry quien presenta la propuesta de realizar políticas anticíclicas siempre y cuando se cumpla con un equilibrio entre los ingresos y gastos de los hogares, empresas y el mismo gobierno (Echeverry, </w:t>
      </w:r>
      <w:r w:rsidRPr="008824B3">
        <w:rPr>
          <w:rFonts w:ascii="Times New Roman" w:eastAsia="Times New Roman" w:hAnsi="Times New Roman" w:cs="Times New Roman"/>
          <w:sz w:val="24"/>
          <w:szCs w:val="24"/>
        </w:rPr>
        <w:t>J. 1999).</w:t>
      </w:r>
    </w:p>
    <w:p w14:paraId="441BC09B" w14:textId="5DC38FB8" w:rsidR="00965727" w:rsidRPr="008824B3" w:rsidRDefault="000A40CF" w:rsidP="008824B3">
      <w:pPr>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Teniendo en cuenta lo mencionado, se analizan estudios hechos en el 2007 por William Baca en el Instituto de estudios económicos del Caribe Universidad del Norte, que explica si la economía </w:t>
      </w:r>
      <w:r w:rsidR="008824B3" w:rsidRPr="008824B3">
        <w:rPr>
          <w:rFonts w:ascii="Times New Roman" w:eastAsia="Times New Roman" w:hAnsi="Times New Roman" w:cs="Times New Roman"/>
          <w:sz w:val="24"/>
          <w:szCs w:val="24"/>
        </w:rPr>
        <w:t>colombiana</w:t>
      </w:r>
      <w:r w:rsidRPr="008824B3">
        <w:rPr>
          <w:rFonts w:ascii="Times New Roman" w:eastAsia="Times New Roman" w:hAnsi="Times New Roman" w:cs="Times New Roman"/>
          <w:sz w:val="24"/>
          <w:szCs w:val="24"/>
        </w:rPr>
        <w:t xml:space="preserve"> es procíclica o anticíclica (Baca, W. 2007), </w:t>
      </w:r>
      <w:r w:rsidRPr="008824B3">
        <w:rPr>
          <w:rFonts w:ascii="Times New Roman" w:eastAsia="Times New Roman" w:hAnsi="Times New Roman" w:cs="Times New Roman"/>
          <w:sz w:val="24"/>
          <w:szCs w:val="24"/>
        </w:rPr>
        <w:t xml:space="preserve">o el trabajo realizado por Mauricio </w:t>
      </w:r>
      <w:r w:rsidR="008824B3" w:rsidRPr="008824B3">
        <w:rPr>
          <w:rFonts w:ascii="Times New Roman" w:eastAsia="Times New Roman" w:hAnsi="Times New Roman" w:cs="Times New Roman"/>
          <w:sz w:val="24"/>
          <w:szCs w:val="24"/>
        </w:rPr>
        <w:t>López</w:t>
      </w:r>
      <w:r w:rsidRPr="008824B3">
        <w:rPr>
          <w:rFonts w:ascii="Times New Roman" w:eastAsia="Times New Roman" w:hAnsi="Times New Roman" w:cs="Times New Roman"/>
          <w:sz w:val="24"/>
          <w:szCs w:val="24"/>
        </w:rPr>
        <w:t xml:space="preserve"> en el 2009, acerca del alcance de la política fiscal contracíclica en América latina (</w:t>
      </w:r>
      <w:r w:rsidR="008824B3" w:rsidRPr="008824B3">
        <w:rPr>
          <w:rFonts w:ascii="Times New Roman" w:eastAsia="Times New Roman" w:hAnsi="Times New Roman" w:cs="Times New Roman"/>
          <w:sz w:val="24"/>
          <w:szCs w:val="24"/>
        </w:rPr>
        <w:t>López</w:t>
      </w:r>
      <w:r w:rsidRPr="008824B3">
        <w:rPr>
          <w:rFonts w:ascii="Times New Roman" w:eastAsia="Times New Roman" w:hAnsi="Times New Roman" w:cs="Times New Roman"/>
          <w:sz w:val="24"/>
          <w:szCs w:val="24"/>
        </w:rPr>
        <w:t>, M. 2009).</w:t>
      </w:r>
    </w:p>
    <w:p w14:paraId="77B8C16A" w14:textId="77777777" w:rsidR="00965727" w:rsidRPr="008824B3" w:rsidRDefault="000A40CF" w:rsidP="008824B3">
      <w:pPr>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Los datos que se utilizarán como apoyo para realizar análisis de las cifras brindadas, serán los disponibles en</w:t>
      </w:r>
      <w:r w:rsidRPr="008824B3">
        <w:rPr>
          <w:rFonts w:ascii="Times New Roman" w:eastAsia="Times New Roman" w:hAnsi="Times New Roman" w:cs="Times New Roman"/>
          <w:sz w:val="24"/>
          <w:szCs w:val="24"/>
        </w:rPr>
        <w:t xml:space="preserve"> los boletines que publica la Contraloría, Ministerio de Hacienda, (DANE) y el alza o baja de las variables estadísticas en los periodos que se ejecutaron estos recursos. </w:t>
      </w:r>
    </w:p>
    <w:p w14:paraId="05E0E7D0" w14:textId="4E8E5F58" w:rsidR="00965727" w:rsidRPr="008824B3" w:rsidRDefault="000A40CF" w:rsidP="008824B3">
      <w:pPr>
        <w:pBdr>
          <w:top w:val="nil"/>
          <w:left w:val="nil"/>
          <w:bottom w:val="nil"/>
          <w:right w:val="nil"/>
          <w:between w:val="nil"/>
        </w:pBdr>
        <w:spacing w:before="240" w:after="240" w:line="480" w:lineRule="auto"/>
        <w:ind w:firstLine="720"/>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Las herramientas de análisis a implementar serán las gráficas circulares, líneas y c</w:t>
      </w:r>
      <w:r w:rsidRPr="008824B3">
        <w:rPr>
          <w:rFonts w:ascii="Times New Roman" w:eastAsia="Times New Roman" w:hAnsi="Times New Roman" w:cs="Times New Roman"/>
          <w:sz w:val="24"/>
          <w:szCs w:val="24"/>
        </w:rPr>
        <w:t>ombinadas, por la interpretación que se le pueden dar gracias a los datos obtenidos para la visualización de cada variable a tratar, las cuales conforman un único objetivo a inferir, identificar la tendencia de un factor a través del tiempo, y comparar dos</w:t>
      </w:r>
      <w:r w:rsidRPr="008824B3">
        <w:rPr>
          <w:rFonts w:ascii="Times New Roman" w:eastAsia="Times New Roman" w:hAnsi="Times New Roman" w:cs="Times New Roman"/>
          <w:sz w:val="24"/>
          <w:szCs w:val="24"/>
        </w:rPr>
        <w:t xml:space="preserve"> o más variables con el fin de identificar la relación y comportamiento de las mismas. </w:t>
      </w:r>
    </w:p>
    <w:p w14:paraId="2029C40C" w14:textId="77777777" w:rsidR="00965727" w:rsidRPr="008824B3" w:rsidRDefault="000A40CF" w:rsidP="008824B3">
      <w:pPr>
        <w:pStyle w:val="Ttulo1"/>
        <w:spacing w:line="480" w:lineRule="auto"/>
        <w:rPr>
          <w:rFonts w:ascii="Times New Roman" w:hAnsi="Times New Roman" w:cs="Times New Roman"/>
          <w:sz w:val="24"/>
          <w:szCs w:val="24"/>
        </w:rPr>
      </w:pPr>
      <w:r w:rsidRPr="008824B3">
        <w:rPr>
          <w:rFonts w:ascii="Times New Roman" w:hAnsi="Times New Roman" w:cs="Times New Roman"/>
          <w:sz w:val="24"/>
          <w:szCs w:val="24"/>
        </w:rPr>
        <w:lastRenderedPageBreak/>
        <w:t>Revisión de la literatura</w:t>
      </w:r>
    </w:p>
    <w:p w14:paraId="7D52BDA6" w14:textId="77777777" w:rsidR="00965727" w:rsidRPr="008824B3" w:rsidRDefault="000A40CF" w:rsidP="008824B3">
      <w:pPr>
        <w:keepNext/>
        <w:keepLines/>
        <w:spacing w:before="240" w:after="240" w:line="480" w:lineRule="auto"/>
        <w:ind w:firstLine="720"/>
        <w:rPr>
          <w:rFonts w:ascii="Times New Roman" w:eastAsia="Times New Roman" w:hAnsi="Times New Roman" w:cs="Times New Roman"/>
          <w:sz w:val="24"/>
          <w:szCs w:val="24"/>
        </w:rPr>
      </w:pPr>
      <w:bookmarkStart w:id="12" w:name="_heading=h.ng444nkvdpwr" w:colFirst="0" w:colLast="0"/>
      <w:bookmarkEnd w:id="12"/>
      <w:r w:rsidRPr="008824B3">
        <w:rPr>
          <w:rFonts w:ascii="Times New Roman" w:eastAsia="Times New Roman" w:hAnsi="Times New Roman" w:cs="Times New Roman"/>
          <w:sz w:val="24"/>
          <w:szCs w:val="24"/>
        </w:rPr>
        <w:t>Es importante que la ciudadanía pueda apreciar la gestión que se hace sobre el manejo de los recursos públicos, en esta ocasión los recursos q</w:t>
      </w:r>
      <w:r w:rsidRPr="008824B3">
        <w:rPr>
          <w:rFonts w:ascii="Times New Roman" w:eastAsia="Times New Roman" w:hAnsi="Times New Roman" w:cs="Times New Roman"/>
          <w:sz w:val="24"/>
          <w:szCs w:val="24"/>
        </w:rPr>
        <w:t>ue han sido empleados en la instauración del fondo de mitigación de emergencias. Con ayuda de este informe, se tendrá en cuenta aspectos relevantes como los objetivos y la reglamentación que cobijan este gasto, los usos de estos recursos y finalmente su ej</w:t>
      </w:r>
      <w:r w:rsidRPr="008824B3">
        <w:rPr>
          <w:rFonts w:ascii="Times New Roman" w:eastAsia="Times New Roman" w:hAnsi="Times New Roman" w:cs="Times New Roman"/>
          <w:sz w:val="24"/>
          <w:szCs w:val="24"/>
        </w:rPr>
        <w:t>ecución e incidencia sobre la actividad económica y la protección del empleo a causa de la pandemia (FOME, 2020). De igual manera, es importante para hacer una lectura de la información remitirse a fuentes de información oficiales como la publicación de bo</w:t>
      </w:r>
      <w:r w:rsidRPr="008824B3">
        <w:rPr>
          <w:rFonts w:ascii="Times New Roman" w:eastAsia="Times New Roman" w:hAnsi="Times New Roman" w:cs="Times New Roman"/>
          <w:sz w:val="24"/>
          <w:szCs w:val="24"/>
        </w:rPr>
        <w:t xml:space="preserve">letines mensuales por parte de la contraloría, presentando la ejecución de los recursos dispuestos por el Gobierno Nacional para la mitigación de la emergencia COVID -19 (Contraloría General de la Nación, 2020). </w:t>
      </w:r>
    </w:p>
    <w:p w14:paraId="6A427978" w14:textId="71ACBD50" w:rsidR="00965727" w:rsidRPr="008824B3" w:rsidRDefault="000A40CF" w:rsidP="008824B3">
      <w:pPr>
        <w:keepNext/>
        <w:keepLines/>
        <w:spacing w:before="240" w:after="240" w:line="480" w:lineRule="auto"/>
        <w:ind w:firstLine="720"/>
        <w:rPr>
          <w:rFonts w:ascii="Times New Roman" w:eastAsia="Times New Roman" w:hAnsi="Times New Roman" w:cs="Times New Roman"/>
          <w:sz w:val="24"/>
          <w:szCs w:val="24"/>
        </w:rPr>
      </w:pPr>
      <w:bookmarkStart w:id="13" w:name="_heading=h.hmmewnsf7w3p" w:colFirst="0" w:colLast="0"/>
      <w:bookmarkEnd w:id="13"/>
      <w:r w:rsidRPr="008824B3">
        <w:rPr>
          <w:rFonts w:ascii="Times New Roman" w:eastAsia="Times New Roman" w:hAnsi="Times New Roman" w:cs="Times New Roman"/>
          <w:sz w:val="24"/>
          <w:szCs w:val="24"/>
        </w:rPr>
        <w:t xml:space="preserve">La capacidad para que los gobiernos puedan </w:t>
      </w:r>
      <w:r w:rsidRPr="008824B3">
        <w:rPr>
          <w:rFonts w:ascii="Times New Roman" w:eastAsia="Times New Roman" w:hAnsi="Times New Roman" w:cs="Times New Roman"/>
          <w:sz w:val="24"/>
          <w:szCs w:val="24"/>
        </w:rPr>
        <w:t>mitigar crisis por medio del gasto es mencionada por Keynes en su obra “</w:t>
      </w:r>
      <w:r w:rsidRPr="008824B3">
        <w:rPr>
          <w:rFonts w:ascii="Times New Roman" w:eastAsia="Times New Roman" w:hAnsi="Times New Roman" w:cs="Times New Roman"/>
          <w:color w:val="202124"/>
          <w:sz w:val="24"/>
          <w:szCs w:val="24"/>
          <w:highlight w:val="white"/>
        </w:rPr>
        <w:t>Teoría general del empleo, el interés y el dinero” donde al haber una disminución en el gasto y en la demanda por parte de externalidades negativas que impulsan una recesión en el cicl</w:t>
      </w:r>
      <w:r w:rsidRPr="008824B3">
        <w:rPr>
          <w:rFonts w:ascii="Times New Roman" w:eastAsia="Times New Roman" w:hAnsi="Times New Roman" w:cs="Times New Roman"/>
          <w:color w:val="202124"/>
          <w:sz w:val="24"/>
          <w:szCs w:val="24"/>
          <w:highlight w:val="white"/>
        </w:rPr>
        <w:t xml:space="preserve">o económico, es necesario incentivar una salida prematura del ciclo en declive y/o causar menos rezagos en la economía por medio de un aumento del gasto público </w:t>
      </w:r>
      <w:r w:rsidRPr="008824B3">
        <w:rPr>
          <w:rFonts w:ascii="Times New Roman" w:eastAsia="Times New Roman" w:hAnsi="Times New Roman" w:cs="Times New Roman"/>
          <w:sz w:val="24"/>
          <w:szCs w:val="24"/>
        </w:rPr>
        <w:t xml:space="preserve">(Keynes, J. 1936). Por otro lado, Smith en su investigación </w:t>
      </w:r>
      <w:r w:rsidR="008824B3" w:rsidRPr="008824B3">
        <w:rPr>
          <w:rFonts w:ascii="Times New Roman" w:eastAsia="Times New Roman" w:hAnsi="Times New Roman" w:cs="Times New Roman"/>
          <w:sz w:val="24"/>
          <w:szCs w:val="24"/>
        </w:rPr>
        <w:t>en “La</w:t>
      </w:r>
      <w:r w:rsidRPr="008824B3">
        <w:rPr>
          <w:rFonts w:ascii="Times New Roman" w:eastAsia="Times New Roman" w:hAnsi="Times New Roman" w:cs="Times New Roman"/>
          <w:sz w:val="24"/>
          <w:szCs w:val="24"/>
        </w:rPr>
        <w:t xml:space="preserve"> Riqueza de las Naciones” anal</w:t>
      </w:r>
      <w:r w:rsidRPr="008824B3">
        <w:rPr>
          <w:rFonts w:ascii="Times New Roman" w:eastAsia="Times New Roman" w:hAnsi="Times New Roman" w:cs="Times New Roman"/>
          <w:sz w:val="24"/>
          <w:szCs w:val="24"/>
        </w:rPr>
        <w:t>iza la naturaleza y causas del crecimiento económico de las naciones, siendo un texto realmente influyente en el estudio de la economía. Así mismo, defiende que al permitir que el gasto público se financie a través de deuda perpetua, sufragando mediante la</w:t>
      </w:r>
      <w:r w:rsidRPr="008824B3">
        <w:rPr>
          <w:rFonts w:ascii="Times New Roman" w:eastAsia="Times New Roman" w:hAnsi="Times New Roman" w:cs="Times New Roman"/>
          <w:sz w:val="24"/>
          <w:szCs w:val="24"/>
        </w:rPr>
        <w:t xml:space="preserve"> destrucción anual de algún capital que existía en el país. (Smith, A. 1776). </w:t>
      </w:r>
    </w:p>
    <w:p w14:paraId="133AEDA7" w14:textId="48699DB2" w:rsidR="00965727" w:rsidRPr="008824B3" w:rsidRDefault="000A40CF" w:rsidP="008824B3">
      <w:pPr>
        <w:keepNext/>
        <w:keepLines/>
        <w:spacing w:before="240" w:after="240" w:line="480" w:lineRule="auto"/>
        <w:ind w:firstLine="720"/>
        <w:rPr>
          <w:rFonts w:ascii="Times New Roman" w:eastAsia="Times New Roman" w:hAnsi="Times New Roman" w:cs="Times New Roman"/>
          <w:sz w:val="24"/>
          <w:szCs w:val="24"/>
        </w:rPr>
      </w:pPr>
      <w:bookmarkStart w:id="14" w:name="_heading=h.dpvldxbtspyn" w:colFirst="0" w:colLast="0"/>
      <w:bookmarkEnd w:id="14"/>
      <w:r w:rsidRPr="008824B3">
        <w:rPr>
          <w:rFonts w:ascii="Times New Roman" w:eastAsia="Times New Roman" w:hAnsi="Times New Roman" w:cs="Times New Roman"/>
          <w:sz w:val="24"/>
          <w:szCs w:val="24"/>
        </w:rPr>
        <w:lastRenderedPageBreak/>
        <w:t xml:space="preserve">Recurrimos a </w:t>
      </w:r>
      <w:r w:rsidR="008824B3" w:rsidRPr="008824B3">
        <w:rPr>
          <w:rFonts w:ascii="Times New Roman" w:eastAsia="Times New Roman" w:hAnsi="Times New Roman" w:cs="Times New Roman"/>
          <w:sz w:val="24"/>
          <w:szCs w:val="24"/>
        </w:rPr>
        <w:t>López</w:t>
      </w:r>
      <w:r w:rsidRPr="008824B3">
        <w:rPr>
          <w:rFonts w:ascii="Times New Roman" w:eastAsia="Times New Roman" w:hAnsi="Times New Roman" w:cs="Times New Roman"/>
          <w:sz w:val="24"/>
          <w:szCs w:val="24"/>
        </w:rPr>
        <w:t xml:space="preserve"> realizando un acercamiento de los beneficios que brinda una política fiscal estable, enfocando el gasto por medio de políticas anticíclicas ejecutadas en peri</w:t>
      </w:r>
      <w:r w:rsidRPr="008824B3">
        <w:rPr>
          <w:rFonts w:ascii="Times New Roman" w:eastAsia="Times New Roman" w:hAnsi="Times New Roman" w:cs="Times New Roman"/>
          <w:sz w:val="24"/>
          <w:szCs w:val="24"/>
        </w:rPr>
        <w:t>odos de recesión con objetivos relacionados a la estabilidad macroeconómica. El estudio contempla el cálculo y análisis de diferentes indicadores y evaluación empírica para un conjunto de países de América Latina (</w:t>
      </w:r>
      <w:r w:rsidR="008824B3" w:rsidRPr="008824B3">
        <w:rPr>
          <w:rFonts w:ascii="Times New Roman" w:eastAsia="Times New Roman" w:hAnsi="Times New Roman" w:cs="Times New Roman"/>
          <w:sz w:val="24"/>
          <w:szCs w:val="24"/>
        </w:rPr>
        <w:t>López</w:t>
      </w:r>
      <w:r w:rsidRPr="008824B3">
        <w:rPr>
          <w:rFonts w:ascii="Times New Roman" w:eastAsia="Times New Roman" w:hAnsi="Times New Roman" w:cs="Times New Roman"/>
          <w:sz w:val="24"/>
          <w:szCs w:val="24"/>
        </w:rPr>
        <w:t>, M. 2009</w:t>
      </w:r>
      <w:r w:rsidR="008824B3" w:rsidRPr="008824B3">
        <w:rPr>
          <w:rFonts w:ascii="Times New Roman" w:eastAsia="Times New Roman" w:hAnsi="Times New Roman" w:cs="Times New Roman"/>
          <w:sz w:val="24"/>
          <w:szCs w:val="24"/>
        </w:rPr>
        <w:t>).</w:t>
      </w:r>
      <w:r w:rsidRPr="008824B3">
        <w:rPr>
          <w:rFonts w:ascii="Times New Roman" w:eastAsia="Times New Roman" w:hAnsi="Times New Roman" w:cs="Times New Roman"/>
          <w:sz w:val="24"/>
          <w:szCs w:val="24"/>
        </w:rPr>
        <w:t xml:space="preserve"> Para lo que será importa</w:t>
      </w:r>
      <w:r w:rsidRPr="008824B3">
        <w:rPr>
          <w:rFonts w:ascii="Times New Roman" w:eastAsia="Times New Roman" w:hAnsi="Times New Roman" w:cs="Times New Roman"/>
          <w:sz w:val="24"/>
          <w:szCs w:val="24"/>
        </w:rPr>
        <w:t>nte poder identificar en qué momento la política fiscal en Colombia fue anticíclica o procíclica, tomando como referencia a Baca, afirmando que, cuando la economía presenta desaceleraciones o recesiones, se logra identificar que los periodos anticíclicos e</w:t>
      </w:r>
      <w:r w:rsidRPr="008824B3">
        <w:rPr>
          <w:rFonts w:ascii="Times New Roman" w:eastAsia="Times New Roman" w:hAnsi="Times New Roman" w:cs="Times New Roman"/>
          <w:sz w:val="24"/>
          <w:szCs w:val="24"/>
        </w:rPr>
        <w:t>stuvieron acompañados con bajas tasas de desempleo, y los periodos procíclicos por altas tasas de desempleo. Se concluye que la política fiscal debe tener discrecionalidad para reactivar la economía cuando se desacelera y el sector externo no tenga restric</w:t>
      </w:r>
      <w:r w:rsidRPr="008824B3">
        <w:rPr>
          <w:rFonts w:ascii="Times New Roman" w:eastAsia="Times New Roman" w:hAnsi="Times New Roman" w:cs="Times New Roman"/>
          <w:sz w:val="24"/>
          <w:szCs w:val="24"/>
        </w:rPr>
        <w:t>ciones como la devaluación de la moneda local originada por desbalances externos negativos. (Baca, W. 2007).</w:t>
      </w:r>
    </w:p>
    <w:p w14:paraId="56BBD936" w14:textId="77777777" w:rsidR="00965727" w:rsidRPr="008824B3" w:rsidRDefault="00965727" w:rsidP="008824B3">
      <w:pPr>
        <w:keepNext/>
        <w:keepLines/>
        <w:pBdr>
          <w:top w:val="nil"/>
          <w:left w:val="nil"/>
          <w:bottom w:val="nil"/>
          <w:right w:val="nil"/>
          <w:between w:val="nil"/>
        </w:pBdr>
        <w:spacing w:before="240" w:line="480" w:lineRule="auto"/>
        <w:ind w:firstLine="720"/>
        <w:jc w:val="both"/>
        <w:rPr>
          <w:rFonts w:ascii="Times New Roman" w:eastAsia="Times New Roman" w:hAnsi="Times New Roman" w:cs="Times New Roman"/>
          <w:sz w:val="24"/>
          <w:szCs w:val="24"/>
        </w:rPr>
      </w:pPr>
      <w:bookmarkStart w:id="15" w:name="_heading=h.l0uonqs9id53" w:colFirst="0" w:colLast="0"/>
      <w:bookmarkEnd w:id="15"/>
    </w:p>
    <w:p w14:paraId="7F88D9A2" w14:textId="77777777" w:rsidR="00965727" w:rsidRPr="008824B3" w:rsidRDefault="00965727" w:rsidP="008824B3">
      <w:pPr>
        <w:keepNext/>
        <w:keepLines/>
        <w:pBdr>
          <w:top w:val="nil"/>
          <w:left w:val="nil"/>
          <w:bottom w:val="nil"/>
          <w:right w:val="nil"/>
          <w:between w:val="nil"/>
        </w:pBdr>
        <w:spacing w:before="240" w:line="480" w:lineRule="auto"/>
        <w:jc w:val="center"/>
        <w:rPr>
          <w:rFonts w:ascii="Times New Roman" w:eastAsia="Times New Roman" w:hAnsi="Times New Roman" w:cs="Times New Roman"/>
          <w:color w:val="366091"/>
          <w:sz w:val="24"/>
          <w:szCs w:val="24"/>
        </w:rPr>
      </w:pPr>
      <w:bookmarkStart w:id="16" w:name="_heading=h.w1xqg88a50tt" w:colFirst="0" w:colLast="0"/>
      <w:bookmarkEnd w:id="16"/>
    </w:p>
    <w:p w14:paraId="40122712" w14:textId="77777777" w:rsidR="00965727" w:rsidRPr="008824B3" w:rsidRDefault="00965727" w:rsidP="008824B3">
      <w:pPr>
        <w:spacing w:before="240" w:after="240" w:line="480" w:lineRule="auto"/>
        <w:jc w:val="both"/>
        <w:rPr>
          <w:rFonts w:ascii="Times New Roman" w:eastAsia="Times New Roman" w:hAnsi="Times New Roman" w:cs="Times New Roman"/>
          <w:sz w:val="24"/>
          <w:szCs w:val="24"/>
        </w:rPr>
      </w:pPr>
    </w:p>
    <w:p w14:paraId="1371A3E6" w14:textId="77777777" w:rsidR="00965727" w:rsidRPr="008824B3" w:rsidRDefault="00965727" w:rsidP="008824B3">
      <w:pPr>
        <w:keepNext/>
        <w:keepLines/>
        <w:pBdr>
          <w:top w:val="nil"/>
          <w:left w:val="nil"/>
          <w:bottom w:val="nil"/>
          <w:right w:val="nil"/>
          <w:between w:val="nil"/>
        </w:pBdr>
        <w:spacing w:before="240" w:line="480" w:lineRule="auto"/>
        <w:rPr>
          <w:rFonts w:ascii="Times New Roman" w:eastAsia="Times New Roman" w:hAnsi="Times New Roman" w:cs="Times New Roman"/>
          <w:color w:val="366091"/>
          <w:sz w:val="24"/>
          <w:szCs w:val="24"/>
        </w:rPr>
      </w:pPr>
      <w:bookmarkStart w:id="17" w:name="_heading=h.ctmaw42sm6m7" w:colFirst="0" w:colLast="0"/>
      <w:bookmarkEnd w:id="17"/>
    </w:p>
    <w:p w14:paraId="09A9778A" w14:textId="77777777" w:rsidR="00965727" w:rsidRPr="008824B3" w:rsidRDefault="00965727" w:rsidP="008824B3">
      <w:pPr>
        <w:keepNext/>
        <w:keepLines/>
        <w:pBdr>
          <w:top w:val="nil"/>
          <w:left w:val="nil"/>
          <w:bottom w:val="nil"/>
          <w:right w:val="nil"/>
          <w:between w:val="nil"/>
        </w:pBdr>
        <w:spacing w:before="240" w:line="480" w:lineRule="auto"/>
        <w:rPr>
          <w:rFonts w:ascii="Times New Roman" w:eastAsia="Times New Roman" w:hAnsi="Times New Roman" w:cs="Times New Roman"/>
          <w:color w:val="366091"/>
          <w:sz w:val="24"/>
          <w:szCs w:val="24"/>
        </w:rPr>
      </w:pPr>
      <w:bookmarkStart w:id="18" w:name="_heading=h.qomzm7xrkd18" w:colFirst="0" w:colLast="0"/>
      <w:bookmarkEnd w:id="18"/>
    </w:p>
    <w:p w14:paraId="44F5F3A4" w14:textId="77777777" w:rsidR="006F0E42" w:rsidRPr="008824B3" w:rsidRDefault="006F0E42" w:rsidP="008824B3">
      <w:pPr>
        <w:keepNext/>
        <w:keepLines/>
        <w:pBdr>
          <w:top w:val="nil"/>
          <w:left w:val="nil"/>
          <w:bottom w:val="nil"/>
          <w:right w:val="nil"/>
          <w:between w:val="nil"/>
        </w:pBdr>
        <w:spacing w:before="240" w:line="480" w:lineRule="auto"/>
        <w:rPr>
          <w:rFonts w:ascii="Times New Roman" w:eastAsia="Times New Roman" w:hAnsi="Times New Roman" w:cs="Times New Roman"/>
          <w:color w:val="366091"/>
          <w:sz w:val="24"/>
          <w:szCs w:val="24"/>
        </w:rPr>
      </w:pPr>
    </w:p>
    <w:p w14:paraId="661B23C6" w14:textId="77777777" w:rsidR="00965727" w:rsidRPr="008824B3" w:rsidRDefault="000A40CF" w:rsidP="008824B3">
      <w:pPr>
        <w:pStyle w:val="Ttulo1"/>
        <w:spacing w:line="480" w:lineRule="auto"/>
        <w:rPr>
          <w:rFonts w:ascii="Times New Roman" w:hAnsi="Times New Roman" w:cs="Times New Roman"/>
          <w:sz w:val="24"/>
          <w:szCs w:val="24"/>
        </w:rPr>
      </w:pPr>
      <w:bookmarkStart w:id="19" w:name="_heading=h.7x8oullfhr40" w:colFirst="0" w:colLast="0"/>
      <w:bookmarkEnd w:id="19"/>
      <w:r w:rsidRPr="008824B3">
        <w:rPr>
          <w:rFonts w:ascii="Times New Roman" w:hAnsi="Times New Roman" w:cs="Times New Roman"/>
          <w:sz w:val="24"/>
          <w:szCs w:val="24"/>
        </w:rPr>
        <w:t>Bibliografía</w:t>
      </w:r>
    </w:p>
    <w:p w14:paraId="1D600222" w14:textId="7A5A787B" w:rsidR="00965727" w:rsidRPr="008824B3" w:rsidRDefault="000A40CF" w:rsidP="008824B3">
      <w:pPr>
        <w:spacing w:line="480" w:lineRule="auto"/>
        <w:ind w:left="708" w:hanging="708"/>
        <w:jc w:val="both"/>
        <w:rPr>
          <w:rFonts w:ascii="Times New Roman" w:eastAsia="Times New Roman" w:hAnsi="Times New Roman" w:cs="Times New Roman"/>
          <w:color w:val="202124"/>
          <w:sz w:val="24"/>
          <w:szCs w:val="24"/>
          <w:highlight w:val="white"/>
          <w:lang w:val="en-US"/>
        </w:rPr>
      </w:pPr>
      <w:r w:rsidRPr="008824B3">
        <w:rPr>
          <w:rFonts w:ascii="Times New Roman" w:eastAsia="Times New Roman" w:hAnsi="Times New Roman" w:cs="Times New Roman"/>
          <w:color w:val="202124"/>
          <w:sz w:val="24"/>
          <w:szCs w:val="24"/>
          <w:highlight w:val="white"/>
        </w:rPr>
        <w:t xml:space="preserve">Alloza, M., J. Andrés, J. J. Pérez y J. A. Rojas (2020). </w:t>
      </w:r>
      <w:r w:rsidRPr="008824B3">
        <w:rPr>
          <w:rFonts w:ascii="Times New Roman" w:eastAsia="Times New Roman" w:hAnsi="Times New Roman" w:cs="Times New Roman"/>
          <w:color w:val="202124"/>
          <w:sz w:val="24"/>
          <w:szCs w:val="24"/>
          <w:highlight w:val="white"/>
          <w:lang w:val="en-US"/>
        </w:rPr>
        <w:t>«Implicit public debt thresholds: An operational proposal», Journal of Policy Modeling, de próxima publicación.</w:t>
      </w:r>
    </w:p>
    <w:p w14:paraId="7BCD01DD" w14:textId="77777777" w:rsidR="008824B3" w:rsidRPr="008824B3" w:rsidRDefault="008824B3" w:rsidP="008824B3">
      <w:pPr>
        <w:spacing w:line="480" w:lineRule="auto"/>
        <w:ind w:left="708" w:hanging="708"/>
        <w:jc w:val="both"/>
        <w:rPr>
          <w:rFonts w:ascii="Times New Roman" w:eastAsia="Times New Roman" w:hAnsi="Times New Roman" w:cs="Times New Roman"/>
          <w:color w:val="202124"/>
          <w:sz w:val="24"/>
          <w:szCs w:val="24"/>
          <w:highlight w:val="white"/>
          <w:lang w:val="en-US"/>
        </w:rPr>
      </w:pPr>
    </w:p>
    <w:p w14:paraId="073E9890" w14:textId="67203222" w:rsidR="00965727" w:rsidRPr="008824B3" w:rsidRDefault="000A40CF" w:rsidP="008824B3">
      <w:pPr>
        <w:spacing w:line="480" w:lineRule="auto"/>
        <w:ind w:left="708" w:hanging="708"/>
        <w:jc w:val="both"/>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Baca, W. (2007). La política fiscal en Colombia: ¿Procíclica, </w:t>
      </w:r>
      <w:r w:rsidR="008824B3" w:rsidRPr="008824B3">
        <w:rPr>
          <w:rFonts w:ascii="Times New Roman" w:eastAsia="Times New Roman" w:hAnsi="Times New Roman" w:cs="Times New Roman"/>
          <w:sz w:val="24"/>
          <w:szCs w:val="24"/>
        </w:rPr>
        <w:t>anticíclica?</w:t>
      </w:r>
      <w:r w:rsidRPr="008824B3">
        <w:rPr>
          <w:rFonts w:ascii="Times New Roman" w:eastAsia="Times New Roman" w:hAnsi="Times New Roman" w:cs="Times New Roman"/>
          <w:sz w:val="24"/>
          <w:szCs w:val="24"/>
        </w:rPr>
        <w:t xml:space="preserve"> Recuperado</w:t>
      </w:r>
      <w:r w:rsidRPr="008824B3">
        <w:rPr>
          <w:rFonts w:ascii="Times New Roman" w:eastAsia="Times New Roman" w:hAnsi="Times New Roman" w:cs="Times New Roman"/>
          <w:sz w:val="24"/>
          <w:szCs w:val="24"/>
        </w:rPr>
        <w:t xml:space="preserve"> de: </w:t>
      </w:r>
      <w:hyperlink r:id="rId10">
        <w:r w:rsidRPr="008824B3">
          <w:rPr>
            <w:rFonts w:ascii="Times New Roman" w:eastAsia="Times New Roman" w:hAnsi="Times New Roman" w:cs="Times New Roman"/>
            <w:color w:val="1155CC"/>
            <w:sz w:val="24"/>
            <w:szCs w:val="24"/>
            <w:u w:val="single"/>
          </w:rPr>
          <w:t>https://www.uninorte.edu.co/documents/71261/0/pdf+27/f67bfb93-d4ed-4ea6-a583-d1686025e5d6</w:t>
        </w:r>
      </w:hyperlink>
      <w:r w:rsidRPr="008824B3">
        <w:rPr>
          <w:rFonts w:ascii="Times New Roman" w:eastAsia="Times New Roman" w:hAnsi="Times New Roman" w:cs="Times New Roman"/>
          <w:sz w:val="24"/>
          <w:szCs w:val="24"/>
        </w:rPr>
        <w:t xml:space="preserve"> </w:t>
      </w:r>
    </w:p>
    <w:p w14:paraId="076F875C" w14:textId="77777777" w:rsidR="00965727" w:rsidRPr="008824B3" w:rsidRDefault="00965727" w:rsidP="008824B3">
      <w:pPr>
        <w:spacing w:line="480" w:lineRule="auto"/>
        <w:ind w:left="708" w:hanging="708"/>
        <w:jc w:val="both"/>
        <w:rPr>
          <w:rFonts w:ascii="Times New Roman" w:eastAsia="Times New Roman" w:hAnsi="Times New Roman" w:cs="Times New Roman"/>
          <w:sz w:val="24"/>
          <w:szCs w:val="24"/>
        </w:rPr>
      </w:pPr>
    </w:p>
    <w:p w14:paraId="5CA88CFE" w14:textId="2B0E97EA" w:rsidR="00965727" w:rsidRPr="008824B3" w:rsidRDefault="000A40CF" w:rsidP="008824B3">
      <w:pPr>
        <w:spacing w:line="480" w:lineRule="auto"/>
        <w:ind w:left="708" w:hanging="708"/>
        <w:jc w:val="both"/>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Contraloría General de la Nación. (2020). Activida</w:t>
      </w:r>
      <w:r w:rsidRPr="008824B3">
        <w:rPr>
          <w:rFonts w:ascii="Times New Roman" w:eastAsia="Times New Roman" w:hAnsi="Times New Roman" w:cs="Times New Roman"/>
          <w:sz w:val="24"/>
          <w:szCs w:val="24"/>
        </w:rPr>
        <w:t xml:space="preserve">des </w:t>
      </w:r>
      <w:r w:rsidR="008824B3" w:rsidRPr="008824B3">
        <w:rPr>
          <w:rFonts w:ascii="Times New Roman" w:eastAsia="Times New Roman" w:hAnsi="Times New Roman" w:cs="Times New Roman"/>
          <w:sz w:val="24"/>
          <w:szCs w:val="24"/>
        </w:rPr>
        <w:t>de especial</w:t>
      </w:r>
      <w:r w:rsidRPr="008824B3">
        <w:rPr>
          <w:rFonts w:ascii="Times New Roman" w:eastAsia="Times New Roman" w:hAnsi="Times New Roman" w:cs="Times New Roman"/>
          <w:sz w:val="24"/>
          <w:szCs w:val="24"/>
        </w:rPr>
        <w:t xml:space="preserve"> seguimiento a los recursos dispuestos por el gobierno nacional para la emergencia covid-19. Recuperado de: </w:t>
      </w:r>
      <w:hyperlink r:id="rId11">
        <w:r w:rsidRPr="008824B3">
          <w:rPr>
            <w:rFonts w:ascii="Times New Roman" w:eastAsia="Times New Roman" w:hAnsi="Times New Roman" w:cs="Times New Roman"/>
            <w:color w:val="1155CC"/>
            <w:sz w:val="24"/>
            <w:szCs w:val="24"/>
            <w:u w:val="single"/>
          </w:rPr>
          <w:t>https://www.contraloria.gov.co/documents/20181/2137717/BOLETIN+15+FOME.pdf/fd2d92c7-fc3f-4d1c-be93-81440bca1d2e?version=1.0</w:t>
        </w:r>
      </w:hyperlink>
    </w:p>
    <w:p w14:paraId="4935CB6F" w14:textId="77777777" w:rsidR="00965727" w:rsidRPr="008824B3" w:rsidRDefault="00965727" w:rsidP="008824B3">
      <w:pPr>
        <w:spacing w:line="480" w:lineRule="auto"/>
        <w:ind w:left="708" w:hanging="708"/>
        <w:jc w:val="both"/>
        <w:rPr>
          <w:rFonts w:ascii="Times New Roman" w:eastAsia="Times New Roman" w:hAnsi="Times New Roman" w:cs="Times New Roman"/>
          <w:sz w:val="24"/>
          <w:szCs w:val="24"/>
        </w:rPr>
      </w:pPr>
    </w:p>
    <w:p w14:paraId="2FCA2F07" w14:textId="55A37D58" w:rsidR="00965727" w:rsidRPr="008824B3" w:rsidRDefault="000A40CF" w:rsidP="008824B3">
      <w:pPr>
        <w:spacing w:line="480" w:lineRule="auto"/>
        <w:ind w:left="708" w:hanging="708"/>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Echeverry, J. (1999). “La Recesión Actual en Colombia: </w:t>
      </w:r>
      <w:r w:rsidR="008824B3" w:rsidRPr="008824B3">
        <w:rPr>
          <w:rFonts w:ascii="Times New Roman" w:eastAsia="Times New Roman" w:hAnsi="Times New Roman" w:cs="Times New Roman"/>
          <w:sz w:val="24"/>
          <w:szCs w:val="24"/>
        </w:rPr>
        <w:t>Flujos, Balances</w:t>
      </w:r>
      <w:r w:rsidRPr="008824B3">
        <w:rPr>
          <w:rFonts w:ascii="Times New Roman" w:eastAsia="Times New Roman" w:hAnsi="Times New Roman" w:cs="Times New Roman"/>
          <w:sz w:val="24"/>
          <w:szCs w:val="24"/>
        </w:rPr>
        <w:t xml:space="preserve"> y Política Anticíclica,” Archivos de Macroeconomí</w:t>
      </w:r>
      <w:r w:rsidRPr="008824B3">
        <w:rPr>
          <w:rFonts w:ascii="Times New Roman" w:eastAsia="Times New Roman" w:hAnsi="Times New Roman" w:cs="Times New Roman"/>
          <w:sz w:val="24"/>
          <w:szCs w:val="24"/>
        </w:rPr>
        <w:t>a, 113, Departamento Nacional de Planeación</w:t>
      </w:r>
    </w:p>
    <w:p w14:paraId="7A7AE0E1" w14:textId="77777777" w:rsidR="00965727" w:rsidRPr="008824B3" w:rsidRDefault="00965727" w:rsidP="008824B3">
      <w:pPr>
        <w:spacing w:line="480" w:lineRule="auto"/>
        <w:ind w:left="708" w:hanging="708"/>
        <w:jc w:val="both"/>
        <w:rPr>
          <w:rFonts w:ascii="Times New Roman" w:eastAsia="Times New Roman" w:hAnsi="Times New Roman" w:cs="Times New Roman"/>
          <w:sz w:val="24"/>
          <w:szCs w:val="24"/>
        </w:rPr>
      </w:pPr>
    </w:p>
    <w:p w14:paraId="57120090" w14:textId="77777777" w:rsidR="00965727" w:rsidRPr="008824B3" w:rsidRDefault="000A40CF" w:rsidP="008824B3">
      <w:pPr>
        <w:spacing w:line="480" w:lineRule="auto"/>
        <w:ind w:left="708" w:hanging="708"/>
        <w:rPr>
          <w:rFonts w:ascii="Times New Roman" w:eastAsia="Times New Roman" w:hAnsi="Times New Roman" w:cs="Times New Roman"/>
          <w:color w:val="FF0000"/>
          <w:sz w:val="24"/>
          <w:szCs w:val="24"/>
        </w:rPr>
      </w:pPr>
      <w:r w:rsidRPr="008824B3">
        <w:rPr>
          <w:rFonts w:ascii="Times New Roman" w:eastAsia="Times New Roman" w:hAnsi="Times New Roman" w:cs="Times New Roman"/>
          <w:sz w:val="24"/>
          <w:szCs w:val="24"/>
        </w:rPr>
        <w:t xml:space="preserve">El nuevo siglo. (2019). El gobierno ya utilizó los $47,57 billones del FOME para la pandemia. Recuperado de: </w:t>
      </w:r>
      <w:hyperlink r:id="rId12">
        <w:r w:rsidRPr="008824B3">
          <w:rPr>
            <w:rFonts w:ascii="Times New Roman" w:eastAsia="Times New Roman" w:hAnsi="Times New Roman" w:cs="Times New Roman"/>
            <w:color w:val="1155CC"/>
            <w:sz w:val="24"/>
            <w:szCs w:val="24"/>
            <w:u w:val="single"/>
          </w:rPr>
          <w:t>https://www.elnuevosiglo.com.co/articulos/08-08-2021-gobierno-ya-utilizo-los-4057-billones-del-fome-para-la-pandemia</w:t>
        </w:r>
      </w:hyperlink>
      <w:r w:rsidRPr="008824B3">
        <w:rPr>
          <w:rFonts w:ascii="Times New Roman" w:eastAsia="Times New Roman" w:hAnsi="Times New Roman" w:cs="Times New Roman"/>
          <w:color w:val="FF0000"/>
          <w:sz w:val="24"/>
          <w:szCs w:val="24"/>
        </w:rPr>
        <w:t xml:space="preserve"> </w:t>
      </w:r>
    </w:p>
    <w:p w14:paraId="68AC72A5" w14:textId="77777777" w:rsidR="00965727" w:rsidRPr="008824B3" w:rsidRDefault="00965727" w:rsidP="008824B3">
      <w:pPr>
        <w:spacing w:line="480" w:lineRule="auto"/>
        <w:ind w:left="708" w:hanging="708"/>
        <w:jc w:val="both"/>
        <w:rPr>
          <w:rFonts w:ascii="Times New Roman" w:eastAsia="Times New Roman" w:hAnsi="Times New Roman" w:cs="Times New Roman"/>
          <w:color w:val="FF0000"/>
          <w:sz w:val="24"/>
          <w:szCs w:val="24"/>
        </w:rPr>
      </w:pPr>
    </w:p>
    <w:p w14:paraId="3AB71815" w14:textId="77777777" w:rsidR="00965727" w:rsidRPr="008824B3" w:rsidRDefault="000A40CF" w:rsidP="008824B3">
      <w:pPr>
        <w:spacing w:line="480" w:lineRule="auto"/>
        <w:ind w:left="708" w:hanging="708"/>
        <w:rPr>
          <w:rFonts w:ascii="Times New Roman" w:eastAsia="Times New Roman" w:hAnsi="Times New Roman" w:cs="Times New Roman"/>
          <w:color w:val="202124"/>
          <w:sz w:val="24"/>
          <w:szCs w:val="24"/>
          <w:highlight w:val="white"/>
        </w:rPr>
      </w:pPr>
      <w:r w:rsidRPr="008824B3">
        <w:rPr>
          <w:rFonts w:ascii="Times New Roman" w:eastAsia="Times New Roman" w:hAnsi="Times New Roman" w:cs="Times New Roman"/>
          <w:sz w:val="24"/>
          <w:szCs w:val="24"/>
        </w:rPr>
        <w:t xml:space="preserve">Keynes, J (1936). </w:t>
      </w:r>
      <w:r w:rsidRPr="008824B3">
        <w:rPr>
          <w:rFonts w:ascii="Times New Roman" w:eastAsia="Times New Roman" w:hAnsi="Times New Roman" w:cs="Times New Roman"/>
          <w:color w:val="202124"/>
          <w:sz w:val="24"/>
          <w:szCs w:val="24"/>
          <w:highlight w:val="white"/>
        </w:rPr>
        <w:t>Teoría general del empleo, el interés y el dinero. Recuperado de:</w:t>
      </w:r>
    </w:p>
    <w:p w14:paraId="1D23A5F0" w14:textId="77777777" w:rsidR="00965727" w:rsidRPr="008824B3" w:rsidRDefault="000A40CF" w:rsidP="008824B3">
      <w:pPr>
        <w:spacing w:line="480" w:lineRule="auto"/>
        <w:ind w:left="708" w:hanging="708"/>
        <w:jc w:val="both"/>
        <w:rPr>
          <w:rFonts w:ascii="Times New Roman" w:eastAsia="Times New Roman" w:hAnsi="Times New Roman" w:cs="Times New Roman"/>
          <w:color w:val="FF0000"/>
          <w:sz w:val="24"/>
          <w:szCs w:val="24"/>
        </w:rPr>
      </w:pPr>
      <w:hyperlink r:id="rId13">
        <w:r w:rsidRPr="008824B3">
          <w:rPr>
            <w:rFonts w:ascii="Times New Roman" w:eastAsia="Times New Roman" w:hAnsi="Times New Roman" w:cs="Times New Roman"/>
            <w:color w:val="1155CC"/>
            <w:sz w:val="24"/>
            <w:szCs w:val="24"/>
            <w:highlight w:val="white"/>
            <w:u w:val="single"/>
          </w:rPr>
          <w:t>http://biblio.econ.uba.ar/opac-tmpl/bootstrap/Textocompleto/Teor%C3%ADa</w:t>
        </w:r>
        <w:r w:rsidRPr="008824B3">
          <w:rPr>
            <w:rFonts w:ascii="Times New Roman" w:eastAsia="Times New Roman" w:hAnsi="Times New Roman" w:cs="Times New Roman"/>
            <w:color w:val="1155CC"/>
            <w:sz w:val="24"/>
            <w:szCs w:val="24"/>
            <w:highlight w:val="white"/>
            <w:u w:val="single"/>
          </w:rPr>
          <w:t>%20general%20de%20la%20ocupaci%C3%B3n,%20el%20inter%C3%A9s%20y%20el%20dinero%20-%20%20John%20Maynard%20Keynes.pdf</w:t>
        </w:r>
      </w:hyperlink>
      <w:r w:rsidRPr="008824B3">
        <w:rPr>
          <w:rFonts w:ascii="Times New Roman" w:eastAsia="Times New Roman" w:hAnsi="Times New Roman" w:cs="Times New Roman"/>
          <w:color w:val="202124"/>
          <w:sz w:val="24"/>
          <w:szCs w:val="24"/>
          <w:highlight w:val="white"/>
        </w:rPr>
        <w:t xml:space="preserve"> </w:t>
      </w:r>
    </w:p>
    <w:p w14:paraId="7BA1A686" w14:textId="77777777" w:rsidR="00965727" w:rsidRPr="008824B3" w:rsidRDefault="00965727" w:rsidP="008824B3">
      <w:pPr>
        <w:spacing w:line="480" w:lineRule="auto"/>
        <w:ind w:left="708" w:hanging="708"/>
        <w:jc w:val="both"/>
        <w:rPr>
          <w:rFonts w:ascii="Times New Roman" w:eastAsia="Times New Roman" w:hAnsi="Times New Roman" w:cs="Times New Roman"/>
          <w:sz w:val="24"/>
          <w:szCs w:val="24"/>
        </w:rPr>
      </w:pPr>
    </w:p>
    <w:p w14:paraId="037E67AE" w14:textId="0477E28E" w:rsidR="00965727" w:rsidRPr="008824B3" w:rsidRDefault="008824B3" w:rsidP="008824B3">
      <w:pPr>
        <w:spacing w:line="480" w:lineRule="auto"/>
        <w:ind w:left="708" w:hanging="708"/>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lastRenderedPageBreak/>
        <w:t>López</w:t>
      </w:r>
      <w:r w:rsidR="000A40CF" w:rsidRPr="008824B3">
        <w:rPr>
          <w:rFonts w:ascii="Times New Roman" w:eastAsia="Times New Roman" w:hAnsi="Times New Roman" w:cs="Times New Roman"/>
          <w:sz w:val="24"/>
          <w:szCs w:val="24"/>
        </w:rPr>
        <w:t xml:space="preserve">, M. (2009). Alcances de la política fiscal contracíclica: el caso reciente de América latina. Recuperado de: </w:t>
      </w:r>
      <w:hyperlink r:id="rId14">
        <w:r w:rsidR="000A40CF" w:rsidRPr="008824B3">
          <w:rPr>
            <w:rFonts w:ascii="Times New Roman" w:eastAsia="Times New Roman" w:hAnsi="Times New Roman" w:cs="Times New Roman"/>
            <w:color w:val="1155CC"/>
            <w:sz w:val="24"/>
            <w:szCs w:val="24"/>
            <w:u w:val="single"/>
          </w:rPr>
          <w:t>http://www.scielo.org.co/pdf/pece/n14/n14a2.pdf</w:t>
        </w:r>
      </w:hyperlink>
    </w:p>
    <w:p w14:paraId="235C4193" w14:textId="77777777" w:rsidR="00965727" w:rsidRPr="008824B3" w:rsidRDefault="00965727" w:rsidP="008824B3">
      <w:pPr>
        <w:spacing w:line="480" w:lineRule="auto"/>
        <w:ind w:left="708" w:hanging="708"/>
        <w:rPr>
          <w:rFonts w:ascii="Times New Roman" w:eastAsia="Times New Roman" w:hAnsi="Times New Roman" w:cs="Times New Roman"/>
          <w:sz w:val="24"/>
          <w:szCs w:val="24"/>
        </w:rPr>
      </w:pPr>
    </w:p>
    <w:p w14:paraId="254C6332" w14:textId="77777777" w:rsidR="00965727" w:rsidRPr="008824B3" w:rsidRDefault="000A40CF" w:rsidP="008824B3">
      <w:pPr>
        <w:spacing w:line="480" w:lineRule="auto"/>
        <w:ind w:left="708" w:hanging="708"/>
        <w:rPr>
          <w:rFonts w:ascii="Times New Roman" w:eastAsia="Times New Roman" w:hAnsi="Times New Roman" w:cs="Times New Roman"/>
          <w:color w:val="202124"/>
          <w:sz w:val="24"/>
          <w:szCs w:val="24"/>
          <w:highlight w:val="white"/>
        </w:rPr>
      </w:pPr>
      <w:r w:rsidRPr="008824B3">
        <w:rPr>
          <w:rFonts w:ascii="Times New Roman" w:eastAsia="Times New Roman" w:hAnsi="Times New Roman" w:cs="Times New Roman"/>
          <w:color w:val="202124"/>
          <w:sz w:val="24"/>
          <w:szCs w:val="24"/>
          <w:highlight w:val="white"/>
        </w:rPr>
        <w:t>Mellizo, B. (2019). Relación entre el desempleo y el crecimiento económico en el departamento del cauca. Recuperado de:</w:t>
      </w:r>
    </w:p>
    <w:p w14:paraId="7E8630E1" w14:textId="77777777" w:rsidR="00965727" w:rsidRPr="008824B3" w:rsidRDefault="000A40CF" w:rsidP="008824B3">
      <w:pPr>
        <w:spacing w:line="480" w:lineRule="auto"/>
        <w:ind w:left="708" w:hanging="708"/>
        <w:jc w:val="both"/>
        <w:rPr>
          <w:rFonts w:ascii="Times New Roman" w:eastAsia="Times New Roman" w:hAnsi="Times New Roman" w:cs="Times New Roman"/>
          <w:color w:val="202124"/>
          <w:sz w:val="24"/>
          <w:szCs w:val="24"/>
          <w:highlight w:val="white"/>
        </w:rPr>
      </w:pPr>
      <w:hyperlink r:id="rId15">
        <w:r w:rsidRPr="008824B3">
          <w:rPr>
            <w:rFonts w:ascii="Times New Roman" w:eastAsia="Times New Roman" w:hAnsi="Times New Roman" w:cs="Times New Roman"/>
            <w:color w:val="1155CC"/>
            <w:sz w:val="24"/>
            <w:szCs w:val="24"/>
            <w:highlight w:val="white"/>
            <w:u w:val="single"/>
          </w:rPr>
          <w:t>https://bibliotecadigital.univalle.edu.co/bitstream/handle/10893/14572/3340-0582759-E.pdf?sequence=1</w:t>
        </w:r>
      </w:hyperlink>
      <w:r w:rsidRPr="008824B3">
        <w:rPr>
          <w:rFonts w:ascii="Times New Roman" w:eastAsia="Times New Roman" w:hAnsi="Times New Roman" w:cs="Times New Roman"/>
          <w:color w:val="202124"/>
          <w:sz w:val="24"/>
          <w:szCs w:val="24"/>
          <w:highlight w:val="white"/>
        </w:rPr>
        <w:t xml:space="preserve"> </w:t>
      </w:r>
    </w:p>
    <w:p w14:paraId="7D0E1F05" w14:textId="77777777" w:rsidR="00965727" w:rsidRPr="008824B3" w:rsidRDefault="00965727" w:rsidP="008824B3">
      <w:pPr>
        <w:spacing w:line="480" w:lineRule="auto"/>
        <w:ind w:left="708" w:hanging="708"/>
        <w:jc w:val="both"/>
        <w:rPr>
          <w:rFonts w:ascii="Times New Roman" w:eastAsia="Times New Roman" w:hAnsi="Times New Roman" w:cs="Times New Roman"/>
          <w:color w:val="202124"/>
          <w:sz w:val="24"/>
          <w:szCs w:val="24"/>
          <w:highlight w:val="white"/>
        </w:rPr>
      </w:pPr>
    </w:p>
    <w:p w14:paraId="21C9099D" w14:textId="77777777" w:rsidR="00965727" w:rsidRPr="008824B3" w:rsidRDefault="000A40CF" w:rsidP="008824B3">
      <w:pPr>
        <w:spacing w:line="480" w:lineRule="auto"/>
        <w:ind w:left="708" w:hanging="708"/>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 xml:space="preserve">Ministerio de hacienda. (2021). Fondo de Mitigación de </w:t>
      </w:r>
      <w:r w:rsidRPr="008824B3">
        <w:rPr>
          <w:rFonts w:ascii="Times New Roman" w:eastAsia="Times New Roman" w:hAnsi="Times New Roman" w:cs="Times New Roman"/>
          <w:sz w:val="24"/>
          <w:szCs w:val="24"/>
        </w:rPr>
        <w:t xml:space="preserve">Emergencias - FOME. Recuperado de: </w:t>
      </w:r>
      <w:hyperlink r:id="rId16">
        <w:r w:rsidRPr="008824B3">
          <w:rPr>
            <w:rFonts w:ascii="Times New Roman" w:eastAsia="Times New Roman" w:hAnsi="Times New Roman" w:cs="Times New Roman"/>
            <w:color w:val="1155CC"/>
            <w:sz w:val="24"/>
            <w:szCs w:val="24"/>
            <w:u w:val="single"/>
          </w:rPr>
          <w:t>https://www.minhacienda.gov.co/webcenter/ShowProperty?nod</w:t>
        </w:r>
        <w:r w:rsidRPr="008824B3">
          <w:rPr>
            <w:rFonts w:ascii="Times New Roman" w:eastAsia="Times New Roman" w:hAnsi="Times New Roman" w:cs="Times New Roman"/>
            <w:color w:val="1155CC"/>
            <w:sz w:val="24"/>
            <w:szCs w:val="24"/>
            <w:u w:val="single"/>
          </w:rPr>
          <w:t>eId=%2FConexionContent%2FWCC_CLUSTER-158801%2F%2FidcPrimaryFile&amp;revision=latestreleased</w:t>
        </w:r>
      </w:hyperlink>
    </w:p>
    <w:p w14:paraId="38829D2F" w14:textId="77777777" w:rsidR="00965727" w:rsidRPr="008824B3" w:rsidRDefault="00965727" w:rsidP="008824B3">
      <w:pPr>
        <w:spacing w:line="480" w:lineRule="auto"/>
        <w:jc w:val="both"/>
        <w:rPr>
          <w:rFonts w:ascii="Times New Roman" w:eastAsia="Times New Roman" w:hAnsi="Times New Roman" w:cs="Times New Roman"/>
          <w:sz w:val="24"/>
          <w:szCs w:val="24"/>
        </w:rPr>
      </w:pPr>
    </w:p>
    <w:p w14:paraId="05D4E30D" w14:textId="77777777" w:rsidR="00965727" w:rsidRPr="008824B3" w:rsidRDefault="000A40CF" w:rsidP="008824B3">
      <w:pPr>
        <w:spacing w:line="480" w:lineRule="auto"/>
        <w:ind w:left="708" w:hanging="708"/>
        <w:rPr>
          <w:rFonts w:ascii="Times New Roman" w:eastAsia="Times New Roman" w:hAnsi="Times New Roman" w:cs="Times New Roman"/>
          <w:color w:val="FF0000"/>
          <w:sz w:val="24"/>
          <w:szCs w:val="24"/>
        </w:rPr>
      </w:pPr>
      <w:r w:rsidRPr="008824B3">
        <w:rPr>
          <w:rFonts w:ascii="Times New Roman" w:eastAsia="Times New Roman" w:hAnsi="Times New Roman" w:cs="Times New Roman"/>
          <w:sz w:val="24"/>
          <w:szCs w:val="24"/>
        </w:rPr>
        <w:t>Portafolio. (2021). Queda el 31,3% de los recursos de la pandemia por ejecutar. Recuperado de:</w:t>
      </w:r>
      <w:r w:rsidRPr="008824B3">
        <w:rPr>
          <w:rFonts w:ascii="Times New Roman" w:eastAsia="Times New Roman" w:hAnsi="Times New Roman" w:cs="Times New Roman"/>
          <w:color w:val="FF0000"/>
          <w:sz w:val="24"/>
          <w:szCs w:val="24"/>
        </w:rPr>
        <w:t xml:space="preserve"> </w:t>
      </w:r>
      <w:hyperlink r:id="rId17">
        <w:r w:rsidRPr="008824B3">
          <w:rPr>
            <w:rFonts w:ascii="Times New Roman" w:eastAsia="Times New Roman" w:hAnsi="Times New Roman" w:cs="Times New Roman"/>
            <w:color w:val="1155CC"/>
            <w:sz w:val="24"/>
            <w:szCs w:val="24"/>
            <w:u w:val="single"/>
          </w:rPr>
          <w:t>https://www.portafolio.co/economia/queda-el-31-3-de-los-recursos-de-la-pandemia-por-ejecutar-550594</w:t>
        </w:r>
      </w:hyperlink>
      <w:r w:rsidRPr="008824B3">
        <w:rPr>
          <w:rFonts w:ascii="Times New Roman" w:eastAsia="Times New Roman" w:hAnsi="Times New Roman" w:cs="Times New Roman"/>
          <w:color w:val="FF0000"/>
          <w:sz w:val="24"/>
          <w:szCs w:val="24"/>
        </w:rPr>
        <w:t xml:space="preserve"> </w:t>
      </w:r>
    </w:p>
    <w:p w14:paraId="53172E6E" w14:textId="77777777" w:rsidR="00965727" w:rsidRPr="008824B3" w:rsidRDefault="00965727" w:rsidP="008824B3">
      <w:pPr>
        <w:spacing w:line="480" w:lineRule="auto"/>
        <w:ind w:left="708" w:hanging="708"/>
        <w:jc w:val="both"/>
        <w:rPr>
          <w:rFonts w:ascii="Times New Roman" w:eastAsia="Times New Roman" w:hAnsi="Times New Roman" w:cs="Times New Roman"/>
          <w:color w:val="FF0000"/>
          <w:sz w:val="24"/>
          <w:szCs w:val="24"/>
        </w:rPr>
      </w:pPr>
    </w:p>
    <w:p w14:paraId="3B5D2174" w14:textId="77777777" w:rsidR="00965727" w:rsidRPr="008824B3" w:rsidRDefault="000A40CF" w:rsidP="008824B3">
      <w:pPr>
        <w:spacing w:line="480" w:lineRule="auto"/>
        <w:ind w:left="708" w:hanging="708"/>
        <w:rPr>
          <w:rFonts w:ascii="Times New Roman" w:eastAsia="Times New Roman" w:hAnsi="Times New Roman" w:cs="Times New Roman"/>
          <w:sz w:val="24"/>
          <w:szCs w:val="24"/>
        </w:rPr>
      </w:pPr>
      <w:r w:rsidRPr="008824B3">
        <w:rPr>
          <w:rFonts w:ascii="Times New Roman" w:eastAsia="Times New Roman" w:hAnsi="Times New Roman" w:cs="Times New Roman"/>
          <w:sz w:val="24"/>
          <w:szCs w:val="24"/>
        </w:rPr>
        <w:t>Smith, A (1776). La Riqueza de las Naciones. Titivillus. Recuperado de:</w:t>
      </w:r>
    </w:p>
    <w:p w14:paraId="7ED943C4" w14:textId="77777777" w:rsidR="00965727" w:rsidRPr="008824B3" w:rsidRDefault="000A40CF" w:rsidP="008824B3">
      <w:pPr>
        <w:spacing w:line="480" w:lineRule="auto"/>
        <w:ind w:left="708" w:hanging="708"/>
        <w:jc w:val="both"/>
        <w:rPr>
          <w:rFonts w:ascii="Times New Roman" w:eastAsia="Times New Roman" w:hAnsi="Times New Roman" w:cs="Times New Roman"/>
          <w:color w:val="202124"/>
          <w:sz w:val="24"/>
          <w:szCs w:val="24"/>
          <w:highlight w:val="white"/>
        </w:rPr>
      </w:pPr>
      <w:hyperlink r:id="rId18">
        <w:r w:rsidRPr="008824B3">
          <w:rPr>
            <w:rFonts w:ascii="Times New Roman" w:eastAsia="Times New Roman" w:hAnsi="Times New Roman" w:cs="Times New Roman"/>
            <w:color w:val="1155CC"/>
            <w:sz w:val="24"/>
            <w:szCs w:val="24"/>
            <w:u w:val="single"/>
          </w:rPr>
          <w:t>https://www.memoriapoliticademexico.org/Textos/1Independencia/Imag/1776-AS-LRN.pdf</w:t>
        </w:r>
      </w:hyperlink>
      <w:r w:rsidRPr="008824B3">
        <w:rPr>
          <w:rFonts w:ascii="Times New Roman" w:eastAsia="Times New Roman" w:hAnsi="Times New Roman" w:cs="Times New Roman"/>
          <w:sz w:val="24"/>
          <w:szCs w:val="24"/>
        </w:rPr>
        <w:t xml:space="preserve"> </w:t>
      </w:r>
    </w:p>
    <w:p w14:paraId="7009B43B" w14:textId="77777777" w:rsidR="00965727" w:rsidRPr="008824B3" w:rsidRDefault="00965727" w:rsidP="008824B3">
      <w:pPr>
        <w:spacing w:line="480" w:lineRule="auto"/>
        <w:ind w:left="708" w:hanging="708"/>
        <w:jc w:val="both"/>
        <w:rPr>
          <w:rFonts w:ascii="Times New Roman" w:eastAsia="Times New Roman" w:hAnsi="Times New Roman" w:cs="Times New Roman"/>
          <w:color w:val="202124"/>
          <w:sz w:val="24"/>
          <w:szCs w:val="24"/>
          <w:highlight w:val="white"/>
        </w:rPr>
      </w:pPr>
    </w:p>
    <w:p w14:paraId="4DCBDE14" w14:textId="55A36375" w:rsidR="00965727" w:rsidRPr="006F0E42" w:rsidRDefault="000A40CF" w:rsidP="006F0E42">
      <w:pPr>
        <w:spacing w:line="480" w:lineRule="auto"/>
        <w:ind w:left="708" w:hanging="708"/>
        <w:rPr>
          <w:rFonts w:ascii="Times New Roman" w:eastAsia="Times New Roman" w:hAnsi="Times New Roman" w:cs="Times New Roman"/>
          <w:color w:val="202124"/>
          <w:sz w:val="24"/>
          <w:szCs w:val="24"/>
          <w:highlight w:val="white"/>
        </w:rPr>
      </w:pPr>
      <w:r w:rsidRPr="008824B3">
        <w:rPr>
          <w:rFonts w:ascii="Times New Roman" w:eastAsia="Times New Roman" w:hAnsi="Times New Roman" w:cs="Times New Roman"/>
          <w:sz w:val="24"/>
          <w:szCs w:val="24"/>
        </w:rPr>
        <w:t xml:space="preserve">Unidad de Proyección Normativa y Estudios de </w:t>
      </w:r>
      <w:r w:rsidR="008824B3" w:rsidRPr="008824B3">
        <w:rPr>
          <w:rFonts w:ascii="Times New Roman" w:eastAsia="Times New Roman" w:hAnsi="Times New Roman" w:cs="Times New Roman"/>
          <w:sz w:val="24"/>
          <w:szCs w:val="24"/>
        </w:rPr>
        <w:t>Regulación Financiera (</w:t>
      </w:r>
      <w:r w:rsidRPr="008824B3">
        <w:rPr>
          <w:rFonts w:ascii="Times New Roman" w:eastAsia="Times New Roman" w:hAnsi="Times New Roman" w:cs="Times New Roman"/>
          <w:sz w:val="24"/>
          <w:szCs w:val="24"/>
        </w:rPr>
        <w:t xml:space="preserve">URF). (2020). ABC: Fondo de Mitigación de Emergencias – FOME. Recuperado de: </w:t>
      </w:r>
      <w:hyperlink r:id="rId19">
        <w:r w:rsidRPr="008824B3">
          <w:rPr>
            <w:rFonts w:ascii="Times New Roman" w:eastAsia="Times New Roman" w:hAnsi="Times New Roman" w:cs="Times New Roman"/>
            <w:color w:val="1155CC"/>
            <w:sz w:val="24"/>
            <w:szCs w:val="24"/>
            <w:u w:val="single"/>
          </w:rPr>
          <w:t>http</w:t>
        </w:r>
        <w:r w:rsidRPr="008824B3">
          <w:rPr>
            <w:rFonts w:ascii="Times New Roman" w:eastAsia="Times New Roman" w:hAnsi="Times New Roman" w:cs="Times New Roman"/>
            <w:color w:val="1155CC"/>
            <w:sz w:val="24"/>
            <w:szCs w:val="24"/>
            <w:u w:val="single"/>
          </w:rPr>
          <w:t>://www.urf.gov.co/webcenter/ShowProperty?nodeId=/ConexionContent/WCC_CLUSTER-127220</w:t>
        </w:r>
      </w:hyperlink>
    </w:p>
    <w:sectPr w:rsidR="00965727" w:rsidRPr="006F0E42">
      <w:footerReference w:type="default" r:id="rId2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58719" w14:textId="77777777" w:rsidR="000A40CF" w:rsidRDefault="000A40CF">
      <w:pPr>
        <w:spacing w:line="240" w:lineRule="auto"/>
      </w:pPr>
      <w:r>
        <w:separator/>
      </w:r>
    </w:p>
  </w:endnote>
  <w:endnote w:type="continuationSeparator" w:id="0">
    <w:p w14:paraId="112A0E4C" w14:textId="77777777" w:rsidR="000A40CF" w:rsidRDefault="000A4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F2A7" w14:textId="77777777" w:rsidR="00965727" w:rsidRDefault="000A40CF">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sidR="008824B3">
      <w:rPr>
        <w:color w:val="17365D"/>
        <w:sz w:val="24"/>
        <w:szCs w:val="24"/>
      </w:rPr>
      <w:fldChar w:fldCharType="separate"/>
    </w:r>
    <w:r w:rsidR="008824B3">
      <w:rPr>
        <w:noProof/>
        <w:color w:val="17365D"/>
        <w:sz w:val="24"/>
        <w:szCs w:val="24"/>
      </w:rPr>
      <w:t>1</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sidR="008824B3">
      <w:rPr>
        <w:color w:val="17365D"/>
        <w:sz w:val="24"/>
        <w:szCs w:val="24"/>
      </w:rPr>
      <w:fldChar w:fldCharType="separate"/>
    </w:r>
    <w:r w:rsidR="008824B3">
      <w:rPr>
        <w:noProof/>
        <w:color w:val="17365D"/>
        <w:sz w:val="24"/>
        <w:szCs w:val="24"/>
      </w:rPr>
      <w:t>3</w:t>
    </w:r>
    <w:r>
      <w:rPr>
        <w:color w:val="17365D"/>
        <w:sz w:val="24"/>
        <w:szCs w:val="24"/>
      </w:rPr>
      <w:fldChar w:fldCharType="end"/>
    </w:r>
  </w:p>
  <w:p w14:paraId="5996EDDF" w14:textId="77777777" w:rsidR="00965727" w:rsidRDefault="00965727">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4DF31" w14:textId="77777777" w:rsidR="000A40CF" w:rsidRDefault="000A40CF">
      <w:pPr>
        <w:spacing w:line="240" w:lineRule="auto"/>
      </w:pPr>
      <w:r>
        <w:separator/>
      </w:r>
    </w:p>
  </w:footnote>
  <w:footnote w:type="continuationSeparator" w:id="0">
    <w:p w14:paraId="613AC25B" w14:textId="77777777" w:rsidR="000A40CF" w:rsidRDefault="000A40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27"/>
    <w:rsid w:val="000A40CF"/>
    <w:rsid w:val="006F0E42"/>
    <w:rsid w:val="008824B3"/>
    <w:rsid w:val="009657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3DEB"/>
  <w15:docId w15:val="{1D492F11-B2F2-4579-9781-CD15F7FC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Sinespaciado">
    <w:name w:val="No Spacing"/>
    <w:link w:val="SinespaciadoCar"/>
    <w:uiPriority w:val="1"/>
    <w:qFormat/>
    <w:rsid w:val="00F749E2"/>
    <w:pPr>
      <w:spacing w:line="240" w:lineRule="auto"/>
    </w:pPr>
    <w:rPr>
      <w:rFonts w:asciiTheme="minorHAnsi" w:eastAsiaTheme="minorEastAsia" w:hAnsiTheme="minorHAnsi" w:cstheme="minorBidi"/>
      <w:lang w:val="es-CO"/>
    </w:rPr>
  </w:style>
  <w:style w:type="character" w:customStyle="1" w:styleId="SinespaciadoCar">
    <w:name w:val="Sin espaciado Car"/>
    <w:basedOn w:val="Fuentedeprrafopredeter"/>
    <w:link w:val="Sinespaciado"/>
    <w:uiPriority w:val="1"/>
    <w:rsid w:val="00F749E2"/>
    <w:rPr>
      <w:rFonts w:asciiTheme="minorHAnsi" w:eastAsiaTheme="minorEastAsia" w:hAnsiTheme="minorHAnsi" w:cstheme="minorBidi"/>
      <w:lang w:val="es-CO"/>
    </w:rPr>
  </w:style>
  <w:style w:type="paragraph" w:styleId="Encabezado">
    <w:name w:val="header"/>
    <w:basedOn w:val="Normal"/>
    <w:link w:val="EncabezadoCar"/>
    <w:uiPriority w:val="99"/>
    <w:unhideWhenUsed/>
    <w:rsid w:val="00F749E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49E2"/>
  </w:style>
  <w:style w:type="paragraph" w:styleId="Piedepgina">
    <w:name w:val="footer"/>
    <w:basedOn w:val="Normal"/>
    <w:link w:val="PiedepginaCar"/>
    <w:uiPriority w:val="99"/>
    <w:unhideWhenUsed/>
    <w:rsid w:val="00F749E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49E2"/>
  </w:style>
  <w:style w:type="paragraph" w:styleId="TtuloTDC">
    <w:name w:val="TOC Heading"/>
    <w:basedOn w:val="Ttulo1"/>
    <w:next w:val="Normal"/>
    <w:uiPriority w:val="39"/>
    <w:unhideWhenUsed/>
    <w:qFormat/>
    <w:rsid w:val="00A61864"/>
    <w:pPr>
      <w:spacing w:before="240" w:after="0" w:line="259" w:lineRule="auto"/>
      <w:outlineLvl w:val="9"/>
    </w:pPr>
    <w:rPr>
      <w:rFonts w:asciiTheme="majorHAnsi" w:eastAsiaTheme="majorEastAsia" w:hAnsiTheme="majorHAnsi" w:cstheme="majorBidi"/>
      <w:color w:val="365F91" w:themeColor="accent1" w:themeShade="BF"/>
      <w:sz w:val="32"/>
      <w:szCs w:val="32"/>
      <w:lang w:val="es-CO"/>
    </w:rPr>
  </w:style>
  <w:style w:type="paragraph" w:styleId="TDC1">
    <w:name w:val="toc 1"/>
    <w:basedOn w:val="Normal"/>
    <w:next w:val="Normal"/>
    <w:autoRedefine/>
    <w:uiPriority w:val="39"/>
    <w:unhideWhenUsed/>
    <w:rsid w:val="00A61864"/>
    <w:pPr>
      <w:spacing w:after="100"/>
    </w:pPr>
  </w:style>
  <w:style w:type="paragraph" w:styleId="TDC2">
    <w:name w:val="toc 2"/>
    <w:basedOn w:val="Normal"/>
    <w:next w:val="Normal"/>
    <w:autoRedefine/>
    <w:uiPriority w:val="39"/>
    <w:unhideWhenUsed/>
    <w:rsid w:val="00A61864"/>
    <w:pPr>
      <w:spacing w:after="100"/>
      <w:ind w:left="220"/>
    </w:pPr>
  </w:style>
  <w:style w:type="character" w:styleId="Hipervnculo">
    <w:name w:val="Hyperlink"/>
    <w:basedOn w:val="Fuentedeprrafopredeter"/>
    <w:uiPriority w:val="99"/>
    <w:unhideWhenUsed/>
    <w:rsid w:val="00A61864"/>
    <w:rPr>
      <w:color w:val="0000FF" w:themeColor="hyperlink"/>
      <w:u w:val="single"/>
    </w:rPr>
  </w:style>
  <w:style w:type="character" w:styleId="Referenciaintensa">
    <w:name w:val="Intense Reference"/>
    <w:basedOn w:val="Fuentedeprrafopredeter"/>
    <w:uiPriority w:val="32"/>
    <w:qFormat/>
    <w:rsid w:val="00A61864"/>
    <w:rPr>
      <w:b/>
      <w:bCs/>
      <w:smallCaps/>
      <w:color w:val="4F81BD" w:themeColor="accent1"/>
      <w:spacing w:val="5"/>
    </w:rPr>
  </w:style>
  <w:style w:type="character" w:styleId="Refdecomentario">
    <w:name w:val="annotation reference"/>
    <w:basedOn w:val="Fuentedeprrafopredeter"/>
    <w:uiPriority w:val="99"/>
    <w:semiHidden/>
    <w:unhideWhenUsed/>
    <w:rsid w:val="00073F48"/>
    <w:rPr>
      <w:sz w:val="16"/>
      <w:szCs w:val="16"/>
    </w:rPr>
  </w:style>
  <w:style w:type="paragraph" w:styleId="Textocomentario">
    <w:name w:val="annotation text"/>
    <w:basedOn w:val="Normal"/>
    <w:link w:val="TextocomentarioCar"/>
    <w:uiPriority w:val="99"/>
    <w:semiHidden/>
    <w:unhideWhenUsed/>
    <w:rsid w:val="00073F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F48"/>
    <w:rPr>
      <w:sz w:val="20"/>
      <w:szCs w:val="20"/>
    </w:rPr>
  </w:style>
  <w:style w:type="paragraph" w:styleId="Asuntodelcomentario">
    <w:name w:val="annotation subject"/>
    <w:basedOn w:val="Textocomentario"/>
    <w:next w:val="Textocomentario"/>
    <w:link w:val="AsuntodelcomentarioCar"/>
    <w:uiPriority w:val="99"/>
    <w:semiHidden/>
    <w:unhideWhenUsed/>
    <w:rsid w:val="00073F48"/>
    <w:rPr>
      <w:b/>
      <w:bCs/>
    </w:rPr>
  </w:style>
  <w:style w:type="character" w:customStyle="1" w:styleId="AsuntodelcomentarioCar">
    <w:name w:val="Asunto del comentario Car"/>
    <w:basedOn w:val="TextocomentarioCar"/>
    <w:link w:val="Asuntodelcomentario"/>
    <w:uiPriority w:val="99"/>
    <w:semiHidden/>
    <w:rsid w:val="00073F48"/>
    <w:rPr>
      <w:b/>
      <w:bCs/>
      <w:sz w:val="20"/>
      <w:szCs w:val="20"/>
    </w:rPr>
  </w:style>
  <w:style w:type="paragraph" w:styleId="Textodeglobo">
    <w:name w:val="Balloon Text"/>
    <w:basedOn w:val="Normal"/>
    <w:link w:val="TextodegloboCar"/>
    <w:uiPriority w:val="99"/>
    <w:semiHidden/>
    <w:unhideWhenUsed/>
    <w:rsid w:val="00073F4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F48"/>
    <w:rPr>
      <w:rFonts w:ascii="Segoe UI" w:hAnsi="Segoe UI" w:cs="Segoe UI"/>
      <w:sz w:val="18"/>
      <w:szCs w:val="18"/>
    </w:rPr>
  </w:style>
  <w:style w:type="paragraph" w:styleId="TDC3">
    <w:name w:val="toc 3"/>
    <w:basedOn w:val="Normal"/>
    <w:next w:val="Normal"/>
    <w:autoRedefine/>
    <w:uiPriority w:val="39"/>
    <w:unhideWhenUsed/>
    <w:rsid w:val="008824B3"/>
    <w:pPr>
      <w:spacing w:after="100" w:line="259" w:lineRule="auto"/>
      <w:ind w:left="440"/>
    </w:pPr>
    <w:rPr>
      <w:rFonts w:asciiTheme="minorHAnsi" w:eastAsiaTheme="minorEastAsia" w:hAnsiTheme="minorHAns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econ.uba.ar/opac-tmpl/bootstrap/Textocompleto/Teor%C3%ADa%20general%20de%20la%20ocupaci%C3%B3n,%20el%20inter%C3%A9s%20y%20el%20dinero%20-%20%20John%20Maynard%20Keynes.pdf" TargetMode="External"/><Relationship Id="rId18" Type="http://schemas.openxmlformats.org/officeDocument/2006/relationships/hyperlink" Target="https://www.memoriapoliticademexico.org/Textos/1Independencia/Imag/1776-AS-LR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nuevosiglo.com.co/articulos/08-08-2021-gobierno-ya-utilizo-los-4057-billones-del-fome-para-la-pandemia" TargetMode="External"/><Relationship Id="rId17" Type="http://schemas.openxmlformats.org/officeDocument/2006/relationships/hyperlink" Target="https://www.portafolio.co/economia/queda-el-31-3-de-los-recursos-de-la-pandemia-por-ejecutar-550594" TargetMode="External"/><Relationship Id="rId2" Type="http://schemas.openxmlformats.org/officeDocument/2006/relationships/customXml" Target="../customXml/item2.xml"/><Relationship Id="rId16" Type="http://schemas.openxmlformats.org/officeDocument/2006/relationships/hyperlink" Target="https://www.minhacienda.gov.co/webcenter/ShowProperty?nodeId=%2FConexionContent%2FWCC_CLUSTER-158801%2F%2FidcPrimaryFile&amp;revision=latestreleas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loria.gov.co/documents/20181/2137717/BOLETIN+15+FOME.pdf/fd2d92c7-fc3f-4d1c-be93-81440bca1d2e?version=1.0" TargetMode="External"/><Relationship Id="rId5" Type="http://schemas.openxmlformats.org/officeDocument/2006/relationships/webSettings" Target="webSettings.xml"/><Relationship Id="rId15" Type="http://schemas.openxmlformats.org/officeDocument/2006/relationships/hyperlink" Target="https://bibliotecadigital.univalle.edu.co/bitstream/handle/10893/14572/3340-0582759-E.pdf?sequence=1" TargetMode="External"/><Relationship Id="rId10" Type="http://schemas.openxmlformats.org/officeDocument/2006/relationships/hyperlink" Target="https://www.uninorte.edu.co/documents/71261/0/pdf+27/f67bfb93-d4ed-4ea6-a583-d1686025e5d6" TargetMode="External"/><Relationship Id="rId19" Type="http://schemas.openxmlformats.org/officeDocument/2006/relationships/hyperlink" Target="http://www.urf.gov.co/webcenter/ShowProperty?nodeId=/ConexionContent/WCC_CLUSTER-1272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lo.org.co/pdf/pece/n14/n14a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b2m1u64+ujB6Jrb2SbBqDoTAQ==">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6D9574-2207-4CC1-8303-95BFF37E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2327</Words>
  <Characters>12800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Pato</cp:lastModifiedBy>
  <cp:revision>2</cp:revision>
  <dcterms:created xsi:type="dcterms:W3CDTF">2021-09-30T15:46:00Z</dcterms:created>
  <dcterms:modified xsi:type="dcterms:W3CDTF">2021-09-30T15:46:00Z</dcterms:modified>
</cp:coreProperties>
</file>