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DFA9" w14:textId="77777777" w:rsidR="00EF544B" w:rsidRDefault="00951809">
      <w:pPr>
        <w:spacing w:after="0" w:line="259" w:lineRule="auto"/>
        <w:ind w:right="0" w:firstLine="0"/>
        <w:jc w:val="left"/>
      </w:pPr>
      <w:r>
        <w:br w:type="page"/>
      </w:r>
    </w:p>
    <w:p w14:paraId="5D980B11" w14:textId="77777777" w:rsidR="00EF544B" w:rsidRDefault="00EF544B">
      <w:pPr>
        <w:spacing w:after="0" w:line="259" w:lineRule="auto"/>
        <w:ind w:right="0" w:firstLine="0"/>
        <w:jc w:val="left"/>
      </w:pPr>
    </w:p>
    <w:p w14:paraId="2CED7F9E" w14:textId="77777777" w:rsidR="00EF544B" w:rsidRDefault="00EF544B">
      <w:pPr>
        <w:sectPr w:rsidR="00EF544B">
          <w:headerReference w:type="even" r:id="rId7"/>
          <w:headerReference w:type="default" r:id="rId8"/>
          <w:footerReference w:type="even" r:id="rId9"/>
          <w:footerReference w:type="default" r:id="rId10"/>
          <w:headerReference w:type="first" r:id="rId11"/>
          <w:footerReference w:type="first" r:id="rId12"/>
          <w:pgSz w:w="9444" w:h="13413"/>
          <w:pgMar w:top="1440" w:right="1440" w:bottom="1440" w:left="1440" w:header="0" w:footer="720" w:gutter="0"/>
          <w:cols w:space="720"/>
        </w:sectPr>
      </w:pPr>
    </w:p>
    <w:p w14:paraId="2E458E37" w14:textId="77777777" w:rsidR="00EF544B" w:rsidRDefault="00951809">
      <w:pPr>
        <w:spacing w:after="0" w:line="259" w:lineRule="auto"/>
        <w:ind w:right="3" w:firstLine="0"/>
        <w:jc w:val="center"/>
      </w:pPr>
      <w:r>
        <w:rPr>
          <w:sz w:val="26"/>
        </w:rPr>
        <w:lastRenderedPageBreak/>
        <w:t>Constitution de la modernité</w:t>
      </w:r>
    </w:p>
    <w:p w14:paraId="3D6DA833" w14:textId="77777777" w:rsidR="00EF544B" w:rsidRDefault="00951809">
      <w:pPr>
        <w:spacing w:after="0" w:line="254" w:lineRule="auto"/>
        <w:ind w:left="890" w:right="892" w:firstLine="0"/>
        <w:jc w:val="center"/>
      </w:pPr>
      <w:proofErr w:type="gramStart"/>
      <w:r>
        <w:rPr>
          <w:sz w:val="20"/>
        </w:rPr>
        <w:t>sous</w:t>
      </w:r>
      <w:proofErr w:type="gramEnd"/>
      <w:r>
        <w:rPr>
          <w:sz w:val="20"/>
        </w:rPr>
        <w:t xml:space="preserve"> la direction de Marina Mestre </w:t>
      </w:r>
      <w:proofErr w:type="spellStart"/>
      <w:r>
        <w:rPr>
          <w:sz w:val="20"/>
        </w:rPr>
        <w:t>Zaragozá</w:t>
      </w:r>
      <w:proofErr w:type="spellEnd"/>
      <w:r>
        <w:rPr>
          <w:sz w:val="20"/>
        </w:rPr>
        <w:t xml:space="preserve"> </w:t>
      </w:r>
      <w:r>
        <w:t>44</w:t>
      </w:r>
    </w:p>
    <w:p w14:paraId="32DA8CA9" w14:textId="77777777" w:rsidR="00EF544B" w:rsidRDefault="00951809">
      <w:pPr>
        <w:spacing w:after="2477" w:line="259" w:lineRule="auto"/>
        <w:ind w:right="0" w:firstLine="0"/>
        <w:jc w:val="left"/>
      </w:pPr>
      <w:r>
        <w:rPr>
          <w:rFonts w:ascii="Calibri" w:eastAsia="Calibri" w:hAnsi="Calibri" w:cs="Calibri"/>
          <w:noProof/>
          <w:color w:val="000000"/>
          <w:sz w:val="22"/>
        </w:rPr>
        <mc:AlternateContent>
          <mc:Choice Requires="wpg">
            <w:drawing>
              <wp:inline distT="0" distB="0" distL="0" distR="0" wp14:anchorId="02CAFFC5" wp14:editId="40C2E76E">
                <wp:extent cx="3960000" cy="6350"/>
                <wp:effectExtent l="0" t="0" r="0" b="0"/>
                <wp:docPr id="18229" name="Group 18229"/>
                <wp:cNvGraphicFramePr/>
                <a:graphic xmlns:a="http://schemas.openxmlformats.org/drawingml/2006/main">
                  <a:graphicData uri="http://schemas.microsoft.com/office/word/2010/wordprocessingGroup">
                    <wpg:wgp>
                      <wpg:cNvGrpSpPr/>
                      <wpg:grpSpPr>
                        <a:xfrm>
                          <a:off x="0" y="0"/>
                          <a:ext cx="3960000" cy="6350"/>
                          <a:chOff x="0" y="0"/>
                          <a:chExt cx="3960000" cy="6350"/>
                        </a:xfrm>
                      </wpg:grpSpPr>
                      <wps:wsp>
                        <wps:cNvPr id="42" name="Shape 42"/>
                        <wps:cNvSpPr/>
                        <wps:spPr>
                          <a:xfrm>
                            <a:off x="0" y="0"/>
                            <a:ext cx="3960000" cy="0"/>
                          </a:xfrm>
                          <a:custGeom>
                            <a:avLst/>
                            <a:gdLst/>
                            <a:ahLst/>
                            <a:cxnLst/>
                            <a:rect l="0" t="0" r="0" b="0"/>
                            <a:pathLst>
                              <a:path w="3960000">
                                <a:moveTo>
                                  <a:pt x="0" y="0"/>
                                </a:moveTo>
                                <a:lnTo>
                                  <a:pt x="39600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229" style="width:311.811pt;height:0.5pt;mso-position-horizontal-relative:char;mso-position-vertical-relative:line" coordsize="39600,63">
                <v:shape id="Shape 42" style="position:absolute;width:39600;height:0;left:0;top:0;" coordsize="3960000,0" path="m0,0l3960000,0">
                  <v:stroke weight="0.5pt" endcap="flat" joinstyle="miter" miterlimit="10" on="true" color="#181717"/>
                  <v:fill on="false" color="#000000" opacity="0"/>
                </v:shape>
              </v:group>
            </w:pict>
          </mc:Fallback>
        </mc:AlternateContent>
      </w:r>
    </w:p>
    <w:p w14:paraId="05530AF6" w14:textId="77777777" w:rsidR="00EF544B" w:rsidRDefault="00951809">
      <w:pPr>
        <w:spacing w:after="0" w:line="259" w:lineRule="auto"/>
        <w:ind w:left="78" w:right="0" w:firstLine="0"/>
        <w:jc w:val="left"/>
      </w:pPr>
      <w:r>
        <w:rPr>
          <w:sz w:val="38"/>
        </w:rPr>
        <w:t>La Certitude morale de Descartes à Hume</w:t>
      </w:r>
      <w:r>
        <w:br w:type="page"/>
      </w:r>
    </w:p>
    <w:p w14:paraId="5DD8317E" w14:textId="77777777" w:rsidR="00EF544B" w:rsidRDefault="00951809">
      <w:pPr>
        <w:pStyle w:val="Titre1"/>
        <w:spacing w:after="0"/>
      </w:pPr>
      <w:r>
        <w:rPr>
          <w:sz w:val="22"/>
        </w:rPr>
        <w:lastRenderedPageBreak/>
        <w:t xml:space="preserve">Ce travail a été réalisé au sein du LABEX COMOD </w:t>
      </w:r>
    </w:p>
    <w:p w14:paraId="49EF9C78" w14:textId="77777777" w:rsidR="00EF544B" w:rsidRDefault="00951809">
      <w:pPr>
        <w:spacing w:line="260" w:lineRule="auto"/>
        <w:ind w:left="738" w:right="666" w:firstLine="358"/>
        <w:jc w:val="left"/>
      </w:pPr>
      <w:r>
        <w:rPr>
          <w:sz w:val="22"/>
        </w:rPr>
        <w:t xml:space="preserve">(ANR-11-LABX-0041) </w:t>
      </w:r>
      <w:proofErr w:type="gramStart"/>
      <w:r>
        <w:rPr>
          <w:sz w:val="22"/>
        </w:rPr>
        <w:t>de  l’université</w:t>
      </w:r>
      <w:proofErr w:type="gramEnd"/>
      <w:r>
        <w:rPr>
          <w:sz w:val="22"/>
        </w:rPr>
        <w:t xml:space="preserve"> de Lyon, dans le cadre du programme « Investissements  d’avenir » </w:t>
      </w:r>
    </w:p>
    <w:p w14:paraId="08527E70" w14:textId="77777777" w:rsidR="00EF544B" w:rsidRDefault="00951809">
      <w:pPr>
        <w:spacing w:after="253" w:line="260" w:lineRule="auto"/>
        <w:ind w:left="967" w:right="958" w:firstLine="397"/>
        <w:jc w:val="left"/>
      </w:pPr>
      <w:r>
        <w:rPr>
          <w:sz w:val="22"/>
        </w:rPr>
        <w:t xml:space="preserve">(ANR-11-IDEX-0007) </w:t>
      </w:r>
      <w:proofErr w:type="gramStart"/>
      <w:r>
        <w:rPr>
          <w:sz w:val="22"/>
        </w:rPr>
        <w:t>de  l’État</w:t>
      </w:r>
      <w:proofErr w:type="gramEnd"/>
      <w:r>
        <w:rPr>
          <w:sz w:val="22"/>
        </w:rPr>
        <w:t xml:space="preserve"> français, géré par  l’Agence nationale de la recherche (ANR).</w:t>
      </w:r>
    </w:p>
    <w:p w14:paraId="5FC9562B" w14:textId="77777777" w:rsidR="00EF544B" w:rsidRDefault="00951809">
      <w:pPr>
        <w:spacing w:line="260" w:lineRule="auto"/>
        <w:ind w:left="194" w:right="0" w:firstLine="276"/>
        <w:jc w:val="left"/>
      </w:pPr>
      <w:r>
        <w:rPr>
          <w:sz w:val="22"/>
        </w:rPr>
        <w:t xml:space="preserve">Actes de la </w:t>
      </w:r>
      <w:proofErr w:type="gramStart"/>
      <w:r>
        <w:rPr>
          <w:sz w:val="22"/>
        </w:rPr>
        <w:t>journée  d’études</w:t>
      </w:r>
      <w:proofErr w:type="gramEnd"/>
      <w:r>
        <w:rPr>
          <w:sz w:val="22"/>
        </w:rPr>
        <w:t xml:space="preserve"> « La Certitude morale aux </w:t>
      </w:r>
      <w:proofErr w:type="spellStart"/>
      <w:r>
        <w:rPr>
          <w:sz w:val="22"/>
        </w:rPr>
        <w:t>xvii</w:t>
      </w:r>
      <w:r>
        <w:rPr>
          <w:sz w:val="20"/>
          <w:vertAlign w:val="superscript"/>
        </w:rPr>
        <w:t>e</w:t>
      </w:r>
      <w:proofErr w:type="spellEnd"/>
      <w:r>
        <w:rPr>
          <w:sz w:val="22"/>
        </w:rPr>
        <w:t xml:space="preserve"> et </w:t>
      </w:r>
      <w:proofErr w:type="spellStart"/>
      <w:r>
        <w:rPr>
          <w:sz w:val="22"/>
        </w:rPr>
        <w:t>xviii</w:t>
      </w:r>
      <w:r>
        <w:rPr>
          <w:sz w:val="20"/>
          <w:vertAlign w:val="superscript"/>
        </w:rPr>
        <w:t>e</w:t>
      </w:r>
      <w:proofErr w:type="spellEnd"/>
      <w:r>
        <w:rPr>
          <w:sz w:val="22"/>
        </w:rPr>
        <w:t xml:space="preserve"> siècles » organisée le 15 juin 2018 à  l’École normale supérieure de </w:t>
      </w:r>
      <w:proofErr w:type="spellStart"/>
      <w:r>
        <w:rPr>
          <w:sz w:val="22"/>
        </w:rPr>
        <w:t>Lyon,publiés</w:t>
      </w:r>
      <w:proofErr w:type="spellEnd"/>
      <w:r>
        <w:rPr>
          <w:sz w:val="22"/>
        </w:rPr>
        <w:t xml:space="preserve"> avec le soutien du LABEX COMOD </w:t>
      </w:r>
    </w:p>
    <w:p w14:paraId="49FB9466" w14:textId="77777777" w:rsidR="00EF544B" w:rsidRDefault="00951809">
      <w:pPr>
        <w:pStyle w:val="Titre1"/>
        <w:spacing w:after="0"/>
      </w:pPr>
      <w:proofErr w:type="gramStart"/>
      <w:r>
        <w:rPr>
          <w:sz w:val="22"/>
        </w:rPr>
        <w:t>de  l’université</w:t>
      </w:r>
      <w:proofErr w:type="gramEnd"/>
      <w:r>
        <w:rPr>
          <w:sz w:val="22"/>
        </w:rPr>
        <w:t xml:space="preserve"> de Lyon</w:t>
      </w:r>
    </w:p>
    <w:p w14:paraId="5378F2A8" w14:textId="77777777" w:rsidR="00EF544B" w:rsidRDefault="00951809">
      <w:pPr>
        <w:spacing w:after="661" w:line="259" w:lineRule="auto"/>
        <w:ind w:left="892" w:right="-1415" w:firstLine="0"/>
        <w:jc w:val="left"/>
      </w:pPr>
      <w:r>
        <w:rPr>
          <w:rFonts w:ascii="Calibri" w:eastAsia="Calibri" w:hAnsi="Calibri" w:cs="Calibri"/>
          <w:noProof/>
          <w:color w:val="000000"/>
          <w:sz w:val="22"/>
        </w:rPr>
        <mc:AlternateContent>
          <mc:Choice Requires="wpg">
            <w:drawing>
              <wp:inline distT="0" distB="0" distL="0" distR="0" wp14:anchorId="10355004" wp14:editId="684B66E4">
                <wp:extent cx="4293902" cy="534092"/>
                <wp:effectExtent l="0" t="0" r="0" b="0"/>
                <wp:docPr id="18158" name="Group 18158"/>
                <wp:cNvGraphicFramePr/>
                <a:graphic xmlns:a="http://schemas.openxmlformats.org/drawingml/2006/main">
                  <a:graphicData uri="http://schemas.microsoft.com/office/word/2010/wordprocessingGroup">
                    <wpg:wgp>
                      <wpg:cNvGrpSpPr/>
                      <wpg:grpSpPr>
                        <a:xfrm>
                          <a:off x="0" y="0"/>
                          <a:ext cx="4293902" cy="534092"/>
                          <a:chOff x="0" y="0"/>
                          <a:chExt cx="4293902" cy="534092"/>
                        </a:xfrm>
                      </wpg:grpSpPr>
                      <wps:wsp>
                        <wps:cNvPr id="115" name="Shape 115"/>
                        <wps:cNvSpPr/>
                        <wps:spPr>
                          <a:xfrm>
                            <a:off x="0" y="0"/>
                            <a:ext cx="4293902" cy="534092"/>
                          </a:xfrm>
                          <a:custGeom>
                            <a:avLst/>
                            <a:gdLst/>
                            <a:ahLst/>
                            <a:cxnLst/>
                            <a:rect l="0" t="0" r="0" b="0"/>
                            <a:pathLst>
                              <a:path w="4293902" h="534092">
                                <a:moveTo>
                                  <a:pt x="0" y="534092"/>
                                </a:moveTo>
                                <a:lnTo>
                                  <a:pt x="4293902"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158" style="width:338.103pt;height:42.0545pt;mso-position-horizontal-relative:char;mso-position-vertical-relative:line" coordsize="42939,5340">
                <v:shape id="Shape 115" style="position:absolute;width:42939;height:5340;left:0;top:0;" coordsize="4293902,534092" path="m0,534092l4293902,0">
                  <v:stroke weight="0.5pt" endcap="flat" joinstyle="miter" miterlimit="4" on="true" color="#181717"/>
                  <v:fill on="false" color="#000000" opacity="0"/>
                </v:shape>
              </v:group>
            </w:pict>
          </mc:Fallback>
        </mc:AlternateContent>
      </w:r>
    </w:p>
    <w:p w14:paraId="6201FC8F" w14:textId="77777777" w:rsidR="00EF544B" w:rsidRDefault="00951809">
      <w:pPr>
        <w:spacing w:after="2536" w:line="224" w:lineRule="auto"/>
        <w:ind w:left="850" w:right="0" w:firstLine="0"/>
        <w:jc w:val="left"/>
      </w:pPr>
      <w:r>
        <w:rPr>
          <w:sz w:val="68"/>
        </w:rPr>
        <w:t>La Certitude morale de Descartes à Hume</w:t>
      </w:r>
    </w:p>
    <w:p w14:paraId="0142D883" w14:textId="77777777" w:rsidR="00EF544B" w:rsidRDefault="00951809">
      <w:pPr>
        <w:spacing w:after="1612" w:line="259" w:lineRule="auto"/>
        <w:ind w:left="850" w:right="0" w:firstLine="0"/>
        <w:jc w:val="left"/>
      </w:pPr>
      <w:r>
        <w:rPr>
          <w:sz w:val="23"/>
        </w:rPr>
        <w:t>Sou</w:t>
      </w:r>
      <w:r>
        <w:rPr>
          <w:sz w:val="23"/>
        </w:rPr>
        <w:t xml:space="preserve">s la direction de Vincent </w:t>
      </w:r>
      <w:proofErr w:type="spellStart"/>
      <w:r>
        <w:rPr>
          <w:sz w:val="23"/>
        </w:rPr>
        <w:t>Darveau</w:t>
      </w:r>
      <w:proofErr w:type="spellEnd"/>
      <w:r>
        <w:rPr>
          <w:sz w:val="23"/>
        </w:rPr>
        <w:t>-St-Pierre</w:t>
      </w:r>
    </w:p>
    <w:p w14:paraId="7C78D5E7" w14:textId="77777777" w:rsidR="00EF544B" w:rsidRDefault="00951809">
      <w:pPr>
        <w:spacing w:after="108" w:line="259" w:lineRule="auto"/>
        <w:ind w:left="845" w:right="0" w:hanging="10"/>
        <w:jc w:val="left"/>
      </w:pPr>
      <w:r>
        <w:rPr>
          <w:sz w:val="19"/>
        </w:rPr>
        <w:lastRenderedPageBreak/>
        <w:t>PARISCLASSIQUES GARNIER</w:t>
      </w:r>
    </w:p>
    <w:p w14:paraId="42B30797" w14:textId="77777777" w:rsidR="00EF544B" w:rsidRDefault="00951809">
      <w:pPr>
        <w:spacing w:after="108" w:line="259" w:lineRule="auto"/>
        <w:ind w:left="845" w:right="0" w:hanging="10"/>
        <w:jc w:val="left"/>
      </w:pPr>
      <w:r>
        <w:rPr>
          <w:sz w:val="19"/>
        </w:rPr>
        <w:t>2023</w:t>
      </w:r>
    </w:p>
    <w:p w14:paraId="6936F6DB" w14:textId="77777777" w:rsidR="00EF544B" w:rsidRDefault="00951809">
      <w:pPr>
        <w:spacing w:after="522" w:line="235" w:lineRule="auto"/>
        <w:ind w:left="10" w:right="-13" w:hanging="10"/>
      </w:pPr>
      <w:r>
        <w:rPr>
          <w:sz w:val="20"/>
        </w:rPr>
        <w:t xml:space="preserve">Vincent </w:t>
      </w:r>
      <w:proofErr w:type="spellStart"/>
      <w:r>
        <w:rPr>
          <w:sz w:val="20"/>
        </w:rPr>
        <w:t>Darveau</w:t>
      </w:r>
      <w:proofErr w:type="spellEnd"/>
      <w:r>
        <w:rPr>
          <w:sz w:val="20"/>
        </w:rPr>
        <w:t xml:space="preserve">-St-Pierre est enseignant en philosophie au collège Lionel-Groulx, au Québec. Il </w:t>
      </w:r>
      <w:proofErr w:type="gramStart"/>
      <w:r>
        <w:rPr>
          <w:sz w:val="20"/>
        </w:rPr>
        <w:t>a  complété</w:t>
      </w:r>
      <w:proofErr w:type="gramEnd"/>
      <w:r>
        <w:rPr>
          <w:sz w:val="20"/>
        </w:rPr>
        <w:t xml:space="preserve"> une maîtrise à  l’Université de Montréal au sujet de  l’abêtissement chez P</w:t>
      </w:r>
      <w:r>
        <w:rPr>
          <w:sz w:val="20"/>
        </w:rPr>
        <w:t>ascal, et il a réalisé des séjours de recherche doctoraux à  l’École normale supérieure de Lyon et à l’Université Princeton.</w:t>
      </w:r>
    </w:p>
    <w:p w14:paraId="7CA928F0" w14:textId="77777777" w:rsidR="00EF544B" w:rsidRDefault="00951809">
      <w:pPr>
        <w:spacing w:line="259" w:lineRule="auto"/>
        <w:ind w:left="10" w:right="3" w:hanging="10"/>
        <w:jc w:val="center"/>
      </w:pPr>
      <w:r>
        <w:rPr>
          <w:sz w:val="18"/>
        </w:rPr>
        <w:t>© 2023. Classiques Garnier, Paris.</w:t>
      </w:r>
    </w:p>
    <w:p w14:paraId="00948949" w14:textId="77777777" w:rsidR="00EF544B" w:rsidRDefault="00951809">
      <w:pPr>
        <w:spacing w:after="187" w:line="232" w:lineRule="auto"/>
        <w:ind w:left="1789" w:right="863" w:hanging="606"/>
      </w:pPr>
      <w:r>
        <w:rPr>
          <w:sz w:val="18"/>
        </w:rPr>
        <w:t>Reproduction et traduction, même partielles, interdites. Tous droits réservés pour tous les pays.</w:t>
      </w:r>
    </w:p>
    <w:p w14:paraId="5D636001" w14:textId="77777777" w:rsidR="00EF544B" w:rsidRDefault="00951809">
      <w:pPr>
        <w:spacing w:line="259" w:lineRule="auto"/>
        <w:ind w:left="10" w:right="3" w:hanging="10"/>
        <w:jc w:val="center"/>
      </w:pPr>
      <w:r>
        <w:rPr>
          <w:sz w:val="18"/>
        </w:rPr>
        <w:t>ISBN 978-2-406-15454-9 (livre broché)</w:t>
      </w:r>
    </w:p>
    <w:p w14:paraId="4866DFD4" w14:textId="77777777" w:rsidR="00EF544B" w:rsidRDefault="00951809">
      <w:pPr>
        <w:spacing w:line="259" w:lineRule="auto"/>
        <w:ind w:left="10" w:right="3" w:hanging="10"/>
        <w:jc w:val="center"/>
      </w:pPr>
      <w:r>
        <w:rPr>
          <w:sz w:val="18"/>
        </w:rPr>
        <w:t>ISBN 978-2-406-15455-6 (livre relié)</w:t>
      </w:r>
    </w:p>
    <w:p w14:paraId="2DA5A8AD" w14:textId="77777777" w:rsidR="00EF544B" w:rsidRDefault="00951809">
      <w:pPr>
        <w:spacing w:line="259" w:lineRule="auto"/>
        <w:ind w:left="10" w:right="3" w:hanging="10"/>
        <w:jc w:val="center"/>
      </w:pPr>
      <w:r>
        <w:rPr>
          <w:sz w:val="18"/>
        </w:rPr>
        <w:t>ISSN 2493-8947</w:t>
      </w:r>
    </w:p>
    <w:p w14:paraId="4744B476" w14:textId="77777777" w:rsidR="00EF544B" w:rsidRDefault="00951809">
      <w:pPr>
        <w:pStyle w:val="Titre1"/>
      </w:pPr>
      <w:r>
        <w:t>CERTITUDES SUBVERTIES</w:t>
      </w:r>
    </w:p>
    <w:p w14:paraId="31CBF4E0" w14:textId="77777777" w:rsidR="00EF544B" w:rsidRDefault="00951809">
      <w:pPr>
        <w:spacing w:after="736" w:line="259" w:lineRule="auto"/>
        <w:ind w:right="3" w:firstLine="0"/>
        <w:jc w:val="center"/>
      </w:pPr>
      <w:r>
        <w:rPr>
          <w:sz w:val="28"/>
        </w:rPr>
        <w:t>Stratégies de Diderot</w:t>
      </w:r>
    </w:p>
    <w:p w14:paraId="787DFF53" w14:textId="77777777" w:rsidR="00EF544B" w:rsidRDefault="00951809">
      <w:pPr>
        <w:pStyle w:val="Titre2"/>
      </w:pPr>
      <w:r>
        <w:t>INTRODUCTION</w:t>
      </w:r>
    </w:p>
    <w:p w14:paraId="14B91E13" w14:textId="77777777" w:rsidR="00EF544B" w:rsidRDefault="00951809">
      <w:pPr>
        <w:ind w:left="-15" w:right="0"/>
      </w:pPr>
      <w:r>
        <w:t xml:space="preserve">On a longtemps eu tendance à traiter le « Siècle des lumières » et « sa » </w:t>
      </w:r>
      <w:proofErr w:type="gramStart"/>
      <w:r>
        <w:t>philosophie  comme</w:t>
      </w:r>
      <w:proofErr w:type="gramEnd"/>
      <w:r>
        <w:t xml:space="preserve">  l’expression triomphaliste du progrès  d’une rationalité sûre d ’elle-même. </w:t>
      </w:r>
      <w:proofErr w:type="gramStart"/>
      <w:r>
        <w:t>Ce  constat</w:t>
      </w:r>
      <w:proofErr w:type="gramEnd"/>
      <w:r>
        <w:t xml:space="preserve"> s ’est vu peu à peu nuancé par la recherche</w:t>
      </w:r>
      <w:r>
        <w:rPr>
          <w:sz w:val="22"/>
          <w:vertAlign w:val="superscript"/>
        </w:rPr>
        <w:footnoteReference w:id="1"/>
      </w:r>
      <w:r>
        <w:t xml:space="preserve"> qui a su, dans les dernières</w:t>
      </w:r>
      <w:r>
        <w:t xml:space="preserve"> décennies, montrer que la raison des Lumières est une raison inquiète, hantée par le scepticisme eu égard au fondement métaphysique du savoir, travaillée par une  conception expérimentale des sciences, ébranlée, enfin, par la prise de  conscience de sa pr</w:t>
      </w:r>
      <w:r>
        <w:t xml:space="preserve">opre historicité qui affecte  jusqu’aux normes du vraisemblable appliquées aux témoignages sur les faits empiriques. </w:t>
      </w:r>
      <w:proofErr w:type="gramStart"/>
      <w:r>
        <w:t>Loin  d’avoir</w:t>
      </w:r>
      <w:proofErr w:type="gramEnd"/>
      <w:r>
        <w:t xml:space="preserve"> quelque véracité divine pour appui,  conférant à la lumière naturelle la légitimité nécessaire au développement  d’un savoir </w:t>
      </w:r>
      <w:r>
        <w:t>certain, la raison des Lumières avance dans une zone de clair-obscur.</w:t>
      </w:r>
    </w:p>
    <w:p w14:paraId="1CC36964" w14:textId="77777777" w:rsidR="00EF544B" w:rsidRDefault="00951809">
      <w:pPr>
        <w:ind w:left="-15" w:right="0"/>
      </w:pPr>
      <w:r>
        <w:lastRenderedPageBreak/>
        <w:t xml:space="preserve">Les penseurs des Lumières n ’ont de cesse, d’ailleurs, de mettre </w:t>
      </w:r>
      <w:proofErr w:type="gramStart"/>
      <w:r>
        <w:t>en  scène</w:t>
      </w:r>
      <w:proofErr w:type="gramEnd"/>
      <w:r>
        <w:t xml:space="preserve"> la vacillation des prétentions de la raison à ressaisir intégralement  l’ordre du monde –  c’est là, on le sait</w:t>
      </w:r>
      <w:r>
        <w:t xml:space="preserve">, tout le sens de leur démarche </w:t>
      </w:r>
      <w:r>
        <w:rPr>
          <w:i/>
        </w:rPr>
        <w:t>critique</w:t>
      </w:r>
      <w:r>
        <w:t xml:space="preserve">. Œuvre par excellence sur laquelle a été projeté le </w:t>
      </w:r>
      <w:proofErr w:type="gramStart"/>
      <w:r>
        <w:t>fantasme  d’une</w:t>
      </w:r>
      <w:proofErr w:type="gramEnd"/>
      <w:r>
        <w:t xml:space="preserve"> philosophie des Lumières  conquérante,  l’</w:t>
      </w:r>
      <w:r>
        <w:rPr>
          <w:i/>
        </w:rPr>
        <w:t xml:space="preserve">Encyclopédie </w:t>
      </w:r>
      <w:r>
        <w:t xml:space="preserve">est, de fait,  aujourd’hui, toujours c </w:t>
      </w:r>
      <w:proofErr w:type="spellStart"/>
      <w:r>
        <w:t>onçue</w:t>
      </w:r>
      <w:proofErr w:type="spellEnd"/>
      <w:r>
        <w:t xml:space="preserve">  comme emblème des Lumières, mais dans ce q </w:t>
      </w:r>
      <w:proofErr w:type="spellStart"/>
      <w:r>
        <w:t>u’e</w:t>
      </w:r>
      <w:r>
        <w:t>lles</w:t>
      </w:r>
      <w:proofErr w:type="spellEnd"/>
      <w:r>
        <w:t xml:space="preserve"> ont de tâtonnant, d’hésitant et de subversif. On ne s ’</w:t>
      </w:r>
      <w:proofErr w:type="gramStart"/>
      <w:r>
        <w:t>étonnera  pas</w:t>
      </w:r>
      <w:proofErr w:type="gramEnd"/>
      <w:r>
        <w:t xml:space="preserve">, dès lors, de trouver sous la plume de son éditeur principal, Diderot, et à  l’article qui la prend pour objet, un véritable jeu de subversion de </w:t>
      </w:r>
    </w:p>
    <w:p w14:paraId="0FAED46F" w14:textId="77777777" w:rsidR="00EF544B" w:rsidRDefault="00EF544B">
      <w:pPr>
        <w:sectPr w:rsidR="00EF544B">
          <w:headerReference w:type="even" r:id="rId13"/>
          <w:headerReference w:type="default" r:id="rId14"/>
          <w:footerReference w:type="even" r:id="rId15"/>
          <w:footerReference w:type="default" r:id="rId16"/>
          <w:headerReference w:type="first" r:id="rId17"/>
          <w:footerReference w:type="first" r:id="rId18"/>
          <w:pgSz w:w="9444" w:h="13413"/>
          <w:pgMar w:top="1197" w:right="1601" w:bottom="1559" w:left="1604" w:header="0" w:footer="720" w:gutter="0"/>
          <w:cols w:space="720"/>
        </w:sectPr>
      </w:pPr>
    </w:p>
    <w:p w14:paraId="41185528" w14:textId="77777777" w:rsidR="00EF544B" w:rsidRDefault="00951809">
      <w:pPr>
        <w:ind w:left="-15" w:right="0" w:firstLine="0"/>
      </w:pPr>
      <w:proofErr w:type="gramStart"/>
      <w:r>
        <w:lastRenderedPageBreak/>
        <w:t>la</w:t>
      </w:r>
      <w:proofErr w:type="gramEnd"/>
      <w:r>
        <w:t xml:space="preserve"> certitude. L ’article « Certitude », à lui seul, exemplifie le système des opérations critiques par lesquelles Diderot entend utiliser son </w:t>
      </w:r>
      <w:r>
        <w:rPr>
          <w:i/>
        </w:rPr>
        <w:t>Dictionnaire raisonné</w:t>
      </w:r>
      <w:r>
        <w:t xml:space="preserve"> pour « changer la </w:t>
      </w:r>
      <w:proofErr w:type="gramStart"/>
      <w:r>
        <w:t>façon  commune</w:t>
      </w:r>
      <w:proofErr w:type="gramEnd"/>
      <w:r>
        <w:t xml:space="preserve"> de penser</w:t>
      </w:r>
      <w:r>
        <w:rPr>
          <w:sz w:val="22"/>
          <w:vertAlign w:val="superscript"/>
        </w:rPr>
        <w:footnoteReference w:id="2"/>
      </w:r>
      <w:r>
        <w:t xml:space="preserve"> ». </w:t>
      </w:r>
      <w:proofErr w:type="gramStart"/>
      <w:r>
        <w:t>Tout  s’y</w:t>
      </w:r>
      <w:proofErr w:type="gramEnd"/>
      <w:r>
        <w:t xml:space="preserve"> trouve : structure</w:t>
      </w:r>
      <w:r>
        <w:t xml:space="preserve"> dialogique, ironie, renvois implicites et explicites, diffraction du propos, collage d ’emprunts, subversion des autorités… Par là </w:t>
      </w:r>
      <w:proofErr w:type="gramStart"/>
      <w:r>
        <w:t>même,  l’article</w:t>
      </w:r>
      <w:proofErr w:type="gramEnd"/>
      <w:r>
        <w:t xml:space="preserve"> produit un arrêt sur image donnant l ’état de la question de la certitude au mitan du </w:t>
      </w:r>
      <w:proofErr w:type="spellStart"/>
      <w:r>
        <w:t>xviii</w:t>
      </w:r>
      <w:r>
        <w:rPr>
          <w:sz w:val="22"/>
          <w:vertAlign w:val="superscript"/>
        </w:rPr>
        <w:t>e</w:t>
      </w:r>
      <w:proofErr w:type="spellEnd"/>
      <w:r>
        <w:t xml:space="preserve"> siècle, tant p</w:t>
      </w:r>
      <w:r>
        <w:t xml:space="preserve">ar ce  qu’il  contient que par ce à quoi il renvoie et aux effets de réception q </w:t>
      </w:r>
      <w:proofErr w:type="spellStart"/>
      <w:r>
        <w:t>u’il</w:t>
      </w:r>
      <w:proofErr w:type="spellEnd"/>
      <w:r>
        <w:t xml:space="preserve"> produit. </w:t>
      </w:r>
      <w:proofErr w:type="gramStart"/>
      <w:r>
        <w:t>L’article,  paru</w:t>
      </w:r>
      <w:proofErr w:type="gramEnd"/>
      <w:r>
        <w:t xml:space="preserve"> en 1752 dans le deuxième volume du dictionnaire, est à la fois  l’aboutissement  d’un travail de sape des garanties traditionnelles du savoir do</w:t>
      </w:r>
      <w:r>
        <w:t>nt on trouve trace dans les premières œuvres de Diderot, publiées à partir de 1745 et l ’amorce d’une querelle qui mettra en  danger la poursuite du projet encyclopédique et dont on entendra des échos encore des décennies plus tard.</w:t>
      </w:r>
    </w:p>
    <w:p w14:paraId="5D87A729" w14:textId="77777777" w:rsidR="00EF544B" w:rsidRDefault="00951809">
      <w:pPr>
        <w:ind w:left="-15" w:right="0"/>
      </w:pPr>
      <w:r>
        <w:t>En prenant donc cet art</w:t>
      </w:r>
      <w:r>
        <w:t xml:space="preserve">icle pour point focal, on pourra donner à </w:t>
      </w:r>
      <w:proofErr w:type="gramStart"/>
      <w:r>
        <w:t>voir  comment</w:t>
      </w:r>
      <w:proofErr w:type="gramEnd"/>
      <w:r>
        <w:t>, en quelques lignes, Diderot a su rassembler toute la puissance critique de  l’</w:t>
      </w:r>
      <w:r>
        <w:rPr>
          <w:i/>
        </w:rPr>
        <w:t>Encyclopédie</w:t>
      </w:r>
      <w:r>
        <w:t xml:space="preserve"> pour bousculer les certitudes de ses  contemporains, et c </w:t>
      </w:r>
      <w:proofErr w:type="spellStart"/>
      <w:r>
        <w:t>omment</w:t>
      </w:r>
      <w:proofErr w:type="spellEnd"/>
      <w:r>
        <w:t xml:space="preserve"> ceux-ci ont réagi violemment à une telle mi</w:t>
      </w:r>
      <w:r>
        <w:t xml:space="preserve">se cause. Une lecture attentive </w:t>
      </w:r>
      <w:proofErr w:type="gramStart"/>
      <w:r>
        <w:t>de  l’article</w:t>
      </w:r>
      <w:proofErr w:type="gramEnd"/>
      <w:r>
        <w:t xml:space="preserve"> permettra de voir  comment Diderot se livre une c </w:t>
      </w:r>
      <w:proofErr w:type="spellStart"/>
      <w:r>
        <w:t>omposition</w:t>
      </w:r>
      <w:proofErr w:type="spellEnd"/>
      <w:r>
        <w:t xml:space="preserve"> singulière faite de pièces empruntées à des autorités – subversion délicate, donc, qui pourrait passer pour de la négligence. On verra ensuite que Di</w:t>
      </w:r>
      <w:r>
        <w:t xml:space="preserve">derot fissure lui-même ce collage en le mettant en dialogue avec des éléments externes selon une méthode sophistiquée de renvois </w:t>
      </w:r>
      <w:proofErr w:type="gramStart"/>
      <w:r>
        <w:t>à  d’autres</w:t>
      </w:r>
      <w:proofErr w:type="gramEnd"/>
      <w:r>
        <w:t xml:space="preserve"> articles de  l’</w:t>
      </w:r>
      <w:r>
        <w:rPr>
          <w:i/>
        </w:rPr>
        <w:t>Encyclopédie</w:t>
      </w:r>
      <w:r>
        <w:t xml:space="preserve"> ou à  d’autres textes de collaborateurs du dictionnaire, si bien que son propos gagne e</w:t>
      </w:r>
      <w:r>
        <w:t xml:space="preserve">n virulence au fur et à mesure que le lecteur prend acte de ses ramifications. Mais admettons-le d ’emblée : ce qui nous met sur la piste de cet article, plus encore </w:t>
      </w:r>
      <w:proofErr w:type="gramStart"/>
      <w:r>
        <w:t>que  l’ironie</w:t>
      </w:r>
      <w:proofErr w:type="gramEnd"/>
      <w:r>
        <w:t xml:space="preserve"> jubilatoire de son signataire,  c’est la caisse de résonance que lui procure</w:t>
      </w:r>
      <w:r>
        <w:t xml:space="preserve"> la hargne de ses critiques.</w:t>
      </w:r>
    </w:p>
    <w:p w14:paraId="3824C29C" w14:textId="77777777" w:rsidR="00EF544B" w:rsidRDefault="00951809">
      <w:pPr>
        <w:pStyle w:val="Titre2"/>
        <w:ind w:right="2"/>
      </w:pPr>
      <w:r>
        <w:lastRenderedPageBreak/>
        <w:t>LA FIN DES CERTITUDES</w:t>
      </w:r>
    </w:p>
    <w:p w14:paraId="754AB808" w14:textId="77777777" w:rsidR="00EF544B" w:rsidRDefault="00951809">
      <w:pPr>
        <w:ind w:left="-15" w:right="0"/>
      </w:pPr>
      <w:r>
        <w:t xml:space="preserve">Commençons donc 22 ans en aval. Dans son </w:t>
      </w:r>
      <w:r>
        <w:rPr>
          <w:i/>
        </w:rPr>
        <w:t xml:space="preserve">Dictionnaire philosophique </w:t>
      </w:r>
      <w:r>
        <w:t xml:space="preserve">de 1764, où Voltaire est déjà en </w:t>
      </w:r>
      <w:proofErr w:type="gramStart"/>
      <w:r>
        <w:t>train  d’exposer</w:t>
      </w:r>
      <w:proofErr w:type="gramEnd"/>
      <w:r>
        <w:t xml:space="preserve"> des morceaux de ses futures </w:t>
      </w:r>
      <w:r>
        <w:rPr>
          <w:i/>
        </w:rPr>
        <w:t>Questions sur  l’Encyclopédie</w:t>
      </w:r>
      <w:r>
        <w:t>, on trouve à  l’article Certa</w:t>
      </w:r>
      <w:r>
        <w:t xml:space="preserve">in, Certitude une distribution des degrés de certitude sur deux axes précis : l ’axe du probable qui oscille au fil de  l’histoire et celui de  l’immutabilité éternelle. L ’idée de Voltaire est de montrer l’extension de ces deux catégories  en procédant à </w:t>
      </w:r>
      <w:r>
        <w:t xml:space="preserve"> l’analyse de cas : on peut penser savoir avec certitude  l’âge  d’un ami pour avoir vu des documents officiels le  concernant, puis apprendre  qu’ils ont été falsifiés ; on a cru longtemps que le soleil tournait autour de la terre, on en était certain,  j</w:t>
      </w:r>
      <w:r>
        <w:t>usqu’aux découvertes de Copernic, qui ont montré  qu’on était dans  l’erreur ; les sortilèges, divinations et obsessions sont choses certaines aux yeux des peuples, mais «  aujourd’hui, cette certitude est un peu tombée</w:t>
      </w:r>
      <w:r>
        <w:rPr>
          <w:sz w:val="22"/>
          <w:vertAlign w:val="superscript"/>
        </w:rPr>
        <w:footnoteReference w:id="3"/>
      </w:r>
      <w:r>
        <w:t xml:space="preserve">. » Tous ces cas sont des exemples </w:t>
      </w:r>
      <w:proofErr w:type="gramStart"/>
      <w:r>
        <w:t>où  l’on</w:t>
      </w:r>
      <w:proofErr w:type="gramEnd"/>
      <w:r>
        <w:t xml:space="preserve"> a cru être certain, alors que nous avions affaire à des probabilités. Pour  comprendre  comment ils se distinguent des cas  qu’on trouve le long de  l’autre axe, il faut regarder ces derniers : on peut  n’être pas certain au départ que les trois a</w:t>
      </w:r>
      <w:r>
        <w:t xml:space="preserve">ngles d ’un triangle équivalent à deux droits parce q </w:t>
      </w:r>
      <w:proofErr w:type="spellStart"/>
      <w:r>
        <w:t>u’on</w:t>
      </w:r>
      <w:proofErr w:type="spellEnd"/>
      <w:r>
        <w:t xml:space="preserve"> n’a pas d ’idée claire de ce que  contient  cette proposition, mais si on nous la démontre, alors elle acquiert une certitude  qu’elle ne pourra plus jamais perdre ; et Voltaire  d’ajouter que les </w:t>
      </w:r>
      <w:r>
        <w:t xml:space="preserve">propositions «  j’existe », « je pense » et « je sens de la douleur » ont la même force que la vérité géométrique précédente. La raison de cette équivalence est que « ces vérités sont prouvées par le même </w:t>
      </w:r>
      <w:proofErr w:type="gramStart"/>
      <w:r>
        <w:t>principe  qu’une</w:t>
      </w:r>
      <w:proofErr w:type="gramEnd"/>
      <w:r>
        <w:t xml:space="preserve"> chose ne peut être et n ’être pas </w:t>
      </w:r>
      <w:r>
        <w:t>en même temps</w:t>
      </w:r>
      <w:r>
        <w:rPr>
          <w:sz w:val="22"/>
          <w:vertAlign w:val="superscript"/>
        </w:rPr>
        <w:footnoteReference w:id="4"/>
      </w:r>
      <w:r>
        <w:t>. »</w:t>
      </w:r>
    </w:p>
    <w:p w14:paraId="4E82F12F" w14:textId="77777777" w:rsidR="00EF544B" w:rsidRDefault="00951809">
      <w:pPr>
        <w:spacing w:after="176"/>
        <w:ind w:left="-15" w:right="0"/>
      </w:pPr>
      <w:r>
        <w:t xml:space="preserve">Voltaire </w:t>
      </w:r>
      <w:proofErr w:type="gramStart"/>
      <w:r>
        <w:t>reconnaît  qu’il</w:t>
      </w:r>
      <w:proofErr w:type="gramEnd"/>
      <w:r>
        <w:t xml:space="preserve"> y a une différence de genre entre les certitudes « mathématiques » et les « physiques », mais il juge que cela ne leur c </w:t>
      </w:r>
      <w:proofErr w:type="spellStart"/>
      <w:r>
        <w:t>onfère</w:t>
      </w:r>
      <w:proofErr w:type="spellEnd"/>
      <w:r>
        <w:t xml:space="preserve"> pas de différence de valeur épistémique. Cette dernière, en effet, est fonction non</w:t>
      </w:r>
      <w:r>
        <w:t xml:space="preserve"> pas du genre </w:t>
      </w:r>
      <w:proofErr w:type="gramStart"/>
      <w:r>
        <w:t>de  connaissance</w:t>
      </w:r>
      <w:proofErr w:type="gramEnd"/>
      <w:r>
        <w:t xml:space="preserve"> en jeu, mais de son origine. Le fondement des certitudes immuables </w:t>
      </w:r>
      <w:r>
        <w:lastRenderedPageBreak/>
        <w:t xml:space="preserve">et éternelles tient, on le voit, au principe de </w:t>
      </w:r>
      <w:proofErr w:type="gramStart"/>
      <w:r>
        <w:t>non  contradiction</w:t>
      </w:r>
      <w:proofErr w:type="gramEnd"/>
      <w:r>
        <w:t xml:space="preserve"> ; les autres, celles que Voltaire nomme des probabilités, sont dites fondées sur les appare</w:t>
      </w:r>
      <w:r>
        <w:t>nces ou le rapport  d’autrui – fût-ce le « rapport unanimes que nous font les hommes</w:t>
      </w:r>
      <w:r>
        <w:rPr>
          <w:sz w:val="22"/>
          <w:vertAlign w:val="superscript"/>
        </w:rPr>
        <w:footnoteReference w:id="5"/>
      </w:r>
      <w:r>
        <w:t xml:space="preserve"> ». L ’ancrage de la certitude dans la clarté et le principe de non- contradiction par opposition au « probable » rapporté </w:t>
      </w:r>
      <w:proofErr w:type="gramStart"/>
      <w:r>
        <w:t>à  l’apparence</w:t>
      </w:r>
      <w:proofErr w:type="gramEnd"/>
      <w:r>
        <w:t xml:space="preserve"> et au rapport d ’autrui rejoue, </w:t>
      </w:r>
      <w:r>
        <w:t>en un sens, une scène qu’on reconnaîtra  pour cartésienne (un peu teintée de leibnizianisme),  puisqu’il s ’agit de récuser la validité des données des sens, ainsi que toute autorité du témoignage  d’autrui ou de la tradition au profit de certitudes émanan</w:t>
      </w:r>
      <w:r>
        <w:t xml:space="preserve">t de la lumière naturelle. Mais la récusation en bloc de toute autorité du témoignage </w:t>
      </w:r>
      <w:proofErr w:type="gramStart"/>
      <w:r>
        <w:t>a,  comme</w:t>
      </w:r>
      <w:proofErr w:type="gramEnd"/>
      <w:r>
        <w:t xml:space="preserve"> la suite de  l’article le montre, une cible très précise : le « </w:t>
      </w:r>
      <w:r>
        <w:rPr>
          <w:i/>
        </w:rPr>
        <w:t>Dictionnaire encyclopédique</w:t>
      </w:r>
      <w:r>
        <w:t xml:space="preserve"> » qui </w:t>
      </w:r>
    </w:p>
    <w:p w14:paraId="106B6FAB" w14:textId="77777777" w:rsidR="00EF544B" w:rsidRDefault="00951809">
      <w:pPr>
        <w:spacing w:after="287" w:line="235" w:lineRule="auto"/>
        <w:ind w:left="562" w:right="-13" w:hanging="10"/>
      </w:pPr>
      <w:proofErr w:type="gramStart"/>
      <w:r>
        <w:rPr>
          <w:sz w:val="20"/>
        </w:rPr>
        <w:t>soutient</w:t>
      </w:r>
      <w:proofErr w:type="gramEnd"/>
      <w:r>
        <w:rPr>
          <w:sz w:val="20"/>
        </w:rPr>
        <w:t xml:space="preserve"> q </w:t>
      </w:r>
      <w:proofErr w:type="spellStart"/>
      <w:r>
        <w:rPr>
          <w:sz w:val="20"/>
        </w:rPr>
        <w:t>u’un</w:t>
      </w:r>
      <w:proofErr w:type="spellEnd"/>
      <w:r>
        <w:rPr>
          <w:sz w:val="20"/>
        </w:rPr>
        <w:t xml:space="preserve"> homme devrait être aussi sûr, aussi certain q</w:t>
      </w:r>
      <w:r>
        <w:rPr>
          <w:sz w:val="20"/>
        </w:rPr>
        <w:t xml:space="preserve">ue le maréchal de Saxe est ressuscité, si tout Paris le lui disait,  qu’il est sûr que le maréchal de Saxe a gagné la bataille de Fontenoy, quand tout Paris le lui dit. Voyez, je vous </w:t>
      </w:r>
      <w:proofErr w:type="gramStart"/>
      <w:r>
        <w:rPr>
          <w:sz w:val="20"/>
        </w:rPr>
        <w:t>prie,  combien</w:t>
      </w:r>
      <w:proofErr w:type="gramEnd"/>
      <w:r>
        <w:rPr>
          <w:sz w:val="20"/>
        </w:rPr>
        <w:t xml:space="preserve"> ce raisonnement est admirable : « Je crois tout Paris qua</w:t>
      </w:r>
      <w:r>
        <w:rPr>
          <w:sz w:val="20"/>
        </w:rPr>
        <w:t>nd il me dit une chose moralement possible ; donc je dois croire tout Paris quand il me dit une chose moralement et physiquement impossible</w:t>
      </w:r>
      <w:r>
        <w:rPr>
          <w:sz w:val="20"/>
          <w:vertAlign w:val="superscript"/>
        </w:rPr>
        <w:footnoteReference w:id="6"/>
      </w:r>
      <w:r>
        <w:rPr>
          <w:sz w:val="20"/>
        </w:rPr>
        <w:t>. »</w:t>
      </w:r>
    </w:p>
    <w:p w14:paraId="04A7B390" w14:textId="77777777" w:rsidR="00EF544B" w:rsidRDefault="00951809">
      <w:pPr>
        <w:ind w:left="-15" w:right="0"/>
      </w:pPr>
      <w:r>
        <w:t xml:space="preserve">On est alors surpris de voir surgir, </w:t>
      </w:r>
      <w:proofErr w:type="gramStart"/>
      <w:r>
        <w:t>en  contrepoint</w:t>
      </w:r>
      <w:proofErr w:type="gramEnd"/>
      <w:r>
        <w:t xml:space="preserve"> de celle de certitude, la notion de possibilité, ici affub</w:t>
      </w:r>
      <w:r>
        <w:t xml:space="preserve">lée des modalités de « moral » et de « physique ». Voltaire, dirait-on, cherche à souligner que non seulement le </w:t>
      </w:r>
      <w:proofErr w:type="gramStart"/>
      <w:r>
        <w:t>témoignage  n’est</w:t>
      </w:r>
      <w:proofErr w:type="gramEnd"/>
      <w:r>
        <w:t xml:space="preserve"> jamais que probable, mais que ce statut de « probable » est fonction du degré de « possibilité » qui est c </w:t>
      </w:r>
      <w:proofErr w:type="spellStart"/>
      <w:r>
        <w:t>onféré</w:t>
      </w:r>
      <w:proofErr w:type="spellEnd"/>
      <w:r>
        <w:t xml:space="preserve"> au  contenu</w:t>
      </w:r>
      <w:r>
        <w:t xml:space="preserve"> du témoignage. On voit mal, ici, ce que peut signifier le « moralement </w:t>
      </w:r>
      <w:r>
        <w:rPr>
          <w:i/>
        </w:rPr>
        <w:t>possible</w:t>
      </w:r>
      <w:r>
        <w:t xml:space="preserve"> », si ce n ’est qu’il découle d ’une application au </w:t>
      </w:r>
      <w:proofErr w:type="gramStart"/>
      <w:r>
        <w:t>régime  de</w:t>
      </w:r>
      <w:proofErr w:type="gramEnd"/>
      <w:r>
        <w:t xml:space="preserve"> la possibilité de ce que la tradition accorde à celui de la </w:t>
      </w:r>
      <w:r>
        <w:rPr>
          <w:i/>
        </w:rPr>
        <w:t>certitude</w:t>
      </w:r>
      <w:r>
        <w:t xml:space="preserve"> : est moralement certain ce dont on a une </w:t>
      </w:r>
      <w:r>
        <w:t xml:space="preserve">certitude c </w:t>
      </w:r>
      <w:proofErr w:type="spellStart"/>
      <w:r>
        <w:t>onférée</w:t>
      </w:r>
      <w:proofErr w:type="spellEnd"/>
      <w:r>
        <w:t xml:space="preserve"> par le témoignage. Mais Voltaire semble ici </w:t>
      </w:r>
      <w:r>
        <w:lastRenderedPageBreak/>
        <w:t xml:space="preserve">juger que le moralement possible subit </w:t>
      </w:r>
      <w:proofErr w:type="gramStart"/>
      <w:r>
        <w:t>la  contrainte</w:t>
      </w:r>
      <w:proofErr w:type="gramEnd"/>
      <w:r>
        <w:t xml:space="preserve">  d’avoir, de plus, à  l’être physiquement pour pouvoir être cru – ce que la tradition  n’exigeait pas, ni, semble-t-il,  l’</w:t>
      </w:r>
      <w:r>
        <w:rPr>
          <w:i/>
        </w:rPr>
        <w:t>Encyclopédie</w:t>
      </w:r>
      <w:r>
        <w:t>…</w:t>
      </w:r>
    </w:p>
    <w:p w14:paraId="30A056E2" w14:textId="77777777" w:rsidR="00EF544B" w:rsidRDefault="00951809">
      <w:pPr>
        <w:ind w:left="-15" w:right="0"/>
      </w:pPr>
      <w:r>
        <w:t xml:space="preserve">Toutefois, </w:t>
      </w:r>
      <w:proofErr w:type="gramStart"/>
      <w:r>
        <w:t>Voltaire  n’est</w:t>
      </w:r>
      <w:proofErr w:type="gramEnd"/>
      <w:r>
        <w:t xml:space="preserve"> pas dupe : une dernière phrase de son article indique q </w:t>
      </w:r>
      <w:proofErr w:type="spellStart"/>
      <w:r>
        <w:t>u’il</w:t>
      </w:r>
      <w:proofErr w:type="spellEnd"/>
      <w:r>
        <w:t xml:space="preserve"> a très bien vu que l’article « Certitude » de l ’ </w:t>
      </w:r>
      <w:r>
        <w:rPr>
          <w:i/>
        </w:rPr>
        <w:t>Encyclopédie</w:t>
      </w:r>
      <w:r>
        <w:t xml:space="preserve">  d’où il prend son extrait était en fait empreint  d’ironie :</w:t>
      </w:r>
    </w:p>
    <w:p w14:paraId="1231DF17" w14:textId="77777777" w:rsidR="00EF544B" w:rsidRDefault="00951809">
      <w:pPr>
        <w:spacing w:after="287" w:line="235" w:lineRule="auto"/>
        <w:ind w:left="562" w:right="-13" w:hanging="10"/>
      </w:pPr>
      <w:r>
        <w:rPr>
          <w:sz w:val="20"/>
        </w:rPr>
        <w:t>Apparemment que l ’auteur de cet article vo</w:t>
      </w:r>
      <w:r>
        <w:rPr>
          <w:sz w:val="20"/>
        </w:rPr>
        <w:t xml:space="preserve">ulait rire, et </w:t>
      </w:r>
      <w:proofErr w:type="gramStart"/>
      <w:r>
        <w:rPr>
          <w:sz w:val="20"/>
        </w:rPr>
        <w:t>que  l’autre</w:t>
      </w:r>
      <w:proofErr w:type="gramEnd"/>
      <w:r>
        <w:rPr>
          <w:sz w:val="20"/>
        </w:rPr>
        <w:t xml:space="preserve"> auteur qui  s’extasie à la fin de cet article, et écrit  contre lui-même, voulait rire aussi</w:t>
      </w:r>
      <w:r>
        <w:rPr>
          <w:sz w:val="20"/>
          <w:vertAlign w:val="superscript"/>
        </w:rPr>
        <w:footnoteReference w:id="7"/>
      </w:r>
      <w:r>
        <w:rPr>
          <w:sz w:val="20"/>
        </w:rPr>
        <w:t xml:space="preserve">. </w:t>
      </w:r>
    </w:p>
    <w:p w14:paraId="1E4837AB" w14:textId="77777777" w:rsidR="00EF544B" w:rsidRDefault="00951809">
      <w:pPr>
        <w:ind w:left="-15" w:right="0"/>
      </w:pPr>
      <w:r>
        <w:t xml:space="preserve">Que l ’auteur de l’article ait voulu rire, cela signifie que le bon </w:t>
      </w:r>
      <w:proofErr w:type="spellStart"/>
      <w:r>
        <w:t>enten</w:t>
      </w:r>
      <w:proofErr w:type="spellEnd"/>
      <w:r>
        <w:t xml:space="preserve">- </w:t>
      </w:r>
      <w:proofErr w:type="spellStart"/>
      <w:r>
        <w:t>deur</w:t>
      </w:r>
      <w:proofErr w:type="spellEnd"/>
      <w:r>
        <w:t xml:space="preserve"> aurait </w:t>
      </w:r>
      <w:proofErr w:type="gramStart"/>
      <w:r>
        <w:t>dû  comprendre</w:t>
      </w:r>
      <w:proofErr w:type="gramEnd"/>
      <w:r>
        <w:t xml:space="preserve"> que ledit auteur demandait que son article soit lu  comme un dispositif – typique des stratégies  d’écriture  qu’on trouve dans  l’</w:t>
      </w:r>
      <w:r>
        <w:rPr>
          <w:i/>
        </w:rPr>
        <w:t>Encyclopédie</w:t>
      </w:r>
      <w:r>
        <w:t xml:space="preserve"> – de retou</w:t>
      </w:r>
      <w:r>
        <w:t>rnement : la preuve donnée est si faible,  qu’on doit immanquablement s ’apercevoir de son absurdité, et voir ainsi son adhésion habituelle à d ’autres preuves du même genre être soudain réfléchie et, peut-être, mise en danger. Voltaire donne un guide lect</w:t>
      </w:r>
      <w:r>
        <w:t xml:space="preserve">ure à celui qui voudrait retourner </w:t>
      </w:r>
      <w:proofErr w:type="gramStart"/>
      <w:r>
        <w:t>à  l’</w:t>
      </w:r>
      <w:r>
        <w:rPr>
          <w:i/>
        </w:rPr>
        <w:t>Encyclopédie</w:t>
      </w:r>
      <w:proofErr w:type="gramEnd"/>
      <w:r>
        <w:t>. Mais il fait plus : en parlant de « l ’autre auteur » qui s ’extasie de ce qui précède son entrée en scène, il dévoile des éléments de ce dispositif qui sont cruciaux pour en  comprendre tout le raffine</w:t>
      </w:r>
      <w:r>
        <w:t>ment : que la majorité de  l’article est  d’un auteur qui défend ironiquement la certitude du témoignage quant aux miracles, que l ’autre auteur qui intervient à la fin de  l’article pour encenser le premier est de  connivence avec lui et  qu’il écrit  con</w:t>
      </w:r>
      <w:r>
        <w:t xml:space="preserve">tre lui-même, c ’est-à-dire qu’il feint  d’attaquer une œuvre q </w:t>
      </w:r>
      <w:proofErr w:type="spellStart"/>
      <w:r>
        <w:t>u’il</w:t>
      </w:r>
      <w:proofErr w:type="spellEnd"/>
      <w:r>
        <w:t xml:space="preserve"> a pourtant  écrite. Voltaire, donc, révèle tout l ’artifice </w:t>
      </w:r>
      <w:proofErr w:type="gramStart"/>
      <w:r>
        <w:t>de  l’article</w:t>
      </w:r>
      <w:proofErr w:type="gramEnd"/>
      <w:r>
        <w:t xml:space="preserve">, mais </w:t>
      </w:r>
      <w:r>
        <w:rPr>
          <w:i/>
        </w:rPr>
        <w:t>ne  condamne pas la thèse qui y est soutenue en filigrane</w:t>
      </w:r>
      <w:r>
        <w:t>, il attaque la version ironique de la thèse, appu</w:t>
      </w:r>
      <w:r>
        <w:t xml:space="preserve">yant, ainsi,  l’article en question tout en démasquant son procédé. Plus encore, il révèle l ’identité de </w:t>
      </w:r>
      <w:proofErr w:type="gramStart"/>
      <w:r>
        <w:t>l’auteur  d’un</w:t>
      </w:r>
      <w:proofErr w:type="gramEnd"/>
      <w:r>
        <w:t xml:space="preserve"> texte qui  avait encore un statut  d’œuvre anonyme, de celui qui « écrit  contre </w:t>
      </w:r>
      <w:proofErr w:type="spellStart"/>
      <w:r>
        <w:t>luimême</w:t>
      </w:r>
      <w:proofErr w:type="spellEnd"/>
      <w:r>
        <w:t xml:space="preserve"> » – on y reviendra.</w:t>
      </w:r>
    </w:p>
    <w:p w14:paraId="538C6B71" w14:textId="77777777" w:rsidR="00EF544B" w:rsidRDefault="00951809">
      <w:pPr>
        <w:ind w:left="-15" w:right="0"/>
      </w:pPr>
      <w:r>
        <w:t>Voltaire, en dernière anal</w:t>
      </w:r>
      <w:r>
        <w:t xml:space="preserve">yse, indique l ’ironie de l’article « Certitude </w:t>
      </w:r>
      <w:proofErr w:type="gramStart"/>
      <w:r>
        <w:t>»  de</w:t>
      </w:r>
      <w:proofErr w:type="gramEnd"/>
      <w:r>
        <w:t xml:space="preserve">  l’</w:t>
      </w:r>
      <w:r>
        <w:rPr>
          <w:i/>
        </w:rPr>
        <w:t>Encyclopédie</w:t>
      </w:r>
      <w:r>
        <w:t xml:space="preserve">, mais il le fait sur le ton de la bonne entente, et son article met de côté la terminologie habituellement </w:t>
      </w:r>
      <w:r>
        <w:lastRenderedPageBreak/>
        <w:t>associée à la question de la certitude, tout en en préservant un certain état d</w:t>
      </w:r>
      <w:r>
        <w:t xml:space="preserve">e la question telle  qu’il  l’a trouvée dans sa source. Mais il n ’était pas le premier à souligner cette ironie : les ennemis </w:t>
      </w:r>
      <w:proofErr w:type="gramStart"/>
      <w:r>
        <w:t>de  l’</w:t>
      </w:r>
      <w:r>
        <w:rPr>
          <w:i/>
        </w:rPr>
        <w:t>Encyclopédie</w:t>
      </w:r>
      <w:proofErr w:type="gramEnd"/>
      <w:r>
        <w:t xml:space="preserve"> – qui en étaient peut-être aussi, pour cette raison même, parmi ses meilleurs lecteurs –  l’avaient relevé ave</w:t>
      </w:r>
      <w:r>
        <w:t xml:space="preserve">c beaucoup plus  d’acrimonie. Ainsi, dans ses </w:t>
      </w:r>
      <w:r>
        <w:rPr>
          <w:i/>
        </w:rPr>
        <w:t xml:space="preserve">Préjugés </w:t>
      </w:r>
      <w:proofErr w:type="gramStart"/>
      <w:r>
        <w:rPr>
          <w:i/>
        </w:rPr>
        <w:t>légitimes  contre</w:t>
      </w:r>
      <w:proofErr w:type="gramEnd"/>
      <w:r>
        <w:rPr>
          <w:i/>
        </w:rPr>
        <w:t xml:space="preserve">  l’Encyclopédie</w:t>
      </w:r>
      <w:r>
        <w:t xml:space="preserve"> de 1758, Abraham-Joseph Chaumeix avait, avec beaucoup moins de sous-entendus, mis cet article parmi ceux q </w:t>
      </w:r>
      <w:proofErr w:type="spellStart"/>
      <w:r>
        <w:t>u’il</w:t>
      </w:r>
      <w:proofErr w:type="spellEnd"/>
      <w:r>
        <w:t xml:space="preserve"> considérait   comme nocifs. Quatre allusions disséminée</w:t>
      </w:r>
      <w:r>
        <w:t xml:space="preserve">s dans les deux premiers livres permettent de c </w:t>
      </w:r>
      <w:proofErr w:type="spellStart"/>
      <w:r>
        <w:t>omprendre</w:t>
      </w:r>
      <w:proofErr w:type="spellEnd"/>
      <w:r>
        <w:t xml:space="preserve"> ce qui s’y joue. </w:t>
      </w:r>
    </w:p>
    <w:p w14:paraId="4D02C377" w14:textId="77777777" w:rsidR="00EF544B" w:rsidRDefault="00951809">
      <w:pPr>
        <w:spacing w:after="176"/>
        <w:ind w:left="-15" w:right="0"/>
      </w:pPr>
      <w:r>
        <w:t xml:space="preserve"> L’article est d ’abord rangé parmi ceux qui contiennent des </w:t>
      </w:r>
      <w:proofErr w:type="gramStart"/>
      <w:r>
        <w:t>matières  «</w:t>
      </w:r>
      <w:proofErr w:type="gramEnd"/>
      <w:r>
        <w:t xml:space="preserve"> inutiles », et  l’occasion permet, déjà, de rendre plus lisible ce que Voltaire évoquait laconiquement :</w:t>
      </w:r>
    </w:p>
    <w:p w14:paraId="7E1177E8" w14:textId="77777777" w:rsidR="00EF544B" w:rsidRDefault="00951809">
      <w:pPr>
        <w:spacing w:after="287" w:line="235" w:lineRule="auto"/>
        <w:ind w:left="562" w:right="-13" w:hanging="10"/>
      </w:pPr>
      <w:r>
        <w:rPr>
          <w:sz w:val="20"/>
        </w:rPr>
        <w:t>On</w:t>
      </w:r>
      <w:r>
        <w:rPr>
          <w:sz w:val="20"/>
        </w:rPr>
        <w:t xml:space="preserve"> se c </w:t>
      </w:r>
      <w:proofErr w:type="spellStart"/>
      <w:r>
        <w:rPr>
          <w:sz w:val="20"/>
        </w:rPr>
        <w:t>onvaincra</w:t>
      </w:r>
      <w:proofErr w:type="spellEnd"/>
      <w:r>
        <w:rPr>
          <w:sz w:val="20"/>
        </w:rPr>
        <w:t xml:space="preserve"> facilement du talent de nos Auteurs, qui consiste à </w:t>
      </w:r>
      <w:proofErr w:type="gramStart"/>
      <w:r>
        <w:rPr>
          <w:sz w:val="20"/>
        </w:rPr>
        <w:t>faire  de</w:t>
      </w:r>
      <w:proofErr w:type="gramEnd"/>
      <w:r>
        <w:rPr>
          <w:sz w:val="20"/>
        </w:rPr>
        <w:t xml:space="preserve"> longues Dissertations pour ne rien dire  d’utile. Quelle nécessité de nous insérer </w:t>
      </w:r>
      <w:proofErr w:type="gramStart"/>
      <w:r>
        <w:rPr>
          <w:sz w:val="20"/>
        </w:rPr>
        <w:t>dans  l’article</w:t>
      </w:r>
      <w:proofErr w:type="gramEnd"/>
      <w:r>
        <w:rPr>
          <w:sz w:val="20"/>
        </w:rPr>
        <w:t xml:space="preserve"> </w:t>
      </w:r>
      <w:r>
        <w:rPr>
          <w:i/>
          <w:sz w:val="20"/>
        </w:rPr>
        <w:t>Certitude</w:t>
      </w:r>
      <w:r>
        <w:rPr>
          <w:sz w:val="20"/>
        </w:rPr>
        <w:t xml:space="preserve">  l’inintelligible Ouvrage de  l’Abbé de Prades sur la certitude moral</w:t>
      </w:r>
      <w:r>
        <w:rPr>
          <w:sz w:val="20"/>
        </w:rPr>
        <w:t xml:space="preserve">e ? Les Auteurs le trouvent cependant si achevé, q </w:t>
      </w:r>
      <w:proofErr w:type="spellStart"/>
      <w:r>
        <w:rPr>
          <w:sz w:val="20"/>
        </w:rPr>
        <w:t>u’ils</w:t>
      </w:r>
      <w:proofErr w:type="spellEnd"/>
      <w:r>
        <w:rPr>
          <w:sz w:val="20"/>
        </w:rPr>
        <w:t xml:space="preserve"> font éclater des </w:t>
      </w:r>
      <w:proofErr w:type="gramStart"/>
      <w:r>
        <w:rPr>
          <w:sz w:val="20"/>
        </w:rPr>
        <w:t>transports  d’admiration</w:t>
      </w:r>
      <w:proofErr w:type="gramEnd"/>
      <w:r>
        <w:rPr>
          <w:sz w:val="20"/>
        </w:rPr>
        <w:t>, au moins fort déplacés ; et le portrait  qu’ils nous y tracent de cet Auteur trop  connu, suffirait à les rendre suspects, si  d’ailleurs nous  n’avions pas</w:t>
      </w:r>
      <w:r>
        <w:rPr>
          <w:sz w:val="20"/>
        </w:rPr>
        <w:t xml:space="preserve"> de preuves de la façon de penser des Encyclopédistes</w:t>
      </w:r>
      <w:r>
        <w:rPr>
          <w:sz w:val="20"/>
          <w:vertAlign w:val="superscript"/>
        </w:rPr>
        <w:footnoteReference w:id="8"/>
      </w:r>
      <w:r>
        <w:rPr>
          <w:sz w:val="20"/>
        </w:rPr>
        <w:t>.</w:t>
      </w:r>
    </w:p>
    <w:p w14:paraId="7F31EAA6" w14:textId="77777777" w:rsidR="00EF544B" w:rsidRDefault="00951809">
      <w:pPr>
        <w:ind w:left="-15" w:right="0"/>
      </w:pPr>
      <w:r>
        <w:t xml:space="preserve">La critique de Chaumeix permet de c </w:t>
      </w:r>
      <w:proofErr w:type="spellStart"/>
      <w:r>
        <w:t>omprendre</w:t>
      </w:r>
      <w:proofErr w:type="spellEnd"/>
      <w:r>
        <w:t xml:space="preserve"> que l’article c </w:t>
      </w:r>
      <w:proofErr w:type="spellStart"/>
      <w:proofErr w:type="gramStart"/>
      <w:r>
        <w:t>ontient</w:t>
      </w:r>
      <w:proofErr w:type="spellEnd"/>
      <w:r>
        <w:t xml:space="preserve">  une</w:t>
      </w:r>
      <w:proofErr w:type="gramEnd"/>
      <w:r>
        <w:t xml:space="preserve"> dissertation de l ’abbé de de Prades sur la certitude morale qui fait  l’objet de  l’admiration des éditeurs (Chaumeix dit d</w:t>
      </w:r>
      <w:r>
        <w:t>es « auteurs ») de  l’</w:t>
      </w:r>
      <w:r>
        <w:rPr>
          <w:i/>
        </w:rPr>
        <w:t>Encyclopédie</w:t>
      </w:r>
      <w:r>
        <w:t xml:space="preserve">, et que cette admiration déplacée est de plus l ’indicateur de leur caractère séditieux –  confirmé par ailleurs par  d’autres preuves que les </w:t>
      </w:r>
      <w:r>
        <w:rPr>
          <w:i/>
        </w:rPr>
        <w:t xml:space="preserve">Préjugés légitimes </w:t>
      </w:r>
      <w:r>
        <w:t xml:space="preserve">débusquent patiemment. Le caractère </w:t>
      </w:r>
      <w:proofErr w:type="gramStart"/>
      <w:r>
        <w:t>subversif  d’une</w:t>
      </w:r>
      <w:proofErr w:type="gramEnd"/>
      <w:r>
        <w:t xml:space="preserve"> associ</w:t>
      </w:r>
      <w:r>
        <w:t xml:space="preserve">ation avec l ’abbé de Prades tient au fait qu’il est de « ceux c </w:t>
      </w:r>
      <w:proofErr w:type="spellStart"/>
      <w:r>
        <w:t>ontre</w:t>
      </w:r>
      <w:proofErr w:type="spellEnd"/>
      <w:r>
        <w:t xml:space="preserve">  lesquels les Auteurs Chrétiens se sont élevés avec le plus de force</w:t>
      </w:r>
      <w:r>
        <w:rPr>
          <w:sz w:val="22"/>
          <w:vertAlign w:val="superscript"/>
        </w:rPr>
        <w:footnoteReference w:id="9"/>
      </w:r>
      <w:r>
        <w:t xml:space="preserve"> », et que dans l ’article « Certitude », les encyclopédistes « exhortent cet Écrivain à travailler à la défense du</w:t>
      </w:r>
      <w:r>
        <w:t xml:space="preserve"> seul  culte sur la terre qui mérite un défenseur tel que lui</w:t>
      </w:r>
      <w:r>
        <w:rPr>
          <w:sz w:val="22"/>
          <w:vertAlign w:val="superscript"/>
        </w:rPr>
        <w:footnoteReference w:id="10"/>
      </w:r>
      <w:r>
        <w:t xml:space="preserve"> » – on imagine ce que cela signifie pour Chaumeix. En fait, non </w:t>
      </w:r>
      <w:r>
        <w:lastRenderedPageBreak/>
        <w:t xml:space="preserve">seulement les « auteurs chrétiens » se sont-ils </w:t>
      </w:r>
      <w:proofErr w:type="gramStart"/>
      <w:r>
        <w:t>offusqués  contre</w:t>
      </w:r>
      <w:proofErr w:type="gramEnd"/>
      <w:r>
        <w:t xml:space="preserve">  l’abbé de Prades, mais « l ’autorité Ecclésiastique et la Séc</w:t>
      </w:r>
      <w:r>
        <w:t xml:space="preserve">ulière ont prononcé leur jugement sur le mérite et la capacité de  l’Abbé de Prades à cet égard </w:t>
      </w:r>
      <w:r>
        <w:rPr>
          <w:rFonts w:ascii="Times New Roman" w:eastAsia="Times New Roman" w:hAnsi="Times New Roman" w:cs="Times New Roman"/>
          <w:sz w:val="21"/>
        </w:rPr>
        <w:t>[</w:t>
      </w:r>
      <w:r>
        <w:t>celui de la religion</w:t>
      </w:r>
      <w:r>
        <w:rPr>
          <w:rFonts w:ascii="Times New Roman" w:eastAsia="Times New Roman" w:hAnsi="Times New Roman" w:cs="Times New Roman"/>
          <w:sz w:val="21"/>
        </w:rPr>
        <w:t>]</w:t>
      </w:r>
      <w:r>
        <w:rPr>
          <w:sz w:val="21"/>
          <w:vertAlign w:val="superscript"/>
        </w:rPr>
        <w:footnoteReference w:id="11"/>
      </w:r>
      <w:r>
        <w:t xml:space="preserve"> ». Il faut bien le dire, les éditeurs, </w:t>
      </w:r>
      <w:proofErr w:type="gramStart"/>
      <w:r>
        <w:t>en  confiant</w:t>
      </w:r>
      <w:proofErr w:type="gramEnd"/>
      <w:r>
        <w:t xml:space="preserve"> à de Prades  l’article « Certitude », ont montré  qu’ils étaient prêts à permettre </w:t>
      </w:r>
      <w:r>
        <w:t xml:space="preserve"> qu’on écrive  contre la religion au sein de leur ouvrage, religion qui «  n’a besoin ni de  l’esprit, ni de la Philosophie des De Prades et des Yvon. De tels philosophes n ’ont de sagacité, que pour </w:t>
      </w:r>
      <w:proofErr w:type="gramStart"/>
      <w:r>
        <w:t>la  combattre</w:t>
      </w:r>
      <w:proofErr w:type="gramEnd"/>
      <w:r>
        <w:rPr>
          <w:sz w:val="22"/>
          <w:vertAlign w:val="superscript"/>
        </w:rPr>
        <w:t>12</w:t>
      </w:r>
      <w:r>
        <w:t xml:space="preserve"> ».</w:t>
      </w:r>
    </w:p>
    <w:p w14:paraId="3903EDBF" w14:textId="77777777" w:rsidR="00EF544B" w:rsidRDefault="00951809">
      <w:pPr>
        <w:ind w:left="-15" w:right="0"/>
      </w:pPr>
      <w:r>
        <w:t xml:space="preserve">Une telle </w:t>
      </w:r>
      <w:proofErr w:type="gramStart"/>
      <w:r>
        <w:t>irritation  contre</w:t>
      </w:r>
      <w:proofErr w:type="gramEnd"/>
      <w:r>
        <w:t xml:space="preserve">  l’abbé </w:t>
      </w:r>
      <w:r>
        <w:t xml:space="preserve">de Prades découle, on le sait,  d’une « affaire » qui a eu un retentissement c </w:t>
      </w:r>
      <w:proofErr w:type="spellStart"/>
      <w:r>
        <w:t>onsidérable</w:t>
      </w:r>
      <w:proofErr w:type="spellEnd"/>
      <w:r>
        <w:t>, et qui a failli mettre fin à  l’entreprise encyclopédique. L ’abbé avait soutenu sa thèse en Sorbonne, et celle-ci avait été approuvée, mais, peu après, des théolog</w:t>
      </w:r>
      <w:r>
        <w:t>iens avaient réussi à  convaincre les autorités ecclésiastiques que cette thèse  contenait des énoncés dangereux pour la religion, forçant l ’École à se rétracter et à censurer des propositions de la thèse, puis persuadant le parlement de Paris et le Conse</w:t>
      </w:r>
      <w:r>
        <w:t>il du Roi d ’agir en  conséquence : forcer  l’abbé à l ’exil</w:t>
      </w:r>
      <w:r>
        <w:rPr>
          <w:sz w:val="22"/>
          <w:vertAlign w:val="superscript"/>
        </w:rPr>
        <w:footnoteReference w:id="12"/>
      </w:r>
      <w:r>
        <w:t xml:space="preserve"> et supprimer les deux premiers volumes de l ’</w:t>
      </w:r>
      <w:r>
        <w:rPr>
          <w:i/>
        </w:rPr>
        <w:t>Encyclopédie</w:t>
      </w:r>
      <w:r>
        <w:t xml:space="preserve">, et ce, notamment, parce que le deuxième, sorti peu de temps après  l’affaire de la thèse de Prades, c </w:t>
      </w:r>
      <w:proofErr w:type="spellStart"/>
      <w:r>
        <w:t>ontenait</w:t>
      </w:r>
      <w:proofErr w:type="spellEnd"/>
      <w:r>
        <w:t xml:space="preserve"> un éloge de l’abbé et l</w:t>
      </w:r>
      <w:r>
        <w:t xml:space="preserve"> ’article «  Certitude », où ce dernier semblait poursuivre son travail  d’ébranlement de la religion. </w:t>
      </w:r>
      <w:proofErr w:type="gramStart"/>
      <w:r>
        <w:t>La  culpabilité</w:t>
      </w:r>
      <w:proofErr w:type="gramEnd"/>
      <w:r>
        <w:t xml:space="preserve"> par association qui unit de Prades et les encyclopédistes est en fait à double sens, p </w:t>
      </w:r>
      <w:proofErr w:type="spellStart"/>
      <w:r>
        <w:t>uisqu’une</w:t>
      </w:r>
      <w:proofErr w:type="spellEnd"/>
      <w:r>
        <w:t xml:space="preserve"> partie de l’accusation c </w:t>
      </w:r>
      <w:proofErr w:type="spellStart"/>
      <w:r>
        <w:t>ontre</w:t>
      </w:r>
      <w:proofErr w:type="spellEnd"/>
      <w:r>
        <w:t xml:space="preserve"> la thèse </w:t>
      </w:r>
      <w:r>
        <w:t xml:space="preserve"> du premier tenait au fait q </w:t>
      </w:r>
      <w:proofErr w:type="spellStart"/>
      <w:r>
        <w:t>u’il</w:t>
      </w:r>
      <w:proofErr w:type="spellEnd"/>
      <w:r>
        <w:t xml:space="preserve"> défendait des thèses qu’on trouvait dans  le « Discours préliminaire » de  l’</w:t>
      </w:r>
      <w:r>
        <w:rPr>
          <w:i/>
        </w:rPr>
        <w:t>Encyclopédie</w:t>
      </w:r>
      <w:r>
        <w:t>.</w:t>
      </w:r>
    </w:p>
    <w:p w14:paraId="66C49393" w14:textId="77777777" w:rsidR="00EF544B" w:rsidRDefault="00951809">
      <w:pPr>
        <w:ind w:left="-15" w:right="0"/>
      </w:pPr>
      <w:r>
        <w:t>En 1754, montant en épingle cette idée d ’une complicité entre l ’abbé  de Prades et des encyclopédistes dans un travail de sape de</w:t>
      </w:r>
      <w:r>
        <w:t xml:space="preserve"> la </w:t>
      </w:r>
      <w:r>
        <w:lastRenderedPageBreak/>
        <w:t xml:space="preserve">religion, les </w:t>
      </w:r>
      <w:r>
        <w:rPr>
          <w:i/>
        </w:rPr>
        <w:t>Réflexions d ’un franciscain sur les trois premiers volumes de  l’encyclopédie</w:t>
      </w:r>
      <w:r>
        <w:rPr>
          <w:sz w:val="22"/>
          <w:vertAlign w:val="superscript"/>
        </w:rPr>
        <w:footnoteReference w:id="13"/>
      </w:r>
      <w:r>
        <w:t xml:space="preserve"> iront en fait  jusqu’à poser  l’hypothèse que la thèse de  l’abbé de Prades ait été en réalité écrite par « quelques encyclopédistes</w:t>
      </w:r>
      <w:r>
        <w:rPr>
          <w:sz w:val="22"/>
          <w:vertAlign w:val="superscript"/>
        </w:rPr>
        <w:footnoteReference w:id="14"/>
      </w:r>
      <w:r>
        <w:t xml:space="preserve"> », et  jusqu’à laisser</w:t>
      </w:r>
      <w:r>
        <w:t xml:space="preserve"> supposer que  l’article « Certitude » pourrait ne pas être de Prades, puisque la dissertation  qu’on y trouve serait un plagiat  d’un </w:t>
      </w:r>
      <w:r>
        <w:rPr>
          <w:i/>
        </w:rPr>
        <w:t xml:space="preserve">Traité des vrais principes de la certitude morale </w:t>
      </w:r>
      <w:r>
        <w:t xml:space="preserve">qui ouvrirait un </w:t>
      </w:r>
      <w:r>
        <w:rPr>
          <w:i/>
        </w:rPr>
        <w:t>Essai philosophique sur  l’</w:t>
      </w:r>
      <w:r>
        <w:t xml:space="preserve">âme des bêtes, procédé qui </w:t>
      </w:r>
      <w:r>
        <w:t xml:space="preserve">serait utilisé couramment par  l’abbé </w:t>
      </w:r>
    </w:p>
    <w:p w14:paraId="1E5E4A6B" w14:textId="77777777" w:rsidR="00EF544B" w:rsidRDefault="00951809">
      <w:pPr>
        <w:spacing w:after="26"/>
        <w:ind w:left="-15" w:right="0" w:firstLine="0"/>
      </w:pPr>
      <w:r>
        <w:t>Yvon</w:t>
      </w:r>
      <w:r>
        <w:rPr>
          <w:sz w:val="22"/>
          <w:vertAlign w:val="superscript"/>
        </w:rPr>
        <w:footnoteReference w:id="15"/>
      </w:r>
      <w:r>
        <w:t>…</w:t>
      </w:r>
    </w:p>
    <w:p w14:paraId="2259A072" w14:textId="77777777" w:rsidR="00EF544B" w:rsidRDefault="00951809">
      <w:pPr>
        <w:spacing w:after="176"/>
        <w:ind w:left="-15" w:right="0"/>
      </w:pPr>
      <w:proofErr w:type="gramStart"/>
      <w:r>
        <w:t>Quoi  qu’il</w:t>
      </w:r>
      <w:proofErr w:type="gramEnd"/>
      <w:r>
        <w:t xml:space="preserve"> en soit,  l’article « Certitude » est ici aussi directement visé non seulement pour la manière dont il se présente au lecteur, mais pour  l’évidence de son statut ironique offusquant directement la</w:t>
      </w:r>
      <w:r>
        <w:t xml:space="preserve"> religion :</w:t>
      </w:r>
    </w:p>
    <w:p w14:paraId="636D0A62" w14:textId="77777777" w:rsidR="00EF544B" w:rsidRDefault="00951809">
      <w:pPr>
        <w:spacing w:after="287" w:line="235" w:lineRule="auto"/>
        <w:ind w:left="562" w:right="-13" w:hanging="10"/>
      </w:pPr>
      <w:r>
        <w:rPr>
          <w:sz w:val="20"/>
        </w:rPr>
        <w:t xml:space="preserve">Mais si l ’on ne prend aucun intérêt à la Thèse de l’Abbé de Prades, </w:t>
      </w:r>
      <w:proofErr w:type="gramStart"/>
      <w:r>
        <w:rPr>
          <w:sz w:val="20"/>
        </w:rPr>
        <w:t xml:space="preserve">pourquoi  </w:t>
      </w:r>
      <w:r>
        <w:rPr>
          <w:sz w:val="20"/>
        </w:rPr>
        <w:t>lui</w:t>
      </w:r>
      <w:proofErr w:type="gramEnd"/>
      <w:r>
        <w:rPr>
          <w:sz w:val="20"/>
        </w:rPr>
        <w:t xml:space="preserve"> donner le nom de Défenseur de la Religion, </w:t>
      </w:r>
      <w:proofErr w:type="spellStart"/>
      <w:r>
        <w:rPr>
          <w:sz w:val="20"/>
        </w:rPr>
        <w:t>lors</w:t>
      </w:r>
      <w:proofErr w:type="spellEnd"/>
      <w:r>
        <w:rPr>
          <w:sz w:val="20"/>
        </w:rPr>
        <w:t xml:space="preserve"> même  qu’il en renverse les fondements en donnant des règles de certitude dont la réunion est du moins très difficile, et dont on ne peut faire  l’application à mille événements  qu’on ne peut  d’ailleurs</w:t>
      </w:r>
      <w:r>
        <w:rPr>
          <w:sz w:val="20"/>
        </w:rPr>
        <w:t xml:space="preserve"> révoquer en doute ? Quoi </w:t>
      </w:r>
      <w:proofErr w:type="gramStart"/>
      <w:r>
        <w:rPr>
          <w:sz w:val="20"/>
        </w:rPr>
        <w:t>pour  qu’un</w:t>
      </w:r>
      <w:proofErr w:type="gramEnd"/>
      <w:r>
        <w:rPr>
          <w:sz w:val="20"/>
        </w:rPr>
        <w:t xml:space="preserve"> fait soit certain, il faut  qu’il soit attesté par cent mille témoins, que le marbre et  l’airain déposent en sa faveur, et que le fil de la tradition c </w:t>
      </w:r>
      <w:proofErr w:type="spellStart"/>
      <w:r>
        <w:rPr>
          <w:sz w:val="20"/>
        </w:rPr>
        <w:t>onduise</w:t>
      </w:r>
      <w:proofErr w:type="spellEnd"/>
      <w:r>
        <w:rPr>
          <w:sz w:val="20"/>
        </w:rPr>
        <w:t xml:space="preserve"> au moment même où il s’est  passé ; et si une de ces preu</w:t>
      </w:r>
      <w:r>
        <w:rPr>
          <w:sz w:val="20"/>
        </w:rPr>
        <w:t xml:space="preserve">ves manque, il n ’est plus de </w:t>
      </w:r>
      <w:r>
        <w:rPr>
          <w:i/>
          <w:sz w:val="20"/>
        </w:rPr>
        <w:t>pierre de touche</w:t>
      </w:r>
      <w:r>
        <w:rPr>
          <w:sz w:val="20"/>
        </w:rPr>
        <w:t xml:space="preserve"> pour en éprouver la vérité</w:t>
      </w:r>
      <w:r>
        <w:rPr>
          <w:sz w:val="20"/>
          <w:vertAlign w:val="superscript"/>
        </w:rPr>
        <w:t>17</w:t>
      </w:r>
      <w:r>
        <w:rPr>
          <w:sz w:val="20"/>
        </w:rPr>
        <w:t xml:space="preserve"> ?</w:t>
      </w:r>
    </w:p>
    <w:p w14:paraId="69342AB0" w14:textId="77777777" w:rsidR="00EF544B" w:rsidRDefault="00951809">
      <w:pPr>
        <w:ind w:left="-15" w:right="0"/>
      </w:pPr>
      <w:r>
        <w:t xml:space="preserve">Il va de soi, disent encore les </w:t>
      </w:r>
      <w:r>
        <w:rPr>
          <w:i/>
        </w:rPr>
        <w:t>Réflexions d ’un franciscain</w:t>
      </w:r>
      <w:r>
        <w:t>, que l ’article cherche à accréditer le scepticisme. Et, déjà, on y dénonce le caractère simulé d ’un aveu de défaite</w:t>
      </w:r>
      <w:r>
        <w:t xml:space="preserve"> en fin d’article de l ’auteur </w:t>
      </w:r>
      <w:proofErr w:type="gramStart"/>
      <w:r>
        <w:t xml:space="preserve">des  </w:t>
      </w:r>
      <w:r>
        <w:rPr>
          <w:i/>
        </w:rPr>
        <w:t>Pensées</w:t>
      </w:r>
      <w:proofErr w:type="gramEnd"/>
      <w:r>
        <w:rPr>
          <w:i/>
        </w:rPr>
        <w:t xml:space="preserve"> philosophiques</w:t>
      </w:r>
      <w:r>
        <w:t xml:space="preserve"> – ouvrage censuré après sa sortie en 1745… Avant Voltaire, donc, Diderot est dévoilé. </w:t>
      </w:r>
      <w:proofErr w:type="gramStart"/>
      <w:r>
        <w:t>Il  convient</w:t>
      </w:r>
      <w:proofErr w:type="gramEnd"/>
      <w:r>
        <w:t xml:space="preserve"> de le noter : personne, </w:t>
      </w:r>
      <w:proofErr w:type="spellStart"/>
      <w:r>
        <w:t>semblet-il</w:t>
      </w:r>
      <w:proofErr w:type="spellEnd"/>
      <w:r>
        <w:t>,  n’a donné dans la supercherie</w:t>
      </w:r>
      <w:r>
        <w:rPr>
          <w:sz w:val="22"/>
          <w:vertAlign w:val="superscript"/>
        </w:rPr>
        <w:t>18</w:t>
      </w:r>
      <w:r>
        <w:t xml:space="preserve">. On a reconnu </w:t>
      </w:r>
      <w:r>
        <w:lastRenderedPageBreak/>
        <w:t>– par la marque</w:t>
      </w:r>
      <w:r>
        <w:t xml:space="preserve"> qui signale une intervention de sa part – que l ’éditeur de </w:t>
      </w:r>
      <w:proofErr w:type="gramStart"/>
      <w:r>
        <w:t xml:space="preserve">l’ </w:t>
      </w:r>
      <w:r>
        <w:rPr>
          <w:i/>
        </w:rPr>
        <w:t>Encyclopédie</w:t>
      </w:r>
      <w:proofErr w:type="gramEnd"/>
      <w:r>
        <w:t xml:space="preserve"> qui loue de Prades à la fin de  l’article est aussi  l’auteur du texte  qu’il dénonce et qui est soi-disant réfuté par l ’abbé, si bien que l’article au   complet devenait embléma</w:t>
      </w:r>
      <w:r>
        <w:t>tique du danger que représentait  l’</w:t>
      </w:r>
      <w:r>
        <w:rPr>
          <w:i/>
        </w:rPr>
        <w:t xml:space="preserve">Encyclopédie </w:t>
      </w:r>
      <w:r>
        <w:t xml:space="preserve">: sombre stratagème orchestré pour attaquer la religion en fragilisant les bases épistémiques qui lui servent de socle. Ici, par exemple, en traitant </w:t>
      </w:r>
    </w:p>
    <w:p w14:paraId="1156A105" w14:textId="77777777" w:rsidR="00EF544B" w:rsidRDefault="00951809">
      <w:pPr>
        <w:spacing w:after="72" w:line="259" w:lineRule="auto"/>
        <w:ind w:right="0" w:firstLine="0"/>
        <w:jc w:val="left"/>
      </w:pPr>
      <w:r>
        <w:rPr>
          <w:rFonts w:ascii="Calibri" w:eastAsia="Calibri" w:hAnsi="Calibri" w:cs="Calibri"/>
          <w:noProof/>
          <w:color w:val="000000"/>
          <w:sz w:val="22"/>
        </w:rPr>
        <mc:AlternateContent>
          <mc:Choice Requires="wpg">
            <w:drawing>
              <wp:inline distT="0" distB="0" distL="0" distR="0" wp14:anchorId="2FB736EF" wp14:editId="22C33D34">
                <wp:extent cx="720001" cy="6350"/>
                <wp:effectExtent l="0" t="0" r="0" b="0"/>
                <wp:docPr id="18969" name="Group 18969"/>
                <wp:cNvGraphicFramePr/>
                <a:graphic xmlns:a="http://schemas.openxmlformats.org/drawingml/2006/main">
                  <a:graphicData uri="http://schemas.microsoft.com/office/word/2010/wordprocessingGroup">
                    <wpg:wgp>
                      <wpg:cNvGrpSpPr/>
                      <wpg:grpSpPr>
                        <a:xfrm>
                          <a:off x="0" y="0"/>
                          <a:ext cx="720001" cy="6350"/>
                          <a:chOff x="0" y="0"/>
                          <a:chExt cx="720001" cy="6350"/>
                        </a:xfrm>
                      </wpg:grpSpPr>
                      <wps:wsp>
                        <wps:cNvPr id="918" name="Shape 918"/>
                        <wps:cNvSpPr/>
                        <wps:spPr>
                          <a:xfrm>
                            <a:off x="0" y="0"/>
                            <a:ext cx="720001" cy="0"/>
                          </a:xfrm>
                          <a:custGeom>
                            <a:avLst/>
                            <a:gdLst/>
                            <a:ahLst/>
                            <a:cxnLst/>
                            <a:rect l="0" t="0" r="0" b="0"/>
                            <a:pathLst>
                              <a:path w="720001">
                                <a:moveTo>
                                  <a:pt x="0" y="0"/>
                                </a:moveTo>
                                <a:lnTo>
                                  <a:pt x="72000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969" style="width:56.693pt;height:0.5pt;mso-position-horizontal-relative:char;mso-position-vertical-relative:line" coordsize="7200,63">
                <v:shape id="Shape 918" style="position:absolute;width:7200;height:0;left:0;top:0;" coordsize="720001,0" path="m0,0l720001,0">
                  <v:stroke weight="0.5pt" endcap="flat" joinstyle="miter" miterlimit="10" on="true" color="#181717"/>
                  <v:fill on="false" color="#000000" opacity="0"/>
                </v:shape>
              </v:group>
            </w:pict>
          </mc:Fallback>
        </mc:AlternateContent>
      </w:r>
    </w:p>
    <w:p w14:paraId="436BF2B1" w14:textId="77777777" w:rsidR="00EF544B" w:rsidRDefault="00951809">
      <w:pPr>
        <w:spacing w:after="4" w:line="232" w:lineRule="auto"/>
        <w:ind w:left="333" w:right="0" w:hanging="10"/>
      </w:pPr>
      <w:r>
        <w:rPr>
          <w:sz w:val="18"/>
        </w:rPr>
        <w:t xml:space="preserve"> </w:t>
      </w:r>
      <w:proofErr w:type="gramStart"/>
      <w:r>
        <w:rPr>
          <w:sz w:val="18"/>
        </w:rPr>
        <w:t>compte</w:t>
      </w:r>
      <w:proofErr w:type="gramEnd"/>
      <w:r>
        <w:rPr>
          <w:sz w:val="18"/>
        </w:rPr>
        <w:t xml:space="preserve"> rendu très élogieux de ce texte dans le </w:t>
      </w:r>
      <w:r>
        <w:rPr>
          <w:i/>
          <w:sz w:val="18"/>
        </w:rPr>
        <w:t>Journal des savants</w:t>
      </w:r>
      <w:r>
        <w:rPr>
          <w:sz w:val="18"/>
        </w:rPr>
        <w:t xml:space="preserve"> de 1737, p. 150-160, qui ne discute que la portion  consacrée à la certitude morale. Il peut être intéressant de noter que cette édition </w:t>
      </w:r>
      <w:proofErr w:type="gramStart"/>
      <w:r>
        <w:rPr>
          <w:sz w:val="18"/>
        </w:rPr>
        <w:t>de  l’</w:t>
      </w:r>
      <w:r>
        <w:rPr>
          <w:i/>
          <w:sz w:val="18"/>
        </w:rPr>
        <w:t>Essai</w:t>
      </w:r>
      <w:proofErr w:type="gramEnd"/>
      <w:r>
        <w:rPr>
          <w:i/>
          <w:sz w:val="18"/>
        </w:rPr>
        <w:t xml:space="preserve"> philosophique sur  l’</w:t>
      </w:r>
      <w:r>
        <w:rPr>
          <w:sz w:val="18"/>
        </w:rPr>
        <w:t>âme des bêtes avait</w:t>
      </w:r>
      <w:r>
        <w:rPr>
          <w:sz w:val="18"/>
        </w:rPr>
        <w:t xml:space="preserve"> été dédicacée à Fontenelle, ce qui  contribue à le rendre, sans doute, lui aussi, suspect pour les auteurs des </w:t>
      </w:r>
      <w:r>
        <w:rPr>
          <w:i/>
          <w:sz w:val="18"/>
        </w:rPr>
        <w:t>Réflexions  d’un franciscain</w:t>
      </w:r>
      <w:r>
        <w:rPr>
          <w:sz w:val="18"/>
        </w:rPr>
        <w:t>, qui reprochent la présence de nombreux emprunts à la littérature clandestine chez de Prades. On trouve en effet be</w:t>
      </w:r>
      <w:r>
        <w:rPr>
          <w:sz w:val="18"/>
        </w:rPr>
        <w:t xml:space="preserve">aucoup d ’éléments communs au traité </w:t>
      </w:r>
      <w:proofErr w:type="gramStart"/>
      <w:r>
        <w:rPr>
          <w:sz w:val="18"/>
        </w:rPr>
        <w:t>et  à</w:t>
      </w:r>
      <w:proofErr w:type="gramEnd"/>
      <w:r>
        <w:rPr>
          <w:sz w:val="18"/>
        </w:rPr>
        <w:t xml:space="preserve"> la dissertation de Prades. Par ailleurs, on notera que les éditeurs des Œuvres de Diderot (éd. </w:t>
      </w:r>
      <w:proofErr w:type="gramStart"/>
      <w:r>
        <w:rPr>
          <w:sz w:val="18"/>
        </w:rPr>
        <w:t>citée</w:t>
      </w:r>
      <w:proofErr w:type="gramEnd"/>
      <w:r>
        <w:rPr>
          <w:sz w:val="18"/>
        </w:rPr>
        <w:t>, 1975-, p. 313, n. 1), suivant une leçon de Franco Venturi, relatent la possibilité que  l’abbé Yvon ait effecti</w:t>
      </w:r>
      <w:r>
        <w:rPr>
          <w:sz w:val="18"/>
        </w:rPr>
        <w:t xml:space="preserve">vement collaboré à la rédaction de la partie attribuée à de Prades. Le pseudo-franciscain des </w:t>
      </w:r>
      <w:r>
        <w:rPr>
          <w:i/>
          <w:sz w:val="18"/>
        </w:rPr>
        <w:t>Réflexions</w:t>
      </w:r>
      <w:r>
        <w:rPr>
          <w:sz w:val="18"/>
        </w:rPr>
        <w:t xml:space="preserve"> aurait donc eu la vue perçante en ces matières. </w:t>
      </w:r>
    </w:p>
    <w:p w14:paraId="1F4A3AC8" w14:textId="77777777" w:rsidR="00EF544B" w:rsidRDefault="00951809">
      <w:pPr>
        <w:numPr>
          <w:ilvl w:val="0"/>
          <w:numId w:val="1"/>
        </w:numPr>
        <w:spacing w:after="1" w:line="234" w:lineRule="auto"/>
        <w:ind w:right="0" w:hanging="323"/>
        <w:jc w:val="left"/>
      </w:pPr>
      <w:r>
        <w:rPr>
          <w:sz w:val="18"/>
        </w:rPr>
        <w:t xml:space="preserve">Bonhomme et </w:t>
      </w:r>
      <w:proofErr w:type="spellStart"/>
      <w:r>
        <w:rPr>
          <w:sz w:val="18"/>
        </w:rPr>
        <w:t>Fruchet</w:t>
      </w:r>
      <w:proofErr w:type="spellEnd"/>
      <w:r>
        <w:rPr>
          <w:sz w:val="18"/>
        </w:rPr>
        <w:t xml:space="preserve">, </w:t>
      </w:r>
      <w:r>
        <w:rPr>
          <w:i/>
          <w:sz w:val="18"/>
        </w:rPr>
        <w:t>Réflexions d ’un franciscain sur les trois volumes de l’Encyclopédie</w:t>
      </w:r>
      <w:proofErr w:type="gramStart"/>
      <w:r>
        <w:rPr>
          <w:i/>
          <w:sz w:val="18"/>
        </w:rPr>
        <w:t xml:space="preserve">… </w:t>
      </w:r>
      <w:r>
        <w:rPr>
          <w:sz w:val="18"/>
        </w:rPr>
        <w:t>,</w:t>
      </w:r>
      <w:proofErr w:type="gramEnd"/>
      <w:r>
        <w:rPr>
          <w:sz w:val="18"/>
        </w:rPr>
        <w:t xml:space="preserve"> </w:t>
      </w:r>
      <w:r>
        <w:rPr>
          <w:i/>
          <w:sz w:val="18"/>
        </w:rPr>
        <w:t xml:space="preserve">op. </w:t>
      </w:r>
      <w:proofErr w:type="spellStart"/>
      <w:proofErr w:type="gramStart"/>
      <w:r>
        <w:rPr>
          <w:i/>
          <w:sz w:val="18"/>
        </w:rPr>
        <w:t>cit</w:t>
      </w:r>
      <w:proofErr w:type="spellEnd"/>
      <w:proofErr w:type="gramEnd"/>
      <w:r>
        <w:rPr>
          <w:i/>
          <w:sz w:val="18"/>
        </w:rPr>
        <w:t>.</w:t>
      </w:r>
      <w:r>
        <w:rPr>
          <w:sz w:val="18"/>
        </w:rPr>
        <w:t>,</w:t>
      </w:r>
      <w:r>
        <w:rPr>
          <w:sz w:val="18"/>
        </w:rPr>
        <w:t xml:space="preserve"> p. 12.</w:t>
      </w:r>
    </w:p>
    <w:p w14:paraId="7DBDD342" w14:textId="77777777" w:rsidR="00EF544B" w:rsidRDefault="00951809">
      <w:pPr>
        <w:numPr>
          <w:ilvl w:val="0"/>
          <w:numId w:val="1"/>
        </w:numPr>
        <w:spacing w:after="4" w:line="232" w:lineRule="auto"/>
        <w:ind w:right="0" w:hanging="323"/>
        <w:jc w:val="left"/>
      </w:pPr>
      <w:r>
        <w:rPr>
          <w:sz w:val="18"/>
        </w:rPr>
        <w:t xml:space="preserve">Une fascinante étude de </w:t>
      </w:r>
      <w:proofErr w:type="spellStart"/>
      <w:r>
        <w:rPr>
          <w:i/>
          <w:sz w:val="18"/>
        </w:rPr>
        <w:t>marginalia</w:t>
      </w:r>
      <w:proofErr w:type="spellEnd"/>
      <w:r>
        <w:rPr>
          <w:sz w:val="18"/>
        </w:rPr>
        <w:t xml:space="preserve"> </w:t>
      </w:r>
      <w:proofErr w:type="gramStart"/>
      <w:r>
        <w:rPr>
          <w:sz w:val="18"/>
        </w:rPr>
        <w:t>anonymes  d’un</w:t>
      </w:r>
      <w:proofErr w:type="gramEnd"/>
      <w:r>
        <w:rPr>
          <w:sz w:val="18"/>
        </w:rPr>
        <w:t xml:space="preserve"> exemplaire de l ’</w:t>
      </w:r>
      <w:r>
        <w:rPr>
          <w:i/>
          <w:sz w:val="18"/>
        </w:rPr>
        <w:t>Encyclopédie</w:t>
      </w:r>
      <w:r>
        <w:rPr>
          <w:sz w:val="18"/>
        </w:rPr>
        <w:t xml:space="preserve"> a montré que les « hommes des Lumières » savaient à quoi  s’en tenir quand ils lisaient ce type  d’article (J. </w:t>
      </w:r>
      <w:proofErr w:type="spellStart"/>
      <w:r>
        <w:rPr>
          <w:sz w:val="18"/>
        </w:rPr>
        <w:t>Haechler</w:t>
      </w:r>
      <w:proofErr w:type="spellEnd"/>
      <w:r>
        <w:rPr>
          <w:sz w:val="18"/>
        </w:rPr>
        <w:t xml:space="preserve"> et F. Jouffroy-Gauja, «  L’article Certitude de </w:t>
      </w:r>
      <w:r>
        <w:rPr>
          <w:sz w:val="18"/>
        </w:rPr>
        <w:t xml:space="preserve"> l’</w:t>
      </w:r>
      <w:r>
        <w:rPr>
          <w:i/>
          <w:sz w:val="18"/>
        </w:rPr>
        <w:t>Encyclopédie</w:t>
      </w:r>
      <w:r>
        <w:rPr>
          <w:sz w:val="18"/>
        </w:rPr>
        <w:t>, art. cité, p. 146).</w:t>
      </w:r>
    </w:p>
    <w:p w14:paraId="765E8B8D" w14:textId="77777777" w:rsidR="00EF544B" w:rsidRDefault="00951809">
      <w:pPr>
        <w:ind w:left="-15" w:right="0" w:firstLine="0"/>
      </w:pPr>
      <w:proofErr w:type="gramStart"/>
      <w:r>
        <w:t>ce</w:t>
      </w:r>
      <w:proofErr w:type="gramEnd"/>
      <w:r>
        <w:t xml:space="preserve"> qui relève de la certitude morale à la légère, laquelle est pourtant ce qui assure la fiabilité du témoignage et du canal de la tradition par lequel il se transmet.</w:t>
      </w:r>
    </w:p>
    <w:p w14:paraId="241C94BD" w14:textId="77777777" w:rsidR="00EF544B" w:rsidRDefault="00951809">
      <w:pPr>
        <w:spacing w:after="793"/>
        <w:ind w:left="-15" w:right="0"/>
      </w:pPr>
      <w:r>
        <w:t>La focalisation sur les affaires de l ’abbé de Prad</w:t>
      </w:r>
      <w:r>
        <w:t xml:space="preserve">es et des </w:t>
      </w:r>
      <w:r>
        <w:rPr>
          <w:i/>
        </w:rPr>
        <w:t>Pensées philosophiques</w:t>
      </w:r>
      <w:r>
        <w:t xml:space="preserve">, si elle a permis de montrer l ’importance d’une </w:t>
      </w:r>
      <w:proofErr w:type="gramStart"/>
      <w:r>
        <w:t>lecture  attentive</w:t>
      </w:r>
      <w:proofErr w:type="gramEnd"/>
      <w:r>
        <w:t xml:space="preserve"> de  l’article « Certitude » pour  comprendre ce qui se jouait dans  l’</w:t>
      </w:r>
      <w:r>
        <w:rPr>
          <w:i/>
        </w:rPr>
        <w:t>Encyclopédie</w:t>
      </w:r>
      <w:r>
        <w:t xml:space="preserve"> a en même temps éclipsé d ’autres traits de  l’article qui ne manquent p</w:t>
      </w:r>
      <w:r>
        <w:t>as  d’intérêt philosophique.</w:t>
      </w:r>
    </w:p>
    <w:p w14:paraId="7782DB84" w14:textId="77777777" w:rsidR="00EF544B" w:rsidRDefault="00951809">
      <w:pPr>
        <w:pStyle w:val="Titre2"/>
        <w:ind w:right="2"/>
      </w:pPr>
      <w:r>
        <w:t>LES SOURCES DE CERTITUDE</w:t>
      </w:r>
    </w:p>
    <w:p w14:paraId="722C5461" w14:textId="77777777" w:rsidR="00EF544B" w:rsidRDefault="00951809">
      <w:pPr>
        <w:spacing w:after="176"/>
        <w:ind w:left="-15" w:right="0"/>
      </w:pPr>
      <w:r>
        <w:t xml:space="preserve">De fait, </w:t>
      </w:r>
      <w:proofErr w:type="gramStart"/>
      <w:r>
        <w:t>la  construction</w:t>
      </w:r>
      <w:proofErr w:type="gramEnd"/>
      <w:r>
        <w:t xml:space="preserve"> de  l’article est particulièrement singulière. Une première partie de la main de Diderot, plus proche </w:t>
      </w:r>
      <w:r>
        <w:lastRenderedPageBreak/>
        <w:t xml:space="preserve">de </w:t>
      </w:r>
      <w:proofErr w:type="gramStart"/>
      <w:r>
        <w:t>ce  qu’on</w:t>
      </w:r>
      <w:proofErr w:type="gramEnd"/>
      <w:r>
        <w:t xml:space="preserve"> attendrait d ’une encyclopédie, définit la notion de manière </w:t>
      </w:r>
      <w:r>
        <w:t xml:space="preserve">assez traditionnelle, tout en ouvrant sur quelques discussions plus techniques qui illustrent les enjeux auxquels la notion est associée. Mais c ’est à la fin de cette première partie que le ton de </w:t>
      </w:r>
      <w:proofErr w:type="gramStart"/>
      <w:r>
        <w:t>Diderot  s’enflamme</w:t>
      </w:r>
      <w:proofErr w:type="gramEnd"/>
      <w:r>
        <w:t xml:space="preserve"> et annonce  l’insertion d ’une dissert</w:t>
      </w:r>
      <w:r>
        <w:t xml:space="preserve">ation de  l’abbé de Prades, </w:t>
      </w:r>
    </w:p>
    <w:p w14:paraId="29AE1024" w14:textId="77777777" w:rsidR="00EF544B" w:rsidRDefault="00951809">
      <w:pPr>
        <w:spacing w:after="287" w:line="235" w:lineRule="auto"/>
        <w:ind w:left="562" w:right="-13" w:hanging="10"/>
      </w:pPr>
      <w:proofErr w:type="gramStart"/>
      <w:r>
        <w:rPr>
          <w:sz w:val="20"/>
        </w:rPr>
        <w:t>destinée</w:t>
      </w:r>
      <w:proofErr w:type="gramEnd"/>
      <w:r>
        <w:rPr>
          <w:sz w:val="20"/>
        </w:rPr>
        <w:t xml:space="preserve"> à servir de discours préliminaire à un ouvrage important sur la vérité de la religion. </w:t>
      </w:r>
      <w:proofErr w:type="gramStart"/>
      <w:r>
        <w:rPr>
          <w:sz w:val="20"/>
        </w:rPr>
        <w:t>Nous  l’eussions</w:t>
      </w:r>
      <w:proofErr w:type="gramEnd"/>
      <w:r>
        <w:rPr>
          <w:sz w:val="20"/>
        </w:rPr>
        <w:t xml:space="preserve"> </w:t>
      </w:r>
      <w:proofErr w:type="spellStart"/>
      <w:r>
        <w:rPr>
          <w:sz w:val="20"/>
        </w:rPr>
        <w:t>peut-être</w:t>
      </w:r>
      <w:proofErr w:type="spellEnd"/>
      <w:r>
        <w:rPr>
          <w:sz w:val="20"/>
        </w:rPr>
        <w:t xml:space="preserve"> analysée, si nous  n’avions craint  d’en altérer la force. L ’objet d’ailleurs en est si </w:t>
      </w:r>
      <w:proofErr w:type="gramStart"/>
      <w:r>
        <w:rPr>
          <w:sz w:val="20"/>
        </w:rPr>
        <w:t xml:space="preserve">grand </w:t>
      </w:r>
      <w:r>
        <w:rPr>
          <w:i/>
          <w:sz w:val="20"/>
        </w:rPr>
        <w:t xml:space="preserve"> </w:t>
      </w:r>
      <w:r>
        <w:rPr>
          <w:sz w:val="20"/>
        </w:rPr>
        <w:t>;</w:t>
      </w:r>
      <w:proofErr w:type="gramEnd"/>
      <w:r>
        <w:rPr>
          <w:sz w:val="20"/>
        </w:rPr>
        <w:t xml:space="preserve"> les id</w:t>
      </w:r>
      <w:r>
        <w:rPr>
          <w:sz w:val="20"/>
        </w:rPr>
        <w:t>ées si neuves &amp; si belles</w:t>
      </w:r>
      <w:r>
        <w:rPr>
          <w:i/>
          <w:sz w:val="20"/>
        </w:rPr>
        <w:t xml:space="preserve"> </w:t>
      </w:r>
      <w:r>
        <w:rPr>
          <w:sz w:val="20"/>
        </w:rPr>
        <w:t>; le ton si noble</w:t>
      </w:r>
      <w:r>
        <w:rPr>
          <w:i/>
          <w:sz w:val="20"/>
        </w:rPr>
        <w:t xml:space="preserve"> </w:t>
      </w:r>
      <w:r>
        <w:rPr>
          <w:sz w:val="20"/>
        </w:rPr>
        <w:t xml:space="preserve">; les preuves si bien exposées, que nous avons mieux aimé la rapporter tout entière. Nous espérons que ceux à qui l ’intérêt de la religion est à cœur nous en sauront gré, </w:t>
      </w:r>
      <w:proofErr w:type="gramStart"/>
      <w:r>
        <w:rPr>
          <w:sz w:val="20"/>
        </w:rPr>
        <w:t>&amp;  qu’elle</w:t>
      </w:r>
      <w:proofErr w:type="gramEnd"/>
      <w:r>
        <w:rPr>
          <w:sz w:val="20"/>
        </w:rPr>
        <w:t xml:space="preserve"> sera très-utile aux autres</w:t>
      </w:r>
      <w:r>
        <w:rPr>
          <w:sz w:val="20"/>
          <w:vertAlign w:val="superscript"/>
        </w:rPr>
        <w:footnoteReference w:id="16"/>
      </w:r>
      <w:r>
        <w:rPr>
          <w:sz w:val="20"/>
        </w:rPr>
        <w:t>.</w:t>
      </w:r>
    </w:p>
    <w:p w14:paraId="15ADF525" w14:textId="77777777" w:rsidR="00EF544B" w:rsidRDefault="00951809">
      <w:pPr>
        <w:ind w:left="-15" w:right="0"/>
      </w:pPr>
      <w:r>
        <w:t xml:space="preserve">La dissertation qui suit est très longue et le lecteur non avisé risque </w:t>
      </w:r>
      <w:proofErr w:type="gramStart"/>
      <w:r>
        <w:t>de  s’y</w:t>
      </w:r>
      <w:proofErr w:type="gramEnd"/>
      <w:r>
        <w:t xml:space="preserve"> perdre – on  comprend que la critique ait trouvé le procédé quelque peu désobligeant. Enfin, la dissertation terminée, un astérisque annonce un ajout de l ’éditeur, et c’est a</w:t>
      </w:r>
      <w:r>
        <w:t xml:space="preserve">lors que Diderot remercie l ’abbé de Prades   d’avoir trouvé matière à rendre l ’auteur des </w:t>
      </w:r>
      <w:r>
        <w:rPr>
          <w:i/>
        </w:rPr>
        <w:t>Pensées philosophiques</w:t>
      </w:r>
      <w:r>
        <w:t xml:space="preserve"> mécontent. Chacun de ces trois moments mérite sûrement q </w:t>
      </w:r>
      <w:proofErr w:type="spellStart"/>
      <w:r>
        <w:t>u’on</w:t>
      </w:r>
      <w:proofErr w:type="spellEnd"/>
      <w:r>
        <w:t xml:space="preserve">  </w:t>
      </w:r>
      <w:r>
        <w:t>s’y arrête, mais la dissertation de Prades a été, pour  l’essentiel, présentée par ses critiques : en dépit de sa longueur, son noyau argumentatif se résume à énumérer les  conditions qui permettent d ’accorder une certitude morale au témoignage indépendam</w:t>
      </w:r>
      <w:r>
        <w:t>ment du caractère exceptionnel (ou miraculeux,  s’entend) de ce dont il témoigne, et ces  conditions se réduisent elles-mêmes pour  l’essentiel au nombre de personnes qui adhèrent à une croyance. En revanche, les deux moments diderotiens, pour courts et la</w:t>
      </w:r>
      <w:r>
        <w:t xml:space="preserve">coniques q </w:t>
      </w:r>
      <w:proofErr w:type="spellStart"/>
      <w:r>
        <w:t>u’ils</w:t>
      </w:r>
      <w:proofErr w:type="spellEnd"/>
      <w:r>
        <w:t xml:space="preserve"> soient, n’en sont pas moins riches intéressants pour   comprendre le sens à donner au problème de la certitude.</w:t>
      </w:r>
    </w:p>
    <w:p w14:paraId="4DA24B88" w14:textId="77777777" w:rsidR="00EF544B" w:rsidRDefault="00951809">
      <w:pPr>
        <w:spacing w:after="176"/>
        <w:ind w:left="-15" w:right="0"/>
      </w:pPr>
      <w:r>
        <w:t xml:space="preserve">Diderot procède suivant une </w:t>
      </w:r>
      <w:proofErr w:type="gramStart"/>
      <w:r>
        <w:t>méthode  qu’il</w:t>
      </w:r>
      <w:proofErr w:type="gramEnd"/>
      <w:r>
        <w:t xml:space="preserve"> a développée pour les fins de  l’</w:t>
      </w:r>
      <w:r>
        <w:rPr>
          <w:i/>
        </w:rPr>
        <w:t>Encyclopédie</w:t>
      </w:r>
      <w:r>
        <w:t xml:space="preserve"> – méthode  qu’on a pu appeler un trava</w:t>
      </w:r>
      <w:r>
        <w:t xml:space="preserve">il de </w:t>
      </w:r>
      <w:r>
        <w:lastRenderedPageBreak/>
        <w:t>marqueterie</w:t>
      </w:r>
      <w:r>
        <w:rPr>
          <w:sz w:val="22"/>
          <w:vertAlign w:val="superscript"/>
        </w:rPr>
        <w:footnoteReference w:id="17"/>
      </w:r>
      <w:r>
        <w:t xml:space="preserve"> –, qui lui permet de placer le savoir encyclopédique au sein  d’un réseau formé  d’un ensemble  d’autres organes de recueil et de diffusion du savoir, bien souvent pour en  contester  l’autorité ou pour en repenser les tenants et abouti</w:t>
      </w:r>
      <w:r>
        <w:t xml:space="preserve">ssants. L ’article « Certitude » de ce point de vue est un cas d ’école : </w:t>
      </w:r>
      <w:proofErr w:type="gramStart"/>
      <w:r>
        <w:t>Diderot,  comme</w:t>
      </w:r>
      <w:proofErr w:type="gramEnd"/>
      <w:r>
        <w:t xml:space="preserve"> il se doit, donne  l’impression de traduire, librement, évidemment, l ’article de la </w:t>
      </w:r>
      <w:proofErr w:type="spellStart"/>
      <w:r>
        <w:rPr>
          <w:i/>
        </w:rPr>
        <w:t>Cyclopœdia</w:t>
      </w:r>
      <w:proofErr w:type="spellEnd"/>
      <w:r>
        <w:t xml:space="preserve">  d’</w:t>
      </w:r>
      <w:proofErr w:type="spellStart"/>
      <w:r>
        <w:t>Ephraïm</w:t>
      </w:r>
      <w:proofErr w:type="spellEnd"/>
      <w:r>
        <w:t xml:space="preserve"> Chambers</w:t>
      </w:r>
      <w:r>
        <w:rPr>
          <w:sz w:val="22"/>
          <w:vertAlign w:val="superscript"/>
        </w:rPr>
        <w:footnoteReference w:id="18"/>
      </w:r>
      <w:r>
        <w:t>, mais il a sans doute aussi le texte auquel Cham</w:t>
      </w:r>
      <w:r>
        <w:t xml:space="preserve">bers </w:t>
      </w:r>
      <w:proofErr w:type="spellStart"/>
      <w:r>
        <w:t>luimême</w:t>
      </w:r>
      <w:proofErr w:type="spellEnd"/>
      <w:r>
        <w:t xml:space="preserve"> a emprunté – le </w:t>
      </w:r>
      <w:r>
        <w:rPr>
          <w:i/>
        </w:rPr>
        <w:t>Dictionnaire universel français et latin</w:t>
      </w:r>
      <w:r>
        <w:t xml:space="preserve">  qu’on  connaît sous le titre de </w:t>
      </w:r>
      <w:r>
        <w:rPr>
          <w:i/>
        </w:rPr>
        <w:t>Dictionnaire de Trévoux</w:t>
      </w:r>
      <w:r>
        <w:t xml:space="preserve">, organe des jésuites qui c </w:t>
      </w:r>
      <w:proofErr w:type="spellStart"/>
      <w:r>
        <w:t>onstituait</w:t>
      </w:r>
      <w:proofErr w:type="spellEnd"/>
      <w:r>
        <w:t xml:space="preserve"> une référence dans la première moitié du </w:t>
      </w:r>
      <w:proofErr w:type="spellStart"/>
      <w:r>
        <w:t>xviii</w:t>
      </w:r>
      <w:r>
        <w:rPr>
          <w:sz w:val="22"/>
          <w:vertAlign w:val="superscript"/>
        </w:rPr>
        <w:t>e</w:t>
      </w:r>
      <w:proofErr w:type="spellEnd"/>
      <w:r>
        <w:t xml:space="preserve"> siècle. La liberté prise dans la transposit</w:t>
      </w:r>
      <w:r>
        <w:t xml:space="preserve">ion diderotienne apparaît si l ’on regarde la progression qui s ’opère d’un texte </w:t>
      </w:r>
      <w:proofErr w:type="gramStart"/>
      <w:r>
        <w:t>à  l’autre</w:t>
      </w:r>
      <w:proofErr w:type="gramEnd"/>
      <w:r>
        <w:t xml:space="preserve"> : la certitude  </w:t>
      </w:r>
    </w:p>
    <w:p w14:paraId="663877FF" w14:textId="77777777" w:rsidR="00EF544B" w:rsidRDefault="00951809">
      <w:pPr>
        <w:spacing w:after="155" w:line="235" w:lineRule="auto"/>
        <w:ind w:left="562" w:right="-13" w:hanging="10"/>
      </w:pPr>
      <w:proofErr w:type="gramStart"/>
      <w:r>
        <w:rPr>
          <w:sz w:val="20"/>
        </w:rPr>
        <w:t>est</w:t>
      </w:r>
      <w:proofErr w:type="gramEnd"/>
      <w:r>
        <w:rPr>
          <w:sz w:val="20"/>
        </w:rPr>
        <w:t xml:space="preserve"> proprement une qualité des jugements de notre esprit ;  c’est l’adhésion de  notre esprit à la proposition que nous affirmons ;  c’est la force avec laquelle nous adhérons</w:t>
      </w:r>
      <w:r>
        <w:rPr>
          <w:sz w:val="20"/>
          <w:vertAlign w:val="superscript"/>
        </w:rPr>
        <w:footnoteReference w:id="19"/>
      </w:r>
      <w:r>
        <w:rPr>
          <w:sz w:val="20"/>
        </w:rPr>
        <w:t>.</w:t>
      </w:r>
    </w:p>
    <w:p w14:paraId="1F605871" w14:textId="77777777" w:rsidR="00EF544B" w:rsidRPr="00951809" w:rsidRDefault="00951809">
      <w:pPr>
        <w:spacing w:after="150"/>
        <w:ind w:left="562" w:right="-13" w:hanging="10"/>
        <w:rPr>
          <w:lang w:val="en-CA"/>
        </w:rPr>
      </w:pPr>
      <w:r w:rsidRPr="00951809">
        <w:rPr>
          <w:i/>
          <w:sz w:val="20"/>
          <w:lang w:val="en-CA"/>
        </w:rPr>
        <w:t>is properly a quality of the judgment, importing an adhesion of the mind to t</w:t>
      </w:r>
      <w:r w:rsidRPr="00951809">
        <w:rPr>
          <w:i/>
          <w:sz w:val="20"/>
          <w:lang w:val="en-CA"/>
        </w:rPr>
        <w:t xml:space="preserve">he proposition we </w:t>
      </w:r>
      <w:proofErr w:type="gramStart"/>
      <w:r w:rsidRPr="00951809">
        <w:rPr>
          <w:i/>
          <w:sz w:val="20"/>
          <w:lang w:val="en-CA"/>
        </w:rPr>
        <w:t>affirm ;</w:t>
      </w:r>
      <w:proofErr w:type="gramEnd"/>
      <w:r w:rsidRPr="00951809">
        <w:rPr>
          <w:i/>
          <w:sz w:val="20"/>
          <w:lang w:val="en-CA"/>
        </w:rPr>
        <w:t xml:space="preserve"> or the strength wherewith we adhere to it</w:t>
      </w:r>
      <w:r>
        <w:rPr>
          <w:sz w:val="20"/>
          <w:vertAlign w:val="superscript"/>
        </w:rPr>
        <w:footnoteReference w:id="20"/>
      </w:r>
      <w:r w:rsidRPr="00951809">
        <w:rPr>
          <w:i/>
          <w:sz w:val="20"/>
          <w:lang w:val="en-CA"/>
        </w:rPr>
        <w:t>.</w:t>
      </w:r>
    </w:p>
    <w:p w14:paraId="4E2DA29E" w14:textId="77777777" w:rsidR="00EF544B" w:rsidRDefault="00951809">
      <w:pPr>
        <w:spacing w:after="287" w:line="235" w:lineRule="auto"/>
        <w:ind w:left="562" w:right="-13" w:hanging="10"/>
      </w:pPr>
      <w:r w:rsidRPr="00951809">
        <w:rPr>
          <w:sz w:val="20"/>
          <w:lang w:val="en-CA"/>
        </w:rPr>
        <w:t xml:space="preserve"> </w:t>
      </w:r>
      <w:proofErr w:type="gramStart"/>
      <w:r>
        <w:rPr>
          <w:sz w:val="20"/>
        </w:rPr>
        <w:t>c’est</w:t>
      </w:r>
      <w:proofErr w:type="gramEnd"/>
      <w:r>
        <w:rPr>
          <w:sz w:val="20"/>
        </w:rPr>
        <w:t xml:space="preserve"> proprement une qualité du jugement qui emporte  l’adhésion forte &amp; invincible de notre esprit à la proposition que nous affirmons</w:t>
      </w:r>
      <w:r>
        <w:rPr>
          <w:sz w:val="20"/>
          <w:vertAlign w:val="superscript"/>
        </w:rPr>
        <w:footnoteReference w:id="21"/>
      </w:r>
      <w:r>
        <w:rPr>
          <w:sz w:val="20"/>
        </w:rPr>
        <w:t>.</w:t>
      </w:r>
    </w:p>
    <w:p w14:paraId="47C470BF" w14:textId="77777777" w:rsidR="00EF544B" w:rsidRPr="00951809" w:rsidRDefault="00951809">
      <w:pPr>
        <w:spacing w:after="176"/>
        <w:ind w:left="-15" w:right="0"/>
        <w:rPr>
          <w:lang w:val="en-CA"/>
        </w:rPr>
      </w:pPr>
      <w:r>
        <w:t xml:space="preserve">On voit que Diderot ajoute les c </w:t>
      </w:r>
      <w:proofErr w:type="spellStart"/>
      <w:r>
        <w:t>onditions</w:t>
      </w:r>
      <w:proofErr w:type="spellEnd"/>
      <w:r>
        <w:t xml:space="preserve"> «</w:t>
      </w:r>
      <w:r>
        <w:t xml:space="preserve"> forte et invincible » au </w:t>
      </w:r>
      <w:proofErr w:type="gramStart"/>
      <w:r>
        <w:t>type  d’adhésion</w:t>
      </w:r>
      <w:proofErr w:type="gramEnd"/>
      <w:r>
        <w:t xml:space="preserve"> que requiert la certitude. Cette variation, </w:t>
      </w:r>
      <w:proofErr w:type="gramStart"/>
      <w:r>
        <w:t>toutefois,  n’est</w:t>
      </w:r>
      <w:proofErr w:type="gramEnd"/>
      <w:r>
        <w:t xml:space="preserve"> pas anodine. Elle impose en effet une interprétation </w:t>
      </w:r>
      <w:r>
        <w:lastRenderedPageBreak/>
        <w:t>différente de la certitude : chez ses prédécesseurs, la formulation permet de penser que la certit</w:t>
      </w:r>
      <w:r>
        <w:t>ude porte sur le degré  d’adhésion auquel nous  consentons – là où la version diderotienne, en soulignant  l’invincibilité de l ’adhésion, ne semble pas admettre de décision de notre part. L ’effet de ce déplacement de sens se fait ressentir rapidement : a</w:t>
      </w:r>
      <w:r>
        <w:t xml:space="preserve">près un paragraphe de clarification grammaticale sur les usages du terme, Chambers et Trévoux présentent un développement sur le rapport entre certitude et évidence. </w:t>
      </w:r>
      <w:r w:rsidRPr="00951809">
        <w:rPr>
          <w:lang w:val="en-CA"/>
        </w:rPr>
        <w:t>Ainsi, par exemple :</w:t>
      </w:r>
    </w:p>
    <w:p w14:paraId="5626380F" w14:textId="77777777" w:rsidR="00EF544B" w:rsidRPr="00951809" w:rsidRDefault="00951809">
      <w:pPr>
        <w:spacing w:after="264"/>
        <w:ind w:left="562" w:right="-13" w:hanging="10"/>
        <w:rPr>
          <w:lang w:val="en-CA"/>
        </w:rPr>
      </w:pPr>
      <w:r w:rsidRPr="00951809">
        <w:rPr>
          <w:i/>
          <w:sz w:val="20"/>
          <w:lang w:val="en-CA"/>
        </w:rPr>
        <w:t xml:space="preserve">Certitude is of the same nature with the evidence that produces it : </w:t>
      </w:r>
      <w:r w:rsidRPr="00951809">
        <w:rPr>
          <w:i/>
          <w:sz w:val="20"/>
          <w:lang w:val="en-CA"/>
        </w:rPr>
        <w:t>the evidence is in the things that the mind sees and c onsiders, i. e. in the ideas : Certitude is in the judgment the mind makes of those ideas.</w:t>
      </w:r>
    </w:p>
    <w:p w14:paraId="13418E24" w14:textId="77777777" w:rsidR="00EF544B" w:rsidRDefault="00951809">
      <w:pPr>
        <w:spacing w:after="177"/>
        <w:ind w:left="-15" w:right="0"/>
      </w:pPr>
      <w:r>
        <w:t xml:space="preserve">Diderot s ’écarte alors radicalement de la leçon de ses prédécesseurs en </w:t>
      </w:r>
      <w:r>
        <w:rPr>
          <w:i/>
        </w:rPr>
        <w:t>distinguant</w:t>
      </w:r>
      <w:r>
        <w:t xml:space="preserve"> évidence et certitude, fa</w:t>
      </w:r>
      <w:r>
        <w:t>isant valoir une tout autre autorité :</w:t>
      </w:r>
    </w:p>
    <w:p w14:paraId="54F6A3C3" w14:textId="77777777" w:rsidR="00EF544B" w:rsidRDefault="00951809">
      <w:pPr>
        <w:spacing w:after="287" w:line="235" w:lineRule="auto"/>
        <w:ind w:left="562" w:right="-13" w:hanging="10"/>
      </w:pPr>
      <w:r>
        <w:rPr>
          <w:sz w:val="20"/>
        </w:rPr>
        <w:t xml:space="preserve">On peut encore </w:t>
      </w:r>
      <w:proofErr w:type="gramStart"/>
      <w:r>
        <w:rPr>
          <w:sz w:val="20"/>
        </w:rPr>
        <w:t>distinguer,  comme</w:t>
      </w:r>
      <w:proofErr w:type="gramEnd"/>
      <w:r>
        <w:rPr>
          <w:sz w:val="20"/>
        </w:rPr>
        <w:t xml:space="preserve"> M.  </w:t>
      </w:r>
      <w:proofErr w:type="gramStart"/>
      <w:r>
        <w:rPr>
          <w:sz w:val="20"/>
        </w:rPr>
        <w:t>d’Alembert  l’a</w:t>
      </w:r>
      <w:proofErr w:type="gramEnd"/>
      <w:r>
        <w:rPr>
          <w:sz w:val="20"/>
        </w:rPr>
        <w:t xml:space="preserve"> fait dans le Discours préliminaire, l ’évidence de la certitude, en disant que l’évidence appartient  proprement aux idées dont  l’esprit aperçoit la liaison tout </w:t>
      </w:r>
      <w:r>
        <w:rPr>
          <w:sz w:val="20"/>
        </w:rPr>
        <w:t xml:space="preserve"> d’un coup, &amp; la certitude à celles dont il  n’aperçoit la liaison que par le secours  d’un certain nombre d ’idées intermédiaires. Ainsi, par exemple, le tout est plus grand que sa partie, est une proposition évidente par elle-même, parce que l ’esprit ap</w:t>
      </w:r>
      <w:r>
        <w:rPr>
          <w:sz w:val="20"/>
        </w:rPr>
        <w:t xml:space="preserve">erçoit tout d ’un coup &amp; sans aucune idée intermédiaire la liaison qui est entre les idées de tout &amp; de plus grand, de partie &amp; de plus petit ; mais cette proposition, le </w:t>
      </w:r>
      <w:proofErr w:type="spellStart"/>
      <w:r>
        <w:rPr>
          <w:sz w:val="20"/>
        </w:rPr>
        <w:t>quarré</w:t>
      </w:r>
      <w:proofErr w:type="spellEnd"/>
      <w:r>
        <w:rPr>
          <w:sz w:val="20"/>
        </w:rPr>
        <w:t xml:space="preserve"> de  l’hypoténuse  d’un triangle rectangle est égal à la somme des carrés des d</w:t>
      </w:r>
      <w:r>
        <w:rPr>
          <w:sz w:val="20"/>
        </w:rPr>
        <w:t xml:space="preserve">eux côtés, est une proposition certaine &amp; non évidente par elle-même, parce  qu’il faut plusieurs propositions intermédiaires &amp;  consécutives pour en apercevoir la vérité. Dans ce cas, on peut dire que la certitude résulte d ’un nombre plus ou moins grand </w:t>
      </w:r>
      <w:r>
        <w:rPr>
          <w:sz w:val="20"/>
        </w:rPr>
        <w:t xml:space="preserve">de propositions évidentes qui se suivent immédiatement, mais que l ’esprit ne peut embrasser toutes à la fois, </w:t>
      </w:r>
      <w:proofErr w:type="gramStart"/>
      <w:r>
        <w:rPr>
          <w:sz w:val="20"/>
        </w:rPr>
        <w:t>&amp;  qu’il</w:t>
      </w:r>
      <w:proofErr w:type="gramEnd"/>
      <w:r>
        <w:rPr>
          <w:sz w:val="20"/>
        </w:rPr>
        <w:t xml:space="preserve"> est obligé d ’envisager &amp; de détailler successivement</w:t>
      </w:r>
      <w:r>
        <w:rPr>
          <w:sz w:val="20"/>
          <w:vertAlign w:val="superscript"/>
        </w:rPr>
        <w:footnoteReference w:id="22"/>
      </w:r>
      <w:r>
        <w:rPr>
          <w:sz w:val="20"/>
        </w:rPr>
        <w:t>.</w:t>
      </w:r>
    </w:p>
    <w:p w14:paraId="14F561E2" w14:textId="77777777" w:rsidR="00EF544B" w:rsidRDefault="00951809">
      <w:pPr>
        <w:spacing w:after="26"/>
        <w:ind w:left="-15" w:right="0"/>
      </w:pPr>
      <w:r>
        <w:lastRenderedPageBreak/>
        <w:t>Le déplacement opéré par Diderot (</w:t>
      </w:r>
      <w:proofErr w:type="gramStart"/>
      <w:r>
        <w:t>et  d’Alembert</w:t>
      </w:r>
      <w:proofErr w:type="gramEnd"/>
      <w:r>
        <w:t xml:space="preserve">) est intéressant parce  qu’il </w:t>
      </w:r>
      <w:r>
        <w:t xml:space="preserve">fait jouer un principe de subjectivité. En effet, même si Trévoux et Chambers rapportent la certitude à </w:t>
      </w:r>
      <w:proofErr w:type="gramStart"/>
      <w:r>
        <w:t>«  l’adhésion</w:t>
      </w:r>
      <w:proofErr w:type="gramEnd"/>
      <w:r>
        <w:t xml:space="preserve"> de  l’esprit à une proposition », en disant  qu’elle est de même nature que l ’évidence qui la produit, ils semblent considérer que le deg</w:t>
      </w:r>
      <w:r>
        <w:t xml:space="preserve">ré   d’adhésion est toujours fonction de  l’objet  considéré par l ’esprit. Chez Diderot, </w:t>
      </w:r>
      <w:proofErr w:type="gramStart"/>
      <w:r>
        <w:t>au  contraire</w:t>
      </w:r>
      <w:proofErr w:type="gramEnd"/>
      <w:r>
        <w:t xml:space="preserve">,  c’est la limitation même de  l’esprit qui est en cause : si une chaîne  d’inférence est trop longue, elle passe  d’évidente à certaine,  c’est-à-dire </w:t>
      </w:r>
      <w:r>
        <w:t xml:space="preserve"> qu’elle  n’est plus saisie que médiatement. Diderot établit deux corollaires qui ne sont pas chez  d’Alembert :  d’abord,  qu’une suite labyrinthique de propositions pourrait être telle  qu’elle ne  conduise pas à la certitude</w:t>
      </w:r>
      <w:r>
        <w:rPr>
          <w:sz w:val="22"/>
          <w:vertAlign w:val="superscript"/>
        </w:rPr>
        <w:t>26</w:t>
      </w:r>
      <w:r>
        <w:t xml:space="preserve"> – ce qui renforce  l’idée </w:t>
      </w:r>
      <w:r>
        <w:t>que la certitude ne désigne que l ’état subjectif</w:t>
      </w:r>
      <w:r>
        <w:rPr>
          <w:sz w:val="22"/>
          <w:vertAlign w:val="superscript"/>
        </w:rPr>
        <w:t>27</w:t>
      </w:r>
      <w:r>
        <w:t xml:space="preserve"> de celui qui adhère à telle proposition, non la force de la proposition elle-même ; ensuite, que la certitude mathématique naît toujours de  l’évidence au sens où elle découle  d’une « liaison aperçue suc</w:t>
      </w:r>
      <w:r>
        <w:t>cessivement entre plusieurs idées  consécutives et voisines</w:t>
      </w:r>
      <w:r>
        <w:rPr>
          <w:sz w:val="22"/>
          <w:vertAlign w:val="superscript"/>
        </w:rPr>
        <w:t>28</w:t>
      </w:r>
      <w:r>
        <w:t xml:space="preserve"> ».</w:t>
      </w:r>
    </w:p>
    <w:p w14:paraId="24B8E01D" w14:textId="77777777" w:rsidR="00EF544B" w:rsidRDefault="00951809">
      <w:pPr>
        <w:spacing w:after="176"/>
        <w:ind w:left="-15" w:right="0"/>
      </w:pPr>
      <w:r>
        <w:t xml:space="preserve">La raison invoquée par Diderot </w:t>
      </w:r>
      <w:proofErr w:type="gramStart"/>
      <w:r>
        <w:t>pour  n’avoir</w:t>
      </w:r>
      <w:proofErr w:type="gramEnd"/>
      <w:r>
        <w:t xml:space="preserve"> pas suivi la leçon de Chambers (et donc de Trévoux) est donnée à la suite de ce développement :  c’est la théorie même du jugement qui est en caus</w:t>
      </w:r>
      <w:r>
        <w:t>e :</w:t>
      </w:r>
    </w:p>
    <w:p w14:paraId="637A772C" w14:textId="77777777" w:rsidR="00EF544B" w:rsidRDefault="00951809">
      <w:pPr>
        <w:spacing w:after="0" w:line="235" w:lineRule="auto"/>
        <w:ind w:left="562" w:right="-13" w:hanging="10"/>
      </w:pPr>
      <w:r>
        <w:rPr>
          <w:sz w:val="20"/>
        </w:rPr>
        <w:t xml:space="preserve">Chambers dit </w:t>
      </w:r>
      <w:proofErr w:type="gramStart"/>
      <w:r>
        <w:rPr>
          <w:sz w:val="20"/>
        </w:rPr>
        <w:t>que  l’évidence</w:t>
      </w:r>
      <w:proofErr w:type="gramEnd"/>
      <w:r>
        <w:rPr>
          <w:sz w:val="20"/>
        </w:rPr>
        <w:t xml:space="preserve"> est proprement dans la liaison que  l’esprit aperçoit entre les idées, &amp; la certitude dans le jugement  qu’il porte sur ces idées : mais il me semble que  c’est là se jouer un peu des mots ; car voir la liaison de deux idée</w:t>
      </w:r>
      <w:r>
        <w:rPr>
          <w:sz w:val="20"/>
        </w:rPr>
        <w:t>s, &amp; juger,  c’est la même chose</w:t>
      </w:r>
      <w:r>
        <w:rPr>
          <w:sz w:val="20"/>
          <w:vertAlign w:val="superscript"/>
        </w:rPr>
        <w:t>29</w:t>
      </w:r>
      <w:r>
        <w:rPr>
          <w:sz w:val="20"/>
        </w:rPr>
        <w:t>.</w:t>
      </w:r>
    </w:p>
    <w:p w14:paraId="6C3ACD7D" w14:textId="77777777" w:rsidR="00EF544B" w:rsidRDefault="00951809">
      <w:pPr>
        <w:spacing w:after="72" w:line="259" w:lineRule="auto"/>
        <w:ind w:right="0" w:firstLine="0"/>
        <w:jc w:val="left"/>
      </w:pPr>
      <w:r>
        <w:rPr>
          <w:rFonts w:ascii="Calibri" w:eastAsia="Calibri" w:hAnsi="Calibri" w:cs="Calibri"/>
          <w:noProof/>
          <w:color w:val="000000"/>
          <w:sz w:val="22"/>
        </w:rPr>
        <mc:AlternateContent>
          <mc:Choice Requires="wpg">
            <w:drawing>
              <wp:inline distT="0" distB="0" distL="0" distR="0" wp14:anchorId="370FA738" wp14:editId="6E8ED314">
                <wp:extent cx="720001" cy="6350"/>
                <wp:effectExtent l="0" t="0" r="0" b="0"/>
                <wp:docPr id="19541" name="Group 19541"/>
                <wp:cNvGraphicFramePr/>
                <a:graphic xmlns:a="http://schemas.openxmlformats.org/drawingml/2006/main">
                  <a:graphicData uri="http://schemas.microsoft.com/office/word/2010/wordprocessingGroup">
                    <wpg:wgp>
                      <wpg:cNvGrpSpPr/>
                      <wpg:grpSpPr>
                        <a:xfrm>
                          <a:off x="0" y="0"/>
                          <a:ext cx="720001" cy="6350"/>
                          <a:chOff x="0" y="0"/>
                          <a:chExt cx="720001" cy="6350"/>
                        </a:xfrm>
                      </wpg:grpSpPr>
                      <wps:wsp>
                        <wps:cNvPr id="1331" name="Shape 1331"/>
                        <wps:cNvSpPr/>
                        <wps:spPr>
                          <a:xfrm>
                            <a:off x="0" y="0"/>
                            <a:ext cx="720001" cy="0"/>
                          </a:xfrm>
                          <a:custGeom>
                            <a:avLst/>
                            <a:gdLst/>
                            <a:ahLst/>
                            <a:cxnLst/>
                            <a:rect l="0" t="0" r="0" b="0"/>
                            <a:pathLst>
                              <a:path w="720001">
                                <a:moveTo>
                                  <a:pt x="0" y="0"/>
                                </a:moveTo>
                                <a:lnTo>
                                  <a:pt x="72000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541" style="width:56.693pt;height:0.5pt;mso-position-horizontal-relative:char;mso-position-vertical-relative:line" coordsize="7200,63">
                <v:shape id="Shape 1331" style="position:absolute;width:7200;height:0;left:0;top:0;" coordsize="720001,0" path="m0,0l720001,0">
                  <v:stroke weight="0.5pt" endcap="flat" joinstyle="miter" miterlimit="10" on="true" color="#181717"/>
                  <v:fill on="false" color="#000000" opacity="0"/>
                </v:shape>
              </v:group>
            </w:pict>
          </mc:Fallback>
        </mc:AlternateContent>
      </w:r>
    </w:p>
    <w:p w14:paraId="26EA33F1" w14:textId="77777777" w:rsidR="00EF544B" w:rsidRDefault="00951809">
      <w:pPr>
        <w:spacing w:after="4" w:line="232" w:lineRule="auto"/>
        <w:ind w:left="333" w:right="0" w:hanging="10"/>
      </w:pPr>
      <w:proofErr w:type="gramStart"/>
      <w:r>
        <w:rPr>
          <w:sz w:val="18"/>
        </w:rPr>
        <w:t>intermédiaires</w:t>
      </w:r>
      <w:proofErr w:type="gramEnd"/>
      <w:r>
        <w:rPr>
          <w:sz w:val="18"/>
        </w:rPr>
        <w:t>, ou, ce qui est la même chose, aux propositions dont  l’identité avec un principe évident par lui-même, ne peut être découverte que par un circuit plus ou moins long… » (</w:t>
      </w:r>
      <w:r>
        <w:rPr>
          <w:i/>
          <w:sz w:val="18"/>
        </w:rPr>
        <w:t>Encyclopédie</w:t>
      </w:r>
      <w:r>
        <w:rPr>
          <w:sz w:val="18"/>
        </w:rPr>
        <w:t>, I, xiv) Les exemples semblent provenir de Diderot.</w:t>
      </w:r>
    </w:p>
    <w:p w14:paraId="01D75E06" w14:textId="77777777" w:rsidR="00EF544B" w:rsidRDefault="00951809">
      <w:pPr>
        <w:numPr>
          <w:ilvl w:val="0"/>
          <w:numId w:val="2"/>
        </w:numPr>
        <w:spacing w:after="4" w:line="232" w:lineRule="auto"/>
        <w:ind w:right="0" w:hanging="323"/>
      </w:pPr>
      <w:r>
        <w:rPr>
          <w:sz w:val="18"/>
        </w:rPr>
        <w:t xml:space="preserve">Diderot </w:t>
      </w:r>
      <w:proofErr w:type="gramStart"/>
      <w:r>
        <w:rPr>
          <w:sz w:val="18"/>
        </w:rPr>
        <w:t>donne  l’exemple</w:t>
      </w:r>
      <w:proofErr w:type="gramEnd"/>
      <w:r>
        <w:rPr>
          <w:sz w:val="18"/>
        </w:rPr>
        <w:t xml:space="preserve"> d ’Ismaël </w:t>
      </w:r>
      <w:proofErr w:type="spellStart"/>
      <w:r>
        <w:rPr>
          <w:sz w:val="18"/>
        </w:rPr>
        <w:t>Boulliau</w:t>
      </w:r>
      <w:proofErr w:type="spellEnd"/>
      <w:r>
        <w:rPr>
          <w:sz w:val="18"/>
        </w:rPr>
        <w:t xml:space="preserve"> (</w:t>
      </w:r>
      <w:proofErr w:type="spellStart"/>
      <w:r>
        <w:rPr>
          <w:sz w:val="18"/>
        </w:rPr>
        <w:t>Bullialdus</w:t>
      </w:r>
      <w:proofErr w:type="spellEnd"/>
      <w:r>
        <w:rPr>
          <w:sz w:val="18"/>
        </w:rPr>
        <w:t xml:space="preserve">) qui aurait écrit  qu’il n ’avait jamais senti toute la force des descriptions des propriétés de la spirale par Archimède – empruntant peut-être l ’anecdote à la préface de l’ </w:t>
      </w:r>
      <w:r>
        <w:rPr>
          <w:i/>
          <w:sz w:val="18"/>
        </w:rPr>
        <w:t>Analyse des infiniment p</w:t>
      </w:r>
      <w:r>
        <w:rPr>
          <w:i/>
          <w:sz w:val="18"/>
        </w:rPr>
        <w:t>etits pour l ’intelligence des lignes courbes</w:t>
      </w:r>
      <w:r>
        <w:rPr>
          <w:sz w:val="18"/>
        </w:rPr>
        <w:t xml:space="preserve"> du marquis de L ’Hospital (1716, p. v).</w:t>
      </w:r>
    </w:p>
    <w:p w14:paraId="3E3ECBDF" w14:textId="77777777" w:rsidR="00EF544B" w:rsidRDefault="00951809">
      <w:pPr>
        <w:numPr>
          <w:ilvl w:val="0"/>
          <w:numId w:val="2"/>
        </w:numPr>
        <w:spacing w:after="4" w:line="232" w:lineRule="auto"/>
        <w:ind w:right="0" w:hanging="323"/>
      </w:pPr>
      <w:r>
        <w:rPr>
          <w:sz w:val="18"/>
        </w:rPr>
        <w:t xml:space="preserve">Ce qui ne réduit pas la certitude à un simple état psychologique : </w:t>
      </w:r>
      <w:proofErr w:type="gramStart"/>
      <w:r>
        <w:rPr>
          <w:sz w:val="18"/>
        </w:rPr>
        <w:t>elle  constitue</w:t>
      </w:r>
      <w:proofErr w:type="gramEnd"/>
      <w:r>
        <w:rPr>
          <w:sz w:val="18"/>
        </w:rPr>
        <w:t xml:space="preserve"> bien une propriété des actes de l ’esprit qui nous font tenir une proposition pour une </w:t>
      </w:r>
      <w:r>
        <w:rPr>
          <w:sz w:val="18"/>
        </w:rPr>
        <w:t xml:space="preserve">connaissance  vraie. Voir à ce sujet : Dario </w:t>
      </w:r>
      <w:proofErr w:type="spellStart"/>
      <w:r>
        <w:rPr>
          <w:sz w:val="18"/>
        </w:rPr>
        <w:t>Perinetti</w:t>
      </w:r>
      <w:proofErr w:type="spellEnd"/>
      <w:r>
        <w:rPr>
          <w:sz w:val="18"/>
        </w:rPr>
        <w:t xml:space="preserve">, « </w:t>
      </w:r>
      <w:proofErr w:type="spellStart"/>
      <w:r>
        <w:rPr>
          <w:sz w:val="18"/>
        </w:rPr>
        <w:t>Ways</w:t>
      </w:r>
      <w:proofErr w:type="spellEnd"/>
      <w:r>
        <w:rPr>
          <w:sz w:val="18"/>
        </w:rPr>
        <w:t xml:space="preserve"> to </w:t>
      </w:r>
      <w:proofErr w:type="spellStart"/>
      <w:r>
        <w:rPr>
          <w:sz w:val="18"/>
        </w:rPr>
        <w:t>Certainty</w:t>
      </w:r>
      <w:proofErr w:type="spellEnd"/>
      <w:r>
        <w:rPr>
          <w:sz w:val="18"/>
        </w:rPr>
        <w:t xml:space="preserve"> », </w:t>
      </w:r>
      <w:r>
        <w:rPr>
          <w:i/>
          <w:sz w:val="18"/>
        </w:rPr>
        <w:t>in</w:t>
      </w:r>
      <w:r>
        <w:rPr>
          <w:sz w:val="18"/>
        </w:rPr>
        <w:t xml:space="preserve"> Aaron Garrett (dir.), </w:t>
      </w:r>
      <w:r>
        <w:rPr>
          <w:i/>
          <w:sz w:val="18"/>
        </w:rPr>
        <w:t xml:space="preserve">The Routledge </w:t>
      </w:r>
      <w:proofErr w:type="spellStart"/>
      <w:r>
        <w:rPr>
          <w:i/>
          <w:sz w:val="18"/>
        </w:rPr>
        <w:t>Companion</w:t>
      </w:r>
      <w:proofErr w:type="spellEnd"/>
      <w:r>
        <w:rPr>
          <w:i/>
          <w:sz w:val="18"/>
        </w:rPr>
        <w:t xml:space="preserve"> to </w:t>
      </w:r>
      <w:proofErr w:type="spellStart"/>
      <w:r>
        <w:rPr>
          <w:i/>
          <w:sz w:val="18"/>
        </w:rPr>
        <w:t>Eighteenth</w:t>
      </w:r>
      <w:proofErr w:type="spellEnd"/>
      <w:r>
        <w:rPr>
          <w:i/>
          <w:sz w:val="18"/>
        </w:rPr>
        <w:t xml:space="preserve"> Century </w:t>
      </w:r>
      <w:proofErr w:type="spellStart"/>
      <w:r>
        <w:rPr>
          <w:i/>
          <w:sz w:val="18"/>
        </w:rPr>
        <w:t>Philosophy</w:t>
      </w:r>
      <w:proofErr w:type="spellEnd"/>
      <w:r>
        <w:rPr>
          <w:sz w:val="18"/>
        </w:rPr>
        <w:t xml:space="preserve">, Londres, Routledge, 2014, p. 266) qui rappelle que ce phénomène renvoie à la </w:t>
      </w:r>
      <w:proofErr w:type="spellStart"/>
      <w:r>
        <w:rPr>
          <w:i/>
          <w:sz w:val="18"/>
        </w:rPr>
        <w:t>certitudo</w:t>
      </w:r>
      <w:proofErr w:type="spellEnd"/>
      <w:r>
        <w:rPr>
          <w:i/>
          <w:sz w:val="18"/>
        </w:rPr>
        <w:t xml:space="preserve"> </w:t>
      </w:r>
      <w:proofErr w:type="spellStart"/>
      <w:r>
        <w:rPr>
          <w:i/>
          <w:sz w:val="18"/>
        </w:rPr>
        <w:t>formali</w:t>
      </w:r>
      <w:r>
        <w:rPr>
          <w:i/>
          <w:sz w:val="18"/>
        </w:rPr>
        <w:t>s</w:t>
      </w:r>
      <w:proofErr w:type="spellEnd"/>
      <w:r>
        <w:rPr>
          <w:sz w:val="18"/>
        </w:rPr>
        <w:t xml:space="preserve"> (« the </w:t>
      </w:r>
      <w:proofErr w:type="spellStart"/>
      <w:r>
        <w:rPr>
          <w:sz w:val="18"/>
        </w:rPr>
        <w:t>impossiblity</w:t>
      </w:r>
      <w:proofErr w:type="spellEnd"/>
      <w:r>
        <w:rPr>
          <w:sz w:val="18"/>
        </w:rPr>
        <w:t xml:space="preserve"> of not </w:t>
      </w:r>
      <w:proofErr w:type="spellStart"/>
      <w:r>
        <w:rPr>
          <w:i/>
          <w:sz w:val="18"/>
        </w:rPr>
        <w:t>assenting</w:t>
      </w:r>
      <w:proofErr w:type="spellEnd"/>
      <w:r>
        <w:rPr>
          <w:sz w:val="18"/>
        </w:rPr>
        <w:t xml:space="preserve"> to a </w:t>
      </w:r>
      <w:proofErr w:type="spellStart"/>
      <w:r>
        <w:rPr>
          <w:sz w:val="18"/>
        </w:rPr>
        <w:t>given</w:t>
      </w:r>
      <w:proofErr w:type="spellEnd"/>
      <w:r>
        <w:rPr>
          <w:sz w:val="18"/>
        </w:rPr>
        <w:t xml:space="preserve"> proposition »), qui est bien distinguée de toute forme de psychologisation par les philosophes du </w:t>
      </w:r>
      <w:proofErr w:type="spellStart"/>
      <w:r>
        <w:rPr>
          <w:sz w:val="18"/>
        </w:rPr>
        <w:t>xviii</w:t>
      </w:r>
      <w:r>
        <w:rPr>
          <w:sz w:val="16"/>
          <w:vertAlign w:val="superscript"/>
        </w:rPr>
        <w:t>e</w:t>
      </w:r>
      <w:proofErr w:type="spellEnd"/>
      <w:r>
        <w:rPr>
          <w:sz w:val="18"/>
        </w:rPr>
        <w:t xml:space="preserve"> siècle.</w:t>
      </w:r>
    </w:p>
    <w:p w14:paraId="0A1FECA1" w14:textId="77777777" w:rsidR="00EF544B" w:rsidRDefault="00951809">
      <w:pPr>
        <w:numPr>
          <w:ilvl w:val="0"/>
          <w:numId w:val="2"/>
        </w:numPr>
        <w:spacing w:after="4" w:line="232" w:lineRule="auto"/>
        <w:ind w:right="0" w:hanging="323"/>
      </w:pPr>
      <w:r>
        <w:rPr>
          <w:i/>
          <w:sz w:val="18"/>
        </w:rPr>
        <w:lastRenderedPageBreak/>
        <w:t>Encyclopédie</w:t>
      </w:r>
      <w:r>
        <w:rPr>
          <w:sz w:val="18"/>
        </w:rPr>
        <w:t>, II, article « Certitude », p. 845.</w:t>
      </w:r>
    </w:p>
    <w:p w14:paraId="05C592F7" w14:textId="77777777" w:rsidR="00EF544B" w:rsidRDefault="00951809">
      <w:pPr>
        <w:numPr>
          <w:ilvl w:val="0"/>
          <w:numId w:val="2"/>
        </w:numPr>
        <w:spacing w:after="4" w:line="232" w:lineRule="auto"/>
        <w:ind w:right="0" w:hanging="323"/>
      </w:pPr>
      <w:r>
        <w:rPr>
          <w:i/>
          <w:sz w:val="18"/>
        </w:rPr>
        <w:t>Ibid.</w:t>
      </w:r>
      <w:r>
        <w:rPr>
          <w:sz w:val="18"/>
        </w:rPr>
        <w:t>, p. 846.</w:t>
      </w:r>
    </w:p>
    <w:p w14:paraId="07A3C33C" w14:textId="77777777" w:rsidR="00EF544B" w:rsidRDefault="00951809">
      <w:pPr>
        <w:ind w:left="-15" w:right="0" w:firstLine="0"/>
      </w:pPr>
      <w:r>
        <w:t xml:space="preserve">On pourra </w:t>
      </w:r>
      <w:proofErr w:type="gramStart"/>
      <w:r>
        <w:t>penser  qu’il</w:t>
      </w:r>
      <w:proofErr w:type="gramEnd"/>
      <w:r>
        <w:t xml:space="preserve"> y a u</w:t>
      </w:r>
      <w:r>
        <w:t xml:space="preserve">n peu de mauvaise foi, ici, puisque Chambers  n’a pas parlé de la </w:t>
      </w:r>
      <w:r>
        <w:rPr>
          <w:i/>
        </w:rPr>
        <w:t>liaison</w:t>
      </w:r>
      <w:r>
        <w:t xml:space="preserve"> des idées, mais seulement des idées. En revanche, cette critique de Diderot peut aussi être vue c </w:t>
      </w:r>
      <w:proofErr w:type="spellStart"/>
      <w:r>
        <w:t>omme</w:t>
      </w:r>
      <w:proofErr w:type="spellEnd"/>
      <w:r>
        <w:t xml:space="preserve"> une prise de distance délibérée par rapport à ses prédécesseurs au sens où le j</w:t>
      </w:r>
      <w:r>
        <w:t xml:space="preserve">ugement, ici, est </w:t>
      </w:r>
      <w:proofErr w:type="gramStart"/>
      <w:r>
        <w:t>défini  comme</w:t>
      </w:r>
      <w:proofErr w:type="gramEnd"/>
      <w:r>
        <w:t xml:space="preserve"> la résultante  d’une perception (« voir la liaison »),  c’est-à-dire  comme quelque chose de passif – rejoignant donc, par-là, une position matérialiste</w:t>
      </w:r>
      <w:r>
        <w:rPr>
          <w:sz w:val="22"/>
          <w:vertAlign w:val="superscript"/>
        </w:rPr>
        <w:footnoteReference w:id="23"/>
      </w:r>
      <w:r>
        <w:t>. C ’est le refus de séparer la perception du jugement qui est en caus</w:t>
      </w:r>
      <w:r>
        <w:t xml:space="preserve">e ici, en tant que cette séparation supposerait, en un sens, que le jugement </w:t>
      </w:r>
      <w:proofErr w:type="gramStart"/>
      <w:r>
        <w:t>soit,  comme</w:t>
      </w:r>
      <w:proofErr w:type="gramEnd"/>
      <w:r>
        <w:t xml:space="preserve"> dans la tradition cartésienne, un acte de la volonté, qui peut par c </w:t>
      </w:r>
      <w:proofErr w:type="spellStart"/>
      <w:r>
        <w:t>onséquent</w:t>
      </w:r>
      <w:proofErr w:type="spellEnd"/>
      <w:r>
        <w:t xml:space="preserve"> faire l’objet d ’une sus pension. Diderot profite alors de cette prise de distance pour</w:t>
      </w:r>
      <w:r>
        <w:t xml:space="preserve"> poursuivre la mise en déroute de ses sources.</w:t>
      </w:r>
    </w:p>
    <w:p w14:paraId="30857C6F" w14:textId="77777777" w:rsidR="00EF544B" w:rsidRDefault="00951809">
      <w:pPr>
        <w:spacing w:after="176"/>
        <w:ind w:left="-15" w:right="0"/>
      </w:pPr>
      <w:r>
        <w:t xml:space="preserve">Cherchant toujours à dégager l ’évidence de la certitude, et toujours invoquant son </w:t>
      </w:r>
      <w:proofErr w:type="gramStart"/>
      <w:r>
        <w:t>ami  d’Alembert</w:t>
      </w:r>
      <w:proofErr w:type="gramEnd"/>
      <w:r>
        <w:rPr>
          <w:sz w:val="22"/>
          <w:vertAlign w:val="superscript"/>
        </w:rPr>
        <w:footnoteReference w:id="24"/>
      </w:r>
      <w:r>
        <w:t>, Diderot va introduire un deuxième degré de distinction qui prolonge le premier. Il écrit :</w:t>
      </w:r>
    </w:p>
    <w:p w14:paraId="0C038B8A" w14:textId="77777777" w:rsidR="00EF544B" w:rsidRDefault="00951809">
      <w:pPr>
        <w:spacing w:after="262" w:line="235" w:lineRule="auto"/>
        <w:ind w:left="562" w:right="-13" w:hanging="10"/>
      </w:pPr>
      <w:r>
        <w:rPr>
          <w:sz w:val="20"/>
        </w:rPr>
        <w:t xml:space="preserve">On pourrait </w:t>
      </w:r>
      <w:proofErr w:type="gramStart"/>
      <w:r>
        <w:rPr>
          <w:sz w:val="20"/>
        </w:rPr>
        <w:t>enc</w:t>
      </w:r>
      <w:r>
        <w:rPr>
          <w:sz w:val="20"/>
        </w:rPr>
        <w:t>ore,  comme</w:t>
      </w:r>
      <w:proofErr w:type="gramEnd"/>
      <w:r>
        <w:rPr>
          <w:sz w:val="20"/>
        </w:rPr>
        <w:t xml:space="preserve"> on  l’a fait dans le Discours préliminaire, distinguer  l’évidence de la certitude, en disant que  l’évidence appartient aux vérités purement spéculatives de Métaphysique &amp; de Mathématique ; &amp; la certitude aux objets Physiques, &amp; aux faits que </w:t>
      </w:r>
      <w:r>
        <w:rPr>
          <w:sz w:val="20"/>
        </w:rPr>
        <w:t xml:space="preserve"> l’on observe dans la nature, &amp; dont la  connaissance nous vient par les sens.</w:t>
      </w:r>
    </w:p>
    <w:p w14:paraId="7F0CDF1B" w14:textId="77777777" w:rsidR="00EF544B" w:rsidRDefault="00951809">
      <w:pPr>
        <w:ind w:left="-15" w:right="0" w:firstLine="0"/>
      </w:pPr>
      <w:r>
        <w:t xml:space="preserve">Si Diderot maintient l ’idée  qu’il y a des évidences métaphysiques et mathématiques, c </w:t>
      </w:r>
      <w:proofErr w:type="spellStart"/>
      <w:r>
        <w:t>omme</w:t>
      </w:r>
      <w:proofErr w:type="spellEnd"/>
      <w:r>
        <w:t xml:space="preserve"> il l’évoquait dans le deuxième corollaire, la  certitude est accordée à la  connaiss</w:t>
      </w:r>
      <w:r>
        <w:t xml:space="preserve">ance sensible : cette fois,  l’évidence semble venir du fait que les inférences se font de manière  </w:t>
      </w:r>
      <w:r>
        <w:lastRenderedPageBreak/>
        <w:t xml:space="preserve">qu’on puisse voir les liaisons  conceptuelles impliquées, alors que les certitudes empiriques ne sont que des phénomènes c </w:t>
      </w:r>
      <w:proofErr w:type="spellStart"/>
      <w:r>
        <w:t>onstants</w:t>
      </w:r>
      <w:proofErr w:type="spellEnd"/>
      <w:r>
        <w:t xml:space="preserve"> dont la raison  n’est pa</w:t>
      </w:r>
      <w:r>
        <w:t xml:space="preserve">s nécessairement évidente par elle-même – Diderot donne l ’exemple du fait, certain, que l ’aimant attire le fer. L’enjeu est bien sûr d ’essayer </w:t>
      </w:r>
      <w:proofErr w:type="gramStart"/>
      <w:r>
        <w:t>de  préserver</w:t>
      </w:r>
      <w:proofErr w:type="gramEnd"/>
      <w:r>
        <w:t xml:space="preserve"> un caractère de certitude pour les faits empiriques et ce, c </w:t>
      </w:r>
      <w:proofErr w:type="spellStart"/>
      <w:r>
        <w:t>omme</w:t>
      </w:r>
      <w:proofErr w:type="spellEnd"/>
      <w:r>
        <w:t xml:space="preserve">  l’article le dira plus bas, e</w:t>
      </w:r>
      <w:r>
        <w:t>n dépit du fait  qu’ils ne sont pas régis par le principe de non- contradiction.</w:t>
      </w:r>
    </w:p>
    <w:p w14:paraId="2BD814EF" w14:textId="77777777" w:rsidR="00EF544B" w:rsidRDefault="00951809">
      <w:pPr>
        <w:spacing w:after="176"/>
        <w:ind w:left="-15" w:right="0"/>
      </w:pPr>
      <w:r>
        <w:t xml:space="preserve"> L’insertion de ces remarques empruntées </w:t>
      </w:r>
      <w:proofErr w:type="gramStart"/>
      <w:r>
        <w:t>à  d’Alembert</w:t>
      </w:r>
      <w:proofErr w:type="gramEnd"/>
      <w:r>
        <w:t xml:space="preserve"> porte la subversion à son  comble, p </w:t>
      </w:r>
      <w:proofErr w:type="spellStart"/>
      <w:r>
        <w:t>uisqu’elle</w:t>
      </w:r>
      <w:proofErr w:type="spellEnd"/>
      <w:r>
        <w:t xml:space="preserve"> fournit  l’occasion de c </w:t>
      </w:r>
      <w:proofErr w:type="spellStart"/>
      <w:r>
        <w:t>ontester</w:t>
      </w:r>
      <w:proofErr w:type="spellEnd"/>
      <w:r>
        <w:t xml:space="preserve"> la légitimité d ’une distinction très </w:t>
      </w:r>
      <w:r>
        <w:t>délicate, et qui fait entrer en scène, sans encore la nommer, la matière de la certitude morale. Il faut voir, encore une fois, l ’effet de progression entre les trois articles :</w:t>
      </w:r>
    </w:p>
    <w:p w14:paraId="1BA7CDB3" w14:textId="77777777" w:rsidR="00EF544B" w:rsidRDefault="00951809">
      <w:pPr>
        <w:spacing w:after="147" w:line="235" w:lineRule="auto"/>
        <w:ind w:left="562" w:right="-13" w:hanging="10"/>
      </w:pPr>
      <w:r>
        <w:rPr>
          <w:sz w:val="20"/>
        </w:rPr>
        <w:t>Les scolastiques distinguent deux sortes de certitude :  l’une de spéculation</w:t>
      </w:r>
      <w:r>
        <w:rPr>
          <w:sz w:val="20"/>
        </w:rPr>
        <w:t xml:space="preserve">, laquelle naît </w:t>
      </w:r>
      <w:proofErr w:type="gramStart"/>
      <w:r>
        <w:rPr>
          <w:sz w:val="20"/>
        </w:rPr>
        <w:t>de  l’évidence</w:t>
      </w:r>
      <w:proofErr w:type="gramEnd"/>
      <w:r>
        <w:rPr>
          <w:sz w:val="20"/>
        </w:rPr>
        <w:t xml:space="preserve"> de la chose ; &amp;  l’autre  d’adhésion, qui naît de  l’importance de la chose qui  n’exclue point la certitude de spéculation, qui même la suppose toujours. Ils appliquent aux choses de la foi la </w:t>
      </w:r>
      <w:proofErr w:type="gramStart"/>
      <w:r>
        <w:rPr>
          <w:sz w:val="20"/>
        </w:rPr>
        <w:t>certitude  d’adhésion</w:t>
      </w:r>
      <w:proofErr w:type="gramEnd"/>
      <w:r>
        <w:rPr>
          <w:sz w:val="20"/>
        </w:rPr>
        <w:t>, qui  n’e</w:t>
      </w:r>
      <w:r>
        <w:rPr>
          <w:sz w:val="20"/>
        </w:rPr>
        <w:t xml:space="preserve">st point purement arbitraire, mais très-raisonnable, </w:t>
      </w:r>
      <w:proofErr w:type="spellStart"/>
      <w:r>
        <w:rPr>
          <w:i/>
          <w:sz w:val="20"/>
        </w:rPr>
        <w:t>rationabile</w:t>
      </w:r>
      <w:proofErr w:type="spellEnd"/>
      <w:r>
        <w:rPr>
          <w:i/>
          <w:sz w:val="20"/>
        </w:rPr>
        <w:t xml:space="preserve"> </w:t>
      </w:r>
      <w:proofErr w:type="spellStart"/>
      <w:r>
        <w:rPr>
          <w:i/>
          <w:sz w:val="20"/>
        </w:rPr>
        <w:t>obsequium</w:t>
      </w:r>
      <w:proofErr w:type="spellEnd"/>
      <w:r>
        <w:rPr>
          <w:sz w:val="20"/>
        </w:rPr>
        <w:t xml:space="preserve"> ; car la raison démontre que nous devons croire avec certitude les choses de la foi, &amp; que pour quoi que ce soit nous ne devons jamais quitter cette adhésion. Ceci est incontestable</w:t>
      </w:r>
      <w:r>
        <w:rPr>
          <w:sz w:val="20"/>
        </w:rPr>
        <w:t xml:space="preserve"> dans les principes de toutes les sectes qui partagent la Religion chrétienne. Il est vrai que les choses de la foi n ’ont pas toujours une évidence intrinsèque, qui produise nécessairement une certitude de même espèce que celle avec laquelle on adhère aux</w:t>
      </w:r>
      <w:r>
        <w:rPr>
          <w:sz w:val="20"/>
        </w:rPr>
        <w:t xml:space="preserve"> propositions de Géométrie : elles en ont toujours une qui lui est équivalente</w:t>
      </w:r>
      <w:r>
        <w:rPr>
          <w:sz w:val="20"/>
          <w:vertAlign w:val="superscript"/>
        </w:rPr>
        <w:footnoteReference w:id="25"/>
      </w:r>
      <w:r>
        <w:rPr>
          <w:sz w:val="20"/>
        </w:rPr>
        <w:t>.</w:t>
      </w:r>
    </w:p>
    <w:p w14:paraId="0F8AFA56" w14:textId="77777777" w:rsidR="00EF544B" w:rsidRDefault="00951809">
      <w:pPr>
        <w:spacing w:after="150"/>
        <w:ind w:left="562" w:right="-13" w:hanging="10"/>
      </w:pPr>
      <w:r w:rsidRPr="00951809">
        <w:rPr>
          <w:i/>
          <w:sz w:val="20"/>
          <w:lang w:val="en-CA"/>
        </w:rPr>
        <w:t xml:space="preserve">The schoolmen distinguish two kinds of </w:t>
      </w:r>
      <w:proofErr w:type="gramStart"/>
      <w:r w:rsidRPr="00951809">
        <w:rPr>
          <w:i/>
          <w:sz w:val="20"/>
          <w:lang w:val="en-CA"/>
        </w:rPr>
        <w:t>Certitude :</w:t>
      </w:r>
      <w:proofErr w:type="gramEnd"/>
      <w:r w:rsidRPr="00951809">
        <w:rPr>
          <w:i/>
          <w:sz w:val="20"/>
          <w:lang w:val="en-CA"/>
        </w:rPr>
        <w:t xml:space="preserve"> the one of Speculation, arising from the evidence of the thing ; the other of Adhesion, which arises from the importance thereof : this last they apply to matters of faith. </w:t>
      </w:r>
      <w:proofErr w:type="spellStart"/>
      <w:r>
        <w:rPr>
          <w:i/>
          <w:sz w:val="20"/>
        </w:rPr>
        <w:t>See</w:t>
      </w:r>
      <w:proofErr w:type="spellEnd"/>
      <w:r>
        <w:rPr>
          <w:i/>
          <w:sz w:val="20"/>
        </w:rPr>
        <w:t xml:space="preserve"> </w:t>
      </w:r>
      <w:proofErr w:type="spellStart"/>
      <w:r>
        <w:rPr>
          <w:i/>
          <w:sz w:val="20"/>
        </w:rPr>
        <w:t>Adhesion</w:t>
      </w:r>
      <w:proofErr w:type="spellEnd"/>
      <w:r>
        <w:rPr>
          <w:sz w:val="20"/>
          <w:vertAlign w:val="superscript"/>
        </w:rPr>
        <w:footnoteReference w:id="26"/>
      </w:r>
      <w:r>
        <w:rPr>
          <w:sz w:val="20"/>
        </w:rPr>
        <w:t>.</w:t>
      </w:r>
    </w:p>
    <w:p w14:paraId="61B27275" w14:textId="77777777" w:rsidR="00EF544B" w:rsidRDefault="00951809">
      <w:pPr>
        <w:spacing w:after="287" w:line="235" w:lineRule="auto"/>
        <w:ind w:left="562" w:right="-13" w:hanging="10"/>
      </w:pPr>
      <w:r>
        <w:rPr>
          <w:sz w:val="20"/>
        </w:rPr>
        <w:t>On distingue dan</w:t>
      </w:r>
      <w:r>
        <w:rPr>
          <w:sz w:val="20"/>
        </w:rPr>
        <w:t xml:space="preserve">s l ’École deux sortes de certitude ; l ’une de spéculation, laquelle naît </w:t>
      </w:r>
      <w:proofErr w:type="gramStart"/>
      <w:r>
        <w:rPr>
          <w:sz w:val="20"/>
        </w:rPr>
        <w:t>de  l’évidence</w:t>
      </w:r>
      <w:proofErr w:type="gramEnd"/>
      <w:r>
        <w:rPr>
          <w:sz w:val="20"/>
        </w:rPr>
        <w:t xml:space="preserve"> de la chose ;  l’autre  d’adhésion, qui naît de  l’importance de la chose. Les Scolastiques appliquent cette dernière aux matières de foi. Cette distinction paraît as</w:t>
      </w:r>
      <w:r>
        <w:rPr>
          <w:sz w:val="20"/>
        </w:rPr>
        <w:t xml:space="preserve">sez frivole : </w:t>
      </w:r>
      <w:proofErr w:type="gramStart"/>
      <w:r>
        <w:rPr>
          <w:sz w:val="20"/>
        </w:rPr>
        <w:t>car  l’adhésion</w:t>
      </w:r>
      <w:proofErr w:type="gramEnd"/>
      <w:r>
        <w:rPr>
          <w:sz w:val="20"/>
        </w:rPr>
        <w:t xml:space="preserve"> ne naît point de  l’importance de la chose, mais de l ’évidence ; d ’ailleurs la </w:t>
      </w:r>
      <w:r>
        <w:rPr>
          <w:sz w:val="20"/>
        </w:rPr>
        <w:lastRenderedPageBreak/>
        <w:t>certitude de spéculation &amp;  l’adhésion sont proprement un seul &amp; même acte de l ’esprit</w:t>
      </w:r>
      <w:r>
        <w:rPr>
          <w:sz w:val="20"/>
          <w:vertAlign w:val="superscript"/>
        </w:rPr>
        <w:footnoteReference w:id="27"/>
      </w:r>
      <w:r>
        <w:rPr>
          <w:sz w:val="20"/>
        </w:rPr>
        <w:t>.</w:t>
      </w:r>
    </w:p>
    <w:p w14:paraId="15DDDBB5" w14:textId="77777777" w:rsidR="00EF544B" w:rsidRDefault="00951809">
      <w:pPr>
        <w:ind w:left="-15" w:right="0"/>
      </w:pPr>
      <w:r>
        <w:t>On passe donc d ’un texte qui cherche à justifier un t</w:t>
      </w:r>
      <w:r>
        <w:t xml:space="preserve">ype de certitude propre aux choses de la foi dont la </w:t>
      </w:r>
      <w:proofErr w:type="gramStart"/>
      <w:r>
        <w:t>force  d’adhésion</w:t>
      </w:r>
      <w:proofErr w:type="gramEnd"/>
      <w:r>
        <w:t xml:space="preserve"> ne découle que de  l’importance de son objet à un article éminemment laconique chez Chambers, puis à un article qui ne retient la classification que pour  l’invalider. Il apparaît, dans</w:t>
      </w:r>
      <w:r>
        <w:t xml:space="preserve"> ce c </w:t>
      </w:r>
      <w:proofErr w:type="spellStart"/>
      <w:r>
        <w:t>ontexte</w:t>
      </w:r>
      <w:proofErr w:type="spellEnd"/>
      <w:r>
        <w:t xml:space="preserve">, que Diderot écrit ces lignes expressément pour répondre à Trévoux, sans quoi il aurait tout aussi bien pu ne pas évoquer ces formes de certitude, ou encore demeurer </w:t>
      </w:r>
      <w:proofErr w:type="gramStart"/>
      <w:r>
        <w:t>laconique  comme</w:t>
      </w:r>
      <w:proofErr w:type="gramEnd"/>
      <w:r>
        <w:t xml:space="preserve"> Chambers. Mais le fait q </w:t>
      </w:r>
      <w:proofErr w:type="spellStart"/>
      <w:r>
        <w:t>u’il</w:t>
      </w:r>
      <w:proofErr w:type="spellEnd"/>
      <w:r>
        <w:t xml:space="preserve"> traite de « frivole » ce que </w:t>
      </w:r>
      <w:r>
        <w:t xml:space="preserve">le Trévoux disait « </w:t>
      </w:r>
      <w:proofErr w:type="spellStart"/>
      <w:r>
        <w:rPr>
          <w:i/>
        </w:rPr>
        <w:t>rationabile</w:t>
      </w:r>
      <w:proofErr w:type="spellEnd"/>
      <w:r>
        <w:rPr>
          <w:i/>
        </w:rPr>
        <w:t xml:space="preserve"> </w:t>
      </w:r>
      <w:proofErr w:type="spellStart"/>
      <w:r>
        <w:rPr>
          <w:i/>
        </w:rPr>
        <w:t>obsequium</w:t>
      </w:r>
      <w:proofErr w:type="spellEnd"/>
      <w:r>
        <w:t xml:space="preserve"> » donne à penser que </w:t>
      </w:r>
      <w:proofErr w:type="gramStart"/>
      <w:r>
        <w:t>Diderot  s’efforce</w:t>
      </w:r>
      <w:proofErr w:type="gramEnd"/>
      <w:r>
        <w:t xml:space="preserve"> de déclasser une certitude non fondée en raison, c ’est-à-dire de récuser l ’assimilation subreptice qu’on trouve chez Trévoux  d’une  soumission à l ’autorité et d’une adhés</w:t>
      </w:r>
      <w:r>
        <w:t xml:space="preserve">ion de l ’esprit. Pour le </w:t>
      </w:r>
      <w:proofErr w:type="gramStart"/>
      <w:r>
        <w:t xml:space="preserve">philosophe,   </w:t>
      </w:r>
      <w:proofErr w:type="gramEnd"/>
      <w:r>
        <w:t xml:space="preserve">l’autorité n ’entraîne aucune adhésion, celle-ci ne pouvant venir que de la certitude. Si l ’on se souvient que le jugement est conçu c </w:t>
      </w:r>
      <w:proofErr w:type="spellStart"/>
      <w:r>
        <w:t>omme</w:t>
      </w:r>
      <w:proofErr w:type="spellEnd"/>
      <w:r>
        <w:t xml:space="preserve"> </w:t>
      </w:r>
      <w:proofErr w:type="gramStart"/>
      <w:r>
        <w:t>quelque  chose</w:t>
      </w:r>
      <w:proofErr w:type="gramEnd"/>
      <w:r>
        <w:t xml:space="preserve"> qui  s’opère sans la volonté, on c </w:t>
      </w:r>
      <w:proofErr w:type="spellStart"/>
      <w:r>
        <w:t>omprendra</w:t>
      </w:r>
      <w:proofErr w:type="spellEnd"/>
      <w:r>
        <w:t xml:space="preserve"> qu’une adhésion</w:t>
      </w:r>
      <w:r>
        <w:t xml:space="preserve"> forcée  est impossible à établir :  l’esprit ne peut adhérer  qu’à ce  qu’il perçoit ou juge </w:t>
      </w:r>
      <w:r>
        <w:rPr>
          <w:i/>
        </w:rPr>
        <w:t>par lui-même</w:t>
      </w:r>
      <w:r>
        <w:t xml:space="preserve">  comme une liaison évidente ou certaine.</w:t>
      </w:r>
    </w:p>
    <w:p w14:paraId="7B426320" w14:textId="77777777" w:rsidR="00EF544B" w:rsidRDefault="00951809">
      <w:pPr>
        <w:ind w:left="-15" w:right="0"/>
      </w:pPr>
      <w:r>
        <w:t xml:space="preserve">Les trois articles Certitude poursuivent sur une ultime distinction entre certitudes métaphysique, physique </w:t>
      </w:r>
      <w:r>
        <w:t xml:space="preserve">et morale.  L’intérêt de la version </w:t>
      </w:r>
      <w:proofErr w:type="gramStart"/>
      <w:r>
        <w:t>de  l’</w:t>
      </w:r>
      <w:r>
        <w:rPr>
          <w:i/>
        </w:rPr>
        <w:t>Encyclopédie</w:t>
      </w:r>
      <w:proofErr w:type="gramEnd"/>
      <w:r>
        <w:t xml:space="preserve"> est  d’abord didactique : les trois degrés sont définis avec un petit c </w:t>
      </w:r>
      <w:proofErr w:type="spellStart"/>
      <w:r>
        <w:t>ommentaire</w:t>
      </w:r>
      <w:proofErr w:type="spellEnd"/>
      <w:r>
        <w:t xml:space="preserve"> de Diderot qui permet de comprendre les  implications de cette distinction. La certitude métaphysique est pour ce qui </w:t>
      </w:r>
      <w:r>
        <w:t>est « absolument impossible que cela ne soit pas</w:t>
      </w:r>
      <w:r>
        <w:rPr>
          <w:sz w:val="22"/>
          <w:vertAlign w:val="superscript"/>
        </w:rPr>
        <w:footnoteReference w:id="28"/>
      </w:r>
      <w:r>
        <w:t xml:space="preserve"> ». La physique pour ce qui est physiquement impossible de ne pas arriver, « </w:t>
      </w:r>
      <w:proofErr w:type="gramStart"/>
      <w:r>
        <w:t>bien  qu’absolument</w:t>
      </w:r>
      <w:proofErr w:type="gramEnd"/>
      <w:r>
        <w:t xml:space="preserve"> et rigoureusement parlant, cela pût ne pas être</w:t>
      </w:r>
      <w:r>
        <w:rPr>
          <w:sz w:val="22"/>
          <w:vertAlign w:val="superscript"/>
        </w:rPr>
        <w:t>36</w:t>
      </w:r>
      <w:r>
        <w:t xml:space="preserve"> ». La certitude morale relève de ce qui est admis par un gr</w:t>
      </w:r>
      <w:r>
        <w:t xml:space="preserve">and nombre de personnes dont on juge impossible q </w:t>
      </w:r>
      <w:proofErr w:type="spellStart"/>
      <w:r>
        <w:t>u’elles</w:t>
      </w:r>
      <w:proofErr w:type="spellEnd"/>
      <w:r>
        <w:t xml:space="preserve"> se réunissent pour en tromper une autre. Sur cette dernière, Diderot, cependant, retranche </w:t>
      </w:r>
      <w:proofErr w:type="gramStart"/>
      <w:r>
        <w:t>les  commentaires</w:t>
      </w:r>
      <w:proofErr w:type="gramEnd"/>
      <w:r>
        <w:t xml:space="preserve"> du </w:t>
      </w:r>
      <w:r>
        <w:rPr>
          <w:i/>
        </w:rPr>
        <w:t>Trévoux</w:t>
      </w:r>
      <w:r>
        <w:t xml:space="preserve"> et de Chambers </w:t>
      </w:r>
      <w:r>
        <w:lastRenderedPageBreak/>
        <w:t xml:space="preserve">qui spécifient que la certitude morale est souvent équivalente </w:t>
      </w:r>
      <w:r>
        <w:t>à la métaphysique, laissant donc planer  l’idée  qu’elle ne peut  l’être.</w:t>
      </w:r>
    </w:p>
    <w:p w14:paraId="3CE1C18E" w14:textId="77777777" w:rsidR="00EF544B" w:rsidRDefault="00951809">
      <w:pPr>
        <w:ind w:left="-15" w:right="0"/>
      </w:pPr>
      <w:r>
        <w:t xml:space="preserve">Alors que le </w:t>
      </w:r>
      <w:proofErr w:type="gramStart"/>
      <w:r>
        <w:rPr>
          <w:i/>
        </w:rPr>
        <w:t>Trévoux</w:t>
      </w:r>
      <w:r>
        <w:t xml:space="preserve">  s’achève</w:t>
      </w:r>
      <w:proofErr w:type="gramEnd"/>
      <w:r>
        <w:t xml:space="preserve"> ici, Chambers ajoute quelques paragraphes anecdotiques au sujet d ’une publication des </w:t>
      </w:r>
      <w:proofErr w:type="spellStart"/>
      <w:r>
        <w:rPr>
          <w:i/>
        </w:rPr>
        <w:t>Philosophical</w:t>
      </w:r>
      <w:proofErr w:type="spellEnd"/>
      <w:r>
        <w:rPr>
          <w:i/>
        </w:rPr>
        <w:t xml:space="preserve"> Transactions</w:t>
      </w:r>
      <w:r>
        <w:t xml:space="preserve"> </w:t>
      </w:r>
      <w:r>
        <w:t>( l’organe officiel de la Royal Society of London) qui propose un calcul permettant  d’établir le degré de certitude morale dont un témoignage est susceptible</w:t>
      </w:r>
      <w:r>
        <w:rPr>
          <w:sz w:val="22"/>
          <w:vertAlign w:val="superscript"/>
        </w:rPr>
        <w:footnoteReference w:id="29"/>
      </w:r>
      <w:r>
        <w:t>, et, surtout, la diminution de sa force en fonction du passage du temps et des intermédiaires p</w:t>
      </w:r>
      <w:r>
        <w:t xml:space="preserve">ar lesquels il passe. Diderot </w:t>
      </w:r>
      <w:r>
        <w:rPr>
          <w:vertAlign w:val="superscript"/>
        </w:rPr>
        <w:footnoteReference w:id="30"/>
      </w:r>
      <w:r>
        <w:t xml:space="preserve">reprendra le propos de Chambers, mais, c </w:t>
      </w:r>
      <w:proofErr w:type="spellStart"/>
      <w:r>
        <w:t>omme</w:t>
      </w:r>
      <w:proofErr w:type="spellEnd"/>
      <w:r>
        <w:t xml:space="preserve"> le remarquent les éditeurs </w:t>
      </w:r>
      <w:proofErr w:type="gramStart"/>
      <w:r>
        <w:t>de  l’article</w:t>
      </w:r>
      <w:proofErr w:type="gramEnd"/>
      <w:r>
        <w:t xml:space="preserve"> Certitude des </w:t>
      </w:r>
      <w:r>
        <w:rPr>
          <w:i/>
        </w:rPr>
        <w:t>Œuvres  complètes</w:t>
      </w:r>
      <w:r>
        <w:t xml:space="preserve"> de Diderot</w:t>
      </w:r>
      <w:r>
        <w:rPr>
          <w:sz w:val="22"/>
          <w:vertAlign w:val="superscript"/>
        </w:rPr>
        <w:footnoteReference w:id="31"/>
      </w:r>
      <w:r>
        <w:t xml:space="preserve">, il est évident q </w:t>
      </w:r>
      <w:proofErr w:type="spellStart"/>
      <w:r>
        <w:t>u’il</w:t>
      </w:r>
      <w:proofErr w:type="spellEnd"/>
      <w:r>
        <w:t xml:space="preserve"> a eu accès à  l’original, p </w:t>
      </w:r>
      <w:proofErr w:type="spellStart"/>
      <w:r>
        <w:t>uisqu’il</w:t>
      </w:r>
      <w:proofErr w:type="spellEnd"/>
      <w:r>
        <w:t xml:space="preserve"> extrait plus  d’éléments algébri</w:t>
      </w:r>
      <w:r>
        <w:t xml:space="preserve">ques que Chambers du mémoire en question, puis propose un renvoi aux articles Combinaison et Dés, deux articles écrits par  d’Alembert, qui traitent de manière assez technique de calcul des probabilités. Non seulement met-il </w:t>
      </w:r>
      <w:proofErr w:type="gramStart"/>
      <w:r>
        <w:t>plus  d’informations</w:t>
      </w:r>
      <w:proofErr w:type="gramEnd"/>
      <w:r>
        <w:t>, mais Dide</w:t>
      </w:r>
      <w:r>
        <w:t xml:space="preserve">rot est ici aussi plus didactique que son modèle, qui ne fait que relater, et, sur un point spécifique, il omet l ’une des probabilités présentée par Chambers, celle qui c </w:t>
      </w:r>
      <w:proofErr w:type="spellStart"/>
      <w:r>
        <w:t>omptabilise</w:t>
      </w:r>
      <w:proofErr w:type="spellEnd"/>
      <w:r>
        <w:t xml:space="preserve"> le degré de certitude distribué sur les événements remarquables (entendr</w:t>
      </w:r>
      <w:r>
        <w:t>e : les miracles) dans un récit. Et là, enfin, où Chambers enchaîne sur la valeur respective des traditions orales et écrites et suggère, par un renvoi, à son lecteur  d’aller à  l’article Tradition, Diderot préfère renvoyer son lecteur à  l’article Probab</w:t>
      </w:r>
      <w:r>
        <w:t>ilité, anonyme</w:t>
      </w:r>
      <w:r>
        <w:rPr>
          <w:sz w:val="22"/>
          <w:vertAlign w:val="superscript"/>
        </w:rPr>
        <w:footnoteReference w:id="32"/>
      </w:r>
      <w:r>
        <w:t xml:space="preserve">, « et surtout </w:t>
      </w:r>
      <w:r>
        <w:rPr>
          <w:rFonts w:ascii="Times New Roman" w:eastAsia="Times New Roman" w:hAnsi="Times New Roman" w:cs="Times New Roman"/>
          <w:sz w:val="21"/>
        </w:rPr>
        <w:t>[</w:t>
      </w:r>
      <w:r>
        <w:t>à</w:t>
      </w:r>
      <w:r>
        <w:rPr>
          <w:rFonts w:ascii="Times New Roman" w:eastAsia="Times New Roman" w:hAnsi="Times New Roman" w:cs="Times New Roman"/>
          <w:sz w:val="21"/>
        </w:rPr>
        <w:t>]</w:t>
      </w:r>
      <w:r>
        <w:t xml:space="preserve"> la suite de celui-ci, où </w:t>
      </w:r>
      <w:r>
        <w:lastRenderedPageBreak/>
        <w:t>la valeur de ces calculs &amp; des raisonnements absurdes sur lesquels ils sont fondés, est appréciée ce  qu’elle vaut</w:t>
      </w:r>
      <w:r>
        <w:rPr>
          <w:sz w:val="22"/>
          <w:vertAlign w:val="superscript"/>
        </w:rPr>
        <w:footnoteReference w:id="33"/>
      </w:r>
      <w:r>
        <w:t xml:space="preserve"> »,  c’est-à-dire à la fameuse dissertation de  l’abbé de Prades dont il a déjà </w:t>
      </w:r>
      <w:r>
        <w:t>été question, laquelle,  comme on le verra, sert surtout de prétexte à Diderot pour faire monter  d’un cran son traitement ironique de la question.</w:t>
      </w:r>
    </w:p>
    <w:p w14:paraId="3BCB3309" w14:textId="77777777" w:rsidR="00EF544B" w:rsidRDefault="00951809">
      <w:pPr>
        <w:spacing w:after="173"/>
        <w:ind w:left="-15" w:right="0"/>
      </w:pPr>
      <w:r>
        <w:t xml:space="preserve">Remarquons simplement, à ce stade, que le dispositif diderotien, très intriqué, permet, déjà, de rendre c </w:t>
      </w:r>
      <w:proofErr w:type="spellStart"/>
      <w:r>
        <w:t>om</w:t>
      </w:r>
      <w:r>
        <w:t>pte</w:t>
      </w:r>
      <w:proofErr w:type="spellEnd"/>
      <w:r>
        <w:t xml:space="preserve"> de la nature des problèmes épistémologiques que soulève la notion de certitude. Il apparaît clairement que Diderot récuse les manières q </w:t>
      </w:r>
      <w:proofErr w:type="spellStart"/>
      <w:r>
        <w:t>u’ont</w:t>
      </w:r>
      <w:proofErr w:type="spellEnd"/>
      <w:r>
        <w:t xml:space="preserve"> ses prédécesseurs </w:t>
      </w:r>
      <w:proofErr w:type="gramStart"/>
      <w:r>
        <w:t>d’introduire  différentes</w:t>
      </w:r>
      <w:proofErr w:type="gramEnd"/>
      <w:r>
        <w:t xml:space="preserve"> typologies de la certitude qui ne visent, en dernière analyse,  q</w:t>
      </w:r>
      <w:r>
        <w:t xml:space="preserve">u’à essayer de les rabattre les unes sur les autres au nom de ce que </w:t>
      </w:r>
      <w:proofErr w:type="spellStart"/>
      <w:r>
        <w:t>Perinetti</w:t>
      </w:r>
      <w:proofErr w:type="spellEnd"/>
      <w:r>
        <w:rPr>
          <w:sz w:val="22"/>
          <w:vertAlign w:val="superscript"/>
        </w:rPr>
        <w:footnoteReference w:id="34"/>
      </w:r>
      <w:r>
        <w:t xml:space="preserve"> nomme  l’« </w:t>
      </w:r>
      <w:proofErr w:type="spellStart"/>
      <w:r>
        <w:rPr>
          <w:i/>
        </w:rPr>
        <w:t>equal</w:t>
      </w:r>
      <w:proofErr w:type="spellEnd"/>
      <w:r>
        <w:rPr>
          <w:i/>
        </w:rPr>
        <w:t xml:space="preserve"> </w:t>
      </w:r>
      <w:proofErr w:type="spellStart"/>
      <w:r>
        <w:rPr>
          <w:i/>
        </w:rPr>
        <w:t>certainty</w:t>
      </w:r>
      <w:proofErr w:type="spellEnd"/>
      <w:r>
        <w:rPr>
          <w:i/>
        </w:rPr>
        <w:t xml:space="preserve"> </w:t>
      </w:r>
      <w:proofErr w:type="spellStart"/>
      <w:r>
        <w:rPr>
          <w:i/>
        </w:rPr>
        <w:t>thesis</w:t>
      </w:r>
      <w:proofErr w:type="spellEnd"/>
      <w:r>
        <w:t xml:space="preserve"> », qui soutient que la certitude morale est équivalente aux autres formes. Ces typologies sont le plus souvent l ’effet d’une volonté de rési</w:t>
      </w:r>
      <w:r>
        <w:t xml:space="preserve">stance c </w:t>
      </w:r>
      <w:proofErr w:type="spellStart"/>
      <w:r>
        <w:t>ontre</w:t>
      </w:r>
      <w:proofErr w:type="spellEnd"/>
      <w:r>
        <w:t xml:space="preserve"> ce qui est jugé être </w:t>
      </w:r>
      <w:proofErr w:type="gramStart"/>
      <w:r>
        <w:t>une  forme</w:t>
      </w:r>
      <w:proofErr w:type="gramEnd"/>
      <w:r>
        <w:t xml:space="preserve"> de scepticisme.  L’objectif de Diderot est, avant </w:t>
      </w:r>
      <w:proofErr w:type="gramStart"/>
      <w:r>
        <w:t>tout,  d’ébranler</w:t>
      </w:r>
      <w:proofErr w:type="gramEnd"/>
      <w:r>
        <w:t xml:space="preserve"> la certitude morale en tant  qu’elle est clairement le soutien du discours religieux. Ce qui est bien sûr défendu ici, au cœur de l ’</w:t>
      </w:r>
      <w:proofErr w:type="gramStart"/>
      <w:r>
        <w:rPr>
          <w:i/>
        </w:rPr>
        <w:t>Encyclop</w:t>
      </w:r>
      <w:r>
        <w:rPr>
          <w:i/>
        </w:rPr>
        <w:t>édie</w:t>
      </w:r>
      <w:r>
        <w:t>,  c’est</w:t>
      </w:r>
      <w:proofErr w:type="gramEnd"/>
      <w:r>
        <w:t xml:space="preserve"> la nécessité d ’un changement de cadre épistémique qui passe par  l’évacuation de formes de production du savoir jugées obsolètes, rejoignant ainsi, pour reprendre la thèse d ’un historien,</w:t>
      </w:r>
    </w:p>
    <w:p w14:paraId="7D71C0EC" w14:textId="77777777" w:rsidR="00EF544B" w:rsidRPr="00951809" w:rsidRDefault="00951809">
      <w:pPr>
        <w:spacing w:after="872"/>
        <w:ind w:left="562" w:right="-13" w:hanging="10"/>
        <w:rPr>
          <w:lang w:val="en-CA"/>
        </w:rPr>
      </w:pPr>
      <w:r w:rsidRPr="00951809">
        <w:rPr>
          <w:rFonts w:ascii="Times New Roman" w:eastAsia="Times New Roman" w:hAnsi="Times New Roman" w:cs="Times New Roman"/>
          <w:sz w:val="17"/>
          <w:lang w:val="en-CA"/>
        </w:rPr>
        <w:t>[</w:t>
      </w:r>
      <w:r w:rsidRPr="00951809">
        <w:rPr>
          <w:sz w:val="20"/>
          <w:lang w:val="en-CA"/>
        </w:rPr>
        <w:t>…</w:t>
      </w:r>
      <w:r w:rsidRPr="00951809">
        <w:rPr>
          <w:rFonts w:ascii="Times New Roman" w:eastAsia="Times New Roman" w:hAnsi="Times New Roman" w:cs="Times New Roman"/>
          <w:sz w:val="17"/>
          <w:lang w:val="en-CA"/>
        </w:rPr>
        <w:t>]</w:t>
      </w:r>
      <w:r w:rsidRPr="00951809">
        <w:rPr>
          <w:sz w:val="20"/>
          <w:lang w:val="en-CA"/>
        </w:rPr>
        <w:t xml:space="preserve"> </w:t>
      </w:r>
      <w:r w:rsidRPr="00951809">
        <w:rPr>
          <w:i/>
          <w:sz w:val="20"/>
          <w:lang w:val="en-CA"/>
        </w:rPr>
        <w:t>the emergence of scientific values,  considered b</w:t>
      </w:r>
      <w:r w:rsidRPr="00951809">
        <w:rPr>
          <w:i/>
          <w:sz w:val="20"/>
          <w:lang w:val="en-CA"/>
        </w:rPr>
        <w:t>oth as cognitive norm – a model for all cognitive claims – and as a development that explicitly goes beyond technical expertise and articulates a world-view that was designed to displace others, whether humanist or Christian</w:t>
      </w:r>
      <w:r>
        <w:rPr>
          <w:sz w:val="20"/>
          <w:vertAlign w:val="superscript"/>
        </w:rPr>
        <w:footnoteReference w:id="35"/>
      </w:r>
      <w:r w:rsidRPr="00951809">
        <w:rPr>
          <w:sz w:val="20"/>
          <w:lang w:val="en-CA"/>
        </w:rPr>
        <w:t>.</w:t>
      </w:r>
    </w:p>
    <w:p w14:paraId="10032A14" w14:textId="77777777" w:rsidR="00EF544B" w:rsidRDefault="00951809">
      <w:pPr>
        <w:pStyle w:val="Titre2"/>
        <w:ind w:right="2"/>
      </w:pPr>
      <w:r>
        <w:lastRenderedPageBreak/>
        <w:t>LA SUBVERSION DES CERTITUDES</w:t>
      </w:r>
    </w:p>
    <w:p w14:paraId="6471FCFB" w14:textId="77777777" w:rsidR="00EF544B" w:rsidRDefault="00951809">
      <w:pPr>
        <w:ind w:left="-15" w:right="0"/>
      </w:pPr>
      <w:r>
        <w:t xml:space="preserve"> L’un des aspects centraux de la crise des savoirs qui sévit au cœur du Siècle des lumières tient évidemment à la question du témoignage – et,  quoiqu’on pense, cela ne vaut pas que pour la tradition et  l’histoire sacrée : histoire naturelle, histoire pr</w:t>
      </w:r>
      <w:r>
        <w:t>ofane, ethnographie, médecine… sont aussi entraînées dans le mouvement général de la critique du témoignage qui repose sur la  confiance,  confiance que les théories libertines de l ’imposture religieuse, la critique historique, les narrations fantasques d</w:t>
      </w:r>
      <w:r>
        <w:t xml:space="preserve">es naturalistes revenant  d’expéditions ou de leurs laboratoires – parmi  d’autres facteurs – ont fortement érodée. La subversion de la certitude </w:t>
      </w:r>
      <w:proofErr w:type="gramStart"/>
      <w:r>
        <w:t>morale,  commencée</w:t>
      </w:r>
      <w:proofErr w:type="gramEnd"/>
      <w:r>
        <w:t xml:space="preserve"> dans les lignes qui ouvraient  l’article, tourne en quelque sorte à la farce dans la disser</w:t>
      </w:r>
      <w:r>
        <w:t xml:space="preserve">tation de l ’abbé de Prades. Dans sa tirade longue et touffue, de </w:t>
      </w:r>
      <w:proofErr w:type="gramStart"/>
      <w:r>
        <w:t>Prades  s’en</w:t>
      </w:r>
      <w:proofErr w:type="gramEnd"/>
      <w:r>
        <w:t xml:space="preserve"> prend directement à « la vanité des calculs » de John Craig,  l’auteur du mémoire des </w:t>
      </w:r>
      <w:proofErr w:type="spellStart"/>
      <w:r>
        <w:rPr>
          <w:i/>
        </w:rPr>
        <w:t>Philosophical</w:t>
      </w:r>
      <w:proofErr w:type="spellEnd"/>
      <w:r>
        <w:rPr>
          <w:i/>
        </w:rPr>
        <w:t xml:space="preserve"> Transactions</w:t>
      </w:r>
      <w:r>
        <w:rPr>
          <w:sz w:val="22"/>
          <w:vertAlign w:val="superscript"/>
        </w:rPr>
        <w:footnoteReference w:id="36"/>
      </w:r>
      <w:r>
        <w:t>, qui aurait dégradé la certitude morale, indivisible</w:t>
      </w:r>
      <w:r>
        <w:rPr>
          <w:sz w:val="22"/>
          <w:vertAlign w:val="superscript"/>
        </w:rPr>
        <w:footnoteReference w:id="37"/>
      </w:r>
      <w:r>
        <w:t xml:space="preserve">, en la réduisant à une probabilité. Surtout, la dissertation s ’attaque au « pyrrhonisme », qui, dit-elle, avait pour vis-à-vis </w:t>
      </w:r>
      <w:proofErr w:type="gramStart"/>
      <w:r>
        <w:t>dans  l’Antiquité</w:t>
      </w:r>
      <w:proofErr w:type="gramEnd"/>
      <w:r>
        <w:t xml:space="preserve"> une religion trop peu fondée pour que les philosophes en fassent un examen sérieux. C ’est l’apparition de ch</w:t>
      </w:r>
      <w:r>
        <w:t xml:space="preserve">ristianisme qui les aurait forcé d ’y </w:t>
      </w:r>
      <w:proofErr w:type="gramStart"/>
      <w:r>
        <w:t>prêter  attention</w:t>
      </w:r>
      <w:proofErr w:type="gramEnd"/>
      <w:r>
        <w:t>. Or, étonnamment, de Prades écrit que les sceptiques ont toujours reconnu la légitimité des vérités métaphysiques et géométriques, et que leurs armes se sont principalement tournées vers la question d</w:t>
      </w:r>
      <w:r>
        <w:t xml:space="preserve">es faits, non des faits que </w:t>
      </w:r>
      <w:proofErr w:type="gramStart"/>
      <w:r>
        <w:t>nous  constatons</w:t>
      </w:r>
      <w:proofErr w:type="gramEnd"/>
      <w:r>
        <w:t xml:space="preserve"> nous-mêmes – qui ressortent plutôt de la certitude physique – mais de ceux qui nous sont transmis par des témoins. Le texte procède alors à une quadripartition des enjeux relatifs à la certitude morale affectée </w:t>
      </w:r>
      <w:r>
        <w:t>au témoignage : la fiabilité des témoins oculaires, la tradition orale, l ’histoire écrite et les monuments qui cristallisent certains événements</w:t>
      </w:r>
      <w:r>
        <w:rPr>
          <w:sz w:val="22"/>
          <w:vertAlign w:val="superscript"/>
        </w:rPr>
        <w:t>45</w:t>
      </w:r>
      <w:r>
        <w:t xml:space="preserve">. L ’idée est, chaque fois, de </w:t>
      </w:r>
      <w:proofErr w:type="gramStart"/>
      <w:r>
        <w:t>montrer  qu’un</w:t>
      </w:r>
      <w:proofErr w:type="gramEnd"/>
      <w:r>
        <w:t xml:space="preserve"> témoignage fiable, peu importe que son c </w:t>
      </w:r>
      <w:proofErr w:type="spellStart"/>
      <w:r>
        <w:t>ontenu</w:t>
      </w:r>
      <w:proofErr w:type="spellEnd"/>
      <w:r>
        <w:t xml:space="preserve"> soit plus ou mo</w:t>
      </w:r>
      <w:r>
        <w:t>ins miraculeux, fournit toujours les  conditions de certitude recherchées.</w:t>
      </w:r>
    </w:p>
    <w:p w14:paraId="04032079" w14:textId="77777777" w:rsidR="00EF544B" w:rsidRDefault="00951809">
      <w:pPr>
        <w:spacing w:after="178"/>
        <w:ind w:left="-15" w:right="0"/>
      </w:pPr>
      <w:r>
        <w:lastRenderedPageBreak/>
        <w:t xml:space="preserve">Le </w:t>
      </w:r>
      <w:proofErr w:type="gramStart"/>
      <w:r>
        <w:t>programme  consiste</w:t>
      </w:r>
      <w:proofErr w:type="gramEnd"/>
      <w:r>
        <w:t xml:space="preserve"> par-dessus tout dans le fait de battre en brèche le soi-disant scepticisme des modernes, et de Prades prétend en voir une incarnation particulièrement saillan</w:t>
      </w:r>
      <w:r>
        <w:t xml:space="preserve">te dans les </w:t>
      </w:r>
      <w:r>
        <w:rPr>
          <w:i/>
        </w:rPr>
        <w:t>Pensées philosophiques</w:t>
      </w:r>
      <w:r>
        <w:t xml:space="preserve">, si bien  qu’il prendra son auteur  comme cible de choix. De sorte que l ’article, sans être de Diderot, fait entrer dans son réseau textuel même </w:t>
      </w:r>
      <w:proofErr w:type="gramStart"/>
      <w:r>
        <w:t>des  considérations</w:t>
      </w:r>
      <w:proofErr w:type="gramEnd"/>
      <w:r>
        <w:t xml:space="preserve"> qui lui reviennent, sous  l’angle d ’une apparente réfu</w:t>
      </w:r>
      <w:r>
        <w:t xml:space="preserve">tation. Ce </w:t>
      </w:r>
      <w:proofErr w:type="gramStart"/>
      <w:r>
        <w:t>qui  confère</w:t>
      </w:r>
      <w:proofErr w:type="gramEnd"/>
      <w:r>
        <w:t xml:space="preserve"> un caractère primordial aux paragraphes  consacrés à Diderot,  c’est que ce dernier reprend la parole à la toute fin de l’article </w:t>
      </w:r>
      <w:r>
        <w:rPr>
          <w:sz w:val="22"/>
          <w:vertAlign w:val="superscript"/>
        </w:rPr>
        <w:footnoteReference w:id="38"/>
      </w:r>
      <w:r>
        <w:t xml:space="preserve"> pour ajouter un ultime paragraphe clamant q </w:t>
      </w:r>
      <w:proofErr w:type="spellStart"/>
      <w:r>
        <w:t>u’on</w:t>
      </w:r>
      <w:proofErr w:type="spellEnd"/>
      <w:r>
        <w:t xml:space="preserve"> vient de lire  l’une des meilleures défenses de la</w:t>
      </w:r>
      <w:r>
        <w:t xml:space="preserve"> religion  qu’on puisse espérer, terminant sur ces expressions pleines de double sens :</w:t>
      </w:r>
    </w:p>
    <w:p w14:paraId="07017C08" w14:textId="77777777" w:rsidR="00EF544B" w:rsidRDefault="00951809">
      <w:pPr>
        <w:spacing w:after="287" w:line="235" w:lineRule="auto"/>
        <w:ind w:left="562" w:right="-13" w:hanging="10"/>
      </w:pPr>
      <w:proofErr w:type="gramStart"/>
      <w:r>
        <w:rPr>
          <w:sz w:val="20"/>
        </w:rPr>
        <w:t>Si  l’auteur</w:t>
      </w:r>
      <w:proofErr w:type="gramEnd"/>
      <w:r>
        <w:rPr>
          <w:sz w:val="20"/>
        </w:rPr>
        <w:t xml:space="preserve"> des </w:t>
      </w:r>
      <w:r>
        <w:rPr>
          <w:i/>
          <w:sz w:val="20"/>
        </w:rPr>
        <w:t>Pensées philosophiques</w:t>
      </w:r>
      <w:r>
        <w:rPr>
          <w:sz w:val="20"/>
        </w:rPr>
        <w:t xml:space="preserve"> aimait un peu son ouvrage, il serait bien  content de trois ou quatre auteurs que nous ne nommerons point ici par égard pour leu</w:t>
      </w:r>
      <w:r>
        <w:rPr>
          <w:sz w:val="20"/>
        </w:rPr>
        <w:t xml:space="preserve">r zèle &amp; par respect pour leur cause : mais en revanche, q </w:t>
      </w:r>
      <w:proofErr w:type="spellStart"/>
      <w:r>
        <w:rPr>
          <w:sz w:val="20"/>
        </w:rPr>
        <w:t>u’il</w:t>
      </w:r>
      <w:proofErr w:type="spellEnd"/>
      <w:r>
        <w:rPr>
          <w:sz w:val="20"/>
        </w:rPr>
        <w:t xml:space="preserve"> serait mécontent de M. l ’Abbé de Prades, s’il n ’aimait infiniment la vérité  ! Nous invitons ce dernier à suivre sa carrière avec courage, &amp; à employer ses grands talents à la défense du </w:t>
      </w:r>
      <w:proofErr w:type="gramStart"/>
      <w:r>
        <w:rPr>
          <w:sz w:val="20"/>
        </w:rPr>
        <w:t>seu</w:t>
      </w:r>
      <w:r>
        <w:rPr>
          <w:sz w:val="20"/>
        </w:rPr>
        <w:t>l  culte</w:t>
      </w:r>
      <w:proofErr w:type="gramEnd"/>
      <w:r>
        <w:rPr>
          <w:sz w:val="20"/>
        </w:rPr>
        <w:t xml:space="preserve"> sur la terre qui mérite un défenseur tel que lui. Nous disons aux autres &amp; à ceux qui seraient tentés de les imiter : </w:t>
      </w:r>
      <w:proofErr w:type="gramStart"/>
      <w:r>
        <w:rPr>
          <w:i/>
          <w:sz w:val="20"/>
        </w:rPr>
        <w:t>sachez  qu’il</w:t>
      </w:r>
      <w:proofErr w:type="gramEnd"/>
      <w:r>
        <w:rPr>
          <w:i/>
          <w:sz w:val="20"/>
        </w:rPr>
        <w:t xml:space="preserve"> n ’y a point d’objections qui puissent faire à la religion autant de mal que les  mauvaises réponses</w:t>
      </w:r>
      <w:r>
        <w:rPr>
          <w:sz w:val="20"/>
          <w:vertAlign w:val="superscript"/>
        </w:rPr>
        <w:footnoteReference w:id="39"/>
      </w:r>
      <w:r>
        <w:rPr>
          <w:sz w:val="20"/>
        </w:rPr>
        <w:t>.</w:t>
      </w:r>
    </w:p>
    <w:p w14:paraId="5EFFE99D" w14:textId="77777777" w:rsidR="00EF544B" w:rsidRDefault="00951809">
      <w:pPr>
        <w:ind w:left="-15" w:right="0"/>
      </w:pPr>
      <w:r>
        <w:t>Au vu de la</w:t>
      </w:r>
      <w:r>
        <w:t xml:space="preserve"> faiblesse des réponses de Prades, la dernière phrase apparaît </w:t>
      </w:r>
      <w:proofErr w:type="gramStart"/>
      <w:r>
        <w:t>presque  comme</w:t>
      </w:r>
      <w:proofErr w:type="gramEnd"/>
      <w:r>
        <w:t xml:space="preserve"> une manière de glorification du tort que  l’article est en train de faire à la religion… Le paragraphe entier une antiphrase effrontée lancée à la face des théologiens.</w:t>
      </w:r>
    </w:p>
    <w:p w14:paraId="1AB21A68" w14:textId="77777777" w:rsidR="00EF544B" w:rsidRDefault="00951809">
      <w:pPr>
        <w:ind w:left="-15" w:right="0"/>
      </w:pPr>
      <w:r>
        <w:t>Le réseau</w:t>
      </w:r>
      <w:r>
        <w:t xml:space="preserve"> textuel à reconstituer</w:t>
      </w:r>
      <w:r>
        <w:rPr>
          <w:sz w:val="22"/>
          <w:vertAlign w:val="superscript"/>
        </w:rPr>
        <w:footnoteReference w:id="40"/>
      </w:r>
      <w:r>
        <w:t xml:space="preserve"> est celui des textes de Diderot </w:t>
      </w:r>
      <w:proofErr w:type="gramStart"/>
      <w:r>
        <w:t>que  l’article</w:t>
      </w:r>
      <w:proofErr w:type="gramEnd"/>
      <w:r>
        <w:t xml:space="preserve"> « Certitude » c </w:t>
      </w:r>
      <w:proofErr w:type="spellStart"/>
      <w:r>
        <w:t>onvoque</w:t>
      </w:r>
      <w:proofErr w:type="spellEnd"/>
      <w:r>
        <w:t xml:space="preserve">, si  l’on veut, par son système  </w:t>
      </w:r>
      <w:r>
        <w:lastRenderedPageBreak/>
        <w:t xml:space="preserve">d’allusions, et qui nous fait remonter le cours des sept années qui vont de la publication des </w:t>
      </w:r>
      <w:r>
        <w:rPr>
          <w:i/>
        </w:rPr>
        <w:t>Pensées philosophiques</w:t>
      </w:r>
      <w:r>
        <w:t xml:space="preserve"> (1745) à</w:t>
      </w:r>
      <w:r>
        <w:t xml:space="preserve">  l’interdiction de  l’</w:t>
      </w:r>
      <w:r>
        <w:rPr>
          <w:i/>
        </w:rPr>
        <w:t>Encyclopédie</w:t>
      </w:r>
      <w:r>
        <w:t xml:space="preserve"> en 1752 dans  l’histoire de laquelle, on  l’a vu, cet article a joué un rôle. On peut les regrouper en deux ensembles.</w:t>
      </w:r>
    </w:p>
    <w:p w14:paraId="3DABD09D" w14:textId="77777777" w:rsidR="00EF544B" w:rsidRDefault="00951809">
      <w:pPr>
        <w:spacing w:after="38"/>
        <w:ind w:left="-15" w:right="0"/>
      </w:pPr>
      <w:r>
        <w:t xml:space="preserve">Il y a, d ’abord, les textes de Diderot auxquels il est fait référence dans l ’article lui-même. De Prades cite directement la pensée XLVI, où Diderot subordonnait la certitude morale à la vraisemblance fondée </w:t>
      </w:r>
      <w:proofErr w:type="gramStart"/>
      <w:r>
        <w:t>sur  l’expérience</w:t>
      </w:r>
      <w:proofErr w:type="gramEnd"/>
      <w:r>
        <w:t xml:space="preserve"> : « Moins un fait a de vrais</w:t>
      </w:r>
      <w:r>
        <w:t>emblance, plus le témoignage de  l’histoire perd de son poids</w:t>
      </w:r>
      <w:r>
        <w:rPr>
          <w:sz w:val="22"/>
          <w:vertAlign w:val="superscript"/>
        </w:rPr>
        <w:footnoteReference w:id="41"/>
      </w:r>
      <w:r>
        <w:t xml:space="preserve"> ». Pour Diderot, cela impliquait </w:t>
      </w:r>
      <w:proofErr w:type="gramStart"/>
      <w:r>
        <w:t>de  considérer</w:t>
      </w:r>
      <w:proofErr w:type="gramEnd"/>
      <w:r>
        <w:t xml:space="preserve"> que si tout Paris l ’assurait d’une victoire militaire du roi, il n ’aurait pas  de difficulté à le croire, mais q </w:t>
      </w:r>
      <w:proofErr w:type="spellStart"/>
      <w:r>
        <w:t>u’il</w:t>
      </w:r>
      <w:proofErr w:type="spellEnd"/>
      <w:r>
        <w:t xml:space="preserve"> douterait si le même tou</w:t>
      </w:r>
      <w:r>
        <w:t xml:space="preserve">t Paris lui parlait  d’une résurrection. De Prades rétorque </w:t>
      </w:r>
      <w:proofErr w:type="gramStart"/>
      <w:r>
        <w:t>que  l’invraisemblance</w:t>
      </w:r>
      <w:proofErr w:type="gramEnd"/>
      <w:r>
        <w:t xml:space="preserve"> de la résurrection est la même que celle  d’envisager que toute une ville ait pu être sous le coup de la même hallucination, ou  qu’elle ait pu  comploter à vouloir le tromp</w:t>
      </w:r>
      <w:r>
        <w:t>er</w:t>
      </w:r>
      <w:r>
        <w:rPr>
          <w:sz w:val="22"/>
          <w:vertAlign w:val="superscript"/>
        </w:rPr>
        <w:footnoteReference w:id="42"/>
      </w:r>
      <w:r>
        <w:t xml:space="preserve">. Il prétend par-là c </w:t>
      </w:r>
      <w:proofErr w:type="spellStart"/>
      <w:r>
        <w:t>onvaincre</w:t>
      </w:r>
      <w:proofErr w:type="spellEnd"/>
      <w:r>
        <w:t xml:space="preserve"> les </w:t>
      </w:r>
      <w:proofErr w:type="gramStart"/>
      <w:r>
        <w:t>déistes,  qu’il</w:t>
      </w:r>
      <w:proofErr w:type="gramEnd"/>
      <w:r>
        <w:t xml:space="preserve"> assimile à des « sceptiques », de revenir à la religion chrétienne. De manière intéressante, donc, l ’article de </w:t>
      </w:r>
      <w:proofErr w:type="gramStart"/>
      <w:r>
        <w:t xml:space="preserve">l’ </w:t>
      </w:r>
      <w:r>
        <w:rPr>
          <w:i/>
        </w:rPr>
        <w:t>Encyclopédie</w:t>
      </w:r>
      <w:proofErr w:type="gramEnd"/>
      <w:r>
        <w:t xml:space="preserve"> propose une interprétation des </w:t>
      </w:r>
      <w:r>
        <w:rPr>
          <w:i/>
        </w:rPr>
        <w:t>Pensées</w:t>
      </w:r>
      <w:r>
        <w:t xml:space="preserve"> qui ne correspond pas à ce q </w:t>
      </w:r>
      <w:proofErr w:type="spellStart"/>
      <w:r>
        <w:t>u’o</w:t>
      </w:r>
      <w:r>
        <w:t>n</w:t>
      </w:r>
      <w:proofErr w:type="spellEnd"/>
      <w:r>
        <w:t xml:space="preserve"> y trouve, puisque Diderot lui-même feignait  d’y pourfendre les sceptiques au nom du déisme. Ainsi, de Prades présente la critique de la certitude morale des </w:t>
      </w:r>
      <w:r>
        <w:rPr>
          <w:i/>
        </w:rPr>
        <w:t xml:space="preserve">Pensées </w:t>
      </w:r>
      <w:r>
        <w:t xml:space="preserve">non </w:t>
      </w:r>
      <w:proofErr w:type="gramStart"/>
      <w:r>
        <w:t>pas  comme</w:t>
      </w:r>
      <w:proofErr w:type="gramEnd"/>
      <w:r>
        <w:t xml:space="preserve"> un argument en faveur de quelque rationalisme exigeant, mais bien c </w:t>
      </w:r>
      <w:proofErr w:type="spellStart"/>
      <w:r>
        <w:t>omme</w:t>
      </w:r>
      <w:proofErr w:type="spellEnd"/>
      <w:r>
        <w:t xml:space="preserve"> </w:t>
      </w:r>
      <w:r>
        <w:t>un instrument sceptique</w:t>
      </w:r>
      <w:r>
        <w:rPr>
          <w:sz w:val="22"/>
          <w:vertAlign w:val="superscript"/>
        </w:rPr>
        <w:footnoteReference w:id="43"/>
      </w:r>
      <w:r>
        <w:t>.</w:t>
      </w:r>
    </w:p>
    <w:p w14:paraId="036EDFCB" w14:textId="77777777" w:rsidR="00EF544B" w:rsidRDefault="00951809">
      <w:pPr>
        <w:spacing w:after="176"/>
        <w:ind w:left="-15" w:right="0"/>
      </w:pPr>
      <w:r>
        <w:t xml:space="preserve">Mais ce n ’est pas tout : au fil de son attaque contre l ’auteur </w:t>
      </w:r>
      <w:proofErr w:type="gramStart"/>
      <w:r>
        <w:t xml:space="preserve">des  </w:t>
      </w:r>
      <w:r>
        <w:rPr>
          <w:i/>
        </w:rPr>
        <w:t>Pensées</w:t>
      </w:r>
      <w:proofErr w:type="gramEnd"/>
      <w:r>
        <w:t xml:space="preserve">, de Prades montre  qu’il sait que l ’auteur des </w:t>
      </w:r>
      <w:r>
        <w:rPr>
          <w:i/>
        </w:rPr>
        <w:t xml:space="preserve">Pensées </w:t>
      </w:r>
      <w:r>
        <w:t xml:space="preserve">est le même que celui de la </w:t>
      </w:r>
      <w:r>
        <w:rPr>
          <w:i/>
        </w:rPr>
        <w:t xml:space="preserve">Lettre sur les aveugles </w:t>
      </w:r>
      <w:r>
        <w:t xml:space="preserve">(1749) et de la </w:t>
      </w:r>
      <w:r>
        <w:rPr>
          <w:i/>
        </w:rPr>
        <w:t>Lettre sur les sourds et mu</w:t>
      </w:r>
      <w:r>
        <w:rPr>
          <w:i/>
        </w:rPr>
        <w:t>ets</w:t>
      </w:r>
      <w:r>
        <w:t xml:space="preserve"> (1751), affirmant en effet, c </w:t>
      </w:r>
      <w:proofErr w:type="spellStart"/>
      <w:r>
        <w:t>ontre</w:t>
      </w:r>
      <w:proofErr w:type="spellEnd"/>
      <w:r>
        <w:t xml:space="preserve"> la possibilité que tout Paris se trompe sur un fait :</w:t>
      </w:r>
    </w:p>
    <w:p w14:paraId="4F8C3088" w14:textId="77777777" w:rsidR="00EF544B" w:rsidRDefault="00951809">
      <w:pPr>
        <w:spacing w:after="287" w:line="235" w:lineRule="auto"/>
        <w:ind w:left="562" w:right="-13" w:hanging="10"/>
      </w:pPr>
      <w:r>
        <w:rPr>
          <w:sz w:val="20"/>
        </w:rPr>
        <w:t xml:space="preserve">Je sais que la vue, c </w:t>
      </w:r>
      <w:proofErr w:type="spellStart"/>
      <w:r>
        <w:rPr>
          <w:sz w:val="20"/>
        </w:rPr>
        <w:t>omme</w:t>
      </w:r>
      <w:proofErr w:type="spellEnd"/>
      <w:r>
        <w:rPr>
          <w:sz w:val="20"/>
        </w:rPr>
        <w:t xml:space="preserve"> le remarque très-bien l’auteur que nous c </w:t>
      </w:r>
      <w:proofErr w:type="spellStart"/>
      <w:proofErr w:type="gramStart"/>
      <w:r>
        <w:rPr>
          <w:sz w:val="20"/>
        </w:rPr>
        <w:t>ombattons</w:t>
      </w:r>
      <w:proofErr w:type="spellEnd"/>
      <w:r>
        <w:rPr>
          <w:sz w:val="20"/>
        </w:rPr>
        <w:t>,  est</w:t>
      </w:r>
      <w:proofErr w:type="gramEnd"/>
      <w:r>
        <w:rPr>
          <w:sz w:val="20"/>
        </w:rPr>
        <w:t xml:space="preserve"> un sens superficiel ; aussi ne l ’employons-nous que pour </w:t>
      </w:r>
      <w:r>
        <w:rPr>
          <w:sz w:val="20"/>
        </w:rPr>
        <w:lastRenderedPageBreak/>
        <w:t>la superficie des c</w:t>
      </w:r>
      <w:r>
        <w:rPr>
          <w:sz w:val="20"/>
        </w:rPr>
        <w:t xml:space="preserve">orps, qui seule suffit pour les faire distinguer. Mais si à la vue &amp; à l ’ouïe nous joignons le toucher, ce sens philosophe &amp; </w:t>
      </w:r>
      <w:proofErr w:type="gramStart"/>
      <w:r>
        <w:rPr>
          <w:sz w:val="20"/>
        </w:rPr>
        <w:t>profond,  comme</w:t>
      </w:r>
      <w:proofErr w:type="gramEnd"/>
      <w:r>
        <w:rPr>
          <w:sz w:val="20"/>
        </w:rPr>
        <w:t xml:space="preserve"> le remarque encore le même auteur, pouvons-nous craindre de nous tromper</w:t>
      </w:r>
      <w:r>
        <w:rPr>
          <w:sz w:val="20"/>
          <w:vertAlign w:val="superscript"/>
        </w:rPr>
        <w:footnoteReference w:id="44"/>
      </w:r>
      <w:r>
        <w:rPr>
          <w:sz w:val="20"/>
        </w:rPr>
        <w:t xml:space="preserve"> ?</w:t>
      </w:r>
    </w:p>
    <w:p w14:paraId="502EBDAD" w14:textId="77777777" w:rsidR="00EF544B" w:rsidRDefault="00951809">
      <w:pPr>
        <w:ind w:left="-15" w:right="0"/>
      </w:pPr>
      <w:r>
        <w:t>Une telle référence devient donc plus</w:t>
      </w:r>
      <w:r>
        <w:t xml:space="preserve"> ouvertement sulfureuse, puisque, on le sait, la </w:t>
      </w:r>
      <w:r>
        <w:rPr>
          <w:i/>
        </w:rPr>
        <w:t>Lettre sur les aveugles</w:t>
      </w:r>
      <w:r>
        <w:t xml:space="preserve"> a c </w:t>
      </w:r>
      <w:proofErr w:type="spellStart"/>
      <w:r>
        <w:t>onduit</w:t>
      </w:r>
      <w:proofErr w:type="spellEnd"/>
      <w:r>
        <w:t xml:space="preserve"> Diderot en prison pour sa mise en scène  d’un géomètre aveugle professant une forme de scepticisme en matière de religion au nom du fait que les preuves physicothéologiques</w:t>
      </w:r>
      <w:r>
        <w:t xml:space="preserve"> de  l’existence de Dieu pour un aveugle demandent  qu’il  s’en remette au témoignage de ceux qui voient… Témoignages auxquels l ’aveugle refuse de se rendre :  c’est dire à quel point la certitude morale se trouve évacuée, rien n ’étant admis au rang de c</w:t>
      </w:r>
      <w:r>
        <w:t>ertain qui ne puisse faire l’objet   d’une expérience directe ou qui  n’en soit dégagé par raisonnement.</w:t>
      </w:r>
    </w:p>
    <w:p w14:paraId="2C2F81BF" w14:textId="77777777" w:rsidR="00EF544B" w:rsidRDefault="00951809">
      <w:pPr>
        <w:spacing w:after="172"/>
        <w:ind w:left="-15" w:right="0"/>
      </w:pPr>
      <w:r>
        <w:t xml:space="preserve">Le deuxième groupe de textes tissant la trame </w:t>
      </w:r>
      <w:proofErr w:type="gramStart"/>
      <w:r>
        <w:t>diderotienne  d’arrière</w:t>
      </w:r>
      <w:proofErr w:type="gramEnd"/>
      <w:r>
        <w:t>-plan de l ’article est  constitué de ceux qui sont en quelque manière appelés par</w:t>
      </w:r>
      <w:r>
        <w:t xml:space="preserve"> le texte, mais sans référence directe : ils font, si  l’on veut, partie du tableau permettant de  comprendre de quoi  l’article « Certitude » est la caisse de résonance. En tout premier lieu, on le c </w:t>
      </w:r>
      <w:proofErr w:type="spellStart"/>
      <w:r>
        <w:t>onçoit</w:t>
      </w:r>
      <w:proofErr w:type="spellEnd"/>
      <w:r>
        <w:t xml:space="preserve"> avec ce qui a été présenté dans la première part</w:t>
      </w:r>
      <w:r>
        <w:t xml:space="preserve">ie de </w:t>
      </w:r>
      <w:proofErr w:type="gramStart"/>
      <w:r>
        <w:t>cette  contribution</w:t>
      </w:r>
      <w:proofErr w:type="gramEnd"/>
      <w:r>
        <w:t>,  l’article a donné une répercussion à l ’affaire de Prades et aux propositions censurées de la thèse, parmi lesquelles figure celle-ci :</w:t>
      </w:r>
    </w:p>
    <w:p w14:paraId="35914571" w14:textId="77777777" w:rsidR="00EF544B" w:rsidRDefault="00951809">
      <w:pPr>
        <w:spacing w:after="287" w:line="235" w:lineRule="auto"/>
        <w:ind w:left="562" w:right="-13" w:hanging="10"/>
      </w:pPr>
      <w:r>
        <w:rPr>
          <w:sz w:val="20"/>
        </w:rPr>
        <w:t xml:space="preserve">V. Le </w:t>
      </w:r>
      <w:proofErr w:type="gramStart"/>
      <w:r>
        <w:rPr>
          <w:sz w:val="20"/>
        </w:rPr>
        <w:t>témoignage  d’un</w:t>
      </w:r>
      <w:proofErr w:type="gramEnd"/>
      <w:r>
        <w:rPr>
          <w:sz w:val="20"/>
        </w:rPr>
        <w:t>, ou de deux ou de trois témoins, ni même celui de plusieurs interrogé</w:t>
      </w:r>
      <w:r>
        <w:rPr>
          <w:sz w:val="20"/>
        </w:rPr>
        <w:t xml:space="preserve">s séparément, ne pourra nous garantir la vérité d ’un fait. Cette méthode est bonne tout au plus pour s ’assurer de la probité de ceux </w:t>
      </w:r>
      <w:proofErr w:type="gramStart"/>
      <w:r>
        <w:rPr>
          <w:sz w:val="20"/>
        </w:rPr>
        <w:t>qu’on  interroge</w:t>
      </w:r>
      <w:proofErr w:type="gramEnd"/>
      <w:r>
        <w:rPr>
          <w:sz w:val="20"/>
        </w:rPr>
        <w:t xml:space="preserve"> ; mais  comme elle ne nous peut jamais être parfaitement  connue, jamais aussi elle ne nous donnera une </w:t>
      </w:r>
      <w:r>
        <w:rPr>
          <w:sz w:val="20"/>
        </w:rPr>
        <w:t xml:space="preserve">c </w:t>
      </w:r>
      <w:proofErr w:type="spellStart"/>
      <w:r>
        <w:rPr>
          <w:sz w:val="20"/>
        </w:rPr>
        <w:t>onnaissance</w:t>
      </w:r>
      <w:proofErr w:type="spellEnd"/>
      <w:r>
        <w:rPr>
          <w:sz w:val="20"/>
        </w:rPr>
        <w:t xml:space="preserve"> assurée du fait. La </w:t>
      </w:r>
      <w:proofErr w:type="gramStart"/>
      <w:r>
        <w:rPr>
          <w:sz w:val="20"/>
        </w:rPr>
        <w:t>seule  combinaison</w:t>
      </w:r>
      <w:proofErr w:type="gramEnd"/>
      <w:r>
        <w:rPr>
          <w:sz w:val="20"/>
        </w:rPr>
        <w:t xml:space="preserve"> des intérêts divers peut opérer sur nos esprits une  conviction parfaite, qui ne résulte point de  l’assemblage de plusieurs probabilités éparses et désunies. Que le nombre des témoins qui me sont </w:t>
      </w:r>
      <w:r>
        <w:rPr>
          <w:sz w:val="20"/>
        </w:rPr>
        <w:lastRenderedPageBreak/>
        <w:t>donnés</w:t>
      </w:r>
      <w:r>
        <w:rPr>
          <w:sz w:val="20"/>
        </w:rPr>
        <w:t xml:space="preserve"> </w:t>
      </w:r>
      <w:proofErr w:type="gramStart"/>
      <w:r>
        <w:rPr>
          <w:sz w:val="20"/>
        </w:rPr>
        <w:t>pour  constater</w:t>
      </w:r>
      <w:proofErr w:type="gramEnd"/>
      <w:r>
        <w:rPr>
          <w:sz w:val="20"/>
        </w:rPr>
        <w:t xml:space="preserve"> un fait m ’ouvre un champ assez vaste pour que j’y puisse voir aux prises les  unes  contre les autres les différentes passions, les hommes et leurs divers intérêts, mes mains alors, mes mains, dans ce choc tumultueux de passions et  d’int</w:t>
      </w:r>
      <w:r>
        <w:rPr>
          <w:sz w:val="20"/>
        </w:rPr>
        <w:t xml:space="preserve">érêts, saisiront la vérité… Que les faits qui sont scellés </w:t>
      </w:r>
      <w:proofErr w:type="gramStart"/>
      <w:r>
        <w:rPr>
          <w:sz w:val="20"/>
        </w:rPr>
        <w:t>dans  l’histoire</w:t>
      </w:r>
      <w:proofErr w:type="gramEnd"/>
      <w:r>
        <w:rPr>
          <w:sz w:val="20"/>
        </w:rPr>
        <w:t xml:space="preserve"> me soient naturels ou surnaturels, il n ’importe. Les uns et les autres, parce </w:t>
      </w:r>
      <w:proofErr w:type="gramStart"/>
      <w:r>
        <w:rPr>
          <w:sz w:val="20"/>
        </w:rPr>
        <w:t>qu’ils  rentrent</w:t>
      </w:r>
      <w:proofErr w:type="gramEnd"/>
      <w:r>
        <w:rPr>
          <w:sz w:val="20"/>
        </w:rPr>
        <w:t xml:space="preserve"> dans l ’ordre des faits, sont assujettis aux même lois de critiques</w:t>
      </w:r>
      <w:r>
        <w:rPr>
          <w:sz w:val="20"/>
          <w:vertAlign w:val="superscript"/>
        </w:rPr>
        <w:footnoteReference w:id="45"/>
      </w:r>
      <w:r>
        <w:rPr>
          <w:sz w:val="20"/>
        </w:rPr>
        <w:t>.</w:t>
      </w:r>
    </w:p>
    <w:p w14:paraId="2121DDB7" w14:textId="77777777" w:rsidR="00EF544B" w:rsidRDefault="00951809">
      <w:pPr>
        <w:spacing w:after="176"/>
        <w:ind w:left="-15" w:right="0"/>
      </w:pPr>
      <w:r>
        <w:t>De Prades, da</w:t>
      </w:r>
      <w:r>
        <w:t xml:space="preserve">ns sa thèse, faisait donc entrer des règles de critique qui ne </w:t>
      </w:r>
      <w:proofErr w:type="gramStart"/>
      <w:r>
        <w:t>devraient  s’appliquer</w:t>
      </w:r>
      <w:proofErr w:type="gramEnd"/>
      <w:r>
        <w:t xml:space="preserve"> q </w:t>
      </w:r>
      <w:proofErr w:type="spellStart"/>
      <w:r>
        <w:t>u’à</w:t>
      </w:r>
      <w:proofErr w:type="spellEnd"/>
      <w:r>
        <w:t xml:space="preserve">  l’histoire profane dans le domaine des faits surnaturels, minant de la sorte toute tentative de c </w:t>
      </w:r>
      <w:proofErr w:type="spellStart"/>
      <w:r>
        <w:t>onférer</w:t>
      </w:r>
      <w:proofErr w:type="spellEnd"/>
      <w:r>
        <w:t xml:space="preserve"> une certitude morale à ces derniers sur la base de la fia</w:t>
      </w:r>
      <w:r>
        <w:t xml:space="preserve">bilité de la source du témoignage. Dans la </w:t>
      </w:r>
      <w:r>
        <w:rPr>
          <w:i/>
        </w:rPr>
        <w:t xml:space="preserve">Suite de l ’Apologie de M.  </w:t>
      </w:r>
      <w:proofErr w:type="gramStart"/>
      <w:r>
        <w:rPr>
          <w:i/>
        </w:rPr>
        <w:t>l’abbé</w:t>
      </w:r>
      <w:proofErr w:type="gramEnd"/>
      <w:r>
        <w:rPr>
          <w:i/>
        </w:rPr>
        <w:t xml:space="preserve"> de Prades</w:t>
      </w:r>
      <w:r>
        <w:t xml:space="preserve"> qui est de la main de Diderot, ce dernier prend le relais en demandant que toutes les preuves de la religion chrétienne soient soumises à un examen critique afin  d’évi</w:t>
      </w:r>
      <w:r>
        <w:t>ter que le chrétien ne le soit «  comme on eût été musulman</w:t>
      </w:r>
      <w:r>
        <w:rPr>
          <w:sz w:val="22"/>
          <w:vertAlign w:val="superscript"/>
        </w:rPr>
        <w:footnoteReference w:id="46"/>
      </w:r>
      <w:r>
        <w:t xml:space="preserve"> ». </w:t>
      </w:r>
      <w:r>
        <w:t xml:space="preserve">Pour cela, il faut que le bon théologien refuse de c </w:t>
      </w:r>
      <w:proofErr w:type="spellStart"/>
      <w:r>
        <w:t>onfondre</w:t>
      </w:r>
      <w:proofErr w:type="spellEnd"/>
      <w:r>
        <w:t xml:space="preserve"> « la certitude de la Révélation, avec les vérités révélées » en appliquant cette règle :</w:t>
      </w:r>
    </w:p>
    <w:p w14:paraId="2B436AE8" w14:textId="77777777" w:rsidR="00EF544B" w:rsidRDefault="00951809">
      <w:pPr>
        <w:spacing w:after="287" w:line="235" w:lineRule="auto"/>
        <w:ind w:left="562" w:right="-13" w:hanging="10"/>
      </w:pPr>
      <w:r>
        <w:rPr>
          <w:sz w:val="20"/>
        </w:rPr>
        <w:t xml:space="preserve">Pour que l ’entendement se soumette parfaitement à l’un, il faut q </w:t>
      </w:r>
      <w:proofErr w:type="spellStart"/>
      <w:r>
        <w:rPr>
          <w:sz w:val="20"/>
        </w:rPr>
        <w:t>u’il</w:t>
      </w:r>
      <w:proofErr w:type="spellEnd"/>
      <w:r>
        <w:rPr>
          <w:sz w:val="20"/>
        </w:rPr>
        <w:t xml:space="preserve"> ait </w:t>
      </w:r>
      <w:proofErr w:type="gramStart"/>
      <w:r>
        <w:rPr>
          <w:sz w:val="20"/>
        </w:rPr>
        <w:t>été  pleinement</w:t>
      </w:r>
      <w:proofErr w:type="gramEnd"/>
      <w:r>
        <w:rPr>
          <w:sz w:val="20"/>
        </w:rPr>
        <w:t xml:space="preserve"> satisfait sur</w:t>
      </w:r>
      <w:r>
        <w:rPr>
          <w:sz w:val="20"/>
        </w:rPr>
        <w:t xml:space="preserve"> l ’autre ; mais d ’où viendra cette satisfaction, sinon  d’un exercice libre et sincère de ses facultés</w:t>
      </w:r>
      <w:r>
        <w:rPr>
          <w:sz w:val="20"/>
          <w:vertAlign w:val="superscript"/>
        </w:rPr>
        <w:footnoteReference w:id="47"/>
      </w:r>
      <w:r>
        <w:rPr>
          <w:sz w:val="20"/>
        </w:rPr>
        <w:t xml:space="preserve"> ? </w:t>
      </w:r>
    </w:p>
    <w:p w14:paraId="54690D50" w14:textId="77777777" w:rsidR="00EF544B" w:rsidRDefault="00951809">
      <w:pPr>
        <w:ind w:left="-15" w:right="0"/>
      </w:pPr>
      <w:r>
        <w:t xml:space="preserve">On le voit, le </w:t>
      </w:r>
      <w:proofErr w:type="gramStart"/>
      <w:r>
        <w:t>procédé  consiste</w:t>
      </w:r>
      <w:proofErr w:type="gramEnd"/>
      <w:r>
        <w:t xml:space="preserve"> déjà dans le fait de nier la pertinence des typologies qui essaient de justifier des régimes de certitude distinc</w:t>
      </w:r>
      <w:r>
        <w:t xml:space="preserve">ts au nom d ’une application généralisée de la raison. Les théologiens qui </w:t>
      </w:r>
      <w:proofErr w:type="gramStart"/>
      <w:r>
        <w:t>s’en  effraient</w:t>
      </w:r>
      <w:proofErr w:type="gramEnd"/>
      <w:r>
        <w:t xml:space="preserve">, de ce point de vue, au moment même où ils le soupçonnent de  conduire à  l’incrédulité, révèlent la faiblesse de leur propre position. Or, cette </w:t>
      </w:r>
      <w:r>
        <w:rPr>
          <w:i/>
        </w:rPr>
        <w:t>Suite de l ’Apologi</w:t>
      </w:r>
      <w:r>
        <w:rPr>
          <w:i/>
        </w:rPr>
        <w:t>e</w:t>
      </w:r>
      <w:r>
        <w:t xml:space="preserve">, il faut bien le noter, n ’est </w:t>
      </w:r>
      <w:proofErr w:type="gramStart"/>
      <w:r>
        <w:t>pas  qu’une</w:t>
      </w:r>
      <w:proofErr w:type="gramEnd"/>
      <w:r>
        <w:t xml:space="preserve"> défense de la thèse de Prades :  comme le dit la préface, il  s’agit en effet aussi  d’une défense du </w:t>
      </w:r>
      <w:r>
        <w:rPr>
          <w:i/>
        </w:rPr>
        <w:t xml:space="preserve">Discours préliminaire </w:t>
      </w:r>
      <w:r>
        <w:t>de  l’</w:t>
      </w:r>
      <w:r>
        <w:rPr>
          <w:i/>
        </w:rPr>
        <w:t>Encyclopédie</w:t>
      </w:r>
      <w:r>
        <w:t xml:space="preserve">, dont on a vu q </w:t>
      </w:r>
      <w:proofErr w:type="spellStart"/>
      <w:r>
        <w:t>u’il</w:t>
      </w:r>
      <w:proofErr w:type="spellEnd"/>
      <w:r>
        <w:t xml:space="preserve"> avait été  l’une des sources de Diderot pour dé</w:t>
      </w:r>
      <w:r>
        <w:t>légitimer la certitude morale attachée au témoignage.</w:t>
      </w:r>
    </w:p>
    <w:p w14:paraId="5D309765" w14:textId="77777777" w:rsidR="00EF544B" w:rsidRDefault="00951809">
      <w:pPr>
        <w:ind w:left="-15" w:right="0"/>
      </w:pPr>
      <w:r>
        <w:lastRenderedPageBreak/>
        <w:t xml:space="preserve">Cela ne signifie pas pour </w:t>
      </w:r>
      <w:proofErr w:type="gramStart"/>
      <w:r>
        <w:t>autant  qu’il</w:t>
      </w:r>
      <w:proofErr w:type="gramEnd"/>
      <w:r>
        <w:t xml:space="preserve"> ne faille admettre au titre de savoir que ce qui répond à cette apparente intransigeance rationnelle. </w:t>
      </w:r>
      <w:proofErr w:type="gramStart"/>
      <w:r>
        <w:t>Si  l’on</w:t>
      </w:r>
      <w:proofErr w:type="gramEnd"/>
      <w:r>
        <w:t xml:space="preserve">  continue de suivre le parcours des textes avec les</w:t>
      </w:r>
      <w:r>
        <w:t xml:space="preserve">quels l ’article « Certitude » forme un réseau, on c </w:t>
      </w:r>
      <w:proofErr w:type="spellStart"/>
      <w:r>
        <w:t>onstate</w:t>
      </w:r>
      <w:proofErr w:type="spellEnd"/>
      <w:r>
        <w:t xml:space="preserve"> notamment, parmi ceux qui lui sont liés indirectement, l ’article « Absent</w:t>
      </w:r>
      <w:r>
        <w:rPr>
          <w:sz w:val="22"/>
          <w:vertAlign w:val="superscript"/>
        </w:rPr>
        <w:footnoteReference w:id="48"/>
      </w:r>
      <w:r>
        <w:t xml:space="preserve"> », lequel a fait l ’objet  d’une écriture à trois : un premier paragraphe rédigé par François-Vincent Toussaint présen</w:t>
      </w:r>
      <w:r>
        <w:t xml:space="preserve">te le problème juridique de la répartition d ’une succession dans le cas où un ayant droit serait absent, et dont il faut évaluer la probabilité  qu’il soit mort.  D’Alembert prend alors le relais pour présenter et discuter une solution proposée par </w:t>
      </w:r>
      <w:proofErr w:type="spellStart"/>
      <w:r>
        <w:t>Bernou</w:t>
      </w:r>
      <w:r>
        <w:t>illi</w:t>
      </w:r>
      <w:proofErr w:type="spellEnd"/>
      <w:r>
        <w:t xml:space="preserve"> en utilisant le calcul des probabilités appliqué aux taux de mortalité. Diderot vient ensuite clôturer le bal en indiquant q </w:t>
      </w:r>
      <w:proofErr w:type="spellStart"/>
      <w:r>
        <w:t>u’en</w:t>
      </w:r>
      <w:proofErr w:type="spellEnd"/>
      <w:r>
        <w:t xml:space="preserve"> ces matières, il faut utiliser une autre théorie des probabilités qui sera expliquée </w:t>
      </w:r>
      <w:proofErr w:type="gramStart"/>
      <w:r>
        <w:t>à  l’article</w:t>
      </w:r>
      <w:proofErr w:type="gramEnd"/>
      <w:r>
        <w:t xml:space="preserve"> « Probabilité » (le mêm</w:t>
      </w:r>
      <w:r>
        <w:t>e qui était invoqué dans l ’article « Certitude »), justement, et qui a été développée par Buffon</w:t>
      </w:r>
      <w:r>
        <w:rPr>
          <w:sz w:val="22"/>
          <w:vertAlign w:val="superscript"/>
        </w:rPr>
        <w:footnoteReference w:id="49"/>
      </w:r>
      <w:r>
        <w:t xml:space="preserve">. Et </w:t>
      </w:r>
      <w:proofErr w:type="gramStart"/>
      <w:r>
        <w:t>Diderot  d’expliquer</w:t>
      </w:r>
      <w:proofErr w:type="gramEnd"/>
      <w:r>
        <w:t xml:space="preserve">, ensuite,  qu’il est nécessaire d ’arriver au plus haut niveau de </w:t>
      </w:r>
      <w:r>
        <w:rPr>
          <w:i/>
        </w:rPr>
        <w:t>certitude morale</w:t>
      </w:r>
      <w:r>
        <w:t xml:space="preserve"> en ce qui a trait aux absents réputés morts,  pu</w:t>
      </w:r>
      <w:r>
        <w:t xml:space="preserve">isqu’on décide, dans ce cas, du bien-être de  quelqu’un par une supposition. Ainsi, la certitude morale se trouve alors reconduite sur le calcul des probabilités, appliqué non </w:t>
      </w:r>
      <w:proofErr w:type="gramStart"/>
      <w:r>
        <w:t>pas,  comme</w:t>
      </w:r>
      <w:proofErr w:type="gramEnd"/>
      <w:r>
        <w:t xml:space="preserve"> chez Craig, au témoignage, mais à la probabilité du fait lui-même. C</w:t>
      </w:r>
      <w:r>
        <w:t xml:space="preserve">e qui fait retour, </w:t>
      </w:r>
      <w:proofErr w:type="gramStart"/>
      <w:r>
        <w:t>en  l’occurrence</w:t>
      </w:r>
      <w:proofErr w:type="gramEnd"/>
      <w:r>
        <w:t xml:space="preserve">,  c’est  l’idée  d’une subordination de la certitude morale à la vraisemblance du fait, vraisemblance qui est ici réglée par le calcul des probabilités. De la sorte, la certitude morale, plutôt </w:t>
      </w:r>
      <w:proofErr w:type="gramStart"/>
      <w:r>
        <w:t>que  d’être</w:t>
      </w:r>
      <w:proofErr w:type="gramEnd"/>
      <w:r>
        <w:t xml:space="preserve"> un c </w:t>
      </w:r>
      <w:proofErr w:type="spellStart"/>
      <w:r>
        <w:t>ontrepoin</w:t>
      </w:r>
      <w:r>
        <w:t>t</w:t>
      </w:r>
      <w:proofErr w:type="spellEnd"/>
      <w:r>
        <w:t xml:space="preserve"> de la certitude métaphysique, est réintroduite au sein du domaine circonscrit par la raison et  l’expérience,  conférant une légitimité à la critique du témoignage.</w:t>
      </w:r>
    </w:p>
    <w:p w14:paraId="2C2CD5A9" w14:textId="77777777" w:rsidR="00EF544B" w:rsidRDefault="00951809">
      <w:pPr>
        <w:ind w:left="-15" w:right="0"/>
      </w:pPr>
      <w:r>
        <w:t xml:space="preserve">Le </w:t>
      </w:r>
      <w:proofErr w:type="gramStart"/>
      <w:r>
        <w:t>tableau  d’ensemble</w:t>
      </w:r>
      <w:proofErr w:type="gramEnd"/>
      <w:r>
        <w:t xml:space="preserve"> de ce réseau textuel resterait incomplet si  l’on  n’y ajoutait ce</w:t>
      </w:r>
      <w:r>
        <w:t xml:space="preserve"> fameux article de Diderot où celui-ci énonce ses règles de critique du témoignage : Agnus </w:t>
      </w:r>
      <w:proofErr w:type="spellStart"/>
      <w:r>
        <w:t>Scythicus</w:t>
      </w:r>
      <w:proofErr w:type="spellEnd"/>
      <w:r>
        <w:rPr>
          <w:sz w:val="22"/>
          <w:vertAlign w:val="superscript"/>
        </w:rPr>
        <w:footnoteReference w:id="50"/>
      </w:r>
      <w:r>
        <w:t xml:space="preserve">, lequel se </w:t>
      </w:r>
      <w:r>
        <w:lastRenderedPageBreak/>
        <w:t>termine par un renvoi aux articles « Certitude » et « Probabilité », fournissant encore une fois la trace du réseau au sein duquel le programm</w:t>
      </w:r>
      <w:r>
        <w:t xml:space="preserve">e se c </w:t>
      </w:r>
      <w:proofErr w:type="spellStart"/>
      <w:r>
        <w:t>onstitue</w:t>
      </w:r>
      <w:proofErr w:type="spellEnd"/>
      <w:r>
        <w:t>. Et les critiques de l ’</w:t>
      </w:r>
      <w:r>
        <w:rPr>
          <w:i/>
        </w:rPr>
        <w:t>Encyclopédie</w:t>
      </w:r>
      <w:r>
        <w:t xml:space="preserve"> ont très bien vu c </w:t>
      </w:r>
      <w:proofErr w:type="spellStart"/>
      <w:r>
        <w:t>omment</w:t>
      </w:r>
      <w:proofErr w:type="spellEnd"/>
      <w:r>
        <w:t xml:space="preserve"> le jeu se jouait</w:t>
      </w:r>
      <w:r>
        <w:rPr>
          <w:sz w:val="22"/>
          <w:vertAlign w:val="superscript"/>
        </w:rPr>
        <w:footnoteReference w:id="51"/>
      </w:r>
      <w:r>
        <w:t xml:space="preserve">.  L’article, </w:t>
      </w:r>
      <w:proofErr w:type="gramStart"/>
      <w:r>
        <w:t>on  s’en</w:t>
      </w:r>
      <w:proofErr w:type="gramEnd"/>
      <w:r>
        <w:t xml:space="preserve"> souviendra, part d ’une description  d’une plante par Scaliger,  commentée par  d’autres naturalistes, pour aboutir dans une réfutation </w:t>
      </w:r>
      <w:r>
        <w:t xml:space="preserve">de  l’existence même de cette plante. Après quoi Diderot ajoute des « réflexions </w:t>
      </w:r>
      <w:proofErr w:type="gramStart"/>
      <w:r>
        <w:t>utiles  contre</w:t>
      </w:r>
      <w:proofErr w:type="gramEnd"/>
      <w:r>
        <w:t xml:space="preserve"> la superstition et le préjugé » qui, essentiellement, demandent à toute personne d ’exiger proportionnellement plus de preuves et  d’autorité que le fait est mo</w:t>
      </w:r>
      <w:r>
        <w:t>ins vraisemblable, ce qui  n’est rien moins que saper les fondements de la certitude morale telle que défendue par les théologiens, et dont des traces se trouvaient encore dans les dictionnaires avec lesquels l ’</w:t>
      </w:r>
      <w:r>
        <w:rPr>
          <w:i/>
        </w:rPr>
        <w:t>Encyclopédie</w:t>
      </w:r>
      <w:r>
        <w:t xml:space="preserve">  s’est mise en dialogue. </w:t>
      </w:r>
      <w:proofErr w:type="gramStart"/>
      <w:r>
        <w:t xml:space="preserve">Mais  </w:t>
      </w:r>
      <w:r>
        <w:t>l’intérêt</w:t>
      </w:r>
      <w:proofErr w:type="gramEnd"/>
      <w:r>
        <w:t xml:space="preserve"> de la démarche est  d’inscrire la critique du témoignage dans le registre de l ’histoire naturelle : ce faisant, c’est  non seulement la certitude morale de la religion qui se voit affectée de probabilisme, mais la notion même de certitude quand </w:t>
      </w:r>
      <w:r>
        <w:t xml:space="preserve">elle sort du domaine de  l’évidence. </w:t>
      </w:r>
      <w:proofErr w:type="gramStart"/>
      <w:r>
        <w:t>Et  c’est</w:t>
      </w:r>
      <w:proofErr w:type="gramEnd"/>
      <w:r>
        <w:t xml:space="preserve"> bien là ce qui, au fond, donne raison aux critiques de  l’</w:t>
      </w:r>
      <w:r>
        <w:rPr>
          <w:i/>
        </w:rPr>
        <w:t>Encyclopédie</w:t>
      </w:r>
      <w:r>
        <w:t xml:space="preserve">,  lorsqu’ils y voient, encore plus  qu’une exigence rationaliste forte, un fond de scepticisme. C ’est que la critique des </w:t>
      </w:r>
      <w:proofErr w:type="gramStart"/>
      <w:r>
        <w:t>autorités  s’av</w:t>
      </w:r>
      <w:r>
        <w:t>ère</w:t>
      </w:r>
      <w:proofErr w:type="gramEnd"/>
      <w:r>
        <w:t xml:space="preserve"> en fait une critique des institutions du savoir et de leurs procédures d ’établissement de la vérité.</w:t>
      </w:r>
    </w:p>
    <w:p w14:paraId="4F0D7150" w14:textId="77777777" w:rsidR="00EF544B" w:rsidRDefault="00951809">
      <w:pPr>
        <w:pStyle w:val="Titre2"/>
        <w:ind w:right="2"/>
      </w:pPr>
      <w:r>
        <w:t>CONCLUSION</w:t>
      </w:r>
    </w:p>
    <w:p w14:paraId="51C0D763" w14:textId="77777777" w:rsidR="00EF544B" w:rsidRDefault="00951809">
      <w:pPr>
        <w:ind w:left="-15" w:right="0"/>
      </w:pPr>
      <w:r>
        <w:t>Au terme de cette analyse, en effet, deux caractéristiques peuvent être relevées eu égard au traitement qui est fait de la notion de certit</w:t>
      </w:r>
      <w:r>
        <w:t xml:space="preserve">ude par Diderot – on ne présumera pas que tous les encyclopédistes le rejoignent sur ce point, même s ’ils peuvent s’y retrouver à des degrés variables. </w:t>
      </w:r>
    </w:p>
    <w:p w14:paraId="6E13DC2F" w14:textId="77777777" w:rsidR="00EF544B" w:rsidRDefault="00951809">
      <w:pPr>
        <w:ind w:left="-15" w:right="0"/>
      </w:pPr>
      <w:r>
        <w:lastRenderedPageBreak/>
        <w:t xml:space="preserve"> D’abord, le travail de Diderot sur Chambers et Trévoux, de même </w:t>
      </w:r>
      <w:proofErr w:type="gramStart"/>
      <w:r>
        <w:t>que  l’insertion</w:t>
      </w:r>
      <w:proofErr w:type="gramEnd"/>
      <w:r>
        <w:t xml:space="preserve"> de la dissertation d</w:t>
      </w:r>
      <w:r>
        <w:t>e Prades ont clairement pour fonction, dans un premier temps, de rendre inopérantes les tentatives de régler les critères de certitude sur l ’objet du savoir en faisant admettre que différents objets admettent des modes  d’établissement de la certitude dif</w:t>
      </w:r>
      <w:r>
        <w:t xml:space="preserve">férents. La procédure, on l ’a vu, consiste à donner de la certitude </w:t>
      </w:r>
      <w:proofErr w:type="gramStart"/>
      <w:r>
        <w:t>une  définition</w:t>
      </w:r>
      <w:proofErr w:type="gramEnd"/>
      <w:r>
        <w:t xml:space="preserve"> qui insiste sur l ’état subjectif qui est désigné par la certitude : un énoncé est certain quand celui qui le c </w:t>
      </w:r>
      <w:proofErr w:type="spellStart"/>
      <w:r>
        <w:t>onsidère</w:t>
      </w:r>
      <w:proofErr w:type="spellEnd"/>
      <w:r>
        <w:t xml:space="preserve"> n’a pas de raisons de  douter de sa vérité, soit p</w:t>
      </w:r>
      <w:r>
        <w:t xml:space="preserve">ar l ’évidence de sa démonstration, soit par le souvenir des inférences qui ont c </w:t>
      </w:r>
      <w:proofErr w:type="spellStart"/>
      <w:r>
        <w:t>onduit</w:t>
      </w:r>
      <w:proofErr w:type="spellEnd"/>
      <w:r>
        <w:t xml:space="preserve"> à son établissement, soit enfin par son ancrage dans  l’expérience. Le point saillant de la démarche est ainsi de fournir une règle de critique du témoignage qui érode</w:t>
      </w:r>
      <w:r>
        <w:t xml:space="preserve"> gravement la certitude morale c </w:t>
      </w:r>
      <w:proofErr w:type="spellStart"/>
      <w:r>
        <w:t>onférée</w:t>
      </w:r>
      <w:proofErr w:type="spellEnd"/>
      <w:r>
        <w:t xml:space="preserve"> aux vérités religieuses, puisque celles-ci </w:t>
      </w:r>
      <w:proofErr w:type="gramStart"/>
      <w:r>
        <w:t>n’ont  ni</w:t>
      </w:r>
      <w:proofErr w:type="gramEnd"/>
      <w:r>
        <w:t xml:space="preserve">  l’évidence ni la force de la démonstration pour fondement, ni par ailleurs d ’appui dans l’expérience – étant passées par des médiations  multiples. Resterait la</w:t>
      </w:r>
      <w:r>
        <w:t xml:space="preserve"> c </w:t>
      </w:r>
      <w:proofErr w:type="spellStart"/>
      <w:r>
        <w:t>onfiance</w:t>
      </w:r>
      <w:proofErr w:type="spellEnd"/>
      <w:r>
        <w:t xml:space="preserve"> dans le témoignage, mais celle-ci se trouve minée du simple fait que les règles de certitude ne peuvent être rencontrées dans le témoignage. Si bien que le sujet, même s ’il voulait se laisser c </w:t>
      </w:r>
      <w:proofErr w:type="spellStart"/>
      <w:r>
        <w:t>onvaincre</w:t>
      </w:r>
      <w:proofErr w:type="spellEnd"/>
      <w:r>
        <w:t xml:space="preserve">, ne pourrait jamais se dire certain de </w:t>
      </w:r>
      <w:r>
        <w:t xml:space="preserve">ce qu’il </w:t>
      </w:r>
      <w:proofErr w:type="gramStart"/>
      <w:r>
        <w:t>croit  si</w:t>
      </w:r>
      <w:proofErr w:type="gramEnd"/>
      <w:r>
        <w:t xml:space="preserve"> sa croyance ne repose que sur le témoignage d ’autrui.</w:t>
      </w:r>
    </w:p>
    <w:p w14:paraId="0AF2F482" w14:textId="77777777" w:rsidR="00EF544B" w:rsidRDefault="00951809">
      <w:pPr>
        <w:spacing w:after="794"/>
        <w:ind w:left="-15" w:right="0"/>
      </w:pPr>
      <w:r>
        <w:t xml:space="preserve"> C’est là que survient la seconde caractéristique : ne pouvant régler la question de la certitude de ce dont on a un témoignage, il faut mettre en place un dispositif de critique du </w:t>
      </w:r>
      <w:r>
        <w:t xml:space="preserve">témoignage qui permette de discriminer le faux du vrai. Ce </w:t>
      </w:r>
      <w:proofErr w:type="gramStart"/>
      <w:r>
        <w:t>dispositif  consistera</w:t>
      </w:r>
      <w:proofErr w:type="gramEnd"/>
      <w:r>
        <w:t xml:space="preserve"> à appliquer le calcul des probabilités, mais non pas,  comme Craig, à la crédibilité du témoignage, mais à celle de ce dont il témoigne. De la sorte, les trois critères de ce</w:t>
      </w:r>
      <w:r>
        <w:t xml:space="preserve">rtitude peuvent être réinsérés dans un processus réflexif sur le </w:t>
      </w:r>
      <w:proofErr w:type="gramStart"/>
      <w:r>
        <w:t>témoignage  d’autrui</w:t>
      </w:r>
      <w:proofErr w:type="gramEnd"/>
      <w:r>
        <w:t xml:space="preserve">. Soit le témoignage </w:t>
      </w:r>
      <w:proofErr w:type="gramStart"/>
      <w:r>
        <w:t>rend  compte</w:t>
      </w:r>
      <w:proofErr w:type="gramEnd"/>
      <w:r>
        <w:t xml:space="preserve">  d’une inférence qui a une évidence telle  qu’elle me devient accessible au moment où on me l ’a fait apercevoir. Soit il rend compte d ’</w:t>
      </w:r>
      <w:r>
        <w:t xml:space="preserve">une </w:t>
      </w:r>
      <w:proofErr w:type="gramStart"/>
      <w:r>
        <w:t>chaîne  d’inférence</w:t>
      </w:r>
      <w:proofErr w:type="gramEnd"/>
      <w:r>
        <w:t xml:space="preserve">  dont je ne serai certain de la  conclusion que si cette chaîne  n’a pas pris un aspect labyrinthique. Soit ce dont il est témoigné peut se lier </w:t>
      </w:r>
      <w:proofErr w:type="gramStart"/>
      <w:r>
        <w:t>à  l’expérience</w:t>
      </w:r>
      <w:proofErr w:type="gramEnd"/>
      <w:r>
        <w:t xml:space="preserve"> que nous faisons nous-mêmes du monde, ce qui lui c </w:t>
      </w:r>
      <w:proofErr w:type="spellStart"/>
      <w:r>
        <w:t>onférera</w:t>
      </w:r>
      <w:proofErr w:type="spellEnd"/>
      <w:r>
        <w:t xml:space="preserve"> un caractèr</w:t>
      </w:r>
      <w:r>
        <w:t xml:space="preserve">e vraisemblable. Les renvois </w:t>
      </w:r>
      <w:proofErr w:type="gramStart"/>
      <w:r>
        <w:t>à  l’article</w:t>
      </w:r>
      <w:proofErr w:type="gramEnd"/>
      <w:r>
        <w:t xml:space="preserve"> « Probabilité » dans </w:t>
      </w:r>
      <w:r>
        <w:lastRenderedPageBreak/>
        <w:t>le  contexte montrent que Diderot  s’est intéressé à la question de la traduction du degré de certitude en termes statistiques.  L’effet en retour de ce développement est évidemment que cette m</w:t>
      </w:r>
      <w:r>
        <w:t xml:space="preserve">anière </w:t>
      </w:r>
      <w:proofErr w:type="gramStart"/>
      <w:r>
        <w:t>probabiliste  d’envisager</w:t>
      </w:r>
      <w:proofErr w:type="gramEnd"/>
      <w:r>
        <w:t xml:space="preserve"> le témoignage d ’autrui vaut pour le rapport que nous devons entretenir avec nous-mêmes : c </w:t>
      </w:r>
      <w:proofErr w:type="spellStart"/>
      <w:r>
        <w:t>omment</w:t>
      </w:r>
      <w:proofErr w:type="spellEnd"/>
      <w:r>
        <w:t xml:space="preserve"> en effet nous assurer de la fiabilité de notre propre témoignage ? Comment savoir si ce dont nos sens témoignent est </w:t>
      </w:r>
      <w:proofErr w:type="gramStart"/>
      <w:r>
        <w:t>certain</w:t>
      </w:r>
      <w:r>
        <w:t>,  comment</w:t>
      </w:r>
      <w:proofErr w:type="gramEnd"/>
      <w:r>
        <w:t xml:space="preserve"> savoir si les  conclusions de nos chaînes d ’inférence ont été tirées avec toute la rigueur souhaitée, si, par exemple, la liaison entre chacune ne nous est plus disponible ? Comment, au fond, </w:t>
      </w:r>
      <w:proofErr w:type="gramStart"/>
      <w:r>
        <w:t>avoir  d’autre</w:t>
      </w:r>
      <w:proofErr w:type="gramEnd"/>
      <w:r>
        <w:t xml:space="preserve"> certitude que celle de  l’évidence ? </w:t>
      </w:r>
      <w:proofErr w:type="gramStart"/>
      <w:r>
        <w:t>Et  comment</w:t>
      </w:r>
      <w:proofErr w:type="gramEnd"/>
      <w:r>
        <w:t xml:space="preserve"> ne pas voir que ce qui affecte la certitude du témoignage en matière d ’histoire profane ou sacrée vaut aussi pour  l’histoire naturelle ? Il y a là la marque, pourrait-on </w:t>
      </w:r>
      <w:proofErr w:type="gramStart"/>
      <w:r>
        <w:t>dire,  d’une</w:t>
      </w:r>
      <w:proofErr w:type="gramEnd"/>
      <w:r>
        <w:t xml:space="preserve"> remontée de la critique du domaine des belles-lettres sur c</w:t>
      </w:r>
      <w:r>
        <w:t xml:space="preserve">elui de la philosophie de la nature. Si les premières doivent être astreintes à la même rigueur critique que toutes les autres sciences, ces dernières en revanche sont </w:t>
      </w:r>
      <w:proofErr w:type="gramStart"/>
      <w:r>
        <w:t>forcées  d’admettre</w:t>
      </w:r>
      <w:proofErr w:type="gramEnd"/>
      <w:r>
        <w:t xml:space="preserve"> que leurs certitudes sont surtout de très grandes probabilités</w:t>
      </w:r>
      <w:r>
        <w:rPr>
          <w:sz w:val="22"/>
          <w:vertAlign w:val="superscript"/>
        </w:rPr>
        <w:footnoteReference w:id="52"/>
      </w:r>
      <w:r>
        <w:t>.  C</w:t>
      </w:r>
      <w:r>
        <w:t xml:space="preserve">’est, en un sens, que la toute </w:t>
      </w:r>
      <w:proofErr w:type="gramStart"/>
      <w:r>
        <w:t>certitude  s’est</w:t>
      </w:r>
      <w:proofErr w:type="gramEnd"/>
      <w:r>
        <w:t xml:space="preserve"> trouvée emportée par la critique de la certitude morale. </w:t>
      </w:r>
      <w:proofErr w:type="gramStart"/>
      <w:r>
        <w:t>Et  c’est</w:t>
      </w:r>
      <w:proofErr w:type="gramEnd"/>
      <w:r>
        <w:t xml:space="preserve"> là au fond ce qui irrite le plus le lecteur,  jusqu’à Voltaire lui-même, peut-être : que tous les jeux qui se jouent ici tendent à faire saut</w:t>
      </w:r>
      <w:r>
        <w:t xml:space="preserve">er les cadres institués du savoir pour faire place à un régime de production de  connaissance </w:t>
      </w:r>
      <w:r>
        <w:lastRenderedPageBreak/>
        <w:t xml:space="preserve">plus aventureux et moins assuré à la fois. Ce qui est subverti </w:t>
      </w:r>
      <w:proofErr w:type="gramStart"/>
      <w:r>
        <w:t>ainsi,  c’est</w:t>
      </w:r>
      <w:proofErr w:type="gramEnd"/>
      <w:r>
        <w:t xml:space="preserve"> la certitude de savoir où  l’on va.</w:t>
      </w:r>
    </w:p>
    <w:p w14:paraId="259AD567" w14:textId="77777777" w:rsidR="00EF544B" w:rsidRDefault="00951809">
      <w:pPr>
        <w:spacing w:after="26"/>
        <w:ind w:left="3005" w:right="0" w:firstLine="0"/>
      </w:pPr>
      <w:r>
        <w:t>Mitia Rioux-Beaulne</w:t>
      </w:r>
    </w:p>
    <w:p w14:paraId="3FF99068" w14:textId="77777777" w:rsidR="00EF544B" w:rsidRDefault="00951809">
      <w:pPr>
        <w:spacing w:after="0" w:line="259" w:lineRule="auto"/>
        <w:ind w:left="1580" w:right="0" w:firstLine="0"/>
        <w:jc w:val="center"/>
      </w:pPr>
      <w:proofErr w:type="gramStart"/>
      <w:r>
        <w:t>Université  d’Ottawa</w:t>
      </w:r>
      <w:proofErr w:type="gramEnd"/>
    </w:p>
    <w:p w14:paraId="6425C444" w14:textId="77777777" w:rsidR="00EF544B" w:rsidRDefault="00EF544B">
      <w:pPr>
        <w:sectPr w:rsidR="00EF544B">
          <w:headerReference w:type="even" r:id="rId19"/>
          <w:headerReference w:type="default" r:id="rId20"/>
          <w:footerReference w:type="even" r:id="rId21"/>
          <w:footerReference w:type="default" r:id="rId22"/>
          <w:headerReference w:type="first" r:id="rId23"/>
          <w:footerReference w:type="first" r:id="rId24"/>
          <w:pgSz w:w="9444" w:h="13413"/>
          <w:pgMar w:top="2057" w:right="1602" w:bottom="1558" w:left="1604" w:header="0" w:footer="720" w:gutter="0"/>
          <w:pgNumType w:start="144"/>
          <w:cols w:space="720"/>
        </w:sectPr>
      </w:pPr>
    </w:p>
    <w:p w14:paraId="17E7406B" w14:textId="77777777" w:rsidR="00EF544B" w:rsidRDefault="00951809">
      <w:pPr>
        <w:pStyle w:val="Titre1"/>
        <w:spacing w:after="885"/>
        <w:ind w:right="1"/>
      </w:pPr>
      <w:r>
        <w:lastRenderedPageBreak/>
        <w:t>TABLE DES MATIÈRES</w:t>
      </w:r>
    </w:p>
    <w:p w14:paraId="1D9F08F0" w14:textId="77777777" w:rsidR="00EF544B" w:rsidRDefault="00951809">
      <w:pPr>
        <w:spacing w:after="26"/>
        <w:ind w:left="-15" w:right="0" w:firstLine="0"/>
      </w:pPr>
      <w:r>
        <w:t xml:space="preserve">Vincent </w:t>
      </w:r>
      <w:proofErr w:type="spellStart"/>
      <w:r>
        <w:t>Darveau</w:t>
      </w:r>
      <w:proofErr w:type="spellEnd"/>
      <w:r>
        <w:t xml:space="preserve">-St-Pierre et Antony </w:t>
      </w:r>
      <w:proofErr w:type="spellStart"/>
      <w:r>
        <w:t>MaCKe</w:t>
      </w:r>
      <w:r>
        <w:t>nna</w:t>
      </w:r>
      <w:proofErr w:type="spellEnd"/>
    </w:p>
    <w:p w14:paraId="79269E46" w14:textId="77777777" w:rsidR="00EF544B" w:rsidRDefault="00951809">
      <w:pPr>
        <w:spacing w:after="199"/>
        <w:ind w:left="-15" w:right="0" w:firstLine="0"/>
      </w:pPr>
      <w:proofErr w:type="gramStart"/>
      <w:r>
        <w:t>Introduction  . . .</w:t>
      </w:r>
      <w:proofErr w:type="gramEnd"/>
      <w:r>
        <w:t xml:space="preserve"> . . . . . . . . . . . . . . . . . . . . . . . . . . . . . . . . . . . .   7</w:t>
      </w:r>
    </w:p>
    <w:p w14:paraId="5992E162" w14:textId="77777777" w:rsidR="00EF544B" w:rsidRDefault="00951809">
      <w:pPr>
        <w:spacing w:after="26"/>
        <w:ind w:left="-15" w:right="0" w:firstLine="0"/>
      </w:pPr>
      <w:r>
        <w:t xml:space="preserve">Vincent </w:t>
      </w:r>
      <w:proofErr w:type="spellStart"/>
      <w:r>
        <w:t>Darveau</w:t>
      </w:r>
      <w:proofErr w:type="spellEnd"/>
      <w:r>
        <w:t>-St-Pierre</w:t>
      </w:r>
    </w:p>
    <w:p w14:paraId="72DD537A" w14:textId="77777777" w:rsidR="00EF544B" w:rsidRDefault="00951809">
      <w:pPr>
        <w:spacing w:after="26"/>
        <w:ind w:left="-15" w:right="0" w:firstLine="0"/>
      </w:pPr>
      <w:r>
        <w:t xml:space="preserve">Remarques sur les origines juridiques possibles  </w:t>
      </w:r>
    </w:p>
    <w:p w14:paraId="2FD85839" w14:textId="77777777" w:rsidR="00EF544B" w:rsidRDefault="00951809">
      <w:pPr>
        <w:spacing w:after="199"/>
        <w:ind w:left="-15" w:right="0" w:firstLine="0"/>
      </w:pPr>
      <w:proofErr w:type="gramStart"/>
      <w:r>
        <w:t>de</w:t>
      </w:r>
      <w:proofErr w:type="gramEnd"/>
      <w:r>
        <w:t xml:space="preserve"> la certitude morale chez Descartes  . . . . . . . . . . . . . . . . . . . .  27</w:t>
      </w:r>
    </w:p>
    <w:p w14:paraId="19BD4193" w14:textId="77777777" w:rsidR="00EF544B" w:rsidRDefault="00951809">
      <w:pPr>
        <w:spacing w:after="26"/>
        <w:ind w:left="-15" w:right="0" w:firstLine="0"/>
      </w:pPr>
      <w:r>
        <w:t>Pierre-François Moreau</w:t>
      </w:r>
    </w:p>
    <w:p w14:paraId="0C896718" w14:textId="77777777" w:rsidR="00EF544B" w:rsidRDefault="00951809">
      <w:pPr>
        <w:spacing w:after="200"/>
        <w:ind w:left="-15" w:right="0" w:firstLine="0"/>
      </w:pPr>
      <w:r>
        <w:rPr>
          <w:i/>
        </w:rPr>
        <w:t xml:space="preserve">Vel </w:t>
      </w:r>
      <w:proofErr w:type="spellStart"/>
      <w:r>
        <w:rPr>
          <w:i/>
        </w:rPr>
        <w:t>saltem</w:t>
      </w:r>
      <w:proofErr w:type="spellEnd"/>
      <w:r>
        <w:rPr>
          <w:i/>
        </w:rPr>
        <w:t xml:space="preserve"> </w:t>
      </w:r>
      <w:proofErr w:type="spellStart"/>
      <w:r>
        <w:rPr>
          <w:i/>
        </w:rPr>
        <w:t>neminem</w:t>
      </w:r>
      <w:proofErr w:type="spellEnd"/>
      <w:r>
        <w:rPr>
          <w:i/>
        </w:rPr>
        <w:t xml:space="preserve"> fuisse. </w:t>
      </w:r>
      <w:r>
        <w:t xml:space="preserve">Spinoza et la certitude </w:t>
      </w:r>
      <w:proofErr w:type="gramStart"/>
      <w:r>
        <w:t>morale  . . .</w:t>
      </w:r>
      <w:proofErr w:type="gramEnd"/>
      <w:r>
        <w:t xml:space="preserve"> . . . . .  49</w:t>
      </w:r>
    </w:p>
    <w:p w14:paraId="0E44AA29" w14:textId="77777777" w:rsidR="00EF544B" w:rsidRDefault="00951809">
      <w:pPr>
        <w:spacing w:after="26"/>
        <w:ind w:left="-15" w:right="0" w:firstLine="0"/>
      </w:pPr>
      <w:proofErr w:type="spellStart"/>
      <w:r>
        <w:t>Mogens</w:t>
      </w:r>
      <w:proofErr w:type="spellEnd"/>
      <w:r>
        <w:t xml:space="preserve"> </w:t>
      </w:r>
      <w:proofErr w:type="spellStart"/>
      <w:r>
        <w:t>Lærke</w:t>
      </w:r>
      <w:proofErr w:type="spellEnd"/>
    </w:p>
    <w:p w14:paraId="7B40A156" w14:textId="77777777" w:rsidR="00EF544B" w:rsidRDefault="00951809">
      <w:pPr>
        <w:spacing w:after="26"/>
        <w:ind w:left="-15" w:right="0" w:firstLine="0"/>
      </w:pPr>
      <w:r>
        <w:t xml:space="preserve">La démonstration présomptive </w:t>
      </w:r>
      <w:r>
        <w:rPr>
          <w:i/>
        </w:rPr>
        <w:t>a</w:t>
      </w:r>
      <w:r>
        <w:t xml:space="preserve"> </w:t>
      </w:r>
      <w:r>
        <w:rPr>
          <w:i/>
        </w:rPr>
        <w:t>priori</w:t>
      </w:r>
      <w:r>
        <w:t xml:space="preserve"> </w:t>
      </w:r>
      <w:proofErr w:type="gramStart"/>
      <w:r>
        <w:t>de  l’existence</w:t>
      </w:r>
      <w:proofErr w:type="gramEnd"/>
      <w:r>
        <w:t xml:space="preserve"> de d</w:t>
      </w:r>
      <w:r>
        <w:t>ieu.</w:t>
      </w:r>
    </w:p>
    <w:p w14:paraId="797A5427" w14:textId="77777777" w:rsidR="00EF544B" w:rsidRDefault="00951809">
      <w:pPr>
        <w:spacing w:after="199"/>
        <w:ind w:left="-15" w:right="0" w:firstLine="0"/>
      </w:pPr>
      <w:r>
        <w:t xml:space="preserve">Certitude morale et religion naturelle chez </w:t>
      </w:r>
      <w:proofErr w:type="gramStart"/>
      <w:r>
        <w:t>Leibniz  . . .</w:t>
      </w:r>
      <w:proofErr w:type="gramEnd"/>
      <w:r>
        <w:t xml:space="preserve"> . . . . . . .  69</w:t>
      </w:r>
    </w:p>
    <w:p w14:paraId="64FB5C5E" w14:textId="77777777" w:rsidR="00EF544B" w:rsidRDefault="00951809">
      <w:pPr>
        <w:spacing w:after="26"/>
        <w:ind w:left="-15" w:right="0" w:firstLine="0"/>
      </w:pPr>
      <w:r>
        <w:t xml:space="preserve">Antony </w:t>
      </w:r>
      <w:proofErr w:type="spellStart"/>
      <w:r>
        <w:t>MCKenna</w:t>
      </w:r>
      <w:proofErr w:type="spellEnd"/>
    </w:p>
    <w:p w14:paraId="1A137A43" w14:textId="77777777" w:rsidR="00EF544B" w:rsidRDefault="00951809">
      <w:pPr>
        <w:spacing w:after="199"/>
        <w:ind w:left="-15" w:right="0" w:firstLine="0"/>
      </w:pPr>
      <w:r>
        <w:t xml:space="preserve">La certitude morale. De Pascal à </w:t>
      </w:r>
      <w:proofErr w:type="gramStart"/>
      <w:r>
        <w:t>Bayle  . . .</w:t>
      </w:r>
      <w:proofErr w:type="gramEnd"/>
      <w:r>
        <w:t xml:space="preserve"> . . . . . . . . . . . . . . . .  87</w:t>
      </w:r>
    </w:p>
    <w:p w14:paraId="78461655" w14:textId="77777777" w:rsidR="00EF544B" w:rsidRDefault="00951809">
      <w:pPr>
        <w:spacing w:after="26"/>
        <w:ind w:left="-15" w:right="0" w:firstLine="0"/>
      </w:pPr>
      <w:r>
        <w:t>Anne-Lise Rey</w:t>
      </w:r>
    </w:p>
    <w:p w14:paraId="33D3AB59" w14:textId="77777777" w:rsidR="00EF544B" w:rsidRDefault="00951809">
      <w:pPr>
        <w:spacing w:after="26"/>
        <w:ind w:left="-15" w:right="0" w:firstLine="0"/>
      </w:pPr>
      <w:r>
        <w:t xml:space="preserve"> L’évidence morale dans la philosophie naturelle  </w:t>
      </w:r>
    </w:p>
    <w:p w14:paraId="5A614188" w14:textId="77777777" w:rsidR="00EF544B" w:rsidRDefault="00951809">
      <w:pPr>
        <w:spacing w:after="199"/>
        <w:ind w:left="-15" w:right="0" w:firstLine="0"/>
      </w:pPr>
      <w:proofErr w:type="gramStart"/>
      <w:r>
        <w:t>de</w:t>
      </w:r>
      <w:proofErr w:type="gramEnd"/>
      <w:r>
        <w:t xml:space="preserve"> Willem ’s</w:t>
      </w:r>
      <w:r>
        <w:t xml:space="preserve"> Gravesande  . . . . . . . . . . . . . . . . . . . . . . . . . . . . . 121</w:t>
      </w:r>
    </w:p>
    <w:p w14:paraId="601BF431" w14:textId="77777777" w:rsidR="00EF544B" w:rsidRDefault="00951809">
      <w:pPr>
        <w:spacing w:after="26"/>
        <w:ind w:left="-15" w:right="0" w:firstLine="0"/>
      </w:pPr>
      <w:r>
        <w:t>Mitia Rioux-Beaulne</w:t>
      </w:r>
    </w:p>
    <w:p w14:paraId="2B73EA52" w14:textId="77777777" w:rsidR="00EF544B" w:rsidRDefault="00951809">
      <w:pPr>
        <w:spacing w:after="199"/>
        <w:ind w:left="-15" w:right="0" w:firstLine="0"/>
      </w:pPr>
      <w:r>
        <w:t xml:space="preserve">Certitudes subverties. Stratégies de </w:t>
      </w:r>
      <w:proofErr w:type="gramStart"/>
      <w:r>
        <w:t>Diderot  . . .</w:t>
      </w:r>
      <w:proofErr w:type="gramEnd"/>
      <w:r>
        <w:t xml:space="preserve"> . . . . . . . . . . . . . 143</w:t>
      </w:r>
    </w:p>
    <w:p w14:paraId="18F1228F" w14:textId="77777777" w:rsidR="00EF544B" w:rsidRDefault="00951809">
      <w:pPr>
        <w:spacing w:after="26"/>
        <w:ind w:left="-15" w:right="0" w:firstLine="0"/>
      </w:pPr>
      <w:r>
        <w:t xml:space="preserve">Claire </w:t>
      </w:r>
      <w:proofErr w:type="spellStart"/>
      <w:r>
        <w:t>EtChegaray</w:t>
      </w:r>
      <w:proofErr w:type="spellEnd"/>
    </w:p>
    <w:p w14:paraId="75C78876" w14:textId="77777777" w:rsidR="00EF544B" w:rsidRDefault="00951809">
      <w:pPr>
        <w:spacing w:line="411" w:lineRule="auto"/>
        <w:ind w:left="-15" w:right="0" w:firstLine="0"/>
      </w:pPr>
      <w:r>
        <w:t xml:space="preserve"> D’un soleil, l ’autre. L’éclipse humienne de la certitude </w:t>
      </w:r>
      <w:proofErr w:type="gramStart"/>
      <w:r>
        <w:t>mo</w:t>
      </w:r>
      <w:r>
        <w:t>rale  . . .</w:t>
      </w:r>
      <w:proofErr w:type="gramEnd"/>
      <w:r>
        <w:t xml:space="preserve"> 169 Index des noms propres de personnes  . . . . . . . . . . . . . . . . . . . . 207</w:t>
      </w:r>
    </w:p>
    <w:sectPr w:rsidR="00EF544B">
      <w:headerReference w:type="even" r:id="rId25"/>
      <w:headerReference w:type="default" r:id="rId26"/>
      <w:footerReference w:type="even" r:id="rId27"/>
      <w:footerReference w:type="default" r:id="rId28"/>
      <w:headerReference w:type="first" r:id="rId29"/>
      <w:footerReference w:type="first" r:id="rId30"/>
      <w:pgSz w:w="9444" w:h="13413"/>
      <w:pgMar w:top="1440" w:right="1603" w:bottom="1440" w:left="160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8DA15" w14:textId="77777777" w:rsidR="00951809" w:rsidRDefault="00951809">
      <w:pPr>
        <w:spacing w:after="0" w:line="240" w:lineRule="auto"/>
      </w:pPr>
      <w:r>
        <w:separator/>
      </w:r>
    </w:p>
  </w:endnote>
  <w:endnote w:type="continuationSeparator" w:id="0">
    <w:p w14:paraId="7761F56C" w14:textId="77777777" w:rsidR="00951809" w:rsidRDefault="0095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41C5" w14:textId="77777777" w:rsidR="00EF544B" w:rsidRDefault="00951809">
    <w:pPr>
      <w:spacing w:after="0" w:line="259" w:lineRule="auto"/>
      <w:ind w:left="-1440" w:right="8004" w:firstLine="0"/>
      <w:jc w:val="left"/>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43C65153" wp14:editId="2A2AC215">
              <wp:simplePos x="0" y="0"/>
              <wp:positionH relativeFrom="page">
                <wp:posOffset>0</wp:posOffset>
              </wp:positionH>
              <wp:positionV relativeFrom="page">
                <wp:posOffset>8218501</wp:posOffset>
              </wp:positionV>
              <wp:extent cx="298501" cy="298500"/>
              <wp:effectExtent l="0" t="0" r="0" b="0"/>
              <wp:wrapSquare wrapText="bothSides"/>
              <wp:docPr id="22076" name="Group 22076"/>
              <wp:cNvGraphicFramePr/>
              <a:graphic xmlns:a="http://schemas.openxmlformats.org/drawingml/2006/main">
                <a:graphicData uri="http://schemas.microsoft.com/office/word/2010/wordprocessingGroup">
                  <wpg:wgp>
                    <wpg:cNvGrpSpPr/>
                    <wpg:grpSpPr>
                      <a:xfrm>
                        <a:off x="0" y="0"/>
                        <a:ext cx="298501" cy="298500"/>
                        <a:chOff x="0" y="0"/>
                        <a:chExt cx="298501" cy="298500"/>
                      </a:xfrm>
                    </wpg:grpSpPr>
                    <wps:wsp>
                      <wps:cNvPr id="22077" name="Shape 22077"/>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078" name="Shape 22078"/>
                      <wps:cNvSpPr/>
                      <wps:spPr>
                        <a:xfrm>
                          <a:off x="298501" y="1080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76" style="width:23.504pt;height:23.504pt;position:absolute;mso-position-horizontal-relative:page;mso-position-horizontal:absolute;margin-left:0pt;mso-position-vertical-relative:page;margin-top:647.126pt;" coordsize="2985,2985">
              <v:shape id="Shape 22077" style="position:absolute;width:1905;height:0;left:0;top:0;" coordsize="190500,0" path="m190500,0l0,0">
                <v:stroke weight="0.25pt" endcap="flat" joinstyle="miter" miterlimit="10" on="true" color="#000000"/>
                <v:fill on="false" color="#000000" opacity="0"/>
              </v:shape>
              <v:shape id="Shape 22078" style="position:absolute;width:0;height:1905;left:2985;top:1080;" coordsize="0,190500" path="m0,0l0,1905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14:anchorId="45646CCE" wp14:editId="38AEF81F">
              <wp:simplePos x="0" y="0"/>
              <wp:positionH relativeFrom="page">
                <wp:posOffset>5698503</wp:posOffset>
              </wp:positionH>
              <wp:positionV relativeFrom="page">
                <wp:posOffset>8218501</wp:posOffset>
              </wp:positionV>
              <wp:extent cx="298501" cy="298500"/>
              <wp:effectExtent l="0" t="0" r="0" b="0"/>
              <wp:wrapSquare wrapText="bothSides"/>
              <wp:docPr id="22079" name="Group 22079"/>
              <wp:cNvGraphicFramePr/>
              <a:graphic xmlns:a="http://schemas.openxmlformats.org/drawingml/2006/main">
                <a:graphicData uri="http://schemas.microsoft.com/office/word/2010/wordprocessingGroup">
                  <wpg:wgp>
                    <wpg:cNvGrpSpPr/>
                    <wpg:grpSpPr>
                      <a:xfrm>
                        <a:off x="0" y="0"/>
                        <a:ext cx="298501" cy="298500"/>
                        <a:chOff x="0" y="0"/>
                        <a:chExt cx="298501" cy="298500"/>
                      </a:xfrm>
                    </wpg:grpSpPr>
                    <wps:wsp>
                      <wps:cNvPr id="22080" name="Shape 22080"/>
                      <wps:cNvSpPr/>
                      <wps:spPr>
                        <a:xfrm>
                          <a:off x="108001"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081" name="Shape 22081"/>
                      <wps:cNvSpPr/>
                      <wps:spPr>
                        <a:xfrm>
                          <a:off x="0" y="1080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79" style="width:23.504pt;height:23.504pt;position:absolute;mso-position-horizontal-relative:page;mso-position-horizontal:absolute;margin-left:448.701pt;mso-position-vertical-relative:page;margin-top:647.126pt;" coordsize="2985,2985">
              <v:shape id="Shape 22080" style="position:absolute;width:1905;height:0;left:1080;top:0;" coordsize="190500,0" path="m0,0l190500,0">
                <v:stroke weight="0.25pt" endcap="flat" joinstyle="miter" miterlimit="10" on="true" color="#000000"/>
                <v:fill on="false" color="#000000" opacity="0"/>
              </v:shape>
              <v:shape id="Shape 22081" style="position:absolute;width:0;height:1905;left:0;top:1080;" coordsize="0,190500" path="m0,0l0,190500">
                <v:stroke weight="0.25pt" endcap="flat" joinstyle="miter" miterlimit="10" on="true" color="#000000"/>
                <v:fill on="false" color="#000000" opacity="0"/>
              </v:shape>
              <w10:wrap type="square"/>
            </v:group>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1C6C" w14:textId="77777777" w:rsidR="00EF544B" w:rsidRDefault="00951809">
    <w:pPr>
      <w:spacing w:after="0" w:line="259" w:lineRule="auto"/>
      <w:ind w:left="-1604" w:right="7841" w:firstLine="0"/>
      <w:jc w:val="left"/>
    </w:pPr>
    <w:r>
      <w:rPr>
        <w:rFonts w:ascii="Calibri" w:eastAsia="Calibri" w:hAnsi="Calibri" w:cs="Calibri"/>
        <w:noProof/>
        <w:color w:val="000000"/>
        <w:sz w:val="22"/>
      </w:rPr>
      <mc:AlternateContent>
        <mc:Choice Requires="wpg">
          <w:drawing>
            <wp:anchor distT="0" distB="0" distL="114300" distR="114300" simplePos="0" relativeHeight="251701248" behindDoc="0" locked="0" layoutInCell="1" allowOverlap="1" wp14:anchorId="6030792D" wp14:editId="3EA5A96F">
              <wp:simplePos x="0" y="0"/>
              <wp:positionH relativeFrom="page">
                <wp:posOffset>0</wp:posOffset>
              </wp:positionH>
              <wp:positionV relativeFrom="page">
                <wp:posOffset>8218501</wp:posOffset>
              </wp:positionV>
              <wp:extent cx="298501" cy="298500"/>
              <wp:effectExtent l="0" t="0" r="0" b="0"/>
              <wp:wrapSquare wrapText="bothSides"/>
              <wp:docPr id="22275" name="Group 22275"/>
              <wp:cNvGraphicFramePr/>
              <a:graphic xmlns:a="http://schemas.openxmlformats.org/drawingml/2006/main">
                <a:graphicData uri="http://schemas.microsoft.com/office/word/2010/wordprocessingGroup">
                  <wpg:wgp>
                    <wpg:cNvGrpSpPr/>
                    <wpg:grpSpPr>
                      <a:xfrm>
                        <a:off x="0" y="0"/>
                        <a:ext cx="298501" cy="298500"/>
                        <a:chOff x="0" y="0"/>
                        <a:chExt cx="298501" cy="298500"/>
                      </a:xfrm>
                    </wpg:grpSpPr>
                    <wps:wsp>
                      <wps:cNvPr id="22276" name="Shape 22276"/>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277" name="Shape 22277"/>
                      <wps:cNvSpPr/>
                      <wps:spPr>
                        <a:xfrm>
                          <a:off x="298501" y="1080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275" style="width:23.504pt;height:23.504pt;position:absolute;mso-position-horizontal-relative:page;mso-position-horizontal:absolute;margin-left:0pt;mso-position-vertical-relative:page;margin-top:647.126pt;" coordsize="2985,2985">
              <v:shape id="Shape 22276" style="position:absolute;width:1905;height:0;left:0;top:0;" coordsize="190500,0" path="m190500,0l0,0">
                <v:stroke weight="0.25pt" endcap="flat" joinstyle="miter" miterlimit="10" on="true" color="#000000"/>
                <v:fill on="false" color="#000000" opacity="0"/>
              </v:shape>
              <v:shape id="Shape 22277" style="position:absolute;width:0;height:1905;left:2985;top:1080;" coordsize="0,190500" path="m0,0l0,1905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702272" behindDoc="0" locked="0" layoutInCell="1" allowOverlap="1" wp14:anchorId="7461EB5A" wp14:editId="6B8EC857">
              <wp:simplePos x="0" y="0"/>
              <wp:positionH relativeFrom="page">
                <wp:posOffset>5698503</wp:posOffset>
              </wp:positionH>
              <wp:positionV relativeFrom="page">
                <wp:posOffset>8218501</wp:posOffset>
              </wp:positionV>
              <wp:extent cx="298501" cy="298500"/>
              <wp:effectExtent l="0" t="0" r="0" b="0"/>
              <wp:wrapSquare wrapText="bothSides"/>
              <wp:docPr id="22278" name="Group 22278"/>
              <wp:cNvGraphicFramePr/>
              <a:graphic xmlns:a="http://schemas.openxmlformats.org/drawingml/2006/main">
                <a:graphicData uri="http://schemas.microsoft.com/office/word/2010/wordprocessingGroup">
                  <wpg:wgp>
                    <wpg:cNvGrpSpPr/>
                    <wpg:grpSpPr>
                      <a:xfrm>
                        <a:off x="0" y="0"/>
                        <a:ext cx="298501" cy="298500"/>
                        <a:chOff x="0" y="0"/>
                        <a:chExt cx="298501" cy="298500"/>
                      </a:xfrm>
                    </wpg:grpSpPr>
                    <wps:wsp>
                      <wps:cNvPr id="22279" name="Shape 22279"/>
                      <wps:cNvSpPr/>
                      <wps:spPr>
                        <a:xfrm>
                          <a:off x="108001"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280" name="Shape 22280"/>
                      <wps:cNvSpPr/>
                      <wps:spPr>
                        <a:xfrm>
                          <a:off x="0" y="1080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278" style="width:23.504pt;height:23.504pt;position:absolute;mso-position-horizontal-relative:page;mso-position-horizontal:absolute;margin-left:448.701pt;mso-position-vertical-relative:page;margin-top:647.126pt;" coordsize="2985,2985">
              <v:shape id="Shape 22279" style="position:absolute;width:1905;height:0;left:1080;top:0;" coordsize="190500,0" path="m0,0l190500,0">
                <v:stroke weight="0.25pt" endcap="flat" joinstyle="miter" miterlimit="10" on="true" color="#000000"/>
                <v:fill on="false" color="#000000" opacity="0"/>
              </v:shape>
              <v:shape id="Shape 22280" style="position:absolute;width:0;height:1905;left:0;top:1080;" coordsize="0,190500" path="m0,0l0,190500">
                <v:stroke weight="0.25pt" endcap="flat" joinstyle="miter" miterlimit="10" on="true" color="#000000"/>
                <v:fill on="false" color="#000000" opacity="0"/>
              </v:shape>
              <w10:wrap type="square"/>
            </v:group>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6BFB" w14:textId="77777777" w:rsidR="00EF544B" w:rsidRDefault="00951809">
    <w:pPr>
      <w:spacing w:after="0" w:line="259" w:lineRule="auto"/>
      <w:ind w:left="-1604" w:right="7841" w:firstLine="0"/>
      <w:jc w:val="left"/>
    </w:pPr>
    <w:r>
      <w:rPr>
        <w:rFonts w:ascii="Calibri" w:eastAsia="Calibri" w:hAnsi="Calibri" w:cs="Calibri"/>
        <w:noProof/>
        <w:color w:val="000000"/>
        <w:sz w:val="22"/>
      </w:rPr>
      <mc:AlternateContent>
        <mc:Choice Requires="wpg">
          <w:drawing>
            <wp:anchor distT="0" distB="0" distL="114300" distR="114300" simplePos="0" relativeHeight="251703296" behindDoc="0" locked="0" layoutInCell="1" allowOverlap="1" wp14:anchorId="5FA89A21" wp14:editId="622DCCD0">
              <wp:simplePos x="0" y="0"/>
              <wp:positionH relativeFrom="page">
                <wp:posOffset>0</wp:posOffset>
              </wp:positionH>
              <wp:positionV relativeFrom="page">
                <wp:posOffset>8218501</wp:posOffset>
              </wp:positionV>
              <wp:extent cx="298501" cy="298500"/>
              <wp:effectExtent l="0" t="0" r="0" b="0"/>
              <wp:wrapSquare wrapText="bothSides"/>
              <wp:docPr id="22255" name="Group 22255"/>
              <wp:cNvGraphicFramePr/>
              <a:graphic xmlns:a="http://schemas.openxmlformats.org/drawingml/2006/main">
                <a:graphicData uri="http://schemas.microsoft.com/office/word/2010/wordprocessingGroup">
                  <wpg:wgp>
                    <wpg:cNvGrpSpPr/>
                    <wpg:grpSpPr>
                      <a:xfrm>
                        <a:off x="0" y="0"/>
                        <a:ext cx="298501" cy="298500"/>
                        <a:chOff x="0" y="0"/>
                        <a:chExt cx="298501" cy="298500"/>
                      </a:xfrm>
                    </wpg:grpSpPr>
                    <wps:wsp>
                      <wps:cNvPr id="22256" name="Shape 22256"/>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257" name="Shape 22257"/>
                      <wps:cNvSpPr/>
                      <wps:spPr>
                        <a:xfrm>
                          <a:off x="298501" y="1080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255" style="width:23.504pt;height:23.504pt;position:absolute;mso-position-horizontal-relative:page;mso-position-horizontal:absolute;margin-left:0pt;mso-position-vertical-relative:page;margin-top:647.126pt;" coordsize="2985,2985">
              <v:shape id="Shape 22256" style="position:absolute;width:1905;height:0;left:0;top:0;" coordsize="190500,0" path="m190500,0l0,0">
                <v:stroke weight="0.25pt" endcap="flat" joinstyle="miter" miterlimit="10" on="true" color="#000000"/>
                <v:fill on="false" color="#000000" opacity="0"/>
              </v:shape>
              <v:shape id="Shape 22257" style="position:absolute;width:0;height:1905;left:2985;top:1080;" coordsize="0,190500" path="m0,0l0,1905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704320" behindDoc="0" locked="0" layoutInCell="1" allowOverlap="1" wp14:anchorId="121725D3" wp14:editId="1D12D676">
              <wp:simplePos x="0" y="0"/>
              <wp:positionH relativeFrom="page">
                <wp:posOffset>5698503</wp:posOffset>
              </wp:positionH>
              <wp:positionV relativeFrom="page">
                <wp:posOffset>8218501</wp:posOffset>
              </wp:positionV>
              <wp:extent cx="298501" cy="298500"/>
              <wp:effectExtent l="0" t="0" r="0" b="0"/>
              <wp:wrapSquare wrapText="bothSides"/>
              <wp:docPr id="22258" name="Group 22258"/>
              <wp:cNvGraphicFramePr/>
              <a:graphic xmlns:a="http://schemas.openxmlformats.org/drawingml/2006/main">
                <a:graphicData uri="http://schemas.microsoft.com/office/word/2010/wordprocessingGroup">
                  <wpg:wgp>
                    <wpg:cNvGrpSpPr/>
                    <wpg:grpSpPr>
                      <a:xfrm>
                        <a:off x="0" y="0"/>
                        <a:ext cx="298501" cy="298500"/>
                        <a:chOff x="0" y="0"/>
                        <a:chExt cx="298501" cy="298500"/>
                      </a:xfrm>
                    </wpg:grpSpPr>
                    <wps:wsp>
                      <wps:cNvPr id="22259" name="Shape 22259"/>
                      <wps:cNvSpPr/>
                      <wps:spPr>
                        <a:xfrm>
                          <a:off x="108001"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260" name="Shape 22260"/>
                      <wps:cNvSpPr/>
                      <wps:spPr>
                        <a:xfrm>
                          <a:off x="0" y="1080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258" style="width:23.504pt;height:23.504pt;position:absolute;mso-position-horizontal-relative:page;mso-position-horizontal:absolute;margin-left:448.701pt;mso-position-vertical-relative:page;margin-top:647.126pt;" coordsize="2985,2985">
              <v:shape id="Shape 22259" style="position:absolute;width:1905;height:0;left:1080;top:0;" coordsize="190500,0" path="m0,0l190500,0">
                <v:stroke weight="0.25pt" endcap="flat" joinstyle="miter" miterlimit="10" on="true" color="#000000"/>
                <v:fill on="false" color="#000000" opacity="0"/>
              </v:shape>
              <v:shape id="Shape 22260" style="position:absolute;width:0;height:1905;left:0;top:1080;" coordsize="0,190500" path="m0,0l0,190500">
                <v:stroke weight="0.25pt" endcap="flat" joinstyle="miter" miterlimit="10" on="true" color="#000000"/>
                <v:fill on="false" color="#000000" opacity="0"/>
              </v:shape>
              <w10:wrap type="square"/>
            </v:group>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A3EE" w14:textId="77777777" w:rsidR="00EF544B" w:rsidRDefault="00951809">
    <w:pPr>
      <w:spacing w:after="0" w:line="259" w:lineRule="auto"/>
      <w:ind w:left="-1604" w:right="7841" w:firstLine="0"/>
      <w:jc w:val="left"/>
    </w:pPr>
    <w:r>
      <w:rPr>
        <w:rFonts w:ascii="Calibri" w:eastAsia="Calibri" w:hAnsi="Calibri" w:cs="Calibri"/>
        <w:noProof/>
        <w:color w:val="000000"/>
        <w:sz w:val="22"/>
      </w:rPr>
      <mc:AlternateContent>
        <mc:Choice Requires="wpg">
          <w:drawing>
            <wp:anchor distT="0" distB="0" distL="114300" distR="114300" simplePos="0" relativeHeight="251705344" behindDoc="0" locked="0" layoutInCell="1" allowOverlap="1" wp14:anchorId="75CAAE4E" wp14:editId="7B8DDE85">
              <wp:simplePos x="0" y="0"/>
              <wp:positionH relativeFrom="page">
                <wp:posOffset>0</wp:posOffset>
              </wp:positionH>
              <wp:positionV relativeFrom="page">
                <wp:posOffset>8218501</wp:posOffset>
              </wp:positionV>
              <wp:extent cx="298501" cy="298500"/>
              <wp:effectExtent l="0" t="0" r="0" b="0"/>
              <wp:wrapSquare wrapText="bothSides"/>
              <wp:docPr id="22235" name="Group 22235"/>
              <wp:cNvGraphicFramePr/>
              <a:graphic xmlns:a="http://schemas.openxmlformats.org/drawingml/2006/main">
                <a:graphicData uri="http://schemas.microsoft.com/office/word/2010/wordprocessingGroup">
                  <wpg:wgp>
                    <wpg:cNvGrpSpPr/>
                    <wpg:grpSpPr>
                      <a:xfrm>
                        <a:off x="0" y="0"/>
                        <a:ext cx="298501" cy="298500"/>
                        <a:chOff x="0" y="0"/>
                        <a:chExt cx="298501" cy="298500"/>
                      </a:xfrm>
                    </wpg:grpSpPr>
                    <wps:wsp>
                      <wps:cNvPr id="22236" name="Shape 22236"/>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237" name="Shape 22237"/>
                      <wps:cNvSpPr/>
                      <wps:spPr>
                        <a:xfrm>
                          <a:off x="298501" y="1080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235" style="width:23.504pt;height:23.504pt;position:absolute;mso-position-horizontal-relative:page;mso-position-horizontal:absolute;margin-left:0pt;mso-position-vertical-relative:page;margin-top:647.126pt;" coordsize="2985,2985">
              <v:shape id="Shape 22236" style="position:absolute;width:1905;height:0;left:0;top:0;" coordsize="190500,0" path="m190500,0l0,0">
                <v:stroke weight="0.25pt" endcap="flat" joinstyle="miter" miterlimit="10" on="true" color="#000000"/>
                <v:fill on="false" color="#000000" opacity="0"/>
              </v:shape>
              <v:shape id="Shape 22237" style="position:absolute;width:0;height:1905;left:2985;top:1080;" coordsize="0,190500" path="m0,0l0,1905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706368" behindDoc="0" locked="0" layoutInCell="1" allowOverlap="1" wp14:anchorId="0C9E7BA5" wp14:editId="36FA2F00">
              <wp:simplePos x="0" y="0"/>
              <wp:positionH relativeFrom="page">
                <wp:posOffset>5698503</wp:posOffset>
              </wp:positionH>
              <wp:positionV relativeFrom="page">
                <wp:posOffset>8218501</wp:posOffset>
              </wp:positionV>
              <wp:extent cx="298501" cy="298500"/>
              <wp:effectExtent l="0" t="0" r="0" b="0"/>
              <wp:wrapSquare wrapText="bothSides"/>
              <wp:docPr id="22238" name="Group 22238"/>
              <wp:cNvGraphicFramePr/>
              <a:graphic xmlns:a="http://schemas.openxmlformats.org/drawingml/2006/main">
                <a:graphicData uri="http://schemas.microsoft.com/office/word/2010/wordprocessingGroup">
                  <wpg:wgp>
                    <wpg:cNvGrpSpPr/>
                    <wpg:grpSpPr>
                      <a:xfrm>
                        <a:off x="0" y="0"/>
                        <a:ext cx="298501" cy="298500"/>
                        <a:chOff x="0" y="0"/>
                        <a:chExt cx="298501" cy="298500"/>
                      </a:xfrm>
                    </wpg:grpSpPr>
                    <wps:wsp>
                      <wps:cNvPr id="22239" name="Shape 22239"/>
                      <wps:cNvSpPr/>
                      <wps:spPr>
                        <a:xfrm>
                          <a:off x="108001"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240" name="Shape 22240"/>
                      <wps:cNvSpPr/>
                      <wps:spPr>
                        <a:xfrm>
                          <a:off x="0" y="1080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238" style="width:23.504pt;height:23.504pt;position:absolute;mso-position-horizontal-relative:page;mso-position-horizontal:absolute;margin-left:448.701pt;mso-position-vertical-relative:page;margin-top:647.126pt;" coordsize="2985,2985">
              <v:shape id="Shape 22239" style="position:absolute;width:1905;height:0;left:1080;top:0;" coordsize="190500,0" path="m0,0l190500,0">
                <v:stroke weight="0.25pt" endcap="flat" joinstyle="miter" miterlimit="10" on="true" color="#000000"/>
                <v:fill on="false" color="#000000" opacity="0"/>
              </v:shape>
              <v:shape id="Shape 22240" style="position:absolute;width:0;height:1905;left:0;top:1080;" coordsize="0,190500" path="m0,0l0,190500">
                <v:stroke weight="0.25pt" endcap="flat" joinstyle="miter" miterlimit="10" on="true" color="#000000"/>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C097" w14:textId="77777777" w:rsidR="00EF544B" w:rsidRDefault="00951809">
    <w:pPr>
      <w:spacing w:after="0" w:line="259" w:lineRule="auto"/>
      <w:ind w:left="-1440" w:right="8004" w:firstLine="0"/>
      <w:jc w:val="left"/>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14:anchorId="2B719C92" wp14:editId="409068AD">
              <wp:simplePos x="0" y="0"/>
              <wp:positionH relativeFrom="page">
                <wp:posOffset>0</wp:posOffset>
              </wp:positionH>
              <wp:positionV relativeFrom="page">
                <wp:posOffset>8218501</wp:posOffset>
              </wp:positionV>
              <wp:extent cx="298501" cy="298500"/>
              <wp:effectExtent l="0" t="0" r="0" b="0"/>
              <wp:wrapSquare wrapText="bothSides"/>
              <wp:docPr id="22056" name="Group 22056"/>
              <wp:cNvGraphicFramePr/>
              <a:graphic xmlns:a="http://schemas.openxmlformats.org/drawingml/2006/main">
                <a:graphicData uri="http://schemas.microsoft.com/office/word/2010/wordprocessingGroup">
                  <wpg:wgp>
                    <wpg:cNvGrpSpPr/>
                    <wpg:grpSpPr>
                      <a:xfrm>
                        <a:off x="0" y="0"/>
                        <a:ext cx="298501" cy="298500"/>
                        <a:chOff x="0" y="0"/>
                        <a:chExt cx="298501" cy="298500"/>
                      </a:xfrm>
                    </wpg:grpSpPr>
                    <wps:wsp>
                      <wps:cNvPr id="22057" name="Shape 22057"/>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058" name="Shape 22058"/>
                      <wps:cNvSpPr/>
                      <wps:spPr>
                        <a:xfrm>
                          <a:off x="298501" y="1080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56" style="width:23.504pt;height:23.504pt;position:absolute;mso-position-horizontal-relative:page;mso-position-horizontal:absolute;margin-left:0pt;mso-position-vertical-relative:page;margin-top:647.126pt;" coordsize="2985,2985">
              <v:shape id="Shape 22057" style="position:absolute;width:1905;height:0;left:0;top:0;" coordsize="190500,0" path="m190500,0l0,0">
                <v:stroke weight="0.25pt" endcap="flat" joinstyle="miter" miterlimit="10" on="true" color="#000000"/>
                <v:fill on="false" color="#000000" opacity="0"/>
              </v:shape>
              <v:shape id="Shape 22058" style="position:absolute;width:0;height:1905;left:2985;top:1080;" coordsize="0,190500" path="m0,0l0,1905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14:anchorId="7F0C944E" wp14:editId="20A25DEA">
              <wp:simplePos x="0" y="0"/>
              <wp:positionH relativeFrom="page">
                <wp:posOffset>5698503</wp:posOffset>
              </wp:positionH>
              <wp:positionV relativeFrom="page">
                <wp:posOffset>8218501</wp:posOffset>
              </wp:positionV>
              <wp:extent cx="298501" cy="298500"/>
              <wp:effectExtent l="0" t="0" r="0" b="0"/>
              <wp:wrapSquare wrapText="bothSides"/>
              <wp:docPr id="22059" name="Group 22059"/>
              <wp:cNvGraphicFramePr/>
              <a:graphic xmlns:a="http://schemas.openxmlformats.org/drawingml/2006/main">
                <a:graphicData uri="http://schemas.microsoft.com/office/word/2010/wordprocessingGroup">
                  <wpg:wgp>
                    <wpg:cNvGrpSpPr/>
                    <wpg:grpSpPr>
                      <a:xfrm>
                        <a:off x="0" y="0"/>
                        <a:ext cx="298501" cy="298500"/>
                        <a:chOff x="0" y="0"/>
                        <a:chExt cx="298501" cy="298500"/>
                      </a:xfrm>
                    </wpg:grpSpPr>
                    <wps:wsp>
                      <wps:cNvPr id="22060" name="Shape 22060"/>
                      <wps:cNvSpPr/>
                      <wps:spPr>
                        <a:xfrm>
                          <a:off x="108001"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061" name="Shape 22061"/>
                      <wps:cNvSpPr/>
                      <wps:spPr>
                        <a:xfrm>
                          <a:off x="0" y="1080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59" style="width:23.504pt;height:23.504pt;position:absolute;mso-position-horizontal-relative:page;mso-position-horizontal:absolute;margin-left:448.701pt;mso-position-vertical-relative:page;margin-top:647.126pt;" coordsize="2985,2985">
              <v:shape id="Shape 22060" style="position:absolute;width:1905;height:0;left:1080;top:0;" coordsize="190500,0" path="m0,0l190500,0">
                <v:stroke weight="0.25pt" endcap="flat" joinstyle="miter" miterlimit="10" on="true" color="#000000"/>
                <v:fill on="false" color="#000000" opacity="0"/>
              </v:shape>
              <v:shape id="Shape 22061" style="position:absolute;width:0;height:1905;left:0;top:1080;" coordsize="0,190500" path="m0,0l0,190500">
                <v:stroke weight="0.25pt" endcap="flat" joinstyle="miter" miterlimit="10" on="true" color="#000000"/>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CAF1" w14:textId="77777777" w:rsidR="00EF544B" w:rsidRDefault="00951809">
    <w:pPr>
      <w:spacing w:after="0" w:line="259" w:lineRule="auto"/>
      <w:ind w:left="-1440" w:right="8004" w:firstLine="0"/>
      <w:jc w:val="left"/>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14:anchorId="3F23FA55" wp14:editId="624767BE">
              <wp:simplePos x="0" y="0"/>
              <wp:positionH relativeFrom="page">
                <wp:posOffset>0</wp:posOffset>
              </wp:positionH>
              <wp:positionV relativeFrom="page">
                <wp:posOffset>8218501</wp:posOffset>
              </wp:positionV>
              <wp:extent cx="298501" cy="298500"/>
              <wp:effectExtent l="0" t="0" r="0" b="0"/>
              <wp:wrapSquare wrapText="bothSides"/>
              <wp:docPr id="22036" name="Group 22036"/>
              <wp:cNvGraphicFramePr/>
              <a:graphic xmlns:a="http://schemas.openxmlformats.org/drawingml/2006/main">
                <a:graphicData uri="http://schemas.microsoft.com/office/word/2010/wordprocessingGroup">
                  <wpg:wgp>
                    <wpg:cNvGrpSpPr/>
                    <wpg:grpSpPr>
                      <a:xfrm>
                        <a:off x="0" y="0"/>
                        <a:ext cx="298501" cy="298500"/>
                        <a:chOff x="0" y="0"/>
                        <a:chExt cx="298501" cy="298500"/>
                      </a:xfrm>
                    </wpg:grpSpPr>
                    <wps:wsp>
                      <wps:cNvPr id="22037" name="Shape 22037"/>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038" name="Shape 22038"/>
                      <wps:cNvSpPr/>
                      <wps:spPr>
                        <a:xfrm>
                          <a:off x="298501" y="1080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36" style="width:23.504pt;height:23.504pt;position:absolute;mso-position-horizontal-relative:page;mso-position-horizontal:absolute;margin-left:0pt;mso-position-vertical-relative:page;margin-top:647.126pt;" coordsize="2985,2985">
              <v:shape id="Shape 22037" style="position:absolute;width:1905;height:0;left:0;top:0;" coordsize="190500,0" path="m190500,0l0,0">
                <v:stroke weight="0.25pt" endcap="flat" joinstyle="miter" miterlimit="10" on="true" color="#000000"/>
                <v:fill on="false" color="#000000" opacity="0"/>
              </v:shape>
              <v:shape id="Shape 22038" style="position:absolute;width:0;height:1905;left:2985;top:1080;" coordsize="0,190500" path="m0,0l0,1905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14:anchorId="6863CE32" wp14:editId="57EA3CC3">
              <wp:simplePos x="0" y="0"/>
              <wp:positionH relativeFrom="page">
                <wp:posOffset>5698503</wp:posOffset>
              </wp:positionH>
              <wp:positionV relativeFrom="page">
                <wp:posOffset>8218501</wp:posOffset>
              </wp:positionV>
              <wp:extent cx="298501" cy="298500"/>
              <wp:effectExtent l="0" t="0" r="0" b="0"/>
              <wp:wrapSquare wrapText="bothSides"/>
              <wp:docPr id="22039" name="Group 22039"/>
              <wp:cNvGraphicFramePr/>
              <a:graphic xmlns:a="http://schemas.openxmlformats.org/drawingml/2006/main">
                <a:graphicData uri="http://schemas.microsoft.com/office/word/2010/wordprocessingGroup">
                  <wpg:wgp>
                    <wpg:cNvGrpSpPr/>
                    <wpg:grpSpPr>
                      <a:xfrm>
                        <a:off x="0" y="0"/>
                        <a:ext cx="298501" cy="298500"/>
                        <a:chOff x="0" y="0"/>
                        <a:chExt cx="298501" cy="298500"/>
                      </a:xfrm>
                    </wpg:grpSpPr>
                    <wps:wsp>
                      <wps:cNvPr id="22040" name="Shape 22040"/>
                      <wps:cNvSpPr/>
                      <wps:spPr>
                        <a:xfrm>
                          <a:off x="108001"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041" name="Shape 22041"/>
                      <wps:cNvSpPr/>
                      <wps:spPr>
                        <a:xfrm>
                          <a:off x="0" y="1080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39" style="width:23.504pt;height:23.504pt;position:absolute;mso-position-horizontal-relative:page;mso-position-horizontal:absolute;margin-left:448.701pt;mso-position-vertical-relative:page;margin-top:647.126pt;" coordsize="2985,2985">
              <v:shape id="Shape 22040" style="position:absolute;width:1905;height:0;left:1080;top:0;" coordsize="190500,0" path="m0,0l190500,0">
                <v:stroke weight="0.25pt" endcap="flat" joinstyle="miter" miterlimit="10" on="true" color="#000000"/>
                <v:fill on="false" color="#000000" opacity="0"/>
              </v:shape>
              <v:shape id="Shape 22041" style="position:absolute;width:0;height:1905;left:0;top:1080;" coordsize="0,190500" path="m0,0l0,190500">
                <v:stroke weight="0.25pt" endcap="flat" joinstyle="miter" miterlimit="10" on="true" color="#000000"/>
                <v:fill on="false" color="#000000" opacity="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3E70" w14:textId="77777777" w:rsidR="00EF544B" w:rsidRDefault="00951809">
    <w:pPr>
      <w:spacing w:after="0" w:line="259" w:lineRule="auto"/>
      <w:ind w:left="-1604" w:right="7843" w:firstLine="0"/>
      <w:jc w:val="left"/>
    </w:pPr>
    <w:r>
      <w:rPr>
        <w:rFonts w:ascii="Calibri" w:eastAsia="Calibri" w:hAnsi="Calibri" w:cs="Calibri"/>
        <w:noProof/>
        <w:color w:val="000000"/>
        <w:sz w:val="22"/>
      </w:rPr>
      <mc:AlternateContent>
        <mc:Choice Requires="wpg">
          <w:drawing>
            <wp:anchor distT="0" distB="0" distL="114300" distR="114300" simplePos="0" relativeHeight="251676672" behindDoc="0" locked="0" layoutInCell="1" allowOverlap="1" wp14:anchorId="0C2E01C3" wp14:editId="5C06415F">
              <wp:simplePos x="0" y="0"/>
              <wp:positionH relativeFrom="page">
                <wp:posOffset>0</wp:posOffset>
              </wp:positionH>
              <wp:positionV relativeFrom="page">
                <wp:posOffset>8218501</wp:posOffset>
              </wp:positionV>
              <wp:extent cx="298501" cy="298500"/>
              <wp:effectExtent l="0" t="0" r="0" b="0"/>
              <wp:wrapSquare wrapText="bothSides"/>
              <wp:docPr id="22137" name="Group 22137"/>
              <wp:cNvGraphicFramePr/>
              <a:graphic xmlns:a="http://schemas.openxmlformats.org/drawingml/2006/main">
                <a:graphicData uri="http://schemas.microsoft.com/office/word/2010/wordprocessingGroup">
                  <wpg:wgp>
                    <wpg:cNvGrpSpPr/>
                    <wpg:grpSpPr>
                      <a:xfrm>
                        <a:off x="0" y="0"/>
                        <a:ext cx="298501" cy="298500"/>
                        <a:chOff x="0" y="0"/>
                        <a:chExt cx="298501" cy="298500"/>
                      </a:xfrm>
                    </wpg:grpSpPr>
                    <wps:wsp>
                      <wps:cNvPr id="22138" name="Shape 22138"/>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139" name="Shape 22139"/>
                      <wps:cNvSpPr/>
                      <wps:spPr>
                        <a:xfrm>
                          <a:off x="298501" y="1080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137" style="width:23.504pt;height:23.504pt;position:absolute;mso-position-horizontal-relative:page;mso-position-horizontal:absolute;margin-left:0pt;mso-position-vertical-relative:page;margin-top:647.126pt;" coordsize="2985,2985">
              <v:shape id="Shape 22138" style="position:absolute;width:1905;height:0;left:0;top:0;" coordsize="190500,0" path="m190500,0l0,0">
                <v:stroke weight="0.25pt" endcap="flat" joinstyle="miter" miterlimit="10" on="true" color="#000000"/>
                <v:fill on="false" color="#000000" opacity="0"/>
              </v:shape>
              <v:shape id="Shape 22139" style="position:absolute;width:0;height:1905;left:2985;top:1080;" coordsize="0,190500" path="m0,0l0,1905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7696" behindDoc="0" locked="0" layoutInCell="1" allowOverlap="1" wp14:anchorId="7706C7CE" wp14:editId="5A2C120F">
              <wp:simplePos x="0" y="0"/>
              <wp:positionH relativeFrom="page">
                <wp:posOffset>5698503</wp:posOffset>
              </wp:positionH>
              <wp:positionV relativeFrom="page">
                <wp:posOffset>8218501</wp:posOffset>
              </wp:positionV>
              <wp:extent cx="298501" cy="298500"/>
              <wp:effectExtent l="0" t="0" r="0" b="0"/>
              <wp:wrapSquare wrapText="bothSides"/>
              <wp:docPr id="22140" name="Group 22140"/>
              <wp:cNvGraphicFramePr/>
              <a:graphic xmlns:a="http://schemas.openxmlformats.org/drawingml/2006/main">
                <a:graphicData uri="http://schemas.microsoft.com/office/word/2010/wordprocessingGroup">
                  <wpg:wgp>
                    <wpg:cNvGrpSpPr/>
                    <wpg:grpSpPr>
                      <a:xfrm>
                        <a:off x="0" y="0"/>
                        <a:ext cx="298501" cy="298500"/>
                        <a:chOff x="0" y="0"/>
                        <a:chExt cx="298501" cy="298500"/>
                      </a:xfrm>
                    </wpg:grpSpPr>
                    <wps:wsp>
                      <wps:cNvPr id="22141" name="Shape 22141"/>
                      <wps:cNvSpPr/>
                      <wps:spPr>
                        <a:xfrm>
                          <a:off x="108001"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142" name="Shape 22142"/>
                      <wps:cNvSpPr/>
                      <wps:spPr>
                        <a:xfrm>
                          <a:off x="0" y="1080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140" style="width:23.504pt;height:23.504pt;position:absolute;mso-position-horizontal-relative:page;mso-position-horizontal:absolute;margin-left:448.701pt;mso-position-vertical-relative:page;margin-top:647.126pt;" coordsize="2985,2985">
              <v:shape id="Shape 22141" style="position:absolute;width:1905;height:0;left:1080;top:0;" coordsize="190500,0" path="m0,0l190500,0">
                <v:stroke weight="0.25pt" endcap="flat" joinstyle="miter" miterlimit="10" on="true" color="#000000"/>
                <v:fill on="false" color="#000000" opacity="0"/>
              </v:shape>
              <v:shape id="Shape 22142" style="position:absolute;width:0;height:1905;left:0;top:1080;" coordsize="0,190500" path="m0,0l0,190500">
                <v:stroke weight="0.25pt" endcap="flat" joinstyle="miter" miterlimit="10" on="true" color="#000000"/>
                <v:fill on="false" color="#000000" opacity="0"/>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841C" w14:textId="77777777" w:rsidR="00EF544B" w:rsidRDefault="00951809">
    <w:pPr>
      <w:spacing w:after="0" w:line="259" w:lineRule="auto"/>
      <w:ind w:left="-1604" w:right="7843" w:firstLine="0"/>
      <w:jc w:val="left"/>
    </w:pPr>
    <w:r>
      <w:rPr>
        <w:rFonts w:ascii="Calibri" w:eastAsia="Calibri" w:hAnsi="Calibri" w:cs="Calibri"/>
        <w:noProof/>
        <w:color w:val="000000"/>
        <w:sz w:val="22"/>
      </w:rPr>
      <mc:AlternateContent>
        <mc:Choice Requires="wpg">
          <w:drawing>
            <wp:anchor distT="0" distB="0" distL="114300" distR="114300" simplePos="0" relativeHeight="251678720" behindDoc="0" locked="0" layoutInCell="1" allowOverlap="1" wp14:anchorId="67BDBCC3" wp14:editId="74FF7395">
              <wp:simplePos x="0" y="0"/>
              <wp:positionH relativeFrom="page">
                <wp:posOffset>0</wp:posOffset>
              </wp:positionH>
              <wp:positionV relativeFrom="page">
                <wp:posOffset>8218501</wp:posOffset>
              </wp:positionV>
              <wp:extent cx="298501" cy="298500"/>
              <wp:effectExtent l="0" t="0" r="0" b="0"/>
              <wp:wrapSquare wrapText="bothSides"/>
              <wp:docPr id="22117" name="Group 22117"/>
              <wp:cNvGraphicFramePr/>
              <a:graphic xmlns:a="http://schemas.openxmlformats.org/drawingml/2006/main">
                <a:graphicData uri="http://schemas.microsoft.com/office/word/2010/wordprocessingGroup">
                  <wpg:wgp>
                    <wpg:cNvGrpSpPr/>
                    <wpg:grpSpPr>
                      <a:xfrm>
                        <a:off x="0" y="0"/>
                        <a:ext cx="298501" cy="298500"/>
                        <a:chOff x="0" y="0"/>
                        <a:chExt cx="298501" cy="298500"/>
                      </a:xfrm>
                    </wpg:grpSpPr>
                    <wps:wsp>
                      <wps:cNvPr id="22118" name="Shape 22118"/>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119" name="Shape 22119"/>
                      <wps:cNvSpPr/>
                      <wps:spPr>
                        <a:xfrm>
                          <a:off x="298501" y="1080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117" style="width:23.504pt;height:23.504pt;position:absolute;mso-position-horizontal-relative:page;mso-position-horizontal:absolute;margin-left:0pt;mso-position-vertical-relative:page;margin-top:647.126pt;" coordsize="2985,2985">
              <v:shape id="Shape 22118" style="position:absolute;width:1905;height:0;left:0;top:0;" coordsize="190500,0" path="m190500,0l0,0">
                <v:stroke weight="0.25pt" endcap="flat" joinstyle="miter" miterlimit="10" on="true" color="#000000"/>
                <v:fill on="false" color="#000000" opacity="0"/>
              </v:shape>
              <v:shape id="Shape 22119" style="position:absolute;width:0;height:1905;left:2985;top:1080;" coordsize="0,190500" path="m0,0l0,1905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9744" behindDoc="0" locked="0" layoutInCell="1" allowOverlap="1" wp14:anchorId="070206CE" wp14:editId="73CBC10F">
              <wp:simplePos x="0" y="0"/>
              <wp:positionH relativeFrom="page">
                <wp:posOffset>5698503</wp:posOffset>
              </wp:positionH>
              <wp:positionV relativeFrom="page">
                <wp:posOffset>8218501</wp:posOffset>
              </wp:positionV>
              <wp:extent cx="298501" cy="298500"/>
              <wp:effectExtent l="0" t="0" r="0" b="0"/>
              <wp:wrapSquare wrapText="bothSides"/>
              <wp:docPr id="22120" name="Group 22120"/>
              <wp:cNvGraphicFramePr/>
              <a:graphic xmlns:a="http://schemas.openxmlformats.org/drawingml/2006/main">
                <a:graphicData uri="http://schemas.microsoft.com/office/word/2010/wordprocessingGroup">
                  <wpg:wgp>
                    <wpg:cNvGrpSpPr/>
                    <wpg:grpSpPr>
                      <a:xfrm>
                        <a:off x="0" y="0"/>
                        <a:ext cx="298501" cy="298500"/>
                        <a:chOff x="0" y="0"/>
                        <a:chExt cx="298501" cy="298500"/>
                      </a:xfrm>
                    </wpg:grpSpPr>
                    <wps:wsp>
                      <wps:cNvPr id="22121" name="Shape 22121"/>
                      <wps:cNvSpPr/>
                      <wps:spPr>
                        <a:xfrm>
                          <a:off x="108001"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122" name="Shape 22122"/>
                      <wps:cNvSpPr/>
                      <wps:spPr>
                        <a:xfrm>
                          <a:off x="0" y="1080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120" style="width:23.504pt;height:23.504pt;position:absolute;mso-position-horizontal-relative:page;mso-position-horizontal:absolute;margin-left:448.701pt;mso-position-vertical-relative:page;margin-top:647.126pt;" coordsize="2985,2985">
              <v:shape id="Shape 22121" style="position:absolute;width:1905;height:0;left:1080;top:0;" coordsize="190500,0" path="m0,0l190500,0">
                <v:stroke weight="0.25pt" endcap="flat" joinstyle="miter" miterlimit="10" on="true" color="#000000"/>
                <v:fill on="false" color="#000000" opacity="0"/>
              </v:shape>
              <v:shape id="Shape 22122" style="position:absolute;width:0;height:1905;left:0;top:1080;" coordsize="0,190500" path="m0,0l0,190500">
                <v:stroke weight="0.25pt" endcap="flat" joinstyle="miter" miterlimit="10" on="true" color="#000000"/>
                <v:fill on="false" color="#000000" opacity="0"/>
              </v:shape>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1013" w14:textId="77777777" w:rsidR="00EF544B" w:rsidRDefault="00951809">
    <w:pPr>
      <w:spacing w:after="0" w:line="259" w:lineRule="auto"/>
      <w:ind w:left="-1604" w:right="7843" w:firstLine="0"/>
      <w:jc w:val="left"/>
    </w:pPr>
    <w:r>
      <w:rPr>
        <w:rFonts w:ascii="Calibri" w:eastAsia="Calibri" w:hAnsi="Calibri" w:cs="Calibri"/>
        <w:noProof/>
        <w:color w:val="000000"/>
        <w:sz w:val="22"/>
      </w:rPr>
      <mc:AlternateContent>
        <mc:Choice Requires="wpg">
          <w:drawing>
            <wp:anchor distT="0" distB="0" distL="114300" distR="114300" simplePos="0" relativeHeight="251680768" behindDoc="0" locked="0" layoutInCell="1" allowOverlap="1" wp14:anchorId="0C965C23" wp14:editId="7F595199">
              <wp:simplePos x="0" y="0"/>
              <wp:positionH relativeFrom="page">
                <wp:posOffset>0</wp:posOffset>
              </wp:positionH>
              <wp:positionV relativeFrom="page">
                <wp:posOffset>8218501</wp:posOffset>
              </wp:positionV>
              <wp:extent cx="298501" cy="298500"/>
              <wp:effectExtent l="0" t="0" r="0" b="0"/>
              <wp:wrapSquare wrapText="bothSides"/>
              <wp:docPr id="22097" name="Group 22097"/>
              <wp:cNvGraphicFramePr/>
              <a:graphic xmlns:a="http://schemas.openxmlformats.org/drawingml/2006/main">
                <a:graphicData uri="http://schemas.microsoft.com/office/word/2010/wordprocessingGroup">
                  <wpg:wgp>
                    <wpg:cNvGrpSpPr/>
                    <wpg:grpSpPr>
                      <a:xfrm>
                        <a:off x="0" y="0"/>
                        <a:ext cx="298501" cy="298500"/>
                        <a:chOff x="0" y="0"/>
                        <a:chExt cx="298501" cy="298500"/>
                      </a:xfrm>
                    </wpg:grpSpPr>
                    <wps:wsp>
                      <wps:cNvPr id="22098" name="Shape 22098"/>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099" name="Shape 22099"/>
                      <wps:cNvSpPr/>
                      <wps:spPr>
                        <a:xfrm>
                          <a:off x="298501" y="1080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97" style="width:23.504pt;height:23.504pt;position:absolute;mso-position-horizontal-relative:page;mso-position-horizontal:absolute;margin-left:0pt;mso-position-vertical-relative:page;margin-top:647.126pt;" coordsize="2985,2985">
              <v:shape id="Shape 22098" style="position:absolute;width:1905;height:0;left:0;top:0;" coordsize="190500,0" path="m190500,0l0,0">
                <v:stroke weight="0.25pt" endcap="flat" joinstyle="miter" miterlimit="10" on="true" color="#000000"/>
                <v:fill on="false" color="#000000" opacity="0"/>
              </v:shape>
              <v:shape id="Shape 22099" style="position:absolute;width:0;height:1905;left:2985;top:1080;" coordsize="0,190500" path="m0,0l0,1905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81792" behindDoc="0" locked="0" layoutInCell="1" allowOverlap="1" wp14:anchorId="209C6534" wp14:editId="2AE330DE">
              <wp:simplePos x="0" y="0"/>
              <wp:positionH relativeFrom="page">
                <wp:posOffset>5698503</wp:posOffset>
              </wp:positionH>
              <wp:positionV relativeFrom="page">
                <wp:posOffset>8218501</wp:posOffset>
              </wp:positionV>
              <wp:extent cx="298501" cy="298500"/>
              <wp:effectExtent l="0" t="0" r="0" b="0"/>
              <wp:wrapSquare wrapText="bothSides"/>
              <wp:docPr id="22100" name="Group 22100"/>
              <wp:cNvGraphicFramePr/>
              <a:graphic xmlns:a="http://schemas.openxmlformats.org/drawingml/2006/main">
                <a:graphicData uri="http://schemas.microsoft.com/office/word/2010/wordprocessingGroup">
                  <wpg:wgp>
                    <wpg:cNvGrpSpPr/>
                    <wpg:grpSpPr>
                      <a:xfrm>
                        <a:off x="0" y="0"/>
                        <a:ext cx="298501" cy="298500"/>
                        <a:chOff x="0" y="0"/>
                        <a:chExt cx="298501" cy="298500"/>
                      </a:xfrm>
                    </wpg:grpSpPr>
                    <wps:wsp>
                      <wps:cNvPr id="22101" name="Shape 22101"/>
                      <wps:cNvSpPr/>
                      <wps:spPr>
                        <a:xfrm>
                          <a:off x="108001"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102" name="Shape 22102"/>
                      <wps:cNvSpPr/>
                      <wps:spPr>
                        <a:xfrm>
                          <a:off x="0" y="1080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100" style="width:23.504pt;height:23.504pt;position:absolute;mso-position-horizontal-relative:page;mso-position-horizontal:absolute;margin-left:448.701pt;mso-position-vertical-relative:page;margin-top:647.126pt;" coordsize="2985,2985">
              <v:shape id="Shape 22101" style="position:absolute;width:1905;height:0;left:1080;top:0;" coordsize="190500,0" path="m0,0l190500,0">
                <v:stroke weight="0.25pt" endcap="flat" joinstyle="miter" miterlimit="10" on="true" color="#000000"/>
                <v:fill on="false" color="#000000" opacity="0"/>
              </v:shape>
              <v:shape id="Shape 22102" style="position:absolute;width:0;height:1905;left:0;top:1080;" coordsize="0,190500" path="m0,0l0,190500">
                <v:stroke weight="0.25pt" endcap="flat" joinstyle="miter" miterlimit="10" on="true" color="#000000"/>
                <v:fill on="false" color="#000000" opacity="0"/>
              </v:shape>
              <w10:wrap type="squar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2A00" w14:textId="77777777" w:rsidR="00EF544B" w:rsidRDefault="00951809">
    <w:pPr>
      <w:spacing w:after="0" w:line="259" w:lineRule="auto"/>
      <w:ind w:left="-1604" w:right="7842" w:firstLine="0"/>
      <w:jc w:val="left"/>
    </w:pPr>
    <w:r>
      <w:rPr>
        <w:rFonts w:ascii="Calibri" w:eastAsia="Calibri" w:hAnsi="Calibri" w:cs="Calibri"/>
        <w:noProof/>
        <w:color w:val="000000"/>
        <w:sz w:val="22"/>
      </w:rPr>
      <mc:AlternateContent>
        <mc:Choice Requires="wpg">
          <w:drawing>
            <wp:anchor distT="0" distB="0" distL="114300" distR="114300" simplePos="0" relativeHeight="251688960" behindDoc="0" locked="0" layoutInCell="1" allowOverlap="1" wp14:anchorId="547ADF7D" wp14:editId="08DC9541">
              <wp:simplePos x="0" y="0"/>
              <wp:positionH relativeFrom="page">
                <wp:posOffset>0</wp:posOffset>
              </wp:positionH>
              <wp:positionV relativeFrom="page">
                <wp:posOffset>8218501</wp:posOffset>
              </wp:positionV>
              <wp:extent cx="298501" cy="298500"/>
              <wp:effectExtent l="0" t="0" r="0" b="0"/>
              <wp:wrapSquare wrapText="bothSides"/>
              <wp:docPr id="22214" name="Group 22214"/>
              <wp:cNvGraphicFramePr/>
              <a:graphic xmlns:a="http://schemas.openxmlformats.org/drawingml/2006/main">
                <a:graphicData uri="http://schemas.microsoft.com/office/word/2010/wordprocessingGroup">
                  <wpg:wgp>
                    <wpg:cNvGrpSpPr/>
                    <wpg:grpSpPr>
                      <a:xfrm>
                        <a:off x="0" y="0"/>
                        <a:ext cx="298501" cy="298500"/>
                        <a:chOff x="0" y="0"/>
                        <a:chExt cx="298501" cy="298500"/>
                      </a:xfrm>
                    </wpg:grpSpPr>
                    <wps:wsp>
                      <wps:cNvPr id="22215" name="Shape 22215"/>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216" name="Shape 22216"/>
                      <wps:cNvSpPr/>
                      <wps:spPr>
                        <a:xfrm>
                          <a:off x="298501" y="1080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214" style="width:23.504pt;height:23.504pt;position:absolute;mso-position-horizontal-relative:page;mso-position-horizontal:absolute;margin-left:0pt;mso-position-vertical-relative:page;margin-top:647.126pt;" coordsize="2985,2985">
              <v:shape id="Shape 22215" style="position:absolute;width:1905;height:0;left:0;top:0;" coordsize="190500,0" path="m190500,0l0,0">
                <v:stroke weight="0.25pt" endcap="flat" joinstyle="miter" miterlimit="10" on="true" color="#000000"/>
                <v:fill on="false" color="#000000" opacity="0"/>
              </v:shape>
              <v:shape id="Shape 22216" style="position:absolute;width:0;height:1905;left:2985;top:1080;" coordsize="0,190500" path="m0,0l0,1905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89984" behindDoc="0" locked="0" layoutInCell="1" allowOverlap="1" wp14:anchorId="1156A619" wp14:editId="442ECB7F">
              <wp:simplePos x="0" y="0"/>
              <wp:positionH relativeFrom="page">
                <wp:posOffset>5698503</wp:posOffset>
              </wp:positionH>
              <wp:positionV relativeFrom="page">
                <wp:posOffset>8218501</wp:posOffset>
              </wp:positionV>
              <wp:extent cx="298501" cy="298500"/>
              <wp:effectExtent l="0" t="0" r="0" b="0"/>
              <wp:wrapSquare wrapText="bothSides"/>
              <wp:docPr id="22217" name="Group 22217"/>
              <wp:cNvGraphicFramePr/>
              <a:graphic xmlns:a="http://schemas.openxmlformats.org/drawingml/2006/main">
                <a:graphicData uri="http://schemas.microsoft.com/office/word/2010/wordprocessingGroup">
                  <wpg:wgp>
                    <wpg:cNvGrpSpPr/>
                    <wpg:grpSpPr>
                      <a:xfrm>
                        <a:off x="0" y="0"/>
                        <a:ext cx="298501" cy="298500"/>
                        <a:chOff x="0" y="0"/>
                        <a:chExt cx="298501" cy="298500"/>
                      </a:xfrm>
                    </wpg:grpSpPr>
                    <wps:wsp>
                      <wps:cNvPr id="22218" name="Shape 22218"/>
                      <wps:cNvSpPr/>
                      <wps:spPr>
                        <a:xfrm>
                          <a:off x="108001"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219" name="Shape 22219"/>
                      <wps:cNvSpPr/>
                      <wps:spPr>
                        <a:xfrm>
                          <a:off x="0" y="1080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217" style="width:23.504pt;height:23.504pt;position:absolute;mso-position-horizontal-relative:page;mso-position-horizontal:absolute;margin-left:448.701pt;mso-position-vertical-relative:page;margin-top:647.126pt;" coordsize="2985,2985">
              <v:shape id="Shape 22218" style="position:absolute;width:1905;height:0;left:1080;top:0;" coordsize="190500,0" path="m0,0l190500,0">
                <v:stroke weight="0.25pt" endcap="flat" joinstyle="miter" miterlimit="10" on="true" color="#000000"/>
                <v:fill on="false" color="#000000" opacity="0"/>
              </v:shape>
              <v:shape id="Shape 22219" style="position:absolute;width:0;height:1905;left:0;top:1080;" coordsize="0,190500" path="m0,0l0,190500">
                <v:stroke weight="0.25pt" endcap="flat" joinstyle="miter" miterlimit="10" on="true" color="#000000"/>
                <v:fill on="false" color="#000000" opacity="0"/>
              </v:shape>
              <w10:wrap type="squar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85C" w14:textId="77777777" w:rsidR="00EF544B" w:rsidRDefault="00951809">
    <w:pPr>
      <w:spacing w:after="0" w:line="259" w:lineRule="auto"/>
      <w:ind w:left="-1604" w:right="7842" w:firstLine="0"/>
      <w:jc w:val="left"/>
    </w:pPr>
    <w:r>
      <w:rPr>
        <w:rFonts w:ascii="Calibri" w:eastAsia="Calibri" w:hAnsi="Calibri" w:cs="Calibri"/>
        <w:noProof/>
        <w:color w:val="000000"/>
        <w:sz w:val="22"/>
      </w:rPr>
      <mc:AlternateContent>
        <mc:Choice Requires="wpg">
          <w:drawing>
            <wp:anchor distT="0" distB="0" distL="114300" distR="114300" simplePos="0" relativeHeight="251691008" behindDoc="0" locked="0" layoutInCell="1" allowOverlap="1" wp14:anchorId="5241ACBD" wp14:editId="3C8CB430">
              <wp:simplePos x="0" y="0"/>
              <wp:positionH relativeFrom="page">
                <wp:posOffset>0</wp:posOffset>
              </wp:positionH>
              <wp:positionV relativeFrom="page">
                <wp:posOffset>8218501</wp:posOffset>
              </wp:positionV>
              <wp:extent cx="298501" cy="298500"/>
              <wp:effectExtent l="0" t="0" r="0" b="0"/>
              <wp:wrapSquare wrapText="bothSides"/>
              <wp:docPr id="22189" name="Group 22189"/>
              <wp:cNvGraphicFramePr/>
              <a:graphic xmlns:a="http://schemas.openxmlformats.org/drawingml/2006/main">
                <a:graphicData uri="http://schemas.microsoft.com/office/word/2010/wordprocessingGroup">
                  <wpg:wgp>
                    <wpg:cNvGrpSpPr/>
                    <wpg:grpSpPr>
                      <a:xfrm>
                        <a:off x="0" y="0"/>
                        <a:ext cx="298501" cy="298500"/>
                        <a:chOff x="0" y="0"/>
                        <a:chExt cx="298501" cy="298500"/>
                      </a:xfrm>
                    </wpg:grpSpPr>
                    <wps:wsp>
                      <wps:cNvPr id="22190" name="Shape 22190"/>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191" name="Shape 22191"/>
                      <wps:cNvSpPr/>
                      <wps:spPr>
                        <a:xfrm>
                          <a:off x="298501" y="1080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189" style="width:23.504pt;height:23.504pt;position:absolute;mso-position-horizontal-relative:page;mso-position-horizontal:absolute;margin-left:0pt;mso-position-vertical-relative:page;margin-top:647.126pt;" coordsize="2985,2985">
              <v:shape id="Shape 22190" style="position:absolute;width:1905;height:0;left:0;top:0;" coordsize="190500,0" path="m190500,0l0,0">
                <v:stroke weight="0.25pt" endcap="flat" joinstyle="miter" miterlimit="10" on="true" color="#000000"/>
                <v:fill on="false" color="#000000" opacity="0"/>
              </v:shape>
              <v:shape id="Shape 22191" style="position:absolute;width:0;height:1905;left:2985;top:1080;" coordsize="0,190500" path="m0,0l0,1905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92032" behindDoc="0" locked="0" layoutInCell="1" allowOverlap="1" wp14:anchorId="7CE973FE" wp14:editId="2313E052">
              <wp:simplePos x="0" y="0"/>
              <wp:positionH relativeFrom="page">
                <wp:posOffset>5698503</wp:posOffset>
              </wp:positionH>
              <wp:positionV relativeFrom="page">
                <wp:posOffset>8218501</wp:posOffset>
              </wp:positionV>
              <wp:extent cx="298501" cy="298500"/>
              <wp:effectExtent l="0" t="0" r="0" b="0"/>
              <wp:wrapSquare wrapText="bothSides"/>
              <wp:docPr id="22192" name="Group 22192"/>
              <wp:cNvGraphicFramePr/>
              <a:graphic xmlns:a="http://schemas.openxmlformats.org/drawingml/2006/main">
                <a:graphicData uri="http://schemas.microsoft.com/office/word/2010/wordprocessingGroup">
                  <wpg:wgp>
                    <wpg:cNvGrpSpPr/>
                    <wpg:grpSpPr>
                      <a:xfrm>
                        <a:off x="0" y="0"/>
                        <a:ext cx="298501" cy="298500"/>
                        <a:chOff x="0" y="0"/>
                        <a:chExt cx="298501" cy="298500"/>
                      </a:xfrm>
                    </wpg:grpSpPr>
                    <wps:wsp>
                      <wps:cNvPr id="22193" name="Shape 22193"/>
                      <wps:cNvSpPr/>
                      <wps:spPr>
                        <a:xfrm>
                          <a:off x="108001"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194" name="Shape 22194"/>
                      <wps:cNvSpPr/>
                      <wps:spPr>
                        <a:xfrm>
                          <a:off x="0" y="1080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192" style="width:23.504pt;height:23.504pt;position:absolute;mso-position-horizontal-relative:page;mso-position-horizontal:absolute;margin-left:448.701pt;mso-position-vertical-relative:page;margin-top:647.126pt;" coordsize="2985,2985">
              <v:shape id="Shape 22193" style="position:absolute;width:1905;height:0;left:1080;top:0;" coordsize="190500,0" path="m0,0l190500,0">
                <v:stroke weight="0.25pt" endcap="flat" joinstyle="miter" miterlimit="10" on="true" color="#000000"/>
                <v:fill on="false" color="#000000" opacity="0"/>
              </v:shape>
              <v:shape id="Shape 22194" style="position:absolute;width:0;height:1905;left:0;top:1080;" coordsize="0,190500" path="m0,0l0,190500">
                <v:stroke weight="0.25pt" endcap="flat" joinstyle="miter" miterlimit="10" on="true" color="#000000"/>
                <v:fill on="false" color="#000000" opacity="0"/>
              </v:shape>
              <w10:wrap type="square"/>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7C51" w14:textId="77777777" w:rsidR="00EF544B" w:rsidRDefault="00951809">
    <w:pPr>
      <w:spacing w:after="0" w:line="259" w:lineRule="auto"/>
      <w:ind w:left="-1604" w:right="7842" w:firstLine="0"/>
      <w:jc w:val="left"/>
    </w:pPr>
    <w:r>
      <w:rPr>
        <w:rFonts w:ascii="Calibri" w:eastAsia="Calibri" w:hAnsi="Calibri" w:cs="Calibri"/>
        <w:noProof/>
        <w:color w:val="000000"/>
        <w:sz w:val="22"/>
      </w:rPr>
      <mc:AlternateContent>
        <mc:Choice Requires="wpg">
          <w:drawing>
            <wp:anchor distT="0" distB="0" distL="114300" distR="114300" simplePos="0" relativeHeight="251693056" behindDoc="0" locked="0" layoutInCell="1" allowOverlap="1" wp14:anchorId="3DA7C2BE" wp14:editId="67E6D4A7">
              <wp:simplePos x="0" y="0"/>
              <wp:positionH relativeFrom="page">
                <wp:posOffset>0</wp:posOffset>
              </wp:positionH>
              <wp:positionV relativeFrom="page">
                <wp:posOffset>8218501</wp:posOffset>
              </wp:positionV>
              <wp:extent cx="298501" cy="298500"/>
              <wp:effectExtent l="0" t="0" r="0" b="0"/>
              <wp:wrapSquare wrapText="bothSides"/>
              <wp:docPr id="22163" name="Group 22163"/>
              <wp:cNvGraphicFramePr/>
              <a:graphic xmlns:a="http://schemas.openxmlformats.org/drawingml/2006/main">
                <a:graphicData uri="http://schemas.microsoft.com/office/word/2010/wordprocessingGroup">
                  <wpg:wgp>
                    <wpg:cNvGrpSpPr/>
                    <wpg:grpSpPr>
                      <a:xfrm>
                        <a:off x="0" y="0"/>
                        <a:ext cx="298501" cy="298500"/>
                        <a:chOff x="0" y="0"/>
                        <a:chExt cx="298501" cy="298500"/>
                      </a:xfrm>
                    </wpg:grpSpPr>
                    <wps:wsp>
                      <wps:cNvPr id="22164" name="Shape 22164"/>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165" name="Shape 22165"/>
                      <wps:cNvSpPr/>
                      <wps:spPr>
                        <a:xfrm>
                          <a:off x="298501" y="1080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163" style="width:23.504pt;height:23.504pt;position:absolute;mso-position-horizontal-relative:page;mso-position-horizontal:absolute;margin-left:0pt;mso-position-vertical-relative:page;margin-top:647.126pt;" coordsize="2985,2985">
              <v:shape id="Shape 22164" style="position:absolute;width:1905;height:0;left:0;top:0;" coordsize="190500,0" path="m190500,0l0,0">
                <v:stroke weight="0.25pt" endcap="flat" joinstyle="miter" miterlimit="10" on="true" color="#000000"/>
                <v:fill on="false" color="#000000" opacity="0"/>
              </v:shape>
              <v:shape id="Shape 22165" style="position:absolute;width:0;height:1905;left:2985;top:1080;" coordsize="0,190500" path="m0,0l0,1905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94080" behindDoc="0" locked="0" layoutInCell="1" allowOverlap="1" wp14:anchorId="1D78FE82" wp14:editId="45C89406">
              <wp:simplePos x="0" y="0"/>
              <wp:positionH relativeFrom="page">
                <wp:posOffset>5698503</wp:posOffset>
              </wp:positionH>
              <wp:positionV relativeFrom="page">
                <wp:posOffset>8218501</wp:posOffset>
              </wp:positionV>
              <wp:extent cx="298501" cy="298500"/>
              <wp:effectExtent l="0" t="0" r="0" b="0"/>
              <wp:wrapSquare wrapText="bothSides"/>
              <wp:docPr id="22166" name="Group 22166"/>
              <wp:cNvGraphicFramePr/>
              <a:graphic xmlns:a="http://schemas.openxmlformats.org/drawingml/2006/main">
                <a:graphicData uri="http://schemas.microsoft.com/office/word/2010/wordprocessingGroup">
                  <wpg:wgp>
                    <wpg:cNvGrpSpPr/>
                    <wpg:grpSpPr>
                      <a:xfrm>
                        <a:off x="0" y="0"/>
                        <a:ext cx="298501" cy="298500"/>
                        <a:chOff x="0" y="0"/>
                        <a:chExt cx="298501" cy="298500"/>
                      </a:xfrm>
                    </wpg:grpSpPr>
                    <wps:wsp>
                      <wps:cNvPr id="22167" name="Shape 22167"/>
                      <wps:cNvSpPr/>
                      <wps:spPr>
                        <a:xfrm>
                          <a:off x="108001"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168" name="Shape 22168"/>
                      <wps:cNvSpPr/>
                      <wps:spPr>
                        <a:xfrm>
                          <a:off x="0" y="1080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166" style="width:23.504pt;height:23.504pt;position:absolute;mso-position-horizontal-relative:page;mso-position-horizontal:absolute;margin-left:448.701pt;mso-position-vertical-relative:page;margin-top:647.126pt;" coordsize="2985,2985">
              <v:shape id="Shape 22167" style="position:absolute;width:1905;height:0;left:1080;top:0;" coordsize="190500,0" path="m0,0l190500,0">
                <v:stroke weight="0.25pt" endcap="flat" joinstyle="miter" miterlimit="10" on="true" color="#000000"/>
                <v:fill on="false" color="#000000" opacity="0"/>
              </v:shape>
              <v:shape id="Shape 22168" style="position:absolute;width:0;height:1905;left:0;top:1080;" coordsize="0,190500" path="m0,0l0,190500">
                <v:stroke weight="0.25pt" endcap="flat" joinstyle="miter" miterlimit="10" on="true" color="#000000"/>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87E5" w14:textId="77777777" w:rsidR="00EF544B" w:rsidRDefault="00951809">
      <w:pPr>
        <w:spacing w:after="0" w:line="234" w:lineRule="auto"/>
        <w:ind w:left="323" w:right="3" w:hanging="323"/>
      </w:pPr>
      <w:r>
        <w:separator/>
      </w:r>
    </w:p>
  </w:footnote>
  <w:footnote w:type="continuationSeparator" w:id="0">
    <w:p w14:paraId="3DF3F5A6" w14:textId="77777777" w:rsidR="00EF544B" w:rsidRDefault="00951809">
      <w:pPr>
        <w:spacing w:after="0" w:line="234" w:lineRule="auto"/>
        <w:ind w:left="323" w:right="3" w:hanging="323"/>
      </w:pPr>
      <w:r>
        <w:continuationSeparator/>
      </w:r>
    </w:p>
  </w:footnote>
  <w:footnote w:id="1">
    <w:p w14:paraId="36E9E679" w14:textId="77777777" w:rsidR="00EF544B" w:rsidRDefault="00951809">
      <w:pPr>
        <w:pStyle w:val="footnotedescription"/>
        <w:spacing w:line="234" w:lineRule="auto"/>
        <w:ind w:left="323" w:right="3" w:hanging="323"/>
        <w:jc w:val="both"/>
      </w:pPr>
      <w:r>
        <w:rPr>
          <w:rStyle w:val="footnotemark"/>
        </w:rPr>
        <w:footnoteRef/>
      </w:r>
      <w:r>
        <w:t xml:space="preserve"> </w:t>
      </w:r>
      <w:r>
        <w:t>Voir, par exemple, l ’article de Véronique Le Ru, « Le Scepticisme dans l ’</w:t>
      </w:r>
      <w:r>
        <w:rPr>
          <w:i/>
        </w:rPr>
        <w:t>Encyclopédie</w:t>
      </w:r>
      <w:r>
        <w:t xml:space="preserve"> de Diderot et d ’Alembert », </w:t>
      </w:r>
      <w:r>
        <w:rPr>
          <w:i/>
        </w:rPr>
        <w:t>Revue de métaphysique et de morale</w:t>
      </w:r>
      <w:r>
        <w:t xml:space="preserve">, 2010, LXC, 1, p. 75-92. Voir aussi Valentina </w:t>
      </w:r>
      <w:proofErr w:type="spellStart"/>
      <w:r>
        <w:t>Sperotto</w:t>
      </w:r>
      <w:proofErr w:type="spellEnd"/>
      <w:r>
        <w:t xml:space="preserve">, </w:t>
      </w:r>
      <w:r>
        <w:rPr>
          <w:i/>
        </w:rPr>
        <w:t xml:space="preserve">Le Scepticisme c </w:t>
      </w:r>
      <w:proofErr w:type="spellStart"/>
      <w:r>
        <w:rPr>
          <w:i/>
        </w:rPr>
        <w:t>omme</w:t>
      </w:r>
      <w:proofErr w:type="spellEnd"/>
      <w:r>
        <w:rPr>
          <w:i/>
        </w:rPr>
        <w:t xml:space="preserve"> méthode dans l’œuvre de De</w:t>
      </w:r>
      <w:r>
        <w:rPr>
          <w:i/>
        </w:rPr>
        <w:t xml:space="preserve">nis </w:t>
      </w:r>
      <w:proofErr w:type="gramStart"/>
      <w:r>
        <w:rPr>
          <w:i/>
        </w:rPr>
        <w:t xml:space="preserve">Diderot </w:t>
      </w:r>
      <w:r>
        <w:t>,</w:t>
      </w:r>
      <w:proofErr w:type="gramEnd"/>
      <w:r>
        <w:t xml:space="preserve"> Thèse de doctorat, Université de Trento/Université de Picardie Jules-Vernes, 2014.</w:t>
      </w:r>
    </w:p>
  </w:footnote>
  <w:footnote w:id="2">
    <w:p w14:paraId="463B70C5" w14:textId="77777777" w:rsidR="00EF544B" w:rsidRDefault="00951809">
      <w:pPr>
        <w:pStyle w:val="footnotedescription"/>
        <w:spacing w:line="232" w:lineRule="auto"/>
        <w:ind w:left="323" w:right="2" w:hanging="323"/>
        <w:jc w:val="both"/>
      </w:pPr>
      <w:r>
        <w:rPr>
          <w:rStyle w:val="footnotemark"/>
        </w:rPr>
        <w:footnoteRef/>
      </w:r>
      <w:r>
        <w:t xml:space="preserve"> </w:t>
      </w:r>
      <w:r>
        <w:rPr>
          <w:i/>
        </w:rPr>
        <w:t>Encyclopédie ou Dictionnaire raisonné des sciences, des arts et des métiers</w:t>
      </w:r>
      <w:r>
        <w:t xml:space="preserve">, Paris, Durand </w:t>
      </w:r>
      <w:r>
        <w:rPr>
          <w:i/>
        </w:rPr>
        <w:t>et al</w:t>
      </w:r>
      <w:r>
        <w:t xml:space="preserve">., 1751-1772, V, p. 642a. </w:t>
      </w:r>
      <w:r>
        <w:rPr>
          <w:rFonts w:ascii="Times New Roman" w:eastAsia="Times New Roman" w:hAnsi="Times New Roman" w:cs="Times New Roman"/>
          <w:sz w:val="16"/>
        </w:rPr>
        <w:t>[</w:t>
      </w:r>
      <w:r>
        <w:t xml:space="preserve">N.B. nous avons </w:t>
      </w:r>
      <w:proofErr w:type="gramStart"/>
      <w:r>
        <w:t>utilisé  conjointe</w:t>
      </w:r>
      <w:r>
        <w:t>ment</w:t>
      </w:r>
      <w:proofErr w:type="gramEnd"/>
      <w:r>
        <w:t xml:space="preserve"> les versions numériques  d’ARTFL (https://encyclopedie.uchicago.edu/) et d ’ENCCRE (http://enccre.academiesciences.fr/encyclopedie/) pour nos recherches,  consultés le 15 juin 2023</w:t>
      </w:r>
      <w:r>
        <w:rPr>
          <w:rFonts w:ascii="Times New Roman" w:eastAsia="Times New Roman" w:hAnsi="Times New Roman" w:cs="Times New Roman"/>
          <w:sz w:val="16"/>
        </w:rPr>
        <w:t>]</w:t>
      </w:r>
      <w:r>
        <w:t>.</w:t>
      </w:r>
    </w:p>
  </w:footnote>
  <w:footnote w:id="3">
    <w:p w14:paraId="716213F9" w14:textId="77777777" w:rsidR="00EF544B" w:rsidRDefault="00951809">
      <w:pPr>
        <w:pStyle w:val="footnotedescription"/>
        <w:tabs>
          <w:tab w:val="center" w:pos="2777"/>
        </w:tabs>
        <w:spacing w:line="259" w:lineRule="auto"/>
      </w:pPr>
      <w:r>
        <w:rPr>
          <w:rStyle w:val="footnotemark"/>
        </w:rPr>
        <w:footnoteRef/>
      </w:r>
      <w:r>
        <w:t xml:space="preserve"> Voltaire, </w:t>
      </w:r>
      <w:r>
        <w:rPr>
          <w:i/>
        </w:rPr>
        <w:t>Dictionnaire philosophique</w:t>
      </w:r>
      <w:r>
        <w:t xml:space="preserve">, Paris, GF-Flammarion, 1964, </w:t>
      </w:r>
      <w:r>
        <w:t>p. 106.</w:t>
      </w:r>
    </w:p>
  </w:footnote>
  <w:footnote w:id="4">
    <w:p w14:paraId="5AA53290" w14:textId="77777777" w:rsidR="00EF544B" w:rsidRDefault="00951809">
      <w:pPr>
        <w:pStyle w:val="footnotedescription"/>
        <w:tabs>
          <w:tab w:val="center" w:pos="474"/>
        </w:tabs>
        <w:spacing w:line="259" w:lineRule="auto"/>
      </w:pPr>
      <w:r>
        <w:rPr>
          <w:rStyle w:val="footnotemark"/>
        </w:rPr>
        <w:footnoteRef/>
      </w:r>
      <w:r>
        <w:t xml:space="preserve"> </w:t>
      </w:r>
      <w:r>
        <w:rPr>
          <w:i/>
        </w:rPr>
        <w:t>Ibid.</w:t>
      </w:r>
    </w:p>
  </w:footnote>
  <w:footnote w:id="5">
    <w:p w14:paraId="0E91A8F0" w14:textId="77777777" w:rsidR="00EF544B" w:rsidRDefault="00951809">
      <w:pPr>
        <w:pStyle w:val="footnotedescription"/>
        <w:tabs>
          <w:tab w:val="center" w:pos="474"/>
        </w:tabs>
        <w:spacing w:line="259" w:lineRule="auto"/>
      </w:pPr>
      <w:r>
        <w:rPr>
          <w:rStyle w:val="footnotemark"/>
        </w:rPr>
        <w:footnoteRef/>
      </w:r>
      <w:r>
        <w:t xml:space="preserve"> </w:t>
      </w:r>
      <w:r>
        <w:rPr>
          <w:i/>
        </w:rPr>
        <w:t>Ibid.</w:t>
      </w:r>
    </w:p>
  </w:footnote>
  <w:footnote w:id="6">
    <w:p w14:paraId="050AC4E0" w14:textId="77777777" w:rsidR="00EF544B" w:rsidRDefault="00951809">
      <w:pPr>
        <w:pStyle w:val="footnotedescription"/>
        <w:spacing w:line="234" w:lineRule="auto"/>
        <w:ind w:left="323" w:right="2" w:hanging="323"/>
        <w:jc w:val="both"/>
      </w:pPr>
      <w:r>
        <w:rPr>
          <w:rStyle w:val="footnotemark"/>
        </w:rPr>
        <w:footnoteRef/>
      </w:r>
      <w:r>
        <w:t xml:space="preserve"> </w:t>
      </w:r>
      <w:r>
        <w:rPr>
          <w:i/>
        </w:rPr>
        <w:t>Ibid.</w:t>
      </w:r>
      <w:r>
        <w:t xml:space="preserve">, p. 106-107. Comme cela a déjà été remarqué (Jean </w:t>
      </w:r>
      <w:proofErr w:type="spellStart"/>
      <w:r>
        <w:t>Haechler</w:t>
      </w:r>
      <w:proofErr w:type="spellEnd"/>
      <w:r>
        <w:t xml:space="preserve"> et Françoise </w:t>
      </w:r>
      <w:proofErr w:type="spellStart"/>
      <w:r>
        <w:t>JouffroyGauja</w:t>
      </w:r>
      <w:proofErr w:type="spellEnd"/>
      <w:r>
        <w:t xml:space="preserve">, </w:t>
      </w:r>
      <w:proofErr w:type="gramStart"/>
      <w:r>
        <w:t>«  L’article</w:t>
      </w:r>
      <w:proofErr w:type="gramEnd"/>
      <w:r>
        <w:t xml:space="preserve"> Certitude de  l’</w:t>
      </w:r>
      <w:r>
        <w:rPr>
          <w:i/>
        </w:rPr>
        <w:t>Encyclopédie</w:t>
      </w:r>
      <w:r>
        <w:t xml:space="preserve">  commenté par un souscripteur anonyme », </w:t>
      </w:r>
      <w:r>
        <w:rPr>
          <w:i/>
        </w:rPr>
        <w:t>Recherches sur Diderot et sur l ’Encyclopédie</w:t>
      </w:r>
      <w:r>
        <w:t>, XXIX, 2000, p. 146), Voltaire avait dé</w:t>
      </w:r>
      <w:r>
        <w:t>jà publié cette critique, et ce, à  l’intérieur même de  l’</w:t>
      </w:r>
      <w:r>
        <w:rPr>
          <w:i/>
        </w:rPr>
        <w:t>Encyclopédie</w:t>
      </w:r>
      <w:r>
        <w:t>, à l ’article « Histoire » (</w:t>
      </w:r>
      <w:r>
        <w:rPr>
          <w:i/>
        </w:rPr>
        <w:t>Encyclopédie</w:t>
      </w:r>
      <w:r>
        <w:t xml:space="preserve">, VIII, p. 224), où il explique  qu’il est normal que les articles se corrigent les uns les autres. </w:t>
      </w:r>
    </w:p>
  </w:footnote>
  <w:footnote w:id="7">
    <w:p w14:paraId="092F7602" w14:textId="77777777" w:rsidR="00EF544B" w:rsidRDefault="00951809">
      <w:pPr>
        <w:pStyle w:val="footnotedescription"/>
        <w:tabs>
          <w:tab w:val="center" w:pos="741"/>
        </w:tabs>
        <w:spacing w:line="259" w:lineRule="auto"/>
      </w:pPr>
      <w:r>
        <w:rPr>
          <w:rStyle w:val="footnotemark"/>
        </w:rPr>
        <w:footnoteRef/>
      </w:r>
      <w:r>
        <w:t xml:space="preserve"> </w:t>
      </w:r>
      <w:r>
        <w:rPr>
          <w:i/>
        </w:rPr>
        <w:t>Ibid.</w:t>
      </w:r>
      <w:r>
        <w:t>, p. 107.</w:t>
      </w:r>
    </w:p>
  </w:footnote>
  <w:footnote w:id="8">
    <w:p w14:paraId="7CCED9C7" w14:textId="77777777" w:rsidR="00EF544B" w:rsidRDefault="00951809">
      <w:pPr>
        <w:pStyle w:val="footnotedescription"/>
        <w:tabs>
          <w:tab w:val="center" w:pos="3049"/>
        </w:tabs>
        <w:spacing w:line="259" w:lineRule="auto"/>
      </w:pPr>
      <w:r>
        <w:rPr>
          <w:rStyle w:val="footnotemark"/>
        </w:rPr>
        <w:footnoteRef/>
      </w:r>
      <w:r>
        <w:t xml:space="preserve"> Abraham-Joseph Chaumeix,</w:t>
      </w:r>
      <w:r>
        <w:t xml:space="preserve"> </w:t>
      </w:r>
      <w:r>
        <w:rPr>
          <w:i/>
        </w:rPr>
        <w:t xml:space="preserve">Préjugés </w:t>
      </w:r>
      <w:proofErr w:type="gramStart"/>
      <w:r>
        <w:rPr>
          <w:i/>
        </w:rPr>
        <w:t>légitimes  contre</w:t>
      </w:r>
      <w:proofErr w:type="gramEnd"/>
      <w:r>
        <w:rPr>
          <w:i/>
        </w:rPr>
        <w:t xml:space="preserve"> l ’Encyclopédie</w:t>
      </w:r>
      <w:r>
        <w:t>, 1758, p. 31-32.</w:t>
      </w:r>
    </w:p>
  </w:footnote>
  <w:footnote w:id="9">
    <w:p w14:paraId="2685AA32" w14:textId="77777777" w:rsidR="00EF544B" w:rsidRPr="00951809" w:rsidRDefault="00951809">
      <w:pPr>
        <w:pStyle w:val="footnotedescription"/>
        <w:tabs>
          <w:tab w:val="center" w:pos="711"/>
        </w:tabs>
        <w:spacing w:line="259" w:lineRule="auto"/>
        <w:rPr>
          <w:lang w:val="en-CA"/>
        </w:rPr>
      </w:pPr>
      <w:r>
        <w:rPr>
          <w:rStyle w:val="footnotemark"/>
        </w:rPr>
        <w:footnoteRef/>
      </w:r>
      <w:r w:rsidRPr="00951809">
        <w:rPr>
          <w:lang w:val="en-CA"/>
        </w:rPr>
        <w:t xml:space="preserve"> </w:t>
      </w:r>
      <w:r w:rsidRPr="00951809">
        <w:rPr>
          <w:i/>
          <w:lang w:val="en-CA"/>
        </w:rPr>
        <w:t>Ibid.</w:t>
      </w:r>
      <w:r w:rsidRPr="00951809">
        <w:rPr>
          <w:lang w:val="en-CA"/>
        </w:rPr>
        <w:t>, p. 98.</w:t>
      </w:r>
    </w:p>
  </w:footnote>
  <w:footnote w:id="10">
    <w:p w14:paraId="70DF003A" w14:textId="77777777" w:rsidR="00EF544B" w:rsidRPr="00951809" w:rsidRDefault="00951809">
      <w:pPr>
        <w:pStyle w:val="footnotedescription"/>
        <w:spacing w:line="259" w:lineRule="auto"/>
        <w:rPr>
          <w:lang w:val="en-CA"/>
        </w:rPr>
      </w:pPr>
      <w:r>
        <w:rPr>
          <w:rStyle w:val="footnotemark"/>
        </w:rPr>
        <w:footnoteRef/>
      </w:r>
      <w:r w:rsidRPr="00951809">
        <w:rPr>
          <w:lang w:val="en-CA"/>
        </w:rPr>
        <w:t xml:space="preserve"> </w:t>
      </w:r>
      <w:r w:rsidRPr="00951809">
        <w:rPr>
          <w:i/>
          <w:lang w:val="en-CA"/>
        </w:rPr>
        <w:t>Ibid.</w:t>
      </w:r>
    </w:p>
  </w:footnote>
  <w:footnote w:id="11">
    <w:p w14:paraId="36189686" w14:textId="77777777" w:rsidR="00EF544B" w:rsidRDefault="00951809">
      <w:pPr>
        <w:pStyle w:val="footnotedescription"/>
        <w:spacing w:line="235" w:lineRule="auto"/>
        <w:ind w:right="4886"/>
      </w:pPr>
      <w:r>
        <w:rPr>
          <w:rStyle w:val="footnotemark"/>
        </w:rPr>
        <w:footnoteRef/>
      </w:r>
      <w:r w:rsidRPr="00951809">
        <w:rPr>
          <w:lang w:val="en-CA"/>
        </w:rPr>
        <w:t xml:space="preserve"> </w:t>
      </w:r>
      <w:r w:rsidRPr="00951809">
        <w:rPr>
          <w:i/>
          <w:lang w:val="en-CA"/>
        </w:rPr>
        <w:t>Ibid.</w:t>
      </w:r>
      <w:r w:rsidRPr="00951809">
        <w:rPr>
          <w:lang w:val="en-CA"/>
        </w:rPr>
        <w:t xml:space="preserve">, p. 100. </w:t>
      </w:r>
      <w:r>
        <w:t xml:space="preserve">12 </w:t>
      </w:r>
      <w:r>
        <w:rPr>
          <w:i/>
        </w:rPr>
        <w:t>Ibid.</w:t>
      </w:r>
      <w:r>
        <w:t>, p. 109.</w:t>
      </w:r>
    </w:p>
  </w:footnote>
  <w:footnote w:id="12">
    <w:p w14:paraId="68536A6B" w14:textId="77777777" w:rsidR="00EF544B" w:rsidRDefault="00951809">
      <w:pPr>
        <w:pStyle w:val="footnotedescription"/>
        <w:spacing w:line="234" w:lineRule="auto"/>
        <w:ind w:left="323" w:right="2" w:hanging="323"/>
        <w:jc w:val="both"/>
      </w:pPr>
      <w:r>
        <w:rPr>
          <w:rStyle w:val="footnotemark"/>
        </w:rPr>
        <w:footnoteRef/>
      </w:r>
      <w:r>
        <w:t xml:space="preserve"> </w:t>
      </w:r>
      <w:r>
        <w:t xml:space="preserve">Pour plus de détails sur cette affaire, on lira Simone Goyard-Fabre, (« Diderot et l ’affaire </w:t>
      </w:r>
      <w:proofErr w:type="gramStart"/>
      <w:r>
        <w:t>de  l’abbé</w:t>
      </w:r>
      <w:proofErr w:type="gramEnd"/>
      <w:r>
        <w:t xml:space="preserve"> de Prades », </w:t>
      </w:r>
      <w:r>
        <w:rPr>
          <w:i/>
        </w:rPr>
        <w:t>Revue philosophique de la France et de l ’étranger</w:t>
      </w:r>
      <w:r>
        <w:t>, CLXXIV, 1984, 3, p. 287-309), qui retrace toutes les étapes de  l’affaire. On pourra a</w:t>
      </w:r>
      <w:r>
        <w:t xml:space="preserve">ussi se reporter aux introductions de la </w:t>
      </w:r>
      <w:r>
        <w:rPr>
          <w:i/>
        </w:rPr>
        <w:t xml:space="preserve">Suite </w:t>
      </w:r>
      <w:proofErr w:type="gramStart"/>
      <w:r>
        <w:rPr>
          <w:i/>
        </w:rPr>
        <w:t>de  l’Apologie</w:t>
      </w:r>
      <w:proofErr w:type="gramEnd"/>
      <w:r>
        <w:rPr>
          <w:i/>
        </w:rPr>
        <w:t xml:space="preserve"> de  l’abbé de Prades</w:t>
      </w:r>
      <w:r>
        <w:t xml:space="preserve"> par Laurent Versini (dir.), Denis Diderot, Œuvres, Paris, Robert Laffont, 1991-1994, I, p. 511-514 et par John </w:t>
      </w:r>
      <w:proofErr w:type="spellStart"/>
      <w:r>
        <w:t>Spink</w:t>
      </w:r>
      <w:proofErr w:type="spellEnd"/>
      <w:r>
        <w:t xml:space="preserve"> </w:t>
      </w:r>
      <w:r>
        <w:rPr>
          <w:i/>
        </w:rPr>
        <w:t>in</w:t>
      </w:r>
      <w:r>
        <w:t xml:space="preserve"> H. Dieckmann, J. Proust et J. Varloot (dir.), Denis D</w:t>
      </w:r>
      <w:r>
        <w:t xml:space="preserve">iderot, </w:t>
      </w:r>
      <w:r>
        <w:rPr>
          <w:i/>
        </w:rPr>
        <w:t>Œuvres  complètes</w:t>
      </w:r>
      <w:r>
        <w:t>, Paris, Hermann, 1975-, p. 285-307.</w:t>
      </w:r>
    </w:p>
  </w:footnote>
  <w:footnote w:id="13">
    <w:p w14:paraId="63267F9C" w14:textId="77777777" w:rsidR="00EF544B" w:rsidRDefault="00951809">
      <w:pPr>
        <w:pStyle w:val="footnotedescription"/>
        <w:spacing w:line="234" w:lineRule="auto"/>
        <w:ind w:left="323" w:right="2" w:hanging="323"/>
        <w:jc w:val="both"/>
      </w:pPr>
      <w:r>
        <w:rPr>
          <w:rStyle w:val="footnotemark"/>
        </w:rPr>
        <w:footnoteRef/>
      </w:r>
      <w:r>
        <w:t xml:space="preserve"> </w:t>
      </w:r>
      <w:proofErr w:type="gramStart"/>
      <w:r>
        <w:t>Il  s’agit</w:t>
      </w:r>
      <w:proofErr w:type="gramEnd"/>
      <w:r>
        <w:t xml:space="preserve">  d’un texte anonyme, mais  aujourd’hui attribué aux pères Bonhomme et </w:t>
      </w:r>
      <w:proofErr w:type="spellStart"/>
      <w:r>
        <w:t>Fruchet</w:t>
      </w:r>
      <w:proofErr w:type="spellEnd"/>
      <w:r>
        <w:t>, datant de 1754, et  qu’il faut éviter de  confondre avec un texte au titre similaire paru en 1752 : Jo</w:t>
      </w:r>
      <w:r>
        <w:t xml:space="preserve">hn Lough, </w:t>
      </w:r>
      <w:r>
        <w:rPr>
          <w:i/>
        </w:rPr>
        <w:t xml:space="preserve">The </w:t>
      </w:r>
      <w:r>
        <w:t xml:space="preserve">Encyclopédie, Genève, </w:t>
      </w:r>
      <w:proofErr w:type="spellStart"/>
      <w:r>
        <w:t>Slatkine</w:t>
      </w:r>
      <w:proofErr w:type="spellEnd"/>
      <w:r>
        <w:t xml:space="preserve"> Reprints, 1989 </w:t>
      </w:r>
      <w:r>
        <w:rPr>
          <w:rFonts w:ascii="Times New Roman" w:eastAsia="Times New Roman" w:hAnsi="Times New Roman" w:cs="Times New Roman"/>
          <w:sz w:val="16"/>
        </w:rPr>
        <w:t>[</w:t>
      </w:r>
      <w:r>
        <w:t>1971</w:t>
      </w:r>
      <w:r>
        <w:rPr>
          <w:rFonts w:ascii="Times New Roman" w:eastAsia="Times New Roman" w:hAnsi="Times New Roman" w:cs="Times New Roman"/>
          <w:sz w:val="16"/>
        </w:rPr>
        <w:t>]</w:t>
      </w:r>
      <w:r>
        <w:t>, p. 115116, 242-243.</w:t>
      </w:r>
    </w:p>
  </w:footnote>
  <w:footnote w:id="14">
    <w:p w14:paraId="56FA5D5C" w14:textId="77777777" w:rsidR="00EF544B" w:rsidRDefault="00951809">
      <w:pPr>
        <w:pStyle w:val="footnotedescription"/>
        <w:ind w:left="323" w:hanging="323"/>
        <w:jc w:val="both"/>
      </w:pPr>
      <w:r>
        <w:rPr>
          <w:rStyle w:val="footnotemark"/>
        </w:rPr>
        <w:footnoteRef/>
      </w:r>
      <w:r>
        <w:t xml:space="preserve"> </w:t>
      </w:r>
      <w:r>
        <w:rPr>
          <w:rFonts w:ascii="Times New Roman" w:eastAsia="Times New Roman" w:hAnsi="Times New Roman" w:cs="Times New Roman"/>
          <w:sz w:val="16"/>
        </w:rPr>
        <w:t>[</w:t>
      </w:r>
      <w:r>
        <w:t xml:space="preserve">Bonhomme, père et père </w:t>
      </w:r>
      <w:proofErr w:type="spellStart"/>
      <w:r>
        <w:t>Fruchet</w:t>
      </w:r>
      <w:proofErr w:type="spellEnd"/>
      <w:r>
        <w:t xml:space="preserve"> (attribué à)</w:t>
      </w:r>
      <w:r>
        <w:rPr>
          <w:rFonts w:ascii="Times New Roman" w:eastAsia="Times New Roman" w:hAnsi="Times New Roman" w:cs="Times New Roman"/>
          <w:sz w:val="16"/>
        </w:rPr>
        <w:t>]</w:t>
      </w:r>
      <w:r>
        <w:t xml:space="preserve">, </w:t>
      </w:r>
      <w:r>
        <w:rPr>
          <w:i/>
        </w:rPr>
        <w:t xml:space="preserve">Réflexions d ’un franciscain sur les trois volumes </w:t>
      </w:r>
      <w:proofErr w:type="gramStart"/>
      <w:r>
        <w:rPr>
          <w:i/>
        </w:rPr>
        <w:t>de  l’Encyclopédie</w:t>
      </w:r>
      <w:proofErr w:type="gramEnd"/>
      <w:r>
        <w:t xml:space="preserve">, </w:t>
      </w:r>
      <w:r>
        <w:rPr>
          <w:i/>
        </w:rPr>
        <w:t>avec une lettre préliminaire aux éditeurs</w:t>
      </w:r>
      <w:r>
        <w:t>, Berli</w:t>
      </w:r>
      <w:r>
        <w:t>n, 1754, p. 7</w:t>
      </w:r>
      <w:r>
        <w:rPr>
          <w:i/>
        </w:rPr>
        <w:t xml:space="preserve"> sq.</w:t>
      </w:r>
      <w:r>
        <w:t xml:space="preserve"> </w:t>
      </w:r>
    </w:p>
  </w:footnote>
  <w:footnote w:id="15">
    <w:p w14:paraId="5DDC7C85" w14:textId="77777777" w:rsidR="00EF544B" w:rsidRDefault="00951809">
      <w:pPr>
        <w:pStyle w:val="footnotedescription"/>
        <w:spacing w:line="230" w:lineRule="auto"/>
        <w:ind w:left="323" w:right="2" w:hanging="323"/>
        <w:jc w:val="both"/>
      </w:pPr>
      <w:r>
        <w:rPr>
          <w:rStyle w:val="footnotemark"/>
        </w:rPr>
        <w:footnoteRef/>
      </w:r>
      <w:r>
        <w:t xml:space="preserve"> Le traité en question est bien la première </w:t>
      </w:r>
      <w:proofErr w:type="gramStart"/>
      <w:r>
        <w:t>partie  d’une</w:t>
      </w:r>
      <w:proofErr w:type="gramEnd"/>
      <w:r>
        <w:t xml:space="preserve"> deuxième édition revue et augmentée de  l’essai de Boullier, paru en 1737 (David Renaud Boullier, </w:t>
      </w:r>
      <w:r>
        <w:rPr>
          <w:i/>
        </w:rPr>
        <w:t>Essai philosophique sur  l’âme des bêtes</w:t>
      </w:r>
      <w:r>
        <w:t xml:space="preserve">, Amsterdam, François </w:t>
      </w:r>
      <w:proofErr w:type="spellStart"/>
      <w:r>
        <w:t>Changuion</w:t>
      </w:r>
      <w:proofErr w:type="spellEnd"/>
      <w:r>
        <w:t xml:space="preserve">, 1737 </w:t>
      </w:r>
      <w:r>
        <w:rPr>
          <w:rFonts w:ascii="Times New Roman" w:eastAsia="Times New Roman" w:hAnsi="Times New Roman" w:cs="Times New Roman"/>
          <w:sz w:val="16"/>
        </w:rPr>
        <w:t>[</w:t>
      </w:r>
      <w:r>
        <w:t>2</w:t>
      </w:r>
      <w:r>
        <w:rPr>
          <w:sz w:val="16"/>
          <w:vertAlign w:val="superscript"/>
        </w:rPr>
        <w:t>e</w:t>
      </w:r>
      <w:r>
        <w:t xml:space="preserve"> édition</w:t>
      </w:r>
      <w:r>
        <w:rPr>
          <w:rFonts w:ascii="Times New Roman" w:eastAsia="Times New Roman" w:hAnsi="Times New Roman" w:cs="Times New Roman"/>
          <w:sz w:val="16"/>
        </w:rPr>
        <w:t>]</w:t>
      </w:r>
      <w:r>
        <w:t xml:space="preserve">). On trouve un </w:t>
      </w:r>
    </w:p>
  </w:footnote>
  <w:footnote w:id="16">
    <w:p w14:paraId="6EA1DBF2" w14:textId="77777777" w:rsidR="00EF544B" w:rsidRDefault="00951809">
      <w:pPr>
        <w:pStyle w:val="footnotedescription"/>
        <w:spacing w:line="259" w:lineRule="auto"/>
      </w:pPr>
      <w:r>
        <w:rPr>
          <w:rStyle w:val="footnotemark"/>
        </w:rPr>
        <w:footnoteRef/>
      </w:r>
      <w:r>
        <w:t xml:space="preserve"> </w:t>
      </w:r>
      <w:r>
        <w:rPr>
          <w:i/>
        </w:rPr>
        <w:t>Encyclopédie</w:t>
      </w:r>
      <w:r>
        <w:t>, II, p. 846.</w:t>
      </w:r>
    </w:p>
  </w:footnote>
  <w:footnote w:id="17">
    <w:p w14:paraId="527FC6C1" w14:textId="77777777" w:rsidR="00EF544B" w:rsidRDefault="00951809">
      <w:pPr>
        <w:pStyle w:val="footnotedescription"/>
        <w:spacing w:after="24" w:line="226" w:lineRule="auto"/>
        <w:ind w:left="323" w:right="3" w:hanging="323"/>
        <w:jc w:val="both"/>
      </w:pPr>
      <w:r>
        <w:rPr>
          <w:rStyle w:val="footnotemark"/>
        </w:rPr>
        <w:footnoteRef/>
      </w:r>
      <w:r>
        <w:t xml:space="preserve"> </w:t>
      </w:r>
      <w:proofErr w:type="spellStart"/>
      <w:r>
        <w:t>Tatsuo</w:t>
      </w:r>
      <w:proofErr w:type="spellEnd"/>
      <w:r>
        <w:t xml:space="preserve"> </w:t>
      </w:r>
      <w:proofErr w:type="spellStart"/>
      <w:r>
        <w:t>Hemmi</w:t>
      </w:r>
      <w:proofErr w:type="spellEnd"/>
      <w:r>
        <w:t xml:space="preserve">, « Le temps métaphysique et le temps philosophique – à propos du supplément éditorial </w:t>
      </w:r>
      <w:proofErr w:type="gramStart"/>
      <w:r>
        <w:t>de  l’article</w:t>
      </w:r>
      <w:proofErr w:type="gramEnd"/>
      <w:r>
        <w:t xml:space="preserve"> Âme de Diderot », </w:t>
      </w:r>
      <w:r>
        <w:rPr>
          <w:i/>
        </w:rPr>
        <w:t>Recueil  d’études sur  l’Encyclopédie et les Lumières</w:t>
      </w:r>
      <w:r>
        <w:t>, Tokyo, Sociét</w:t>
      </w:r>
      <w:r>
        <w:t>é  d’études sur l ’Encyclopédie, n</w:t>
      </w:r>
      <w:r>
        <w:rPr>
          <w:sz w:val="16"/>
          <w:vertAlign w:val="superscript"/>
        </w:rPr>
        <w:t>o</w:t>
      </w:r>
      <w:r>
        <w:t xml:space="preserve"> 1, 2012, p. 41-60.</w:t>
      </w:r>
    </w:p>
  </w:footnote>
  <w:footnote w:id="18">
    <w:p w14:paraId="0AF8AD10" w14:textId="77777777" w:rsidR="00EF544B" w:rsidRDefault="00951809">
      <w:pPr>
        <w:pStyle w:val="footnotedescription"/>
        <w:spacing w:after="1" w:line="234" w:lineRule="auto"/>
        <w:ind w:left="323" w:right="2" w:hanging="323"/>
        <w:jc w:val="both"/>
      </w:pPr>
      <w:r>
        <w:rPr>
          <w:rStyle w:val="footnotemark"/>
        </w:rPr>
        <w:footnoteRef/>
      </w:r>
      <w:r>
        <w:t xml:space="preserve"> On se souviendra que l ’</w:t>
      </w:r>
      <w:r>
        <w:rPr>
          <w:i/>
        </w:rPr>
        <w:t>Encyclopédie</w:t>
      </w:r>
      <w:r>
        <w:t xml:space="preserve"> de Diderot </w:t>
      </w:r>
      <w:proofErr w:type="gramStart"/>
      <w:r>
        <w:t>et  d’Alembert</w:t>
      </w:r>
      <w:proofErr w:type="gramEnd"/>
      <w:r>
        <w:t xml:space="preserve"> était, au départ, destinée à n ’être qu’une traduction de l ’ouvrage de Chambers, et  </w:t>
      </w:r>
      <w:r>
        <w:tab/>
        <w:t xml:space="preserve">qu’elle a pris peu à peu les  proportions  qu’on </w:t>
      </w:r>
      <w:r>
        <w:t xml:space="preserve">c </w:t>
      </w:r>
      <w:proofErr w:type="spellStart"/>
      <w:r>
        <w:t>onnaît</w:t>
      </w:r>
      <w:proofErr w:type="spellEnd"/>
      <w:r>
        <w:t xml:space="preserve">. Chambers lui-même tirait parfois ses articles de sources françaises c </w:t>
      </w:r>
      <w:proofErr w:type="spellStart"/>
      <w:r>
        <w:t>omme</w:t>
      </w:r>
      <w:proofErr w:type="spellEnd"/>
      <w:r>
        <w:t xml:space="preserve"> le </w:t>
      </w:r>
      <w:r>
        <w:rPr>
          <w:i/>
        </w:rPr>
        <w:t xml:space="preserve">Dictionnaire de Trévoux </w:t>
      </w:r>
      <w:proofErr w:type="gramStart"/>
      <w:r>
        <w:t>ou  l’</w:t>
      </w:r>
      <w:r>
        <w:rPr>
          <w:i/>
        </w:rPr>
        <w:t>Histoire</w:t>
      </w:r>
      <w:proofErr w:type="gramEnd"/>
      <w:r>
        <w:rPr>
          <w:i/>
        </w:rPr>
        <w:t xml:space="preserve"> et les Mémoires de l ’Académie royale des sciences</w:t>
      </w:r>
      <w:r>
        <w:t>. Diderot semble parfois travailler en allant voir les sources de Chambers, mai</w:t>
      </w:r>
      <w:r>
        <w:t xml:space="preserve">s pas de manière systématique. Ici, il semble que ce soit le cas, puisque, c </w:t>
      </w:r>
      <w:proofErr w:type="spellStart"/>
      <w:r>
        <w:t>omme</w:t>
      </w:r>
      <w:proofErr w:type="spellEnd"/>
      <w:r>
        <w:t xml:space="preserve"> on le verra, Diderot semble </w:t>
      </w:r>
      <w:proofErr w:type="gramStart"/>
      <w:r>
        <w:t>tenir  compte</w:t>
      </w:r>
      <w:proofErr w:type="gramEnd"/>
      <w:r>
        <w:t xml:space="preserve"> de ce q </w:t>
      </w:r>
      <w:proofErr w:type="spellStart"/>
      <w:r>
        <w:t>u’écrit</w:t>
      </w:r>
      <w:proofErr w:type="spellEnd"/>
      <w:r>
        <w:t xml:space="preserve"> le </w:t>
      </w:r>
      <w:r>
        <w:rPr>
          <w:i/>
        </w:rPr>
        <w:t>Trévoux</w:t>
      </w:r>
      <w:r>
        <w:t xml:space="preserve">. </w:t>
      </w:r>
    </w:p>
  </w:footnote>
  <w:footnote w:id="19">
    <w:p w14:paraId="0113F537" w14:textId="77777777" w:rsidR="00EF544B" w:rsidRDefault="00951809">
      <w:pPr>
        <w:pStyle w:val="footnotedescription"/>
        <w:spacing w:line="259" w:lineRule="auto"/>
      </w:pPr>
      <w:r>
        <w:rPr>
          <w:rStyle w:val="footnotemark"/>
        </w:rPr>
        <w:footnoteRef/>
      </w:r>
      <w:r>
        <w:t xml:space="preserve"> </w:t>
      </w:r>
      <w:r>
        <w:rPr>
          <w:i/>
        </w:rPr>
        <w:t>Dictionnaire de Trévoux</w:t>
      </w:r>
      <w:r>
        <w:t xml:space="preserve">, Paris, </w:t>
      </w:r>
      <w:proofErr w:type="spellStart"/>
      <w:r>
        <w:t>Delaulne</w:t>
      </w:r>
      <w:proofErr w:type="spellEnd"/>
      <w:r>
        <w:t xml:space="preserve"> </w:t>
      </w:r>
      <w:r>
        <w:rPr>
          <w:i/>
        </w:rPr>
        <w:t>et al</w:t>
      </w:r>
      <w:r>
        <w:t>., 1721, I, article « Certitude », p. 1574.</w:t>
      </w:r>
    </w:p>
  </w:footnote>
  <w:footnote w:id="20">
    <w:p w14:paraId="75B2ED82" w14:textId="77777777" w:rsidR="00EF544B" w:rsidRPr="00951809" w:rsidRDefault="00951809">
      <w:pPr>
        <w:pStyle w:val="footnotedescription"/>
        <w:spacing w:line="244" w:lineRule="auto"/>
        <w:ind w:left="323" w:hanging="323"/>
        <w:jc w:val="both"/>
        <w:rPr>
          <w:lang w:val="en-CA"/>
        </w:rPr>
      </w:pPr>
      <w:r>
        <w:rPr>
          <w:rStyle w:val="footnotemark"/>
        </w:rPr>
        <w:footnoteRef/>
      </w:r>
      <w:r w:rsidRPr="00951809">
        <w:rPr>
          <w:lang w:val="en-CA"/>
        </w:rPr>
        <w:t xml:space="preserve"> </w:t>
      </w:r>
      <w:r w:rsidRPr="00951809">
        <w:rPr>
          <w:lang w:val="en-CA"/>
        </w:rPr>
        <w:t xml:space="preserve">Ephraïm Chambers, </w:t>
      </w:r>
      <w:r w:rsidRPr="00951809">
        <w:rPr>
          <w:i/>
          <w:lang w:val="en-CA"/>
        </w:rPr>
        <w:t>Cyclopaedia, or An Universal Dictionary of Arts and Sciences</w:t>
      </w:r>
      <w:r w:rsidRPr="00951809">
        <w:rPr>
          <w:lang w:val="en-CA"/>
        </w:rPr>
        <w:t>, 4</w:t>
      </w:r>
      <w:r w:rsidRPr="00951809">
        <w:rPr>
          <w:sz w:val="16"/>
          <w:vertAlign w:val="superscript"/>
          <w:lang w:val="en-CA"/>
        </w:rPr>
        <w:t>e</w:t>
      </w:r>
      <w:r w:rsidRPr="00951809">
        <w:rPr>
          <w:lang w:val="en-CA"/>
        </w:rPr>
        <w:t xml:space="preserve"> éd., Londres, 1741, article « Certitude », n. p.</w:t>
      </w:r>
    </w:p>
  </w:footnote>
  <w:footnote w:id="21">
    <w:p w14:paraId="6C4E8CB6" w14:textId="77777777" w:rsidR="00EF544B" w:rsidRDefault="00951809">
      <w:pPr>
        <w:pStyle w:val="footnotedescription"/>
        <w:spacing w:line="259" w:lineRule="auto"/>
      </w:pPr>
      <w:r>
        <w:rPr>
          <w:rStyle w:val="footnotemark"/>
        </w:rPr>
        <w:footnoteRef/>
      </w:r>
      <w:r>
        <w:t xml:space="preserve"> </w:t>
      </w:r>
      <w:r>
        <w:rPr>
          <w:i/>
        </w:rPr>
        <w:t>Encyclopédie</w:t>
      </w:r>
      <w:r>
        <w:t>, II, article « Certitude », p. 845.</w:t>
      </w:r>
    </w:p>
  </w:footnote>
  <w:footnote w:id="22">
    <w:p w14:paraId="1C790A7F" w14:textId="77777777" w:rsidR="00EF544B" w:rsidRDefault="00951809">
      <w:pPr>
        <w:pStyle w:val="footnotedescription"/>
        <w:spacing w:line="233" w:lineRule="auto"/>
        <w:ind w:left="323" w:right="2" w:hanging="323"/>
        <w:jc w:val="both"/>
      </w:pPr>
      <w:r>
        <w:rPr>
          <w:rStyle w:val="footnotemark"/>
        </w:rPr>
        <w:footnoteRef/>
      </w:r>
      <w:r>
        <w:t xml:space="preserve"> </w:t>
      </w:r>
      <w:r>
        <w:rPr>
          <w:i/>
        </w:rPr>
        <w:t>Ibid.</w:t>
      </w:r>
      <w:r>
        <w:t xml:space="preserve">, p. 845-846. Comparer avec le texte de d ’Alembert : </w:t>
      </w:r>
      <w:proofErr w:type="gramStart"/>
      <w:r>
        <w:t>«  L’évidence</w:t>
      </w:r>
      <w:proofErr w:type="gramEnd"/>
      <w:r>
        <w:t xml:space="preserve"> appartient proprement aux idées dont l ’esprit aperçoit la liaison tout d’un coup ; la certitude à celles  dont la liaison ne peut être c </w:t>
      </w:r>
      <w:proofErr w:type="spellStart"/>
      <w:r>
        <w:t>onnue</w:t>
      </w:r>
      <w:proofErr w:type="spellEnd"/>
      <w:r>
        <w:t xml:space="preserve"> </w:t>
      </w:r>
      <w:r>
        <w:t xml:space="preserve">que par le secours d’un certain nombre d ’idées  </w:t>
      </w:r>
    </w:p>
  </w:footnote>
  <w:footnote w:id="23">
    <w:p w14:paraId="6A945EA9" w14:textId="77777777" w:rsidR="00EF544B" w:rsidRDefault="00951809">
      <w:pPr>
        <w:pStyle w:val="footnotedescription"/>
        <w:spacing w:after="1" w:line="233" w:lineRule="auto"/>
        <w:ind w:left="323" w:right="2" w:hanging="323"/>
        <w:jc w:val="both"/>
      </w:pPr>
      <w:r>
        <w:rPr>
          <w:rStyle w:val="footnotemark"/>
        </w:rPr>
        <w:footnoteRef/>
      </w:r>
      <w:r>
        <w:t xml:space="preserve"> Non que cet argument soit strictement matérialiste – on peut envisager sa formulation dans un autre cadre. Nous affirmons ici simplement q </w:t>
      </w:r>
      <w:proofErr w:type="spellStart"/>
      <w:r>
        <w:t>u’elle</w:t>
      </w:r>
      <w:proofErr w:type="spellEnd"/>
      <w:r>
        <w:t xml:space="preserve"> se lie comme d ’elle-même </w:t>
      </w:r>
      <w:proofErr w:type="gramStart"/>
      <w:r>
        <w:t>à  une</w:t>
      </w:r>
      <w:proofErr w:type="gramEnd"/>
      <w:r>
        <w:t xml:space="preserve"> philosophie qui, dans </w:t>
      </w:r>
      <w:r>
        <w:rPr>
          <w:i/>
        </w:rPr>
        <w:t xml:space="preserve">Le </w:t>
      </w:r>
      <w:r>
        <w:rPr>
          <w:i/>
        </w:rPr>
        <w:t>Rêve de d ’Alembert</w:t>
      </w:r>
      <w:r>
        <w:t xml:space="preserve">, dira : «  D’Alembert – </w:t>
      </w:r>
      <w:r>
        <w:rPr>
          <w:rFonts w:ascii="Times New Roman" w:eastAsia="Times New Roman" w:hAnsi="Times New Roman" w:cs="Times New Roman"/>
          <w:sz w:val="16"/>
        </w:rPr>
        <w:t>[</w:t>
      </w:r>
      <w:r>
        <w:t>…</w:t>
      </w:r>
      <w:r>
        <w:rPr>
          <w:rFonts w:ascii="Times New Roman" w:eastAsia="Times New Roman" w:hAnsi="Times New Roman" w:cs="Times New Roman"/>
          <w:sz w:val="16"/>
        </w:rPr>
        <w:t>]</w:t>
      </w:r>
      <w:r>
        <w:t xml:space="preserve"> on ne  conçoit pas trop d ’après votre système comment nous formons des syllogismes ni c </w:t>
      </w:r>
      <w:proofErr w:type="spellStart"/>
      <w:r>
        <w:t>omment</w:t>
      </w:r>
      <w:proofErr w:type="spellEnd"/>
      <w:r>
        <w:t xml:space="preserve"> nous  tirons des c </w:t>
      </w:r>
      <w:proofErr w:type="spellStart"/>
      <w:r>
        <w:t>onséquences</w:t>
      </w:r>
      <w:proofErr w:type="spellEnd"/>
      <w:r>
        <w:t xml:space="preserve">. Diderot </w:t>
      </w:r>
      <w:proofErr w:type="gramStart"/>
      <w:r>
        <w:t>–  c’est</w:t>
      </w:r>
      <w:proofErr w:type="gramEnd"/>
      <w:r>
        <w:t xml:space="preserve"> que nous n ’en tirons point, elles sont toutes tirées par la na</w:t>
      </w:r>
      <w:r>
        <w:t xml:space="preserve">ture. Nous ne faisons q </w:t>
      </w:r>
      <w:proofErr w:type="spellStart"/>
      <w:r>
        <w:t>u’énoncer</w:t>
      </w:r>
      <w:proofErr w:type="spellEnd"/>
      <w:r>
        <w:t xml:space="preserve"> des phénomènes conjoints dont a </w:t>
      </w:r>
      <w:proofErr w:type="gramStart"/>
      <w:r>
        <w:t>liaison  est</w:t>
      </w:r>
      <w:proofErr w:type="gramEnd"/>
      <w:r>
        <w:t xml:space="preserve"> ou nécessaire ou  contingente, phénomènes qui nous sont  connus par  l’expérience : nécessaires en mathématiques, en physique et autres sciences rigoureuses ;  contingentes en m</w:t>
      </w:r>
      <w:r>
        <w:t xml:space="preserve">orale, en politique et autres sciences c </w:t>
      </w:r>
      <w:proofErr w:type="spellStart"/>
      <w:r>
        <w:t>onjecturales</w:t>
      </w:r>
      <w:proofErr w:type="spellEnd"/>
      <w:r>
        <w:t xml:space="preserve"> » (Diderot, éd. </w:t>
      </w:r>
      <w:proofErr w:type="gramStart"/>
      <w:r>
        <w:t>citée</w:t>
      </w:r>
      <w:proofErr w:type="gramEnd"/>
      <w:r>
        <w:t>, 1975-, XVII, p. 109).</w:t>
      </w:r>
    </w:p>
  </w:footnote>
  <w:footnote w:id="24">
    <w:p w14:paraId="59005FE5" w14:textId="77777777" w:rsidR="00EF544B" w:rsidRDefault="00951809">
      <w:pPr>
        <w:pStyle w:val="footnotedescription"/>
        <w:spacing w:line="259" w:lineRule="auto"/>
      </w:pPr>
      <w:r>
        <w:rPr>
          <w:rStyle w:val="footnotemark"/>
        </w:rPr>
        <w:footnoteRef/>
      </w:r>
      <w:r>
        <w:t xml:space="preserve"> Faisant à nouveau référence au « Discours préliminaire » (ici, </w:t>
      </w:r>
      <w:r>
        <w:rPr>
          <w:i/>
        </w:rPr>
        <w:t>Encyclopédie</w:t>
      </w:r>
      <w:r>
        <w:t>, I, p. viii).</w:t>
      </w:r>
    </w:p>
  </w:footnote>
  <w:footnote w:id="25">
    <w:p w14:paraId="7E6BC09C" w14:textId="77777777" w:rsidR="00EF544B" w:rsidRDefault="00951809">
      <w:pPr>
        <w:pStyle w:val="footnotedescription"/>
        <w:spacing w:line="259" w:lineRule="auto"/>
      </w:pPr>
      <w:r>
        <w:rPr>
          <w:rStyle w:val="footnotemark"/>
        </w:rPr>
        <w:footnoteRef/>
      </w:r>
      <w:r>
        <w:t xml:space="preserve"> </w:t>
      </w:r>
      <w:r>
        <w:rPr>
          <w:i/>
        </w:rPr>
        <w:t>Dictionnaire de Trévoux</w:t>
      </w:r>
      <w:r>
        <w:t>, 1721, p. 1574.</w:t>
      </w:r>
    </w:p>
  </w:footnote>
  <w:footnote w:id="26">
    <w:p w14:paraId="06C91A82" w14:textId="77777777" w:rsidR="00EF544B" w:rsidRDefault="00951809">
      <w:pPr>
        <w:pStyle w:val="footnotedescription"/>
        <w:spacing w:line="234" w:lineRule="auto"/>
        <w:ind w:left="323" w:hanging="323"/>
        <w:jc w:val="both"/>
      </w:pPr>
      <w:r>
        <w:rPr>
          <w:rStyle w:val="footnotemark"/>
        </w:rPr>
        <w:footnoteRef/>
      </w:r>
      <w:r>
        <w:t xml:space="preserve"> Chambers, 1741, I, ar</w:t>
      </w:r>
      <w:r>
        <w:t xml:space="preserve">ticle « Certitude », n. p.  L’article « Adhésion » donne quelques développements sur ces formes, mais avec moins de détails que le </w:t>
      </w:r>
      <w:r>
        <w:rPr>
          <w:i/>
        </w:rPr>
        <w:t>Trévoux</w:t>
      </w:r>
      <w:r>
        <w:t>.</w:t>
      </w:r>
    </w:p>
  </w:footnote>
  <w:footnote w:id="27">
    <w:p w14:paraId="6C0AAE30" w14:textId="77777777" w:rsidR="00EF544B" w:rsidRDefault="00951809">
      <w:pPr>
        <w:pStyle w:val="footnotedescription"/>
        <w:spacing w:line="259" w:lineRule="auto"/>
      </w:pPr>
      <w:r>
        <w:rPr>
          <w:rStyle w:val="footnotemark"/>
        </w:rPr>
        <w:footnoteRef/>
      </w:r>
      <w:r>
        <w:t xml:space="preserve"> </w:t>
      </w:r>
      <w:r>
        <w:rPr>
          <w:i/>
        </w:rPr>
        <w:t>Encyclopédie</w:t>
      </w:r>
      <w:r>
        <w:t>, II, p. 846.</w:t>
      </w:r>
    </w:p>
  </w:footnote>
  <w:footnote w:id="28">
    <w:p w14:paraId="70C953C8" w14:textId="77777777" w:rsidR="00EF544B" w:rsidRDefault="00951809">
      <w:pPr>
        <w:pStyle w:val="footnotedescription"/>
        <w:spacing w:line="234" w:lineRule="auto"/>
        <w:ind w:right="5437"/>
        <w:jc w:val="both"/>
      </w:pPr>
      <w:r>
        <w:rPr>
          <w:rStyle w:val="footnotemark"/>
        </w:rPr>
        <w:footnoteRef/>
      </w:r>
      <w:r>
        <w:t xml:space="preserve"> </w:t>
      </w:r>
      <w:r>
        <w:rPr>
          <w:i/>
        </w:rPr>
        <w:t xml:space="preserve">Ibid. </w:t>
      </w:r>
      <w:r>
        <w:t xml:space="preserve">36 </w:t>
      </w:r>
      <w:r>
        <w:rPr>
          <w:i/>
        </w:rPr>
        <w:t>Ibid.</w:t>
      </w:r>
    </w:p>
  </w:footnote>
  <w:footnote w:id="29">
    <w:p w14:paraId="76A012AB" w14:textId="77777777" w:rsidR="00EF544B" w:rsidRDefault="00951809">
      <w:pPr>
        <w:pStyle w:val="footnotedescription"/>
        <w:spacing w:line="234" w:lineRule="auto"/>
        <w:ind w:left="323" w:hanging="323"/>
      </w:pPr>
      <w:r>
        <w:rPr>
          <w:rStyle w:val="footnotemark"/>
        </w:rPr>
        <w:footnoteRef/>
      </w:r>
      <w:r>
        <w:t xml:space="preserve"> Il s ’</w:t>
      </w:r>
      <w:proofErr w:type="gramStart"/>
      <w:r>
        <w:t>agit  d’un</w:t>
      </w:r>
      <w:proofErr w:type="gramEnd"/>
      <w:r>
        <w:t xml:space="preserve"> mémoire de John Craig, intitulé </w:t>
      </w:r>
      <w:r>
        <w:rPr>
          <w:i/>
        </w:rPr>
        <w:t>A Calculation of the</w:t>
      </w:r>
      <w:r>
        <w:rPr>
          <w:i/>
        </w:rPr>
        <w:t xml:space="preserve"> </w:t>
      </w:r>
      <w:proofErr w:type="spellStart"/>
      <w:r>
        <w:rPr>
          <w:i/>
        </w:rPr>
        <w:t>Credibility</w:t>
      </w:r>
      <w:proofErr w:type="spellEnd"/>
      <w:r>
        <w:rPr>
          <w:i/>
        </w:rPr>
        <w:t xml:space="preserve"> of Human </w:t>
      </w:r>
      <w:proofErr w:type="spellStart"/>
      <w:r>
        <w:rPr>
          <w:i/>
        </w:rPr>
        <w:t>Testimony</w:t>
      </w:r>
      <w:proofErr w:type="spellEnd"/>
      <w:r>
        <w:t xml:space="preserve"> (1699, p. 359-365), rapportant un travail plus substantiel qui visait à rendre  compte de la diminution nécessaire de la croyance accordée à l ’histoire sacrée, laquelle diminution permettrait de démontrer que toute certitud</w:t>
      </w:r>
      <w:r>
        <w:t xml:space="preserve">e à son sujet aurait disparu en </w:t>
      </w:r>
    </w:p>
  </w:footnote>
  <w:footnote w:id="30">
    <w:p w14:paraId="75F9236D" w14:textId="77777777" w:rsidR="00EF544B" w:rsidRDefault="00951809">
      <w:pPr>
        <w:pStyle w:val="footnotedescription"/>
        <w:spacing w:after="31" w:line="221" w:lineRule="auto"/>
        <w:ind w:left="323" w:right="2"/>
        <w:jc w:val="both"/>
      </w:pPr>
      <w:r>
        <w:rPr>
          <w:rStyle w:val="footnotemark"/>
        </w:rPr>
        <w:footnoteRef/>
      </w:r>
      <w:r>
        <w:t xml:space="preserve"> . Considérant que l</w:t>
      </w:r>
      <w:r>
        <w:t xml:space="preserve">a seconde venue du Christ pourrait être associée à la disparition de la foi, celle-ci pourrait donc être datée de la sorte. D. </w:t>
      </w:r>
      <w:proofErr w:type="spellStart"/>
      <w:r>
        <w:t>Perinetti</w:t>
      </w:r>
      <w:proofErr w:type="spellEnd"/>
      <w:r>
        <w:t xml:space="preserve"> (« </w:t>
      </w:r>
      <w:proofErr w:type="spellStart"/>
      <w:r>
        <w:t>Ways</w:t>
      </w:r>
      <w:proofErr w:type="spellEnd"/>
      <w:r>
        <w:t xml:space="preserve"> to </w:t>
      </w:r>
      <w:proofErr w:type="spellStart"/>
      <w:r>
        <w:t>Certainty</w:t>
      </w:r>
      <w:proofErr w:type="spellEnd"/>
      <w:r>
        <w:t xml:space="preserve"> », art. cité, p. 277) rappelle que ce texte a été abondamment discuté au </w:t>
      </w:r>
      <w:proofErr w:type="spellStart"/>
      <w:r>
        <w:t>xviii</w:t>
      </w:r>
      <w:r>
        <w:rPr>
          <w:sz w:val="16"/>
          <w:vertAlign w:val="superscript"/>
        </w:rPr>
        <w:t>e</w:t>
      </w:r>
      <w:proofErr w:type="spellEnd"/>
      <w:r>
        <w:t xml:space="preserve"> siècle.</w:t>
      </w:r>
    </w:p>
  </w:footnote>
  <w:footnote w:id="31">
    <w:p w14:paraId="71D10FCB" w14:textId="77777777" w:rsidR="00EF544B" w:rsidRDefault="00951809">
      <w:pPr>
        <w:pStyle w:val="footnotedescription"/>
        <w:spacing w:line="259" w:lineRule="auto"/>
      </w:pPr>
      <w:r>
        <w:rPr>
          <w:rStyle w:val="footnotemark"/>
        </w:rPr>
        <w:footnoteRef/>
      </w:r>
      <w:r>
        <w:t xml:space="preserve"> Diderot, éd. </w:t>
      </w:r>
      <w:proofErr w:type="gramStart"/>
      <w:r>
        <w:t>citée</w:t>
      </w:r>
      <w:proofErr w:type="gramEnd"/>
      <w:r>
        <w:t>, 1975-, VI, p. 314, note 3.</w:t>
      </w:r>
    </w:p>
  </w:footnote>
  <w:footnote w:id="32">
    <w:p w14:paraId="7C57E10B" w14:textId="77777777" w:rsidR="00EF544B" w:rsidRDefault="00951809">
      <w:pPr>
        <w:pStyle w:val="footnotedescription"/>
        <w:spacing w:after="2" w:line="231" w:lineRule="auto"/>
        <w:ind w:left="323" w:right="2" w:hanging="323"/>
        <w:jc w:val="both"/>
      </w:pPr>
      <w:r>
        <w:rPr>
          <w:rStyle w:val="footnotemark"/>
        </w:rPr>
        <w:footnoteRef/>
      </w:r>
      <w:r>
        <w:t xml:space="preserve"> Jean Mayer, (« Diderot et le calcul des probabilités dans l ’</w:t>
      </w:r>
      <w:r>
        <w:rPr>
          <w:i/>
        </w:rPr>
        <w:t>Encyclopédie</w:t>
      </w:r>
      <w:r>
        <w:t xml:space="preserve"> », </w:t>
      </w:r>
      <w:proofErr w:type="gramStart"/>
      <w:r>
        <w:rPr>
          <w:i/>
        </w:rPr>
        <w:t>Revue  d’histoire</w:t>
      </w:r>
      <w:proofErr w:type="gramEnd"/>
      <w:r>
        <w:rPr>
          <w:i/>
        </w:rPr>
        <w:t xml:space="preserve"> des sciences</w:t>
      </w:r>
      <w:r>
        <w:t>, 1991, XLIV, 3-4, p. 375-391) avait jugé  qu’on pouvait attribue</w:t>
      </w:r>
      <w:r>
        <w:t xml:space="preserve">r cet article à Diderot. Mais des recherches récentes tendent à montrer  qu’il  s’agit sans doute  d’un article de Charles-Benjamin de Langes de Montmirail de </w:t>
      </w:r>
      <w:proofErr w:type="spellStart"/>
      <w:r>
        <w:t>Lubières</w:t>
      </w:r>
      <w:proofErr w:type="spellEnd"/>
      <w:r>
        <w:t>, lequel  s’est inspiré  d’un cours de logique de Gabriel Cramer, un correspondant assidu</w:t>
      </w:r>
      <w:r>
        <w:t xml:space="preserve"> de d ’Alembert (</w:t>
      </w:r>
      <w:proofErr w:type="spellStart"/>
      <w:r>
        <w:t>JeanDaniel</w:t>
      </w:r>
      <w:proofErr w:type="spellEnd"/>
      <w:r>
        <w:t xml:space="preserve"> </w:t>
      </w:r>
      <w:proofErr w:type="spellStart"/>
      <w:r>
        <w:t>Candaux</w:t>
      </w:r>
      <w:proofErr w:type="spellEnd"/>
      <w:r>
        <w:t xml:space="preserve">, « Un auteur (et même deux) pour </w:t>
      </w:r>
      <w:r>
        <w:rPr>
          <w:i/>
        </w:rPr>
        <w:t xml:space="preserve">Idée, Induction, Probabilité </w:t>
      </w:r>
      <w:r>
        <w:t xml:space="preserve">: Monsieur de </w:t>
      </w:r>
      <w:proofErr w:type="spellStart"/>
      <w:r>
        <w:t>Lubières</w:t>
      </w:r>
      <w:proofErr w:type="spellEnd"/>
      <w:r>
        <w:t xml:space="preserve"> encyclopédiste », </w:t>
      </w:r>
      <w:r>
        <w:rPr>
          <w:i/>
        </w:rPr>
        <w:t>Recherches sur Diderot et l ’Encyclopédie</w:t>
      </w:r>
      <w:r>
        <w:t xml:space="preserve">, XV, 1993, p. 71-96 ; </w:t>
      </w:r>
      <w:r>
        <w:rPr>
          <w:i/>
        </w:rPr>
        <w:t>id.</w:t>
      </w:r>
      <w:r>
        <w:t>, « Vingt-deux articles manuscrits pour  l’</w:t>
      </w:r>
      <w:r>
        <w:rPr>
          <w:i/>
        </w:rPr>
        <w:t>Encyclo</w:t>
      </w:r>
      <w:r>
        <w:rPr>
          <w:i/>
        </w:rPr>
        <w:t>pédie</w:t>
      </w:r>
      <w:r>
        <w:t xml:space="preserve"> localisés en Suisse romande », </w:t>
      </w:r>
      <w:r>
        <w:rPr>
          <w:i/>
        </w:rPr>
        <w:t>Recherches sur Diderot et l ’Encyclopédie</w:t>
      </w:r>
      <w:r>
        <w:t xml:space="preserve">, XLIV, 2009, p. 219-228). </w:t>
      </w:r>
      <w:proofErr w:type="spellStart"/>
      <w:r>
        <w:t>Candaux</w:t>
      </w:r>
      <w:proofErr w:type="spellEnd"/>
      <w:r>
        <w:t xml:space="preserve"> a montré que la </w:t>
      </w:r>
      <w:proofErr w:type="gramStart"/>
      <w:r>
        <w:t>décision  d’utiliser</w:t>
      </w:r>
      <w:proofErr w:type="gramEnd"/>
      <w:r>
        <w:t xml:space="preserve"> ce texte pour  l’article « Probabilité » est tardive, si bien que Diderot avait probablement en tête un au</w:t>
      </w:r>
      <w:r>
        <w:t xml:space="preserve">tre  contenu pour cet article. </w:t>
      </w:r>
      <w:proofErr w:type="gramStart"/>
      <w:r>
        <w:t>Ceci étant</w:t>
      </w:r>
      <w:proofErr w:type="gramEnd"/>
      <w:r>
        <w:t xml:space="preserve"> dit, cet article remplit tout de même le mandat de traiter la certitude morale sous l ’angle du calcul des probabilités.</w:t>
      </w:r>
    </w:p>
  </w:footnote>
  <w:footnote w:id="33">
    <w:p w14:paraId="52615E67" w14:textId="77777777" w:rsidR="00EF544B" w:rsidRPr="00951809" w:rsidRDefault="00951809">
      <w:pPr>
        <w:pStyle w:val="footnotedescription"/>
        <w:spacing w:line="259" w:lineRule="auto"/>
        <w:rPr>
          <w:lang w:val="en-CA"/>
        </w:rPr>
      </w:pPr>
      <w:r>
        <w:rPr>
          <w:rStyle w:val="footnotemark"/>
        </w:rPr>
        <w:footnoteRef/>
      </w:r>
      <w:r w:rsidRPr="00951809">
        <w:rPr>
          <w:lang w:val="en-CA"/>
        </w:rPr>
        <w:t xml:space="preserve"> </w:t>
      </w:r>
      <w:r w:rsidRPr="00951809">
        <w:rPr>
          <w:i/>
          <w:lang w:val="en-CA"/>
        </w:rPr>
        <w:t>Encyclopédie</w:t>
      </w:r>
      <w:r w:rsidRPr="00951809">
        <w:rPr>
          <w:lang w:val="en-CA"/>
        </w:rPr>
        <w:t>, II, p. 846.</w:t>
      </w:r>
    </w:p>
  </w:footnote>
  <w:footnote w:id="34">
    <w:p w14:paraId="7C6F758C" w14:textId="77777777" w:rsidR="00EF544B" w:rsidRPr="00951809" w:rsidRDefault="00951809">
      <w:pPr>
        <w:pStyle w:val="footnotedescription"/>
        <w:spacing w:line="259" w:lineRule="auto"/>
        <w:rPr>
          <w:lang w:val="en-CA"/>
        </w:rPr>
      </w:pPr>
      <w:r>
        <w:rPr>
          <w:rStyle w:val="footnotemark"/>
        </w:rPr>
        <w:footnoteRef/>
      </w:r>
      <w:r w:rsidRPr="00951809">
        <w:rPr>
          <w:lang w:val="en-CA"/>
        </w:rPr>
        <w:t xml:space="preserve"> </w:t>
      </w:r>
      <w:r w:rsidRPr="00951809">
        <w:rPr>
          <w:lang w:val="en-CA"/>
        </w:rPr>
        <w:t>D. Perinetti, « Ways to Certainty », art. cité, p. 277.</w:t>
      </w:r>
    </w:p>
  </w:footnote>
  <w:footnote w:id="35">
    <w:p w14:paraId="5AFD7DC9" w14:textId="77777777" w:rsidR="00EF544B" w:rsidRPr="00951809" w:rsidRDefault="00951809">
      <w:pPr>
        <w:pStyle w:val="footnotedescription"/>
        <w:spacing w:line="233" w:lineRule="auto"/>
        <w:ind w:left="323" w:hanging="323"/>
        <w:jc w:val="both"/>
        <w:rPr>
          <w:lang w:val="en-CA"/>
        </w:rPr>
      </w:pPr>
      <w:r>
        <w:rPr>
          <w:rStyle w:val="footnotemark"/>
        </w:rPr>
        <w:footnoteRef/>
      </w:r>
      <w:r w:rsidRPr="00951809">
        <w:rPr>
          <w:lang w:val="en-CA"/>
        </w:rPr>
        <w:t xml:space="preserve"> Stephen Gaukroger, </w:t>
      </w:r>
      <w:r w:rsidRPr="00951809">
        <w:rPr>
          <w:i/>
          <w:lang w:val="en-CA"/>
        </w:rPr>
        <w:t>The Collapse of Mechanism and the Rise of Sensibility</w:t>
      </w:r>
      <w:r w:rsidRPr="00951809">
        <w:rPr>
          <w:lang w:val="en-CA"/>
        </w:rPr>
        <w:t>, Oxford/New York, Oxford University Press, 2010, p. 1.</w:t>
      </w:r>
    </w:p>
  </w:footnote>
  <w:footnote w:id="36">
    <w:p w14:paraId="49CF60A9" w14:textId="77777777" w:rsidR="00EF544B" w:rsidRDefault="00951809">
      <w:pPr>
        <w:pStyle w:val="footnotedescription"/>
        <w:spacing w:line="259" w:lineRule="auto"/>
      </w:pPr>
      <w:r>
        <w:rPr>
          <w:rStyle w:val="footnotemark"/>
        </w:rPr>
        <w:footnoteRef/>
      </w:r>
      <w:r>
        <w:t xml:space="preserve"> </w:t>
      </w:r>
      <w:r>
        <w:rPr>
          <w:i/>
        </w:rPr>
        <w:t>Encyclopédie</w:t>
      </w:r>
      <w:r>
        <w:t>, II, p. 855.</w:t>
      </w:r>
    </w:p>
  </w:footnote>
  <w:footnote w:id="37">
    <w:p w14:paraId="33BC08AA" w14:textId="77777777" w:rsidR="00EF544B" w:rsidRDefault="00951809">
      <w:pPr>
        <w:pStyle w:val="footnotedescription"/>
        <w:spacing w:line="235" w:lineRule="auto"/>
        <w:ind w:right="4876"/>
      </w:pPr>
      <w:r>
        <w:rPr>
          <w:rStyle w:val="footnotemark"/>
        </w:rPr>
        <w:footnoteRef/>
      </w:r>
      <w:r>
        <w:t xml:space="preserve"> </w:t>
      </w:r>
      <w:r>
        <w:rPr>
          <w:i/>
        </w:rPr>
        <w:t>Ibid.</w:t>
      </w:r>
      <w:r>
        <w:t xml:space="preserve">, p. 848. 45 </w:t>
      </w:r>
      <w:r>
        <w:rPr>
          <w:i/>
        </w:rPr>
        <w:t>Ibid.</w:t>
      </w:r>
      <w:r>
        <w:t>, p. 847.</w:t>
      </w:r>
    </w:p>
  </w:footnote>
  <w:footnote w:id="38">
    <w:p w14:paraId="4FA5305B" w14:textId="77777777" w:rsidR="00EF544B" w:rsidRDefault="00951809">
      <w:pPr>
        <w:pStyle w:val="footnotedescription"/>
        <w:spacing w:line="233" w:lineRule="auto"/>
        <w:ind w:left="323" w:right="2" w:hanging="323"/>
        <w:jc w:val="both"/>
      </w:pPr>
      <w:r>
        <w:rPr>
          <w:rStyle w:val="footnotemark"/>
        </w:rPr>
        <w:footnoteRef/>
      </w:r>
      <w:r>
        <w:t xml:space="preserve"> La réfutation directe des </w:t>
      </w:r>
      <w:r>
        <w:rPr>
          <w:i/>
        </w:rPr>
        <w:t>Pensées philosophiques</w:t>
      </w:r>
      <w:r>
        <w:t xml:space="preserve"> a eu lieu 11 pages plus tôt, si bien que cette postface entraîne le lecteur à c </w:t>
      </w:r>
      <w:proofErr w:type="spellStart"/>
      <w:r>
        <w:t>onférer</w:t>
      </w:r>
      <w:proofErr w:type="spellEnd"/>
      <w:r>
        <w:t xml:space="preserve"> rétroactivement une certaine importance à ce passage.</w:t>
      </w:r>
    </w:p>
  </w:footnote>
  <w:footnote w:id="39">
    <w:p w14:paraId="0F3D01A8" w14:textId="77777777" w:rsidR="00EF544B" w:rsidRDefault="00951809">
      <w:pPr>
        <w:pStyle w:val="footnotedescription"/>
        <w:spacing w:line="259" w:lineRule="auto"/>
      </w:pPr>
      <w:r>
        <w:rPr>
          <w:rStyle w:val="footnotemark"/>
        </w:rPr>
        <w:footnoteRef/>
      </w:r>
      <w:r>
        <w:t xml:space="preserve"> </w:t>
      </w:r>
      <w:r>
        <w:rPr>
          <w:i/>
        </w:rPr>
        <w:t>Encyclopédie</w:t>
      </w:r>
      <w:r>
        <w:t xml:space="preserve">, II, p. 862 – </w:t>
      </w:r>
      <w:r>
        <w:rPr>
          <w:i/>
        </w:rPr>
        <w:t>nous soulignons</w:t>
      </w:r>
      <w:r>
        <w:t>.</w:t>
      </w:r>
    </w:p>
  </w:footnote>
  <w:footnote w:id="40">
    <w:p w14:paraId="32754168" w14:textId="77777777" w:rsidR="00EF544B" w:rsidRDefault="00951809">
      <w:pPr>
        <w:pStyle w:val="footnotedescription"/>
        <w:spacing w:line="234" w:lineRule="auto"/>
        <w:ind w:left="323" w:right="2" w:hanging="323"/>
        <w:jc w:val="both"/>
      </w:pPr>
      <w:r>
        <w:rPr>
          <w:rStyle w:val="footnotemark"/>
        </w:rPr>
        <w:footnoteRef/>
      </w:r>
      <w:r>
        <w:t xml:space="preserve"> Sur l</w:t>
      </w:r>
      <w:r>
        <w:t>a question de réseaux de textes dans l ’</w:t>
      </w:r>
      <w:r>
        <w:rPr>
          <w:i/>
        </w:rPr>
        <w:t>Encyclopédie</w:t>
      </w:r>
      <w:r>
        <w:t xml:space="preserve">, on c </w:t>
      </w:r>
      <w:proofErr w:type="spellStart"/>
      <w:r>
        <w:t>onsultera</w:t>
      </w:r>
      <w:proofErr w:type="spellEnd"/>
      <w:r>
        <w:t xml:space="preserve">, bien sûr, les ouvrages de Jacques Proust, </w:t>
      </w:r>
      <w:r>
        <w:rPr>
          <w:i/>
        </w:rPr>
        <w:t xml:space="preserve">Diderot </w:t>
      </w:r>
      <w:proofErr w:type="gramStart"/>
      <w:r>
        <w:rPr>
          <w:i/>
        </w:rPr>
        <w:t>et  l’Encyclopédie</w:t>
      </w:r>
      <w:proofErr w:type="gramEnd"/>
      <w:r>
        <w:t>, Paris, Albin Michel, 1962 ; Marie Leca-Tsiomis, Écrire  l’Encyclopédie : de  l’usage des dictionnaires à la grammair</w:t>
      </w:r>
      <w:r>
        <w:t xml:space="preserve">e philosophique, Oxford, Voltaire </w:t>
      </w:r>
      <w:proofErr w:type="spellStart"/>
      <w:r>
        <w:t>Foundation</w:t>
      </w:r>
      <w:proofErr w:type="spellEnd"/>
      <w:r>
        <w:t xml:space="preserve">, 1999 et Véronique Le Ru, </w:t>
      </w:r>
      <w:r>
        <w:rPr>
          <w:i/>
        </w:rPr>
        <w:t xml:space="preserve">Subversives Lumières.  </w:t>
      </w:r>
      <w:proofErr w:type="gramStart"/>
      <w:r>
        <w:rPr>
          <w:i/>
        </w:rPr>
        <w:t>L’Encyclopédie  comme</w:t>
      </w:r>
      <w:proofErr w:type="gramEnd"/>
      <w:r>
        <w:rPr>
          <w:i/>
        </w:rPr>
        <w:t xml:space="preserve"> machine de guerre</w:t>
      </w:r>
      <w:r>
        <w:t xml:space="preserve">, Paris, CNRS Éditions, 2007. Nous étendons la notion de réseaux ici à des textes qui ne se trouvent pas </w:t>
      </w:r>
      <w:proofErr w:type="gramStart"/>
      <w:r>
        <w:t>dans  l’</w:t>
      </w:r>
      <w:r>
        <w:rPr>
          <w:i/>
        </w:rPr>
        <w:t>Encyclopéd</w:t>
      </w:r>
      <w:r>
        <w:rPr>
          <w:i/>
        </w:rPr>
        <w:t>ie</w:t>
      </w:r>
      <w:proofErr w:type="gramEnd"/>
      <w:r>
        <w:t>, mais auxquels elle renvoie explicitement ou non.</w:t>
      </w:r>
    </w:p>
  </w:footnote>
  <w:footnote w:id="41">
    <w:p w14:paraId="575AEF2C" w14:textId="77777777" w:rsidR="00EF544B" w:rsidRDefault="00951809">
      <w:pPr>
        <w:pStyle w:val="footnotedescription"/>
        <w:spacing w:line="259" w:lineRule="auto"/>
      </w:pPr>
      <w:r>
        <w:rPr>
          <w:rStyle w:val="footnotemark"/>
        </w:rPr>
        <w:footnoteRef/>
      </w:r>
      <w:r>
        <w:t xml:space="preserve"> Diderot, éd. </w:t>
      </w:r>
      <w:proofErr w:type="gramStart"/>
      <w:r>
        <w:t>citée</w:t>
      </w:r>
      <w:proofErr w:type="gramEnd"/>
      <w:r>
        <w:t>, 1975-, II, p. 42.</w:t>
      </w:r>
    </w:p>
  </w:footnote>
  <w:footnote w:id="42">
    <w:p w14:paraId="56965442" w14:textId="77777777" w:rsidR="00EF544B" w:rsidRDefault="00951809">
      <w:pPr>
        <w:pStyle w:val="footnotedescription"/>
        <w:spacing w:line="259" w:lineRule="auto"/>
      </w:pPr>
      <w:r>
        <w:rPr>
          <w:rStyle w:val="footnotemark"/>
        </w:rPr>
        <w:footnoteRef/>
      </w:r>
      <w:r>
        <w:t xml:space="preserve"> </w:t>
      </w:r>
      <w:r>
        <w:rPr>
          <w:i/>
        </w:rPr>
        <w:t>Encyclopédie</w:t>
      </w:r>
      <w:r>
        <w:t>, II, p. 851.</w:t>
      </w:r>
    </w:p>
  </w:footnote>
  <w:footnote w:id="43">
    <w:p w14:paraId="602B49AE" w14:textId="77777777" w:rsidR="00EF544B" w:rsidRDefault="00951809">
      <w:pPr>
        <w:pStyle w:val="footnotedescription"/>
        <w:spacing w:after="27" w:line="227" w:lineRule="auto"/>
        <w:ind w:left="323" w:right="2" w:hanging="323"/>
        <w:jc w:val="both"/>
      </w:pPr>
      <w:r>
        <w:rPr>
          <w:rStyle w:val="footnotemark"/>
        </w:rPr>
        <w:footnoteRef/>
      </w:r>
      <w:r>
        <w:t xml:space="preserve"> Robert Morin montre très bien que de Prades n ’était pas le seul à traiter la mise en cause de la certitude morale par le Diderot des</w:t>
      </w:r>
      <w:r>
        <w:t xml:space="preserve"> </w:t>
      </w:r>
      <w:r>
        <w:rPr>
          <w:i/>
        </w:rPr>
        <w:t xml:space="preserve">Pensées </w:t>
      </w:r>
      <w:proofErr w:type="gramStart"/>
      <w:r>
        <w:rPr>
          <w:i/>
        </w:rPr>
        <w:t>philosophiques</w:t>
      </w:r>
      <w:r>
        <w:t xml:space="preserve">  comme</w:t>
      </w:r>
      <w:proofErr w:type="gramEnd"/>
      <w:r>
        <w:t xml:space="preserve"> un argument sceptique : </w:t>
      </w:r>
      <w:r>
        <w:rPr>
          <w:i/>
        </w:rPr>
        <w:t xml:space="preserve">Les </w:t>
      </w:r>
      <w:r>
        <w:t>Pensées philosophiques</w:t>
      </w:r>
      <w:r>
        <w:rPr>
          <w:i/>
        </w:rPr>
        <w:t xml:space="preserve"> de Diderot devant leurs principaux c </w:t>
      </w:r>
      <w:proofErr w:type="spellStart"/>
      <w:r>
        <w:rPr>
          <w:i/>
        </w:rPr>
        <w:t>ontradicteurs</w:t>
      </w:r>
      <w:proofErr w:type="spellEnd"/>
      <w:r>
        <w:rPr>
          <w:i/>
        </w:rPr>
        <w:t xml:space="preserve"> au </w:t>
      </w:r>
      <w:proofErr w:type="spellStart"/>
      <w:r>
        <w:rPr>
          <w:i/>
          <w:sz w:val="13"/>
        </w:rPr>
        <w:t>xviii</w:t>
      </w:r>
      <w:r>
        <w:rPr>
          <w:i/>
          <w:sz w:val="16"/>
          <w:vertAlign w:val="superscript"/>
        </w:rPr>
        <w:t>e</w:t>
      </w:r>
      <w:proofErr w:type="spellEnd"/>
      <w:r>
        <w:t xml:space="preserve"> siècle, Paris, Les Belles lettres, 1975, p. 82-83.</w:t>
      </w:r>
    </w:p>
  </w:footnote>
  <w:footnote w:id="44">
    <w:p w14:paraId="77B69304" w14:textId="77777777" w:rsidR="00EF544B" w:rsidRDefault="00951809">
      <w:pPr>
        <w:pStyle w:val="footnotedescription"/>
        <w:spacing w:line="233" w:lineRule="auto"/>
        <w:ind w:left="323" w:right="2" w:hanging="323"/>
        <w:jc w:val="both"/>
      </w:pPr>
      <w:r>
        <w:rPr>
          <w:rStyle w:val="footnotemark"/>
        </w:rPr>
        <w:footnoteRef/>
      </w:r>
      <w:r>
        <w:t xml:space="preserve"> </w:t>
      </w:r>
      <w:r>
        <w:rPr>
          <w:i/>
        </w:rPr>
        <w:t>Encyclopédie</w:t>
      </w:r>
      <w:r>
        <w:t xml:space="preserve">, II, p. 851. Comparer, notamment, avec la </w:t>
      </w:r>
      <w:r>
        <w:rPr>
          <w:i/>
        </w:rPr>
        <w:t>Lettr</w:t>
      </w:r>
      <w:r>
        <w:rPr>
          <w:i/>
        </w:rPr>
        <w:t>e sur les sourds et muets</w:t>
      </w:r>
      <w:r>
        <w:t xml:space="preserve"> : « Mon idée serait donc de décomposer pour ainsi dire un homme, et </w:t>
      </w:r>
      <w:proofErr w:type="gramStart"/>
      <w:r>
        <w:t>de  considérer</w:t>
      </w:r>
      <w:proofErr w:type="gramEnd"/>
      <w:r>
        <w:t xml:space="preserve"> ce  qu’il tient de chacun des sens q </w:t>
      </w:r>
      <w:proofErr w:type="spellStart"/>
      <w:r>
        <w:t>u’il</w:t>
      </w:r>
      <w:proofErr w:type="spellEnd"/>
      <w:r>
        <w:t xml:space="preserve"> possède. Je me souviens d’avoir été quelquefois occupé </w:t>
      </w:r>
      <w:proofErr w:type="gramStart"/>
      <w:r>
        <w:t>de  cette</w:t>
      </w:r>
      <w:proofErr w:type="gramEnd"/>
      <w:r>
        <w:t xml:space="preserve"> espèce d ’anatomie métaphysique, et je t</w:t>
      </w:r>
      <w:r>
        <w:t xml:space="preserve">rouvais que de tous les sens l’œil était le  plus superficiel, l ’oreille le plus orgueilleux, l’odorat le plus voluptueux, le goût le plus  superstitieux et le plus inconstant, le toucher le plus profond et le plus philosophe » (Diderot, éd. </w:t>
      </w:r>
      <w:proofErr w:type="gramStart"/>
      <w:r>
        <w:t>citée</w:t>
      </w:r>
      <w:proofErr w:type="gramEnd"/>
      <w:r>
        <w:t>, 1975-,</w:t>
      </w:r>
      <w:r>
        <w:t xml:space="preserve"> IV, p. 140.</w:t>
      </w:r>
    </w:p>
  </w:footnote>
  <w:footnote w:id="45">
    <w:p w14:paraId="3232F57E" w14:textId="77777777" w:rsidR="00EF544B" w:rsidRDefault="00951809">
      <w:pPr>
        <w:pStyle w:val="footnotedescription"/>
        <w:spacing w:line="259" w:lineRule="auto"/>
      </w:pPr>
      <w:r>
        <w:rPr>
          <w:rStyle w:val="footnotemark"/>
        </w:rPr>
        <w:footnoteRef/>
      </w:r>
      <w:r>
        <w:t xml:space="preserve"> Cité dans : Diderot, </w:t>
      </w:r>
      <w:r>
        <w:rPr>
          <w:i/>
        </w:rPr>
        <w:t>ibid.</w:t>
      </w:r>
      <w:r>
        <w:t>, p. 295.</w:t>
      </w:r>
    </w:p>
  </w:footnote>
  <w:footnote w:id="46">
    <w:p w14:paraId="6800B21F" w14:textId="77777777" w:rsidR="00EF544B" w:rsidRPr="00951809" w:rsidRDefault="00951809">
      <w:pPr>
        <w:pStyle w:val="footnotedescription"/>
        <w:spacing w:line="259" w:lineRule="auto"/>
        <w:rPr>
          <w:lang w:val="en-CA"/>
        </w:rPr>
      </w:pPr>
      <w:r>
        <w:rPr>
          <w:rStyle w:val="footnotemark"/>
        </w:rPr>
        <w:footnoteRef/>
      </w:r>
      <w:r w:rsidRPr="00951809">
        <w:rPr>
          <w:lang w:val="en-CA"/>
        </w:rPr>
        <w:t xml:space="preserve"> </w:t>
      </w:r>
      <w:r w:rsidRPr="00951809">
        <w:rPr>
          <w:i/>
          <w:lang w:val="en-CA"/>
        </w:rPr>
        <w:t>Ibid.</w:t>
      </w:r>
      <w:r w:rsidRPr="00951809">
        <w:rPr>
          <w:lang w:val="en-CA"/>
        </w:rPr>
        <w:t>, p. 325.</w:t>
      </w:r>
    </w:p>
  </w:footnote>
  <w:footnote w:id="47">
    <w:p w14:paraId="7DBE36CF" w14:textId="77777777" w:rsidR="00EF544B" w:rsidRPr="00951809" w:rsidRDefault="00951809">
      <w:pPr>
        <w:pStyle w:val="footnotedescription"/>
        <w:spacing w:line="259" w:lineRule="auto"/>
        <w:rPr>
          <w:lang w:val="en-CA"/>
        </w:rPr>
      </w:pPr>
      <w:r>
        <w:rPr>
          <w:rStyle w:val="footnotemark"/>
        </w:rPr>
        <w:footnoteRef/>
      </w:r>
      <w:r w:rsidRPr="00951809">
        <w:rPr>
          <w:lang w:val="en-CA"/>
        </w:rPr>
        <w:t xml:space="preserve"> </w:t>
      </w:r>
      <w:r w:rsidRPr="00951809">
        <w:rPr>
          <w:i/>
          <w:lang w:val="en-CA"/>
        </w:rPr>
        <w:t>Ibid.</w:t>
      </w:r>
      <w:r w:rsidRPr="00951809">
        <w:rPr>
          <w:lang w:val="en-CA"/>
        </w:rPr>
        <w:t>, p. 326.</w:t>
      </w:r>
    </w:p>
  </w:footnote>
  <w:footnote w:id="48">
    <w:p w14:paraId="0549A474" w14:textId="77777777" w:rsidR="00EF544B" w:rsidRPr="00951809" w:rsidRDefault="00951809">
      <w:pPr>
        <w:pStyle w:val="footnotedescription"/>
        <w:spacing w:line="259" w:lineRule="auto"/>
        <w:rPr>
          <w:lang w:val="en-CA"/>
        </w:rPr>
      </w:pPr>
      <w:r>
        <w:rPr>
          <w:rStyle w:val="footnotemark"/>
        </w:rPr>
        <w:footnoteRef/>
      </w:r>
      <w:r w:rsidRPr="00951809">
        <w:rPr>
          <w:lang w:val="en-CA"/>
        </w:rPr>
        <w:t xml:space="preserve"> </w:t>
      </w:r>
      <w:r w:rsidRPr="00951809">
        <w:rPr>
          <w:i/>
          <w:lang w:val="en-CA"/>
        </w:rPr>
        <w:t>Encyclopédie</w:t>
      </w:r>
      <w:r w:rsidRPr="00951809">
        <w:rPr>
          <w:lang w:val="en-CA"/>
        </w:rPr>
        <w:t>, 1751-1765, I, p. 40.</w:t>
      </w:r>
    </w:p>
  </w:footnote>
  <w:footnote w:id="49">
    <w:p w14:paraId="7536B65A" w14:textId="77777777" w:rsidR="00EF544B" w:rsidRDefault="00951809">
      <w:pPr>
        <w:pStyle w:val="footnotedescription"/>
        <w:spacing w:line="233" w:lineRule="auto"/>
        <w:ind w:left="323" w:right="2" w:hanging="323"/>
        <w:jc w:val="both"/>
      </w:pPr>
      <w:r>
        <w:rPr>
          <w:rStyle w:val="footnotemark"/>
        </w:rPr>
        <w:footnoteRef/>
      </w:r>
      <w:r>
        <w:t xml:space="preserve"> J. Mayer (« Diderot et le calcul des probabilités…, art. cité, p. 387</w:t>
      </w:r>
      <w:r>
        <w:rPr>
          <w:i/>
        </w:rPr>
        <w:t xml:space="preserve"> sq.</w:t>
      </w:r>
      <w:r>
        <w:t>) a montré que cette intervention de Diderot fait partie d ’une série où ce dernier se distancie de d’Alembert sur   l’application du calcul des probabilités, et souvent, de manière étonnante, en raisonnant de manière plus rigoureusement mathématique que l</w:t>
      </w:r>
      <w:r>
        <w:t>e géomètre…</w:t>
      </w:r>
    </w:p>
  </w:footnote>
  <w:footnote w:id="50">
    <w:p w14:paraId="4EFE8E16" w14:textId="77777777" w:rsidR="00EF544B" w:rsidRDefault="00951809">
      <w:pPr>
        <w:pStyle w:val="footnotedescription"/>
        <w:spacing w:line="234" w:lineRule="auto"/>
        <w:ind w:left="323" w:right="2" w:hanging="323"/>
        <w:jc w:val="both"/>
      </w:pPr>
      <w:r>
        <w:rPr>
          <w:rStyle w:val="footnotemark"/>
        </w:rPr>
        <w:footnoteRef/>
      </w:r>
      <w:r>
        <w:t xml:space="preserve"> </w:t>
      </w:r>
      <w:r>
        <w:rPr>
          <w:i/>
        </w:rPr>
        <w:t>Encyclopédie</w:t>
      </w:r>
      <w:r>
        <w:t xml:space="preserve">, I, p. 179. Cet article a </w:t>
      </w:r>
      <w:proofErr w:type="gramStart"/>
      <w:r>
        <w:t>fait  l’objet</w:t>
      </w:r>
      <w:proofErr w:type="gramEnd"/>
      <w:r>
        <w:t xml:space="preserve"> de plusieurs études. Voir, par exemple : Michel </w:t>
      </w:r>
      <w:proofErr w:type="spellStart"/>
      <w:r>
        <w:t>Mervaud</w:t>
      </w:r>
      <w:proofErr w:type="spellEnd"/>
      <w:r>
        <w:t xml:space="preserve">, « Diderot </w:t>
      </w:r>
      <w:proofErr w:type="gramStart"/>
      <w:r>
        <w:t>et  l’Agnus</w:t>
      </w:r>
      <w:proofErr w:type="gramEnd"/>
      <w:r>
        <w:t xml:space="preserve"> </w:t>
      </w:r>
      <w:proofErr w:type="spellStart"/>
      <w:r>
        <w:t>Scythicus</w:t>
      </w:r>
      <w:proofErr w:type="spellEnd"/>
      <w:r>
        <w:t xml:space="preserve"> : le mythe et son histoire », </w:t>
      </w:r>
      <w:proofErr w:type="spellStart"/>
      <w:r>
        <w:rPr>
          <w:i/>
        </w:rPr>
        <w:t>Studies</w:t>
      </w:r>
      <w:proofErr w:type="spellEnd"/>
      <w:r>
        <w:rPr>
          <w:i/>
        </w:rPr>
        <w:t xml:space="preserve"> on Voltaire and </w:t>
      </w:r>
      <w:proofErr w:type="spellStart"/>
      <w:r>
        <w:rPr>
          <w:i/>
        </w:rPr>
        <w:t>Eighteenth</w:t>
      </w:r>
      <w:proofErr w:type="spellEnd"/>
      <w:r>
        <w:rPr>
          <w:i/>
        </w:rPr>
        <w:t xml:space="preserve"> Century</w:t>
      </w:r>
      <w:r>
        <w:t xml:space="preserve">, 2003 et Stephen Werner, « </w:t>
      </w:r>
      <w:r>
        <w:t xml:space="preserve">D </w:t>
      </w:r>
      <w:proofErr w:type="spellStart"/>
      <w:r>
        <w:t>iderot’s</w:t>
      </w:r>
      <w:proofErr w:type="spellEnd"/>
      <w:r>
        <w:t xml:space="preserve"> </w:t>
      </w:r>
      <w:r>
        <w:rPr>
          <w:i/>
        </w:rPr>
        <w:t>Encyclopédie</w:t>
      </w:r>
      <w:r>
        <w:t xml:space="preserve"> Article “Agnus </w:t>
      </w:r>
      <w:proofErr w:type="spellStart"/>
      <w:r>
        <w:t>Scythicus</w:t>
      </w:r>
      <w:proofErr w:type="spellEnd"/>
      <w:r>
        <w:t xml:space="preserve">” », </w:t>
      </w:r>
      <w:proofErr w:type="spellStart"/>
      <w:r>
        <w:rPr>
          <w:i/>
        </w:rPr>
        <w:t>Studies</w:t>
      </w:r>
      <w:proofErr w:type="spellEnd"/>
      <w:r>
        <w:rPr>
          <w:i/>
        </w:rPr>
        <w:t xml:space="preserve"> on Voltaire and the </w:t>
      </w:r>
      <w:proofErr w:type="spellStart"/>
      <w:r>
        <w:rPr>
          <w:i/>
        </w:rPr>
        <w:t>Eighteenth</w:t>
      </w:r>
      <w:proofErr w:type="spellEnd"/>
      <w:r>
        <w:rPr>
          <w:i/>
        </w:rPr>
        <w:t xml:space="preserve"> Century</w:t>
      </w:r>
      <w:r>
        <w:t>, 1971.</w:t>
      </w:r>
    </w:p>
  </w:footnote>
  <w:footnote w:id="51">
    <w:p w14:paraId="169DB158" w14:textId="77777777" w:rsidR="00EF544B" w:rsidRDefault="00951809">
      <w:pPr>
        <w:pStyle w:val="footnotedescription"/>
        <w:spacing w:line="233" w:lineRule="auto"/>
        <w:ind w:left="323" w:right="1" w:hanging="323"/>
        <w:jc w:val="both"/>
      </w:pPr>
      <w:r>
        <w:rPr>
          <w:rStyle w:val="footnotemark"/>
        </w:rPr>
        <w:footnoteRef/>
      </w:r>
      <w:r>
        <w:t xml:space="preserve"> Les </w:t>
      </w:r>
      <w:r>
        <w:rPr>
          <w:i/>
        </w:rPr>
        <w:t>Réflexions d ’un franciscain</w:t>
      </w:r>
      <w:r>
        <w:t xml:space="preserve"> citées plus haut indiquent (Bonhomme et </w:t>
      </w:r>
      <w:proofErr w:type="spellStart"/>
      <w:r>
        <w:t>Fruchet</w:t>
      </w:r>
      <w:proofErr w:type="spellEnd"/>
      <w:r>
        <w:t xml:space="preserve">, </w:t>
      </w:r>
      <w:proofErr w:type="gramStart"/>
      <w:r>
        <w:rPr>
          <w:i/>
        </w:rPr>
        <w:t xml:space="preserve">Réflexions  </w:t>
      </w:r>
      <w:r>
        <w:rPr>
          <w:i/>
        </w:rPr>
        <w:t>d’un</w:t>
      </w:r>
      <w:proofErr w:type="gramEnd"/>
      <w:r>
        <w:rPr>
          <w:i/>
        </w:rPr>
        <w:t xml:space="preserve"> franciscain sur les trois volumes de  l’Encyclopédie…</w:t>
      </w:r>
      <w:r>
        <w:t xml:space="preserve">, </w:t>
      </w:r>
      <w:r>
        <w:rPr>
          <w:i/>
        </w:rPr>
        <w:t xml:space="preserve">op. </w:t>
      </w:r>
      <w:proofErr w:type="spellStart"/>
      <w:proofErr w:type="gramStart"/>
      <w:r>
        <w:rPr>
          <w:i/>
        </w:rPr>
        <w:t>cit</w:t>
      </w:r>
      <w:proofErr w:type="spellEnd"/>
      <w:proofErr w:type="gramEnd"/>
      <w:r>
        <w:rPr>
          <w:i/>
        </w:rPr>
        <w:t>.</w:t>
      </w:r>
      <w:r>
        <w:t>, p. 77) : « les règles de Certitude données dans un article de Botanique »,  comme devant faire matière à « réflexion » sur les procédés des encyclopédistes.</w:t>
      </w:r>
    </w:p>
  </w:footnote>
  <w:footnote w:id="52">
    <w:p w14:paraId="3AA93E28" w14:textId="77777777" w:rsidR="00EF544B" w:rsidRDefault="00951809">
      <w:pPr>
        <w:pStyle w:val="footnotedescription"/>
        <w:spacing w:line="233" w:lineRule="auto"/>
        <w:ind w:left="323" w:right="2" w:hanging="323"/>
        <w:jc w:val="both"/>
      </w:pPr>
      <w:r>
        <w:rPr>
          <w:rStyle w:val="footnotemark"/>
        </w:rPr>
        <w:footnoteRef/>
      </w:r>
      <w:r>
        <w:t xml:space="preserve"> Comme le fait remarquer Fra</w:t>
      </w:r>
      <w:r>
        <w:t xml:space="preserve">nçois Pépin (« Diderot et la c </w:t>
      </w:r>
      <w:proofErr w:type="spellStart"/>
      <w:r>
        <w:t>onjecture</w:t>
      </w:r>
      <w:proofErr w:type="spellEnd"/>
      <w:r>
        <w:t xml:space="preserve"> expérimentale, ou c </w:t>
      </w:r>
      <w:proofErr w:type="spellStart"/>
      <w:r>
        <w:t>omment</w:t>
      </w:r>
      <w:proofErr w:type="spellEnd"/>
      <w:r>
        <w:t xml:space="preserve"> concilier l ’extravagance de   l’enthousiaste et la prudence </w:t>
      </w:r>
      <w:proofErr w:type="gramStart"/>
      <w:r>
        <w:t>de  l’authentique</w:t>
      </w:r>
      <w:proofErr w:type="gramEnd"/>
      <w:r>
        <w:t xml:space="preserve"> génie », </w:t>
      </w:r>
      <w:r>
        <w:rPr>
          <w:i/>
        </w:rPr>
        <w:t>MLN</w:t>
      </w:r>
      <w:r>
        <w:t>, CXXIX, 4, p. 758) : « À l ’idéal de certitude, Diderot substitue une analyse probabiliste ». Ce</w:t>
      </w:r>
      <w:r>
        <w:t xml:space="preserve">tte analyse probabiliste est illustrée, toujours suivant Pépin, qui </w:t>
      </w:r>
      <w:proofErr w:type="gramStart"/>
      <w:r>
        <w:t>cite  l’article</w:t>
      </w:r>
      <w:proofErr w:type="gramEnd"/>
      <w:r>
        <w:t xml:space="preserve"> « Conjecture » de Diderot (</w:t>
      </w:r>
      <w:r>
        <w:rPr>
          <w:i/>
        </w:rPr>
        <w:t>Encyclopédie</w:t>
      </w:r>
      <w:r>
        <w:t xml:space="preserve">, III, p. 870) : « la force de la </w:t>
      </w:r>
      <w:r>
        <w:rPr>
          <w:i/>
        </w:rPr>
        <w:t xml:space="preserve"> conjecture</w:t>
      </w:r>
      <w:r>
        <w:t>, ou la vraisemblance de la  conclusion, est dans le rapport des évènements  connus pour</w:t>
      </w:r>
      <w:r>
        <w:t xml:space="preserve">, aux évènements  connus  contre :  d’où il  s’ensuit que ce qui  n’est  qu’une faible </w:t>
      </w:r>
      <w:r>
        <w:rPr>
          <w:i/>
        </w:rPr>
        <w:t xml:space="preserve">conjecture </w:t>
      </w:r>
      <w:r>
        <w:t xml:space="preserve"> pour l ’un, devient ou une </w:t>
      </w:r>
      <w:r>
        <w:rPr>
          <w:i/>
        </w:rPr>
        <w:t xml:space="preserve"> conjecture</w:t>
      </w:r>
      <w:r>
        <w:t xml:space="preserve"> très-forte, ou même une démonstration pour  l’autre. Pour que le jugement </w:t>
      </w:r>
      <w:proofErr w:type="gramStart"/>
      <w:r>
        <w:t>cesse  d’être</w:t>
      </w:r>
      <w:proofErr w:type="gramEnd"/>
      <w:r>
        <w:t xml:space="preserve">  conjectural, il  n’est pas né</w:t>
      </w:r>
      <w:r>
        <w:t xml:space="preserve">cessaire  qu’on ait trouvé dans les essais que telles circonstances étant présentes, tel évènement arrivait toujours, ou  n’arrivait jamais. Il y a un certain point indiscernable où nous cessons </w:t>
      </w:r>
      <w:proofErr w:type="gramStart"/>
      <w:r>
        <w:t>de  conjecturer</w:t>
      </w:r>
      <w:proofErr w:type="gramEnd"/>
      <w:r>
        <w:t xml:space="preserve">, &amp; où nous assurons positivement ; ce point, </w:t>
      </w:r>
      <w:r>
        <w:t xml:space="preserve">tout étant égal  d’ailleurs, varie  d’un homme à un autre, &amp; d ’un instant à un autre dans le même homme, selon l’intérêt q </w:t>
      </w:r>
      <w:proofErr w:type="spellStart"/>
      <w:r>
        <w:t>u’on</w:t>
      </w:r>
      <w:proofErr w:type="spellEnd"/>
      <w:r>
        <w:t xml:space="preserve"> prend  à l ’évènement, le caractère, &amp; une infinité de choses dont il est impossible de rendre  compte.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2871" w14:textId="58314C9A" w:rsidR="00EF544B" w:rsidRDefault="00951809">
    <w:pPr>
      <w:spacing w:after="0" w:line="259" w:lineRule="auto"/>
      <w:ind w:left="-1440" w:right="8004" w:firstLine="0"/>
      <w:jc w:val="left"/>
    </w:pPr>
    <w:r>
      <w:rPr>
        <w:noProof/>
      </w:rPr>
      <w:pict w14:anchorId="6DB87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50141" o:spid="_x0000_s2064" type="#_x0000_t136" style="position:absolute;left:0;text-align:left;margin-left:0;margin-top:0;width:389.6pt;height:73.05pt;rotation:315;z-index:-251606016;mso-position-horizontal:center;mso-position-horizontal-relative:margin;mso-position-vertical:center;mso-position-vertical-relative:margin" o:allowincell="f" fillcolor="silver" stroked="f">
          <v:fill opacity=".5"/>
          <v:textpath style="font-family:&quot;Garamond&quot;;font-size:1pt" string="Version préliminaire"/>
        </v:shape>
      </w:pict>
    </w: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4434D4CB" wp14:editId="39D44803">
              <wp:simplePos x="0" y="0"/>
              <wp:positionH relativeFrom="page">
                <wp:posOffset>0</wp:posOffset>
              </wp:positionH>
              <wp:positionV relativeFrom="page">
                <wp:posOffset>0</wp:posOffset>
              </wp:positionV>
              <wp:extent cx="298501" cy="298501"/>
              <wp:effectExtent l="0" t="0" r="0" b="0"/>
              <wp:wrapSquare wrapText="bothSides"/>
              <wp:docPr id="22066" name="Group 22066"/>
              <wp:cNvGraphicFramePr/>
              <a:graphic xmlns:a="http://schemas.openxmlformats.org/drawingml/2006/main">
                <a:graphicData uri="http://schemas.microsoft.com/office/word/2010/wordprocessingGroup">
                  <wpg:wgp>
                    <wpg:cNvGrpSpPr/>
                    <wpg:grpSpPr>
                      <a:xfrm>
                        <a:off x="0" y="0"/>
                        <a:ext cx="298501" cy="298501"/>
                        <a:chOff x="0" y="0"/>
                        <a:chExt cx="298501" cy="298501"/>
                      </a:xfrm>
                    </wpg:grpSpPr>
                    <wps:wsp>
                      <wps:cNvPr id="22067" name="Shape 22067"/>
                      <wps:cNvSpPr/>
                      <wps:spPr>
                        <a:xfrm>
                          <a:off x="0" y="298501"/>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068" name="Shape 22068"/>
                      <wps:cNvSpPr/>
                      <wps:spPr>
                        <a:xfrm>
                          <a:off x="298501"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66" style="width:23.504pt;height:23.504pt;position:absolute;mso-position-horizontal-relative:page;mso-position-horizontal:absolute;margin-left:0pt;mso-position-vertical-relative:page;margin-top:2.86102e-05pt;" coordsize="2985,2985">
              <v:shape id="Shape 22067" style="position:absolute;width:1905;height:0;left:0;top:2985;" coordsize="190500,0" path="m190500,0l0,0">
                <v:stroke weight="0.25pt" endcap="flat" joinstyle="miter" miterlimit="10" on="true" color="#000000"/>
                <v:fill on="false" color="#000000" opacity="0"/>
              </v:shape>
              <v:shape id="Shape 22068" style="position:absolute;width:0;height:1905;left:2985;top:0;" coordsize="0,190500" path="m0,1905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1FDB73E2" wp14:editId="40F961F2">
              <wp:simplePos x="0" y="0"/>
              <wp:positionH relativeFrom="page">
                <wp:posOffset>5698503</wp:posOffset>
              </wp:positionH>
              <wp:positionV relativeFrom="page">
                <wp:posOffset>0</wp:posOffset>
              </wp:positionV>
              <wp:extent cx="298501" cy="298501"/>
              <wp:effectExtent l="0" t="0" r="0" b="0"/>
              <wp:wrapSquare wrapText="bothSides"/>
              <wp:docPr id="22069" name="Group 22069"/>
              <wp:cNvGraphicFramePr/>
              <a:graphic xmlns:a="http://schemas.openxmlformats.org/drawingml/2006/main">
                <a:graphicData uri="http://schemas.microsoft.com/office/word/2010/wordprocessingGroup">
                  <wpg:wgp>
                    <wpg:cNvGrpSpPr/>
                    <wpg:grpSpPr>
                      <a:xfrm>
                        <a:off x="0" y="0"/>
                        <a:ext cx="298501" cy="298501"/>
                        <a:chOff x="0" y="0"/>
                        <a:chExt cx="298501" cy="298501"/>
                      </a:xfrm>
                    </wpg:grpSpPr>
                    <wps:wsp>
                      <wps:cNvPr id="22070" name="Shape 22070"/>
                      <wps:cNvSpPr/>
                      <wps:spPr>
                        <a:xfrm>
                          <a:off x="108001" y="298501"/>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071" name="Shape 22071"/>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69" style="width:23.504pt;height:23.504pt;position:absolute;mso-position-horizontal-relative:page;mso-position-horizontal:absolute;margin-left:448.701pt;mso-position-vertical-relative:page;margin-top:2.86102e-05pt;" coordsize="2985,2985">
              <v:shape id="Shape 22070" style="position:absolute;width:1905;height:0;left:1080;top:2985;" coordsize="190500,0" path="m0,0l190500,0">
                <v:stroke weight="0.25pt" endcap="flat" joinstyle="miter" miterlimit="10" on="true" color="#000000"/>
                <v:fill on="false" color="#000000" opacity="0"/>
              </v:shape>
              <v:shape id="Shape 22071" style="position:absolute;width:0;height:1905;left:0;top:0;" coordsize="0,190500" path="m0,190500l0,0">
                <v:stroke weight="0.25pt" endcap="flat" joinstyle="miter" miterlimit="10" on="true" color="#000000"/>
                <v:fill on="false" color="#000000" opacity="0"/>
              </v:shape>
              <w10:wrap type="squar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6247" w14:textId="28151CC4" w:rsidR="00EF544B" w:rsidRDefault="00951809">
    <w:pPr>
      <w:spacing w:after="0" w:line="259" w:lineRule="auto"/>
      <w:ind w:left="-1604" w:right="7841" w:firstLine="0"/>
      <w:jc w:val="left"/>
    </w:pPr>
    <w:r>
      <w:rPr>
        <w:noProof/>
      </w:rPr>
      <w:pict w14:anchorId="50D21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50150" o:spid="_x0000_s2073" type="#_x0000_t136" style="position:absolute;left:0;text-align:left;margin-left:0;margin-top:0;width:389.6pt;height:73.05pt;rotation:315;z-index:-251587584;mso-position-horizontal:center;mso-position-horizontal-relative:margin;mso-position-vertical:center;mso-position-vertical-relative:margin" o:allowincell="f" fillcolor="silver" stroked="f">
          <v:fill opacity=".5"/>
          <v:textpath style="font-family:&quot;Garamond&quot;;font-size:1pt" string="Version préliminaire"/>
        </v:shape>
      </w:pict>
    </w:r>
    <w:r>
      <w:rPr>
        <w:rFonts w:ascii="Calibri" w:eastAsia="Calibri" w:hAnsi="Calibri" w:cs="Calibri"/>
        <w:noProof/>
        <w:color w:val="000000"/>
        <w:sz w:val="22"/>
      </w:rPr>
      <mc:AlternateContent>
        <mc:Choice Requires="wpg">
          <w:drawing>
            <wp:anchor distT="0" distB="0" distL="114300" distR="114300" simplePos="0" relativeHeight="251695104" behindDoc="0" locked="0" layoutInCell="1" allowOverlap="1" wp14:anchorId="3AE37901" wp14:editId="43A5F880">
              <wp:simplePos x="0" y="0"/>
              <wp:positionH relativeFrom="page">
                <wp:posOffset>0</wp:posOffset>
              </wp:positionH>
              <wp:positionV relativeFrom="page">
                <wp:posOffset>0</wp:posOffset>
              </wp:positionV>
              <wp:extent cx="298501" cy="298501"/>
              <wp:effectExtent l="0" t="0" r="0" b="0"/>
              <wp:wrapSquare wrapText="bothSides"/>
              <wp:docPr id="22265" name="Group 22265"/>
              <wp:cNvGraphicFramePr/>
              <a:graphic xmlns:a="http://schemas.openxmlformats.org/drawingml/2006/main">
                <a:graphicData uri="http://schemas.microsoft.com/office/word/2010/wordprocessingGroup">
                  <wpg:wgp>
                    <wpg:cNvGrpSpPr/>
                    <wpg:grpSpPr>
                      <a:xfrm>
                        <a:off x="0" y="0"/>
                        <a:ext cx="298501" cy="298501"/>
                        <a:chOff x="0" y="0"/>
                        <a:chExt cx="298501" cy="298501"/>
                      </a:xfrm>
                    </wpg:grpSpPr>
                    <wps:wsp>
                      <wps:cNvPr id="22266" name="Shape 22266"/>
                      <wps:cNvSpPr/>
                      <wps:spPr>
                        <a:xfrm>
                          <a:off x="0" y="298501"/>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267" name="Shape 22267"/>
                      <wps:cNvSpPr/>
                      <wps:spPr>
                        <a:xfrm>
                          <a:off x="298501"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265" style="width:23.504pt;height:23.504pt;position:absolute;mso-position-horizontal-relative:page;mso-position-horizontal:absolute;margin-left:0pt;mso-position-vertical-relative:page;margin-top:2.86102e-05pt;" coordsize="2985,2985">
              <v:shape id="Shape 22266" style="position:absolute;width:1905;height:0;left:0;top:2985;" coordsize="190500,0" path="m190500,0l0,0">
                <v:stroke weight="0.25pt" endcap="flat" joinstyle="miter" miterlimit="10" on="true" color="#000000"/>
                <v:fill on="false" color="#000000" opacity="0"/>
              </v:shape>
              <v:shape id="Shape 22267" style="position:absolute;width:0;height:1905;left:2985;top:0;" coordsize="0,190500" path="m0,1905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96128" behindDoc="0" locked="0" layoutInCell="1" allowOverlap="1" wp14:anchorId="513B17DF" wp14:editId="630FA9E4">
              <wp:simplePos x="0" y="0"/>
              <wp:positionH relativeFrom="page">
                <wp:posOffset>5698503</wp:posOffset>
              </wp:positionH>
              <wp:positionV relativeFrom="page">
                <wp:posOffset>0</wp:posOffset>
              </wp:positionV>
              <wp:extent cx="298501" cy="298501"/>
              <wp:effectExtent l="0" t="0" r="0" b="0"/>
              <wp:wrapSquare wrapText="bothSides"/>
              <wp:docPr id="22268" name="Group 22268"/>
              <wp:cNvGraphicFramePr/>
              <a:graphic xmlns:a="http://schemas.openxmlformats.org/drawingml/2006/main">
                <a:graphicData uri="http://schemas.microsoft.com/office/word/2010/wordprocessingGroup">
                  <wpg:wgp>
                    <wpg:cNvGrpSpPr/>
                    <wpg:grpSpPr>
                      <a:xfrm>
                        <a:off x="0" y="0"/>
                        <a:ext cx="298501" cy="298501"/>
                        <a:chOff x="0" y="0"/>
                        <a:chExt cx="298501" cy="298501"/>
                      </a:xfrm>
                    </wpg:grpSpPr>
                    <wps:wsp>
                      <wps:cNvPr id="22269" name="Shape 22269"/>
                      <wps:cNvSpPr/>
                      <wps:spPr>
                        <a:xfrm>
                          <a:off x="108001" y="298501"/>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270" name="Shape 22270"/>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268" style="width:23.504pt;height:23.504pt;position:absolute;mso-position-horizontal-relative:page;mso-position-horizontal:absolute;margin-left:448.701pt;mso-position-vertical-relative:page;margin-top:2.86102e-05pt;" coordsize="2985,2985">
              <v:shape id="Shape 22269" style="position:absolute;width:1905;height:0;left:1080;top:2985;" coordsize="190500,0" path="m0,0l190500,0">
                <v:stroke weight="0.25pt" endcap="flat" joinstyle="miter" miterlimit="10" on="true" color="#000000"/>
                <v:fill on="false" color="#000000" opacity="0"/>
              </v:shape>
              <v:shape id="Shape 22270" style="position:absolute;width:0;height:1905;left:0;top:0;" coordsize="0,190500" path="m0,190500l0,0">
                <v:stroke weight="0.25pt" endcap="flat" joinstyle="miter" miterlimit="10" on="true" color="#000000"/>
                <v:fill on="false" color="#000000" opacity="0"/>
              </v:shape>
              <w10:wrap type="squar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5FC1" w14:textId="7ED4FF60" w:rsidR="00EF544B" w:rsidRDefault="00951809">
    <w:pPr>
      <w:spacing w:after="0" w:line="259" w:lineRule="auto"/>
      <w:ind w:left="-1604" w:right="7841" w:firstLine="0"/>
      <w:jc w:val="left"/>
    </w:pPr>
    <w:r>
      <w:rPr>
        <w:noProof/>
      </w:rPr>
      <w:pict w14:anchorId="591E6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50151" o:spid="_x0000_s2074" type="#_x0000_t136" style="position:absolute;left:0;text-align:left;margin-left:0;margin-top:0;width:389.6pt;height:73.05pt;rotation:315;z-index:-251585536;mso-position-horizontal:center;mso-position-horizontal-relative:margin;mso-position-vertical:center;mso-position-vertical-relative:margin" o:allowincell="f" fillcolor="silver" stroked="f">
          <v:fill opacity=".5"/>
          <v:textpath style="font-family:&quot;Garamond&quot;;font-size:1pt" string="Version préliminaire"/>
        </v:shape>
      </w:pict>
    </w:r>
    <w:r>
      <w:rPr>
        <w:rFonts w:ascii="Calibri" w:eastAsia="Calibri" w:hAnsi="Calibri" w:cs="Calibri"/>
        <w:noProof/>
        <w:color w:val="000000"/>
        <w:sz w:val="22"/>
      </w:rPr>
      <mc:AlternateContent>
        <mc:Choice Requires="wpg">
          <w:drawing>
            <wp:anchor distT="0" distB="0" distL="114300" distR="114300" simplePos="0" relativeHeight="251697152" behindDoc="0" locked="0" layoutInCell="1" allowOverlap="1" wp14:anchorId="6AF56E89" wp14:editId="649E6E63">
              <wp:simplePos x="0" y="0"/>
              <wp:positionH relativeFrom="page">
                <wp:posOffset>0</wp:posOffset>
              </wp:positionH>
              <wp:positionV relativeFrom="page">
                <wp:posOffset>0</wp:posOffset>
              </wp:positionV>
              <wp:extent cx="298501" cy="298501"/>
              <wp:effectExtent l="0" t="0" r="0" b="0"/>
              <wp:wrapSquare wrapText="bothSides"/>
              <wp:docPr id="22245" name="Group 22245"/>
              <wp:cNvGraphicFramePr/>
              <a:graphic xmlns:a="http://schemas.openxmlformats.org/drawingml/2006/main">
                <a:graphicData uri="http://schemas.microsoft.com/office/word/2010/wordprocessingGroup">
                  <wpg:wgp>
                    <wpg:cNvGrpSpPr/>
                    <wpg:grpSpPr>
                      <a:xfrm>
                        <a:off x="0" y="0"/>
                        <a:ext cx="298501" cy="298501"/>
                        <a:chOff x="0" y="0"/>
                        <a:chExt cx="298501" cy="298501"/>
                      </a:xfrm>
                    </wpg:grpSpPr>
                    <wps:wsp>
                      <wps:cNvPr id="22246" name="Shape 22246"/>
                      <wps:cNvSpPr/>
                      <wps:spPr>
                        <a:xfrm>
                          <a:off x="0" y="298501"/>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247" name="Shape 22247"/>
                      <wps:cNvSpPr/>
                      <wps:spPr>
                        <a:xfrm>
                          <a:off x="298501"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245" style="width:23.504pt;height:23.504pt;position:absolute;mso-position-horizontal-relative:page;mso-position-horizontal:absolute;margin-left:0pt;mso-position-vertical-relative:page;margin-top:2.86102e-05pt;" coordsize="2985,2985">
              <v:shape id="Shape 22246" style="position:absolute;width:1905;height:0;left:0;top:2985;" coordsize="190500,0" path="m190500,0l0,0">
                <v:stroke weight="0.25pt" endcap="flat" joinstyle="miter" miterlimit="10" on="true" color="#000000"/>
                <v:fill on="false" color="#000000" opacity="0"/>
              </v:shape>
              <v:shape id="Shape 22247" style="position:absolute;width:0;height:1905;left:2985;top:0;" coordsize="0,190500" path="m0,1905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98176" behindDoc="0" locked="0" layoutInCell="1" allowOverlap="1" wp14:anchorId="2CFDA61B" wp14:editId="19DA20FE">
              <wp:simplePos x="0" y="0"/>
              <wp:positionH relativeFrom="page">
                <wp:posOffset>5698503</wp:posOffset>
              </wp:positionH>
              <wp:positionV relativeFrom="page">
                <wp:posOffset>0</wp:posOffset>
              </wp:positionV>
              <wp:extent cx="298501" cy="298501"/>
              <wp:effectExtent l="0" t="0" r="0" b="0"/>
              <wp:wrapSquare wrapText="bothSides"/>
              <wp:docPr id="22248" name="Group 22248"/>
              <wp:cNvGraphicFramePr/>
              <a:graphic xmlns:a="http://schemas.openxmlformats.org/drawingml/2006/main">
                <a:graphicData uri="http://schemas.microsoft.com/office/word/2010/wordprocessingGroup">
                  <wpg:wgp>
                    <wpg:cNvGrpSpPr/>
                    <wpg:grpSpPr>
                      <a:xfrm>
                        <a:off x="0" y="0"/>
                        <a:ext cx="298501" cy="298501"/>
                        <a:chOff x="0" y="0"/>
                        <a:chExt cx="298501" cy="298501"/>
                      </a:xfrm>
                    </wpg:grpSpPr>
                    <wps:wsp>
                      <wps:cNvPr id="22249" name="Shape 22249"/>
                      <wps:cNvSpPr/>
                      <wps:spPr>
                        <a:xfrm>
                          <a:off x="108001" y="298501"/>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250" name="Shape 22250"/>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248" style="width:23.504pt;height:23.504pt;position:absolute;mso-position-horizontal-relative:page;mso-position-horizontal:absolute;margin-left:448.701pt;mso-position-vertical-relative:page;margin-top:2.86102e-05pt;" coordsize="2985,2985">
              <v:shape id="Shape 22249" style="position:absolute;width:1905;height:0;left:1080;top:2985;" coordsize="190500,0" path="m0,0l190500,0">
                <v:stroke weight="0.25pt" endcap="flat" joinstyle="miter" miterlimit="10" on="true" color="#000000"/>
                <v:fill on="false" color="#000000" opacity="0"/>
              </v:shape>
              <v:shape id="Shape 22250" style="position:absolute;width:0;height:1905;left:0;top:0;" coordsize="0,190500" path="m0,190500l0,0">
                <v:stroke weight="0.25pt" endcap="flat" joinstyle="miter" miterlimit="10" on="true" color="#000000"/>
                <v:fill on="false" color="#000000" opacity="0"/>
              </v:shape>
              <w10:wrap type="squar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17FF" w14:textId="09CDCDEE" w:rsidR="00EF544B" w:rsidRDefault="00951809">
    <w:pPr>
      <w:spacing w:after="0" w:line="259" w:lineRule="auto"/>
      <w:ind w:left="-1604" w:right="7841" w:firstLine="0"/>
      <w:jc w:val="left"/>
    </w:pPr>
    <w:r>
      <w:rPr>
        <w:noProof/>
      </w:rPr>
      <w:pict w14:anchorId="25495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50149" o:spid="_x0000_s2072" type="#_x0000_t136" style="position:absolute;left:0;text-align:left;margin-left:0;margin-top:0;width:389.6pt;height:73.05pt;rotation:315;z-index:-251589632;mso-position-horizontal:center;mso-position-horizontal-relative:margin;mso-position-vertical:center;mso-position-vertical-relative:margin" o:allowincell="f" fillcolor="silver" stroked="f">
          <v:fill opacity=".5"/>
          <v:textpath style="font-family:&quot;Garamond&quot;;font-size:1pt" string="Version préliminaire"/>
        </v:shape>
      </w:pict>
    </w:r>
    <w:r>
      <w:rPr>
        <w:rFonts w:ascii="Calibri" w:eastAsia="Calibri" w:hAnsi="Calibri" w:cs="Calibri"/>
        <w:noProof/>
        <w:color w:val="000000"/>
        <w:sz w:val="22"/>
      </w:rPr>
      <mc:AlternateContent>
        <mc:Choice Requires="wpg">
          <w:drawing>
            <wp:anchor distT="0" distB="0" distL="114300" distR="114300" simplePos="0" relativeHeight="251699200" behindDoc="0" locked="0" layoutInCell="1" allowOverlap="1" wp14:anchorId="76BA394B" wp14:editId="6134D693">
              <wp:simplePos x="0" y="0"/>
              <wp:positionH relativeFrom="page">
                <wp:posOffset>0</wp:posOffset>
              </wp:positionH>
              <wp:positionV relativeFrom="page">
                <wp:posOffset>0</wp:posOffset>
              </wp:positionV>
              <wp:extent cx="298501" cy="298501"/>
              <wp:effectExtent l="0" t="0" r="0" b="0"/>
              <wp:wrapSquare wrapText="bothSides"/>
              <wp:docPr id="22225" name="Group 22225"/>
              <wp:cNvGraphicFramePr/>
              <a:graphic xmlns:a="http://schemas.openxmlformats.org/drawingml/2006/main">
                <a:graphicData uri="http://schemas.microsoft.com/office/word/2010/wordprocessingGroup">
                  <wpg:wgp>
                    <wpg:cNvGrpSpPr/>
                    <wpg:grpSpPr>
                      <a:xfrm>
                        <a:off x="0" y="0"/>
                        <a:ext cx="298501" cy="298501"/>
                        <a:chOff x="0" y="0"/>
                        <a:chExt cx="298501" cy="298501"/>
                      </a:xfrm>
                    </wpg:grpSpPr>
                    <wps:wsp>
                      <wps:cNvPr id="22226" name="Shape 22226"/>
                      <wps:cNvSpPr/>
                      <wps:spPr>
                        <a:xfrm>
                          <a:off x="0" y="298501"/>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227" name="Shape 22227"/>
                      <wps:cNvSpPr/>
                      <wps:spPr>
                        <a:xfrm>
                          <a:off x="298501"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225" style="width:23.504pt;height:23.504pt;position:absolute;mso-position-horizontal-relative:page;mso-position-horizontal:absolute;margin-left:0pt;mso-position-vertical-relative:page;margin-top:2.86102e-05pt;" coordsize="2985,2985">
              <v:shape id="Shape 22226" style="position:absolute;width:1905;height:0;left:0;top:2985;" coordsize="190500,0" path="m190500,0l0,0">
                <v:stroke weight="0.25pt" endcap="flat" joinstyle="miter" miterlimit="10" on="true" color="#000000"/>
                <v:fill on="false" color="#000000" opacity="0"/>
              </v:shape>
              <v:shape id="Shape 22227" style="position:absolute;width:0;height:1905;left:2985;top:0;" coordsize="0,190500" path="m0,1905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700224" behindDoc="0" locked="0" layoutInCell="1" allowOverlap="1" wp14:anchorId="4318A7A2" wp14:editId="23E3D0B6">
              <wp:simplePos x="0" y="0"/>
              <wp:positionH relativeFrom="page">
                <wp:posOffset>5698503</wp:posOffset>
              </wp:positionH>
              <wp:positionV relativeFrom="page">
                <wp:posOffset>0</wp:posOffset>
              </wp:positionV>
              <wp:extent cx="298501" cy="298501"/>
              <wp:effectExtent l="0" t="0" r="0" b="0"/>
              <wp:wrapSquare wrapText="bothSides"/>
              <wp:docPr id="22228" name="Group 22228"/>
              <wp:cNvGraphicFramePr/>
              <a:graphic xmlns:a="http://schemas.openxmlformats.org/drawingml/2006/main">
                <a:graphicData uri="http://schemas.microsoft.com/office/word/2010/wordprocessingGroup">
                  <wpg:wgp>
                    <wpg:cNvGrpSpPr/>
                    <wpg:grpSpPr>
                      <a:xfrm>
                        <a:off x="0" y="0"/>
                        <a:ext cx="298501" cy="298501"/>
                        <a:chOff x="0" y="0"/>
                        <a:chExt cx="298501" cy="298501"/>
                      </a:xfrm>
                    </wpg:grpSpPr>
                    <wps:wsp>
                      <wps:cNvPr id="22229" name="Shape 22229"/>
                      <wps:cNvSpPr/>
                      <wps:spPr>
                        <a:xfrm>
                          <a:off x="108001" y="298501"/>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230" name="Shape 22230"/>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228" style="width:23.504pt;height:23.504pt;position:absolute;mso-position-horizontal-relative:page;mso-position-horizontal:absolute;margin-left:448.701pt;mso-position-vertical-relative:page;margin-top:2.86102e-05pt;" coordsize="2985,2985">
              <v:shape id="Shape 22229" style="position:absolute;width:1905;height:0;left:1080;top:2985;" coordsize="190500,0" path="m0,0l190500,0">
                <v:stroke weight="0.25pt" endcap="flat" joinstyle="miter" miterlimit="10" on="true" color="#000000"/>
                <v:fill on="false" color="#000000" opacity="0"/>
              </v:shape>
              <v:shape id="Shape 22230" style="position:absolute;width:0;height:1905;left:0;top:0;" coordsize="0,190500" path="m0,1905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68A2" w14:textId="34ACD9B2" w:rsidR="00EF544B" w:rsidRDefault="00951809">
    <w:pPr>
      <w:spacing w:after="0" w:line="259" w:lineRule="auto"/>
      <w:ind w:left="-1440" w:right="8004" w:firstLine="0"/>
      <w:jc w:val="left"/>
    </w:pPr>
    <w:r>
      <w:rPr>
        <w:noProof/>
      </w:rPr>
      <w:pict w14:anchorId="620D5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50142" o:spid="_x0000_s2065" type="#_x0000_t136" style="position:absolute;left:0;text-align:left;margin-left:0;margin-top:0;width:389.6pt;height:73.05pt;rotation:315;z-index:-251603968;mso-position-horizontal:center;mso-position-horizontal-relative:margin;mso-position-vertical:center;mso-position-vertical-relative:margin" o:allowincell="f" fillcolor="silver" stroked="f">
          <v:fill opacity=".5"/>
          <v:textpath style="font-family:&quot;Garamond&quot;;font-size:1pt" string="Version préliminaire"/>
        </v:shape>
      </w:pict>
    </w: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3A2F4746" wp14:editId="42CE1169">
              <wp:simplePos x="0" y="0"/>
              <wp:positionH relativeFrom="page">
                <wp:posOffset>0</wp:posOffset>
              </wp:positionH>
              <wp:positionV relativeFrom="page">
                <wp:posOffset>0</wp:posOffset>
              </wp:positionV>
              <wp:extent cx="298501" cy="298501"/>
              <wp:effectExtent l="0" t="0" r="0" b="0"/>
              <wp:wrapSquare wrapText="bothSides"/>
              <wp:docPr id="22046" name="Group 22046"/>
              <wp:cNvGraphicFramePr/>
              <a:graphic xmlns:a="http://schemas.openxmlformats.org/drawingml/2006/main">
                <a:graphicData uri="http://schemas.microsoft.com/office/word/2010/wordprocessingGroup">
                  <wpg:wgp>
                    <wpg:cNvGrpSpPr/>
                    <wpg:grpSpPr>
                      <a:xfrm>
                        <a:off x="0" y="0"/>
                        <a:ext cx="298501" cy="298501"/>
                        <a:chOff x="0" y="0"/>
                        <a:chExt cx="298501" cy="298501"/>
                      </a:xfrm>
                    </wpg:grpSpPr>
                    <wps:wsp>
                      <wps:cNvPr id="22047" name="Shape 22047"/>
                      <wps:cNvSpPr/>
                      <wps:spPr>
                        <a:xfrm>
                          <a:off x="0" y="298501"/>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048" name="Shape 22048"/>
                      <wps:cNvSpPr/>
                      <wps:spPr>
                        <a:xfrm>
                          <a:off x="298501"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46" style="width:23.504pt;height:23.504pt;position:absolute;mso-position-horizontal-relative:page;mso-position-horizontal:absolute;margin-left:0pt;mso-position-vertical-relative:page;margin-top:2.86102e-05pt;" coordsize="2985,2985">
              <v:shape id="Shape 22047" style="position:absolute;width:1905;height:0;left:0;top:2985;" coordsize="190500,0" path="m190500,0l0,0">
                <v:stroke weight="0.25pt" endcap="flat" joinstyle="miter" miterlimit="10" on="true" color="#000000"/>
                <v:fill on="false" color="#000000" opacity="0"/>
              </v:shape>
              <v:shape id="Shape 22048" style="position:absolute;width:0;height:1905;left:2985;top:0;" coordsize="0,190500" path="m0,1905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767EBFD5" wp14:editId="779254A6">
              <wp:simplePos x="0" y="0"/>
              <wp:positionH relativeFrom="page">
                <wp:posOffset>5698503</wp:posOffset>
              </wp:positionH>
              <wp:positionV relativeFrom="page">
                <wp:posOffset>0</wp:posOffset>
              </wp:positionV>
              <wp:extent cx="298501" cy="298501"/>
              <wp:effectExtent l="0" t="0" r="0" b="0"/>
              <wp:wrapSquare wrapText="bothSides"/>
              <wp:docPr id="22049" name="Group 22049"/>
              <wp:cNvGraphicFramePr/>
              <a:graphic xmlns:a="http://schemas.openxmlformats.org/drawingml/2006/main">
                <a:graphicData uri="http://schemas.microsoft.com/office/word/2010/wordprocessingGroup">
                  <wpg:wgp>
                    <wpg:cNvGrpSpPr/>
                    <wpg:grpSpPr>
                      <a:xfrm>
                        <a:off x="0" y="0"/>
                        <a:ext cx="298501" cy="298501"/>
                        <a:chOff x="0" y="0"/>
                        <a:chExt cx="298501" cy="298501"/>
                      </a:xfrm>
                    </wpg:grpSpPr>
                    <wps:wsp>
                      <wps:cNvPr id="22050" name="Shape 22050"/>
                      <wps:cNvSpPr/>
                      <wps:spPr>
                        <a:xfrm>
                          <a:off x="108001" y="298501"/>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051" name="Shape 22051"/>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49" style="width:23.504pt;height:23.504pt;position:absolute;mso-position-horizontal-relative:page;mso-position-horizontal:absolute;margin-left:448.701pt;mso-position-vertical-relative:page;margin-top:2.86102e-05pt;" coordsize="2985,2985">
              <v:shape id="Shape 22050" style="position:absolute;width:1905;height:0;left:1080;top:2985;" coordsize="190500,0" path="m0,0l190500,0">
                <v:stroke weight="0.25pt" endcap="flat" joinstyle="miter" miterlimit="10" on="true" color="#000000"/>
                <v:fill on="false" color="#000000" opacity="0"/>
              </v:shape>
              <v:shape id="Shape 22051" style="position:absolute;width:0;height:1905;left:0;top:0;" coordsize="0,190500" path="m0,190500l0,0">
                <v:stroke weight="0.2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12DD" w14:textId="30B73C49" w:rsidR="00EF544B" w:rsidRDefault="00951809">
    <w:pPr>
      <w:spacing w:after="0" w:line="259" w:lineRule="auto"/>
      <w:ind w:left="-1440" w:right="8004" w:firstLine="0"/>
      <w:jc w:val="left"/>
    </w:pPr>
    <w:r>
      <w:rPr>
        <w:noProof/>
      </w:rPr>
      <w:pict w14:anchorId="29475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50140" o:spid="_x0000_s2063" type="#_x0000_t136" style="position:absolute;left:0;text-align:left;margin-left:0;margin-top:0;width:389.6pt;height:73.05pt;rotation:315;z-index:-251608064;mso-position-horizontal:center;mso-position-horizontal-relative:margin;mso-position-vertical:center;mso-position-vertical-relative:margin" o:allowincell="f" fillcolor="silver" stroked="f">
          <v:fill opacity=".5"/>
          <v:textpath style="font-family:&quot;Garamond&quot;;font-size:1pt" string="Version préliminaire"/>
        </v:shape>
      </w:pict>
    </w: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0FF98AF0" wp14:editId="7353E41D">
              <wp:simplePos x="0" y="0"/>
              <wp:positionH relativeFrom="page">
                <wp:posOffset>0</wp:posOffset>
              </wp:positionH>
              <wp:positionV relativeFrom="page">
                <wp:posOffset>0</wp:posOffset>
              </wp:positionV>
              <wp:extent cx="298501" cy="298501"/>
              <wp:effectExtent l="0" t="0" r="0" b="0"/>
              <wp:wrapSquare wrapText="bothSides"/>
              <wp:docPr id="22026" name="Group 22026"/>
              <wp:cNvGraphicFramePr/>
              <a:graphic xmlns:a="http://schemas.openxmlformats.org/drawingml/2006/main">
                <a:graphicData uri="http://schemas.microsoft.com/office/word/2010/wordprocessingGroup">
                  <wpg:wgp>
                    <wpg:cNvGrpSpPr/>
                    <wpg:grpSpPr>
                      <a:xfrm>
                        <a:off x="0" y="0"/>
                        <a:ext cx="298501" cy="298501"/>
                        <a:chOff x="0" y="0"/>
                        <a:chExt cx="298501" cy="298501"/>
                      </a:xfrm>
                    </wpg:grpSpPr>
                    <wps:wsp>
                      <wps:cNvPr id="22027" name="Shape 22027"/>
                      <wps:cNvSpPr/>
                      <wps:spPr>
                        <a:xfrm>
                          <a:off x="0" y="298501"/>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028" name="Shape 22028"/>
                      <wps:cNvSpPr/>
                      <wps:spPr>
                        <a:xfrm>
                          <a:off x="298501"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26" style="width:23.504pt;height:23.504pt;position:absolute;mso-position-horizontal-relative:page;mso-position-horizontal:absolute;margin-left:0pt;mso-position-vertical-relative:page;margin-top:2.86102e-05pt;" coordsize="2985,2985">
              <v:shape id="Shape 22027" style="position:absolute;width:1905;height:0;left:0;top:2985;" coordsize="190500,0" path="m190500,0l0,0">
                <v:stroke weight="0.25pt" endcap="flat" joinstyle="miter" miterlimit="10" on="true" color="#000000"/>
                <v:fill on="false" color="#000000" opacity="0"/>
              </v:shape>
              <v:shape id="Shape 22028" style="position:absolute;width:0;height:1905;left:2985;top:0;" coordsize="0,190500" path="m0,1905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74631EF3" wp14:editId="19A73835">
              <wp:simplePos x="0" y="0"/>
              <wp:positionH relativeFrom="page">
                <wp:posOffset>5698503</wp:posOffset>
              </wp:positionH>
              <wp:positionV relativeFrom="page">
                <wp:posOffset>0</wp:posOffset>
              </wp:positionV>
              <wp:extent cx="298501" cy="298501"/>
              <wp:effectExtent l="0" t="0" r="0" b="0"/>
              <wp:wrapSquare wrapText="bothSides"/>
              <wp:docPr id="22029" name="Group 22029"/>
              <wp:cNvGraphicFramePr/>
              <a:graphic xmlns:a="http://schemas.openxmlformats.org/drawingml/2006/main">
                <a:graphicData uri="http://schemas.microsoft.com/office/word/2010/wordprocessingGroup">
                  <wpg:wgp>
                    <wpg:cNvGrpSpPr/>
                    <wpg:grpSpPr>
                      <a:xfrm>
                        <a:off x="0" y="0"/>
                        <a:ext cx="298501" cy="298501"/>
                        <a:chOff x="0" y="0"/>
                        <a:chExt cx="298501" cy="298501"/>
                      </a:xfrm>
                    </wpg:grpSpPr>
                    <wps:wsp>
                      <wps:cNvPr id="22030" name="Shape 22030"/>
                      <wps:cNvSpPr/>
                      <wps:spPr>
                        <a:xfrm>
                          <a:off x="108001" y="298501"/>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031" name="Shape 22031"/>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29" style="width:23.504pt;height:23.504pt;position:absolute;mso-position-horizontal-relative:page;mso-position-horizontal:absolute;margin-left:448.701pt;mso-position-vertical-relative:page;margin-top:2.86102e-05pt;" coordsize="2985,2985">
              <v:shape id="Shape 22030" style="position:absolute;width:1905;height:0;left:1080;top:2985;" coordsize="190500,0" path="m0,0l190500,0">
                <v:stroke weight="0.25pt" endcap="flat" joinstyle="miter" miterlimit="10" on="true" color="#000000"/>
                <v:fill on="false" color="#000000" opacity="0"/>
              </v:shape>
              <v:shape id="Shape 22031" style="position:absolute;width:0;height:1905;left:0;top:0;" coordsize="0,190500" path="m0,190500l0,0">
                <v:stroke weight="0.25pt" endcap="flat" joinstyle="miter" miterlimit="10" on="true" color="#000000"/>
                <v:fill on="false" color="#000000" opacity="0"/>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3BC5" w14:textId="5020FB84" w:rsidR="00EF544B" w:rsidRDefault="00951809">
    <w:pPr>
      <w:spacing w:after="0" w:line="259" w:lineRule="auto"/>
      <w:ind w:left="-1604" w:right="7843" w:firstLine="0"/>
      <w:jc w:val="left"/>
    </w:pPr>
    <w:r>
      <w:rPr>
        <w:noProof/>
      </w:rPr>
      <w:pict w14:anchorId="70E9B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50144" o:spid="_x0000_s2067" type="#_x0000_t136" style="position:absolute;left:0;text-align:left;margin-left:0;margin-top:0;width:389.6pt;height:73.05pt;rotation:315;z-index:-251599872;mso-position-horizontal:center;mso-position-horizontal-relative:margin;mso-position-vertical:center;mso-position-vertical-relative:margin" o:allowincell="f" fillcolor="silver" stroked="f">
          <v:fill opacity=".5"/>
          <v:textpath style="font-family:&quot;Garamond&quot;;font-size:1pt" string="Version préliminaire"/>
        </v:shape>
      </w:pict>
    </w:r>
    <w:r>
      <w:rPr>
        <w:rFonts w:ascii="Calibri" w:eastAsia="Calibri" w:hAnsi="Calibri" w:cs="Calibri"/>
        <w:noProof/>
        <w:color w:val="000000"/>
        <w:sz w:val="22"/>
      </w:rPr>
      <mc:AlternateContent>
        <mc:Choice Requires="wpg">
          <w:drawing>
            <wp:anchor distT="0" distB="0" distL="114300" distR="114300" simplePos="0" relativeHeight="251670528" behindDoc="0" locked="0" layoutInCell="1" allowOverlap="1" wp14:anchorId="5029F48F" wp14:editId="7497E51E">
              <wp:simplePos x="0" y="0"/>
              <wp:positionH relativeFrom="page">
                <wp:posOffset>0</wp:posOffset>
              </wp:positionH>
              <wp:positionV relativeFrom="page">
                <wp:posOffset>0</wp:posOffset>
              </wp:positionV>
              <wp:extent cx="298501" cy="298501"/>
              <wp:effectExtent l="0" t="0" r="0" b="0"/>
              <wp:wrapSquare wrapText="bothSides"/>
              <wp:docPr id="22127" name="Group 22127"/>
              <wp:cNvGraphicFramePr/>
              <a:graphic xmlns:a="http://schemas.openxmlformats.org/drawingml/2006/main">
                <a:graphicData uri="http://schemas.microsoft.com/office/word/2010/wordprocessingGroup">
                  <wpg:wgp>
                    <wpg:cNvGrpSpPr/>
                    <wpg:grpSpPr>
                      <a:xfrm>
                        <a:off x="0" y="0"/>
                        <a:ext cx="298501" cy="298501"/>
                        <a:chOff x="0" y="0"/>
                        <a:chExt cx="298501" cy="298501"/>
                      </a:xfrm>
                    </wpg:grpSpPr>
                    <wps:wsp>
                      <wps:cNvPr id="22128" name="Shape 22128"/>
                      <wps:cNvSpPr/>
                      <wps:spPr>
                        <a:xfrm>
                          <a:off x="0" y="298501"/>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129" name="Shape 22129"/>
                      <wps:cNvSpPr/>
                      <wps:spPr>
                        <a:xfrm>
                          <a:off x="298501"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127" style="width:23.504pt;height:23.504pt;position:absolute;mso-position-horizontal-relative:page;mso-position-horizontal:absolute;margin-left:0pt;mso-position-vertical-relative:page;margin-top:2.86102e-05pt;" coordsize="2985,2985">
              <v:shape id="Shape 22128" style="position:absolute;width:1905;height:0;left:0;top:2985;" coordsize="190500,0" path="m190500,0l0,0">
                <v:stroke weight="0.25pt" endcap="flat" joinstyle="miter" miterlimit="10" on="true" color="#000000"/>
                <v:fill on="false" color="#000000" opacity="0"/>
              </v:shape>
              <v:shape id="Shape 22129" style="position:absolute;width:0;height:1905;left:2985;top:0;" coordsize="0,190500" path="m0,1905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1552" behindDoc="0" locked="0" layoutInCell="1" allowOverlap="1" wp14:anchorId="023DA192" wp14:editId="116C0049">
              <wp:simplePos x="0" y="0"/>
              <wp:positionH relativeFrom="page">
                <wp:posOffset>5698503</wp:posOffset>
              </wp:positionH>
              <wp:positionV relativeFrom="page">
                <wp:posOffset>0</wp:posOffset>
              </wp:positionV>
              <wp:extent cx="298501" cy="298501"/>
              <wp:effectExtent l="0" t="0" r="0" b="0"/>
              <wp:wrapSquare wrapText="bothSides"/>
              <wp:docPr id="22130" name="Group 22130"/>
              <wp:cNvGraphicFramePr/>
              <a:graphic xmlns:a="http://schemas.openxmlformats.org/drawingml/2006/main">
                <a:graphicData uri="http://schemas.microsoft.com/office/word/2010/wordprocessingGroup">
                  <wpg:wgp>
                    <wpg:cNvGrpSpPr/>
                    <wpg:grpSpPr>
                      <a:xfrm>
                        <a:off x="0" y="0"/>
                        <a:ext cx="298501" cy="298501"/>
                        <a:chOff x="0" y="0"/>
                        <a:chExt cx="298501" cy="298501"/>
                      </a:xfrm>
                    </wpg:grpSpPr>
                    <wps:wsp>
                      <wps:cNvPr id="22131" name="Shape 22131"/>
                      <wps:cNvSpPr/>
                      <wps:spPr>
                        <a:xfrm>
                          <a:off x="108001" y="298501"/>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132" name="Shape 22132"/>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130" style="width:23.504pt;height:23.504pt;position:absolute;mso-position-horizontal-relative:page;mso-position-horizontal:absolute;margin-left:448.701pt;mso-position-vertical-relative:page;margin-top:2.86102e-05pt;" coordsize="2985,2985">
              <v:shape id="Shape 22131" style="position:absolute;width:1905;height:0;left:1080;top:2985;" coordsize="190500,0" path="m0,0l190500,0">
                <v:stroke weight="0.25pt" endcap="flat" joinstyle="miter" miterlimit="10" on="true" color="#000000"/>
                <v:fill on="false" color="#000000" opacity="0"/>
              </v:shape>
              <v:shape id="Shape 22132" style="position:absolute;width:0;height:1905;left:0;top:0;" coordsize="0,190500" path="m0,190500l0,0">
                <v:stroke weight="0.25pt" endcap="flat" joinstyle="miter" miterlimit="10" on="true" color="#000000"/>
                <v:fill on="false" color="#000000" opacity="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91B1" w14:textId="213D7A86" w:rsidR="00EF544B" w:rsidRDefault="00951809">
    <w:pPr>
      <w:spacing w:after="0" w:line="259" w:lineRule="auto"/>
      <w:ind w:left="-1604" w:right="7843" w:firstLine="0"/>
      <w:jc w:val="left"/>
    </w:pPr>
    <w:r>
      <w:rPr>
        <w:noProof/>
      </w:rPr>
      <w:pict w14:anchorId="40F565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50145" o:spid="_x0000_s2068" type="#_x0000_t136" style="position:absolute;left:0;text-align:left;margin-left:0;margin-top:0;width:389.6pt;height:73.05pt;rotation:315;z-index:-251597824;mso-position-horizontal:center;mso-position-horizontal-relative:margin;mso-position-vertical:center;mso-position-vertical-relative:margin" o:allowincell="f" fillcolor="silver" stroked="f">
          <v:fill opacity=".5"/>
          <v:textpath style="font-family:&quot;Garamond&quot;;font-size:1pt" string="Version préliminaire"/>
        </v:shape>
      </w:pict>
    </w:r>
    <w:r>
      <w:rPr>
        <w:rFonts w:ascii="Calibri" w:eastAsia="Calibri" w:hAnsi="Calibri" w:cs="Calibri"/>
        <w:noProof/>
        <w:color w:val="000000"/>
        <w:sz w:val="22"/>
      </w:rPr>
      <mc:AlternateContent>
        <mc:Choice Requires="wpg">
          <w:drawing>
            <wp:anchor distT="0" distB="0" distL="114300" distR="114300" simplePos="0" relativeHeight="251672576" behindDoc="0" locked="0" layoutInCell="1" allowOverlap="1" wp14:anchorId="7753A45F" wp14:editId="5ED5B5AA">
              <wp:simplePos x="0" y="0"/>
              <wp:positionH relativeFrom="page">
                <wp:posOffset>0</wp:posOffset>
              </wp:positionH>
              <wp:positionV relativeFrom="page">
                <wp:posOffset>0</wp:posOffset>
              </wp:positionV>
              <wp:extent cx="298501" cy="298501"/>
              <wp:effectExtent l="0" t="0" r="0" b="0"/>
              <wp:wrapSquare wrapText="bothSides"/>
              <wp:docPr id="22107" name="Group 22107"/>
              <wp:cNvGraphicFramePr/>
              <a:graphic xmlns:a="http://schemas.openxmlformats.org/drawingml/2006/main">
                <a:graphicData uri="http://schemas.microsoft.com/office/word/2010/wordprocessingGroup">
                  <wpg:wgp>
                    <wpg:cNvGrpSpPr/>
                    <wpg:grpSpPr>
                      <a:xfrm>
                        <a:off x="0" y="0"/>
                        <a:ext cx="298501" cy="298501"/>
                        <a:chOff x="0" y="0"/>
                        <a:chExt cx="298501" cy="298501"/>
                      </a:xfrm>
                    </wpg:grpSpPr>
                    <wps:wsp>
                      <wps:cNvPr id="22108" name="Shape 22108"/>
                      <wps:cNvSpPr/>
                      <wps:spPr>
                        <a:xfrm>
                          <a:off x="0" y="298501"/>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109" name="Shape 22109"/>
                      <wps:cNvSpPr/>
                      <wps:spPr>
                        <a:xfrm>
                          <a:off x="298501"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107" style="width:23.504pt;height:23.504pt;position:absolute;mso-position-horizontal-relative:page;mso-position-horizontal:absolute;margin-left:0pt;mso-position-vertical-relative:page;margin-top:2.86102e-05pt;" coordsize="2985,2985">
              <v:shape id="Shape 22108" style="position:absolute;width:1905;height:0;left:0;top:2985;" coordsize="190500,0" path="m190500,0l0,0">
                <v:stroke weight="0.25pt" endcap="flat" joinstyle="miter" miterlimit="10" on="true" color="#000000"/>
                <v:fill on="false" color="#000000" opacity="0"/>
              </v:shape>
              <v:shape id="Shape 22109" style="position:absolute;width:0;height:1905;left:2985;top:0;" coordsize="0,190500" path="m0,1905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3600" behindDoc="0" locked="0" layoutInCell="1" allowOverlap="1" wp14:anchorId="47A71CFD" wp14:editId="710FF4C4">
              <wp:simplePos x="0" y="0"/>
              <wp:positionH relativeFrom="page">
                <wp:posOffset>5698503</wp:posOffset>
              </wp:positionH>
              <wp:positionV relativeFrom="page">
                <wp:posOffset>0</wp:posOffset>
              </wp:positionV>
              <wp:extent cx="298501" cy="298501"/>
              <wp:effectExtent l="0" t="0" r="0" b="0"/>
              <wp:wrapSquare wrapText="bothSides"/>
              <wp:docPr id="22110" name="Group 22110"/>
              <wp:cNvGraphicFramePr/>
              <a:graphic xmlns:a="http://schemas.openxmlformats.org/drawingml/2006/main">
                <a:graphicData uri="http://schemas.microsoft.com/office/word/2010/wordprocessingGroup">
                  <wpg:wgp>
                    <wpg:cNvGrpSpPr/>
                    <wpg:grpSpPr>
                      <a:xfrm>
                        <a:off x="0" y="0"/>
                        <a:ext cx="298501" cy="298501"/>
                        <a:chOff x="0" y="0"/>
                        <a:chExt cx="298501" cy="298501"/>
                      </a:xfrm>
                    </wpg:grpSpPr>
                    <wps:wsp>
                      <wps:cNvPr id="22111" name="Shape 22111"/>
                      <wps:cNvSpPr/>
                      <wps:spPr>
                        <a:xfrm>
                          <a:off x="108001" y="298501"/>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112" name="Shape 22112"/>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110" style="width:23.504pt;height:23.504pt;position:absolute;mso-position-horizontal-relative:page;mso-position-horizontal:absolute;margin-left:448.701pt;mso-position-vertical-relative:page;margin-top:2.86102e-05pt;" coordsize="2985,2985">
              <v:shape id="Shape 22111" style="position:absolute;width:1905;height:0;left:1080;top:2985;" coordsize="190500,0" path="m0,0l190500,0">
                <v:stroke weight="0.25pt" endcap="flat" joinstyle="miter" miterlimit="10" on="true" color="#000000"/>
                <v:fill on="false" color="#000000" opacity="0"/>
              </v:shape>
              <v:shape id="Shape 22112" style="position:absolute;width:0;height:1905;left:0;top:0;" coordsize="0,190500" path="m0,190500l0,0">
                <v:stroke weight="0.25pt" endcap="flat" joinstyle="miter" miterlimit="10" on="true" color="#000000"/>
                <v:fill on="false" color="#000000" opacity="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361D" w14:textId="358E455E" w:rsidR="00EF544B" w:rsidRDefault="00951809">
    <w:pPr>
      <w:spacing w:after="0" w:line="259" w:lineRule="auto"/>
      <w:ind w:left="-1604" w:right="7843" w:firstLine="0"/>
      <w:jc w:val="left"/>
    </w:pPr>
    <w:r>
      <w:rPr>
        <w:noProof/>
      </w:rPr>
      <w:pict w14:anchorId="1DB4A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50143" o:spid="_x0000_s2066" type="#_x0000_t136" style="position:absolute;left:0;text-align:left;margin-left:0;margin-top:0;width:389.6pt;height:73.05pt;rotation:315;z-index:-251601920;mso-position-horizontal:center;mso-position-horizontal-relative:margin;mso-position-vertical:center;mso-position-vertical-relative:margin" o:allowincell="f" fillcolor="silver" stroked="f">
          <v:fill opacity=".5"/>
          <v:textpath style="font-family:&quot;Garamond&quot;;font-size:1pt" string="Version préliminaire"/>
        </v:shape>
      </w:pict>
    </w:r>
    <w:r>
      <w:rPr>
        <w:rFonts w:ascii="Calibri" w:eastAsia="Calibri" w:hAnsi="Calibri" w:cs="Calibri"/>
        <w:noProof/>
        <w:color w:val="000000"/>
        <w:sz w:val="22"/>
      </w:rPr>
      <mc:AlternateContent>
        <mc:Choice Requires="wpg">
          <w:drawing>
            <wp:anchor distT="0" distB="0" distL="114300" distR="114300" simplePos="0" relativeHeight="251674624" behindDoc="0" locked="0" layoutInCell="1" allowOverlap="1" wp14:anchorId="6ABA4D70" wp14:editId="0839BE99">
              <wp:simplePos x="0" y="0"/>
              <wp:positionH relativeFrom="page">
                <wp:posOffset>0</wp:posOffset>
              </wp:positionH>
              <wp:positionV relativeFrom="page">
                <wp:posOffset>0</wp:posOffset>
              </wp:positionV>
              <wp:extent cx="298501" cy="298501"/>
              <wp:effectExtent l="0" t="0" r="0" b="0"/>
              <wp:wrapSquare wrapText="bothSides"/>
              <wp:docPr id="22087" name="Group 22087"/>
              <wp:cNvGraphicFramePr/>
              <a:graphic xmlns:a="http://schemas.openxmlformats.org/drawingml/2006/main">
                <a:graphicData uri="http://schemas.microsoft.com/office/word/2010/wordprocessingGroup">
                  <wpg:wgp>
                    <wpg:cNvGrpSpPr/>
                    <wpg:grpSpPr>
                      <a:xfrm>
                        <a:off x="0" y="0"/>
                        <a:ext cx="298501" cy="298501"/>
                        <a:chOff x="0" y="0"/>
                        <a:chExt cx="298501" cy="298501"/>
                      </a:xfrm>
                    </wpg:grpSpPr>
                    <wps:wsp>
                      <wps:cNvPr id="22088" name="Shape 22088"/>
                      <wps:cNvSpPr/>
                      <wps:spPr>
                        <a:xfrm>
                          <a:off x="0" y="298501"/>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089" name="Shape 22089"/>
                      <wps:cNvSpPr/>
                      <wps:spPr>
                        <a:xfrm>
                          <a:off x="298501"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87" style="width:23.504pt;height:23.504pt;position:absolute;mso-position-horizontal-relative:page;mso-position-horizontal:absolute;margin-left:0pt;mso-position-vertical-relative:page;margin-top:2.86102e-05pt;" coordsize="2985,2985">
              <v:shape id="Shape 22088" style="position:absolute;width:1905;height:0;left:0;top:2985;" coordsize="190500,0" path="m190500,0l0,0">
                <v:stroke weight="0.25pt" endcap="flat" joinstyle="miter" miterlimit="10" on="true" color="#000000"/>
                <v:fill on="false" color="#000000" opacity="0"/>
              </v:shape>
              <v:shape id="Shape 22089" style="position:absolute;width:0;height:1905;left:2985;top:0;" coordsize="0,190500" path="m0,1905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75648" behindDoc="0" locked="0" layoutInCell="1" allowOverlap="1" wp14:anchorId="2A519F31" wp14:editId="1854E9B4">
              <wp:simplePos x="0" y="0"/>
              <wp:positionH relativeFrom="page">
                <wp:posOffset>5698503</wp:posOffset>
              </wp:positionH>
              <wp:positionV relativeFrom="page">
                <wp:posOffset>0</wp:posOffset>
              </wp:positionV>
              <wp:extent cx="298501" cy="298501"/>
              <wp:effectExtent l="0" t="0" r="0" b="0"/>
              <wp:wrapSquare wrapText="bothSides"/>
              <wp:docPr id="22090" name="Group 22090"/>
              <wp:cNvGraphicFramePr/>
              <a:graphic xmlns:a="http://schemas.openxmlformats.org/drawingml/2006/main">
                <a:graphicData uri="http://schemas.microsoft.com/office/word/2010/wordprocessingGroup">
                  <wpg:wgp>
                    <wpg:cNvGrpSpPr/>
                    <wpg:grpSpPr>
                      <a:xfrm>
                        <a:off x="0" y="0"/>
                        <a:ext cx="298501" cy="298501"/>
                        <a:chOff x="0" y="0"/>
                        <a:chExt cx="298501" cy="298501"/>
                      </a:xfrm>
                    </wpg:grpSpPr>
                    <wps:wsp>
                      <wps:cNvPr id="22091" name="Shape 22091"/>
                      <wps:cNvSpPr/>
                      <wps:spPr>
                        <a:xfrm>
                          <a:off x="108001" y="298501"/>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092" name="Shape 22092"/>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90" style="width:23.504pt;height:23.504pt;position:absolute;mso-position-horizontal-relative:page;mso-position-horizontal:absolute;margin-left:448.701pt;mso-position-vertical-relative:page;margin-top:2.86102e-05pt;" coordsize="2985,2985">
              <v:shape id="Shape 22091" style="position:absolute;width:1905;height:0;left:1080;top:2985;" coordsize="190500,0" path="m0,0l190500,0">
                <v:stroke weight="0.25pt" endcap="flat" joinstyle="miter" miterlimit="10" on="true" color="#000000"/>
                <v:fill on="false" color="#000000" opacity="0"/>
              </v:shape>
              <v:shape id="Shape 22092" style="position:absolute;width:0;height:1905;left:0;top:0;" coordsize="0,190500" path="m0,190500l0,0">
                <v:stroke weight="0.25pt" endcap="flat" joinstyle="miter" miterlimit="10" on="true" color="#000000"/>
                <v:fill on="false" color="#000000" opacity="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5710" w14:textId="3CFDE9C0" w:rsidR="00EF544B" w:rsidRDefault="00951809">
    <w:pPr>
      <w:tabs>
        <w:tab w:val="center" w:pos="3118"/>
      </w:tabs>
      <w:spacing w:after="0" w:line="259" w:lineRule="auto"/>
      <w:ind w:right="0" w:firstLine="0"/>
      <w:jc w:val="left"/>
    </w:pPr>
    <w:r>
      <w:rPr>
        <w:noProof/>
      </w:rPr>
      <w:pict w14:anchorId="3C239A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50147" o:spid="_x0000_s2070" type="#_x0000_t136" style="position:absolute;margin-left:0;margin-top:0;width:389.6pt;height:73.05pt;rotation:315;z-index:-251593728;mso-position-horizontal:center;mso-position-horizontal-relative:margin;mso-position-vertical:center;mso-position-vertical-relative:margin" o:allowincell="f" fillcolor="silver" stroked="f">
          <v:fill opacity=".5"/>
          <v:textpath style="font-family:&quot;Garamond&quot;;font-size:1pt" string="Version préliminaire"/>
        </v:shape>
      </w:pict>
    </w:r>
    <w:r>
      <w:rPr>
        <w:rFonts w:ascii="Calibri" w:eastAsia="Calibri" w:hAnsi="Calibri" w:cs="Calibri"/>
        <w:noProof/>
        <w:color w:val="000000"/>
        <w:sz w:val="22"/>
      </w:rPr>
      <mc:AlternateContent>
        <mc:Choice Requires="wpg">
          <w:drawing>
            <wp:anchor distT="0" distB="0" distL="114300" distR="114300" simplePos="0" relativeHeight="251682816" behindDoc="0" locked="0" layoutInCell="1" allowOverlap="1" wp14:anchorId="68D6783B" wp14:editId="06CF697F">
              <wp:simplePos x="0" y="0"/>
              <wp:positionH relativeFrom="page">
                <wp:posOffset>0</wp:posOffset>
              </wp:positionH>
              <wp:positionV relativeFrom="page">
                <wp:posOffset>0</wp:posOffset>
              </wp:positionV>
              <wp:extent cx="298501" cy="298501"/>
              <wp:effectExtent l="0" t="0" r="0" b="0"/>
              <wp:wrapSquare wrapText="bothSides"/>
              <wp:docPr id="22204" name="Group 22204"/>
              <wp:cNvGraphicFramePr/>
              <a:graphic xmlns:a="http://schemas.openxmlformats.org/drawingml/2006/main">
                <a:graphicData uri="http://schemas.microsoft.com/office/word/2010/wordprocessingGroup">
                  <wpg:wgp>
                    <wpg:cNvGrpSpPr/>
                    <wpg:grpSpPr>
                      <a:xfrm>
                        <a:off x="0" y="0"/>
                        <a:ext cx="298501" cy="298501"/>
                        <a:chOff x="0" y="0"/>
                        <a:chExt cx="298501" cy="298501"/>
                      </a:xfrm>
                    </wpg:grpSpPr>
                    <wps:wsp>
                      <wps:cNvPr id="22205" name="Shape 22205"/>
                      <wps:cNvSpPr/>
                      <wps:spPr>
                        <a:xfrm>
                          <a:off x="0" y="298501"/>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206" name="Shape 22206"/>
                      <wps:cNvSpPr/>
                      <wps:spPr>
                        <a:xfrm>
                          <a:off x="298501"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204" style="width:23.504pt;height:23.504pt;position:absolute;mso-position-horizontal-relative:page;mso-position-horizontal:absolute;margin-left:0pt;mso-position-vertical-relative:page;margin-top:2.86102e-05pt;" coordsize="2985,2985">
              <v:shape id="Shape 22205" style="position:absolute;width:1905;height:0;left:0;top:2985;" coordsize="190500,0" path="m190500,0l0,0">
                <v:stroke weight="0.25pt" endcap="flat" joinstyle="miter" miterlimit="10" on="true" color="#000000"/>
                <v:fill on="false" color="#000000" opacity="0"/>
              </v:shape>
              <v:shape id="Shape 22206" style="position:absolute;width:0;height:1905;left:2985;top:0;" coordsize="0,190500" path="m0,1905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83840" behindDoc="0" locked="0" layoutInCell="1" allowOverlap="1" wp14:anchorId="5E0EDC7D" wp14:editId="7B2D9FD1">
              <wp:simplePos x="0" y="0"/>
              <wp:positionH relativeFrom="page">
                <wp:posOffset>5698503</wp:posOffset>
              </wp:positionH>
              <wp:positionV relativeFrom="page">
                <wp:posOffset>0</wp:posOffset>
              </wp:positionV>
              <wp:extent cx="298501" cy="298501"/>
              <wp:effectExtent l="0" t="0" r="0" b="0"/>
              <wp:wrapSquare wrapText="bothSides"/>
              <wp:docPr id="22207" name="Group 22207"/>
              <wp:cNvGraphicFramePr/>
              <a:graphic xmlns:a="http://schemas.openxmlformats.org/drawingml/2006/main">
                <a:graphicData uri="http://schemas.microsoft.com/office/word/2010/wordprocessingGroup">
                  <wpg:wgp>
                    <wpg:cNvGrpSpPr/>
                    <wpg:grpSpPr>
                      <a:xfrm>
                        <a:off x="0" y="0"/>
                        <a:ext cx="298501" cy="298501"/>
                        <a:chOff x="0" y="0"/>
                        <a:chExt cx="298501" cy="298501"/>
                      </a:xfrm>
                    </wpg:grpSpPr>
                    <wps:wsp>
                      <wps:cNvPr id="22208" name="Shape 22208"/>
                      <wps:cNvSpPr/>
                      <wps:spPr>
                        <a:xfrm>
                          <a:off x="108001" y="298501"/>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209" name="Shape 22209"/>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207" style="width:23.504pt;height:23.504pt;position:absolute;mso-position-horizontal-relative:page;mso-position-horizontal:absolute;margin-left:448.701pt;mso-position-vertical-relative:page;margin-top:2.86102e-05pt;" coordsize="2985,2985">
              <v:shape id="Shape 22208" style="position:absolute;width:1905;height:0;left:1080;top:2985;" coordsize="190500,0" path="m0,0l190500,0">
                <v:stroke weight="0.25pt" endcap="flat" joinstyle="miter" miterlimit="10" on="true" color="#000000"/>
                <v:fill on="false" color="#000000" opacity="0"/>
              </v:shape>
              <v:shape id="Shape 22209" style="position:absolute;width:0;height:1905;left:0;top:0;" coordsize="0,190500" path="m0,1905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sz w:val="18"/>
      </w:rPr>
      <w:t>144</w:t>
    </w:r>
    <w:r>
      <w:rPr>
        <w:sz w:val="18"/>
      </w:rPr>
      <w:fldChar w:fldCharType="end"/>
    </w:r>
    <w:r>
      <w:rPr>
        <w:sz w:val="18"/>
      </w:rPr>
      <w:t xml:space="preserve"> </w:t>
    </w:r>
    <w:r>
      <w:rPr>
        <w:sz w:val="18"/>
      </w:rPr>
      <w:tab/>
      <w:t>MITIA RIOUX BEAULNE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BC84" w14:textId="2589ED2E" w:rsidR="00EF544B" w:rsidRDefault="00951809">
    <w:pPr>
      <w:tabs>
        <w:tab w:val="center" w:pos="3118"/>
        <w:tab w:val="right" w:pos="6239"/>
      </w:tabs>
      <w:spacing w:after="0" w:line="259" w:lineRule="auto"/>
      <w:ind w:right="0" w:firstLine="0"/>
      <w:jc w:val="left"/>
    </w:pPr>
    <w:r>
      <w:rPr>
        <w:noProof/>
      </w:rPr>
      <w:pict w14:anchorId="2582C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50148" o:spid="_x0000_s2071" type="#_x0000_t136" style="position:absolute;margin-left:0;margin-top:0;width:389.6pt;height:73.05pt;rotation:315;z-index:-251591680;mso-position-horizontal:center;mso-position-horizontal-relative:margin;mso-position-vertical:center;mso-position-vertical-relative:margin" o:allowincell="f" fillcolor="silver" stroked="f">
          <v:fill opacity=".5"/>
          <v:textpath style="font-family:&quot;Garamond&quot;;font-size:1pt" string="Version préliminaire"/>
        </v:shape>
      </w:pict>
    </w:r>
    <w:r>
      <w:rPr>
        <w:rFonts w:ascii="Calibri" w:eastAsia="Calibri" w:hAnsi="Calibri" w:cs="Calibri"/>
        <w:noProof/>
        <w:color w:val="000000"/>
        <w:sz w:val="22"/>
      </w:rPr>
      <mc:AlternateContent>
        <mc:Choice Requires="wpg">
          <w:drawing>
            <wp:anchor distT="0" distB="0" distL="114300" distR="114300" simplePos="0" relativeHeight="251684864" behindDoc="0" locked="0" layoutInCell="1" allowOverlap="1" wp14:anchorId="20591129" wp14:editId="13F40BAB">
              <wp:simplePos x="0" y="0"/>
              <wp:positionH relativeFrom="page">
                <wp:posOffset>0</wp:posOffset>
              </wp:positionH>
              <wp:positionV relativeFrom="page">
                <wp:posOffset>0</wp:posOffset>
              </wp:positionV>
              <wp:extent cx="298501" cy="298501"/>
              <wp:effectExtent l="0" t="0" r="0" b="0"/>
              <wp:wrapSquare wrapText="bothSides"/>
              <wp:docPr id="22179" name="Group 22179"/>
              <wp:cNvGraphicFramePr/>
              <a:graphic xmlns:a="http://schemas.openxmlformats.org/drawingml/2006/main">
                <a:graphicData uri="http://schemas.microsoft.com/office/word/2010/wordprocessingGroup">
                  <wpg:wgp>
                    <wpg:cNvGrpSpPr/>
                    <wpg:grpSpPr>
                      <a:xfrm>
                        <a:off x="0" y="0"/>
                        <a:ext cx="298501" cy="298501"/>
                        <a:chOff x="0" y="0"/>
                        <a:chExt cx="298501" cy="298501"/>
                      </a:xfrm>
                    </wpg:grpSpPr>
                    <wps:wsp>
                      <wps:cNvPr id="22180" name="Shape 22180"/>
                      <wps:cNvSpPr/>
                      <wps:spPr>
                        <a:xfrm>
                          <a:off x="0" y="298501"/>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181" name="Shape 22181"/>
                      <wps:cNvSpPr/>
                      <wps:spPr>
                        <a:xfrm>
                          <a:off x="298501"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179" style="width:23.504pt;height:23.504pt;position:absolute;mso-position-horizontal-relative:page;mso-position-horizontal:absolute;margin-left:0pt;mso-position-vertical-relative:page;margin-top:2.86102e-05pt;" coordsize="2985,2985">
              <v:shape id="Shape 22180" style="position:absolute;width:1905;height:0;left:0;top:2985;" coordsize="190500,0" path="m190500,0l0,0">
                <v:stroke weight="0.25pt" endcap="flat" joinstyle="miter" miterlimit="10" on="true" color="#000000"/>
                <v:fill on="false" color="#000000" opacity="0"/>
              </v:shape>
              <v:shape id="Shape 22181" style="position:absolute;width:0;height:1905;left:2985;top:0;" coordsize="0,190500" path="m0,1905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85888" behindDoc="0" locked="0" layoutInCell="1" allowOverlap="1" wp14:anchorId="14705453" wp14:editId="345FA648">
              <wp:simplePos x="0" y="0"/>
              <wp:positionH relativeFrom="page">
                <wp:posOffset>5698503</wp:posOffset>
              </wp:positionH>
              <wp:positionV relativeFrom="page">
                <wp:posOffset>0</wp:posOffset>
              </wp:positionV>
              <wp:extent cx="298501" cy="298501"/>
              <wp:effectExtent l="0" t="0" r="0" b="0"/>
              <wp:wrapSquare wrapText="bothSides"/>
              <wp:docPr id="22182" name="Group 22182"/>
              <wp:cNvGraphicFramePr/>
              <a:graphic xmlns:a="http://schemas.openxmlformats.org/drawingml/2006/main">
                <a:graphicData uri="http://schemas.microsoft.com/office/word/2010/wordprocessingGroup">
                  <wpg:wgp>
                    <wpg:cNvGrpSpPr/>
                    <wpg:grpSpPr>
                      <a:xfrm>
                        <a:off x="0" y="0"/>
                        <a:ext cx="298501" cy="298501"/>
                        <a:chOff x="0" y="0"/>
                        <a:chExt cx="298501" cy="298501"/>
                      </a:xfrm>
                    </wpg:grpSpPr>
                    <wps:wsp>
                      <wps:cNvPr id="22183" name="Shape 22183"/>
                      <wps:cNvSpPr/>
                      <wps:spPr>
                        <a:xfrm>
                          <a:off x="108001" y="298501"/>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184" name="Shape 22184"/>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182" style="width:23.504pt;height:23.504pt;position:absolute;mso-position-horizontal-relative:page;mso-position-horizontal:absolute;margin-left:448.701pt;mso-position-vertical-relative:page;margin-top:2.86102e-05pt;" coordsize="2985,2985">
              <v:shape id="Shape 22183" style="position:absolute;width:1905;height:0;left:1080;top:2985;" coordsize="190500,0" path="m0,0l190500,0">
                <v:stroke weight="0.25pt" endcap="flat" joinstyle="miter" miterlimit="10" on="true" color="#000000"/>
                <v:fill on="false" color="#000000" opacity="0"/>
              </v:shape>
              <v:shape id="Shape 22184" style="position:absolute;width:0;height:1905;left:0;top:0;" coordsize="0,190500" path="m0,190500l0,0">
                <v:stroke weight="0.25pt" endcap="flat" joinstyle="miter" miterlimit="10" on="true" color="#000000"/>
                <v:fill on="false" color="#000000" opacity="0"/>
              </v:shape>
              <w10:wrap type="square"/>
            </v:group>
          </w:pict>
        </mc:Fallback>
      </mc:AlternateContent>
    </w:r>
    <w:r>
      <w:rPr>
        <w:sz w:val="18"/>
      </w:rPr>
      <w:t xml:space="preserve"> </w:t>
    </w:r>
    <w:r>
      <w:rPr>
        <w:sz w:val="18"/>
      </w:rPr>
      <w:tab/>
      <w:t xml:space="preserve">CERTITUDES SUBVERTIES </w:t>
    </w:r>
    <w:r>
      <w:rPr>
        <w:sz w:val="18"/>
      </w:rPr>
      <w:tab/>
    </w:r>
    <w:r>
      <w:fldChar w:fldCharType="begin"/>
    </w:r>
    <w:r>
      <w:instrText xml:space="preserve"> PAGE   \* MERGEFORMAT </w:instrText>
    </w:r>
    <w:r>
      <w:fldChar w:fldCharType="separate"/>
    </w:r>
    <w:r>
      <w:rPr>
        <w:sz w:val="18"/>
      </w:rPr>
      <w:t>145</w:t>
    </w:r>
    <w:r>
      <w:rPr>
        <w:sz w:val="18"/>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A0C6" w14:textId="4718BA12" w:rsidR="00EF544B" w:rsidRDefault="00951809">
    <w:pPr>
      <w:tabs>
        <w:tab w:val="center" w:pos="3118"/>
      </w:tabs>
      <w:spacing w:after="0" w:line="259" w:lineRule="auto"/>
      <w:ind w:right="0" w:firstLine="0"/>
      <w:jc w:val="left"/>
    </w:pPr>
    <w:r>
      <w:rPr>
        <w:noProof/>
      </w:rPr>
      <w:pict w14:anchorId="1C9CD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50146" o:spid="_x0000_s2069" type="#_x0000_t136" style="position:absolute;margin-left:0;margin-top:0;width:389.6pt;height:73.05pt;rotation:315;z-index:-251595776;mso-position-horizontal:center;mso-position-horizontal-relative:margin;mso-position-vertical:center;mso-position-vertical-relative:margin" o:allowincell="f" fillcolor="silver" stroked="f">
          <v:fill opacity=".5"/>
          <v:textpath style="font-family:&quot;Garamond&quot;;font-size:1pt" string="Version préliminaire"/>
        </v:shape>
      </w:pict>
    </w:r>
    <w:r>
      <w:rPr>
        <w:rFonts w:ascii="Calibri" w:eastAsia="Calibri" w:hAnsi="Calibri" w:cs="Calibri"/>
        <w:noProof/>
        <w:color w:val="000000"/>
        <w:sz w:val="22"/>
      </w:rPr>
      <mc:AlternateContent>
        <mc:Choice Requires="wpg">
          <w:drawing>
            <wp:anchor distT="0" distB="0" distL="114300" distR="114300" simplePos="0" relativeHeight="251686912" behindDoc="0" locked="0" layoutInCell="1" allowOverlap="1" wp14:anchorId="4C9165CE" wp14:editId="00FB7CA3">
              <wp:simplePos x="0" y="0"/>
              <wp:positionH relativeFrom="page">
                <wp:posOffset>0</wp:posOffset>
              </wp:positionH>
              <wp:positionV relativeFrom="page">
                <wp:posOffset>0</wp:posOffset>
              </wp:positionV>
              <wp:extent cx="298501" cy="298501"/>
              <wp:effectExtent l="0" t="0" r="0" b="0"/>
              <wp:wrapSquare wrapText="bothSides"/>
              <wp:docPr id="22153" name="Group 22153"/>
              <wp:cNvGraphicFramePr/>
              <a:graphic xmlns:a="http://schemas.openxmlformats.org/drawingml/2006/main">
                <a:graphicData uri="http://schemas.microsoft.com/office/word/2010/wordprocessingGroup">
                  <wpg:wgp>
                    <wpg:cNvGrpSpPr/>
                    <wpg:grpSpPr>
                      <a:xfrm>
                        <a:off x="0" y="0"/>
                        <a:ext cx="298501" cy="298501"/>
                        <a:chOff x="0" y="0"/>
                        <a:chExt cx="298501" cy="298501"/>
                      </a:xfrm>
                    </wpg:grpSpPr>
                    <wps:wsp>
                      <wps:cNvPr id="22154" name="Shape 22154"/>
                      <wps:cNvSpPr/>
                      <wps:spPr>
                        <a:xfrm>
                          <a:off x="0" y="298501"/>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155" name="Shape 22155"/>
                      <wps:cNvSpPr/>
                      <wps:spPr>
                        <a:xfrm>
                          <a:off x="298501"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153" style="width:23.504pt;height:23.504pt;position:absolute;mso-position-horizontal-relative:page;mso-position-horizontal:absolute;margin-left:0pt;mso-position-vertical-relative:page;margin-top:2.86102e-05pt;" coordsize="2985,2985">
              <v:shape id="Shape 22154" style="position:absolute;width:1905;height:0;left:0;top:2985;" coordsize="190500,0" path="m190500,0l0,0">
                <v:stroke weight="0.25pt" endcap="flat" joinstyle="miter" miterlimit="10" on="true" color="#000000"/>
                <v:fill on="false" color="#000000" opacity="0"/>
              </v:shape>
              <v:shape id="Shape 22155" style="position:absolute;width:0;height:1905;left:2985;top:0;" coordsize="0,190500" path="m0,1905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87936" behindDoc="0" locked="0" layoutInCell="1" allowOverlap="1" wp14:anchorId="4AE922CD" wp14:editId="6CE8E50B">
              <wp:simplePos x="0" y="0"/>
              <wp:positionH relativeFrom="page">
                <wp:posOffset>5698503</wp:posOffset>
              </wp:positionH>
              <wp:positionV relativeFrom="page">
                <wp:posOffset>0</wp:posOffset>
              </wp:positionV>
              <wp:extent cx="298501" cy="298501"/>
              <wp:effectExtent l="0" t="0" r="0" b="0"/>
              <wp:wrapSquare wrapText="bothSides"/>
              <wp:docPr id="22156" name="Group 22156"/>
              <wp:cNvGraphicFramePr/>
              <a:graphic xmlns:a="http://schemas.openxmlformats.org/drawingml/2006/main">
                <a:graphicData uri="http://schemas.microsoft.com/office/word/2010/wordprocessingGroup">
                  <wpg:wgp>
                    <wpg:cNvGrpSpPr/>
                    <wpg:grpSpPr>
                      <a:xfrm>
                        <a:off x="0" y="0"/>
                        <a:ext cx="298501" cy="298501"/>
                        <a:chOff x="0" y="0"/>
                        <a:chExt cx="298501" cy="298501"/>
                      </a:xfrm>
                    </wpg:grpSpPr>
                    <wps:wsp>
                      <wps:cNvPr id="22157" name="Shape 22157"/>
                      <wps:cNvSpPr/>
                      <wps:spPr>
                        <a:xfrm>
                          <a:off x="108001" y="298501"/>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158" name="Shape 22158"/>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156" style="width:23.504pt;height:23.504pt;position:absolute;mso-position-horizontal-relative:page;mso-position-horizontal:absolute;margin-left:448.701pt;mso-position-vertical-relative:page;margin-top:2.86102e-05pt;" coordsize="2985,2985">
              <v:shape id="Shape 22157" style="position:absolute;width:1905;height:0;left:1080;top:2985;" coordsize="190500,0" path="m0,0l190500,0">
                <v:stroke weight="0.25pt" endcap="flat" joinstyle="miter" miterlimit="10" on="true" color="#000000"/>
                <v:fill on="false" color="#000000" opacity="0"/>
              </v:shape>
              <v:shape id="Shape 22158" style="position:absolute;width:0;height:1905;left:0;top:0;" coordsize="0,190500" path="m0,1905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sz w:val="18"/>
      </w:rPr>
      <w:t>144</w:t>
    </w:r>
    <w:r>
      <w:rPr>
        <w:sz w:val="18"/>
      </w:rPr>
      <w:fldChar w:fldCharType="end"/>
    </w:r>
    <w:r>
      <w:rPr>
        <w:sz w:val="18"/>
      </w:rPr>
      <w:t xml:space="preserve"> </w:t>
    </w:r>
    <w:r>
      <w:rPr>
        <w:sz w:val="18"/>
      </w:rPr>
      <w:tab/>
      <w:t>MITIA RIOUX BEAULNE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A36"/>
    <w:multiLevelType w:val="hybridMultilevel"/>
    <w:tmpl w:val="D6DA0B04"/>
    <w:lvl w:ilvl="0" w:tplc="1E68F85A">
      <w:start w:val="26"/>
      <w:numFmt w:val="decimal"/>
      <w:lvlText w:val="%1"/>
      <w:lvlJc w:val="left"/>
      <w:pPr>
        <w:ind w:left="323"/>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1" w:tplc="47CCDBF0">
      <w:start w:val="1"/>
      <w:numFmt w:val="lowerLetter"/>
      <w:lvlText w:val="%2"/>
      <w:lvlJc w:val="left"/>
      <w:pPr>
        <w:ind w:left="108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2" w:tplc="46882900">
      <w:start w:val="1"/>
      <w:numFmt w:val="lowerRoman"/>
      <w:lvlText w:val="%3"/>
      <w:lvlJc w:val="left"/>
      <w:pPr>
        <w:ind w:left="180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3" w:tplc="2A9E775C">
      <w:start w:val="1"/>
      <w:numFmt w:val="decimal"/>
      <w:lvlText w:val="%4"/>
      <w:lvlJc w:val="left"/>
      <w:pPr>
        <w:ind w:left="252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4" w:tplc="663A13EC">
      <w:start w:val="1"/>
      <w:numFmt w:val="lowerLetter"/>
      <w:lvlText w:val="%5"/>
      <w:lvlJc w:val="left"/>
      <w:pPr>
        <w:ind w:left="324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5" w:tplc="80D637DE">
      <w:start w:val="1"/>
      <w:numFmt w:val="lowerRoman"/>
      <w:lvlText w:val="%6"/>
      <w:lvlJc w:val="left"/>
      <w:pPr>
        <w:ind w:left="396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6" w:tplc="A7E0A748">
      <w:start w:val="1"/>
      <w:numFmt w:val="decimal"/>
      <w:lvlText w:val="%7"/>
      <w:lvlJc w:val="left"/>
      <w:pPr>
        <w:ind w:left="468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7" w:tplc="10108636">
      <w:start w:val="1"/>
      <w:numFmt w:val="lowerLetter"/>
      <w:lvlText w:val="%8"/>
      <w:lvlJc w:val="left"/>
      <w:pPr>
        <w:ind w:left="540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8" w:tplc="524EE744">
      <w:start w:val="1"/>
      <w:numFmt w:val="lowerRoman"/>
      <w:lvlText w:val="%9"/>
      <w:lvlJc w:val="left"/>
      <w:pPr>
        <w:ind w:left="612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13EB4B62"/>
    <w:multiLevelType w:val="hybridMultilevel"/>
    <w:tmpl w:val="4AAE8A7C"/>
    <w:lvl w:ilvl="0" w:tplc="4C6EA5DC">
      <w:start w:val="17"/>
      <w:numFmt w:val="decimal"/>
      <w:lvlText w:val="%1"/>
      <w:lvlJc w:val="left"/>
      <w:pPr>
        <w:ind w:left="323"/>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1" w:tplc="5A64345C">
      <w:start w:val="1"/>
      <w:numFmt w:val="lowerLetter"/>
      <w:lvlText w:val="%2"/>
      <w:lvlJc w:val="left"/>
      <w:pPr>
        <w:ind w:left="108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2" w:tplc="38043EE2">
      <w:start w:val="1"/>
      <w:numFmt w:val="lowerRoman"/>
      <w:lvlText w:val="%3"/>
      <w:lvlJc w:val="left"/>
      <w:pPr>
        <w:ind w:left="180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3" w:tplc="B308CE8A">
      <w:start w:val="1"/>
      <w:numFmt w:val="decimal"/>
      <w:lvlText w:val="%4"/>
      <w:lvlJc w:val="left"/>
      <w:pPr>
        <w:ind w:left="252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4" w:tplc="FF2252D8">
      <w:start w:val="1"/>
      <w:numFmt w:val="lowerLetter"/>
      <w:lvlText w:val="%5"/>
      <w:lvlJc w:val="left"/>
      <w:pPr>
        <w:ind w:left="324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5" w:tplc="BE04589C">
      <w:start w:val="1"/>
      <w:numFmt w:val="lowerRoman"/>
      <w:lvlText w:val="%6"/>
      <w:lvlJc w:val="left"/>
      <w:pPr>
        <w:ind w:left="396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6" w:tplc="E9482254">
      <w:start w:val="1"/>
      <w:numFmt w:val="decimal"/>
      <w:lvlText w:val="%7"/>
      <w:lvlJc w:val="left"/>
      <w:pPr>
        <w:ind w:left="468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7" w:tplc="6B2AAC0E">
      <w:start w:val="1"/>
      <w:numFmt w:val="lowerLetter"/>
      <w:lvlText w:val="%8"/>
      <w:lvlJc w:val="left"/>
      <w:pPr>
        <w:ind w:left="540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8" w:tplc="4056A0FC">
      <w:start w:val="1"/>
      <w:numFmt w:val="lowerRoman"/>
      <w:lvlText w:val="%9"/>
      <w:lvlJc w:val="left"/>
      <w:pPr>
        <w:ind w:left="612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abstractNum>
  <w:num w:numId="1" w16cid:durableId="36661568">
    <w:abstractNumId w:val="1"/>
  </w:num>
  <w:num w:numId="2" w16cid:durableId="153487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44B"/>
    <w:rsid w:val="00951809"/>
    <w:rsid w:val="00EF544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4:docId w14:val="4AD792EF"/>
  <w15:docId w15:val="{9D3D65A1-B497-474D-84F0-B8A93C80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3" w:lineRule="auto"/>
      <w:ind w:right="2" w:firstLine="274"/>
      <w:jc w:val="both"/>
    </w:pPr>
    <w:rPr>
      <w:rFonts w:ascii="Garamond" w:eastAsia="Garamond" w:hAnsi="Garamond" w:cs="Garamond"/>
      <w:color w:val="181717"/>
      <w:sz w:val="24"/>
    </w:rPr>
  </w:style>
  <w:style w:type="paragraph" w:styleId="Titre1">
    <w:name w:val="heading 1"/>
    <w:next w:val="Normal"/>
    <w:link w:val="Titre1Car"/>
    <w:uiPriority w:val="9"/>
    <w:qFormat/>
    <w:pPr>
      <w:keepNext/>
      <w:keepLines/>
      <w:spacing w:after="103" w:line="265" w:lineRule="auto"/>
      <w:ind w:left="10" w:right="3" w:hanging="10"/>
      <w:jc w:val="center"/>
      <w:outlineLvl w:val="0"/>
    </w:pPr>
    <w:rPr>
      <w:rFonts w:ascii="Garamond" w:eastAsia="Garamond" w:hAnsi="Garamond" w:cs="Garamond"/>
      <w:color w:val="181717"/>
      <w:sz w:val="30"/>
    </w:rPr>
  </w:style>
  <w:style w:type="paragraph" w:styleId="Titre2">
    <w:name w:val="heading 2"/>
    <w:next w:val="Normal"/>
    <w:link w:val="Titre2Car"/>
    <w:uiPriority w:val="9"/>
    <w:unhideWhenUsed/>
    <w:qFormat/>
    <w:pPr>
      <w:keepNext/>
      <w:keepLines/>
      <w:spacing w:after="498" w:line="265" w:lineRule="auto"/>
      <w:ind w:left="10" w:right="3" w:hanging="10"/>
      <w:jc w:val="center"/>
      <w:outlineLvl w:val="1"/>
    </w:pPr>
    <w:rPr>
      <w:rFonts w:ascii="Garamond" w:eastAsia="Garamond" w:hAnsi="Garamond" w:cs="Garamond"/>
      <w:color w:val="18171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Garamond" w:eastAsia="Garamond" w:hAnsi="Garamond" w:cs="Garamond"/>
      <w:color w:val="181717"/>
      <w:sz w:val="30"/>
    </w:rPr>
  </w:style>
  <w:style w:type="paragraph" w:customStyle="1" w:styleId="footnotedescription">
    <w:name w:val="footnote description"/>
    <w:next w:val="Normal"/>
    <w:link w:val="footnotedescriptionChar"/>
    <w:hidden/>
    <w:pPr>
      <w:spacing w:after="0" w:line="236" w:lineRule="auto"/>
    </w:pPr>
    <w:rPr>
      <w:rFonts w:ascii="Garamond" w:eastAsia="Garamond" w:hAnsi="Garamond" w:cs="Garamond"/>
      <w:color w:val="181717"/>
      <w:sz w:val="18"/>
    </w:rPr>
  </w:style>
  <w:style w:type="character" w:customStyle="1" w:styleId="footnotedescriptionChar">
    <w:name w:val="footnote description Char"/>
    <w:link w:val="footnotedescription"/>
    <w:rPr>
      <w:rFonts w:ascii="Garamond" w:eastAsia="Garamond" w:hAnsi="Garamond" w:cs="Garamond"/>
      <w:color w:val="181717"/>
      <w:sz w:val="18"/>
    </w:rPr>
  </w:style>
  <w:style w:type="character" w:customStyle="1" w:styleId="Titre2Car">
    <w:name w:val="Titre 2 Car"/>
    <w:link w:val="Titre2"/>
    <w:rPr>
      <w:rFonts w:ascii="Garamond" w:eastAsia="Garamond" w:hAnsi="Garamond" w:cs="Garamond"/>
      <w:color w:val="181717"/>
      <w:sz w:val="22"/>
    </w:rPr>
  </w:style>
  <w:style w:type="character" w:customStyle="1" w:styleId="footnotemark">
    <w:name w:val="footnote mark"/>
    <w:hidden/>
    <w:rPr>
      <w:rFonts w:ascii="Garamond" w:eastAsia="Garamond" w:hAnsi="Garamond" w:cs="Garamond"/>
      <w:color w:val="181717"/>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8813</Words>
  <Characters>48474</Characters>
  <Application>Microsoft Office Word</Application>
  <DocSecurity>0</DocSecurity>
  <Lines>403</Lines>
  <Paragraphs>114</Paragraphs>
  <ScaleCrop>false</ScaleCrop>
  <Company/>
  <LinksUpToDate>false</LinksUpToDate>
  <CharactersWithSpaces>57173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Mitia Rioux-Beaulne</dc:creator>
  <cp:keywords/>
  <cp:lastModifiedBy>Mitia Rioux-Beaulne</cp:lastModifiedBy>
  <cp:revision>2</cp:revision>
  <dcterms:created xsi:type="dcterms:W3CDTF">2023-09-27T12:10:00Z</dcterms:created>
  <dcterms:modified xsi:type="dcterms:W3CDTF">2023-09-27T12:10:00Z</dcterms:modified>
</cp:coreProperties>
</file>