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82429" w:rsidRDefault="00A75983">
      <w:pPr>
        <w:rPr>
          <w:rFonts w:ascii="Times New Roman" w:hAnsi="Times New Roman" w:cs="Times New Roman"/>
          <w:sz w:val="28"/>
          <w:szCs w:val="28"/>
        </w:rPr>
      </w:pPr>
      <w:r>
        <w:rPr>
          <w:rFonts w:ascii="Times New Roman" w:hAnsi="Times New Roman" w:cs="Times New Roman"/>
          <w:sz w:val="28"/>
          <w:szCs w:val="28"/>
        </w:rPr>
        <w:t xml:space="preserve">Précis of William S. Robinson’s  </w:t>
      </w:r>
      <w:r>
        <w:rPr>
          <w:rFonts w:ascii="Times New Roman" w:hAnsi="Times New Roman" w:cs="Times New Roman"/>
          <w:i/>
          <w:iCs/>
          <w:sz w:val="28"/>
          <w:szCs w:val="28"/>
        </w:rPr>
        <w:t>Epiphenomenal Mind: An Integrated Outlook on Sensations, Beliefs, and Pleasure</w:t>
      </w:r>
      <w:r>
        <w:rPr>
          <w:rFonts w:ascii="Times New Roman" w:hAnsi="Times New Roman" w:cs="Times New Roman"/>
          <w:sz w:val="28"/>
          <w:szCs w:val="28"/>
        </w:rPr>
        <w:t xml:space="preserve">  (New York and London: Routledge, 2019).</w:t>
      </w:r>
    </w:p>
    <w:p w:rsidR="00A75983" w:rsidRDefault="00A75983">
      <w:pPr>
        <w:rPr>
          <w:rFonts w:ascii="Times New Roman" w:hAnsi="Times New Roman" w:cs="Times New Roman"/>
        </w:rPr>
      </w:pPr>
    </w:p>
    <w:p w:rsidR="00A75983" w:rsidRPr="00A75983" w:rsidRDefault="00A75983" w:rsidP="00A75983">
      <w:pPr>
        <w:rPr>
          <w:rFonts w:ascii="Times New Roman" w:hAnsi="Times New Roman" w:cs="Times New Roman"/>
          <w:color w:val="000000"/>
        </w:rPr>
      </w:pPr>
      <w:r w:rsidRPr="00A75983">
        <w:rPr>
          <w:rFonts w:ascii="Times New Roman" w:hAnsi="Times New Roman" w:cs="Times New Roman"/>
          <w:color w:val="000000"/>
        </w:rPr>
        <w:t>The central theme of this book is that the three divisions of our mentality indicated in the subtitle share the following properties. They are dependent on our brains, and they are not rightly thought of as causal contributors to what happens in our brains or in our behavior. The reasons for accepting these claims, however, are significantly different in the three divisions. Instead of there being one formulation of epiphenomenalism that strictly applies to all divisions, there is a family of arguments that lead to a similar conclusion in each case. It is this consilient family of views that form the integrated “outlook” of this book.</w:t>
      </w:r>
    </w:p>
    <w:p w:rsidR="00A75983" w:rsidRPr="00A75983" w:rsidRDefault="00A75983" w:rsidP="00A75983">
      <w:pPr>
        <w:rPr>
          <w:rFonts w:ascii="Times New Roman" w:hAnsi="Times New Roman" w:cs="Times New Roman"/>
          <w:color w:val="000000"/>
        </w:rPr>
      </w:pPr>
    </w:p>
    <w:p w:rsidR="00A75983" w:rsidRPr="00A75983" w:rsidRDefault="00A75983" w:rsidP="00A75983">
      <w:pPr>
        <w:rPr>
          <w:rFonts w:ascii="Times New Roman" w:hAnsi="Times New Roman" w:cs="Times New Roman"/>
          <w:color w:val="000000"/>
        </w:rPr>
      </w:pPr>
      <w:r w:rsidRPr="00A75983">
        <w:rPr>
          <w:rFonts w:ascii="Times New Roman" w:hAnsi="Times New Roman" w:cs="Times New Roman"/>
          <w:color w:val="000000"/>
        </w:rPr>
        <w:t>1. Sensations</w:t>
      </w:r>
    </w:p>
    <w:p w:rsidR="00A75983" w:rsidRPr="00A75983" w:rsidRDefault="00A75983" w:rsidP="00A75983">
      <w:pPr>
        <w:rPr>
          <w:rFonts w:ascii="Times New Roman" w:hAnsi="Times New Roman" w:cs="Times New Roman"/>
          <w:color w:val="000000"/>
        </w:rPr>
      </w:pPr>
    </w:p>
    <w:p w:rsidR="00A75983" w:rsidRPr="00A75983" w:rsidRDefault="00A75983" w:rsidP="00A75983">
      <w:pPr>
        <w:rPr>
          <w:rFonts w:ascii="Times New Roman" w:hAnsi="Times New Roman" w:cs="Times New Roman"/>
          <w:color w:val="000000"/>
        </w:rPr>
      </w:pPr>
      <w:r w:rsidRPr="00A75983">
        <w:rPr>
          <w:rFonts w:ascii="Times New Roman" w:hAnsi="Times New Roman" w:cs="Times New Roman"/>
          <w:color w:val="000000"/>
        </w:rPr>
        <w:t>The first four chapters of the book present a dualistic account of sensations. Unavoidably, part of the task of these chapters is negative. I explain why am not enamored of identity physicalism, functionalism, representationalism, higher-order thought theory, Russellian monism, Orchestrated Objective Reduction theory, or Integrated Information theory.</w:t>
      </w:r>
    </w:p>
    <w:p w:rsidR="00A75983" w:rsidRPr="00A75983" w:rsidRDefault="00A75983" w:rsidP="00A75983">
      <w:pPr>
        <w:rPr>
          <w:rFonts w:ascii="Times New Roman" w:hAnsi="Times New Roman" w:cs="Times New Roman"/>
          <w:color w:val="000000"/>
        </w:rPr>
      </w:pPr>
    </w:p>
    <w:p w:rsidR="00A75983" w:rsidRPr="00A75983" w:rsidRDefault="00A75983" w:rsidP="00A75983">
      <w:pPr>
        <w:rPr>
          <w:rFonts w:ascii="Times New Roman" w:hAnsi="Times New Roman" w:cs="Times New Roman"/>
          <w:color w:val="000000"/>
        </w:rPr>
      </w:pPr>
      <w:r w:rsidRPr="00A75983">
        <w:rPr>
          <w:rFonts w:ascii="Times New Roman" w:hAnsi="Times New Roman" w:cs="Times New Roman"/>
          <w:color w:val="000000"/>
        </w:rPr>
        <w:t xml:space="preserve">I cannot possibly go into all the reasoning in these critiques, but I will say a little more about one key argument. This argument is based on a compelling observation, namely, that our sensations give us no hint of the complexity of either their external physical causes or their brain event causes. I call this fact “SELL” – the Silence of Experience with respect to Lower Level items. (For example, for vision, color experience gives no hint either of anything remotely as complex as reflectance profiles, or as remotely complex as patterns of neural firings in V4.) </w:t>
      </w:r>
    </w:p>
    <w:p w:rsidR="00A75983" w:rsidRPr="00A75983" w:rsidRDefault="00A75983" w:rsidP="00A75983">
      <w:pPr>
        <w:rPr>
          <w:rFonts w:ascii="Times New Roman" w:hAnsi="Times New Roman" w:cs="Times New Roman"/>
          <w:color w:val="000000"/>
        </w:rPr>
      </w:pPr>
    </w:p>
    <w:p w:rsidR="00A75983" w:rsidRPr="00A75983" w:rsidRDefault="00A75983" w:rsidP="00A75983">
      <w:pPr>
        <w:rPr>
          <w:rFonts w:ascii="Times New Roman" w:hAnsi="Times New Roman" w:cs="Times New Roman"/>
          <w:color w:val="000000"/>
        </w:rPr>
      </w:pPr>
      <w:r w:rsidRPr="00A75983">
        <w:rPr>
          <w:rFonts w:ascii="Times New Roman" w:hAnsi="Times New Roman" w:cs="Times New Roman"/>
          <w:color w:val="000000"/>
        </w:rPr>
        <w:t xml:space="preserve">Dualists have an easy explanation of SELL. Complex external events cause complex neural events which in turn cause relatively simple, nonphysical events that are our experiences. In general, properties in effects can differ from properties of causes -- for example, hardness in a boiled egg is a different property from the heat that caused the hardening. It should thus not be surprising that a property in an experiential effect differs from both the causally relevant property of its neural event cause and the distal property that is distinctly causally relevant to that neural event. </w:t>
      </w:r>
    </w:p>
    <w:p w:rsidR="00A75983" w:rsidRPr="00A75983" w:rsidRDefault="00A75983" w:rsidP="00A75983">
      <w:pPr>
        <w:rPr>
          <w:rFonts w:ascii="Times New Roman" w:hAnsi="Times New Roman" w:cs="Times New Roman"/>
          <w:color w:val="000000"/>
        </w:rPr>
      </w:pPr>
    </w:p>
    <w:p w:rsidR="00A75983" w:rsidRPr="00A75983" w:rsidRDefault="00A75983" w:rsidP="00A75983">
      <w:pPr>
        <w:rPr>
          <w:rFonts w:ascii="Times New Roman" w:hAnsi="Times New Roman" w:cs="Times New Roman"/>
          <w:color w:val="000000"/>
        </w:rPr>
      </w:pPr>
      <w:r w:rsidRPr="00A75983">
        <w:rPr>
          <w:rFonts w:ascii="Times New Roman" w:hAnsi="Times New Roman" w:cs="Times New Roman"/>
          <w:color w:val="000000"/>
        </w:rPr>
        <w:t xml:space="preserve">Physicalists, however, face a number of unhappy choices. Here, I will briefly elaborate on just three leading ideas. (a) They may allow that instances of qualia are (in one of several ways) constituents of experiences, and hold that qualia are identical with certain complex physical properties. But then they will have no explanation of SELL. (b) They may deny the existence of experiences altogether, and swallow the irony that a leading criticism of epiphenomenalism – that it denies the allegedly obvious fact of causation of behavior by our experiences – applies in spades to their view. (c) They may hold that experiences represent qualities that are never instantiated in our world (although they might be instantiated in some possible worlds). They thereby incur the burden – unbearable in my view – of showing how a set of extensional relations can relate a physical event to a property that is nowhere actually instantiated, and thus can never be a property in virtue of which any causal contribution is ever made to anything in our world.    </w:t>
      </w:r>
    </w:p>
    <w:p w:rsidR="00A75983" w:rsidRPr="00A75983" w:rsidRDefault="00A75983" w:rsidP="00A75983">
      <w:pPr>
        <w:rPr>
          <w:rFonts w:ascii="Times New Roman" w:hAnsi="Times New Roman" w:cs="Times New Roman"/>
          <w:color w:val="000000"/>
        </w:rPr>
      </w:pPr>
    </w:p>
    <w:p w:rsidR="00A75983" w:rsidRPr="00A75983" w:rsidRDefault="00A75983" w:rsidP="00A75983">
      <w:pPr>
        <w:rPr>
          <w:rFonts w:ascii="Times New Roman" w:hAnsi="Times New Roman" w:cs="Times New Roman"/>
          <w:color w:val="000000"/>
        </w:rPr>
      </w:pPr>
      <w:r w:rsidRPr="00A75983">
        <w:rPr>
          <w:rFonts w:ascii="Times New Roman" w:hAnsi="Times New Roman" w:cs="Times New Roman"/>
          <w:color w:val="000000"/>
        </w:rPr>
        <w:lastRenderedPageBreak/>
        <w:t>These negative explanations are required, but the main point of the first four chapters is to develop the dualism that it seems we must accept. A central question concerns causal relations. Here (as will be no surprise), I hold that brain events cause nonphysical sensations and that those sensations do not in turn cause anything. The brain events that cause sensations do, of course, causally contribute to further brain events. In general, events that causally contribute to brain events are either earlier brain events or stimulations of sense organs.</w:t>
      </w:r>
    </w:p>
    <w:p w:rsidR="00A75983" w:rsidRPr="00A75983" w:rsidRDefault="00A75983" w:rsidP="00A75983">
      <w:pPr>
        <w:rPr>
          <w:rFonts w:ascii="Times New Roman" w:hAnsi="Times New Roman" w:cs="Times New Roman"/>
          <w:color w:val="000000"/>
        </w:rPr>
      </w:pPr>
    </w:p>
    <w:p w:rsidR="00A75983" w:rsidRPr="00A75983" w:rsidRDefault="00A75983" w:rsidP="00A75983">
      <w:pPr>
        <w:rPr>
          <w:rFonts w:ascii="Times New Roman" w:hAnsi="Times New Roman" w:cs="Times New Roman"/>
          <w:color w:val="000000"/>
        </w:rPr>
      </w:pPr>
      <w:r w:rsidRPr="00A75983">
        <w:rPr>
          <w:rFonts w:ascii="Times New Roman" w:hAnsi="Times New Roman" w:cs="Times New Roman"/>
          <w:color w:val="000000"/>
        </w:rPr>
        <w:t>I also offer a theory of why changes in brains cause sensations. This theory turns on a fact related to SELL: The properties instantiated in sensations are, in a certain sense, simpler, relative to the properties involved in their causation. This fact suggests a conservation principle, where the conserved quantity is complexity-and-simplicity (CAS). On this view, there is a balance, or trade-off between the relative complexity of causes of sensations and the relative simplicity of the sensations that are the effects.</w:t>
      </w:r>
    </w:p>
    <w:p w:rsidR="00A75983" w:rsidRPr="00A75983" w:rsidRDefault="00A75983" w:rsidP="00A75983">
      <w:pPr>
        <w:rPr>
          <w:rFonts w:ascii="Times New Roman" w:hAnsi="Times New Roman" w:cs="Times New Roman"/>
          <w:color w:val="000000"/>
        </w:rPr>
      </w:pPr>
    </w:p>
    <w:p w:rsidR="00A75983" w:rsidRPr="00A75983" w:rsidRDefault="00A75983" w:rsidP="00A75983">
      <w:pPr>
        <w:rPr>
          <w:rFonts w:ascii="Times New Roman" w:hAnsi="Times New Roman" w:cs="Times New Roman"/>
          <w:color w:val="000000"/>
        </w:rPr>
      </w:pPr>
      <w:r w:rsidRPr="00A75983">
        <w:rPr>
          <w:rFonts w:ascii="Times New Roman" w:hAnsi="Times New Roman" w:cs="Times New Roman"/>
          <w:color w:val="000000"/>
        </w:rPr>
        <w:t>I do not claim to have proved this theory, and its acceptability depends on eventual neuroscientific discovery of an appropriate complexity property that would be distinctive of causes of sensations. I do claim that it is a coherent proposal, and that if it works out, it would be a solution to the Hard Problem.</w:t>
      </w:r>
    </w:p>
    <w:p w:rsidR="00A75983" w:rsidRPr="00A75983" w:rsidRDefault="00A75983" w:rsidP="00A75983">
      <w:pPr>
        <w:rPr>
          <w:rFonts w:ascii="Times New Roman" w:hAnsi="Times New Roman" w:cs="Times New Roman"/>
          <w:color w:val="000000"/>
        </w:rPr>
      </w:pPr>
    </w:p>
    <w:p w:rsidR="00A75983" w:rsidRPr="00A75983" w:rsidRDefault="00A75983" w:rsidP="00A75983">
      <w:pPr>
        <w:rPr>
          <w:rFonts w:ascii="Times New Roman" w:hAnsi="Times New Roman" w:cs="Times New Roman"/>
          <w:color w:val="000000"/>
        </w:rPr>
      </w:pPr>
      <w:r w:rsidRPr="00A75983">
        <w:rPr>
          <w:rFonts w:ascii="Times New Roman" w:hAnsi="Times New Roman" w:cs="Times New Roman"/>
          <w:color w:val="000000"/>
        </w:rPr>
        <w:t xml:space="preserve">I discuss the notion of transparency at some length, and argue that it is a mischaracterization of something else, namely, the three-dimensionality of (mainly visual, but also auditory and tactile) experience. This stance raises the question of what exactly we are doing when we attend to experiences as such. I argue that regarding an experience as an experience is an </w:t>
      </w:r>
      <w:r w:rsidRPr="00A75983">
        <w:rPr>
          <w:rFonts w:ascii="Times New Roman" w:hAnsi="Times New Roman" w:cs="Times New Roman"/>
          <w:i/>
          <w:color w:val="000000"/>
        </w:rPr>
        <w:t>addition</w:t>
      </w:r>
      <w:r w:rsidRPr="00A75983">
        <w:rPr>
          <w:rFonts w:ascii="Times New Roman" w:hAnsi="Times New Roman" w:cs="Times New Roman"/>
          <w:color w:val="000000"/>
        </w:rPr>
        <w:t xml:space="preserve"> to experience, where the addition involves a pretense of an attitude of suspicion toward our experience.</w:t>
      </w:r>
    </w:p>
    <w:p w:rsidR="00A75983" w:rsidRPr="00A75983" w:rsidRDefault="00A75983" w:rsidP="00A75983">
      <w:pPr>
        <w:rPr>
          <w:rFonts w:ascii="Times New Roman" w:hAnsi="Times New Roman" w:cs="Times New Roman"/>
          <w:color w:val="000000"/>
        </w:rPr>
      </w:pPr>
    </w:p>
    <w:p w:rsidR="00A75983" w:rsidRPr="00A75983" w:rsidRDefault="00A75983" w:rsidP="00A75983">
      <w:pPr>
        <w:rPr>
          <w:rFonts w:ascii="Times New Roman" w:hAnsi="Times New Roman" w:cs="Times New Roman"/>
          <w:color w:val="000000"/>
        </w:rPr>
      </w:pPr>
    </w:p>
    <w:p w:rsidR="00A75983" w:rsidRPr="00A75983" w:rsidRDefault="00A75983" w:rsidP="00A75983">
      <w:pPr>
        <w:rPr>
          <w:rFonts w:ascii="Times New Roman" w:hAnsi="Times New Roman" w:cs="Times New Roman"/>
          <w:color w:val="000000"/>
        </w:rPr>
      </w:pPr>
      <w:r w:rsidRPr="00A75983">
        <w:rPr>
          <w:rFonts w:ascii="Times New Roman" w:hAnsi="Times New Roman" w:cs="Times New Roman"/>
          <w:color w:val="000000"/>
        </w:rPr>
        <w:t>2. Beliefs (and Desires)</w:t>
      </w:r>
    </w:p>
    <w:p w:rsidR="00A75983" w:rsidRPr="00A75983" w:rsidRDefault="00A75983" w:rsidP="00A75983">
      <w:pPr>
        <w:rPr>
          <w:rFonts w:ascii="Times New Roman" w:hAnsi="Times New Roman" w:cs="Times New Roman"/>
          <w:color w:val="000000"/>
        </w:rPr>
      </w:pPr>
    </w:p>
    <w:p w:rsidR="00A75983" w:rsidRPr="00A75983" w:rsidRDefault="00A75983" w:rsidP="00A75983">
      <w:pPr>
        <w:rPr>
          <w:rFonts w:ascii="Times New Roman" w:hAnsi="Times New Roman" w:cs="Times New Roman"/>
          <w:color w:val="000000"/>
        </w:rPr>
      </w:pPr>
      <w:r w:rsidRPr="00A75983">
        <w:rPr>
          <w:rFonts w:ascii="Times New Roman" w:hAnsi="Times New Roman" w:cs="Times New Roman"/>
          <w:color w:val="000000"/>
        </w:rPr>
        <w:t xml:space="preserve">According to the account of </w:t>
      </w:r>
      <w:r w:rsidRPr="00A75983">
        <w:rPr>
          <w:rFonts w:ascii="Times New Roman" w:hAnsi="Times New Roman" w:cs="Times New Roman"/>
          <w:i/>
          <w:color w:val="000000"/>
        </w:rPr>
        <w:t>Epiphenomenal Mind</w:t>
      </w:r>
      <w:r w:rsidRPr="00A75983">
        <w:rPr>
          <w:rFonts w:ascii="Times New Roman" w:hAnsi="Times New Roman" w:cs="Times New Roman"/>
          <w:color w:val="000000"/>
        </w:rPr>
        <w:t>, believing and desiring are global states of our organized brains. Our actions, both verbal and nonverbal, are symptoms of our brains’ organization.</w:t>
      </w:r>
    </w:p>
    <w:p w:rsidR="00A75983" w:rsidRPr="00A75983" w:rsidRDefault="00A75983" w:rsidP="00A75983">
      <w:pPr>
        <w:rPr>
          <w:rFonts w:ascii="Times New Roman" w:hAnsi="Times New Roman" w:cs="Times New Roman"/>
          <w:color w:val="000000"/>
        </w:rPr>
      </w:pPr>
    </w:p>
    <w:p w:rsidR="00A75983" w:rsidRPr="00A75983" w:rsidRDefault="00A75983" w:rsidP="00A75983">
      <w:pPr>
        <w:rPr>
          <w:rFonts w:ascii="Times New Roman" w:hAnsi="Times New Roman" w:cs="Times New Roman"/>
          <w:color w:val="000000"/>
        </w:rPr>
      </w:pPr>
      <w:r w:rsidRPr="00A75983">
        <w:rPr>
          <w:rFonts w:ascii="Times New Roman" w:hAnsi="Times New Roman" w:cs="Times New Roman"/>
          <w:color w:val="000000"/>
        </w:rPr>
        <w:t xml:space="preserve">The contrasting view that I reject holds that beliefs and desires are able to causally interact with each other (and with other beliefs and desires) to produce behavior. </w:t>
      </w:r>
    </w:p>
    <w:p w:rsidR="00A75983" w:rsidRPr="00A75983" w:rsidRDefault="00A75983" w:rsidP="00A75983">
      <w:pPr>
        <w:rPr>
          <w:rFonts w:ascii="Times New Roman" w:hAnsi="Times New Roman" w:cs="Times New Roman"/>
          <w:color w:val="000000"/>
        </w:rPr>
      </w:pPr>
    </w:p>
    <w:p w:rsidR="00A75983" w:rsidRPr="00A75983" w:rsidRDefault="00A75983" w:rsidP="00A75983">
      <w:pPr>
        <w:rPr>
          <w:rFonts w:ascii="Times New Roman" w:hAnsi="Times New Roman" w:cs="Times New Roman"/>
          <w:color w:val="000000"/>
        </w:rPr>
      </w:pPr>
      <w:r w:rsidRPr="00A75983">
        <w:rPr>
          <w:rFonts w:ascii="Times New Roman" w:hAnsi="Times New Roman" w:cs="Times New Roman"/>
          <w:color w:val="000000"/>
        </w:rPr>
        <w:t xml:space="preserve">A good way to understand the difference between these views begins with the observation that beliefs and desires are often referred to as (mental) </w:t>
      </w:r>
      <w:r w:rsidRPr="00A75983">
        <w:rPr>
          <w:rFonts w:ascii="Times New Roman" w:hAnsi="Times New Roman" w:cs="Times New Roman"/>
          <w:i/>
          <w:color w:val="000000"/>
        </w:rPr>
        <w:t>states</w:t>
      </w:r>
      <w:r w:rsidRPr="00A75983">
        <w:rPr>
          <w:rFonts w:ascii="Times New Roman" w:hAnsi="Times New Roman" w:cs="Times New Roman"/>
          <w:color w:val="000000"/>
        </w:rPr>
        <w:t xml:space="preserve">. These states are generally thought to be physical, or at least to supervene upon the physical. Either way, there should be a physical state corresponding to a mental state. We are thus entitled to ask what such physical states are states </w:t>
      </w:r>
      <w:r w:rsidRPr="00A75983">
        <w:rPr>
          <w:rFonts w:ascii="Times New Roman" w:hAnsi="Times New Roman" w:cs="Times New Roman"/>
          <w:i/>
          <w:color w:val="000000"/>
        </w:rPr>
        <w:t>of</w:t>
      </w:r>
      <w:r w:rsidRPr="00A75983">
        <w:rPr>
          <w:rFonts w:ascii="Times New Roman" w:hAnsi="Times New Roman" w:cs="Times New Roman"/>
          <w:color w:val="000000"/>
        </w:rPr>
        <w:t xml:space="preserve">. </w:t>
      </w:r>
    </w:p>
    <w:p w:rsidR="00A75983" w:rsidRPr="00A75983" w:rsidRDefault="00A75983" w:rsidP="00A75983">
      <w:pPr>
        <w:rPr>
          <w:rFonts w:ascii="Times New Roman" w:hAnsi="Times New Roman" w:cs="Times New Roman"/>
          <w:color w:val="000000"/>
        </w:rPr>
      </w:pPr>
    </w:p>
    <w:p w:rsidR="00A75983" w:rsidRPr="00A75983" w:rsidRDefault="00A75983" w:rsidP="00A75983">
      <w:pPr>
        <w:rPr>
          <w:rFonts w:ascii="Times New Roman" w:hAnsi="Times New Roman" w:cs="Times New Roman"/>
          <w:color w:val="000000"/>
        </w:rPr>
      </w:pPr>
      <w:r w:rsidRPr="00A75983">
        <w:rPr>
          <w:rFonts w:ascii="Times New Roman" w:hAnsi="Times New Roman" w:cs="Times New Roman"/>
          <w:color w:val="000000"/>
        </w:rPr>
        <w:t xml:space="preserve">In response, contemporaries will immediately think of </w:t>
      </w:r>
      <w:r w:rsidRPr="00A75983">
        <w:rPr>
          <w:rFonts w:ascii="Times New Roman" w:hAnsi="Times New Roman" w:cs="Times New Roman"/>
          <w:i/>
          <w:color w:val="000000"/>
        </w:rPr>
        <w:t>brain states</w:t>
      </w:r>
      <w:r w:rsidRPr="00A75983">
        <w:rPr>
          <w:rFonts w:ascii="Times New Roman" w:hAnsi="Times New Roman" w:cs="Times New Roman"/>
          <w:color w:val="000000"/>
        </w:rPr>
        <w:t>. I do not reject this answer, but I do ask whether this means (a) states of whole brains or (b) states of parts of brains. I think we have to accept (a). The picture that I reject adopts (b).</w:t>
      </w:r>
    </w:p>
    <w:p w:rsidR="00A75983" w:rsidRPr="00A75983" w:rsidRDefault="00A75983" w:rsidP="00A75983">
      <w:pPr>
        <w:rPr>
          <w:rFonts w:ascii="Times New Roman" w:hAnsi="Times New Roman" w:cs="Times New Roman"/>
          <w:color w:val="000000"/>
        </w:rPr>
      </w:pPr>
    </w:p>
    <w:p w:rsidR="00A75983" w:rsidRDefault="00A75983" w:rsidP="00A75983">
      <w:pPr>
        <w:rPr>
          <w:rFonts w:ascii="Times New Roman" w:hAnsi="Times New Roman" w:cs="Times New Roman"/>
          <w:color w:val="000000"/>
        </w:rPr>
      </w:pPr>
      <w:r w:rsidRPr="00A75983">
        <w:rPr>
          <w:rFonts w:ascii="Times New Roman" w:hAnsi="Times New Roman" w:cs="Times New Roman"/>
          <w:color w:val="000000"/>
        </w:rPr>
        <w:lastRenderedPageBreak/>
        <w:t xml:space="preserve">The key argument here is that no state of a part of a brain could determine what belief (or desire) it was supposed to be (or store, or represent, or correspond to). It does not matter whether we think of states of parts of brains as long-lasting patterns of connectivity among their sub-parts, or as ephemeral patterns of activation across the neurons composing a brain-part, or as some combination of such patterns. In any of these cases, the contribution of a part of a brain to behavior could be radically altered by its having a different set of neural connections to other brain parts. So, the fact that someone believes </w:t>
      </w:r>
      <w:r w:rsidRPr="00A75983">
        <w:rPr>
          <w:rFonts w:ascii="Times New Roman" w:hAnsi="Times New Roman" w:cs="Times New Roman"/>
          <w:i/>
          <w:color w:val="000000"/>
        </w:rPr>
        <w:t>p</w:t>
      </w:r>
      <w:r w:rsidRPr="00A75983">
        <w:rPr>
          <w:rFonts w:ascii="Times New Roman" w:hAnsi="Times New Roman" w:cs="Times New Roman"/>
          <w:color w:val="000000"/>
        </w:rPr>
        <w:t xml:space="preserve"> logically cannot consist in some brain part’s being in state F. At best it could be the fact that part X is in state F </w:t>
      </w:r>
      <w:r w:rsidRPr="00A75983">
        <w:rPr>
          <w:rFonts w:ascii="Times New Roman" w:hAnsi="Times New Roman" w:cs="Times New Roman"/>
          <w:i/>
          <w:color w:val="000000"/>
        </w:rPr>
        <w:t>and part X has the set of connections {Y} to other brain parts</w:t>
      </w:r>
      <w:r w:rsidRPr="00A75983">
        <w:rPr>
          <w:rFonts w:ascii="Times New Roman" w:hAnsi="Times New Roman" w:cs="Times New Roman"/>
          <w:color w:val="000000"/>
        </w:rPr>
        <w:t xml:space="preserve"> – where the set of connections is the connectivity to all of the rest of the brain. (A merely larger part will not do, since the same argument would apply: The effective contribution of a larger part would still depend on its connections to the remainder of the brain.)</w:t>
      </w:r>
    </w:p>
    <w:p w:rsidR="003F5924" w:rsidRPr="00A75983" w:rsidRDefault="003F5924" w:rsidP="00A75983">
      <w:pPr>
        <w:rPr>
          <w:rFonts w:ascii="Times New Roman" w:hAnsi="Times New Roman" w:cs="Times New Roman"/>
          <w:color w:val="000000"/>
        </w:rPr>
      </w:pPr>
    </w:p>
    <w:p w:rsidR="00A75983" w:rsidRPr="00A75983" w:rsidRDefault="00A75983" w:rsidP="00A75983">
      <w:pPr>
        <w:rPr>
          <w:rFonts w:ascii="Times New Roman" w:hAnsi="Times New Roman" w:cs="Times New Roman"/>
          <w:color w:val="000000"/>
        </w:rPr>
      </w:pPr>
      <w:r w:rsidRPr="00A75983">
        <w:rPr>
          <w:rFonts w:ascii="Times New Roman" w:hAnsi="Times New Roman" w:cs="Times New Roman"/>
          <w:color w:val="000000"/>
        </w:rPr>
        <w:t xml:space="preserve">This argument is shown to apply to contemporary discussions. The ‘P’s and ‘P*’s in ubiquitous diagrams inspired by the exclusion arguments of </w:t>
      </w:r>
      <w:proofErr w:type="spellStart"/>
      <w:r w:rsidRPr="00A75983">
        <w:rPr>
          <w:rFonts w:ascii="Times New Roman" w:hAnsi="Times New Roman" w:cs="Times New Roman"/>
          <w:color w:val="000000"/>
        </w:rPr>
        <w:t>Jaegwon</w:t>
      </w:r>
      <w:proofErr w:type="spellEnd"/>
      <w:r w:rsidRPr="00A75983">
        <w:rPr>
          <w:rFonts w:ascii="Times New Roman" w:hAnsi="Times New Roman" w:cs="Times New Roman"/>
          <w:color w:val="000000"/>
        </w:rPr>
        <w:t xml:space="preserve"> Kim are commonly said to be physical states, presumably brain states; and thus they must be either states of whole brains or states of parts of brains.</w:t>
      </w:r>
    </w:p>
    <w:p w:rsidR="00A75983" w:rsidRPr="00A75983" w:rsidRDefault="00A75983" w:rsidP="00A75983">
      <w:pPr>
        <w:rPr>
          <w:rFonts w:ascii="Times New Roman" w:hAnsi="Times New Roman" w:cs="Times New Roman"/>
          <w:color w:val="000000"/>
        </w:rPr>
      </w:pPr>
    </w:p>
    <w:p w:rsidR="00A75983" w:rsidRPr="00A75983" w:rsidRDefault="00A75983" w:rsidP="00A75983">
      <w:pPr>
        <w:rPr>
          <w:rFonts w:ascii="Times New Roman" w:hAnsi="Times New Roman" w:cs="Times New Roman"/>
          <w:color w:val="000000"/>
        </w:rPr>
      </w:pPr>
      <w:r w:rsidRPr="00A75983">
        <w:rPr>
          <w:rFonts w:ascii="Times New Roman" w:hAnsi="Times New Roman" w:cs="Times New Roman"/>
          <w:color w:val="000000"/>
        </w:rPr>
        <w:t>To reject the picture presupposed by the use of Kim-style diagrams is to reject the view that beliefs and desires are the kinds of things that can causally interact to produce behavior. One might try to preserve mental causation by allowing that the global brain state that embodies our believing something can interact with the global brain state that embodies our desiring something. But the state of the whole brain cannot interact with itself. To say so would amount to no more than affirming the truism that our behavior proceeds from stimulation falling upon an organized brain.</w:t>
      </w:r>
    </w:p>
    <w:p w:rsidR="00A75983" w:rsidRPr="00A75983" w:rsidRDefault="00A75983" w:rsidP="00A75983">
      <w:pPr>
        <w:rPr>
          <w:rFonts w:ascii="Times New Roman" w:hAnsi="Times New Roman" w:cs="Times New Roman"/>
          <w:color w:val="000000"/>
        </w:rPr>
      </w:pPr>
    </w:p>
    <w:p w:rsidR="00A75983" w:rsidRPr="00A75983" w:rsidRDefault="00A75983" w:rsidP="00A75983">
      <w:pPr>
        <w:rPr>
          <w:rFonts w:ascii="Times New Roman" w:hAnsi="Times New Roman" w:cs="Times New Roman"/>
          <w:color w:val="000000"/>
        </w:rPr>
      </w:pPr>
      <w:r w:rsidRPr="00A75983">
        <w:rPr>
          <w:rFonts w:ascii="Times New Roman" w:hAnsi="Times New Roman" w:cs="Times New Roman"/>
          <w:color w:val="000000"/>
        </w:rPr>
        <w:t xml:space="preserve">We have thus arrived both at epiphenomenalism and the reason why its formulation must be a little different from epiphenomenalism for sensations. Sensations are events; thus they are of the right category to be causes. Epiphenomenalism says they exist, all right, they just don’t cause anything. But I do not say that beliefs, as they are thought of in the beliefs-as-states-of-parts-of-brains picture exist but are inefficacious. I say that beliefs and desires conceived of according to </w:t>
      </w:r>
      <w:r w:rsidRPr="00A75983">
        <w:rPr>
          <w:rFonts w:ascii="Times New Roman" w:hAnsi="Times New Roman" w:cs="Times New Roman"/>
          <w:i/>
          <w:color w:val="000000"/>
        </w:rPr>
        <w:t>that</w:t>
      </w:r>
      <w:r w:rsidRPr="00A75983">
        <w:rPr>
          <w:rFonts w:ascii="Times New Roman" w:hAnsi="Times New Roman" w:cs="Times New Roman"/>
          <w:color w:val="000000"/>
        </w:rPr>
        <w:t xml:space="preserve"> picture don’t exist at all. Our behavior is caused by stimulation of our sense organs and the causal interactions of parts of our brains, but no part of our brain or state of a part of our brain is a belief, or the storer of or representation of a belief. These claims could be easily misunderstood if one abbreviated them to “Beliefs and desires don’t cause anything”, but I believe they will be recognized as what epiphenomenalism comes to when affirmed in conjunction with an accurate view of believing and desiring.</w:t>
      </w:r>
    </w:p>
    <w:p w:rsidR="00A75983" w:rsidRPr="00A75983" w:rsidRDefault="00A75983" w:rsidP="00A75983">
      <w:pPr>
        <w:rPr>
          <w:rFonts w:ascii="Times New Roman" w:hAnsi="Times New Roman" w:cs="Times New Roman"/>
          <w:color w:val="000000"/>
        </w:rPr>
      </w:pPr>
    </w:p>
    <w:p w:rsidR="00933E55" w:rsidRDefault="00A75983" w:rsidP="00A75983">
      <w:pPr>
        <w:rPr>
          <w:rFonts w:ascii="Times New Roman" w:hAnsi="Times New Roman" w:cs="Times New Roman"/>
          <w:color w:val="000000"/>
        </w:rPr>
      </w:pPr>
      <w:r w:rsidRPr="00A75983">
        <w:rPr>
          <w:rFonts w:ascii="Times New Roman" w:hAnsi="Times New Roman" w:cs="Times New Roman"/>
          <w:color w:val="000000"/>
        </w:rPr>
        <w:t xml:space="preserve">Now, there are of course many questions about believing and desiring that my rejection of the </w:t>
      </w:r>
      <w:r w:rsidR="00933E55">
        <w:rPr>
          <w:rFonts w:ascii="Times New Roman" w:hAnsi="Times New Roman" w:cs="Times New Roman"/>
          <w:color w:val="000000"/>
        </w:rPr>
        <w:t>foregoing</w:t>
      </w:r>
      <w:r w:rsidRPr="00A75983">
        <w:rPr>
          <w:rFonts w:ascii="Times New Roman" w:hAnsi="Times New Roman" w:cs="Times New Roman"/>
          <w:color w:val="000000"/>
        </w:rPr>
        <w:t xml:space="preserve"> picture raises. I get at some of them by offering an account of what we are doing when we attribute a belief to others or to ourselves. I call this the “quasi-quotational account of belief attribution”. It says that attributing a belief that </w:t>
      </w:r>
      <w:r w:rsidRPr="00A75983">
        <w:rPr>
          <w:rFonts w:ascii="Times New Roman" w:hAnsi="Times New Roman" w:cs="Times New Roman"/>
          <w:i/>
          <w:color w:val="000000"/>
        </w:rPr>
        <w:t>p</w:t>
      </w:r>
      <w:r w:rsidRPr="00A75983">
        <w:rPr>
          <w:rFonts w:ascii="Times New Roman" w:hAnsi="Times New Roman" w:cs="Times New Roman"/>
          <w:color w:val="000000"/>
        </w:rPr>
        <w:t xml:space="preserve"> to some person, S, is saying that S behaves like a person who says “</w:t>
      </w:r>
      <w:r w:rsidRPr="00A75983">
        <w:rPr>
          <w:rFonts w:ascii="Times New Roman" w:hAnsi="Times New Roman" w:cs="Times New Roman"/>
          <w:i/>
          <w:color w:val="000000"/>
        </w:rPr>
        <w:t>p</w:t>
      </w:r>
      <w:r w:rsidRPr="00A75983">
        <w:rPr>
          <w:rFonts w:ascii="Times New Roman" w:hAnsi="Times New Roman" w:cs="Times New Roman"/>
          <w:color w:val="000000"/>
        </w:rPr>
        <w:t>”. The usefulness of the practice of making such attributions is similar to the usefulness of direct quotation. If I tell you that S actually said “</w:t>
      </w:r>
      <w:r w:rsidRPr="00A75983">
        <w:rPr>
          <w:rFonts w:ascii="Times New Roman" w:hAnsi="Times New Roman" w:cs="Times New Roman"/>
          <w:i/>
          <w:color w:val="000000"/>
        </w:rPr>
        <w:t>p</w:t>
      </w:r>
      <w:r w:rsidRPr="00A75983">
        <w:rPr>
          <w:rFonts w:ascii="Times New Roman" w:hAnsi="Times New Roman" w:cs="Times New Roman"/>
          <w:color w:val="000000"/>
        </w:rPr>
        <w:t xml:space="preserve">”, and was not joking, disordered by drugs or disease, etc., you would form certain expectations about S. If I tell you that S believes </w:t>
      </w:r>
      <w:r w:rsidRPr="00A75983">
        <w:rPr>
          <w:rFonts w:ascii="Times New Roman" w:hAnsi="Times New Roman" w:cs="Times New Roman"/>
          <w:i/>
          <w:color w:val="000000"/>
        </w:rPr>
        <w:t>p</w:t>
      </w:r>
      <w:r w:rsidRPr="00A75983">
        <w:rPr>
          <w:rFonts w:ascii="Times New Roman" w:hAnsi="Times New Roman" w:cs="Times New Roman"/>
          <w:color w:val="000000"/>
        </w:rPr>
        <w:t xml:space="preserve"> you would form </w:t>
      </w:r>
      <w:r w:rsidR="00933E55">
        <w:rPr>
          <w:rFonts w:ascii="Times New Roman" w:hAnsi="Times New Roman" w:cs="Times New Roman"/>
          <w:color w:val="000000"/>
        </w:rPr>
        <w:t>a very similar</w:t>
      </w:r>
      <w:r w:rsidRPr="00A75983">
        <w:rPr>
          <w:rFonts w:ascii="Times New Roman" w:hAnsi="Times New Roman" w:cs="Times New Roman"/>
          <w:color w:val="000000"/>
        </w:rPr>
        <w:t xml:space="preserve"> set of expectations about S. </w:t>
      </w:r>
    </w:p>
    <w:p w:rsidR="00933E55" w:rsidRDefault="00933E55" w:rsidP="00A75983">
      <w:pPr>
        <w:rPr>
          <w:rFonts w:ascii="Times New Roman" w:hAnsi="Times New Roman" w:cs="Times New Roman"/>
          <w:color w:val="000000"/>
        </w:rPr>
      </w:pPr>
    </w:p>
    <w:p w:rsidR="00A75983" w:rsidRPr="00A75983" w:rsidRDefault="00933E55" w:rsidP="00A75983">
      <w:pPr>
        <w:rPr>
          <w:rFonts w:ascii="Times New Roman" w:hAnsi="Times New Roman" w:cs="Times New Roman"/>
          <w:color w:val="000000"/>
        </w:rPr>
      </w:pPr>
      <w:r>
        <w:rPr>
          <w:rFonts w:ascii="Times New Roman" w:hAnsi="Times New Roman" w:cs="Times New Roman"/>
          <w:color w:val="000000"/>
        </w:rPr>
        <w:t>W</w:t>
      </w:r>
      <w:r w:rsidR="00A75983" w:rsidRPr="00A75983">
        <w:rPr>
          <w:rFonts w:ascii="Times New Roman" w:hAnsi="Times New Roman" w:cs="Times New Roman"/>
          <w:color w:val="000000"/>
        </w:rPr>
        <w:t>e can have such expectations about S even if S has never actually uttered “</w:t>
      </w:r>
      <w:r w:rsidR="00A75983" w:rsidRPr="00A75983">
        <w:rPr>
          <w:rFonts w:ascii="Times New Roman" w:hAnsi="Times New Roman" w:cs="Times New Roman"/>
          <w:i/>
          <w:color w:val="000000"/>
        </w:rPr>
        <w:t>p</w:t>
      </w:r>
      <w:r w:rsidR="00A75983" w:rsidRPr="00A75983">
        <w:rPr>
          <w:rFonts w:ascii="Times New Roman" w:hAnsi="Times New Roman" w:cs="Times New Roman"/>
          <w:color w:val="000000"/>
        </w:rPr>
        <w:t xml:space="preserve">”. There are many such cases. One example occurs when pronouns are used: S may have actually said only “He’s dishonest”, but in a context where it was clear that “he” referred to Jones. We can report this by saying that S believes Jones to be dishonest. Another sort of case occurs if we infer expectations about S from observing S’s nonverbal behavior. In that case, telling others that S believes </w:t>
      </w:r>
      <w:r w:rsidR="00A75983" w:rsidRPr="00A75983">
        <w:rPr>
          <w:rFonts w:ascii="Times New Roman" w:hAnsi="Times New Roman" w:cs="Times New Roman"/>
          <w:i/>
          <w:color w:val="000000"/>
        </w:rPr>
        <w:t>“p</w:t>
      </w:r>
      <w:r w:rsidR="00A75983" w:rsidRPr="00A75983">
        <w:rPr>
          <w:rFonts w:ascii="Times New Roman" w:hAnsi="Times New Roman" w:cs="Times New Roman"/>
          <w:color w:val="000000"/>
        </w:rPr>
        <w:t>” would be very like telling them that S had behaved as if S had said “</w:t>
      </w:r>
      <w:r w:rsidR="00A75983" w:rsidRPr="00A75983">
        <w:rPr>
          <w:rFonts w:ascii="Times New Roman" w:hAnsi="Times New Roman" w:cs="Times New Roman"/>
          <w:i/>
          <w:color w:val="000000"/>
        </w:rPr>
        <w:t>p</w:t>
      </w:r>
      <w:r w:rsidR="00A75983" w:rsidRPr="00A75983">
        <w:rPr>
          <w:rFonts w:ascii="Times New Roman" w:hAnsi="Times New Roman" w:cs="Times New Roman"/>
          <w:color w:val="000000"/>
        </w:rPr>
        <w:t xml:space="preserve">”. </w:t>
      </w:r>
    </w:p>
    <w:p w:rsidR="00A75983" w:rsidRPr="00A75983" w:rsidRDefault="00A75983" w:rsidP="00A75983">
      <w:pPr>
        <w:rPr>
          <w:rFonts w:ascii="Times New Roman" w:hAnsi="Times New Roman" w:cs="Times New Roman"/>
          <w:color w:val="000000"/>
        </w:rPr>
      </w:pPr>
    </w:p>
    <w:p w:rsidR="00A75983" w:rsidRPr="00A75983" w:rsidRDefault="00A75983" w:rsidP="00A75983">
      <w:pPr>
        <w:rPr>
          <w:rFonts w:ascii="Times New Roman" w:hAnsi="Times New Roman" w:cs="Times New Roman"/>
          <w:color w:val="000000"/>
        </w:rPr>
      </w:pPr>
      <w:r w:rsidRPr="00A75983">
        <w:rPr>
          <w:rFonts w:ascii="Times New Roman" w:hAnsi="Times New Roman" w:cs="Times New Roman"/>
          <w:color w:val="000000"/>
        </w:rPr>
        <w:t>The “expectations” here are, in general, not sets of explicitly formulated propositions about what S will do. They are tacit expectations; they are sets of dispositions to be surprised upon various possible future behaviors of S. But even with this clarification, the idea of behaving like a person who says “</w:t>
      </w:r>
      <w:r w:rsidRPr="00A75983">
        <w:rPr>
          <w:rFonts w:ascii="Times New Roman" w:hAnsi="Times New Roman" w:cs="Times New Roman"/>
          <w:i/>
          <w:color w:val="000000"/>
        </w:rPr>
        <w:t>p</w:t>
      </w:r>
      <w:r w:rsidRPr="00A75983">
        <w:rPr>
          <w:rFonts w:ascii="Times New Roman" w:hAnsi="Times New Roman" w:cs="Times New Roman"/>
          <w:color w:val="000000"/>
        </w:rPr>
        <w:t>” is likely to seem problematic. That is because of the well known fact that any belief is compatible with a vast range of behaviors, depending on what desires and what other beliefs people may hold, and any desire is compatible with a vast range of behaviors, depending on what beliefs and other desires one may have. My solution to this problem is that there can still be ways of behaving like a person who says “</w:t>
      </w:r>
      <w:r w:rsidRPr="00A75983">
        <w:rPr>
          <w:rFonts w:ascii="Times New Roman" w:hAnsi="Times New Roman" w:cs="Times New Roman"/>
          <w:i/>
          <w:color w:val="000000"/>
        </w:rPr>
        <w:t>p</w:t>
      </w:r>
      <w:r w:rsidRPr="00A75983">
        <w:rPr>
          <w:rFonts w:ascii="Times New Roman" w:hAnsi="Times New Roman" w:cs="Times New Roman"/>
          <w:color w:val="000000"/>
        </w:rPr>
        <w:t>” because there is an enormous number of beliefs and desires that people normally share, and that narrow the range of behaviors that are compatible with the whole set of a person’s beliefs and desires. An abnormal belief and desire can be held in some particular case, so our belief attributions are – of course! – subject to error. But when people are aware of unusual beliefs or desires, they generally include them in their reports of what others believe or desire. (Direct quotation can, of course, be misleading in the same way, but no one would conclude from that fact that it cannot be used to inform third parties about what to expect from a speaker.)</w:t>
      </w:r>
    </w:p>
    <w:p w:rsidR="00A75983" w:rsidRPr="00A75983" w:rsidRDefault="00A75983" w:rsidP="00A75983">
      <w:pPr>
        <w:rPr>
          <w:rFonts w:ascii="Times New Roman" w:hAnsi="Times New Roman" w:cs="Times New Roman"/>
          <w:color w:val="000000"/>
        </w:rPr>
      </w:pPr>
    </w:p>
    <w:p w:rsidR="00A75983" w:rsidRPr="00A75983" w:rsidRDefault="00A75983" w:rsidP="00A75983">
      <w:pPr>
        <w:rPr>
          <w:rFonts w:ascii="Times New Roman" w:hAnsi="Times New Roman" w:cs="Times New Roman"/>
          <w:color w:val="000000"/>
        </w:rPr>
      </w:pPr>
      <w:r w:rsidRPr="00A75983">
        <w:rPr>
          <w:rFonts w:ascii="Times New Roman" w:hAnsi="Times New Roman" w:cs="Times New Roman"/>
          <w:color w:val="000000"/>
        </w:rPr>
        <w:t>There are many concepts that are related to believing and desiring. Issues concerning some of these are conveniently explored by asking whether a robot could fall under them. I argue that possible robots could have intelligence, and (contra Searle) understanding. If they also had sensations – which I argue to be compatible with being a robot – they would have events that mattered to them (and not merely to their owners). I clarify, however, that the project of making a conscious robot (i.e., a robot that has sensations) is an entirely different project from making a robot that has intelligence or understanding, and that there is no reason to suppose that advances on the latter project</w:t>
      </w:r>
      <w:r w:rsidR="00933E55">
        <w:rPr>
          <w:rFonts w:ascii="Times New Roman" w:hAnsi="Times New Roman" w:cs="Times New Roman"/>
          <w:color w:val="000000"/>
        </w:rPr>
        <w:t>s</w:t>
      </w:r>
      <w:r w:rsidRPr="00A75983">
        <w:rPr>
          <w:rFonts w:ascii="Times New Roman" w:hAnsi="Times New Roman" w:cs="Times New Roman"/>
          <w:color w:val="000000"/>
        </w:rPr>
        <w:t xml:space="preserve"> should make any advances on the former.</w:t>
      </w:r>
    </w:p>
    <w:p w:rsidR="00A75983" w:rsidRPr="00A75983" w:rsidRDefault="00A75983" w:rsidP="00A75983">
      <w:pPr>
        <w:rPr>
          <w:rFonts w:ascii="Times New Roman" w:hAnsi="Times New Roman" w:cs="Times New Roman"/>
          <w:color w:val="000000"/>
        </w:rPr>
      </w:pPr>
    </w:p>
    <w:p w:rsidR="00A75983" w:rsidRPr="00A75983" w:rsidRDefault="00A75983" w:rsidP="00A75983">
      <w:pPr>
        <w:rPr>
          <w:rFonts w:ascii="Times New Roman" w:hAnsi="Times New Roman" w:cs="Times New Roman"/>
          <w:color w:val="000000"/>
        </w:rPr>
      </w:pPr>
      <w:r w:rsidRPr="00A75983">
        <w:rPr>
          <w:rFonts w:ascii="Times New Roman" w:hAnsi="Times New Roman" w:cs="Times New Roman"/>
          <w:color w:val="000000"/>
        </w:rPr>
        <w:t xml:space="preserve">There are also two views that bedevil discussions of mentality, namely the view that we control our thoughts, and that our words </w:t>
      </w:r>
      <w:r w:rsidRPr="00A75983">
        <w:rPr>
          <w:rFonts w:ascii="Times New Roman" w:hAnsi="Times New Roman" w:cs="Times New Roman"/>
          <w:i/>
          <w:color w:val="000000"/>
        </w:rPr>
        <w:t>express</w:t>
      </w:r>
      <w:r w:rsidRPr="00A75983">
        <w:rPr>
          <w:rFonts w:ascii="Times New Roman" w:hAnsi="Times New Roman" w:cs="Times New Roman"/>
          <w:color w:val="000000"/>
        </w:rPr>
        <w:t xml:space="preserve"> our thoughts. Control of our thoughts would involve trying to have them, which would require us to have already had them. This independent reason for rejecting control of our thoughts is another support for an </w:t>
      </w:r>
      <w:proofErr w:type="spellStart"/>
      <w:r w:rsidRPr="00A75983">
        <w:rPr>
          <w:rFonts w:ascii="Times New Roman" w:hAnsi="Times New Roman" w:cs="Times New Roman"/>
          <w:color w:val="000000"/>
        </w:rPr>
        <w:t>epiphenomenalistic</w:t>
      </w:r>
      <w:proofErr w:type="spellEnd"/>
      <w:r w:rsidRPr="00A75983">
        <w:rPr>
          <w:rFonts w:ascii="Times New Roman" w:hAnsi="Times New Roman" w:cs="Times New Roman"/>
          <w:color w:val="000000"/>
        </w:rPr>
        <w:t xml:space="preserve"> outlook. </w:t>
      </w:r>
    </w:p>
    <w:p w:rsidR="00A75983" w:rsidRPr="00A75983" w:rsidRDefault="00A75983" w:rsidP="00A75983">
      <w:pPr>
        <w:rPr>
          <w:rFonts w:ascii="Times New Roman" w:hAnsi="Times New Roman" w:cs="Times New Roman"/>
          <w:color w:val="000000"/>
        </w:rPr>
      </w:pPr>
    </w:p>
    <w:p w:rsidR="00A75983" w:rsidRPr="00A75983" w:rsidRDefault="00A75983" w:rsidP="00A75983">
      <w:pPr>
        <w:rPr>
          <w:rFonts w:ascii="Times New Roman" w:hAnsi="Times New Roman" w:cs="Times New Roman"/>
          <w:color w:val="000000"/>
        </w:rPr>
      </w:pPr>
      <w:r w:rsidRPr="00A75983">
        <w:rPr>
          <w:rFonts w:ascii="Times New Roman" w:hAnsi="Times New Roman" w:cs="Times New Roman"/>
          <w:color w:val="000000"/>
        </w:rPr>
        <w:t xml:space="preserve">Regarding expression (of thoughts), I argue that there is a sense in which “our words express our thoughts” is true. But the phrase is treacherous, because it suggests that our words must match a prior thought in order to be not just rambling. That suggestion just raises the question whether a prior thought must match a still earlier thought if </w:t>
      </w:r>
      <w:r w:rsidRPr="00A75983">
        <w:rPr>
          <w:rFonts w:ascii="Times New Roman" w:hAnsi="Times New Roman" w:cs="Times New Roman"/>
          <w:i/>
          <w:color w:val="000000"/>
        </w:rPr>
        <w:t>it</w:t>
      </w:r>
      <w:r w:rsidRPr="00A75983">
        <w:rPr>
          <w:rFonts w:ascii="Times New Roman" w:hAnsi="Times New Roman" w:cs="Times New Roman"/>
          <w:color w:val="000000"/>
        </w:rPr>
        <w:t xml:space="preserve"> is not to be just rambling. The way out of the implicit regress is to allow that, while words would not mean anything if they were not products of an organized brain, we must not suppose that the process of producing our words involves a “matching” of words to anything that would count as a “thought”. </w:t>
      </w:r>
    </w:p>
    <w:p w:rsidR="00A75983" w:rsidRPr="00A75983" w:rsidRDefault="00A75983" w:rsidP="00A75983">
      <w:pPr>
        <w:rPr>
          <w:rFonts w:ascii="Times New Roman" w:hAnsi="Times New Roman" w:cs="Times New Roman"/>
          <w:color w:val="000000"/>
        </w:rPr>
      </w:pPr>
    </w:p>
    <w:p w:rsidR="00A75983" w:rsidRPr="00A75983" w:rsidRDefault="00A75983" w:rsidP="00A75983">
      <w:pPr>
        <w:rPr>
          <w:rFonts w:ascii="Times New Roman" w:hAnsi="Times New Roman" w:cs="Times New Roman"/>
          <w:color w:val="000000"/>
        </w:rPr>
      </w:pPr>
      <w:r w:rsidRPr="00A75983">
        <w:rPr>
          <w:rFonts w:ascii="Times New Roman" w:hAnsi="Times New Roman" w:cs="Times New Roman"/>
          <w:color w:val="000000"/>
        </w:rPr>
        <w:lastRenderedPageBreak/>
        <w:t xml:space="preserve">It is, of course, a consequence of this line of argument that the idea that our thoughts cause our behavior is a non-starter. </w:t>
      </w:r>
      <w:r w:rsidR="00933E55">
        <w:rPr>
          <w:rFonts w:ascii="Times New Roman" w:hAnsi="Times New Roman" w:cs="Times New Roman"/>
          <w:color w:val="000000"/>
        </w:rPr>
        <w:t>An alternative view is that our</w:t>
      </w:r>
      <w:r w:rsidRPr="00A75983">
        <w:rPr>
          <w:rFonts w:ascii="Times New Roman" w:hAnsi="Times New Roman" w:cs="Times New Roman"/>
          <w:color w:val="000000"/>
        </w:rPr>
        <w:t xml:space="preserve"> brains produce highly organized </w:t>
      </w:r>
      <w:r w:rsidR="00933E55">
        <w:rPr>
          <w:rFonts w:ascii="Times New Roman" w:hAnsi="Times New Roman" w:cs="Times New Roman"/>
          <w:color w:val="000000"/>
        </w:rPr>
        <w:t>inner speech, overt speech,</w:t>
      </w:r>
      <w:r w:rsidRPr="00A75983">
        <w:rPr>
          <w:rFonts w:ascii="Times New Roman" w:hAnsi="Times New Roman" w:cs="Times New Roman"/>
          <w:color w:val="000000"/>
        </w:rPr>
        <w:t xml:space="preserve"> and nonlinguistic behavior</w:t>
      </w:r>
      <w:r w:rsidR="0097156E">
        <w:rPr>
          <w:rFonts w:ascii="Times New Roman" w:hAnsi="Times New Roman" w:cs="Times New Roman"/>
          <w:color w:val="000000"/>
        </w:rPr>
        <w:t xml:space="preserve">, and relations among these such that </w:t>
      </w:r>
      <w:r w:rsidRPr="00A75983">
        <w:rPr>
          <w:rFonts w:ascii="Times New Roman" w:hAnsi="Times New Roman" w:cs="Times New Roman"/>
          <w:color w:val="000000"/>
        </w:rPr>
        <w:t>in large part (but obviously not always) our words and behavior “fit” (i.e., each makes sense when taken with the other). This view is another aspect of the epiphenomenalist outlook that this book advocates.</w:t>
      </w:r>
    </w:p>
    <w:p w:rsidR="00A75983" w:rsidRPr="00A75983" w:rsidRDefault="00A75983" w:rsidP="00A75983">
      <w:pPr>
        <w:rPr>
          <w:rFonts w:ascii="Times New Roman" w:hAnsi="Times New Roman" w:cs="Times New Roman"/>
          <w:color w:val="000000"/>
        </w:rPr>
      </w:pPr>
    </w:p>
    <w:p w:rsidR="00A75983" w:rsidRPr="00A75983" w:rsidRDefault="00A75983" w:rsidP="00A75983">
      <w:pPr>
        <w:rPr>
          <w:rFonts w:ascii="Times New Roman" w:hAnsi="Times New Roman" w:cs="Times New Roman"/>
          <w:color w:val="000000"/>
        </w:rPr>
      </w:pPr>
      <w:r w:rsidRPr="00A75983">
        <w:rPr>
          <w:rFonts w:ascii="Times New Roman" w:hAnsi="Times New Roman" w:cs="Times New Roman"/>
          <w:color w:val="000000"/>
        </w:rPr>
        <w:t>One might object here that my view goes so far as to imply – very implausibly – that all uses of “a thought” must be rejected as ill-founded, or as harboring confusion. However, I deny this implication. It is compatible with what I say that “a thought” can mean a proposition that one has thought of; which is to say, a proposition that one has stated in either overt or inner speech. “The thought that ‘</w:t>
      </w:r>
      <w:r w:rsidRPr="00A75983">
        <w:rPr>
          <w:rFonts w:ascii="Times New Roman" w:hAnsi="Times New Roman" w:cs="Times New Roman"/>
          <w:i/>
          <w:color w:val="000000"/>
        </w:rPr>
        <w:t>p</w:t>
      </w:r>
      <w:r w:rsidRPr="00A75983">
        <w:rPr>
          <w:rFonts w:ascii="Times New Roman" w:hAnsi="Times New Roman" w:cs="Times New Roman"/>
          <w:color w:val="000000"/>
        </w:rPr>
        <w:t xml:space="preserve">’ never occurred to me” can be adequately paraphrased as “I never uttered (either </w:t>
      </w:r>
      <w:r w:rsidR="0097156E">
        <w:rPr>
          <w:rFonts w:ascii="Times New Roman" w:hAnsi="Times New Roman" w:cs="Times New Roman"/>
          <w:color w:val="000000"/>
        </w:rPr>
        <w:t>in written form</w:t>
      </w:r>
      <w:r w:rsidRPr="00A75983">
        <w:rPr>
          <w:rFonts w:ascii="Times New Roman" w:hAnsi="Times New Roman" w:cs="Times New Roman"/>
          <w:color w:val="000000"/>
        </w:rPr>
        <w:t xml:space="preserve">, or in overt or inner speech) </w:t>
      </w:r>
      <w:r w:rsidR="0097156E">
        <w:rPr>
          <w:rFonts w:ascii="Times New Roman" w:hAnsi="Times New Roman" w:cs="Times New Roman"/>
          <w:color w:val="000000"/>
        </w:rPr>
        <w:t>‘</w:t>
      </w:r>
      <w:r w:rsidRPr="00A75983">
        <w:rPr>
          <w:rFonts w:ascii="Times New Roman" w:hAnsi="Times New Roman" w:cs="Times New Roman"/>
          <w:i/>
          <w:color w:val="000000"/>
        </w:rPr>
        <w:t>p</w:t>
      </w:r>
      <w:r w:rsidR="0097156E">
        <w:rPr>
          <w:rFonts w:ascii="Times New Roman" w:hAnsi="Times New Roman" w:cs="Times New Roman"/>
          <w:color w:val="000000"/>
        </w:rPr>
        <w:t>’</w:t>
      </w:r>
      <w:r w:rsidRPr="00A75983">
        <w:rPr>
          <w:rFonts w:ascii="Times New Roman" w:hAnsi="Times New Roman" w:cs="Times New Roman"/>
          <w:color w:val="000000"/>
        </w:rPr>
        <w:t xml:space="preserve"> or any equivalent sentence.”.</w:t>
      </w:r>
    </w:p>
    <w:p w:rsidR="00A75983" w:rsidRPr="00A75983" w:rsidRDefault="00A75983" w:rsidP="00A75983">
      <w:pPr>
        <w:rPr>
          <w:rFonts w:ascii="Times New Roman" w:hAnsi="Times New Roman" w:cs="Times New Roman"/>
          <w:color w:val="000000"/>
        </w:rPr>
      </w:pPr>
    </w:p>
    <w:p w:rsidR="00A75983" w:rsidRPr="00A75983" w:rsidRDefault="00A75983" w:rsidP="00A75983">
      <w:pPr>
        <w:rPr>
          <w:rFonts w:ascii="Times New Roman" w:hAnsi="Times New Roman" w:cs="Times New Roman"/>
          <w:color w:val="000000"/>
        </w:rPr>
      </w:pPr>
    </w:p>
    <w:p w:rsidR="00A75983" w:rsidRPr="00A75983" w:rsidRDefault="00A75983" w:rsidP="00A75983">
      <w:pPr>
        <w:rPr>
          <w:rFonts w:ascii="Times New Roman" w:hAnsi="Times New Roman" w:cs="Times New Roman"/>
          <w:color w:val="000000"/>
        </w:rPr>
      </w:pPr>
      <w:r w:rsidRPr="00A75983">
        <w:rPr>
          <w:rFonts w:ascii="Times New Roman" w:hAnsi="Times New Roman" w:cs="Times New Roman"/>
          <w:color w:val="000000"/>
        </w:rPr>
        <w:t>3. Valence</w:t>
      </w:r>
    </w:p>
    <w:p w:rsidR="00A75983" w:rsidRPr="00A75983" w:rsidRDefault="00A75983" w:rsidP="00A75983">
      <w:pPr>
        <w:rPr>
          <w:rFonts w:ascii="Times New Roman" w:hAnsi="Times New Roman" w:cs="Times New Roman"/>
          <w:color w:val="000000"/>
        </w:rPr>
      </w:pPr>
    </w:p>
    <w:p w:rsidR="00A75983" w:rsidRPr="00A75983" w:rsidRDefault="00A75983" w:rsidP="00A75983">
      <w:pPr>
        <w:rPr>
          <w:rFonts w:ascii="Times New Roman" w:hAnsi="Times New Roman" w:cs="Times New Roman"/>
          <w:color w:val="000000"/>
        </w:rPr>
      </w:pPr>
      <w:r w:rsidRPr="00A75983">
        <w:rPr>
          <w:rFonts w:ascii="Times New Roman" w:hAnsi="Times New Roman" w:cs="Times New Roman"/>
          <w:color w:val="000000"/>
        </w:rPr>
        <w:t>Unlike sensations, pleasure and displeasure are directed upon aspects of our experience. They are also directly present in consciousness as reasons for the pursuit (or avoidance) of what is believed to cause what is found pleasant or unpleasant. That is, they have a phenomenology. This phenomenology, I argue, is caused by events in an evaluative system (ES), where an evaluative system is recognized by its role in promoting (or discouraging) the continuance or repetition of behavior that led to those events. As would be expected in an epiphenomenalist outlook, the phenomenology that is pleasure (or displeasure) is not efficacious, but, of course, events in the ES that cause valent phenomenology also have effects in the brain that lead to behavior.</w:t>
      </w:r>
    </w:p>
    <w:p w:rsidR="00A75983" w:rsidRPr="00A75983" w:rsidRDefault="00A75983" w:rsidP="00A75983">
      <w:pPr>
        <w:rPr>
          <w:rFonts w:ascii="Times New Roman" w:hAnsi="Times New Roman" w:cs="Times New Roman"/>
          <w:color w:val="000000"/>
        </w:rPr>
      </w:pPr>
    </w:p>
    <w:p w:rsidR="00A75983" w:rsidRPr="00A75983" w:rsidRDefault="00A75983" w:rsidP="00A75983">
      <w:pPr>
        <w:rPr>
          <w:rFonts w:ascii="Times New Roman" w:hAnsi="Times New Roman" w:cs="Times New Roman"/>
          <w:color w:val="000000"/>
        </w:rPr>
      </w:pPr>
      <w:r w:rsidRPr="00A75983">
        <w:rPr>
          <w:rFonts w:ascii="Times New Roman" w:hAnsi="Times New Roman" w:cs="Times New Roman"/>
          <w:color w:val="000000"/>
        </w:rPr>
        <w:t xml:space="preserve">This account of pleasure is defended against two other approaches that have some plausibility. It is then put to use in defending epiphenomenalism against one of the strongest arguments against it. This argument, which was advanced in 1890 by William James, turns on the idea that evolutionary explanations can operate only on what makes a causal contribution to behavior. So, if pleasure and displeasure were not efficacious, there would be no way to explain why we do not find necessary activities, e.g., breathing, to be painful, or detrimental activities, e.g. bruising ourselves, to be pleasant. </w:t>
      </w:r>
    </w:p>
    <w:p w:rsidR="00A75983" w:rsidRPr="00A75983" w:rsidRDefault="00A75983" w:rsidP="00A75983">
      <w:pPr>
        <w:rPr>
          <w:rFonts w:ascii="Times New Roman" w:hAnsi="Times New Roman" w:cs="Times New Roman"/>
          <w:color w:val="000000"/>
        </w:rPr>
      </w:pPr>
    </w:p>
    <w:p w:rsidR="00A75983" w:rsidRPr="00A75983" w:rsidRDefault="00A75983" w:rsidP="00A75983">
      <w:pPr>
        <w:rPr>
          <w:rFonts w:ascii="Times New Roman" w:hAnsi="Times New Roman" w:cs="Times New Roman"/>
          <w:color w:val="000000"/>
        </w:rPr>
      </w:pPr>
      <w:r w:rsidRPr="00A75983">
        <w:rPr>
          <w:rFonts w:ascii="Times New Roman" w:hAnsi="Times New Roman" w:cs="Times New Roman"/>
          <w:color w:val="000000"/>
        </w:rPr>
        <w:t>This argument seems plausible if we think of pleasure and displeasure as sensations that merely accompany other sensations and that, like sensations generally, can occur in any combination. But valence is not a sensation; it is the phenomenology of a type of evaluative-system event, where that type of event is identified by its causal contribution to behavior. This latter fact affords a place for natural selection to find a firm point of application.</w:t>
      </w:r>
    </w:p>
    <w:p w:rsidR="00A75983" w:rsidRPr="00A75983" w:rsidRDefault="00A75983" w:rsidP="00A75983">
      <w:pPr>
        <w:rPr>
          <w:rFonts w:ascii="Times New Roman" w:hAnsi="Times New Roman" w:cs="Times New Roman"/>
          <w:color w:val="000000"/>
        </w:rPr>
      </w:pPr>
    </w:p>
    <w:p w:rsidR="00A75983" w:rsidRPr="00A75983" w:rsidRDefault="00A75983" w:rsidP="00A75983">
      <w:pPr>
        <w:rPr>
          <w:rFonts w:ascii="Times New Roman" w:hAnsi="Times New Roman" w:cs="Times New Roman"/>
          <w:color w:val="000000"/>
        </w:rPr>
      </w:pPr>
    </w:p>
    <w:p w:rsidR="00A75983" w:rsidRPr="00A75983" w:rsidRDefault="00A75983" w:rsidP="00A75983">
      <w:pPr>
        <w:rPr>
          <w:rFonts w:ascii="Times New Roman" w:hAnsi="Times New Roman" w:cs="Times New Roman"/>
          <w:color w:val="000000"/>
        </w:rPr>
      </w:pPr>
      <w:r w:rsidRPr="00A75983">
        <w:rPr>
          <w:rFonts w:ascii="Times New Roman" w:hAnsi="Times New Roman" w:cs="Times New Roman"/>
          <w:color w:val="000000"/>
        </w:rPr>
        <w:t>4. Epilogue</w:t>
      </w:r>
    </w:p>
    <w:p w:rsidR="00A75983" w:rsidRPr="00A75983" w:rsidRDefault="00A75983" w:rsidP="00A75983">
      <w:pPr>
        <w:rPr>
          <w:rFonts w:ascii="Times New Roman" w:hAnsi="Times New Roman" w:cs="Times New Roman"/>
          <w:color w:val="000000"/>
        </w:rPr>
      </w:pPr>
    </w:p>
    <w:p w:rsidR="00A75983" w:rsidRPr="00A75983" w:rsidRDefault="00A75983" w:rsidP="00A75983">
      <w:pPr>
        <w:rPr>
          <w:rFonts w:ascii="Times New Roman" w:hAnsi="Times New Roman" w:cs="Times New Roman"/>
          <w:color w:val="000000"/>
        </w:rPr>
      </w:pPr>
      <w:r w:rsidRPr="00A75983">
        <w:rPr>
          <w:rFonts w:ascii="Times New Roman" w:hAnsi="Times New Roman" w:cs="Times New Roman"/>
          <w:color w:val="000000"/>
        </w:rPr>
        <w:t xml:space="preserve">The Epilogue addresses two main topics. The first is </w:t>
      </w:r>
      <w:r w:rsidRPr="00A75983">
        <w:rPr>
          <w:rFonts w:ascii="Times New Roman" w:hAnsi="Times New Roman" w:cs="Times New Roman"/>
        </w:rPr>
        <w:t>an objection to the effect that I have implausibly divided the mental into three different territories. A better theory, it is alleged, would give a more unified account, plausibly by regarding all aspects of the mental as representational.</w:t>
      </w:r>
    </w:p>
    <w:p w:rsidR="00A75983" w:rsidRPr="00A75983" w:rsidRDefault="00A75983" w:rsidP="00A75983">
      <w:pPr>
        <w:rPr>
          <w:rFonts w:ascii="Times New Roman" w:hAnsi="Times New Roman" w:cs="Times New Roman"/>
        </w:rPr>
      </w:pPr>
    </w:p>
    <w:p w:rsidR="00A75983" w:rsidRPr="00A75983" w:rsidRDefault="00A75983" w:rsidP="00A75983">
      <w:pPr>
        <w:rPr>
          <w:rFonts w:ascii="Times New Roman" w:hAnsi="Times New Roman" w:cs="Times New Roman"/>
        </w:rPr>
      </w:pPr>
      <w:r w:rsidRPr="00A75983">
        <w:rPr>
          <w:rFonts w:ascii="Times New Roman" w:hAnsi="Times New Roman" w:cs="Times New Roman"/>
        </w:rPr>
        <w:t xml:space="preserve">My response to the specific alternative (i.e., representationalism) has been given at the beginning and at the end of the book, i.e., in </w:t>
      </w:r>
      <w:proofErr w:type="spellStart"/>
      <w:r w:rsidRPr="00A75983">
        <w:rPr>
          <w:rFonts w:ascii="Times New Roman" w:hAnsi="Times New Roman" w:cs="Times New Roman"/>
        </w:rPr>
        <w:t>Chs</w:t>
      </w:r>
      <w:proofErr w:type="spellEnd"/>
      <w:r w:rsidRPr="00A75983">
        <w:rPr>
          <w:rFonts w:ascii="Times New Roman" w:hAnsi="Times New Roman" w:cs="Times New Roman"/>
        </w:rPr>
        <w:t xml:space="preserve">. 1 and 9, which offer reasons why representationalism is a bad theory of sensations and a bad theory of valence, respectively. My response to the general recommendation for a more unified view is that a proper account of the mental need not hold that all its aspects are of the same kind. An account is sufficiently integrated if distinctive aspects are adequately described and can stand in a coherent set of relations. I believe that readers of </w:t>
      </w:r>
      <w:r w:rsidRPr="00A75983">
        <w:rPr>
          <w:rFonts w:ascii="Times New Roman" w:hAnsi="Times New Roman" w:cs="Times New Roman"/>
          <w:i/>
        </w:rPr>
        <w:t>Epiphenomenal Mind</w:t>
      </w:r>
      <w:r w:rsidRPr="00A75983">
        <w:rPr>
          <w:rFonts w:ascii="Times New Roman" w:hAnsi="Times New Roman" w:cs="Times New Roman"/>
        </w:rPr>
        <w:t xml:space="preserve"> will see that the differences among the aspects of mind that I discuss do not prevent them from living together in a coherent outlook.</w:t>
      </w:r>
    </w:p>
    <w:p w:rsidR="00A75983" w:rsidRPr="00A75983" w:rsidRDefault="00A75983" w:rsidP="00A75983">
      <w:pPr>
        <w:rPr>
          <w:rFonts w:ascii="Times New Roman" w:hAnsi="Times New Roman" w:cs="Times New Roman"/>
        </w:rPr>
      </w:pPr>
    </w:p>
    <w:p w:rsidR="00A75983" w:rsidRPr="00A75983" w:rsidRDefault="00A75983" w:rsidP="00A75983">
      <w:pPr>
        <w:rPr>
          <w:rFonts w:ascii="Times New Roman" w:hAnsi="Times New Roman" w:cs="Times New Roman"/>
        </w:rPr>
      </w:pPr>
      <w:r w:rsidRPr="00A75983">
        <w:rPr>
          <w:rFonts w:ascii="Times New Roman" w:hAnsi="Times New Roman" w:cs="Times New Roman"/>
        </w:rPr>
        <w:t xml:space="preserve">It may, nonetheless, be objected that I have not given a reason why anyone should have gathered my three divisions under one concept. In response, I say that a fully adequate answer would require a history of the development of words such as “mind”, and I am not an historical linguist. However, there is a reason that I strongly suspect has a lot to do with the formation of our concept of mind. This is that all three of my divisions share a special relation to knowledge. To put the matter roughly, we do not find out about any of these matters by observation of the external world, and we are normally regarded as authoritative about such matters. We can, of course, lie about any of them. In the case of belief, we can find that we do not really know what we believe. Even so, however, declaring that one believes that </w:t>
      </w:r>
      <w:r w:rsidRPr="00A75983">
        <w:rPr>
          <w:rFonts w:ascii="Times New Roman" w:hAnsi="Times New Roman" w:cs="Times New Roman"/>
          <w:i/>
        </w:rPr>
        <w:t>p</w:t>
      </w:r>
      <w:r w:rsidRPr="00A75983">
        <w:rPr>
          <w:rFonts w:ascii="Times New Roman" w:hAnsi="Times New Roman" w:cs="Times New Roman"/>
        </w:rPr>
        <w:t xml:space="preserve"> is (one way of) behaving like a person who says “</w:t>
      </w:r>
      <w:r w:rsidRPr="00A75983">
        <w:rPr>
          <w:rFonts w:ascii="Times New Roman" w:hAnsi="Times New Roman" w:cs="Times New Roman"/>
          <w:i/>
        </w:rPr>
        <w:t>p</w:t>
      </w:r>
      <w:r w:rsidRPr="00A75983">
        <w:rPr>
          <w:rFonts w:ascii="Times New Roman" w:hAnsi="Times New Roman" w:cs="Times New Roman"/>
        </w:rPr>
        <w:t>”. So, even if we are deceived about ourselves, there remains a close connection between what we are disposed to say we believe and what we believe that is unlike our relation to most declarations of what we believe and what those beliefs are about.</w:t>
      </w:r>
    </w:p>
    <w:p w:rsidR="00A75983" w:rsidRPr="00A75983" w:rsidRDefault="00A75983" w:rsidP="00A75983">
      <w:pPr>
        <w:rPr>
          <w:rFonts w:ascii="Times New Roman" w:hAnsi="Times New Roman" w:cs="Times New Roman"/>
        </w:rPr>
      </w:pPr>
    </w:p>
    <w:p w:rsidR="00A75983" w:rsidRPr="00A75983" w:rsidRDefault="00A75983" w:rsidP="00A75983">
      <w:pPr>
        <w:rPr>
          <w:rFonts w:ascii="Times New Roman" w:hAnsi="Times New Roman" w:cs="Times New Roman"/>
        </w:rPr>
      </w:pPr>
      <w:r w:rsidRPr="00A75983">
        <w:rPr>
          <w:rFonts w:ascii="Times New Roman" w:hAnsi="Times New Roman" w:cs="Times New Roman"/>
        </w:rPr>
        <w:t>The second topic of the epilogue is a brief discussion of what an epiphenomenalist outlook means for our attitudes toward ourselves and others. One argument here is another aspect of the epiphenomenalist outlook; namely, that self-causation makes no sense. Another is that we must make, and continually bear in mind, a distinction that is somewhat difficult to keep in focus: namely, the distinction between responsibility for our actions (which we have) and responsibility for who we are when we do them (which, except in very special circumstances, we do not have). When we pay proper attention to this distinction, I argue, we will see that we are justified in praise, blame, reward and punishment for actions, but we should always have compassion for anyone who is in an unfortunate state.</w:t>
      </w:r>
    </w:p>
    <w:p w:rsidR="00A75983" w:rsidRPr="00A75983" w:rsidRDefault="00A75983">
      <w:pPr>
        <w:rPr>
          <w:rFonts w:ascii="Times New Roman" w:hAnsi="Times New Roman" w:cs="Times New Roman"/>
        </w:rPr>
      </w:pPr>
    </w:p>
    <w:p w:rsidR="00B873B6" w:rsidRPr="00A75983" w:rsidRDefault="00B873B6">
      <w:pPr>
        <w:rPr>
          <w:rFonts w:ascii="Times New Roman" w:hAnsi="Times New Roman" w:cs="Times New Roman"/>
        </w:rPr>
      </w:pPr>
    </w:p>
    <w:sectPr w:rsidR="00B873B6" w:rsidRPr="00A75983" w:rsidSect="00F71586">
      <w:footerReference w:type="even"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00349" w:rsidRDefault="00600349" w:rsidP="00F71586">
      <w:r>
        <w:separator/>
      </w:r>
    </w:p>
  </w:endnote>
  <w:endnote w:type="continuationSeparator" w:id="0">
    <w:p w:rsidR="00600349" w:rsidRDefault="00600349" w:rsidP="00F71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94906915"/>
      <w:docPartObj>
        <w:docPartGallery w:val="Page Numbers (Bottom of Page)"/>
        <w:docPartUnique/>
      </w:docPartObj>
    </w:sdtPr>
    <w:sdtContent>
      <w:p w:rsidR="00F71586" w:rsidRDefault="00F71586" w:rsidP="0039394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F71586" w:rsidRDefault="00F715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19141486"/>
      <w:docPartObj>
        <w:docPartGallery w:val="Page Numbers (Bottom of Page)"/>
        <w:docPartUnique/>
      </w:docPartObj>
    </w:sdtPr>
    <w:sdtContent>
      <w:p w:rsidR="00F71586" w:rsidRDefault="00F71586" w:rsidP="0039394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F71586" w:rsidRDefault="00F715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00349" w:rsidRDefault="00600349" w:rsidP="00F71586">
      <w:r>
        <w:separator/>
      </w:r>
    </w:p>
  </w:footnote>
  <w:footnote w:type="continuationSeparator" w:id="0">
    <w:p w:rsidR="00600349" w:rsidRDefault="00600349" w:rsidP="00F715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983"/>
    <w:rsid w:val="00070002"/>
    <w:rsid w:val="000946B3"/>
    <w:rsid w:val="003F5924"/>
    <w:rsid w:val="005E7066"/>
    <w:rsid w:val="00600349"/>
    <w:rsid w:val="00902F87"/>
    <w:rsid w:val="009071D2"/>
    <w:rsid w:val="00933E55"/>
    <w:rsid w:val="0097156E"/>
    <w:rsid w:val="00A75983"/>
    <w:rsid w:val="00B873B6"/>
    <w:rsid w:val="00B92918"/>
    <w:rsid w:val="00BB7602"/>
    <w:rsid w:val="00D56C24"/>
    <w:rsid w:val="00F53732"/>
    <w:rsid w:val="00F71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BC2529-8258-934A-B808-A9EDBBEF2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71586"/>
    <w:pPr>
      <w:tabs>
        <w:tab w:val="center" w:pos="4680"/>
        <w:tab w:val="right" w:pos="9360"/>
      </w:tabs>
    </w:pPr>
  </w:style>
  <w:style w:type="character" w:customStyle="1" w:styleId="FooterChar">
    <w:name w:val="Footer Char"/>
    <w:basedOn w:val="DefaultParagraphFont"/>
    <w:link w:val="Footer"/>
    <w:uiPriority w:val="99"/>
    <w:rsid w:val="00F71586"/>
  </w:style>
  <w:style w:type="character" w:styleId="PageNumber">
    <w:name w:val="page number"/>
    <w:basedOn w:val="DefaultParagraphFont"/>
    <w:uiPriority w:val="99"/>
    <w:semiHidden/>
    <w:unhideWhenUsed/>
    <w:rsid w:val="00F71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88130-4823-5742-A191-9CB4323BA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2932</Words>
  <Characters>16713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2022-12-05T02:58:00Z</dcterms:created>
  <dcterms:modified xsi:type="dcterms:W3CDTF">2022-12-05T02:58:00Z</dcterms:modified>
</cp:coreProperties>
</file>