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The Ethics of Human Challenge Trials Using Emerging SARS-CoV-2 Virus Variants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Authors: </w:t>
      </w:r>
      <w:r w:rsidDel="00000000" w:rsidR="00000000" w:rsidRPr="00000000">
        <w:rPr>
          <w:rFonts w:ascii="Times New Roman" w:cs="Times New Roman" w:eastAsia="Times New Roman" w:hAnsi="Times New Roman"/>
          <w:sz w:val="24"/>
          <w:szCs w:val="24"/>
          <w:rtl w:val="0"/>
        </w:rPr>
        <w:t xml:space="preserve">Abie Rohrig</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Nir Eyal</w:t>
      </w:r>
      <w:r w:rsidDel="00000000" w:rsidR="00000000" w:rsidRPr="00000000">
        <w:rPr>
          <w:rFonts w:ascii="Times New Roman" w:cs="Times New Roman" w:eastAsia="Times New Roman" w:hAnsi="Times New Roman"/>
          <w:sz w:val="24"/>
          <w:szCs w:val="24"/>
          <w:vertAlign w:val="superscript"/>
          <w:rtl w:val="0"/>
        </w:rPr>
        <w:t xml:space="preserve">2</w:t>
      </w:r>
    </w:p>
    <w:p w:rsidR="00000000" w:rsidDel="00000000" w:rsidP="00000000" w:rsidRDefault="00000000" w:rsidRPr="00000000" w14:paraId="00000004">
      <w:pPr>
        <w:spacing w:line="48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1Day Sooner, New York, USA</w:t>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Center for Population-Level Bioethics, Rutgers University, New Brunswick, New Jersey, USA</w:t>
      </w:r>
    </w:p>
    <w:p w:rsidR="00000000" w:rsidDel="00000000" w:rsidP="00000000" w:rsidRDefault="00000000" w:rsidRPr="00000000" w14:paraId="00000006">
      <w:pPr>
        <w:spacing w:line="480" w:lineRule="auto"/>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Corresponding author</w:t>
      </w:r>
      <w:r w:rsidDel="00000000" w:rsidR="00000000" w:rsidRPr="00000000">
        <w:rPr>
          <w:rFonts w:ascii="Times New Roman" w:cs="Times New Roman" w:eastAsia="Times New Roman" w:hAnsi="Times New Roman"/>
          <w:color w:val="2a2a2a"/>
          <w:sz w:val="24"/>
          <w:szCs w:val="24"/>
          <w:rtl w:val="0"/>
        </w:rPr>
        <w:t xml:space="preserve">: Abie Rohrig, </w:t>
      </w:r>
      <w:hyperlink r:id="rId7">
        <w:r w:rsidDel="00000000" w:rsidR="00000000" w:rsidRPr="00000000">
          <w:rPr>
            <w:rFonts w:ascii="Times New Roman" w:cs="Times New Roman" w:eastAsia="Times New Roman" w:hAnsi="Times New Roman"/>
            <w:color w:val="1155cc"/>
            <w:sz w:val="24"/>
            <w:szCs w:val="24"/>
            <w:u w:val="single"/>
            <w:rtl w:val="0"/>
          </w:rPr>
          <w:t xml:space="preserve">abie@1daysooner.org</w:t>
        </w:r>
      </w:hyperlink>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color w:val="2a2a2a"/>
          <w:sz w:val="24"/>
          <w:szCs w:val="24"/>
          <w:rtl w:val="0"/>
        </w:rPr>
        <w:t xml:space="preserve">Summary of main points: </w:t>
      </w:r>
      <w:r w:rsidDel="00000000" w:rsidR="00000000" w:rsidRPr="00000000">
        <w:rPr>
          <w:rFonts w:ascii="Times New Roman" w:cs="Times New Roman" w:eastAsia="Times New Roman" w:hAnsi="Times New Roman"/>
          <w:color w:val="2a2a2a"/>
          <w:sz w:val="24"/>
          <w:szCs w:val="24"/>
          <w:rtl w:val="0"/>
        </w:rPr>
        <w:t xml:space="preserve">Researchers are preparing for human challenge trials with emerging SARS-CoV-2 variants. We argue that these trials can be conducted ethically.</w:t>
      </w: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Style w:val="Heading1"/>
        <w:spacing w:line="480" w:lineRule="auto"/>
        <w:rPr>
          <w:rFonts w:ascii="Times New Roman" w:cs="Times New Roman" w:eastAsia="Times New Roman" w:hAnsi="Times New Roman"/>
          <w:b w:val="1"/>
        </w:rPr>
      </w:pPr>
      <w:bookmarkStart w:colFirst="0" w:colLast="0" w:name="_heading=h.3xpitdfilfcj" w:id="0"/>
      <w:bookmarkEnd w:id="0"/>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spacing w:line="480" w:lineRule="auto"/>
        <w:rPr>
          <w:rFonts w:ascii="Times New Roman" w:cs="Times New Roman" w:eastAsia="Times New Roman" w:hAnsi="Times New Roman"/>
          <w:b w:val="1"/>
        </w:rPr>
      </w:pPr>
      <w:bookmarkStart w:colFirst="0" w:colLast="0" w:name="_heading=h.spto4uw1zb8h" w:id="1"/>
      <w:bookmarkEnd w:id="1"/>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19">
      <w:pPr>
        <w:widowControl w:val="0"/>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The world’s first COVID-19 human challenge trial using the D614G strain of SARS-CoV-2 is underway in the United Kingdom. The Wellcome Trust is funding challenge stock preparation of the Beta variant (B.1.351) for a follow-up human challenge trial, and researchers at Imperial College London are considering conducting that trial. However, little has been written thus far about the ethical justifiability of human challenge trials with SARS-CoV-2 variants of concern. While vaccine resistance </w:t>
      </w:r>
      <w:r w:rsidDel="00000000" w:rsidR="00000000" w:rsidRPr="00000000">
        <w:rPr>
          <w:rFonts w:ascii="Times New Roman" w:cs="Times New Roman" w:eastAsia="Times New Roman" w:hAnsi="Times New Roman"/>
          <w:i w:val="1"/>
          <w:sz w:val="24"/>
          <w:szCs w:val="24"/>
          <w:rtl w:val="0"/>
        </w:rPr>
        <w:t xml:space="preserve">as such </w:t>
      </w:r>
      <w:r w:rsidDel="00000000" w:rsidR="00000000" w:rsidRPr="00000000">
        <w:rPr>
          <w:rFonts w:ascii="Times New Roman" w:cs="Times New Roman" w:eastAsia="Times New Roman" w:hAnsi="Times New Roman"/>
          <w:sz w:val="24"/>
          <w:szCs w:val="24"/>
          <w:rtl w:val="0"/>
        </w:rPr>
        <w:t xml:space="preserve">does not increase risks for volunteers in COVID-19 challenge trials, we explore two specific characteristics of some variants that may initially be thought to make such trials unethical and conclude that SARS-CoV-2 variant challenge trials can remain ethical. </w:t>
      </w:r>
      <w:r w:rsidDel="00000000" w:rsidR="00000000" w:rsidRPr="00000000">
        <w:rPr>
          <w:rtl w:val="0"/>
        </w:rPr>
      </w:r>
    </w:p>
    <w:p w:rsidR="00000000" w:rsidDel="00000000" w:rsidP="00000000" w:rsidRDefault="00000000" w:rsidRPr="00000000" w14:paraId="0000001A">
      <w:pPr>
        <w:pStyle w:val="Heading1"/>
        <w:spacing w:line="480" w:lineRule="auto"/>
        <w:rPr>
          <w:rFonts w:ascii="Times New Roman" w:cs="Times New Roman" w:eastAsia="Times New Roman" w:hAnsi="Times New Roman"/>
          <w:b w:val="1"/>
        </w:rPr>
      </w:pPr>
      <w:bookmarkStart w:colFirst="0" w:colLast="0" w:name="_heading=h.213u951bbwyt" w:id="2"/>
      <w:bookmarkEnd w:id="2"/>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spacing w:line="480" w:lineRule="auto"/>
        <w:rPr>
          <w:rFonts w:ascii="Times New Roman" w:cs="Times New Roman" w:eastAsia="Times New Roman" w:hAnsi="Times New Roman"/>
          <w:b w:val="1"/>
        </w:rPr>
      </w:pPr>
      <w:bookmarkStart w:colFirst="0" w:colLast="0" w:name="_heading=h.8tieboyw5tcz" w:id="3"/>
      <w:bookmarkEnd w:id="3"/>
      <w:r w:rsidDel="00000000" w:rsidR="00000000" w:rsidRPr="00000000">
        <w:rPr>
          <w:rFonts w:ascii="Times New Roman" w:cs="Times New Roman" w:eastAsia="Times New Roman" w:hAnsi="Times New Roman"/>
          <w:b w:val="1"/>
          <w:rtl w:val="0"/>
        </w:rPr>
        <w:t xml:space="preserve">Background</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authorization of several highly effective vaccines has significantly reduced cases of COVID-19 in some countries, virus variants that may evade authorized vaccines threaten to reverse progress [1]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Beta and Delta variants are of particular concern. While the CDC [2] reports that “currently authorized mRNA COVID-19 vaccines (Pfizer-BioNTech and Moderna) provide protection against ... [the Beta variant],”</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other vaccines which represent the majority of the pre-purchased COVID-19 vaccine doses [3], as well as doses ordered by COVAX [4], show reduced efficacy against this variant.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Interim analysis of Janssen’s Phase III trial found that vaccine efficacy in South Africa was reduced to 57% </w:t>
      </w:r>
      <w:r w:rsidDel="00000000" w:rsidR="00000000" w:rsidRPr="00000000">
        <w:rPr>
          <w:rFonts w:ascii="Times New Roman" w:cs="Times New Roman" w:eastAsia="Times New Roman" w:hAnsi="Times New Roman"/>
          <w:sz w:val="24"/>
          <w:szCs w:val="24"/>
          <w:rtl w:val="0"/>
        </w:rPr>
        <w:t xml:space="preserve">post-vaccinatio</w:t>
      </w:r>
      <w:r w:rsidDel="00000000" w:rsidR="00000000" w:rsidRPr="00000000">
        <w:rPr>
          <w:rFonts w:ascii="Times New Roman" w:cs="Times New Roman" w:eastAsia="Times New Roman" w:hAnsi="Times New Roman"/>
          <w:sz w:val="24"/>
          <w:szCs w:val="24"/>
          <w:rtl w:val="0"/>
        </w:rPr>
        <w:t xml:space="preserve">n [5]. A Phase IIb trial from Novavax found that their vaccine efficacy against the Beta variant was just 49% [6]. An AstraZeneca study [7] of 2,000 people in South Africa found that “vaccine efficacy against this variant, analyzed as a secondary end point, was 10.4%.” This is particularly worrisome, since the AstraZeneca vaccine is the most widely purchased in the world. The African Union has already bought 500,000,000 doses, and South Africa, where the Beta variant is dominant, has had to sell their entire portfolio [8].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 warns that the Delta variant is becoming the dominant strain of SARS-CoV-2 worldwide due to its increased transmissibility [9]. While the Pfizer vaccine remains highly protective against the Delta variant [10], a recent UK analysis found that a single vaccine dose is 35% less effective against the Delta variant than the Alpha va</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rtl w:val="0"/>
        </w:rPr>
        <w:t xml:space="preserve">iant [11].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FDA recognizes that the emergence of vaccine-resistant strains warrants immediate preparation of strain-specific booster doses from all authorized vaccine candidates [12]. As a matter of basic preparation, this Perspective adds, the 3-4 month long process of developing challenge stock for all variants that may be vaccine resistant, including both the Delta and Gamma variants, should begin immediately. Commentators skeptical of approving any COVID challenge trial nonetheless proposed laying the groundwork for these trials immediately [13], and their proposal is especially sensible for variant challenges. Given the immense humanitarian benefits of authorizing vaccines that fight a pandemic just weeks or days earlier, the modest cost of viral preparation under Good Manufacturing Practices for human challenge trials is well worth the chance that the challenge stocks are never used. </w:t>
      </w:r>
    </w:p>
    <w:p w:rsidR="00000000" w:rsidDel="00000000" w:rsidP="00000000" w:rsidRDefault="00000000" w:rsidRPr="00000000" w14:paraId="00000025">
      <w:pPr>
        <w:pStyle w:val="Heading1"/>
        <w:spacing w:line="480" w:lineRule="auto"/>
        <w:rPr>
          <w:rFonts w:ascii="Times New Roman" w:cs="Times New Roman" w:eastAsia="Times New Roman" w:hAnsi="Times New Roman"/>
          <w:sz w:val="24"/>
          <w:szCs w:val="24"/>
        </w:rPr>
      </w:pPr>
      <w:bookmarkStart w:colFirst="0" w:colLast="0" w:name="_heading=h.xuso05pm3jtt" w:id="4"/>
      <w:bookmarkEnd w:id="4"/>
      <w:r w:rsidDel="00000000" w:rsidR="00000000" w:rsidRPr="00000000">
        <w:rPr>
          <w:rFonts w:ascii="Times New Roman" w:cs="Times New Roman" w:eastAsia="Times New Roman" w:hAnsi="Times New Roman"/>
          <w:b w:val="1"/>
          <w:rtl w:val="0"/>
        </w:rPr>
        <w:t xml:space="preserve">The limits of conventional studies for variant-specific vaccine boosters</w:t>
      </w: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Immunogenicity studies that demonstrate adequate levels of neutralizing antibodies against variants of concern may be indicative of booster efficacy, per regulatory guidance in the United States [12] and Europe [14]. However, these studies face two important limitations. First, while some data show that neutralizing antibodies are predictive of protection against SARS-CoV-2 infection [15], this may not be the case for the Beta variant and future variants markedly more resistant to neutralization [16]. Stronger data describing which immune responses correlate with protection against these variants would facilitate determining the efficacy of boosters by surrogate endpoint. Second, a disadvantage of relying solely on immunogenicity studies to infer booster efficacy is that no data can be gathered from them on viral shedding and viral activity in the upper respiratory tract [17], significantly narrowing information gathered on viral transmission post-vaccination.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Conventional clinical efficacy trials for boosters also face limitations. First, because efficacy studies require a critical mass of trial participants to encounter a specific strain of the virus, these trials may not produce efficacy results if a different strain predominates in the population during the trial. Second, the strain that predominates in the trial population cannot be reliably predicted in advance of actually conducting the lengthy trial. Third, subdued case rates may cause these trials to take many months, costing lives in the meantime. Fourth, vaccination from a placebo group in a large, non-isolated randomized controlled trial during an epidemic is ethically fraught [18]. </w:t>
      </w:r>
    </w:p>
    <w:p w:rsidR="00000000" w:rsidDel="00000000" w:rsidP="00000000" w:rsidRDefault="00000000" w:rsidRPr="00000000" w14:paraId="00000029">
      <w:pPr>
        <w:pStyle w:val="Heading1"/>
        <w:spacing w:line="480" w:lineRule="auto"/>
        <w:rPr>
          <w:rFonts w:ascii="Times New Roman" w:cs="Times New Roman" w:eastAsia="Times New Roman" w:hAnsi="Times New Roman"/>
          <w:sz w:val="24"/>
          <w:szCs w:val="24"/>
        </w:rPr>
      </w:pPr>
      <w:bookmarkStart w:colFirst="0" w:colLast="0" w:name="_heading=h.30j0zll" w:id="5"/>
      <w:bookmarkEnd w:id="5"/>
      <w:r w:rsidDel="00000000" w:rsidR="00000000" w:rsidRPr="00000000">
        <w:rPr>
          <w:rFonts w:ascii="Times New Roman" w:cs="Times New Roman" w:eastAsia="Times New Roman" w:hAnsi="Times New Roman"/>
          <w:b w:val="1"/>
          <w:rtl w:val="0"/>
        </w:rPr>
        <w:t xml:space="preserve">The role of human challenge trials with SARS-CoV-2 variants</w:t>
      </w: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UK Medicines &amp; Healthcare products Regulatory Agency (MHRA) and the European Medical Authority (EMA) have both stated that human challenge trials can deliver important evidence about the effect of updated vaccine candidates on variants of concern [17, 19]. The Wellcome Trust has begun funding preparation of the Beta variant challenge stock for a variant challenge model [20], and researchers at Imperial College London are considering conducting a Beta variant challenge trial [21]. Notably, the vaccine resistance of a given variant does not imply that it is more virulent or transmissible, and therefore vaccine resistance </w:t>
      </w:r>
      <w:r w:rsidDel="00000000" w:rsidR="00000000" w:rsidRPr="00000000">
        <w:rPr>
          <w:rFonts w:ascii="Times New Roman" w:cs="Times New Roman" w:eastAsia="Times New Roman" w:hAnsi="Times New Roman"/>
          <w:i w:val="1"/>
          <w:sz w:val="24"/>
          <w:szCs w:val="24"/>
          <w:rtl w:val="0"/>
        </w:rPr>
        <w:t xml:space="preserve">as such </w:t>
      </w:r>
      <w:r w:rsidDel="00000000" w:rsidR="00000000" w:rsidRPr="00000000">
        <w:rPr>
          <w:rFonts w:ascii="Times New Roman" w:cs="Times New Roman" w:eastAsia="Times New Roman" w:hAnsi="Times New Roman"/>
          <w:sz w:val="24"/>
          <w:szCs w:val="24"/>
          <w:rtl w:val="0"/>
        </w:rPr>
        <w:t xml:space="preserve">does not increase risk for challenge volunteers when compared to ongoing characterization studies, in which volunteers are exposed to the challenge agent without first receiving a vaccine. Later, we dedicate a specific discussion to the greater virulence and transmissibility of relevant variants that may be used in challenge trials, and argue that these trials can remain ethical.</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trials can assist in discerning a </w:t>
      </w:r>
      <w:r w:rsidDel="00000000" w:rsidR="00000000" w:rsidRPr="00000000">
        <w:rPr>
          <w:rFonts w:ascii="Times New Roman" w:cs="Times New Roman" w:eastAsia="Times New Roman" w:hAnsi="Times New Roman"/>
          <w:sz w:val="24"/>
          <w:szCs w:val="24"/>
          <w:rtl w:val="0"/>
        </w:rPr>
        <w:t xml:space="preserve">correlate</w:t>
      </w:r>
      <w:r w:rsidDel="00000000" w:rsidR="00000000" w:rsidRPr="00000000">
        <w:rPr>
          <w:rFonts w:ascii="Times New Roman" w:cs="Times New Roman" w:eastAsia="Times New Roman" w:hAnsi="Times New Roman"/>
          <w:sz w:val="24"/>
          <w:szCs w:val="24"/>
          <w:rtl w:val="0"/>
        </w:rPr>
        <w:t xml:space="preserve"> of protection against different variants of SARS-CoV-2 by investigating the relationship between neutralizing antibody titers presumably caused by efficacious vaccination and a variant challenge [22, 23]. The more evidence that is gathered to establish a robust correlate, the more likely it is that boosters for vaccines can be authorized by surrogate endpoint, accelerating the path to market for boosters that are in early stages of development. Challenge trials could also be used to determine the extent to which subjects who were infected with earlier strains of SARS-CoV-2 can be reinfected with newer variants. </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broadly, challenge trials could offer unprecedented detail regarding viral kinetics and the immune response to variants such as the Beta strain. To quote the UK MHRA guidance on challenge studies for SARS-CoV-2 variants [</w:t>
      </w: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b0c0c"/>
          <w:sz w:val="24"/>
          <w:szCs w:val="24"/>
          <w:highlight w:val="white"/>
          <w:rtl w:val="0"/>
        </w:rPr>
        <w:t xml:space="preserve">human challenge studies have the advantage that the course of developing immunity, viral shedding, local suppression of SARS-CoV-2 shedding in the upper respiratory tract and other parameters can be measured in a controlled setting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i w:val="1"/>
          <w:color w:val="0b0c0c"/>
          <w:sz w:val="24"/>
          <w:szCs w:val="24"/>
          <w:highlight w:val="white"/>
        </w:rPr>
      </w:pPr>
      <w:r w:rsidDel="00000000" w:rsidR="00000000" w:rsidRPr="00000000">
        <w:rPr>
          <w:rFonts w:ascii="Times New Roman" w:cs="Times New Roman" w:eastAsia="Times New Roman" w:hAnsi="Times New Roman"/>
          <w:sz w:val="24"/>
          <w:szCs w:val="24"/>
          <w:rtl w:val="0"/>
        </w:rPr>
        <w:t xml:space="preserve">Once a variant challenge stock is prepared, vaccine efficacy in terms of curbing infection and infectiousness can be tested more rapidly in a challenge trial than a field trial. Su et al. have outlined a plan to assess the efficacy of authorized and updated vaccines against SARS-CoV-2 variants [24]. If unvaccinated volunteers are needed for such a trial but are difficult to find in the UK, trialists can open recruitment from other countries with lower vaccination rates. </w:t>
      </w: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 human challenge studies could provide data on variant boosters’ efficacy in curbing infection rates, accelerate the discernment of a correlate of protection against virus variants, and advance our understanding of variant pathogenesis.</w:t>
      </w:r>
    </w:p>
    <w:p w:rsidR="00000000" w:rsidDel="00000000" w:rsidP="00000000" w:rsidRDefault="00000000" w:rsidRPr="00000000" w14:paraId="00000033">
      <w:pPr>
        <w:pStyle w:val="Heading1"/>
        <w:spacing w:line="480" w:lineRule="auto"/>
        <w:rPr>
          <w:rFonts w:ascii="Times New Roman" w:cs="Times New Roman" w:eastAsia="Times New Roman" w:hAnsi="Times New Roman"/>
          <w:i w:val="1"/>
          <w:sz w:val="24"/>
          <w:szCs w:val="24"/>
        </w:rPr>
      </w:pPr>
      <w:bookmarkStart w:colFirst="0" w:colLast="0" w:name="_heading=h.1fob9te" w:id="6"/>
      <w:bookmarkEnd w:id="6"/>
      <w:r w:rsidDel="00000000" w:rsidR="00000000" w:rsidRPr="00000000">
        <w:rPr>
          <w:rFonts w:ascii="Times New Roman" w:cs="Times New Roman" w:eastAsia="Times New Roman" w:hAnsi="Times New Roman"/>
          <w:b w:val="1"/>
          <w:rtl w:val="0"/>
        </w:rPr>
        <w:t xml:space="preserve">Human challenge trials against SARS-CoV-2 variants can remain ethical </w:t>
      </w:r>
      <w:r w:rsidDel="00000000" w:rsidR="00000000" w:rsidRPr="00000000">
        <w:rPr>
          <w:rtl w:val="0"/>
        </w:rPr>
      </w:r>
    </w:p>
    <w:p w:rsidR="00000000" w:rsidDel="00000000" w:rsidP="00000000" w:rsidRDefault="00000000" w:rsidRPr="00000000" w14:paraId="0000003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challenge trials involving variants that evade authorized vaccine protection such as the Beta variant could have momentous global public health value, yet little is written about their specific ethics.</w:t>
      </w:r>
    </w:p>
    <w:p w:rsidR="00000000" w:rsidDel="00000000" w:rsidP="00000000" w:rsidRDefault="00000000" w:rsidRPr="00000000" w14:paraId="00000035">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ethical justifiability of COVID-19 human challenge trials with the D614G mutation strain has been endorsed by the World Health Organization [25] and the UK MHRA [17]. As we have argued elsewhere, the risks to the young, healthy volunteers in COVID-19 human challenge trials are far lower than the medical risks of some commonly accepted living organ donations, and the expected global public health value of these trials is dramatically higher [26]. </w:t>
      </w:r>
    </w:p>
    <w:p w:rsidR="00000000" w:rsidDel="00000000" w:rsidP="00000000" w:rsidRDefault="00000000" w:rsidRPr="00000000" w14:paraId="00000037">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 human challenge trial with SARS-CoV-2 variants would raise unique ethical considerations. Here we explore two that may initially motivate opposition—some variants’ greater transmissibility and virulence— and argue that while the trials’ risk-reward ratio will depend on the exact strain and type of trial, some vaccine-resistant variant challenge trials can be ethically justified. </w:t>
      </w:r>
    </w:p>
    <w:p w:rsidR="00000000" w:rsidDel="00000000" w:rsidP="00000000" w:rsidRDefault="00000000" w:rsidRPr="00000000" w14:paraId="00000039">
      <w:pPr>
        <w:pStyle w:val="Heading2"/>
        <w:widowControl w:val="0"/>
        <w:spacing w:line="480" w:lineRule="auto"/>
        <w:rPr>
          <w:rFonts w:ascii="Times New Roman" w:cs="Times New Roman" w:eastAsia="Times New Roman" w:hAnsi="Times New Roman"/>
          <w:sz w:val="24"/>
          <w:szCs w:val="24"/>
        </w:rPr>
      </w:pPr>
      <w:bookmarkStart w:colFirst="0" w:colLast="0" w:name="_heading=h.3znysh7" w:id="7"/>
      <w:bookmarkEnd w:id="7"/>
      <w:r w:rsidDel="00000000" w:rsidR="00000000" w:rsidRPr="00000000">
        <w:rPr>
          <w:rFonts w:ascii="Times New Roman" w:cs="Times New Roman" w:eastAsia="Times New Roman" w:hAnsi="Times New Roman"/>
          <w:sz w:val="36"/>
          <w:szCs w:val="36"/>
          <w:rtl w:val="0"/>
        </w:rPr>
        <w:t xml:space="preserve">Transmissibility</w:t>
      </w:r>
      <w:r w:rsidDel="00000000" w:rsidR="00000000" w:rsidRPr="00000000">
        <w:rPr>
          <w:rtl w:val="0"/>
        </w:rPr>
      </w:r>
    </w:p>
    <w:p w:rsidR="00000000" w:rsidDel="00000000" w:rsidP="00000000" w:rsidRDefault="00000000" w:rsidRPr="00000000" w14:paraId="0000003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Alpha, Beta, and Delta variants appear around 50% more transmissible than the strain first identified in Wuhan [27]. However, increased transmissibility, as such, does not directly increase the risks to human challenge participants. What it may do is increase the social value of that challenge trial, which speeds the authorization of a vaccine or booster against a more transmissible and hence, for society, more dangerous, variant. </w:t>
      </w:r>
    </w:p>
    <w:p w:rsidR="00000000" w:rsidDel="00000000" w:rsidP="00000000" w:rsidRDefault="00000000" w:rsidRPr="00000000" w14:paraId="0000003B">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transmissibility does underline the importance of biosafe quarantine facilities to ensure that infected volunteers do not inadvertently cause community infection. The WHO Working Group has outlined specific standards for biosecure facilities to prevent such transmission [28], and those are already part of operations for challenge trials planned at Imperial College and Oxford University.</w:t>
      </w:r>
    </w:p>
    <w:p w:rsidR="00000000" w:rsidDel="00000000" w:rsidP="00000000" w:rsidRDefault="00000000" w:rsidRPr="00000000" w14:paraId="0000003D">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Style w:val="Heading2"/>
        <w:widowControl w:val="0"/>
        <w:spacing w:line="480" w:lineRule="auto"/>
        <w:rPr>
          <w:rFonts w:ascii="Times New Roman" w:cs="Times New Roman" w:eastAsia="Times New Roman" w:hAnsi="Times New Roman"/>
          <w:sz w:val="24"/>
          <w:szCs w:val="24"/>
        </w:rPr>
      </w:pPr>
      <w:bookmarkStart w:colFirst="0" w:colLast="0" w:name="_heading=h.2et92p0" w:id="8"/>
      <w:bookmarkEnd w:id="8"/>
      <w:r w:rsidDel="00000000" w:rsidR="00000000" w:rsidRPr="00000000">
        <w:rPr>
          <w:rFonts w:ascii="Times New Roman" w:cs="Times New Roman" w:eastAsia="Times New Roman" w:hAnsi="Times New Roman"/>
          <w:sz w:val="36"/>
          <w:szCs w:val="36"/>
          <w:rtl w:val="0"/>
        </w:rPr>
        <w:t xml:space="preserve">Virulence</w:t>
      </w: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Limited evidence suggests that the Beta variant is more lethal than the strain first identified in Wuhan [29]. However, a recent study of seven EU countries by Funk et al. found “3.5–3.6 times higher odds of hospitalisation for age groups 40–59” due to the Beta variant. Their analysis did not show increased risk of death from the Beta variant [30]. </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risks of a severe adverse events in a COVID-19 human challenge trial are already very low— Manheim et al. find that the risk of death for a trial participant is around </w:t>
      </w:r>
      <w:r w:rsidDel="00000000" w:rsidR="00000000" w:rsidRPr="00000000">
        <w:rPr>
          <w:rFonts w:ascii="Times New Roman" w:cs="Times New Roman" w:eastAsia="Times New Roman" w:hAnsi="Times New Roman"/>
          <w:color w:val="333333"/>
          <w:sz w:val="24"/>
          <w:szCs w:val="24"/>
          <w:highlight w:val="white"/>
          <w:rtl w:val="0"/>
        </w:rPr>
        <w:t xml:space="preserve">0.00025% [31] </w:t>
      </w:r>
      <w:r w:rsidDel="00000000" w:rsidR="00000000" w:rsidRPr="00000000">
        <w:rPr>
          <w:rFonts w:ascii="Times New Roman" w:cs="Times New Roman" w:eastAsia="Times New Roman" w:hAnsi="Times New Roman"/>
          <w:sz w:val="24"/>
          <w:szCs w:val="24"/>
          <w:rtl w:val="0"/>
        </w:rPr>
        <w:t xml:space="preserve">— a threefold increase in risks for a Beta variant challenge volunteer would remain far lower than common comparator risks like right liver lobe donation, which involves a 0.4% risk of death and a 1.1% risk of lasting disability [32]. The threefold greater risk for young healthy volunteers would also remain well within postulated upper bounds of risk in clinical trials, such as the 1% cap on risk of severe adverse events [33], a standard echoed by critics of challenge trials [34]. If challenge volunteers are vaccinated before the trial, risks will be reduced considerably. To reduce risks further, researchers can also use low-dosage challenge trials with virus variants [35]. </w:t>
      </w:r>
    </w:p>
    <w:p w:rsidR="00000000" w:rsidDel="00000000" w:rsidP="00000000" w:rsidRDefault="00000000" w:rsidRPr="00000000" w14:paraId="00000042">
      <w:pPr>
        <w:pStyle w:val="Heading1"/>
        <w:spacing w:line="480" w:lineRule="auto"/>
        <w:rPr>
          <w:rFonts w:ascii="Times New Roman" w:cs="Times New Roman" w:eastAsia="Times New Roman" w:hAnsi="Times New Roman"/>
          <w:b w:val="1"/>
        </w:rPr>
      </w:pPr>
      <w:bookmarkStart w:colFirst="0" w:colLast="0" w:name="_heading=h.3dy6vkm" w:id="9"/>
      <w:bookmarkEnd w:id="9"/>
      <w:r w:rsidDel="00000000" w:rsidR="00000000" w:rsidRPr="00000000">
        <w:rPr>
          <w:rFonts w:ascii="Times New Roman" w:cs="Times New Roman" w:eastAsia="Times New Roman" w:hAnsi="Times New Roman"/>
          <w:b w:val="1"/>
          <w:rtl w:val="0"/>
        </w:rPr>
        <w:t xml:space="preserve">Response to Objections</w:t>
      </w:r>
    </w:p>
    <w:p w:rsidR="00000000" w:rsidDel="00000000" w:rsidP="00000000" w:rsidRDefault="00000000" w:rsidRPr="00000000" w14:paraId="00000043">
      <w:pPr>
        <w:pStyle w:val="Heading2"/>
        <w:widowControl w:val="0"/>
        <w:spacing w:line="480" w:lineRule="auto"/>
        <w:rPr>
          <w:rFonts w:ascii="Times New Roman" w:cs="Times New Roman" w:eastAsia="Times New Roman" w:hAnsi="Times New Roman"/>
          <w:sz w:val="24"/>
          <w:szCs w:val="24"/>
        </w:rPr>
      </w:pPr>
      <w:bookmarkStart w:colFirst="0" w:colLast="0" w:name="_heading=h.1t3h5sf" w:id="10"/>
      <w:bookmarkEnd w:id="10"/>
      <w:r w:rsidDel="00000000" w:rsidR="00000000" w:rsidRPr="00000000">
        <w:rPr>
          <w:rFonts w:ascii="Times New Roman" w:cs="Times New Roman" w:eastAsia="Times New Roman" w:hAnsi="Times New Roman"/>
          <w:sz w:val="36"/>
          <w:szCs w:val="36"/>
          <w:rtl w:val="0"/>
        </w:rPr>
        <w:t xml:space="preserve">Objection 1: Variant challenge study data may become irrelevant should a further strain become dominant. </w:t>
      </w: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might seem that newer virus variants might rapidly overtake one another, reducing the usefulness of the data from challenge trials of formerly predominant variants. However, the risks of waiting so long that study data becomes irrelevant are </w:t>
      </w:r>
      <w:r w:rsidDel="00000000" w:rsidR="00000000" w:rsidRPr="00000000">
        <w:rPr>
          <w:rFonts w:ascii="Times New Roman" w:cs="Times New Roman" w:eastAsia="Times New Roman" w:hAnsi="Times New Roman"/>
          <w:i w:val="1"/>
          <w:sz w:val="24"/>
          <w:szCs w:val="24"/>
          <w:rtl w:val="0"/>
        </w:rPr>
        <w:t xml:space="preserve">greater </w:t>
      </w:r>
      <w:r w:rsidDel="00000000" w:rsidR="00000000" w:rsidRPr="00000000">
        <w:rPr>
          <w:rFonts w:ascii="Times New Roman" w:cs="Times New Roman" w:eastAsia="Times New Roman" w:hAnsi="Times New Roman"/>
          <w:sz w:val="24"/>
          <w:szCs w:val="24"/>
          <w:rtl w:val="0"/>
        </w:rPr>
        <w:t xml:space="preserve">in field studies than challenge studies. The reason is that field studies require a critical mass of trial participants to be exposed to a particular variant. Researchers should prepare challenge stock for each potentially vaccine-resistant strain expeditiously, given the reasonable cost of investment and the reasonable chance that one variant still predominates by the time the data of a challenge trial is reported.</w:t>
      </w:r>
    </w:p>
    <w:p w:rsidR="00000000" w:rsidDel="00000000" w:rsidP="00000000" w:rsidRDefault="00000000" w:rsidRPr="00000000" w14:paraId="00000045">
      <w:pPr>
        <w:pStyle w:val="Heading2"/>
        <w:spacing w:line="480" w:lineRule="auto"/>
        <w:rPr>
          <w:rFonts w:ascii="Times New Roman" w:cs="Times New Roman" w:eastAsia="Times New Roman" w:hAnsi="Times New Roman"/>
          <w:sz w:val="24"/>
          <w:szCs w:val="24"/>
        </w:rPr>
      </w:pPr>
      <w:bookmarkStart w:colFirst="0" w:colLast="0" w:name="_heading=h.4d34og8" w:id="11"/>
      <w:bookmarkEnd w:id="11"/>
      <w:r w:rsidDel="00000000" w:rsidR="00000000" w:rsidRPr="00000000">
        <w:rPr>
          <w:rFonts w:ascii="Times New Roman" w:cs="Times New Roman" w:eastAsia="Times New Roman" w:hAnsi="Times New Roman"/>
          <w:sz w:val="36"/>
          <w:szCs w:val="36"/>
          <w:rtl w:val="0"/>
        </w:rPr>
        <w:t xml:space="preserve">Objection 2: Challenge trials do not produce generalizable efficacy data because ethically, only young, healthy volunteers can participate. </w:t>
      </w: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objection to variant challenge trials is that the resultant data in young, healthy volunteers are unrepresentative of the broader population, which include those at higher risk of medical complications. However, it is not clear that to authorize a vaccine booster we need to verify all effects of a vaccine in all population groups [36].  Even if challenge trial data is insufficient for authorization on its own, the data can still be used in a fast-to-fail approach in which the most promising vaccines are selected for optimized investment. Most importantly, though, challenge trial data may be generalized by discerning the correlates of protection and conducting a rapid and safe immune bridging study in any population group of interest [37].</w:t>
      </w:r>
    </w:p>
    <w:p w:rsidR="00000000" w:rsidDel="00000000" w:rsidP="00000000" w:rsidRDefault="00000000" w:rsidRPr="00000000" w14:paraId="00000047">
      <w:pPr>
        <w:pStyle w:val="Heading2"/>
        <w:spacing w:line="480" w:lineRule="auto"/>
        <w:rPr>
          <w:rFonts w:ascii="Times New Roman" w:cs="Times New Roman" w:eastAsia="Times New Roman" w:hAnsi="Times New Roman"/>
          <w:sz w:val="24"/>
          <w:szCs w:val="24"/>
        </w:rPr>
      </w:pPr>
      <w:bookmarkStart w:colFirst="0" w:colLast="0" w:name="_heading=h.2s8eyo1" w:id="12"/>
      <w:bookmarkEnd w:id="12"/>
      <w:r w:rsidDel="00000000" w:rsidR="00000000" w:rsidRPr="00000000">
        <w:rPr>
          <w:rFonts w:ascii="Times New Roman" w:cs="Times New Roman" w:eastAsia="Times New Roman" w:hAnsi="Times New Roman"/>
          <w:sz w:val="36"/>
          <w:szCs w:val="36"/>
          <w:rtl w:val="0"/>
        </w:rPr>
        <w:t xml:space="preserve">Objection 3: Challenge trials with new variants can jeopardize public trust. </w:t>
      </w: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have argued that any COVID-19 human challenge trials would spread distrust in the research process and undermine vaccine confidence [38]. This risk may seem higher in variant challenges. However, the best available evidence on public perceptions on COVID-19 challenge trials and public trust— an international survey of nearly 6,000 respondents— found strong support for challenge testing across all demographic groups [39]. The UK, which is the only country to run COVID-19 challenge trials, has higher vaccine confidence than the US and the rest of Europe [40], and that confidence has not dropped since rival challenges were approved and launched. </w:t>
      </w:r>
    </w:p>
    <w:p w:rsidR="00000000" w:rsidDel="00000000" w:rsidP="00000000" w:rsidRDefault="00000000" w:rsidRPr="00000000" w14:paraId="00000049">
      <w:pPr>
        <w:pStyle w:val="Heading1"/>
        <w:spacing w:line="480" w:lineRule="auto"/>
        <w:rPr>
          <w:rFonts w:ascii="Times New Roman" w:cs="Times New Roman" w:eastAsia="Times New Roman" w:hAnsi="Times New Roman"/>
          <w:sz w:val="24"/>
          <w:szCs w:val="24"/>
        </w:rPr>
      </w:pPr>
      <w:bookmarkStart w:colFirst="0" w:colLast="0" w:name="_heading=h.3rdcrjn" w:id="13"/>
      <w:bookmarkEnd w:id="13"/>
      <w:r w:rsidDel="00000000" w:rsidR="00000000" w:rsidRPr="00000000">
        <w:rPr>
          <w:rFonts w:ascii="Times New Roman" w:cs="Times New Roman" w:eastAsia="Times New Roman" w:hAnsi="Times New Roman"/>
          <w:b w:val="1"/>
          <w:rtl w:val="0"/>
        </w:rPr>
        <w:t xml:space="preserve">Conclusion</w:t>
      </w: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Beta SARS-CoV-2 variant, and future vaccine-resistant virus variants, threaten to get us back to square one in the fight against the pandemic. Human challenge trials can accelerate the authorization of vaccine boosters and advance our understanding of these variants. While the risk-reward ratio of each trial will depend on the variant and study design, these trials can remain ethical, and researchers should begin preparations for them immediately. </w:t>
      </w: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spacing w:line="480" w:lineRule="auto"/>
        <w:rPr>
          <w:rFonts w:ascii="Times New Roman" w:cs="Times New Roman" w:eastAsia="Times New Roman" w:hAnsi="Times New Roman"/>
          <w:b w:val="1"/>
        </w:rPr>
      </w:pPr>
      <w:bookmarkStart w:colFirst="0" w:colLast="0" w:name="_heading=h.xp6pttz97lcs" w:id="14"/>
      <w:bookmarkEnd w:id="14"/>
      <w:r w:rsidDel="00000000" w:rsidR="00000000" w:rsidRPr="00000000">
        <w:rPr>
          <w:rFonts w:ascii="Times New Roman" w:cs="Times New Roman" w:eastAsia="Times New Roman" w:hAnsi="Times New Roman"/>
          <w:b w:val="1"/>
          <w:rtl w:val="0"/>
        </w:rPr>
        <w:t xml:space="preserve">Notes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Acknowledgements: </w:t>
      </w:r>
      <w:r w:rsidDel="00000000" w:rsidR="00000000" w:rsidRPr="00000000">
        <w:rPr>
          <w:rFonts w:ascii="Times New Roman" w:cs="Times New Roman" w:eastAsia="Times New Roman" w:hAnsi="Times New Roman"/>
          <w:sz w:val="24"/>
          <w:szCs w:val="24"/>
          <w:rtl w:val="0"/>
        </w:rPr>
        <w:t xml:space="preserve">The authors are grateful to Ginny Schmitt, Randall Kincaid, Garth Rapaport, and Josh Morrison for their insights and feedback on this paper. Being mentioned does not imply any endorsement of our work. </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Financial Support: </w:t>
      </w:r>
      <w:r w:rsidDel="00000000" w:rsidR="00000000" w:rsidRPr="00000000">
        <w:rPr>
          <w:rFonts w:ascii="Times New Roman" w:cs="Times New Roman" w:eastAsia="Times New Roman" w:hAnsi="Times New Roman"/>
          <w:sz w:val="24"/>
          <w:szCs w:val="24"/>
          <w:rtl w:val="0"/>
        </w:rPr>
        <w:t xml:space="preserve">A.R.’s work on this article was supported by 1Day Sooner. </w:t>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Conflicts of interest: </w:t>
      </w:r>
      <w:r w:rsidDel="00000000" w:rsidR="00000000" w:rsidRPr="00000000">
        <w:rPr>
          <w:rFonts w:ascii="Times New Roman" w:cs="Times New Roman" w:eastAsia="Times New Roman" w:hAnsi="Times New Roman"/>
          <w:sz w:val="24"/>
          <w:szCs w:val="24"/>
          <w:highlight w:val="white"/>
          <w:rtl w:val="0"/>
        </w:rPr>
        <w:t xml:space="preserve">N.E. serves on the Board of Advisors of </w:t>
      </w:r>
      <w:r w:rsidDel="00000000" w:rsidR="00000000" w:rsidRPr="00000000">
        <w:rPr>
          <w:rFonts w:ascii="Times New Roman" w:cs="Times New Roman" w:eastAsia="Times New Roman" w:hAnsi="Times New Roman"/>
          <w:sz w:val="24"/>
          <w:szCs w:val="24"/>
          <w:highlight w:val="white"/>
          <w:rtl w:val="0"/>
        </w:rPr>
        <w:t xml:space="preserve">1Day Sooner</w:t>
      </w:r>
      <w:r w:rsidDel="00000000" w:rsidR="00000000" w:rsidRPr="00000000">
        <w:rPr>
          <w:rFonts w:ascii="Times New Roman" w:cs="Times New Roman" w:eastAsia="Times New Roman" w:hAnsi="Times New Roman"/>
          <w:sz w:val="24"/>
          <w:szCs w:val="24"/>
          <w:highlight w:val="white"/>
          <w:rtl w:val="0"/>
        </w:rPr>
        <w:t xml:space="preserve">, an unpaid position. A.R. reports affiliation with 1Day Sooner throughout the writing of the article. </w:t>
      </w: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40"/>
          <w:szCs w:val="40"/>
          <w:rtl w:val="0"/>
        </w:rPr>
        <w:t xml:space="preserve">Citations</w:t>
      </w:r>
      <w:r w:rsidDel="00000000" w:rsidR="00000000" w:rsidRPr="00000000">
        <w:rPr>
          <w:rtl w:val="0"/>
        </w:rPr>
      </w:r>
    </w:p>
    <w:p w:rsidR="00000000" w:rsidDel="00000000" w:rsidP="00000000" w:rsidRDefault="00000000" w:rsidRPr="00000000" w14:paraId="00000055">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Stein, Rob. “CDC Says Coronavirus Variants Could Reverse Recent Progress In Declining Numbers.” NPR, NPR, 26 Feb. 2021, www.npr.org/2021/02/26/971912599/cdc-says-coronavirus-variants-could-reverse-recent-progress-in-declining-numbers. </w:t>
      </w:r>
    </w:p>
    <w:p w:rsidR="00000000" w:rsidDel="00000000" w:rsidP="00000000" w:rsidRDefault="00000000" w:rsidRPr="00000000" w14:paraId="00000056">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Brief: Background Rationale and Evidence for Public Health Recommendations for Fully Vaccinated People.” Centers for Disease Control and Prevention, Centers for Disease Control and Prevention, www.cdc.gov/coronavirus/2019-ncov/science/science-briefs/fully-vaccinated-people.html. </w:t>
      </w:r>
    </w:p>
    <w:p w:rsidR="00000000" w:rsidDel="00000000" w:rsidP="00000000" w:rsidRDefault="00000000" w:rsidRPr="00000000" w14:paraId="00000057">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Mikulic, Matej. “COVID-19 Vaccine Doses Ordered by Manufacturer.” Statista, 14 Apr. 2021</w:t>
      </w:r>
    </w:p>
    <w:p w:rsidR="00000000" w:rsidDel="00000000" w:rsidP="00000000" w:rsidRDefault="00000000" w:rsidRPr="00000000" w14:paraId="00000058">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“Vaccine Procurement.” Launch and Scale Speedometer, launchandscalefaster.org/covid-19/vaccineprocurement. </w:t>
      </w:r>
    </w:p>
    <w:p w:rsidR="00000000" w:rsidDel="00000000" w:rsidP="00000000" w:rsidRDefault="00000000" w:rsidRPr="00000000" w14:paraId="00000059">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“Janssen Investigational COVID-19 Vaccine: Interim Analysis of Phase 3 Clinical Data Released.” National Institutes of Health, U.S. Department of Health and Human Services, 29 Jan. 2021, www.nih.gov/news-events/news-releases/janssen-investigational-covid-19-vaccine-interim-analysis-phase-3-clinical-data-released. </w:t>
      </w:r>
    </w:p>
    <w:p w:rsidR="00000000" w:rsidDel="00000000" w:rsidP="00000000" w:rsidRDefault="00000000" w:rsidRPr="00000000" w14:paraId="0000005A">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Madhi, Shabir A., et al. "Efficacy of the ChAdOx1 nCoV-19 Covid-19 vaccine against the B. 1.351 variant." New England Journal of Medicine (2021).</w:t>
      </w:r>
    </w:p>
    <w:p w:rsidR="00000000" w:rsidDel="00000000" w:rsidP="00000000" w:rsidRDefault="00000000" w:rsidRPr="00000000" w14:paraId="0000005B">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Shinde, Vivek, et al. "Efficacy of NVX-CoV2373 Covid-19 Vaccine against the B. 1.351 Variant." New England Journal of Medicine (2021).</w:t>
      </w:r>
    </w:p>
    <w:p w:rsidR="00000000" w:rsidDel="00000000" w:rsidP="00000000" w:rsidRDefault="00000000" w:rsidRPr="00000000" w14:paraId="0000005C">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Africa Sells AstraZeneca COVID-19 Vaccines to Other African Countries.” Reuters, Thomson Reuters, 21 Mar. 2021, www.reuters.com/article/us-health-coronavirus-safrica-vaccine-idUSKBN2BD0K4. </w:t>
      </w:r>
    </w:p>
    <w:p w:rsidR="00000000" w:rsidDel="00000000" w:rsidP="00000000" w:rsidRDefault="00000000" w:rsidRPr="00000000" w14:paraId="0000005D">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Lovelace, Berkeley. “WHO Says Delta Is Becoming the Dominant Covid Variant Globally.” </w:t>
      </w:r>
      <w:r w:rsidDel="00000000" w:rsidR="00000000" w:rsidRPr="00000000">
        <w:rPr>
          <w:rFonts w:ascii="Times New Roman" w:cs="Times New Roman" w:eastAsia="Times New Roman" w:hAnsi="Times New Roman"/>
          <w:i w:val="1"/>
          <w:sz w:val="24"/>
          <w:szCs w:val="24"/>
          <w:rtl w:val="0"/>
        </w:rPr>
        <w:t xml:space="preserve">CNBC</w:t>
      </w:r>
      <w:r w:rsidDel="00000000" w:rsidR="00000000" w:rsidRPr="00000000">
        <w:rPr>
          <w:rFonts w:ascii="Times New Roman" w:cs="Times New Roman" w:eastAsia="Times New Roman" w:hAnsi="Times New Roman"/>
          <w:sz w:val="24"/>
          <w:szCs w:val="24"/>
          <w:rtl w:val="0"/>
        </w:rPr>
        <w:t xml:space="preserve">, CNBC, 18 June 2021, www.cnbc.com/2021/06/18/who-says-delta-is-becoming-the-dominant-covid-variant-globally.html. </w:t>
      </w:r>
    </w:p>
    <w:p w:rsidR="00000000" w:rsidDel="00000000" w:rsidP="00000000" w:rsidRDefault="00000000" w:rsidRPr="00000000" w14:paraId="0000005E">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Diaz, Jaclyn. “Europe Watches With Worry As The Delta Variant Spreads Fast In The U.K. And Lisbon.” </w:t>
      </w:r>
      <w:r w:rsidDel="00000000" w:rsidR="00000000" w:rsidRPr="00000000">
        <w:rPr>
          <w:rFonts w:ascii="Times New Roman" w:cs="Times New Roman" w:eastAsia="Times New Roman" w:hAnsi="Times New Roman"/>
          <w:i w:val="1"/>
          <w:sz w:val="24"/>
          <w:szCs w:val="24"/>
          <w:rtl w:val="0"/>
        </w:rPr>
        <w:t xml:space="preserve">NPR</w:t>
      </w:r>
      <w:r w:rsidDel="00000000" w:rsidR="00000000" w:rsidRPr="00000000">
        <w:rPr>
          <w:rFonts w:ascii="Times New Roman" w:cs="Times New Roman" w:eastAsia="Times New Roman" w:hAnsi="Times New Roman"/>
          <w:sz w:val="24"/>
          <w:szCs w:val="24"/>
          <w:rtl w:val="0"/>
        </w:rPr>
        <w:t xml:space="preserve">, NPR, 21 June 2021, www.npr.org/2021/06/21/1008634467/europe-watches-with-worry-as-delta-variant-spreads-fast-in-the-u-k-and-lisbon</w:t>
      </w:r>
    </w:p>
    <w:p w:rsidR="00000000" w:rsidDel="00000000" w:rsidP="00000000" w:rsidRDefault="00000000" w:rsidRPr="00000000" w14:paraId="0000005F">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Danner, Chas, and Paola Rosa-Aquino. “What We Know About the Dangerous COVID B.1.617.2 Delta Variant.” </w:t>
      </w:r>
      <w:r w:rsidDel="00000000" w:rsidR="00000000" w:rsidRPr="00000000">
        <w:rPr>
          <w:rFonts w:ascii="Times New Roman" w:cs="Times New Roman" w:eastAsia="Times New Roman" w:hAnsi="Times New Roman"/>
          <w:i w:val="1"/>
          <w:sz w:val="24"/>
          <w:szCs w:val="24"/>
          <w:rtl w:val="0"/>
        </w:rPr>
        <w:t xml:space="preserve">Intelligencer</w:t>
      </w:r>
      <w:r w:rsidDel="00000000" w:rsidR="00000000" w:rsidRPr="00000000">
        <w:rPr>
          <w:rFonts w:ascii="Times New Roman" w:cs="Times New Roman" w:eastAsia="Times New Roman" w:hAnsi="Times New Roman"/>
          <w:sz w:val="24"/>
          <w:szCs w:val="24"/>
          <w:rtl w:val="0"/>
        </w:rPr>
        <w:t xml:space="preserve">, Intelligencer, 22 June 2021, nymag.com/intelligencer/2021/06/covid-b-1-617-2-delta-variant-what-we-know.html.</w:t>
      </w:r>
    </w:p>
    <w:p w:rsidR="00000000" w:rsidDel="00000000" w:rsidP="00000000" w:rsidRDefault="00000000" w:rsidRPr="00000000" w14:paraId="00000060">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Use Authorization for Vaccines to Prevent COVID-19: Guidance for Industry.” 25, May 2021, FDA,</w:t>
      </w:r>
      <w:hyperlink r:id="rId8">
        <w:r w:rsidDel="00000000" w:rsidR="00000000" w:rsidRPr="00000000">
          <w:rPr>
            <w:rFonts w:ascii="Times New Roman" w:cs="Times New Roman" w:eastAsia="Times New Roman" w:hAnsi="Times New Roman"/>
            <w:sz w:val="24"/>
            <w:szCs w:val="24"/>
            <w:rtl w:val="0"/>
          </w:rPr>
          <w:t xml:space="preserve"> https://www.fda.gov/media/142749/download</w:t>
        </w:r>
      </w:hyperlink>
      <w:r w:rsidDel="00000000" w:rsidR="00000000" w:rsidRPr="00000000">
        <w:rPr>
          <w:rtl w:val="0"/>
        </w:rPr>
      </w:r>
    </w:p>
    <w:p w:rsidR="00000000" w:rsidDel="00000000" w:rsidP="00000000" w:rsidRDefault="00000000" w:rsidRPr="00000000" w14:paraId="00000061">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Shah, Seema K., et al. “Before Deliberately Infecting People With Coronavirus, Be Sure It's Worth It.” The New York Times, The New York Times, 2 June 2020, www.nytimes.com/2020/06/02/opinion/coronavirus-vaccine-challenge-trials.html. </w:t>
      </w:r>
    </w:p>
    <w:p w:rsidR="00000000" w:rsidDel="00000000" w:rsidP="00000000" w:rsidRDefault="00000000" w:rsidRPr="00000000" w14:paraId="00000062">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Paper on the Regulatory Requirements for ... www.ema.europa.eu/en/documents/scientific-guideline/reflection-paper-regulatory-requirements-vaccines-intended-provide-protection-against-variant_en.pdf. </w:t>
      </w:r>
    </w:p>
    <w:p w:rsidR="00000000" w:rsidDel="00000000" w:rsidP="00000000" w:rsidRDefault="00000000" w:rsidRPr="00000000" w14:paraId="00000063">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Khoury, David S., et al. "Neutralizing antibody levels are highly predictive of immune protection from symptomatic SARS-CoV-2 infection." Nature Medicine (2021): 1-7.</w:t>
      </w:r>
    </w:p>
    <w:p w:rsidR="00000000" w:rsidDel="00000000" w:rsidP="00000000" w:rsidRDefault="00000000" w:rsidRPr="00000000" w14:paraId="00000064">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 Pengfei, et al. "Antibody resistance of SARS-CoV-2 variants B. 1.351 and B. 1.1. 7." Nature 593.7857 (2021): 130-135.</w:t>
      </w:r>
    </w:p>
    <w:p w:rsidR="00000000" w:rsidDel="00000000" w:rsidP="00000000" w:rsidRDefault="00000000" w:rsidRPr="00000000" w14:paraId="00000065">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on Strain Changes in Authorised COVID-19 Vaccines.” GOV.UK, www.gov.uk/government/publications/access-consortium-guidance-on-strain-changes-in-authorised-covid-19-vaccines/guidance-on-strain-changes-in-authorised-covid-19-vaccines. </w:t>
      </w:r>
    </w:p>
    <w:p w:rsidR="00000000" w:rsidDel="00000000" w:rsidP="00000000" w:rsidRDefault="00000000" w:rsidRPr="00000000" w14:paraId="00000066">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Dal-Ré, Rafael, Walter Orenstein, and Arthur L. Caplan. "Being fair to participants in placebo-controlled COVID-19 vaccine trials." Nature Medicine (2021): 1-1.</w:t>
      </w:r>
    </w:p>
    <w:p w:rsidR="00000000" w:rsidDel="00000000" w:rsidP="00000000" w:rsidRDefault="00000000" w:rsidRPr="00000000" w14:paraId="00000067">
      <w:pPr>
        <w:numPr>
          <w:ilvl w:val="0"/>
          <w:numId w:val="1"/>
        </w:numPr>
        <w:shd w:fill="ffffff" w:val="clear"/>
        <w:spacing w:line="480" w:lineRule="auto"/>
        <w:ind w:left="45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Vandeputte, Joris, et al. "IABS/CEPI platform technology webinar: Is it possible to reduce the vaccine development time?." Biologicals (2021).</w:t>
      </w:r>
    </w:p>
    <w:p w:rsidR="00000000" w:rsidDel="00000000" w:rsidP="00000000" w:rsidRDefault="00000000" w:rsidRPr="00000000" w14:paraId="00000068">
      <w:pPr>
        <w:numPr>
          <w:ilvl w:val="0"/>
          <w:numId w:val="1"/>
        </w:numPr>
        <w:shd w:fill="ffffff" w:val="clea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Shah, Divya, et al. “What Are Human Infection Studies and Why Do We Need Them?: News.” Wellcome, 2 Feb. 2021, wellcome.org/news/what-are-human-infection-studies-and-why-do-we-need-them-covid-19. </w:t>
      </w:r>
    </w:p>
    <w:p w:rsidR="00000000" w:rsidDel="00000000" w:rsidP="00000000" w:rsidRDefault="00000000" w:rsidRPr="00000000" w14:paraId="00000069">
      <w:pPr>
        <w:numPr>
          <w:ilvl w:val="0"/>
          <w:numId w:val="1"/>
        </w:numPr>
        <w:shd w:fill="ffffff" w:val="clea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Orphan Plc Announces £3m COVID-19 Challenge Virus Manufacturing Contract.” Business Wire, 10 May 2021, www.businesswire.com/news/home/20210510005207/en/Open-Orphan-plc-Announces-%C2%A33m-COVID-19-Challenge-Virus-Manufacturing-Contract. </w:t>
      </w:r>
    </w:p>
    <w:p w:rsidR="00000000" w:rsidDel="00000000" w:rsidP="00000000" w:rsidRDefault="00000000" w:rsidRPr="00000000" w14:paraId="0000006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Jin, P., Li, J., Pan, H. et al. Immunological surrogate endpoints of COVID-2019 vaccines: the evidence we have versus the evidence we need. Sig Transduct Target Ther 6, 48 (2021). https://doi.org/10.1038/s41392-021-00481-y</w:t>
      </w:r>
    </w:p>
    <w:p w:rsidR="00000000" w:rsidDel="00000000" w:rsidP="00000000" w:rsidRDefault="00000000" w:rsidRPr="00000000" w14:paraId="0000006B">
      <w:pPr>
        <w:numPr>
          <w:ilvl w:val="0"/>
          <w:numId w:val="1"/>
        </w:numPr>
        <w:shd w:fill="ffffff" w:val="clea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Deming, Meagan E., et al. "Accelerating development of SARS-CoV-2 vaccines—the role for controlled human infection models." New England Journal of Medicine 383.10 (2020)</w:t>
      </w:r>
    </w:p>
    <w:p w:rsidR="00000000" w:rsidDel="00000000" w:rsidP="00000000" w:rsidRDefault="00000000" w:rsidRPr="00000000" w14:paraId="0000006C">
      <w:pPr>
        <w:numPr>
          <w:ilvl w:val="0"/>
          <w:numId w:val="1"/>
        </w:numPr>
        <w:shd w:fill="ffffff" w:val="clea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Shan, Yiming Shao, and Shibo Jiang. "Human challenge trials to assess the efficacy of currently approved COVID-19 vaccines against SARS-CoV-2 variants." Emerging Microbes &amp; Infections 10.1 (2021): 439-441</w:t>
      </w:r>
    </w:p>
    <w:p w:rsidR="00000000" w:rsidDel="00000000" w:rsidP="00000000" w:rsidRDefault="00000000" w:rsidRPr="00000000" w14:paraId="0000006D">
      <w:pPr>
        <w:numPr>
          <w:ilvl w:val="0"/>
          <w:numId w:val="1"/>
        </w:numPr>
        <w:shd w:fill="ffffff" w:val="clear"/>
        <w:spacing w:line="480" w:lineRule="auto"/>
        <w:ind w:left="45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Key criteria for the ethical acceptability of COVID-19 human challenge studies. No. WHO/2019-nCoV/Ethics_criteria/2020.1. World Health Organization, 2020.</w:t>
      </w:r>
      <w:r w:rsidDel="00000000" w:rsidR="00000000" w:rsidRPr="00000000">
        <w:rPr>
          <w:rtl w:val="0"/>
        </w:rPr>
      </w:r>
    </w:p>
    <w:p w:rsidR="00000000" w:rsidDel="00000000" w:rsidP="00000000" w:rsidRDefault="00000000" w:rsidRPr="00000000" w14:paraId="0000006E">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Steel, Robert, Lara Buchak, and Nir Eyal. "Why continuing uncertainties are no reason to postpone challenge trials for coronavirus vaccines." Journal of Medical Ethics 46.12 (2020): 808-812.</w:t>
      </w:r>
    </w:p>
    <w:p w:rsidR="00000000" w:rsidDel="00000000" w:rsidP="00000000" w:rsidRDefault="00000000" w:rsidRPr="00000000" w14:paraId="0000006F">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“SARS-CoV-2 Variant Classifications and Definitions.” Centers for Disease Control and Prevention, Centers for Disease Control and Prevention, www.cdc.gov/coronavirus/2019-ncov/variants/variant-info.html?CDC_AA_refVal=https%3A%2F%2Fwww.cdc.gov%2Fcoronavirus%2F2019-ncov%2Fcases-updates%2Fvariant-surveillance%2Fvariant-info.html. </w:t>
      </w:r>
    </w:p>
    <w:p w:rsidR="00000000" w:rsidDel="00000000" w:rsidP="00000000" w:rsidRDefault="00000000" w:rsidRPr="00000000" w14:paraId="00000070">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"Potential Value and Limitations of Establishing a Closely Monitored Challenge Model of Experimental COVID-19 Infection and Illness in Healthy Young Adult Volunteers." Geneva: WHO 2 (2020).</w:t>
      </w:r>
    </w:p>
    <w:p w:rsidR="00000000" w:rsidDel="00000000" w:rsidP="00000000" w:rsidRDefault="00000000" w:rsidRPr="00000000" w14:paraId="00000071">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Brief: Emerging SARS-CoV-2 Variants.” Centers for Disease Control and Prevention, Centers for Disease Control and Prevention, www.cdc.gov/coronavirus/2019-ncov/science/science-briefs/scientific-brief-emerging-variants.html. </w:t>
      </w:r>
    </w:p>
    <w:p w:rsidR="00000000" w:rsidDel="00000000" w:rsidP="00000000" w:rsidRDefault="00000000" w:rsidRPr="00000000" w14:paraId="00000072">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Funk, Tjede, et al. "Characteristics of SARS-CoV-2 variants of concern B. 1.1. 7, B. 1.351 or P. 1: data from seven EU/EEA countries, weeks 38/2020 to 10/2021." Eurosurveillance 26.16 (2021): 2100348.</w:t>
      </w:r>
    </w:p>
    <w:p w:rsidR="00000000" w:rsidDel="00000000" w:rsidP="00000000" w:rsidRDefault="00000000" w:rsidRPr="00000000" w14:paraId="00000073">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Manheim, David, et al. "Exploring Risks of Human Challenge Trials for COVID-19." medRxiv (2020).</w:t>
      </w:r>
    </w:p>
    <w:p w:rsidR="00000000" w:rsidDel="00000000" w:rsidP="00000000" w:rsidRDefault="00000000" w:rsidRPr="00000000" w14:paraId="00000074">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Walter, Jessica, Martin Burdelski, and Dieter C. Bröring. "Chances and risks in living donor liver transplantation." Deutsches Ärzteblatt International 105.6 (2008): 101.</w:t>
      </w:r>
    </w:p>
    <w:p w:rsidR="00000000" w:rsidDel="00000000" w:rsidP="00000000" w:rsidRDefault="00000000" w:rsidRPr="00000000" w14:paraId="00000075">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Resnik, David B. "Limits on risks for healthy volunteers in biomedical research." Theoretical medicine and bioethics 33.2 (2012): 137-149.</w:t>
      </w:r>
    </w:p>
    <w:p w:rsidR="00000000" w:rsidDel="00000000" w:rsidP="00000000" w:rsidRDefault="00000000" w:rsidRPr="00000000" w14:paraId="00000076">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Shah, Seema K., et al. "Ethics of controlled human infection to address COVID-19." Science 368.6493 (2020): 832-834.</w:t>
      </w:r>
    </w:p>
    <w:p w:rsidR="00000000" w:rsidDel="00000000" w:rsidP="00000000" w:rsidRDefault="00000000" w:rsidRPr="00000000" w14:paraId="00000077">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Steuwer, Bastian, Euzebiusz Jamrozik, and Nir Eyal. "Prioritizing second-generation SARS-CoV-2 vaccines through low-dosage challenge studies." International Journal of Infectious Diseases 105 (2021): 307-311.</w:t>
      </w:r>
    </w:p>
    <w:p w:rsidR="00000000" w:rsidDel="00000000" w:rsidP="00000000" w:rsidRDefault="00000000" w:rsidRPr="00000000" w14:paraId="00000078">
      <w:pPr>
        <w:numPr>
          <w:ilvl w:val="0"/>
          <w:numId w:val="1"/>
        </w:numPr>
        <w:spacing w:line="48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Paper on the Regulatory Requirements for ... www.ema.europa.eu/en/documents/scientific-guideline/reflection-paper-regulatory-requirements-vaccines-intended-provide-protection-against-variant_en.pdf. </w:t>
      </w:r>
    </w:p>
    <w:p w:rsidR="00000000" w:rsidDel="00000000" w:rsidP="00000000" w:rsidRDefault="00000000" w:rsidRPr="00000000" w14:paraId="00000079">
      <w:pPr>
        <w:numPr>
          <w:ilvl w:val="0"/>
          <w:numId w:val="1"/>
        </w:numPr>
        <w:shd w:fill="ffffff" w:val="clear"/>
        <w:spacing w:line="480" w:lineRule="auto"/>
        <w:ind w:left="45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Eyal N, Gerhard TDo coronavirus vaccine challenge trials have a distinctive generalisability problem? </w:t>
      </w:r>
      <w:r w:rsidDel="00000000" w:rsidR="00000000" w:rsidRPr="00000000">
        <w:rPr>
          <w:rFonts w:ascii="Times New Roman" w:cs="Times New Roman" w:eastAsia="Times New Roman" w:hAnsi="Times New Roman"/>
          <w:i w:val="1"/>
          <w:sz w:val="24"/>
          <w:szCs w:val="24"/>
          <w:rtl w:val="0"/>
        </w:rPr>
        <w:t xml:space="preserve">Journal of Medical Ethics </w:t>
      </w:r>
      <w:r w:rsidDel="00000000" w:rsidR="00000000" w:rsidRPr="00000000">
        <w:rPr>
          <w:rFonts w:ascii="Times New Roman" w:cs="Times New Roman" w:eastAsia="Times New Roman" w:hAnsi="Times New Roman"/>
          <w:sz w:val="24"/>
          <w:szCs w:val="24"/>
          <w:rtl w:val="0"/>
        </w:rPr>
        <w:t xml:space="preserve">Published Online First: 07 June 2021. doi: 10.1136/medethics-2020-107109</w:t>
      </w:r>
    </w:p>
    <w:p w:rsidR="00000000" w:rsidDel="00000000" w:rsidP="00000000" w:rsidRDefault="00000000" w:rsidRPr="00000000" w14:paraId="0000007A">
      <w:pPr>
        <w:numPr>
          <w:ilvl w:val="0"/>
          <w:numId w:val="1"/>
        </w:numPr>
        <w:shd w:fill="ffffff" w:val="clear"/>
        <w:spacing w:line="480" w:lineRule="auto"/>
        <w:ind w:left="45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Weijer, Charles. “SARS-CoV-2 Human Challenge Studies Should Not Be Permitted.” </w:t>
      </w:r>
      <w:r w:rsidDel="00000000" w:rsidR="00000000" w:rsidRPr="00000000">
        <w:rPr>
          <w:rFonts w:ascii="Times New Roman" w:cs="Times New Roman" w:eastAsia="Times New Roman" w:hAnsi="Times New Roman"/>
          <w:i w:val="1"/>
          <w:sz w:val="24"/>
          <w:szCs w:val="24"/>
          <w:rtl w:val="0"/>
        </w:rPr>
        <w:t xml:space="preserve">CATO Unbound</w:t>
      </w:r>
      <w:r w:rsidDel="00000000" w:rsidR="00000000" w:rsidRPr="00000000">
        <w:rPr>
          <w:rFonts w:ascii="Times New Roman" w:cs="Times New Roman" w:eastAsia="Times New Roman" w:hAnsi="Times New Roman"/>
          <w:sz w:val="24"/>
          <w:szCs w:val="24"/>
          <w:rtl w:val="0"/>
        </w:rPr>
        <w:t xml:space="preserve">, www.cato-unbound.org/2021/03/15/charles-weijer/sars-cov-2-human-challenge-studies-should-not-be-permitted. </w:t>
      </w:r>
    </w:p>
    <w:p w:rsidR="00000000" w:rsidDel="00000000" w:rsidP="00000000" w:rsidRDefault="00000000" w:rsidRPr="00000000" w14:paraId="0000007B">
      <w:pPr>
        <w:numPr>
          <w:ilvl w:val="0"/>
          <w:numId w:val="1"/>
        </w:numPr>
        <w:shd w:fill="ffffff" w:val="clear"/>
        <w:spacing w:line="480" w:lineRule="auto"/>
        <w:ind w:left="45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Broockman, David, et al. "Broad cross-national public support for accelerated COVID-19 vaccine trial designs." </w:t>
      </w:r>
      <w:r w:rsidDel="00000000" w:rsidR="00000000" w:rsidRPr="00000000">
        <w:rPr>
          <w:rFonts w:ascii="Times New Roman" w:cs="Times New Roman" w:eastAsia="Times New Roman" w:hAnsi="Times New Roman"/>
          <w:i w:val="1"/>
          <w:sz w:val="24"/>
          <w:szCs w:val="24"/>
          <w:rtl w:val="0"/>
        </w:rPr>
        <w:t xml:space="preserve">Vaccine</w:t>
      </w:r>
      <w:r w:rsidDel="00000000" w:rsidR="00000000" w:rsidRPr="00000000">
        <w:rPr>
          <w:rFonts w:ascii="Times New Roman" w:cs="Times New Roman" w:eastAsia="Times New Roman" w:hAnsi="Times New Roman"/>
          <w:sz w:val="24"/>
          <w:szCs w:val="24"/>
          <w:rtl w:val="0"/>
        </w:rPr>
        <w:t xml:space="preserve"> 39.2 (2021): 309-316.</w:t>
      </w:r>
    </w:p>
    <w:p w:rsidR="00000000" w:rsidDel="00000000" w:rsidP="00000000" w:rsidRDefault="00000000" w:rsidRPr="00000000" w14:paraId="0000007C">
      <w:pPr>
        <w:numPr>
          <w:ilvl w:val="0"/>
          <w:numId w:val="1"/>
        </w:numPr>
        <w:shd w:fill="ffffff" w:val="clear"/>
        <w:spacing w:line="480" w:lineRule="auto"/>
        <w:ind w:left="45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Mega, E. R. "Trust in COVID vaccines is growing." </w:t>
      </w:r>
      <w:r w:rsidDel="00000000" w:rsidR="00000000" w:rsidRPr="00000000">
        <w:rPr>
          <w:rFonts w:ascii="Times New Roman" w:cs="Times New Roman" w:eastAsia="Times New Roman" w:hAnsi="Times New Roman"/>
          <w:i w:val="1"/>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(2021): 00368-6.</w:t>
      </w:r>
    </w:p>
    <w:p w:rsidR="00000000" w:rsidDel="00000000" w:rsidP="00000000" w:rsidRDefault="00000000" w:rsidRPr="00000000" w14:paraId="0000007D">
      <w:pPr>
        <w:spacing w:line="480" w:lineRule="auto"/>
        <w:rPr>
          <w:rFonts w:ascii="Times New Roman" w:cs="Times New Roman" w:eastAsia="Times New Roman" w:hAnsi="Times New Roman"/>
          <w:b w:val="1"/>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spacing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D756EE"/>
    <w:rPr>
      <w:b w:val="1"/>
      <w:bCs w:val="1"/>
    </w:rPr>
  </w:style>
  <w:style w:type="character" w:styleId="CommentSubjectChar" w:customStyle="1">
    <w:name w:val="Comment Subject Char"/>
    <w:basedOn w:val="CommentTextChar"/>
    <w:link w:val="CommentSubject"/>
    <w:uiPriority w:val="99"/>
    <w:semiHidden w:val="1"/>
    <w:rsid w:val="00D756EE"/>
    <w:rPr>
      <w:b w:val="1"/>
      <w:bCs w:val="1"/>
      <w:sz w:val="20"/>
      <w:szCs w:val="20"/>
    </w:rPr>
  </w:style>
  <w:style w:type="character" w:styleId="Hyperlink">
    <w:name w:val="Hyperlink"/>
    <w:basedOn w:val="DefaultParagraphFont"/>
    <w:uiPriority w:val="99"/>
    <w:unhideWhenUsed w:val="1"/>
    <w:rsid w:val="006C21AC"/>
    <w:rPr>
      <w:color w:val="0000ff" w:themeColor="hyperlink"/>
      <w:u w:val="single"/>
    </w:rPr>
  </w:style>
  <w:style w:type="character" w:styleId="UnresolvedMention">
    <w:name w:val="Unresolved Mention"/>
    <w:basedOn w:val="DefaultParagraphFont"/>
    <w:uiPriority w:val="99"/>
    <w:semiHidden w:val="1"/>
    <w:unhideWhenUsed w:val="1"/>
    <w:rsid w:val="006C21AC"/>
    <w:rPr>
      <w:color w:val="605e5c"/>
      <w:shd w:color="auto" w:fill="e1dfdd" w:val="clear"/>
    </w:rPr>
  </w:style>
  <w:style w:type="paragraph" w:styleId="Header">
    <w:name w:val="header"/>
    <w:basedOn w:val="Normal"/>
    <w:link w:val="HeaderChar"/>
    <w:uiPriority w:val="99"/>
    <w:unhideWhenUsed w:val="1"/>
    <w:rsid w:val="000832EC"/>
    <w:pPr>
      <w:tabs>
        <w:tab w:val="center" w:pos="4680"/>
        <w:tab w:val="right" w:pos="9360"/>
      </w:tabs>
      <w:spacing w:line="240" w:lineRule="auto"/>
    </w:pPr>
  </w:style>
  <w:style w:type="character" w:styleId="HeaderChar" w:customStyle="1">
    <w:name w:val="Header Char"/>
    <w:basedOn w:val="DefaultParagraphFont"/>
    <w:link w:val="Header"/>
    <w:uiPriority w:val="99"/>
    <w:rsid w:val="000832EC"/>
  </w:style>
  <w:style w:type="paragraph" w:styleId="Footer">
    <w:name w:val="footer"/>
    <w:basedOn w:val="Normal"/>
    <w:link w:val="FooterChar"/>
    <w:uiPriority w:val="99"/>
    <w:unhideWhenUsed w:val="1"/>
    <w:rsid w:val="000832EC"/>
    <w:pPr>
      <w:tabs>
        <w:tab w:val="center" w:pos="4680"/>
        <w:tab w:val="right" w:pos="9360"/>
      </w:tabs>
      <w:spacing w:line="240" w:lineRule="auto"/>
    </w:pPr>
  </w:style>
  <w:style w:type="character" w:styleId="FooterChar" w:customStyle="1">
    <w:name w:val="Footer Char"/>
    <w:basedOn w:val="DefaultParagraphFont"/>
    <w:link w:val="Footer"/>
    <w:uiPriority w:val="99"/>
    <w:rsid w:val="000832EC"/>
  </w:style>
  <w:style w:type="paragraph" w:styleId="BalloonText">
    <w:name w:val="Balloon Text"/>
    <w:basedOn w:val="Normal"/>
    <w:link w:val="BalloonTextChar"/>
    <w:uiPriority w:val="99"/>
    <w:semiHidden w:val="1"/>
    <w:unhideWhenUsed w:val="1"/>
    <w:rsid w:val="000832EC"/>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832EC"/>
    <w:rPr>
      <w:rFonts w:ascii="Times New Roman" w:cs="Times New Roman" w:hAnsi="Times New Roman"/>
      <w:sz w:val="18"/>
      <w:szCs w:val="18"/>
    </w:rPr>
  </w:style>
  <w:style w:type="character" w:styleId="FollowedHyperlink">
    <w:name w:val="FollowedHyperlink"/>
    <w:basedOn w:val="DefaultParagraphFont"/>
    <w:uiPriority w:val="99"/>
    <w:semiHidden w:val="1"/>
    <w:unhideWhenUsed w:val="1"/>
    <w:rsid w:val="0055627F"/>
    <w:rPr>
      <w:color w:val="800080" w:themeColor="followedHyperlink"/>
      <w:u w:val="single"/>
    </w:rPr>
  </w:style>
  <w:style w:type="paragraph" w:styleId="FootnoteText">
    <w:name w:val="footnote text"/>
    <w:basedOn w:val="Normal"/>
    <w:link w:val="FootnoteTextChar"/>
    <w:uiPriority w:val="99"/>
    <w:semiHidden w:val="1"/>
    <w:unhideWhenUsed w:val="1"/>
    <w:rsid w:val="00E550AE"/>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E550AE"/>
    <w:rPr>
      <w:sz w:val="20"/>
      <w:szCs w:val="20"/>
    </w:rPr>
  </w:style>
  <w:style w:type="character" w:styleId="FootnoteReference">
    <w:name w:val="footnote reference"/>
    <w:basedOn w:val="DefaultParagraphFont"/>
    <w:uiPriority w:val="99"/>
    <w:semiHidden w:val="1"/>
    <w:unhideWhenUsed w:val="1"/>
    <w:rsid w:val="00E550AE"/>
    <w:rPr>
      <w:vertAlign w:val="superscript"/>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bie@1daysooner.org" TargetMode="External"/><Relationship Id="rId8" Type="http://schemas.openxmlformats.org/officeDocument/2006/relationships/hyperlink" Target="https://www.fda.gov/media/14274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D+96mwduf3/5iq7ijouEGYtfyw==">AMUW2mUgL4KHsRDDteZQ/ZdUV2Mq7FJwCIp+Q3uiRW8OaME+syHiKRQY3wgkeftHrQ3ocXsA7aJOLsgGgqRgjr+YyQgq04gyA3JuADA4a64c/rQ3/3UD3R8L4tjm0xyIJf+S69NcN7NAqtaoe1HANHerlahHVI7aSCa3f03NygIh+AtS7+FJCHwynLCn16bzl+rNoBNGXBB87DtjbkAP4G1N4KRFM0/jWjrzQefvn8/4PcQtF43lrK8F1QM0YP7+NNn9f+Y4wW83zTuLswAzI2WQBaknwZA6/MjDp1YbiNctom85GCI4EKEKWf+xHBrnt3RZnWtadXnPPiPHmqBlhjAPSDzM9Ry0zwqDg3s6yYmVs6FbQs3zK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2021-06-18T00:09:00Z</dcterms:created>
</cp:coreProperties>
</file>