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A1139" w14:textId="072B771A" w:rsidR="00F415E1" w:rsidRDefault="00F415E1" w:rsidP="00F415E1">
      <w:pPr>
        <w:jc w:val="center"/>
        <w:rPr>
          <w:b/>
          <w:bCs/>
        </w:rPr>
      </w:pPr>
      <w:r w:rsidRPr="004B3B34">
        <w:rPr>
          <w:b/>
          <w:bCs/>
          <w:sz w:val="28"/>
          <w:szCs w:val="26"/>
        </w:rPr>
        <w:t>Bringing forth a world, literally</w:t>
      </w:r>
    </w:p>
    <w:p w14:paraId="2984E229" w14:textId="24E5F830" w:rsidR="004B3B34" w:rsidRDefault="004B3B34" w:rsidP="00F415E1">
      <w:pPr>
        <w:jc w:val="center"/>
        <w:rPr>
          <w:b/>
          <w:bCs/>
        </w:rPr>
      </w:pPr>
    </w:p>
    <w:p w14:paraId="256F03E2" w14:textId="77777777" w:rsidR="00384758" w:rsidRDefault="00384758" w:rsidP="00F415E1">
      <w:pPr>
        <w:jc w:val="center"/>
        <w:rPr>
          <w:b/>
          <w:bCs/>
        </w:rPr>
      </w:pPr>
    </w:p>
    <w:p w14:paraId="5D9F96E1" w14:textId="77777777" w:rsidR="00384758" w:rsidRPr="00384758" w:rsidRDefault="00384758" w:rsidP="00384758">
      <w:pPr>
        <w:jc w:val="right"/>
        <w:rPr>
          <w:lang w:val="de-DE"/>
        </w:rPr>
      </w:pPr>
      <w:r w:rsidRPr="00384758">
        <w:rPr>
          <w:lang w:val="de-DE"/>
        </w:rPr>
        <w:t>Giovanni Rolla, UFBA (</w:t>
      </w:r>
      <w:hyperlink r:id="rId7" w:history="1">
        <w:r w:rsidRPr="00384758">
          <w:rPr>
            <w:rStyle w:val="Hyperlink"/>
            <w:lang w:val="de-DE"/>
          </w:rPr>
          <w:t>rollagiovanni@gmail.com</w:t>
        </w:r>
      </w:hyperlink>
      <w:r w:rsidRPr="00384758">
        <w:rPr>
          <w:lang w:val="de-DE"/>
        </w:rPr>
        <w:t>)</w:t>
      </w:r>
    </w:p>
    <w:p w14:paraId="4E6C1ECA" w14:textId="77777777" w:rsidR="00384758" w:rsidRPr="004B3B34" w:rsidRDefault="00384758" w:rsidP="00384758">
      <w:pPr>
        <w:jc w:val="right"/>
        <w:rPr>
          <w:lang w:val="pt-BR"/>
        </w:rPr>
      </w:pPr>
      <w:r w:rsidRPr="004B3B34">
        <w:rPr>
          <w:lang w:val="pt-BR"/>
        </w:rPr>
        <w:t>Nara Figueiredo</w:t>
      </w:r>
      <w:r>
        <w:rPr>
          <w:lang w:val="pt-BR"/>
        </w:rPr>
        <w:t>, UNICAMP</w:t>
      </w:r>
      <w:r w:rsidRPr="004B3B34">
        <w:rPr>
          <w:lang w:val="pt-BR"/>
        </w:rPr>
        <w:t xml:space="preserve"> (</w:t>
      </w:r>
      <w:hyperlink r:id="rId8" w:history="1">
        <w:r w:rsidRPr="002A5C46">
          <w:rPr>
            <w:rStyle w:val="Hyperlink"/>
            <w:lang w:val="pt-BR"/>
          </w:rPr>
          <w:t>naramfigueiredo@gmail.com</w:t>
        </w:r>
      </w:hyperlink>
      <w:r>
        <w:rPr>
          <w:lang w:val="pt-BR"/>
        </w:rPr>
        <w:t>)</w:t>
      </w:r>
    </w:p>
    <w:p w14:paraId="6F47A4A5" w14:textId="3DCA819F" w:rsidR="00AE74ED" w:rsidRPr="004B3B34" w:rsidRDefault="00AE74ED" w:rsidP="00B840DA">
      <w:pPr>
        <w:spacing w:line="360" w:lineRule="auto"/>
        <w:jc w:val="both"/>
        <w:rPr>
          <w:b/>
          <w:bCs/>
          <w:lang w:val="pt-BR"/>
        </w:rPr>
      </w:pPr>
    </w:p>
    <w:p w14:paraId="64C6CC67" w14:textId="49BDB5EE" w:rsidR="004B3B34" w:rsidRDefault="004B3B34" w:rsidP="004B3B34">
      <w:pPr>
        <w:spacing w:line="360" w:lineRule="auto"/>
        <w:jc w:val="center"/>
        <w:rPr>
          <w:rStyle w:val="Hyperlink"/>
        </w:rPr>
      </w:pPr>
      <w:r w:rsidRPr="004B3B34">
        <w:rPr>
          <w:i/>
          <w:iCs/>
        </w:rPr>
        <w:t xml:space="preserve">This </w:t>
      </w:r>
      <w:r w:rsidR="00606E51">
        <w:rPr>
          <w:i/>
          <w:iCs/>
        </w:rPr>
        <w:t xml:space="preserve">a post-print </w:t>
      </w:r>
      <w:r w:rsidRPr="004B3B34">
        <w:rPr>
          <w:i/>
          <w:iCs/>
        </w:rPr>
        <w:t xml:space="preserve">version of </w:t>
      </w:r>
      <w:r w:rsidR="00606E51">
        <w:rPr>
          <w:i/>
          <w:iCs/>
        </w:rPr>
        <w:t>an</w:t>
      </w:r>
      <w:r w:rsidRPr="004B3B34">
        <w:rPr>
          <w:i/>
          <w:iCs/>
        </w:rPr>
        <w:t xml:space="preserve"> article</w:t>
      </w:r>
      <w:r w:rsidR="00606E51">
        <w:rPr>
          <w:i/>
          <w:iCs/>
        </w:rPr>
        <w:t xml:space="preserve"> that</w:t>
      </w:r>
      <w:r w:rsidRPr="004B3B34">
        <w:rPr>
          <w:i/>
          <w:iCs/>
        </w:rPr>
        <w:t xml:space="preserve"> has been accepted for publication</w:t>
      </w:r>
      <w:r w:rsidR="00606E51">
        <w:rPr>
          <w:i/>
          <w:iCs/>
        </w:rPr>
        <w:t xml:space="preserve"> in Phenomenology and the Cognitive Sciences</w:t>
      </w:r>
      <w:r w:rsidRPr="004B3B34">
        <w:rPr>
          <w:i/>
          <w:iCs/>
        </w:rPr>
        <w:t xml:space="preserve">. </w:t>
      </w:r>
      <w:r w:rsidR="001B5AF1">
        <w:rPr>
          <w:i/>
          <w:iCs/>
        </w:rPr>
        <w:t>Please quote the published version</w:t>
      </w:r>
      <w:r w:rsidRPr="004B3B34">
        <w:rPr>
          <w:i/>
          <w:iCs/>
        </w:rPr>
        <w:t xml:space="preserve"> available at: </w:t>
      </w:r>
      <w:hyperlink r:id="rId9" w:history="1">
        <w:r w:rsidRPr="002A5C46">
          <w:rPr>
            <w:rStyle w:val="Hyperlink"/>
            <w:i/>
            <w:iCs/>
          </w:rPr>
          <w:t>http://dx.doi.org</w:t>
        </w:r>
        <w:r w:rsidRPr="002A5C46">
          <w:rPr>
            <w:rStyle w:val="Hyperlink"/>
            <w:b/>
            <w:bCs/>
          </w:rPr>
          <w:t>/</w:t>
        </w:r>
        <w:bookmarkStart w:id="0" w:name="_GoBack"/>
        <w:r w:rsidRPr="006B473C">
          <w:rPr>
            <w:rStyle w:val="Hyperlink"/>
            <w:i/>
            <w:iCs/>
          </w:rPr>
          <w:t>10.1007/s11097-021-09760-z</w:t>
        </w:r>
        <w:bookmarkEnd w:id="0"/>
      </w:hyperlink>
    </w:p>
    <w:p w14:paraId="70A27C1D" w14:textId="77777777" w:rsidR="004B3B34" w:rsidRPr="00384758" w:rsidRDefault="004B3B34" w:rsidP="00B840DA">
      <w:pPr>
        <w:spacing w:line="360" w:lineRule="auto"/>
        <w:jc w:val="both"/>
        <w:rPr>
          <w:b/>
          <w:bCs/>
        </w:rPr>
      </w:pPr>
    </w:p>
    <w:p w14:paraId="08B90377" w14:textId="6B23D102" w:rsidR="00A0468B" w:rsidRDefault="00A0468B" w:rsidP="00A0468B">
      <w:pPr>
        <w:spacing w:line="276" w:lineRule="auto"/>
        <w:jc w:val="both"/>
        <w:rPr>
          <w:rFonts w:eastAsia="Times New Roman" w:cs="Times New Roman"/>
          <w:color w:val="000000"/>
        </w:rPr>
      </w:pPr>
      <w:r w:rsidRPr="00A0468B">
        <w:rPr>
          <w:rFonts w:eastAsia="Times New Roman" w:cs="Times New Roman"/>
          <w:b/>
          <w:bCs/>
          <w:color w:val="000000"/>
        </w:rPr>
        <w:t xml:space="preserve">Abstract: </w:t>
      </w:r>
      <w:r w:rsidR="00171CE0" w:rsidRPr="00171CE0">
        <w:rPr>
          <w:rFonts w:eastAsia="Times New Roman" w:cs="Times New Roman"/>
          <w:color w:val="000000"/>
        </w:rPr>
        <w:t xml:space="preserve">Our </w:t>
      </w:r>
      <w:r w:rsidR="00AA628E">
        <w:rPr>
          <w:rFonts w:eastAsia="Times New Roman" w:cs="Times New Roman"/>
          <w:color w:val="000000"/>
        </w:rPr>
        <w:t>objective</w:t>
      </w:r>
      <w:r w:rsidR="00171CE0">
        <w:rPr>
          <w:rFonts w:eastAsia="Times New Roman" w:cs="Times New Roman"/>
          <w:color w:val="000000"/>
        </w:rPr>
        <w:t xml:space="preserve"> in </w:t>
      </w:r>
      <w:r w:rsidRPr="00A0468B">
        <w:rPr>
          <w:rFonts w:eastAsia="Times New Roman" w:cs="Times New Roman"/>
          <w:color w:val="000000"/>
        </w:rPr>
        <w:t>this paper</w:t>
      </w:r>
      <w:r w:rsidR="00171CE0">
        <w:rPr>
          <w:rFonts w:eastAsia="Times New Roman" w:cs="Times New Roman"/>
          <w:color w:val="000000"/>
        </w:rPr>
        <w:t xml:space="preserve"> is </w:t>
      </w:r>
      <w:r w:rsidR="00471C77">
        <w:rPr>
          <w:rFonts w:eastAsia="Times New Roman" w:cs="Times New Roman"/>
          <w:color w:val="000000"/>
        </w:rPr>
        <w:t>twofold</w:t>
      </w:r>
      <w:r w:rsidR="00DE25B2">
        <w:rPr>
          <w:rFonts w:eastAsia="Times New Roman" w:cs="Times New Roman"/>
          <w:color w:val="000000"/>
        </w:rPr>
        <w:t>: first</w:t>
      </w:r>
      <w:r w:rsidR="0088182A">
        <w:rPr>
          <w:rFonts w:eastAsia="Times New Roman" w:cs="Times New Roman"/>
          <w:color w:val="000000"/>
        </w:rPr>
        <w:t>,</w:t>
      </w:r>
      <w:r w:rsidR="00DE25B2">
        <w:rPr>
          <w:rFonts w:eastAsia="Times New Roman" w:cs="Times New Roman"/>
          <w:color w:val="000000"/>
        </w:rPr>
        <w:t xml:space="preserve"> we intend </w:t>
      </w:r>
      <w:r w:rsidR="00171CE0">
        <w:rPr>
          <w:rFonts w:eastAsia="Times New Roman" w:cs="Times New Roman"/>
          <w:color w:val="000000"/>
        </w:rPr>
        <w:t>to</w:t>
      </w:r>
      <w:r w:rsidRPr="00A0468B">
        <w:rPr>
          <w:rFonts w:eastAsia="Times New Roman" w:cs="Times New Roman"/>
          <w:color w:val="000000"/>
        </w:rPr>
        <w:t xml:space="preserve"> address the tenability of the enactivist middle way between realism and idealism</w:t>
      </w:r>
      <w:r w:rsidR="00293EF2">
        <w:rPr>
          <w:rFonts w:eastAsia="Times New Roman" w:cs="Times New Roman"/>
          <w:color w:val="000000"/>
        </w:rPr>
        <w:t xml:space="preserve">, as it is proposed in </w:t>
      </w:r>
      <w:r w:rsidR="00293EF2">
        <w:rPr>
          <w:rFonts w:eastAsia="Times New Roman" w:cs="Times New Roman"/>
          <w:i/>
          <w:iCs/>
          <w:color w:val="000000"/>
        </w:rPr>
        <w:t xml:space="preserve">The Embodied Mind. </w:t>
      </w:r>
      <w:r w:rsidR="00293EF2">
        <w:rPr>
          <w:rFonts w:eastAsia="Times New Roman" w:cs="Times New Roman"/>
          <w:color w:val="000000"/>
        </w:rPr>
        <w:t xml:space="preserve">We do so </w:t>
      </w:r>
      <w:r w:rsidRPr="00A0468B">
        <w:rPr>
          <w:rFonts w:eastAsia="Times New Roman" w:cs="Times New Roman"/>
          <w:color w:val="000000"/>
        </w:rPr>
        <w:t xml:space="preserve">by </w:t>
      </w:r>
      <w:r w:rsidR="00293EF2">
        <w:rPr>
          <w:rFonts w:eastAsia="Times New Roman" w:cs="Times New Roman"/>
          <w:color w:val="000000"/>
        </w:rPr>
        <w:t>taking the enactivist conception</w:t>
      </w:r>
      <w:r w:rsidRPr="00A0468B">
        <w:rPr>
          <w:rFonts w:eastAsia="Times New Roman" w:cs="Times New Roman"/>
          <w:color w:val="000000"/>
        </w:rPr>
        <w:t xml:space="preserve"> of </w:t>
      </w:r>
      <w:r w:rsidRPr="00A0468B">
        <w:rPr>
          <w:rFonts w:eastAsia="Times New Roman" w:cs="Times New Roman"/>
          <w:i/>
          <w:iCs/>
          <w:color w:val="000000"/>
        </w:rPr>
        <w:t>bringing forth a world</w:t>
      </w:r>
      <w:r w:rsidRPr="00A0468B">
        <w:rPr>
          <w:rFonts w:eastAsia="Times New Roman" w:cs="Times New Roman"/>
          <w:color w:val="000000"/>
        </w:rPr>
        <w:t xml:space="preserve"> literally in three conceptual levels: enaction, niche construction and social construction. Based on this proposal, we claim that enactivism is compatible with the idea of an independent reality without </w:t>
      </w:r>
      <w:r w:rsidR="00293EF2">
        <w:rPr>
          <w:rFonts w:eastAsia="Times New Roman" w:cs="Times New Roman"/>
          <w:color w:val="000000"/>
        </w:rPr>
        <w:t>committing to the claim that organisms have cognitive access</w:t>
      </w:r>
      <w:r w:rsidR="00293EF2" w:rsidRPr="00A0468B">
        <w:rPr>
          <w:rFonts w:eastAsia="Times New Roman" w:cs="Times New Roman"/>
          <w:color w:val="000000"/>
        </w:rPr>
        <w:t xml:space="preserve"> </w:t>
      </w:r>
      <w:r w:rsidR="00293EF2">
        <w:rPr>
          <w:rFonts w:eastAsia="Times New Roman" w:cs="Times New Roman"/>
          <w:color w:val="000000"/>
        </w:rPr>
        <w:t>to a world composed of properties specified prior to any cognitive activity</w:t>
      </w:r>
      <w:r w:rsidRPr="00A0468B">
        <w:rPr>
          <w:rFonts w:eastAsia="Times New Roman" w:cs="Times New Roman"/>
          <w:color w:val="000000"/>
        </w:rPr>
        <w:t xml:space="preserve">. </w:t>
      </w:r>
      <w:r w:rsidR="00293EF2">
        <w:rPr>
          <w:rFonts w:eastAsia="Times New Roman" w:cs="Times New Roman"/>
          <w:color w:val="000000"/>
        </w:rPr>
        <w:t>Our second goal is to show that</w:t>
      </w:r>
      <w:r w:rsidRPr="00A0468B">
        <w:rPr>
          <w:rFonts w:eastAsia="Times New Roman" w:cs="Times New Roman"/>
          <w:color w:val="000000"/>
        </w:rPr>
        <w:t xml:space="preserve"> our literal interpretation of bringing forth a world not only </w:t>
      </w:r>
      <w:r w:rsidR="00F571FF">
        <w:rPr>
          <w:rFonts w:eastAsia="Times New Roman" w:cs="Times New Roman"/>
          <w:color w:val="000000"/>
        </w:rPr>
        <w:t>sustains</w:t>
      </w:r>
      <w:r w:rsidR="00DE25B2">
        <w:rPr>
          <w:rFonts w:eastAsia="Times New Roman" w:cs="Times New Roman"/>
          <w:color w:val="000000"/>
        </w:rPr>
        <w:t xml:space="preserve"> the legitimacy</w:t>
      </w:r>
      <w:r w:rsidRPr="00A0468B">
        <w:rPr>
          <w:rFonts w:eastAsia="Times New Roman" w:cs="Times New Roman"/>
          <w:color w:val="000000"/>
        </w:rPr>
        <w:t xml:space="preserve"> of the middle way, but it also allows us to revive the conception of evolution as natural drift</w:t>
      </w:r>
      <w:r w:rsidR="001B3EE9">
        <w:rPr>
          <w:rFonts w:eastAsia="Times New Roman" w:cs="Times New Roman"/>
          <w:color w:val="000000"/>
        </w:rPr>
        <w:t>—</w:t>
      </w:r>
      <w:r w:rsidRPr="00A0468B">
        <w:rPr>
          <w:rFonts w:eastAsia="Times New Roman" w:cs="Times New Roman"/>
          <w:color w:val="000000"/>
        </w:rPr>
        <w:t>which is</w:t>
      </w:r>
      <w:r w:rsidR="00766510">
        <w:rPr>
          <w:rFonts w:eastAsia="Times New Roman" w:cs="Times New Roman"/>
          <w:color w:val="000000"/>
        </w:rPr>
        <w:t xml:space="preserve"> perhaps</w:t>
      </w:r>
      <w:r w:rsidRPr="00A0468B">
        <w:rPr>
          <w:rFonts w:eastAsia="Times New Roman" w:cs="Times New Roman"/>
          <w:color w:val="000000"/>
        </w:rPr>
        <w:t xml:space="preserve"> the least </w:t>
      </w:r>
      <w:r w:rsidR="00DE25B2">
        <w:rPr>
          <w:rFonts w:eastAsia="Times New Roman" w:cs="Times New Roman"/>
          <w:color w:val="000000"/>
        </w:rPr>
        <w:t>examined</w:t>
      </w:r>
      <w:r w:rsidR="00DE25B2" w:rsidRPr="00A0468B">
        <w:rPr>
          <w:rFonts w:eastAsia="Times New Roman" w:cs="Times New Roman"/>
          <w:color w:val="000000"/>
        </w:rPr>
        <w:t xml:space="preserve"> </w:t>
      </w:r>
      <w:r w:rsidRPr="00A0468B">
        <w:rPr>
          <w:rFonts w:eastAsia="Times New Roman" w:cs="Times New Roman"/>
          <w:color w:val="000000"/>
        </w:rPr>
        <w:t xml:space="preserve">aspect of the </w:t>
      </w:r>
      <w:r w:rsidR="00DE25B2">
        <w:rPr>
          <w:rFonts w:eastAsia="Times New Roman" w:cs="Times New Roman"/>
          <w:color w:val="000000"/>
        </w:rPr>
        <w:t>original</w:t>
      </w:r>
      <w:r w:rsidR="00293EF2">
        <w:rPr>
          <w:rFonts w:eastAsia="Times New Roman" w:cs="Times New Roman"/>
          <w:color w:val="000000"/>
        </w:rPr>
        <w:t xml:space="preserve"> </w:t>
      </w:r>
      <w:r w:rsidRPr="00A0468B">
        <w:rPr>
          <w:rFonts w:eastAsia="Times New Roman" w:cs="Times New Roman"/>
          <w:color w:val="000000"/>
        </w:rPr>
        <w:t>enactivist theory</w:t>
      </w:r>
      <w:r w:rsidR="00764BEE" w:rsidRPr="00764BEE">
        <w:rPr>
          <w:rFonts w:eastAsia="Times New Roman" w:cs="Times New Roman"/>
          <w:color w:val="000000"/>
        </w:rPr>
        <w:t xml:space="preserve"> and is central to the understanding of cognition in an </w:t>
      </w:r>
      <w:proofErr w:type="spellStart"/>
      <w:r w:rsidR="00764BEE" w:rsidRPr="00764BEE">
        <w:rPr>
          <w:rFonts w:eastAsia="Times New Roman" w:cs="Times New Roman"/>
          <w:color w:val="000000"/>
        </w:rPr>
        <w:t>enactive</w:t>
      </w:r>
      <w:proofErr w:type="spellEnd"/>
      <w:r w:rsidR="00764BEE" w:rsidRPr="00764BEE">
        <w:rPr>
          <w:rFonts w:eastAsia="Times New Roman" w:cs="Times New Roman"/>
          <w:color w:val="000000"/>
        </w:rPr>
        <w:t xml:space="preserve"> way</w:t>
      </w:r>
      <w:r w:rsidR="00764BEE">
        <w:rPr>
          <w:rFonts w:eastAsia="Times New Roman" w:cs="Times New Roman"/>
          <w:color w:val="000000"/>
        </w:rPr>
        <w:t xml:space="preserve">. </w:t>
      </w:r>
      <w:r w:rsidR="001B3EE9">
        <w:rPr>
          <w:rFonts w:eastAsia="Times New Roman" w:cs="Times New Roman"/>
          <w:color w:val="000000"/>
        </w:rPr>
        <w:t>Natural drift</w:t>
      </w:r>
      <w:r w:rsidRPr="00A0468B">
        <w:rPr>
          <w:rFonts w:eastAsia="Times New Roman" w:cs="Times New Roman"/>
          <w:color w:val="000000"/>
        </w:rPr>
        <w:t xml:space="preserve"> focuses on how structural couplings between organism and environment trigger viable pathways of maintenance and reproductio</w:t>
      </w:r>
      <w:r w:rsidR="001B3EE9">
        <w:rPr>
          <w:rFonts w:eastAsia="Times New Roman" w:cs="Times New Roman"/>
          <w:color w:val="000000"/>
        </w:rPr>
        <w:t xml:space="preserve">n, </w:t>
      </w:r>
      <w:r w:rsidRPr="00A0468B">
        <w:rPr>
          <w:rFonts w:eastAsia="Times New Roman" w:cs="Times New Roman"/>
          <w:color w:val="000000"/>
        </w:rPr>
        <w:t xml:space="preserve">instead of selecting the most adapted trait to a pregiven environment. </w:t>
      </w:r>
      <w:r w:rsidR="008A0348">
        <w:rPr>
          <w:rFonts w:eastAsia="Times New Roman" w:cs="Times New Roman"/>
          <w:color w:val="000000"/>
        </w:rPr>
        <w:t>Thus, a</w:t>
      </w:r>
      <w:r w:rsidR="0067126F">
        <w:rPr>
          <w:rFonts w:eastAsia="Times New Roman" w:cs="Times New Roman"/>
          <w:color w:val="000000"/>
        </w:rPr>
        <w:t xml:space="preserve">lthough enactivists </w:t>
      </w:r>
      <w:r w:rsidR="00432DCF">
        <w:rPr>
          <w:rFonts w:eastAsia="Times New Roman" w:cs="Times New Roman"/>
          <w:color w:val="000000"/>
        </w:rPr>
        <w:t xml:space="preserve">typically </w:t>
      </w:r>
      <w:r w:rsidR="0067126F">
        <w:rPr>
          <w:rFonts w:eastAsia="Times New Roman" w:cs="Times New Roman"/>
          <w:color w:val="000000"/>
        </w:rPr>
        <w:t>do not explore the consequences of their views regarding evolutionary dynamics, we show how natural drift provides a suitable starting point.</w:t>
      </w:r>
    </w:p>
    <w:p w14:paraId="1FCC76E4" w14:textId="77777777" w:rsidR="008A0348" w:rsidRPr="00A0468B" w:rsidRDefault="008A0348" w:rsidP="00A0468B">
      <w:pPr>
        <w:spacing w:line="276" w:lineRule="auto"/>
        <w:jc w:val="both"/>
        <w:rPr>
          <w:rFonts w:eastAsia="Times New Roman" w:cs="Times New Roman"/>
        </w:rPr>
      </w:pPr>
    </w:p>
    <w:p w14:paraId="28D30C7B" w14:textId="31C7F9AC" w:rsidR="00A0468B" w:rsidRPr="00A0468B" w:rsidRDefault="00A0468B" w:rsidP="00A0468B">
      <w:pPr>
        <w:spacing w:line="276" w:lineRule="auto"/>
        <w:jc w:val="both"/>
        <w:rPr>
          <w:rFonts w:eastAsia="Times New Roman" w:cs="Times New Roman"/>
        </w:rPr>
      </w:pPr>
      <w:r w:rsidRPr="00A0468B">
        <w:rPr>
          <w:rFonts w:eastAsia="Times New Roman" w:cs="Times New Roman"/>
          <w:b/>
          <w:bCs/>
          <w:color w:val="000000"/>
        </w:rPr>
        <w:t>Keywords:</w:t>
      </w:r>
      <w:r w:rsidRPr="00A0468B">
        <w:rPr>
          <w:rFonts w:eastAsia="Times New Roman" w:cs="Times New Roman"/>
          <w:color w:val="000000"/>
        </w:rPr>
        <w:t xml:space="preserve"> enactivism</w:t>
      </w:r>
      <w:r>
        <w:rPr>
          <w:rFonts w:eastAsia="Times New Roman" w:cs="Times New Roman"/>
          <w:color w:val="000000"/>
        </w:rPr>
        <w:t>;</w:t>
      </w:r>
      <w:r w:rsidRPr="00A0468B">
        <w:rPr>
          <w:rFonts w:eastAsia="Times New Roman" w:cs="Times New Roman"/>
          <w:color w:val="000000"/>
        </w:rPr>
        <w:t xml:space="preserve"> evolution</w:t>
      </w:r>
      <w:r>
        <w:rPr>
          <w:rFonts w:eastAsia="Times New Roman" w:cs="Times New Roman"/>
          <w:color w:val="000000"/>
        </w:rPr>
        <w:t>;</w:t>
      </w:r>
      <w:r w:rsidRPr="00A0468B">
        <w:rPr>
          <w:rFonts w:eastAsia="Times New Roman" w:cs="Times New Roman"/>
          <w:color w:val="000000"/>
        </w:rPr>
        <w:t xml:space="preserve"> niche construction</w:t>
      </w:r>
      <w:r>
        <w:rPr>
          <w:rFonts w:eastAsia="Times New Roman" w:cs="Times New Roman"/>
          <w:color w:val="000000"/>
        </w:rPr>
        <w:t xml:space="preserve">; </w:t>
      </w:r>
      <w:r w:rsidR="00A623D4">
        <w:rPr>
          <w:rFonts w:eastAsia="Times New Roman" w:cs="Times New Roman"/>
          <w:color w:val="000000"/>
        </w:rPr>
        <w:t xml:space="preserve">social construction; </w:t>
      </w:r>
      <w:r>
        <w:rPr>
          <w:rFonts w:eastAsia="Times New Roman" w:cs="Times New Roman"/>
          <w:color w:val="000000"/>
        </w:rPr>
        <w:t>natural drift</w:t>
      </w:r>
      <w:r w:rsidRPr="00A0468B">
        <w:rPr>
          <w:rFonts w:eastAsia="Times New Roman" w:cs="Times New Roman"/>
          <w:color w:val="000000"/>
        </w:rPr>
        <w:t>.</w:t>
      </w:r>
    </w:p>
    <w:p w14:paraId="0A78B0AC" w14:textId="77777777" w:rsidR="00F415E1" w:rsidRPr="00C4476D" w:rsidRDefault="00F415E1" w:rsidP="00B840DA">
      <w:pPr>
        <w:spacing w:line="360" w:lineRule="auto"/>
        <w:jc w:val="both"/>
        <w:rPr>
          <w:b/>
          <w:bCs/>
        </w:rPr>
      </w:pPr>
    </w:p>
    <w:p w14:paraId="44E64277" w14:textId="16B9FF0B" w:rsidR="00BA6201" w:rsidRPr="00C4476D" w:rsidRDefault="00532B96" w:rsidP="00B840DA">
      <w:pPr>
        <w:spacing w:line="360" w:lineRule="auto"/>
        <w:jc w:val="both"/>
        <w:rPr>
          <w:b/>
          <w:bCs/>
        </w:rPr>
      </w:pPr>
      <w:r w:rsidRPr="00C4476D">
        <w:rPr>
          <w:b/>
          <w:bCs/>
        </w:rPr>
        <w:t xml:space="preserve">1. </w:t>
      </w:r>
      <w:r w:rsidR="008823AC" w:rsidRPr="00C4476D">
        <w:rPr>
          <w:b/>
          <w:bCs/>
        </w:rPr>
        <w:t>Introduction</w:t>
      </w:r>
    </w:p>
    <w:p w14:paraId="3D994B98" w14:textId="77777777" w:rsidR="008823AC" w:rsidRPr="00C4476D" w:rsidRDefault="008823AC">
      <w:pPr>
        <w:rPr>
          <w:b/>
          <w:bCs/>
        </w:rPr>
      </w:pPr>
    </w:p>
    <w:p w14:paraId="3FFD6A29" w14:textId="77DE6DA0" w:rsidR="00532B96" w:rsidRPr="00C4476D" w:rsidRDefault="00532B96">
      <w:pPr>
        <w:rPr>
          <w:b/>
          <w:bCs/>
        </w:rPr>
      </w:pPr>
    </w:p>
    <w:p w14:paraId="7A027AC4" w14:textId="073837C1" w:rsidR="006C169B" w:rsidRPr="00C4476D" w:rsidRDefault="00532B96" w:rsidP="008823AC">
      <w:pPr>
        <w:spacing w:line="360" w:lineRule="auto"/>
        <w:ind w:firstLine="720"/>
        <w:jc w:val="both"/>
        <w:rPr>
          <w:rFonts w:eastAsia="Times New Roman" w:cs="Times New Roman"/>
          <w:color w:val="000000"/>
        </w:rPr>
      </w:pPr>
      <w:r w:rsidRPr="00C4476D">
        <w:rPr>
          <w:rFonts w:eastAsia="Times New Roman" w:cs="Times New Roman"/>
          <w:color w:val="000000"/>
        </w:rPr>
        <w:t xml:space="preserve">Enactivism was originally proposed in </w:t>
      </w:r>
      <w:r w:rsidRPr="00C4476D">
        <w:rPr>
          <w:rFonts w:eastAsia="Times New Roman" w:cs="Times New Roman"/>
          <w:i/>
          <w:iCs/>
          <w:color w:val="000000"/>
        </w:rPr>
        <w:t>The Embodied Mind</w:t>
      </w:r>
      <w:r w:rsidR="00A66CEC" w:rsidRPr="00C4476D">
        <w:rPr>
          <w:rFonts w:eastAsia="Times New Roman" w:cs="Times New Roman"/>
          <w:color w:val="000000"/>
        </w:rPr>
        <w:t xml:space="preserve"> (henceforth TEM)</w:t>
      </w:r>
      <w:r w:rsidRPr="00C4476D">
        <w:rPr>
          <w:rFonts w:eastAsia="Times New Roman" w:cs="Times New Roman"/>
          <w:i/>
          <w:iCs/>
          <w:color w:val="000000"/>
        </w:rPr>
        <w:t xml:space="preserve"> </w:t>
      </w:r>
      <w:r w:rsidRPr="00C4476D">
        <w:rPr>
          <w:rFonts w:eastAsia="Times New Roman" w:cs="Times New Roman"/>
          <w:color w:val="000000"/>
        </w:rPr>
        <w:t>by Varela, Thompson and Rosch</w:t>
      </w:r>
      <w:r w:rsidR="00B34006" w:rsidRPr="00C4476D">
        <w:rPr>
          <w:rFonts w:eastAsia="Times New Roman" w:cs="Times New Roman"/>
          <w:color w:val="000000"/>
        </w:rPr>
        <w:t xml:space="preserve"> </w:t>
      </w:r>
      <w:r w:rsidR="00B34006" w:rsidRPr="00C4476D">
        <w:rPr>
          <w:rFonts w:eastAsia="Times New Roman" w:cs="Times New Roman"/>
          <w:color w:val="000000"/>
        </w:rPr>
        <w:fldChar w:fldCharType="begin" w:fldLock="1"/>
      </w:r>
      <w:r w:rsidR="00514656" w:rsidRPr="00C4476D">
        <w:rPr>
          <w:rFonts w:eastAsia="Times New Roman" w:cs="Times New Roman"/>
          <w:color w:val="000000"/>
        </w:rPr>
        <w:instrText>ADDIN CSL_CITATION {"citationItems":[{"id":"ITEM-1","itemData":{"ISBN":"9780262529365","author":[{"dropping-particle":"","family":"Varela","given":"Francisco J.","non-dropping-particle":"","parse-names":false,"suffix":""},{"dropping-particle":"","family":"Thompson","given":"Evan","non-dropping-particle":"","parse-names":false,"suffix":""},{"dropping-particle":"","family":"Rosch","given":"Eleanor","non-dropping-particle":"","parse-names":false,"suffix":""}],"edition":"Revised Ed","id":"ITEM-1","issued":{"date-parts":[["2016"]]},"publisher":"The MIT Press","publisher-place":"Cambridge, Massachusetts","title":"The Embodied Mind","type":"book"},"prefix":"1991/","suppress-author":1,"uris":["http://www.mendeley.com/documents/?uuid=2567a916-224b-4d0f-8c31-0987f0b1079a"]}],"mendeley":{"formattedCitation":"(1991/2016)","plainTextFormattedCitation":"(1991/2016)","previouslyFormattedCitation":"(1991/2016)"},"properties":{"noteIndex":0},"schema":"https://github.com/citation-style-language/schema/raw/master/csl-citation.json"}</w:instrText>
      </w:r>
      <w:r w:rsidR="00B34006" w:rsidRPr="00C4476D">
        <w:rPr>
          <w:rFonts w:eastAsia="Times New Roman" w:cs="Times New Roman"/>
          <w:color w:val="000000"/>
        </w:rPr>
        <w:fldChar w:fldCharType="separate"/>
      </w:r>
      <w:r w:rsidR="00514656" w:rsidRPr="00C4476D">
        <w:rPr>
          <w:rFonts w:eastAsia="Times New Roman" w:cs="Times New Roman"/>
          <w:noProof/>
          <w:color w:val="000000"/>
        </w:rPr>
        <w:t>(1991/2016)</w:t>
      </w:r>
      <w:r w:rsidR="00B34006" w:rsidRPr="00C4476D">
        <w:rPr>
          <w:rFonts w:eastAsia="Times New Roman" w:cs="Times New Roman"/>
          <w:color w:val="000000"/>
        </w:rPr>
        <w:fldChar w:fldCharType="end"/>
      </w:r>
      <w:r w:rsidRPr="00C4476D">
        <w:rPr>
          <w:rFonts w:eastAsia="Times New Roman" w:cs="Times New Roman"/>
          <w:color w:val="000000"/>
        </w:rPr>
        <w:t xml:space="preserve"> as a novel way of understanding cognition and life</w:t>
      </w:r>
      <w:r w:rsidR="006C169B" w:rsidRPr="00C4476D">
        <w:rPr>
          <w:rFonts w:eastAsia="Times New Roman" w:cs="Times New Roman"/>
          <w:color w:val="000000"/>
        </w:rPr>
        <w:t xml:space="preserve"> by advancing a dialogue between the investigations about the mind and human experience</w:t>
      </w:r>
      <w:r w:rsidR="000623E3" w:rsidRPr="00C4476D">
        <w:rPr>
          <w:rFonts w:eastAsia="Times New Roman" w:cs="Times New Roman"/>
          <w:color w:val="000000"/>
        </w:rPr>
        <w:t xml:space="preserve">. </w:t>
      </w:r>
      <w:r w:rsidRPr="00C4476D">
        <w:rPr>
          <w:rFonts w:eastAsia="Times New Roman" w:cs="Times New Roman"/>
          <w:color w:val="000000"/>
        </w:rPr>
        <w:t xml:space="preserve">Their </w:t>
      </w:r>
      <w:r w:rsidR="00B955B8">
        <w:rPr>
          <w:rFonts w:eastAsia="Times New Roman" w:cs="Times New Roman"/>
          <w:color w:val="000000"/>
        </w:rPr>
        <w:t>original</w:t>
      </w:r>
      <w:r w:rsidRPr="00C4476D">
        <w:rPr>
          <w:rFonts w:eastAsia="Times New Roman" w:cs="Times New Roman"/>
          <w:color w:val="000000"/>
        </w:rPr>
        <w:t xml:space="preserve"> idea </w:t>
      </w:r>
      <w:r w:rsidR="009A516D" w:rsidRPr="00C4476D">
        <w:rPr>
          <w:rFonts w:eastAsia="Times New Roman" w:cs="Times New Roman"/>
          <w:color w:val="000000"/>
        </w:rPr>
        <w:t>is</w:t>
      </w:r>
      <w:r w:rsidRPr="00C4476D">
        <w:rPr>
          <w:rFonts w:eastAsia="Times New Roman" w:cs="Times New Roman"/>
          <w:color w:val="000000"/>
        </w:rPr>
        <w:t xml:space="preserve"> </w:t>
      </w:r>
      <w:r w:rsidR="009A516D" w:rsidRPr="00C4476D">
        <w:rPr>
          <w:rFonts w:eastAsia="Times New Roman" w:cs="Times New Roman"/>
          <w:color w:val="000000"/>
        </w:rPr>
        <w:t xml:space="preserve">that </w:t>
      </w:r>
      <w:r w:rsidR="00B96744" w:rsidRPr="00C4476D">
        <w:rPr>
          <w:rFonts w:eastAsia="Times New Roman" w:cs="Times New Roman"/>
          <w:color w:val="000000"/>
        </w:rPr>
        <w:t xml:space="preserve">a </w:t>
      </w:r>
      <w:r w:rsidRPr="00C4476D">
        <w:rPr>
          <w:rFonts w:eastAsia="Times New Roman" w:cs="Times New Roman"/>
          <w:color w:val="000000"/>
        </w:rPr>
        <w:t xml:space="preserve">cognitive agent </w:t>
      </w:r>
      <w:r w:rsidR="00B96744" w:rsidRPr="00C4476D">
        <w:rPr>
          <w:rFonts w:eastAsia="Times New Roman" w:cs="Times New Roman"/>
          <w:color w:val="000000"/>
        </w:rPr>
        <w:t>is an</w:t>
      </w:r>
      <w:r w:rsidRPr="00C4476D">
        <w:rPr>
          <w:rFonts w:eastAsia="Times New Roman" w:cs="Times New Roman"/>
          <w:color w:val="000000"/>
        </w:rPr>
        <w:t xml:space="preserve"> autonomous system, that is, </w:t>
      </w:r>
      <w:r w:rsidR="00B96744" w:rsidRPr="00C4476D">
        <w:rPr>
          <w:rFonts w:eastAsia="Times New Roman" w:cs="Times New Roman"/>
          <w:color w:val="000000"/>
        </w:rPr>
        <w:t xml:space="preserve">an </w:t>
      </w:r>
      <w:r w:rsidR="00111760" w:rsidRPr="00C4476D">
        <w:rPr>
          <w:rFonts w:eastAsia="Times New Roman" w:cs="Times New Roman"/>
          <w:color w:val="000000"/>
        </w:rPr>
        <w:t xml:space="preserve">operationally closed, </w:t>
      </w:r>
      <w:r w:rsidRPr="00C4476D">
        <w:rPr>
          <w:rFonts w:eastAsia="Times New Roman" w:cs="Times New Roman"/>
          <w:color w:val="000000"/>
        </w:rPr>
        <w:t>self-organizing network of components that dynamically connect to each other in multiple ways</w:t>
      </w:r>
      <w:r w:rsidR="00B96744" w:rsidRPr="00C4476D">
        <w:rPr>
          <w:rFonts w:eastAsia="Times New Roman" w:cs="Times New Roman"/>
          <w:color w:val="000000"/>
        </w:rPr>
        <w:t xml:space="preserve">. As organisms enact their autonomy, they establish </w:t>
      </w:r>
      <w:r w:rsidRPr="00C4476D">
        <w:rPr>
          <w:rFonts w:eastAsia="Times New Roman" w:cs="Times New Roman"/>
          <w:color w:val="000000"/>
        </w:rPr>
        <w:t xml:space="preserve">patterns of </w:t>
      </w:r>
      <w:r w:rsidR="006C169B" w:rsidRPr="00C4476D">
        <w:rPr>
          <w:rFonts w:eastAsia="Times New Roman" w:cs="Times New Roman"/>
          <w:color w:val="000000"/>
        </w:rPr>
        <w:t xml:space="preserve">correlation between movement and sensory stimulation </w:t>
      </w:r>
      <w:r w:rsidRPr="00C4476D">
        <w:rPr>
          <w:rFonts w:eastAsia="Times New Roman" w:cs="Times New Roman"/>
          <w:color w:val="000000"/>
        </w:rPr>
        <w:t>that</w:t>
      </w:r>
      <w:r w:rsidR="0029440E" w:rsidRPr="00C4476D">
        <w:rPr>
          <w:rFonts w:eastAsia="Times New Roman" w:cs="Times New Roman"/>
          <w:color w:val="000000"/>
        </w:rPr>
        <w:t xml:space="preserve"> simultaneously distinguish the agent from its environment and</w:t>
      </w:r>
      <w:r w:rsidRPr="00C4476D">
        <w:rPr>
          <w:rFonts w:eastAsia="Times New Roman" w:cs="Times New Roman"/>
          <w:color w:val="000000"/>
        </w:rPr>
        <w:t xml:space="preserve"> </w:t>
      </w:r>
      <w:r w:rsidR="006C169B" w:rsidRPr="00C4476D">
        <w:rPr>
          <w:rFonts w:eastAsia="Times New Roman" w:cs="Times New Roman"/>
          <w:color w:val="000000"/>
        </w:rPr>
        <w:t xml:space="preserve">identify meaningful relations </w:t>
      </w:r>
      <w:r w:rsidR="00B96744" w:rsidRPr="00C4476D">
        <w:rPr>
          <w:rFonts w:eastAsia="Times New Roman" w:cs="Times New Roman"/>
          <w:color w:val="000000"/>
        </w:rPr>
        <w:t>within it</w:t>
      </w:r>
      <w:r w:rsidR="006C169B" w:rsidRPr="00C4476D">
        <w:rPr>
          <w:rFonts w:eastAsia="Times New Roman" w:cs="Times New Roman"/>
          <w:color w:val="000000"/>
        </w:rPr>
        <w:t>. Cognitive structure</w:t>
      </w:r>
      <w:r w:rsidR="00A66CEC" w:rsidRPr="00C4476D">
        <w:rPr>
          <w:rFonts w:eastAsia="Times New Roman" w:cs="Times New Roman"/>
          <w:color w:val="000000"/>
        </w:rPr>
        <w:t>s</w:t>
      </w:r>
      <w:r w:rsidR="006C169B" w:rsidRPr="00C4476D">
        <w:rPr>
          <w:rFonts w:eastAsia="Times New Roman" w:cs="Times New Roman"/>
          <w:color w:val="000000"/>
        </w:rPr>
        <w:t xml:space="preserve"> thus emerge from </w:t>
      </w:r>
      <w:r w:rsidR="00574ABB" w:rsidRPr="00C4476D">
        <w:rPr>
          <w:rFonts w:eastAsia="Times New Roman" w:cs="Times New Roman"/>
          <w:color w:val="000000"/>
        </w:rPr>
        <w:t xml:space="preserve">enaction, that is, </w:t>
      </w:r>
      <w:r w:rsidR="006C169B" w:rsidRPr="00C4476D">
        <w:rPr>
          <w:rFonts w:eastAsia="Times New Roman" w:cs="Times New Roman"/>
          <w:color w:val="000000"/>
        </w:rPr>
        <w:t xml:space="preserve">‘the recurrent sensorimotor patterns that enable action to be perceptually </w:t>
      </w:r>
      <w:r w:rsidR="006C169B" w:rsidRPr="00C4476D">
        <w:rPr>
          <w:rFonts w:eastAsia="Times New Roman" w:cs="Times New Roman"/>
          <w:color w:val="000000"/>
        </w:rPr>
        <w:lastRenderedPageBreak/>
        <w:t xml:space="preserve">guided’ </w:t>
      </w:r>
      <w:r w:rsidR="003A026D" w:rsidRPr="0088182A">
        <w:rPr>
          <w:rFonts w:eastAsia="Times New Roman" w:cs="Times New Roman"/>
          <w:color w:val="000000"/>
        </w:rPr>
        <w:t>(</w:t>
      </w:r>
      <w:r w:rsidR="00D27A2D" w:rsidRPr="0088182A">
        <w:rPr>
          <w:rFonts w:eastAsia="Times New Roman" w:cs="Times New Roman"/>
          <w:color w:val="000000"/>
        </w:rPr>
        <w:t>Varela et al.</w:t>
      </w:r>
      <w:r w:rsidR="0088182A">
        <w:rPr>
          <w:rFonts w:eastAsia="Times New Roman" w:cs="Times New Roman"/>
          <w:color w:val="000000"/>
        </w:rPr>
        <w:t>,</w:t>
      </w:r>
      <w:r w:rsidR="00D27A2D" w:rsidRPr="0088182A">
        <w:rPr>
          <w:rFonts w:eastAsia="Times New Roman" w:cs="Times New Roman"/>
          <w:color w:val="000000"/>
        </w:rPr>
        <w:t xml:space="preserve"> 2016</w:t>
      </w:r>
      <w:r w:rsidR="003A026D" w:rsidRPr="0088182A">
        <w:rPr>
          <w:rFonts w:eastAsia="Times New Roman" w:cs="Times New Roman"/>
          <w:color w:val="000000"/>
        </w:rPr>
        <w:t>, p. 173)</w:t>
      </w:r>
      <w:r w:rsidR="00873DC0" w:rsidRPr="0088182A">
        <w:rPr>
          <w:rFonts w:eastAsia="Times New Roman" w:cs="Times New Roman"/>
          <w:color w:val="000000"/>
        </w:rPr>
        <w:t>.</w:t>
      </w:r>
      <w:r w:rsidR="00873DC0" w:rsidRPr="00C4476D">
        <w:rPr>
          <w:rFonts w:eastAsia="Times New Roman" w:cs="Times New Roman"/>
          <w:color w:val="000000"/>
        </w:rPr>
        <w:t xml:space="preserve"> </w:t>
      </w:r>
      <w:r w:rsidR="00766510">
        <w:rPr>
          <w:rFonts w:eastAsia="Times New Roman" w:cs="Times New Roman"/>
          <w:color w:val="000000"/>
        </w:rPr>
        <w:t>As the authors of TEM put it</w:t>
      </w:r>
      <w:r w:rsidR="008823AC" w:rsidRPr="00C4476D">
        <w:rPr>
          <w:rFonts w:eastAsia="Times New Roman" w:cs="Times New Roman"/>
          <w:color w:val="000000"/>
        </w:rPr>
        <w:t xml:space="preserve">, a cognitive agent </w:t>
      </w:r>
      <w:r w:rsidR="008823AC" w:rsidRPr="00C4476D">
        <w:rPr>
          <w:rFonts w:eastAsia="Times New Roman" w:cs="Times New Roman"/>
          <w:i/>
          <w:iCs/>
          <w:color w:val="000000"/>
        </w:rPr>
        <w:t>brings forth a world</w:t>
      </w:r>
      <w:r w:rsidR="008823AC" w:rsidRPr="00C4476D">
        <w:rPr>
          <w:rFonts w:eastAsia="Times New Roman" w:cs="Times New Roman"/>
          <w:color w:val="000000"/>
        </w:rPr>
        <w:t xml:space="preserve"> as it acts.</w:t>
      </w:r>
    </w:p>
    <w:p w14:paraId="661BA0D7" w14:textId="712AF685" w:rsidR="00176748" w:rsidRPr="00766510" w:rsidRDefault="00A66CEC" w:rsidP="008823AC">
      <w:pPr>
        <w:spacing w:line="360" w:lineRule="auto"/>
        <w:ind w:firstLine="720"/>
        <w:jc w:val="both"/>
        <w:rPr>
          <w:rFonts w:eastAsia="Times New Roman" w:cs="Times New Roman"/>
          <w:color w:val="000000"/>
          <w:lang w:val="de-DE"/>
        </w:rPr>
      </w:pPr>
      <w:r w:rsidRPr="00C4476D">
        <w:rPr>
          <w:rFonts w:eastAsia="Times New Roman" w:cs="Times New Roman"/>
          <w:color w:val="000000"/>
        </w:rPr>
        <w:t>E</w:t>
      </w:r>
      <w:r w:rsidR="006C169B" w:rsidRPr="00C4476D">
        <w:rPr>
          <w:rFonts w:eastAsia="Times New Roman" w:cs="Times New Roman"/>
          <w:color w:val="000000"/>
        </w:rPr>
        <w:t>naction</w:t>
      </w:r>
      <w:r w:rsidR="00574ABB" w:rsidRPr="00C4476D">
        <w:rPr>
          <w:rFonts w:eastAsia="Times New Roman" w:cs="Times New Roman"/>
          <w:color w:val="000000"/>
        </w:rPr>
        <w:t xml:space="preserve"> is</w:t>
      </w:r>
      <w:r w:rsidR="006C169B" w:rsidRPr="00C4476D">
        <w:rPr>
          <w:rFonts w:eastAsia="Times New Roman" w:cs="Times New Roman"/>
          <w:color w:val="000000"/>
        </w:rPr>
        <w:t xml:space="preserve"> at the core of an ambitious project </w:t>
      </w:r>
      <w:r w:rsidRPr="00C4476D">
        <w:rPr>
          <w:rFonts w:eastAsia="Times New Roman" w:cs="Times New Roman"/>
          <w:color w:val="000000"/>
        </w:rPr>
        <w:t>with three related goals. F</w:t>
      </w:r>
      <w:r w:rsidR="006C169B" w:rsidRPr="00C4476D">
        <w:rPr>
          <w:rFonts w:eastAsia="Times New Roman" w:cs="Times New Roman"/>
          <w:color w:val="000000"/>
        </w:rPr>
        <w:t xml:space="preserve">irst and foremost, </w:t>
      </w:r>
      <w:r w:rsidRPr="00C4476D">
        <w:rPr>
          <w:rFonts w:eastAsia="Times New Roman" w:cs="Times New Roman"/>
          <w:color w:val="000000"/>
        </w:rPr>
        <w:t>enactivists aim to present a viable alternative to</w:t>
      </w:r>
      <w:r w:rsidR="006C169B" w:rsidRPr="00C4476D">
        <w:rPr>
          <w:rFonts w:eastAsia="Times New Roman" w:cs="Times New Roman"/>
          <w:color w:val="000000"/>
        </w:rPr>
        <w:t xml:space="preserve"> cognitivism</w:t>
      </w:r>
      <w:r w:rsidR="00574ABB" w:rsidRPr="00C4476D">
        <w:rPr>
          <w:rFonts w:eastAsia="Times New Roman" w:cs="Times New Roman"/>
          <w:color w:val="000000"/>
        </w:rPr>
        <w:t>, the</w:t>
      </w:r>
      <w:r w:rsidR="006C169B" w:rsidRPr="00C4476D">
        <w:rPr>
          <w:rFonts w:eastAsia="Times New Roman" w:cs="Times New Roman"/>
          <w:color w:val="000000"/>
        </w:rPr>
        <w:t xml:space="preserve"> view </w:t>
      </w:r>
      <w:r w:rsidR="00574ABB" w:rsidRPr="00C4476D">
        <w:rPr>
          <w:rFonts w:eastAsia="Times New Roman" w:cs="Times New Roman"/>
          <w:color w:val="000000"/>
        </w:rPr>
        <w:t>that</w:t>
      </w:r>
      <w:r w:rsidR="006C169B" w:rsidRPr="00C4476D">
        <w:rPr>
          <w:rFonts w:eastAsia="Times New Roman" w:cs="Times New Roman"/>
          <w:color w:val="000000"/>
        </w:rPr>
        <w:t xml:space="preserve"> </w:t>
      </w:r>
      <w:r w:rsidR="00574ABB" w:rsidRPr="00C4476D">
        <w:rPr>
          <w:rFonts w:eastAsia="Times New Roman" w:cs="Times New Roman"/>
          <w:color w:val="000000"/>
        </w:rPr>
        <w:t xml:space="preserve">cognition can be sufficiently understood by describing the </w:t>
      </w:r>
      <w:r w:rsidRPr="00C4476D">
        <w:rPr>
          <w:rFonts w:eastAsia="Times New Roman" w:cs="Times New Roman"/>
          <w:color w:val="000000"/>
        </w:rPr>
        <w:t xml:space="preserve">cognitive system’s </w:t>
      </w:r>
      <w:r w:rsidR="00574ABB" w:rsidRPr="00C4476D">
        <w:rPr>
          <w:rFonts w:eastAsia="Times New Roman" w:cs="Times New Roman"/>
          <w:color w:val="000000"/>
        </w:rPr>
        <w:t xml:space="preserve">computations over </w:t>
      </w:r>
      <w:r w:rsidR="00617ED3" w:rsidRPr="00C4476D">
        <w:rPr>
          <w:rFonts w:eastAsia="Times New Roman" w:cs="Times New Roman"/>
          <w:color w:val="000000"/>
        </w:rPr>
        <w:t>internal</w:t>
      </w:r>
      <w:r w:rsidRPr="00C4476D">
        <w:rPr>
          <w:rFonts w:eastAsia="Times New Roman" w:cs="Times New Roman"/>
          <w:color w:val="000000"/>
        </w:rPr>
        <w:t xml:space="preserve"> </w:t>
      </w:r>
      <w:r w:rsidR="00574ABB" w:rsidRPr="00C4476D">
        <w:rPr>
          <w:rFonts w:eastAsia="Times New Roman" w:cs="Times New Roman"/>
          <w:color w:val="000000"/>
        </w:rPr>
        <w:t>representations</w:t>
      </w:r>
      <w:r w:rsidR="00617ED3" w:rsidRPr="00C4476D">
        <w:rPr>
          <w:rFonts w:eastAsia="Times New Roman" w:cs="Times New Roman"/>
          <w:color w:val="000000"/>
        </w:rPr>
        <w:t xml:space="preserve">. </w:t>
      </w:r>
      <w:r w:rsidR="000D239E" w:rsidRPr="00C4476D">
        <w:rPr>
          <w:rFonts w:eastAsia="Times New Roman" w:cs="Times New Roman"/>
          <w:color w:val="000000"/>
        </w:rPr>
        <w:t>Adherents to cognitivism</w:t>
      </w:r>
      <w:r w:rsidR="0029440E" w:rsidRPr="00C4476D">
        <w:rPr>
          <w:rFonts w:eastAsia="Times New Roman" w:cs="Times New Roman"/>
          <w:color w:val="000000"/>
        </w:rPr>
        <w:t xml:space="preserve"> </w:t>
      </w:r>
      <w:r w:rsidR="000D239E" w:rsidRPr="00C4476D">
        <w:rPr>
          <w:rFonts w:eastAsia="Times New Roman" w:cs="Times New Roman"/>
          <w:color w:val="000000"/>
        </w:rPr>
        <w:t xml:space="preserve">typically </w:t>
      </w:r>
      <w:r w:rsidR="0029440E" w:rsidRPr="00C4476D">
        <w:rPr>
          <w:rFonts w:eastAsia="Times New Roman" w:cs="Times New Roman"/>
          <w:color w:val="000000"/>
        </w:rPr>
        <w:t>assume that</w:t>
      </w:r>
      <w:r w:rsidR="00617ED3" w:rsidRPr="00C4476D">
        <w:rPr>
          <w:rFonts w:eastAsia="Times New Roman" w:cs="Times New Roman"/>
          <w:color w:val="000000"/>
        </w:rPr>
        <w:t xml:space="preserve"> this</w:t>
      </w:r>
      <w:r w:rsidR="0029440E" w:rsidRPr="00C4476D">
        <w:rPr>
          <w:rFonts w:eastAsia="Times New Roman" w:cs="Times New Roman"/>
          <w:color w:val="000000"/>
        </w:rPr>
        <w:t xml:space="preserve"> project</w:t>
      </w:r>
      <w:r w:rsidR="00617ED3" w:rsidRPr="00C4476D">
        <w:rPr>
          <w:rFonts w:eastAsia="Times New Roman" w:cs="Times New Roman"/>
          <w:color w:val="000000"/>
        </w:rPr>
        <w:t xml:space="preserve"> can be carried out</w:t>
      </w:r>
      <w:r w:rsidR="00574ABB" w:rsidRPr="00C4476D">
        <w:rPr>
          <w:rFonts w:eastAsia="Times New Roman" w:cs="Times New Roman"/>
          <w:color w:val="000000"/>
        </w:rPr>
        <w:t xml:space="preserve"> in</w:t>
      </w:r>
      <w:r w:rsidR="00617ED3" w:rsidRPr="00C4476D">
        <w:rPr>
          <w:rFonts w:eastAsia="Times New Roman" w:cs="Times New Roman"/>
          <w:color w:val="000000"/>
        </w:rPr>
        <w:t xml:space="preserve"> </w:t>
      </w:r>
      <w:r w:rsidR="00574ABB" w:rsidRPr="00C4476D">
        <w:rPr>
          <w:rFonts w:eastAsia="Times New Roman" w:cs="Times New Roman"/>
          <w:color w:val="000000"/>
        </w:rPr>
        <w:t xml:space="preserve">abstraction from the organism’s bodily morphology, its actions and its environmental setting. </w:t>
      </w:r>
      <w:r w:rsidR="0029440E" w:rsidRPr="00C4476D">
        <w:rPr>
          <w:rFonts w:eastAsia="Times New Roman" w:cs="Times New Roman"/>
          <w:color w:val="000000"/>
        </w:rPr>
        <w:t>Enactivis</w:t>
      </w:r>
      <w:r w:rsidR="000D239E" w:rsidRPr="00C4476D">
        <w:rPr>
          <w:rFonts w:eastAsia="Times New Roman" w:cs="Times New Roman"/>
          <w:color w:val="000000"/>
        </w:rPr>
        <w:t>ts</w:t>
      </w:r>
      <w:r w:rsidR="0029440E" w:rsidRPr="00C4476D">
        <w:rPr>
          <w:rFonts w:eastAsia="Times New Roman" w:cs="Times New Roman"/>
          <w:color w:val="000000"/>
        </w:rPr>
        <w:t>, on the other hand, reject</w:t>
      </w:r>
      <w:r w:rsidRPr="00C4476D">
        <w:rPr>
          <w:rFonts w:eastAsia="Times New Roman" w:cs="Times New Roman"/>
          <w:color w:val="000000"/>
        </w:rPr>
        <w:t xml:space="preserve"> positing mental representations and computational procedures</w:t>
      </w:r>
      <w:r w:rsidR="009A516D" w:rsidRPr="00C4476D">
        <w:rPr>
          <w:rFonts w:eastAsia="Times New Roman" w:cs="Times New Roman"/>
          <w:color w:val="000000"/>
        </w:rPr>
        <w:t xml:space="preserve"> in explanations of cognition</w:t>
      </w:r>
      <w:r w:rsidR="00B96744" w:rsidRPr="00C4476D">
        <w:rPr>
          <w:rFonts w:eastAsia="Times New Roman" w:cs="Times New Roman"/>
          <w:color w:val="000000"/>
        </w:rPr>
        <w:t xml:space="preserve">. Instead, they aim </w:t>
      </w:r>
      <w:r w:rsidR="0029440E" w:rsidRPr="00C4476D">
        <w:rPr>
          <w:rFonts w:eastAsia="Times New Roman" w:cs="Times New Roman"/>
          <w:color w:val="000000"/>
        </w:rPr>
        <w:t>to</w:t>
      </w:r>
      <w:r w:rsidRPr="00C4476D">
        <w:rPr>
          <w:rFonts w:eastAsia="Times New Roman" w:cs="Times New Roman"/>
          <w:color w:val="000000"/>
        </w:rPr>
        <w:t xml:space="preserve"> </w:t>
      </w:r>
      <w:r w:rsidR="0029440E" w:rsidRPr="00C4476D">
        <w:rPr>
          <w:rFonts w:eastAsia="Times New Roman" w:cs="Times New Roman"/>
          <w:color w:val="000000"/>
        </w:rPr>
        <w:t xml:space="preserve">explain </w:t>
      </w:r>
      <w:r w:rsidR="00617ED3" w:rsidRPr="00C4476D">
        <w:rPr>
          <w:rFonts w:eastAsia="Times New Roman" w:cs="Times New Roman"/>
          <w:color w:val="000000"/>
        </w:rPr>
        <w:t>cognitive performances</w:t>
      </w:r>
      <w:r w:rsidR="000D239E" w:rsidRPr="00C4476D">
        <w:rPr>
          <w:rFonts w:eastAsia="Times New Roman" w:cs="Times New Roman"/>
          <w:color w:val="000000"/>
        </w:rPr>
        <w:t xml:space="preserve"> </w:t>
      </w:r>
      <w:r w:rsidR="00873DC0" w:rsidRPr="00C4476D">
        <w:rPr>
          <w:rFonts w:eastAsia="Times New Roman" w:cs="Times New Roman"/>
          <w:color w:val="000000"/>
        </w:rPr>
        <w:t xml:space="preserve">by </w:t>
      </w:r>
      <w:r w:rsidRPr="00C4476D">
        <w:rPr>
          <w:rFonts w:eastAsia="Times New Roman" w:cs="Times New Roman"/>
          <w:color w:val="000000"/>
        </w:rPr>
        <w:t>the</w:t>
      </w:r>
      <w:r w:rsidR="00C32059">
        <w:rPr>
          <w:rFonts w:eastAsia="Times New Roman" w:cs="Times New Roman"/>
          <w:color w:val="000000"/>
        </w:rPr>
        <w:t xml:space="preserve"> organism’s</w:t>
      </w:r>
      <w:r w:rsidRPr="00C4476D">
        <w:rPr>
          <w:rFonts w:eastAsia="Times New Roman" w:cs="Times New Roman"/>
          <w:color w:val="000000"/>
        </w:rPr>
        <w:t xml:space="preserve"> </w:t>
      </w:r>
      <w:r w:rsidR="00873DC0" w:rsidRPr="00C4476D">
        <w:rPr>
          <w:rFonts w:eastAsia="Times New Roman" w:cs="Times New Roman"/>
          <w:color w:val="000000"/>
        </w:rPr>
        <w:t xml:space="preserve">sensorimotor </w:t>
      </w:r>
      <w:r w:rsidRPr="00C4476D">
        <w:rPr>
          <w:rFonts w:eastAsia="Times New Roman" w:cs="Times New Roman"/>
          <w:color w:val="000000"/>
        </w:rPr>
        <w:t>engagement</w:t>
      </w:r>
      <w:r w:rsidR="00C32059">
        <w:rPr>
          <w:rFonts w:eastAsia="Times New Roman" w:cs="Times New Roman"/>
          <w:color w:val="000000"/>
        </w:rPr>
        <w:t>s</w:t>
      </w:r>
      <w:r w:rsidRPr="00C4476D">
        <w:rPr>
          <w:rFonts w:eastAsia="Times New Roman" w:cs="Times New Roman"/>
          <w:color w:val="000000"/>
        </w:rPr>
        <w:t xml:space="preserve"> </w:t>
      </w:r>
      <w:r w:rsidR="00C32059">
        <w:rPr>
          <w:rFonts w:eastAsia="Times New Roman" w:cs="Times New Roman"/>
          <w:color w:val="000000"/>
        </w:rPr>
        <w:t>in</w:t>
      </w:r>
      <w:r w:rsidRPr="00C4476D">
        <w:rPr>
          <w:rFonts w:eastAsia="Times New Roman" w:cs="Times New Roman"/>
          <w:color w:val="000000"/>
        </w:rPr>
        <w:t xml:space="preserve"> </w:t>
      </w:r>
      <w:r w:rsidR="00C32059">
        <w:rPr>
          <w:rFonts w:eastAsia="Times New Roman" w:cs="Times New Roman"/>
          <w:color w:val="000000"/>
        </w:rPr>
        <w:t>its</w:t>
      </w:r>
      <w:r w:rsidRPr="00C4476D">
        <w:rPr>
          <w:rFonts w:eastAsia="Times New Roman" w:cs="Times New Roman"/>
          <w:color w:val="000000"/>
        </w:rPr>
        <w:t xml:space="preserve"> environment</w:t>
      </w:r>
      <w:r w:rsidR="00873DC0" w:rsidRPr="00C4476D">
        <w:rPr>
          <w:rFonts w:eastAsia="Times New Roman" w:cs="Times New Roman"/>
          <w:color w:val="000000"/>
        </w:rPr>
        <w:t>.</w:t>
      </w:r>
      <w:r w:rsidR="00EC0823" w:rsidRPr="00C4476D">
        <w:rPr>
          <w:rFonts w:eastAsia="Times New Roman" w:cs="Times New Roman"/>
          <w:color w:val="000000"/>
        </w:rPr>
        <w:t xml:space="preserve"> </w:t>
      </w:r>
      <w:r w:rsidR="00C32059">
        <w:rPr>
          <w:rFonts w:eastAsia="Times New Roman" w:cs="Times New Roman"/>
          <w:color w:val="000000"/>
        </w:rPr>
        <w:t>Accordingly</w:t>
      </w:r>
      <w:r w:rsidR="00EC0823" w:rsidRPr="00C4476D">
        <w:rPr>
          <w:rFonts w:eastAsia="Times New Roman" w:cs="Times New Roman"/>
          <w:color w:val="000000"/>
        </w:rPr>
        <w:t>, organisms continuously re-organize themselves to maintain their own viability, given their constant exchange of matter and energy with the environment.</w:t>
      </w:r>
      <w:r w:rsidR="00873DC0" w:rsidRPr="00C4476D">
        <w:rPr>
          <w:rFonts w:eastAsia="Times New Roman" w:cs="Times New Roman"/>
          <w:color w:val="000000"/>
        </w:rPr>
        <w:t xml:space="preserve"> </w:t>
      </w:r>
      <w:r w:rsidRPr="00C4476D">
        <w:rPr>
          <w:rFonts w:eastAsia="Times New Roman" w:cs="Times New Roman"/>
          <w:color w:val="000000"/>
        </w:rPr>
        <w:t xml:space="preserve">Broadening the scope of enactivist (and enactivist-inspired) explanations of cognitive performances has been the </w:t>
      </w:r>
      <w:r w:rsidR="00766510">
        <w:rPr>
          <w:rFonts w:eastAsia="Times New Roman" w:cs="Times New Roman"/>
          <w:color w:val="000000"/>
        </w:rPr>
        <w:t xml:space="preserve">one of the </w:t>
      </w:r>
      <w:r w:rsidRPr="00C4476D">
        <w:rPr>
          <w:rFonts w:eastAsia="Times New Roman" w:cs="Times New Roman"/>
          <w:color w:val="000000"/>
        </w:rPr>
        <w:t xml:space="preserve">main </w:t>
      </w:r>
      <w:r w:rsidR="00766510">
        <w:rPr>
          <w:rFonts w:eastAsia="Times New Roman" w:cs="Times New Roman"/>
          <w:color w:val="000000"/>
        </w:rPr>
        <w:t>aims</w:t>
      </w:r>
      <w:r w:rsidRPr="00C4476D">
        <w:rPr>
          <w:rFonts w:eastAsia="Times New Roman" w:cs="Times New Roman"/>
          <w:color w:val="000000"/>
        </w:rPr>
        <w:t xml:space="preserve"> of subsequent literature</w:t>
      </w:r>
      <w:r w:rsidR="0029440E" w:rsidRPr="00C4476D">
        <w:rPr>
          <w:rFonts w:eastAsia="Times New Roman" w:cs="Times New Roman"/>
          <w:color w:val="000000"/>
        </w:rPr>
        <w:t xml:space="preserve"> on embodied cognition</w:t>
      </w:r>
      <w:r w:rsidRPr="00C4476D">
        <w:rPr>
          <w:rFonts w:eastAsia="Times New Roman" w:cs="Times New Roman"/>
          <w:color w:val="000000"/>
        </w:rPr>
        <w:t xml:space="preserve"> </w:t>
      </w:r>
      <w:r w:rsidRPr="00C4476D">
        <w:rPr>
          <w:rFonts w:eastAsia="Times New Roman" w:cs="Times New Roman"/>
          <w:color w:val="000000"/>
        </w:rPr>
        <w:fldChar w:fldCharType="begin" w:fldLock="1"/>
      </w:r>
      <w:r w:rsidR="008A0348">
        <w:rPr>
          <w:rFonts w:eastAsia="Times New Roman" w:cs="Times New Roman"/>
          <w:color w:val="000000"/>
        </w:rPr>
        <w:instrText>ADDIN CSL_CITATION {"citationItems":[{"id":"ITEM-1","itemData":{"DOI":"10.1093/acprof:oso/9780198786849.001.0001","ISBN":"9780198786849","abstract":"This book elaborates a series of contributions to a non-representational theory of action and perception. It is based on current theoretical developments in the enactive approach to life and mind. These enactive ideas are applied and extended to provide a theoretically rich, naturalistic account of sensorimotor meaning and agency. This account supplies non-representational extensions to the sensorimotor approach to perceptual experience based on the notion of the living body as a self-organizing dynamic system in coupling with the environment. The enactive perspective entails the use of world-involving explanations, in which processes external to an agent co-constitute mental phenomena in ways that cannot be reduced to the supply of information for internal processing. These contributions to sensorimotor theories are a dynamical-systems description of different types of sensorimotor regularities or sensorimotor contingencies, a dynamical interpretation of Piaget's theory of equilibration to ground the concept of sensorimotor mastery, and a theory of agency as organized networks of sensorimotor schemes, with its implications for sensorimotor subjectivity. New tools are provided for examining the organization, development, and operation of networks of sensorimotor schemes that compose regional activities and genres of action with their own situated norms. This permits the exploration of new explanations for the phenomenology of agency experience that are favorably contrasted with traditional computational approaches and lead to new empirical predictions. From these proposals, capabilities once beyond the reach of enactive explanations, such as the possibility of virtual actions and the adoption of socially mediated abstract perceptual attitudes, can be addressed.","author":[{"dropping-particle":"","family":"Paolo","given":"Ezequiel","non-dropping-particle":"Di","parse-names":false,"suffix":""},{"dropping-particle":"","family":"Buhrmann","given":"Thomas","non-dropping-particle":"","parse-names":false,"suffix":""},{"dropping-particle":"","family":"Barandiaram","given":"Xabier","non-dropping-particle":"","parse-names":false,"suffix":""}],"id":"ITEM-1","issued":{"date-parts":[["2017"]]},"number-of-pages":"1-296","publisher":"Oxford University Press","publisher-place":"Oxford, New York","title":"Sensorimotor Life: An Enactive Proposal","type":"book"},"uris":["http://www.mendeley.com/documents/?uuid=9491a314-21f0-4904-a5fb-4a1e84efbeea"]},{"id":"ITEM-2","itemData":{"author":[{"dropping-particle":"","family":"Kirchhoff","given":"Michael D.","non-dropping-particle":"","parse-names":false,"suffix":""},{"dropping-particle":"","family":"Robertson","given":"Ian","non-dropping-particle":"","parse-names":false,"suffix":""}],"container-title":"Philosophical Explorations","id":"ITEM-2","issue":"2","issued":{"date-parts":[["2018"]]},"page":"264-281","title":"Enactivism and Predictive Processing: A Non-Representational View","type":"article-journal","volume":"21"},"uris":["http://www.mendeley.com/documents/?uuid=0be79640-bf19-4e6b-8b0c-298d73ff2534"]},{"id":"ITEM-3","itemData":{"DOI":"10.1177/1059712318772778","ISSN":"1059-7123","author":[{"dropping-particle":"","family":"Kiverstein","given":"Julian D","non-dropping-particle":"","parse-names":false,"suffix":""},{"dropping-particle":"","family":"Rietveld","given":"Erik","non-dropping-particle":"","parse-names":false,"suffix":""}],"container-title":"Adaptive Behavior","id":"ITEM-3","issue":"4","issued":{"date-parts":[["2018","8","23"]]},"page":"147-163","title":"Reconceiving representation-hungry cognition: an ecological-enactive proposal","type":"article-journal","volume":"26"},"uris":["http://www.mendeley.com/documents/?uuid=957312f7-2214-442a-89de-50c5140c4120"]},{"id":"ITEM-4","itemData":{"DOI":"10.1007/s11229-016-1269-8","ISSN":"0039-7857","author":[{"dropping-particle":"","family":"Gallagher","given":"Shaun","non-dropping-particle":"","parse-names":false,"suffix":""},{"dropping-particle":"","family":"Allen","given":"Micah","non-dropping-particle":"","parse-names":false,"suffix":""}],"container-title":"Synthese","id":"ITEM-4","issue":"6","issued":{"date-parts":[["2018","6","29"]]},"page":"2627-2648","title":"Active inference, enactivism and the hermeneutics of social cognition","type":"article-journal","volume":"195"},"uris":["http://www.mendeley.com/documents/?uuid=e94d4c57-ccb4-42d3-a67b-ea7ec5b668d5"]},{"id":"ITEM-5","itemData":{"author":[{"dropping-particle":"","family":"Hutto","given":"Daniel D.","non-dropping-particle":"","parse-names":false,"suffix":""},{"dropping-particle":"","family":"Myin","given":"Erik","non-dropping-particle":"","parse-names":false,"suffix":""}],"id":"ITEM-5","issued":{"date-parts":[["2013"]]},"publisher":"MIT Press","publisher-place":"Cambridge, Massachusetts","title":"Radicalizing Enactivism: Basic Minds without Content","type":"book"},"uris":["http://www.mendeley.com/documents/?uuid=5c3a056e-fbc2-44af-95ee-27d6e4197538"]},{"id":"ITEM-6","itemData":{"author":[{"dropping-particle":"","family":"Hutto","given":"Daniel D.","non-dropping-particle":"","parse-names":false,"suffix":""},{"dropping-particle":"","family":"Myin","given":"Erik","non-dropping-particle":"","parse-names":false,"suffix":""}],"id":"ITEM-6","issued":{"date-parts":[["2017"]]},"publisher":"The MIT Press","publisher-place":"Cambridge, Massachusetts","title":"Evolving Enactivism: Basic Minds Meet Content","type":"book"},"uris":["http://www.mendeley.com/documents/?uuid=96bd1f1d-0c18-4e5f-9723-58a9dea0e545"]},{"id":"ITEM-7","itemData":{"author":[{"dropping-particle":"","family":"Hutto","given":"Daniel","non-dropping-particle":"","parse-names":false,"suffix":""},{"dropping-particle":"","family":"Peeters","given":"Anco","non-dropping-particle":"","parse-names":false,"suffix":""}],"container-title":"New Directions in the Philosophy of Memory","editor":[{"dropping-particle":"","family":"Michaelian","given":"Kourken","non-dropping-particle":"","parse-names":false,"suffix":""},{"dropping-particle":"","family":"Debus","given":"D.","non-dropping-particle":"","parse-names":false,"suffix":""},{"dropping-particle":"","family":"Perrini","given":"D.","non-dropping-particle":"","parse-names":false,"suffix":""}],"id":"ITEM-7","issued":{"date-parts":[["2018"]]},"page":"97-118","publisher":"Routledge","publisher-place":"New York","title":"The Roots of Remembering","type":"chapter"},"uris":["http://www.mendeley.com/documents/?uuid=d767f726-b578-4500-81f5-90c01efc22d1"]},{"id":"ITEM-8","itemData":{"DOI":"10.1007/s11097-020-09713-y","ISSN":"1568-7759","author":[{"dropping-partic</w:instrText>
      </w:r>
      <w:r w:rsidR="008A0348" w:rsidRPr="00AE16E9">
        <w:rPr>
          <w:rFonts w:eastAsia="Times New Roman" w:cs="Times New Roman"/>
          <w:color w:val="000000"/>
          <w:lang w:val="de-DE"/>
        </w:rPr>
        <w:instrText>le":"","family":"Rolla","given":"Giovanni","non-dropping-particle":"","parse-names":false,"suffix":""},{"dropping-particle":"","family":"Novaes","given":"Felipe","non-dropping-particle":"","parse-names":false,"suffix":""}],"container-title":"Phenomenology and the Cognitive Sciences","id":"ITEM-8","issued":{"date-parts":[["2020","11","25"]]},"title":"Ecological-enactive scientific cognition: modeling and material engagement","type":"article-journal"},"uris":["http://www.mendeley.com/documents/?uuid=54fa1270-2232-48df-b35c-525b6f7d43f1"]}],"mendeley":{"formattedCitation":"(Di Paolo et al., 2017; Gallagher &amp; Allen, 2018; D. D. Hutto &amp; Myin, 2013, 2017; D. Hutto &amp; Peeters, 2018; Kirchhoff &amp; Robertson, 2018; Kiverstein &amp; Rietveld, 2018; Rolla &amp; Novaes, 2020)","manualFormatting":"(Di Paolo et al., 2017; Gallagher &amp; Allen, 2018; Hutto &amp; Myin, 2013, 2017; Hutto &amp; Peeters, 2018; Kirchhoff &amp; Robertson, 2018; Kiverstein &amp; Rietveld, 2018)","plainTextFormattedCitation":"(Di Paolo et al., 2017; Gallagher &amp; Allen, 2018; D. D. Hutto &amp; Myin, 2013, 2017; D. Hutto &amp; Peeters, 2018; Kirchhoff &amp; Robertson, 2018; Kiverstein &amp; Rietveld, 2018; Rolla &amp; Novaes, 2020)","previouslyFormattedCitation":"(Di Paolo et al., 2017; Gallagher &amp; Allen, 2018; D. D. Hutto &amp; Myin, 2013, 2017; D. Hutto &amp; Peeters, 2018; Kirchhoff &amp; Robertson, 2018; Kiverstein &amp; Rietveld, 2018; Rolla &amp; Novaes, 2020)"},"properties":{"noteIndex":0},"schema":"https://github.com/citation-style-language/schema/raw/master/csl-citation.json"}</w:instrText>
      </w:r>
      <w:r w:rsidRPr="00C4476D">
        <w:rPr>
          <w:rFonts w:eastAsia="Times New Roman" w:cs="Times New Roman"/>
          <w:color w:val="000000"/>
        </w:rPr>
        <w:fldChar w:fldCharType="separate"/>
      </w:r>
      <w:r w:rsidR="001B3EE9" w:rsidRPr="00766510">
        <w:rPr>
          <w:rFonts w:eastAsia="Times New Roman" w:cs="Times New Roman"/>
          <w:noProof/>
          <w:color w:val="000000"/>
          <w:lang w:val="de-DE"/>
        </w:rPr>
        <w:t>(Di Paolo</w:t>
      </w:r>
      <w:r w:rsidR="002504D7" w:rsidRPr="00766510">
        <w:rPr>
          <w:rFonts w:eastAsia="Times New Roman" w:cs="Times New Roman"/>
          <w:noProof/>
          <w:color w:val="000000"/>
          <w:lang w:val="de-DE"/>
        </w:rPr>
        <w:t xml:space="preserve"> et al.</w:t>
      </w:r>
      <w:r w:rsidR="001B3EE9" w:rsidRPr="00766510">
        <w:rPr>
          <w:rFonts w:eastAsia="Times New Roman" w:cs="Times New Roman"/>
          <w:noProof/>
          <w:color w:val="000000"/>
          <w:lang w:val="de-DE"/>
        </w:rPr>
        <w:t>, 2017; Gallagher &amp; Allen, 2018; Hutto &amp; Myin, 2013, 2017; Hutto &amp; Peeters, 2018; Kirchhoff &amp; Robertson, 2018; Kiverstein &amp; Rietveld, 2018)</w:t>
      </w:r>
      <w:r w:rsidRPr="00C4476D">
        <w:rPr>
          <w:rFonts w:eastAsia="Times New Roman" w:cs="Times New Roman"/>
          <w:color w:val="000000"/>
        </w:rPr>
        <w:fldChar w:fldCharType="end"/>
      </w:r>
      <w:r w:rsidRPr="00766510">
        <w:rPr>
          <w:rFonts w:eastAsia="Times New Roman" w:cs="Times New Roman"/>
          <w:color w:val="000000"/>
          <w:lang w:val="de-DE"/>
        </w:rPr>
        <w:t xml:space="preserve">. </w:t>
      </w:r>
    </w:p>
    <w:p w14:paraId="1E7C04D8" w14:textId="592F50B6" w:rsidR="00176748" w:rsidRPr="00C4476D" w:rsidRDefault="00A66CEC" w:rsidP="008823AC">
      <w:pPr>
        <w:spacing w:line="360" w:lineRule="auto"/>
        <w:ind w:firstLine="720"/>
        <w:jc w:val="both"/>
        <w:rPr>
          <w:rFonts w:eastAsia="Times New Roman" w:cs="Times New Roman"/>
          <w:color w:val="000000"/>
        </w:rPr>
      </w:pPr>
      <w:r w:rsidRPr="00C4476D">
        <w:rPr>
          <w:rFonts w:eastAsia="Times New Roman" w:cs="Times New Roman"/>
          <w:color w:val="000000"/>
        </w:rPr>
        <w:t xml:space="preserve">A second goal </w:t>
      </w:r>
      <w:r w:rsidR="00873DC0" w:rsidRPr="00C4476D">
        <w:rPr>
          <w:rFonts w:eastAsia="Times New Roman" w:cs="Times New Roman"/>
          <w:color w:val="000000"/>
        </w:rPr>
        <w:t>of TEM</w:t>
      </w:r>
      <w:r w:rsidR="00764BEE">
        <w:rPr>
          <w:rFonts w:eastAsia="Times New Roman" w:cs="Times New Roman"/>
          <w:color w:val="000000"/>
        </w:rPr>
        <w:t xml:space="preserve"> is to address</w:t>
      </w:r>
      <w:r w:rsidR="00873DC0" w:rsidRPr="00C4476D">
        <w:rPr>
          <w:rFonts w:eastAsia="Times New Roman" w:cs="Times New Roman"/>
          <w:color w:val="000000"/>
        </w:rPr>
        <w:t xml:space="preserve"> </w:t>
      </w:r>
      <w:r w:rsidR="002C427E">
        <w:rPr>
          <w:rFonts w:eastAsia="Times New Roman" w:cs="Times New Roman"/>
          <w:color w:val="000000"/>
        </w:rPr>
        <w:t>a</w:t>
      </w:r>
      <w:r w:rsidR="00873DC0" w:rsidRPr="00C4476D">
        <w:rPr>
          <w:rFonts w:eastAsia="Times New Roman" w:cs="Times New Roman"/>
          <w:color w:val="000000"/>
        </w:rPr>
        <w:t xml:space="preserve"> </w:t>
      </w:r>
      <w:r w:rsidR="002C427E">
        <w:rPr>
          <w:rFonts w:eastAsia="Times New Roman" w:cs="Times New Roman"/>
          <w:color w:val="000000"/>
        </w:rPr>
        <w:t>renewed version of the</w:t>
      </w:r>
      <w:r w:rsidR="00873DC0" w:rsidRPr="00C4476D">
        <w:rPr>
          <w:rFonts w:eastAsia="Times New Roman" w:cs="Times New Roman"/>
          <w:color w:val="000000"/>
        </w:rPr>
        <w:t xml:space="preserve"> </w:t>
      </w:r>
      <w:r w:rsidR="005E1A1B" w:rsidRPr="00C4476D">
        <w:rPr>
          <w:rFonts w:eastAsia="Times New Roman" w:cs="Times New Roman"/>
          <w:color w:val="000000"/>
        </w:rPr>
        <w:t>metaphysical</w:t>
      </w:r>
      <w:r w:rsidR="00873DC0" w:rsidRPr="00C4476D">
        <w:rPr>
          <w:rFonts w:eastAsia="Times New Roman" w:cs="Times New Roman"/>
          <w:color w:val="000000"/>
        </w:rPr>
        <w:t xml:space="preserve"> </w:t>
      </w:r>
      <w:r w:rsidR="00764BEE">
        <w:rPr>
          <w:rFonts w:eastAsia="Times New Roman" w:cs="Times New Roman"/>
          <w:color w:val="000000"/>
        </w:rPr>
        <w:t xml:space="preserve">and epistemological </w:t>
      </w:r>
      <w:r w:rsidR="00873DC0" w:rsidRPr="00C4476D">
        <w:rPr>
          <w:rFonts w:eastAsia="Times New Roman" w:cs="Times New Roman"/>
          <w:color w:val="000000"/>
        </w:rPr>
        <w:t xml:space="preserve">dispute between </w:t>
      </w:r>
      <w:r w:rsidR="00873DC0" w:rsidRPr="00C4476D">
        <w:rPr>
          <w:rFonts w:eastAsia="Times New Roman" w:cs="Times New Roman"/>
          <w:i/>
          <w:iCs/>
          <w:color w:val="000000"/>
        </w:rPr>
        <w:t xml:space="preserve">realism </w:t>
      </w:r>
      <w:r w:rsidR="00873DC0" w:rsidRPr="00C4476D">
        <w:rPr>
          <w:rFonts w:eastAsia="Times New Roman" w:cs="Times New Roman"/>
          <w:color w:val="000000"/>
        </w:rPr>
        <w:t xml:space="preserve">and </w:t>
      </w:r>
      <w:r w:rsidR="00873DC0" w:rsidRPr="00C4476D">
        <w:rPr>
          <w:rFonts w:eastAsia="Times New Roman" w:cs="Times New Roman"/>
          <w:i/>
          <w:iCs/>
          <w:color w:val="000000"/>
        </w:rPr>
        <w:t xml:space="preserve">idealism </w:t>
      </w:r>
      <w:r w:rsidR="00873DC0" w:rsidRPr="00C4476D">
        <w:rPr>
          <w:rFonts w:eastAsia="Times New Roman" w:cs="Times New Roman"/>
          <w:color w:val="000000"/>
        </w:rPr>
        <w:t>(or as the authors</w:t>
      </w:r>
      <w:r w:rsidR="00B96744" w:rsidRPr="00C4476D">
        <w:rPr>
          <w:rFonts w:eastAsia="Times New Roman" w:cs="Times New Roman"/>
          <w:color w:val="000000"/>
        </w:rPr>
        <w:t xml:space="preserve"> sometimes</w:t>
      </w:r>
      <w:r w:rsidR="00873DC0" w:rsidRPr="00C4476D">
        <w:rPr>
          <w:rFonts w:eastAsia="Times New Roman" w:cs="Times New Roman"/>
          <w:color w:val="000000"/>
        </w:rPr>
        <w:t xml:space="preserve"> call it, the </w:t>
      </w:r>
      <w:r w:rsidR="00B96744" w:rsidRPr="00C4476D">
        <w:rPr>
          <w:rFonts w:eastAsia="Times New Roman" w:cs="Times New Roman"/>
          <w:color w:val="000000"/>
        </w:rPr>
        <w:t>“</w:t>
      </w:r>
      <w:r w:rsidR="00873DC0" w:rsidRPr="00C4476D">
        <w:rPr>
          <w:rFonts w:eastAsia="Times New Roman" w:cs="Times New Roman"/>
          <w:color w:val="000000"/>
        </w:rPr>
        <w:t>chicken and egg positions</w:t>
      </w:r>
      <w:r w:rsidR="00B96744" w:rsidRPr="00C4476D">
        <w:rPr>
          <w:rFonts w:eastAsia="Times New Roman" w:cs="Times New Roman"/>
          <w:color w:val="000000"/>
        </w:rPr>
        <w:t>”</w:t>
      </w:r>
      <w:r w:rsidR="00873DC0" w:rsidRPr="00C4476D">
        <w:rPr>
          <w:rFonts w:eastAsia="Times New Roman" w:cs="Times New Roman"/>
          <w:color w:val="000000"/>
        </w:rPr>
        <w:t>).</w:t>
      </w:r>
      <w:r w:rsidR="00962ED9">
        <w:rPr>
          <w:rFonts w:eastAsia="Times New Roman" w:cs="Times New Roman"/>
          <w:color w:val="000000"/>
        </w:rPr>
        <w:t xml:space="preserve"> Noticeably, the authors of TEM do not focus on the many varieties of realism and idealism an</w:t>
      </w:r>
      <w:r w:rsidR="00764BEE">
        <w:rPr>
          <w:rFonts w:eastAsia="Times New Roman" w:cs="Times New Roman"/>
          <w:color w:val="000000"/>
        </w:rPr>
        <w:t>d</w:t>
      </w:r>
      <w:r w:rsidR="00962ED9">
        <w:rPr>
          <w:rFonts w:eastAsia="Times New Roman" w:cs="Times New Roman"/>
          <w:color w:val="000000"/>
        </w:rPr>
        <w:t xml:space="preserve"> on how these positions are logically related</w:t>
      </w:r>
      <w:r w:rsidR="00FD5AC5">
        <w:rPr>
          <w:rFonts w:eastAsia="Times New Roman" w:cs="Times New Roman"/>
          <w:color w:val="000000"/>
        </w:rPr>
        <w:t xml:space="preserve"> to each other</w:t>
      </w:r>
      <w:r w:rsidR="00962ED9">
        <w:rPr>
          <w:rFonts w:eastAsia="Times New Roman" w:cs="Times New Roman"/>
          <w:color w:val="000000"/>
        </w:rPr>
        <w:t xml:space="preserve">. Instead, they put forth a very general </w:t>
      </w:r>
      <w:r w:rsidR="00FD5AC5">
        <w:rPr>
          <w:rFonts w:eastAsia="Times New Roman" w:cs="Times New Roman"/>
          <w:color w:val="000000"/>
        </w:rPr>
        <w:t>picture</w:t>
      </w:r>
      <w:r w:rsidR="00962ED9">
        <w:rPr>
          <w:rFonts w:eastAsia="Times New Roman" w:cs="Times New Roman"/>
          <w:color w:val="000000"/>
        </w:rPr>
        <w:t xml:space="preserve"> </w:t>
      </w:r>
      <w:r w:rsidR="00FD5AC5">
        <w:rPr>
          <w:rFonts w:eastAsia="Times New Roman" w:cs="Times New Roman"/>
          <w:color w:val="000000"/>
        </w:rPr>
        <w:t xml:space="preserve">of this dispute as it occurs </w:t>
      </w:r>
      <w:r w:rsidR="00E247D8">
        <w:rPr>
          <w:rFonts w:eastAsia="Times New Roman" w:cs="Times New Roman"/>
          <w:color w:val="000000"/>
        </w:rPr>
        <w:t>in the</w:t>
      </w:r>
      <w:r w:rsidR="00FD5AC5">
        <w:rPr>
          <w:rFonts w:eastAsia="Times New Roman" w:cs="Times New Roman"/>
          <w:color w:val="000000"/>
        </w:rPr>
        <w:t xml:space="preserve"> context of contemporary </w:t>
      </w:r>
      <w:r w:rsidR="00E247D8">
        <w:rPr>
          <w:rFonts w:eastAsia="Times New Roman" w:cs="Times New Roman"/>
          <w:color w:val="000000"/>
        </w:rPr>
        <w:t>cognitive sciences</w:t>
      </w:r>
      <w:r w:rsidR="00FD5AC5" w:rsidRPr="0088182A">
        <w:rPr>
          <w:rFonts w:eastAsia="Times New Roman" w:cs="Times New Roman"/>
          <w:color w:val="000000"/>
        </w:rPr>
        <w:t>.</w:t>
      </w:r>
      <w:r w:rsidR="00E247D8" w:rsidRPr="0088182A">
        <w:rPr>
          <w:rFonts w:eastAsia="Times New Roman" w:cs="Times New Roman"/>
          <w:color w:val="000000"/>
        </w:rPr>
        <w:t xml:space="preserve"> </w:t>
      </w:r>
      <w:r w:rsidR="00FD5AC5" w:rsidRPr="0088182A">
        <w:rPr>
          <w:rFonts w:eastAsia="Times New Roman" w:cs="Times New Roman"/>
          <w:color w:val="000000"/>
        </w:rPr>
        <w:t xml:space="preserve">Realists </w:t>
      </w:r>
      <w:r w:rsidR="00E247D8" w:rsidRPr="0088182A">
        <w:rPr>
          <w:rFonts w:eastAsia="Times New Roman" w:cs="Times New Roman"/>
          <w:color w:val="000000"/>
        </w:rPr>
        <w:t>assume</w:t>
      </w:r>
      <w:r w:rsidR="00873DC0" w:rsidRPr="0088182A">
        <w:rPr>
          <w:rFonts w:eastAsia="Times New Roman" w:cs="Times New Roman"/>
          <w:color w:val="000000"/>
        </w:rPr>
        <w:t xml:space="preserve"> that there is a </w:t>
      </w:r>
      <w:r w:rsidR="00873DC0" w:rsidRPr="0088182A">
        <w:rPr>
          <w:rFonts w:eastAsia="Times New Roman" w:cs="Times New Roman"/>
          <w:i/>
          <w:iCs/>
          <w:color w:val="000000"/>
        </w:rPr>
        <w:t>pregiven world</w:t>
      </w:r>
      <w:r w:rsidR="00873DC0" w:rsidRPr="0088182A">
        <w:rPr>
          <w:rFonts w:eastAsia="Times New Roman" w:cs="Times New Roman"/>
          <w:color w:val="000000"/>
        </w:rPr>
        <w:t xml:space="preserve"> that we </w:t>
      </w:r>
      <w:r w:rsidR="00617ED3" w:rsidRPr="0088182A">
        <w:rPr>
          <w:rFonts w:eastAsia="Times New Roman" w:cs="Times New Roman"/>
          <w:color w:val="000000"/>
        </w:rPr>
        <w:t xml:space="preserve">can </w:t>
      </w:r>
      <w:r w:rsidR="00873DC0" w:rsidRPr="0088182A">
        <w:rPr>
          <w:rFonts w:eastAsia="Times New Roman" w:cs="Times New Roman"/>
          <w:color w:val="000000"/>
        </w:rPr>
        <w:t xml:space="preserve">access </w:t>
      </w:r>
      <w:r w:rsidR="00AE16E9" w:rsidRPr="0088182A">
        <w:rPr>
          <w:rFonts w:eastAsia="Times New Roman" w:cs="Times New Roman"/>
          <w:color w:val="000000"/>
        </w:rPr>
        <w:t xml:space="preserve">or recover </w:t>
      </w:r>
      <w:r w:rsidR="00873DC0" w:rsidRPr="0088182A">
        <w:rPr>
          <w:rFonts w:eastAsia="Times New Roman" w:cs="Times New Roman"/>
          <w:color w:val="000000"/>
        </w:rPr>
        <w:t>through our cognitive apparatuses</w:t>
      </w:r>
      <w:r w:rsidR="00962ED9" w:rsidRPr="0088182A">
        <w:rPr>
          <w:rFonts w:eastAsia="Times New Roman" w:cs="Times New Roman"/>
          <w:color w:val="000000"/>
        </w:rPr>
        <w:t xml:space="preserve">. </w:t>
      </w:r>
      <w:r w:rsidR="00C33E47" w:rsidRPr="0088182A">
        <w:rPr>
          <w:rFonts w:eastAsia="Times New Roman" w:cs="Times New Roman"/>
          <w:color w:val="000000"/>
        </w:rPr>
        <w:t>In this context, t</w:t>
      </w:r>
      <w:r w:rsidR="00E247D8" w:rsidRPr="0088182A">
        <w:rPr>
          <w:rFonts w:eastAsia="Times New Roman" w:cs="Times New Roman"/>
          <w:color w:val="000000"/>
        </w:rPr>
        <w:t>he notion of</w:t>
      </w:r>
      <w:r w:rsidR="00962ED9" w:rsidRPr="0088182A">
        <w:rPr>
          <w:rFonts w:eastAsia="Times New Roman" w:cs="Times New Roman"/>
          <w:color w:val="000000"/>
        </w:rPr>
        <w:t xml:space="preserve"> ‘pregiven’ </w:t>
      </w:r>
      <w:r w:rsidR="00E247D8" w:rsidRPr="0088182A">
        <w:rPr>
          <w:rFonts w:eastAsia="Times New Roman" w:cs="Times New Roman"/>
          <w:color w:val="000000"/>
        </w:rPr>
        <w:t>is</w:t>
      </w:r>
      <w:r w:rsidR="00962ED9" w:rsidRPr="0088182A">
        <w:rPr>
          <w:rFonts w:eastAsia="Times New Roman" w:cs="Times New Roman"/>
          <w:color w:val="000000"/>
        </w:rPr>
        <w:t xml:space="preserve"> an epistemological </w:t>
      </w:r>
      <w:r w:rsidR="00E247D8" w:rsidRPr="0088182A">
        <w:rPr>
          <w:rFonts w:eastAsia="Times New Roman" w:cs="Times New Roman"/>
          <w:color w:val="000000"/>
        </w:rPr>
        <w:t>one,</w:t>
      </w:r>
      <w:r w:rsidR="00962ED9" w:rsidRPr="0088182A">
        <w:rPr>
          <w:rFonts w:eastAsia="Times New Roman" w:cs="Times New Roman"/>
          <w:color w:val="000000"/>
        </w:rPr>
        <w:t xml:space="preserve"> according to which the world has ‘features that can be specified prior to any cognitive activity’ </w:t>
      </w:r>
      <w:r w:rsidR="003A026D" w:rsidRPr="0088182A">
        <w:rPr>
          <w:rFonts w:eastAsia="Times New Roman" w:cs="Times New Roman"/>
          <w:color w:val="000000"/>
        </w:rPr>
        <w:t>(</w:t>
      </w:r>
      <w:r w:rsidR="00D27A2D" w:rsidRPr="0088182A">
        <w:rPr>
          <w:rFonts w:eastAsia="Times New Roman" w:cs="Times New Roman"/>
          <w:color w:val="000000"/>
        </w:rPr>
        <w:t>Varela et al.</w:t>
      </w:r>
      <w:r w:rsidR="0088182A">
        <w:rPr>
          <w:rFonts w:eastAsia="Times New Roman" w:cs="Times New Roman"/>
          <w:color w:val="000000"/>
        </w:rPr>
        <w:t>,</w:t>
      </w:r>
      <w:r w:rsidR="00D27A2D" w:rsidRPr="0088182A">
        <w:rPr>
          <w:rFonts w:eastAsia="Times New Roman" w:cs="Times New Roman"/>
          <w:color w:val="000000"/>
        </w:rPr>
        <w:t xml:space="preserve"> 2016</w:t>
      </w:r>
      <w:r w:rsidR="003A026D" w:rsidRPr="0088182A">
        <w:rPr>
          <w:rFonts w:eastAsia="Times New Roman" w:cs="Times New Roman"/>
          <w:color w:val="000000"/>
        </w:rPr>
        <w:t>, p. 135)</w:t>
      </w:r>
      <w:r w:rsidR="00962ED9" w:rsidRPr="0088182A">
        <w:rPr>
          <w:rFonts w:eastAsia="Times New Roman" w:cs="Times New Roman"/>
          <w:color w:val="000000"/>
        </w:rPr>
        <w:t xml:space="preserve">. </w:t>
      </w:r>
      <w:r w:rsidR="008C556B" w:rsidRPr="0088182A">
        <w:rPr>
          <w:rFonts w:eastAsia="Times New Roman" w:cs="Times New Roman"/>
          <w:color w:val="000000"/>
        </w:rPr>
        <w:t>I</w:t>
      </w:r>
      <w:r w:rsidR="00962ED9" w:rsidRPr="0088182A">
        <w:rPr>
          <w:rFonts w:eastAsia="Times New Roman" w:cs="Times New Roman"/>
          <w:color w:val="000000"/>
        </w:rPr>
        <w:t>dealists</w:t>
      </w:r>
      <w:r w:rsidR="008C556B" w:rsidRPr="0088182A">
        <w:rPr>
          <w:rFonts w:eastAsia="Times New Roman" w:cs="Times New Roman"/>
          <w:color w:val="000000"/>
        </w:rPr>
        <w:t>, on the other hand,</w:t>
      </w:r>
      <w:r w:rsidR="00962ED9" w:rsidRPr="0088182A">
        <w:rPr>
          <w:rFonts w:eastAsia="Times New Roman" w:cs="Times New Roman"/>
          <w:color w:val="000000"/>
        </w:rPr>
        <w:t xml:space="preserve"> </w:t>
      </w:r>
      <w:r w:rsidR="000D6131" w:rsidRPr="0088182A">
        <w:rPr>
          <w:rFonts w:eastAsia="Times New Roman" w:cs="Times New Roman"/>
          <w:color w:val="000000"/>
        </w:rPr>
        <w:t xml:space="preserve">claim that </w:t>
      </w:r>
      <w:r w:rsidR="00C33E47" w:rsidRPr="0088182A">
        <w:rPr>
          <w:rFonts w:eastAsia="Times New Roman" w:cs="Times New Roman"/>
          <w:color w:val="000000"/>
        </w:rPr>
        <w:t>cognition</w:t>
      </w:r>
      <w:r w:rsidR="00873DC0" w:rsidRPr="0088182A">
        <w:rPr>
          <w:rFonts w:eastAsia="Times New Roman" w:cs="Times New Roman"/>
          <w:color w:val="000000"/>
        </w:rPr>
        <w:t xml:space="preserve"> </w:t>
      </w:r>
      <w:r w:rsidR="007E37D1" w:rsidRPr="0088182A">
        <w:rPr>
          <w:rFonts w:eastAsia="Times New Roman" w:cs="Times New Roman"/>
          <w:color w:val="000000"/>
        </w:rPr>
        <w:t xml:space="preserve">is </w:t>
      </w:r>
      <w:r w:rsidR="00E247D8" w:rsidRPr="0088182A">
        <w:rPr>
          <w:rFonts w:eastAsia="Times New Roman" w:cs="Times New Roman"/>
          <w:color w:val="000000"/>
        </w:rPr>
        <w:t>a projection</w:t>
      </w:r>
      <w:r w:rsidR="00873DC0" w:rsidRPr="0088182A">
        <w:rPr>
          <w:rFonts w:eastAsia="Times New Roman" w:cs="Times New Roman"/>
          <w:color w:val="000000"/>
        </w:rPr>
        <w:t xml:space="preserve"> of </w:t>
      </w:r>
      <w:r w:rsidR="000D6131" w:rsidRPr="0088182A">
        <w:rPr>
          <w:rFonts w:eastAsia="Times New Roman" w:cs="Times New Roman"/>
          <w:color w:val="000000"/>
        </w:rPr>
        <w:t xml:space="preserve">our </w:t>
      </w:r>
      <w:r w:rsidR="00E247D8" w:rsidRPr="0088182A">
        <w:rPr>
          <w:rFonts w:eastAsia="Times New Roman" w:cs="Times New Roman"/>
          <w:color w:val="000000"/>
        </w:rPr>
        <w:t>own</w:t>
      </w:r>
      <w:r w:rsidR="007E37D1" w:rsidRPr="0088182A">
        <w:rPr>
          <w:rFonts w:eastAsia="Times New Roman" w:cs="Times New Roman"/>
          <w:color w:val="000000"/>
        </w:rPr>
        <w:t xml:space="preserve"> </w:t>
      </w:r>
      <w:r w:rsidR="007E37D1" w:rsidRPr="0088182A">
        <w:rPr>
          <w:rFonts w:eastAsia="Times New Roman" w:cs="Times New Roman"/>
          <w:i/>
          <w:iCs/>
          <w:color w:val="000000"/>
        </w:rPr>
        <w:t xml:space="preserve">pregiven </w:t>
      </w:r>
      <w:r w:rsidR="00C33E47" w:rsidRPr="0088182A">
        <w:rPr>
          <w:rFonts w:eastAsia="Times New Roman" w:cs="Times New Roman"/>
          <w:i/>
          <w:iCs/>
          <w:color w:val="000000"/>
        </w:rPr>
        <w:t>inner world</w:t>
      </w:r>
      <w:r w:rsidR="00C33E47" w:rsidRPr="0088182A">
        <w:rPr>
          <w:rFonts w:eastAsia="Times New Roman" w:cs="Times New Roman"/>
          <w:color w:val="000000"/>
        </w:rPr>
        <w:t>. Accordingly, ‘the apparent reality of this world is merely a reflection of internal laws of the system’ (ibid., p. 172), where such internal laws are mental representations.</w:t>
      </w:r>
      <w:r w:rsidR="00C33E47">
        <w:rPr>
          <w:rFonts w:eastAsia="Times New Roman" w:cs="Times New Roman"/>
          <w:color w:val="000000"/>
        </w:rPr>
        <w:t xml:space="preserve"> </w:t>
      </w:r>
      <w:r w:rsidR="00E247D8">
        <w:rPr>
          <w:rFonts w:eastAsia="Times New Roman" w:cs="Times New Roman"/>
          <w:color w:val="000000"/>
        </w:rPr>
        <w:t>With this picture in mind, o</w:t>
      </w:r>
      <w:r w:rsidR="000D6131" w:rsidRPr="00C4476D">
        <w:rPr>
          <w:rFonts w:eastAsia="Times New Roman" w:cs="Times New Roman"/>
          <w:color w:val="000000"/>
        </w:rPr>
        <w:t xml:space="preserve">ne of </w:t>
      </w:r>
      <w:r w:rsidR="00873DC0" w:rsidRPr="00C4476D">
        <w:rPr>
          <w:rFonts w:eastAsia="Times New Roman" w:cs="Times New Roman"/>
          <w:color w:val="000000"/>
        </w:rPr>
        <w:t>TEM</w:t>
      </w:r>
      <w:r w:rsidR="000D6131" w:rsidRPr="00C4476D">
        <w:rPr>
          <w:rFonts w:eastAsia="Times New Roman" w:cs="Times New Roman"/>
          <w:color w:val="000000"/>
        </w:rPr>
        <w:t>’s</w:t>
      </w:r>
      <w:r w:rsidR="00873DC0" w:rsidRPr="00C4476D">
        <w:rPr>
          <w:rFonts w:eastAsia="Times New Roman" w:cs="Times New Roman"/>
          <w:color w:val="000000"/>
        </w:rPr>
        <w:t xml:space="preserve"> </w:t>
      </w:r>
      <w:r w:rsidR="000D6131" w:rsidRPr="00C4476D">
        <w:rPr>
          <w:rFonts w:eastAsia="Times New Roman" w:cs="Times New Roman"/>
          <w:color w:val="000000"/>
        </w:rPr>
        <w:t>major</w:t>
      </w:r>
      <w:r w:rsidR="00873DC0" w:rsidRPr="00C4476D">
        <w:rPr>
          <w:rFonts w:eastAsia="Times New Roman" w:cs="Times New Roman"/>
          <w:color w:val="000000"/>
        </w:rPr>
        <w:t xml:space="preserve"> aim</w:t>
      </w:r>
      <w:r w:rsidR="000D6131" w:rsidRPr="00C4476D">
        <w:rPr>
          <w:rFonts w:eastAsia="Times New Roman" w:cs="Times New Roman"/>
          <w:color w:val="000000"/>
        </w:rPr>
        <w:t>s</w:t>
      </w:r>
      <w:r w:rsidR="00873DC0" w:rsidRPr="00C4476D">
        <w:rPr>
          <w:rFonts w:eastAsia="Times New Roman" w:cs="Times New Roman"/>
          <w:color w:val="000000"/>
        </w:rPr>
        <w:t xml:space="preserve"> is to find a middle </w:t>
      </w:r>
      <w:r w:rsidR="00617ED3" w:rsidRPr="00C4476D">
        <w:rPr>
          <w:rFonts w:eastAsia="Times New Roman" w:cs="Times New Roman"/>
          <w:color w:val="000000"/>
        </w:rPr>
        <w:t>way</w:t>
      </w:r>
      <w:r w:rsidR="00873DC0" w:rsidRPr="00C4476D">
        <w:rPr>
          <w:rFonts w:eastAsia="Times New Roman" w:cs="Times New Roman"/>
          <w:color w:val="000000"/>
        </w:rPr>
        <w:t xml:space="preserve"> between </w:t>
      </w:r>
      <w:r w:rsidR="008C556B">
        <w:rPr>
          <w:rFonts w:eastAsia="Times New Roman" w:cs="Times New Roman"/>
          <w:color w:val="000000"/>
        </w:rPr>
        <w:t>realism and idealism</w:t>
      </w:r>
      <w:r w:rsidR="00873DC0" w:rsidRPr="00C4476D">
        <w:rPr>
          <w:rFonts w:eastAsia="Times New Roman" w:cs="Times New Roman"/>
          <w:color w:val="000000"/>
        </w:rPr>
        <w:t xml:space="preserve">, for both assume that cognition happens essentially through (or </w:t>
      </w:r>
      <w:r w:rsidR="00194296" w:rsidRPr="00C4476D">
        <w:rPr>
          <w:rFonts w:eastAsia="Times New Roman" w:cs="Times New Roman"/>
          <w:color w:val="000000"/>
        </w:rPr>
        <w:t>is</w:t>
      </w:r>
      <w:r w:rsidR="00873DC0" w:rsidRPr="00C4476D">
        <w:rPr>
          <w:rFonts w:eastAsia="Times New Roman" w:cs="Times New Roman"/>
          <w:color w:val="000000"/>
        </w:rPr>
        <w:t xml:space="preserve"> constituted by) </w:t>
      </w:r>
      <w:r w:rsidR="000D6131" w:rsidRPr="00C4476D">
        <w:rPr>
          <w:rFonts w:eastAsia="Times New Roman" w:cs="Times New Roman"/>
          <w:color w:val="000000"/>
        </w:rPr>
        <w:t xml:space="preserve">an interface between mind and world, which currently goes by the name of </w:t>
      </w:r>
      <w:r w:rsidR="00507829" w:rsidRPr="00C4476D">
        <w:rPr>
          <w:rFonts w:eastAsia="Times New Roman" w:cs="Times New Roman"/>
          <w:color w:val="000000"/>
        </w:rPr>
        <w:t xml:space="preserve">mental </w:t>
      </w:r>
      <w:r w:rsidR="00873DC0" w:rsidRPr="00C4476D">
        <w:rPr>
          <w:rFonts w:eastAsia="Times New Roman" w:cs="Times New Roman"/>
          <w:color w:val="000000"/>
        </w:rPr>
        <w:t>representation</w:t>
      </w:r>
      <w:r w:rsidR="00507829" w:rsidRPr="00C4476D">
        <w:rPr>
          <w:rFonts w:eastAsia="Times New Roman" w:cs="Times New Roman"/>
          <w:color w:val="000000"/>
        </w:rPr>
        <w:t>s</w:t>
      </w:r>
      <w:r w:rsidR="000D6131" w:rsidRPr="00C4476D">
        <w:rPr>
          <w:rFonts w:eastAsia="Times New Roman" w:cs="Times New Roman"/>
          <w:color w:val="000000"/>
        </w:rPr>
        <w:t xml:space="preserve"> (</w:t>
      </w:r>
      <w:r w:rsidR="00A3341A">
        <w:rPr>
          <w:rFonts w:eastAsia="Times New Roman" w:cs="Times New Roman"/>
          <w:color w:val="000000"/>
        </w:rPr>
        <w:t>formerly</w:t>
      </w:r>
      <w:r w:rsidR="000D6131" w:rsidRPr="00C4476D">
        <w:rPr>
          <w:rFonts w:eastAsia="Times New Roman" w:cs="Times New Roman"/>
          <w:color w:val="000000"/>
        </w:rPr>
        <w:t xml:space="preserve"> known as ‘ideas’, ‘sensations’</w:t>
      </w:r>
      <w:r w:rsidR="009A516D" w:rsidRPr="00C4476D">
        <w:rPr>
          <w:rFonts w:eastAsia="Times New Roman" w:cs="Times New Roman"/>
          <w:color w:val="000000"/>
        </w:rPr>
        <w:t>, ‘sense data’</w:t>
      </w:r>
      <w:r w:rsidR="000D6131" w:rsidRPr="00C4476D">
        <w:rPr>
          <w:rFonts w:eastAsia="Times New Roman" w:cs="Times New Roman"/>
          <w:color w:val="000000"/>
        </w:rPr>
        <w:t xml:space="preserve"> and the like)</w:t>
      </w:r>
      <w:r w:rsidR="00873DC0" w:rsidRPr="00C4476D">
        <w:rPr>
          <w:rFonts w:eastAsia="Times New Roman" w:cs="Times New Roman"/>
          <w:color w:val="000000"/>
        </w:rPr>
        <w:t xml:space="preserve">. As we will see below, the tenability of a middle </w:t>
      </w:r>
      <w:r w:rsidR="00EC0823" w:rsidRPr="00C4476D">
        <w:rPr>
          <w:rFonts w:eastAsia="Times New Roman" w:cs="Times New Roman"/>
          <w:color w:val="000000"/>
        </w:rPr>
        <w:t>way</w:t>
      </w:r>
      <w:r w:rsidR="00873DC0" w:rsidRPr="00C4476D">
        <w:rPr>
          <w:rFonts w:eastAsia="Times New Roman" w:cs="Times New Roman"/>
          <w:color w:val="000000"/>
        </w:rPr>
        <w:t xml:space="preserve"> here is a controversial subject, even among enactivists themselves. </w:t>
      </w:r>
    </w:p>
    <w:p w14:paraId="0075BB7A" w14:textId="2EB332F7" w:rsidR="00764BEE" w:rsidRPr="00764BEE" w:rsidRDefault="00B96744" w:rsidP="00764BEE">
      <w:pPr>
        <w:spacing w:line="360" w:lineRule="auto"/>
        <w:ind w:firstLine="720"/>
        <w:jc w:val="both"/>
        <w:rPr>
          <w:rFonts w:eastAsia="Times New Roman" w:cs="Times New Roman"/>
          <w:color w:val="000000"/>
        </w:rPr>
      </w:pPr>
      <w:r w:rsidRPr="00C4476D">
        <w:rPr>
          <w:rFonts w:eastAsia="Times New Roman" w:cs="Times New Roman"/>
          <w:color w:val="000000"/>
        </w:rPr>
        <w:lastRenderedPageBreak/>
        <w:t>A</w:t>
      </w:r>
      <w:r w:rsidR="00176748" w:rsidRPr="00C4476D">
        <w:rPr>
          <w:rFonts w:eastAsia="Times New Roman" w:cs="Times New Roman"/>
          <w:color w:val="000000"/>
        </w:rPr>
        <w:t xml:space="preserve"> third goal in TEM is to provide an enactivist alternative to </w:t>
      </w:r>
      <w:r w:rsidR="009A516D" w:rsidRPr="00C4476D">
        <w:rPr>
          <w:rFonts w:eastAsia="Times New Roman" w:cs="Times New Roman"/>
          <w:color w:val="000000"/>
        </w:rPr>
        <w:t>adaptationism</w:t>
      </w:r>
      <w:r w:rsidR="00617ED3" w:rsidRPr="00C4476D">
        <w:rPr>
          <w:rFonts w:eastAsia="Times New Roman" w:cs="Times New Roman"/>
          <w:color w:val="000000"/>
        </w:rPr>
        <w:t xml:space="preserve">. </w:t>
      </w:r>
      <w:r w:rsidR="009A516D" w:rsidRPr="00C4476D">
        <w:rPr>
          <w:rFonts w:eastAsia="Times New Roman" w:cs="Times New Roman"/>
          <w:color w:val="000000"/>
        </w:rPr>
        <w:t>Adaptationism</w:t>
      </w:r>
      <w:r w:rsidR="00176748" w:rsidRPr="00C4476D">
        <w:rPr>
          <w:rFonts w:eastAsia="Times New Roman" w:cs="Times New Roman"/>
          <w:color w:val="000000"/>
        </w:rPr>
        <w:t xml:space="preserve"> is the </w:t>
      </w:r>
      <w:r w:rsidR="009A516D" w:rsidRPr="00C4476D">
        <w:rPr>
          <w:rFonts w:eastAsia="Times New Roman" w:cs="Times New Roman"/>
          <w:color w:val="000000"/>
        </w:rPr>
        <w:t>received</w:t>
      </w:r>
      <w:r w:rsidR="00176748" w:rsidRPr="00C4476D">
        <w:rPr>
          <w:rFonts w:eastAsia="Times New Roman" w:cs="Times New Roman"/>
          <w:color w:val="000000"/>
        </w:rPr>
        <w:t xml:space="preserve"> view in evolutionary biology according to which</w:t>
      </w:r>
      <w:r w:rsidR="009A516D" w:rsidRPr="00C4476D">
        <w:rPr>
          <w:rFonts w:eastAsia="Times New Roman" w:cs="Times New Roman"/>
          <w:color w:val="000000"/>
        </w:rPr>
        <w:t xml:space="preserve"> the main evolutionary mechanism is the</w:t>
      </w:r>
      <w:r w:rsidR="00176748" w:rsidRPr="00C4476D">
        <w:rPr>
          <w:rFonts w:eastAsia="Times New Roman" w:cs="Times New Roman"/>
          <w:color w:val="000000"/>
        </w:rPr>
        <w:t xml:space="preserve"> </w:t>
      </w:r>
      <w:r w:rsidR="009A516D" w:rsidRPr="00C4476D">
        <w:rPr>
          <w:rFonts w:eastAsia="Times New Roman" w:cs="Times New Roman"/>
          <w:color w:val="000000"/>
        </w:rPr>
        <w:t xml:space="preserve">selection of traits by </w:t>
      </w:r>
      <w:r w:rsidR="00176748" w:rsidRPr="00C4476D">
        <w:rPr>
          <w:rFonts w:eastAsia="Times New Roman" w:cs="Times New Roman"/>
          <w:color w:val="000000"/>
        </w:rPr>
        <w:t xml:space="preserve">environmental pressures </w:t>
      </w:r>
      <w:r w:rsidR="009A516D" w:rsidRPr="00C4476D">
        <w:rPr>
          <w:rFonts w:eastAsia="Times New Roman" w:cs="Times New Roman"/>
          <w:color w:val="000000"/>
        </w:rPr>
        <w:t>over</w:t>
      </w:r>
      <w:r w:rsidR="00176748" w:rsidRPr="00C4476D">
        <w:rPr>
          <w:rFonts w:eastAsia="Times New Roman" w:cs="Times New Roman"/>
          <w:color w:val="000000"/>
        </w:rPr>
        <w:t xml:space="preserve"> generations. Given the enactivist emphasis on autonomy</w:t>
      </w:r>
      <w:r w:rsidR="00E247D8">
        <w:rPr>
          <w:rFonts w:eastAsia="Times New Roman" w:cs="Times New Roman"/>
          <w:color w:val="000000"/>
        </w:rPr>
        <w:t xml:space="preserve">—on how organisms are the authors of their own </w:t>
      </w:r>
      <w:r w:rsidR="000034E0">
        <w:rPr>
          <w:rFonts w:eastAsia="Times New Roman" w:cs="Times New Roman"/>
          <w:color w:val="000000"/>
        </w:rPr>
        <w:t>org</w:t>
      </w:r>
      <w:r w:rsidR="00FD499F">
        <w:rPr>
          <w:rFonts w:eastAsia="Times New Roman" w:cs="Times New Roman"/>
          <w:color w:val="000000"/>
        </w:rPr>
        <w:t>a</w:t>
      </w:r>
      <w:r w:rsidR="000034E0">
        <w:rPr>
          <w:rFonts w:eastAsia="Times New Roman" w:cs="Times New Roman"/>
          <w:color w:val="000000"/>
        </w:rPr>
        <w:t>nization</w:t>
      </w:r>
      <w:r w:rsidR="00E247D8">
        <w:rPr>
          <w:rFonts w:eastAsia="Times New Roman" w:cs="Times New Roman"/>
          <w:color w:val="000000"/>
        </w:rPr>
        <w:t>—</w:t>
      </w:r>
      <w:r w:rsidR="00176748" w:rsidRPr="00C4476D">
        <w:rPr>
          <w:rFonts w:eastAsia="Times New Roman" w:cs="Times New Roman"/>
          <w:color w:val="000000"/>
        </w:rPr>
        <w:t xml:space="preserve">, it is expected that an enactivist interpretation of evolutionary dynamics finds a central place for action, which in turn </w:t>
      </w:r>
      <w:r w:rsidR="00A271EA" w:rsidRPr="00C4476D">
        <w:rPr>
          <w:rFonts w:eastAsia="Times New Roman" w:cs="Times New Roman"/>
          <w:color w:val="000000"/>
        </w:rPr>
        <w:t>critically</w:t>
      </w:r>
      <w:r w:rsidR="00176748" w:rsidRPr="00C4476D">
        <w:rPr>
          <w:rFonts w:eastAsia="Times New Roman" w:cs="Times New Roman"/>
          <w:color w:val="000000"/>
        </w:rPr>
        <w:t xml:space="preserve"> challenge</w:t>
      </w:r>
      <w:r w:rsidR="00A271EA" w:rsidRPr="00C4476D">
        <w:rPr>
          <w:rFonts w:eastAsia="Times New Roman" w:cs="Times New Roman"/>
          <w:color w:val="000000"/>
        </w:rPr>
        <w:t>s</w:t>
      </w:r>
      <w:r w:rsidR="00176748" w:rsidRPr="00C4476D">
        <w:rPr>
          <w:rFonts w:eastAsia="Times New Roman" w:cs="Times New Roman"/>
          <w:color w:val="000000"/>
        </w:rPr>
        <w:t xml:space="preserve"> </w:t>
      </w:r>
      <w:r w:rsidR="00E247D8">
        <w:rPr>
          <w:rFonts w:eastAsia="Times New Roman" w:cs="Times New Roman"/>
          <w:color w:val="000000"/>
        </w:rPr>
        <w:t xml:space="preserve">the adaptationist </w:t>
      </w:r>
      <w:r w:rsidR="00A271EA" w:rsidRPr="00C4476D">
        <w:rPr>
          <w:rFonts w:eastAsia="Times New Roman" w:cs="Times New Roman"/>
          <w:color w:val="000000"/>
        </w:rPr>
        <w:t xml:space="preserve">orthodoxy. </w:t>
      </w:r>
      <w:r w:rsidR="00766510">
        <w:rPr>
          <w:rFonts w:eastAsia="Times New Roman" w:cs="Times New Roman"/>
          <w:color w:val="000000"/>
        </w:rPr>
        <w:t xml:space="preserve">For this, </w:t>
      </w:r>
      <w:r w:rsidR="00617ED3" w:rsidRPr="00C4476D">
        <w:rPr>
          <w:rFonts w:eastAsia="Times New Roman" w:cs="Times New Roman"/>
          <w:color w:val="000000"/>
        </w:rPr>
        <w:t xml:space="preserve">the authors </w:t>
      </w:r>
      <w:r w:rsidR="00766510">
        <w:rPr>
          <w:rFonts w:eastAsia="Times New Roman" w:cs="Times New Roman"/>
          <w:color w:val="000000"/>
        </w:rPr>
        <w:t xml:space="preserve">put forth the notion of </w:t>
      </w:r>
      <w:r w:rsidR="00617ED3" w:rsidRPr="00766510">
        <w:rPr>
          <w:rFonts w:eastAsia="Times New Roman" w:cs="Times New Roman"/>
          <w:i/>
          <w:iCs/>
          <w:color w:val="000000"/>
        </w:rPr>
        <w:t>natural drift</w:t>
      </w:r>
      <w:r w:rsidR="00C32059">
        <w:rPr>
          <w:rFonts w:eastAsia="Times New Roman" w:cs="Times New Roman"/>
          <w:color w:val="000000"/>
        </w:rPr>
        <w:t>, which</w:t>
      </w:r>
      <w:r w:rsidR="009B118F" w:rsidRPr="00C4476D">
        <w:rPr>
          <w:rFonts w:eastAsia="Times New Roman" w:cs="Times New Roman"/>
          <w:color w:val="000000"/>
        </w:rPr>
        <w:t xml:space="preserve"> was first presented by Maturana and Varela </w:t>
      </w:r>
      <w:r w:rsidR="00ED2479" w:rsidRPr="00C4476D">
        <w:rPr>
          <w:rFonts w:eastAsia="Times New Roman" w:cs="Times New Roman"/>
          <w:color w:val="000000"/>
        </w:rPr>
        <w:fldChar w:fldCharType="begin" w:fldLock="1"/>
      </w:r>
      <w:r w:rsidR="00ED2479" w:rsidRPr="00C4476D">
        <w:rPr>
          <w:rFonts w:eastAsia="Times New Roman" w:cs="Times New Roman"/>
          <w:color w:val="000000"/>
        </w:rPr>
        <w:instrText>ADDIN CSL_CITATION {"citationItems":[{"id":"ITEM-1","itemData":{"author":[{"dropping-particle":"","family":"Maturana","given":"Humberto","non-dropping-particle":"","parse-names":false,"suffix":""},{"dropping-particle":"","family":"Varela","given":"Francisco","non-dropping-particle":"","parse-names":false,"suffix":""}],"id":"ITEM-1","issued":{"date-parts":[["1987"]]},"publisher":"New Science Library/Shambhala Publications","publisher-place":"Boston","title":"The Tree of Knowledge: the biological roots of human understanding","type":"book"},"suppress-author":1,"uris":["http://www.mendeley.com/documents/?uuid=cff9401e-ec44-4166-ac2c-332dc2d968fb"]}],"mendeley":{"formattedCitation":"(1987)","plainTextFormattedCitation":"(1987)","previouslyFormattedCitation":"(1987)"},"properties":{"noteIndex":0},"schema":"https://github.com/citation-style-language/schema/raw/master/csl-citation.json"}</w:instrText>
      </w:r>
      <w:r w:rsidR="00ED2479" w:rsidRPr="00C4476D">
        <w:rPr>
          <w:rFonts w:eastAsia="Times New Roman" w:cs="Times New Roman"/>
          <w:color w:val="000000"/>
        </w:rPr>
        <w:fldChar w:fldCharType="separate"/>
      </w:r>
      <w:r w:rsidR="00ED2479" w:rsidRPr="00C4476D">
        <w:rPr>
          <w:rFonts w:eastAsia="Times New Roman" w:cs="Times New Roman"/>
          <w:noProof/>
          <w:color w:val="000000"/>
        </w:rPr>
        <w:t>(1987)</w:t>
      </w:r>
      <w:r w:rsidR="00ED2479" w:rsidRPr="00C4476D">
        <w:rPr>
          <w:rFonts w:eastAsia="Times New Roman" w:cs="Times New Roman"/>
          <w:color w:val="000000"/>
        </w:rPr>
        <w:fldChar w:fldCharType="end"/>
      </w:r>
      <w:r w:rsidR="00ED2479" w:rsidRPr="00C4476D">
        <w:rPr>
          <w:rFonts w:eastAsia="Times New Roman" w:cs="Times New Roman"/>
          <w:color w:val="000000"/>
        </w:rPr>
        <w:t xml:space="preserve">, going through significant modifications </w:t>
      </w:r>
      <w:r w:rsidR="00766510">
        <w:rPr>
          <w:rFonts w:eastAsia="Times New Roman" w:cs="Times New Roman"/>
          <w:color w:val="000000"/>
        </w:rPr>
        <w:t>i</w:t>
      </w:r>
      <w:r w:rsidR="00ED2479" w:rsidRPr="00C4476D">
        <w:rPr>
          <w:rFonts w:eastAsia="Times New Roman" w:cs="Times New Roman"/>
          <w:color w:val="000000"/>
        </w:rPr>
        <w:t>n TEM’s version.</w:t>
      </w:r>
      <w:r w:rsidR="004D7C4B" w:rsidRPr="00AE16E9">
        <w:rPr>
          <w:rStyle w:val="FootnoteReference"/>
        </w:rPr>
        <w:footnoteReference w:id="1"/>
      </w:r>
      <w:r w:rsidR="00ED2479" w:rsidRPr="00C4476D">
        <w:rPr>
          <w:rFonts w:eastAsia="Times New Roman" w:cs="Times New Roman"/>
          <w:color w:val="000000"/>
        </w:rPr>
        <w:t xml:space="preserve"> </w:t>
      </w:r>
      <w:r w:rsidR="008823AC" w:rsidRPr="00C4476D">
        <w:rPr>
          <w:rFonts w:eastAsia="Times New Roman" w:cs="Times New Roman"/>
          <w:color w:val="000000"/>
        </w:rPr>
        <w:t>Despite its ambition</w:t>
      </w:r>
      <w:r w:rsidRPr="00C4476D">
        <w:rPr>
          <w:rFonts w:eastAsia="Times New Roman" w:cs="Times New Roman"/>
          <w:color w:val="000000"/>
        </w:rPr>
        <w:t xml:space="preserve"> and centrality</w:t>
      </w:r>
      <w:r w:rsidR="008823AC" w:rsidRPr="00C4476D">
        <w:rPr>
          <w:rFonts w:eastAsia="Times New Roman" w:cs="Times New Roman"/>
          <w:color w:val="000000"/>
        </w:rPr>
        <w:t xml:space="preserve">, </w:t>
      </w:r>
      <w:r w:rsidRPr="00C4476D">
        <w:rPr>
          <w:rFonts w:eastAsia="Times New Roman" w:cs="Times New Roman"/>
          <w:color w:val="000000"/>
        </w:rPr>
        <w:t>it</w:t>
      </w:r>
      <w:r w:rsidR="008823AC" w:rsidRPr="00C4476D">
        <w:rPr>
          <w:rFonts w:eastAsia="Times New Roman" w:cs="Times New Roman"/>
          <w:color w:val="000000"/>
        </w:rPr>
        <w:t xml:space="preserve"> is </w:t>
      </w:r>
      <w:r w:rsidRPr="00C4476D">
        <w:rPr>
          <w:rFonts w:eastAsia="Times New Roman" w:cs="Times New Roman"/>
          <w:color w:val="000000"/>
        </w:rPr>
        <w:t>perhaps</w:t>
      </w:r>
      <w:r w:rsidR="008823AC" w:rsidRPr="00C4476D">
        <w:rPr>
          <w:rFonts w:eastAsia="Times New Roman" w:cs="Times New Roman"/>
          <w:color w:val="000000"/>
        </w:rPr>
        <w:t xml:space="preserve"> the least explored topic within post-TEM enactivist literature.</w:t>
      </w:r>
      <w:r w:rsidR="00E247D8">
        <w:rPr>
          <w:rFonts w:eastAsia="Times New Roman" w:cs="Times New Roman"/>
          <w:color w:val="000000"/>
        </w:rPr>
        <w:t xml:space="preserve"> </w:t>
      </w:r>
      <w:r w:rsidR="000034E0">
        <w:rPr>
          <w:rFonts w:eastAsia="Times New Roman" w:cs="Times New Roman"/>
          <w:color w:val="000000"/>
        </w:rPr>
        <w:t>However</w:t>
      </w:r>
      <w:r w:rsidR="00E247D8">
        <w:rPr>
          <w:rFonts w:eastAsia="Times New Roman" w:cs="Times New Roman"/>
          <w:color w:val="000000"/>
        </w:rPr>
        <w:t xml:space="preserve">, because living beings bring forth their worlds </w:t>
      </w:r>
      <w:r w:rsidR="00307D6D">
        <w:rPr>
          <w:rFonts w:eastAsia="Times New Roman" w:cs="Times New Roman"/>
          <w:color w:val="000000"/>
        </w:rPr>
        <w:t>over</w:t>
      </w:r>
      <w:r w:rsidR="00E247D8">
        <w:rPr>
          <w:rFonts w:eastAsia="Times New Roman" w:cs="Times New Roman"/>
          <w:color w:val="000000"/>
        </w:rPr>
        <w:t xml:space="preserve"> large time</w:t>
      </w:r>
      <w:r w:rsidR="00307D6D">
        <w:rPr>
          <w:rFonts w:eastAsia="Times New Roman" w:cs="Times New Roman"/>
          <w:color w:val="000000"/>
        </w:rPr>
        <w:t xml:space="preserve"> </w:t>
      </w:r>
      <w:r w:rsidR="00E247D8">
        <w:rPr>
          <w:rFonts w:eastAsia="Times New Roman" w:cs="Times New Roman"/>
          <w:color w:val="000000"/>
        </w:rPr>
        <w:t>scales, as we explore below, the enactivist take on evolution cannot be neglected</w:t>
      </w:r>
      <w:r w:rsidR="000034E0">
        <w:rPr>
          <w:rFonts w:eastAsia="Times New Roman" w:cs="Times New Roman"/>
          <w:color w:val="000000"/>
        </w:rPr>
        <w:t>. Accordingly,</w:t>
      </w:r>
      <w:r w:rsidR="00E247D8">
        <w:rPr>
          <w:rFonts w:eastAsia="Times New Roman" w:cs="Times New Roman"/>
          <w:color w:val="000000"/>
        </w:rPr>
        <w:t xml:space="preserve"> the idea of natural drift </w:t>
      </w:r>
      <w:r w:rsidR="00764BEE" w:rsidRPr="00764BEE">
        <w:rPr>
          <w:rFonts w:eastAsia="Times New Roman" w:cs="Times New Roman"/>
          <w:color w:val="000000"/>
        </w:rPr>
        <w:t>(or enactive evolution, as Thompson</w:t>
      </w:r>
      <w:r w:rsidR="00764BEE">
        <w:rPr>
          <w:rFonts w:eastAsia="Times New Roman" w:cs="Times New Roman"/>
          <w:color w:val="000000"/>
        </w:rPr>
        <w:t xml:space="preserve">, </w:t>
      </w:r>
      <w:r w:rsidR="00764BEE" w:rsidRPr="00764BEE">
        <w:rPr>
          <w:rFonts w:eastAsia="Times New Roman" w:cs="Times New Roman"/>
          <w:color w:val="000000"/>
        </w:rPr>
        <w:t>2007</w:t>
      </w:r>
      <w:r w:rsidR="00764BEE">
        <w:rPr>
          <w:rFonts w:eastAsia="Times New Roman" w:cs="Times New Roman"/>
          <w:color w:val="000000"/>
        </w:rPr>
        <w:t>,</w:t>
      </w:r>
      <w:r w:rsidR="00764BEE" w:rsidRPr="00764BEE">
        <w:rPr>
          <w:rFonts w:eastAsia="Times New Roman" w:cs="Times New Roman"/>
          <w:color w:val="000000"/>
        </w:rPr>
        <w:t xml:space="preserve"> later puts it)</w:t>
      </w:r>
      <w:r w:rsidR="00764BEE">
        <w:rPr>
          <w:rFonts w:eastAsia="Times New Roman" w:cs="Times New Roman"/>
          <w:color w:val="000000"/>
        </w:rPr>
        <w:t xml:space="preserve"> </w:t>
      </w:r>
      <w:r w:rsidR="00E247D8">
        <w:rPr>
          <w:rFonts w:eastAsia="Times New Roman" w:cs="Times New Roman"/>
          <w:color w:val="000000"/>
        </w:rPr>
        <w:t xml:space="preserve">provides a starting point to situate </w:t>
      </w:r>
      <w:r w:rsidR="000034E0">
        <w:rPr>
          <w:rFonts w:eastAsia="Times New Roman" w:cs="Times New Roman"/>
          <w:color w:val="000000"/>
        </w:rPr>
        <w:t>enactivism</w:t>
      </w:r>
      <w:r w:rsidR="00764BEE">
        <w:rPr>
          <w:rFonts w:eastAsia="Times New Roman" w:cs="Times New Roman"/>
          <w:color w:val="000000"/>
        </w:rPr>
        <w:t xml:space="preserve"> i</w:t>
      </w:r>
      <w:r w:rsidR="000034E0">
        <w:rPr>
          <w:rFonts w:eastAsia="Times New Roman" w:cs="Times New Roman"/>
          <w:color w:val="000000"/>
        </w:rPr>
        <w:t>n current evolutionary debate.</w:t>
      </w:r>
      <w:r w:rsidR="00764BEE">
        <w:rPr>
          <w:rFonts w:eastAsia="Times New Roman" w:cs="Times New Roman"/>
          <w:color w:val="000000"/>
        </w:rPr>
        <w:t xml:space="preserve"> </w:t>
      </w:r>
      <w:r w:rsidR="00764BEE" w:rsidRPr="00764BEE">
        <w:rPr>
          <w:rFonts w:eastAsia="Times New Roman" w:cs="Times New Roman"/>
          <w:color w:val="000000"/>
        </w:rPr>
        <w:t>In particular, it allows us to understand how organism and environment determine each other, and this is crucial for the enactivist alternative to idealism and realism.</w:t>
      </w:r>
    </w:p>
    <w:p w14:paraId="22EBAAB3" w14:textId="407EBD42" w:rsidR="00A271EA" w:rsidRDefault="008823AC" w:rsidP="00AD4BFD">
      <w:pPr>
        <w:spacing w:line="360" w:lineRule="auto"/>
        <w:jc w:val="both"/>
      </w:pPr>
      <w:r w:rsidRPr="00C4476D">
        <w:rPr>
          <w:rFonts w:eastAsia="Times New Roman" w:cs="Times New Roman"/>
          <w:color w:val="000000"/>
        </w:rPr>
        <w:tab/>
        <w:t>In this paper, we aim to explore the relation between the latter</w:t>
      </w:r>
      <w:r w:rsidR="00B96744" w:rsidRPr="00C4476D">
        <w:rPr>
          <w:rFonts w:eastAsia="Times New Roman" w:cs="Times New Roman"/>
          <w:color w:val="000000"/>
        </w:rPr>
        <w:t xml:space="preserve"> two</w:t>
      </w:r>
      <w:r w:rsidRPr="00C4476D">
        <w:rPr>
          <w:rFonts w:eastAsia="Times New Roman" w:cs="Times New Roman"/>
          <w:color w:val="000000"/>
        </w:rPr>
        <w:t xml:space="preserve"> original goals of TEM in light of recent developments of the enactivist literature</w:t>
      </w:r>
      <w:r w:rsidR="00617ED3" w:rsidRPr="00C4476D">
        <w:rPr>
          <w:rFonts w:eastAsia="Times New Roman" w:cs="Times New Roman"/>
          <w:color w:val="000000"/>
        </w:rPr>
        <w:t xml:space="preserve"> and evolutionary biology</w:t>
      </w:r>
      <w:r w:rsidRPr="00C4476D">
        <w:rPr>
          <w:rFonts w:eastAsia="Times New Roman" w:cs="Times New Roman"/>
          <w:color w:val="000000"/>
        </w:rPr>
        <w:t>. We find that much of the controversy surrounding the alleged idealis</w:t>
      </w:r>
      <w:r w:rsidR="00077908" w:rsidRPr="00C4476D">
        <w:rPr>
          <w:rFonts w:eastAsia="Times New Roman" w:cs="Times New Roman"/>
          <w:color w:val="000000"/>
        </w:rPr>
        <w:t xml:space="preserve">m </w:t>
      </w:r>
      <w:r w:rsidRPr="00C4476D">
        <w:rPr>
          <w:rFonts w:eastAsia="Times New Roman" w:cs="Times New Roman"/>
          <w:color w:val="000000"/>
        </w:rPr>
        <w:t xml:space="preserve">of enactivism relies on an inadequate understanding of what it means ‘to bring forth a world’, and we argue for a literal interpretation of that phrase. </w:t>
      </w:r>
      <w:r w:rsidRPr="00C4476D">
        <w:t xml:space="preserve">In the next section, we present in further details TEM’s attempt to </w:t>
      </w:r>
      <w:r w:rsidR="001C47D0" w:rsidRPr="00C4476D">
        <w:t>ground</w:t>
      </w:r>
      <w:r w:rsidRPr="00C4476D">
        <w:t xml:space="preserve"> a middle </w:t>
      </w:r>
      <w:r w:rsidR="007900F8" w:rsidRPr="00C4476D">
        <w:t>way</w:t>
      </w:r>
      <w:r w:rsidRPr="00C4476D">
        <w:t xml:space="preserve"> between realism and idealism, as well as </w:t>
      </w:r>
      <w:r w:rsidR="00A271EA" w:rsidRPr="00C4476D">
        <w:t>the pessimistic reception of th</w:t>
      </w:r>
      <w:r w:rsidR="00507829" w:rsidRPr="00C4476D">
        <w:t>at</w:t>
      </w:r>
      <w:r w:rsidR="00A271EA" w:rsidRPr="00C4476D">
        <w:t xml:space="preserve"> project. In the </w:t>
      </w:r>
      <w:r w:rsidR="00ED4F2D" w:rsidRPr="00C4476D">
        <w:t>third</w:t>
      </w:r>
      <w:r w:rsidR="00A271EA" w:rsidRPr="00C4476D">
        <w:t xml:space="preserve"> section, we present </w:t>
      </w:r>
      <w:r w:rsidRPr="00C4476D">
        <w:t xml:space="preserve">our literal interpretation of ‘bringing forth a world’, according to which enaction is </w:t>
      </w:r>
      <w:r w:rsidR="00A271EA" w:rsidRPr="00C4476D">
        <w:t>the</w:t>
      </w:r>
      <w:r w:rsidRPr="00C4476D">
        <w:t xml:space="preserve"> coupling between organism and its environment which </w:t>
      </w:r>
      <w:r w:rsidR="005E29C8" w:rsidRPr="00C4476D">
        <w:t>leads to</w:t>
      </w:r>
      <w:r w:rsidRPr="00C4476D">
        <w:t xml:space="preserve"> the organism physically altering environmental structures in order to make them advantageous for it</w:t>
      </w:r>
      <w:r w:rsidR="00A271EA" w:rsidRPr="00C4476D">
        <w:t>s survival</w:t>
      </w:r>
      <w:r w:rsidR="00505DC4">
        <w:t>. I</w:t>
      </w:r>
      <w:r w:rsidR="007900F8" w:rsidRPr="00C4476D">
        <w:t xml:space="preserve">n some cases, ours for instance, </w:t>
      </w:r>
      <w:r w:rsidR="00505DC4">
        <w:t xml:space="preserve">those processes </w:t>
      </w:r>
      <w:r w:rsidR="007900F8" w:rsidRPr="00C4476D">
        <w:t xml:space="preserve">may </w:t>
      </w:r>
      <w:r w:rsidR="00505DC4">
        <w:t>lead to the construction of a</w:t>
      </w:r>
      <w:r w:rsidR="007900F8" w:rsidRPr="00C4476D">
        <w:t xml:space="preserve"> social world</w:t>
      </w:r>
      <w:r w:rsidR="0029440E" w:rsidRPr="00C4476D">
        <w:t xml:space="preserve"> </w:t>
      </w:r>
      <w:r w:rsidR="00505DC4">
        <w:t>too</w:t>
      </w:r>
      <w:r w:rsidR="007900F8" w:rsidRPr="00C4476D">
        <w:t>, that is, an environment characterized by sociocultural practices and institutions</w:t>
      </w:r>
      <w:r w:rsidRPr="00C4476D">
        <w:t>. We claim that enactivism is compatible with the idea of an independent reality of physical structures and relations</w:t>
      </w:r>
      <w:r w:rsidR="00A271EA" w:rsidRPr="00C4476D">
        <w:t xml:space="preserve"> without implying a pregiven world</w:t>
      </w:r>
      <w:r w:rsidR="000034E0">
        <w:t>. A world brought forth</w:t>
      </w:r>
      <w:r w:rsidR="00764BEE">
        <w:t xml:space="preserve"> by us</w:t>
      </w:r>
      <w:r w:rsidR="000034E0">
        <w:t xml:space="preserve"> is the</w:t>
      </w:r>
      <w:r w:rsidR="00505DC4">
        <w:t xml:space="preserve"> </w:t>
      </w:r>
      <w:r w:rsidR="00505DC4">
        <w:rPr>
          <w:i/>
          <w:iCs/>
        </w:rPr>
        <w:t>literal</w:t>
      </w:r>
      <w:r w:rsidR="000034E0">
        <w:t xml:space="preserve"> outcome of </w:t>
      </w:r>
      <w:r w:rsidR="00764BEE">
        <w:t xml:space="preserve">our </w:t>
      </w:r>
      <w:r w:rsidR="000034E0">
        <w:t>cognitive doings,</w:t>
      </w:r>
      <w:r w:rsidR="00764BEE">
        <w:t xml:space="preserve"> it is our </w:t>
      </w:r>
      <w:r w:rsidR="00764BEE">
        <w:rPr>
          <w:i/>
          <w:iCs/>
        </w:rPr>
        <w:t xml:space="preserve">environment </w:t>
      </w:r>
      <w:r w:rsidR="003A026D" w:rsidRPr="0088182A">
        <w:t>(</w:t>
      </w:r>
      <w:r w:rsidR="00D27A2D" w:rsidRPr="0088182A">
        <w:rPr>
          <w:rFonts w:eastAsia="Times New Roman" w:cs="Times New Roman"/>
          <w:color w:val="000000"/>
        </w:rPr>
        <w:t>Varela et al.</w:t>
      </w:r>
      <w:r w:rsidR="0088182A">
        <w:rPr>
          <w:rFonts w:eastAsia="Times New Roman" w:cs="Times New Roman"/>
          <w:color w:val="000000"/>
        </w:rPr>
        <w:t>,</w:t>
      </w:r>
      <w:r w:rsidR="00D27A2D" w:rsidRPr="0088182A">
        <w:rPr>
          <w:rFonts w:eastAsia="Times New Roman" w:cs="Times New Roman"/>
          <w:color w:val="000000"/>
        </w:rPr>
        <w:t xml:space="preserve"> 2016</w:t>
      </w:r>
      <w:r w:rsidR="003A026D" w:rsidRPr="0088182A">
        <w:t>, p. 174)</w:t>
      </w:r>
      <w:r w:rsidR="00764BEE">
        <w:t xml:space="preserve">. </w:t>
      </w:r>
      <w:r w:rsidR="00127C4E">
        <w:t>Finally, i</w:t>
      </w:r>
      <w:r w:rsidRPr="00C4476D">
        <w:t xml:space="preserve">n the </w:t>
      </w:r>
      <w:r w:rsidR="00ED4F2D" w:rsidRPr="00C4476D">
        <w:t>fourth</w:t>
      </w:r>
      <w:r w:rsidRPr="00C4476D">
        <w:t xml:space="preserve"> section,</w:t>
      </w:r>
      <w:r w:rsidR="00505DC4">
        <w:t xml:space="preserve"> we show how a clear understanding of what</w:t>
      </w:r>
      <w:r w:rsidR="00C02EB1">
        <w:t xml:space="preserve"> it</w:t>
      </w:r>
      <w:r w:rsidR="00505DC4">
        <w:t xml:space="preserve"> means to bring forth a world allow</w:t>
      </w:r>
      <w:r w:rsidR="00041B1A">
        <w:t>s</w:t>
      </w:r>
      <w:r w:rsidR="00505DC4">
        <w:t xml:space="preserve"> us to reclaim the </w:t>
      </w:r>
      <w:r w:rsidR="00ED6D78">
        <w:t>much-neglected</w:t>
      </w:r>
      <w:r w:rsidR="00505DC4">
        <w:t xml:space="preserve"> idea of natural </w:t>
      </w:r>
      <w:r w:rsidR="00505DC4">
        <w:lastRenderedPageBreak/>
        <w:t xml:space="preserve">drift, </w:t>
      </w:r>
      <w:r w:rsidRPr="00C4476D">
        <w:t xml:space="preserve">the </w:t>
      </w:r>
      <w:r w:rsidR="009A516D" w:rsidRPr="00C4476D">
        <w:t xml:space="preserve">programmatic </w:t>
      </w:r>
      <w:r w:rsidRPr="00C4476D">
        <w:t xml:space="preserve">view </w:t>
      </w:r>
      <w:r w:rsidR="00505DC4">
        <w:t>on</w:t>
      </w:r>
      <w:r w:rsidR="00505DC4" w:rsidRPr="00C4476D">
        <w:t xml:space="preserve"> </w:t>
      </w:r>
      <w:r w:rsidRPr="00C4476D">
        <w:t>evolution presented in TEM</w:t>
      </w:r>
      <w:r w:rsidR="00764B9F" w:rsidRPr="00C4476D">
        <w:t xml:space="preserve"> as a</w:t>
      </w:r>
      <w:r w:rsidR="009A516D" w:rsidRPr="00C4476D">
        <w:t xml:space="preserve">n </w:t>
      </w:r>
      <w:r w:rsidR="00764B9F" w:rsidRPr="00C4476D">
        <w:t>alternative to adaptationism.</w:t>
      </w:r>
      <w:r w:rsidR="00505DC4">
        <w:t xml:space="preserve"> </w:t>
      </w:r>
      <w:r w:rsidR="00981AB5" w:rsidRPr="00981AB5">
        <w:t>An enactivist account of evolution is necessary for taking seriously the idea of a codetermination between agent and environment</w:t>
      </w:r>
      <w:r w:rsidR="00764BEE">
        <w:t xml:space="preserve"> </w:t>
      </w:r>
      <w:r w:rsidR="00764BEE" w:rsidRPr="00764BEE">
        <w:t>over large timescales, and this is crucial in order to understand the middle way proposed in TEM</w:t>
      </w:r>
      <w:r w:rsidR="00764BEE">
        <w:t xml:space="preserve">. </w:t>
      </w:r>
    </w:p>
    <w:p w14:paraId="58D757CC" w14:textId="77777777" w:rsidR="00981AB5" w:rsidRPr="00C4476D" w:rsidRDefault="00981AB5" w:rsidP="00A271EA">
      <w:pPr>
        <w:spacing w:line="360" w:lineRule="auto"/>
        <w:jc w:val="both"/>
      </w:pPr>
    </w:p>
    <w:p w14:paraId="147A74EE" w14:textId="53D7B5AB" w:rsidR="00A271EA" w:rsidRPr="00C4476D" w:rsidRDefault="00A271EA" w:rsidP="00A271EA">
      <w:pPr>
        <w:spacing w:line="360" w:lineRule="auto"/>
        <w:jc w:val="both"/>
        <w:rPr>
          <w:b/>
          <w:bCs/>
        </w:rPr>
      </w:pPr>
      <w:r w:rsidRPr="00C4476D">
        <w:rPr>
          <w:b/>
          <w:bCs/>
        </w:rPr>
        <w:t xml:space="preserve">2. The realism/idealism divide and the </w:t>
      </w:r>
      <w:r w:rsidR="00230060" w:rsidRPr="00C4476D">
        <w:rPr>
          <w:b/>
          <w:bCs/>
        </w:rPr>
        <w:t xml:space="preserve">tenability </w:t>
      </w:r>
      <w:r w:rsidR="00111760" w:rsidRPr="00C4476D">
        <w:rPr>
          <w:b/>
          <w:bCs/>
        </w:rPr>
        <w:t xml:space="preserve">of the </w:t>
      </w:r>
      <w:r w:rsidRPr="00C4476D">
        <w:rPr>
          <w:b/>
          <w:bCs/>
        </w:rPr>
        <w:t>middle way</w:t>
      </w:r>
    </w:p>
    <w:p w14:paraId="15495676" w14:textId="77777777" w:rsidR="00A271EA" w:rsidRPr="00C4476D" w:rsidRDefault="00A271EA" w:rsidP="00A271EA">
      <w:pPr>
        <w:spacing w:line="360" w:lineRule="auto"/>
        <w:jc w:val="both"/>
        <w:rPr>
          <w:b/>
          <w:bCs/>
        </w:rPr>
      </w:pPr>
    </w:p>
    <w:p w14:paraId="64AAF2A6" w14:textId="77A9B510" w:rsidR="00AD4BFD" w:rsidRDefault="00FD5AC5" w:rsidP="00D64A19">
      <w:pPr>
        <w:spacing w:line="360" w:lineRule="auto"/>
        <w:ind w:firstLine="720"/>
        <w:jc w:val="both"/>
      </w:pPr>
      <w:r>
        <w:t>Before examining the proposed middle way between realism and idealism as it is advanced in TEM, it is important to notice that the authors do not offer an extensive account of the many varieties of realism, idealism and the in-betweens</w:t>
      </w:r>
      <w:r w:rsidR="00DD128E">
        <w:t>, as we mentioned above</w:t>
      </w:r>
      <w:r>
        <w:t xml:space="preserve">. They only </w:t>
      </w:r>
      <w:r w:rsidR="00033DE1">
        <w:t>present</w:t>
      </w:r>
      <w:r>
        <w:t xml:space="preserve"> </w:t>
      </w:r>
      <w:r w:rsidR="00033DE1">
        <w:t>a</w:t>
      </w:r>
      <w:r>
        <w:t xml:space="preserve"> general picture of this dispute in the cognitive sciences, according to which realists assume that we have a representational access to a pregiven world</w:t>
      </w:r>
      <w:r w:rsidR="00AD4BFD">
        <w:t>. Idealists, on the other hand,</w:t>
      </w:r>
      <w:r>
        <w:t xml:space="preserve"> </w:t>
      </w:r>
      <w:r w:rsidR="00AD4BFD">
        <w:t xml:space="preserve">take </w:t>
      </w:r>
      <w:r>
        <w:t xml:space="preserve">cognition </w:t>
      </w:r>
      <w:r w:rsidR="00AD4BFD">
        <w:t xml:space="preserve">to be </w:t>
      </w:r>
      <w:r>
        <w:t xml:space="preserve">the outcome or the projection of our own cognitive processes, </w:t>
      </w:r>
      <w:r w:rsidR="00AD4BFD">
        <w:t xml:space="preserve">that is, </w:t>
      </w:r>
      <w:r>
        <w:t xml:space="preserve">relating exclusively to the </w:t>
      </w:r>
      <w:r w:rsidR="00D64A19">
        <w:t>agent’s</w:t>
      </w:r>
      <w:r w:rsidR="00AD4BFD">
        <w:t xml:space="preserve"> internal</w:t>
      </w:r>
      <w:r>
        <w:t xml:space="preserve"> representations</w:t>
      </w:r>
      <w:r w:rsidR="00AD4BFD">
        <w:t xml:space="preserve">, which are </w:t>
      </w:r>
      <w:r w:rsidR="00033DE1">
        <w:t xml:space="preserve">decoupled from the </w:t>
      </w:r>
      <w:r>
        <w:t xml:space="preserve">environment. </w:t>
      </w:r>
      <w:r w:rsidR="00C02EB1">
        <w:t xml:space="preserve">It is in this </w:t>
      </w:r>
      <w:r w:rsidR="00764BEE">
        <w:t xml:space="preserve">epistemological </w:t>
      </w:r>
      <w:r w:rsidR="00C02EB1">
        <w:t>framework that</w:t>
      </w:r>
      <w:r>
        <w:t xml:space="preserve"> t</w:t>
      </w:r>
      <w:r w:rsidR="00A271EA" w:rsidRPr="00C4476D">
        <w:t xml:space="preserve">he </w:t>
      </w:r>
      <w:r>
        <w:t>promise of a</w:t>
      </w:r>
      <w:r w:rsidRPr="00C4476D">
        <w:t xml:space="preserve"> </w:t>
      </w:r>
      <w:r w:rsidR="00A271EA" w:rsidRPr="00C4476D">
        <w:t xml:space="preserve">middle way between realism and idealism </w:t>
      </w:r>
      <w:r w:rsidR="00C02EB1">
        <w:t>is put forth in</w:t>
      </w:r>
      <w:r w:rsidR="00A271EA" w:rsidRPr="00C4476D">
        <w:t xml:space="preserve"> </w:t>
      </w:r>
      <w:r w:rsidR="00C02EB1">
        <w:t xml:space="preserve">TEM through </w:t>
      </w:r>
      <w:r w:rsidR="00AD4BFD">
        <w:t>enaction and organism-environment codetermination</w:t>
      </w:r>
      <w:r w:rsidR="00A271EA" w:rsidRPr="00C4476D">
        <w:t xml:space="preserve">. </w:t>
      </w:r>
    </w:p>
    <w:p w14:paraId="0F703EB3" w14:textId="12BF8E3B" w:rsidR="00183C4B" w:rsidRPr="00C4476D" w:rsidRDefault="00A271EA" w:rsidP="00D64A19">
      <w:pPr>
        <w:spacing w:line="360" w:lineRule="auto"/>
        <w:ind w:firstLine="720"/>
        <w:jc w:val="both"/>
      </w:pPr>
      <w:r w:rsidRPr="00C4476D">
        <w:t xml:space="preserve">The authors </w:t>
      </w:r>
      <w:r w:rsidR="00AD4BFD">
        <w:t>explore the case of</w:t>
      </w:r>
      <w:r w:rsidRPr="00C4476D">
        <w:t xml:space="preserve"> color perception </w:t>
      </w:r>
      <w:r w:rsidR="00AD4BFD">
        <w:t xml:space="preserve">as </w:t>
      </w:r>
      <w:r w:rsidRPr="00C4476D">
        <w:t xml:space="preserve">a paradigmatic case of </w:t>
      </w:r>
      <w:r w:rsidR="00172506" w:rsidRPr="00C4476D">
        <w:t>enaction</w:t>
      </w:r>
      <w:r w:rsidRPr="00C4476D">
        <w:t xml:space="preserve">, according to which color perception is </w:t>
      </w:r>
      <w:r w:rsidR="009731ED">
        <w:t>‘</w:t>
      </w:r>
      <w:r w:rsidRPr="00C4476D">
        <w:t>neither pregiven nor represented, but rather experiential and enacted</w:t>
      </w:r>
      <w:r w:rsidR="009731ED">
        <w:t>’</w:t>
      </w:r>
      <w:r w:rsidR="003A026D">
        <w:t xml:space="preserve"> </w:t>
      </w:r>
      <w:r w:rsidR="003A026D" w:rsidRPr="0088182A">
        <w:t>(</w:t>
      </w:r>
      <w:r w:rsidR="00D27A2D" w:rsidRPr="0088182A">
        <w:rPr>
          <w:rFonts w:eastAsia="Times New Roman" w:cs="Times New Roman"/>
          <w:color w:val="000000"/>
        </w:rPr>
        <w:t>Varela et al.</w:t>
      </w:r>
      <w:r w:rsidR="0088182A" w:rsidRPr="0088182A">
        <w:rPr>
          <w:rFonts w:eastAsia="Times New Roman" w:cs="Times New Roman"/>
          <w:color w:val="000000"/>
        </w:rPr>
        <w:t>,</w:t>
      </w:r>
      <w:r w:rsidR="00D27A2D" w:rsidRPr="0088182A">
        <w:rPr>
          <w:rFonts w:eastAsia="Times New Roman" w:cs="Times New Roman"/>
          <w:color w:val="000000"/>
        </w:rPr>
        <w:t xml:space="preserve"> 2016</w:t>
      </w:r>
      <w:r w:rsidR="003A026D" w:rsidRPr="0088182A">
        <w:t>, p. 171)</w:t>
      </w:r>
      <w:r w:rsidRPr="0088182A">
        <w:t>. With this they mean that their account provides a different outlook o</w:t>
      </w:r>
      <w:r w:rsidR="00312EF8" w:rsidRPr="0088182A">
        <w:t>n</w:t>
      </w:r>
      <w:r w:rsidRPr="00C4476D">
        <w:t xml:space="preserve"> cognition compared to traditional (representationalist) approaches. Thus, a proper understanding of color perception supposedly provides a distinctively enactive account which is neither realist </w:t>
      </w:r>
      <w:r w:rsidR="009731ED">
        <w:t xml:space="preserve">nor idealist. It is not realist, they claim, because it does not construe cognition as the representational access to a pregiven world, i.e., a world with structure and properties that are specified previously to any cognitive interaction. </w:t>
      </w:r>
      <w:r w:rsidR="001803C9">
        <w:t>On the other hand, t</w:t>
      </w:r>
      <w:r w:rsidR="009731ED">
        <w:t>he</w:t>
      </w:r>
      <w:r w:rsidR="001803C9">
        <w:t>ir</w:t>
      </w:r>
      <w:r w:rsidR="009731ED">
        <w:t xml:space="preserve"> enactive account of color perception is not idealist because </w:t>
      </w:r>
      <w:r w:rsidR="001803C9">
        <w:t>perceiving colors is</w:t>
      </w:r>
      <w:r w:rsidR="009731ED">
        <w:t xml:space="preserve"> not the outcome of the organism’s</w:t>
      </w:r>
      <w:r w:rsidR="00D64A19">
        <w:t xml:space="preserve"> internal representations.</w:t>
      </w:r>
      <w:r w:rsidRPr="00C4476D">
        <w:t xml:space="preserve"> </w:t>
      </w:r>
    </w:p>
    <w:p w14:paraId="5F69D1DE" w14:textId="6E104BAC" w:rsidR="00A271EA" w:rsidRPr="00C4476D" w:rsidRDefault="00A271EA" w:rsidP="00183C4B">
      <w:pPr>
        <w:spacing w:line="360" w:lineRule="auto"/>
        <w:ind w:firstLine="720"/>
        <w:jc w:val="both"/>
      </w:pPr>
      <w:r w:rsidRPr="00C4476D">
        <w:t>This enactive account depends on the premise that color experience is not reducible to a single physical property or cluster of properties, for different organisms perceive color differently. Accordingly, color vision depends on the coupling between organism and environment. So, as organism</w:t>
      </w:r>
      <w:r w:rsidR="00ED2479" w:rsidRPr="00C4476D">
        <w:t>s</w:t>
      </w:r>
      <w:r w:rsidRPr="00C4476D">
        <w:t xml:space="preserve"> develop a history of interaction with certain environments,</w:t>
      </w:r>
      <w:r w:rsidR="00ED2479" w:rsidRPr="00C4476D">
        <w:t xml:space="preserve"> </w:t>
      </w:r>
      <w:r w:rsidR="00307D6D">
        <w:t>over</w:t>
      </w:r>
      <w:r w:rsidR="001803C9" w:rsidRPr="00C4476D">
        <w:t xml:space="preserve"> </w:t>
      </w:r>
      <w:r w:rsidR="001249C4" w:rsidRPr="00C4476D">
        <w:t>large</w:t>
      </w:r>
      <w:r w:rsidR="00ED2479" w:rsidRPr="00C4476D">
        <w:t xml:space="preserve"> time</w:t>
      </w:r>
      <w:r w:rsidR="00307D6D">
        <w:t xml:space="preserve"> </w:t>
      </w:r>
      <w:r w:rsidR="00ED2479" w:rsidRPr="00C4476D">
        <w:t>scales,</w:t>
      </w:r>
      <w:r w:rsidRPr="00C4476D">
        <w:t xml:space="preserve"> </w:t>
      </w:r>
      <w:r w:rsidR="00ED2479" w:rsidRPr="00C4476D">
        <w:t>they</w:t>
      </w:r>
      <w:r w:rsidRPr="00C4476D">
        <w:t xml:space="preserve"> develop the biological traits </w:t>
      </w:r>
      <w:r w:rsidR="00ED2479" w:rsidRPr="00C4476D">
        <w:t xml:space="preserve">that are </w:t>
      </w:r>
      <w:r w:rsidRPr="00C4476D">
        <w:t xml:space="preserve">necessary to </w:t>
      </w:r>
      <w:r w:rsidR="004203AA">
        <w:t>detect</w:t>
      </w:r>
      <w:r w:rsidRPr="00C4476D">
        <w:t xml:space="preserve"> certain physical properties as </w:t>
      </w:r>
      <w:r w:rsidR="004203AA">
        <w:t xml:space="preserve">specific </w:t>
      </w:r>
      <w:r w:rsidRPr="00C4476D">
        <w:t xml:space="preserve">colors. </w:t>
      </w:r>
      <w:r w:rsidR="00172506" w:rsidRPr="00C4476D">
        <w:t>A colorful world is brought forth, so to speak</w:t>
      </w:r>
      <w:r w:rsidRPr="00C4476D">
        <w:t xml:space="preserve">. But, as Shapiro </w:t>
      </w:r>
      <w:r w:rsidRPr="00C4476D">
        <w:fldChar w:fldCharType="begin" w:fldLock="1"/>
      </w:r>
      <w:r w:rsidRPr="00C4476D">
        <w:instrText>ADDIN CSL_CITATION {"citationItems":[{"id":"ITEM-1","itemData":{"author":[{"dropping-particle":"","family":"Shapiro","given":"Lawrence","non-dropping-particle":"","parse-names":false,"suffix":""}],"id":"ITEM-1","issued":{"date-parts":[["2011"]]},"note":"NULL","publisher":"Routledge","publisher-place":"London","title":"Embodied Cognition","type":"book"},"suffix":"chapter 4","suppress-author":1,"uris":["http://www.mendeley.com/documents/?uuid=1ccb91db-b2c3-4392-a2ac-24e6ee6b5649"]}],"mendeley":{"formattedCitation":"(2011 chapter 4)","manualFormatting":"(2011, chapter 4)","plainTextFormattedCitation":"(2011 chapter 4)","previouslyFormattedCitation":"(2011 chapter 4)"},"properties":{"noteIndex":0},"schema":"https://github.com/citation-style-language/schema/raw/master/csl-citation.json"}</w:instrText>
      </w:r>
      <w:r w:rsidRPr="00C4476D">
        <w:fldChar w:fldCharType="separate"/>
      </w:r>
      <w:r w:rsidRPr="00C4476D">
        <w:rPr>
          <w:noProof/>
        </w:rPr>
        <w:t>(2011, chapter 4)</w:t>
      </w:r>
      <w:r w:rsidRPr="00C4476D">
        <w:fldChar w:fldCharType="end"/>
      </w:r>
      <w:r w:rsidRPr="00C4476D">
        <w:t xml:space="preserve"> points out, this simply means that color perception depends on the organism’s </w:t>
      </w:r>
      <w:r w:rsidRPr="00C4476D">
        <w:lastRenderedPageBreak/>
        <w:t xml:space="preserve">cognitive apparatus, a claim that falls short of the alleged </w:t>
      </w:r>
      <w:r w:rsidR="001803C9">
        <w:t>novel</w:t>
      </w:r>
      <w:r w:rsidR="001803C9" w:rsidRPr="00C4476D">
        <w:t xml:space="preserve"> </w:t>
      </w:r>
      <w:r w:rsidRPr="00C4476D">
        <w:t xml:space="preserve">way of theorizing about cognition as advertised in TEM. After all, traditional cognitive scientists would </w:t>
      </w:r>
      <w:r w:rsidR="00C32059">
        <w:t xml:space="preserve">easily </w:t>
      </w:r>
      <w:r w:rsidRPr="00C4476D">
        <w:t>agree that organisms develop particular ways of accessing the environment—so there is nothing new, or philosophically interesting, about the idea that color perception depends on the</w:t>
      </w:r>
      <w:r w:rsidR="005E29C8" w:rsidRPr="00C4476D">
        <w:t xml:space="preserve"> specific</w:t>
      </w:r>
      <w:r w:rsidRPr="00C4476D">
        <w:t xml:space="preserve"> abilities, dispositions and bodily constitution of </w:t>
      </w:r>
      <w:r w:rsidR="005E29C8" w:rsidRPr="00C4476D">
        <w:t>cognitive agents</w:t>
      </w:r>
      <w:r w:rsidRPr="00C4476D">
        <w:t>.</w:t>
      </w:r>
      <w:r w:rsidR="00AD4BFD">
        <w:t xml:space="preserve"> In response</w:t>
      </w:r>
      <w:r w:rsidR="00172506" w:rsidRPr="00C4476D">
        <w:t xml:space="preserve">, </w:t>
      </w:r>
      <w:r w:rsidRPr="00C4476D">
        <w:t xml:space="preserve">the authors of TEM </w:t>
      </w:r>
      <w:r w:rsidR="00AD4BFD">
        <w:t>could</w:t>
      </w:r>
      <w:r w:rsidR="00172506" w:rsidRPr="00C4476D">
        <w:t xml:space="preserve"> </w:t>
      </w:r>
      <w:r w:rsidRPr="00C4476D">
        <w:t>aim for a more controversial claim</w:t>
      </w:r>
      <w:r w:rsidR="00AD4BFD">
        <w:t xml:space="preserve"> </w:t>
      </w:r>
      <w:r w:rsidRPr="00C4476D">
        <w:t>that color perception is a product of the organism’s mind. Organisms would bring forth a</w:t>
      </w:r>
      <w:r w:rsidR="00AD4BFD">
        <w:t xml:space="preserve">n </w:t>
      </w:r>
      <w:r w:rsidR="00AD4BFD" w:rsidRPr="00AD4BFD">
        <w:rPr>
          <w:i/>
          <w:iCs/>
        </w:rPr>
        <w:t>internal</w:t>
      </w:r>
      <w:r w:rsidRPr="00C4476D">
        <w:rPr>
          <w:i/>
          <w:iCs/>
        </w:rPr>
        <w:t xml:space="preserve"> </w:t>
      </w:r>
      <w:r w:rsidRPr="00C4476D">
        <w:t xml:space="preserve">world. </w:t>
      </w:r>
      <w:r w:rsidR="00ED2479" w:rsidRPr="00C4476D">
        <w:t xml:space="preserve">But, besides the fact that this strategy is explicitly denied by </w:t>
      </w:r>
      <w:r w:rsidR="00183C4B" w:rsidRPr="00C4476D">
        <w:t>the</w:t>
      </w:r>
      <w:r w:rsidR="00ED2479" w:rsidRPr="00C4476D">
        <w:t xml:space="preserve"> authors, it would lead </w:t>
      </w:r>
      <w:r w:rsidRPr="00C4476D">
        <w:t xml:space="preserve">enactivism right back to the idealist trap instead of providing </w:t>
      </w:r>
      <w:r w:rsidR="00172506" w:rsidRPr="00C4476D">
        <w:t>the</w:t>
      </w:r>
      <w:r w:rsidRPr="00C4476D">
        <w:t xml:space="preserve"> </w:t>
      </w:r>
      <w:r w:rsidR="00172506" w:rsidRPr="00C4476D">
        <w:t xml:space="preserve">desired </w:t>
      </w:r>
      <w:r w:rsidR="00507829" w:rsidRPr="00C4476D">
        <w:t xml:space="preserve">middle </w:t>
      </w:r>
      <w:r w:rsidRPr="00C4476D">
        <w:t>way between realism and idealism.</w:t>
      </w:r>
    </w:p>
    <w:p w14:paraId="79A5294E" w14:textId="77201227" w:rsidR="00A271EA" w:rsidRPr="00C4476D" w:rsidRDefault="00A271EA" w:rsidP="00A271EA">
      <w:pPr>
        <w:spacing w:line="360" w:lineRule="auto"/>
        <w:jc w:val="both"/>
      </w:pPr>
      <w:r w:rsidRPr="00C4476D">
        <w:tab/>
        <w:t xml:space="preserve">On the other hand, if enactivists aim to avoid the charge of idealism, they may insist that the color vision—and all other kinds of cognitive activity, if color vision is in fact a paradigmatic example of cognition—is a matter of accessing a world through specific cognitive apparatuses. </w:t>
      </w:r>
      <w:r w:rsidR="006B2FE7">
        <w:t>However, this</w:t>
      </w:r>
      <w:r w:rsidRPr="00C4476D">
        <w:t xml:space="preserve"> </w:t>
      </w:r>
      <w:r w:rsidR="006B2FE7">
        <w:t xml:space="preserve">would </w:t>
      </w:r>
      <w:r w:rsidRPr="00C4476D">
        <w:t xml:space="preserve">reveal </w:t>
      </w:r>
      <w:r w:rsidR="006B2FE7">
        <w:t xml:space="preserve">a </w:t>
      </w:r>
      <w:r w:rsidR="006B2FE7" w:rsidRPr="00C4476D">
        <w:t>commitm</w:t>
      </w:r>
      <w:r w:rsidR="006B2FE7">
        <w:t>ent</w:t>
      </w:r>
      <w:r w:rsidRPr="00C4476D">
        <w:t xml:space="preserve"> to what </w:t>
      </w:r>
      <w:r w:rsidR="00D93109" w:rsidRPr="00C4476D">
        <w:t>D</w:t>
      </w:r>
      <w:r w:rsidRPr="00C4476D">
        <w:t xml:space="preserve">e Jesus </w:t>
      </w:r>
      <w:r w:rsidRPr="00C4476D">
        <w:fldChar w:fldCharType="begin" w:fldLock="1"/>
      </w:r>
      <w:r w:rsidR="00D93109" w:rsidRPr="00C4476D">
        <w:instrText>ADDIN CSL_CITATION {"citationItems":[{"id":"ITEM-1","itemData":{"DOI":"10.1007/s11097-018-9562-2","ISSN":"1568-7759","abstract":"According to enactivism all living systems, from single cell organisms to human beings, are ontologically endowed with some form of teleological and sense-making agency. Furthermore, enactivists maintain that: (i) there is no fixed pregiven world and as a consequence (ii) all organisms “bring forth” their own unique “worlds” through processes of sense-making. The first half of the paper takes these two ontological claims as its central focus and aims to clarify and make explicit the arguments and motivations underlying them. Our analysis here highlights three distinct but connected problems for enactivism: (i) these arguments do not and cannot guarantee that there is no pregiven world, instead, they (ii) end up generating a contradiction whereby a pregiven world seems to in fact be tacitly presupposed by virtue of (iii) a reliance on a tacit epistemic perspectivalism which is also inherently representationalist and as a consequence makes it difficult to satisfactorily account for the ontological plurality of worlds. Taking these considerations on board, the second half of the paper then aims to develop a more robust ontologically grounded enactivism. Drawing from biosemiotic enactivism, science and technology studies and anthropology, the paper aims to present an account which both rejects a pregiven world and coherently accounts for how organisms bring forth ontologically multiple worlds.","author":[{"dropping-particle":"","family":"Jesus","given":"Paulo","non-dropping-particle":"De","parse-names":false,"suffix":""}],"container-title":"Phenomenology and the Cognitive Sciences","id":"ITEM-1","issue":"5","issued":{"date-parts":[["2018","12","2"]]},"page":"861-887","publisher":"Phenomenology and the Cognitive Sciences","title":"Thinking through enactive agency: sense-making, bio-semiosis and the ontologies of organismic worlds","type":"article-journal","volume":"17"},"uris":["http://www.mendeley.com/documents/?uuid=dbf67187-c208-4caf-a344-f047b30d0e43"]}],"mendeley":{"formattedCitation":"(De Jesus, 2018)","manualFormatting":"(2018)","plainTextFormattedCitation":"(De Jesus, 2018)","previouslyFormattedCitation":"(De Jesus, 2018)"},"properties":{"noteIndex":0},"schema":"https://github.com/citation-style-language/schema/raw/master/csl-citation.json"}</w:instrText>
      </w:r>
      <w:r w:rsidRPr="00C4476D">
        <w:fldChar w:fldCharType="separate"/>
      </w:r>
      <w:r w:rsidR="00FB02E3" w:rsidRPr="00C4476D">
        <w:rPr>
          <w:noProof/>
        </w:rPr>
        <w:t>(2018)</w:t>
      </w:r>
      <w:r w:rsidRPr="00C4476D">
        <w:fldChar w:fldCharType="end"/>
      </w:r>
      <w:r w:rsidRPr="00C4476D">
        <w:t xml:space="preserve"> has identified as a form of </w:t>
      </w:r>
      <w:r w:rsidRPr="00C4476D">
        <w:rPr>
          <w:i/>
          <w:iCs/>
        </w:rPr>
        <w:t xml:space="preserve">epistemic </w:t>
      </w:r>
      <w:proofErr w:type="spellStart"/>
      <w:r w:rsidRPr="00C4476D">
        <w:rPr>
          <w:i/>
          <w:iCs/>
        </w:rPr>
        <w:t>perspectivalism</w:t>
      </w:r>
      <w:proofErr w:type="spellEnd"/>
      <w:r w:rsidRPr="00C4476D">
        <w:t xml:space="preserve">. According to that view, organisms do not have access to a world in itself; they only have partial access to a certain perspective of the world, as afforded by their cognitive constitution. </w:t>
      </w:r>
      <w:r w:rsidR="006B2FE7">
        <w:t>But this</w:t>
      </w:r>
      <w:r w:rsidRPr="00C4476D">
        <w:t xml:space="preserve"> entails that there is a pregiven world, </w:t>
      </w:r>
      <w:r w:rsidRPr="00C4476D">
        <w:rPr>
          <w:i/>
          <w:iCs/>
        </w:rPr>
        <w:t xml:space="preserve">contrary </w:t>
      </w:r>
      <w:r w:rsidRPr="00C4476D">
        <w:t xml:space="preserve">to what </w:t>
      </w:r>
      <w:r w:rsidR="00183C4B" w:rsidRPr="00C4476D">
        <w:t>TEM</w:t>
      </w:r>
      <w:r w:rsidRPr="00C4476D">
        <w:t xml:space="preserve"> claim</w:t>
      </w:r>
      <w:r w:rsidR="00183C4B" w:rsidRPr="00C4476D">
        <w:t>s</w:t>
      </w:r>
      <w:r w:rsidRPr="00C4476D">
        <w:t>.</w:t>
      </w:r>
    </w:p>
    <w:p w14:paraId="502E989C" w14:textId="48D0BDF9" w:rsidR="00A271EA" w:rsidRPr="00C4476D" w:rsidRDefault="00A271EA" w:rsidP="00A271EA">
      <w:pPr>
        <w:spacing w:line="360" w:lineRule="auto"/>
        <w:jc w:val="both"/>
      </w:pPr>
      <w:r w:rsidRPr="00C4476D">
        <w:tab/>
        <w:t xml:space="preserve">So enactivists face the following conundrum: either they accept idealism—which not only goes against their </w:t>
      </w:r>
      <w:r w:rsidR="00183C4B" w:rsidRPr="00C4476D">
        <w:t xml:space="preserve">proposed </w:t>
      </w:r>
      <w:r w:rsidR="00172506" w:rsidRPr="00C4476D">
        <w:t>alternative</w:t>
      </w:r>
      <w:r w:rsidRPr="00C4476D">
        <w:t xml:space="preserve">, but, more problematically perhaps, also goes against a naturalistic outlook of mind—or they accept realism through implicitly accepting epistemic </w:t>
      </w:r>
      <w:proofErr w:type="spellStart"/>
      <w:r w:rsidRPr="00C4476D">
        <w:t>perspectivalism</w:t>
      </w:r>
      <w:proofErr w:type="spellEnd"/>
      <w:r w:rsidRPr="00C4476D">
        <w:t xml:space="preserve">. The </w:t>
      </w:r>
      <w:r w:rsidR="00764BEE">
        <w:t>second</w:t>
      </w:r>
      <w:r w:rsidRPr="00C4476D">
        <w:t xml:space="preserve"> prong of this dilemma, despite being sympathetic to naturalism, also defeats their claim that there is no pregiven world. </w:t>
      </w:r>
    </w:p>
    <w:p w14:paraId="26A17B81" w14:textId="6DCE10DC" w:rsidR="00A271EA" w:rsidRPr="00C4476D" w:rsidRDefault="00A271EA" w:rsidP="00A271EA">
      <w:pPr>
        <w:spacing w:line="360" w:lineRule="auto"/>
        <w:jc w:val="both"/>
      </w:pPr>
      <w:r w:rsidRPr="00C4476D">
        <w:tab/>
      </w:r>
      <w:r w:rsidR="00077908" w:rsidRPr="00C4476D">
        <w:t>The issue is not restricted to TEM, for i</w:t>
      </w:r>
      <w:r w:rsidRPr="00C4476D">
        <w:t xml:space="preserve">t is not clear what is the official enactivist stance </w:t>
      </w:r>
      <w:r w:rsidR="001803C9">
        <w:t>o</w:t>
      </w:r>
      <w:r w:rsidRPr="00C4476D">
        <w:t>n this matter</w:t>
      </w:r>
      <w:r w:rsidR="00077908" w:rsidRPr="00C4476D">
        <w:t xml:space="preserve"> in the subsequent literature</w:t>
      </w:r>
      <w:r w:rsidRPr="00C4476D">
        <w:t xml:space="preserve">. </w:t>
      </w:r>
      <w:r w:rsidR="00077908" w:rsidRPr="00C4476D">
        <w:t>S</w:t>
      </w:r>
      <w:r w:rsidRPr="00C4476D">
        <w:t>ome enactivists</w:t>
      </w:r>
      <w:r w:rsidR="00077908" w:rsidRPr="00C4476D">
        <w:t xml:space="preserve">, </w:t>
      </w:r>
      <w:r w:rsidR="00172506" w:rsidRPr="00C4476D">
        <w:t xml:space="preserve">especially </w:t>
      </w:r>
      <w:r w:rsidR="00077908" w:rsidRPr="00C4476D">
        <w:t xml:space="preserve">those that Ward et al. </w:t>
      </w:r>
      <w:r w:rsidR="00077908" w:rsidRPr="00C4476D">
        <w:fldChar w:fldCharType="begin" w:fldLock="1"/>
      </w:r>
      <w:r w:rsidR="00077908" w:rsidRPr="00C4476D">
        <w:instrText>ADDIN CSL_CITATION {"citationItems":[{"id":"ITEM-1","itemData":{"DOI":"10.1007/s11245-017-9484-6","ISSN":"0167-7411","author":[{"dropping-particle":"","family":"Ward","given":"Dave","non-dropping-particle":"","parse-names":false,"suffix":""},{"dropping-particle":"","family":"Silverman","given":"David","non-dropping-particle":"","parse-names":false,"suffix":""},{"dropping-particle":"","family":"Villalobos","given":"Mario","non-dropping-particle":"","parse-names":false,"suffix":""}],"container-title":"Topoi","id":"ITEM-1","issue":"3","issued":{"date-parts":[["2017","9","18"]]},"page":"365-375","title":"Introduction: The Varieties of Enactivism","type":"article-journal","volume":"36"},"suppress-author":1,"uris":["http://www.mendeley.com/documents/?uuid=58eed76d-c7cd-458e-84bf-4f0f10cba015"]}],"mendeley":{"formattedCitation":"(2017)","plainTextFormattedCitation":"(2017)","previouslyFormattedCitation":"(2017)"},"properties":{"noteIndex":0},"schema":"https://github.com/citation-style-language/schema/raw/master/csl-citation.json"}</w:instrText>
      </w:r>
      <w:r w:rsidR="00077908" w:rsidRPr="00C4476D">
        <w:fldChar w:fldCharType="separate"/>
      </w:r>
      <w:r w:rsidR="00077908" w:rsidRPr="00C4476D">
        <w:rPr>
          <w:noProof/>
        </w:rPr>
        <w:t>(2017)</w:t>
      </w:r>
      <w:r w:rsidR="00077908" w:rsidRPr="00C4476D">
        <w:fldChar w:fldCharType="end"/>
      </w:r>
      <w:r w:rsidR="00077908" w:rsidRPr="00C4476D">
        <w:t xml:space="preserve"> classify as </w:t>
      </w:r>
      <w:r w:rsidR="00077908" w:rsidRPr="00C4476D">
        <w:rPr>
          <w:i/>
          <w:iCs/>
        </w:rPr>
        <w:t>autopoietic enactivists</w:t>
      </w:r>
      <w:r w:rsidR="00077908" w:rsidRPr="00C4476D">
        <w:t xml:space="preserve">, follow TEM more closely and build on its original </w:t>
      </w:r>
      <w:r w:rsidRPr="00C4476D">
        <w:t xml:space="preserve">claim that cognitive systems are autonomous, which means that they individuate themselves by </w:t>
      </w:r>
      <w:r w:rsidR="000B73AC">
        <w:t>self-</w:t>
      </w:r>
      <w:r w:rsidRPr="00C4476D">
        <w:t xml:space="preserve">determining how they behave in a given environment </w:t>
      </w:r>
      <w:r w:rsidRPr="00C4476D">
        <w:fldChar w:fldCharType="begin" w:fldLock="1"/>
      </w:r>
      <w:r w:rsidR="008A0348">
        <w:instrText>ADDIN CSL_CITATION {"citationItems":[{"id":"ITEM-1","itemData":{"DOI":"10.1093/acprof:oso/9780198786849.001.0001","ISBN":"9780198786849","abstract":"This book elaborates a series of contributions to a non-representational theory of action and perception. It is based on current theoretical developments in the enactive approach to life and mind. These enactive ideas are applied and extended to provide a theoretically rich, naturalistic account of sensorimotor meaning and agency. This account supplies non-representational extensions to the sensorimotor approach to perceptual experience based on the notion of the living body as a self-organizing dynamic system in coupling with the environment. The enactive perspective entails the use of world-involving explanations, in which processes external to an agent co-constitute mental phenomena in ways that cannot be reduced to the supply of information for internal processing. These contributions to sensorimotor theories are a dynamical-systems description of different types of sensorimotor regularities or sensorimotor contingencies, a dynamical interpretation of Piaget's theory of equilibration to ground the concept of sensorimotor mastery, and a theory of agency as organized networks of sensorimotor schemes, with its implications for sensorimotor subjectivity. New tools are provided for examining the organization, development, and operation of networks of sensorimotor schemes that compose regional activities and genres of action with their own situated norms. This permits the exploration of new explanations for the phenomenology of agency experience that are favorably contrasted with traditional computational approaches and lead to new empirical predictions. From these proposals, capabilities once beyond the reach of enactive explanations, such as the possibility of virtual actions and the adoption of socially mediated abstract perceptual attitudes, can be addressed.","author":[{"dropping-particle":"","family":"Paolo","given":"Ezequiel","non-dropping-particle":"Di","parse-names":false,"suffix":""},{"dropping-particle":"","family":"Buhrmann","given":"Thomas","non-dropping-particle":"","parse-names":false,"suffix":""},{"dropping-particle":"","family":"Barandiaram","given":"Xabier","non-dropping-particle":"","parse-names":false,"suffix":""}],"id":"ITEM-1","issued":{"date-parts":[["2017"]]},"number-of-pages":"1-296","publisher":"Oxford University Press","publisher-place":"Oxford, New York","title":"Sensorimotor Life: An Enactive Proposal","type":"book"},"uris":["http://www.mendeley.com/documents/?uuid=9491a314-21f0-4904-a5fb-4a1e84efbeea"]},{"id":"ITEM-2","itemData":{"DOI":"10.1007/s11097-005-9002-y","ISSN":"1568-7759","abstract":"A proposal for the biological grounding of intrinsic teleology and sense-making through the theory of autopoiesis is critically evaluated. Autopoiesis provides a systemic language for speaking about intrinsic teleology but its original formulation needs to be elaborated further in order to explain sense-making. This is done by introducing adaptivity, a many-layered property that allows organisms to regulate themselves with respect to their conditions of viability. Adaptivity leads to more articulated concepts of behaviour, agency, sense-construction, health, and temporality than those given so far by autopoiesis and enaction. These and other implications for understanding the organismic generation of values are explored. © Springer 2005.","author":[{"dropping-particle":"","family":"Paolo","given":"Ezequiel","non-dropping-particle":"Di","parse-names":false,"suffix":""}],"container-title":"Phenomenology and the Cognitive Sciences","id":"ITEM-2","issue":"4","issued":{"date-parts":[["2005","12","11"]]},"page":"429-452","title":"Autopoiesis, Adaptivity, Teleology, Agency","type":"article-journal","volume":"4"},"uris":["http://www.mendeley.com/documents/?uuid=8ffa794a-960e-419c-acc9-069c1751d27f"]},{"id":"ITEM-3","itemData":{"author":[{"dropping-particle":"","family":"Thompson","given":"Evan","non-dropping-particle":"","parse-names":false,"suffix":""}],"id":"ITEM-3","issued":{"date-parts":</w:instrText>
      </w:r>
      <w:r w:rsidR="008A0348" w:rsidRPr="00AE16E9">
        <w:rPr>
          <w:lang w:val="pt-BR"/>
        </w:rPr>
        <w:instrText>[["2007"]]},"publisher":"The Belknap Press of Harvard University Press","publisher-place":"Cambridge, Massachusetts","title":"Mind in Life: Biology, Phenomenology and the Sciences of the Mind","type":"book"},"uris":["http://www.mendeley.com/documents/?uuid=ee35ab35-51b0-431f-9d52-245b6036bae1"]},{"id":"ITEM-4","itemData":{"author":[{"dropping-particle":"","family":"Paolo","given":"Ezequiel","non-dropping-particle":"Di","parse-names":false,"suffix":""},{"dropping-particle":"","family":"Cuffari","given":"Elena Clare","non-dropping-particle":"","parse-names":false,"suffix":""},{"dropping-particle":"","family":"Jaegher","given":"Hanne","non-dropping-particle":"De","parse-names":false,"suffix":""}],"id":"ITEM-4","issued":{"date-parts":[["2018"]]},"publisher":"MIT Press","publisher-place":"Cambridge, Massachusetts","title":"Linguistic Bodies: The Continuity Between Life and Language","type":"book"},"uris":["http://www.mendeley.com/documents/?uuid=be1515fb-5596-43f2-92d5-772f7e83581a"]}],"mendeley":{"formattedCitation":"(Di Paolo, 2005; Di Paolo et al., 2017, 2018; Thompson, 2007)","manualFormatting":"(Di Paolo, 2005; Di Paolo et al., 2017; Di Paolo et al., 2018; Thompson, 2007)","plainTextFormattedCitation":"(Di Paolo, 2005; Di Paolo et al., 2017, 2018; Thompson, 2007)","previouslyFormattedCitation":"(Di Paolo, 2005; Di Paolo et al., 2017, 2018; Thompson, 2007)"},"properties":{"noteIndex":0},"schema":"https://github.com/citation-style-language/schema/raw/master/csl-citation.json"}</w:instrText>
      </w:r>
      <w:r w:rsidRPr="00C4476D">
        <w:fldChar w:fldCharType="separate"/>
      </w:r>
      <w:r w:rsidRPr="00C4476D">
        <w:rPr>
          <w:noProof/>
          <w:lang w:val="pt-BR"/>
        </w:rPr>
        <w:t>(Di Paolo, 2005; Di Paolo et al., 2017; Di Paolo et al., 2018; Thompson, 2007)</w:t>
      </w:r>
      <w:r w:rsidRPr="00C4476D">
        <w:fldChar w:fldCharType="end"/>
      </w:r>
      <w:r w:rsidRPr="00C4476D">
        <w:rPr>
          <w:lang w:val="pt-BR"/>
        </w:rPr>
        <w:t xml:space="preserve">. </w:t>
      </w:r>
      <w:r w:rsidRPr="00C4476D">
        <w:t xml:space="preserve">Thus, cognition emerges from patterns of correlation between sensations and movement, as these patterns are enacted by the organism. Because sensorimotor patterns are developed </w:t>
      </w:r>
      <w:r w:rsidRPr="00C4476D">
        <w:rPr>
          <w:i/>
          <w:iCs/>
        </w:rPr>
        <w:t>by the organism’s own</w:t>
      </w:r>
      <w:r w:rsidR="00077908" w:rsidRPr="00C4476D">
        <w:rPr>
          <w:i/>
          <w:iCs/>
        </w:rPr>
        <w:t xml:space="preserve"> </w:t>
      </w:r>
      <w:r w:rsidRPr="00C4476D">
        <w:rPr>
          <w:i/>
          <w:iCs/>
        </w:rPr>
        <w:t>activities</w:t>
      </w:r>
      <w:r w:rsidRPr="00C4476D">
        <w:t xml:space="preserve">, it may seem that at least some enactivists lean towards </w:t>
      </w:r>
      <w:r w:rsidR="00EE195F">
        <w:t>anti-realism</w:t>
      </w:r>
      <w:r w:rsidRPr="00C4476D">
        <w:t xml:space="preserve">. So conceived, cognition would be a product of the organism’s actions, thus </w:t>
      </w:r>
      <w:r w:rsidR="005E29C8" w:rsidRPr="00C4476D">
        <w:t>recasting</w:t>
      </w:r>
      <w:r w:rsidRPr="00C4476D">
        <w:t xml:space="preserve"> in enactivist terms</w:t>
      </w:r>
      <w:r w:rsidR="005E29C8" w:rsidRPr="00C4476D">
        <w:t xml:space="preserve"> </w:t>
      </w:r>
      <w:r w:rsidRPr="00C4476D">
        <w:t xml:space="preserve">the idealist </w:t>
      </w:r>
      <w:r w:rsidRPr="00C4476D">
        <w:rPr>
          <w:i/>
          <w:iCs/>
        </w:rPr>
        <w:t>motto</w:t>
      </w:r>
      <w:r w:rsidRPr="00C4476D">
        <w:t xml:space="preserve"> that the world is a product of the agent’s mind. </w:t>
      </w:r>
    </w:p>
    <w:p w14:paraId="1C0BCDBF" w14:textId="75B6942A" w:rsidR="00A271EA" w:rsidRPr="00C4476D" w:rsidRDefault="00A271EA" w:rsidP="00A271EA">
      <w:pPr>
        <w:spacing w:line="360" w:lineRule="auto"/>
        <w:jc w:val="both"/>
      </w:pPr>
      <w:r w:rsidRPr="00C4476D">
        <w:lastRenderedPageBreak/>
        <w:tab/>
      </w:r>
      <w:r w:rsidR="00EE195F">
        <w:t>However, other</w:t>
      </w:r>
      <w:r w:rsidRPr="00C4476D">
        <w:t xml:space="preserve"> varieties of enactivism </w:t>
      </w:r>
      <w:r w:rsidR="00ED1515">
        <w:t>advance</w:t>
      </w:r>
      <w:r w:rsidR="001803C9">
        <w:t xml:space="preserve"> a</w:t>
      </w:r>
      <w:r w:rsidRPr="00C4476D">
        <w:t xml:space="preserve"> realist framework. </w:t>
      </w:r>
      <w:r w:rsidR="00EE195F">
        <w:t xml:space="preserve">Alva Noë </w:t>
      </w:r>
      <w:r w:rsidR="00EE195F">
        <w:fldChar w:fldCharType="begin" w:fldLock="1"/>
      </w:r>
      <w:r w:rsidR="00CB18D6">
        <w:instrText>ADDIN CSL_CITATION {"citationItems":[{"id":"ITEM-1","itemData":{"author":[{"dropping-particle":"","family":"Noë","given":"Alva","non-dropping-particle":"","parse-names":false,"suffix":""}],"id":"ITEM-1","issued":{"date-parts":[["2004"]]},"publisher":"MIT Press","publisher-place":"Cambridge, Massachusetts","title":"Action in Perception","type":"book"},"uris":["http://www.mendeley.com/documents/?uuid=03c030e4-f356-40a8-b8a9-70a5cf75c1da"]},{"id":"ITEM-2","itemData":{"author":[{"dropping-particle":"","family":"Noë","given":"Alva","non-dropping-particle":"","parse-names":false,"suffix":""}],"id":"ITEM-2","issued":{"date-parts":[["2012"]]},"note":"NULL","publisher":"Harvard University Press","publisher-place":"Cambridge, Massachusetts","title":"Varieties of Presence","type":"book"},"uris":["http://www.mendeley.com/documents/?uuid=19094fe3-892c-4cae-a2e6-fce88d6b2486"]}],"mendeley":{"formattedCitation":"(Noë, 2004, 2012)","manualFormatting":"(2004, 2012)","plainTextFormattedCitation":"(Noë, 2004, 2012)","previouslyFormattedCitation":"(Noë, 2004, 2012)"},"properties":{"noteIndex":0},"schema":"https://github.com/citation-style-language/schema/raw/master/csl-citation.json"}</w:instrText>
      </w:r>
      <w:r w:rsidR="00EE195F">
        <w:fldChar w:fldCharType="separate"/>
      </w:r>
      <w:r w:rsidR="00EE195F" w:rsidRPr="00EE195F">
        <w:rPr>
          <w:noProof/>
        </w:rPr>
        <w:t>(2004, 2012)</w:t>
      </w:r>
      <w:r w:rsidR="00EE195F">
        <w:fldChar w:fldCharType="end"/>
      </w:r>
      <w:r w:rsidR="00EE195F">
        <w:t xml:space="preserve"> defends a direct realism in the context of his sensorimotor account of perceptual consciousness, for perception is not mediated by mental representations (although it is mediated by what he labels “sensorimotor understanding”). The case for realism is also clear in </w:t>
      </w:r>
      <w:r w:rsidRPr="00C4476D">
        <w:t xml:space="preserve">the work of self-proclaimed radical enactivists </w:t>
      </w:r>
      <w:r w:rsidRPr="00C4476D">
        <w:fldChar w:fldCharType="begin" w:fldLock="1"/>
      </w:r>
      <w:r w:rsidR="007900F8" w:rsidRPr="00C4476D">
        <w:instrText>ADDIN CSL_CITATION {"citationItems":[{"id":"ITEM-1","itemData":{"author":[{"dropping-particle":"","family":"Hutto","given":"Daniel D.","non-dropping-particle":"","parse-names":false,"suffix":""},{"dropping-particle":"","family":"Myin","given":"Erik","non-dropping-particle":"","parse-names":false,"suffix":""}],"id":"ITEM-1","issued":{"date-parts":[["2017"]]},"publisher":"The MIT Press","publisher-place":"Cambridge, Massachusetts","title":"Evolving Enactivism: Basic Minds Meet Content","type":"book"},"uris":["http://www.mendeley.com/documents/?uuid=96bd1f1d-0c18-4e5f-9723-58a9dea0e545"]},{"id":"ITEM-2","itemData":{"author":[{"dropping-particle":"","family":"Hutto","given":"Daniel D.","non-dropping-particle":"","parse-names":false,"suffix":""},{"dropping-particle":"","family":"Myin","given":"Erik","non-dropping-particle":"","parse-names":false,"suffix":""}],"id":"ITEM-2","issued":{"date-parts":[["2013"]]},"publisher":"MIT Press","publisher-place":"Cambridge, Massachusetts","title":"Radicalizing Enactivism: Basic Minds without Content","type":"book"},"uris":["http://www.mendeley.com/documents/?uuid=5c3a056e-fbc2-44af-95ee-27d6e4197538"]}],"mendeley":{"formattedCitation":"(D. D. Hutto &amp; Myin, 2013, 2017)","manualFormatting":"(Hutto &amp; Myin, 2013, 2017)","plainTextFormattedCitation":"(D. D. Hutto &amp; Myin, 2013, 2017)","previouslyFormattedCitation":"(D. D. Hutto &amp; Myin, 2013, 2017)"},"properties":{"noteIndex":0},"schema":"https://github.com/citation-style-language/schema/raw/master/csl-citation.json"}</w:instrText>
      </w:r>
      <w:r w:rsidRPr="00C4476D">
        <w:fldChar w:fldCharType="separate"/>
      </w:r>
      <w:r w:rsidR="00A02ECB" w:rsidRPr="00C4476D">
        <w:rPr>
          <w:noProof/>
        </w:rPr>
        <w:t>(Hutto &amp; Myin, 2013, 2017)</w:t>
      </w:r>
      <w:r w:rsidRPr="00C4476D">
        <w:fldChar w:fldCharType="end"/>
      </w:r>
      <w:r w:rsidRPr="00C4476D">
        <w:t xml:space="preserve">. In their 2013 book, Hutto and Myin argue that a naturalistic approach to the concept of mental representation is not forthcoming because physical entities (such as patterns of neuronal activity) do not have semantic properties. Semantic properties, in turn, are needed for grounding the accuracy conditions that distinguish mental representations from mere covariation. This </w:t>
      </w:r>
      <w:r w:rsidR="00ED1515">
        <w:t>alleged impossibility of naturalizing</w:t>
      </w:r>
      <w:r w:rsidRPr="00C4476D">
        <w:t xml:space="preserve"> mental representations, known as the Hard Problem of Content, </w:t>
      </w:r>
      <w:r w:rsidR="00ED1515">
        <w:t>comes with</w:t>
      </w:r>
      <w:r w:rsidRPr="00C4476D">
        <w:t xml:space="preserve"> a realist </w:t>
      </w:r>
      <w:r w:rsidR="007C3034" w:rsidRPr="00C4476D">
        <w:t>flair</w:t>
      </w:r>
      <w:r w:rsidRPr="00C4476D">
        <w:t xml:space="preserve">. For it shows that there are no grounds to say that some </w:t>
      </w:r>
      <w:r w:rsidRPr="00C4476D">
        <w:rPr>
          <w:i/>
          <w:iCs/>
        </w:rPr>
        <w:t xml:space="preserve">preexisting physical entities </w:t>
      </w:r>
      <w:r w:rsidRPr="00C4476D">
        <w:t xml:space="preserve">have certain properties, namely, semantic ones. </w:t>
      </w:r>
      <w:r w:rsidR="005E29C8" w:rsidRPr="00C4476D">
        <w:t>Note that</w:t>
      </w:r>
      <w:r w:rsidR="001803C9">
        <w:t>, as Hutto and Myin foresee,</w:t>
      </w:r>
      <w:r w:rsidR="005E29C8" w:rsidRPr="00C4476D">
        <w:t xml:space="preserve"> </w:t>
      </w:r>
      <w:r w:rsidRPr="00C4476D">
        <w:t>proponents of representationalism could in principle assume an anti</w:t>
      </w:r>
      <w:r w:rsidR="00183C4B" w:rsidRPr="00C4476D">
        <w:t>-</w:t>
      </w:r>
      <w:r w:rsidRPr="00C4476D">
        <w:t xml:space="preserve">realist point of view in order to vindicate mental representations without aiming for describing a preexisting reality. However, Hutto and Myin (2013, p. 46) </w:t>
      </w:r>
      <w:r w:rsidR="00FD499F">
        <w:t>argue</w:t>
      </w:r>
      <w:r w:rsidRPr="00C4476D">
        <w:t xml:space="preserve">, it is not clear how </w:t>
      </w:r>
      <w:proofErr w:type="spellStart"/>
      <w:r w:rsidRPr="00C4476D">
        <w:t>fictionalist</w:t>
      </w:r>
      <w:proofErr w:type="spellEnd"/>
      <w:r w:rsidRPr="00C4476D">
        <w:t xml:space="preserve"> explanations of that kind would actually help in explaining anything.</w:t>
      </w:r>
      <w:r w:rsidR="00077908" w:rsidRPr="00C4476D">
        <w:t xml:space="preserve"> The fact that radical enactivists consider (and reject) an anti-realist rebuke to their </w:t>
      </w:r>
      <w:r w:rsidR="006B2FE7">
        <w:t>Hard Problem of Content</w:t>
      </w:r>
      <w:r w:rsidR="00077908" w:rsidRPr="00C4476D">
        <w:t xml:space="preserve"> shows that</w:t>
      </w:r>
      <w:r w:rsidR="005E29C8" w:rsidRPr="00C4476D">
        <w:t>, for them,</w:t>
      </w:r>
      <w:r w:rsidR="00077908" w:rsidRPr="00C4476D">
        <w:t xml:space="preserve"> any </w:t>
      </w:r>
      <w:r w:rsidR="00764BEE">
        <w:t xml:space="preserve">view </w:t>
      </w:r>
      <w:r w:rsidR="00077908" w:rsidRPr="00C4476D">
        <w:t>other than realism is out of tune with naturalism.</w:t>
      </w:r>
    </w:p>
    <w:p w14:paraId="0BE0CF9D" w14:textId="6BA84D66" w:rsidR="00A271EA" w:rsidRPr="00C4476D" w:rsidRDefault="00077908" w:rsidP="00C96A05">
      <w:pPr>
        <w:spacing w:line="360" w:lineRule="auto"/>
        <w:jc w:val="both"/>
      </w:pPr>
      <w:r w:rsidRPr="00C4476D">
        <w:tab/>
      </w:r>
      <w:r w:rsidR="001E5EE1">
        <w:t>So, t</w:t>
      </w:r>
      <w:r w:rsidR="00B34006" w:rsidRPr="00C4476D">
        <w:t>o the extent that we understand enaction and the bringing fort</w:t>
      </w:r>
      <w:r w:rsidR="00ED2479" w:rsidRPr="00C4476D">
        <w:t>h of</w:t>
      </w:r>
      <w:r w:rsidR="00B34006" w:rsidRPr="00C4476D">
        <w:t xml:space="preserve"> a world internally, </w:t>
      </w:r>
      <w:r w:rsidRPr="00C4476D">
        <w:t xml:space="preserve">it doesn’t seem like the middle way between realism and idealism as advertised in TEM is tenable. Moreover, enactivists themselves seem to be </w:t>
      </w:r>
      <w:r w:rsidR="005E29C8" w:rsidRPr="00C4476D">
        <w:t>located</w:t>
      </w:r>
      <w:r w:rsidRPr="00C4476D">
        <w:t xml:space="preserve"> on both sides of this issue</w:t>
      </w:r>
      <w:r w:rsidR="0085450B">
        <w:t xml:space="preserve">, which further </w:t>
      </w:r>
      <w:r w:rsidR="00AF1492">
        <w:t>obfuscates</w:t>
      </w:r>
      <w:r w:rsidR="0085450B">
        <w:t xml:space="preserve"> the viability of a middle way in enactivist terms.</w:t>
      </w:r>
      <w:r w:rsidR="00C96A05" w:rsidRPr="00C4476D">
        <w:t xml:space="preserve"> In the next section, we counter these issues by arguing for a literal interpretation of the idea of bringing forth a world. </w:t>
      </w:r>
      <w:r w:rsidR="00A271EA" w:rsidRPr="00C4476D">
        <w:t xml:space="preserve">In fact, </w:t>
      </w:r>
      <w:r w:rsidR="00ED2479" w:rsidRPr="00C4476D">
        <w:t xml:space="preserve">despite TEM’s focus on the structural coupling and codetermination of organism and environment, </w:t>
      </w:r>
      <w:r w:rsidR="00A271EA" w:rsidRPr="00C4476D">
        <w:t xml:space="preserve">the enactivist literature has focused on the </w:t>
      </w:r>
      <w:r w:rsidR="00A271EA" w:rsidRPr="00C4476D">
        <w:rPr>
          <w:i/>
          <w:iCs/>
        </w:rPr>
        <w:t>organism’s side</w:t>
      </w:r>
      <w:r w:rsidR="00A271EA" w:rsidRPr="00C4476D">
        <w:t xml:space="preserve"> in its coupling with </w:t>
      </w:r>
      <w:r w:rsidR="00ED2479" w:rsidRPr="00C4476D">
        <w:t>the</w:t>
      </w:r>
      <w:r w:rsidR="00A271EA" w:rsidRPr="00C4476D">
        <w:t xml:space="preserve"> environment</w:t>
      </w:r>
      <w:r w:rsidR="001249C4" w:rsidRPr="00C4476D">
        <w:t xml:space="preserve"> </w:t>
      </w:r>
      <w:r w:rsidR="001249C4" w:rsidRPr="00C4476D">
        <w:fldChar w:fldCharType="begin" w:fldLock="1"/>
      </w:r>
      <w:r w:rsidR="008A0348">
        <w:instrText>ADDIN CSL_CITATION {"citationItems":[{"id":"ITEM-1","itemData":{"DOI":"10.1007/s11229-018-02020-9","ISSN":"0039-7857","abstract":"Radical embodied cognitive science is split into two camps: the ecological approach and the enactive approach. We propose that these two approaches can be brought together into a productive synthesis. The key is to recognize that the two approaches are pursuing different but complementary types of explanation. Both approaches seek to explain behavior in terms of the animal–environment relation, but they start at opposite ends. Ecological psychologists pursue an ontological strategy. They begin by describing the habitat of the species, and use this to explain how action possibilities are constrained for individual actors. Enactivists, meanwhile, pursue an epistemic strategy: start by characterizing the exploratory, self-regulating behavior of the individual organism, and use this to understand how that organism brings forth its animal-specific umwelt . Both types of explanation are necessary: the ontological strategy explains how structure in the environment constrains how the world can appear to an individual, while the epistemic strategy explains how the world can appear differently to different members of the same species, relative to their skills, abilities, and histories. Making the distinction between species habitat and animal-specific umwelt allows us to understand the environment in realist terms while acknowledging that individual living organisms are phenomenal beings.","author":[{"dropping-particle":"","family":"Baggs","given":"Edward","non-dropping-particle":"","parse-names":false,"suffix":""},{"dropping-particle":"","family":"Chemero","given":"Anthony","non-dropping-particle":"","parse-names":false,"suffix":""}],"container-title":"Synthese","id":"ITEM-1","issue":"S9","issued":{"date-parts":[["2021","5","20"]]},"page":"2175-2190","title":"Radical embodiment in two directions","type":"article-journal","volume":"198"},"uris":["http://www.mendeley.com/documents/?uuid=984eaec9-19b6-41b4-9d16-89702f55f055"]}],"mendeley":{"formattedCitation":"(Baggs &amp; Chemero, 2021)","plainTextFormattedCitation":"(Baggs &amp; Chemero, 2021)","previouslyFormattedCitation":"(Baggs &amp; Chemero, 2021)"},"properties":{"noteIndex":0},"schema":"https://github.com/citation-style-language/schema/raw/master/csl-citation.json"}</w:instrText>
      </w:r>
      <w:r w:rsidR="001249C4" w:rsidRPr="00C4476D">
        <w:fldChar w:fldCharType="separate"/>
      </w:r>
      <w:r w:rsidR="00312EF8" w:rsidRPr="00312EF8">
        <w:rPr>
          <w:noProof/>
        </w:rPr>
        <w:t>(Baggs &amp; Chemero, 2021)</w:t>
      </w:r>
      <w:r w:rsidR="001249C4" w:rsidRPr="00C4476D">
        <w:fldChar w:fldCharType="end"/>
      </w:r>
      <w:r w:rsidR="00A271EA" w:rsidRPr="00C4476D">
        <w:t xml:space="preserve">, but not enough has been said about the </w:t>
      </w:r>
      <w:r w:rsidR="00C96A05" w:rsidRPr="00C4476D">
        <w:t>environmental side</w:t>
      </w:r>
      <w:r w:rsidR="000B73AC">
        <w:t xml:space="preserve">, </w:t>
      </w:r>
      <w:r w:rsidR="00A271EA" w:rsidRPr="00C4476D">
        <w:t xml:space="preserve">and herein lies the issues and misconceptions highlighted above. </w:t>
      </w:r>
    </w:p>
    <w:p w14:paraId="51A9C9D0" w14:textId="79B001C8" w:rsidR="00C96A05" w:rsidRPr="00C4476D" w:rsidRDefault="00C96A05" w:rsidP="00C96A05">
      <w:pPr>
        <w:spacing w:line="360" w:lineRule="auto"/>
        <w:jc w:val="both"/>
      </w:pPr>
    </w:p>
    <w:p w14:paraId="01C5D2E1" w14:textId="07DFE544" w:rsidR="00C96A05" w:rsidRPr="00C4476D" w:rsidRDefault="00C96A05" w:rsidP="00C96A05">
      <w:pPr>
        <w:spacing w:line="360" w:lineRule="auto"/>
        <w:jc w:val="both"/>
        <w:rPr>
          <w:b/>
          <w:bCs/>
        </w:rPr>
      </w:pPr>
      <w:r w:rsidRPr="00C4476D">
        <w:rPr>
          <w:b/>
          <w:bCs/>
        </w:rPr>
        <w:t>3. Bringing forth a world</w:t>
      </w:r>
    </w:p>
    <w:p w14:paraId="63EEA0B5" w14:textId="77777777" w:rsidR="00C96A05" w:rsidRPr="00C4476D" w:rsidRDefault="00C96A05" w:rsidP="00C96A05">
      <w:pPr>
        <w:spacing w:line="360" w:lineRule="auto"/>
        <w:jc w:val="both"/>
        <w:rPr>
          <w:b/>
          <w:bCs/>
        </w:rPr>
      </w:pPr>
    </w:p>
    <w:p w14:paraId="6D288AB6" w14:textId="0C18AE37" w:rsidR="00C96A05" w:rsidRPr="00C4476D" w:rsidRDefault="00D24AB1" w:rsidP="00C96A05">
      <w:pPr>
        <w:spacing w:line="360" w:lineRule="auto"/>
        <w:ind w:firstLine="720"/>
        <w:jc w:val="both"/>
      </w:pPr>
      <w:r w:rsidRPr="00C4476D">
        <w:t>T</w:t>
      </w:r>
      <w:r w:rsidR="00B34006" w:rsidRPr="00C4476D">
        <w:t xml:space="preserve">here are two ways of bringing forth a world that are </w:t>
      </w:r>
      <w:r w:rsidR="0094545D" w:rsidRPr="00C4476D">
        <w:t>common</w:t>
      </w:r>
      <w:r w:rsidR="00B34006" w:rsidRPr="00C4476D">
        <w:t xml:space="preserve"> for </w:t>
      </w:r>
      <w:r w:rsidR="005E29C8" w:rsidRPr="00C4476D">
        <w:t>all living</w:t>
      </w:r>
      <w:r w:rsidR="00B34006" w:rsidRPr="00C4476D">
        <w:t xml:space="preserve"> beings</w:t>
      </w:r>
      <w:r w:rsidR="005E29C8" w:rsidRPr="00C4476D">
        <w:t>.</w:t>
      </w:r>
      <w:r w:rsidR="00C96A05" w:rsidRPr="00C4476D">
        <w:t xml:space="preserve"> </w:t>
      </w:r>
      <w:r w:rsidR="005E29C8" w:rsidRPr="00C4476D">
        <w:t>W</w:t>
      </w:r>
      <w:r w:rsidR="00C96A05" w:rsidRPr="00C4476D">
        <w:t xml:space="preserve">hen these two ways of bringing forth a world happen </w:t>
      </w:r>
      <w:r w:rsidR="00764BEE">
        <w:t>under</w:t>
      </w:r>
      <w:r w:rsidR="00C96A05" w:rsidRPr="00C4476D">
        <w:t xml:space="preserve"> very specific circumstances, a third way of bringing forth</w:t>
      </w:r>
      <w:r w:rsidR="005E29C8" w:rsidRPr="00C4476D">
        <w:t xml:space="preserve"> also</w:t>
      </w:r>
      <w:r w:rsidR="00C96A05" w:rsidRPr="00C4476D">
        <w:t xml:space="preserve"> takes place. In this section, we explore each of these three different ways of bringing forth, and relate them with other current theories and conceptual </w:t>
      </w:r>
      <w:r w:rsidR="00C96A05" w:rsidRPr="00C4476D">
        <w:lastRenderedPageBreak/>
        <w:t>frameworks.</w:t>
      </w:r>
      <w:r w:rsidR="005E29C8" w:rsidRPr="00C4476D">
        <w:t xml:space="preserve"> Note, moreover, that this division is conventional, conceived in order to provide </w:t>
      </w:r>
      <w:r w:rsidR="006055BD" w:rsidRPr="00C4476D">
        <w:t xml:space="preserve">a </w:t>
      </w:r>
      <w:r w:rsidR="005E29C8" w:rsidRPr="00C4476D">
        <w:t xml:space="preserve">heuristic </w:t>
      </w:r>
      <w:r w:rsidR="00F41654">
        <w:t xml:space="preserve">device </w:t>
      </w:r>
      <w:r w:rsidR="005E29C8" w:rsidRPr="00C4476D">
        <w:t>to understand certain cognitive dynamics—</w:t>
      </w:r>
      <w:r w:rsidR="0094545D" w:rsidRPr="00C4476D">
        <w:t>but</w:t>
      </w:r>
      <w:r w:rsidR="005E29C8" w:rsidRPr="00C4476D">
        <w:t xml:space="preserve"> in practice these different ways of bringing forth worlds </w:t>
      </w:r>
      <w:r w:rsidR="001E5EE1">
        <w:t>can be</w:t>
      </w:r>
      <w:r w:rsidR="00ED2479" w:rsidRPr="00C4476D">
        <w:t xml:space="preserve"> intertwined and</w:t>
      </w:r>
      <w:r w:rsidR="005E29C8" w:rsidRPr="00C4476D">
        <w:t xml:space="preserve"> </w:t>
      </w:r>
      <w:r w:rsidR="008705FF">
        <w:t>hard to distinguish.</w:t>
      </w:r>
    </w:p>
    <w:p w14:paraId="6CE81632" w14:textId="77777777" w:rsidR="00C45A1F" w:rsidRDefault="00C45A1F" w:rsidP="00C45A1F">
      <w:pPr>
        <w:spacing w:line="360" w:lineRule="auto"/>
        <w:jc w:val="both"/>
      </w:pPr>
    </w:p>
    <w:p w14:paraId="6B3F16EA" w14:textId="782EE301" w:rsidR="00C45A1F" w:rsidRPr="00C45A1F" w:rsidRDefault="00C45A1F" w:rsidP="00C45A1F">
      <w:pPr>
        <w:spacing w:line="360" w:lineRule="auto"/>
        <w:jc w:val="both"/>
        <w:rPr>
          <w:i/>
          <w:iCs/>
        </w:rPr>
      </w:pPr>
      <w:r w:rsidRPr="00C45A1F">
        <w:rPr>
          <w:i/>
          <w:iCs/>
        </w:rPr>
        <w:t>3.1. Bringing forth as enaction</w:t>
      </w:r>
    </w:p>
    <w:p w14:paraId="20D00B87" w14:textId="77777777" w:rsidR="00C45A1F" w:rsidRDefault="00C45A1F" w:rsidP="00C45A1F">
      <w:pPr>
        <w:spacing w:line="360" w:lineRule="auto"/>
        <w:jc w:val="both"/>
      </w:pPr>
    </w:p>
    <w:p w14:paraId="0A81B2CD" w14:textId="21313DA2" w:rsidR="00C96A05" w:rsidRPr="00C4476D" w:rsidRDefault="00C96A05" w:rsidP="00C96A05">
      <w:pPr>
        <w:spacing w:line="360" w:lineRule="auto"/>
        <w:ind w:firstLine="720"/>
        <w:jc w:val="both"/>
      </w:pPr>
      <w:r w:rsidRPr="00C4476D">
        <w:t xml:space="preserve">The first sense </w:t>
      </w:r>
      <w:r w:rsidR="00B34006" w:rsidRPr="00C4476D">
        <w:t xml:space="preserve">in which organisms can be said to bring forth a world </w:t>
      </w:r>
      <w:r w:rsidRPr="00C4476D">
        <w:t xml:space="preserve">refers to the selection and refinement of patterns of sensorimotor engagements </w:t>
      </w:r>
      <w:r w:rsidR="0094545D" w:rsidRPr="00C4476D">
        <w:t xml:space="preserve">they </w:t>
      </w:r>
      <w:r w:rsidRPr="00C4476D">
        <w:t xml:space="preserve">exhibit. The fundamental idea, as expressed originally in Maturana and Varela’s work on autopoiesis </w:t>
      </w:r>
      <w:r w:rsidRPr="00C4476D">
        <w:fldChar w:fldCharType="begin" w:fldLock="1"/>
      </w:r>
      <w:r w:rsidRPr="00C4476D">
        <w:instrText>ADDIN CSL_CITATION {"citationItems":[{"id":"ITEM-1","itemData":{"author":[{"dropping-particle":"","family":"Maturana","given":"Humberto","non-dropping-particle":"","parse-names":false,"suffix":""},{"dropping-particle":"","family":"Varela","given":"Francisco","non-dropping-particle":"","parse-names":false,"suffix":""}],"id":"ITEM-1","issued":{"date-parts":[["1980"]]},"publisher":"D. Reidel Publishing Company","publisher-place":"Dordrecht","title":"Autopoiesis and Cognition: the realization of the living","type":"book"},"suppress-author":1,"uris":["http://www.mendeley.com/documents/?uuid=875cf925-61b9-43e6-af26-f8faf2355974"]}],"mendeley":{"formattedCitation":"(1980)","plainTextFormattedCitation":"(1980)","previouslyFormattedCitation":"(1980)"},"properties":{"noteIndex":0},"schema":"https://github.com/citation-style-language/schema/raw/master/csl-citation.json"}</w:instrText>
      </w:r>
      <w:r w:rsidRPr="00C4476D">
        <w:fldChar w:fldCharType="separate"/>
      </w:r>
      <w:r w:rsidRPr="00C4476D">
        <w:rPr>
          <w:noProof/>
        </w:rPr>
        <w:t>(1980)</w:t>
      </w:r>
      <w:r w:rsidRPr="00C4476D">
        <w:fldChar w:fldCharType="end"/>
      </w:r>
      <w:r w:rsidRPr="00C4476D">
        <w:t xml:space="preserve"> is that living organisms </w:t>
      </w:r>
      <w:r w:rsidR="006055BD" w:rsidRPr="00C4476D">
        <w:t>determine</w:t>
      </w:r>
      <w:r w:rsidRPr="00C4476D">
        <w:t xml:space="preserve"> their viability condition</w:t>
      </w:r>
      <w:r w:rsidR="003772D6" w:rsidRPr="00C4476D">
        <w:t>s</w:t>
      </w:r>
      <w:r w:rsidRPr="00C4476D">
        <w:t xml:space="preserve"> by creating their own boundaries and </w:t>
      </w:r>
      <w:r w:rsidR="006B2FE7">
        <w:t>normativity</w:t>
      </w:r>
      <w:r w:rsidRPr="00C4476D">
        <w:t xml:space="preserve">. This first </w:t>
      </w:r>
      <w:r w:rsidR="00D24AB1" w:rsidRPr="00C4476D">
        <w:t>way of bringing forth</w:t>
      </w:r>
      <w:r w:rsidRPr="00C4476D">
        <w:t xml:space="preserve"> therefore directly refers to the core enactivist claim that we have developed certain biological traits that allow us to make sense of our surroundings by reliably engaging with environmental structures. </w:t>
      </w:r>
      <w:r w:rsidR="00764BEE" w:rsidRPr="00764BEE">
        <w:t>Naturally, our actions are enabled and constrained by our embodied nature, which starkly distinguishes enactivism from the varieties of cognitivism targeted by TEM</w:t>
      </w:r>
      <w:r w:rsidR="00764BEE">
        <w:t xml:space="preserve">. </w:t>
      </w:r>
      <w:r w:rsidR="00ED2479" w:rsidRPr="00C4476D">
        <w:t xml:space="preserve">In the macroscopic level of organisms </w:t>
      </w:r>
      <w:r w:rsidR="00CB52EA">
        <w:t xml:space="preserve">endowed </w:t>
      </w:r>
      <w:r w:rsidR="00ED2479" w:rsidRPr="00C4476D">
        <w:t xml:space="preserve">with nervous systems, we can refer to </w:t>
      </w:r>
      <w:r w:rsidR="00764BEE">
        <w:t xml:space="preserve">the exercise of </w:t>
      </w:r>
      <w:r w:rsidR="00ED2479" w:rsidRPr="00C4476D">
        <w:t>sensorimotor capacities</w:t>
      </w:r>
      <w:r w:rsidR="00764BEE">
        <w:t xml:space="preserve"> a</w:t>
      </w:r>
      <w:r w:rsidR="00764BEE" w:rsidRPr="00764BEE">
        <w:t>s the emergent basis of cognition. It is due to these exercises, and not to a pregiven world, that</w:t>
      </w:r>
      <w:r w:rsidR="00764BEE">
        <w:t xml:space="preserve"> </w:t>
      </w:r>
      <w:r w:rsidRPr="00C4476D">
        <w:t>perceive</w:t>
      </w:r>
      <w:r w:rsidR="00764BEE">
        <w:t xml:space="preserve"> </w:t>
      </w:r>
      <w:r w:rsidRPr="00C4476D">
        <w:t xml:space="preserve">certain wavelengths as colors, certain smells as </w:t>
      </w:r>
      <w:r w:rsidR="007D02D1" w:rsidRPr="00C4476D">
        <w:t>repelling</w:t>
      </w:r>
      <w:r w:rsidRPr="00C4476D">
        <w:t xml:space="preserve"> or inviting, certain shapes as containers or paths, and so on. We literally </w:t>
      </w:r>
      <w:r w:rsidR="00341329" w:rsidRPr="00C4476D">
        <w:t>bring</w:t>
      </w:r>
      <w:r w:rsidRPr="00C4476D">
        <w:t xml:space="preserve"> forth a world full of meaning through our actions, provided </w:t>
      </w:r>
      <w:r w:rsidR="009B028E" w:rsidRPr="00C4476D">
        <w:t>that</w:t>
      </w:r>
      <w:r w:rsidRPr="00C4476D">
        <w:t xml:space="preserve"> these actions </w:t>
      </w:r>
      <w:r w:rsidR="009B028E" w:rsidRPr="00C4476D">
        <w:t>are</w:t>
      </w:r>
      <w:r w:rsidR="00764BEE">
        <w:t xml:space="preserve"> integrated in our developmental history.</w:t>
      </w:r>
    </w:p>
    <w:p w14:paraId="6071CC43" w14:textId="7E1741BD" w:rsidR="00764BEE" w:rsidRPr="00764BEE" w:rsidRDefault="00764BEE" w:rsidP="00764BEE">
      <w:pPr>
        <w:spacing w:line="360" w:lineRule="auto"/>
        <w:ind w:firstLine="720"/>
        <w:jc w:val="both"/>
      </w:pPr>
      <w:r w:rsidRPr="00764BEE">
        <w:t>Admittedly, the first way of bringing forth a world, taken in isolation, may lead us back into the realist/idealist trap that enactivists aim to surpass. In particular, it may seem to carry some anti-realist undertones, for the explanatory work on cognition focuses on the organism side. To say, for instance, that cognitive agents are autonomous is to emphasize that they determine their systemic features in cognitive performances, thus mitigating the relevance of the</w:t>
      </w:r>
      <w:r>
        <w:t>ir</w:t>
      </w:r>
      <w:r w:rsidRPr="00764BEE">
        <w:t xml:space="preserve"> environmental setting</w:t>
      </w:r>
      <w:r>
        <w:t>s</w:t>
      </w:r>
      <w:r w:rsidRPr="00764BEE">
        <w:t xml:space="preserve">. Accordingly, this way of expressing the enactivist claim puts the organism at center stage, for it aims to account how </w:t>
      </w:r>
      <w:r w:rsidRPr="006B2FE7">
        <w:rPr>
          <w:i/>
          <w:iCs/>
        </w:rPr>
        <w:t>organisms</w:t>
      </w:r>
      <w:r w:rsidRPr="00764BEE">
        <w:t xml:space="preserve"> create patterns of sensorimotor engagements. This is fundamental for the enactivist explanation of cognition from the ground up, for cognition takes place as organisms assign meaning to environmental encounters through their own doings, which naturally depends on their embodied nature. But even though it is an important story, it is still an incomplete one—for, as such, it leads to the idealist interpretations of enactivism, where ideas are replaced by sensorimotor structures </w:t>
      </w:r>
      <w:r w:rsidR="000418E1">
        <w:fldChar w:fldCharType="begin" w:fldLock="1"/>
      </w:r>
      <w:r w:rsidR="008A0348">
        <w:instrText>ADDIN CSL_CITATION {"citationItems":[{"id":"ITEM-1","itemData":{"DOI":"10.1177/1059712317710496","ISSN":"17412633","abstract":"Post-cognitive approaches to cognitive science, such as enactivism and autopoietic theory, are typically assumed to involve the rejection of computationalism. We will argue that this assumption results from the conflation of computation with the notion of representation, which is ruled out by the post-cognitivist rejection of cognitive realism. However, certain theories of computation need not invoke representation, and are not committed to cognitive realism, meaning that post-cognitivism need not necessarily imply anti-computationalism. Finally, we will demonstrate that autopoietic theory shares a mechanistic foundation with these theories of computation, and is therefore well-equipped to take advantage of these theories.","author":[{"dropping-particle":"","family":"Villalobos","given":"Mario","non-dropping-particle":"","parse-names":false,"suffix":""},{"dropping-particle":"","family":"Dewhurst","given":"Joe","non-dropping-particle":"","parse-names":false,"suffix":""}],"container-title":"Adaptive Behavior","id":"ITEM-1","issue":"3","issued":{"date-parts":[["2017"]]},"page":"117-128","title":"Why post-cognitivism does not (necessarily) entail anti-computationalism","type":"article-journal","volume":"25"},"uris":["http://www.mendeley.com/documents/?uuid=0d093813-4d53-47f0-8551-3a48cc641aa9"]},{"id":"ITEM-2","itemData":{"DOI":"10.3389/fpsyg.2020.00991","ISSN":"1664-1078","author":[{"dropping-particle":"","family":"Heft","given":"Harry","non-dropping-particle":"","parse-names":false,"suffix":""}],"container-title":"Frontiers in Psychology","id":"ITEM-2","issued":{"date-parts":[["2020","5","26"]]},"title":"Ecological Psychology and Enaction Theory: Divergent Groundings","type":"article-journal","volume":"11"},"uris":["http://www.mendeley.com/documents/?uuid=db0eeb1e-ec20-47f1-b737-c04b66188793"]},{"id":"ITEM-3","itemData":{"ISSN":"1782348X","abstract":"Context: In the past two decades, the so-called 4E approaches to the mind and cognition have been rapidly gaining in recognition and have become an integral part of various disciplines. &gt; Problem: Recently, however, questions have been raised as to whether, and to what degree, these different approaches actually cohere with one another. Specifically, it seems that many of them endorse mutually incompatible, perhaps even contradictory, epistemological and metaphysical presuppositions. &gt; Method: By retracing the roots of an alternative conception of mind and cognition, as propounded by Varela, Thompson &amp; Rosch, we provide an outline of the original philosophical framework of enactivism and neurophenomenology. We focus on its three central tenets - reflexivity, subject-world co-determination, and the construal of cognition as situated, skillful and embodied action - and show how they collectively add up to a radical change in attitude towards the age-old philosophical dilemmas. &gt; Results: We show how contemporary enactivist and embodied approaches relate to the original Varelian conception, and argue that many of them, despite frequent claims to the contrary, adopt significantly less radical philosophical positions. Further, we provide some tentative suggestions as to why this dilution of the original impetus might have occurred, paying special attention to the deep-rooted disparities that span the field. &gt; Implications: It is argued that more attention should be paid to epistemological and metaphysical tenets of different proposals within the 4E movement in general and enactivism in particular. Additionally, in emphasizing the inescapable multilayeredness and contextuality of scientific knowledge, enactivism and neurophenomenology accord with pluralist accounts of science and might provide important contributions to contemporary debates in the field. &gt; Constructivist content: The epistemological odyssey, construed as a journey to find a middle way between realism and idealism, is a central tenet of anti-representationalist, non-dualist constructivist approaches aimed at avoiding age-old philosophical traps.","author":[{"dropping-particle":"","family":"Vörös","given":"Sebastjan","non-dropping-particle":"","parse-names":false,"suffix":""},{"dropping-particle":"","family":"Froese","given":"Tom","non-dropping-particle":"","parse-names":false,"suffix":""},{"dropping-particle":"","family":"Riegler","given":"Alexander","non-dropping-particle":"","parse-names":false,"suffix":""}],"container-title":"Constructivist Foundations","id":"ITEM-3","issue":"2","issued":{"date-parts":[["2016"]]},"page":"189-203","title":"Epistemological odyssey: Introduction to special issue on the diversity of enactivism and neurophenomenology","type":"article-journal","volume":"11"},"uris":["http://www.mendeley.com/documents/?uuid=0dae1e5e-81e2-4de0-9bc6-0982bf1bdcd2"]}],"mendeley":{"formattedCitation":"(Heft, 2020; Villalobos &amp; Dewhurst, 2017; Vörös et al., 2016)","manualFormatting":"(Heft, 2020; Villalobos &amp; Dewhurst, 2017; see also Vörös et al., 2016)","plainTextFormattedCitation":"(Heft, 2020; Villalobos &amp; Dewhurst, 2017; Vörös et al., 2016)","previouslyFormattedCitation":"(Heft, 2020; Villalobos &amp; Dewhurst, 2017; Vörös et al., 2016)"},"properties":{"noteIndex":0},"schema":"https://github.com/citation-style-language/schema/raw/master/csl-citation.json"}</w:instrText>
      </w:r>
      <w:r w:rsidR="000418E1">
        <w:fldChar w:fldCharType="separate"/>
      </w:r>
      <w:r w:rsidR="000418E1" w:rsidRPr="000418E1">
        <w:rPr>
          <w:noProof/>
        </w:rPr>
        <w:t xml:space="preserve">(Heft, 2020; Villalobos &amp; Dewhurst, 2017; </w:t>
      </w:r>
      <w:r w:rsidR="00F960E2">
        <w:rPr>
          <w:noProof/>
        </w:rPr>
        <w:t xml:space="preserve">see also </w:t>
      </w:r>
      <w:r w:rsidR="000418E1" w:rsidRPr="000418E1">
        <w:rPr>
          <w:noProof/>
        </w:rPr>
        <w:t>Vörös</w:t>
      </w:r>
      <w:r w:rsidR="000418E1">
        <w:rPr>
          <w:noProof/>
        </w:rPr>
        <w:t xml:space="preserve"> et al.</w:t>
      </w:r>
      <w:r w:rsidR="000418E1" w:rsidRPr="000418E1">
        <w:rPr>
          <w:noProof/>
        </w:rPr>
        <w:t>, 2016)</w:t>
      </w:r>
      <w:r w:rsidR="000418E1">
        <w:fldChar w:fldCharType="end"/>
      </w:r>
      <w:r w:rsidRPr="00764BEE">
        <w:t>. Rejecting the realist claim that we have access to a pregiven environment is a first and critical step—but</w:t>
      </w:r>
      <w:r w:rsidR="000418E1">
        <w:t>,</w:t>
      </w:r>
      <w:r w:rsidRPr="00764BEE">
        <w:t xml:space="preserve"> taken in isolation, enactivists risk </w:t>
      </w:r>
      <w:r w:rsidRPr="00764BEE">
        <w:lastRenderedPageBreak/>
        <w:t>falling prey to a revamped version of idealism. Thus, another step</w:t>
      </w:r>
      <w:r w:rsidR="00D457B4">
        <w:t xml:space="preserve"> is needed</w:t>
      </w:r>
      <w:r w:rsidRPr="00764BEE">
        <w:t xml:space="preserve">, namely, accounting for how agent and environment determine each other. This happens over time, and presumably involves evolution. Taking this step is taking seriously the idea that cognition emerges from a dynamic coupling involving brain, body </w:t>
      </w:r>
      <w:r w:rsidRPr="00764BEE">
        <w:rPr>
          <w:i/>
          <w:iCs/>
        </w:rPr>
        <w:t>and environment over short and large timescales</w:t>
      </w:r>
      <w:r w:rsidRPr="00764BEE">
        <w:t xml:space="preserve">, as we explore </w:t>
      </w:r>
      <w:r w:rsidR="00D457B4">
        <w:t>in the remainder</w:t>
      </w:r>
      <w:r w:rsidRPr="00764BEE">
        <w:t xml:space="preserve"> </w:t>
      </w:r>
      <w:r w:rsidR="00D457B4">
        <w:t xml:space="preserve">of </w:t>
      </w:r>
      <w:r w:rsidRPr="00764BEE">
        <w:t>the paper.</w:t>
      </w:r>
    </w:p>
    <w:p w14:paraId="5A7C9264" w14:textId="77777777" w:rsidR="00764BEE" w:rsidRDefault="00764BEE" w:rsidP="00341329">
      <w:pPr>
        <w:spacing w:line="360" w:lineRule="auto"/>
        <w:ind w:firstLine="720"/>
        <w:jc w:val="both"/>
      </w:pPr>
    </w:p>
    <w:p w14:paraId="412AF5EE" w14:textId="3E2DB79E" w:rsidR="00C45A1F" w:rsidRPr="00C45A1F" w:rsidRDefault="00C45A1F" w:rsidP="00C45A1F">
      <w:pPr>
        <w:spacing w:line="360" w:lineRule="auto"/>
        <w:jc w:val="both"/>
        <w:rPr>
          <w:i/>
          <w:iCs/>
        </w:rPr>
      </w:pPr>
      <w:r w:rsidRPr="00C45A1F">
        <w:rPr>
          <w:i/>
          <w:iCs/>
        </w:rPr>
        <w:t>3.2. Bringing forth as niche construction</w:t>
      </w:r>
    </w:p>
    <w:p w14:paraId="7AE9F845" w14:textId="77777777" w:rsidR="00C45A1F" w:rsidRPr="00C45A1F" w:rsidRDefault="00C45A1F" w:rsidP="00C45A1F">
      <w:pPr>
        <w:spacing w:line="360" w:lineRule="auto"/>
        <w:jc w:val="both"/>
        <w:rPr>
          <w:i/>
          <w:iCs/>
        </w:rPr>
      </w:pPr>
    </w:p>
    <w:p w14:paraId="38C9824E" w14:textId="35D3FBF9" w:rsidR="00C96A05" w:rsidRPr="00C4476D" w:rsidRDefault="00C96A05" w:rsidP="00C96A05">
      <w:pPr>
        <w:spacing w:line="360" w:lineRule="auto"/>
        <w:ind w:firstLine="720"/>
        <w:jc w:val="both"/>
      </w:pPr>
      <w:r w:rsidRPr="00C4476D">
        <w:t>Th</w:t>
      </w:r>
      <w:r w:rsidR="00ED2479" w:rsidRPr="00C4476D">
        <w:t>e</w:t>
      </w:r>
      <w:r w:rsidRPr="00C4476D">
        <w:t xml:space="preserve"> second way</w:t>
      </w:r>
      <w:r w:rsidR="00ED2479" w:rsidRPr="00C4476D">
        <w:t xml:space="preserve"> of bringing forth</w:t>
      </w:r>
      <w:r w:rsidR="000418E1">
        <w:t>, we suggest,</w:t>
      </w:r>
      <w:r w:rsidRPr="00C4476D">
        <w:t xml:space="preserve"> refers to how our actions transform our environment in order to counter environmental pressures, thereby enhancing our chances of survival in ways that feed back to us and fundamentally change who we are</w:t>
      </w:r>
      <w:r w:rsidR="00341329" w:rsidRPr="00C4476D">
        <w:t xml:space="preserve"> and what we can do</w:t>
      </w:r>
      <w:r w:rsidRPr="00C4476D">
        <w:t xml:space="preserve">. </w:t>
      </w:r>
      <w:r w:rsidR="00712F31">
        <w:t>So state</w:t>
      </w:r>
      <w:r w:rsidR="0061722D">
        <w:t>d</w:t>
      </w:r>
      <w:r w:rsidR="00712F31">
        <w:t>, it is a matter</w:t>
      </w:r>
      <w:r w:rsidR="00D24AB1" w:rsidRPr="00C4476D">
        <w:t xml:space="preserve"> of </w:t>
      </w:r>
      <w:r w:rsidRPr="00C4476D">
        <w:rPr>
          <w:i/>
          <w:iCs/>
        </w:rPr>
        <w:t xml:space="preserve">niche construction </w:t>
      </w:r>
      <w:r w:rsidRPr="00C4476D">
        <w:rPr>
          <w:i/>
          <w:iCs/>
        </w:rPr>
        <w:fldChar w:fldCharType="begin" w:fldLock="1"/>
      </w:r>
      <w:r w:rsidR="008A0348">
        <w:rPr>
          <w:i/>
          <w:iCs/>
        </w:rPr>
        <w:instrText>ADDIN CSL_CITATION {"citationItems":[{"id":"ITEM-1","itemData":{"DOI":"10.1017/S0140525X00002417","ISSN":"0140525X","author":[{"dropping-particle":"","family":"Laland","given":"Kevin N","non-dropping-particle":"","parse-names":false,"suffix":""},{"dropping-particle":"","family":"Odling-Smee","given":"John","non-dropping-particle":"","parse-names":false,"suffix":""},{"dropping-particle":"","family":"Feldman","given":"Marcus W","non-dropping-particle":"","parse-names":false,"suffix":""}],"container-title":"Behavioral and Brain Sciences","id":"ITEM-1","issue":"1","issued":{"date-parts":[["2000","2"]]},"page":"131-146","title":"Niche construction, biological evolution, and cultural change","type":"article-journal","volume":"23"},"uris":["http://www.mendeley.com/documents/?uuid=5f41ca2a-19fe-45af-bc6a-9ea72a8b35c8"]},{"id":"ITEM-2","itemData":{"DOI":"10.2307/j.ctt24hqpd","ISBN":"0691044376","abstract":"The seemingly innocent observation that the activities of organisms bring about changes in environments is so obvious that it seems an unlikely focus for a new line of thinking about evolution. Yet niche construction--as this process of organism-driven environmental modification is known--has hidden complexities. By transforming biotic and abiotic sources of natural selection in external environments, niche construction generates feedback in evolution on a scale hitherto underestimated--and in a manner that transforms the evolutionary dynamic. It also plays a critical role in ecology, supporting ecosystem engineering and influencing the flow of energy and nutrients through ecosystems. Despite this, niche construction has been given short shrift in theoretical biology, in part because it cannot be fully understood within the framework of standard evolutionary theory. Wedding evolution and ecology, this book extends evolutionary theory by formally including niche construction and ecological inheritance as additional evolutionary processes. The authors support their historic move with empirical data, theoretical population genetics, and conceptual models. They also describe new research methods capable of testing the theory. They demonstrate how their theory can resolve long-standing problems in ecology, particularly by advancing the sorely needed synthesis of ecology and evolution, and how it offers an evolutionary basis for the human sciences. Already hailed as a pioneering work by some of the world's most influential biologists, this is a rare, potentially field-changing contribution to the biological sciences.","author":[{"dropping-particle":"","family":"Odling-Smee","given":"F. John","non-dropping-particle":"","parse-names":false,"suffix":""},{"dropping-particle":"","family":"Laland","given":"Kevin N.","non-dropping-particle":"","parse-names":false,"suffix":""},{"dropping-particle":"","family":"Feldman","given":"Marcus W.","non-dropping-particle":"","parse-names":false,"suffix":""}],"container-title":"Monographs in population biology, vol. 37","id":"ITEM-2","issued":{"date-parts":[["2003"]]},"publisher":"Princeton University Press","publisher-place":"Princeton; Oxford","title":"Niche Construction: The Neglected Process in Evolution","type":"book"},"uris":["http://www.mendeley.com/documents/?uuid=679565c9-c761-4149-b60f-1dd718a5f50e"]},{"id":"ITEM-3","itemData":{"DOI":"10.1007/s10682-016-9821-z","ISSN":"02697653","PMID":"27429507","abstract":"Niche construction refers to the modification of selective environments by organisms. Theoretical and empirical studies of niche construction are increasing in importance as foci in evolutionary ecology. This special edition presents theoretical and empirical research that illustrates the significance of niche construction to the field. Here we set the scene for the following papers by (1) discussing the history of niche construction research, (2) providing clear definitions that distinguish niche construction from related concepts such as ecosystem engineering and the extended phenotype, (3) providing a brief summary of the findings of niche construction research, (4) discussing the contribution of niche construction and ecological inheritance to (a) expanded notions of inheritance, and (b) the extended evolutionary synthesis, and (5) briefly touching on some of the issues that underlie the controversies over niche construction.","author":[{"dropping-particle":"","family":"Laland","given":"Kevin N.","non-dropping-particle":"","parse-names":false,"suffix":""},{"dropping-particle":"","family":"Matthews","given":"Blake","non-dropping-particle":"","parse-names":false,"suffix":""},{"dropping-particle":"","family":"Feldman","given":"Marcus W.","non-dropping-particle":"","parse-names":false,"suffix":""}],"container-title":"Evolutionary Ecology","id":"ITEM-3","issue":"2","issued":{"date-parts":[["2016"]]},"page":"191-202","publisher":"Springer International Publishing","title":"An introduction to niche construction theory","type":"article-journal","volume":"30"},"uris":["http://www.mendeley.com/documents/?uuid=206dc666-4b9d-4e61-a8db-6b1bb3a9f8f1"]}],"mendeley":{"formattedCitation":"(K. N. Laland et al., 2000a, 2016; Odling-Smee et al., 2003)","manualFormatting":"(Laland et al., 2016, 2000a; Odling-Smee et al., 2003)","plainTextFormattedCitation":"(K. N. Laland et al., 2000a, 2016; Odling-Smee et al., 2003)","previouslyFormattedCitation":"(K. N. Laland et al., 2000a, 2016; Odling-Smee et al., 2003)"},"properties":{"noteIndex":0},"schema":"https://github.com/citation-style-language/schema/raw/master/csl-citation.json"}</w:instrText>
      </w:r>
      <w:r w:rsidRPr="00C4476D">
        <w:rPr>
          <w:i/>
          <w:iCs/>
        </w:rPr>
        <w:fldChar w:fldCharType="separate"/>
      </w:r>
      <w:r w:rsidR="00B63341" w:rsidRPr="00C4476D">
        <w:rPr>
          <w:iCs/>
          <w:noProof/>
        </w:rPr>
        <w:t>(Laland et al., 2016, 2000a; Odling-Smee et al., 2003)</w:t>
      </w:r>
      <w:r w:rsidRPr="00C4476D">
        <w:rPr>
          <w:i/>
          <w:iCs/>
        </w:rPr>
        <w:fldChar w:fldCharType="end"/>
      </w:r>
      <w:r w:rsidRPr="00C4476D">
        <w:rPr>
          <w:i/>
          <w:iCs/>
        </w:rPr>
        <w:t xml:space="preserve"> </w:t>
      </w:r>
      <w:r w:rsidR="0094545D" w:rsidRPr="00C4476D">
        <w:t>which is one of the basis</w:t>
      </w:r>
      <w:r w:rsidRPr="00C4476D">
        <w:t xml:space="preserve"> for the </w:t>
      </w:r>
      <w:r w:rsidR="009426B1" w:rsidRPr="00C4476D">
        <w:t>e</w:t>
      </w:r>
      <w:r w:rsidRPr="00C4476D">
        <w:t xml:space="preserve">xtended </w:t>
      </w:r>
      <w:r w:rsidR="009426B1" w:rsidRPr="00C4476D">
        <w:t>e</w:t>
      </w:r>
      <w:r w:rsidRPr="00C4476D">
        <w:t xml:space="preserve">volutionary </w:t>
      </w:r>
      <w:r w:rsidR="009426B1" w:rsidRPr="00C4476D">
        <w:t>s</w:t>
      </w:r>
      <w:r w:rsidRPr="00C4476D">
        <w:t xml:space="preserve">ynthesis </w:t>
      </w:r>
      <w:r w:rsidRPr="00C4476D">
        <w:fldChar w:fldCharType="begin" w:fldLock="1"/>
      </w:r>
      <w:r w:rsidR="008A0348">
        <w:instrText>ADDIN CSL_CITATION {"citationItems":[{"id":"ITEM-1","itemData":{"DOI":"10.1017/S0140525X00002417","ISSN":"0140525X","author":[{"dropping-particle":"","family":"Laland","given":"Kevin N","non-dropping-particle":"","parse-names":false,"suffix":""},{"dropping-particle":"","family":"Odling-Smee","given":"John","non-dropping-particle":"","parse-names":false,"suffix":""},{"dropping-particle":"","family":"Feldman","given":"Marcus W","non-dropping-particle":"","parse-names":false,"suffix":""}],"container-title":"Behavioral and Brain Sciences","id":"ITEM-1","issue":"1","issued":{"date-parts":[["2000","2"]]},"page":"131-146","title":"Niche construction, biological evolution, and cultural change","type":"article-journal","volume":"23"},"uris":["http://www.mendeley.com/documents/?uuid=5f41ca2a-19fe-45af-bc6a-9ea72a8b35c8"]},{"id":"ITEM-2","itemData":{"author":[{"dropping-particle":"","family":"Laland","given":"Kevin","non-dropping-particle":"","parse-names":false,"suffix":""},{"dropping-particle":"","family":"Uller","given":"Tobias","non-dropping-particle":"","parse-names":false,"suffix":""},{"dropping-particle":"","family":"Feldman","given":"Marcus","non-dropping-particle":"","parse-names":false,"suffix":""},{"dropping-particle":"","family":"Sterelny","given":"Kim","non-dropping-particle":"","parse-names":false,"suffix":""},{"dropping-particle":"","family":"Müller","given":"Gerd","non-dropping-particle":"","parse-names":false,"suffix":""},{"dropping-particle":"","family":"Moczek","given":"Armin","non-dropping-particle":"","parse-names":false,"suffix":""},{"dropping-particle":"","family":"Jablonka","given":"Eva","non-dropping-particle":"","parse-names":false,"suffix":""},{"dropping-particle":"","family":"Odling-Smee","given":"John","non-dropping-particle":"","parse-names":false,"suffix":""}],"container-title":"Nature","id":"ITEM-2","issued":{"date-parts":[["2014"]]},"page":"161-164","title":"Does evolutionary theory need a rethink? Yes, urgently","type":"article-journal","volume":"514"},"uris":["http://www.mendeley.com/documents/?uuid=b45741e5-2c65-437d-bd54-475ac2388db4"]},{"id":"ITEM-3","itemData":{"DOI":"10.1098/rspb.2015.1019","author":[{"dropping-particle":"","family":"Laland","given":"Kevin","non-dropping-particle":"","parse-names":false,"suffix":""},{"dropping-particle":"","family":"Uller","given":"Tobias","non-dropping-particle":"","parse-names":false,"suffix":""},{"dropping-particle":"","family":"Feldman","given":"Marcus","non-dropping-particle":"","parse-names":false,"suffix":""},{"dropping-particle":"","family":"Sterelny","given":"Kim","non-dropping-particle":"","parse-names":false,"suffix":""},{"dropping-particle":"","family":"Müller","given":"Gerd","non-dropping-particle":"","parse-names":false,"suffix":""},{"dropping-particle":"","family":"Moczek","given":"Armin","non-dropping-particle":"","parse-names":false,"suffix":""},{"dropping-particle":"","family":"Jablonka","given":"Eva","non-dropping-particle":"","parse-names":false,"suffix":""},{"dropping-particle":"","family":"Odling-Smee","given":"John","non-dropping-particle":"","parse-names":false,"suffix":""}],"container-title":"Proceedings. Biological sciences / The Royal Society","id":"ITEM-3","issued":{"date-parts":[["2015"]]},"title":"The extended evolutionary synthesis: Its structure, assumptions and predictions","type":"article-journal","volume":"282"},"uris":["http://www.mendeley.com/documents/?uuid=d3e0adfd-0447-4c3e-9501-575118458cef"]},{"id":"ITEM-4","itemData":{"editor":[{"dropping-particle":"","family":"Pigliucci","given":"M.","non-dropping-particle":"","parse-names":false,"suffix":""},{"dropping-particle":"","family":"Müller","given":"GB","non-dropping-particle":"","parse-names":false,"suffix":""}],"id":"ITEM-4","issued":{"date-parts":[["2010"]]},"publisher":"MIT Press","publisher-place":"Cambridge, Massachusetts","title":"Evolution: the extended synthesis","type":"book"},"uris":["http://www.mendeley.com/documents/?uuid=c7915bf9-e24a-4df4-ac84-a67bcb298e81"]}],"mendeley":{"formattedCitation":"(K. Laland et al., 2014, 2015; K. N. Laland et al., 2000a; Pigliucci &amp; Müller, 2010)","manualFormatting":"(Laland et al., 2014, 2015, Pigliucci &amp; Müller, 2010)","plainTextFormattedCitation":"(K. Laland et al., 2014, 2015; K. N. Laland et al., 2000a; Pigliucci &amp; Müller, 2010)","previouslyFormattedCitation":"(K. Laland et al., 2014, 2015; K. N. Laland et al., 2000a; Pigliucci &amp; Müller, 2010)"},"properties":{"noteIndex":0},"schema":"https://github.com/citation-style-language/schema/raw/master/csl-citation.json"}</w:instrText>
      </w:r>
      <w:r w:rsidRPr="00C4476D">
        <w:fldChar w:fldCharType="separate"/>
      </w:r>
      <w:r w:rsidRPr="00C4476D">
        <w:rPr>
          <w:noProof/>
        </w:rPr>
        <w:t>(Laland et al., 2014, 2015, Pigliucci &amp; Müller, 2010)</w:t>
      </w:r>
      <w:r w:rsidRPr="00C4476D">
        <w:fldChar w:fldCharType="end"/>
      </w:r>
      <w:r w:rsidRPr="00C4476D">
        <w:t xml:space="preserve">. </w:t>
      </w:r>
      <w:r w:rsidR="00CB52EA">
        <w:t>The extended synthesis</w:t>
      </w:r>
      <w:r w:rsidR="00CB52EA" w:rsidRPr="00C4476D">
        <w:t xml:space="preserve"> </w:t>
      </w:r>
      <w:r w:rsidRPr="00C4476D">
        <w:t>is a conceptual framework for thinking of evolution that aims to expand on traditional (or modern) evolutionary synthesis</w:t>
      </w:r>
      <w:r w:rsidR="00713131" w:rsidRPr="00C4476D">
        <w:t xml:space="preserve">, </w:t>
      </w:r>
      <w:r w:rsidR="003B5146" w:rsidRPr="00C4476D">
        <w:t>the orthodoxy in evolutionary biology which</w:t>
      </w:r>
      <w:r w:rsidR="00713131" w:rsidRPr="00C4476D">
        <w:t xml:space="preserve"> </w:t>
      </w:r>
      <w:r w:rsidR="00CB52EA">
        <w:t>combines</w:t>
      </w:r>
      <w:r w:rsidR="00713131" w:rsidRPr="00C4476D">
        <w:t xml:space="preserve"> adaptationism with Mendelian genetics. We return to criticism of adaptationism (and, </w:t>
      </w:r>
      <w:r w:rsidR="00713131" w:rsidRPr="00C4476D">
        <w:rPr>
          <w:i/>
          <w:iCs/>
        </w:rPr>
        <w:t>a fortiori</w:t>
      </w:r>
      <w:r w:rsidR="00713131" w:rsidRPr="00C4476D">
        <w:t>,</w:t>
      </w:r>
      <w:r w:rsidR="003B5146" w:rsidRPr="00C4476D">
        <w:t xml:space="preserve"> of</w:t>
      </w:r>
      <w:r w:rsidR="00713131" w:rsidRPr="00C4476D">
        <w:t xml:space="preserve"> modern synthesis) in the next section. For now, it suffices to say that, w</w:t>
      </w:r>
      <w:r w:rsidRPr="00C4476D">
        <w:t xml:space="preserve">hereas the traditional view on evolution </w:t>
      </w:r>
      <w:r w:rsidR="0094545D" w:rsidRPr="00C4476D">
        <w:t>claims</w:t>
      </w:r>
      <w:r w:rsidRPr="00C4476D">
        <w:t xml:space="preserve"> that populations of organisms transmit genes </w:t>
      </w:r>
      <w:r w:rsidR="000418E1">
        <w:t>across generations</w:t>
      </w:r>
      <w:r w:rsidRPr="00C4476D">
        <w:t xml:space="preserve"> under the direction of natural selection, </w:t>
      </w:r>
      <w:r w:rsidR="00CB52EA">
        <w:t>the extended synthesis</w:t>
      </w:r>
      <w:r w:rsidR="00CB52EA" w:rsidRPr="00C4476D">
        <w:t xml:space="preserve"> </w:t>
      </w:r>
      <w:r w:rsidRPr="00C4476D">
        <w:t xml:space="preserve">acknowledges that there are more factors in play at evolutionary dynamics than those considered by </w:t>
      </w:r>
      <w:r w:rsidR="00712F31">
        <w:t>modern synthesis</w:t>
      </w:r>
      <w:r w:rsidRPr="00C4476D">
        <w:t>.</w:t>
      </w:r>
      <w:r w:rsidRPr="00AE16E9">
        <w:rPr>
          <w:rStyle w:val="FootnoteReference"/>
        </w:rPr>
        <w:footnoteReference w:id="2"/>
      </w:r>
      <w:r w:rsidRPr="00C4476D">
        <w:t xml:space="preserve"> One of the</w:t>
      </w:r>
      <w:r w:rsidR="00CB52EA">
        <w:t>se</w:t>
      </w:r>
      <w:r w:rsidRPr="00C4476D">
        <w:t xml:space="preserve"> factors</w:t>
      </w:r>
      <w:r w:rsidR="00CB52EA">
        <w:t>,</w:t>
      </w:r>
      <w:r w:rsidRPr="00C4476D">
        <w:t xml:space="preserve"> which is of our main interest here, is how organisms not only undergo environmental pressures that ensue their adap</w:t>
      </w:r>
      <w:r w:rsidR="000418E1">
        <w:t>ta</w:t>
      </w:r>
      <w:r w:rsidRPr="00C4476D">
        <w:t xml:space="preserve">tion, but also </w:t>
      </w:r>
      <w:r w:rsidR="00B63341" w:rsidRPr="00C4476D">
        <w:t>change</w:t>
      </w:r>
      <w:r w:rsidRPr="00C4476D">
        <w:t xml:space="preserve"> their environment</w:t>
      </w:r>
      <w:r w:rsidR="00B63341" w:rsidRPr="00C4476D">
        <w:t xml:space="preserve">, </w:t>
      </w:r>
      <w:r w:rsidR="00B63341" w:rsidRPr="0088182A">
        <w:t xml:space="preserve">thus </w:t>
      </w:r>
      <w:r w:rsidRPr="0088182A">
        <w:t xml:space="preserve">provoking ecological  changes that </w:t>
      </w:r>
      <w:r w:rsidR="00D24AB1" w:rsidRPr="0088182A">
        <w:t>can be</w:t>
      </w:r>
      <w:r w:rsidR="008A0348" w:rsidRPr="0088182A">
        <w:t>come non-genetical</w:t>
      </w:r>
      <w:r w:rsidRPr="0088182A">
        <w:t xml:space="preserve"> </w:t>
      </w:r>
      <w:r w:rsidR="008A0348" w:rsidRPr="0088182A">
        <w:t>inheritances of</w:t>
      </w:r>
      <w:r w:rsidRPr="0088182A">
        <w:t xml:space="preserve"> their offspring. </w:t>
      </w:r>
      <w:r w:rsidR="008A0348" w:rsidRPr="0088182A">
        <w:t>Which means that</w:t>
      </w:r>
      <w:r w:rsidR="008A0348">
        <w:t xml:space="preserve"> i</w:t>
      </w:r>
      <w:r w:rsidR="000418E1">
        <w:t>f</w:t>
      </w:r>
      <w:r w:rsidRPr="00C4476D">
        <w:t xml:space="preserve"> these changes are sufficiently stable, they </w:t>
      </w:r>
      <w:r w:rsidR="0094545D" w:rsidRPr="00C4476D">
        <w:t>become</w:t>
      </w:r>
      <w:r w:rsidRPr="00C4476D">
        <w:t xml:space="preserve"> </w:t>
      </w:r>
      <w:r w:rsidR="0094545D" w:rsidRPr="00C4476D">
        <w:t>new</w:t>
      </w:r>
      <w:r w:rsidRPr="00C4476D">
        <w:t xml:space="preserve"> environment</w:t>
      </w:r>
      <w:r w:rsidR="0094545D" w:rsidRPr="00C4476D">
        <w:t>s</w:t>
      </w:r>
      <w:r w:rsidRPr="00C4476D">
        <w:t xml:space="preserve"> for subsequent generations, thereby offering new possibilities of engagement </w:t>
      </w:r>
      <w:r w:rsidR="00CB52EA">
        <w:t>and opening</w:t>
      </w:r>
      <w:r w:rsidRPr="00C4476D">
        <w:t xml:space="preserve"> up new </w:t>
      </w:r>
      <w:r w:rsidR="00E613B2" w:rsidRPr="00C4476D">
        <w:t>evolutionary</w:t>
      </w:r>
      <w:r w:rsidRPr="00C4476D">
        <w:t xml:space="preserve"> pathways. Laland et al. </w:t>
      </w:r>
      <w:r w:rsidRPr="00C4476D">
        <w:fldChar w:fldCharType="begin" w:fldLock="1"/>
      </w:r>
      <w:r w:rsidR="008A0348">
        <w:instrText>ADDIN CSL_CITATION {"citationItems":[{"id":"ITEM-1","itemData":{"DOI":"10.1017/S0140525X0044241X","ISSN":"0140525X","author":[{"dropping-particle":"","family":"Laland","given":"Kevin N","non-dropping-particle":"","parse-names":false,"suffix":""},{"dropping-particle":"","family":"Odling-Smee","given":"John","non-dropping-particle":"","parse-names":false,"suffix":""},{"dropping-particle":"","family":"Feldman","given":"Marcus W","non-dropping-particle":"","parse-names":false,"suffix":""}],"container-title":"Behavioral and Brain Sciences","id":"ITEM-1","issue":"1","issued":{"date-parts":[["2000","2"]]},"page":"164-172","title":"Niche construction earns its keep","type":"article-journal","volume":"23"},"uris":["http://www.mendeley.com/documents/?uuid=97938956-79f1-4ff0-ad1a-d45afde193fd"]}],"mendeley":{"formattedCitation":"(K. N. Laland et al., 2000b)","manualFormatting":"(2000b)","plainTextFormattedCitation":"(K. N. Laland et al., 2000b)","previouslyFormattedCitation":"(K. N. Laland et al., 2000b)"},"properties":{"noteIndex":0},"schema":"https://github.com/citation-style-language/schema/raw/master/csl-citation.json"}</w:instrText>
      </w:r>
      <w:r w:rsidRPr="00C4476D">
        <w:fldChar w:fldCharType="separate"/>
      </w:r>
      <w:r w:rsidRPr="00C4476D">
        <w:rPr>
          <w:noProof/>
        </w:rPr>
        <w:t>(2000b)</w:t>
      </w:r>
      <w:r w:rsidRPr="00C4476D">
        <w:fldChar w:fldCharType="end"/>
      </w:r>
      <w:r w:rsidRPr="00C4476D">
        <w:t xml:space="preserve"> characterize niche construction as: </w:t>
      </w:r>
    </w:p>
    <w:p w14:paraId="2598C154" w14:textId="77777777" w:rsidR="00C96A05" w:rsidRPr="00C4476D" w:rsidRDefault="00C96A05" w:rsidP="00C96A05">
      <w:pPr>
        <w:spacing w:line="360" w:lineRule="auto"/>
        <w:jc w:val="both"/>
      </w:pPr>
    </w:p>
    <w:p w14:paraId="703D88EE" w14:textId="77777777" w:rsidR="00C96A05" w:rsidRPr="00C4476D" w:rsidRDefault="00C96A05" w:rsidP="00C96A05">
      <w:pPr>
        <w:spacing w:line="360" w:lineRule="auto"/>
        <w:ind w:left="2268"/>
        <w:jc w:val="both"/>
      </w:pPr>
      <w:r w:rsidRPr="00C4476D">
        <w:t xml:space="preserve">When an organism modifies the functional relationship between itself and its environment by actively changing one or more of the factors in </w:t>
      </w:r>
      <w:r w:rsidRPr="00C4476D">
        <w:lastRenderedPageBreak/>
        <w:t>its environment, either by physically perturbing these factors at its current address, or by relocating to a different address, thereby exposing itself to different factors. (Laland et al., 2000b, p. 165)</w:t>
      </w:r>
    </w:p>
    <w:p w14:paraId="03BB155D" w14:textId="77777777" w:rsidR="00C96A05" w:rsidRPr="00C4476D" w:rsidRDefault="00C96A05" w:rsidP="00C96A05">
      <w:pPr>
        <w:spacing w:line="360" w:lineRule="auto"/>
        <w:jc w:val="both"/>
        <w:rPr>
          <w:b/>
          <w:bCs/>
        </w:rPr>
      </w:pPr>
    </w:p>
    <w:p w14:paraId="213D7A4A" w14:textId="7614B3C3" w:rsidR="00C96A05" w:rsidRPr="00C4476D" w:rsidRDefault="00C96A05" w:rsidP="00C96A05">
      <w:pPr>
        <w:spacing w:line="360" w:lineRule="auto"/>
        <w:ind w:firstLine="720"/>
        <w:jc w:val="both"/>
      </w:pPr>
      <w:r w:rsidRPr="00C4476D">
        <w:t xml:space="preserve">The idea that humans </w:t>
      </w:r>
      <w:r w:rsidR="00D24AB1" w:rsidRPr="00C4476D">
        <w:t>modify</w:t>
      </w:r>
      <w:r w:rsidRPr="00C4476D">
        <w:t xml:space="preserve"> their environment</w:t>
      </w:r>
      <w:r w:rsidR="006055BD" w:rsidRPr="00C4476D">
        <w:t>s</w:t>
      </w:r>
      <w:r w:rsidRPr="00C4476D">
        <w:t xml:space="preserve"> in substantial ways is of course not new. As Laland et al., (2000a) emphasize, however, niche construction is not a rare or special case that occasionally impacts on selection, it is rather ‘general and pervasive’ (ibid., p. 132). Thus, although human action offers paradigmatic cases, niche construction happens with many other animals, such as earthworms, spiders, beavers, cuckoos</w:t>
      </w:r>
      <w:r w:rsidR="00B3196D" w:rsidRPr="00C4476D">
        <w:t xml:space="preserve">, </w:t>
      </w:r>
      <w:r w:rsidRPr="00C4476D">
        <w:t>termites</w:t>
      </w:r>
      <w:r w:rsidR="00712F31">
        <w:t xml:space="preserve"> </w:t>
      </w:r>
      <w:r w:rsidR="00712F31" w:rsidRPr="0088182A">
        <w:t>and</w:t>
      </w:r>
      <w:r w:rsidR="00B3196D" w:rsidRPr="0088182A">
        <w:t xml:space="preserve"> </w:t>
      </w:r>
      <w:r w:rsidR="00312EF8" w:rsidRPr="0088182A">
        <w:t>hermit</w:t>
      </w:r>
      <w:r w:rsidR="00B3196D" w:rsidRPr="00C4476D">
        <w:t xml:space="preserve"> crabs</w:t>
      </w:r>
      <w:r w:rsidR="00C04367">
        <w:t xml:space="preserve">. Niche construction </w:t>
      </w:r>
      <w:r w:rsidR="00CB52EA">
        <w:t>is</w:t>
      </w:r>
      <w:r w:rsidR="00C04367">
        <w:t xml:space="preserve"> arguably</w:t>
      </w:r>
      <w:r w:rsidR="00CB52EA">
        <w:t xml:space="preserve"> </w:t>
      </w:r>
      <w:r w:rsidR="00B3196D" w:rsidRPr="00C4476D">
        <w:t>even</w:t>
      </w:r>
      <w:r w:rsidR="006055BD" w:rsidRPr="00C4476D">
        <w:t xml:space="preserve"> registered </w:t>
      </w:r>
      <w:r w:rsidR="00B3196D" w:rsidRPr="00C4476D">
        <w:t xml:space="preserve">in microbes, fungi and plants </w:t>
      </w:r>
      <w:r w:rsidR="00B3196D" w:rsidRPr="00C4476D">
        <w:fldChar w:fldCharType="begin" w:fldLock="1"/>
      </w:r>
      <w:r w:rsidR="008A0348">
        <w:instrText>ADDIN CSL_CITATION {"citationItems":[{"id":"ITEM-1","itemData":{"DOI":"10.1007/s10682-016-9821-z","ISSN":"02697653","PMID":"27429507","abstract":"Niche construction refers to the modification of selective environments by organisms. Theoretical and empirical studies of niche construction are increasing in importance as foci in evolutionary ecology. This special edition presents theoretical and empirical research that illustrates the significance of niche construction to the field. Here we set the scene for the following papers by (1) discussing the history of niche construction research, (2) providing clear definitions that distinguish niche construction from related concepts such as ecosystem engineering and the extended phenotype, (3) providing a brief summary of the findings of niche construction research, (4) discussing the contribution of niche construction and ecological inheritance to (a) expanded notions of inheritance, and (b) the extended evolutionary synthesis, and (5) briefly touching on some of the issues that underlie the controversies over niche construction.","author":[{"dropping-particle":"","family":"Laland","given":"Kevin N.","non-dropping-particle":"","parse-names":false,"suffix":""},{"dropping-particle":"","family":"Matthews","given":"Blake","non-dropping-particle":"","parse-names":false,"suffix":""},{"dropping-particle":"","family":"Feldman","given":"Marcus W.","non-dropping-particle":"","parse-names":false,"suffix":""}],"container-title":"Evolutionary Ecology","id":"ITEM-1","issue":"2","issued":{"date-parts":[["2016"]]},"page":"191-202","publisher":"Springer International Publishing","title":"An introduction to niche construction theory","type":"article-journal","volume":"30"},"prefix":"see","suffix":"for an overview","uris":["http://www.mendeley.com/documents/?uuid=206dc666-4b9d-4e61-a8db-6b1bb3a9f8f1"]}],"mendeley":{"formattedCitation":"(see K. N. Laland et al., 2016 for an overview)","manualFormatting":"(see Laland et al., 2016 for an overview)","plainTextFormattedCitation":"(see K. N. Laland et al., 2016 for an overview)","previouslyFormattedCitation":"(see K. N. Laland et al., 2016 for an overview)"},"properties":{"noteIndex":0},"schema":"https://github.com/citation-style-language/schema/raw/master/csl-citation.json"}</w:instrText>
      </w:r>
      <w:r w:rsidR="00B3196D" w:rsidRPr="00C4476D">
        <w:fldChar w:fldCharType="separate"/>
      </w:r>
      <w:r w:rsidR="00B3196D" w:rsidRPr="00C4476D">
        <w:rPr>
          <w:noProof/>
        </w:rPr>
        <w:t>(see Laland et al., 2016 for an overview)</w:t>
      </w:r>
      <w:r w:rsidR="00B3196D" w:rsidRPr="00C4476D">
        <w:fldChar w:fldCharType="end"/>
      </w:r>
      <w:r w:rsidRPr="00C4476D">
        <w:t>. Therefore, organisms have an active part in their selective process by creating phenotypically modified habitats</w:t>
      </w:r>
      <w:r w:rsidR="00C04367">
        <w:t xml:space="preserve"> </w:t>
      </w:r>
      <w:r w:rsidRPr="00C4476D">
        <w:t xml:space="preserve">that are transmitted across generations, in addition </w:t>
      </w:r>
      <w:r w:rsidR="00712F31">
        <w:t>to genetic inheritance</w:t>
      </w:r>
      <w:r w:rsidRPr="00C4476D">
        <w:t xml:space="preserve">, and which may impact the selection </w:t>
      </w:r>
      <w:r w:rsidR="00712F31">
        <w:t>of future generations</w:t>
      </w:r>
      <w:r w:rsidRPr="00C4476D">
        <w:t xml:space="preserve">. </w:t>
      </w:r>
    </w:p>
    <w:p w14:paraId="273DE90D" w14:textId="3E32D54B" w:rsidR="00083A81" w:rsidRPr="00C4476D" w:rsidRDefault="00C96A05" w:rsidP="008E042E">
      <w:pPr>
        <w:spacing w:line="360" w:lineRule="auto"/>
        <w:ind w:firstLine="720"/>
        <w:jc w:val="both"/>
      </w:pPr>
      <w:r w:rsidRPr="00C4476D">
        <w:t xml:space="preserve">There are two further important points about the notion of niche construction. Firstly, </w:t>
      </w:r>
      <w:r w:rsidRPr="00C4476D">
        <w:rPr>
          <w:i/>
          <w:iCs/>
        </w:rPr>
        <w:t>how</w:t>
      </w:r>
      <w:r w:rsidRPr="00C4476D">
        <w:t xml:space="preserve"> and </w:t>
      </w:r>
      <w:r w:rsidRPr="00C4476D">
        <w:rPr>
          <w:i/>
          <w:iCs/>
        </w:rPr>
        <w:t xml:space="preserve">which </w:t>
      </w:r>
      <w:r w:rsidRPr="00C4476D">
        <w:t>niches are built essentially depends on the organism’s bodily morphology and abilities, in a way that closely relates the first and second ways of bringing forth worlds. Secondly, building a niche is not a ‘mental activity’, where ‘m</w:t>
      </w:r>
      <w:r w:rsidR="00B63341" w:rsidRPr="00C4476D">
        <w:t>ental</w:t>
      </w:r>
      <w:r w:rsidRPr="00C4476D">
        <w:t xml:space="preserve">’ is construed </w:t>
      </w:r>
      <w:proofErr w:type="spellStart"/>
      <w:r w:rsidRPr="00C4476D">
        <w:t>internalistically</w:t>
      </w:r>
      <w:proofErr w:type="spellEnd"/>
      <w:r w:rsidRPr="00C4476D">
        <w:t xml:space="preserve">. As Laland et al. (2000a) </w:t>
      </w:r>
      <w:r w:rsidR="00B63341" w:rsidRPr="00C4476D">
        <w:t>emphasize</w:t>
      </w:r>
      <w:r w:rsidRPr="00C4476D">
        <w:t xml:space="preserve">, ‘construction refers to a physical modification of the environment and not to the perceptual processes responsible for constructing </w:t>
      </w:r>
      <w:r w:rsidRPr="00C4476D">
        <w:rPr>
          <w:i/>
          <w:iCs/>
        </w:rPr>
        <w:t>a mental representation</w:t>
      </w:r>
      <w:r w:rsidRPr="00C4476D">
        <w:t xml:space="preserve"> of the world from sensory inputs’ (2000a, p. 145, emphasis added). As such, the first two ways of bringing forth a world are not internal </w:t>
      </w:r>
      <w:r w:rsidR="00ED2479" w:rsidRPr="00C4476D">
        <w:t>n</w:t>
      </w:r>
      <w:r w:rsidRPr="00C4476D">
        <w:t>or subjective</w:t>
      </w:r>
      <w:r w:rsidR="008E042E">
        <w:t>.</w:t>
      </w:r>
      <w:r w:rsidRPr="00C4476D">
        <w:t xml:space="preserve"> </w:t>
      </w:r>
      <w:r w:rsidR="008E042E">
        <w:t>They do not refer</w:t>
      </w:r>
      <w:r w:rsidRPr="00C4476D">
        <w:t xml:space="preserve"> to an idealistic interpretation that leaves out the material </w:t>
      </w:r>
      <w:r w:rsidR="00C04367">
        <w:t>exchanges that happen between agent and environment</w:t>
      </w:r>
      <w:r w:rsidRPr="00C4476D">
        <w:t xml:space="preserve">. </w:t>
      </w:r>
      <w:r w:rsidR="00EE195F" w:rsidRPr="00EE195F">
        <w:t xml:space="preserve">Bringing forth a world through enaction and niche construction involves </w:t>
      </w:r>
      <w:r w:rsidR="00EE195F" w:rsidRPr="00EE195F">
        <w:rPr>
          <w:i/>
          <w:iCs/>
        </w:rPr>
        <w:t>physically</w:t>
      </w:r>
      <w:r w:rsidR="00EE195F" w:rsidRPr="00EE195F">
        <w:t xml:space="preserve"> engaging with the environment, which mutually determines both agent and environment</w:t>
      </w:r>
      <w:r w:rsidR="00EE195F">
        <w:t xml:space="preserve">. </w:t>
      </w:r>
      <w:r w:rsidR="00DD3BF8" w:rsidRPr="00DD3BF8">
        <w:rPr>
          <w:i/>
          <w:iCs/>
        </w:rPr>
        <w:t>T</w:t>
      </w:r>
      <w:r w:rsidRPr="00C4476D">
        <w:rPr>
          <w:i/>
          <w:iCs/>
        </w:rPr>
        <w:t>his</w:t>
      </w:r>
      <w:r w:rsidRPr="00C4476D">
        <w:t xml:space="preserve"> environment</w:t>
      </w:r>
      <w:r w:rsidR="00B63341" w:rsidRPr="00C4476D">
        <w:t>, as it is</w:t>
      </w:r>
      <w:r w:rsidR="009E5A40" w:rsidRPr="00C4476D">
        <w:t xml:space="preserve"> </w:t>
      </w:r>
      <w:r w:rsidR="00B63341" w:rsidRPr="00C4476D">
        <w:t>brought forth by us,</w:t>
      </w:r>
      <w:r w:rsidRPr="00C4476D">
        <w:t xml:space="preserve"> is the only </w:t>
      </w:r>
      <w:r w:rsidR="00DD3BF8">
        <w:t>world</w:t>
      </w:r>
      <w:r w:rsidR="009D009A">
        <w:t xml:space="preserve"> </w:t>
      </w:r>
      <w:r w:rsidR="009E5A40" w:rsidRPr="00C4476D">
        <w:t>with which we engage.</w:t>
      </w:r>
      <w:r w:rsidR="00C04367">
        <w:t xml:space="preserve"> We hereby use ‘environment’ exclusively in this sense, as a lived world</w:t>
      </w:r>
      <w:r w:rsidR="008E042E">
        <w:t xml:space="preserve"> which is determined by the organisms</w:t>
      </w:r>
      <w:r w:rsidR="001D4979">
        <w:t>’</w:t>
      </w:r>
      <w:r w:rsidR="008E042E">
        <w:t xml:space="preserve"> doings and which determines the organisms in turn.</w:t>
      </w:r>
      <w:r w:rsidR="008E042E" w:rsidRPr="00AE16E9">
        <w:rPr>
          <w:rStyle w:val="FootnoteReference"/>
        </w:rPr>
        <w:footnoteReference w:id="3"/>
      </w:r>
      <w:r w:rsidR="001868CB" w:rsidRPr="00C4476D">
        <w:t xml:space="preserve"> </w:t>
      </w:r>
    </w:p>
    <w:p w14:paraId="2D255463" w14:textId="588CCB03" w:rsidR="00C45A1F" w:rsidRDefault="00C45A1F" w:rsidP="00C96A05">
      <w:pPr>
        <w:spacing w:line="360" w:lineRule="auto"/>
        <w:ind w:firstLine="720"/>
        <w:jc w:val="both"/>
      </w:pPr>
    </w:p>
    <w:p w14:paraId="2C55233C" w14:textId="4688BB0F" w:rsidR="00C45A1F" w:rsidRPr="00C45A1F" w:rsidRDefault="00C45A1F" w:rsidP="00C45A1F">
      <w:pPr>
        <w:spacing w:line="360" w:lineRule="auto"/>
        <w:jc w:val="both"/>
        <w:rPr>
          <w:i/>
          <w:iCs/>
        </w:rPr>
      </w:pPr>
      <w:r w:rsidRPr="00C45A1F">
        <w:rPr>
          <w:i/>
          <w:iCs/>
        </w:rPr>
        <w:t>3.3. A special case of bringing forth: social</w:t>
      </w:r>
      <w:r w:rsidR="000418E1">
        <w:rPr>
          <w:i/>
          <w:iCs/>
        </w:rPr>
        <w:t xml:space="preserve"> niche</w:t>
      </w:r>
      <w:r w:rsidRPr="00C45A1F">
        <w:rPr>
          <w:i/>
          <w:iCs/>
        </w:rPr>
        <w:t xml:space="preserve"> construction</w:t>
      </w:r>
    </w:p>
    <w:p w14:paraId="3B20132F" w14:textId="77777777" w:rsidR="00C45A1F" w:rsidRDefault="00C45A1F" w:rsidP="00C96A05">
      <w:pPr>
        <w:spacing w:line="360" w:lineRule="auto"/>
        <w:ind w:firstLine="720"/>
        <w:jc w:val="both"/>
      </w:pPr>
    </w:p>
    <w:p w14:paraId="49E54363" w14:textId="10F7B0F9" w:rsidR="00C96A05" w:rsidRPr="00C4476D" w:rsidRDefault="00C96A05" w:rsidP="00C96A05">
      <w:pPr>
        <w:spacing w:line="360" w:lineRule="auto"/>
        <w:ind w:firstLine="720"/>
        <w:jc w:val="both"/>
      </w:pPr>
      <w:r w:rsidRPr="00C4476D">
        <w:t xml:space="preserve">Finally, there is a third literal way of bringing forth a world. As mentioned at the beginning, this third way happens under very specific circumstances, and we call it </w:t>
      </w:r>
      <w:r w:rsidRPr="00C4476D">
        <w:rPr>
          <w:i/>
          <w:iCs/>
        </w:rPr>
        <w:t xml:space="preserve">social </w:t>
      </w:r>
      <w:r w:rsidR="000418E1">
        <w:rPr>
          <w:i/>
          <w:iCs/>
        </w:rPr>
        <w:t xml:space="preserve">niche </w:t>
      </w:r>
      <w:r w:rsidRPr="00C4476D">
        <w:rPr>
          <w:i/>
          <w:iCs/>
        </w:rPr>
        <w:t xml:space="preserve">construction. </w:t>
      </w:r>
      <w:r w:rsidRPr="00C4476D">
        <w:t>Although there is a clear sense in which non-human animals also develop social activities—as observed in other apes, birds and insects</w:t>
      </w:r>
      <w:r w:rsidR="00DE797B" w:rsidRPr="00C4476D">
        <w:t>, for instance</w:t>
      </w:r>
      <w:r w:rsidRPr="00C4476D">
        <w:t>—, humans excel in social practices and provide the most paradigmatic cases of social cognition.</w:t>
      </w:r>
      <w:r w:rsidR="00DE797B" w:rsidRPr="00AE16E9">
        <w:rPr>
          <w:rStyle w:val="FootnoteReference"/>
        </w:rPr>
        <w:footnoteReference w:id="4"/>
      </w:r>
      <w:r w:rsidRPr="00C4476D">
        <w:t xml:space="preserve"> Plausibly, this is due to two distinctive features that characterize what Tomasello </w:t>
      </w:r>
      <w:r w:rsidRPr="00C4476D">
        <w:fldChar w:fldCharType="begin" w:fldLock="1"/>
      </w:r>
      <w:r w:rsidR="00A02ECB" w:rsidRPr="00C4476D">
        <w:instrText>ADDIN CSL_CITATION {"citationItems":[{"id":"ITEM-1","itemData":{"author":[{"dropping-particle":"","family":"Tomasello","given":"Michael","non-dropping-particle":"","parse-names":false,"suffix":""}],"id":"ITEM-1","issued":{"date-parts":[["2014"]]},"publisher":"Harvard University Press","publisher-place":"Cambridge, Massachusetts","title":"A Natural History of Human Thinking","type":"book"},"suppress-author":1,"uris":["http://www.mendeley.com/documents/?uuid=3376775a-68d8-477f-85ad-99288de54d93"]}],"mendeley":{"formattedCitation":"(2014)","plainTextFormattedCitation":"(2014)","previouslyFormattedCitation":"(2014)"},"properties":{"noteIndex":0},"schema":"https://github.com/citation-style-language/schema/raw/master/csl-citation.json"}</w:instrText>
      </w:r>
      <w:r w:rsidRPr="00C4476D">
        <w:fldChar w:fldCharType="separate"/>
      </w:r>
      <w:r w:rsidRPr="00C4476D">
        <w:rPr>
          <w:noProof/>
        </w:rPr>
        <w:t>(2014)</w:t>
      </w:r>
      <w:r w:rsidRPr="00C4476D">
        <w:fldChar w:fldCharType="end"/>
      </w:r>
      <w:r w:rsidRPr="00C4476D">
        <w:t xml:space="preserve"> calls the </w:t>
      </w:r>
      <w:r w:rsidRPr="00C4476D">
        <w:rPr>
          <w:i/>
          <w:iCs/>
        </w:rPr>
        <w:t>ratchet effect</w:t>
      </w:r>
      <w:r w:rsidRPr="00C4476D">
        <w:t xml:space="preserve"> </w:t>
      </w:r>
      <w:r w:rsidRPr="00C4476D">
        <w:fldChar w:fldCharType="begin" w:fldLock="1"/>
      </w:r>
      <w:r w:rsidRPr="00C4476D">
        <w:instrText>ADDIN CSL_CITATION {"citationItems":[{"id":"ITEM-1","itemData":{"author":[{"dropping-particle":"","family":"Tomasello","given":"Michael","non-dropping-particle":"","parse-names":false,"suffix":""}],"id":"ITEM-1","issued":{"date-parts":[["2009"]]},"publisher":"The MIT Press","publisher-place":"Cambridge, Massachusetts","title":"Why we cooperate","type":"book"},"prefix":"see","uris":["http://www.mendeley.com/documents/?uuid=699dec0b-fc63-4af3-bea7-3209c4447149"]}],"mendeley":{"formattedCitation":"(see Tomasello, 2009)","manualFormatting":"(see also Tomasello, 2009)","plainTextFormattedCitation":"(see Tomasello, 2009)","previouslyFormattedCitation":"(see Tomasello, 2009)"},"properties":{"noteIndex":0},"schema":"https://github.com/citation-style-language/schema/raw/master/csl-citation.json"}</w:instrText>
      </w:r>
      <w:r w:rsidRPr="00C4476D">
        <w:fldChar w:fldCharType="separate"/>
      </w:r>
      <w:r w:rsidRPr="00C4476D">
        <w:rPr>
          <w:noProof/>
        </w:rPr>
        <w:t>(see also Tomasello, 2009)</w:t>
      </w:r>
      <w:r w:rsidRPr="00C4476D">
        <w:fldChar w:fldCharType="end"/>
      </w:r>
      <w:r w:rsidRPr="00C4476D">
        <w:t xml:space="preserve">. The first </w:t>
      </w:r>
      <w:r w:rsidR="006D750D" w:rsidRPr="00C4476D">
        <w:t>feature</w:t>
      </w:r>
      <w:r w:rsidRPr="00C4476D">
        <w:t xml:space="preserve"> is cumulative cultural evolution. Humans develop artifacts in order to perform or facilitate certain tasks, </w:t>
      </w:r>
      <w:r w:rsidR="00BC4323" w:rsidRPr="00C4476D">
        <w:t>and not only other</w:t>
      </w:r>
      <w:r w:rsidR="008E042E">
        <w:t>s</w:t>
      </w:r>
      <w:r w:rsidR="00BC4323" w:rsidRPr="00C4476D">
        <w:t xml:space="preserve"> can learn how to use them</w:t>
      </w:r>
      <w:r w:rsidRPr="00C4476D">
        <w:t xml:space="preserve">, </w:t>
      </w:r>
      <w:r w:rsidR="008E042E">
        <w:t>but artifacts</w:t>
      </w:r>
      <w:r w:rsidR="008E042E" w:rsidRPr="00C4476D">
        <w:t xml:space="preserve"> </w:t>
      </w:r>
      <w:r w:rsidRPr="00C4476D">
        <w:t xml:space="preserve">can also be improved across generations, thereby ameliorating </w:t>
      </w:r>
      <w:r w:rsidR="008E042E">
        <w:t>inherited</w:t>
      </w:r>
      <w:r w:rsidR="008E042E" w:rsidRPr="00C4476D">
        <w:t xml:space="preserve"> </w:t>
      </w:r>
      <w:r w:rsidRPr="00C4476D">
        <w:t xml:space="preserve">tools </w:t>
      </w:r>
      <w:r w:rsidR="006B4412">
        <w:t>and even</w:t>
      </w:r>
      <w:r w:rsidRPr="00C4476D">
        <w:t xml:space="preserve"> creating new uses from them. The second distinctive feature of our social behavior is the creation of social institutions. </w:t>
      </w:r>
      <w:r w:rsidR="0065281D">
        <w:t>In the last 50,000 years, behaviorally modern h</w:t>
      </w:r>
      <w:r w:rsidRPr="00C4476D">
        <w:t>umans</w:t>
      </w:r>
      <w:r w:rsidR="0065281D">
        <w:t xml:space="preserve"> </w:t>
      </w:r>
      <w:r w:rsidRPr="00C4476D">
        <w:t>have developed institutionalized norms that serve to guide, explain, sanction or reprehend the behavior of others. Thus, we inherit not only genes and environmental changes from our forebearers</w:t>
      </w:r>
      <w:r w:rsidR="00241C68" w:rsidRPr="00C4476D">
        <w:t>,</w:t>
      </w:r>
      <w:r w:rsidRPr="00C4476D">
        <w:t xml:space="preserve"> </w:t>
      </w:r>
      <w:r w:rsidR="00241C68" w:rsidRPr="00C4476D">
        <w:t>w</w:t>
      </w:r>
      <w:r w:rsidRPr="00C4476D">
        <w:t>e also inherit artifacts, information about their usage</w:t>
      </w:r>
      <w:r w:rsidR="000418E1">
        <w:t xml:space="preserve"> and </w:t>
      </w:r>
      <w:r w:rsidRPr="00C4476D">
        <w:t>possibilities of improving them</w:t>
      </w:r>
      <w:r w:rsidR="006B4412">
        <w:t>—and, p</w:t>
      </w:r>
      <w:r w:rsidRPr="00C4476D">
        <w:t>erhaps mo</w:t>
      </w:r>
      <w:r w:rsidR="003039CE">
        <w:t>re distinctively</w:t>
      </w:r>
      <w:r w:rsidRPr="00C4476D">
        <w:t xml:space="preserve">, we inherit social norms and institutions. The combination of these elements characterizes a third way of bringing forth a world, namely, </w:t>
      </w:r>
      <w:r w:rsidR="00173732" w:rsidRPr="00C4476D">
        <w:t xml:space="preserve">the construction of </w:t>
      </w:r>
      <w:r w:rsidRPr="00C4476D">
        <w:t xml:space="preserve">a </w:t>
      </w:r>
      <w:r w:rsidR="00241C68" w:rsidRPr="00C4476D">
        <w:t>highly normative</w:t>
      </w:r>
      <w:r w:rsidR="00241C68" w:rsidRPr="00AE16E9">
        <w:rPr>
          <w:rStyle w:val="FootnoteReference"/>
        </w:rPr>
        <w:footnoteReference w:id="5"/>
      </w:r>
      <w:r w:rsidR="00241C68" w:rsidRPr="00C4476D">
        <w:t xml:space="preserve"> </w:t>
      </w:r>
      <w:r w:rsidRPr="00C4476D">
        <w:t xml:space="preserve">social </w:t>
      </w:r>
      <w:r w:rsidR="006D750D" w:rsidRPr="00C4476D">
        <w:t>environment that guides and constrains our behavior</w:t>
      </w:r>
      <w:r w:rsidR="008E042E">
        <w:t>.</w:t>
      </w:r>
      <w:r w:rsidRPr="00AE16E9">
        <w:rPr>
          <w:rStyle w:val="FootnoteReference"/>
        </w:rPr>
        <w:footnoteReference w:id="6"/>
      </w:r>
      <w:r w:rsidRPr="00C4476D">
        <w:t xml:space="preserve"> Accordingly, we perceive a hammer not only as graspable but as a tool,</w:t>
      </w:r>
      <w:r w:rsidR="00173732" w:rsidRPr="00C4476D">
        <w:t xml:space="preserve"> or someone’s tool,</w:t>
      </w:r>
      <w:r w:rsidRPr="00C4476D">
        <w:t xml:space="preserve"> </w:t>
      </w:r>
      <w:r w:rsidR="00173732" w:rsidRPr="00C4476D">
        <w:t>maybe a valuable or cheap one</w:t>
      </w:r>
      <w:r w:rsidRPr="00C4476D">
        <w:t xml:space="preserve">; we perceive books not only as something we can flip through, but as readable, enjoyable or boring; we perceive warning signs not only as objects with which we can collide, but as forbidding </w:t>
      </w:r>
      <w:r w:rsidR="00173732" w:rsidRPr="00C4476D">
        <w:t xml:space="preserve">us </w:t>
      </w:r>
      <w:r w:rsidRPr="00C4476D">
        <w:t xml:space="preserve">from following a path </w:t>
      </w:r>
      <w:r w:rsidR="004961BF" w:rsidRPr="00C4476D">
        <w:t xml:space="preserve">or doing certain things in a specific </w:t>
      </w:r>
      <w:r w:rsidR="006B4412">
        <w:t>area</w:t>
      </w:r>
      <w:r w:rsidR="004961BF" w:rsidRPr="00C4476D">
        <w:t xml:space="preserve"> </w:t>
      </w:r>
      <w:r w:rsidRPr="00C4476D">
        <w:t>and so on.</w:t>
      </w:r>
    </w:p>
    <w:p w14:paraId="5AA02171" w14:textId="79141C46" w:rsidR="008E042E" w:rsidRDefault="00C96A05" w:rsidP="00D177E2">
      <w:pPr>
        <w:spacing w:line="360" w:lineRule="auto"/>
        <w:ind w:firstLine="720"/>
        <w:jc w:val="both"/>
      </w:pPr>
      <w:r w:rsidRPr="00C4476D">
        <w:lastRenderedPageBreak/>
        <w:t xml:space="preserve">What is interesting here is that the distinctive features of human social cognition—cumulative cultural adaptation and </w:t>
      </w:r>
      <w:r w:rsidR="00B64CB7">
        <w:t>the creation of social institutions</w:t>
      </w:r>
      <w:r w:rsidRPr="00C4476D">
        <w:t xml:space="preserve">—are plausibly correlated. And this correlation </w:t>
      </w:r>
      <w:r w:rsidR="006D750D" w:rsidRPr="00C4476D">
        <w:t>suggest</w:t>
      </w:r>
      <w:r w:rsidR="00B9683C" w:rsidRPr="00C4476D">
        <w:t>s</w:t>
      </w:r>
      <w:r w:rsidR="006D750D" w:rsidRPr="00C4476D">
        <w:t xml:space="preserve"> that</w:t>
      </w:r>
      <w:r w:rsidRPr="00C4476D">
        <w:t xml:space="preserve"> the</w:t>
      </w:r>
      <w:r w:rsidR="000418E1">
        <w:t xml:space="preserve"> construction of a</w:t>
      </w:r>
      <w:r w:rsidRPr="00C4476D">
        <w:t xml:space="preserve"> social </w:t>
      </w:r>
      <w:r w:rsidR="000418E1">
        <w:t>niche</w:t>
      </w:r>
      <w:r w:rsidRPr="00C4476D">
        <w:t xml:space="preserve"> </w:t>
      </w:r>
      <w:r w:rsidR="00DE25B2">
        <w:t xml:space="preserve">is </w:t>
      </w:r>
      <w:r w:rsidR="00D177E2">
        <w:t>in continuity</w:t>
      </w:r>
      <w:r w:rsidR="00DE25B2">
        <w:t xml:space="preserve"> </w:t>
      </w:r>
      <w:r w:rsidR="00D177E2">
        <w:t>with</w:t>
      </w:r>
      <w:r w:rsidR="00DE25B2">
        <w:t xml:space="preserve"> the</w:t>
      </w:r>
      <w:r w:rsidRPr="00C4476D">
        <w:t xml:space="preserve"> other two ways of bringing forth a world</w:t>
      </w:r>
      <w:r w:rsidR="00B64CB7">
        <w:t>. If that is the case, social construction fundamentally</w:t>
      </w:r>
      <w:r w:rsidR="00D177E2">
        <w:t xml:space="preserve"> </w:t>
      </w:r>
      <w:r w:rsidR="00B64CB7">
        <w:t xml:space="preserve">involves environmental and interpersonal engagements—it is not, therefore, a mere abstraction that we project onto the world. </w:t>
      </w:r>
      <w:r w:rsidRPr="00C4476D">
        <w:t xml:space="preserve">The work on cognitive archeology in the framework of Material Engagement Theory </w:t>
      </w:r>
      <w:r w:rsidRPr="00C4476D">
        <w:fldChar w:fldCharType="begin" w:fldLock="1"/>
      </w:r>
      <w:r w:rsidR="00514656" w:rsidRPr="00C4476D">
        <w:instrText>ADDIN CSL_CITATION {"citationItems":[{"id":"ITEM-1","itemData":{"author":[{"dropping-particle":"","family":"Malafouris","given":"Lambros","non-dropping-particle":"","parse-names":false,"suffix":""}],"id":"ITEM-1","issued":{"date-parts":[["2013"]]},"publisher":"MIT Press","publisher-place":"Cambridge, Massachusetts","title":"How things shape the mind: A Theory of Material Engagement","type":"book"},"uris":["http://www.mendeley.com/documents/?uuid=a4a72baf-a2ae-4363-a564-7f492070a7bc"]},{"id":"ITEM-2","itemData":{"DOI":"10.1075/pc.22.1.08mal","ISSN":"0929-0907","abstract":"Humans are organisms of a creative sort. We make new things that scaffold the ecology of our minds, shape the boundaries of our thinking and form new ways to engage and make sense of the world. That is, we are creative ‘thingers’. This paper adopts the perspective of Material Engagement Theory (Malafouris 2013) and introduces the notion ‘thinging’ to articulate and draw attention to the kind of cognitive life instantiated in acts of thinking and feeling with, through and about things. I will focus more specifically on Creative thinging , or creative material engagement, exploring the importance of thinging for understanding our species unique capacity for inventiveness.","author":[{"dropping-particle":"","family":"Malafouris","given":"Lambros","non-dropping-particle":"","parse-names":false,"suffix":""}],"container-title":"Pragmatics &amp; Cognition","id":"ITEM-2","issue":"1","issued":{"date-parts":[["2014","12","31"]]},"page":"140-158","title":"Creative thinging: the feeling of and for clay","type":"article-journal","volume":"22"},"uris":["http://www.mendeley.com/documents/?uuid=debdfbe4-b73f-407b-94fe-96901cb1b154"]},{"id":"ITEM-3","itemData":{"DOI":"10.1007/s13347-018-0321-7","ISSN":"2210-5433","author":[{"dropping-particle":"","family":"Ihde","given":"Don","non-dropping-particle":"","parse-names":false,"suffix":""},{"dropping-particle":"","family":"Malafouris","given":"Lambros","non-dropping-particle":"","parse-names":false,"suffix":""}],"container-title":"Philosophy &amp; Technology","id":"ITEM-3","issue":"2","issued":{"date-parts":[["2019"]]},"page":"195-214","publisher":"Springer","title":"Homo faber revisited: Postphenomenology and material engagement theory","type":"article-journal","volume":"32"},"uris":["http://www.mendeley.com/documents/?uuid=5b08881f-b74e-4d6a-b651-af6e0e13c330"]},{"id":"ITEM-4","itemData":{"DOI":"10.1007/s11097-018-9606-7","ISSN":"1568-7759","author":[{"dropping-particle":"","family":"Malafouris","given":"Lambros","non-dropping-particle":"","parse-names":false,"suffix":""}],"container-title":"Phenomenology and the Cognitive Sciences","id":"ITEM-4","issue":"1","issued":{"date-parts":[["2019","2","1"]]},"page":"1-17","title":"Mind and material engagement","type":"article-journal","volume":"18"},"uris":["http://www.mendeley.com/documents/?uuid=abf42c2d-ffcb-4876-90e5-6e6facf89746"]}],"mendeley":{"formattedCitation":"(Ihde &amp; Malafouris, 2019; Malafouris, 2013, 2014, 2019)","plainTextFormattedCitation":"(Ihde &amp; Malafouris, 2019; Malafouris, 2013, 2014, 2019)","previouslyFormattedCitation":"(Ihde &amp; Malafouris, 2019; Malafouris, 2013, 2014, 2019)"},"properties":{"noteIndex":0},"schema":"https://github.com/citation-style-language/schema/raw/master/csl-citation.json"}</w:instrText>
      </w:r>
      <w:r w:rsidRPr="00C4476D">
        <w:fldChar w:fldCharType="separate"/>
      </w:r>
      <w:r w:rsidR="00B9683C" w:rsidRPr="00C4476D">
        <w:rPr>
          <w:noProof/>
        </w:rPr>
        <w:t>(Ihde &amp; Malafouris, 2019; Malafouris, 2013, 2014, 2019)</w:t>
      </w:r>
      <w:r w:rsidRPr="00C4476D">
        <w:fldChar w:fldCharType="end"/>
      </w:r>
      <w:r w:rsidR="00D177E2">
        <w:t xml:space="preserve"> provides interesting examples on how artifact manipulation</w:t>
      </w:r>
      <w:r w:rsidR="00E07511">
        <w:t xml:space="preserve"> scaffolds and transform</w:t>
      </w:r>
      <w:r w:rsidR="004D094F">
        <w:t>s</w:t>
      </w:r>
      <w:r w:rsidR="00E07511">
        <w:t xml:space="preserve"> our thinking thus becoming</w:t>
      </w:r>
      <w:r w:rsidR="00D177E2">
        <w:t xml:space="preserve"> intertwined with social</w:t>
      </w:r>
      <w:r w:rsidR="000418E1">
        <w:t xml:space="preserve"> niche</w:t>
      </w:r>
      <w:r w:rsidR="00D177E2">
        <w:t xml:space="preserve"> construction. Consider the case of symbolic numerical counting </w:t>
      </w:r>
      <w:r w:rsidRPr="00C4476D">
        <w:t xml:space="preserve">(for an in-depth discussion, see Malafouris, 2013, chapter 5). Symbolic numerical counting is a </w:t>
      </w:r>
      <w:r w:rsidR="006D750D" w:rsidRPr="00C4476D">
        <w:t>socio</w:t>
      </w:r>
      <w:r w:rsidRPr="00C4476D">
        <w:t>cultural</w:t>
      </w:r>
      <w:r w:rsidR="006D750D" w:rsidRPr="00C4476D">
        <w:t xml:space="preserve"> practice</w:t>
      </w:r>
      <w:r w:rsidRPr="00C4476D">
        <w:t xml:space="preserve"> by </w:t>
      </w:r>
      <w:r w:rsidR="00D177E2" w:rsidRPr="00C4476D">
        <w:t>excellence,</w:t>
      </w:r>
      <w:r w:rsidR="00D177E2">
        <w:t xml:space="preserve"> and it is grounded in artifact creation and manipulation. It took place from 7000 to 3000 </w:t>
      </w:r>
      <w:proofErr w:type="spellStart"/>
      <w:r w:rsidR="00D177E2">
        <w:t>b.C.</w:t>
      </w:r>
      <w:proofErr w:type="spellEnd"/>
      <w:r w:rsidR="00D177E2">
        <w:t xml:space="preserve"> in ancient Near Eastern civilizations</w:t>
      </w:r>
      <w:r w:rsidRPr="00C4476D">
        <w:t xml:space="preserve"> with the manipulation of clay. </w:t>
      </w:r>
      <w:r w:rsidR="004961BF" w:rsidRPr="00C4476D">
        <w:t>The first major developmental stage involved using</w:t>
      </w:r>
      <w:r w:rsidR="006D750D" w:rsidRPr="00C4476D">
        <w:t xml:space="preserve"> c</w:t>
      </w:r>
      <w:r w:rsidRPr="00C4476D">
        <w:t xml:space="preserve">lay tokens circa 4000 </w:t>
      </w:r>
      <w:proofErr w:type="spellStart"/>
      <w:r w:rsidRPr="00C4476D">
        <w:t>b.C.</w:t>
      </w:r>
      <w:proofErr w:type="spellEnd"/>
      <w:r w:rsidRPr="00C4476D">
        <w:t xml:space="preserve"> to record quantities of commodities (food, oil, grains, etc.). Later, hollow clay envelopes containing clay tokens were used</w:t>
      </w:r>
      <w:r w:rsidR="006D750D" w:rsidRPr="00C4476D">
        <w:t xml:space="preserve"> to the same end</w:t>
      </w:r>
      <w:r w:rsidRPr="00C4476D">
        <w:t xml:space="preserve">. These envelopes were impressed with said tokens on their surface in order to make the quantities and types of commodities indicated by the envelope visible from the outside. If an envelope registered three jars of oil, three signs of the oil-token were impressed on its surface. This eventually led to the creation of solid clay tablets on which tokens were impressed. Subsequently (circa 3200-3100 </w:t>
      </w:r>
      <w:proofErr w:type="spellStart"/>
      <w:r w:rsidRPr="00C4476D">
        <w:t>b.C.</w:t>
      </w:r>
      <w:proofErr w:type="spellEnd"/>
      <w:r w:rsidRPr="00C4476D">
        <w:t>) token impression on tablets was replaced by inscribing schematic icons, in which symbols were then used to indicate the quantity of commodities represented instead of a repetition of signs</w:t>
      </w:r>
      <w:r w:rsidR="00D177E2">
        <w:t>.</w:t>
      </w:r>
      <w:r w:rsidRPr="00C4476D">
        <w:t xml:space="preserve"> </w:t>
      </w:r>
    </w:p>
    <w:p w14:paraId="3FBD5880" w14:textId="293BE1E3" w:rsidR="00C96A05" w:rsidRPr="00C4476D" w:rsidRDefault="00BE153C" w:rsidP="00C96A05">
      <w:pPr>
        <w:spacing w:line="360" w:lineRule="auto"/>
        <w:ind w:firstLine="720"/>
        <w:jc w:val="both"/>
      </w:pPr>
      <w:r>
        <w:t>For our purposes, t</w:t>
      </w:r>
      <w:r w:rsidR="00041B1A">
        <w:t>he</w:t>
      </w:r>
      <w:r w:rsidR="00C96A05" w:rsidRPr="00C4476D">
        <w:t xml:space="preserve"> take-away from this </w:t>
      </w:r>
      <w:r w:rsidR="00041B1A">
        <w:t xml:space="preserve">description </w:t>
      </w:r>
      <w:r w:rsidR="00C96A05" w:rsidRPr="00C4476D">
        <w:t>is that symbolic numerical counting, which only exists in highly social</w:t>
      </w:r>
      <w:r w:rsidR="00795075">
        <w:t xml:space="preserve"> </w:t>
      </w:r>
      <w:r w:rsidR="00C96A05" w:rsidRPr="00C4476D">
        <w:t>creatures, initially took place through clay manipulation. Importantly, using clay depends on which actions humans of that time could perform (</w:t>
      </w:r>
      <w:r w:rsidR="00B9683C" w:rsidRPr="00C4476D">
        <w:t xml:space="preserve">which is a case of </w:t>
      </w:r>
      <w:r w:rsidR="00C96A05" w:rsidRPr="00C4476D">
        <w:t>‘bringing forth a world’ as enaction),</w:t>
      </w:r>
      <w:r w:rsidR="00070744">
        <w:t xml:space="preserve"> </w:t>
      </w:r>
      <w:r w:rsidR="00C96A05" w:rsidRPr="00C4476D">
        <w:t>but it also depends on using, transforming and changing environmentally available elements (‘bringing forth a world’ as niche construction), which were transferred across generations. These inheritances came with shared rules of usage which in turn allowed more complex mathematical engagements (‘bringing forth a world’ as social</w:t>
      </w:r>
      <w:r w:rsidR="000418E1">
        <w:t xml:space="preserve"> niche</w:t>
      </w:r>
      <w:r w:rsidR="00C96A05" w:rsidRPr="00C4476D">
        <w:t xml:space="preserve"> construction). At some point, markings on clay meant more than mere markings on clay, they signified instead who owes whom, or how much they own, and so forth. </w:t>
      </w:r>
    </w:p>
    <w:p w14:paraId="7A0C92E5" w14:textId="1AE842D0" w:rsidR="00EE3F42" w:rsidRPr="00C4476D" w:rsidRDefault="00C96A05" w:rsidP="00226D5A">
      <w:pPr>
        <w:spacing w:line="360" w:lineRule="auto"/>
        <w:ind w:firstLine="720"/>
        <w:jc w:val="both"/>
      </w:pPr>
      <w:r w:rsidRPr="00C4476D">
        <w:t xml:space="preserve">Notice, first, that socially based cognitive performances such as symbolic counting have material, </w:t>
      </w:r>
      <w:r w:rsidR="00226D5A" w:rsidRPr="00C4476D">
        <w:t xml:space="preserve">historical, </w:t>
      </w:r>
      <w:r w:rsidRPr="00C4476D">
        <w:t xml:space="preserve">embodied and enactive roots. We can, of course, </w:t>
      </w:r>
      <w:r w:rsidR="006D750D" w:rsidRPr="00C4476D">
        <w:t>evaluate</w:t>
      </w:r>
      <w:r w:rsidRPr="00C4476D">
        <w:t xml:space="preserve"> an exercise </w:t>
      </w:r>
      <w:r w:rsidR="000418E1">
        <w:t xml:space="preserve">of </w:t>
      </w:r>
      <w:r w:rsidR="00041B1A">
        <w:t>symbolic counting</w:t>
      </w:r>
      <w:r w:rsidRPr="00C4476D">
        <w:t xml:space="preserve"> in abstraction from these roots, but that would not tell the whole story. </w:t>
      </w:r>
      <w:r w:rsidR="00E07511" w:rsidRPr="00E07511">
        <w:lastRenderedPageBreak/>
        <w:t>Indeed, isolating this kind of cognitive performance from its phylogenetic and socially based cumulative development</w:t>
      </w:r>
      <w:r w:rsidR="00E07511">
        <w:t>s</w:t>
      </w:r>
      <w:r w:rsidR="00E07511" w:rsidRPr="00E07511">
        <w:t xml:space="preserve"> may lead us astray in theorizing about how </w:t>
      </w:r>
      <w:r w:rsidR="00E07511">
        <w:t xml:space="preserve">it </w:t>
      </w:r>
      <w:r w:rsidR="00E07511" w:rsidRPr="00E07511">
        <w:t>works, so that</w:t>
      </w:r>
      <w:r w:rsidR="00E07511">
        <w:t xml:space="preserve"> </w:t>
      </w:r>
      <w:r w:rsidR="00E07511" w:rsidRPr="00E07511">
        <w:t xml:space="preserve">actions that </w:t>
      </w:r>
      <w:r w:rsidR="00E07511">
        <w:t>appear decoupled</w:t>
      </w:r>
      <w:r w:rsidR="00E07511" w:rsidRPr="00E07511">
        <w:t xml:space="preserve"> from environmental factors </w:t>
      </w:r>
      <w:r w:rsidR="00E07511">
        <w:t>are</w:t>
      </w:r>
      <w:r w:rsidR="00E07511" w:rsidRPr="00E07511">
        <w:t xml:space="preserve"> </w:t>
      </w:r>
      <w:r w:rsidR="00E07511">
        <w:t>thus mistakenly</w:t>
      </w:r>
      <w:r w:rsidR="00E07511" w:rsidRPr="00E07511">
        <w:t xml:space="preserve"> </w:t>
      </w:r>
      <w:r w:rsidR="00E07511">
        <w:t>taken to be</w:t>
      </w:r>
      <w:r w:rsidR="00E07511" w:rsidRPr="00E07511">
        <w:t xml:space="preserve"> </w:t>
      </w:r>
      <w:r w:rsidR="00E07511">
        <w:t xml:space="preserve">exclusively </w:t>
      </w:r>
      <w:r w:rsidR="00E07511" w:rsidRPr="00E07511">
        <w:t>internal mental capacities</w:t>
      </w:r>
      <w:r w:rsidR="00E07511">
        <w:t>.</w:t>
      </w:r>
      <w:r w:rsidR="00BC4323" w:rsidRPr="00C4476D">
        <w:t> </w:t>
      </w:r>
      <w:r w:rsidRPr="00C4476D">
        <w:t>Secondly, and relatedly, each of these processes of bringing forth a world literally alter</w:t>
      </w:r>
      <w:r w:rsidR="001D4979">
        <w:t>s</w:t>
      </w:r>
      <w:r w:rsidRPr="00C4476D">
        <w:t xml:space="preserve"> the environment with which we engage, sometimes altering ourselves in open ended loops</w:t>
      </w:r>
      <w:r w:rsidR="00C05922">
        <w:t>.</w:t>
      </w:r>
      <w:r w:rsidRPr="00AE16E9">
        <w:rPr>
          <w:rStyle w:val="FootnoteReference"/>
        </w:rPr>
        <w:footnoteReference w:id="7"/>
      </w:r>
      <w:r w:rsidRPr="00C4476D">
        <w:t xml:space="preserve"> Accordingly, there is no ‘pregiven’ world, or simply ‘</w:t>
      </w:r>
      <w:r w:rsidR="001D4979">
        <w:t xml:space="preserve">the </w:t>
      </w:r>
      <w:r w:rsidRPr="00C4476D">
        <w:t xml:space="preserve">world’ </w:t>
      </w:r>
      <w:r w:rsidR="00CC14FF">
        <w:t xml:space="preserve">which serves as </w:t>
      </w:r>
      <w:r w:rsidRPr="00C4476D">
        <w:t>the ultimate ground of our experiences</w:t>
      </w:r>
      <w:r w:rsidRPr="00CC14FF">
        <w:t xml:space="preserve">. </w:t>
      </w:r>
      <w:r w:rsidR="00CC14FF" w:rsidRPr="00CC14FF">
        <w:t>Rather, t</w:t>
      </w:r>
      <w:r w:rsidRPr="00CC14FF">
        <w:t xml:space="preserve">here </w:t>
      </w:r>
      <w:r w:rsidR="00CC14FF" w:rsidRPr="00CC14FF">
        <w:t>are</w:t>
      </w:r>
      <w:r w:rsidRPr="00CC14FF">
        <w:t xml:space="preserve"> </w:t>
      </w:r>
      <w:r w:rsidR="00CC14FF" w:rsidRPr="00CC14FF">
        <w:t xml:space="preserve">many </w:t>
      </w:r>
      <w:r w:rsidRPr="00CC14FF">
        <w:t>environment</w:t>
      </w:r>
      <w:r w:rsidR="00CC14FF" w:rsidRPr="00CC14FF">
        <w:t xml:space="preserve">s surrounding and containing us, i.e., worlds continuously built by our doings and which </w:t>
      </w:r>
      <w:r w:rsidRPr="00CC14FF">
        <w:t>constrain our actions</w:t>
      </w:r>
      <w:r w:rsidR="00CC14FF" w:rsidRPr="00CC14FF">
        <w:t xml:space="preserve">, </w:t>
      </w:r>
      <w:r w:rsidRPr="00CC14FF">
        <w:t>but also offer a multitude of engagements</w:t>
      </w:r>
      <w:r w:rsidR="00CC14FF" w:rsidRPr="00CC14FF">
        <w:t>.</w:t>
      </w:r>
      <w:r w:rsidRPr="00C4476D">
        <w:t xml:space="preserve"> Consequently, we do not access portions of a pregiven world, and that is why our literal interpretation of ‘bringing forth’ avoids the epistemic </w:t>
      </w:r>
      <w:proofErr w:type="spellStart"/>
      <w:r w:rsidRPr="00C4476D">
        <w:t>perspectivalism</w:t>
      </w:r>
      <w:proofErr w:type="spellEnd"/>
      <w:r w:rsidRPr="00C4476D">
        <w:t xml:space="preserve"> that De Jesus </w:t>
      </w:r>
      <w:r w:rsidRPr="00C4476D">
        <w:fldChar w:fldCharType="begin" w:fldLock="1"/>
      </w:r>
      <w:r w:rsidR="00D93109" w:rsidRPr="00C4476D">
        <w:instrText>ADDIN CSL_CITATION {"citationItems":[{"id":"ITEM-1","itemData":{"DOI":"10.1007/s11097-018-9562-2","ISSN":"1568-7759","abstract":"According to enactivism all living systems, from single cell organisms to human beings, are ontologically endowed with some form of teleological and sense-making agency. Furthermore, enactivists maintain that: (i) there is no fixed pregiven world and as a consequence (ii) all organisms “bring forth” their own unique “worlds” through processes of sense-making. The first half of the paper takes these two ontological claims as its central focus and aims to clarify and make explicit the arguments and motivations underlying them. Our analysis here highlights three distinct but connected problems for enactivism: (i) these arguments do not and cannot guarantee that there is no pregiven world, instead, they (ii) end up generating a contradiction whereby a pregiven world seems to in fact be tacitly presupposed by virtue of (iii) a reliance on a tacit epistemic perspectivalism which is also inherently representationalist and as a consequence makes it difficult to satisfactorily account for the ontological plurality of worlds. Taking these considerations on board, the second half of the paper then aims to develop a more robust ontologically grounded enactivism. Drawing from biosemiotic enactivism, science and technology studies and anthropology, the paper aims to present an account which both rejects a pregiven world and coherently accounts for how organisms bring forth ontologically multiple worlds.","author":[{"dropping-particle":"","family":"Jesus","given":"Paulo","non-dropping-particle":"De","parse-names":false,"suffix":""}],"container-title":"Phenomenology and the Cognitive Sciences","id":"ITEM-1","issue":"5","issued":{"date-parts":[["2018","12","2"]]},"page":"861-887","publisher":"Phenomenology and the Cognitive Sciences","title":"Thinking through enactive agency: sense-making, bio-semiosis and the ontologies of organismic worlds","type":"article-journal","volume":"17"},"uris":["http://www.mendeley.com/documents/?uuid=dbf67187-c208-4caf-a344-f047b30d0e43"]}],"mendeley":{"formattedCitation":"(De Jesus, 2018)","manualFormatting":"(2018)","plainTextFormattedCitation":"(De Jesus, 2018)","previouslyFormattedCitation":"(De Jesus, 2018)"},"properties":{"noteIndex":0},"schema":"https://github.com/citation-style-language/schema/raw/master/csl-citation.json"}</w:instrText>
      </w:r>
      <w:r w:rsidRPr="00C4476D">
        <w:fldChar w:fldCharType="separate"/>
      </w:r>
      <w:r w:rsidR="00FB02E3" w:rsidRPr="00C4476D">
        <w:rPr>
          <w:noProof/>
        </w:rPr>
        <w:t>(2018)</w:t>
      </w:r>
      <w:r w:rsidRPr="00C4476D">
        <w:fldChar w:fldCharType="end"/>
      </w:r>
      <w:r w:rsidRPr="00C4476D">
        <w:t xml:space="preserve"> rightfully criticizes</w:t>
      </w:r>
      <w:r w:rsidR="00226D5A" w:rsidRPr="00C4476D">
        <w:t>—</w:t>
      </w:r>
      <w:r w:rsidR="00226D5A" w:rsidRPr="00226D5A">
        <w:t>because the</w:t>
      </w:r>
      <w:r w:rsidR="001D4979">
        <w:t xml:space="preserve"> </w:t>
      </w:r>
      <w:r w:rsidR="00C45A1F">
        <w:t>worlds</w:t>
      </w:r>
      <w:r w:rsidR="001D4979">
        <w:t xml:space="preserve"> </w:t>
      </w:r>
      <w:r w:rsidR="00226D5A" w:rsidRPr="00226D5A">
        <w:t>we bring forth</w:t>
      </w:r>
      <w:r w:rsidR="00DE25B2">
        <w:t xml:space="preserve"> </w:t>
      </w:r>
      <w:r w:rsidR="00226D5A" w:rsidRPr="00226D5A">
        <w:t xml:space="preserve">by our doings </w:t>
      </w:r>
      <w:r w:rsidR="001D4979">
        <w:t>are</w:t>
      </w:r>
      <w:r w:rsidR="00226D5A" w:rsidRPr="00226D5A">
        <w:t xml:space="preserve"> </w:t>
      </w:r>
      <w:r w:rsidR="001D4979">
        <w:t xml:space="preserve">literally </w:t>
      </w:r>
      <w:r w:rsidR="00CC14FF">
        <w:t>brought forth</w:t>
      </w:r>
      <w:r w:rsidR="00226D5A" w:rsidRPr="00226D5A">
        <w:t xml:space="preserve"> by </w:t>
      </w:r>
      <w:r w:rsidR="00C45A1F">
        <w:t>us</w:t>
      </w:r>
      <w:r w:rsidR="0028424C">
        <w:t xml:space="preserve">. This includes, </w:t>
      </w:r>
      <w:r w:rsidR="00C45A1F">
        <w:t xml:space="preserve">in our case, the </w:t>
      </w:r>
      <w:r w:rsidR="001D4979">
        <w:t xml:space="preserve">social </w:t>
      </w:r>
      <w:r w:rsidR="00C45A1F">
        <w:t>world as well</w:t>
      </w:r>
      <w:r w:rsidR="00226D5A" w:rsidRPr="00226D5A">
        <w:t xml:space="preserve">. </w:t>
      </w:r>
    </w:p>
    <w:p w14:paraId="3407E6C9" w14:textId="4DBFF1BE" w:rsidR="00A01DEE" w:rsidRDefault="00A01DEE" w:rsidP="00A01DEE">
      <w:pPr>
        <w:spacing w:line="360" w:lineRule="auto"/>
        <w:jc w:val="both"/>
      </w:pPr>
    </w:p>
    <w:p w14:paraId="57A9F764" w14:textId="6BD1935B" w:rsidR="00A01DEE" w:rsidRPr="00A01DEE" w:rsidRDefault="00A01DEE" w:rsidP="00A01DEE">
      <w:pPr>
        <w:spacing w:line="360" w:lineRule="auto"/>
        <w:jc w:val="both"/>
      </w:pPr>
      <w:r w:rsidRPr="00A01DEE">
        <w:rPr>
          <w:i/>
          <w:iCs/>
        </w:rPr>
        <w:t xml:space="preserve">3.4. </w:t>
      </w:r>
      <w:proofErr w:type="spellStart"/>
      <w:r>
        <w:rPr>
          <w:i/>
          <w:iCs/>
        </w:rPr>
        <w:t>Pregivenness</w:t>
      </w:r>
      <w:proofErr w:type="spellEnd"/>
      <w:r>
        <w:rPr>
          <w:i/>
          <w:iCs/>
        </w:rPr>
        <w:t xml:space="preserve">, </w:t>
      </w:r>
      <w:r w:rsidR="00770A79">
        <w:rPr>
          <w:i/>
          <w:iCs/>
        </w:rPr>
        <w:t>mind</w:t>
      </w:r>
      <w:r>
        <w:rPr>
          <w:i/>
          <w:iCs/>
        </w:rPr>
        <w:t>-independence and reality</w:t>
      </w:r>
    </w:p>
    <w:p w14:paraId="225C65F3" w14:textId="77777777" w:rsidR="00A01DEE" w:rsidRDefault="00A01DEE" w:rsidP="00C96A05">
      <w:pPr>
        <w:spacing w:line="360" w:lineRule="auto"/>
        <w:ind w:firstLine="720"/>
        <w:jc w:val="both"/>
      </w:pPr>
    </w:p>
    <w:p w14:paraId="44660AEC" w14:textId="3AED4423" w:rsidR="0034758E" w:rsidRDefault="00A01DEE" w:rsidP="00C96A05">
      <w:pPr>
        <w:spacing w:line="360" w:lineRule="auto"/>
        <w:ind w:firstLine="720"/>
        <w:jc w:val="both"/>
      </w:pPr>
      <w:r>
        <w:t xml:space="preserve">We follow </w:t>
      </w:r>
      <w:r w:rsidR="003A026D">
        <w:t>TEM</w:t>
      </w:r>
      <w:r>
        <w:t xml:space="preserve"> in rejecting that we </w:t>
      </w:r>
      <w:r w:rsidR="00C015EE">
        <w:t xml:space="preserve">can </w:t>
      </w:r>
      <w:r>
        <w:t xml:space="preserve">access a world </w:t>
      </w:r>
      <w:r w:rsidR="00C015EE">
        <w:t xml:space="preserve">whose properties are specified previously to </w:t>
      </w:r>
      <w:r w:rsidR="00CC14FF">
        <w:t xml:space="preserve">any </w:t>
      </w:r>
      <w:r w:rsidR="00C015EE">
        <w:t xml:space="preserve">cognitive interaction. </w:t>
      </w:r>
      <w:r w:rsidR="00C96A05" w:rsidRPr="00C4476D">
        <w:t xml:space="preserve">But this is not to say that there </w:t>
      </w:r>
      <w:r w:rsidR="00770A79">
        <w:t>is</w:t>
      </w:r>
      <w:r w:rsidR="00C96A05" w:rsidRPr="00C4476D">
        <w:t xml:space="preserve"> no real</w:t>
      </w:r>
      <w:r w:rsidR="00770A79">
        <w:t>,</w:t>
      </w:r>
      <w:r w:rsidR="00C96A05" w:rsidRPr="00C4476D">
        <w:t xml:space="preserve"> </w:t>
      </w:r>
      <w:r w:rsidR="00770A79">
        <w:t>mind</w:t>
      </w:r>
      <w:r w:rsidR="00C96A05" w:rsidRPr="00C4476D">
        <w:t xml:space="preserve">-independent </w:t>
      </w:r>
      <w:r w:rsidR="00C45A1F">
        <w:t xml:space="preserve">world </w:t>
      </w:r>
      <w:r w:rsidR="00C96A05" w:rsidRPr="00C4476D">
        <w:t xml:space="preserve">for the enactivist. Features of the environment are real, and some of their properties (say, physical ones) are </w:t>
      </w:r>
      <w:r w:rsidR="00770A79">
        <w:t>mind</w:t>
      </w:r>
      <w:r w:rsidR="00DE25B2">
        <w:t>-</w:t>
      </w:r>
      <w:r w:rsidR="00C96A05" w:rsidRPr="00C4476D">
        <w:t xml:space="preserve">independent in the sense that they would persist in the absence of human minds—even though, historically, they may have </w:t>
      </w:r>
      <w:r w:rsidR="001D4979">
        <w:t>been affected</w:t>
      </w:r>
      <w:r w:rsidR="001D4979" w:rsidRPr="00C4476D">
        <w:t xml:space="preserve"> </w:t>
      </w:r>
      <w:r w:rsidR="001D4979">
        <w:t xml:space="preserve">by </w:t>
      </w:r>
      <w:r w:rsidR="00C96A05" w:rsidRPr="00C4476D">
        <w:t xml:space="preserve">human </w:t>
      </w:r>
      <w:r w:rsidR="00C96A05" w:rsidRPr="00ED036F">
        <w:t>action</w:t>
      </w:r>
      <w:r w:rsidR="00770A79" w:rsidRPr="00ED036F">
        <w:t>s</w:t>
      </w:r>
      <w:r w:rsidR="008A0348" w:rsidRPr="00ED036F">
        <w:t xml:space="preserve"> </w:t>
      </w:r>
      <w:r w:rsidR="008A0348" w:rsidRPr="00ED036F">
        <w:fldChar w:fldCharType="begin" w:fldLock="1"/>
      </w:r>
      <w:r w:rsidR="00810F25" w:rsidRPr="00ED036F">
        <w:instrText>ADDIN CSL_CITATION {"citationItems":[{"id":"ITEM-1","itemData":{"author":[{"dropping-particle":"","family":"Lewontin","given":"Richard","non-dropping-particle":"","parse-names":false,"suffix":""}],"id":"ITEM-1","issued":{"date-parts":[["2000"]]},"publisher":"Harvard University Press","publisher-place":"Cambridge, Massachusetts","title":"The Triple Helix: Gene, Organism and Environment","type":"book"},"prefix":"see also","uris":["http://www.mendeley.com/documents/?uuid=d799696f-a3b0-4b17-a1c7-e10030ca17b2"]}],"mendeley":{"formattedCitation":"(see also Lewontin, 2000)","plainTextFormattedCitation":"(see also Lewontin, 2000)","previouslyFormattedCitation":"(see also Lewontin, 2000)"},"properties":{"noteIndex":0},"schema":"https://github.com/citation-style-language/schema/raw/master/csl-citation.json"}</w:instrText>
      </w:r>
      <w:r w:rsidR="008A0348" w:rsidRPr="00ED036F">
        <w:fldChar w:fldCharType="separate"/>
      </w:r>
      <w:r w:rsidR="008A0348" w:rsidRPr="00ED036F">
        <w:rPr>
          <w:noProof/>
        </w:rPr>
        <w:t>(see also Lewontin, 2000)</w:t>
      </w:r>
      <w:r w:rsidR="008A0348" w:rsidRPr="00ED036F">
        <w:fldChar w:fldCharType="end"/>
      </w:r>
      <w:r w:rsidR="00C96A05" w:rsidRPr="00ED036F">
        <w:t>.</w:t>
      </w:r>
      <w:r w:rsidR="00C96A05" w:rsidRPr="00C4476D">
        <w:t xml:space="preserve"> In fact, </w:t>
      </w:r>
      <w:r w:rsidR="00FD0ED1" w:rsidRPr="00C4476D">
        <w:t xml:space="preserve">nothing </w:t>
      </w:r>
      <w:r w:rsidR="00F07547">
        <w:t xml:space="preserve">forbids us from </w:t>
      </w:r>
      <w:r w:rsidR="00C96A05" w:rsidRPr="00C4476D">
        <w:t>describ</w:t>
      </w:r>
      <w:r w:rsidR="00F07547">
        <w:t>ing</w:t>
      </w:r>
      <w:r w:rsidR="000418E1">
        <w:t>, for various scientific purposes,</w:t>
      </w:r>
      <w:r w:rsidR="00F07547">
        <w:t xml:space="preserve"> </w:t>
      </w:r>
      <w:r w:rsidR="00C96A05" w:rsidRPr="00C4476D">
        <w:t xml:space="preserve">a world existing independently </w:t>
      </w:r>
      <w:r w:rsidR="00FD0ED1" w:rsidRPr="00C4476D">
        <w:t>of</w:t>
      </w:r>
      <w:r w:rsidR="00F244F3">
        <w:t xml:space="preserve"> any</w:t>
      </w:r>
      <w:r w:rsidR="00C96A05" w:rsidRPr="00C4476D">
        <w:t xml:space="preserve"> human </w:t>
      </w:r>
      <w:r w:rsidR="00770A79">
        <w:t xml:space="preserve">activity and </w:t>
      </w:r>
      <w:r w:rsidR="00C96A05" w:rsidRPr="00C4476D">
        <w:t xml:space="preserve">experience. </w:t>
      </w:r>
      <w:r w:rsidR="000418E1">
        <w:t>For instance, w</w:t>
      </w:r>
      <w:r w:rsidR="00C96A05" w:rsidRPr="00C4476D">
        <w:t>e can describe</w:t>
      </w:r>
      <w:r w:rsidR="00C96A05" w:rsidRPr="00C4476D">
        <w:rPr>
          <w:i/>
          <w:iCs/>
        </w:rPr>
        <w:t xml:space="preserve"> </w:t>
      </w:r>
      <w:r w:rsidR="00C96A05" w:rsidRPr="00C4476D">
        <w:t xml:space="preserve">the Earth as an astronomical object subject only to physical forces, with no </w:t>
      </w:r>
      <w:r w:rsidR="008717B6" w:rsidRPr="00C4476D">
        <w:t xml:space="preserve">explicit </w:t>
      </w:r>
      <w:r w:rsidR="00C96A05" w:rsidRPr="00C4476D">
        <w:t>mention of human</w:t>
      </w:r>
      <w:r w:rsidR="00770A79">
        <w:t xml:space="preserve">ity </w:t>
      </w:r>
      <w:r w:rsidR="00C96A05" w:rsidRPr="00C4476D">
        <w:t>at all. And, insofar as these descriptions are proven fruitful, we can accept them as true. Earth</w:t>
      </w:r>
      <w:r w:rsidR="00770A79">
        <w:t xml:space="preserve"> conceived</w:t>
      </w:r>
      <w:r w:rsidR="00C96A05" w:rsidRPr="00C4476D">
        <w:t xml:space="preserve"> as an astronomical body is </w:t>
      </w:r>
      <w:r w:rsidR="007E6480">
        <w:t>mind</w:t>
      </w:r>
      <w:r w:rsidR="00C96A05" w:rsidRPr="00C4476D">
        <w:t>-independent</w:t>
      </w:r>
      <w:r w:rsidR="007E6480">
        <w:t xml:space="preserve"> in that sense</w:t>
      </w:r>
      <w:r w:rsidR="00C96A05" w:rsidRPr="00C4476D">
        <w:t xml:space="preserve">, but it is not the </w:t>
      </w:r>
      <w:r w:rsidR="00C015EE">
        <w:t>world</w:t>
      </w:r>
      <w:r w:rsidR="00C96A05" w:rsidRPr="00C4476D">
        <w:t xml:space="preserve"> we</w:t>
      </w:r>
      <w:r w:rsidR="00226D5A" w:rsidRPr="00C4476D">
        <w:t xml:space="preserve"> directly</w:t>
      </w:r>
      <w:r w:rsidR="00C96A05" w:rsidRPr="00C4476D">
        <w:t xml:space="preserve"> engage with</w:t>
      </w:r>
      <w:r w:rsidR="001420C4" w:rsidRPr="00C4476D">
        <w:t xml:space="preserve">, it is not </w:t>
      </w:r>
      <w:r w:rsidR="00770A79">
        <w:t>a lived world</w:t>
      </w:r>
      <w:r w:rsidR="001420C4" w:rsidRPr="00C4476D">
        <w:t xml:space="preserve">. </w:t>
      </w:r>
      <w:r w:rsidR="002504D7">
        <w:t>And despite its mind-independence</w:t>
      </w:r>
      <w:r w:rsidR="00B9683C" w:rsidRPr="00C4476D">
        <w:t>,</w:t>
      </w:r>
      <w:r w:rsidR="001420C4" w:rsidRPr="00C4476D">
        <w:t xml:space="preserve"> </w:t>
      </w:r>
      <w:r w:rsidR="00C96A05" w:rsidRPr="00C4476D">
        <w:t>it is not</w:t>
      </w:r>
      <w:r w:rsidR="00550079">
        <w:t xml:space="preserve"> pregiven</w:t>
      </w:r>
      <w:r w:rsidR="001420C4" w:rsidRPr="00C4476D">
        <w:t>—</w:t>
      </w:r>
      <w:r w:rsidR="00C96A05" w:rsidRPr="00C4476D">
        <w:t xml:space="preserve">after all, </w:t>
      </w:r>
      <w:r w:rsidR="00550079">
        <w:t xml:space="preserve">it is </w:t>
      </w:r>
      <w:r w:rsidR="00C96A05" w:rsidRPr="00C4476D">
        <w:t xml:space="preserve">described through the laws of a </w:t>
      </w:r>
      <w:r w:rsidR="00C96A05" w:rsidRPr="00C4476D">
        <w:rPr>
          <w:i/>
          <w:iCs/>
        </w:rPr>
        <w:t xml:space="preserve">human </w:t>
      </w:r>
      <w:r w:rsidR="00C96A05" w:rsidRPr="00C4476D">
        <w:t>made discipline</w:t>
      </w:r>
      <w:r w:rsidR="00B9683C" w:rsidRPr="00C4476D">
        <w:t xml:space="preserve">, which </w:t>
      </w:r>
      <w:r w:rsidR="00C015EE">
        <w:t>is cumulatively brought forth by</w:t>
      </w:r>
      <w:r w:rsidR="00B9683C" w:rsidRPr="00C4476D">
        <w:t xml:space="preserve"> many </w:t>
      </w:r>
      <w:r w:rsidR="00C015EE">
        <w:t>before us</w:t>
      </w:r>
      <w:r w:rsidR="00C96A05" w:rsidRPr="00C4476D">
        <w:t>.</w:t>
      </w:r>
      <w:r w:rsidR="007E6480">
        <w:t xml:space="preserve"> </w:t>
      </w:r>
    </w:p>
    <w:p w14:paraId="779618B7" w14:textId="3878876B" w:rsidR="00452D37" w:rsidRPr="00452D37" w:rsidRDefault="00452D37" w:rsidP="00452D37">
      <w:pPr>
        <w:spacing w:line="360" w:lineRule="auto"/>
        <w:ind w:firstLine="720"/>
        <w:jc w:val="both"/>
      </w:pPr>
      <w:r>
        <w:lastRenderedPageBreak/>
        <w:t xml:space="preserve">Notice that, if we </w:t>
      </w:r>
      <w:r w:rsidR="00550079" w:rsidRPr="00550079">
        <w:t>come to</w:t>
      </w:r>
      <w:r>
        <w:rPr>
          <w:i/>
          <w:iCs/>
        </w:rPr>
        <w:t xml:space="preserve"> </w:t>
      </w:r>
      <w:r>
        <w:t xml:space="preserve">engage with things that </w:t>
      </w:r>
      <w:r w:rsidR="00550079">
        <w:t>were</w:t>
      </w:r>
      <w:r>
        <w:t xml:space="preserve"> hitherto beyond our </w:t>
      </w:r>
      <w:r w:rsidR="00F244F3">
        <w:t>reach</w:t>
      </w:r>
      <w:r>
        <w:t xml:space="preserve">, they </w:t>
      </w:r>
      <w:r w:rsidR="00550079">
        <w:t xml:space="preserve">do </w:t>
      </w:r>
      <w:r>
        <w:t xml:space="preserve">become part of our environment. Consider another astronomical example: the </w:t>
      </w:r>
      <w:r w:rsidR="00433FC9">
        <w:t>first Moon</w:t>
      </w:r>
      <w:r>
        <w:t xml:space="preserve"> landing by </w:t>
      </w:r>
      <w:r w:rsidR="00433FC9">
        <w:t>the crew</w:t>
      </w:r>
      <w:r>
        <w:t xml:space="preserve"> of the Apollo </w:t>
      </w:r>
      <w:r w:rsidR="00433FC9">
        <w:t>11</w:t>
      </w:r>
      <w:r w:rsidR="000418E1">
        <w:t xml:space="preserve"> mission</w:t>
      </w:r>
      <w:r>
        <w:t xml:space="preserve">. </w:t>
      </w:r>
      <w:r w:rsidR="00550079">
        <w:t>T</w:t>
      </w:r>
      <w:r>
        <w:t xml:space="preserve">he </w:t>
      </w:r>
      <w:r w:rsidR="00433FC9">
        <w:t>astronauts</w:t>
      </w:r>
      <w:r>
        <w:t xml:space="preserve"> </w:t>
      </w:r>
      <w:r w:rsidR="00550079">
        <w:t xml:space="preserve">did </w:t>
      </w:r>
      <w:r>
        <w:t>br</w:t>
      </w:r>
      <w:r w:rsidR="00550079">
        <w:t>ing</w:t>
      </w:r>
      <w:r>
        <w:t xml:space="preserve"> forth a new environment</w:t>
      </w:r>
      <w:r w:rsidR="00433FC9">
        <w:t xml:space="preserve"> by landing on the Moon</w:t>
      </w:r>
      <w:r>
        <w:t>—</w:t>
      </w:r>
      <w:r w:rsidR="00F244F3">
        <w:t>which</w:t>
      </w:r>
      <w:r w:rsidR="00433FC9">
        <w:t xml:space="preserve"> obviously</w:t>
      </w:r>
      <w:r w:rsidR="00F244F3">
        <w:t xml:space="preserve"> is</w:t>
      </w:r>
      <w:r w:rsidR="00550079">
        <w:t xml:space="preserve"> not to say</w:t>
      </w:r>
      <w:r w:rsidRPr="00452D37">
        <w:t xml:space="preserve"> that </w:t>
      </w:r>
      <w:r w:rsidR="00550079">
        <w:t>they</w:t>
      </w:r>
      <w:r w:rsidRPr="00452D37">
        <w:t xml:space="preserve"> </w:t>
      </w:r>
      <w:r w:rsidR="002504D7">
        <w:t xml:space="preserve">have </w:t>
      </w:r>
      <w:r w:rsidRPr="00452D37">
        <w:t xml:space="preserve">built a celestial body. </w:t>
      </w:r>
      <w:r w:rsidR="00550079">
        <w:t>But</w:t>
      </w:r>
      <w:r w:rsidRPr="00452D37">
        <w:t xml:space="preserve"> the fact that the Moon </w:t>
      </w:r>
      <w:r w:rsidR="00F244F3">
        <w:t>is since then</w:t>
      </w:r>
      <w:r w:rsidR="00550079">
        <w:t xml:space="preserve"> available </w:t>
      </w:r>
      <w:r w:rsidRPr="00452D37">
        <w:t>to direct, hands-on investigation</w:t>
      </w:r>
      <w:r w:rsidR="00CC14FF">
        <w:t xml:space="preserve"> and</w:t>
      </w:r>
      <w:r w:rsidRPr="00452D37">
        <w:t xml:space="preserve"> the </w:t>
      </w:r>
      <w:r w:rsidR="00550079">
        <w:t>socio-</w:t>
      </w:r>
      <w:r w:rsidRPr="00452D37">
        <w:t xml:space="preserve">political </w:t>
      </w:r>
      <w:r w:rsidR="00CC14FF">
        <w:t>consequences</w:t>
      </w:r>
      <w:r w:rsidRPr="00452D37">
        <w:t xml:space="preserve"> </w:t>
      </w:r>
      <w:r w:rsidR="00CC14FF">
        <w:t>of</w:t>
      </w:r>
      <w:r w:rsidR="00F244F3">
        <w:t xml:space="preserve"> </w:t>
      </w:r>
      <w:r w:rsidRPr="00452D37">
        <w:t>the space race</w:t>
      </w:r>
      <w:r w:rsidR="00550079">
        <w:t xml:space="preserve"> show that the </w:t>
      </w:r>
      <w:r w:rsidRPr="00452D37">
        <w:t xml:space="preserve">Moon </w:t>
      </w:r>
      <w:r w:rsidR="00F244F3">
        <w:t>became</w:t>
      </w:r>
      <w:r w:rsidR="00550079">
        <w:t xml:space="preserve"> part of </w:t>
      </w:r>
      <w:r w:rsidR="00F244F3">
        <w:t>our lived world in a new way</w:t>
      </w:r>
      <w:r w:rsidRPr="00452D37">
        <w:t xml:space="preserve">. </w:t>
      </w:r>
      <w:r w:rsidR="00550079">
        <w:t>After all, the</w:t>
      </w:r>
      <w:r w:rsidRPr="00452D37">
        <w:t xml:space="preserve"> lunar environment </w:t>
      </w:r>
      <w:r w:rsidRPr="00452D37">
        <w:rPr>
          <w:i/>
          <w:iCs/>
        </w:rPr>
        <w:t xml:space="preserve">was </w:t>
      </w:r>
      <w:r w:rsidRPr="00452D37">
        <w:t>altered</w:t>
      </w:r>
      <w:r>
        <w:t xml:space="preserve"> after the Apollo 11 landing</w:t>
      </w:r>
      <w:r w:rsidRPr="00452D37">
        <w:t xml:space="preserve">. </w:t>
      </w:r>
      <w:r w:rsidR="00550079">
        <w:t>To begin with, t</w:t>
      </w:r>
      <w:r w:rsidRPr="00452D37">
        <w:t>here are footprints and a flag.</w:t>
      </w:r>
      <w:r w:rsidR="00F244F3">
        <w:t xml:space="preserve"> A</w:t>
      </w:r>
      <w:r w:rsidR="00F244F3" w:rsidRPr="00452D37">
        <w:t>nd, due to</w:t>
      </w:r>
      <w:r w:rsidR="00F244F3">
        <w:t xml:space="preserve"> the</w:t>
      </w:r>
      <w:r w:rsidR="00F244F3" w:rsidRPr="00452D37">
        <w:t xml:space="preserve"> </w:t>
      </w:r>
      <w:r w:rsidR="00F244F3">
        <w:t xml:space="preserve">many </w:t>
      </w:r>
      <w:r w:rsidR="00F244F3" w:rsidRPr="00452D37">
        <w:t>missions</w:t>
      </w:r>
      <w:r w:rsidR="00F244F3">
        <w:t xml:space="preserve"> that happened</w:t>
      </w:r>
      <w:r w:rsidR="00F244F3" w:rsidRPr="00452D37">
        <w:t xml:space="preserve"> after </w:t>
      </w:r>
      <w:r w:rsidR="00F244F3">
        <w:t>1969</w:t>
      </w:r>
      <w:r w:rsidR="00F244F3" w:rsidRPr="00452D37">
        <w:t xml:space="preserve">, </w:t>
      </w:r>
      <w:r w:rsidR="00F244F3">
        <w:t xml:space="preserve">at times it also contained human beings </w:t>
      </w:r>
      <w:r w:rsidR="000418E1">
        <w:t>in</w:t>
      </w:r>
      <w:r w:rsidR="00F244F3">
        <w:t xml:space="preserve"> their space suits, </w:t>
      </w:r>
      <w:r w:rsidR="000418E1">
        <w:t xml:space="preserve">lunar </w:t>
      </w:r>
      <w:r w:rsidR="00F244F3" w:rsidRPr="00452D37">
        <w:t>rovers, space crafts and debris from failed missions and crashes.</w:t>
      </w:r>
      <w:r w:rsidRPr="00452D37">
        <w:t xml:space="preserve"> </w:t>
      </w:r>
      <w:r w:rsidR="00550079">
        <w:t>Naturally, t</w:t>
      </w:r>
      <w:r>
        <w:t>h</w:t>
      </w:r>
      <w:r w:rsidR="00550079">
        <w:t>at</w:t>
      </w:r>
      <w:r w:rsidRPr="00452D37">
        <w:t xml:space="preserve"> is a far cry from the way </w:t>
      </w:r>
      <w:r>
        <w:t>humans</w:t>
      </w:r>
      <w:r w:rsidRPr="00452D37">
        <w:t xml:space="preserve"> altered the Earth</w:t>
      </w:r>
      <w:r w:rsidR="00F244F3">
        <w:t xml:space="preserve"> (and continue to do so)</w:t>
      </w:r>
      <w:r w:rsidRPr="00452D37">
        <w:t xml:space="preserve">, </w:t>
      </w:r>
      <w:r w:rsidR="00550079">
        <w:t xml:space="preserve">but </w:t>
      </w:r>
      <w:r w:rsidRPr="00452D37">
        <w:t>the Moon has traces of human action</w:t>
      </w:r>
      <w:r w:rsidR="00550079">
        <w:t xml:space="preserve"> on </w:t>
      </w:r>
      <w:proofErr w:type="gramStart"/>
      <w:r w:rsidR="00550079">
        <w:t>it</w:t>
      </w:r>
      <w:proofErr w:type="gramEnd"/>
      <w:r w:rsidR="00F244F3">
        <w:t xml:space="preserve"> nonetheless</w:t>
      </w:r>
      <w:r w:rsidRPr="00452D37">
        <w:t>.</w:t>
      </w:r>
      <w:r w:rsidR="00F63D03">
        <w:t xml:space="preserve"> </w:t>
      </w:r>
      <w:r w:rsidR="00F244F3">
        <w:t>It became part (albeit an extremely marginal one) of our lived world</w:t>
      </w:r>
      <w:r w:rsidR="00B8244B">
        <w:t xml:space="preserve"> in a new way</w:t>
      </w:r>
      <w:r w:rsidR="00F244F3">
        <w:t>.</w:t>
      </w:r>
    </w:p>
    <w:p w14:paraId="26028F0A" w14:textId="38F62527" w:rsidR="0034758E" w:rsidRDefault="007E6480" w:rsidP="00C96A05">
      <w:pPr>
        <w:spacing w:line="360" w:lineRule="auto"/>
        <w:ind w:firstLine="720"/>
        <w:jc w:val="both"/>
      </w:pPr>
      <w:r>
        <w:t xml:space="preserve">As for reality, it is clear that the worlds we bring forth are real, tangibly real, even if their reality is codetermined with our actions. </w:t>
      </w:r>
      <w:r w:rsidR="0034758E">
        <w:t xml:space="preserve">In fact, the idea of codetermination allows us to happily </w:t>
      </w:r>
      <w:r w:rsidR="00452D37">
        <w:t>dismiss</w:t>
      </w:r>
      <w:r w:rsidR="0034758E">
        <w:t xml:space="preserve"> familiar skeptical worries</w:t>
      </w:r>
      <w:r w:rsidR="00B8244B">
        <w:t xml:space="preserve"> about the reality of the world</w:t>
      </w:r>
      <w:r w:rsidR="0034758E">
        <w:t xml:space="preserve">. For, if organism and environment are codetermined, and if the organism’s actions are unquestionably real, then there is no ground to </w:t>
      </w:r>
      <w:r w:rsidR="00F244F3">
        <w:t xml:space="preserve">put into question </w:t>
      </w:r>
      <w:r w:rsidR="0034758E">
        <w:t>the reality of our lived world.</w:t>
      </w:r>
      <w:r w:rsidR="00D7253A" w:rsidRPr="00AE16E9">
        <w:rPr>
          <w:rStyle w:val="FootnoteReference"/>
        </w:rPr>
        <w:footnoteReference w:id="8"/>
      </w:r>
      <w:r w:rsidR="0034758E">
        <w:t xml:space="preserve"> </w:t>
      </w:r>
      <w:r w:rsidR="00550079">
        <w:t>This goes to show that reality is not an issue for the enactivist, even if it is codetermined by us.</w:t>
      </w:r>
      <w:r w:rsidR="008B4D83">
        <w:t xml:space="preserve"> </w:t>
      </w:r>
      <w:r w:rsidR="0034758E">
        <w:t xml:space="preserve"> </w:t>
      </w:r>
    </w:p>
    <w:p w14:paraId="30E802EB" w14:textId="0415EE32" w:rsidR="000418E1" w:rsidRPr="000418E1" w:rsidRDefault="000418E1" w:rsidP="000418E1">
      <w:pPr>
        <w:spacing w:line="360" w:lineRule="auto"/>
        <w:ind w:firstLine="720"/>
        <w:jc w:val="both"/>
      </w:pPr>
      <w:r w:rsidRPr="000418E1">
        <w:t xml:space="preserve">Therefore, we must be careful to distinguish ‘pregiven world’, which is an epistemological </w:t>
      </w:r>
      <w:r w:rsidRPr="00ED036F">
        <w:t xml:space="preserve">notion in </w:t>
      </w:r>
      <w:r w:rsidR="003A026D" w:rsidRPr="00ED036F">
        <w:t>TEM’s</w:t>
      </w:r>
      <w:r w:rsidRPr="00ED036F">
        <w:t xml:space="preserve"> usag</w:t>
      </w:r>
      <w:r w:rsidRPr="000418E1">
        <w:t xml:space="preserve">e, from ‘mind-independent’ and ‘real’, which are metaphysical categories. We have no qualms about the idea of there being a mind-independent reality, for it does not entail a pregiven world. Alternatively: rejecting epistemological realism does not imply rejecting all sorts of metaphysical realism. To say that certain things (structures, relations, what have you) exist is not to say that their features are specified independently of our engagements with them. And yet, they are real. Some of them are engageable for us, which makes them part of our environment, and some are not. </w:t>
      </w:r>
      <w:r w:rsidR="000D3814">
        <w:t>A l</w:t>
      </w:r>
      <w:r w:rsidRPr="000418E1">
        <w:t>iteral construal of what it means to bring forth a world, therefore, offers a viable epistemological alternative to realism and idealism alike, for cognition essentially depends upon the organisms</w:t>
      </w:r>
      <w:r w:rsidR="000D3814">
        <w:t>’</w:t>
      </w:r>
      <w:r w:rsidRPr="000418E1">
        <w:t xml:space="preserve"> doings, and these, in turn, shape its environment. For those very reasons, this view is perhaps more clearly not an idealist </w:t>
      </w:r>
      <w:r w:rsidRPr="000418E1">
        <w:lastRenderedPageBreak/>
        <w:t>one: although cognition emerges in autonomous systems, their autonomy is historically co</w:t>
      </w:r>
      <w:r w:rsidR="000D3814">
        <w:t>-</w:t>
      </w:r>
      <w:r w:rsidRPr="000418E1">
        <w:t>specified with their environments, and not something that happens entirely on the organism</w:t>
      </w:r>
      <w:r w:rsidR="0028424C">
        <w:t>’</w:t>
      </w:r>
      <w:r w:rsidRPr="000418E1">
        <w:t>s side.</w:t>
      </w:r>
    </w:p>
    <w:p w14:paraId="4FC4B269" w14:textId="565BD76D" w:rsidR="000418E1" w:rsidRPr="000418E1" w:rsidRDefault="000418E1" w:rsidP="000418E1">
      <w:pPr>
        <w:spacing w:line="360" w:lineRule="auto"/>
        <w:ind w:firstLine="720"/>
        <w:jc w:val="both"/>
      </w:pPr>
      <w:r w:rsidRPr="000418E1">
        <w:t xml:space="preserve">When it comes to the </w:t>
      </w:r>
      <w:r w:rsidRPr="000418E1">
        <w:rPr>
          <w:i/>
          <w:iCs/>
        </w:rPr>
        <w:t xml:space="preserve">metaphysical </w:t>
      </w:r>
      <w:r w:rsidRPr="000418E1">
        <w:t>dispute between realism and idealism—about whether an independent reality exists—, our view may be seen to lie closer to realism. For it accepts the existence of a mind-independent reality. But it is crucial to note that, if reality is historically codetermined with ourselves and with many other creatures, it does not exist apart from us. To say, for instance, that reality would persist if we (and all other living beings) were to disappear does not mitigate the fact that, up to now at least, reality is heavily shaped by our doings. This is why TEM</w:t>
      </w:r>
      <w:r w:rsidR="0028424C">
        <w:t>’</w:t>
      </w:r>
      <w:r w:rsidRPr="000418E1">
        <w:t xml:space="preserve">s position about the metaphysical dispute can be cast in terms of a redefined realism: it </w:t>
      </w:r>
      <w:r w:rsidR="00513E0A" w:rsidRPr="000418E1">
        <w:t>eschews</w:t>
      </w:r>
      <w:r w:rsidRPr="000418E1">
        <w:t xml:space="preserve"> idealism because reality is not something inside the individual's mind. But it is not the case that there is a reality </w:t>
      </w:r>
      <w:r w:rsidRPr="000418E1">
        <w:rPr>
          <w:i/>
          <w:iCs/>
        </w:rPr>
        <w:t>out there</w:t>
      </w:r>
      <w:r w:rsidRPr="000418E1">
        <w:t xml:space="preserve"> (as some realists would see it). Instead, we are part of a reality which is brought forth in relation to ourselves and to things other than ourselves</w:t>
      </w:r>
      <w:r w:rsidR="000D3814">
        <w:t>.</w:t>
      </w:r>
      <w:r w:rsidR="000D3814" w:rsidRPr="00AE16E9">
        <w:rPr>
          <w:rStyle w:val="FootnoteReference"/>
        </w:rPr>
        <w:footnoteReference w:id="9"/>
      </w:r>
    </w:p>
    <w:p w14:paraId="5221C4FC" w14:textId="3B55DCDB" w:rsidR="00A623D4" w:rsidRPr="00C4476D" w:rsidRDefault="00A623D4" w:rsidP="00A623D4">
      <w:pPr>
        <w:spacing w:line="360" w:lineRule="auto"/>
        <w:ind w:firstLine="720"/>
        <w:jc w:val="both"/>
      </w:pPr>
      <w:r w:rsidRPr="00C4476D">
        <w:t xml:space="preserve">Crippen </w:t>
      </w:r>
      <w:r w:rsidRPr="00C4476D">
        <w:fldChar w:fldCharType="begin" w:fldLock="1"/>
      </w:r>
      <w:r>
        <w:instrText>ADDIN CSL_CITATION {"citationItems":[{"id":"ITEM-1","itemData":{"DOI":"10.3389/fpsyg.2020.538644","ISSN":"16641078","abstract":"A widely cited roadblock to bridging ecological psychology and enactivism is that the former identifies with realism and the latter identifies with constructivism, which critics charge is subjectivist. A pragmatic reading, however, suggests non-mental forms of constructivism that simultaneously fit core tenets of enactivism and ecological realism. After advancing a pragmatic version of enactive constructivism that does not obviate realism, I reinforce the position with an empirical illustration: Physarum polycephalum, a communal unicellular organism that leaves slime trails that form chemical barriers that it avoids in foraging explorations. Here, environmental building and sensorimotor engagement are part of the same process with P. polycephalum coordinating around self-created, affordance-bearing geographies, which nonetheless exist independently in ways described by ecological realists. For ecological psychologists, affordances are values, meaning values are external to the perceiver. I argue that agent-enacted values have the same status and thus do not obviate ecological realism or generate subjectivism. The constructivist-realist debate organizes around the emphasis that enactivists and ecological theorists respectively place on the inner constitution of organisms vs. the structure of environments. Building on alimentary themes introduced in the P. polycephalum example and also in Gibson’s work, I go on to consider how environment, brain, visceral systems, and even bacteria within them enter perceptual loops. This highlights almost unfathomable degrees of mutually modulating internal and external synchronization. It also shows instances in which internal conditions alter worldly configurations and invert values, in Gibson’s sense of the term, albeit without implying subjectivism. My aim is to cut across the somatic focus of enactive constructivism and the external environment-oriented emphasis of ecological realism and show that enactivism can enrich ecological accounts of value.","author":[{"dropping-particle":"","family":"Crippen","given":"Matthew","non-dropping-particle":"","parse-names":false,"suffix":""}],"container-title":"Frontiers in Psychology","id":"ITEM-1","issue":"October","issued":{"date-parts":[["2020"]]},"page":"203-204","title":"Enactive Pragmatism and Ecological Psychology","type":"article-journal","volume":"11"},"uris":["http://www.mendeley.com/documents/?uuid=02570a12-a200-414f-b984-88a6087e8ea0"]}],"mendeley":{"formattedCitation":"(Crippen, 2020)","manualFormatting":"(2020)","plainTextFormattedCitation":"(Crippen, 2020)","previouslyFormattedCitation":"(Crippen, 2020)"},"properties":{"noteIndex":0},"schema":"https://github.com/citation-style-language/schema/raw/master/csl-citation.json"}</w:instrText>
      </w:r>
      <w:r w:rsidRPr="00C4476D">
        <w:fldChar w:fldCharType="separate"/>
      </w:r>
      <w:r w:rsidRPr="001B3EE9">
        <w:rPr>
          <w:noProof/>
        </w:rPr>
        <w:t>(2020)</w:t>
      </w:r>
      <w:r w:rsidRPr="00C4476D">
        <w:fldChar w:fldCharType="end"/>
      </w:r>
      <w:r w:rsidRPr="00C4476D">
        <w:t xml:space="preserve"> </w:t>
      </w:r>
      <w:r w:rsidR="007E6480">
        <w:t>makes a similar point</w:t>
      </w:r>
      <w:r w:rsidRPr="00C4476D">
        <w:t xml:space="preserve"> </w:t>
      </w:r>
      <w:r>
        <w:t>in arguing for</w:t>
      </w:r>
      <w:r w:rsidRPr="00C4476D">
        <w:t xml:space="preserve"> the compatibility between enactivism and ecological psychology</w:t>
      </w:r>
      <w:r>
        <w:t>.</w:t>
      </w:r>
      <w:r w:rsidRPr="00AE16E9">
        <w:rPr>
          <w:rStyle w:val="FootnoteReference"/>
        </w:rPr>
        <w:footnoteReference w:id="10"/>
      </w:r>
      <w:r w:rsidR="003039CE">
        <w:t xml:space="preserve"> </w:t>
      </w:r>
      <w:r>
        <w:t>Crippen claims that enactivists inherited John Dewey’s constructivism, which is not</w:t>
      </w:r>
      <w:r w:rsidRPr="00C4476D">
        <w:t xml:space="preserve"> subjective or internal in any way</w:t>
      </w:r>
      <w:r>
        <w:t>. It</w:t>
      </w:r>
      <w:r w:rsidRPr="00C4476D">
        <w:t xml:space="preserve"> refers instead to how </w:t>
      </w:r>
      <w:r w:rsidR="00F63D03">
        <w:t>one’s</w:t>
      </w:r>
      <w:r w:rsidRPr="00C4476D">
        <w:t xml:space="preserve"> actions necessarily alter how the environment is displayed. Accordingly, enactivism is committed to a kind of constructivism that does not obviate realism </w:t>
      </w:r>
      <w:r w:rsidR="00C015EE">
        <w:t xml:space="preserve">as it is </w:t>
      </w:r>
      <w:r w:rsidRPr="00C4476D">
        <w:t xml:space="preserve">advanced by the ecological approach. In discussing how </w:t>
      </w:r>
      <w:proofErr w:type="spellStart"/>
      <w:r w:rsidRPr="00C4476D">
        <w:rPr>
          <w:i/>
          <w:iCs/>
        </w:rPr>
        <w:t>Physarum</w:t>
      </w:r>
      <w:proofErr w:type="spellEnd"/>
      <w:r w:rsidRPr="00C4476D">
        <w:rPr>
          <w:i/>
          <w:iCs/>
        </w:rPr>
        <w:t xml:space="preserve"> </w:t>
      </w:r>
      <w:proofErr w:type="spellStart"/>
      <w:r w:rsidRPr="00C4476D">
        <w:rPr>
          <w:i/>
          <w:iCs/>
        </w:rPr>
        <w:t>polycephalum</w:t>
      </w:r>
      <w:proofErr w:type="spellEnd"/>
      <w:r w:rsidRPr="00C4476D">
        <w:t xml:space="preserve"> (a variety of slime mold) picks up chemical information in its environment by locomotion and secretion of non-living slime</w:t>
      </w:r>
      <w:r>
        <w:t>—</w:t>
      </w:r>
      <w:r w:rsidRPr="00C4476D">
        <w:t xml:space="preserve">which functions as a </w:t>
      </w:r>
      <w:proofErr w:type="spellStart"/>
      <w:r>
        <w:t>repeller</w:t>
      </w:r>
      <w:proofErr w:type="spellEnd"/>
      <w:r>
        <w:t xml:space="preserve"> for</w:t>
      </w:r>
      <w:r w:rsidRPr="00C4476D">
        <w:t xml:space="preserve"> future behavior</w:t>
      </w:r>
      <w:r>
        <w:t xml:space="preserve">—, </w:t>
      </w:r>
      <w:r w:rsidRPr="00C4476D">
        <w:t>Crippen comes close to our description of how living beings bring forth their worlds. He writes: ‘[t]</w:t>
      </w:r>
      <w:proofErr w:type="spellStart"/>
      <w:r w:rsidRPr="00C4476D">
        <w:t>hese</w:t>
      </w:r>
      <w:proofErr w:type="spellEnd"/>
      <w:r w:rsidRPr="00C4476D">
        <w:t xml:space="preserve"> creatures, then, actively shape perceptually and cognitively available, value-laden environments.</w:t>
      </w:r>
      <w:r w:rsidRPr="00C4476D">
        <w:rPr>
          <w:rFonts w:ascii="Helvetica" w:hAnsi="Helvetica" w:cs="Helvetica"/>
          <w:color w:val="000000"/>
        </w:rPr>
        <w:t xml:space="preserve"> </w:t>
      </w:r>
      <w:r w:rsidRPr="00C4476D">
        <w:t xml:space="preserve">They do this </w:t>
      </w:r>
      <w:r w:rsidRPr="00C4476D">
        <w:lastRenderedPageBreak/>
        <w:t xml:space="preserve">by laying down openings and closures for movement – in other words, affordances – which scaffold their behavior and delineate their worlds’. And ‘the constructed chemical geographies and indeed affordances retain independent existence in the same sense that furniture in an empty room does’ (ibid., p. 5-6). </w:t>
      </w:r>
      <w:r>
        <w:t>The slime mold literally lays down a path in crawling</w:t>
      </w:r>
      <w:r w:rsidR="000D3814">
        <w:t>, to paraphrase from TEM.</w:t>
      </w:r>
    </w:p>
    <w:p w14:paraId="748ED97A" w14:textId="5DBA68C6" w:rsidR="00A623D4" w:rsidRPr="00C4476D" w:rsidRDefault="00A623D4" w:rsidP="00A623D4">
      <w:pPr>
        <w:spacing w:line="360" w:lineRule="auto"/>
        <w:ind w:firstLine="720"/>
        <w:jc w:val="both"/>
      </w:pPr>
      <w:r w:rsidRPr="00C4476D">
        <w:t xml:space="preserve">Importantly, Crippen takes realism to be the view that ‘properties exist independently of agents, so that wood is smooth or sinewy regardless of whether human fingers caress </w:t>
      </w:r>
      <w:proofErr w:type="gramStart"/>
      <w:r w:rsidRPr="00C4476D">
        <w:t>it</w:t>
      </w:r>
      <w:proofErr w:type="gramEnd"/>
      <w:r w:rsidRPr="00C4476D">
        <w:t xml:space="preserve"> or cat claws dig into it’ (2020, p. 3). </w:t>
      </w:r>
      <w:r>
        <w:t xml:space="preserve">Notice that his idea of </w:t>
      </w:r>
      <w:r w:rsidR="001D21A1">
        <w:t>an “</w:t>
      </w:r>
      <w:r>
        <w:t>agent-independen</w:t>
      </w:r>
      <w:r w:rsidR="001D21A1">
        <w:t xml:space="preserve">t” </w:t>
      </w:r>
      <w:r>
        <w:t xml:space="preserve">existence is </w:t>
      </w:r>
      <w:r w:rsidR="000D3814">
        <w:t xml:space="preserve">compatible with ours only if taken in a </w:t>
      </w:r>
      <w:r>
        <w:t>very punctual</w:t>
      </w:r>
      <w:r w:rsidR="000D3814">
        <w:t xml:space="preserve"> sense</w:t>
      </w:r>
      <w:r>
        <w:t>. To take Crippen’s example, wood</w:t>
      </w:r>
      <w:r w:rsidR="00F63D03">
        <w:t>en</w:t>
      </w:r>
      <w:r w:rsidR="007E6480">
        <w:t xml:space="preserve"> objects—say, chair</w:t>
      </w:r>
      <w:r w:rsidR="000D3814">
        <w:t>s</w:t>
      </w:r>
      <w:r w:rsidR="007E6480">
        <w:t xml:space="preserve"> in the next room—obviously exist independently from our continuous interaction</w:t>
      </w:r>
      <w:r w:rsidR="000D3814">
        <w:t xml:space="preserve"> with them</w:t>
      </w:r>
      <w:r w:rsidR="007E6480">
        <w:t xml:space="preserve">. If you leave the room, </w:t>
      </w:r>
      <w:r w:rsidR="000D3814">
        <w:t>the chairs</w:t>
      </w:r>
      <w:r w:rsidR="007E6480">
        <w:t xml:space="preserve"> will still be there. But wood,</w:t>
      </w:r>
      <w:r>
        <w:t xml:space="preserve"> be it processed or in its natural form, </w:t>
      </w:r>
      <w:r w:rsidR="007E6480">
        <w:t>dep</w:t>
      </w:r>
      <w:r>
        <w:t xml:space="preserve">ends on a myriad of physical, chemical, biological and sometimes cultural factors that are interwoven with the life of many other </w:t>
      </w:r>
      <w:r w:rsidR="00F244F3">
        <w:t>beings</w:t>
      </w:r>
      <w:r>
        <w:t xml:space="preserve">. </w:t>
      </w:r>
      <w:r w:rsidRPr="00C4476D">
        <w:t xml:space="preserve">So even though enactivism entails a realist-friendly constructivism in </w:t>
      </w:r>
      <w:r>
        <w:t>Crippen’s</w:t>
      </w:r>
      <w:r w:rsidRPr="00C4476D">
        <w:t xml:space="preserve"> view, </w:t>
      </w:r>
      <w:r w:rsidR="00C45A1F">
        <w:t>our account is compatible with his</w:t>
      </w:r>
      <w:r w:rsidRPr="00C4476D">
        <w:t xml:space="preserve"> because </w:t>
      </w:r>
      <w:r>
        <w:t>that conception of</w:t>
      </w:r>
      <w:r w:rsidRPr="00C4476D">
        <w:t xml:space="preserve"> realism does not entail </w:t>
      </w:r>
      <w:r w:rsidR="000D3814">
        <w:t xml:space="preserve">epistemological realism, the view </w:t>
      </w:r>
      <w:r>
        <w:t>that we access a</w:t>
      </w:r>
      <w:r w:rsidRPr="00C4476D">
        <w:t xml:space="preserve"> pregiven world. For the idea </w:t>
      </w:r>
      <w:r>
        <w:t>that</w:t>
      </w:r>
      <w:r w:rsidRPr="00C4476D">
        <w:t xml:space="preserve"> </w:t>
      </w:r>
      <w:r>
        <w:t xml:space="preserve">things </w:t>
      </w:r>
      <w:r w:rsidRPr="00C4476D">
        <w:t>exist</w:t>
      </w:r>
      <w:r>
        <w:t xml:space="preserve"> </w:t>
      </w:r>
      <w:r w:rsidRPr="00C4476D">
        <w:t xml:space="preserve">independently </w:t>
      </w:r>
      <w:r w:rsidR="007E6480">
        <w:t>from</w:t>
      </w:r>
      <w:r w:rsidRPr="00C4476D">
        <w:t xml:space="preserve"> us—in the sense that our collective demise would not immediately affect their existence—still allows</w:t>
      </w:r>
      <w:r w:rsidR="00F63D03">
        <w:t xml:space="preserve"> </w:t>
      </w:r>
      <w:r w:rsidRPr="00C4476D">
        <w:t xml:space="preserve">for their reality </w:t>
      </w:r>
      <w:r>
        <w:t>to be</w:t>
      </w:r>
      <w:r w:rsidRPr="00C4476D">
        <w:t xml:space="preserve"> historically codetermined by the actions of the organisms that have engaged with </w:t>
      </w:r>
      <w:r w:rsidR="009679ED">
        <w:t>these things</w:t>
      </w:r>
      <w:r>
        <w:t xml:space="preserve"> </w:t>
      </w:r>
      <w:r w:rsidRPr="00171CE0">
        <w:t>and</w:t>
      </w:r>
      <w:r>
        <w:t xml:space="preserve">, </w:t>
      </w:r>
      <w:r w:rsidR="00F63D03">
        <w:t>perhaps more importantly</w:t>
      </w:r>
      <w:r>
        <w:t>,</w:t>
      </w:r>
      <w:r w:rsidRPr="00171CE0">
        <w:t xml:space="preserve"> for their existence to codetermine a world of significance to </w:t>
      </w:r>
      <w:r>
        <w:t xml:space="preserve">those </w:t>
      </w:r>
      <w:r w:rsidRPr="00171CE0">
        <w:t>organisms</w:t>
      </w:r>
      <w:r w:rsidRPr="00C4476D">
        <w:t xml:space="preserve">. </w:t>
      </w:r>
    </w:p>
    <w:p w14:paraId="682E5F44" w14:textId="584A1678" w:rsidR="000D3814" w:rsidRPr="000D3814" w:rsidRDefault="000D3814" w:rsidP="000D3814">
      <w:pPr>
        <w:spacing w:line="360" w:lineRule="auto"/>
        <w:ind w:firstLine="720"/>
        <w:jc w:val="both"/>
      </w:pPr>
      <w:r w:rsidRPr="000D3814">
        <w:t xml:space="preserve">We have shown that a literal interpretation of the enactivist idea that we bring forth a world succeeds in </w:t>
      </w:r>
      <w:r>
        <w:t>offering</w:t>
      </w:r>
      <w:r w:rsidRPr="000D3814">
        <w:t xml:space="preserve"> a genuine middle-way between realism and idealism. Enactivism is a viable alternative because it eschews the common denominator of both views, namely, the assumption that cognition necessarily goes through </w:t>
      </w:r>
      <w:r w:rsidR="003039CE">
        <w:t xml:space="preserve">mental </w:t>
      </w:r>
      <w:r w:rsidRPr="000D3814">
        <w:t>representations, either as a means of accessing a pregiven world (for realism) or as the very substrate of cognition (for idealism). At first glance, it may seem like we are advancing a variety of epistemic realism</w:t>
      </w:r>
      <w:r w:rsidR="003039CE">
        <w:t>,</w:t>
      </w:r>
      <w:r w:rsidRPr="000D3814">
        <w:t xml:space="preserve"> for our view is compatible with the existence of a mind-independent reality (which is generally construed in terms of metaphysical realism). But it may also look like it leans towards idealism, since it acknowledges that the world is determined by the organism’s cognitive processes. </w:t>
      </w:r>
      <w:r w:rsidR="004D094F">
        <w:t>I</w:t>
      </w:r>
      <w:r w:rsidRPr="000D3814">
        <w:t>n fact</w:t>
      </w:r>
      <w:r>
        <w:t>,</w:t>
      </w:r>
      <w:r w:rsidRPr="000D3814">
        <w:t xml:space="preserve"> it is neither: it is not realist, in the epistemological sense, because the organism does not have cognitive access to </w:t>
      </w:r>
      <w:r w:rsidR="004D094F">
        <w:t xml:space="preserve">a </w:t>
      </w:r>
      <w:r w:rsidRPr="000D3814">
        <w:t xml:space="preserve">pregiven world, it brings forth its world instead. And it is not idealist because the organism’s cognitive processes are not </w:t>
      </w:r>
      <w:r w:rsidR="00CE5E22">
        <w:t xml:space="preserve">pregiven, that is, they are not </w:t>
      </w:r>
      <w:r w:rsidRPr="000D3814">
        <w:t>secluded from the environment</w:t>
      </w:r>
      <w:r w:rsidR="00CE5E22">
        <w:t>. T</w:t>
      </w:r>
      <w:r w:rsidRPr="000D3814">
        <w:t xml:space="preserve">hey are codetermined by the environments inhabited by </w:t>
      </w:r>
      <w:r w:rsidR="00CE5E22">
        <w:t>the organism</w:t>
      </w:r>
      <w:r w:rsidRPr="000D3814">
        <w:t>—which, in our case, include</w:t>
      </w:r>
      <w:r w:rsidR="009679ED">
        <w:t>s</w:t>
      </w:r>
      <w:r w:rsidRPr="000D3814">
        <w:t xml:space="preserve"> our social environment as well. These ideas</w:t>
      </w:r>
      <w:r w:rsidR="003039CE">
        <w:t xml:space="preserve"> naturally </w:t>
      </w:r>
      <w:r w:rsidRPr="000D3814">
        <w:t xml:space="preserve">lead us to </w:t>
      </w:r>
      <w:r w:rsidRPr="000D3814">
        <w:lastRenderedPageBreak/>
        <w:t xml:space="preserve">the question of how exactly organisms and environment become codetermined </w:t>
      </w:r>
      <w:r w:rsidR="009679ED">
        <w:t>over time</w:t>
      </w:r>
      <w:r w:rsidRPr="000D3814">
        <w:t xml:space="preserve">, which in turn requires us to pinpoint enactivism within </w:t>
      </w:r>
      <w:r w:rsidR="003039CE">
        <w:t>a broader</w:t>
      </w:r>
      <w:r w:rsidRPr="000D3814">
        <w:t xml:space="preserve"> evolutionary framework. We address this issue in the next section. </w:t>
      </w:r>
    </w:p>
    <w:p w14:paraId="61BFB8BF" w14:textId="77777777" w:rsidR="008342F6" w:rsidRDefault="008342F6" w:rsidP="00A66718">
      <w:pPr>
        <w:spacing w:line="360" w:lineRule="auto"/>
        <w:jc w:val="both"/>
        <w:rPr>
          <w:b/>
          <w:bCs/>
        </w:rPr>
      </w:pPr>
    </w:p>
    <w:p w14:paraId="236C33EC" w14:textId="322C1F76" w:rsidR="00A66718" w:rsidRPr="00C4476D" w:rsidRDefault="00A66718" w:rsidP="00A66718">
      <w:pPr>
        <w:spacing w:line="360" w:lineRule="auto"/>
        <w:jc w:val="both"/>
        <w:rPr>
          <w:b/>
          <w:bCs/>
        </w:rPr>
      </w:pPr>
      <w:r w:rsidRPr="00C4476D">
        <w:rPr>
          <w:b/>
          <w:bCs/>
        </w:rPr>
        <w:t>4. Natural drift and literally bringing forth a world</w:t>
      </w:r>
    </w:p>
    <w:p w14:paraId="0910AE3E" w14:textId="77777777" w:rsidR="00A66718" w:rsidRPr="00C4476D" w:rsidRDefault="00A66718" w:rsidP="00A66718">
      <w:pPr>
        <w:spacing w:line="360" w:lineRule="auto"/>
        <w:jc w:val="both"/>
        <w:rPr>
          <w:b/>
          <w:bCs/>
        </w:rPr>
      </w:pPr>
    </w:p>
    <w:p w14:paraId="092778E4" w14:textId="66911209" w:rsidR="000D3814" w:rsidRPr="000D3814" w:rsidRDefault="000D3814" w:rsidP="000D3814">
      <w:pPr>
        <w:spacing w:line="360" w:lineRule="auto"/>
        <w:ind w:firstLine="720"/>
        <w:jc w:val="both"/>
      </w:pPr>
      <w:r w:rsidRPr="000D3814">
        <w:t xml:space="preserve">To summarize our itinerary so far: we have emphasized how literally bringing forth a world is the key to situate enactivism as a viable alternative to both idealism and realism, as the authors of TEM originally intended. </w:t>
      </w:r>
      <w:r w:rsidR="00F108DD">
        <w:t>We hold that this very idea</w:t>
      </w:r>
      <w:r w:rsidRPr="000D3814">
        <w:t xml:space="preserve"> compels us to consider organism-environment codetermination at short </w:t>
      </w:r>
      <w:r w:rsidR="00F108DD">
        <w:t>and</w:t>
      </w:r>
      <w:r w:rsidRPr="000D3814">
        <w:t xml:space="preserve"> large timescales—</w:t>
      </w:r>
      <w:r w:rsidR="003039CE">
        <w:t xml:space="preserve">because </w:t>
      </w:r>
      <w:r w:rsidRPr="000D3814">
        <w:t xml:space="preserve">codetermination involves evolutionary changes. Enactivist literature has given sufficient emphasis on the developmental </w:t>
      </w:r>
      <w:r w:rsidR="003039CE">
        <w:t>changes</w:t>
      </w:r>
      <w:r>
        <w:t xml:space="preserve"> </w:t>
      </w:r>
      <w:r>
        <w:fldChar w:fldCharType="begin" w:fldLock="1"/>
      </w:r>
      <w:r w:rsidR="008A0348">
        <w:instrText>ADDIN CSL_CITATION {"citationItems":[{"id":"ITEM-1","itemData":{"DOI":"10.1093/acprof:oso/9780198786849.001.0001","ISBN":"9780198786849","abstract":"This book elaborates a series of contributions to a non-representational theory of action and perception. It is based on current theoretical developments in the enactive approach to life and mind. These enactive ideas are applied and extended to provide a theoretically rich, naturalistic account of sensorimotor meaning and agency. This account supplies non-representational extensions to the sensorimotor approach to perceptual experience based on the notion of the living body as a self-organizing dynamic system in coupling with the environment. The enactive perspective entails the use of world-involving explanations, in which processes external to an agent co-constitute mental phenomena in ways that cannot be reduced to the supply of information for internal processing. These contributions to sensorimotor theories are a dynamical-systems description of different types of sensorimotor regularities or sensorimotor contingencies, a dynamical interpretation of Piaget's theory of equilibration to ground the concept of sensorimotor mastery, and a theory of agency as organized networks of sensorimotor schemes, with its implications for sensorimotor subjectivity. New tools are provided for examining the organization, development, and operation of networks of sensorimotor schemes that compose regional activities and genres of action with their own situated norms. This permits the exploration of new explanations for the phenomenology of agency experience that are favorably contrasted with traditional computational approaches and lead to new empirical predictions. From these proposals, capabilities once beyond the reach of enactive explanations, such as the possibility of virtual actions and the adoption of socially mediated abstract perceptual attitudes, can be addressed.","author":[{"dropping-particle":"","family":"Paolo","given":"Ezequiel","non-dropping-particle":"Di","parse-names":false,"suffix":""},{"dropping-particle":"","family":"Buhrmann","given":"Thomas","non-dropping-particle":"","parse-names":false,"suffix":""},{"dropping-particle":"","family":"Barandiaram","given":"Xabier","non-dropping-particle":"","parse-names":false,"suffix":""}],"id":"ITEM-1","issued":{"date-parts":[["2017"]]},"number-of-pages":"1-296","publisher":"Oxford University Press","publisher-place":"Oxford, New York","title":"Sensorimotor Life: An Enactive Proposal","type":"book"},"uris":["http://www.mendeley.com/documents/?uuid=9491a314-21f0-4904-a5fb-4a1e84efbeea"]},{"id":"ITEM-2","itemData":{"author":[{"dropping-particle":"","family":"Paolo","given":"Ezequiel","non-dropping-particle":"Di","parse-names":false,"suffix":""},{"dropping-particle":"","family":"Cuffari","given":"Elena Clare","non-dropping-particle":"","parse-names":false,"suffix":""},{"dropping-particle":"","family":"Jaegher","given":"Hanne","non-dropping-particle":"De","parse-names":false,"suffix":""}],"id":"ITEM-2","issued":{"date-parts":[["2018"]]},"publisher":"MIT Press","publisher-place":"Cambridge, Massachusetts","title":"Linguistic Bodies: The Continuity Between Life and Language","type":"book"},"uris":["http://www.mendeley.com/documents/?uuid=be1515fb-5596-43f2-92d5-772f7e83581a"]}],"mendeley":{"formattedCitation":"(Di Paolo et al., 2017, 2018)","manualFormatting":"(see Di Paolo et al., 2017; Di Paolo et al., 2018)","plainTextFormattedCitation":"(Di Paolo et al., 2017, 2018)","previouslyFormattedCitation":"(Di Paolo et al., 2017, 2018)"},"properties":{"noteIndex":0},"schema":"https://github.com/citation-style-language/schema/raw/master/csl-citation.json"}</w:instrText>
      </w:r>
      <w:r>
        <w:fldChar w:fldCharType="separate"/>
      </w:r>
      <w:r w:rsidRPr="000D3814">
        <w:rPr>
          <w:noProof/>
        </w:rPr>
        <w:t>(</w:t>
      </w:r>
      <w:r w:rsidR="003039CE">
        <w:rPr>
          <w:noProof/>
        </w:rPr>
        <w:t xml:space="preserve">see </w:t>
      </w:r>
      <w:r w:rsidRPr="000D3814">
        <w:rPr>
          <w:noProof/>
        </w:rPr>
        <w:t>Di Paolo et al., 2017</w:t>
      </w:r>
      <w:r w:rsidR="003039CE">
        <w:rPr>
          <w:noProof/>
        </w:rPr>
        <w:t>;</w:t>
      </w:r>
      <w:r w:rsidRPr="000D3814">
        <w:rPr>
          <w:noProof/>
        </w:rPr>
        <w:t xml:space="preserve"> </w:t>
      </w:r>
      <w:r w:rsidR="00513E0A">
        <w:rPr>
          <w:noProof/>
        </w:rPr>
        <w:t xml:space="preserve">Di Paolo et al., </w:t>
      </w:r>
      <w:r w:rsidRPr="000D3814">
        <w:rPr>
          <w:noProof/>
        </w:rPr>
        <w:t>2018)</w:t>
      </w:r>
      <w:r>
        <w:fldChar w:fldCharType="end"/>
      </w:r>
      <w:r w:rsidRPr="000D3814">
        <w:t>, but not enough has been said about enaction over large timescales</w:t>
      </w:r>
      <w:r w:rsidR="003039CE">
        <w:t>. This, in turn,</w:t>
      </w:r>
      <w:r w:rsidRPr="000D3814">
        <w:t xml:space="preserve"> is crucial for how organisms inherit and transform their bodily morphologies by bringing forth their worlds—as our discussion of niche construction shows. </w:t>
      </w:r>
      <w:r w:rsidR="003039CE">
        <w:t>It is noteworthy that s</w:t>
      </w:r>
      <w:r w:rsidRPr="000D3814">
        <w:t>ome current enactivist developments take for granted the received view on evolution and do not explore enactivist commitments to evolutionary theor</w:t>
      </w:r>
      <w:r w:rsidR="003039CE">
        <w:t>ies</w:t>
      </w:r>
      <w:r w:rsidRPr="000D3814">
        <w:t xml:space="preserve">. But this may be deeply problematic, after all, if organisms are autonomous in the sense that they author the ways through which their cognitive events unfold, and if they are autonomous in the stronger (autopoietic) sense that they produce their own components </w:t>
      </w:r>
      <w:r w:rsidR="003039CE">
        <w:t>by</w:t>
      </w:r>
      <w:r w:rsidRPr="000D3814">
        <w:t xml:space="preserve"> giving rise to their organizational structure, it is at least strongly suggested (if not entailed) that organisms take an active part in their evolutionary pathways. This </w:t>
      </w:r>
      <w:r w:rsidR="004D094F">
        <w:t xml:space="preserve">is </w:t>
      </w:r>
      <w:r w:rsidRPr="000D3814">
        <w:t>of course at odds with traditional takes on evolutionary biology, which may indicate why enactivists typically avoid explicitly assessing the</w:t>
      </w:r>
      <w:r w:rsidR="00AB7FDE">
        <w:t xml:space="preserve"> evolutionary</w:t>
      </w:r>
      <w:r w:rsidRPr="000D3814">
        <w:t xml:space="preserve"> implications of their views. </w:t>
      </w:r>
    </w:p>
    <w:p w14:paraId="4A5576AE" w14:textId="26BA9533" w:rsidR="000D3814" w:rsidRPr="000D3814" w:rsidRDefault="000D3814" w:rsidP="00595B76">
      <w:pPr>
        <w:spacing w:line="360" w:lineRule="auto"/>
        <w:ind w:firstLine="720"/>
        <w:jc w:val="both"/>
      </w:pPr>
      <w:r w:rsidRPr="000D3814">
        <w:t>Gallagher</w:t>
      </w:r>
      <w:r w:rsidR="00595B76">
        <w:t xml:space="preserve"> </w:t>
      </w:r>
      <w:r w:rsidR="00595B76">
        <w:fldChar w:fldCharType="begin" w:fldLock="1"/>
      </w:r>
      <w:r w:rsidR="00513E0A">
        <w:instrText>ADDIN CSL_CITATION {"citationItems":[{"id":"ITEM-1","itemData":{"DOI":"10.1093/oso/9780198794325.001.0001","ISBN":"9780198794325","abstract":"Enactivist Interventions' is an interdisciplinary work that explores how theories of embodied cognition illuminate many aspects of the mind, including intentionality, representation, the affect, perception, action and free will, higher-order cognition, and intersubjectivity. Gallagher argues for a rethinking of the concept of mind, drawing on pragmatism, phenomenology and cognitive science. Enactivism is presented as a philosophy of nature that has significant methodological and theoretical implications for the scientific investigation of the mind. Gallagher argues that, like the basic phenomena of perception and action, sophisticated cognitive phenomena like reflection, imagining, and mathematical reasoning are best explained in terms of an affordance-based skilled coping. He offers an account of the continuity that runs between basic action, affectivity, and a rationality that in every case remains embodied. Gallagher's analysis also addresses recent predictive models of brain function and outlines an alternative, enactivist interpretation that emphasizes the close coupling of brain, body and environment rather than a strong boundary that isolates the brain in its internal processes. The extensive relational dynamics that integrates the brain with the extra-neural body opens into an environment that is physical, social and cultural and that recycles back into the enactive process. Cognitive processes are in-the-world rather than in-the-head; they are situated in affordance spaces defined across evolutionary, developmental and individual histories, and are constrained by affective processes and normative dimensions of social and cultural practices.","author":[{"dropping-particle":"","family":"Gallagher","given":"Shaun","non-dropping-particle":"","parse-names":false,"suffix":""}],"id":"ITEM-1","issued":{"date-parts":[["2017"]]},"publisher":"Oxford University Press","publisher-place":"Oxford","title":"Enactivist Interventions: Rethiking the Mind","type":"book","volume":"1"},"suffix":"chapter 9","uris":["http://www.mendeley.com/documents/?uuid=44564a19-05cd-47c3-9542-0c94461dd39f"]}],"mendeley":{"formattedCitation":"(Gallagher, 2017 chapter 9)","manualFormatting":"(2017, chapter 9)","plainTextFormattedCitation":"(Gallagher, 2017 chapter 9)","previouslyFormattedCitation":"(Gallagher, 2017 chapter 9)"},"properties":{"noteIndex":0},"schema":"https://github.com/citation-style-language/schema/raw/master/csl-citation.json"}</w:instrText>
      </w:r>
      <w:r w:rsidR="00595B76">
        <w:fldChar w:fldCharType="separate"/>
      </w:r>
      <w:r w:rsidR="00595B76" w:rsidRPr="00595B76">
        <w:rPr>
          <w:noProof/>
        </w:rPr>
        <w:t>(2017</w:t>
      </w:r>
      <w:r w:rsidR="00513E0A">
        <w:rPr>
          <w:noProof/>
        </w:rPr>
        <w:t>,</w:t>
      </w:r>
      <w:r w:rsidR="00595B76" w:rsidRPr="00595B76">
        <w:rPr>
          <w:noProof/>
        </w:rPr>
        <w:t xml:space="preserve"> chapter 9)</w:t>
      </w:r>
      <w:r w:rsidR="00595B76">
        <w:fldChar w:fldCharType="end"/>
      </w:r>
      <w:r w:rsidRPr="000D3814">
        <w:t>, for instance, discusses how the most coherent explanations about the selection of our upright posture (and the immense cognitive impact it had on our ancestors) look beyond anatomical changes. Current theories also consider the environments inhabited by our forebearers, and how their actions in these environments might have favored bipedalism. These developments seem to vindicate, partially at least, an enactivist story</w:t>
      </w:r>
      <w:r w:rsidR="00AB7FDE">
        <w:t xml:space="preserve">, for they make room for </w:t>
      </w:r>
      <w:r w:rsidR="00897451">
        <w:t xml:space="preserve">the theoretical relevance of </w:t>
      </w:r>
      <w:r w:rsidR="00AB7FDE">
        <w:t>agent-environment couplings</w:t>
      </w:r>
      <w:r w:rsidRPr="000D3814">
        <w:t xml:space="preserve">. Notice, however, that Gallagher (2017, p. 54) only briefly mentions </w:t>
      </w:r>
      <w:proofErr w:type="spellStart"/>
      <w:r w:rsidRPr="000D3814">
        <w:t>Sterelny's</w:t>
      </w:r>
      <w:proofErr w:type="spellEnd"/>
      <w:r w:rsidRPr="000D3814">
        <w:t xml:space="preserve"> </w:t>
      </w:r>
      <w:r w:rsidR="00595B76">
        <w:fldChar w:fldCharType="begin" w:fldLock="1"/>
      </w:r>
      <w:r w:rsidR="00595B76">
        <w:instrText>ADDIN CSL_CITATION {"citationItems":[{"id":"ITEM-1","itemData":{"DOI":"10.1007/s11097-010-9174-y","ISSN":"15687759","abstract":"This paper discusses two perspectives, each of which recognises the importance of environmental resources in enhancing and amplifying our cognitive capacity. One is the Clark-Chalmers model, extended further by Clark and others. The other derives from niche construction models of evolution, models which emphasise the role of active agency in enhancing the adaptive fit between agent and world. In the human case, much niche construction is epistemic: making cognitive tools and assembling other informational resources that support and scaffold intelligent action. I shall argue that extended mind cases are limiting cases of environmental scaffolding, and while the extended mind picture is not false, the niche construction model is a more helpful framework for understanding human action. © 2010 Springer Science+Business Media B.V.","author":[{"dropping-particle":"","family":"Sterelny","given":"Kim","non-dropping-particle":"","parse-names":false,"suffix":""}],"container-title":"Phenomenology and the Cognitive Sciences","id":"ITEM-1","issue":"4","issued":{"date-parts":[["2010"]]},"page":"465-481","title":"Minds: Extended or scaffolded?","type":"article-journal","volume":"9"},"suppress-author":1,"uris":["http://www.mendeley.com/documents/?uuid=13674fa9-8f2e-47af-a4c8-467f76d94db1"]}],"mendeley":{"formattedCitation":"(2010)","plainTextFormattedCitation":"(2010)","previouslyFormattedCitation":"(2010)"},"properties":{"noteIndex":0},"schema":"https://github.com/citation-style-language/schema/raw/master/csl-citation.json"}</w:instrText>
      </w:r>
      <w:r w:rsidR="00595B76">
        <w:fldChar w:fldCharType="separate"/>
      </w:r>
      <w:r w:rsidR="00595B76" w:rsidRPr="00595B76">
        <w:rPr>
          <w:noProof/>
        </w:rPr>
        <w:t>(2010)</w:t>
      </w:r>
      <w:r w:rsidR="00595B76">
        <w:fldChar w:fldCharType="end"/>
      </w:r>
      <w:r w:rsidR="00595B76">
        <w:t xml:space="preserve"> </w:t>
      </w:r>
      <w:r w:rsidRPr="000D3814">
        <w:t xml:space="preserve">niche construction model of evolution, but he does not explore whether enactivism provides a good fit with orthodoxy on evolutionary theory, </w:t>
      </w:r>
      <w:r w:rsidR="00897451">
        <w:t>and goes</w:t>
      </w:r>
      <w:r w:rsidRPr="000D3814">
        <w:t xml:space="preserve"> only as far as to rely on evolutionary-developmental considerations. </w:t>
      </w:r>
    </w:p>
    <w:p w14:paraId="4BB6BF5C" w14:textId="5EFA9553" w:rsidR="000D3814" w:rsidRPr="000D3814" w:rsidRDefault="000D3814" w:rsidP="00595B76">
      <w:pPr>
        <w:spacing w:line="360" w:lineRule="auto"/>
        <w:ind w:firstLine="720"/>
        <w:jc w:val="both"/>
      </w:pPr>
      <w:r w:rsidRPr="000D3814">
        <w:lastRenderedPageBreak/>
        <w:t>Another example is Hutto and Myin</w:t>
      </w:r>
      <w:r w:rsidR="003039CE">
        <w:t>’</w:t>
      </w:r>
      <w:r w:rsidRPr="000D3814">
        <w:t xml:space="preserve">s (2013, 2017) radical enactivism and their </w:t>
      </w:r>
      <w:proofErr w:type="spellStart"/>
      <w:r w:rsidRPr="000D3814">
        <w:t>teleosemiotic</w:t>
      </w:r>
      <w:proofErr w:type="spellEnd"/>
      <w:r w:rsidRPr="000D3814">
        <w:t xml:space="preserve"> account of basic directedness (or, as they call it, </w:t>
      </w:r>
      <w:r w:rsidR="003039CE">
        <w:t>‘</w:t>
      </w:r>
      <w:r w:rsidRPr="000D3814">
        <w:t>ur-intentionality</w:t>
      </w:r>
      <w:r w:rsidR="003039CE">
        <w:t>’</w:t>
      </w:r>
      <w:r w:rsidRPr="000D3814">
        <w:t>). Simply put, their idea is that an organism</w:t>
      </w:r>
      <w:r w:rsidR="003039CE">
        <w:t>’</w:t>
      </w:r>
      <w:r w:rsidRPr="000D3814">
        <w:t xml:space="preserve">s most basic cognitive capacities are selected over large timescales, which dictates its capacity of accessing its surroundings. With this, they aim to explain how we are able to engage with our environments without smuggling representational content into their theory of intentionality. Taken at face value, the </w:t>
      </w:r>
      <w:proofErr w:type="spellStart"/>
      <w:r w:rsidRPr="000D3814">
        <w:t>teleosemiotic</w:t>
      </w:r>
      <w:proofErr w:type="spellEnd"/>
      <w:r w:rsidRPr="000D3814">
        <w:t xml:space="preserve"> explanation seems to imply that the organism's cognitive abilities are passively inherited, as Thompson </w:t>
      </w:r>
      <w:r w:rsidR="00595B76">
        <w:fldChar w:fldCharType="begin" w:fldLock="1"/>
      </w:r>
      <w:r w:rsidR="00595B76">
        <w:instrText>ADDIN CSL_CITATION {"citationItems":[{"id":"ITEM-1","itemData":{"author":[{"dropping-particle":"","family":"Thompson","given":"Evan","non-dropping-particle":"","parse-names":false,"suffix":""}],"container-title":"Notre Dame Philosophical Reviews","id":"ITEM-1","issued":{"date-parts":[["2018"]]},"title":"Daniel D. Hutto and Erik Myin Evolving Enactivism: Basic Minds Meet Content","type":"article-journal"},"suppress-author":1,"uris":["http://www.mendeley.com/documents/?uuid=4f75ff76-2ec7-4cde-9c40-9a325511c9a9"]}],"mendeley":{"formattedCitation":"(2018)","plainTextFormattedCitation":"(2018)","previouslyFormattedCitation":"(2018)"},"properties":{"noteIndex":0},"schema":"https://github.com/citation-style-language/schema/raw/master/csl-citation.json"}</w:instrText>
      </w:r>
      <w:r w:rsidR="00595B76">
        <w:fldChar w:fldCharType="separate"/>
      </w:r>
      <w:r w:rsidR="00595B76" w:rsidRPr="00595B76">
        <w:rPr>
          <w:noProof/>
        </w:rPr>
        <w:t>(2018)</w:t>
      </w:r>
      <w:r w:rsidR="00595B76">
        <w:fldChar w:fldCharType="end"/>
      </w:r>
      <w:r w:rsidRPr="000D3814">
        <w:t xml:space="preserve"> points out—which is hard to settle within the broader enactivist picture and its emphasis on action. </w:t>
      </w:r>
    </w:p>
    <w:p w14:paraId="5EDD07E3" w14:textId="3EA667F9" w:rsidR="009426B1" w:rsidRDefault="000D3814" w:rsidP="00595B76">
      <w:pPr>
        <w:spacing w:line="360" w:lineRule="auto"/>
        <w:ind w:firstLine="720"/>
        <w:jc w:val="both"/>
      </w:pPr>
      <w:r w:rsidRPr="000D3814">
        <w:t>With the notable exception of Thompson (2007, chapter 7), matters of evolutionary biology are surprisingly unexplored in the enactivist literature</w:t>
      </w:r>
      <w:r w:rsidR="00595B76">
        <w:t xml:space="preserve"> </w:t>
      </w:r>
      <w:r w:rsidR="00595B76">
        <w:fldChar w:fldCharType="begin" w:fldLock="1"/>
      </w:r>
      <w:r w:rsidR="00312EF8">
        <w:instrText>ADDIN CSL_CITATION {"citationItems":[{"id":"ITEM-1","itemData":{"DOI":"10.1007/s11098-018-01231-7","ISSN":"15730883","abstract":"Shaun Gallagher applies enactivist thinking to a staggeringly wide range of topics in philosophy of mind and cognitive science, even venturing into the realms of biological anthropology. One prominent point Gallagher makes that the holistic approach of enactivism makes it less amenable to scientific investigation than the cognitivist framework it seeks to replace, and should be seen as a “philosophy of nature” rather than a scientific research program. Gallagher also gives truth to the saying that “if you want new ideas, read old books”, showing how the insights of the American pragmatists, particularly Dewey and Mead, offer a variety of resources and tools that can be brought to bear on modern day enactivism. Here, I suggest that the adoption of enactivist thinking would undermine the assumptions of certain scientific positions, requiring their abandonment, rather than simply making it more difficult to conduct research within an enactivist framework. I then discuss how Mead’s work has been used previously as a “pragmatist intervention” to help resolve problems in a related 4E endeavour, Gibson’s ecological psychology, and make a case for the inclusion of radical behaviorism as another pragmatist resource for 4E cognition. I conclude with a plea for further enactivist intervention in studies of comparative cognition.","author":[{"dropping-particle":"","family":"Barrett","given":"Louise","non-dropping-particle":"","parse-names":false,"suffix":""}],"container-title":"Philosophical Studies","id":"ITEM-1","issue":"3","issued":{"date-parts":[["2019"]]},"page":"807-818","publisher":"Springer Netherlands","title":"Enactivism, pragmatism…behaviorism?","type":"article-journal","volume":"176"},"prefix":"see also","uris":["http://www.mendeley.com/documents/?uuid=b9fd150c-07a5-4d9d-aeb5-7527bcfc6a0d"]}],"mendeley":{"formattedCitation":"(see also Barrett, 2019)","plainTextFormattedCitation":"(see also Barrett, 2019)","previouslyFormattedCitation":"(see also Barrett, 2019)"},"properties":{"noteIndex":0},"schema":"https://github.com/citation-style-language/schema/raw/master/csl-citation.json"}</w:instrText>
      </w:r>
      <w:r w:rsidR="00595B76">
        <w:fldChar w:fldCharType="separate"/>
      </w:r>
      <w:r w:rsidR="00595B76" w:rsidRPr="00595B76">
        <w:rPr>
          <w:noProof/>
        </w:rPr>
        <w:t>(see also Barrett, 2019)</w:t>
      </w:r>
      <w:r w:rsidR="00595B76">
        <w:fldChar w:fldCharType="end"/>
      </w:r>
      <w:r w:rsidRPr="000D3814">
        <w:t xml:space="preserve">. Interestingly, this pressing issue was anticipated in a much neglected chapter of </w:t>
      </w:r>
      <w:r w:rsidRPr="000D3814">
        <w:rPr>
          <w:i/>
          <w:iCs/>
        </w:rPr>
        <w:t xml:space="preserve">The Embodied Mind </w:t>
      </w:r>
      <w:r w:rsidRPr="000D3814">
        <w:t xml:space="preserve">(chapter 9). There, the authors argue that </w:t>
      </w:r>
      <w:r w:rsidRPr="000D3814">
        <w:rPr>
          <w:i/>
          <w:iCs/>
        </w:rPr>
        <w:t>adaptationism</w:t>
      </w:r>
      <w:r w:rsidRPr="000D3814">
        <w:t xml:space="preserve">, the received view on theory of evolution—which is a cornerstone for modern evolutionary synthesis (together with Mendelian genetics)—, is inimical to their enactive approach to mind and life. Given this incompatibility, TEM </w:t>
      </w:r>
      <w:r w:rsidR="00327D6F">
        <w:t>provides</w:t>
      </w:r>
      <w:r w:rsidRPr="000D3814">
        <w:t xml:space="preserve"> the outlines of an enactivist alternative to adaptationism, which they call </w:t>
      </w:r>
      <w:r w:rsidRPr="000D3814">
        <w:rPr>
          <w:i/>
          <w:iCs/>
        </w:rPr>
        <w:t>evolution as natural drift</w:t>
      </w:r>
      <w:r w:rsidRPr="000D3814">
        <w:t xml:space="preserve"> and which is perhaps</w:t>
      </w:r>
      <w:r w:rsidR="003039CE">
        <w:t xml:space="preserve"> one of</w:t>
      </w:r>
      <w:r w:rsidRPr="000D3814">
        <w:t xml:space="preserve"> the least explored aspect</w:t>
      </w:r>
      <w:r w:rsidR="00F108DD">
        <w:t>s</w:t>
      </w:r>
      <w:r w:rsidRPr="000D3814">
        <w:t xml:space="preserve"> of enactivism despite its centrality in understanding the proposed middle way between realism and idealism.</w:t>
      </w:r>
      <w:r w:rsidR="00595B76" w:rsidRPr="00AE16E9">
        <w:rPr>
          <w:rStyle w:val="FootnoteReference"/>
        </w:rPr>
        <w:footnoteReference w:id="11"/>
      </w:r>
      <w:r w:rsidRPr="000D3814">
        <w:t xml:space="preserve"> In this section, we try </w:t>
      </w:r>
      <w:r w:rsidRPr="00ED036F">
        <w:t xml:space="preserve">to </w:t>
      </w:r>
      <w:r w:rsidR="00312EF8" w:rsidRPr="00ED036F">
        <w:t>do</w:t>
      </w:r>
      <w:r w:rsidRPr="00ED036F">
        <w:t xml:space="preserve"> justice</w:t>
      </w:r>
      <w:r w:rsidRPr="000D3814">
        <w:t xml:space="preserve"> to TEM’s aims in addressing the evolutionary question by unfolding </w:t>
      </w:r>
      <w:r w:rsidR="00327D6F">
        <w:t xml:space="preserve">the </w:t>
      </w:r>
      <w:r w:rsidRPr="000D3814">
        <w:t>key features</w:t>
      </w:r>
      <w:r w:rsidR="00327D6F">
        <w:t xml:space="preserve"> of natural drift</w:t>
      </w:r>
      <w:r w:rsidRPr="000D3814">
        <w:t xml:space="preserve">. In so doing, we reclaim </w:t>
      </w:r>
      <w:r w:rsidR="00327D6F">
        <w:t>its</w:t>
      </w:r>
      <w:r w:rsidRPr="000D3814">
        <w:t xml:space="preserve"> relevance in the theoretical landscape by relating it with our main issue, which is the literal bringing forth of a world. Natural drift, as we explore it below, focuses on how the structural couplings between organism and environment trigger several viable pathways of maintenance and reproduction instead of selecting traits that are optimally adapted to a pregiven environment. Thus, it is important to keep in mind that TEM naturally does not deny evolution, nor that evolution involves selection</w:t>
      </w:r>
      <w:r w:rsidR="00F108DD" w:rsidRPr="00F108DD">
        <w:t>, although it does involve reconceiving selection in terms of viable pathways of suboptimal performance</w:t>
      </w:r>
      <w:r w:rsidRPr="000D3814">
        <w:t xml:space="preserve">. In fact, an enactivist account of evolution is crucial for attaining the middle way between realism and idealism </w:t>
      </w:r>
      <w:r w:rsidR="00ED036F">
        <w:t xml:space="preserve">that </w:t>
      </w:r>
      <w:r w:rsidRPr="000D3814">
        <w:t xml:space="preserve">we explored above because it allows us to see how organisms and their environments determine each other over large timescales. TEM only denies that evolution occurs mainly by virtue of selective pressures and adaptation. </w:t>
      </w:r>
    </w:p>
    <w:p w14:paraId="30EEBBDF" w14:textId="77777777" w:rsidR="000D3814" w:rsidRPr="00C4476D" w:rsidRDefault="000D3814" w:rsidP="009426B1">
      <w:pPr>
        <w:spacing w:line="360" w:lineRule="auto"/>
        <w:jc w:val="both"/>
      </w:pPr>
    </w:p>
    <w:p w14:paraId="05F4D135" w14:textId="77777777" w:rsidR="009426B1" w:rsidRPr="00C4476D" w:rsidRDefault="009426B1" w:rsidP="009426B1">
      <w:pPr>
        <w:spacing w:line="360" w:lineRule="auto"/>
        <w:jc w:val="both"/>
        <w:rPr>
          <w:i/>
          <w:iCs/>
        </w:rPr>
      </w:pPr>
      <w:r w:rsidRPr="00C4476D">
        <w:rPr>
          <w:i/>
          <w:iCs/>
        </w:rPr>
        <w:t>4.1. Adaptationism and its critics</w:t>
      </w:r>
    </w:p>
    <w:p w14:paraId="5FF93B44" w14:textId="5B206CA5" w:rsidR="00A66718" w:rsidRPr="00C4476D" w:rsidRDefault="009426B1" w:rsidP="009426B1">
      <w:pPr>
        <w:spacing w:line="360" w:lineRule="auto"/>
        <w:jc w:val="both"/>
        <w:rPr>
          <w:i/>
          <w:iCs/>
        </w:rPr>
      </w:pPr>
      <w:r w:rsidRPr="00C4476D">
        <w:rPr>
          <w:i/>
          <w:iCs/>
        </w:rPr>
        <w:t xml:space="preserve"> </w:t>
      </w:r>
    </w:p>
    <w:p w14:paraId="77638920" w14:textId="3EF6ED90" w:rsidR="00A66718" w:rsidRPr="00C4476D" w:rsidRDefault="00A66718" w:rsidP="00A66718">
      <w:pPr>
        <w:spacing w:line="360" w:lineRule="auto"/>
        <w:ind w:firstLine="720"/>
        <w:jc w:val="both"/>
      </w:pPr>
      <w:r w:rsidRPr="00C4476D">
        <w:t>According to TEM, adaptationism is based on three claims: (</w:t>
      </w:r>
      <w:proofErr w:type="spellStart"/>
      <w:r w:rsidRPr="00C4476D">
        <w:t>i</w:t>
      </w:r>
      <w:proofErr w:type="spellEnd"/>
      <w:r w:rsidRPr="00C4476D">
        <w:t xml:space="preserve">) evolution is a process of modification that occurs by means of small changes in organismic traits, which are specified by genes; (ii) the inherited traits constantly suffer mutation and recombination, which are responsible for the success or decay of reproduction rates, </w:t>
      </w:r>
      <w:r w:rsidR="00FB5E19">
        <w:t>and this</w:t>
      </w:r>
      <w:r w:rsidR="005C06B6" w:rsidRPr="00C4476D">
        <w:t xml:space="preserve"> in turn</w:t>
      </w:r>
      <w:r w:rsidRPr="00C4476D">
        <w:t xml:space="preserve"> leads to changes in the genetic configuration of a population; (iii) natural selection is the </w:t>
      </w:r>
      <w:r w:rsidR="005C06B6" w:rsidRPr="00C4476D">
        <w:t>main</w:t>
      </w:r>
      <w:r w:rsidRPr="00C4476D">
        <w:t xml:space="preserve"> mechanism that explains these process</w:t>
      </w:r>
      <w:r w:rsidR="00FB5E19">
        <w:t>es</w:t>
      </w:r>
      <w:r w:rsidRPr="00C4476D">
        <w:t xml:space="preserve"> of modification, for phenotypes/genetic traits that </w:t>
      </w:r>
      <w:r w:rsidRPr="00C4476D">
        <w:rPr>
          <w:i/>
          <w:iCs/>
        </w:rPr>
        <w:t>best fit</w:t>
      </w:r>
      <w:r w:rsidRPr="00C4476D">
        <w:t xml:space="preserve"> the environment conditions (adaptation) </w:t>
      </w:r>
      <w:r w:rsidR="00FB5E19">
        <w:t>survive</w:t>
      </w:r>
      <w:r w:rsidRPr="00C4476D">
        <w:t xml:space="preserve"> </w:t>
      </w:r>
      <w:r w:rsidR="00FB5E19">
        <w:t>across</w:t>
      </w:r>
      <w:r w:rsidRPr="00C4476D">
        <w:t xml:space="preserve"> generations. Thus, </w:t>
      </w:r>
      <w:r w:rsidR="00DF4461">
        <w:t>‘</w:t>
      </w:r>
      <w:r w:rsidRPr="00C4476D">
        <w:t>[s]elective pressures (the physical metaphor is fitting) act on the genetic variety of a population, producing changes over time according to an optimization of the fitness potential.</w:t>
      </w:r>
      <w:r w:rsidR="00DF4461">
        <w:t>’</w:t>
      </w:r>
      <w:r w:rsidRPr="00C4476D">
        <w:t xml:space="preserve"> </w:t>
      </w:r>
      <w:r w:rsidR="003A026D" w:rsidRPr="00DF4461">
        <w:t>(</w:t>
      </w:r>
      <w:r w:rsidR="00CE5E22" w:rsidRPr="00DF4461">
        <w:t>Varela et al.</w:t>
      </w:r>
      <w:r w:rsidR="003A026D" w:rsidRPr="00DF4461">
        <w:t xml:space="preserve">, </w:t>
      </w:r>
      <w:r w:rsidR="00DF4461" w:rsidRPr="00DF4461">
        <w:t xml:space="preserve">2016, </w:t>
      </w:r>
      <w:r w:rsidR="003A026D" w:rsidRPr="00DF4461">
        <w:t>p. 187)</w:t>
      </w:r>
      <w:r w:rsidRPr="00DF4461">
        <w:t>.</w:t>
      </w:r>
      <w:r w:rsidRPr="00C4476D">
        <w:t xml:space="preserve"> </w:t>
      </w:r>
      <w:r w:rsidR="008C7159" w:rsidRPr="00C4476D">
        <w:t>Crucial for our purposes is how adaptationism takes t</w:t>
      </w:r>
      <w:r w:rsidRPr="00C4476D">
        <w:t xml:space="preserve">he fit between </w:t>
      </w:r>
      <w:r w:rsidR="00027B42" w:rsidRPr="00C4476D">
        <w:t xml:space="preserve">an </w:t>
      </w:r>
      <w:r w:rsidRPr="00C4476D">
        <w:t xml:space="preserve">organism’s traits and an independent </w:t>
      </w:r>
      <w:r w:rsidR="00FB5E19">
        <w:t xml:space="preserve">(pregiven) </w:t>
      </w:r>
      <w:r w:rsidRPr="00C4476D">
        <w:t xml:space="preserve">environment </w:t>
      </w:r>
      <w:r w:rsidR="008C7159" w:rsidRPr="00C4476D">
        <w:t>to be the key mechanism in evolution.</w:t>
      </w:r>
    </w:p>
    <w:p w14:paraId="40908045" w14:textId="646E2D86" w:rsidR="00A66718" w:rsidRPr="00C4476D" w:rsidRDefault="00A66718" w:rsidP="00A66718">
      <w:pPr>
        <w:spacing w:line="360" w:lineRule="auto"/>
        <w:ind w:firstLine="720"/>
        <w:jc w:val="both"/>
      </w:pPr>
      <w:r w:rsidRPr="00C4476D">
        <w:t>At first, TEM raises five points of dispute in the modern evolutionary synthesis debate in order to suggest that adaptationism is problematic for not considering non-selective constraints as relevant in evolution.</w:t>
      </w:r>
      <w:r w:rsidR="0009061C" w:rsidRPr="00C4476D">
        <w:t xml:space="preserve"> </w:t>
      </w:r>
      <w:r w:rsidR="0009061C" w:rsidRPr="0009061C">
        <w:t>We will not delve into them here</w:t>
      </w:r>
      <w:r w:rsidR="0009061C" w:rsidRPr="00C4476D">
        <w:t>.</w:t>
      </w:r>
      <w:r w:rsidRPr="00AE16E9">
        <w:rPr>
          <w:rStyle w:val="FootnoteReference"/>
        </w:rPr>
        <w:footnoteReference w:id="12"/>
      </w:r>
      <w:r w:rsidR="0009061C" w:rsidRPr="00C4476D">
        <w:t xml:space="preserve"> </w:t>
      </w:r>
      <w:r w:rsidR="00D12913">
        <w:t>TEM’s more innovative argument</w:t>
      </w:r>
      <w:r w:rsidRPr="00C4476D">
        <w:t xml:space="preserve"> against adaptationism is that the correspondence between organism and environment presupposed by the conception of evolution as </w:t>
      </w:r>
      <w:r w:rsidR="00D12913">
        <w:t>mainly</w:t>
      </w:r>
      <w:r w:rsidR="001D575B" w:rsidRPr="00C4476D">
        <w:t xml:space="preserve"> adaptive</w:t>
      </w:r>
      <w:r w:rsidRPr="00C4476D">
        <w:t xml:space="preserve"> is analogous to the cognitivist assumption that the organism represents its surroundings according to specification conditions offered by the environment. </w:t>
      </w:r>
      <w:r w:rsidR="00F0761A">
        <w:t>That</w:t>
      </w:r>
      <w:r w:rsidR="00F0761A" w:rsidRPr="00C4476D">
        <w:t xml:space="preserve"> </w:t>
      </w:r>
      <w:r w:rsidRPr="00C4476D">
        <w:t>argument against adaptationism</w:t>
      </w:r>
      <w:r w:rsidR="00F0761A">
        <w:t>,</w:t>
      </w:r>
      <w:r w:rsidRPr="00C4476D">
        <w:t xml:space="preserve"> therefore</w:t>
      </w:r>
      <w:r w:rsidR="00F0761A">
        <w:t>,</w:t>
      </w:r>
      <w:r w:rsidRPr="00C4476D">
        <w:t xml:space="preserve"> relies on the parallel between adaptationism and cognitivism</w:t>
      </w:r>
      <w:r w:rsidR="00595B76">
        <w:t xml:space="preserve">. This analogy </w:t>
      </w:r>
      <w:r w:rsidRPr="00C4476D">
        <w:t xml:space="preserve">is never fully drawn, but one can assume it runs as </w:t>
      </w:r>
      <w:r w:rsidRPr="00DF4461">
        <w:t>follow</w:t>
      </w:r>
      <w:r w:rsidR="00312EF8" w:rsidRPr="00DF4461">
        <w:t>s</w:t>
      </w:r>
      <w:r w:rsidRPr="00DF4461">
        <w:t>:</w:t>
      </w:r>
      <w:r w:rsidRPr="00C4476D">
        <w:t xml:space="preserve"> cognitivism takes cognition to be essentially a matter of problem solving through computations over representations. This process, if successful, provides the optimal fit between agent and world. Accordingly, the cognitive agent and the world are taken to be separated entities—they are </w:t>
      </w:r>
      <w:r w:rsidR="00327D6F">
        <w:t>de</w:t>
      </w:r>
      <w:r w:rsidRPr="00C4476D">
        <w:t>coupled</w:t>
      </w:r>
      <w:r w:rsidR="00327D6F">
        <w:t>,</w:t>
      </w:r>
      <w:r w:rsidRPr="00C4476D">
        <w:t xml:space="preserve"> and cognition only occurs when there is a fit between the agent</w:t>
      </w:r>
      <w:r w:rsidR="001D575B" w:rsidRPr="00C4476D">
        <w:t>’</w:t>
      </w:r>
      <w:r w:rsidRPr="00C4476D">
        <w:t xml:space="preserve">s internal processes and a pregiven environmental setting. Analogously, for adaptationism, the central mechanism that explains how organisms are hereditarily modified is the selection of phenotypes that more efficiently cope with </w:t>
      </w:r>
      <w:r w:rsidR="00327D6F">
        <w:t>its</w:t>
      </w:r>
      <w:r w:rsidRPr="00C4476D">
        <w:t xml:space="preserve"> current environment </w:t>
      </w:r>
      <w:r w:rsidR="003A026D" w:rsidRPr="00DF4461">
        <w:t>(</w:t>
      </w:r>
      <w:r w:rsidR="00CE5E22" w:rsidRPr="00DF4461">
        <w:t>Varela et al.</w:t>
      </w:r>
      <w:r w:rsidR="003A026D" w:rsidRPr="00DF4461">
        <w:t xml:space="preserve">, </w:t>
      </w:r>
      <w:r w:rsidR="00DF4461" w:rsidRPr="00DF4461">
        <w:t xml:space="preserve">2016, </w:t>
      </w:r>
      <w:r w:rsidR="003A026D" w:rsidRPr="00DF4461">
        <w:t>p. 185)</w:t>
      </w:r>
      <w:r w:rsidRPr="00DF4461">
        <w:t>.</w:t>
      </w:r>
      <w:r w:rsidRPr="00C4476D">
        <w:t xml:space="preserve"> So, their argument goes, adaptationism and cognitivism are analogous </w:t>
      </w:r>
      <w:r w:rsidRPr="00C4476D">
        <w:lastRenderedPageBreak/>
        <w:t>because they are both committed to a pregiven environment and to the possibility of organisms achieving an optimal fit (cognition/adaptation) in relation to that environment. Moreover, just like adaptationism downplays the relevance of other evolutionary factors, cognitivism downplays the relevance of embodiment and action-related processes in cognition, which are relegated to merely causal factors (e.g., the reception of input), instead of being considered constitutive and transformative of cognitive events.</w:t>
      </w:r>
      <w:r w:rsidRPr="00AE16E9">
        <w:rPr>
          <w:rStyle w:val="FootnoteReference"/>
        </w:rPr>
        <w:footnoteReference w:id="13"/>
      </w:r>
    </w:p>
    <w:p w14:paraId="0295A36C" w14:textId="4DF030B1" w:rsidR="00A66718" w:rsidRPr="00C4476D" w:rsidRDefault="00A66718" w:rsidP="00A66718">
      <w:pPr>
        <w:spacing w:line="360" w:lineRule="auto"/>
        <w:ind w:firstLine="720"/>
        <w:jc w:val="both"/>
      </w:pPr>
      <w:r w:rsidRPr="00C4476D">
        <w:t xml:space="preserve">TEM draws heavily on earlier criticisms by Gould and </w:t>
      </w:r>
      <w:proofErr w:type="spellStart"/>
      <w:r w:rsidRPr="00C4476D">
        <w:t>Lewontin’s</w:t>
      </w:r>
      <w:proofErr w:type="spellEnd"/>
      <w:r w:rsidRPr="00C4476D">
        <w:t xml:space="preserve"> </w:t>
      </w:r>
      <w:r w:rsidRPr="00C4476D">
        <w:fldChar w:fldCharType="begin" w:fldLock="1"/>
      </w:r>
      <w:r w:rsidRPr="00C4476D">
        <w:instrText>ADDIN CSL_CITATION {"citationItems":[{"id":"ITEM-1","itemData":{"DOI":"10.1098/rspb.1979.0086","ISSN":"09628452","PMID":"42062","author":[{"dropping-particle":"","family":"Gould","given":"S. J.","non-dropping-particle":"","parse-names":false,"suffix":""},{"dropping-particle":"","family":"Lewontin","given":"R. C.","non-dropping-particle":"","parse-names":false,"suffix":""}],"container-title":"Proceedings of the Royal Society of London - Biological Sciences","id":"ITEM-1","issue":"1161","issued":{"date-parts":[["1979"]]},"page":"581-598","title":"The spandrels of San Marco and the Panglossian paradigm: a critique of the adaptationist programme","type":"article-journal","volume":"205"},"suppress-author":1,"uris":["http://www.mendeley.com/documents/?uuid=a31d2968-3c61-456d-8a4c-6cffb2b7c54f"]}],"mendeley":{"formattedCitation":"(1979)","plainTextFormattedCitation":"(1979)","previouslyFormattedCitation":"(1979)"},"properties":{"noteIndex":0},"schema":"https://github.com/citation-style-language/schema/raw/master/csl-citation.json"}</w:instrText>
      </w:r>
      <w:r w:rsidRPr="00C4476D">
        <w:fldChar w:fldCharType="separate"/>
      </w:r>
      <w:r w:rsidRPr="00C4476D">
        <w:rPr>
          <w:noProof/>
        </w:rPr>
        <w:t>(1979)</w:t>
      </w:r>
      <w:r w:rsidRPr="00C4476D">
        <w:fldChar w:fldCharType="end"/>
      </w:r>
      <w:r w:rsidRPr="00C4476D">
        <w:t xml:space="preserve"> </w:t>
      </w:r>
      <w:r w:rsidR="00F0761A">
        <w:t>notorious</w:t>
      </w:r>
      <w:r w:rsidR="00F0761A" w:rsidRPr="00C4476D">
        <w:t xml:space="preserve"> </w:t>
      </w:r>
      <w:r w:rsidR="00F0761A">
        <w:t>paper</w:t>
      </w:r>
      <w:r w:rsidR="00FB5E19">
        <w:t>,</w:t>
      </w:r>
      <w:r w:rsidR="00F0761A">
        <w:t xml:space="preserve"> which is responsible for</w:t>
      </w:r>
      <w:r w:rsidRPr="00C4476D">
        <w:t xml:space="preserve"> much of the controversy around adaptationism. </w:t>
      </w:r>
      <w:r w:rsidR="008C7159" w:rsidRPr="00C4476D">
        <w:t>An important</w:t>
      </w:r>
      <w:r w:rsidRPr="00C4476D">
        <w:t xml:space="preserve"> point of contention raised by Gould and Lewontin is how adaptationism draws an arbitrary line between the organism’s traits and its structure in order to assess the trait’s fitness. Accordingly, </w:t>
      </w:r>
      <w:r w:rsidR="00F002F8" w:rsidRPr="00C4476D">
        <w:t xml:space="preserve">from a methodological perspective, </w:t>
      </w:r>
      <w:r w:rsidRPr="00C4476D">
        <w:t xml:space="preserve">the unity of analysis </w:t>
      </w:r>
      <w:r w:rsidR="00F0761A">
        <w:t>in</w:t>
      </w:r>
      <w:r w:rsidR="00F0761A" w:rsidRPr="00C4476D">
        <w:t xml:space="preserve"> </w:t>
      </w:r>
      <w:r w:rsidRPr="00C4476D">
        <w:t>the adaptationist program is not the organism as a whole, but the trait</w:t>
      </w:r>
      <w:r w:rsidRPr="00C4476D">
        <w:rPr>
          <w:i/>
          <w:iCs/>
        </w:rPr>
        <w:t xml:space="preserve"> </w:t>
      </w:r>
      <w:r w:rsidRPr="00C4476D">
        <w:t>taken in isolation from the rest</w:t>
      </w:r>
      <w:r w:rsidR="00F0761A">
        <w:t xml:space="preserve"> of the body.</w:t>
      </w:r>
      <w:r w:rsidR="00001382" w:rsidRPr="00AE16E9">
        <w:rPr>
          <w:rStyle w:val="FootnoteReference"/>
        </w:rPr>
        <w:footnoteReference w:id="14"/>
      </w:r>
      <w:r w:rsidRPr="00C4476D">
        <w:t xml:space="preserve"> If a trait is locally optimal (best possible fit for a specific environment), it is considered to be a matter of adaptation. If, however, a trait is revealed to be suboptimal in some respect—according to empirical adaptationism at least—then it is typically speculated that some trade-off has happened in the organism</w:t>
      </w:r>
      <w:r w:rsidR="008C7159" w:rsidRPr="00C4476D">
        <w:t>’s</w:t>
      </w:r>
      <w:r w:rsidRPr="00C4476D">
        <w:t xml:space="preserve"> evolutionary history, so that the adaptation of some other existing trait (or traits) </w:t>
      </w:r>
      <w:r w:rsidR="001C3F9F">
        <w:t>was favored</w:t>
      </w:r>
      <w:r w:rsidRPr="00C4476D">
        <w:t xml:space="preserve"> over the suboptimal one(s). For our argument here, the important point is how adaptationism takes traits, </w:t>
      </w:r>
      <w:r w:rsidRPr="00C4476D">
        <w:rPr>
          <w:i/>
          <w:iCs/>
        </w:rPr>
        <w:t>as abstracted from the organism as a whole</w:t>
      </w:r>
      <w:r w:rsidRPr="00C4476D">
        <w:t xml:space="preserve">, to be the unit of natural selection. </w:t>
      </w:r>
      <w:r w:rsidR="00F002F8" w:rsidRPr="00C4476D">
        <w:t>But</w:t>
      </w:r>
      <w:r w:rsidR="00F0761A">
        <w:t xml:space="preserve">, as Gould and Lewontin </w:t>
      </w:r>
      <w:r w:rsidR="00F0761A" w:rsidRPr="00DF4461">
        <w:t>remind</w:t>
      </w:r>
      <w:r w:rsidR="00F0761A">
        <w:t xml:space="preserve"> us,</w:t>
      </w:r>
      <w:r w:rsidR="00F002F8" w:rsidRPr="00C4476D">
        <w:t xml:space="preserve"> organisms</w:t>
      </w:r>
      <w:r w:rsidRPr="00C4476D">
        <w:t xml:space="preserve"> ‘are integrated entities, not collections of discrete objects’ (1979, p. 585). An enactivist </w:t>
      </w:r>
      <w:r w:rsidR="001D575B" w:rsidRPr="00C4476D">
        <w:t>should</w:t>
      </w:r>
      <w:r w:rsidRPr="00C4476D">
        <w:t xml:space="preserve"> </w:t>
      </w:r>
      <w:proofErr w:type="gramStart"/>
      <w:r w:rsidRPr="00C4476D">
        <w:t>add:</w:t>
      </w:r>
      <w:proofErr w:type="gramEnd"/>
      <w:r w:rsidRPr="00C4476D">
        <w:t xml:space="preserve"> living organisms are integrated entities that self-produce and self-maintain their own organization through a network of interrelated precarious processes. </w:t>
      </w:r>
      <w:r w:rsidR="00F002F8" w:rsidRPr="00C4476D">
        <w:t xml:space="preserve">Downplaying the </w:t>
      </w:r>
      <w:r w:rsidR="00F0761A">
        <w:t>organizational</w:t>
      </w:r>
      <w:r w:rsidR="00F0761A" w:rsidRPr="00C4476D">
        <w:t xml:space="preserve"> </w:t>
      </w:r>
      <w:r w:rsidR="00F002F8" w:rsidRPr="00C4476D">
        <w:t>dimension of life is as problematic as minimizing</w:t>
      </w:r>
      <w:r w:rsidRPr="00C4476D">
        <w:t xml:space="preserve"> the embodied and </w:t>
      </w:r>
      <w:r w:rsidR="00F07547">
        <w:t>en</w:t>
      </w:r>
      <w:r w:rsidRPr="00C4476D">
        <w:t xml:space="preserve">active dimensions of cognition. In the latter case, it mistakenly leads one’s analysis to focus on problem-solving and internal computations over representations, instead of acknowledging how embodied agents actually conduct their exchanges in their environmental settings. Similarly, focusing on traits and </w:t>
      </w:r>
      <w:r w:rsidR="00F002F8" w:rsidRPr="00C4476D">
        <w:t>minimizing</w:t>
      </w:r>
      <w:r w:rsidRPr="00C4476D">
        <w:t xml:space="preserve"> organismic structure may lead evolutionary scientists to ignore how </w:t>
      </w:r>
      <w:r w:rsidR="001D575B" w:rsidRPr="00C4476D">
        <w:t xml:space="preserve">constraints </w:t>
      </w:r>
      <w:r w:rsidRPr="00C4476D">
        <w:t xml:space="preserve">other than adaptation </w:t>
      </w:r>
      <w:r w:rsidR="00595B76">
        <w:t xml:space="preserve">impact </w:t>
      </w:r>
      <w:r w:rsidRPr="00C4476D">
        <w:t>evolution.</w:t>
      </w:r>
    </w:p>
    <w:p w14:paraId="5DE434D4" w14:textId="0B1E2863" w:rsidR="009426B1" w:rsidRPr="00C4476D" w:rsidRDefault="009426B1" w:rsidP="009426B1">
      <w:pPr>
        <w:spacing w:line="360" w:lineRule="auto"/>
        <w:jc w:val="both"/>
      </w:pPr>
    </w:p>
    <w:p w14:paraId="1F0015B7" w14:textId="16E73F67" w:rsidR="009426B1" w:rsidRPr="00C4476D" w:rsidRDefault="009426B1" w:rsidP="009426B1">
      <w:pPr>
        <w:spacing w:line="360" w:lineRule="auto"/>
        <w:jc w:val="both"/>
        <w:rPr>
          <w:i/>
          <w:iCs/>
        </w:rPr>
      </w:pPr>
      <w:r w:rsidRPr="00C4476D">
        <w:rPr>
          <w:i/>
          <w:iCs/>
        </w:rPr>
        <w:t>4.2. Evolution as natural drift</w:t>
      </w:r>
    </w:p>
    <w:p w14:paraId="17BB64FE" w14:textId="77777777" w:rsidR="009426B1" w:rsidRPr="00C4476D" w:rsidRDefault="009426B1" w:rsidP="00A66718">
      <w:pPr>
        <w:spacing w:line="360" w:lineRule="auto"/>
        <w:ind w:firstLine="720"/>
        <w:jc w:val="both"/>
      </w:pPr>
    </w:p>
    <w:p w14:paraId="41AB1D3B" w14:textId="59C019DD" w:rsidR="00A66718" w:rsidRPr="00C4476D" w:rsidRDefault="00A66718" w:rsidP="00A66718">
      <w:pPr>
        <w:spacing w:line="360" w:lineRule="auto"/>
        <w:ind w:firstLine="720"/>
        <w:jc w:val="both"/>
      </w:pPr>
      <w:r w:rsidRPr="00C4476D">
        <w:t xml:space="preserve">In advancing their programmatic alternative to adaptationism, the authors of TEM suggest a change of logic, more specifically, the switch from a </w:t>
      </w:r>
      <w:r w:rsidRPr="00C4476D">
        <w:rPr>
          <w:i/>
          <w:iCs/>
        </w:rPr>
        <w:t>prescriptive logic</w:t>
      </w:r>
      <w:r w:rsidRPr="00C4476D">
        <w:t xml:space="preserve">—according to which </w:t>
      </w:r>
      <w:r w:rsidR="00001382" w:rsidRPr="00C4476D">
        <w:t>selection</w:t>
      </w:r>
      <w:r w:rsidRPr="00C4476D">
        <w:t xml:space="preserve"> is a process that guides and instructs in the task of improving fitness—to a </w:t>
      </w:r>
      <w:r w:rsidRPr="00C4476D">
        <w:rPr>
          <w:i/>
          <w:iCs/>
        </w:rPr>
        <w:t>proscriptive one</w:t>
      </w:r>
      <w:r w:rsidR="004D492A" w:rsidRPr="00C4476D">
        <w:t>. So ‘[o]</w:t>
      </w:r>
      <w:proofErr w:type="spellStart"/>
      <w:r w:rsidR="004D492A" w:rsidRPr="00C4476D">
        <w:t>rganisms</w:t>
      </w:r>
      <w:proofErr w:type="spellEnd"/>
      <w:r w:rsidR="004D492A" w:rsidRPr="00C4476D">
        <w:t xml:space="preserve"> and the population offer variety; natural selection guarantees only that what ensues satisfies the two basic constraints of survival and reproduction’ </w:t>
      </w:r>
      <w:r w:rsidR="003A026D" w:rsidRPr="00DF4461">
        <w:t>(</w:t>
      </w:r>
      <w:r w:rsidR="00D27A2D" w:rsidRPr="00DF4461">
        <w:rPr>
          <w:rFonts w:eastAsia="Times New Roman" w:cs="Times New Roman"/>
          <w:color w:val="000000"/>
        </w:rPr>
        <w:t>Varela et al.</w:t>
      </w:r>
      <w:r w:rsidR="0088182A" w:rsidRPr="00DF4461">
        <w:rPr>
          <w:rFonts w:eastAsia="Times New Roman" w:cs="Times New Roman"/>
          <w:color w:val="000000"/>
        </w:rPr>
        <w:t>,</w:t>
      </w:r>
      <w:r w:rsidR="00D27A2D" w:rsidRPr="00DF4461">
        <w:rPr>
          <w:rFonts w:eastAsia="Times New Roman" w:cs="Times New Roman"/>
          <w:color w:val="000000"/>
        </w:rPr>
        <w:t xml:space="preserve"> 2016</w:t>
      </w:r>
      <w:r w:rsidR="003A026D" w:rsidRPr="00DF4461">
        <w:t>, p. 195)</w:t>
      </w:r>
      <w:r w:rsidR="00564192" w:rsidRPr="00C4476D">
        <w:t xml:space="preserve">. </w:t>
      </w:r>
      <w:r w:rsidR="00595B76">
        <w:t>From the vantage point of enactivism</w:t>
      </w:r>
      <w:r w:rsidR="004D492A" w:rsidRPr="00C4476D">
        <w:t xml:space="preserve">, selection establishes the parameters within which life is viable but not necessarily selects the fittest. </w:t>
      </w:r>
      <w:r w:rsidRPr="00C4476D">
        <w:t xml:space="preserve">Accordingly, a proscriptive logic on </w:t>
      </w:r>
      <w:r w:rsidR="008C7159" w:rsidRPr="00C4476D">
        <w:t>selection</w:t>
      </w:r>
      <w:r w:rsidRPr="00C4476D">
        <w:t xml:space="preserve"> </w:t>
      </w:r>
      <w:r w:rsidR="00331A20" w:rsidRPr="00C4476D">
        <w:t>makes room</w:t>
      </w:r>
      <w:r w:rsidRPr="00C4476D">
        <w:t xml:space="preserve"> </w:t>
      </w:r>
      <w:r w:rsidR="00331A20" w:rsidRPr="00C4476D">
        <w:t>for</w:t>
      </w:r>
      <w:r w:rsidRPr="00C4476D">
        <w:t xml:space="preserve"> </w:t>
      </w:r>
      <w:r w:rsidR="00331A20" w:rsidRPr="00C4476D">
        <w:t>d</w:t>
      </w:r>
      <w:r w:rsidRPr="00C4476D">
        <w:t>evelopmental and structural constraints</w:t>
      </w:r>
      <w:r w:rsidR="00331A20" w:rsidRPr="00C4476D">
        <w:t xml:space="preserve"> in evolution</w:t>
      </w:r>
      <w:r w:rsidRPr="00C4476D">
        <w:t>, which are downplayed by adaptationism. Thus</w:t>
      </w:r>
      <w:r w:rsidR="001C3F9F">
        <w:t xml:space="preserve">, </w:t>
      </w:r>
      <w:r w:rsidRPr="00C4476D">
        <w:t>the explanation for evolution as natural drift is given by (</w:t>
      </w:r>
      <w:proofErr w:type="spellStart"/>
      <w:r w:rsidRPr="00C4476D">
        <w:t>i</w:t>
      </w:r>
      <w:proofErr w:type="spellEnd"/>
      <w:r w:rsidRPr="00C4476D">
        <w:t xml:space="preserve">) structural couplings between organism and environment providing </w:t>
      </w:r>
      <w:r w:rsidR="00595B76">
        <w:t xml:space="preserve">a </w:t>
      </w:r>
      <w:r w:rsidRPr="00C4476D">
        <w:t xml:space="preserve">diversity of genetic and evolutionary processes which, by constraints of survival and reproduction, is pruned by the unfolding of viable pathways; (ii) a process of </w:t>
      </w:r>
      <w:r w:rsidRPr="00C4476D">
        <w:rPr>
          <w:i/>
          <w:iCs/>
        </w:rPr>
        <w:t xml:space="preserve">satisficing </w:t>
      </w:r>
      <w:r w:rsidRPr="00C4476D">
        <w:t>by means of which a suboptimal performance of a self-organizing network (</w:t>
      </w:r>
      <w:r w:rsidR="00F002F8" w:rsidRPr="00C4476D">
        <w:t xml:space="preserve">which is </w:t>
      </w:r>
      <w:r w:rsidR="001D575B" w:rsidRPr="00C4476D">
        <w:t>the</w:t>
      </w:r>
      <w:r w:rsidRPr="00C4476D">
        <w:t xml:space="preserve"> unity of evolution) structurally coupled with the medium has sufficient integrity to persist; </w:t>
      </w:r>
      <w:r w:rsidR="006979E3" w:rsidRPr="00C4476D">
        <w:t xml:space="preserve">and </w:t>
      </w:r>
      <w:r w:rsidRPr="00C4476D">
        <w:t xml:space="preserve">(iii) organism and </w:t>
      </w:r>
      <w:r w:rsidR="00F0761A">
        <w:t>environment</w:t>
      </w:r>
      <w:r w:rsidR="00F0761A" w:rsidRPr="00C4476D">
        <w:t xml:space="preserve"> </w:t>
      </w:r>
      <w:r w:rsidRPr="00C4476D">
        <w:t>are involved in co-implicative relation, for they mutually specify each other. </w:t>
      </w:r>
    </w:p>
    <w:p w14:paraId="6F8867C8" w14:textId="06A97518" w:rsidR="006F6836" w:rsidRPr="006F6836" w:rsidRDefault="00A66718" w:rsidP="006F6836">
      <w:pPr>
        <w:spacing w:line="360" w:lineRule="auto"/>
        <w:ind w:firstLine="720"/>
        <w:jc w:val="both"/>
      </w:pPr>
      <w:r w:rsidRPr="00C4476D">
        <w:t xml:space="preserve">In this view, the process of satisficing triggers </w:t>
      </w:r>
      <w:r w:rsidR="001D575B" w:rsidRPr="00C4476D">
        <w:t xml:space="preserve">the </w:t>
      </w:r>
      <w:r w:rsidRPr="00C4476D">
        <w:t>change</w:t>
      </w:r>
      <w:r w:rsidR="001D575B" w:rsidRPr="00C4476D">
        <w:t>s</w:t>
      </w:r>
      <w:r w:rsidRPr="00C4476D">
        <w:t xml:space="preserve"> in viable pathways of structural couplings, but it does</w:t>
      </w:r>
      <w:r w:rsidR="00595B76">
        <w:t xml:space="preserve"> no</w:t>
      </w:r>
      <w:r w:rsidRPr="00C4476D">
        <w:t xml:space="preserve">t specify them. Thus, the traditional picture of a pregiven </w:t>
      </w:r>
      <w:r w:rsidR="00F0761A">
        <w:t>world</w:t>
      </w:r>
      <w:r w:rsidR="00F0761A" w:rsidRPr="00C4476D">
        <w:t xml:space="preserve"> </w:t>
      </w:r>
      <w:r w:rsidRPr="00C4476D">
        <w:t xml:space="preserve">to which the organism </w:t>
      </w:r>
      <w:r w:rsidR="00331A20" w:rsidRPr="00C4476D">
        <w:t xml:space="preserve">is </w:t>
      </w:r>
      <w:r w:rsidRPr="00C4476D">
        <w:t>adapt</w:t>
      </w:r>
      <w:r w:rsidR="00331A20" w:rsidRPr="00C4476D">
        <w:t>ed</w:t>
      </w:r>
      <w:r w:rsidRPr="00C4476D">
        <w:t xml:space="preserve"> is </w:t>
      </w:r>
      <w:r w:rsidR="00595B76">
        <w:t>replaced</w:t>
      </w:r>
      <w:r w:rsidRPr="00C4476D">
        <w:t xml:space="preserve"> </w:t>
      </w:r>
      <w:r w:rsidR="00595B76">
        <w:t>by</w:t>
      </w:r>
      <w:r w:rsidRPr="00C4476D">
        <w:t xml:space="preserve"> the idea that the environment cannot be separated from the organism and its actions </w:t>
      </w:r>
      <w:r w:rsidR="00FE01A2" w:rsidRPr="00DF4461">
        <w:t>(</w:t>
      </w:r>
      <w:r w:rsidR="00D27A2D" w:rsidRPr="00DF4461">
        <w:rPr>
          <w:rFonts w:eastAsia="Times New Roman" w:cs="Times New Roman"/>
          <w:color w:val="000000"/>
        </w:rPr>
        <w:t>Varela et al.</w:t>
      </w:r>
      <w:r w:rsidR="0088182A" w:rsidRPr="00DF4461">
        <w:rPr>
          <w:rFonts w:eastAsia="Times New Roman" w:cs="Times New Roman"/>
          <w:color w:val="000000"/>
        </w:rPr>
        <w:t>,</w:t>
      </w:r>
      <w:r w:rsidR="00D27A2D" w:rsidRPr="00DF4461">
        <w:rPr>
          <w:rFonts w:eastAsia="Times New Roman" w:cs="Times New Roman"/>
          <w:color w:val="000000"/>
        </w:rPr>
        <w:t xml:space="preserve"> 2016</w:t>
      </w:r>
      <w:r w:rsidR="00FE01A2" w:rsidRPr="00DF4461">
        <w:t>, p. 198)</w:t>
      </w:r>
      <w:r w:rsidR="00F0761A">
        <w:t xml:space="preserve">. So </w:t>
      </w:r>
      <w:r w:rsidR="00564192" w:rsidRPr="00C4476D">
        <w:t>‘</w:t>
      </w:r>
      <w:r w:rsidRPr="00C4476D">
        <w:t>environmental regularities are the result of a conjoint history, a congruence that unfolds from a long history of codetermination.</w:t>
      </w:r>
      <w:r w:rsidR="00564192" w:rsidRPr="00C4476D">
        <w:t>’</w:t>
      </w:r>
      <w:r w:rsidRPr="00C4476D">
        <w:t xml:space="preserve"> (</w:t>
      </w:r>
      <w:r w:rsidR="00F73197">
        <w:t>ibid.</w:t>
      </w:r>
      <w:r w:rsidR="00764B9F" w:rsidRPr="00C4476D">
        <w:t xml:space="preserve">, p. </w:t>
      </w:r>
      <w:r w:rsidRPr="00C4476D">
        <w:t xml:space="preserve">199). This is important </w:t>
      </w:r>
      <w:r w:rsidR="0044551A">
        <w:t xml:space="preserve">for our purposes </w:t>
      </w:r>
      <w:r w:rsidRPr="00C4476D">
        <w:t xml:space="preserve">because the very enactivist idea of </w:t>
      </w:r>
      <w:r w:rsidRPr="00C4476D">
        <w:rPr>
          <w:i/>
          <w:iCs/>
        </w:rPr>
        <w:t>codetermination</w:t>
      </w:r>
      <w:r w:rsidRPr="00C4476D">
        <w:t xml:space="preserve"> </w:t>
      </w:r>
      <w:r w:rsidR="00471C77">
        <w:t xml:space="preserve">in this context </w:t>
      </w:r>
      <w:r w:rsidR="00FB5E19">
        <w:t>makes clear that</w:t>
      </w:r>
      <w:r w:rsidRPr="00C4476D">
        <w:t xml:space="preserve"> natural drift </w:t>
      </w:r>
      <w:r w:rsidR="00FB5E19">
        <w:t xml:space="preserve">is crucial for </w:t>
      </w:r>
      <w:r w:rsidR="00F0761A">
        <w:t xml:space="preserve">literally bringing forth a world, </w:t>
      </w:r>
      <w:r w:rsidR="0044551A">
        <w:t>especially</w:t>
      </w:r>
      <w:r w:rsidR="00F0761A">
        <w:t xml:space="preserve"> the level we described in terms of</w:t>
      </w:r>
      <w:r w:rsidRPr="00C4476D">
        <w:t xml:space="preserve"> niche construction</w:t>
      </w:r>
      <w:r w:rsidR="0044551A">
        <w:t>, for organisms codetermine their viability with the environment by actively modifying it.</w:t>
      </w:r>
      <w:r w:rsidR="006F6836">
        <w:t xml:space="preserve"> </w:t>
      </w:r>
      <w:r w:rsidR="006F6836" w:rsidRPr="006F6836">
        <w:t xml:space="preserve">Moreover, this approximation allows for natural drift to </w:t>
      </w:r>
      <w:r w:rsidR="00F960E2">
        <w:t>include</w:t>
      </w:r>
      <w:r w:rsidR="006F6836" w:rsidRPr="006F6836">
        <w:t xml:space="preserve"> the construction of social niches as well, for we can now talk about how social norms and institutions specify their own viable pathways through the actions of socially endowed creatures</w:t>
      </w:r>
      <w:r w:rsidR="00FB5E19">
        <w:t xml:space="preserve"> and allow for a plurality of socialized behaviors</w:t>
      </w:r>
      <w:r w:rsidR="006F6836">
        <w:t>.</w:t>
      </w:r>
    </w:p>
    <w:p w14:paraId="32DEA2A3" w14:textId="2DFDD73C" w:rsidR="00A66718" w:rsidRPr="00C4476D" w:rsidRDefault="0044551A" w:rsidP="0044551A">
      <w:pPr>
        <w:tabs>
          <w:tab w:val="num" w:pos="2160"/>
        </w:tabs>
        <w:spacing w:line="360" w:lineRule="auto"/>
        <w:ind w:firstLine="720"/>
        <w:jc w:val="both"/>
      </w:pPr>
      <w:r>
        <w:t xml:space="preserve">Note, however, that natural drift makes no specific claims on how organisms actively take part </w:t>
      </w:r>
      <w:r w:rsidR="006F6836">
        <w:t>i</w:t>
      </w:r>
      <w:r>
        <w:t xml:space="preserve">n their evolutionary pathways. This is so because </w:t>
      </w:r>
      <w:r w:rsidR="00A66718" w:rsidRPr="00C4476D">
        <w:t xml:space="preserve">natural drift </w:t>
      </w:r>
      <w:r w:rsidR="00564192" w:rsidRPr="00C4476D">
        <w:t>construes</w:t>
      </w:r>
      <w:r w:rsidR="00591F99" w:rsidRPr="00C4476D">
        <w:t xml:space="preserve"> selection as a process of ‘conservation of lineages of autopoietic forms, not as a mechanism to generate </w:t>
      </w:r>
      <w:r w:rsidR="00591F99" w:rsidRPr="00C4476D">
        <w:lastRenderedPageBreak/>
        <w:t xml:space="preserve">them’ </w:t>
      </w:r>
      <w:r w:rsidR="00591F99" w:rsidRPr="00C4476D">
        <w:fldChar w:fldCharType="begin" w:fldLock="1"/>
      </w:r>
      <w:r w:rsidR="00957079" w:rsidRPr="00C4476D">
        <w:instrText>ADDIN CSL_CITATION {"citationItems":[{"id":"ITEM-1","itemData":{"DOI":"10.1162/1064546041255575","ISSN":"1064-5462","abstract":"The contribution of the theory of autopoiesis to the definition of life and biological theory affirms biological autonomy as a central notion of scientific and philosophical inquiry, and opposes other biological approaches, based on the notion of genetic information, that consider reproduction and evolution to be the central aspects of life and living phenomenology. This article reviews the autopoietic criticisms of genetic information, reproduction, and evolution in the light of a biology that can solve the problem of living organization.","author":[{"dropping-particle":"","family":"Etxeberria","given":"Arantza","non-dropping-particle":"","parse-names":false,"suffix":""}],"container-title":"Artificial Life","id":"ITEM-1","issue":"3","issued":{"date-parts":[["2004","6"]]},"page":"347-360","title":"Autopoiesis and Natural Drift: Genetic Information, Reproduction, and Evolution Revisited","type":"article-journal","volume":"10"},"locator":"356","uris":["http://www.mendeley.com/documents/?uuid=e788c8bc-cf76-490e-b79b-cfa5d8d18de2"]}],"mendeley":{"formattedCitation":"(Etxeberria, 2004, p. 356)","plainTextFormattedCitation":"(Etxeberria, 2004, p. 356)","previouslyFormattedCitation":"(Etxeberria, 2004, p. 356)"},"properties":{"noteIndex":0},"schema":"https://github.com/citation-style-language/schema/raw/master/csl-citation.json"}</w:instrText>
      </w:r>
      <w:r w:rsidR="00591F99" w:rsidRPr="00C4476D">
        <w:fldChar w:fldCharType="separate"/>
      </w:r>
      <w:r w:rsidR="00591F99" w:rsidRPr="00C4476D">
        <w:rPr>
          <w:noProof/>
        </w:rPr>
        <w:t>(Etxeberria, 2004, p. 356)</w:t>
      </w:r>
      <w:r w:rsidR="00591F99" w:rsidRPr="00C4476D">
        <w:fldChar w:fldCharType="end"/>
      </w:r>
      <w:r w:rsidR="00A66718" w:rsidRPr="00C4476D">
        <w:t xml:space="preserve">. Selection only </w:t>
      </w:r>
      <w:r w:rsidR="00A66718" w:rsidRPr="00C4476D">
        <w:rPr>
          <w:i/>
          <w:iCs/>
        </w:rPr>
        <w:t xml:space="preserve">conserves </w:t>
      </w:r>
      <w:r w:rsidR="00A66718" w:rsidRPr="00C4476D">
        <w:t xml:space="preserve">viable biological organizations, whereas evolutionary innovations </w:t>
      </w:r>
      <w:r w:rsidR="001D575B" w:rsidRPr="00C4476D">
        <w:t>are expected</w:t>
      </w:r>
      <w:r w:rsidR="00A66718" w:rsidRPr="00C4476D">
        <w:t xml:space="preserve"> </w:t>
      </w:r>
      <w:r w:rsidR="001D575B" w:rsidRPr="00C4476D">
        <w:t>t</w:t>
      </w:r>
      <w:r w:rsidR="00A66718" w:rsidRPr="00C4476D">
        <w:t xml:space="preserve">o be explained by other constraints </w:t>
      </w:r>
      <w:r w:rsidR="00834EE6" w:rsidRPr="00C4476D">
        <w:t>(such as development,</w:t>
      </w:r>
      <w:r w:rsidR="00471C77">
        <w:t xml:space="preserve"> genetic drift,</w:t>
      </w:r>
      <w:r w:rsidR="00834EE6" w:rsidRPr="00C4476D">
        <w:t xml:space="preserve"> niche construction and other contingencies that enable variety in reproduction)</w:t>
      </w:r>
      <w:r w:rsidR="00A66718" w:rsidRPr="00C4476D">
        <w:t>. This</w:t>
      </w:r>
      <w:r w:rsidR="0009061C" w:rsidRPr="00C4476D">
        <w:t xml:space="preserve"> conservative aspect of natural drift</w:t>
      </w:r>
      <w:r w:rsidR="00A66718" w:rsidRPr="00C4476D">
        <w:t xml:space="preserve"> is plausibly due to the autopoietic framework which is implicit </w:t>
      </w:r>
      <w:r w:rsidR="00810F25">
        <w:t>i</w:t>
      </w:r>
      <w:r w:rsidR="00A66718" w:rsidRPr="00C4476D">
        <w:t>n the background of TEM</w:t>
      </w:r>
      <w:r w:rsidR="0009061C" w:rsidRPr="00C4476D">
        <w:t xml:space="preserve"> (</w:t>
      </w:r>
      <w:proofErr w:type="spellStart"/>
      <w:r w:rsidR="0009061C" w:rsidRPr="00C4476D">
        <w:t>Etx</w:t>
      </w:r>
      <w:r w:rsidR="00E344FA">
        <w:t>e</w:t>
      </w:r>
      <w:r w:rsidR="0009061C" w:rsidRPr="00C4476D">
        <w:t>berria</w:t>
      </w:r>
      <w:proofErr w:type="spellEnd"/>
      <w:r w:rsidR="0009061C" w:rsidRPr="00C4476D">
        <w:t>, 2004)</w:t>
      </w:r>
      <w:r w:rsidR="00A66718" w:rsidRPr="00C4476D">
        <w:t xml:space="preserve">. </w:t>
      </w:r>
      <w:r w:rsidR="00BD420E" w:rsidRPr="00C4476D">
        <w:t>A</w:t>
      </w:r>
      <w:r w:rsidR="00A66718" w:rsidRPr="00C4476D">
        <w:t>utopoietic processes conserve identity and organization</w:t>
      </w:r>
      <w:r w:rsidR="00591F99" w:rsidRPr="00C4476D">
        <w:t>al</w:t>
      </w:r>
      <w:r w:rsidR="00A66718" w:rsidRPr="00C4476D">
        <w:t xml:space="preserve"> closure—which is why organisms </w:t>
      </w:r>
      <w:r w:rsidR="0009061C" w:rsidRPr="00C4476D">
        <w:t xml:space="preserve">are said to </w:t>
      </w:r>
      <w:r w:rsidR="00A66718" w:rsidRPr="00C4476D">
        <w:rPr>
          <w:i/>
          <w:iCs/>
        </w:rPr>
        <w:t>satisfy</w:t>
      </w:r>
      <w:r w:rsidR="00A66718" w:rsidRPr="00C4476D">
        <w:t xml:space="preserve"> conditions of viability without </w:t>
      </w:r>
      <w:r w:rsidR="00A66718" w:rsidRPr="00C4476D">
        <w:rPr>
          <w:i/>
          <w:iCs/>
        </w:rPr>
        <w:t>optimizing</w:t>
      </w:r>
      <w:r w:rsidR="00A66718" w:rsidRPr="00C4476D">
        <w:t xml:space="preserve"> them. And this, in turn, leads TEM to turn the focus of evolutionary explanations from traits (and their local optimality) to patterns of organization via life history</w:t>
      </w:r>
      <w:r w:rsidR="00FE01A2">
        <w:t xml:space="preserve"> </w:t>
      </w:r>
      <w:r w:rsidR="00FE01A2" w:rsidRPr="00DF4461">
        <w:t>(</w:t>
      </w:r>
      <w:r w:rsidR="00D27A2D" w:rsidRPr="00DF4461">
        <w:rPr>
          <w:rFonts w:eastAsia="Times New Roman" w:cs="Times New Roman"/>
          <w:color w:val="000000"/>
        </w:rPr>
        <w:t>Varela et al.</w:t>
      </w:r>
      <w:r w:rsidR="0088182A" w:rsidRPr="00DF4461">
        <w:rPr>
          <w:rFonts w:eastAsia="Times New Roman" w:cs="Times New Roman"/>
          <w:color w:val="000000"/>
        </w:rPr>
        <w:t>,</w:t>
      </w:r>
      <w:r w:rsidR="00D27A2D" w:rsidRPr="00DF4461">
        <w:rPr>
          <w:rFonts w:eastAsia="Times New Roman" w:cs="Times New Roman"/>
          <w:color w:val="000000"/>
        </w:rPr>
        <w:t xml:space="preserve"> 2016</w:t>
      </w:r>
      <w:r w:rsidR="00FE01A2" w:rsidRPr="00DF4461">
        <w:t>, p. 196)</w:t>
      </w:r>
      <w:r w:rsidR="00A66718" w:rsidRPr="00C4476D">
        <w:t xml:space="preserve">. </w:t>
      </w:r>
    </w:p>
    <w:p w14:paraId="22121DFC" w14:textId="6EFF9B03" w:rsidR="00A66718" w:rsidRPr="00C4476D" w:rsidRDefault="00F6031F" w:rsidP="00A66718">
      <w:pPr>
        <w:tabs>
          <w:tab w:val="num" w:pos="2160"/>
        </w:tabs>
        <w:spacing w:line="360" w:lineRule="auto"/>
        <w:ind w:firstLine="720"/>
        <w:jc w:val="both"/>
      </w:pPr>
      <w:r w:rsidRPr="00C4476D">
        <w:t>Now, a</w:t>
      </w:r>
      <w:r w:rsidR="00356DA6" w:rsidRPr="00C4476D">
        <w:t xml:space="preserve"> concept of</w:t>
      </w:r>
      <w:r w:rsidR="00A66718" w:rsidRPr="00C4476D">
        <w:t xml:space="preserve"> </w:t>
      </w:r>
      <w:r w:rsidR="00A66718" w:rsidRPr="00C4476D">
        <w:rPr>
          <w:i/>
          <w:iCs/>
        </w:rPr>
        <w:t>adap</w:t>
      </w:r>
      <w:r w:rsidRPr="00C4476D">
        <w:rPr>
          <w:i/>
          <w:iCs/>
        </w:rPr>
        <w:t>t</w:t>
      </w:r>
      <w:r w:rsidR="00A66718" w:rsidRPr="00C4476D">
        <w:rPr>
          <w:i/>
          <w:iCs/>
        </w:rPr>
        <w:t>i</w:t>
      </w:r>
      <w:r w:rsidRPr="00C4476D">
        <w:rPr>
          <w:i/>
          <w:iCs/>
        </w:rPr>
        <w:t>vity</w:t>
      </w:r>
      <w:r w:rsidR="00A66718" w:rsidRPr="00C4476D">
        <w:t xml:space="preserve"> </w:t>
      </w:r>
      <w:r w:rsidR="00356DA6" w:rsidRPr="00C4476D">
        <w:t xml:space="preserve">was explicitly articulated </w:t>
      </w:r>
      <w:r w:rsidR="00A66718" w:rsidRPr="00C4476D">
        <w:t xml:space="preserve">in the </w:t>
      </w:r>
      <w:r w:rsidR="007E4BE7" w:rsidRPr="00C4476D">
        <w:t xml:space="preserve">enactivist </w:t>
      </w:r>
      <w:r w:rsidR="00A66718" w:rsidRPr="00C4476D">
        <w:t xml:space="preserve">literature by Di Paolo </w:t>
      </w:r>
      <w:r w:rsidR="00A66718" w:rsidRPr="00C4476D">
        <w:fldChar w:fldCharType="begin" w:fldLock="1"/>
      </w:r>
      <w:r w:rsidR="008A0348">
        <w:instrText>ADDIN CSL_CITATION {"citationItems":[{"id":"ITEM-1","itemData":{"DOI":"10.1007/s11097-005-9002-y","ISSN":"1568-7759","abstract":"A proposal for the biological grounding of intrinsic teleology and sense-making through the theory of autopoiesis is critically evaluated. Autopoiesis provides a systemic language for speaking about intrinsic teleology but its original formulation needs to be elaborated further in order to explain sense-making. This is done by introducing adaptivity, a many-layered property that allows organisms to regulate themselves with respect to their conditions of viability. Adaptivity leads to more articulated concepts of behaviour, agency, sense-construction, health, and temporality than those given so far by autopoiesis and enaction. These and other implications for understanding the organismic generation of values are explored. © Springer 2005.","author":[{"dropping-particle":"","family":"Paolo","given":"Ezequiel","non-dropping-particle":"Di","parse-names":false,"suffix":""}],"container-title":"Phenomenology and the Cognitive Sciences","id":"ITEM-1","issue":"4","issued":{"date-parts":[["2005","12","11"]]},"page":"429-452","title":"Autopoiesis, Adaptivity, Teleology, Agency","type":"article-journal","volume":"4"},"uris":["http://www.mendeley.com/documents/?uuid=8ffa794a-960e-419c-acc9-069c1751d27f"]}],"mendeley":{"formattedCitation":"(Di Paolo, 2005)","manualFormatting":"(2005)","plainTextFormattedCitation":"(Di Paolo, 2005)","previouslyFormattedCitation":"(Di Paolo, 2005)"},"properties":{"noteIndex":0},"schema":"https://github.com/citation-style-language/schema/raw/master/csl-citation.json"}</w:instrText>
      </w:r>
      <w:r w:rsidR="00A66718" w:rsidRPr="00C4476D">
        <w:fldChar w:fldCharType="separate"/>
      </w:r>
      <w:r w:rsidR="00A66718" w:rsidRPr="00C4476D">
        <w:rPr>
          <w:noProof/>
        </w:rPr>
        <w:t>(2005)</w:t>
      </w:r>
      <w:r w:rsidR="00A66718" w:rsidRPr="00C4476D">
        <w:fldChar w:fldCharType="end"/>
      </w:r>
      <w:r w:rsidR="00A66718" w:rsidRPr="00C4476D">
        <w:t xml:space="preserve">, which in turn paves the way for </w:t>
      </w:r>
      <w:r w:rsidR="00E04B74" w:rsidRPr="00C4476D">
        <w:t>a specific understanding of</w:t>
      </w:r>
      <w:r w:rsidR="00A66718" w:rsidRPr="00C4476D">
        <w:t xml:space="preserve"> how developmental constrain</w:t>
      </w:r>
      <w:r w:rsidR="007A779F" w:rsidRPr="00C4476D">
        <w:t>t</w:t>
      </w:r>
      <w:r w:rsidR="00A66718" w:rsidRPr="00C4476D">
        <w:t xml:space="preserve">s affect evolutionary </w:t>
      </w:r>
      <w:r w:rsidR="003B44DA" w:rsidRPr="00C4476D">
        <w:t>processes</w:t>
      </w:r>
      <w:r w:rsidR="00A66718" w:rsidRPr="00C4476D">
        <w:t xml:space="preserve">. Di Paolo argues that </w:t>
      </w:r>
      <w:r w:rsidR="00BD420E" w:rsidRPr="00C4476D">
        <w:t xml:space="preserve">the notion of </w:t>
      </w:r>
      <w:r w:rsidR="00A66718" w:rsidRPr="00C4476D">
        <w:t xml:space="preserve">autopoiesis </w:t>
      </w:r>
      <w:r w:rsidR="00356DA6" w:rsidRPr="00C4476D">
        <w:t xml:space="preserve">only </w:t>
      </w:r>
      <w:r w:rsidR="00331A20" w:rsidRPr="00C4476D">
        <w:t>explains</w:t>
      </w:r>
      <w:r w:rsidR="00A66718" w:rsidRPr="00C4476D">
        <w:t xml:space="preserve"> </w:t>
      </w:r>
      <w:r w:rsidR="00356DA6" w:rsidRPr="00C4476D">
        <w:t xml:space="preserve">how </w:t>
      </w:r>
      <w:r w:rsidR="00A66718" w:rsidRPr="00C4476D">
        <w:t>organism</w:t>
      </w:r>
      <w:r w:rsidR="00356DA6" w:rsidRPr="00C4476D">
        <w:t>s achieve their</w:t>
      </w:r>
      <w:r w:rsidR="00A66718" w:rsidRPr="00C4476D">
        <w:t xml:space="preserve"> unity and </w:t>
      </w:r>
      <w:r w:rsidR="007E4BE7" w:rsidRPr="00C4476D">
        <w:t>author</w:t>
      </w:r>
      <w:r w:rsidR="00356DA6" w:rsidRPr="00C4476D">
        <w:t xml:space="preserve"> their </w:t>
      </w:r>
      <w:r w:rsidR="00A66718" w:rsidRPr="00C4476D">
        <w:t xml:space="preserve">norms of operation, thereby </w:t>
      </w:r>
      <w:r w:rsidR="00356DA6" w:rsidRPr="00C4476D">
        <w:t>creating</w:t>
      </w:r>
      <w:r w:rsidR="00A66718" w:rsidRPr="00C4476D">
        <w:t xml:space="preserve"> the boundaries within which </w:t>
      </w:r>
      <w:r w:rsidR="00356DA6" w:rsidRPr="00C4476D">
        <w:t>their</w:t>
      </w:r>
      <w:r w:rsidR="00A66718" w:rsidRPr="00C4476D">
        <w:t xml:space="preserve"> survival is possible. </w:t>
      </w:r>
      <w:r w:rsidR="00BD420E" w:rsidRPr="00C4476D">
        <w:t>Thus, a</w:t>
      </w:r>
      <w:r w:rsidR="00A66718" w:rsidRPr="00C4476D">
        <w:t>utopoiesis</w:t>
      </w:r>
      <w:r w:rsidR="00BD420E" w:rsidRPr="00C4476D">
        <w:t xml:space="preserve"> </w:t>
      </w:r>
      <w:r w:rsidR="00A66718" w:rsidRPr="00C4476D">
        <w:t xml:space="preserve">only </w:t>
      </w:r>
      <w:r w:rsidR="007E4BE7" w:rsidRPr="00C4476D">
        <w:t>affords an explanation</w:t>
      </w:r>
      <w:r w:rsidR="00A66718" w:rsidRPr="00C4476D">
        <w:t xml:space="preserve"> for </w:t>
      </w:r>
      <w:r w:rsidR="007E4BE7" w:rsidRPr="00C4476D">
        <w:t>how</w:t>
      </w:r>
      <w:r w:rsidR="00A66718" w:rsidRPr="00C4476D">
        <w:t xml:space="preserve"> organism</w:t>
      </w:r>
      <w:r w:rsidR="007E4BE7" w:rsidRPr="00C4476D">
        <w:t>s</w:t>
      </w:r>
      <w:r w:rsidR="00A66718" w:rsidRPr="00C4476D">
        <w:t xml:space="preserve"> </w:t>
      </w:r>
      <w:r w:rsidR="007E4BE7" w:rsidRPr="00C4476D">
        <w:t>discriminate</w:t>
      </w:r>
      <w:r w:rsidR="00A66718" w:rsidRPr="00C4476D">
        <w:t xml:space="preserve"> </w:t>
      </w:r>
      <w:r w:rsidR="007E4BE7" w:rsidRPr="00C4476D">
        <w:t xml:space="preserve">fatal </w:t>
      </w:r>
      <w:r w:rsidRPr="00C4476D">
        <w:t xml:space="preserve">encounters </w:t>
      </w:r>
      <w:r w:rsidR="007E4BE7" w:rsidRPr="00C4476D">
        <w:t xml:space="preserve">from non-fatal </w:t>
      </w:r>
      <w:r w:rsidRPr="00C4476D">
        <w:t>ones</w:t>
      </w:r>
      <w:r w:rsidR="007E4BE7" w:rsidRPr="00C4476D">
        <w:t>. B</w:t>
      </w:r>
      <w:r w:rsidR="00A66718" w:rsidRPr="00C4476D">
        <w:t>ut</w:t>
      </w:r>
      <w:r w:rsidR="00471C77">
        <w:t xml:space="preserve"> it</w:t>
      </w:r>
      <w:r w:rsidR="00A66718" w:rsidRPr="00C4476D">
        <w:t xml:space="preserve"> alone cannot explain how organisms are capable of anticipating and countering </w:t>
      </w:r>
      <w:r w:rsidR="00A66718" w:rsidRPr="00C4476D">
        <w:rPr>
          <w:i/>
          <w:iCs/>
        </w:rPr>
        <w:t>potential</w:t>
      </w:r>
      <w:r w:rsidR="00A66718" w:rsidRPr="00C4476D">
        <w:t xml:space="preserve"> losses of viability</w:t>
      </w:r>
      <w:r w:rsidR="00356DA6" w:rsidRPr="00C4476D">
        <w:t xml:space="preserve"> by </w:t>
      </w:r>
      <w:r w:rsidR="00A66718" w:rsidRPr="00C4476D">
        <w:t>evaluating how some environmental encounters are more desirable than others. For this, enactivis</w:t>
      </w:r>
      <w:r w:rsidR="007E4BE7" w:rsidRPr="00C4476D">
        <w:t xml:space="preserve">m </w:t>
      </w:r>
      <w:r w:rsidR="00A66718" w:rsidRPr="00C4476D">
        <w:t>need</w:t>
      </w:r>
      <w:r w:rsidR="006F6836">
        <w:t>s</w:t>
      </w:r>
      <w:r w:rsidR="00A66718" w:rsidRPr="00C4476D">
        <w:t xml:space="preserve"> </w:t>
      </w:r>
      <w:r w:rsidR="00A66718" w:rsidRPr="00C4476D">
        <w:rPr>
          <w:i/>
          <w:iCs/>
        </w:rPr>
        <w:t>adaptivity</w:t>
      </w:r>
      <w:r w:rsidR="00A66718" w:rsidRPr="00C4476D">
        <w:t>, which Di Paolo defines as:</w:t>
      </w:r>
    </w:p>
    <w:p w14:paraId="2C150D10" w14:textId="77777777" w:rsidR="00A66718" w:rsidRPr="00C4476D" w:rsidRDefault="00A66718" w:rsidP="00A66718">
      <w:pPr>
        <w:tabs>
          <w:tab w:val="num" w:pos="2160"/>
        </w:tabs>
        <w:spacing w:line="360" w:lineRule="auto"/>
        <w:ind w:firstLine="720"/>
        <w:jc w:val="both"/>
      </w:pPr>
    </w:p>
    <w:p w14:paraId="3EA2E159" w14:textId="734AB403" w:rsidR="00A66718" w:rsidRPr="00C4476D" w:rsidRDefault="00A66718" w:rsidP="00A66718">
      <w:pPr>
        <w:spacing w:line="360" w:lineRule="auto"/>
        <w:ind w:left="2268"/>
        <w:jc w:val="both"/>
      </w:pPr>
      <w:r w:rsidRPr="00C4476D">
        <w:t>A system’s capacity, in some circumstances, to regulate its states and its relation to the environment with the result that, if the states are sufficiently close to the boundary of viability, 1. Tendencies are distinguished and acted upon depending on whether the states will approach or recede from the boundary and, as a consequence, 2. Tendencies of the first kind are moved closer to or transformed into tendencies of the second and so future states are prevented from reaching the boundary with an outward velocity  (Di Paolo, 2005, p. 438)</w:t>
      </w:r>
      <w:r w:rsidR="00DF4461">
        <w:t>.</w:t>
      </w:r>
    </w:p>
    <w:p w14:paraId="09ABF890" w14:textId="77777777" w:rsidR="00A66718" w:rsidRPr="00C4476D" w:rsidRDefault="00A66718" w:rsidP="00A66718">
      <w:pPr>
        <w:spacing w:line="360" w:lineRule="auto"/>
        <w:ind w:left="2268"/>
        <w:jc w:val="both"/>
      </w:pPr>
    </w:p>
    <w:p w14:paraId="256B6F00" w14:textId="1C1D6A35" w:rsidR="00A66718" w:rsidRPr="00C4476D" w:rsidRDefault="00A66718" w:rsidP="00591F99">
      <w:pPr>
        <w:spacing w:line="360" w:lineRule="auto"/>
        <w:jc w:val="both"/>
      </w:pPr>
      <w:r w:rsidRPr="00C4476D">
        <w:t xml:space="preserve">The crucial point in this definition is that adaptivity is needed to account for how living organisms dynamically maintain certain relations through </w:t>
      </w:r>
      <w:r w:rsidR="00471C77" w:rsidRPr="00C4476D">
        <w:t xml:space="preserve">self-monitoring </w:t>
      </w:r>
      <w:r w:rsidR="00471C77">
        <w:t xml:space="preserve">and </w:t>
      </w:r>
      <w:r w:rsidRPr="00C4476D">
        <w:t>compensatory structural changes (</w:t>
      </w:r>
      <w:r w:rsidR="00F73197">
        <w:t>ibid.</w:t>
      </w:r>
      <w:r w:rsidR="00810F25">
        <w:t>,</w:t>
      </w:r>
      <w:r w:rsidRPr="00C4476D">
        <w:t xml:space="preserve"> p., 435). Thus, on this reading, adaptivity</w:t>
      </w:r>
      <w:r w:rsidR="007E4BE7" w:rsidRPr="00C4476D">
        <w:t xml:space="preserve"> is the </w:t>
      </w:r>
      <w:r w:rsidRPr="00C4476D">
        <w:t>key for maintaining homeostasis</w:t>
      </w:r>
      <w:r w:rsidR="00BD756B" w:rsidRPr="00C4476D">
        <w:t xml:space="preserve">, which is ‘the process of ensuring the proper conditions of temperature, pH, and solute concentration and the organized delivery and distribution of nutrients, fuel, oxidant, and </w:t>
      </w:r>
      <w:r w:rsidR="00BD756B" w:rsidRPr="00C4476D">
        <w:lastRenderedPageBreak/>
        <w:t xml:space="preserve">wastes throughout the body’ </w:t>
      </w:r>
      <w:r w:rsidR="00BD756B" w:rsidRPr="00C4476D">
        <w:fldChar w:fldCharType="begin" w:fldLock="1"/>
      </w:r>
      <w:r w:rsidR="00BD756B" w:rsidRPr="00C4476D">
        <w:instrText>ADDIN CSL_CITATION {"citationItems":[{"id":"ITEM-1","itemData":{"DOI":"10.1002/cplx.1019","ISBN":"0674001516","ISSN":"1076-2787","abstract":"Can the structures that animals build--from the humble burrows of earthworms to towering termite mounds to the Great Barrier Reef--be said to live? However counterintuitive the idea might first seem, physiological ecologist Scott Turner demonstrates in this book that many animals construct and use structures to harness and control the flow of energy from their environment to their own advantage. Building on Richard Dawkins's classic, The Extended Phenotype, Turner shows why drawing the boundary of an organism's physiology at the skin of the animal is arbitrary. Since the structures animals build undoubtedly do physiological work, capturing and channeling chemical and physical energy, Turner argues that such structures are more properly regarded not as frozen behaviors but as external organs of physiology and even extensions of the animal's phenotype. By challenging dearly held assumptions, a fascinating new view of the living world is opened to us, with implications for our understanding of physiology, the environment, and the remarkable structures animals build.","author":[{"dropping-particle":"","family":"Turner","given":"J. Scott","non-dropping-particle":"","parse-names":false,"suffix":""}],"id":"ITEM-1","issued":{"date-parts":[["2000"]]},"publisher":"Harvard University Press","publisher-place":"Cambridge, Massachusetts","title":"The extended organism: The physiology of animal-built structures","type":"book"},"locator":"78","uris":["http://www.mendeley.com/documents/?uuid=f4435f75-4a6a-4edb-b7de-9fea290873a2"]}],"mendeley":{"formattedCitation":"(Turner, 2000, p. 78)","plainTextFormattedCitation":"(Turner, 2000, p. 78)","previouslyFormattedCitation":"(Turner, 2000, p. 78)"},"properties":{"noteIndex":0},"schema":"https://github.com/citation-style-language/schema/raw/master/csl-citation.json"}</w:instrText>
      </w:r>
      <w:r w:rsidR="00BD756B" w:rsidRPr="00C4476D">
        <w:fldChar w:fldCharType="separate"/>
      </w:r>
      <w:r w:rsidR="00BD756B" w:rsidRPr="00C4476D">
        <w:rPr>
          <w:noProof/>
        </w:rPr>
        <w:t>(Turner, 2000, p. 78)</w:t>
      </w:r>
      <w:r w:rsidR="00BD756B" w:rsidRPr="00C4476D">
        <w:fldChar w:fldCharType="end"/>
      </w:r>
      <w:r w:rsidR="00BD756B" w:rsidRPr="00C4476D">
        <w:t xml:space="preserve">. </w:t>
      </w:r>
      <w:r w:rsidR="00DD0665" w:rsidRPr="00C4476D">
        <w:t>Homeostasis is maintained as the organism acts</w:t>
      </w:r>
      <w:r w:rsidR="007E4BE7" w:rsidRPr="00C4476D">
        <w:t xml:space="preserve"> in relation to many </w:t>
      </w:r>
      <w:r w:rsidRPr="00C4476D">
        <w:t>different encounters</w:t>
      </w:r>
      <w:r w:rsidR="00DD0665" w:rsidRPr="00C4476D">
        <w:t xml:space="preserve">, so </w:t>
      </w:r>
      <w:r w:rsidR="00F6031F" w:rsidRPr="00C4476D">
        <w:t>adaptivity</w:t>
      </w:r>
      <w:r w:rsidR="00DD0665" w:rsidRPr="00C4476D">
        <w:t xml:space="preserve"> also brings about how action takes place</w:t>
      </w:r>
      <w:r w:rsidRPr="00C4476D">
        <w:t>. Crucially, homeostasis has been</w:t>
      </w:r>
      <w:r w:rsidR="001D575B" w:rsidRPr="00C4476D">
        <w:t xml:space="preserve"> persuasively</w:t>
      </w:r>
      <w:r w:rsidRPr="00C4476D">
        <w:t xml:space="preserve"> linked to niche construction theory by Turner </w:t>
      </w:r>
      <w:r w:rsidRPr="00C4476D">
        <w:fldChar w:fldCharType="begin" w:fldLock="1"/>
      </w:r>
      <w:r w:rsidRPr="00C4476D">
        <w:instrText>ADDIN CSL_CITATION {"citationItems":[{"id":"ITEM-1","itemData":{"DOI":"10.1007/s10682-015-9795-2","ISSN":"02697653","abstract":"Niche construction theory (NCT) has been represented as a new and comprehensive theory of evolution, one that breaks the constraints imposed by the dominant and largely gene-selectionist standard evolutionary model that is presently mischaracterized as “Darwinian.” I will argue that NCT is not so much a new theory, as it is a fruitful readmission of a venerable physiological perspective on adaptation, selection and evolution. This perspective is closer in spirit and philosophy to the original (and richer) Darwinian idea developed by Darwin himself, and that animated much of the rich late nineteenth century debate about evolution, heredity, adaptation and development, a debate that was largely eclipsed by the early twentieth century emergence of the Neodarwinian synthesis. I will argue that a full realization of the promise of NCT turns on a full understanding of another intellectual revolution of the nineteenth century, Claude Bernard’s conception of homeostasis, a profound statement of the nature of life that has, through the twentieth century, come to be widely misunderstood and trivialized.","author":[{"dropping-particle":"","family":"Turner","given":"J. Scott","non-dropping-particle":"","parse-names":false,"suffix":""}],"container-title":"Evolutionary Ecology","id":"ITEM-1","issue":"2","issued":{"date-parts":[["2016"]]},"page":"203-219","publisher":"Springer International Publishing","title":"Homeostasis and the physiological dimension of niche construction theory in ecology and evolution","type":"article-journal","volume":"30"},"uris":["http://www.mendeley.com/documents/?uuid=f92e1e6e-d2fc-4465-8b38-7c4898648609"]}],"mendeley":{"formattedCitation":"(Turner, 2016)","manualFormatting":"(2016)","plainTextFormattedCitation":"(Turner, 2016)","previouslyFormattedCitation":"(Turner, 2016)"},"properties":{"noteIndex":0},"schema":"https://github.com/citation-style-language/schema/raw/master/csl-citation.json"}</w:instrText>
      </w:r>
      <w:r w:rsidRPr="00C4476D">
        <w:fldChar w:fldCharType="separate"/>
      </w:r>
      <w:r w:rsidRPr="00C4476D">
        <w:rPr>
          <w:noProof/>
        </w:rPr>
        <w:t>(2016)</w:t>
      </w:r>
      <w:r w:rsidRPr="00C4476D">
        <w:fldChar w:fldCharType="end"/>
      </w:r>
      <w:r w:rsidRPr="00C4476D">
        <w:t xml:space="preserve">. </w:t>
      </w:r>
      <w:r w:rsidR="00BD756B" w:rsidRPr="00C4476D">
        <w:t>As</w:t>
      </w:r>
      <w:r w:rsidRPr="00C4476D">
        <w:t xml:space="preserve"> cells achieve homeostasis by maintaining ionic disequilibrium across its membranes, not only their interior changes but their exterior </w:t>
      </w:r>
      <w:r w:rsidR="00331A20" w:rsidRPr="00C4476D">
        <w:t>changes</w:t>
      </w:r>
      <w:r w:rsidRPr="00C4476D">
        <w:t xml:space="preserve"> </w:t>
      </w:r>
      <w:r w:rsidR="00331A20" w:rsidRPr="00C4476D">
        <w:t>as well</w:t>
      </w:r>
      <w:r w:rsidRPr="00C4476D">
        <w:t xml:space="preserve">. In a very enactivist fashion (which </w:t>
      </w:r>
      <w:r w:rsidR="00DD0665" w:rsidRPr="00C4476D">
        <w:t>he</w:t>
      </w:r>
      <w:r w:rsidRPr="00C4476D">
        <w:t xml:space="preserve"> does not </w:t>
      </w:r>
      <w:r w:rsidR="002614A9" w:rsidRPr="00C4476D">
        <w:t>explicitly refer to</w:t>
      </w:r>
      <w:r w:rsidRPr="00C4476D">
        <w:t xml:space="preserve">), </w:t>
      </w:r>
      <w:r w:rsidR="00DD0665" w:rsidRPr="00C4476D">
        <w:t>Turner</w:t>
      </w:r>
      <w:r w:rsidRPr="00C4476D">
        <w:t xml:space="preserve"> describes this coupling between the cell and its environment as a broadening of the cell’s adaptive boundary (in this case, a membrane) as a case of ‘extended physiology’. </w:t>
      </w:r>
      <w:r w:rsidR="002614A9" w:rsidRPr="00C4476D">
        <w:t>By ‘adaptive boundary’, Turner understands ‘any interface between organism and environment that can be modified so that matter and energy flows enable the persistence of the modifier’ (2016, p. 212). This process</w:t>
      </w:r>
      <w:r w:rsidR="00217A8B" w:rsidRPr="00C4476D">
        <w:t xml:space="preserve"> of broadening adaptive boundaries</w:t>
      </w:r>
      <w:r w:rsidR="002614A9" w:rsidRPr="00C4476D">
        <w:t xml:space="preserve"> is iterated at </w:t>
      </w:r>
      <w:r w:rsidR="00471C77">
        <w:t>different</w:t>
      </w:r>
      <w:r w:rsidR="00471C77" w:rsidRPr="00C4476D">
        <w:t xml:space="preserve"> </w:t>
      </w:r>
      <w:r w:rsidR="002614A9" w:rsidRPr="00C4476D">
        <w:t xml:space="preserve">levels, as </w:t>
      </w:r>
      <w:r w:rsidRPr="00C4476D">
        <w:t xml:space="preserve">cells are associated into epithelia, epithelia into organs, organs into organisms, and organisms </w:t>
      </w:r>
      <w:r w:rsidR="002614A9" w:rsidRPr="00C4476D">
        <w:t>into tenants of niches built</w:t>
      </w:r>
      <w:r w:rsidR="00217A8B" w:rsidRPr="00C4476D">
        <w:t xml:space="preserve"> by the organisms themselves.</w:t>
      </w:r>
      <w:r w:rsidRPr="00C4476D">
        <w:t xml:space="preserve"> </w:t>
      </w:r>
      <w:r w:rsidR="007D02D1" w:rsidRPr="00C4476D">
        <w:t>In so d</w:t>
      </w:r>
      <w:r w:rsidR="00217A8B" w:rsidRPr="00C4476D">
        <w:t>oing, organisms drive</w:t>
      </w:r>
      <w:r w:rsidRPr="00C4476D">
        <w:t xml:space="preserve"> their evolutionary processes </w:t>
      </w:r>
      <w:r w:rsidR="002614A9" w:rsidRPr="00C4476D">
        <w:t>by exploring</w:t>
      </w:r>
      <w:r w:rsidRPr="00C4476D">
        <w:t xml:space="preserve"> viable pathways</w:t>
      </w:r>
      <w:r w:rsidR="002614A9" w:rsidRPr="00C4476D">
        <w:t xml:space="preserve"> through their actions</w:t>
      </w:r>
      <w:r w:rsidRPr="00C4476D">
        <w:t>.</w:t>
      </w:r>
      <w:r w:rsidR="002614A9" w:rsidRPr="00C4476D">
        <w:t xml:space="preserve"> This is the extended organism hypothesis</w:t>
      </w:r>
      <w:r w:rsidR="00BD756B" w:rsidRPr="00C4476D">
        <w:t xml:space="preserve"> </w:t>
      </w:r>
      <w:r w:rsidR="00BD756B" w:rsidRPr="00C4476D">
        <w:fldChar w:fldCharType="begin" w:fldLock="1"/>
      </w:r>
      <w:r w:rsidR="00471C77">
        <w:instrText>ADDIN CSL_CITATION {"citationItems":[{"id":"ITEM-1","itemData":{"DOI":"10.1002/cplx.1019","ISBN":"0674001516","ISSN":"1076-2787","abstract":"Can the structures that animals build--from the humble burrows of earthworms to towering termite mounds to the Great Barrier Reef--be said to live? However counterintuitive the idea might first seem, physiological ecologist Scott Turner demonstrates in this book that many animals construct and use structures to harness and control the flow of energy from their environment to their own advantage. Building on Richard Dawkins's classic, The Extended Phenotype, Turner shows why drawing the boundary of an organism's physiology at the skin of the animal is arbitrary. Since the structures animals build undoubtedly do physiological work, capturing and channeling chemical and physical energy, Turner argues that such structures are more properly regarded not as frozen behaviors but as external organs of physiology and even extensions of the animal's phenotype. By challenging dearly held assumptions, a fascinating new view of the living world is opened to us, with implications for our understanding of physiology, the environment, and the remarkable structures animals build.","author":[{"dropping-particle":"","family":"Turner","given":"J. Scott","non-dropping-particle":"","parse-names":false,"suffix":""}],"id":"ITEM-1","issued":{"date-parts":[["2000"]]},"publisher":"Harvard University Press","publisher-place":"Cambridge, Massachusetts","title":"The extended organism: The physiology of animal-built structures","type":"book"},"uris":["http://www.mendeley.com/documents/?uuid=f4435f75-4a6a-4edb-b7de-9fea290873a2"]}],"mendeley":{"formattedCitation":"(Turner, 2000)","manualFormatting":"(see also Turner, 2000)","plainTextFormattedCitation":"(Turner, 2000)","previouslyFormattedCitation":"(Turner, 2000)"},"properties":{"noteIndex":0},"schema":"https://github.com/citation-style-language/schema/raw/master/csl-citation.json"}</w:instrText>
      </w:r>
      <w:r w:rsidR="00BD756B" w:rsidRPr="00C4476D">
        <w:fldChar w:fldCharType="separate"/>
      </w:r>
      <w:r w:rsidR="00BD756B" w:rsidRPr="00C4476D">
        <w:rPr>
          <w:noProof/>
        </w:rPr>
        <w:t>(</w:t>
      </w:r>
      <w:r w:rsidR="00471C77">
        <w:rPr>
          <w:noProof/>
        </w:rPr>
        <w:t xml:space="preserve">see also </w:t>
      </w:r>
      <w:r w:rsidR="00BD756B" w:rsidRPr="00C4476D">
        <w:rPr>
          <w:noProof/>
        </w:rPr>
        <w:t>Turner, 2000)</w:t>
      </w:r>
      <w:r w:rsidR="00BD756B" w:rsidRPr="00C4476D">
        <w:fldChar w:fldCharType="end"/>
      </w:r>
      <w:r w:rsidR="002614A9" w:rsidRPr="00C4476D">
        <w:t xml:space="preserve">, which brings into niche construction theory the missing point of agency. Agency is </w:t>
      </w:r>
      <w:r w:rsidR="00BD756B" w:rsidRPr="00C4476D">
        <w:t xml:space="preserve">thus </w:t>
      </w:r>
      <w:r w:rsidR="002614A9" w:rsidRPr="00C4476D">
        <w:t>conceived as the active seeking of sources of matter and energy for sustaining the process of maintaining self-organization</w:t>
      </w:r>
      <w:r w:rsidR="00471C77">
        <w:t>, from cell organization to niche construction</w:t>
      </w:r>
      <w:r w:rsidR="002614A9" w:rsidRPr="00C4476D">
        <w:t xml:space="preserve"> (Turner, 2016; Di Paolo, 2005)</w:t>
      </w:r>
      <w:r w:rsidR="00471C77">
        <w:t xml:space="preserve"> and plausibly social construction as well</w:t>
      </w:r>
      <w:r w:rsidR="002614A9" w:rsidRPr="00C4476D">
        <w:t>.</w:t>
      </w:r>
      <w:r w:rsidR="006F6836" w:rsidRPr="00AE16E9">
        <w:rPr>
          <w:rStyle w:val="FootnoteReference"/>
        </w:rPr>
        <w:footnoteReference w:id="15"/>
      </w:r>
      <w:r w:rsidRPr="00C4476D">
        <w:t xml:space="preserve"> </w:t>
      </w:r>
    </w:p>
    <w:p w14:paraId="258E1FCE" w14:textId="12C7592E" w:rsidR="00A66718" w:rsidRDefault="00A66718" w:rsidP="00A66718">
      <w:pPr>
        <w:tabs>
          <w:tab w:val="num" w:pos="2160"/>
        </w:tabs>
        <w:spacing w:line="360" w:lineRule="auto"/>
        <w:ind w:firstLine="720"/>
        <w:jc w:val="both"/>
      </w:pPr>
      <w:r w:rsidRPr="00C4476D">
        <w:t xml:space="preserve">Now, how does this enactivist concept of </w:t>
      </w:r>
      <w:r w:rsidR="00EC1FA5" w:rsidRPr="00C4476D">
        <w:t>adaptivity</w:t>
      </w:r>
      <w:r w:rsidRPr="00C4476D">
        <w:t xml:space="preserve"> fit in with other usages of the term? In evolutionary biology, ‘adaptation’ usually refers to the outcome of </w:t>
      </w:r>
      <w:r w:rsidR="00471C77">
        <w:t>gene</w:t>
      </w:r>
      <w:r w:rsidR="004D094F">
        <w:t>tic</w:t>
      </w:r>
      <w:r w:rsidR="00471C77" w:rsidRPr="00C4476D">
        <w:t xml:space="preserve"> </w:t>
      </w:r>
      <w:r w:rsidRPr="00C4476D">
        <w:t xml:space="preserve">selection. Gould and Lewontin (1979) also distinguish between </w:t>
      </w:r>
      <w:r w:rsidR="006219E8">
        <w:t>the way</w:t>
      </w:r>
      <w:r w:rsidRPr="00C4476D">
        <w:t xml:space="preserve"> </w:t>
      </w:r>
      <w:r w:rsidR="001C3F9F">
        <w:t>th</w:t>
      </w:r>
      <w:r w:rsidR="007215AD">
        <w:t>e</w:t>
      </w:r>
      <w:r w:rsidR="001C3F9F">
        <w:t xml:space="preserve"> term</w:t>
      </w:r>
      <w:r w:rsidR="006219E8">
        <w:t xml:space="preserve"> is used in physiology</w:t>
      </w:r>
      <w:r w:rsidRPr="00C4476D">
        <w:t xml:space="preserve"> and what they call cultural adaptation. The latter refers to a heritable yet non-Darwinian mechanism </w:t>
      </w:r>
      <w:r w:rsidR="001C3F9F">
        <w:t>that</w:t>
      </w:r>
      <w:r w:rsidRPr="00C4476D">
        <w:t xml:space="preserve"> is especially salient in human life forms</w:t>
      </w:r>
      <w:r w:rsidR="00471C77">
        <w:t>. This ties</w:t>
      </w:r>
      <w:r w:rsidRPr="00C4476D">
        <w:t xml:space="preserve"> in with our third way of bringing forth a world</w:t>
      </w:r>
      <w:r w:rsidR="00471C77">
        <w:t>: we adapt to our social environment by incorporating cultural norms</w:t>
      </w:r>
      <w:r w:rsidR="006219E8">
        <w:t xml:space="preserve"> into our practices and monitoring o</w:t>
      </w:r>
      <w:r w:rsidR="004D094F">
        <w:t>u</w:t>
      </w:r>
      <w:r w:rsidR="006219E8">
        <w:t>r own social engagements</w:t>
      </w:r>
      <w:r w:rsidRPr="00C4476D">
        <w:t xml:space="preserve">. </w:t>
      </w:r>
      <w:r w:rsidR="006219E8">
        <w:t>As for</w:t>
      </w:r>
      <w:r w:rsidR="007918B3">
        <w:t xml:space="preserve"> t</w:t>
      </w:r>
      <w:r w:rsidR="00471C77">
        <w:t xml:space="preserve">he concept of </w:t>
      </w:r>
      <w:r w:rsidRPr="00C4476D">
        <w:rPr>
          <w:i/>
          <w:iCs/>
        </w:rPr>
        <w:t>adaptation</w:t>
      </w:r>
      <w:r w:rsidRPr="00C4476D">
        <w:t xml:space="preserve"> </w:t>
      </w:r>
      <w:r w:rsidR="006219E8">
        <w:t>and its use</w:t>
      </w:r>
      <w:r w:rsidRPr="00C4476D">
        <w:t xml:space="preserve"> in physiology</w:t>
      </w:r>
      <w:r w:rsidR="007918B3">
        <w:t xml:space="preserve">, </w:t>
      </w:r>
      <w:r w:rsidR="006219E8">
        <w:t>Gould and Lewontin say it</w:t>
      </w:r>
      <w:r w:rsidRPr="00C4476D">
        <w:t xml:space="preserve"> refer</w:t>
      </w:r>
      <w:r w:rsidR="006219E8">
        <w:t>s</w:t>
      </w:r>
      <w:r w:rsidRPr="00C4476D">
        <w:t xml:space="preserve"> to the ‘phenotypic plasticity that permits organisms to </w:t>
      </w:r>
      <w:proofErr w:type="spellStart"/>
      <w:r w:rsidRPr="00C4476D">
        <w:t>mould</w:t>
      </w:r>
      <w:proofErr w:type="spellEnd"/>
      <w:r w:rsidRPr="00C4476D">
        <w:t xml:space="preserve"> their form to prevailing circumstances during ontogeny’ (1979, p. 592). So conceived, ‘adaptations are not </w:t>
      </w:r>
      <w:r w:rsidR="006F6836">
        <w:t xml:space="preserve">[genetically] </w:t>
      </w:r>
      <w:r w:rsidRPr="00C4476D">
        <w:t>heritable, but the capacity to develop them presumably is</w:t>
      </w:r>
      <w:r w:rsidR="00DD0665" w:rsidRPr="00C4476D">
        <w:t>’</w:t>
      </w:r>
      <w:r w:rsidRPr="00C4476D">
        <w:t xml:space="preserve"> (ibid.)</w:t>
      </w:r>
      <w:r w:rsidR="007918B3">
        <w:t xml:space="preserve">. </w:t>
      </w:r>
      <w:r w:rsidR="006219E8">
        <w:t>T</w:t>
      </w:r>
      <w:r w:rsidR="007918B3">
        <w:t xml:space="preserve">his </w:t>
      </w:r>
      <w:r w:rsidRPr="00C4476D">
        <w:t xml:space="preserve">is precisely the point put forth by Di Paolo’s extension of the </w:t>
      </w:r>
      <w:r w:rsidRPr="00C4476D">
        <w:lastRenderedPageBreak/>
        <w:t xml:space="preserve">enactivist toolbox by adding </w:t>
      </w:r>
      <w:r w:rsidR="00DD0665" w:rsidRPr="00C4476D">
        <w:t xml:space="preserve">the concept of </w:t>
      </w:r>
      <w:r w:rsidRPr="00C4476D">
        <w:rPr>
          <w:i/>
          <w:iCs/>
        </w:rPr>
        <w:t>adaptivity</w:t>
      </w:r>
      <w:r w:rsidRPr="00C4476D">
        <w:t xml:space="preserve"> to it</w:t>
      </w:r>
      <w:r w:rsidR="006219E8">
        <w:t>, namely, to explain in enactivist terms the phenotypic plasticity at play in ontogenesis.</w:t>
      </w:r>
    </w:p>
    <w:p w14:paraId="679466E3" w14:textId="37026254" w:rsidR="006F6836" w:rsidRPr="006F6836" w:rsidRDefault="006F6836" w:rsidP="006F6836">
      <w:pPr>
        <w:tabs>
          <w:tab w:val="num" w:pos="2160"/>
        </w:tabs>
        <w:spacing w:line="360" w:lineRule="auto"/>
        <w:ind w:firstLine="720"/>
        <w:jc w:val="both"/>
      </w:pPr>
      <w:r w:rsidRPr="006F6836">
        <w:t xml:space="preserve">More recently, Evan Thompson revisited the notion of natural drift and expanded on some of its earlier claims, </w:t>
      </w:r>
      <w:r w:rsidR="006219E8">
        <w:t xml:space="preserve">thus </w:t>
      </w:r>
      <w:r w:rsidRPr="006F6836">
        <w:t xml:space="preserve">providing a clearer articulation between autopoiesis and developmental systems theory, as well as renewed criticisms </w:t>
      </w:r>
      <w:r>
        <w:t>to</w:t>
      </w:r>
      <w:r w:rsidRPr="006F6836">
        <w:t xml:space="preserve"> the received view. He then presents natural drift under the label of </w:t>
      </w:r>
      <w:r w:rsidRPr="006F6836">
        <w:rPr>
          <w:i/>
          <w:iCs/>
        </w:rPr>
        <w:t>enactive evolution</w:t>
      </w:r>
      <w:r w:rsidRPr="006F6836">
        <w:t xml:space="preserve"> (Thompson, 2007, p. 205, see also p. 460, fn. 19), and emphasizes that the unit of evolution is not the trait, but the organism-environment system in its life cycle, which includes </w:t>
      </w:r>
      <w:r>
        <w:t>‘</w:t>
      </w:r>
      <w:r w:rsidRPr="006F6836">
        <w:t>not only endogenous elements (genes, cytoplasmic components, cytoskeletal and cortical cellular organization, and so on), but also structured exogeneous environments—environment structures into viable niches by the organisms themselves</w:t>
      </w:r>
      <w:r>
        <w:t>’</w:t>
      </w:r>
      <w:r w:rsidRPr="006F6836">
        <w:t xml:space="preserve"> (p. 204). This quote shows a remarkable approximation between natural drift, or enactive evolution, and niche construction theory, even if Thompson does not draw this conclusion explicitly. </w:t>
      </w:r>
      <w:r>
        <w:t>Importantly, o</w:t>
      </w:r>
      <w:r w:rsidRPr="006F6836">
        <w:t>ne difference between TEM</w:t>
      </w:r>
      <w:r>
        <w:t>’</w:t>
      </w:r>
      <w:r w:rsidRPr="006F6836">
        <w:t>s take on evolution and Thompson</w:t>
      </w:r>
      <w:r>
        <w:t>’</w:t>
      </w:r>
      <w:r w:rsidRPr="006F6836">
        <w:t xml:space="preserve">s revisited position is that, in this latest version, </w:t>
      </w:r>
      <w:r w:rsidR="006219E8">
        <w:t>he</w:t>
      </w:r>
      <w:r w:rsidRPr="006F6836">
        <w:t xml:space="preserve"> makes room for flexibility, which </w:t>
      </w:r>
      <w:r w:rsidR="007918B3">
        <w:t>he describe</w:t>
      </w:r>
      <w:r w:rsidR="004D094F">
        <w:t>s</w:t>
      </w:r>
      <w:r w:rsidR="007918B3">
        <w:t xml:space="preserve"> as ‘</w:t>
      </w:r>
      <w:r w:rsidRPr="006F6836">
        <w:t>the capacity to change in relation to changing conditions, to accommodate change</w:t>
      </w:r>
      <w:r w:rsidR="007918B3">
        <w:t>’</w:t>
      </w:r>
      <w:r w:rsidRPr="006F6836">
        <w:t xml:space="preserve"> (p. 195). Flexibility can be fleshed out in enactivist terms as </w:t>
      </w:r>
      <w:r w:rsidRPr="006F6836">
        <w:rPr>
          <w:i/>
          <w:iCs/>
        </w:rPr>
        <w:t>adaptivity</w:t>
      </w:r>
      <w:r w:rsidRPr="006F6836">
        <w:t>, as we discussed above, and was missing from the original formulation of natural drift.</w:t>
      </w:r>
    </w:p>
    <w:p w14:paraId="5866DC47" w14:textId="036DBEDD" w:rsidR="00A66718" w:rsidRPr="00C4476D" w:rsidRDefault="00471C77" w:rsidP="00A66718">
      <w:pPr>
        <w:spacing w:line="360" w:lineRule="auto"/>
        <w:ind w:firstLine="720"/>
        <w:jc w:val="both"/>
      </w:pPr>
      <w:r>
        <w:t xml:space="preserve">In this section, </w:t>
      </w:r>
      <w:r w:rsidR="00A66718" w:rsidRPr="00C4476D">
        <w:t>we have shown that, even though the idea of evolution by natural drift was not picked up by</w:t>
      </w:r>
      <w:r w:rsidR="006F6836">
        <w:t xml:space="preserve"> most of</w:t>
      </w:r>
      <w:r w:rsidR="00A66718" w:rsidRPr="00C4476D">
        <w:t xml:space="preserve"> subsequent enactivist literature, and even less so by evolutionary biology, it fits nicely into well</w:t>
      </w:r>
      <w:r w:rsidR="00DD0665" w:rsidRPr="00C4476D">
        <w:t>-</w:t>
      </w:r>
      <w:r w:rsidR="00A66718" w:rsidRPr="00C4476D">
        <w:t>established criticisms of adaptationism and it provides suitable links to niche construction theory</w:t>
      </w:r>
      <w:r w:rsidR="009B23A7" w:rsidRPr="00C4476D">
        <w:t xml:space="preserve">, </w:t>
      </w:r>
      <w:r>
        <w:t>which is one</w:t>
      </w:r>
      <w:r w:rsidR="009B23A7" w:rsidRPr="00C4476D">
        <w:t xml:space="preserve"> of the basis for </w:t>
      </w:r>
      <w:r w:rsidR="009426B1" w:rsidRPr="00C4476D">
        <w:t>the e</w:t>
      </w:r>
      <w:r w:rsidR="009B23A7" w:rsidRPr="00C4476D">
        <w:t xml:space="preserve">xtended </w:t>
      </w:r>
      <w:r w:rsidR="009426B1" w:rsidRPr="00C4476D">
        <w:t>e</w:t>
      </w:r>
      <w:r w:rsidR="009B23A7" w:rsidRPr="00C4476D">
        <w:t xml:space="preserve">volutionary </w:t>
      </w:r>
      <w:r w:rsidR="009426B1" w:rsidRPr="00C4476D">
        <w:t>s</w:t>
      </w:r>
      <w:r w:rsidR="009B23A7" w:rsidRPr="00C4476D">
        <w:t>ynthesis</w:t>
      </w:r>
      <w:r w:rsidR="00A66718" w:rsidRPr="00C4476D">
        <w:t>. This suggests that enactivists do have a plausible story to tell about evolution, one that makes sense in the broader enactivist framework—especially if we have in mind the idea that organisms literally bring forth a world, which is the enactivist way to avoid both a na</w:t>
      </w:r>
      <w:r>
        <w:t>i</w:t>
      </w:r>
      <w:r w:rsidR="00A66718" w:rsidRPr="00C4476D">
        <w:t xml:space="preserve">ve commitment to a pregiven world and the idealist threat of projecting an internal world outwards. </w:t>
      </w:r>
    </w:p>
    <w:p w14:paraId="6DB4657C" w14:textId="3CA62522" w:rsidR="00A66718" w:rsidRPr="00C4476D" w:rsidRDefault="00A66718" w:rsidP="00A66718">
      <w:pPr>
        <w:spacing w:line="360" w:lineRule="auto"/>
        <w:jc w:val="both"/>
      </w:pPr>
    </w:p>
    <w:p w14:paraId="4CEB5029" w14:textId="01A38971" w:rsidR="00A66718" w:rsidRPr="00C4476D" w:rsidRDefault="00A66718" w:rsidP="00A66718">
      <w:pPr>
        <w:spacing w:line="360" w:lineRule="auto"/>
        <w:jc w:val="both"/>
      </w:pPr>
      <w:r w:rsidRPr="00C4476D">
        <w:rPr>
          <w:b/>
          <w:bCs/>
        </w:rPr>
        <w:t>Concluding remarks</w:t>
      </w:r>
    </w:p>
    <w:p w14:paraId="79DC6DBE" w14:textId="75F265B1" w:rsidR="00A66718" w:rsidRPr="00C4476D" w:rsidRDefault="00A66718" w:rsidP="00A66718">
      <w:pPr>
        <w:spacing w:line="360" w:lineRule="auto"/>
        <w:jc w:val="both"/>
      </w:pPr>
    </w:p>
    <w:p w14:paraId="6F343195" w14:textId="731CB748" w:rsidR="00DD0665" w:rsidRDefault="00DD0665" w:rsidP="00A66718">
      <w:pPr>
        <w:spacing w:line="360" w:lineRule="auto"/>
        <w:jc w:val="both"/>
      </w:pPr>
      <w:r w:rsidRPr="00C4476D">
        <w:tab/>
      </w:r>
      <w:r w:rsidR="00EC1FA5" w:rsidRPr="00C4476D">
        <w:t xml:space="preserve">Although it is indisputable that </w:t>
      </w:r>
      <w:r w:rsidRPr="00C4476D">
        <w:rPr>
          <w:i/>
          <w:iCs/>
        </w:rPr>
        <w:t>The Embodied Mind</w:t>
      </w:r>
      <w:r w:rsidR="00EC1FA5" w:rsidRPr="00C4476D">
        <w:rPr>
          <w:i/>
          <w:iCs/>
        </w:rPr>
        <w:t xml:space="preserve"> </w:t>
      </w:r>
      <w:r w:rsidR="00EC1FA5" w:rsidRPr="00C4476D">
        <w:t xml:space="preserve">lays the groundwork for enactivism, some of its main themes remain under scrutinized to this day. One such case is the </w:t>
      </w:r>
      <w:r w:rsidR="00B96744" w:rsidRPr="00C4476D">
        <w:t xml:space="preserve">enactivist alternative to </w:t>
      </w:r>
      <w:r w:rsidR="00EC1FA5" w:rsidRPr="00C4476D">
        <w:t>realism and idealism, as well as the idea of natural drift. In this paper, we argued for a literal interpretation of bringing forth a world</w:t>
      </w:r>
      <w:r w:rsidR="00D21F7F" w:rsidRPr="00C4476D">
        <w:t xml:space="preserve">, thus explaining how it happens at three different </w:t>
      </w:r>
      <w:r w:rsidR="00B96744" w:rsidRPr="00C4476D">
        <w:t xml:space="preserve">yet interrelated </w:t>
      </w:r>
      <w:r w:rsidR="00D21F7F" w:rsidRPr="00C4476D">
        <w:t xml:space="preserve">levels: enaction, niche construction and </w:t>
      </w:r>
      <w:r w:rsidR="00456894" w:rsidRPr="00C4476D">
        <w:t xml:space="preserve">social </w:t>
      </w:r>
      <w:r w:rsidR="006F6836">
        <w:t xml:space="preserve">niche </w:t>
      </w:r>
      <w:r w:rsidR="00456894" w:rsidRPr="00C4476D">
        <w:lastRenderedPageBreak/>
        <w:t>construction</w:t>
      </w:r>
      <w:r w:rsidR="00D21F7F" w:rsidRPr="00C4476D">
        <w:t xml:space="preserve">. All of these levels depend on </w:t>
      </w:r>
      <w:r w:rsidR="005E015E">
        <w:t>and are shaped by material</w:t>
      </w:r>
      <w:r w:rsidR="0044551A">
        <w:t xml:space="preserve"> engagements and</w:t>
      </w:r>
      <w:r w:rsidR="00D21F7F" w:rsidRPr="00C4476D">
        <w:t xml:space="preserve"> </w:t>
      </w:r>
      <w:r w:rsidR="0044551A">
        <w:t>interactions</w:t>
      </w:r>
      <w:r w:rsidR="00D21F7F" w:rsidRPr="00C4476D">
        <w:t xml:space="preserve"> that turn a physical reality into a lived world</w:t>
      </w:r>
      <w:r w:rsidR="005E015E">
        <w:t xml:space="preserve"> over </w:t>
      </w:r>
      <w:r w:rsidR="00411799">
        <w:t xml:space="preserve">short </w:t>
      </w:r>
      <w:r w:rsidR="005E015E">
        <w:t xml:space="preserve">and </w:t>
      </w:r>
      <w:r w:rsidR="00411799">
        <w:t xml:space="preserve">long </w:t>
      </w:r>
      <w:r w:rsidR="005E015E">
        <w:t>timescales.</w:t>
      </w:r>
      <w:r w:rsidR="00FE070E">
        <w:t xml:space="preserve"> </w:t>
      </w:r>
      <w:r w:rsidR="00411799">
        <w:t>P</w:t>
      </w:r>
      <w:r w:rsidR="00FE070E" w:rsidRPr="00FE070E">
        <w:t xml:space="preserve">hysical realities </w:t>
      </w:r>
      <w:r w:rsidR="00411799">
        <w:t>are therefore transformed into</w:t>
      </w:r>
      <w:r w:rsidR="00FE070E" w:rsidRPr="00FE070E">
        <w:t xml:space="preserve"> environments</w:t>
      </w:r>
      <w:r w:rsidR="00FE070E">
        <w:t xml:space="preserve"> </w:t>
      </w:r>
      <w:r w:rsidR="00411799">
        <w:t>through the organisms’ actions</w:t>
      </w:r>
      <w:r w:rsidR="00FE070E" w:rsidRPr="00FE070E">
        <w:t>,</w:t>
      </w:r>
      <w:r w:rsidR="00411799">
        <w:t xml:space="preserve"> thereby</w:t>
      </w:r>
      <w:r w:rsidR="00FE070E" w:rsidRPr="00FE070E">
        <w:t xml:space="preserve"> setting the stage for </w:t>
      </w:r>
      <w:r w:rsidR="00411799">
        <w:t xml:space="preserve">further </w:t>
      </w:r>
      <w:r w:rsidR="00FE070E" w:rsidRPr="00FE070E">
        <w:t>development</w:t>
      </w:r>
      <w:r w:rsidR="00411799">
        <w:t>s</w:t>
      </w:r>
      <w:r w:rsidR="00FE070E" w:rsidRPr="00FE070E">
        <w:t xml:space="preserve"> and the contin</w:t>
      </w:r>
      <w:r w:rsidR="00411799">
        <w:t>u</w:t>
      </w:r>
      <w:r w:rsidR="00FE070E" w:rsidRPr="00FE070E">
        <w:t xml:space="preserve">ous bringing forth of </w:t>
      </w:r>
      <w:r w:rsidR="00411799">
        <w:t>the organisms’</w:t>
      </w:r>
      <w:r w:rsidR="00FE070E" w:rsidRPr="00FE070E">
        <w:t xml:space="preserve"> world</w:t>
      </w:r>
      <w:r w:rsidR="00411799">
        <w:t>. Thus, taking seriously the idea of agent-environment historical codetermination</w:t>
      </w:r>
      <w:r w:rsidR="00D21F7F" w:rsidRPr="00C4476D">
        <w:t xml:space="preserve"> enables enactivists to successfully avoid commitment</w:t>
      </w:r>
      <w:r w:rsidR="00B96744" w:rsidRPr="00C4476D">
        <w:t>s</w:t>
      </w:r>
      <w:r w:rsidR="00D21F7F" w:rsidRPr="00C4476D">
        <w:t xml:space="preserve"> with a pregiven world as the object of cognition, and at the same time </w:t>
      </w:r>
      <w:r w:rsidR="00B96744" w:rsidRPr="00C4476D">
        <w:t xml:space="preserve">to dismiss </w:t>
      </w:r>
      <w:r w:rsidR="00D21F7F" w:rsidRPr="00C4476D">
        <w:t xml:space="preserve">the familiar idealist worries that enaction is </w:t>
      </w:r>
      <w:r w:rsidR="00981AB5">
        <w:t>the</w:t>
      </w:r>
      <w:r w:rsidR="00D21F7F" w:rsidRPr="00C4476D">
        <w:t xml:space="preserve"> bringing forth</w:t>
      </w:r>
      <w:r w:rsidR="00981AB5">
        <w:t xml:space="preserve"> of</w:t>
      </w:r>
      <w:r w:rsidR="00D21F7F" w:rsidRPr="00C4476D">
        <w:t xml:space="preserve"> a</w:t>
      </w:r>
      <w:r w:rsidR="00981AB5">
        <w:t>n</w:t>
      </w:r>
      <w:r w:rsidR="00D21F7F" w:rsidRPr="00C4476D">
        <w:t xml:space="preserve"> internal</w:t>
      </w:r>
      <w:r w:rsidR="00981AB5">
        <w:t xml:space="preserve"> </w:t>
      </w:r>
      <w:r w:rsidR="00D21F7F" w:rsidRPr="00C4476D">
        <w:t xml:space="preserve">world. </w:t>
      </w:r>
      <w:r w:rsidR="00432DCF">
        <w:t>The</w:t>
      </w:r>
      <w:r w:rsidR="00D21F7F" w:rsidRPr="00C4476D">
        <w:t xml:space="preserve"> very notion of bringing forth a world, </w:t>
      </w:r>
      <w:r w:rsidR="00432DCF">
        <w:t xml:space="preserve">as we interpret it, </w:t>
      </w:r>
      <w:r w:rsidR="00D21F7F" w:rsidRPr="00C4476D">
        <w:t xml:space="preserve">entails important considerations about evolutionary dynamics that are anticipated in </w:t>
      </w:r>
      <w:r w:rsidR="00D21F7F" w:rsidRPr="00C4476D">
        <w:rPr>
          <w:i/>
          <w:iCs/>
        </w:rPr>
        <w:t>The Embodied Mind</w:t>
      </w:r>
      <w:r w:rsidR="00D21F7F" w:rsidRPr="00C4476D">
        <w:t xml:space="preserve">, and which can be integrated into a broader framework of theories that reject that evolution occurs </w:t>
      </w:r>
      <w:r w:rsidR="003B5146" w:rsidRPr="00C4476D">
        <w:t>mainly</w:t>
      </w:r>
      <w:r w:rsidR="00D21F7F" w:rsidRPr="00C4476D">
        <w:t xml:space="preserve"> in virtue of selection pressures and adaptation. </w:t>
      </w:r>
    </w:p>
    <w:p w14:paraId="15D0F29B" w14:textId="77777777" w:rsidR="006219E8" w:rsidRPr="00C4476D" w:rsidRDefault="006219E8" w:rsidP="00A66718">
      <w:pPr>
        <w:spacing w:line="360" w:lineRule="auto"/>
        <w:jc w:val="both"/>
      </w:pPr>
    </w:p>
    <w:p w14:paraId="28D34227" w14:textId="4FFF0D97" w:rsidR="00312EF8" w:rsidRPr="00DF4461" w:rsidRDefault="00312EF8" w:rsidP="00FB02E3">
      <w:pPr>
        <w:spacing w:line="360" w:lineRule="auto"/>
        <w:jc w:val="both"/>
        <w:rPr>
          <w:b/>
          <w:bCs/>
        </w:rPr>
      </w:pPr>
      <w:r w:rsidRPr="00DF4461">
        <w:rPr>
          <w:b/>
          <w:bCs/>
        </w:rPr>
        <w:t>Acknowledgements</w:t>
      </w:r>
    </w:p>
    <w:p w14:paraId="787E15AF" w14:textId="070E2852" w:rsidR="00312EF8" w:rsidRPr="00DF4461" w:rsidRDefault="00312EF8" w:rsidP="00FB02E3">
      <w:pPr>
        <w:spacing w:line="360" w:lineRule="auto"/>
        <w:jc w:val="both"/>
        <w:rPr>
          <w:b/>
          <w:bCs/>
        </w:rPr>
      </w:pPr>
    </w:p>
    <w:p w14:paraId="452D7F92" w14:textId="5311EEBE" w:rsidR="00312EF8" w:rsidRPr="00312EF8" w:rsidRDefault="00312EF8" w:rsidP="00FB02E3">
      <w:pPr>
        <w:spacing w:line="360" w:lineRule="auto"/>
        <w:jc w:val="both"/>
      </w:pPr>
      <w:r w:rsidRPr="00DF4461">
        <w:t xml:space="preserve">We dedicate this paper to the memory of Humberto Maturana. We would like to thank two anonymous reviewers for their positive remarks, suggestions and criticisms that have greatly improved the quality of this </w:t>
      </w:r>
      <w:r w:rsidR="009041B6" w:rsidRPr="00DF4461">
        <w:t>work</w:t>
      </w:r>
      <w:r w:rsidRPr="00DF4461">
        <w:t xml:space="preserve">. We would also like to thank the members of the </w:t>
      </w:r>
      <w:r w:rsidRPr="00DF4461">
        <w:rPr>
          <w:i/>
          <w:iCs/>
        </w:rPr>
        <w:t>Cognition, Language, Enaction and Affectivity</w:t>
      </w:r>
      <w:r w:rsidRPr="00DF4461">
        <w:t xml:space="preserve"> group</w:t>
      </w:r>
      <w:r w:rsidR="009041B6" w:rsidRPr="00DF4461">
        <w:t xml:space="preserve"> (CLEA)</w:t>
      </w:r>
      <w:r w:rsidRPr="00DF4461">
        <w:t xml:space="preserve"> for commenting on previous versions of th</w:t>
      </w:r>
      <w:r w:rsidR="00BF11AB">
        <w:t>is</w:t>
      </w:r>
      <w:r w:rsidRPr="00DF4461">
        <w:t xml:space="preserve"> paper.</w:t>
      </w:r>
      <w:r>
        <w:t xml:space="preserve"> </w:t>
      </w:r>
    </w:p>
    <w:p w14:paraId="0DA17B91" w14:textId="77777777" w:rsidR="00312EF8" w:rsidRDefault="00312EF8" w:rsidP="00FB02E3">
      <w:pPr>
        <w:spacing w:line="360" w:lineRule="auto"/>
        <w:jc w:val="both"/>
        <w:rPr>
          <w:b/>
          <w:bCs/>
        </w:rPr>
      </w:pPr>
    </w:p>
    <w:p w14:paraId="3A4C01DF" w14:textId="4B9D9C32" w:rsidR="00C96A05" w:rsidRPr="00C4476D" w:rsidRDefault="00A02ECB" w:rsidP="00FB02E3">
      <w:pPr>
        <w:spacing w:line="360" w:lineRule="auto"/>
        <w:jc w:val="both"/>
      </w:pPr>
      <w:r w:rsidRPr="00C4476D">
        <w:rPr>
          <w:b/>
          <w:bCs/>
        </w:rPr>
        <w:t>References</w:t>
      </w:r>
    </w:p>
    <w:p w14:paraId="78D4550C" w14:textId="04CF99A2" w:rsidR="00A02ECB" w:rsidRPr="00C4476D" w:rsidRDefault="00A02ECB" w:rsidP="00FB02E3">
      <w:pPr>
        <w:spacing w:line="360" w:lineRule="auto"/>
        <w:jc w:val="both"/>
      </w:pPr>
    </w:p>
    <w:p w14:paraId="37751763" w14:textId="7BD4543C" w:rsidR="00810F25" w:rsidRPr="00810F25" w:rsidRDefault="00A02ECB" w:rsidP="00810F25">
      <w:pPr>
        <w:widowControl w:val="0"/>
        <w:autoSpaceDE w:val="0"/>
        <w:autoSpaceDN w:val="0"/>
        <w:adjustRightInd w:val="0"/>
        <w:spacing w:line="360" w:lineRule="auto"/>
        <w:ind w:left="480" w:hanging="480"/>
        <w:rPr>
          <w:rFonts w:cs="Times New Roman"/>
          <w:noProof/>
          <w:sz w:val="22"/>
        </w:rPr>
      </w:pPr>
      <w:r w:rsidRPr="00C4476D">
        <w:fldChar w:fldCharType="begin" w:fldLock="1"/>
      </w:r>
      <w:r w:rsidRPr="00C4476D">
        <w:instrText xml:space="preserve">ADDIN Mendeley Bibliography CSL_BIBLIOGRAPHY </w:instrText>
      </w:r>
      <w:r w:rsidRPr="00C4476D">
        <w:fldChar w:fldCharType="separate"/>
      </w:r>
      <w:r w:rsidR="00810F25" w:rsidRPr="00810F25">
        <w:rPr>
          <w:rFonts w:cs="Times New Roman"/>
          <w:noProof/>
          <w:sz w:val="22"/>
        </w:rPr>
        <w:t xml:space="preserve">Baggs, E., &amp; Chemero, A. (2021). Radical embodiment in two directions. </w:t>
      </w:r>
      <w:r w:rsidR="00810F25" w:rsidRPr="00810F25">
        <w:rPr>
          <w:rFonts w:cs="Times New Roman"/>
          <w:i/>
          <w:iCs/>
          <w:noProof/>
          <w:sz w:val="22"/>
        </w:rPr>
        <w:t>Synthese</w:t>
      </w:r>
      <w:r w:rsidR="00810F25" w:rsidRPr="00810F25">
        <w:rPr>
          <w:rFonts w:cs="Times New Roman"/>
          <w:noProof/>
          <w:sz w:val="22"/>
        </w:rPr>
        <w:t xml:space="preserve">, </w:t>
      </w:r>
      <w:r w:rsidR="00810F25" w:rsidRPr="00810F25">
        <w:rPr>
          <w:rFonts w:cs="Times New Roman"/>
          <w:i/>
          <w:iCs/>
          <w:noProof/>
          <w:sz w:val="22"/>
        </w:rPr>
        <w:t>198</w:t>
      </w:r>
      <w:r w:rsidR="00810F25" w:rsidRPr="00810F25">
        <w:rPr>
          <w:rFonts w:cs="Times New Roman"/>
          <w:noProof/>
          <w:sz w:val="22"/>
        </w:rPr>
        <w:t>(S9), 2175–2190. https://doi.org/10.1007/s11229-018-02020-9</w:t>
      </w:r>
    </w:p>
    <w:p w14:paraId="220F10CD"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Barrett, L. (2019). Enactivism, pragmatism…behaviorism? </w:t>
      </w:r>
      <w:r w:rsidRPr="00810F25">
        <w:rPr>
          <w:rFonts w:cs="Times New Roman"/>
          <w:i/>
          <w:iCs/>
          <w:noProof/>
          <w:sz w:val="22"/>
        </w:rPr>
        <w:t>Philosophical Studies</w:t>
      </w:r>
      <w:r w:rsidRPr="00810F25">
        <w:rPr>
          <w:rFonts w:cs="Times New Roman"/>
          <w:noProof/>
          <w:sz w:val="22"/>
        </w:rPr>
        <w:t xml:space="preserve">, </w:t>
      </w:r>
      <w:r w:rsidRPr="00810F25">
        <w:rPr>
          <w:rFonts w:cs="Times New Roman"/>
          <w:i/>
          <w:iCs/>
          <w:noProof/>
          <w:sz w:val="22"/>
        </w:rPr>
        <w:t>176</w:t>
      </w:r>
      <w:r w:rsidRPr="00810F25">
        <w:rPr>
          <w:rFonts w:cs="Times New Roman"/>
          <w:noProof/>
          <w:sz w:val="22"/>
        </w:rPr>
        <w:t>(3), 807–818. https://doi.org/10.1007/s11098-018-01231-7</w:t>
      </w:r>
    </w:p>
    <w:p w14:paraId="3704482A"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AE16E9">
        <w:rPr>
          <w:rFonts w:cs="Times New Roman"/>
          <w:noProof/>
          <w:sz w:val="22"/>
          <w:lang w:val="pt-BR"/>
        </w:rPr>
        <w:t xml:space="preserve">Carvalho, E. de, &amp; Rolla, G. (2020). </w:t>
      </w:r>
      <w:r w:rsidRPr="00810F25">
        <w:rPr>
          <w:rFonts w:cs="Times New Roman"/>
          <w:noProof/>
          <w:sz w:val="22"/>
        </w:rPr>
        <w:t xml:space="preserve">An Enactive-Ecological Approach to Information and Uncertainty. </w:t>
      </w:r>
      <w:r w:rsidRPr="00810F25">
        <w:rPr>
          <w:rFonts w:cs="Times New Roman"/>
          <w:i/>
          <w:iCs/>
          <w:noProof/>
          <w:sz w:val="22"/>
        </w:rPr>
        <w:t>Frontiers in Psychology</w:t>
      </w:r>
      <w:r w:rsidRPr="00810F25">
        <w:rPr>
          <w:rFonts w:cs="Times New Roman"/>
          <w:noProof/>
          <w:sz w:val="22"/>
        </w:rPr>
        <w:t xml:space="preserve">, </w:t>
      </w:r>
      <w:r w:rsidRPr="00810F25">
        <w:rPr>
          <w:rFonts w:cs="Times New Roman"/>
          <w:i/>
          <w:iCs/>
          <w:noProof/>
          <w:sz w:val="22"/>
        </w:rPr>
        <w:t>11</w:t>
      </w:r>
      <w:r w:rsidRPr="00810F25">
        <w:rPr>
          <w:rFonts w:cs="Times New Roman"/>
          <w:noProof/>
          <w:sz w:val="22"/>
        </w:rPr>
        <w:t>, 1–11. https://doi.org/10.3389/fpsyg.2020.00588</w:t>
      </w:r>
    </w:p>
    <w:p w14:paraId="3A5135DF"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Crippen, M. (2020). Enactive Pragmatism and Ecological Psychology. </w:t>
      </w:r>
      <w:r w:rsidRPr="00810F25">
        <w:rPr>
          <w:rFonts w:cs="Times New Roman"/>
          <w:i/>
          <w:iCs/>
          <w:noProof/>
          <w:sz w:val="22"/>
        </w:rPr>
        <w:t>Frontiers in Psychology</w:t>
      </w:r>
      <w:r w:rsidRPr="00810F25">
        <w:rPr>
          <w:rFonts w:cs="Times New Roman"/>
          <w:noProof/>
          <w:sz w:val="22"/>
        </w:rPr>
        <w:t xml:space="preserve">, </w:t>
      </w:r>
      <w:r w:rsidRPr="00810F25">
        <w:rPr>
          <w:rFonts w:cs="Times New Roman"/>
          <w:i/>
          <w:iCs/>
          <w:noProof/>
          <w:sz w:val="22"/>
        </w:rPr>
        <w:t>11</w:t>
      </w:r>
      <w:r w:rsidRPr="00810F25">
        <w:rPr>
          <w:rFonts w:cs="Times New Roman"/>
          <w:noProof/>
          <w:sz w:val="22"/>
        </w:rPr>
        <w:t>(October), 203–204. https://doi.org/10.3389/fpsyg.2020.538644</w:t>
      </w:r>
    </w:p>
    <w:p w14:paraId="588C71D8"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Dawkins, R. (1976). </w:t>
      </w:r>
      <w:r w:rsidRPr="00810F25">
        <w:rPr>
          <w:rFonts w:cs="Times New Roman"/>
          <w:i/>
          <w:iCs/>
          <w:noProof/>
          <w:sz w:val="22"/>
        </w:rPr>
        <w:t>The Selfish Gene</w:t>
      </w:r>
      <w:r w:rsidRPr="00810F25">
        <w:rPr>
          <w:rFonts w:cs="Times New Roman"/>
          <w:noProof/>
          <w:sz w:val="22"/>
        </w:rPr>
        <w:t>. Oxford University Press.</w:t>
      </w:r>
    </w:p>
    <w:p w14:paraId="1EF85066"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De Jesus, P. (2018). Thinking through enactive agency: sense-making, bio-semiosis and the ontologies of organismic worlds. </w:t>
      </w:r>
      <w:r w:rsidRPr="00810F25">
        <w:rPr>
          <w:rFonts w:cs="Times New Roman"/>
          <w:i/>
          <w:iCs/>
          <w:noProof/>
          <w:sz w:val="22"/>
        </w:rPr>
        <w:t>Phenomenology and the Cognitive Sciences</w:t>
      </w:r>
      <w:r w:rsidRPr="00810F25">
        <w:rPr>
          <w:rFonts w:cs="Times New Roman"/>
          <w:noProof/>
          <w:sz w:val="22"/>
        </w:rPr>
        <w:t xml:space="preserve">, </w:t>
      </w:r>
      <w:r w:rsidRPr="00810F25">
        <w:rPr>
          <w:rFonts w:cs="Times New Roman"/>
          <w:i/>
          <w:iCs/>
          <w:noProof/>
          <w:sz w:val="22"/>
        </w:rPr>
        <w:t>17</w:t>
      </w:r>
      <w:r w:rsidRPr="00810F25">
        <w:rPr>
          <w:rFonts w:cs="Times New Roman"/>
          <w:noProof/>
          <w:sz w:val="22"/>
        </w:rPr>
        <w:t>(5), 861–887. https://doi.org/10.1007/s11097-018-9562-2</w:t>
      </w:r>
    </w:p>
    <w:p w14:paraId="3731263B"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Di Paolo, E. (2005). Autopoiesis, Adaptivity, Teleology, Agency. </w:t>
      </w:r>
      <w:r w:rsidRPr="00810F25">
        <w:rPr>
          <w:rFonts w:cs="Times New Roman"/>
          <w:i/>
          <w:iCs/>
          <w:noProof/>
          <w:sz w:val="22"/>
        </w:rPr>
        <w:t xml:space="preserve">Phenomenology and the Cognitive </w:t>
      </w:r>
      <w:r w:rsidRPr="00810F25">
        <w:rPr>
          <w:rFonts w:cs="Times New Roman"/>
          <w:i/>
          <w:iCs/>
          <w:noProof/>
          <w:sz w:val="22"/>
        </w:rPr>
        <w:lastRenderedPageBreak/>
        <w:t>Sciences</w:t>
      </w:r>
      <w:r w:rsidRPr="00810F25">
        <w:rPr>
          <w:rFonts w:cs="Times New Roman"/>
          <w:noProof/>
          <w:sz w:val="22"/>
        </w:rPr>
        <w:t xml:space="preserve">, </w:t>
      </w:r>
      <w:r w:rsidRPr="00810F25">
        <w:rPr>
          <w:rFonts w:cs="Times New Roman"/>
          <w:i/>
          <w:iCs/>
          <w:noProof/>
          <w:sz w:val="22"/>
        </w:rPr>
        <w:t>4</w:t>
      </w:r>
      <w:r w:rsidRPr="00810F25">
        <w:rPr>
          <w:rFonts w:cs="Times New Roman"/>
          <w:noProof/>
          <w:sz w:val="22"/>
        </w:rPr>
        <w:t>(4), 429–452. https://doi.org/10.1007/s11097-005-9002-y</w:t>
      </w:r>
    </w:p>
    <w:p w14:paraId="739482B7"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AE16E9">
        <w:rPr>
          <w:rFonts w:cs="Times New Roman"/>
          <w:noProof/>
          <w:sz w:val="22"/>
          <w:lang w:val="pt-BR"/>
        </w:rPr>
        <w:t xml:space="preserve">Di Paolo, E., Buhrmann, T., &amp; Barandiaram, X. (2017). </w:t>
      </w:r>
      <w:r w:rsidRPr="00810F25">
        <w:rPr>
          <w:rFonts w:cs="Times New Roman"/>
          <w:i/>
          <w:iCs/>
          <w:noProof/>
          <w:sz w:val="22"/>
        </w:rPr>
        <w:t>Sensorimotor Life: An Enactive Proposal</w:t>
      </w:r>
      <w:r w:rsidRPr="00810F25">
        <w:rPr>
          <w:rFonts w:cs="Times New Roman"/>
          <w:noProof/>
          <w:sz w:val="22"/>
        </w:rPr>
        <w:t>. Oxford University Press. https://doi.org/10.1093/acprof:oso/9780198786849.001.0001</w:t>
      </w:r>
    </w:p>
    <w:p w14:paraId="2367AC28" w14:textId="77777777" w:rsidR="00810F25" w:rsidRPr="00AE16E9" w:rsidRDefault="00810F25" w:rsidP="00810F25">
      <w:pPr>
        <w:widowControl w:val="0"/>
        <w:autoSpaceDE w:val="0"/>
        <w:autoSpaceDN w:val="0"/>
        <w:adjustRightInd w:val="0"/>
        <w:spacing w:line="360" w:lineRule="auto"/>
        <w:ind w:left="480" w:hanging="480"/>
        <w:rPr>
          <w:rFonts w:cs="Times New Roman"/>
          <w:noProof/>
          <w:sz w:val="22"/>
          <w:lang w:val="pt-BR"/>
        </w:rPr>
      </w:pPr>
      <w:r w:rsidRPr="00810F25">
        <w:rPr>
          <w:rFonts w:cs="Times New Roman"/>
          <w:noProof/>
          <w:sz w:val="22"/>
        </w:rPr>
        <w:t xml:space="preserve">Di Paolo, E., Cuffari, E. C., &amp; De Jaegher, H. (2018). </w:t>
      </w:r>
      <w:r w:rsidRPr="00810F25">
        <w:rPr>
          <w:rFonts w:cs="Times New Roman"/>
          <w:i/>
          <w:iCs/>
          <w:noProof/>
          <w:sz w:val="22"/>
        </w:rPr>
        <w:t>Linguistic Bodies: The Continuity Between Life and Language</w:t>
      </w:r>
      <w:r w:rsidRPr="00810F25">
        <w:rPr>
          <w:rFonts w:cs="Times New Roman"/>
          <w:noProof/>
          <w:sz w:val="22"/>
        </w:rPr>
        <w:t xml:space="preserve">. </w:t>
      </w:r>
      <w:r w:rsidRPr="00AE16E9">
        <w:rPr>
          <w:rFonts w:cs="Times New Roman"/>
          <w:noProof/>
          <w:sz w:val="22"/>
          <w:lang w:val="pt-BR"/>
        </w:rPr>
        <w:t>MIT Press.</w:t>
      </w:r>
    </w:p>
    <w:p w14:paraId="5B442FCE"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AE16E9">
        <w:rPr>
          <w:rFonts w:cs="Times New Roman"/>
          <w:noProof/>
          <w:sz w:val="22"/>
          <w:lang w:val="pt-BR"/>
        </w:rPr>
        <w:t xml:space="preserve">dos Reis, C. R. M., &amp; Araújo, L. A. L. (2020). </w:t>
      </w:r>
      <w:r w:rsidRPr="00810F25">
        <w:rPr>
          <w:rFonts w:cs="Times New Roman"/>
          <w:noProof/>
          <w:sz w:val="22"/>
        </w:rPr>
        <w:t xml:space="preserve">Extended Evolutionary Synthesis: Neither Synthesis Nor Extension. </w:t>
      </w:r>
      <w:r w:rsidRPr="00810F25">
        <w:rPr>
          <w:rFonts w:cs="Times New Roman"/>
          <w:i/>
          <w:iCs/>
          <w:noProof/>
          <w:sz w:val="22"/>
        </w:rPr>
        <w:t>Biological Theory</w:t>
      </w:r>
      <w:r w:rsidRPr="00810F25">
        <w:rPr>
          <w:rFonts w:cs="Times New Roman"/>
          <w:noProof/>
          <w:sz w:val="22"/>
        </w:rPr>
        <w:t xml:space="preserve">, </w:t>
      </w:r>
      <w:r w:rsidRPr="00810F25">
        <w:rPr>
          <w:rFonts w:cs="Times New Roman"/>
          <w:i/>
          <w:iCs/>
          <w:noProof/>
          <w:sz w:val="22"/>
        </w:rPr>
        <w:t>15</w:t>
      </w:r>
      <w:r w:rsidRPr="00810F25">
        <w:rPr>
          <w:rFonts w:cs="Times New Roman"/>
          <w:noProof/>
          <w:sz w:val="22"/>
        </w:rPr>
        <w:t>(2), 57–60. https://doi.org/10.1007/s13752-020-00347-6</w:t>
      </w:r>
    </w:p>
    <w:p w14:paraId="61EAD14B"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Etxeberria, A. (2004). Autopoiesis and Natural Drift: Genetic Information, Reproduction, and Evolution Revisited. </w:t>
      </w:r>
      <w:r w:rsidRPr="00810F25">
        <w:rPr>
          <w:rFonts w:cs="Times New Roman"/>
          <w:i/>
          <w:iCs/>
          <w:noProof/>
          <w:sz w:val="22"/>
        </w:rPr>
        <w:t>Artificial Life</w:t>
      </w:r>
      <w:r w:rsidRPr="00810F25">
        <w:rPr>
          <w:rFonts w:cs="Times New Roman"/>
          <w:noProof/>
          <w:sz w:val="22"/>
        </w:rPr>
        <w:t xml:space="preserve">, </w:t>
      </w:r>
      <w:r w:rsidRPr="00810F25">
        <w:rPr>
          <w:rFonts w:cs="Times New Roman"/>
          <w:i/>
          <w:iCs/>
          <w:noProof/>
          <w:sz w:val="22"/>
        </w:rPr>
        <w:t>10</w:t>
      </w:r>
      <w:r w:rsidRPr="00810F25">
        <w:rPr>
          <w:rFonts w:cs="Times New Roman"/>
          <w:noProof/>
          <w:sz w:val="22"/>
        </w:rPr>
        <w:t>(3), 347–360. https://doi.org/10.1162/1064546041255575</w:t>
      </w:r>
    </w:p>
    <w:p w14:paraId="086C13D3"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Gallagher, S. (2017). </w:t>
      </w:r>
      <w:r w:rsidRPr="00810F25">
        <w:rPr>
          <w:rFonts w:cs="Times New Roman"/>
          <w:i/>
          <w:iCs/>
          <w:noProof/>
          <w:sz w:val="22"/>
        </w:rPr>
        <w:t>Enactivist Interventions: Rethiking the Mind</w:t>
      </w:r>
      <w:r w:rsidRPr="00810F25">
        <w:rPr>
          <w:rFonts w:cs="Times New Roman"/>
          <w:noProof/>
          <w:sz w:val="22"/>
        </w:rPr>
        <w:t xml:space="preserve"> (Vol. 1). Oxford University Press. https://doi.org/10.1093/oso/9780198794325.001.0001</w:t>
      </w:r>
    </w:p>
    <w:p w14:paraId="35413682"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Gallagher, S., &amp; Allen, M. (2018). Active inference, enactivism and the hermeneutics of social cognition. </w:t>
      </w:r>
      <w:r w:rsidRPr="00810F25">
        <w:rPr>
          <w:rFonts w:cs="Times New Roman"/>
          <w:i/>
          <w:iCs/>
          <w:noProof/>
          <w:sz w:val="22"/>
        </w:rPr>
        <w:t>Synthese</w:t>
      </w:r>
      <w:r w:rsidRPr="00810F25">
        <w:rPr>
          <w:rFonts w:cs="Times New Roman"/>
          <w:noProof/>
          <w:sz w:val="22"/>
        </w:rPr>
        <w:t xml:space="preserve">, </w:t>
      </w:r>
      <w:r w:rsidRPr="00810F25">
        <w:rPr>
          <w:rFonts w:cs="Times New Roman"/>
          <w:i/>
          <w:iCs/>
          <w:noProof/>
          <w:sz w:val="22"/>
        </w:rPr>
        <w:t>195</w:t>
      </w:r>
      <w:r w:rsidRPr="00810F25">
        <w:rPr>
          <w:rFonts w:cs="Times New Roman"/>
          <w:noProof/>
          <w:sz w:val="22"/>
        </w:rPr>
        <w:t>(6), 2627–2648. https://doi.org/10.1007/s11229-016-1269-8</w:t>
      </w:r>
    </w:p>
    <w:p w14:paraId="21D4DD30"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Gibson, J. J. (2015). </w:t>
      </w:r>
      <w:r w:rsidRPr="00810F25">
        <w:rPr>
          <w:rFonts w:cs="Times New Roman"/>
          <w:i/>
          <w:iCs/>
          <w:noProof/>
          <w:sz w:val="22"/>
        </w:rPr>
        <w:t>The Ecological Approach to Visual Perception</w:t>
      </w:r>
      <w:r w:rsidRPr="00810F25">
        <w:rPr>
          <w:rFonts w:cs="Times New Roman"/>
          <w:noProof/>
          <w:sz w:val="22"/>
        </w:rPr>
        <w:t>. Psychology Press.</w:t>
      </w:r>
    </w:p>
    <w:p w14:paraId="7E364A9B"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Godfrey-Smith, P. (2001). Three Kinds of Adaptationism. In </w:t>
      </w:r>
      <w:r w:rsidRPr="00810F25">
        <w:rPr>
          <w:rFonts w:cs="Times New Roman"/>
          <w:i/>
          <w:iCs/>
          <w:noProof/>
          <w:sz w:val="22"/>
        </w:rPr>
        <w:t>Adaptationism and Optimality</w:t>
      </w:r>
      <w:r w:rsidRPr="00810F25">
        <w:rPr>
          <w:rFonts w:cs="Times New Roman"/>
          <w:noProof/>
          <w:sz w:val="22"/>
        </w:rPr>
        <w:t xml:space="preserve"> (pp. 335–357). Cambridge University Press. https://doi.org/10.1017/CBO9780511609084.012</w:t>
      </w:r>
    </w:p>
    <w:p w14:paraId="03D92A27"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Gould, S. J., &amp; Lewontin, R. C. (1979). The spandrels of San Marco and the Panglossian paradigm: a critique of the adaptationist programme. </w:t>
      </w:r>
      <w:r w:rsidRPr="00810F25">
        <w:rPr>
          <w:rFonts w:cs="Times New Roman"/>
          <w:i/>
          <w:iCs/>
          <w:noProof/>
          <w:sz w:val="22"/>
        </w:rPr>
        <w:t>Proceedings of the Royal Society of London - Biological Sciences</w:t>
      </w:r>
      <w:r w:rsidRPr="00810F25">
        <w:rPr>
          <w:rFonts w:cs="Times New Roman"/>
          <w:noProof/>
          <w:sz w:val="22"/>
        </w:rPr>
        <w:t xml:space="preserve">, </w:t>
      </w:r>
      <w:r w:rsidRPr="00810F25">
        <w:rPr>
          <w:rFonts w:cs="Times New Roman"/>
          <w:i/>
          <w:iCs/>
          <w:noProof/>
          <w:sz w:val="22"/>
        </w:rPr>
        <w:t>205</w:t>
      </w:r>
      <w:r w:rsidRPr="00810F25">
        <w:rPr>
          <w:rFonts w:cs="Times New Roman"/>
          <w:noProof/>
          <w:sz w:val="22"/>
        </w:rPr>
        <w:t>(1161), 581–598. https://doi.org/10.1098/rspb.1979.0086</w:t>
      </w:r>
    </w:p>
    <w:p w14:paraId="3D32C7CD" w14:textId="77777777" w:rsidR="00810F25" w:rsidRPr="00AE16E9" w:rsidRDefault="00810F25" w:rsidP="00810F25">
      <w:pPr>
        <w:widowControl w:val="0"/>
        <w:autoSpaceDE w:val="0"/>
        <w:autoSpaceDN w:val="0"/>
        <w:adjustRightInd w:val="0"/>
        <w:spacing w:line="360" w:lineRule="auto"/>
        <w:ind w:left="480" w:hanging="480"/>
        <w:rPr>
          <w:rFonts w:cs="Times New Roman"/>
          <w:noProof/>
          <w:sz w:val="22"/>
          <w:lang w:val="de-DE"/>
        </w:rPr>
      </w:pPr>
      <w:r w:rsidRPr="00810F25">
        <w:rPr>
          <w:rFonts w:cs="Times New Roman"/>
          <w:noProof/>
          <w:sz w:val="22"/>
        </w:rPr>
        <w:t xml:space="preserve">Heft, H. (2020). Ecological Psychology and Enaction Theory: Divergent Groundings. </w:t>
      </w:r>
      <w:r w:rsidRPr="00AE16E9">
        <w:rPr>
          <w:rFonts w:cs="Times New Roman"/>
          <w:i/>
          <w:iCs/>
          <w:noProof/>
          <w:sz w:val="22"/>
          <w:lang w:val="de-DE"/>
        </w:rPr>
        <w:t>Frontiers in Psychology</w:t>
      </w:r>
      <w:r w:rsidRPr="00AE16E9">
        <w:rPr>
          <w:rFonts w:cs="Times New Roman"/>
          <w:noProof/>
          <w:sz w:val="22"/>
          <w:lang w:val="de-DE"/>
        </w:rPr>
        <w:t xml:space="preserve">, </w:t>
      </w:r>
      <w:r w:rsidRPr="00AE16E9">
        <w:rPr>
          <w:rFonts w:cs="Times New Roman"/>
          <w:i/>
          <w:iCs/>
          <w:noProof/>
          <w:sz w:val="22"/>
          <w:lang w:val="de-DE"/>
        </w:rPr>
        <w:t>11</w:t>
      </w:r>
      <w:r w:rsidRPr="00AE16E9">
        <w:rPr>
          <w:rFonts w:cs="Times New Roman"/>
          <w:noProof/>
          <w:sz w:val="22"/>
          <w:lang w:val="de-DE"/>
        </w:rPr>
        <w:t>. https://doi.org/10.3389/fpsyg.2020.00991</w:t>
      </w:r>
    </w:p>
    <w:p w14:paraId="6027CEB3"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AE16E9">
        <w:rPr>
          <w:rFonts w:cs="Times New Roman"/>
          <w:noProof/>
          <w:sz w:val="22"/>
          <w:lang w:val="de-DE"/>
        </w:rPr>
        <w:t xml:space="preserve">Heras-Escribano, M. (2019). </w:t>
      </w:r>
      <w:r w:rsidRPr="00810F25">
        <w:rPr>
          <w:rFonts w:cs="Times New Roman"/>
          <w:noProof/>
          <w:sz w:val="22"/>
        </w:rPr>
        <w:t xml:space="preserve">Pragmatism, enactivism, and ecological psychology: towards a unified approach to post-cognitivism. </w:t>
      </w:r>
      <w:r w:rsidRPr="00810F25">
        <w:rPr>
          <w:rFonts w:cs="Times New Roman"/>
          <w:i/>
          <w:iCs/>
          <w:noProof/>
          <w:sz w:val="22"/>
        </w:rPr>
        <w:t>Synthese</w:t>
      </w:r>
      <w:r w:rsidRPr="00810F25">
        <w:rPr>
          <w:rFonts w:cs="Times New Roman"/>
          <w:noProof/>
          <w:sz w:val="22"/>
        </w:rPr>
        <w:t xml:space="preserve">, </w:t>
      </w:r>
      <w:r w:rsidRPr="00810F25">
        <w:rPr>
          <w:rFonts w:cs="Times New Roman"/>
          <w:i/>
          <w:iCs/>
          <w:noProof/>
          <w:sz w:val="22"/>
        </w:rPr>
        <w:t>0123456789</w:t>
      </w:r>
      <w:r w:rsidRPr="00810F25">
        <w:rPr>
          <w:rFonts w:cs="Times New Roman"/>
          <w:noProof/>
          <w:sz w:val="22"/>
        </w:rPr>
        <w:t>. https://doi.org/10.1007/s11229-019-02111-1</w:t>
      </w:r>
    </w:p>
    <w:p w14:paraId="723190F3"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Heyes, C. (2015). Animal mindreading: what’s the problem? </w:t>
      </w:r>
      <w:r w:rsidRPr="00810F25">
        <w:rPr>
          <w:rFonts w:cs="Times New Roman"/>
          <w:i/>
          <w:iCs/>
          <w:noProof/>
          <w:sz w:val="22"/>
        </w:rPr>
        <w:t>Psychonomic Bulletin &amp; Review</w:t>
      </w:r>
      <w:r w:rsidRPr="00810F25">
        <w:rPr>
          <w:rFonts w:cs="Times New Roman"/>
          <w:noProof/>
          <w:sz w:val="22"/>
        </w:rPr>
        <w:t xml:space="preserve">, </w:t>
      </w:r>
      <w:r w:rsidRPr="00810F25">
        <w:rPr>
          <w:rFonts w:cs="Times New Roman"/>
          <w:i/>
          <w:iCs/>
          <w:noProof/>
          <w:sz w:val="22"/>
        </w:rPr>
        <w:t>22</w:t>
      </w:r>
      <w:r w:rsidRPr="00810F25">
        <w:rPr>
          <w:rFonts w:cs="Times New Roman"/>
          <w:noProof/>
          <w:sz w:val="22"/>
        </w:rPr>
        <w:t>(2), 313–327. https://doi.org/10.3758/s13423-014-0704-4</w:t>
      </w:r>
    </w:p>
    <w:p w14:paraId="7292B801"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Hutto, D. D., &amp; Myin, E. (2013). </w:t>
      </w:r>
      <w:r w:rsidRPr="00810F25">
        <w:rPr>
          <w:rFonts w:cs="Times New Roman"/>
          <w:i/>
          <w:iCs/>
          <w:noProof/>
          <w:sz w:val="22"/>
        </w:rPr>
        <w:t>Radicalizing Enactivism: Basic Minds without Content</w:t>
      </w:r>
      <w:r w:rsidRPr="00810F25">
        <w:rPr>
          <w:rFonts w:cs="Times New Roman"/>
          <w:noProof/>
          <w:sz w:val="22"/>
        </w:rPr>
        <w:t>. MIT Press.</w:t>
      </w:r>
    </w:p>
    <w:p w14:paraId="01A9F6C7"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Hutto, D. D., &amp; Myin, E. (2017). </w:t>
      </w:r>
      <w:r w:rsidRPr="00810F25">
        <w:rPr>
          <w:rFonts w:cs="Times New Roman"/>
          <w:i/>
          <w:iCs/>
          <w:noProof/>
          <w:sz w:val="22"/>
        </w:rPr>
        <w:t>Evolving Enactivism: Basic Minds Meet Content</w:t>
      </w:r>
      <w:r w:rsidRPr="00810F25">
        <w:rPr>
          <w:rFonts w:cs="Times New Roman"/>
          <w:noProof/>
          <w:sz w:val="22"/>
        </w:rPr>
        <w:t>. The MIT Press.</w:t>
      </w:r>
    </w:p>
    <w:p w14:paraId="706CDFDF"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Hutto, D., &amp; Peeters, A. (2018). The Roots of Remembering. In K. Michaelian, D. Debus, &amp; D. Perrini (Eds.), </w:t>
      </w:r>
      <w:r w:rsidRPr="00810F25">
        <w:rPr>
          <w:rFonts w:cs="Times New Roman"/>
          <w:i/>
          <w:iCs/>
          <w:noProof/>
          <w:sz w:val="22"/>
        </w:rPr>
        <w:t>New Directions in the Philosophy of Memory</w:t>
      </w:r>
      <w:r w:rsidRPr="00810F25">
        <w:rPr>
          <w:rFonts w:cs="Times New Roman"/>
          <w:noProof/>
          <w:sz w:val="22"/>
        </w:rPr>
        <w:t xml:space="preserve"> (pp. 97–118). Routledge.</w:t>
      </w:r>
    </w:p>
    <w:p w14:paraId="1BD554F8"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Ihde, D., &amp; Malafouris, L. (2019). Homo faber revisited: Postphenomenology and material engagement theory. </w:t>
      </w:r>
      <w:r w:rsidRPr="00810F25">
        <w:rPr>
          <w:rFonts w:cs="Times New Roman"/>
          <w:i/>
          <w:iCs/>
          <w:noProof/>
          <w:sz w:val="22"/>
        </w:rPr>
        <w:t>Philosophy &amp; Technology</w:t>
      </w:r>
      <w:r w:rsidRPr="00810F25">
        <w:rPr>
          <w:rFonts w:cs="Times New Roman"/>
          <w:noProof/>
          <w:sz w:val="22"/>
        </w:rPr>
        <w:t xml:space="preserve">, </w:t>
      </w:r>
      <w:r w:rsidRPr="00810F25">
        <w:rPr>
          <w:rFonts w:cs="Times New Roman"/>
          <w:i/>
          <w:iCs/>
          <w:noProof/>
          <w:sz w:val="22"/>
        </w:rPr>
        <w:t>32</w:t>
      </w:r>
      <w:r w:rsidRPr="00810F25">
        <w:rPr>
          <w:rFonts w:cs="Times New Roman"/>
          <w:noProof/>
          <w:sz w:val="22"/>
        </w:rPr>
        <w:t>(2), 195–214. https://doi.org/10.1007/s13347-018-0321-7</w:t>
      </w:r>
    </w:p>
    <w:p w14:paraId="62295CC6"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Kirchhoff, M. D., &amp; Robertson, I. (2018). Enactivism and Predictive Processing: A Non-Representational View. </w:t>
      </w:r>
      <w:r w:rsidRPr="00810F25">
        <w:rPr>
          <w:rFonts w:cs="Times New Roman"/>
          <w:i/>
          <w:iCs/>
          <w:noProof/>
          <w:sz w:val="22"/>
        </w:rPr>
        <w:t>Philosophical Explorations</w:t>
      </w:r>
      <w:r w:rsidRPr="00810F25">
        <w:rPr>
          <w:rFonts w:cs="Times New Roman"/>
          <w:noProof/>
          <w:sz w:val="22"/>
        </w:rPr>
        <w:t xml:space="preserve">, </w:t>
      </w:r>
      <w:r w:rsidRPr="00810F25">
        <w:rPr>
          <w:rFonts w:cs="Times New Roman"/>
          <w:i/>
          <w:iCs/>
          <w:noProof/>
          <w:sz w:val="22"/>
        </w:rPr>
        <w:t>21</w:t>
      </w:r>
      <w:r w:rsidRPr="00810F25">
        <w:rPr>
          <w:rFonts w:cs="Times New Roman"/>
          <w:noProof/>
          <w:sz w:val="22"/>
        </w:rPr>
        <w:t>(2), 264–281.</w:t>
      </w:r>
    </w:p>
    <w:p w14:paraId="67D8F7FC"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Kiverstein, J. D., &amp; Rietveld, E. (2018). Reconceiving representation-hungry cognition: an ecological-enactive proposal. </w:t>
      </w:r>
      <w:r w:rsidRPr="00810F25">
        <w:rPr>
          <w:rFonts w:cs="Times New Roman"/>
          <w:i/>
          <w:iCs/>
          <w:noProof/>
          <w:sz w:val="22"/>
        </w:rPr>
        <w:t>Adaptive Behavior</w:t>
      </w:r>
      <w:r w:rsidRPr="00810F25">
        <w:rPr>
          <w:rFonts w:cs="Times New Roman"/>
          <w:noProof/>
          <w:sz w:val="22"/>
        </w:rPr>
        <w:t xml:space="preserve">, </w:t>
      </w:r>
      <w:r w:rsidRPr="00810F25">
        <w:rPr>
          <w:rFonts w:cs="Times New Roman"/>
          <w:i/>
          <w:iCs/>
          <w:noProof/>
          <w:sz w:val="22"/>
        </w:rPr>
        <w:t>26</w:t>
      </w:r>
      <w:r w:rsidRPr="00810F25">
        <w:rPr>
          <w:rFonts w:cs="Times New Roman"/>
          <w:noProof/>
          <w:sz w:val="22"/>
        </w:rPr>
        <w:t xml:space="preserve">(4), 147–163. </w:t>
      </w:r>
      <w:r w:rsidRPr="00810F25">
        <w:rPr>
          <w:rFonts w:cs="Times New Roman"/>
          <w:noProof/>
          <w:sz w:val="22"/>
        </w:rPr>
        <w:lastRenderedPageBreak/>
        <w:t>https://doi.org/10.1177/1059712318772778</w:t>
      </w:r>
    </w:p>
    <w:p w14:paraId="09AE7982"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Laland, K. N., Matthews, B., &amp; Feldman, M. W. (2016). An introduction to niche construction theory. </w:t>
      </w:r>
      <w:r w:rsidRPr="00810F25">
        <w:rPr>
          <w:rFonts w:cs="Times New Roman"/>
          <w:i/>
          <w:iCs/>
          <w:noProof/>
          <w:sz w:val="22"/>
        </w:rPr>
        <w:t>Evolutionary Ecology</w:t>
      </w:r>
      <w:r w:rsidRPr="00810F25">
        <w:rPr>
          <w:rFonts w:cs="Times New Roman"/>
          <w:noProof/>
          <w:sz w:val="22"/>
        </w:rPr>
        <w:t xml:space="preserve">, </w:t>
      </w:r>
      <w:r w:rsidRPr="00810F25">
        <w:rPr>
          <w:rFonts w:cs="Times New Roman"/>
          <w:i/>
          <w:iCs/>
          <w:noProof/>
          <w:sz w:val="22"/>
        </w:rPr>
        <w:t>30</w:t>
      </w:r>
      <w:r w:rsidRPr="00810F25">
        <w:rPr>
          <w:rFonts w:cs="Times New Roman"/>
          <w:noProof/>
          <w:sz w:val="22"/>
        </w:rPr>
        <w:t>(2), 191–202. https://doi.org/10.1007/s10682-016-9821-z</w:t>
      </w:r>
    </w:p>
    <w:p w14:paraId="0578267B"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Laland, K. N., Odling-Smee, J., &amp; Feldman, M. W. (2000a). Niche construction, biological evolution, and cultural change. </w:t>
      </w:r>
      <w:r w:rsidRPr="00810F25">
        <w:rPr>
          <w:rFonts w:cs="Times New Roman"/>
          <w:i/>
          <w:iCs/>
          <w:noProof/>
          <w:sz w:val="22"/>
        </w:rPr>
        <w:t>Behavioral and Brain Sciences</w:t>
      </w:r>
      <w:r w:rsidRPr="00810F25">
        <w:rPr>
          <w:rFonts w:cs="Times New Roman"/>
          <w:noProof/>
          <w:sz w:val="22"/>
        </w:rPr>
        <w:t xml:space="preserve">, </w:t>
      </w:r>
      <w:r w:rsidRPr="00810F25">
        <w:rPr>
          <w:rFonts w:cs="Times New Roman"/>
          <w:i/>
          <w:iCs/>
          <w:noProof/>
          <w:sz w:val="22"/>
        </w:rPr>
        <w:t>23</w:t>
      </w:r>
      <w:r w:rsidRPr="00810F25">
        <w:rPr>
          <w:rFonts w:cs="Times New Roman"/>
          <w:noProof/>
          <w:sz w:val="22"/>
        </w:rPr>
        <w:t>(1), 131–146. https://doi.org/10.1017/S0140525X00002417</w:t>
      </w:r>
    </w:p>
    <w:p w14:paraId="6D68DD46"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Laland, K. N., Odling-Smee, J., &amp; Feldman, M. W. (2000b). Niche construction earns its keep. </w:t>
      </w:r>
      <w:r w:rsidRPr="00810F25">
        <w:rPr>
          <w:rFonts w:cs="Times New Roman"/>
          <w:i/>
          <w:iCs/>
          <w:noProof/>
          <w:sz w:val="22"/>
        </w:rPr>
        <w:t>Behavioral and Brain Sciences</w:t>
      </w:r>
      <w:r w:rsidRPr="00810F25">
        <w:rPr>
          <w:rFonts w:cs="Times New Roman"/>
          <w:noProof/>
          <w:sz w:val="22"/>
        </w:rPr>
        <w:t xml:space="preserve">, </w:t>
      </w:r>
      <w:r w:rsidRPr="00810F25">
        <w:rPr>
          <w:rFonts w:cs="Times New Roman"/>
          <w:i/>
          <w:iCs/>
          <w:noProof/>
          <w:sz w:val="22"/>
        </w:rPr>
        <w:t>23</w:t>
      </w:r>
      <w:r w:rsidRPr="00810F25">
        <w:rPr>
          <w:rFonts w:cs="Times New Roman"/>
          <w:noProof/>
          <w:sz w:val="22"/>
        </w:rPr>
        <w:t>(1), 164–172. https://doi.org/10.1017/S0140525X0044241X</w:t>
      </w:r>
    </w:p>
    <w:p w14:paraId="6AFDC727"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Laland, K., Uller, T., Feldman, M., Sterelny, K., Müller, G., Moczek, A., Jablonka, E., &amp; Odling-Smee, J. (2014). Does evolutionary theory need a rethink? Yes, urgently. </w:t>
      </w:r>
      <w:r w:rsidRPr="00810F25">
        <w:rPr>
          <w:rFonts w:cs="Times New Roman"/>
          <w:i/>
          <w:iCs/>
          <w:noProof/>
          <w:sz w:val="22"/>
        </w:rPr>
        <w:t>Nature</w:t>
      </w:r>
      <w:r w:rsidRPr="00810F25">
        <w:rPr>
          <w:rFonts w:cs="Times New Roman"/>
          <w:noProof/>
          <w:sz w:val="22"/>
        </w:rPr>
        <w:t xml:space="preserve">, </w:t>
      </w:r>
      <w:r w:rsidRPr="00810F25">
        <w:rPr>
          <w:rFonts w:cs="Times New Roman"/>
          <w:i/>
          <w:iCs/>
          <w:noProof/>
          <w:sz w:val="22"/>
        </w:rPr>
        <w:t>514</w:t>
      </w:r>
      <w:r w:rsidRPr="00810F25">
        <w:rPr>
          <w:rFonts w:cs="Times New Roman"/>
          <w:noProof/>
          <w:sz w:val="22"/>
        </w:rPr>
        <w:t>, 161–164.</w:t>
      </w:r>
    </w:p>
    <w:p w14:paraId="24CE25C5"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Laland, K., Uller, T., Feldman, M., Sterelny, K., Müller, G., Moczek, A., Jablonka, E., &amp; Odling-Smee, J. (2015). The extended evolutionary synthesis: Its structure, assumptions and predictions. </w:t>
      </w:r>
      <w:r w:rsidRPr="00810F25">
        <w:rPr>
          <w:rFonts w:cs="Times New Roman"/>
          <w:i/>
          <w:iCs/>
          <w:noProof/>
          <w:sz w:val="22"/>
        </w:rPr>
        <w:t>Proceedings. Biological Sciences / The Royal Society</w:t>
      </w:r>
      <w:r w:rsidRPr="00810F25">
        <w:rPr>
          <w:rFonts w:cs="Times New Roman"/>
          <w:noProof/>
          <w:sz w:val="22"/>
        </w:rPr>
        <w:t xml:space="preserve">, </w:t>
      </w:r>
      <w:r w:rsidRPr="00810F25">
        <w:rPr>
          <w:rFonts w:cs="Times New Roman"/>
          <w:i/>
          <w:iCs/>
          <w:noProof/>
          <w:sz w:val="22"/>
        </w:rPr>
        <w:t>282</w:t>
      </w:r>
      <w:r w:rsidRPr="00810F25">
        <w:rPr>
          <w:rFonts w:cs="Times New Roman"/>
          <w:noProof/>
          <w:sz w:val="22"/>
        </w:rPr>
        <w:t>. https://doi.org/10.1098/rspb.2015.1019</w:t>
      </w:r>
    </w:p>
    <w:p w14:paraId="138BC120"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Lewontin, R. (2000). </w:t>
      </w:r>
      <w:r w:rsidRPr="00810F25">
        <w:rPr>
          <w:rFonts w:cs="Times New Roman"/>
          <w:i/>
          <w:iCs/>
          <w:noProof/>
          <w:sz w:val="22"/>
        </w:rPr>
        <w:t>The Triple Helix: Gene, Organism and Environment</w:t>
      </w:r>
      <w:r w:rsidRPr="00810F25">
        <w:rPr>
          <w:rFonts w:cs="Times New Roman"/>
          <w:noProof/>
          <w:sz w:val="22"/>
        </w:rPr>
        <w:t>. Harvard University Press.</w:t>
      </w:r>
    </w:p>
    <w:p w14:paraId="737C91D5"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Malafouris, L. (2013). </w:t>
      </w:r>
      <w:r w:rsidRPr="00810F25">
        <w:rPr>
          <w:rFonts w:cs="Times New Roman"/>
          <w:i/>
          <w:iCs/>
          <w:noProof/>
          <w:sz w:val="22"/>
        </w:rPr>
        <w:t>How things shape the mind: A Theory of Material Engagement</w:t>
      </w:r>
      <w:r w:rsidRPr="00810F25">
        <w:rPr>
          <w:rFonts w:cs="Times New Roman"/>
          <w:noProof/>
          <w:sz w:val="22"/>
        </w:rPr>
        <w:t>. MIT Press.</w:t>
      </w:r>
    </w:p>
    <w:p w14:paraId="0CF394D7"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Malafouris, L. (2014). Creative thinging: the feeling of and for clay. </w:t>
      </w:r>
      <w:r w:rsidRPr="00810F25">
        <w:rPr>
          <w:rFonts w:cs="Times New Roman"/>
          <w:i/>
          <w:iCs/>
          <w:noProof/>
          <w:sz w:val="22"/>
        </w:rPr>
        <w:t>Pragmatics &amp; Cognition</w:t>
      </w:r>
      <w:r w:rsidRPr="00810F25">
        <w:rPr>
          <w:rFonts w:cs="Times New Roman"/>
          <w:noProof/>
          <w:sz w:val="22"/>
        </w:rPr>
        <w:t xml:space="preserve">, </w:t>
      </w:r>
      <w:r w:rsidRPr="00810F25">
        <w:rPr>
          <w:rFonts w:cs="Times New Roman"/>
          <w:i/>
          <w:iCs/>
          <w:noProof/>
          <w:sz w:val="22"/>
        </w:rPr>
        <w:t>22</w:t>
      </w:r>
      <w:r w:rsidRPr="00810F25">
        <w:rPr>
          <w:rFonts w:cs="Times New Roman"/>
          <w:noProof/>
          <w:sz w:val="22"/>
        </w:rPr>
        <w:t>(1), 140–158. https://doi.org/10.1075/pc.22.1.08mal</w:t>
      </w:r>
    </w:p>
    <w:p w14:paraId="77A1A457"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Malafouris, L. (2019). Mind and material engagement. </w:t>
      </w:r>
      <w:r w:rsidRPr="00810F25">
        <w:rPr>
          <w:rFonts w:cs="Times New Roman"/>
          <w:i/>
          <w:iCs/>
          <w:noProof/>
          <w:sz w:val="22"/>
        </w:rPr>
        <w:t>Phenomenology and the Cognitive Sciences</w:t>
      </w:r>
      <w:r w:rsidRPr="00810F25">
        <w:rPr>
          <w:rFonts w:cs="Times New Roman"/>
          <w:noProof/>
          <w:sz w:val="22"/>
        </w:rPr>
        <w:t xml:space="preserve">, </w:t>
      </w:r>
      <w:r w:rsidRPr="00810F25">
        <w:rPr>
          <w:rFonts w:cs="Times New Roman"/>
          <w:i/>
          <w:iCs/>
          <w:noProof/>
          <w:sz w:val="22"/>
        </w:rPr>
        <w:t>18</w:t>
      </w:r>
      <w:r w:rsidRPr="00810F25">
        <w:rPr>
          <w:rFonts w:cs="Times New Roman"/>
          <w:noProof/>
          <w:sz w:val="22"/>
        </w:rPr>
        <w:t>(1), 1–17. https://doi.org/10.1007/s11097-018-9606-7</w:t>
      </w:r>
    </w:p>
    <w:p w14:paraId="0F2A8C34"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AE16E9">
        <w:rPr>
          <w:rFonts w:cs="Times New Roman"/>
          <w:noProof/>
          <w:sz w:val="22"/>
          <w:lang w:val="pt-BR"/>
        </w:rPr>
        <w:t xml:space="preserve">Maturana, H., &amp; Mpodozis, J. (1992). </w:t>
      </w:r>
      <w:r w:rsidRPr="00AE16E9">
        <w:rPr>
          <w:rFonts w:cs="Times New Roman"/>
          <w:i/>
          <w:iCs/>
          <w:noProof/>
          <w:sz w:val="22"/>
          <w:lang w:val="pt-BR"/>
        </w:rPr>
        <w:t>Origen de las especies por medio de la deriva natural</w:t>
      </w:r>
      <w:r w:rsidRPr="00AE16E9">
        <w:rPr>
          <w:rFonts w:cs="Times New Roman"/>
          <w:noProof/>
          <w:sz w:val="22"/>
          <w:lang w:val="pt-BR"/>
        </w:rPr>
        <w:t xml:space="preserve">. </w:t>
      </w:r>
      <w:r w:rsidRPr="00810F25">
        <w:rPr>
          <w:rFonts w:cs="Times New Roman"/>
          <w:noProof/>
          <w:sz w:val="22"/>
        </w:rPr>
        <w:t>Museo Nacional de História Natural.</w:t>
      </w:r>
    </w:p>
    <w:p w14:paraId="6E515E43" w14:textId="77777777" w:rsidR="00810F25" w:rsidRPr="00AE16E9" w:rsidRDefault="00810F25" w:rsidP="00810F25">
      <w:pPr>
        <w:widowControl w:val="0"/>
        <w:autoSpaceDE w:val="0"/>
        <w:autoSpaceDN w:val="0"/>
        <w:adjustRightInd w:val="0"/>
        <w:spacing w:line="360" w:lineRule="auto"/>
        <w:ind w:left="480" w:hanging="480"/>
        <w:rPr>
          <w:rFonts w:cs="Times New Roman"/>
          <w:noProof/>
          <w:sz w:val="22"/>
          <w:lang w:val="pt-BR"/>
        </w:rPr>
      </w:pPr>
      <w:r w:rsidRPr="00810F25">
        <w:rPr>
          <w:rFonts w:cs="Times New Roman"/>
          <w:noProof/>
          <w:sz w:val="22"/>
        </w:rPr>
        <w:t xml:space="preserve">Maturana, H., &amp; Mpodozis, J. (2000). The origin of species by means of natural drift. </w:t>
      </w:r>
      <w:r w:rsidRPr="00AE16E9">
        <w:rPr>
          <w:rFonts w:cs="Times New Roman"/>
          <w:i/>
          <w:iCs/>
          <w:noProof/>
          <w:sz w:val="22"/>
          <w:lang w:val="pt-BR"/>
        </w:rPr>
        <w:t>Revista Chilena de Historia Natural</w:t>
      </w:r>
      <w:r w:rsidRPr="00AE16E9">
        <w:rPr>
          <w:rFonts w:cs="Times New Roman"/>
          <w:noProof/>
          <w:sz w:val="22"/>
          <w:lang w:val="pt-BR"/>
        </w:rPr>
        <w:t xml:space="preserve">, </w:t>
      </w:r>
      <w:r w:rsidRPr="00AE16E9">
        <w:rPr>
          <w:rFonts w:cs="Times New Roman"/>
          <w:i/>
          <w:iCs/>
          <w:noProof/>
          <w:sz w:val="22"/>
          <w:lang w:val="pt-BR"/>
        </w:rPr>
        <w:t>73</w:t>
      </w:r>
      <w:r w:rsidRPr="00AE16E9">
        <w:rPr>
          <w:rFonts w:cs="Times New Roman"/>
          <w:noProof/>
          <w:sz w:val="22"/>
          <w:lang w:val="pt-BR"/>
        </w:rPr>
        <w:t>(2), 261–310. https://doi.org/10.4067/S0716-078X2000000200005</w:t>
      </w:r>
    </w:p>
    <w:p w14:paraId="429A1318"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AE16E9">
        <w:rPr>
          <w:rFonts w:cs="Times New Roman"/>
          <w:noProof/>
          <w:sz w:val="22"/>
          <w:lang w:val="pt-BR"/>
        </w:rPr>
        <w:t xml:space="preserve">Maturana, H., &amp; Varela, F. (1980). </w:t>
      </w:r>
      <w:r w:rsidRPr="00810F25">
        <w:rPr>
          <w:rFonts w:cs="Times New Roman"/>
          <w:i/>
          <w:iCs/>
          <w:noProof/>
          <w:sz w:val="22"/>
        </w:rPr>
        <w:t>Autopoiesis and Cognition: the realization of the living</w:t>
      </w:r>
      <w:r w:rsidRPr="00810F25">
        <w:rPr>
          <w:rFonts w:cs="Times New Roman"/>
          <w:noProof/>
          <w:sz w:val="22"/>
        </w:rPr>
        <w:t>. D. Reidel Publishing Company.</w:t>
      </w:r>
    </w:p>
    <w:p w14:paraId="2BDB6925"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Maturana, H., &amp; Varela, F. (1987). </w:t>
      </w:r>
      <w:r w:rsidRPr="00810F25">
        <w:rPr>
          <w:rFonts w:cs="Times New Roman"/>
          <w:i/>
          <w:iCs/>
          <w:noProof/>
          <w:sz w:val="22"/>
        </w:rPr>
        <w:t>The Tree of Knowledge: the biological roots of human understanding</w:t>
      </w:r>
      <w:r w:rsidRPr="00810F25">
        <w:rPr>
          <w:rFonts w:cs="Times New Roman"/>
          <w:noProof/>
          <w:sz w:val="22"/>
        </w:rPr>
        <w:t>. New Science Library/Shambhala Publications.</w:t>
      </w:r>
    </w:p>
    <w:p w14:paraId="1B5D79B9"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Moreno, A., Umerez, J., &amp; Ibañez, J. (1997). Cognition and Life: The Autonomy of Cognition. </w:t>
      </w:r>
      <w:r w:rsidRPr="00810F25">
        <w:rPr>
          <w:rFonts w:cs="Times New Roman"/>
          <w:i/>
          <w:iCs/>
          <w:noProof/>
          <w:sz w:val="22"/>
        </w:rPr>
        <w:t>Brain and Cognition</w:t>
      </w:r>
      <w:r w:rsidRPr="00810F25">
        <w:rPr>
          <w:rFonts w:cs="Times New Roman"/>
          <w:noProof/>
          <w:sz w:val="22"/>
        </w:rPr>
        <w:t xml:space="preserve">, </w:t>
      </w:r>
      <w:r w:rsidRPr="00810F25">
        <w:rPr>
          <w:rFonts w:cs="Times New Roman"/>
          <w:i/>
          <w:iCs/>
          <w:noProof/>
          <w:sz w:val="22"/>
        </w:rPr>
        <w:t>34</w:t>
      </w:r>
      <w:r w:rsidRPr="00810F25">
        <w:rPr>
          <w:rFonts w:cs="Times New Roman"/>
          <w:noProof/>
          <w:sz w:val="22"/>
        </w:rPr>
        <w:t>(1), 107–129. https://doi.org/10.1006/brcg.1997.0909</w:t>
      </w:r>
    </w:p>
    <w:p w14:paraId="6C137A68"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Noë, A. (2004). </w:t>
      </w:r>
      <w:r w:rsidRPr="00810F25">
        <w:rPr>
          <w:rFonts w:cs="Times New Roman"/>
          <w:i/>
          <w:iCs/>
          <w:noProof/>
          <w:sz w:val="22"/>
        </w:rPr>
        <w:t>Action in Perception</w:t>
      </w:r>
      <w:r w:rsidRPr="00810F25">
        <w:rPr>
          <w:rFonts w:cs="Times New Roman"/>
          <w:noProof/>
          <w:sz w:val="22"/>
        </w:rPr>
        <w:t>. MIT Press.</w:t>
      </w:r>
    </w:p>
    <w:p w14:paraId="424BDD92"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Noë, A. (2012). </w:t>
      </w:r>
      <w:r w:rsidRPr="00810F25">
        <w:rPr>
          <w:rFonts w:cs="Times New Roman"/>
          <w:i/>
          <w:iCs/>
          <w:noProof/>
          <w:sz w:val="22"/>
        </w:rPr>
        <w:t>Varieties of Presence</w:t>
      </w:r>
      <w:r w:rsidRPr="00810F25">
        <w:rPr>
          <w:rFonts w:cs="Times New Roman"/>
          <w:noProof/>
          <w:sz w:val="22"/>
        </w:rPr>
        <w:t>. Harvard University Press.</w:t>
      </w:r>
    </w:p>
    <w:p w14:paraId="737FF231"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Odling-Smee, F. J., Laland, K. N., &amp; Feldman, M. W. (2003). Niche Construction: The Neglected Process in Evolution. In </w:t>
      </w:r>
      <w:r w:rsidRPr="00810F25">
        <w:rPr>
          <w:rFonts w:cs="Times New Roman"/>
          <w:i/>
          <w:iCs/>
          <w:noProof/>
          <w:sz w:val="22"/>
        </w:rPr>
        <w:t>Monographs in population biology, vol. 37</w:t>
      </w:r>
      <w:r w:rsidRPr="00810F25">
        <w:rPr>
          <w:rFonts w:cs="Times New Roman"/>
          <w:noProof/>
          <w:sz w:val="22"/>
        </w:rPr>
        <w:t>. Princeton University Press. https://doi.org/10.2307/j.ctt24hqpd</w:t>
      </w:r>
    </w:p>
    <w:p w14:paraId="0E7B3EEF"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Orzack, S. H., &amp; Forber, P. (2017). Adaptationism. In E. N. Zalta (Ed.), </w:t>
      </w:r>
      <w:r w:rsidRPr="00810F25">
        <w:rPr>
          <w:rFonts w:cs="Times New Roman"/>
          <w:i/>
          <w:iCs/>
          <w:noProof/>
          <w:sz w:val="22"/>
        </w:rPr>
        <w:t>The Stanford Encyclopedia of Philosophy</w:t>
      </w:r>
      <w:r w:rsidRPr="00810F25">
        <w:rPr>
          <w:rFonts w:cs="Times New Roman"/>
          <w:noProof/>
          <w:sz w:val="22"/>
        </w:rPr>
        <w:t xml:space="preserve"> (Spring 201). Metaphysics Research Lab, Stanford University.</w:t>
      </w:r>
    </w:p>
    <w:p w14:paraId="292A177D"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lastRenderedPageBreak/>
        <w:t xml:space="preserve">Pigliucci, M., &amp; Müller, G. (Eds.). (2010). </w:t>
      </w:r>
      <w:r w:rsidRPr="00810F25">
        <w:rPr>
          <w:rFonts w:cs="Times New Roman"/>
          <w:i/>
          <w:iCs/>
          <w:noProof/>
          <w:sz w:val="22"/>
        </w:rPr>
        <w:t>Evolution: the extended synthesis</w:t>
      </w:r>
      <w:r w:rsidRPr="00810F25">
        <w:rPr>
          <w:rFonts w:cs="Times New Roman"/>
          <w:noProof/>
          <w:sz w:val="22"/>
        </w:rPr>
        <w:t>. MIT Press.</w:t>
      </w:r>
    </w:p>
    <w:p w14:paraId="4ED3E6E2"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Rolla, G., &amp; Novaes, F. (2020). Ecological-enactive scientific cognition: modeling and material engagement. </w:t>
      </w:r>
      <w:r w:rsidRPr="00810F25">
        <w:rPr>
          <w:rFonts w:cs="Times New Roman"/>
          <w:i/>
          <w:iCs/>
          <w:noProof/>
          <w:sz w:val="22"/>
        </w:rPr>
        <w:t>Phenomenology and the Cognitive Sciences</w:t>
      </w:r>
      <w:r w:rsidRPr="00810F25">
        <w:rPr>
          <w:rFonts w:cs="Times New Roman"/>
          <w:noProof/>
          <w:sz w:val="22"/>
        </w:rPr>
        <w:t>. https://doi.org/10.1007/s11097-020-09713-y</w:t>
      </w:r>
    </w:p>
    <w:p w14:paraId="324D4917"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Shapiro, L. (2011). </w:t>
      </w:r>
      <w:r w:rsidRPr="00810F25">
        <w:rPr>
          <w:rFonts w:cs="Times New Roman"/>
          <w:i/>
          <w:iCs/>
          <w:noProof/>
          <w:sz w:val="22"/>
        </w:rPr>
        <w:t>Embodied Cognition</w:t>
      </w:r>
      <w:r w:rsidRPr="00810F25">
        <w:rPr>
          <w:rFonts w:cs="Times New Roman"/>
          <w:noProof/>
          <w:sz w:val="22"/>
        </w:rPr>
        <w:t>. Routledge.</w:t>
      </w:r>
    </w:p>
    <w:p w14:paraId="59F9BACA"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Sterelny, K. (2010). Minds: Extended or scaffolded? </w:t>
      </w:r>
      <w:r w:rsidRPr="00810F25">
        <w:rPr>
          <w:rFonts w:cs="Times New Roman"/>
          <w:i/>
          <w:iCs/>
          <w:noProof/>
          <w:sz w:val="22"/>
        </w:rPr>
        <w:t>Phenomenology and the Cognitive Sciences</w:t>
      </w:r>
      <w:r w:rsidRPr="00810F25">
        <w:rPr>
          <w:rFonts w:cs="Times New Roman"/>
          <w:noProof/>
          <w:sz w:val="22"/>
        </w:rPr>
        <w:t xml:space="preserve">, </w:t>
      </w:r>
      <w:r w:rsidRPr="00810F25">
        <w:rPr>
          <w:rFonts w:cs="Times New Roman"/>
          <w:i/>
          <w:iCs/>
          <w:noProof/>
          <w:sz w:val="22"/>
        </w:rPr>
        <w:t>9</w:t>
      </w:r>
      <w:r w:rsidRPr="00810F25">
        <w:rPr>
          <w:rFonts w:cs="Times New Roman"/>
          <w:noProof/>
          <w:sz w:val="22"/>
        </w:rPr>
        <w:t>(4), 465–481. https://doi.org/10.1007/s11097-010-9174-y</w:t>
      </w:r>
    </w:p>
    <w:p w14:paraId="5C7FC381"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Thompson, E. (2007). </w:t>
      </w:r>
      <w:r w:rsidRPr="00810F25">
        <w:rPr>
          <w:rFonts w:cs="Times New Roman"/>
          <w:i/>
          <w:iCs/>
          <w:noProof/>
          <w:sz w:val="22"/>
        </w:rPr>
        <w:t>Mind in Life: Biology, Phenomenology and the Sciences of the Mind</w:t>
      </w:r>
      <w:r w:rsidRPr="00810F25">
        <w:rPr>
          <w:rFonts w:cs="Times New Roman"/>
          <w:noProof/>
          <w:sz w:val="22"/>
        </w:rPr>
        <w:t>. The Belknap Press of Harvard University Press.</w:t>
      </w:r>
    </w:p>
    <w:p w14:paraId="2C7C09D3"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Thompson, E. (2018). Daniel D. Hutto and Erik Myin Evolving Enactivism: Basic Minds Meet Content. </w:t>
      </w:r>
      <w:r w:rsidRPr="00810F25">
        <w:rPr>
          <w:rFonts w:cs="Times New Roman"/>
          <w:i/>
          <w:iCs/>
          <w:noProof/>
          <w:sz w:val="22"/>
        </w:rPr>
        <w:t>Notre Dame Philosophical Reviews</w:t>
      </w:r>
      <w:r w:rsidRPr="00810F25">
        <w:rPr>
          <w:rFonts w:cs="Times New Roman"/>
          <w:noProof/>
          <w:sz w:val="22"/>
        </w:rPr>
        <w:t>. https://ndpr.nd.edu/news/evolving-enactivism-basic-minds-meet-content/</w:t>
      </w:r>
    </w:p>
    <w:p w14:paraId="2D91B4F3"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Tomasello, M. (2009). </w:t>
      </w:r>
      <w:r w:rsidRPr="00810F25">
        <w:rPr>
          <w:rFonts w:cs="Times New Roman"/>
          <w:i/>
          <w:iCs/>
          <w:noProof/>
          <w:sz w:val="22"/>
        </w:rPr>
        <w:t>Why we cooperate</w:t>
      </w:r>
      <w:r w:rsidRPr="00810F25">
        <w:rPr>
          <w:rFonts w:cs="Times New Roman"/>
          <w:noProof/>
          <w:sz w:val="22"/>
        </w:rPr>
        <w:t>. The MIT Press.</w:t>
      </w:r>
    </w:p>
    <w:p w14:paraId="49D7AB30"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Tomasello, M. (2014). </w:t>
      </w:r>
      <w:r w:rsidRPr="00810F25">
        <w:rPr>
          <w:rFonts w:cs="Times New Roman"/>
          <w:i/>
          <w:iCs/>
          <w:noProof/>
          <w:sz w:val="22"/>
        </w:rPr>
        <w:t>A Natural History of Human Thinking</w:t>
      </w:r>
      <w:r w:rsidRPr="00810F25">
        <w:rPr>
          <w:rFonts w:cs="Times New Roman"/>
          <w:noProof/>
          <w:sz w:val="22"/>
        </w:rPr>
        <w:t>. Harvard University Press.</w:t>
      </w:r>
    </w:p>
    <w:p w14:paraId="71CF3344"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Turner, J. S. (2000). </w:t>
      </w:r>
      <w:r w:rsidRPr="00810F25">
        <w:rPr>
          <w:rFonts w:cs="Times New Roman"/>
          <w:i/>
          <w:iCs/>
          <w:noProof/>
          <w:sz w:val="22"/>
        </w:rPr>
        <w:t>The extended organism: The physiology of animal-built structures</w:t>
      </w:r>
      <w:r w:rsidRPr="00810F25">
        <w:rPr>
          <w:rFonts w:cs="Times New Roman"/>
          <w:noProof/>
          <w:sz w:val="22"/>
        </w:rPr>
        <w:t>. Harvard University Press. https://doi.org/10.1002/cplx.1019</w:t>
      </w:r>
    </w:p>
    <w:p w14:paraId="34EEA7F2"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Turner, J. S. (2016). Homeostasis and the physiological dimension of niche construction theory in ecology and evolution. </w:t>
      </w:r>
      <w:r w:rsidRPr="00810F25">
        <w:rPr>
          <w:rFonts w:cs="Times New Roman"/>
          <w:i/>
          <w:iCs/>
          <w:noProof/>
          <w:sz w:val="22"/>
        </w:rPr>
        <w:t>Evolutionary Ecology</w:t>
      </w:r>
      <w:r w:rsidRPr="00810F25">
        <w:rPr>
          <w:rFonts w:cs="Times New Roman"/>
          <w:noProof/>
          <w:sz w:val="22"/>
        </w:rPr>
        <w:t xml:space="preserve">, </w:t>
      </w:r>
      <w:r w:rsidRPr="00810F25">
        <w:rPr>
          <w:rFonts w:cs="Times New Roman"/>
          <w:i/>
          <w:iCs/>
          <w:noProof/>
          <w:sz w:val="22"/>
        </w:rPr>
        <w:t>30</w:t>
      </w:r>
      <w:r w:rsidRPr="00810F25">
        <w:rPr>
          <w:rFonts w:cs="Times New Roman"/>
          <w:noProof/>
          <w:sz w:val="22"/>
        </w:rPr>
        <w:t>(2), 203–219. https://doi.org/10.1007/s10682-015-9795-2</w:t>
      </w:r>
    </w:p>
    <w:p w14:paraId="42ADCCA6"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van de Waal, E., Borgeaud, C., &amp; Whiten, A. (2013). Potent Social Learning and Conformity Shape a Wild Primate’s Foraging Decisions. </w:t>
      </w:r>
      <w:r w:rsidRPr="00810F25">
        <w:rPr>
          <w:rFonts w:cs="Times New Roman"/>
          <w:i/>
          <w:iCs/>
          <w:noProof/>
          <w:sz w:val="22"/>
        </w:rPr>
        <w:t>Science</w:t>
      </w:r>
      <w:r w:rsidRPr="00810F25">
        <w:rPr>
          <w:rFonts w:cs="Times New Roman"/>
          <w:noProof/>
          <w:sz w:val="22"/>
        </w:rPr>
        <w:t xml:space="preserve">, </w:t>
      </w:r>
      <w:r w:rsidRPr="00810F25">
        <w:rPr>
          <w:rFonts w:cs="Times New Roman"/>
          <w:i/>
          <w:iCs/>
          <w:noProof/>
          <w:sz w:val="22"/>
        </w:rPr>
        <w:t>340</w:t>
      </w:r>
      <w:r w:rsidRPr="00810F25">
        <w:rPr>
          <w:rFonts w:cs="Times New Roman"/>
          <w:noProof/>
          <w:sz w:val="22"/>
        </w:rPr>
        <w:t>(6131), 483–485. https://doi.org/10.1126/science.1232769</w:t>
      </w:r>
    </w:p>
    <w:p w14:paraId="2090DF10"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Varela, F. J., Thompson, E., &amp; Rosch, E. (2016). </w:t>
      </w:r>
      <w:r w:rsidRPr="00810F25">
        <w:rPr>
          <w:rFonts w:cs="Times New Roman"/>
          <w:i/>
          <w:iCs/>
          <w:noProof/>
          <w:sz w:val="22"/>
        </w:rPr>
        <w:t>The Embodied Mind</w:t>
      </w:r>
      <w:r w:rsidRPr="00810F25">
        <w:rPr>
          <w:rFonts w:cs="Times New Roman"/>
          <w:noProof/>
          <w:sz w:val="22"/>
        </w:rPr>
        <w:t xml:space="preserve"> (Revised Ed). The MIT Press.</w:t>
      </w:r>
    </w:p>
    <w:p w14:paraId="70CA2BB9"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Villalobos, M., &amp; Dewhurst, J. (2017). Why post-cognitivism does not (necessarily) entail anti-computationalism. </w:t>
      </w:r>
      <w:r w:rsidRPr="00810F25">
        <w:rPr>
          <w:rFonts w:cs="Times New Roman"/>
          <w:i/>
          <w:iCs/>
          <w:noProof/>
          <w:sz w:val="22"/>
        </w:rPr>
        <w:t>Adaptive Behavior</w:t>
      </w:r>
      <w:r w:rsidRPr="00810F25">
        <w:rPr>
          <w:rFonts w:cs="Times New Roman"/>
          <w:noProof/>
          <w:sz w:val="22"/>
        </w:rPr>
        <w:t xml:space="preserve">, </w:t>
      </w:r>
      <w:r w:rsidRPr="00810F25">
        <w:rPr>
          <w:rFonts w:cs="Times New Roman"/>
          <w:i/>
          <w:iCs/>
          <w:noProof/>
          <w:sz w:val="22"/>
        </w:rPr>
        <w:t>25</w:t>
      </w:r>
      <w:r w:rsidRPr="00810F25">
        <w:rPr>
          <w:rFonts w:cs="Times New Roman"/>
          <w:noProof/>
          <w:sz w:val="22"/>
        </w:rPr>
        <w:t>(3), 117–128. https://doi.org/10.1177/1059712317710496</w:t>
      </w:r>
    </w:p>
    <w:p w14:paraId="16FC39EB"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Vörös, S., Froese, T., &amp; Riegler, A. (2016). Epistemological odyssey: Introduction to special issue on the diversity of enactivism and neurophenomenology. </w:t>
      </w:r>
      <w:r w:rsidRPr="00810F25">
        <w:rPr>
          <w:rFonts w:cs="Times New Roman"/>
          <w:i/>
          <w:iCs/>
          <w:noProof/>
          <w:sz w:val="22"/>
        </w:rPr>
        <w:t>Constructivist Foundations</w:t>
      </w:r>
      <w:r w:rsidRPr="00810F25">
        <w:rPr>
          <w:rFonts w:cs="Times New Roman"/>
          <w:noProof/>
          <w:sz w:val="22"/>
        </w:rPr>
        <w:t xml:space="preserve">, </w:t>
      </w:r>
      <w:r w:rsidRPr="00810F25">
        <w:rPr>
          <w:rFonts w:cs="Times New Roman"/>
          <w:i/>
          <w:iCs/>
          <w:noProof/>
          <w:sz w:val="22"/>
        </w:rPr>
        <w:t>11</w:t>
      </w:r>
      <w:r w:rsidRPr="00810F25">
        <w:rPr>
          <w:rFonts w:cs="Times New Roman"/>
          <w:noProof/>
          <w:sz w:val="22"/>
        </w:rPr>
        <w:t>(2), 189–203.</w:t>
      </w:r>
    </w:p>
    <w:p w14:paraId="65469A73"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Ward, D., Silverman, D., &amp; Villalobos, M. (2017). Introduction: The Varieties of Enactivism. </w:t>
      </w:r>
      <w:r w:rsidRPr="00810F25">
        <w:rPr>
          <w:rFonts w:cs="Times New Roman"/>
          <w:i/>
          <w:iCs/>
          <w:noProof/>
          <w:sz w:val="22"/>
        </w:rPr>
        <w:t>Topoi</w:t>
      </w:r>
      <w:r w:rsidRPr="00810F25">
        <w:rPr>
          <w:rFonts w:cs="Times New Roman"/>
          <w:noProof/>
          <w:sz w:val="22"/>
        </w:rPr>
        <w:t xml:space="preserve">, </w:t>
      </w:r>
      <w:r w:rsidRPr="00810F25">
        <w:rPr>
          <w:rFonts w:cs="Times New Roman"/>
          <w:i/>
          <w:iCs/>
          <w:noProof/>
          <w:sz w:val="22"/>
        </w:rPr>
        <w:t>36</w:t>
      </w:r>
      <w:r w:rsidRPr="00810F25">
        <w:rPr>
          <w:rFonts w:cs="Times New Roman"/>
          <w:noProof/>
          <w:sz w:val="22"/>
        </w:rPr>
        <w:t>(3), 365–375. https://doi.org/10.1007/s11245-017-9484-6</w:t>
      </w:r>
    </w:p>
    <w:p w14:paraId="60A022D0"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Werner, K. (2020). Enactment and construction of the cognitive niche: toward an ontology of the mind-world connection. </w:t>
      </w:r>
      <w:r w:rsidRPr="00810F25">
        <w:rPr>
          <w:rFonts w:cs="Times New Roman"/>
          <w:i/>
          <w:iCs/>
          <w:noProof/>
          <w:sz w:val="22"/>
        </w:rPr>
        <w:t>Synthese</w:t>
      </w:r>
      <w:r w:rsidRPr="00810F25">
        <w:rPr>
          <w:rFonts w:cs="Times New Roman"/>
          <w:noProof/>
          <w:sz w:val="22"/>
        </w:rPr>
        <w:t xml:space="preserve">, </w:t>
      </w:r>
      <w:r w:rsidRPr="00810F25">
        <w:rPr>
          <w:rFonts w:cs="Times New Roman"/>
          <w:i/>
          <w:iCs/>
          <w:noProof/>
          <w:sz w:val="22"/>
        </w:rPr>
        <w:t>197</w:t>
      </w:r>
      <w:r w:rsidRPr="00810F25">
        <w:rPr>
          <w:rFonts w:cs="Times New Roman"/>
          <w:noProof/>
          <w:sz w:val="22"/>
        </w:rPr>
        <w:t>(3), 1313–1341. https://doi.org/10.1007/s11229-018-1756-1</w:t>
      </w:r>
    </w:p>
    <w:p w14:paraId="7A647B1F" w14:textId="77777777" w:rsidR="00810F25" w:rsidRPr="00810F25" w:rsidRDefault="00810F25" w:rsidP="00810F25">
      <w:pPr>
        <w:widowControl w:val="0"/>
        <w:autoSpaceDE w:val="0"/>
        <w:autoSpaceDN w:val="0"/>
        <w:adjustRightInd w:val="0"/>
        <w:spacing w:line="360" w:lineRule="auto"/>
        <w:ind w:left="480" w:hanging="480"/>
        <w:rPr>
          <w:rFonts w:cs="Times New Roman"/>
          <w:noProof/>
          <w:sz w:val="22"/>
        </w:rPr>
      </w:pPr>
      <w:r w:rsidRPr="00810F25">
        <w:rPr>
          <w:rFonts w:cs="Times New Roman"/>
          <w:noProof/>
          <w:sz w:val="22"/>
        </w:rPr>
        <w:t xml:space="preserve">Wynne-Edwards, V. (1982). </w:t>
      </w:r>
      <w:r w:rsidRPr="00810F25">
        <w:rPr>
          <w:rFonts w:cs="Times New Roman"/>
          <w:i/>
          <w:iCs/>
          <w:noProof/>
          <w:sz w:val="22"/>
        </w:rPr>
        <w:t>Animal Dispersion in Relation to Social Behaviour</w:t>
      </w:r>
      <w:r w:rsidRPr="00810F25">
        <w:rPr>
          <w:rFonts w:cs="Times New Roman"/>
          <w:noProof/>
          <w:sz w:val="22"/>
        </w:rPr>
        <w:t>. Oliver &amp; Boyd.</w:t>
      </w:r>
    </w:p>
    <w:p w14:paraId="2B207EF3" w14:textId="3B5BCF8D" w:rsidR="00532B96" w:rsidRPr="00CB2151" w:rsidRDefault="00A02ECB" w:rsidP="00810F25">
      <w:pPr>
        <w:widowControl w:val="0"/>
        <w:autoSpaceDE w:val="0"/>
        <w:autoSpaceDN w:val="0"/>
        <w:adjustRightInd w:val="0"/>
        <w:spacing w:line="360" w:lineRule="auto"/>
        <w:ind w:left="480" w:hanging="480"/>
      </w:pPr>
      <w:r w:rsidRPr="00C4476D">
        <w:fldChar w:fldCharType="end"/>
      </w:r>
    </w:p>
    <w:sectPr w:rsidR="00532B96" w:rsidRPr="00CB2151" w:rsidSect="004E4F5F">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9EF4B" w14:textId="77777777" w:rsidR="00740FF4" w:rsidRDefault="00740FF4" w:rsidP="00A271EA">
      <w:r>
        <w:separator/>
      </w:r>
    </w:p>
  </w:endnote>
  <w:endnote w:type="continuationSeparator" w:id="0">
    <w:p w14:paraId="4E5A091C" w14:textId="77777777" w:rsidR="00740FF4" w:rsidRDefault="00740FF4" w:rsidP="00A2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4215539"/>
      <w:docPartObj>
        <w:docPartGallery w:val="Page Numbers (Bottom of Page)"/>
        <w:docPartUnique/>
      </w:docPartObj>
    </w:sdtPr>
    <w:sdtEndPr>
      <w:rPr>
        <w:rStyle w:val="PageNumber"/>
      </w:rPr>
    </w:sdtEndPr>
    <w:sdtContent>
      <w:p w14:paraId="28AF13CC" w14:textId="45F523E5" w:rsidR="00550079" w:rsidRDefault="00550079" w:rsidP="00A667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87E9AE" w14:textId="77777777" w:rsidR="00550079" w:rsidRDefault="00550079" w:rsidP="00A271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5593037"/>
      <w:docPartObj>
        <w:docPartGallery w:val="Page Numbers (Bottom of Page)"/>
        <w:docPartUnique/>
      </w:docPartObj>
    </w:sdtPr>
    <w:sdtEndPr>
      <w:rPr>
        <w:rStyle w:val="PageNumber"/>
      </w:rPr>
    </w:sdtEndPr>
    <w:sdtContent>
      <w:p w14:paraId="645C7357" w14:textId="65783E2E" w:rsidR="00550079" w:rsidRDefault="00550079" w:rsidP="00A667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04E5B7F" w14:textId="77777777" w:rsidR="00550079" w:rsidRDefault="00550079" w:rsidP="00A271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E1729" w14:textId="77777777" w:rsidR="00740FF4" w:rsidRDefault="00740FF4" w:rsidP="00A271EA">
      <w:r>
        <w:separator/>
      </w:r>
    </w:p>
  </w:footnote>
  <w:footnote w:type="continuationSeparator" w:id="0">
    <w:p w14:paraId="6E8F9C98" w14:textId="77777777" w:rsidR="00740FF4" w:rsidRDefault="00740FF4" w:rsidP="00A271EA">
      <w:r>
        <w:continuationSeparator/>
      </w:r>
    </w:p>
  </w:footnote>
  <w:footnote w:id="1">
    <w:p w14:paraId="1D7BD736" w14:textId="0E3039EF" w:rsidR="00550079" w:rsidRDefault="00550079" w:rsidP="004D7C4B">
      <w:pPr>
        <w:pStyle w:val="FootnoteText"/>
        <w:jc w:val="both"/>
      </w:pPr>
      <w:r w:rsidRPr="00AE16E9">
        <w:rPr>
          <w:rStyle w:val="FootnoteReference"/>
        </w:rPr>
        <w:footnoteRef/>
      </w:r>
      <w:r>
        <w:t xml:space="preserve"> </w:t>
      </w:r>
      <w:r>
        <w:rPr>
          <w:rFonts w:eastAsia="Times New Roman" w:cs="Times New Roman"/>
          <w:color w:val="000000"/>
        </w:rPr>
        <w:t xml:space="preserve">It was further developed by Maturana and </w:t>
      </w:r>
      <w:proofErr w:type="spellStart"/>
      <w:r>
        <w:rPr>
          <w:rFonts w:eastAsia="Times New Roman" w:cs="Times New Roman"/>
          <w:color w:val="000000"/>
        </w:rPr>
        <w:t>Mpodozis</w:t>
      </w:r>
      <w:proofErr w:type="spellEnd"/>
      <w:r>
        <w:rPr>
          <w:rFonts w:eastAsia="Times New Roman" w:cs="Times New Roman"/>
          <w:color w:val="000000"/>
        </w:rPr>
        <w:t xml:space="preserve"> </w:t>
      </w:r>
      <w:r>
        <w:rPr>
          <w:rFonts w:eastAsia="Times New Roman" w:cs="Times New Roman"/>
          <w:color w:val="000000"/>
        </w:rPr>
        <w:fldChar w:fldCharType="begin" w:fldLock="1"/>
      </w:r>
      <w:r>
        <w:rPr>
          <w:rFonts w:eastAsia="Times New Roman" w:cs="Times New Roman"/>
          <w:color w:val="000000"/>
        </w:rPr>
        <w:instrText>ADDIN CSL_CITATION {"citationItems":[{"id":"ITEM-1","itemData":{"author":[{"dropping-particle":"","family":"Maturana","given":"Humberto","non-dropping-particle":"","parse-names":false,"suffix":""},{"dropping-particle":"","family":"Mpodozis","given":"J.","non-dropping-particle":"","parse-names":false,"suffix":""}],"id":"ITEM-1","issued":{"date-parts":[["1992"]]},"publisher":"Museo Nacional de História Natural","publisher-place":"Santiago","title":"Origen de las especies por medio de la deriva natural","type":"article"},"suppress-author":1,"uris":["http://www.mendeley.com/documents/?uuid=a149f4bd-d1a1-48a4-a409-3f101376347b"]}],"mendeley":{"formattedCitation":"(1992)","plainTextFormattedCitation":"(1992)","previouslyFormattedCitation":"(1992)"},"properties":{"noteIndex":0},"schema":"https://github.com/citation-style-language/schema/raw/master/csl-citation.json"}</w:instrText>
      </w:r>
      <w:r>
        <w:rPr>
          <w:rFonts w:eastAsia="Times New Roman" w:cs="Times New Roman"/>
          <w:color w:val="000000"/>
        </w:rPr>
        <w:fldChar w:fldCharType="separate"/>
      </w:r>
      <w:r w:rsidRPr="00ED2479">
        <w:rPr>
          <w:rFonts w:eastAsia="Times New Roman" w:cs="Times New Roman"/>
          <w:noProof/>
          <w:color w:val="000000"/>
        </w:rPr>
        <w:t>(1992)</w:t>
      </w:r>
      <w:r>
        <w:rPr>
          <w:rFonts w:eastAsia="Times New Roman" w:cs="Times New Roman"/>
          <w:color w:val="000000"/>
        </w:rPr>
        <w:fldChar w:fldCharType="end"/>
      </w:r>
      <w:r>
        <w:rPr>
          <w:rFonts w:eastAsia="Times New Roman" w:cs="Times New Roman"/>
          <w:color w:val="000000"/>
        </w:rPr>
        <w:t xml:space="preserve"> and published as an extended revised English version in Maturana and </w:t>
      </w:r>
      <w:proofErr w:type="spellStart"/>
      <w:r>
        <w:rPr>
          <w:rFonts w:eastAsia="Times New Roman" w:cs="Times New Roman"/>
          <w:color w:val="000000"/>
        </w:rPr>
        <w:t>Mpodozis</w:t>
      </w:r>
      <w:proofErr w:type="spellEnd"/>
      <w:r>
        <w:rPr>
          <w:rFonts w:eastAsia="Times New Roman" w:cs="Times New Roman"/>
          <w:color w:val="000000"/>
        </w:rPr>
        <w:t xml:space="preserve"> </w:t>
      </w:r>
      <w:r>
        <w:rPr>
          <w:rFonts w:eastAsia="Times New Roman" w:cs="Times New Roman"/>
          <w:color w:val="000000"/>
        </w:rPr>
        <w:fldChar w:fldCharType="begin" w:fldLock="1"/>
      </w:r>
      <w:r>
        <w:rPr>
          <w:rFonts w:eastAsia="Times New Roman" w:cs="Times New Roman"/>
          <w:color w:val="000000"/>
        </w:rPr>
        <w:instrText>ADDIN CSL_CITATION {"citationItems":[{"id":"ITEM-1","itemData":{"DOI":"10.4067/S0716-078X2000000200005","ISSN":"0716-078X","author":[{"dropping-particle":"","family":"Maturana","given":"Humberto","non-dropping-particle":"","parse-names":false,"suffix":""},{"dropping-particle":"","family":"Mpodozis","given":"Jorge","non-dropping-particle":"","parse-names":false,"suffix":""}],"container-title":"Revista chilena de historia natural","id":"ITEM-1","issue":"2","issued":{"date-parts":[["2000","6"]]},"page":"261-310","title":"The origin of species by means of natural drift","type":"article-journal","volume":"73"},"suppress-author":1,"uris":["http://www.mendeley.com/documents/?uuid=078a5b2c-2d32-471d-990c-2d8e7c424079"]}],"mendeley":{"formattedCitation":"(2000)","plainTextFormattedCitation":"(2000)","previouslyFormattedCitation":"(2000)"},"properties":{"noteIndex":0},"schema":"https://github.com/citation-style-language/schema/raw/master/csl-citation.json"}</w:instrText>
      </w:r>
      <w:r>
        <w:rPr>
          <w:rFonts w:eastAsia="Times New Roman" w:cs="Times New Roman"/>
          <w:color w:val="000000"/>
        </w:rPr>
        <w:fldChar w:fldCharType="separate"/>
      </w:r>
      <w:r w:rsidRPr="00ED2479">
        <w:rPr>
          <w:rFonts w:eastAsia="Times New Roman" w:cs="Times New Roman"/>
          <w:noProof/>
          <w:color w:val="000000"/>
        </w:rPr>
        <w:t>(2000)</w:t>
      </w:r>
      <w:r>
        <w:rPr>
          <w:rFonts w:eastAsia="Times New Roman" w:cs="Times New Roman"/>
          <w:color w:val="000000"/>
        </w:rPr>
        <w:fldChar w:fldCharType="end"/>
      </w:r>
      <w:r>
        <w:rPr>
          <w:rFonts w:eastAsia="Times New Roman" w:cs="Times New Roman"/>
          <w:color w:val="000000"/>
        </w:rPr>
        <w:t>.</w:t>
      </w:r>
      <w:r w:rsidR="00766510">
        <w:rPr>
          <w:rFonts w:eastAsia="Times New Roman" w:cs="Times New Roman"/>
          <w:color w:val="000000"/>
        </w:rPr>
        <w:t xml:space="preserve"> </w:t>
      </w:r>
      <w:r w:rsidR="008A0348">
        <w:rPr>
          <w:rFonts w:eastAsia="Times New Roman" w:cs="Times New Roman"/>
          <w:color w:val="000000"/>
        </w:rPr>
        <w:t>It was also considered by</w:t>
      </w:r>
      <w:r w:rsidR="00766510">
        <w:rPr>
          <w:rFonts w:eastAsia="Times New Roman" w:cs="Times New Roman"/>
          <w:color w:val="000000"/>
        </w:rPr>
        <w:t xml:space="preserve"> Thompson (2007)</w:t>
      </w:r>
      <w:r w:rsidR="00DD128E">
        <w:rPr>
          <w:rFonts w:eastAsia="Times New Roman" w:cs="Times New Roman"/>
          <w:color w:val="000000"/>
        </w:rPr>
        <w:t xml:space="preserve">, whose </w:t>
      </w:r>
      <w:r w:rsidR="00766510">
        <w:rPr>
          <w:rFonts w:eastAsia="Times New Roman" w:cs="Times New Roman"/>
          <w:color w:val="000000"/>
        </w:rPr>
        <w:t xml:space="preserve">version </w:t>
      </w:r>
      <w:r w:rsidR="004538E5">
        <w:rPr>
          <w:rFonts w:eastAsia="Times New Roman" w:cs="Times New Roman"/>
          <w:color w:val="000000"/>
        </w:rPr>
        <w:t xml:space="preserve">of natural drift </w:t>
      </w:r>
      <w:r w:rsidR="00DD128E">
        <w:rPr>
          <w:rFonts w:eastAsia="Times New Roman" w:cs="Times New Roman"/>
          <w:color w:val="000000"/>
        </w:rPr>
        <w:t xml:space="preserve">is called ‘enactive evolution’. We return to it </w:t>
      </w:r>
      <w:r w:rsidR="00766510">
        <w:rPr>
          <w:rFonts w:eastAsia="Times New Roman" w:cs="Times New Roman"/>
          <w:color w:val="000000"/>
        </w:rPr>
        <w:t>in section 4.</w:t>
      </w:r>
    </w:p>
  </w:footnote>
  <w:footnote w:id="2">
    <w:p w14:paraId="673CB967" w14:textId="346A0222" w:rsidR="00550079" w:rsidRPr="009F0B01" w:rsidRDefault="00550079" w:rsidP="00C96A05">
      <w:pPr>
        <w:pStyle w:val="FootnoteText"/>
        <w:jc w:val="both"/>
      </w:pPr>
      <w:r w:rsidRPr="00AE16E9">
        <w:rPr>
          <w:rStyle w:val="FootnoteReference"/>
        </w:rPr>
        <w:footnoteRef/>
      </w:r>
      <w:r>
        <w:t xml:space="preserve"> Because the extended evolutionary synthesis is essentially pluralistic in its approach, and because it challenges central assumptions of traditional or modern evolutionary synthesis, one can argue that it is neither a </w:t>
      </w:r>
      <w:r>
        <w:rPr>
          <w:i/>
          <w:iCs/>
        </w:rPr>
        <w:t xml:space="preserve">synthesis </w:t>
      </w:r>
      <w:r>
        <w:t xml:space="preserve">nor an </w:t>
      </w:r>
      <w:r>
        <w:rPr>
          <w:i/>
          <w:iCs/>
        </w:rPr>
        <w:t>extension</w:t>
      </w:r>
      <w:r>
        <w:t xml:space="preserve"> of the traditional view </w:t>
      </w:r>
      <w:r>
        <w:fldChar w:fldCharType="begin" w:fldLock="1"/>
      </w:r>
      <w:r>
        <w:instrText>ADDIN CSL_CITATION {"citationItems":[{"id":"ITEM-1","itemData":{"DOI":"10.1007/s13752-020-00347-6","ISSN":"1555-5542","author":[{"dropping-particle":"","family":"Reis","given":"Claudio Ricardo Martins","non-dropping-particle":"dos","parse-names":false,"suffix":""},{"dropping-particle":"","family":"Araújo","given":"Leonardo Augusto Luvison","non-dropping-particle":"","parse-names":false,"suffix":""}],"container-title":"Biological Theory","id":"ITEM-1","issue":"2","issued":{"date-parts":[["2020","6","16"]]},"page":"57-60","title":"Extended Evolutionary Synthesis: Neither Synthesis Nor Extension","type":"article-journal","volume":"15"},"uris":["http://www.mendeley.com/documents/?uuid=227087a7-570c-4707-b6ca-3985179da340"]}],"mendeley":{"formattedCitation":"(dos Reis &amp; Araújo, 2020)","plainTextFormattedCitation":"(dos Reis &amp; Araújo, 2020)","previouslyFormattedCitation":"(dos Reis &amp; Araújo, 2020)"},"properties":{"noteIndex":0},"schema":"https://github.com/citation-style-language/schema/raw/master/csl-citation.json"}</w:instrText>
      </w:r>
      <w:r>
        <w:fldChar w:fldCharType="separate"/>
      </w:r>
      <w:r w:rsidRPr="009F0B01">
        <w:rPr>
          <w:noProof/>
        </w:rPr>
        <w:t>(dos</w:t>
      </w:r>
      <w:r>
        <w:rPr>
          <w:noProof/>
        </w:rPr>
        <w:t xml:space="preserve"> </w:t>
      </w:r>
      <w:r w:rsidRPr="009F0B01">
        <w:rPr>
          <w:noProof/>
        </w:rPr>
        <w:t>Reis &amp; Araújo, 2020)</w:t>
      </w:r>
      <w:r>
        <w:fldChar w:fldCharType="end"/>
      </w:r>
      <w:r>
        <w:t>. We, however, do not take a stance on that issue.</w:t>
      </w:r>
    </w:p>
  </w:footnote>
  <w:footnote w:id="3">
    <w:p w14:paraId="612AC71E" w14:textId="704BE5E8" w:rsidR="00550079" w:rsidRDefault="00550079" w:rsidP="008E042E">
      <w:pPr>
        <w:pStyle w:val="FootnoteText"/>
        <w:jc w:val="both"/>
      </w:pPr>
      <w:r w:rsidRPr="00AE16E9">
        <w:rPr>
          <w:rStyle w:val="FootnoteReference"/>
        </w:rPr>
        <w:footnoteRef/>
      </w:r>
      <w:r>
        <w:t xml:space="preserve"> A similar view has been put forth by</w:t>
      </w:r>
      <w:r w:rsidRPr="008E042E">
        <w:t xml:space="preserve"> Konrad Werner </w:t>
      </w:r>
      <w:r w:rsidRPr="008E042E">
        <w:fldChar w:fldCharType="begin" w:fldLock="1"/>
      </w:r>
      <w:r w:rsidRPr="008E042E">
        <w:instrText>ADDIN CSL_CITATION {"citationItems":[{"id":"ITEM-1","itemData":{"DOI":"10.1007/s11229-018-1756-1","ISSN":"15730964","abstract":"The paper discusses the concept of the cognitive niche and distinguishes the latter from the metabolic niche. By using these posits I unpack certain ideas that are crucial for the enactivist movement, especially for its original formulation proposed by Varela, Thompson and Rosh. Drawing on the ontology of location, boundaries, and parthood, I argue that enacting the world can be seen as the process of cognitive niche construction. Moreover, it turns out that enactivism—as seen through the lens of the conceptual framework proposed in the paper—considers cognition as a kind of connection between the subject and the world. This post is pointed to as the key idea laid down in enactivism.","author":[{"dropping-particle":"","family":"Werner","given":"Konrad","non-dropping-particle":"","parse-names":false,"suffix":""}],"container-title":"Synthese","id":"ITEM-1","issue":"3","issued":{"date-parts":[["2020"]]},"page":"1313-1341","publisher":"Springer Netherlands","title":"Enactment and construction of the cognitive niche: toward an ontology of the mind-world connection","type":"article-journal","volume":"197"},"suppress-author":1,"uris":["http://www.mendeley.com/documents/?uuid=4b9533d9-d93e-4d66-bab2-f5370fca30cf"]}],"mendeley":{"formattedCitation":"(2020)","plainTextFormattedCitation":"(2020)","previouslyFormattedCitation":"(2020)"},"properties":{"noteIndex":0},"schema":"https://github.com/citation-style-language/schema/raw/master/csl-citation.json"}</w:instrText>
      </w:r>
      <w:r w:rsidRPr="008E042E">
        <w:fldChar w:fldCharType="separate"/>
      </w:r>
      <w:r w:rsidRPr="008E042E">
        <w:rPr>
          <w:noProof/>
        </w:rPr>
        <w:t>(2020)</w:t>
      </w:r>
      <w:r w:rsidRPr="008E042E">
        <w:fldChar w:fldCharType="end"/>
      </w:r>
      <w:r>
        <w:t>. Werner’s</w:t>
      </w:r>
      <w:r w:rsidRPr="008E042E">
        <w:t xml:space="preserve"> idea of construction of a cognitive niche</w:t>
      </w:r>
      <w:r>
        <w:t xml:space="preserve"> is based</w:t>
      </w:r>
      <w:r w:rsidRPr="008E042E">
        <w:t xml:space="preserve"> on</w:t>
      </w:r>
      <w:r>
        <w:t xml:space="preserve"> </w:t>
      </w:r>
      <w:r w:rsidRPr="008E042E">
        <w:t xml:space="preserve">the distinction between metabolism and meta-metabolism </w:t>
      </w:r>
      <w:r w:rsidRPr="008E042E">
        <w:fldChar w:fldCharType="begin" w:fldLock="1"/>
      </w:r>
      <w:r w:rsidR="008A0348">
        <w:instrText>ADDIN CSL_CITATION {"citationItems":[{"id":"ITEM-1","itemData":{"DOI":"10.1006/brcg.1997.0909","ISSN":"02782626","author":[{"dropping-particle":"","family":"Moreno","given":"Alvaro","non-dropping-particle":"","parse-names":false,"suffix":""},{"dropping-particle":"","family":"Umerez","given":"Jon","non-dropping-particle":"","parse-names":false,"suffix":""},{"dropping-particle":"","family":"Ibañez","given":"Jesus","non-dropping-particle":"","parse-names":false,"suffix":""}],"container-title":"Brain and Cognition","id":"ITEM-1","issue":"1","issued":{"date-parts":[["1997","6"]]},"page":"107-129","title":"Cognition and Life: The Autonomy of Cognition","type":"article-journal","volume":"34"},"uris":["http://www.mendeley.com/documents/?uuid=e0dafb2d-889b-4f8a-90c6-29d4f8356078"]}],"mendeley":{"formattedCitation":"(Moreno et al., 1997)","manualFormatting":"(Moreno et al. 1997)","plainTextFormattedCitation":"(Moreno et al., 1997)","previouslyFormattedCitation":"(Moreno et al., 1997)"},"properties":{"noteIndex":0},"schema":"https://github.com/citation-style-language/schema/raw/master/csl-citation.json"}</w:instrText>
      </w:r>
      <w:r w:rsidRPr="008E042E">
        <w:fldChar w:fldCharType="separate"/>
      </w:r>
      <w:r w:rsidRPr="008E042E">
        <w:rPr>
          <w:noProof/>
        </w:rPr>
        <w:t>(Moreno et al. 1997)</w:t>
      </w:r>
      <w:r w:rsidRPr="008E042E">
        <w:fldChar w:fldCharType="end"/>
      </w:r>
      <w:r w:rsidRPr="008E042E">
        <w:t xml:space="preserve">, where metabolic processes enable organisms to survive, and meta-metabolic ones guide organisms towards attractors and away from repellents, therefore aiding and enhancing metabolic processes. Werner argues that organism and niche are codetermined in two ways. </w:t>
      </w:r>
      <w:r>
        <w:t>First, the</w:t>
      </w:r>
      <w:r w:rsidRPr="008E042E">
        <w:t xml:space="preserve"> construction of a metabolic niche produces a stable</w:t>
      </w:r>
      <w:r>
        <w:t>, operationally closed,</w:t>
      </w:r>
      <w:r w:rsidRPr="008E042E">
        <w:t xml:space="preserve"> tenant.</w:t>
      </w:r>
      <w:r>
        <w:t xml:space="preserve"> A</w:t>
      </w:r>
      <w:r w:rsidRPr="008E042E">
        <w:t xml:space="preserve">s organisms develop the capacities to act in their metabolic niches, they construct cognitive niches, which marks a second step of codetermination. </w:t>
      </w:r>
      <w:r>
        <w:t xml:space="preserve">Given Werner’s </w:t>
      </w:r>
      <w:r w:rsidRPr="008E042E">
        <w:t>reli</w:t>
      </w:r>
      <w:r>
        <w:t>ance</w:t>
      </w:r>
      <w:r w:rsidRPr="008E042E">
        <w:t xml:space="preserve"> on a distinction between metabolic and meta-metabolic processes, and </w:t>
      </w:r>
      <w:r>
        <w:t>given that</w:t>
      </w:r>
      <w:r w:rsidRPr="008E042E">
        <w:t xml:space="preserve"> cognition is understood as a process of the latter type, it follows that the conditions for the emergence of life are not the same as the conditions for the emergence of cognition. This seems to be incompatible with a strong construal of the life-mind continuity thesis, as it is defended in TEM and perhaps more notoriously </w:t>
      </w:r>
      <w:r w:rsidR="00810F25">
        <w:t>by</w:t>
      </w:r>
      <w:r w:rsidRPr="008E042E">
        <w:t xml:space="preserve"> Thompson </w:t>
      </w:r>
      <w:r w:rsidRPr="008E042E">
        <w:fldChar w:fldCharType="begin" w:fldLock="1"/>
      </w:r>
      <w:r w:rsidRPr="008E042E">
        <w:instrText>ADDIN CSL_CITATION {"citationItems":[{"id":"ITEM-1","itemData":{"author":[{"dropping-particle":"","family":"Thompson","given":"Evan","non-dropping-particle":"","parse-names":false,"suffix":""}],"id":"ITEM-1","issued":{"date-parts":[["2007"]]},"publisher":"The Belknap Press of Harvard University Press","publisher-place":"Cambridge, Massachusetts","title":"Mind in Life: Biology, Phenomenology and the Sciences of the Mind","type":"book"},"uris":["http://www.mendeley.com/documents/?uuid=ee35ab35-51b0-431f-9d52-245b6036bae1"]}],"mendeley":{"formattedCitation":"(Thompson, 2007)","manualFormatting":"(2007)","plainTextFormattedCitation":"(Thompson, 2007)","previouslyFormattedCitation":"(Thompson, 2007)"},"properties":{"noteIndex":0},"schema":"https://github.com/citation-style-language/schema/raw/master/csl-citation.json"}</w:instrText>
      </w:r>
      <w:r w:rsidRPr="008E042E">
        <w:fldChar w:fldCharType="separate"/>
      </w:r>
      <w:r w:rsidRPr="008E042E">
        <w:rPr>
          <w:noProof/>
        </w:rPr>
        <w:t>(2007)</w:t>
      </w:r>
      <w:r w:rsidRPr="008E042E">
        <w:fldChar w:fldCharType="end"/>
      </w:r>
      <w:r w:rsidR="00810F25">
        <w:t xml:space="preserve"> and more recently by Di Paolo et al </w:t>
      </w:r>
      <w:r w:rsidR="00810F25">
        <w:fldChar w:fldCharType="begin" w:fldLock="1"/>
      </w:r>
      <w:r w:rsidR="00810F25">
        <w:instrText>ADDIN CSL_CITATION {"citationItems":[{"id":"ITEM-1","itemData":{"author":[{"dropping-particle":"","family":"Paolo","given":"Ezequiel","non-dropping-particle":"Di","parse-names":false,"suffix":""},{"dropping-particle":"","family":"Cuffari","given":"Elena Clare","non-dropping-particle":"","parse-names":false,"suffix":""},{"dropping-particle":"","family":"Jaegher","given":"Hanne","non-dropping-particle":"De","parse-names":false,"suffix":""}],"id":"ITEM-1","issued":{"date-parts":[["2018"]]},"publisher":"MIT Press","publisher-place":"Cambridge, Massachusetts","title":"Linguistic Bodies: The Continuity Between Life and Language","type":"book"},"suppress-author":1,"uris":["http://www.mendeley.com/documents/?uuid=be1515fb-5596-43f2-92d5-772f7e83581a"]}],"mendeley":{"formattedCitation":"(2018)","plainTextFormattedCitation":"(2018)"},"properties":{"noteIndex":0},"schema":"https://github.com/citation-style-language/schema/raw/master/csl-citation.json"}</w:instrText>
      </w:r>
      <w:r w:rsidR="00810F25">
        <w:fldChar w:fldCharType="separate"/>
      </w:r>
      <w:r w:rsidR="00810F25" w:rsidRPr="00810F25">
        <w:rPr>
          <w:noProof/>
        </w:rPr>
        <w:t>(2018)</w:t>
      </w:r>
      <w:r w:rsidR="00810F25">
        <w:fldChar w:fldCharType="end"/>
      </w:r>
      <w:r w:rsidRPr="008E042E">
        <w:t>.</w:t>
      </w:r>
    </w:p>
  </w:footnote>
  <w:footnote w:id="4">
    <w:p w14:paraId="2F7EA516" w14:textId="3A212ADB" w:rsidR="00550079" w:rsidRPr="003039CE" w:rsidRDefault="00550079" w:rsidP="00DE797B">
      <w:pPr>
        <w:pStyle w:val="FootnoteText"/>
        <w:jc w:val="both"/>
        <w:rPr>
          <w:color w:val="FF0000"/>
        </w:rPr>
      </w:pPr>
      <w:r w:rsidRPr="00AE16E9">
        <w:rPr>
          <w:rStyle w:val="FootnoteReference"/>
        </w:rPr>
        <w:footnoteRef/>
      </w:r>
      <w:r w:rsidRPr="005E015E">
        <w:rPr>
          <w:color w:val="000000" w:themeColor="text1"/>
        </w:rPr>
        <w:t xml:space="preserve"> Whether or not this is a difference of kind or degree depends on whether other animals have a “theory of mind” like we do, that is, whether they are capable of ascribing intentional states to other animals. Research on the subject of animal cognition has been live yet controversial </w:t>
      </w:r>
      <w:r w:rsidRPr="005E015E">
        <w:rPr>
          <w:color w:val="000000" w:themeColor="text1"/>
        </w:rPr>
        <w:fldChar w:fldCharType="begin" w:fldLock="1"/>
      </w:r>
      <w:r w:rsidRPr="005E015E">
        <w:rPr>
          <w:color w:val="000000" w:themeColor="text1"/>
        </w:rPr>
        <w:instrText>ADDIN CSL_CITATION {"citationItems":[{"id":"ITEM-1","itemData":{"DOI":"10.3758/s13423-014-0704-4","ISSN":"1069-9384","author":[{"dropping-particle":"","family":"Heyes","given":"Cecilia","non-dropping-particle":"","parse-names":false,"suffix":""}],"container-title":"Psychonomic Bulletin &amp; Review","id":"ITEM-1","issue":"2","issued":{"date-parts":[["2015","4","8"]]},"page":"313-327","title":"Animal mindreading: what’s the problem?","type":"article-journal","volume":"22"},"prefix":"see","suffix":"for an overview and a critique","uris":["http://www.mendeley.com/documents/?uuid=79adc877-19bf-4458-aa87-d5377f412527"]}],"mendeley":{"formattedCitation":"(see Heyes, 2015 for an overview and a critique)","manualFormatting":"(see Heyes, 2015, for a historical overview and a methodological critique)","plainTextFormattedCitation":"(see Heyes, 2015 for an overview and a critique)","previouslyFormattedCitation":"(see Heyes, 2015 for an overview and a critique)"},"properties":{"noteIndex":0},"schema":"https://github.com/citation-style-language/schema/raw/master/csl-citation.json"}</w:instrText>
      </w:r>
      <w:r w:rsidRPr="005E015E">
        <w:rPr>
          <w:color w:val="000000" w:themeColor="text1"/>
        </w:rPr>
        <w:fldChar w:fldCharType="separate"/>
      </w:r>
      <w:r w:rsidRPr="005E015E">
        <w:rPr>
          <w:noProof/>
          <w:color w:val="000000" w:themeColor="text1"/>
        </w:rPr>
        <w:t>(see Heyes, 2015, for a historical overview and a methodological critique)</w:t>
      </w:r>
      <w:r w:rsidRPr="005E015E">
        <w:rPr>
          <w:color w:val="000000" w:themeColor="text1"/>
        </w:rPr>
        <w:fldChar w:fldCharType="end"/>
      </w:r>
      <w:r w:rsidRPr="005E015E">
        <w:rPr>
          <w:color w:val="000000" w:themeColor="text1"/>
        </w:rPr>
        <w:t>. In this argument, we do not rely on whether non-human animals have a theory of mind. We do rely, however, on the less controversial claim that there is something about human social behavior that sets us significantly apart from other animals.</w:t>
      </w:r>
    </w:p>
  </w:footnote>
  <w:footnote w:id="5">
    <w:p w14:paraId="0D930B22" w14:textId="0784E656" w:rsidR="00550079" w:rsidRPr="005E015E" w:rsidRDefault="00550079" w:rsidP="000418E1">
      <w:pPr>
        <w:pStyle w:val="FootnoteText"/>
        <w:jc w:val="both"/>
        <w:rPr>
          <w:color w:val="000000" w:themeColor="text1"/>
        </w:rPr>
      </w:pPr>
      <w:r w:rsidRPr="00AE16E9">
        <w:rPr>
          <w:rStyle w:val="FootnoteReference"/>
        </w:rPr>
        <w:footnoteRef/>
      </w:r>
      <w:r w:rsidRPr="005E015E">
        <w:rPr>
          <w:color w:val="000000" w:themeColor="text1"/>
        </w:rPr>
        <w:t xml:space="preserve"> We use ‘highly normative’ to distinguish it from the normativity present in non-human animals (see </w:t>
      </w:r>
      <w:r w:rsidRPr="005E015E">
        <w:rPr>
          <w:color w:val="000000" w:themeColor="text1"/>
        </w:rPr>
        <w:fldChar w:fldCharType="begin" w:fldLock="1"/>
      </w:r>
      <w:r w:rsidR="00810F25">
        <w:rPr>
          <w:color w:val="000000" w:themeColor="text1"/>
        </w:rPr>
        <w:instrText>ADDIN CSL_CITATION {"citationItems":[{"id":"ITEM-1","itemData":{"DOI":"10.1126/science.1232769","ISSN":"0036-8075","author":[{"dropping-particle":"","family":"Waal","given":"E.","non-dropping-particle":"van de","parse-names":false,"suffix":""},{"dropping-particle":"","family":"Borgeaud","given":"C.","non-dropping-particle":"","parse-names":false,"suffix":""},{"dropping-particle":"","family":"Whiten","given":"A.","non-dropping-particle":"","parse-names":false,"suffix":""}],"container-title":"Science","id":"ITEM-1","issue":"6131","issued":{"date-parts":[["2013","4","26"]]},"page":"483-485","title":"Potent Social Learning and Conformity Shape a Wild Primate's Foraging Decisions","type":"article-journal","volume":"340"},"suffix":"for an example of socially inherited social norms in apes","uris":["http://www.mendeley.com/documents/?uuid=c8742d6b-520e-4d92-b064-0ee17f40e263"]}],"mendeley":{"formattedCitation":"(van de Waal et al., 2013 for an example of socially inherited social norms in apes)","manualFormatting":"van de Waal, Borgeaud, &amp; Whiten, 2013 for an example of socially inherited norms in apes)","plainTextFormattedCitation":"(van de Waal et al., 2013 for an example of socially inherited social norms in apes)","previouslyFormattedCitation":"(van de Waal et al., 2013 for an example of socially inherited social norms in apes)"},"properties":{"noteIndex":0},"schema":"https://github.com/citation-style-language/schema/raw/master/csl-citation.json"}</w:instrText>
      </w:r>
      <w:r w:rsidRPr="005E015E">
        <w:rPr>
          <w:color w:val="000000" w:themeColor="text1"/>
        </w:rPr>
        <w:fldChar w:fldCharType="separate"/>
      </w:r>
      <w:r w:rsidRPr="005E015E">
        <w:rPr>
          <w:noProof/>
          <w:color w:val="000000" w:themeColor="text1"/>
        </w:rPr>
        <w:t>van de Waal, Borgeaud, &amp; Whiten, 2013 for an example of socially inherited norms in apes)</w:t>
      </w:r>
      <w:r w:rsidRPr="005E015E">
        <w:rPr>
          <w:color w:val="000000" w:themeColor="text1"/>
        </w:rPr>
        <w:fldChar w:fldCharType="end"/>
      </w:r>
      <w:r w:rsidRPr="005E015E">
        <w:rPr>
          <w:color w:val="000000" w:themeColor="text1"/>
        </w:rPr>
        <w:t>.</w:t>
      </w:r>
    </w:p>
  </w:footnote>
  <w:footnote w:id="6">
    <w:p w14:paraId="1FA181DB" w14:textId="294959EB" w:rsidR="00550079" w:rsidRDefault="00550079" w:rsidP="00C96A05">
      <w:pPr>
        <w:pStyle w:val="FootnoteText"/>
        <w:jc w:val="both"/>
      </w:pPr>
      <w:r w:rsidRPr="00AE16E9">
        <w:rPr>
          <w:rStyle w:val="FootnoteReference"/>
        </w:rPr>
        <w:footnoteRef/>
      </w:r>
      <w:r>
        <w:t xml:space="preserve"> </w:t>
      </w:r>
      <w:r w:rsidR="0088182A">
        <w:t>Naturally,</w:t>
      </w:r>
      <w:r>
        <w:t xml:space="preserve"> satisfactory explanation of how </w:t>
      </w:r>
      <w:r w:rsidR="00DD128E" w:rsidRPr="0088182A">
        <w:t>behaviorally</w:t>
      </w:r>
      <w:r w:rsidR="00DD128E">
        <w:t xml:space="preserve"> </w:t>
      </w:r>
      <w:r>
        <w:t xml:space="preserve">modern humans came to </w:t>
      </w:r>
      <w:r w:rsidR="0028424C">
        <w:t xml:space="preserve">existence </w:t>
      </w:r>
      <w:r w:rsidR="004509F2">
        <w:t>is</w:t>
      </w:r>
      <w:r w:rsidR="0028424C">
        <w:t xml:space="preserve"> much more intricate</w:t>
      </w:r>
      <w:r>
        <w:t xml:space="preserve"> than what we explore here</w:t>
      </w:r>
      <w:r w:rsidR="00DD128E">
        <w:t xml:space="preserve">. </w:t>
      </w:r>
    </w:p>
  </w:footnote>
  <w:footnote w:id="7">
    <w:p w14:paraId="11FF7572" w14:textId="3B3A056A" w:rsidR="00550079" w:rsidRDefault="00550079" w:rsidP="00C96A05">
      <w:pPr>
        <w:pStyle w:val="FootnoteText"/>
        <w:jc w:val="both"/>
      </w:pPr>
      <w:r w:rsidRPr="00AE16E9">
        <w:rPr>
          <w:rStyle w:val="FootnoteReference"/>
        </w:rPr>
        <w:footnoteRef/>
      </w:r>
      <w:r>
        <w:t xml:space="preserve"> </w:t>
      </w:r>
      <w:r w:rsidR="000418E1">
        <w:t>Consider again the example above: a</w:t>
      </w:r>
      <w:r>
        <w:t>t the neural level, Malafouris hypothesizes that manipulating clay tokens lead to a reorganization in the neural connectivity of the intraparietal area, specifically linking the anterior intraparietal area, which is responsible for manual tasks, with the horizontal segment of the intraparietal sulcus and the angular gyrus, which are areas associated, respectively, with semantic associations and metaphorical thinking (see Malafouris, 2013, p. 115).</w:t>
      </w:r>
    </w:p>
  </w:footnote>
  <w:footnote w:id="8">
    <w:p w14:paraId="6638FE5C" w14:textId="2A37C7BB" w:rsidR="00D7253A" w:rsidRDefault="00D7253A" w:rsidP="00D7253A">
      <w:pPr>
        <w:pStyle w:val="FootnoteText"/>
        <w:jc w:val="both"/>
      </w:pPr>
      <w:r w:rsidRPr="00AE16E9">
        <w:rPr>
          <w:rStyle w:val="FootnoteReference"/>
        </w:rPr>
        <w:footnoteRef/>
      </w:r>
      <w:r>
        <w:t xml:space="preserve"> Of course, a skeptic about the external world could insist that we cannot know whether our actions are in fact real—maybe, their argument goes, we can only be sure about the content of some of our present-tense experiences. But that would imply a conception of mind as a disembodied entity, something that enactivists fundamentally reject.</w:t>
      </w:r>
    </w:p>
  </w:footnote>
  <w:footnote w:id="9">
    <w:p w14:paraId="394866FF" w14:textId="66970D83" w:rsidR="000D3814" w:rsidRDefault="000D3814" w:rsidP="000D3814">
      <w:pPr>
        <w:pStyle w:val="FootnoteText"/>
        <w:jc w:val="both"/>
      </w:pPr>
      <w:r w:rsidRPr="00AE16E9">
        <w:rPr>
          <w:rStyle w:val="FootnoteReference"/>
        </w:rPr>
        <w:footnoteRef/>
      </w:r>
      <w:r>
        <w:t xml:space="preserve"> </w:t>
      </w:r>
      <w:r w:rsidRPr="000D3814">
        <w:t xml:space="preserve">We acknowledge that our proposal may not satisfy anti-realists who hold that entities postulated by physical theories are </w:t>
      </w:r>
      <w:r w:rsidRPr="000D3814">
        <w:rPr>
          <w:i/>
          <w:iCs/>
        </w:rPr>
        <w:t xml:space="preserve">merely </w:t>
      </w:r>
      <w:r w:rsidRPr="000D3814">
        <w:t xml:space="preserve">culturally enabled abstractions, so they are not </w:t>
      </w:r>
      <w:r w:rsidRPr="000D3814">
        <w:rPr>
          <w:i/>
          <w:iCs/>
        </w:rPr>
        <w:t xml:space="preserve">objective </w:t>
      </w:r>
      <w:r w:rsidRPr="000D3814">
        <w:t xml:space="preserve">or </w:t>
      </w:r>
      <w:r w:rsidRPr="000D3814">
        <w:rPr>
          <w:i/>
          <w:iCs/>
        </w:rPr>
        <w:t xml:space="preserve">real </w:t>
      </w:r>
      <w:r w:rsidRPr="000D3814">
        <w:t xml:space="preserve">in a sufficiently robust sense. As we have argued in section 3.3, however, symbolic numerical counting, which is presumably a paradigmatic case of culturally enabled abstraction, is historically dependent upon material engagements. </w:t>
      </w:r>
      <w:r w:rsidR="0028424C">
        <w:t>T</w:t>
      </w:r>
      <w:r w:rsidRPr="000D3814">
        <w:t>herefore,</w:t>
      </w:r>
      <w:r w:rsidR="0028424C">
        <w:t xml:space="preserve"> it is</w:t>
      </w:r>
      <w:r w:rsidRPr="000D3814">
        <w:t xml:space="preserve"> not </w:t>
      </w:r>
      <w:r w:rsidR="0028424C">
        <w:t>separable</w:t>
      </w:r>
      <w:r w:rsidRPr="000D3814">
        <w:t xml:space="preserve"> from our actions in the world. This, we believe, offers good initial grounds to resist the idea that theoretical entities are not real.</w:t>
      </w:r>
    </w:p>
  </w:footnote>
  <w:footnote w:id="10">
    <w:p w14:paraId="2A9F94EF" w14:textId="7E36F781" w:rsidR="00550079" w:rsidRPr="00A623D4" w:rsidRDefault="00550079" w:rsidP="00A623D4">
      <w:pPr>
        <w:pStyle w:val="FootnoteText"/>
        <w:jc w:val="both"/>
        <w:rPr>
          <w:lang w:val="pt-BR"/>
        </w:rPr>
      </w:pPr>
      <w:r w:rsidRPr="00AE16E9">
        <w:rPr>
          <w:rStyle w:val="FootnoteReference"/>
        </w:rPr>
        <w:footnoteRef/>
      </w:r>
      <w:r>
        <w:t xml:space="preserve"> Similarly to enactivism, ecological psychology, which was originally developed by Gibson </w:t>
      </w:r>
      <w:r>
        <w:fldChar w:fldCharType="begin" w:fldLock="1"/>
      </w:r>
      <w:r>
        <w:instrText>ADDIN CSL_CITATION {"citationItems":[{"id":"ITEM-1","itemData":{"author":[{"dropping-particle":"","family":"Gibson","given":"J. J.","non-dropping-particle":"","parse-names":false,"suffix":""}],"id":"ITEM-1","issued":{"date-parts":[["2015"]]},"publisher":"Psychology Press","publisher-place":"New York","title":"The Ecological Approach to Visual Perception","type":"book"},"prefix":"1979/","suppress-author":1,"uris":["http://www.mendeley.com/documents/?uuid=471c16aa-4c94-4614-8a8b-dfd30f35efbc"]}],"mendeley":{"formattedCitation":"(1979/2015)","plainTextFormattedCitation":"(1979/2015)","previouslyFormattedCitation":"(1979/2015)"},"properties":{"noteIndex":0},"schema":"https://github.com/citation-style-language/schema/raw/master/csl-citation.json"}</w:instrText>
      </w:r>
      <w:r>
        <w:fldChar w:fldCharType="separate"/>
      </w:r>
      <w:r w:rsidRPr="00A623D4">
        <w:rPr>
          <w:noProof/>
        </w:rPr>
        <w:t>(1979/2015)</w:t>
      </w:r>
      <w:r>
        <w:fldChar w:fldCharType="end"/>
      </w:r>
      <w:r>
        <w:t xml:space="preserve"> has its roots on pragmatism. Ecological psychologists emphasize </w:t>
      </w:r>
      <w:r w:rsidRPr="00A623D4">
        <w:t xml:space="preserve">the role of agency in perceptual cognition and reject that organisms have to enrich information about distal physical structures through </w:t>
      </w:r>
      <w:r>
        <w:t xml:space="preserve">computations over </w:t>
      </w:r>
      <w:r w:rsidRPr="00A623D4">
        <w:t xml:space="preserve">mental representations. Despite these initial similarities, </w:t>
      </w:r>
      <w:r>
        <w:t xml:space="preserve">the authors of TEM took Gibson’s ideas to overemphasize the environmental side of the agent-environment relations, </w:t>
      </w:r>
      <w:r w:rsidR="00640C43">
        <w:t>supposedly</w:t>
      </w:r>
      <w:r>
        <w:t xml:space="preserve"> downplaying the organism’s role in cognition</w:t>
      </w:r>
      <w:r w:rsidR="00FE01A2">
        <w:t xml:space="preserve"> </w:t>
      </w:r>
      <w:r w:rsidR="00FE01A2" w:rsidRPr="00ED036F">
        <w:t>(</w:t>
      </w:r>
      <w:r w:rsidR="004D094F" w:rsidRPr="00ED036F">
        <w:t xml:space="preserve">Cf. </w:t>
      </w:r>
      <w:r w:rsidR="00D27A2D" w:rsidRPr="00ED036F">
        <w:rPr>
          <w:rFonts w:eastAsia="Times New Roman" w:cs="Times New Roman"/>
          <w:color w:val="000000"/>
        </w:rPr>
        <w:t>Varela et al.</w:t>
      </w:r>
      <w:r w:rsidR="0088182A" w:rsidRPr="00ED036F">
        <w:rPr>
          <w:rFonts w:eastAsia="Times New Roman" w:cs="Times New Roman"/>
          <w:color w:val="000000"/>
        </w:rPr>
        <w:t>,</w:t>
      </w:r>
      <w:r w:rsidR="00D27A2D" w:rsidRPr="00ED036F">
        <w:rPr>
          <w:rFonts w:eastAsia="Times New Roman" w:cs="Times New Roman"/>
          <w:color w:val="000000"/>
        </w:rPr>
        <w:t xml:space="preserve"> 2016</w:t>
      </w:r>
      <w:r w:rsidR="00FE01A2" w:rsidRPr="00ED036F">
        <w:t>, pp. 203-204).</w:t>
      </w:r>
      <w:r w:rsidR="00FE01A2">
        <w:t xml:space="preserve"> </w:t>
      </w:r>
      <w:r>
        <w:t xml:space="preserve">Recently, Harry Heft </w:t>
      </w:r>
      <w:r>
        <w:fldChar w:fldCharType="begin" w:fldLock="1"/>
      </w:r>
      <w:r>
        <w:instrText>ADDIN CSL_CITATION {"citationItems":[{"id":"ITEM-1","itemData":{"DOI":"10.3389/fpsyg.2020.00991","ISSN":"1664-1078","author":[{"dropping-particle":"","family":"Heft","given":"Harry","non-dropping-particle":"","parse-names":false,"suffix":""}],"container-title":"Frontiers in Psychology","id":"ITEM-1","issued":{"date-parts":[["2020","5","26"]]},"title":"Ecological Psychology and Enaction Theory: Divergent Groundings","type":"article-journal","volume":"11"},"suppress-author":1,"uris":["http://www.mendeley.com/documents/?uuid=db0eeb1e-ec20-47f1-b737-c04b66188793"]}],"mendeley":{"formattedCitation":"(2020)","plainTextFormattedCitation":"(2020)","previouslyFormattedCitation":"(2020)"},"properties":{"noteIndex":0},"schema":"https://github.com/citation-style-language/schema/raw/master/csl-citation.json"}</w:instrText>
      </w:r>
      <w:r>
        <w:fldChar w:fldCharType="separate"/>
      </w:r>
      <w:r w:rsidRPr="00A623D4">
        <w:rPr>
          <w:noProof/>
        </w:rPr>
        <w:t>(2020)</w:t>
      </w:r>
      <w:r>
        <w:fldChar w:fldCharType="end"/>
      </w:r>
      <w:r>
        <w:t xml:space="preserve"> argued for a divergence between the two approaches by reading enactivism under an idealist light, in contrast with Gibson’s professed realism. Despite their complicated past, recent developments indicate that ecological psychology and enactivism can be put to work together </w:t>
      </w:r>
      <w:r>
        <w:fldChar w:fldCharType="begin" w:fldLock="1"/>
      </w:r>
      <w:r w:rsidR="008A0348">
        <w:instrText>ADDIN CSL_CITATION {"citationItems":[{"id":"ITEM-1","itemData":{"DOI":"10.1007/s11229-018-02020-9","ISSN":"0039-7857","abstract":"Radical embodied cognitive science is split into two camps: the ecological approach and the enactive approach. We propose that these two approaches can be brought together into a productive synthesis. The key is to recognize that the two approaches are pursuing different but complementary types of explanation. Both approaches seek to explain behavior in terms of the animal–environment relation, but they start at opposite ends. Ecological psychologists pursue an ontological strategy. They begin by describing the habitat of the species, and use this to explain how action possibilities are constrained for individual actors. Enactivists, meanwhile, pursue an epistemic strategy: start by characterizing the exploratory, self-regulating behavior of the individual organism, and use this to understand how that organism brings forth its animal-specific umwelt . Both types of explanation are necessary: the ontological strategy explains how structure in the environment constrains how the world can appear to an individual, while the epistemic strategy explains how the world can appear differently to different members of the same species, relative to their skills, abilities, and histories. Making the distinction between species habitat and animal-specific umwelt allows us to understand the environment in realist terms while acknowledging that individual living organisms are phenomenal beings.","author":[{"dropping-particle":"","family":"Baggs","given":"Edward","non-dropping-particle":"","parse-names":false,"suffix":""},{"dropping-particle":"","family":"Chemero","given":"Anthony","non-dropping-particle":"","parse-names":false,"suffix":""}],"container-title":"Synthese","id":"ITEM-1","issue":"S9","issued":{"date-parts":[["2021","5","20"]]},"page":"2175-2190","title":"Radical embodiment in two directions","type":"article-journal","volume":"198"},"uris":["http://www.mendeley.com/documents/?uuid=984eaec9-19b6-41b4-9d16-89702f55f055"]},{"id":"ITEM-2","itemData":{"DOI":"10.1007/s11229-019-02111-1","ISBN":"1122901902111","ISSN":"0039-7857","abstract":"This paper argues that it is possible to combine enactivism and ecological psychology in a single post-cognitivist research framework if we highlight the common pragmatist assumptions of both approaches. These pragmatist assumptions or starting points are shared by ecological psychology and the enactive approach independently of being historically related to pragmatism, and they are based on the idea of organic coordination, which states that the evolution and development of the cognitive abilities of an organism are explained by appealing to the history of interactions of that organism with its environment. It is argued that the idea of behavioral or organic coordination within the enactive approach gives rise to the sensorimotor abilities of the organism, while the ecological approach emphasizes the coordination at a higher-level between organism and environment through the agent’s exploratory behavior for perceiving affordances. As such, these two different processes of organic coordination can be integrated in a post-cognitivist research framework, which will be based on two levels of analysis: the subpersonal one (the neural dynamics of the sensorimotor contingencies and the emergence of enactive agency) and the personal one (the dynamics that emerges from the organism-environment interaction in ecological terms). If this proposal is on the right track, this may be a promising first step for offering a systematized and consistent post-cognitivist approach to cognition that retain the full potential of both enactivism and ecological psychology.","author":[{"dropping-particle":"","family":"Heras-Escribano","given":"Manuel","non-dropping-particle":"","parse-names":false,"suffix":""}],"container-title":"Synthese","id":"ITEM-2","issue":"0123456789","issued":{"date-parts":[["2019","2","2"]]},"publisher":"Springer Netherlands","title":"Pragmatism, enactivism, and ecological psychology: towards a unified approach to post-cognitivism","type":"article-journal"},"uris":["http://www.mendeley.com/documents/?uuid=926fec64-4c31-4d1e-8a98-0edf18e334f0"]},{"id":"ITEM-3","itemData":{"DOI":"10.3389/fpsyg.2020.00588","ISSN":"1664-1078","author":[{"dropping-particle":"de","family":"Carvalho","given":"Eros","non-dropping-particle":"","parse-names":false,"suffix":""},{"dropping-particle":"","family":"Rolla","given":"Giovanni","non-dropping-particle":"","parse-names":false,"suffix":""}],"container-title":"Frontiers in Psychology","id":"ITEM-3","issued":{"date-parts":[["2020","4","21"]]},"page":"1-11","title":"An Enactive-Ecological Approach to Information and Uncertainty","type":"article-journal","volume":"11"},"uris":["http://www.mendeley.com/documents/?uuid=09d57583-054b-4b87-b9db-c644ff2995b8"]},{"id":"ITEM-4","itemData":{"DOI":"10.1007/s11097-020-09713-y","ISSN":"1568-7759","author":[{"dropping-particle":"","family":"Rolla","given":"Giovanni","non-dropping-particle":"","parse-names":false,"suffix":""},{"dropping-particle":"","family":"Novaes","given":"Felipe","non-dropping-particle":"","parse-names":false,"suffix":""}],"container-title":"Phenomenology and the Cognitive Sciences","id":"ITEM-4","issue</w:instrText>
      </w:r>
      <w:r w:rsidR="008A0348" w:rsidRPr="008A0348">
        <w:rPr>
          <w:lang w:val="pt-BR"/>
        </w:rPr>
        <w:instrText>d":{"date-parts":[["2020","11","25"]]},"title":"Ecological-enactive scientific cognition: modeling and material engagement","type":"article-journal"},"uris":["http://www.mendeley.com/documents/?uuid=54fa1270-2232-48df-b35c-525b6f7d43f1"]},{"id":"ITEM-5","itemData":{"DOI":"10.1177/1059712318772778","ISSN":"1059-7123","author":[{"dropping-particle":"","family":"Kiverstein","given":"Julian D","non-dropping-particle":"","parse-names":false,"suffix":""},{"dropping-particle":"","family":"Rietveld","given":"Erik","non-dropping-particle":"","parse-names":false,"suffix":""}],"container-title":"Adaptive Behavior","id":"ITEM-5","issue":"4","issued":{"date-parts":[["2018","8","23"]]},"page":"147-163","title":"Reconceiving representation-hungry cognition: an ecological-enactive proposal","type":"article-journal","volume":"26"},"uris":["http://www.mendeley.com/documents/?uuid=957312f7-2214-442a-89de-50c5140c4120"]}],"mendeley":{"formattedCitation":"(Baggs &amp; Chemero, 2021; Carvalho &amp; Rolla, 2020; Heras-Escribano, 2019; Kiverstein &amp; Rietveld, 2018; Rolla &amp; Novaes, 2020)","plainTextFormattedCitation":"(Baggs &amp; Chemero, 2021; Carvalho &amp; Rolla, 2020; Heras-Escribano, 2019; Kiverstein &amp; Rietveld, 2018; Rolla &amp; Novaes, 2020)","previouslyFormattedCitation":"(Baggs &amp; Chemero, 2021; Carvalho &amp; Rolla, 2020; Heras-Escribano, 2019; Kiverstein &amp; Rietveld, 2018; Rolla &amp; Novaes, 2020)"},"properties":{"noteIndex":0},"schema":"https://github.com/citation-style-language/schema/raw/master/csl-citation.json"}</w:instrText>
      </w:r>
      <w:r>
        <w:fldChar w:fldCharType="separate"/>
      </w:r>
      <w:r w:rsidR="00312EF8" w:rsidRPr="00312EF8">
        <w:rPr>
          <w:noProof/>
          <w:lang w:val="pt-BR"/>
        </w:rPr>
        <w:t>(Baggs &amp; Chemero, 2021; Carvalho &amp; Rolla, 2020; Heras-Escribano, 2019; Kiverstein &amp; Rietveld, 2018; Rolla &amp; Novaes, 2020)</w:t>
      </w:r>
      <w:r>
        <w:fldChar w:fldCharType="end"/>
      </w:r>
      <w:r w:rsidRPr="00A623D4">
        <w:rPr>
          <w:lang w:val="pt-BR"/>
        </w:rPr>
        <w:t xml:space="preserve">. </w:t>
      </w:r>
    </w:p>
  </w:footnote>
  <w:footnote w:id="11">
    <w:p w14:paraId="14418935" w14:textId="75B0D608" w:rsidR="00595B76" w:rsidRDefault="00595B76">
      <w:pPr>
        <w:pStyle w:val="FootnoteText"/>
      </w:pPr>
      <w:r w:rsidRPr="00AE16E9">
        <w:rPr>
          <w:rStyle w:val="FootnoteReference"/>
        </w:rPr>
        <w:footnoteRef/>
      </w:r>
      <w:r>
        <w:t xml:space="preserve"> </w:t>
      </w:r>
      <w:r w:rsidRPr="00595B76">
        <w:t xml:space="preserve">Natural drift should not be confused with </w:t>
      </w:r>
      <w:r w:rsidRPr="00595B76">
        <w:rPr>
          <w:i/>
          <w:iCs/>
        </w:rPr>
        <w:t>genetic drift</w:t>
      </w:r>
      <w:r w:rsidRPr="00595B76">
        <w:t>, which is the change in frequency of gene variants in the genetic compositions of populations due to the randomness of sampling, as opposed to genetic variation by adaptation. </w:t>
      </w:r>
    </w:p>
  </w:footnote>
  <w:footnote w:id="12">
    <w:p w14:paraId="08E206ED" w14:textId="045FD849" w:rsidR="00550079" w:rsidRDefault="00550079" w:rsidP="00A66718">
      <w:pPr>
        <w:pStyle w:val="FootnoteText"/>
        <w:jc w:val="both"/>
      </w:pPr>
      <w:r w:rsidRPr="00AE16E9">
        <w:rPr>
          <w:rStyle w:val="FootnoteReference"/>
        </w:rPr>
        <w:footnoteRef/>
      </w:r>
      <w:r>
        <w:t xml:space="preserve"> </w:t>
      </w:r>
      <w:r w:rsidRPr="00EA6D2A">
        <w:t>These points can be summarized as (</w:t>
      </w:r>
      <w:proofErr w:type="spellStart"/>
      <w:r w:rsidRPr="00EA6D2A">
        <w:t>i</w:t>
      </w:r>
      <w:proofErr w:type="spellEnd"/>
      <w:r w:rsidRPr="00EA6D2A">
        <w:t xml:space="preserve">) specific genes rarely determine the manifestation of isolated traits (linkage and pleiotropy), (ii) development is determined by epigenetic factors, (iii) genetic frequency is random in maintained population size (genetic drift), (iv) some groups undergo very little changes </w:t>
      </w:r>
      <w:r>
        <w:t>over</w:t>
      </w:r>
      <w:r w:rsidRPr="00EA6D2A">
        <w:t xml:space="preserve"> large timescales despite significant changes in the environment and high genetic diversity (stasis), and (v) there is a need for reconceiving the individual as a unit of selection.</w:t>
      </w:r>
    </w:p>
  </w:footnote>
  <w:footnote w:id="13">
    <w:p w14:paraId="62306E7D" w14:textId="2C11B0CA" w:rsidR="00550079" w:rsidRDefault="00550079" w:rsidP="00A66718">
      <w:pPr>
        <w:pStyle w:val="FootnoteText"/>
        <w:jc w:val="both"/>
      </w:pPr>
      <w:r w:rsidRPr="00AE16E9">
        <w:rPr>
          <w:rStyle w:val="FootnoteReference"/>
        </w:rPr>
        <w:footnoteRef/>
      </w:r>
      <w:r>
        <w:t xml:space="preserve"> Note </w:t>
      </w:r>
      <w:r w:rsidRPr="00EA6D2A">
        <w:t xml:space="preserve">that their criticism is directed towards what has been called </w:t>
      </w:r>
      <w:r w:rsidRPr="00EA6D2A">
        <w:rPr>
          <w:i/>
          <w:iCs/>
        </w:rPr>
        <w:t>empirical adaptationism</w:t>
      </w:r>
      <w:r w:rsidRPr="00EA6D2A">
        <w:t>, the view that natural selection is the main mechanism responsible for evolutionary changes. They do not affect (at least prima facie) explanatory and methodological varieties of adaptationism</w:t>
      </w:r>
      <w:r>
        <w:t xml:space="preserve"> </w:t>
      </w:r>
      <w:r>
        <w:fldChar w:fldCharType="begin" w:fldLock="1"/>
      </w:r>
      <w:r>
        <w:instrText>ADDIN CSL_CITATION {"citationItems":[{"id":"ITEM-1","itemData":{"author":[{"dropping-particle":"","family":"Orzack","given":"Steven Hecht","non-dropping-particle":"","parse-names":false,"suffix":""},{"dropping-particle":"","family":"Forber","given":"Patrick","non-dropping-particle":"","parse-names":false,"suffix":""}],"container-title":"The Stanford Encyclopedia of Philosophy","edition":"Spring 201","editor":[{"dropping-particle":"","family":"Zalta","given":"Edward N","non-dropping-particle":"","parse-names":false,"suffix":""}],"id":"ITEM-1","issued":{"date-parts":[["2017"]]},"publisher":"Metaphysics Research Lab, Stanford University","title":"Adaptationism","type":"chapter"},"prefix":"see","uris":["http://www.mendeley.com/documents/?uuid=bee1507a-f013-4158-baac-685918f8f652"]},{"id":"ITEM-2","itemData":{"DOI":"10.1017/CBO9780511609084.012","author":[{"dropping-particle":"","family":"Godfrey-Smith","given":"Peter","non-dropping-particle":"","parse-names":false,"suffix":""}],"container-title":"Adaptationism and Optimality","id":"ITEM-2","issued":{"date-parts":[["2001","6","4"]]},"page":"335-357","publisher":"Cambridge University Press","title":"Three Kinds of Adaptationism","type":"chapter"},"uris":["http://www.mendeley.com/documents/?uuid=eb9b3198-4cf2-4ffd-8208-928b909207b9"]}],"mendeley":{"formattedCitation":"(Godfrey-Smith, 2001; see Orzack &amp; Forber, 2017)","manualFormatting":"(see Godfrey-Smith, 2001; Orzack &amp; Forber, 2017)","plainTextFormattedCitation":"(Godfrey-Smith, 2001; see Orzack &amp; Forber, 2017)","previouslyFormattedCitation":"(Godfrey-Smith, 2001; see Orzack &amp; Forber, 2017)"},"properties":{"noteIndex":0},"schema":"https://github.com/citation-style-language/schema/raw/master/csl-citation.json"}</w:instrText>
      </w:r>
      <w:r>
        <w:fldChar w:fldCharType="separate"/>
      </w:r>
      <w:r w:rsidRPr="00EA6D2A">
        <w:rPr>
          <w:noProof/>
        </w:rPr>
        <w:t>(</w:t>
      </w:r>
      <w:r>
        <w:rPr>
          <w:noProof/>
        </w:rPr>
        <w:t xml:space="preserve">see </w:t>
      </w:r>
      <w:r w:rsidRPr="00EA6D2A">
        <w:rPr>
          <w:noProof/>
        </w:rPr>
        <w:t>Godfrey-Smith, 2001; Orzack &amp; Forber, 2017)</w:t>
      </w:r>
      <w:r>
        <w:fldChar w:fldCharType="end"/>
      </w:r>
      <w:r>
        <w:t>.</w:t>
      </w:r>
    </w:p>
  </w:footnote>
  <w:footnote w:id="14">
    <w:p w14:paraId="4EC1A4AA" w14:textId="1DC2007C" w:rsidR="00550079" w:rsidRDefault="00550079" w:rsidP="002531FE">
      <w:pPr>
        <w:pStyle w:val="FootnoteText"/>
        <w:jc w:val="both"/>
      </w:pPr>
      <w:r w:rsidRPr="00AE16E9">
        <w:rPr>
          <w:rStyle w:val="FootnoteReference"/>
        </w:rPr>
        <w:footnoteRef/>
      </w:r>
      <w:r>
        <w:t xml:space="preserve"> </w:t>
      </w:r>
      <w:r w:rsidRPr="00001382">
        <w:t>The extreme version of this tendency of isolating individual levels of analysis for explaining evolution and natural selection is the selfish gene hypothesis</w:t>
      </w:r>
      <w:r>
        <w:t xml:space="preserve"> </w:t>
      </w:r>
      <w:r>
        <w:fldChar w:fldCharType="begin" w:fldLock="1"/>
      </w:r>
      <w:r>
        <w:instrText>ADDIN CSL_CITATION {"citationItems":[{"id":"ITEM-1","itemData":{"author":[{"dropping-particle":"","family":"Dawkins","given":"Richard","non-dropping-particle":"","parse-names":false,"suffix":""}],"id":"ITEM-1","issued":{"date-parts":[["1976"]]},"publisher":"Oxford University Press","publisher-place":"Oxford, New York","title":"The Selfish Gene","type":"book"},"uris":["http://www.mendeley.com/documents/?uuid=671e4b19-ded7-48e9-b332-7d4787900242"]}],"mendeley":{"formattedCitation":"(Dawkins, 1976)","plainTextFormattedCitation":"(Dawkins, 1976)","previouslyFormattedCitation":"(Dawkins, 1976)"},"properties":{"noteIndex":0},"schema":"https://github.com/citation-style-language/schema/raw/master/csl-citation.json"}</w:instrText>
      </w:r>
      <w:r>
        <w:fldChar w:fldCharType="separate"/>
      </w:r>
      <w:r w:rsidRPr="00001382">
        <w:rPr>
          <w:noProof/>
        </w:rPr>
        <w:t>(Dawkins, 1976)</w:t>
      </w:r>
      <w:r>
        <w:fldChar w:fldCharType="end"/>
      </w:r>
      <w:r w:rsidRPr="00001382">
        <w:t>. Opposing views, such as evolution as natural drift (see also the notion of group selection in</w:t>
      </w:r>
      <w:r>
        <w:t xml:space="preserve"> </w:t>
      </w:r>
      <w:r>
        <w:fldChar w:fldCharType="begin" w:fldLock="1"/>
      </w:r>
      <w:r>
        <w:instrText>ADDIN CSL_CITATION {"citationItems":[{"id":"ITEM-1","itemData":{"author":[{"dropping-particle":"","family":"Wynne-Edwards","given":"Vero","non-dropping-particle":"","parse-names":false,"suffix":""}],"id":"ITEM-1","issued":{"date-parts":[["1982"]]},"publisher":"Oliver &amp; Boyd","publisher-place":"Edinburgh","title":"Animal Dispersion in Relation to Social Behaviour","type":"book"},"uris":["http://www.mendeley.com/documents/?uuid=6ae4891f-0a59-44ae-add0-db40419ef7e7"]}],"mendeley":{"formattedCitation":"(Wynne-Edwards, 1982)","manualFormatting":"Wynne-Edwards, 1982)","plainTextFormattedCitation":"(Wynne-Edwards, 1982)","previouslyFormattedCitation":"(Wynne-Edwards, 1982)"},"properties":{"noteIndex":0},"schema":"https://github.com/citation-style-language/schema/raw/master/csl-citation.json"}</w:instrText>
      </w:r>
      <w:r>
        <w:fldChar w:fldCharType="separate"/>
      </w:r>
      <w:r w:rsidRPr="002531FE">
        <w:rPr>
          <w:noProof/>
        </w:rPr>
        <w:t>Wynne-Edwards, 1982)</w:t>
      </w:r>
      <w:r>
        <w:fldChar w:fldCharType="end"/>
      </w:r>
      <w:r w:rsidRPr="00001382">
        <w:t xml:space="preserve">, suggest that the understanding of the evolutionary process will involve ‘a clear articulation of various units of selection and their relations’ </w:t>
      </w:r>
      <w:r w:rsidR="003A026D" w:rsidRPr="00DF4461">
        <w:t>(</w:t>
      </w:r>
      <w:r w:rsidR="00D27A2D" w:rsidRPr="00DF4461">
        <w:rPr>
          <w:rFonts w:eastAsia="Times New Roman" w:cs="Times New Roman"/>
          <w:color w:val="000000"/>
        </w:rPr>
        <w:t>Varela et al.</w:t>
      </w:r>
      <w:r w:rsidR="0088182A" w:rsidRPr="00DF4461">
        <w:rPr>
          <w:rFonts w:eastAsia="Times New Roman" w:cs="Times New Roman"/>
          <w:color w:val="000000"/>
        </w:rPr>
        <w:t>,</w:t>
      </w:r>
      <w:r w:rsidR="00D27A2D" w:rsidRPr="00DF4461">
        <w:rPr>
          <w:rFonts w:eastAsia="Times New Roman" w:cs="Times New Roman"/>
          <w:color w:val="000000"/>
        </w:rPr>
        <w:t xml:space="preserve"> 2016</w:t>
      </w:r>
      <w:r w:rsidR="003A026D" w:rsidRPr="00DF4461">
        <w:t>, p. 193)</w:t>
      </w:r>
      <w:r w:rsidRPr="00DF4461">
        <w:t>.</w:t>
      </w:r>
    </w:p>
  </w:footnote>
  <w:footnote w:id="15">
    <w:p w14:paraId="13B854E0" w14:textId="76101C44" w:rsidR="006F6836" w:rsidRDefault="006F6836" w:rsidP="006F6836">
      <w:pPr>
        <w:pStyle w:val="FootnoteText"/>
        <w:jc w:val="both"/>
      </w:pPr>
      <w:r w:rsidRPr="00AE16E9">
        <w:rPr>
          <w:rStyle w:val="FootnoteReference"/>
        </w:rPr>
        <w:footnoteRef/>
      </w:r>
      <w:r>
        <w:t xml:space="preserve"> </w:t>
      </w:r>
      <w:r w:rsidRPr="006F6836">
        <w:t xml:space="preserve">As one anonymous reviewer brought to our attention, </w:t>
      </w:r>
      <w:r w:rsidR="00DF4461">
        <w:t>this definition of agency</w:t>
      </w:r>
      <w:r w:rsidRPr="006F6836">
        <w:t xml:space="preserve"> has a flair of circularity. Regarding this alleged circularity, we may follow Di Paolo et al. (2017, p. 127) in their definition of an agent as an autonomous system capable of modulating its environmental couplings in an adaptive manner. Because the elements of this definition are themselves defined in dynamical terms, not presupposing agency, this definition mitigates the charge of circularity</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96"/>
    <w:rsid w:val="00001382"/>
    <w:rsid w:val="000034E0"/>
    <w:rsid w:val="00027B42"/>
    <w:rsid w:val="00033DE1"/>
    <w:rsid w:val="00035713"/>
    <w:rsid w:val="0004054A"/>
    <w:rsid w:val="000418E1"/>
    <w:rsid w:val="00041B1A"/>
    <w:rsid w:val="000623E3"/>
    <w:rsid w:val="00064688"/>
    <w:rsid w:val="00070744"/>
    <w:rsid w:val="00071899"/>
    <w:rsid w:val="00077908"/>
    <w:rsid w:val="00083A81"/>
    <w:rsid w:val="00087514"/>
    <w:rsid w:val="0009061C"/>
    <w:rsid w:val="000B73AC"/>
    <w:rsid w:val="000D239E"/>
    <w:rsid w:val="000D3814"/>
    <w:rsid w:val="000D6131"/>
    <w:rsid w:val="00111760"/>
    <w:rsid w:val="00113660"/>
    <w:rsid w:val="001161A7"/>
    <w:rsid w:val="001249C4"/>
    <w:rsid w:val="00127C4E"/>
    <w:rsid w:val="00135B8D"/>
    <w:rsid w:val="001420C4"/>
    <w:rsid w:val="00143648"/>
    <w:rsid w:val="0014602B"/>
    <w:rsid w:val="00163B13"/>
    <w:rsid w:val="00171CE0"/>
    <w:rsid w:val="00172506"/>
    <w:rsid w:val="00173732"/>
    <w:rsid w:val="00176748"/>
    <w:rsid w:val="001773A4"/>
    <w:rsid w:val="00177D98"/>
    <w:rsid w:val="001803C9"/>
    <w:rsid w:val="00183C4B"/>
    <w:rsid w:val="00185737"/>
    <w:rsid w:val="001868CB"/>
    <w:rsid w:val="00194296"/>
    <w:rsid w:val="001B3EE9"/>
    <w:rsid w:val="001B5AF1"/>
    <w:rsid w:val="001C1A58"/>
    <w:rsid w:val="001C3F9F"/>
    <w:rsid w:val="001C47D0"/>
    <w:rsid w:val="001C66E4"/>
    <w:rsid w:val="001D21A1"/>
    <w:rsid w:val="001D4979"/>
    <w:rsid w:val="001D575B"/>
    <w:rsid w:val="001E2395"/>
    <w:rsid w:val="001E2AEF"/>
    <w:rsid w:val="001E5EE1"/>
    <w:rsid w:val="00203D3E"/>
    <w:rsid w:val="0021731C"/>
    <w:rsid w:val="00217A8B"/>
    <w:rsid w:val="002207AC"/>
    <w:rsid w:val="00226D5A"/>
    <w:rsid w:val="00230060"/>
    <w:rsid w:val="00241C68"/>
    <w:rsid w:val="002504D7"/>
    <w:rsid w:val="002531FE"/>
    <w:rsid w:val="00256BBD"/>
    <w:rsid w:val="002576E1"/>
    <w:rsid w:val="002614A9"/>
    <w:rsid w:val="00267A12"/>
    <w:rsid w:val="0028424C"/>
    <w:rsid w:val="00291CC8"/>
    <w:rsid w:val="00293EF2"/>
    <w:rsid w:val="0029440E"/>
    <w:rsid w:val="0029701D"/>
    <w:rsid w:val="00297CB9"/>
    <w:rsid w:val="002A0243"/>
    <w:rsid w:val="002A7FBC"/>
    <w:rsid w:val="002C427E"/>
    <w:rsid w:val="002C42C9"/>
    <w:rsid w:val="002D609F"/>
    <w:rsid w:val="003039CE"/>
    <w:rsid w:val="00307D6D"/>
    <w:rsid w:val="00312EF8"/>
    <w:rsid w:val="00327D6F"/>
    <w:rsid w:val="00331A20"/>
    <w:rsid w:val="00341329"/>
    <w:rsid w:val="0034604B"/>
    <w:rsid w:val="0034758E"/>
    <w:rsid w:val="00356DA6"/>
    <w:rsid w:val="003771A0"/>
    <w:rsid w:val="003772D6"/>
    <w:rsid w:val="00382D99"/>
    <w:rsid w:val="00384758"/>
    <w:rsid w:val="003A026D"/>
    <w:rsid w:val="003B44DA"/>
    <w:rsid w:val="003B5146"/>
    <w:rsid w:val="003D40E3"/>
    <w:rsid w:val="003E216B"/>
    <w:rsid w:val="00411799"/>
    <w:rsid w:val="00414790"/>
    <w:rsid w:val="004203AA"/>
    <w:rsid w:val="00432DCF"/>
    <w:rsid w:val="00433FC9"/>
    <w:rsid w:val="00437795"/>
    <w:rsid w:val="00442AB9"/>
    <w:rsid w:val="0044551A"/>
    <w:rsid w:val="004509F2"/>
    <w:rsid w:val="00452D37"/>
    <w:rsid w:val="004538E5"/>
    <w:rsid w:val="00456894"/>
    <w:rsid w:val="00471C77"/>
    <w:rsid w:val="004960F8"/>
    <w:rsid w:val="004961BF"/>
    <w:rsid w:val="004971FC"/>
    <w:rsid w:val="0049796D"/>
    <w:rsid w:val="004B3B34"/>
    <w:rsid w:val="004C4FE5"/>
    <w:rsid w:val="004D094F"/>
    <w:rsid w:val="004D492A"/>
    <w:rsid w:val="004D7C4B"/>
    <w:rsid w:val="004E11B7"/>
    <w:rsid w:val="004E4F5F"/>
    <w:rsid w:val="004F0B50"/>
    <w:rsid w:val="00505DC4"/>
    <w:rsid w:val="00507829"/>
    <w:rsid w:val="005132E1"/>
    <w:rsid w:val="00513E0A"/>
    <w:rsid w:val="00514656"/>
    <w:rsid w:val="00532B96"/>
    <w:rsid w:val="00550079"/>
    <w:rsid w:val="00564192"/>
    <w:rsid w:val="00570294"/>
    <w:rsid w:val="00574ABB"/>
    <w:rsid w:val="005867C2"/>
    <w:rsid w:val="00591F99"/>
    <w:rsid w:val="00595B76"/>
    <w:rsid w:val="00597CC6"/>
    <w:rsid w:val="005C06B6"/>
    <w:rsid w:val="005E015E"/>
    <w:rsid w:val="005E1A1B"/>
    <w:rsid w:val="005E29C8"/>
    <w:rsid w:val="006055BD"/>
    <w:rsid w:val="00606E51"/>
    <w:rsid w:val="0061722D"/>
    <w:rsid w:val="00617ED3"/>
    <w:rsid w:val="006219E8"/>
    <w:rsid w:val="00624C80"/>
    <w:rsid w:val="00635B50"/>
    <w:rsid w:val="00640C43"/>
    <w:rsid w:val="0065281D"/>
    <w:rsid w:val="00666EDC"/>
    <w:rsid w:val="00667881"/>
    <w:rsid w:val="00670F46"/>
    <w:rsid w:val="0067126F"/>
    <w:rsid w:val="00672EA5"/>
    <w:rsid w:val="006840D6"/>
    <w:rsid w:val="006979E3"/>
    <w:rsid w:val="006A4B74"/>
    <w:rsid w:val="006B2FE7"/>
    <w:rsid w:val="006B3D1C"/>
    <w:rsid w:val="006B4412"/>
    <w:rsid w:val="006B473C"/>
    <w:rsid w:val="006C169B"/>
    <w:rsid w:val="006D09C7"/>
    <w:rsid w:val="006D750D"/>
    <w:rsid w:val="006D79B6"/>
    <w:rsid w:val="006F5046"/>
    <w:rsid w:val="006F6836"/>
    <w:rsid w:val="0070356D"/>
    <w:rsid w:val="00704F06"/>
    <w:rsid w:val="007060BD"/>
    <w:rsid w:val="00712F31"/>
    <w:rsid w:val="00713131"/>
    <w:rsid w:val="007215AD"/>
    <w:rsid w:val="0072391B"/>
    <w:rsid w:val="00740FF4"/>
    <w:rsid w:val="00762B5E"/>
    <w:rsid w:val="00764B9F"/>
    <w:rsid w:val="00764BEE"/>
    <w:rsid w:val="00766510"/>
    <w:rsid w:val="00770A79"/>
    <w:rsid w:val="00776349"/>
    <w:rsid w:val="00777AFB"/>
    <w:rsid w:val="00782F2E"/>
    <w:rsid w:val="007900F8"/>
    <w:rsid w:val="007918B3"/>
    <w:rsid w:val="00793CA6"/>
    <w:rsid w:val="00795075"/>
    <w:rsid w:val="007A779F"/>
    <w:rsid w:val="007A7A97"/>
    <w:rsid w:val="007B5BEF"/>
    <w:rsid w:val="007C3034"/>
    <w:rsid w:val="007D02D1"/>
    <w:rsid w:val="007D7C7C"/>
    <w:rsid w:val="007E37D1"/>
    <w:rsid w:val="007E4BE7"/>
    <w:rsid w:val="007E6480"/>
    <w:rsid w:val="007F25D1"/>
    <w:rsid w:val="008103F1"/>
    <w:rsid w:val="00810F25"/>
    <w:rsid w:val="008342F6"/>
    <w:rsid w:val="00834EE6"/>
    <w:rsid w:val="00834F8E"/>
    <w:rsid w:val="0085450B"/>
    <w:rsid w:val="008705FF"/>
    <w:rsid w:val="008717B6"/>
    <w:rsid w:val="00873DC0"/>
    <w:rsid w:val="00877F02"/>
    <w:rsid w:val="0088182A"/>
    <w:rsid w:val="008823AC"/>
    <w:rsid w:val="00897451"/>
    <w:rsid w:val="008A0348"/>
    <w:rsid w:val="008A2106"/>
    <w:rsid w:val="008A752A"/>
    <w:rsid w:val="008A79EC"/>
    <w:rsid w:val="008B4D83"/>
    <w:rsid w:val="008C0B48"/>
    <w:rsid w:val="008C4A8B"/>
    <w:rsid w:val="008C556B"/>
    <w:rsid w:val="008C7159"/>
    <w:rsid w:val="008E042E"/>
    <w:rsid w:val="008E2C1E"/>
    <w:rsid w:val="009041B6"/>
    <w:rsid w:val="0093074E"/>
    <w:rsid w:val="009426B1"/>
    <w:rsid w:val="0094545D"/>
    <w:rsid w:val="00953DAB"/>
    <w:rsid w:val="00957079"/>
    <w:rsid w:val="00962ED9"/>
    <w:rsid w:val="00964DA0"/>
    <w:rsid w:val="009679ED"/>
    <w:rsid w:val="00971E11"/>
    <w:rsid w:val="009731ED"/>
    <w:rsid w:val="00981AB5"/>
    <w:rsid w:val="0098444D"/>
    <w:rsid w:val="0099729C"/>
    <w:rsid w:val="009A516D"/>
    <w:rsid w:val="009B028E"/>
    <w:rsid w:val="009B118F"/>
    <w:rsid w:val="009B12F3"/>
    <w:rsid w:val="009B23A7"/>
    <w:rsid w:val="009C0D54"/>
    <w:rsid w:val="009C0EF0"/>
    <w:rsid w:val="009C3B3F"/>
    <w:rsid w:val="009D009A"/>
    <w:rsid w:val="009E5A40"/>
    <w:rsid w:val="00A01DEE"/>
    <w:rsid w:val="00A02ECB"/>
    <w:rsid w:val="00A0383E"/>
    <w:rsid w:val="00A0468B"/>
    <w:rsid w:val="00A23693"/>
    <w:rsid w:val="00A271EA"/>
    <w:rsid w:val="00A32D66"/>
    <w:rsid w:val="00A3341A"/>
    <w:rsid w:val="00A46522"/>
    <w:rsid w:val="00A623D4"/>
    <w:rsid w:val="00A66718"/>
    <w:rsid w:val="00A66CEC"/>
    <w:rsid w:val="00A759F8"/>
    <w:rsid w:val="00A8215B"/>
    <w:rsid w:val="00AA628E"/>
    <w:rsid w:val="00AB7FDE"/>
    <w:rsid w:val="00AC012A"/>
    <w:rsid w:val="00AC12E7"/>
    <w:rsid w:val="00AD04AB"/>
    <w:rsid w:val="00AD4BFD"/>
    <w:rsid w:val="00AE16E9"/>
    <w:rsid w:val="00AE74ED"/>
    <w:rsid w:val="00AF1492"/>
    <w:rsid w:val="00AF1F85"/>
    <w:rsid w:val="00AF6BB8"/>
    <w:rsid w:val="00B02C44"/>
    <w:rsid w:val="00B11C23"/>
    <w:rsid w:val="00B15FCD"/>
    <w:rsid w:val="00B24517"/>
    <w:rsid w:val="00B25860"/>
    <w:rsid w:val="00B25FE9"/>
    <w:rsid w:val="00B3196D"/>
    <w:rsid w:val="00B34006"/>
    <w:rsid w:val="00B5296C"/>
    <w:rsid w:val="00B63341"/>
    <w:rsid w:val="00B64CB7"/>
    <w:rsid w:val="00B8244B"/>
    <w:rsid w:val="00B840DA"/>
    <w:rsid w:val="00B955B8"/>
    <w:rsid w:val="00B95778"/>
    <w:rsid w:val="00B96744"/>
    <w:rsid w:val="00B9683C"/>
    <w:rsid w:val="00BA6201"/>
    <w:rsid w:val="00BB355D"/>
    <w:rsid w:val="00BC4323"/>
    <w:rsid w:val="00BD420E"/>
    <w:rsid w:val="00BD756B"/>
    <w:rsid w:val="00BE153C"/>
    <w:rsid w:val="00BF11AB"/>
    <w:rsid w:val="00BF4213"/>
    <w:rsid w:val="00C015EE"/>
    <w:rsid w:val="00C02EB1"/>
    <w:rsid w:val="00C04367"/>
    <w:rsid w:val="00C05922"/>
    <w:rsid w:val="00C15E7E"/>
    <w:rsid w:val="00C32059"/>
    <w:rsid w:val="00C33CC4"/>
    <w:rsid w:val="00C33E47"/>
    <w:rsid w:val="00C4476D"/>
    <w:rsid w:val="00C45A1F"/>
    <w:rsid w:val="00C53995"/>
    <w:rsid w:val="00C66104"/>
    <w:rsid w:val="00C96A05"/>
    <w:rsid w:val="00CA282D"/>
    <w:rsid w:val="00CB18D6"/>
    <w:rsid w:val="00CB2151"/>
    <w:rsid w:val="00CB52EA"/>
    <w:rsid w:val="00CC14FF"/>
    <w:rsid w:val="00CD03A8"/>
    <w:rsid w:val="00CD7E54"/>
    <w:rsid w:val="00CE5E22"/>
    <w:rsid w:val="00CF5A67"/>
    <w:rsid w:val="00CF7985"/>
    <w:rsid w:val="00D00EAD"/>
    <w:rsid w:val="00D108F8"/>
    <w:rsid w:val="00D12913"/>
    <w:rsid w:val="00D12AA5"/>
    <w:rsid w:val="00D13F92"/>
    <w:rsid w:val="00D177E2"/>
    <w:rsid w:val="00D21F7F"/>
    <w:rsid w:val="00D24AB1"/>
    <w:rsid w:val="00D27A2D"/>
    <w:rsid w:val="00D33172"/>
    <w:rsid w:val="00D3756C"/>
    <w:rsid w:val="00D420E1"/>
    <w:rsid w:val="00D457B4"/>
    <w:rsid w:val="00D55955"/>
    <w:rsid w:val="00D64A19"/>
    <w:rsid w:val="00D7253A"/>
    <w:rsid w:val="00D72D52"/>
    <w:rsid w:val="00D77A7B"/>
    <w:rsid w:val="00D93109"/>
    <w:rsid w:val="00DA719A"/>
    <w:rsid w:val="00DB2797"/>
    <w:rsid w:val="00DB45E4"/>
    <w:rsid w:val="00DC47EE"/>
    <w:rsid w:val="00DD0665"/>
    <w:rsid w:val="00DD128E"/>
    <w:rsid w:val="00DD3BF8"/>
    <w:rsid w:val="00DE03DB"/>
    <w:rsid w:val="00DE0CB9"/>
    <w:rsid w:val="00DE25B2"/>
    <w:rsid w:val="00DE4E7A"/>
    <w:rsid w:val="00DE797B"/>
    <w:rsid w:val="00DF4461"/>
    <w:rsid w:val="00DF62BE"/>
    <w:rsid w:val="00E04B74"/>
    <w:rsid w:val="00E07511"/>
    <w:rsid w:val="00E07AFE"/>
    <w:rsid w:val="00E22FE9"/>
    <w:rsid w:val="00E247D8"/>
    <w:rsid w:val="00E344FA"/>
    <w:rsid w:val="00E41FFE"/>
    <w:rsid w:val="00E441DD"/>
    <w:rsid w:val="00E55FA3"/>
    <w:rsid w:val="00E613B2"/>
    <w:rsid w:val="00E65DBC"/>
    <w:rsid w:val="00EA5C69"/>
    <w:rsid w:val="00EB3DDC"/>
    <w:rsid w:val="00EC0823"/>
    <w:rsid w:val="00EC1FA5"/>
    <w:rsid w:val="00ED036F"/>
    <w:rsid w:val="00ED1515"/>
    <w:rsid w:val="00ED2479"/>
    <w:rsid w:val="00ED4F2D"/>
    <w:rsid w:val="00ED6D78"/>
    <w:rsid w:val="00EE195F"/>
    <w:rsid w:val="00EE31B9"/>
    <w:rsid w:val="00EE3F42"/>
    <w:rsid w:val="00F002F8"/>
    <w:rsid w:val="00F07547"/>
    <w:rsid w:val="00F0761A"/>
    <w:rsid w:val="00F108DD"/>
    <w:rsid w:val="00F244F3"/>
    <w:rsid w:val="00F415E1"/>
    <w:rsid w:val="00F41654"/>
    <w:rsid w:val="00F4389C"/>
    <w:rsid w:val="00F571FF"/>
    <w:rsid w:val="00F6031F"/>
    <w:rsid w:val="00F63804"/>
    <w:rsid w:val="00F63D03"/>
    <w:rsid w:val="00F73197"/>
    <w:rsid w:val="00F8507B"/>
    <w:rsid w:val="00F91546"/>
    <w:rsid w:val="00F940AD"/>
    <w:rsid w:val="00F960E2"/>
    <w:rsid w:val="00F966FD"/>
    <w:rsid w:val="00FB02E3"/>
    <w:rsid w:val="00FB5E19"/>
    <w:rsid w:val="00FD0ED1"/>
    <w:rsid w:val="00FD499F"/>
    <w:rsid w:val="00FD5AC5"/>
    <w:rsid w:val="00FE01A2"/>
    <w:rsid w:val="00FE070E"/>
    <w:rsid w:val="00FE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8C3E8"/>
  <w15:chartTrackingRefBased/>
  <w15:docId w15:val="{959DB1B9-3D1E-8B43-AF5E-6608B20F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B96"/>
    <w:pPr>
      <w:ind w:left="720"/>
      <w:contextualSpacing/>
    </w:pPr>
  </w:style>
  <w:style w:type="paragraph" w:styleId="NormalWeb">
    <w:name w:val="Normal (Web)"/>
    <w:basedOn w:val="Normal"/>
    <w:uiPriority w:val="99"/>
    <w:semiHidden/>
    <w:unhideWhenUsed/>
    <w:rsid w:val="00532B96"/>
    <w:pPr>
      <w:spacing w:before="100" w:beforeAutospacing="1" w:after="100" w:afterAutospacing="1"/>
    </w:pPr>
    <w:rPr>
      <w:rFonts w:eastAsia="Times New Roman" w:cs="Times New Roman"/>
    </w:rPr>
  </w:style>
  <w:style w:type="paragraph" w:styleId="BalloonText">
    <w:name w:val="Balloon Text"/>
    <w:basedOn w:val="Normal"/>
    <w:link w:val="BalloonTextChar"/>
    <w:uiPriority w:val="99"/>
    <w:semiHidden/>
    <w:unhideWhenUsed/>
    <w:rsid w:val="006C169B"/>
    <w:rPr>
      <w:rFonts w:cs="Times New Roman"/>
      <w:sz w:val="18"/>
      <w:szCs w:val="18"/>
    </w:rPr>
  </w:style>
  <w:style w:type="character" w:customStyle="1" w:styleId="BalloonTextChar">
    <w:name w:val="Balloon Text Char"/>
    <w:basedOn w:val="DefaultParagraphFont"/>
    <w:link w:val="BalloonText"/>
    <w:uiPriority w:val="99"/>
    <w:semiHidden/>
    <w:rsid w:val="006C169B"/>
    <w:rPr>
      <w:rFonts w:cs="Times New Roman"/>
      <w:sz w:val="18"/>
      <w:szCs w:val="18"/>
    </w:rPr>
  </w:style>
  <w:style w:type="character" w:styleId="CommentReference">
    <w:name w:val="annotation reference"/>
    <w:basedOn w:val="DefaultParagraphFont"/>
    <w:uiPriority w:val="99"/>
    <w:semiHidden/>
    <w:unhideWhenUsed/>
    <w:rsid w:val="008823AC"/>
    <w:rPr>
      <w:sz w:val="16"/>
      <w:szCs w:val="16"/>
    </w:rPr>
  </w:style>
  <w:style w:type="paragraph" w:styleId="CommentText">
    <w:name w:val="annotation text"/>
    <w:basedOn w:val="Normal"/>
    <w:link w:val="CommentTextChar"/>
    <w:uiPriority w:val="99"/>
    <w:semiHidden/>
    <w:unhideWhenUsed/>
    <w:rsid w:val="008823AC"/>
    <w:rPr>
      <w:sz w:val="20"/>
      <w:szCs w:val="20"/>
    </w:rPr>
  </w:style>
  <w:style w:type="character" w:customStyle="1" w:styleId="CommentTextChar">
    <w:name w:val="Comment Text Char"/>
    <w:basedOn w:val="DefaultParagraphFont"/>
    <w:link w:val="CommentText"/>
    <w:uiPriority w:val="99"/>
    <w:semiHidden/>
    <w:rsid w:val="008823AC"/>
    <w:rPr>
      <w:sz w:val="20"/>
      <w:szCs w:val="20"/>
    </w:rPr>
  </w:style>
  <w:style w:type="paragraph" w:styleId="Header">
    <w:name w:val="header"/>
    <w:basedOn w:val="Normal"/>
    <w:link w:val="HeaderChar"/>
    <w:uiPriority w:val="99"/>
    <w:unhideWhenUsed/>
    <w:rsid w:val="00A271EA"/>
    <w:pPr>
      <w:tabs>
        <w:tab w:val="center" w:pos="4680"/>
        <w:tab w:val="right" w:pos="9360"/>
      </w:tabs>
    </w:pPr>
  </w:style>
  <w:style w:type="character" w:customStyle="1" w:styleId="HeaderChar">
    <w:name w:val="Header Char"/>
    <w:basedOn w:val="DefaultParagraphFont"/>
    <w:link w:val="Header"/>
    <w:uiPriority w:val="99"/>
    <w:rsid w:val="00A271EA"/>
  </w:style>
  <w:style w:type="paragraph" w:styleId="Footer">
    <w:name w:val="footer"/>
    <w:basedOn w:val="Normal"/>
    <w:link w:val="FooterChar"/>
    <w:uiPriority w:val="99"/>
    <w:unhideWhenUsed/>
    <w:rsid w:val="00A271EA"/>
    <w:pPr>
      <w:tabs>
        <w:tab w:val="center" w:pos="4680"/>
        <w:tab w:val="right" w:pos="9360"/>
      </w:tabs>
    </w:pPr>
  </w:style>
  <w:style w:type="character" w:customStyle="1" w:styleId="FooterChar">
    <w:name w:val="Footer Char"/>
    <w:basedOn w:val="DefaultParagraphFont"/>
    <w:link w:val="Footer"/>
    <w:uiPriority w:val="99"/>
    <w:rsid w:val="00A271EA"/>
  </w:style>
  <w:style w:type="character" w:styleId="PageNumber">
    <w:name w:val="page number"/>
    <w:basedOn w:val="DefaultParagraphFont"/>
    <w:uiPriority w:val="99"/>
    <w:semiHidden/>
    <w:unhideWhenUsed/>
    <w:rsid w:val="00A271EA"/>
  </w:style>
  <w:style w:type="paragraph" w:styleId="FootnoteText">
    <w:name w:val="footnote text"/>
    <w:basedOn w:val="Normal"/>
    <w:link w:val="FootnoteTextChar"/>
    <w:uiPriority w:val="99"/>
    <w:semiHidden/>
    <w:unhideWhenUsed/>
    <w:rsid w:val="00C96A05"/>
    <w:rPr>
      <w:sz w:val="20"/>
      <w:szCs w:val="20"/>
    </w:rPr>
  </w:style>
  <w:style w:type="character" w:customStyle="1" w:styleId="FootnoteTextChar">
    <w:name w:val="Footnote Text Char"/>
    <w:basedOn w:val="DefaultParagraphFont"/>
    <w:link w:val="FootnoteText"/>
    <w:uiPriority w:val="99"/>
    <w:semiHidden/>
    <w:rsid w:val="00C96A05"/>
    <w:rPr>
      <w:sz w:val="20"/>
      <w:szCs w:val="20"/>
    </w:rPr>
  </w:style>
  <w:style w:type="character" w:styleId="FootnoteReference">
    <w:name w:val="footnote reference"/>
    <w:basedOn w:val="DefaultParagraphFont"/>
    <w:uiPriority w:val="99"/>
    <w:semiHidden/>
    <w:unhideWhenUsed/>
    <w:rsid w:val="00C96A05"/>
    <w:rPr>
      <w:vertAlign w:val="superscript"/>
    </w:rPr>
  </w:style>
  <w:style w:type="character" w:styleId="EndnoteReference">
    <w:name w:val="endnote reference"/>
    <w:basedOn w:val="DefaultParagraphFont"/>
    <w:uiPriority w:val="99"/>
    <w:semiHidden/>
    <w:unhideWhenUsed/>
    <w:rsid w:val="00A8215B"/>
    <w:rPr>
      <w:vertAlign w:val="superscript"/>
    </w:rPr>
  </w:style>
  <w:style w:type="paragraph" w:styleId="CommentSubject">
    <w:name w:val="annotation subject"/>
    <w:basedOn w:val="CommentText"/>
    <w:next w:val="CommentText"/>
    <w:link w:val="CommentSubjectChar"/>
    <w:uiPriority w:val="99"/>
    <w:semiHidden/>
    <w:unhideWhenUsed/>
    <w:rsid w:val="001B3EE9"/>
    <w:rPr>
      <w:b/>
      <w:bCs/>
    </w:rPr>
  </w:style>
  <w:style w:type="character" w:customStyle="1" w:styleId="CommentSubjectChar">
    <w:name w:val="Comment Subject Char"/>
    <w:basedOn w:val="CommentTextChar"/>
    <w:link w:val="CommentSubject"/>
    <w:uiPriority w:val="99"/>
    <w:semiHidden/>
    <w:rsid w:val="001B3EE9"/>
    <w:rPr>
      <w:b/>
      <w:bCs/>
      <w:sz w:val="20"/>
      <w:szCs w:val="20"/>
    </w:rPr>
  </w:style>
  <w:style w:type="character" w:styleId="Hyperlink">
    <w:name w:val="Hyperlink"/>
    <w:basedOn w:val="DefaultParagraphFont"/>
    <w:uiPriority w:val="99"/>
    <w:unhideWhenUsed/>
    <w:rsid w:val="004B3B34"/>
    <w:rPr>
      <w:color w:val="0563C1" w:themeColor="hyperlink"/>
      <w:u w:val="single"/>
    </w:rPr>
  </w:style>
  <w:style w:type="character" w:styleId="UnresolvedMention">
    <w:name w:val="Unresolved Mention"/>
    <w:basedOn w:val="DefaultParagraphFont"/>
    <w:uiPriority w:val="99"/>
    <w:semiHidden/>
    <w:unhideWhenUsed/>
    <w:rsid w:val="004B3B34"/>
    <w:rPr>
      <w:color w:val="605E5C"/>
      <w:shd w:val="clear" w:color="auto" w:fill="E1DFDD"/>
    </w:rPr>
  </w:style>
  <w:style w:type="character" w:styleId="FollowedHyperlink">
    <w:name w:val="FollowedHyperlink"/>
    <w:basedOn w:val="DefaultParagraphFont"/>
    <w:uiPriority w:val="99"/>
    <w:semiHidden/>
    <w:unhideWhenUsed/>
    <w:rsid w:val="004B3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230">
      <w:bodyDiv w:val="1"/>
      <w:marLeft w:val="0"/>
      <w:marRight w:val="0"/>
      <w:marTop w:val="0"/>
      <w:marBottom w:val="0"/>
      <w:divBdr>
        <w:top w:val="none" w:sz="0" w:space="0" w:color="auto"/>
        <w:left w:val="none" w:sz="0" w:space="0" w:color="auto"/>
        <w:bottom w:val="none" w:sz="0" w:space="0" w:color="auto"/>
        <w:right w:val="none" w:sz="0" w:space="0" w:color="auto"/>
      </w:divBdr>
    </w:div>
    <w:div w:id="101535684">
      <w:bodyDiv w:val="1"/>
      <w:marLeft w:val="0"/>
      <w:marRight w:val="0"/>
      <w:marTop w:val="0"/>
      <w:marBottom w:val="0"/>
      <w:divBdr>
        <w:top w:val="none" w:sz="0" w:space="0" w:color="auto"/>
        <w:left w:val="none" w:sz="0" w:space="0" w:color="auto"/>
        <w:bottom w:val="none" w:sz="0" w:space="0" w:color="auto"/>
        <w:right w:val="none" w:sz="0" w:space="0" w:color="auto"/>
      </w:divBdr>
    </w:div>
    <w:div w:id="134220549">
      <w:bodyDiv w:val="1"/>
      <w:marLeft w:val="0"/>
      <w:marRight w:val="0"/>
      <w:marTop w:val="0"/>
      <w:marBottom w:val="0"/>
      <w:divBdr>
        <w:top w:val="none" w:sz="0" w:space="0" w:color="auto"/>
        <w:left w:val="none" w:sz="0" w:space="0" w:color="auto"/>
        <w:bottom w:val="none" w:sz="0" w:space="0" w:color="auto"/>
        <w:right w:val="none" w:sz="0" w:space="0" w:color="auto"/>
      </w:divBdr>
    </w:div>
    <w:div w:id="146170129">
      <w:bodyDiv w:val="1"/>
      <w:marLeft w:val="0"/>
      <w:marRight w:val="0"/>
      <w:marTop w:val="0"/>
      <w:marBottom w:val="0"/>
      <w:divBdr>
        <w:top w:val="none" w:sz="0" w:space="0" w:color="auto"/>
        <w:left w:val="none" w:sz="0" w:space="0" w:color="auto"/>
        <w:bottom w:val="none" w:sz="0" w:space="0" w:color="auto"/>
        <w:right w:val="none" w:sz="0" w:space="0" w:color="auto"/>
      </w:divBdr>
    </w:div>
    <w:div w:id="154807714">
      <w:bodyDiv w:val="1"/>
      <w:marLeft w:val="0"/>
      <w:marRight w:val="0"/>
      <w:marTop w:val="0"/>
      <w:marBottom w:val="0"/>
      <w:divBdr>
        <w:top w:val="none" w:sz="0" w:space="0" w:color="auto"/>
        <w:left w:val="none" w:sz="0" w:space="0" w:color="auto"/>
        <w:bottom w:val="none" w:sz="0" w:space="0" w:color="auto"/>
        <w:right w:val="none" w:sz="0" w:space="0" w:color="auto"/>
      </w:divBdr>
    </w:div>
    <w:div w:id="179003791">
      <w:bodyDiv w:val="1"/>
      <w:marLeft w:val="0"/>
      <w:marRight w:val="0"/>
      <w:marTop w:val="0"/>
      <w:marBottom w:val="0"/>
      <w:divBdr>
        <w:top w:val="none" w:sz="0" w:space="0" w:color="auto"/>
        <w:left w:val="none" w:sz="0" w:space="0" w:color="auto"/>
        <w:bottom w:val="none" w:sz="0" w:space="0" w:color="auto"/>
        <w:right w:val="none" w:sz="0" w:space="0" w:color="auto"/>
      </w:divBdr>
    </w:div>
    <w:div w:id="198199745">
      <w:bodyDiv w:val="1"/>
      <w:marLeft w:val="0"/>
      <w:marRight w:val="0"/>
      <w:marTop w:val="0"/>
      <w:marBottom w:val="0"/>
      <w:divBdr>
        <w:top w:val="none" w:sz="0" w:space="0" w:color="auto"/>
        <w:left w:val="none" w:sz="0" w:space="0" w:color="auto"/>
        <w:bottom w:val="none" w:sz="0" w:space="0" w:color="auto"/>
        <w:right w:val="none" w:sz="0" w:space="0" w:color="auto"/>
      </w:divBdr>
    </w:div>
    <w:div w:id="301930785">
      <w:bodyDiv w:val="1"/>
      <w:marLeft w:val="0"/>
      <w:marRight w:val="0"/>
      <w:marTop w:val="0"/>
      <w:marBottom w:val="0"/>
      <w:divBdr>
        <w:top w:val="none" w:sz="0" w:space="0" w:color="auto"/>
        <w:left w:val="none" w:sz="0" w:space="0" w:color="auto"/>
        <w:bottom w:val="none" w:sz="0" w:space="0" w:color="auto"/>
        <w:right w:val="none" w:sz="0" w:space="0" w:color="auto"/>
      </w:divBdr>
    </w:div>
    <w:div w:id="351611258">
      <w:bodyDiv w:val="1"/>
      <w:marLeft w:val="0"/>
      <w:marRight w:val="0"/>
      <w:marTop w:val="0"/>
      <w:marBottom w:val="0"/>
      <w:divBdr>
        <w:top w:val="none" w:sz="0" w:space="0" w:color="auto"/>
        <w:left w:val="none" w:sz="0" w:space="0" w:color="auto"/>
        <w:bottom w:val="none" w:sz="0" w:space="0" w:color="auto"/>
        <w:right w:val="none" w:sz="0" w:space="0" w:color="auto"/>
      </w:divBdr>
    </w:div>
    <w:div w:id="357972691">
      <w:bodyDiv w:val="1"/>
      <w:marLeft w:val="0"/>
      <w:marRight w:val="0"/>
      <w:marTop w:val="0"/>
      <w:marBottom w:val="0"/>
      <w:divBdr>
        <w:top w:val="none" w:sz="0" w:space="0" w:color="auto"/>
        <w:left w:val="none" w:sz="0" w:space="0" w:color="auto"/>
        <w:bottom w:val="none" w:sz="0" w:space="0" w:color="auto"/>
        <w:right w:val="none" w:sz="0" w:space="0" w:color="auto"/>
      </w:divBdr>
    </w:div>
    <w:div w:id="377171361">
      <w:bodyDiv w:val="1"/>
      <w:marLeft w:val="0"/>
      <w:marRight w:val="0"/>
      <w:marTop w:val="0"/>
      <w:marBottom w:val="0"/>
      <w:divBdr>
        <w:top w:val="none" w:sz="0" w:space="0" w:color="auto"/>
        <w:left w:val="none" w:sz="0" w:space="0" w:color="auto"/>
        <w:bottom w:val="none" w:sz="0" w:space="0" w:color="auto"/>
        <w:right w:val="none" w:sz="0" w:space="0" w:color="auto"/>
      </w:divBdr>
    </w:div>
    <w:div w:id="390734342">
      <w:bodyDiv w:val="1"/>
      <w:marLeft w:val="0"/>
      <w:marRight w:val="0"/>
      <w:marTop w:val="0"/>
      <w:marBottom w:val="0"/>
      <w:divBdr>
        <w:top w:val="none" w:sz="0" w:space="0" w:color="auto"/>
        <w:left w:val="none" w:sz="0" w:space="0" w:color="auto"/>
        <w:bottom w:val="none" w:sz="0" w:space="0" w:color="auto"/>
        <w:right w:val="none" w:sz="0" w:space="0" w:color="auto"/>
      </w:divBdr>
    </w:div>
    <w:div w:id="501942945">
      <w:bodyDiv w:val="1"/>
      <w:marLeft w:val="0"/>
      <w:marRight w:val="0"/>
      <w:marTop w:val="0"/>
      <w:marBottom w:val="0"/>
      <w:divBdr>
        <w:top w:val="none" w:sz="0" w:space="0" w:color="auto"/>
        <w:left w:val="none" w:sz="0" w:space="0" w:color="auto"/>
        <w:bottom w:val="none" w:sz="0" w:space="0" w:color="auto"/>
        <w:right w:val="none" w:sz="0" w:space="0" w:color="auto"/>
      </w:divBdr>
    </w:div>
    <w:div w:id="564223366">
      <w:bodyDiv w:val="1"/>
      <w:marLeft w:val="0"/>
      <w:marRight w:val="0"/>
      <w:marTop w:val="0"/>
      <w:marBottom w:val="0"/>
      <w:divBdr>
        <w:top w:val="none" w:sz="0" w:space="0" w:color="auto"/>
        <w:left w:val="none" w:sz="0" w:space="0" w:color="auto"/>
        <w:bottom w:val="none" w:sz="0" w:space="0" w:color="auto"/>
        <w:right w:val="none" w:sz="0" w:space="0" w:color="auto"/>
      </w:divBdr>
    </w:div>
    <w:div w:id="588780969">
      <w:bodyDiv w:val="1"/>
      <w:marLeft w:val="0"/>
      <w:marRight w:val="0"/>
      <w:marTop w:val="0"/>
      <w:marBottom w:val="0"/>
      <w:divBdr>
        <w:top w:val="none" w:sz="0" w:space="0" w:color="auto"/>
        <w:left w:val="none" w:sz="0" w:space="0" w:color="auto"/>
        <w:bottom w:val="none" w:sz="0" w:space="0" w:color="auto"/>
        <w:right w:val="none" w:sz="0" w:space="0" w:color="auto"/>
      </w:divBdr>
    </w:div>
    <w:div w:id="616913079">
      <w:bodyDiv w:val="1"/>
      <w:marLeft w:val="0"/>
      <w:marRight w:val="0"/>
      <w:marTop w:val="0"/>
      <w:marBottom w:val="0"/>
      <w:divBdr>
        <w:top w:val="none" w:sz="0" w:space="0" w:color="auto"/>
        <w:left w:val="none" w:sz="0" w:space="0" w:color="auto"/>
        <w:bottom w:val="none" w:sz="0" w:space="0" w:color="auto"/>
        <w:right w:val="none" w:sz="0" w:space="0" w:color="auto"/>
      </w:divBdr>
    </w:div>
    <w:div w:id="657806688">
      <w:bodyDiv w:val="1"/>
      <w:marLeft w:val="0"/>
      <w:marRight w:val="0"/>
      <w:marTop w:val="0"/>
      <w:marBottom w:val="0"/>
      <w:divBdr>
        <w:top w:val="none" w:sz="0" w:space="0" w:color="auto"/>
        <w:left w:val="none" w:sz="0" w:space="0" w:color="auto"/>
        <w:bottom w:val="none" w:sz="0" w:space="0" w:color="auto"/>
        <w:right w:val="none" w:sz="0" w:space="0" w:color="auto"/>
      </w:divBdr>
    </w:div>
    <w:div w:id="717824919">
      <w:bodyDiv w:val="1"/>
      <w:marLeft w:val="0"/>
      <w:marRight w:val="0"/>
      <w:marTop w:val="0"/>
      <w:marBottom w:val="0"/>
      <w:divBdr>
        <w:top w:val="none" w:sz="0" w:space="0" w:color="auto"/>
        <w:left w:val="none" w:sz="0" w:space="0" w:color="auto"/>
        <w:bottom w:val="none" w:sz="0" w:space="0" w:color="auto"/>
        <w:right w:val="none" w:sz="0" w:space="0" w:color="auto"/>
      </w:divBdr>
    </w:div>
    <w:div w:id="721753927">
      <w:bodyDiv w:val="1"/>
      <w:marLeft w:val="0"/>
      <w:marRight w:val="0"/>
      <w:marTop w:val="0"/>
      <w:marBottom w:val="0"/>
      <w:divBdr>
        <w:top w:val="none" w:sz="0" w:space="0" w:color="auto"/>
        <w:left w:val="none" w:sz="0" w:space="0" w:color="auto"/>
        <w:bottom w:val="none" w:sz="0" w:space="0" w:color="auto"/>
        <w:right w:val="none" w:sz="0" w:space="0" w:color="auto"/>
      </w:divBdr>
    </w:div>
    <w:div w:id="736900273">
      <w:bodyDiv w:val="1"/>
      <w:marLeft w:val="0"/>
      <w:marRight w:val="0"/>
      <w:marTop w:val="0"/>
      <w:marBottom w:val="0"/>
      <w:divBdr>
        <w:top w:val="none" w:sz="0" w:space="0" w:color="auto"/>
        <w:left w:val="none" w:sz="0" w:space="0" w:color="auto"/>
        <w:bottom w:val="none" w:sz="0" w:space="0" w:color="auto"/>
        <w:right w:val="none" w:sz="0" w:space="0" w:color="auto"/>
      </w:divBdr>
    </w:div>
    <w:div w:id="770125589">
      <w:bodyDiv w:val="1"/>
      <w:marLeft w:val="0"/>
      <w:marRight w:val="0"/>
      <w:marTop w:val="0"/>
      <w:marBottom w:val="0"/>
      <w:divBdr>
        <w:top w:val="none" w:sz="0" w:space="0" w:color="auto"/>
        <w:left w:val="none" w:sz="0" w:space="0" w:color="auto"/>
        <w:bottom w:val="none" w:sz="0" w:space="0" w:color="auto"/>
        <w:right w:val="none" w:sz="0" w:space="0" w:color="auto"/>
      </w:divBdr>
    </w:div>
    <w:div w:id="877737318">
      <w:bodyDiv w:val="1"/>
      <w:marLeft w:val="0"/>
      <w:marRight w:val="0"/>
      <w:marTop w:val="0"/>
      <w:marBottom w:val="0"/>
      <w:divBdr>
        <w:top w:val="none" w:sz="0" w:space="0" w:color="auto"/>
        <w:left w:val="none" w:sz="0" w:space="0" w:color="auto"/>
        <w:bottom w:val="none" w:sz="0" w:space="0" w:color="auto"/>
        <w:right w:val="none" w:sz="0" w:space="0" w:color="auto"/>
      </w:divBdr>
    </w:div>
    <w:div w:id="880559906">
      <w:bodyDiv w:val="1"/>
      <w:marLeft w:val="0"/>
      <w:marRight w:val="0"/>
      <w:marTop w:val="0"/>
      <w:marBottom w:val="0"/>
      <w:divBdr>
        <w:top w:val="none" w:sz="0" w:space="0" w:color="auto"/>
        <w:left w:val="none" w:sz="0" w:space="0" w:color="auto"/>
        <w:bottom w:val="none" w:sz="0" w:space="0" w:color="auto"/>
        <w:right w:val="none" w:sz="0" w:space="0" w:color="auto"/>
      </w:divBdr>
    </w:div>
    <w:div w:id="936714029">
      <w:bodyDiv w:val="1"/>
      <w:marLeft w:val="0"/>
      <w:marRight w:val="0"/>
      <w:marTop w:val="0"/>
      <w:marBottom w:val="0"/>
      <w:divBdr>
        <w:top w:val="none" w:sz="0" w:space="0" w:color="auto"/>
        <w:left w:val="none" w:sz="0" w:space="0" w:color="auto"/>
        <w:bottom w:val="none" w:sz="0" w:space="0" w:color="auto"/>
        <w:right w:val="none" w:sz="0" w:space="0" w:color="auto"/>
      </w:divBdr>
    </w:div>
    <w:div w:id="1030883366">
      <w:bodyDiv w:val="1"/>
      <w:marLeft w:val="0"/>
      <w:marRight w:val="0"/>
      <w:marTop w:val="0"/>
      <w:marBottom w:val="0"/>
      <w:divBdr>
        <w:top w:val="none" w:sz="0" w:space="0" w:color="auto"/>
        <w:left w:val="none" w:sz="0" w:space="0" w:color="auto"/>
        <w:bottom w:val="none" w:sz="0" w:space="0" w:color="auto"/>
        <w:right w:val="none" w:sz="0" w:space="0" w:color="auto"/>
      </w:divBdr>
    </w:div>
    <w:div w:id="1039818875">
      <w:bodyDiv w:val="1"/>
      <w:marLeft w:val="0"/>
      <w:marRight w:val="0"/>
      <w:marTop w:val="0"/>
      <w:marBottom w:val="0"/>
      <w:divBdr>
        <w:top w:val="none" w:sz="0" w:space="0" w:color="auto"/>
        <w:left w:val="none" w:sz="0" w:space="0" w:color="auto"/>
        <w:bottom w:val="none" w:sz="0" w:space="0" w:color="auto"/>
        <w:right w:val="none" w:sz="0" w:space="0" w:color="auto"/>
      </w:divBdr>
    </w:div>
    <w:div w:id="1045177785">
      <w:bodyDiv w:val="1"/>
      <w:marLeft w:val="0"/>
      <w:marRight w:val="0"/>
      <w:marTop w:val="0"/>
      <w:marBottom w:val="0"/>
      <w:divBdr>
        <w:top w:val="none" w:sz="0" w:space="0" w:color="auto"/>
        <w:left w:val="none" w:sz="0" w:space="0" w:color="auto"/>
        <w:bottom w:val="none" w:sz="0" w:space="0" w:color="auto"/>
        <w:right w:val="none" w:sz="0" w:space="0" w:color="auto"/>
      </w:divBdr>
    </w:div>
    <w:div w:id="1050570977">
      <w:bodyDiv w:val="1"/>
      <w:marLeft w:val="0"/>
      <w:marRight w:val="0"/>
      <w:marTop w:val="0"/>
      <w:marBottom w:val="0"/>
      <w:divBdr>
        <w:top w:val="none" w:sz="0" w:space="0" w:color="auto"/>
        <w:left w:val="none" w:sz="0" w:space="0" w:color="auto"/>
        <w:bottom w:val="none" w:sz="0" w:space="0" w:color="auto"/>
        <w:right w:val="none" w:sz="0" w:space="0" w:color="auto"/>
      </w:divBdr>
    </w:div>
    <w:div w:id="1055200457">
      <w:bodyDiv w:val="1"/>
      <w:marLeft w:val="0"/>
      <w:marRight w:val="0"/>
      <w:marTop w:val="0"/>
      <w:marBottom w:val="0"/>
      <w:divBdr>
        <w:top w:val="none" w:sz="0" w:space="0" w:color="auto"/>
        <w:left w:val="none" w:sz="0" w:space="0" w:color="auto"/>
        <w:bottom w:val="none" w:sz="0" w:space="0" w:color="auto"/>
        <w:right w:val="none" w:sz="0" w:space="0" w:color="auto"/>
      </w:divBdr>
    </w:div>
    <w:div w:id="1080518882">
      <w:bodyDiv w:val="1"/>
      <w:marLeft w:val="0"/>
      <w:marRight w:val="0"/>
      <w:marTop w:val="0"/>
      <w:marBottom w:val="0"/>
      <w:divBdr>
        <w:top w:val="none" w:sz="0" w:space="0" w:color="auto"/>
        <w:left w:val="none" w:sz="0" w:space="0" w:color="auto"/>
        <w:bottom w:val="none" w:sz="0" w:space="0" w:color="auto"/>
        <w:right w:val="none" w:sz="0" w:space="0" w:color="auto"/>
      </w:divBdr>
    </w:div>
    <w:div w:id="1084649363">
      <w:bodyDiv w:val="1"/>
      <w:marLeft w:val="0"/>
      <w:marRight w:val="0"/>
      <w:marTop w:val="0"/>
      <w:marBottom w:val="0"/>
      <w:divBdr>
        <w:top w:val="none" w:sz="0" w:space="0" w:color="auto"/>
        <w:left w:val="none" w:sz="0" w:space="0" w:color="auto"/>
        <w:bottom w:val="none" w:sz="0" w:space="0" w:color="auto"/>
        <w:right w:val="none" w:sz="0" w:space="0" w:color="auto"/>
      </w:divBdr>
    </w:div>
    <w:div w:id="1088381335">
      <w:bodyDiv w:val="1"/>
      <w:marLeft w:val="0"/>
      <w:marRight w:val="0"/>
      <w:marTop w:val="0"/>
      <w:marBottom w:val="0"/>
      <w:divBdr>
        <w:top w:val="none" w:sz="0" w:space="0" w:color="auto"/>
        <w:left w:val="none" w:sz="0" w:space="0" w:color="auto"/>
        <w:bottom w:val="none" w:sz="0" w:space="0" w:color="auto"/>
        <w:right w:val="none" w:sz="0" w:space="0" w:color="auto"/>
      </w:divBdr>
    </w:div>
    <w:div w:id="1105928007">
      <w:bodyDiv w:val="1"/>
      <w:marLeft w:val="0"/>
      <w:marRight w:val="0"/>
      <w:marTop w:val="0"/>
      <w:marBottom w:val="0"/>
      <w:divBdr>
        <w:top w:val="none" w:sz="0" w:space="0" w:color="auto"/>
        <w:left w:val="none" w:sz="0" w:space="0" w:color="auto"/>
        <w:bottom w:val="none" w:sz="0" w:space="0" w:color="auto"/>
        <w:right w:val="none" w:sz="0" w:space="0" w:color="auto"/>
      </w:divBdr>
    </w:div>
    <w:div w:id="1193033805">
      <w:bodyDiv w:val="1"/>
      <w:marLeft w:val="0"/>
      <w:marRight w:val="0"/>
      <w:marTop w:val="0"/>
      <w:marBottom w:val="0"/>
      <w:divBdr>
        <w:top w:val="none" w:sz="0" w:space="0" w:color="auto"/>
        <w:left w:val="none" w:sz="0" w:space="0" w:color="auto"/>
        <w:bottom w:val="none" w:sz="0" w:space="0" w:color="auto"/>
        <w:right w:val="none" w:sz="0" w:space="0" w:color="auto"/>
      </w:divBdr>
    </w:div>
    <w:div w:id="1209298530">
      <w:bodyDiv w:val="1"/>
      <w:marLeft w:val="0"/>
      <w:marRight w:val="0"/>
      <w:marTop w:val="0"/>
      <w:marBottom w:val="0"/>
      <w:divBdr>
        <w:top w:val="none" w:sz="0" w:space="0" w:color="auto"/>
        <w:left w:val="none" w:sz="0" w:space="0" w:color="auto"/>
        <w:bottom w:val="none" w:sz="0" w:space="0" w:color="auto"/>
        <w:right w:val="none" w:sz="0" w:space="0" w:color="auto"/>
      </w:divBdr>
    </w:div>
    <w:div w:id="1212614900">
      <w:bodyDiv w:val="1"/>
      <w:marLeft w:val="0"/>
      <w:marRight w:val="0"/>
      <w:marTop w:val="0"/>
      <w:marBottom w:val="0"/>
      <w:divBdr>
        <w:top w:val="none" w:sz="0" w:space="0" w:color="auto"/>
        <w:left w:val="none" w:sz="0" w:space="0" w:color="auto"/>
        <w:bottom w:val="none" w:sz="0" w:space="0" w:color="auto"/>
        <w:right w:val="none" w:sz="0" w:space="0" w:color="auto"/>
      </w:divBdr>
    </w:div>
    <w:div w:id="1225288655">
      <w:bodyDiv w:val="1"/>
      <w:marLeft w:val="0"/>
      <w:marRight w:val="0"/>
      <w:marTop w:val="0"/>
      <w:marBottom w:val="0"/>
      <w:divBdr>
        <w:top w:val="none" w:sz="0" w:space="0" w:color="auto"/>
        <w:left w:val="none" w:sz="0" w:space="0" w:color="auto"/>
        <w:bottom w:val="none" w:sz="0" w:space="0" w:color="auto"/>
        <w:right w:val="none" w:sz="0" w:space="0" w:color="auto"/>
      </w:divBdr>
    </w:div>
    <w:div w:id="1295210094">
      <w:bodyDiv w:val="1"/>
      <w:marLeft w:val="0"/>
      <w:marRight w:val="0"/>
      <w:marTop w:val="0"/>
      <w:marBottom w:val="0"/>
      <w:divBdr>
        <w:top w:val="none" w:sz="0" w:space="0" w:color="auto"/>
        <w:left w:val="none" w:sz="0" w:space="0" w:color="auto"/>
        <w:bottom w:val="none" w:sz="0" w:space="0" w:color="auto"/>
        <w:right w:val="none" w:sz="0" w:space="0" w:color="auto"/>
      </w:divBdr>
    </w:div>
    <w:div w:id="1318995408">
      <w:bodyDiv w:val="1"/>
      <w:marLeft w:val="0"/>
      <w:marRight w:val="0"/>
      <w:marTop w:val="0"/>
      <w:marBottom w:val="0"/>
      <w:divBdr>
        <w:top w:val="none" w:sz="0" w:space="0" w:color="auto"/>
        <w:left w:val="none" w:sz="0" w:space="0" w:color="auto"/>
        <w:bottom w:val="none" w:sz="0" w:space="0" w:color="auto"/>
        <w:right w:val="none" w:sz="0" w:space="0" w:color="auto"/>
      </w:divBdr>
    </w:div>
    <w:div w:id="1331173135">
      <w:bodyDiv w:val="1"/>
      <w:marLeft w:val="0"/>
      <w:marRight w:val="0"/>
      <w:marTop w:val="0"/>
      <w:marBottom w:val="0"/>
      <w:divBdr>
        <w:top w:val="none" w:sz="0" w:space="0" w:color="auto"/>
        <w:left w:val="none" w:sz="0" w:space="0" w:color="auto"/>
        <w:bottom w:val="none" w:sz="0" w:space="0" w:color="auto"/>
        <w:right w:val="none" w:sz="0" w:space="0" w:color="auto"/>
      </w:divBdr>
    </w:div>
    <w:div w:id="1331374071">
      <w:bodyDiv w:val="1"/>
      <w:marLeft w:val="0"/>
      <w:marRight w:val="0"/>
      <w:marTop w:val="0"/>
      <w:marBottom w:val="0"/>
      <w:divBdr>
        <w:top w:val="none" w:sz="0" w:space="0" w:color="auto"/>
        <w:left w:val="none" w:sz="0" w:space="0" w:color="auto"/>
        <w:bottom w:val="none" w:sz="0" w:space="0" w:color="auto"/>
        <w:right w:val="none" w:sz="0" w:space="0" w:color="auto"/>
      </w:divBdr>
    </w:div>
    <w:div w:id="1394621574">
      <w:bodyDiv w:val="1"/>
      <w:marLeft w:val="0"/>
      <w:marRight w:val="0"/>
      <w:marTop w:val="0"/>
      <w:marBottom w:val="0"/>
      <w:divBdr>
        <w:top w:val="none" w:sz="0" w:space="0" w:color="auto"/>
        <w:left w:val="none" w:sz="0" w:space="0" w:color="auto"/>
        <w:bottom w:val="none" w:sz="0" w:space="0" w:color="auto"/>
        <w:right w:val="none" w:sz="0" w:space="0" w:color="auto"/>
      </w:divBdr>
    </w:div>
    <w:div w:id="1411927453">
      <w:bodyDiv w:val="1"/>
      <w:marLeft w:val="0"/>
      <w:marRight w:val="0"/>
      <w:marTop w:val="0"/>
      <w:marBottom w:val="0"/>
      <w:divBdr>
        <w:top w:val="none" w:sz="0" w:space="0" w:color="auto"/>
        <w:left w:val="none" w:sz="0" w:space="0" w:color="auto"/>
        <w:bottom w:val="none" w:sz="0" w:space="0" w:color="auto"/>
        <w:right w:val="none" w:sz="0" w:space="0" w:color="auto"/>
      </w:divBdr>
    </w:div>
    <w:div w:id="1447771786">
      <w:bodyDiv w:val="1"/>
      <w:marLeft w:val="0"/>
      <w:marRight w:val="0"/>
      <w:marTop w:val="0"/>
      <w:marBottom w:val="0"/>
      <w:divBdr>
        <w:top w:val="none" w:sz="0" w:space="0" w:color="auto"/>
        <w:left w:val="none" w:sz="0" w:space="0" w:color="auto"/>
        <w:bottom w:val="none" w:sz="0" w:space="0" w:color="auto"/>
        <w:right w:val="none" w:sz="0" w:space="0" w:color="auto"/>
      </w:divBdr>
    </w:div>
    <w:div w:id="1518735523">
      <w:bodyDiv w:val="1"/>
      <w:marLeft w:val="0"/>
      <w:marRight w:val="0"/>
      <w:marTop w:val="0"/>
      <w:marBottom w:val="0"/>
      <w:divBdr>
        <w:top w:val="none" w:sz="0" w:space="0" w:color="auto"/>
        <w:left w:val="none" w:sz="0" w:space="0" w:color="auto"/>
        <w:bottom w:val="none" w:sz="0" w:space="0" w:color="auto"/>
        <w:right w:val="none" w:sz="0" w:space="0" w:color="auto"/>
      </w:divBdr>
    </w:div>
    <w:div w:id="1532382259">
      <w:bodyDiv w:val="1"/>
      <w:marLeft w:val="0"/>
      <w:marRight w:val="0"/>
      <w:marTop w:val="0"/>
      <w:marBottom w:val="0"/>
      <w:divBdr>
        <w:top w:val="none" w:sz="0" w:space="0" w:color="auto"/>
        <w:left w:val="none" w:sz="0" w:space="0" w:color="auto"/>
        <w:bottom w:val="none" w:sz="0" w:space="0" w:color="auto"/>
        <w:right w:val="none" w:sz="0" w:space="0" w:color="auto"/>
      </w:divBdr>
    </w:div>
    <w:div w:id="1537431320">
      <w:bodyDiv w:val="1"/>
      <w:marLeft w:val="0"/>
      <w:marRight w:val="0"/>
      <w:marTop w:val="0"/>
      <w:marBottom w:val="0"/>
      <w:divBdr>
        <w:top w:val="none" w:sz="0" w:space="0" w:color="auto"/>
        <w:left w:val="none" w:sz="0" w:space="0" w:color="auto"/>
        <w:bottom w:val="none" w:sz="0" w:space="0" w:color="auto"/>
        <w:right w:val="none" w:sz="0" w:space="0" w:color="auto"/>
      </w:divBdr>
    </w:div>
    <w:div w:id="1537738681">
      <w:bodyDiv w:val="1"/>
      <w:marLeft w:val="0"/>
      <w:marRight w:val="0"/>
      <w:marTop w:val="0"/>
      <w:marBottom w:val="0"/>
      <w:divBdr>
        <w:top w:val="none" w:sz="0" w:space="0" w:color="auto"/>
        <w:left w:val="none" w:sz="0" w:space="0" w:color="auto"/>
        <w:bottom w:val="none" w:sz="0" w:space="0" w:color="auto"/>
        <w:right w:val="none" w:sz="0" w:space="0" w:color="auto"/>
      </w:divBdr>
    </w:div>
    <w:div w:id="1585994109">
      <w:bodyDiv w:val="1"/>
      <w:marLeft w:val="0"/>
      <w:marRight w:val="0"/>
      <w:marTop w:val="0"/>
      <w:marBottom w:val="0"/>
      <w:divBdr>
        <w:top w:val="none" w:sz="0" w:space="0" w:color="auto"/>
        <w:left w:val="none" w:sz="0" w:space="0" w:color="auto"/>
        <w:bottom w:val="none" w:sz="0" w:space="0" w:color="auto"/>
        <w:right w:val="none" w:sz="0" w:space="0" w:color="auto"/>
      </w:divBdr>
    </w:div>
    <w:div w:id="1593007319">
      <w:bodyDiv w:val="1"/>
      <w:marLeft w:val="0"/>
      <w:marRight w:val="0"/>
      <w:marTop w:val="0"/>
      <w:marBottom w:val="0"/>
      <w:divBdr>
        <w:top w:val="none" w:sz="0" w:space="0" w:color="auto"/>
        <w:left w:val="none" w:sz="0" w:space="0" w:color="auto"/>
        <w:bottom w:val="none" w:sz="0" w:space="0" w:color="auto"/>
        <w:right w:val="none" w:sz="0" w:space="0" w:color="auto"/>
      </w:divBdr>
    </w:div>
    <w:div w:id="1608922493">
      <w:bodyDiv w:val="1"/>
      <w:marLeft w:val="0"/>
      <w:marRight w:val="0"/>
      <w:marTop w:val="0"/>
      <w:marBottom w:val="0"/>
      <w:divBdr>
        <w:top w:val="none" w:sz="0" w:space="0" w:color="auto"/>
        <w:left w:val="none" w:sz="0" w:space="0" w:color="auto"/>
        <w:bottom w:val="none" w:sz="0" w:space="0" w:color="auto"/>
        <w:right w:val="none" w:sz="0" w:space="0" w:color="auto"/>
      </w:divBdr>
    </w:div>
    <w:div w:id="1612126480">
      <w:bodyDiv w:val="1"/>
      <w:marLeft w:val="0"/>
      <w:marRight w:val="0"/>
      <w:marTop w:val="0"/>
      <w:marBottom w:val="0"/>
      <w:divBdr>
        <w:top w:val="none" w:sz="0" w:space="0" w:color="auto"/>
        <w:left w:val="none" w:sz="0" w:space="0" w:color="auto"/>
        <w:bottom w:val="none" w:sz="0" w:space="0" w:color="auto"/>
        <w:right w:val="none" w:sz="0" w:space="0" w:color="auto"/>
      </w:divBdr>
    </w:div>
    <w:div w:id="1620407447">
      <w:bodyDiv w:val="1"/>
      <w:marLeft w:val="0"/>
      <w:marRight w:val="0"/>
      <w:marTop w:val="0"/>
      <w:marBottom w:val="0"/>
      <w:divBdr>
        <w:top w:val="none" w:sz="0" w:space="0" w:color="auto"/>
        <w:left w:val="none" w:sz="0" w:space="0" w:color="auto"/>
        <w:bottom w:val="none" w:sz="0" w:space="0" w:color="auto"/>
        <w:right w:val="none" w:sz="0" w:space="0" w:color="auto"/>
      </w:divBdr>
    </w:div>
    <w:div w:id="1692948855">
      <w:bodyDiv w:val="1"/>
      <w:marLeft w:val="0"/>
      <w:marRight w:val="0"/>
      <w:marTop w:val="0"/>
      <w:marBottom w:val="0"/>
      <w:divBdr>
        <w:top w:val="none" w:sz="0" w:space="0" w:color="auto"/>
        <w:left w:val="none" w:sz="0" w:space="0" w:color="auto"/>
        <w:bottom w:val="none" w:sz="0" w:space="0" w:color="auto"/>
        <w:right w:val="none" w:sz="0" w:space="0" w:color="auto"/>
      </w:divBdr>
    </w:div>
    <w:div w:id="1703554602">
      <w:bodyDiv w:val="1"/>
      <w:marLeft w:val="0"/>
      <w:marRight w:val="0"/>
      <w:marTop w:val="0"/>
      <w:marBottom w:val="0"/>
      <w:divBdr>
        <w:top w:val="none" w:sz="0" w:space="0" w:color="auto"/>
        <w:left w:val="none" w:sz="0" w:space="0" w:color="auto"/>
        <w:bottom w:val="none" w:sz="0" w:space="0" w:color="auto"/>
        <w:right w:val="none" w:sz="0" w:space="0" w:color="auto"/>
      </w:divBdr>
    </w:div>
    <w:div w:id="1723287839">
      <w:bodyDiv w:val="1"/>
      <w:marLeft w:val="0"/>
      <w:marRight w:val="0"/>
      <w:marTop w:val="0"/>
      <w:marBottom w:val="0"/>
      <w:divBdr>
        <w:top w:val="none" w:sz="0" w:space="0" w:color="auto"/>
        <w:left w:val="none" w:sz="0" w:space="0" w:color="auto"/>
        <w:bottom w:val="none" w:sz="0" w:space="0" w:color="auto"/>
        <w:right w:val="none" w:sz="0" w:space="0" w:color="auto"/>
      </w:divBdr>
    </w:div>
    <w:div w:id="1759131373">
      <w:bodyDiv w:val="1"/>
      <w:marLeft w:val="0"/>
      <w:marRight w:val="0"/>
      <w:marTop w:val="0"/>
      <w:marBottom w:val="0"/>
      <w:divBdr>
        <w:top w:val="none" w:sz="0" w:space="0" w:color="auto"/>
        <w:left w:val="none" w:sz="0" w:space="0" w:color="auto"/>
        <w:bottom w:val="none" w:sz="0" w:space="0" w:color="auto"/>
        <w:right w:val="none" w:sz="0" w:space="0" w:color="auto"/>
      </w:divBdr>
    </w:div>
    <w:div w:id="1778406178">
      <w:bodyDiv w:val="1"/>
      <w:marLeft w:val="0"/>
      <w:marRight w:val="0"/>
      <w:marTop w:val="0"/>
      <w:marBottom w:val="0"/>
      <w:divBdr>
        <w:top w:val="none" w:sz="0" w:space="0" w:color="auto"/>
        <w:left w:val="none" w:sz="0" w:space="0" w:color="auto"/>
        <w:bottom w:val="none" w:sz="0" w:space="0" w:color="auto"/>
        <w:right w:val="none" w:sz="0" w:space="0" w:color="auto"/>
      </w:divBdr>
    </w:div>
    <w:div w:id="1804495852">
      <w:bodyDiv w:val="1"/>
      <w:marLeft w:val="0"/>
      <w:marRight w:val="0"/>
      <w:marTop w:val="0"/>
      <w:marBottom w:val="0"/>
      <w:divBdr>
        <w:top w:val="none" w:sz="0" w:space="0" w:color="auto"/>
        <w:left w:val="none" w:sz="0" w:space="0" w:color="auto"/>
        <w:bottom w:val="none" w:sz="0" w:space="0" w:color="auto"/>
        <w:right w:val="none" w:sz="0" w:space="0" w:color="auto"/>
      </w:divBdr>
    </w:div>
    <w:div w:id="1817599515">
      <w:bodyDiv w:val="1"/>
      <w:marLeft w:val="0"/>
      <w:marRight w:val="0"/>
      <w:marTop w:val="0"/>
      <w:marBottom w:val="0"/>
      <w:divBdr>
        <w:top w:val="none" w:sz="0" w:space="0" w:color="auto"/>
        <w:left w:val="none" w:sz="0" w:space="0" w:color="auto"/>
        <w:bottom w:val="none" w:sz="0" w:space="0" w:color="auto"/>
        <w:right w:val="none" w:sz="0" w:space="0" w:color="auto"/>
      </w:divBdr>
    </w:div>
    <w:div w:id="1881748073">
      <w:bodyDiv w:val="1"/>
      <w:marLeft w:val="0"/>
      <w:marRight w:val="0"/>
      <w:marTop w:val="0"/>
      <w:marBottom w:val="0"/>
      <w:divBdr>
        <w:top w:val="none" w:sz="0" w:space="0" w:color="auto"/>
        <w:left w:val="none" w:sz="0" w:space="0" w:color="auto"/>
        <w:bottom w:val="none" w:sz="0" w:space="0" w:color="auto"/>
        <w:right w:val="none" w:sz="0" w:space="0" w:color="auto"/>
      </w:divBdr>
    </w:div>
    <w:div w:id="1897665437">
      <w:bodyDiv w:val="1"/>
      <w:marLeft w:val="0"/>
      <w:marRight w:val="0"/>
      <w:marTop w:val="0"/>
      <w:marBottom w:val="0"/>
      <w:divBdr>
        <w:top w:val="none" w:sz="0" w:space="0" w:color="auto"/>
        <w:left w:val="none" w:sz="0" w:space="0" w:color="auto"/>
        <w:bottom w:val="none" w:sz="0" w:space="0" w:color="auto"/>
        <w:right w:val="none" w:sz="0" w:space="0" w:color="auto"/>
      </w:divBdr>
    </w:div>
    <w:div w:id="1935698205">
      <w:bodyDiv w:val="1"/>
      <w:marLeft w:val="0"/>
      <w:marRight w:val="0"/>
      <w:marTop w:val="0"/>
      <w:marBottom w:val="0"/>
      <w:divBdr>
        <w:top w:val="none" w:sz="0" w:space="0" w:color="auto"/>
        <w:left w:val="none" w:sz="0" w:space="0" w:color="auto"/>
        <w:bottom w:val="none" w:sz="0" w:space="0" w:color="auto"/>
        <w:right w:val="none" w:sz="0" w:space="0" w:color="auto"/>
      </w:divBdr>
    </w:div>
    <w:div w:id="2014070518">
      <w:bodyDiv w:val="1"/>
      <w:marLeft w:val="0"/>
      <w:marRight w:val="0"/>
      <w:marTop w:val="0"/>
      <w:marBottom w:val="0"/>
      <w:divBdr>
        <w:top w:val="none" w:sz="0" w:space="0" w:color="auto"/>
        <w:left w:val="none" w:sz="0" w:space="0" w:color="auto"/>
        <w:bottom w:val="none" w:sz="0" w:space="0" w:color="auto"/>
        <w:right w:val="none" w:sz="0" w:space="0" w:color="auto"/>
      </w:divBdr>
    </w:div>
    <w:div w:id="21345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amfigueired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llagiovan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007/s11097-021-09760-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0867-306A-674D-AF1F-1A9DE297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22222</Words>
  <Characters>126671</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2021-08-02T19:27:00Z</dcterms:created>
  <dcterms:modified xsi:type="dcterms:W3CDTF">2021-08-02T22:05:00Z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http://csl.mendeley.com/styles/230700121/apa</vt:lpwstr>
  </property>
  <property fmtid="{D5CDD505-2E9C-101B-9397-08002B2CF9AE}" pid="9" name="Mendeley Recent Style Name 3_1">
    <vt:lpwstr>American Psychological Association 7th edition - Giovanni Rolla</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http://www.zotero.org/styles/springer-basic-author-date</vt:lpwstr>
  </property>
  <property fmtid="{D5CDD505-2E9C-101B-9397-08002B2CF9AE}" pid="19" name="Mendeley Recent Style Name 8_1">
    <vt:lpwstr>Springer - Basic (author-date)</vt:lpwstr>
  </property>
  <property fmtid="{D5CDD505-2E9C-101B-9397-08002B2CF9AE}" pid="20" name="Mendeley Recent Style Id 9_1">
    <vt:lpwstr>http://www.zotero.org/styles/synthese</vt:lpwstr>
  </property>
  <property fmtid="{D5CDD505-2E9C-101B-9397-08002B2CF9AE}" pid="21" name="Mendeley Recent Style Name 9_1">
    <vt:lpwstr>Synthese</vt:lpwstr>
  </property>
  <property fmtid="{D5CDD505-2E9C-101B-9397-08002B2CF9AE}" pid="22" name="Mendeley Document_1">
    <vt:lpwstr>True</vt:lpwstr>
  </property>
  <property fmtid="{D5CDD505-2E9C-101B-9397-08002B2CF9AE}" pid="23" name="Mendeley Unique User Id_1">
    <vt:lpwstr>735a5b16-75da-35c1-8def-0cbee598ba88</vt:lpwstr>
  </property>
  <property fmtid="{D5CDD505-2E9C-101B-9397-08002B2CF9AE}" pid="24" name="Mendeley Citation Style_1">
    <vt:lpwstr>http://www.zotero.org/styles/apa</vt:lpwstr>
  </property>
</Properties>
</file>